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0D66A" w14:textId="15308D4B" w:rsidR="00100B8B" w:rsidRPr="00D707F7" w:rsidRDefault="00BE4FCA" w:rsidP="00100B8B">
      <w:pPr>
        <w:spacing w:before="240" w:after="240" w:line="360" w:lineRule="auto"/>
        <w:jc w:val="center"/>
        <w:rPr>
          <w:rFonts w:ascii="Palatino Linotype" w:hAnsi="Palatino Linotype"/>
          <w:b/>
        </w:rPr>
      </w:pPr>
      <w:r w:rsidRPr="00722988">
        <w:rPr>
          <w:rFonts w:ascii="Palatino Linotype" w:hAnsi="Palatino Linotype"/>
          <w:b/>
        </w:rPr>
        <w:t xml:space="preserve"> </w:t>
      </w:r>
      <w:r w:rsidR="00100B8B" w:rsidRPr="00D707F7">
        <w:rPr>
          <w:rFonts w:ascii="Palatino Linotype" w:hAnsi="Palatino Linotype"/>
          <w:b/>
        </w:rPr>
        <w:t>LÍNEAS ARGUMENTATIVAS.</w:t>
      </w:r>
    </w:p>
    <w:p w14:paraId="1AFC1B14" w14:textId="77777777" w:rsidR="00575D13" w:rsidRDefault="00575D13" w:rsidP="00575D13">
      <w:pPr>
        <w:pStyle w:val="Prrafodelista"/>
        <w:tabs>
          <w:tab w:val="left" w:pos="567"/>
        </w:tabs>
        <w:spacing w:before="240" w:after="240" w:line="360" w:lineRule="auto"/>
        <w:ind w:left="0" w:right="49"/>
        <w:jc w:val="both"/>
        <w:rPr>
          <w:rFonts w:ascii="Palatino Linotype" w:hAnsi="Palatino Linotype"/>
        </w:rPr>
      </w:pPr>
      <w:r w:rsidRPr="00175721">
        <w:rPr>
          <w:rFonts w:ascii="Palatino Linotype" w:eastAsia="Calibri" w:hAnsi="Palatino Linotype" w:cs="Times New Roman"/>
          <w:b/>
        </w:rPr>
        <w:t>CAMBIO DE MODALIDAD DE ENTREGA DE LA INFORMACIÓN, JUSTIFICACIÓN DEL.</w:t>
      </w:r>
      <w:r w:rsidRPr="00175721">
        <w:rPr>
          <w:rFonts w:ascii="Palatino Linotype" w:eastAsia="Calibri" w:hAnsi="Palatino Linotype" w:cs="Times New Roman"/>
        </w:rPr>
        <w:t xml:space="preserve"> </w:t>
      </w:r>
      <w:r>
        <w:rPr>
          <w:rFonts w:ascii="Palatino Linotype" w:hAnsi="Palatino Linotype"/>
        </w:rPr>
        <w:t xml:space="preserve">La modalidad de entrega como la forma de envío de la información se hará preferentemente como haya señalado el requirente. En los casos en que esto no sea posible, el </w:t>
      </w:r>
      <w:r>
        <w:rPr>
          <w:rFonts w:ascii="Palatino Linotype" w:hAnsi="Palatino Linotype"/>
          <w:b/>
        </w:rPr>
        <w:t xml:space="preserve">SUJETO OBLIGADO </w:t>
      </w:r>
      <w:r>
        <w:rPr>
          <w:rFonts w:ascii="Palatino Linotype" w:hAnsi="Palatino Linotype"/>
        </w:rPr>
        <w:t xml:space="preserve">podrá garantizar la entrega a través de cualquier otro medio, siempre y cuando funde y motive la razón para hacerlo. La necesidad de fundar y motivar es imperante en todos los actos que emite cualquier autoridad. </w:t>
      </w:r>
    </w:p>
    <w:p w14:paraId="54A78DCE" w14:textId="77777777" w:rsidR="00575D13" w:rsidRPr="00561CEA" w:rsidRDefault="00575D13" w:rsidP="00575D13">
      <w:pPr>
        <w:pStyle w:val="Prrafodelista"/>
        <w:tabs>
          <w:tab w:val="left" w:pos="567"/>
        </w:tabs>
        <w:spacing w:before="240" w:after="240" w:line="360" w:lineRule="auto"/>
        <w:ind w:left="0" w:right="49"/>
        <w:jc w:val="both"/>
        <w:rPr>
          <w:rFonts w:ascii="Palatino Linotype" w:hAnsi="Palatino Linotype"/>
          <w:b/>
        </w:rPr>
      </w:pPr>
    </w:p>
    <w:p w14:paraId="373F7A8A" w14:textId="75D5B9A5" w:rsidR="00184266" w:rsidRDefault="00184266" w:rsidP="00184266">
      <w:pPr>
        <w:spacing w:line="360" w:lineRule="auto"/>
        <w:ind w:right="49"/>
        <w:contextualSpacing/>
        <w:jc w:val="both"/>
        <w:rPr>
          <w:rFonts w:ascii="Palatino Linotype" w:eastAsia="MS Mincho" w:hAnsi="Palatino Linotype" w:cstheme="majorBidi"/>
        </w:rPr>
      </w:pPr>
    </w:p>
    <w:p w14:paraId="233FE122" w14:textId="78930C78" w:rsidR="004C232A" w:rsidRDefault="004C232A" w:rsidP="00184266">
      <w:pPr>
        <w:spacing w:line="360" w:lineRule="auto"/>
        <w:ind w:right="49"/>
        <w:contextualSpacing/>
        <w:jc w:val="both"/>
        <w:rPr>
          <w:rFonts w:ascii="Palatino Linotype" w:eastAsia="MS Mincho" w:hAnsi="Palatino Linotype" w:cstheme="majorBidi"/>
        </w:rPr>
      </w:pPr>
    </w:p>
    <w:p w14:paraId="3C525A32" w14:textId="75E537BF" w:rsidR="004C232A" w:rsidRDefault="004C232A" w:rsidP="00184266">
      <w:pPr>
        <w:spacing w:line="360" w:lineRule="auto"/>
        <w:ind w:right="49"/>
        <w:contextualSpacing/>
        <w:jc w:val="both"/>
        <w:rPr>
          <w:rFonts w:ascii="Palatino Linotype" w:eastAsia="MS Mincho" w:hAnsi="Palatino Linotype" w:cstheme="majorBidi"/>
        </w:rPr>
      </w:pPr>
    </w:p>
    <w:p w14:paraId="7598975D" w14:textId="10B45608" w:rsidR="004C232A" w:rsidRDefault="004C232A" w:rsidP="00184266">
      <w:pPr>
        <w:spacing w:line="360" w:lineRule="auto"/>
        <w:ind w:right="49"/>
        <w:contextualSpacing/>
        <w:jc w:val="both"/>
        <w:rPr>
          <w:rFonts w:ascii="Palatino Linotype" w:eastAsia="MS Mincho" w:hAnsi="Palatino Linotype" w:cstheme="majorBidi"/>
        </w:rPr>
      </w:pPr>
    </w:p>
    <w:p w14:paraId="71552341" w14:textId="3D72B134" w:rsidR="004C232A" w:rsidRDefault="004C232A" w:rsidP="00184266">
      <w:pPr>
        <w:spacing w:line="360" w:lineRule="auto"/>
        <w:ind w:right="49"/>
        <w:contextualSpacing/>
        <w:jc w:val="both"/>
        <w:rPr>
          <w:rFonts w:ascii="Palatino Linotype" w:eastAsia="MS Mincho" w:hAnsi="Palatino Linotype" w:cstheme="majorBidi"/>
        </w:rPr>
      </w:pPr>
    </w:p>
    <w:p w14:paraId="7404E12B" w14:textId="77777777" w:rsidR="004C232A" w:rsidRDefault="004C232A" w:rsidP="00184266">
      <w:pPr>
        <w:spacing w:line="360" w:lineRule="auto"/>
        <w:ind w:right="49"/>
        <w:contextualSpacing/>
        <w:jc w:val="both"/>
        <w:rPr>
          <w:rFonts w:ascii="Palatino Linotype" w:eastAsia="MS Mincho" w:hAnsi="Palatino Linotype" w:cstheme="majorBidi"/>
        </w:rPr>
      </w:pPr>
    </w:p>
    <w:p w14:paraId="552D4973" w14:textId="77777777" w:rsidR="00575D13" w:rsidRDefault="00575D13" w:rsidP="00184266">
      <w:pPr>
        <w:spacing w:line="360" w:lineRule="auto"/>
        <w:ind w:right="49"/>
        <w:contextualSpacing/>
        <w:jc w:val="both"/>
        <w:rPr>
          <w:rFonts w:ascii="Palatino Linotype" w:eastAsia="MS Mincho" w:hAnsi="Palatino Linotype" w:cstheme="majorBidi"/>
        </w:rPr>
      </w:pPr>
    </w:p>
    <w:p w14:paraId="4567A4F5" w14:textId="77777777" w:rsidR="00575D13" w:rsidRDefault="00575D13" w:rsidP="00184266">
      <w:pPr>
        <w:spacing w:line="360" w:lineRule="auto"/>
        <w:ind w:right="49"/>
        <w:contextualSpacing/>
        <w:jc w:val="both"/>
        <w:rPr>
          <w:rFonts w:ascii="Palatino Linotype" w:eastAsia="MS Mincho" w:hAnsi="Palatino Linotype" w:cstheme="majorBidi"/>
        </w:rPr>
      </w:pPr>
    </w:p>
    <w:p w14:paraId="34301F39" w14:textId="77777777" w:rsidR="00575D13" w:rsidRDefault="00575D13" w:rsidP="00184266">
      <w:pPr>
        <w:spacing w:line="360" w:lineRule="auto"/>
        <w:ind w:right="49"/>
        <w:contextualSpacing/>
        <w:jc w:val="both"/>
        <w:rPr>
          <w:rFonts w:ascii="Palatino Linotype" w:eastAsia="MS Mincho" w:hAnsi="Palatino Linotype" w:cstheme="majorBidi"/>
        </w:rPr>
      </w:pPr>
    </w:p>
    <w:p w14:paraId="352AADD7" w14:textId="77777777" w:rsidR="00575D13" w:rsidRDefault="00575D13" w:rsidP="00184266">
      <w:pPr>
        <w:spacing w:line="360" w:lineRule="auto"/>
        <w:ind w:right="49"/>
        <w:contextualSpacing/>
        <w:jc w:val="both"/>
        <w:rPr>
          <w:rFonts w:ascii="Palatino Linotype" w:eastAsia="MS Mincho" w:hAnsi="Palatino Linotype" w:cstheme="majorBidi"/>
        </w:rPr>
      </w:pPr>
    </w:p>
    <w:p w14:paraId="415BECAB" w14:textId="77777777" w:rsidR="00575D13" w:rsidRDefault="00575D13" w:rsidP="00184266">
      <w:pPr>
        <w:spacing w:line="360" w:lineRule="auto"/>
        <w:ind w:right="49"/>
        <w:contextualSpacing/>
        <w:jc w:val="both"/>
        <w:rPr>
          <w:rFonts w:ascii="Palatino Linotype" w:eastAsia="MS Mincho" w:hAnsi="Palatino Linotype" w:cstheme="majorBidi"/>
        </w:rPr>
      </w:pPr>
    </w:p>
    <w:p w14:paraId="7E93349C" w14:textId="77777777" w:rsidR="00575D13" w:rsidRPr="007A016A" w:rsidRDefault="00575D13" w:rsidP="00184266">
      <w:pPr>
        <w:spacing w:line="360" w:lineRule="auto"/>
        <w:ind w:right="49"/>
        <w:contextualSpacing/>
        <w:jc w:val="both"/>
        <w:rPr>
          <w:rFonts w:ascii="Palatino Linotype" w:eastAsia="MS Mincho" w:hAnsi="Palatino Linotype" w:cstheme="majorBidi"/>
        </w:rPr>
      </w:pPr>
    </w:p>
    <w:p w14:paraId="65652C33" w14:textId="77777777" w:rsidR="00BB03D0" w:rsidRPr="00D707F7" w:rsidRDefault="00BB03D0" w:rsidP="001E74A5">
      <w:pPr>
        <w:spacing w:line="360" w:lineRule="auto"/>
        <w:jc w:val="center"/>
        <w:rPr>
          <w:rFonts w:ascii="Palatino Linotype" w:eastAsia="Times New Roman" w:hAnsi="Palatino Linotype" w:cs="Times New Roman"/>
          <w:b/>
          <w:u w:val="single"/>
        </w:rPr>
      </w:pPr>
    </w:p>
    <w:p w14:paraId="31137936" w14:textId="302D1D0F" w:rsidR="00BC61B2" w:rsidRPr="00D707F7" w:rsidRDefault="00A20B1F" w:rsidP="001E74A5">
      <w:pPr>
        <w:spacing w:line="360" w:lineRule="auto"/>
        <w:jc w:val="center"/>
        <w:rPr>
          <w:rFonts w:ascii="Palatino Linotype" w:eastAsia="Times New Roman" w:hAnsi="Palatino Linotype" w:cs="Times New Roman"/>
          <w:b/>
          <w:u w:val="single"/>
        </w:rPr>
      </w:pPr>
      <w:r w:rsidRPr="00D707F7">
        <w:rPr>
          <w:rFonts w:ascii="Palatino Linotype" w:eastAsia="Times New Roman" w:hAnsi="Palatino Linotype" w:cs="Times New Roman"/>
          <w:b/>
          <w:u w:val="single"/>
        </w:rPr>
        <w:t>ÍNDICE</w:t>
      </w:r>
    </w:p>
    <w:sdt>
      <w:sdtPr>
        <w:rPr>
          <w:rFonts w:ascii="Palatino Linotype" w:hAnsi="Palatino Linotype"/>
          <w:lang w:val="es-ES"/>
        </w:rPr>
        <w:id w:val="-1245946457"/>
        <w:docPartObj>
          <w:docPartGallery w:val="Table of Contents"/>
          <w:docPartUnique/>
        </w:docPartObj>
      </w:sdtPr>
      <w:sdtEndPr>
        <w:rPr>
          <w:b/>
          <w:bCs/>
        </w:rPr>
      </w:sdtEndPr>
      <w:sdtContent>
        <w:p w14:paraId="5059895A" w14:textId="0C0F6C35" w:rsidR="00E71F29" w:rsidRPr="004C232A" w:rsidRDefault="00DA7E2F" w:rsidP="004C232A">
          <w:pPr>
            <w:pStyle w:val="TDC1"/>
            <w:ind w:left="268" w:firstLine="440"/>
            <w:rPr>
              <w:rFonts w:ascii="Palatino Linotype" w:hAnsi="Palatino Linotype"/>
              <w:noProof/>
              <w:sz w:val="22"/>
              <w:szCs w:val="22"/>
              <w:lang w:val="es-MX" w:eastAsia="es-MX"/>
            </w:rPr>
          </w:pPr>
          <w:r w:rsidRPr="00D707F7">
            <w:rPr>
              <w:rFonts w:ascii="Palatino Linotype" w:eastAsiaTheme="majorEastAsia" w:hAnsi="Palatino Linotype" w:cstheme="majorBidi"/>
              <w:b/>
              <w:lang w:val="es-MX" w:eastAsia="es-MX"/>
            </w:rPr>
            <w:fldChar w:fldCharType="begin"/>
          </w:r>
          <w:r w:rsidRPr="00D707F7">
            <w:rPr>
              <w:rFonts w:ascii="Palatino Linotype" w:hAnsi="Palatino Linotype"/>
              <w:b/>
            </w:rPr>
            <w:instrText xml:space="preserve"> TOC \o "1-3" \h \z \u </w:instrText>
          </w:r>
          <w:r w:rsidRPr="00D707F7">
            <w:rPr>
              <w:rFonts w:ascii="Palatino Linotype" w:eastAsiaTheme="majorEastAsia" w:hAnsi="Palatino Linotype" w:cstheme="majorBidi"/>
              <w:b/>
              <w:lang w:val="es-MX" w:eastAsia="es-MX"/>
            </w:rPr>
            <w:fldChar w:fldCharType="separate"/>
          </w:r>
          <w:hyperlink w:anchor="_Toc51457381" w:history="1">
            <w:r w:rsidR="00E71F29" w:rsidRPr="004C232A">
              <w:rPr>
                <w:rStyle w:val="Hipervnculo"/>
                <w:rFonts w:ascii="Palatino Linotype" w:hAnsi="Palatino Linotype"/>
                <w:b/>
                <w:noProof/>
              </w:rPr>
              <w:t>ANTECEDENTES</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_Toc51457381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4</w:t>
            </w:r>
            <w:r w:rsidR="00E71F29" w:rsidRPr="004C232A">
              <w:rPr>
                <w:rFonts w:ascii="Palatino Linotype" w:hAnsi="Palatino Linotype"/>
                <w:noProof/>
                <w:webHidden/>
              </w:rPr>
              <w:fldChar w:fldCharType="end"/>
            </w:r>
          </w:hyperlink>
        </w:p>
        <w:p w14:paraId="7AF469FA" w14:textId="6F262B22" w:rsidR="00E71F29" w:rsidRPr="004C232A" w:rsidRDefault="00407D12">
          <w:pPr>
            <w:pStyle w:val="TDC1"/>
            <w:rPr>
              <w:rFonts w:ascii="Palatino Linotype" w:hAnsi="Palatino Linotype"/>
              <w:noProof/>
              <w:sz w:val="22"/>
              <w:szCs w:val="22"/>
              <w:lang w:val="es-MX" w:eastAsia="es-MX"/>
            </w:rPr>
          </w:pPr>
          <w:hyperlink w:anchor="_Toc51457384" w:history="1">
            <w:r w:rsidR="00E71F29" w:rsidRPr="004C232A">
              <w:rPr>
                <w:rStyle w:val="Hipervnculo"/>
                <w:rFonts w:ascii="Palatino Linotype" w:hAnsi="Palatino Linotype"/>
                <w:b/>
                <w:noProof/>
              </w:rPr>
              <w:t>CONSIDERANDO</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_Toc51457384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11</w:t>
            </w:r>
            <w:r w:rsidR="00E71F29" w:rsidRPr="004C232A">
              <w:rPr>
                <w:rFonts w:ascii="Palatino Linotype" w:hAnsi="Palatino Linotype"/>
                <w:noProof/>
                <w:webHidden/>
              </w:rPr>
              <w:fldChar w:fldCharType="end"/>
            </w:r>
          </w:hyperlink>
        </w:p>
        <w:p w14:paraId="0D929E59" w14:textId="236F68C9" w:rsidR="00E71F29" w:rsidRPr="004C232A" w:rsidRDefault="00407D12">
          <w:pPr>
            <w:pStyle w:val="TDC2"/>
            <w:rPr>
              <w:rFonts w:ascii="Palatino Linotype" w:hAnsi="Palatino Linotype"/>
              <w:noProof/>
              <w:sz w:val="22"/>
              <w:szCs w:val="22"/>
              <w:lang w:val="es-MX" w:eastAsia="es-MX"/>
            </w:rPr>
          </w:pPr>
          <w:hyperlink w:anchor="_Toc51457385" w:history="1">
            <w:r w:rsidR="00E71F29" w:rsidRPr="004C232A">
              <w:rPr>
                <w:rStyle w:val="Hipervnculo"/>
                <w:rFonts w:ascii="Palatino Linotype" w:hAnsi="Palatino Linotype"/>
                <w:b/>
                <w:noProof/>
              </w:rPr>
              <w:t>PRIMERO. De la competencia</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_Toc51457385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11</w:t>
            </w:r>
            <w:r w:rsidR="00E71F29" w:rsidRPr="004C232A">
              <w:rPr>
                <w:rFonts w:ascii="Palatino Linotype" w:hAnsi="Palatino Linotype"/>
                <w:noProof/>
                <w:webHidden/>
              </w:rPr>
              <w:fldChar w:fldCharType="end"/>
            </w:r>
          </w:hyperlink>
        </w:p>
        <w:p w14:paraId="4CD17FFE" w14:textId="0408B30A" w:rsidR="00E71F29" w:rsidRPr="004C232A" w:rsidRDefault="00407D12">
          <w:pPr>
            <w:pStyle w:val="TDC2"/>
            <w:rPr>
              <w:rFonts w:ascii="Palatino Linotype" w:hAnsi="Palatino Linotype"/>
              <w:noProof/>
              <w:sz w:val="22"/>
              <w:szCs w:val="22"/>
              <w:lang w:val="es-MX" w:eastAsia="es-MX"/>
            </w:rPr>
          </w:pPr>
          <w:hyperlink w:anchor="_Toc51457386" w:history="1">
            <w:r w:rsidR="00E71F29" w:rsidRPr="004C232A">
              <w:rPr>
                <w:rStyle w:val="Hipervnculo"/>
                <w:rFonts w:ascii="Palatino Linotype" w:hAnsi="Palatino Linotype"/>
                <w:b/>
                <w:noProof/>
              </w:rPr>
              <w:t>SEGUNDO. De la oportunidad y procedencia.</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_Toc51457386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12</w:t>
            </w:r>
            <w:r w:rsidR="00E71F29" w:rsidRPr="004C232A">
              <w:rPr>
                <w:rFonts w:ascii="Palatino Linotype" w:hAnsi="Palatino Linotype"/>
                <w:noProof/>
                <w:webHidden/>
              </w:rPr>
              <w:fldChar w:fldCharType="end"/>
            </w:r>
          </w:hyperlink>
        </w:p>
        <w:p w14:paraId="1C280DF0" w14:textId="2DCD0119" w:rsidR="00E71F29" w:rsidRPr="004C232A" w:rsidRDefault="00407D12">
          <w:pPr>
            <w:pStyle w:val="TDC1"/>
            <w:rPr>
              <w:rFonts w:ascii="Palatino Linotype" w:hAnsi="Palatino Linotype"/>
              <w:noProof/>
              <w:sz w:val="22"/>
              <w:szCs w:val="22"/>
              <w:lang w:val="es-MX" w:eastAsia="es-MX"/>
            </w:rPr>
          </w:pPr>
          <w:hyperlink w:anchor="_Toc51457387" w:history="1">
            <w:r w:rsidR="00E71F29" w:rsidRPr="004C232A">
              <w:rPr>
                <w:rStyle w:val="Hipervnculo"/>
                <w:rFonts w:ascii="Palatino Linotype" w:hAnsi="Palatino Linotype"/>
                <w:b/>
                <w:noProof/>
              </w:rPr>
              <w:t xml:space="preserve">TERCERO. Del planteamiento de la </w:t>
            </w:r>
            <w:r w:rsidR="00E71F29" w:rsidRPr="004C232A">
              <w:rPr>
                <w:rStyle w:val="Hipervnculo"/>
                <w:rFonts w:ascii="Palatino Linotype" w:hAnsi="Palatino Linotype"/>
                <w:b/>
                <w:i/>
                <w:noProof/>
              </w:rPr>
              <w:t>Litis</w:t>
            </w:r>
            <w:r w:rsidR="00E71F29" w:rsidRPr="004C232A">
              <w:rPr>
                <w:rStyle w:val="Hipervnculo"/>
                <w:rFonts w:ascii="Palatino Linotype" w:hAnsi="Palatino Linotype"/>
                <w:b/>
                <w:noProof/>
              </w:rPr>
              <w:t>.</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_Toc51457387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13</w:t>
            </w:r>
            <w:r w:rsidR="00E71F29" w:rsidRPr="004C232A">
              <w:rPr>
                <w:rFonts w:ascii="Palatino Linotype" w:hAnsi="Palatino Linotype"/>
                <w:noProof/>
                <w:webHidden/>
              </w:rPr>
              <w:fldChar w:fldCharType="end"/>
            </w:r>
          </w:hyperlink>
        </w:p>
        <w:p w14:paraId="47AB81C9" w14:textId="71A5FC81" w:rsidR="00E71F29" w:rsidRPr="004C232A" w:rsidRDefault="00407D12">
          <w:pPr>
            <w:pStyle w:val="TDC2"/>
            <w:rPr>
              <w:rFonts w:ascii="Palatino Linotype" w:hAnsi="Palatino Linotype"/>
              <w:noProof/>
              <w:sz w:val="22"/>
              <w:szCs w:val="22"/>
              <w:lang w:val="es-MX" w:eastAsia="es-MX"/>
            </w:rPr>
          </w:pPr>
          <w:hyperlink w:anchor="_Toc51457388" w:history="1">
            <w:r w:rsidR="00E71F29" w:rsidRPr="004C232A">
              <w:rPr>
                <w:rStyle w:val="Hipervnculo"/>
                <w:rFonts w:ascii="Palatino Linotype" w:hAnsi="Palatino Linotype"/>
                <w:b/>
                <w:noProof/>
              </w:rPr>
              <w:t>CUARTO. Del estudio y resolución del asunto.</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_Toc51457388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14</w:t>
            </w:r>
            <w:r w:rsidR="00E71F29" w:rsidRPr="004C232A">
              <w:rPr>
                <w:rFonts w:ascii="Palatino Linotype" w:hAnsi="Palatino Linotype"/>
                <w:noProof/>
                <w:webHidden/>
              </w:rPr>
              <w:fldChar w:fldCharType="end"/>
            </w:r>
          </w:hyperlink>
        </w:p>
        <w:p w14:paraId="199ECE71" w14:textId="0A9A9412" w:rsidR="00E71F29" w:rsidRPr="004C232A" w:rsidRDefault="00407D12">
          <w:pPr>
            <w:pStyle w:val="TDC1"/>
            <w:tabs>
              <w:tab w:val="left" w:pos="1100"/>
            </w:tabs>
            <w:rPr>
              <w:rFonts w:ascii="Palatino Linotype" w:hAnsi="Palatino Linotype"/>
              <w:noProof/>
              <w:sz w:val="22"/>
              <w:szCs w:val="22"/>
              <w:lang w:val="es-MX" w:eastAsia="es-MX"/>
            </w:rPr>
          </w:pPr>
          <w:hyperlink w:anchor="_Toc51457389" w:history="1">
            <w:r w:rsidR="00E71F29" w:rsidRPr="004C232A">
              <w:rPr>
                <w:rStyle w:val="Hipervnculo"/>
                <w:rFonts w:ascii="Palatino Linotype" w:eastAsia="MS Gothic" w:hAnsi="Palatino Linotype" w:cstheme="majorBidi"/>
                <w:b/>
                <w:noProof/>
              </w:rPr>
              <w:t>I.</w:t>
            </w:r>
            <w:r w:rsidR="00E71F29" w:rsidRPr="004C232A">
              <w:rPr>
                <w:rFonts w:ascii="Palatino Linotype" w:hAnsi="Palatino Linotype"/>
                <w:noProof/>
                <w:sz w:val="22"/>
                <w:szCs w:val="22"/>
                <w:lang w:val="es-MX" w:eastAsia="es-MX"/>
              </w:rPr>
              <w:tab/>
            </w:r>
            <w:r w:rsidR="00E71F29" w:rsidRPr="004C232A">
              <w:rPr>
                <w:rStyle w:val="Hipervnculo"/>
                <w:rFonts w:ascii="Palatino Linotype" w:eastAsia="MS Gothic" w:hAnsi="Palatino Linotype" w:cstheme="majorBidi"/>
                <w:b/>
                <w:noProof/>
              </w:rPr>
              <w:t>De la modalidad de entrega de la información solicitada.</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_Toc51457389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17</w:t>
            </w:r>
            <w:r w:rsidR="00E71F29" w:rsidRPr="004C232A">
              <w:rPr>
                <w:rFonts w:ascii="Palatino Linotype" w:hAnsi="Palatino Linotype"/>
                <w:noProof/>
                <w:webHidden/>
              </w:rPr>
              <w:fldChar w:fldCharType="end"/>
            </w:r>
          </w:hyperlink>
        </w:p>
        <w:p w14:paraId="7C629765" w14:textId="170CD165" w:rsidR="00E71F29" w:rsidRPr="004C232A" w:rsidRDefault="00407D12">
          <w:pPr>
            <w:pStyle w:val="TDC1"/>
            <w:tabs>
              <w:tab w:val="left" w:pos="1320"/>
            </w:tabs>
            <w:rPr>
              <w:rFonts w:ascii="Palatino Linotype" w:hAnsi="Palatino Linotype"/>
              <w:noProof/>
              <w:sz w:val="22"/>
              <w:szCs w:val="22"/>
              <w:lang w:val="es-MX" w:eastAsia="es-MX"/>
            </w:rPr>
          </w:pPr>
          <w:hyperlink w:anchor="_Toc51457390" w:history="1">
            <w:r w:rsidR="00E71F29" w:rsidRPr="004C232A">
              <w:rPr>
                <w:rStyle w:val="Hipervnculo"/>
                <w:rFonts w:ascii="Palatino Linotype" w:eastAsia="MS Gothic" w:hAnsi="Palatino Linotype" w:cstheme="majorBidi"/>
                <w:b/>
                <w:noProof/>
              </w:rPr>
              <w:t>a)</w:t>
            </w:r>
            <w:r w:rsidR="00E71F29" w:rsidRPr="004C232A">
              <w:rPr>
                <w:rFonts w:ascii="Palatino Linotype" w:hAnsi="Palatino Linotype"/>
                <w:noProof/>
                <w:sz w:val="22"/>
                <w:szCs w:val="22"/>
                <w:lang w:val="es-MX" w:eastAsia="es-MX"/>
              </w:rPr>
              <w:tab/>
            </w:r>
            <w:r w:rsidR="00E71F29" w:rsidRPr="004C232A">
              <w:rPr>
                <w:rStyle w:val="Hipervnculo"/>
                <w:rFonts w:ascii="Palatino Linotype" w:eastAsia="MS Gothic" w:hAnsi="Palatino Linotype" w:cstheme="majorBidi"/>
                <w:b/>
                <w:noProof/>
              </w:rPr>
              <w:t>De las capacidades técnicas.</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_Toc51457390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19</w:t>
            </w:r>
            <w:r w:rsidR="00E71F29" w:rsidRPr="004C232A">
              <w:rPr>
                <w:rFonts w:ascii="Palatino Linotype" w:hAnsi="Palatino Linotype"/>
                <w:noProof/>
                <w:webHidden/>
              </w:rPr>
              <w:fldChar w:fldCharType="end"/>
            </w:r>
          </w:hyperlink>
        </w:p>
        <w:p w14:paraId="6D56EF6E" w14:textId="1761D6FD" w:rsidR="00E71F29" w:rsidRPr="004C232A" w:rsidRDefault="00407D12">
          <w:pPr>
            <w:pStyle w:val="TDC1"/>
            <w:tabs>
              <w:tab w:val="left" w:pos="1320"/>
            </w:tabs>
            <w:rPr>
              <w:rFonts w:ascii="Palatino Linotype" w:hAnsi="Palatino Linotype"/>
              <w:noProof/>
              <w:sz w:val="22"/>
              <w:szCs w:val="22"/>
              <w:lang w:val="es-MX" w:eastAsia="es-MX"/>
            </w:rPr>
          </w:pPr>
          <w:hyperlink w:anchor="_Toc51457391" w:history="1">
            <w:r w:rsidR="00E71F29" w:rsidRPr="004C232A">
              <w:rPr>
                <w:rStyle w:val="Hipervnculo"/>
                <w:rFonts w:ascii="Palatino Linotype" w:eastAsia="MS Gothic" w:hAnsi="Palatino Linotype" w:cstheme="majorBidi"/>
                <w:b/>
                <w:noProof/>
              </w:rPr>
              <w:t>b)</w:t>
            </w:r>
            <w:r w:rsidR="00E71F29" w:rsidRPr="004C232A">
              <w:rPr>
                <w:rFonts w:ascii="Palatino Linotype" w:hAnsi="Palatino Linotype"/>
                <w:noProof/>
                <w:sz w:val="22"/>
                <w:szCs w:val="22"/>
                <w:lang w:val="es-MX" w:eastAsia="es-MX"/>
              </w:rPr>
              <w:tab/>
            </w:r>
            <w:r w:rsidR="00E71F29" w:rsidRPr="004C232A">
              <w:rPr>
                <w:rStyle w:val="Hipervnculo"/>
                <w:rFonts w:ascii="Palatino Linotype" w:eastAsia="MS Gothic" w:hAnsi="Palatino Linotype" w:cstheme="majorBidi"/>
                <w:b/>
                <w:noProof/>
              </w:rPr>
              <w:t>De las capacidades administrativas.</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_Toc51457391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21</w:t>
            </w:r>
            <w:r w:rsidR="00E71F29" w:rsidRPr="004C232A">
              <w:rPr>
                <w:rFonts w:ascii="Palatino Linotype" w:hAnsi="Palatino Linotype"/>
                <w:noProof/>
                <w:webHidden/>
              </w:rPr>
              <w:fldChar w:fldCharType="end"/>
            </w:r>
          </w:hyperlink>
        </w:p>
        <w:p w14:paraId="3B2C44F9" w14:textId="446A2ACC" w:rsidR="00E71F29" w:rsidRPr="004C232A" w:rsidRDefault="00407D12">
          <w:pPr>
            <w:pStyle w:val="TDC1"/>
            <w:tabs>
              <w:tab w:val="left" w:pos="1320"/>
            </w:tabs>
            <w:rPr>
              <w:rFonts w:ascii="Palatino Linotype" w:hAnsi="Palatino Linotype"/>
              <w:noProof/>
              <w:sz w:val="22"/>
              <w:szCs w:val="22"/>
              <w:lang w:val="es-MX" w:eastAsia="es-MX"/>
            </w:rPr>
          </w:pPr>
          <w:hyperlink w:anchor="_Toc51457392" w:history="1">
            <w:r w:rsidR="00E71F29" w:rsidRPr="004C232A">
              <w:rPr>
                <w:rStyle w:val="Hipervnculo"/>
                <w:rFonts w:ascii="Palatino Linotype" w:eastAsia="MS Gothic" w:hAnsi="Palatino Linotype" w:cstheme="majorBidi"/>
                <w:b/>
                <w:noProof/>
              </w:rPr>
              <w:t>c)</w:t>
            </w:r>
            <w:r w:rsidR="00E71F29" w:rsidRPr="004C232A">
              <w:rPr>
                <w:rFonts w:ascii="Palatino Linotype" w:hAnsi="Palatino Linotype"/>
                <w:noProof/>
                <w:sz w:val="22"/>
                <w:szCs w:val="22"/>
                <w:lang w:val="es-MX" w:eastAsia="es-MX"/>
              </w:rPr>
              <w:tab/>
            </w:r>
            <w:r w:rsidR="00E71F29" w:rsidRPr="004C232A">
              <w:rPr>
                <w:rStyle w:val="Hipervnculo"/>
                <w:rFonts w:ascii="Palatino Linotype" w:eastAsia="MS Gothic" w:hAnsi="Palatino Linotype" w:cstheme="majorBidi"/>
                <w:b/>
                <w:noProof/>
              </w:rPr>
              <w:t>De las capacidades humanas.</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_Toc51457392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23</w:t>
            </w:r>
            <w:r w:rsidR="00E71F29" w:rsidRPr="004C232A">
              <w:rPr>
                <w:rFonts w:ascii="Palatino Linotype" w:hAnsi="Palatino Linotype"/>
                <w:noProof/>
                <w:webHidden/>
              </w:rPr>
              <w:fldChar w:fldCharType="end"/>
            </w:r>
          </w:hyperlink>
        </w:p>
        <w:p w14:paraId="2C5EE198" w14:textId="57C09145" w:rsidR="00E71F29" w:rsidRPr="004C232A" w:rsidRDefault="00407D12">
          <w:pPr>
            <w:pStyle w:val="TDC1"/>
            <w:rPr>
              <w:rFonts w:ascii="Palatino Linotype" w:hAnsi="Palatino Linotype"/>
              <w:noProof/>
              <w:sz w:val="22"/>
              <w:szCs w:val="22"/>
              <w:lang w:val="es-MX" w:eastAsia="es-MX"/>
            </w:rPr>
          </w:pPr>
          <w:hyperlink w:anchor="_Toc51457393" w:history="1">
            <w:r w:rsidR="00E71F29" w:rsidRPr="004C232A">
              <w:rPr>
                <w:rStyle w:val="Hipervnculo"/>
                <w:rFonts w:ascii="Palatino Linotype" w:eastAsia="Calibri" w:hAnsi="Palatino Linotype"/>
                <w:b/>
                <w:noProof/>
                <w:lang w:val="es-ES"/>
              </w:rPr>
              <w:t>R E S O L U T I V O S</w:t>
            </w:r>
            <w:r w:rsidR="00E71F29" w:rsidRPr="004C232A">
              <w:rPr>
                <w:rFonts w:ascii="Palatino Linotype" w:hAnsi="Palatino Linotype"/>
                <w:noProof/>
                <w:webHidden/>
              </w:rPr>
              <w:tab/>
            </w:r>
            <w:r w:rsidR="00E71F29" w:rsidRPr="004C232A">
              <w:rPr>
                <w:rFonts w:ascii="Palatino Linotype" w:hAnsi="Palatino Linotype"/>
                <w:noProof/>
                <w:webHidden/>
              </w:rPr>
              <w:fldChar w:fldCharType="begin"/>
            </w:r>
            <w:r w:rsidR="00E71F29" w:rsidRPr="004C232A">
              <w:rPr>
                <w:rFonts w:ascii="Palatino Linotype" w:hAnsi="Palatino Linotype"/>
                <w:noProof/>
                <w:webHidden/>
              </w:rPr>
              <w:instrText xml:space="preserve"> PAGEREF _Toc51457393 \h </w:instrText>
            </w:r>
            <w:r w:rsidR="00E71F29" w:rsidRPr="004C232A">
              <w:rPr>
                <w:rFonts w:ascii="Palatino Linotype" w:hAnsi="Palatino Linotype"/>
                <w:noProof/>
                <w:webHidden/>
              </w:rPr>
            </w:r>
            <w:r w:rsidR="00E71F29" w:rsidRPr="004C232A">
              <w:rPr>
                <w:rFonts w:ascii="Palatino Linotype" w:hAnsi="Palatino Linotype"/>
                <w:noProof/>
                <w:webHidden/>
              </w:rPr>
              <w:fldChar w:fldCharType="separate"/>
            </w:r>
            <w:r w:rsidR="00E16F58">
              <w:rPr>
                <w:rFonts w:ascii="Palatino Linotype" w:hAnsi="Palatino Linotype"/>
                <w:noProof/>
                <w:webHidden/>
              </w:rPr>
              <w:t>37</w:t>
            </w:r>
            <w:r w:rsidR="00E71F29" w:rsidRPr="004C232A">
              <w:rPr>
                <w:rFonts w:ascii="Palatino Linotype" w:hAnsi="Palatino Linotype"/>
                <w:noProof/>
                <w:webHidden/>
              </w:rPr>
              <w:fldChar w:fldCharType="end"/>
            </w:r>
          </w:hyperlink>
        </w:p>
        <w:p w14:paraId="2416AEAB" w14:textId="278C6709" w:rsidR="00100B8B" w:rsidRPr="00D707F7" w:rsidRDefault="00DA7E2F" w:rsidP="00C91E6F">
          <w:pPr>
            <w:spacing w:line="480" w:lineRule="auto"/>
            <w:rPr>
              <w:rFonts w:ascii="Palatino Linotype" w:hAnsi="Palatino Linotype"/>
            </w:rPr>
          </w:pPr>
          <w:r w:rsidRPr="00D707F7">
            <w:rPr>
              <w:rFonts w:ascii="Palatino Linotype" w:hAnsi="Palatino Linotype"/>
              <w:b/>
              <w:bCs/>
              <w:lang w:val="es-ES"/>
            </w:rPr>
            <w:fldChar w:fldCharType="end"/>
          </w:r>
        </w:p>
      </w:sdtContent>
    </w:sdt>
    <w:p w14:paraId="18E6F21E" w14:textId="77777777" w:rsidR="00A206F7" w:rsidRPr="00D707F7" w:rsidRDefault="00A206F7" w:rsidP="00440800">
      <w:pPr>
        <w:tabs>
          <w:tab w:val="left" w:pos="3465"/>
        </w:tabs>
        <w:spacing w:before="240" w:after="360" w:line="360" w:lineRule="auto"/>
        <w:jc w:val="both"/>
        <w:rPr>
          <w:rFonts w:ascii="Palatino Linotype" w:hAnsi="Palatino Linotype"/>
        </w:rPr>
      </w:pPr>
    </w:p>
    <w:p w14:paraId="73F7F940" w14:textId="6CBA38F0" w:rsidR="00662C69" w:rsidRPr="00D707F7" w:rsidRDefault="009B11D6" w:rsidP="00440800">
      <w:pPr>
        <w:tabs>
          <w:tab w:val="left" w:pos="3465"/>
        </w:tabs>
        <w:spacing w:before="240" w:after="360" w:line="360" w:lineRule="auto"/>
        <w:jc w:val="both"/>
        <w:rPr>
          <w:rFonts w:ascii="Palatino Linotype" w:hAnsi="Palatino Linotype"/>
        </w:rPr>
      </w:pPr>
      <w:r w:rsidRPr="00D707F7">
        <w:rPr>
          <w:rFonts w:ascii="Palatino Linotype" w:hAnsi="Palatino Linotype"/>
        </w:rPr>
        <w:t>R</w:t>
      </w:r>
      <w:r w:rsidR="00662C69" w:rsidRPr="00D707F7">
        <w:rPr>
          <w:rFonts w:ascii="Palatino Linotype" w:hAnsi="Palatino Linotype"/>
        </w:rPr>
        <w:t>esolución del Pleno del Instituto de Transparencia, Acceso a la Información Pública y Protección de Datos Personales del Estado de México y Mun</w:t>
      </w:r>
      <w:r w:rsidR="000D5A1D" w:rsidRPr="00D707F7">
        <w:rPr>
          <w:rFonts w:ascii="Palatino Linotype" w:hAnsi="Palatino Linotype"/>
        </w:rPr>
        <w:t>icipios, con</w:t>
      </w:r>
      <w:r w:rsidR="00662C69" w:rsidRPr="00D707F7">
        <w:rPr>
          <w:rFonts w:ascii="Palatino Linotype" w:hAnsi="Palatino Linotype"/>
        </w:rPr>
        <w:t xml:space="preserve"> </w:t>
      </w:r>
      <w:r w:rsidR="00485DB6" w:rsidRPr="00D707F7">
        <w:rPr>
          <w:rFonts w:ascii="Palatino Linotype" w:hAnsi="Palatino Linotype"/>
        </w:rPr>
        <w:t xml:space="preserve">domicilio </w:t>
      </w:r>
      <w:r w:rsidR="00662C69" w:rsidRPr="00D707F7">
        <w:rPr>
          <w:rFonts w:ascii="Palatino Linotype" w:hAnsi="Palatino Linotype"/>
        </w:rPr>
        <w:t xml:space="preserve">en </w:t>
      </w:r>
      <w:r w:rsidR="00AC22B5" w:rsidRPr="00D707F7">
        <w:rPr>
          <w:rFonts w:ascii="Palatino Linotype" w:hAnsi="Palatino Linotype"/>
        </w:rPr>
        <w:t>Metepec</w:t>
      </w:r>
      <w:r w:rsidR="00662C69" w:rsidRPr="00D707F7">
        <w:rPr>
          <w:rFonts w:ascii="Palatino Linotype" w:hAnsi="Palatino Linotype"/>
        </w:rPr>
        <w:t xml:space="preserve">, Estado de México; de </w:t>
      </w:r>
      <w:r w:rsidR="000D5A1D" w:rsidRPr="00D707F7">
        <w:rPr>
          <w:rFonts w:ascii="Palatino Linotype" w:hAnsi="Palatino Linotype"/>
        </w:rPr>
        <w:t xml:space="preserve">fecha </w:t>
      </w:r>
      <w:r w:rsidR="00E74FED" w:rsidRPr="00A33176">
        <w:rPr>
          <w:rFonts w:ascii="Palatino Linotype" w:hAnsi="Palatino Linotype"/>
        </w:rPr>
        <w:t>treinta</w:t>
      </w:r>
      <w:r w:rsidR="00100B8B" w:rsidRPr="00A33176">
        <w:rPr>
          <w:rFonts w:ascii="Palatino Linotype" w:hAnsi="Palatino Linotype"/>
        </w:rPr>
        <w:t xml:space="preserve"> </w:t>
      </w:r>
      <w:r w:rsidR="00662C69" w:rsidRPr="00A33176">
        <w:rPr>
          <w:rFonts w:ascii="Palatino Linotype" w:hAnsi="Palatino Linotype"/>
        </w:rPr>
        <w:t>(</w:t>
      </w:r>
      <w:r w:rsidR="00E74FED" w:rsidRPr="00A33176">
        <w:rPr>
          <w:rFonts w:ascii="Palatino Linotype" w:hAnsi="Palatino Linotype"/>
        </w:rPr>
        <w:t>30</w:t>
      </w:r>
      <w:r w:rsidR="00662C69" w:rsidRPr="00A33176">
        <w:rPr>
          <w:rFonts w:ascii="Palatino Linotype" w:hAnsi="Palatino Linotype"/>
        </w:rPr>
        <w:t xml:space="preserve">) de </w:t>
      </w:r>
      <w:r w:rsidR="00724602" w:rsidRPr="00A33176">
        <w:rPr>
          <w:rFonts w:ascii="Palatino Linotype" w:hAnsi="Palatino Linotype"/>
        </w:rPr>
        <w:t>septiembre</w:t>
      </w:r>
      <w:r w:rsidR="001E74A5" w:rsidRPr="00A33176">
        <w:rPr>
          <w:rFonts w:ascii="Palatino Linotype" w:hAnsi="Palatino Linotype"/>
        </w:rPr>
        <w:t xml:space="preserve"> </w:t>
      </w:r>
      <w:r w:rsidR="00662C69" w:rsidRPr="00A33176">
        <w:rPr>
          <w:rFonts w:ascii="Palatino Linotype" w:hAnsi="Palatino Linotype"/>
        </w:rPr>
        <w:t xml:space="preserve">de dos mil </w:t>
      </w:r>
      <w:r w:rsidR="00222AAA" w:rsidRPr="00A33176">
        <w:rPr>
          <w:rFonts w:ascii="Palatino Linotype" w:hAnsi="Palatino Linotype"/>
        </w:rPr>
        <w:t>veinte</w:t>
      </w:r>
      <w:r w:rsidR="00662C69" w:rsidRPr="00A33176">
        <w:rPr>
          <w:rFonts w:ascii="Palatino Linotype" w:hAnsi="Palatino Linotype"/>
        </w:rPr>
        <w:t>.</w:t>
      </w:r>
    </w:p>
    <w:p w14:paraId="02C1324E" w14:textId="3ECD3F8E" w:rsidR="00662C69" w:rsidRPr="00D707F7" w:rsidRDefault="00662C69" w:rsidP="001E74A5">
      <w:pPr>
        <w:spacing w:before="240" w:after="360" w:line="360" w:lineRule="auto"/>
        <w:jc w:val="both"/>
        <w:rPr>
          <w:rFonts w:ascii="Palatino Linotype" w:hAnsi="Palatino Linotype"/>
          <w:b/>
        </w:rPr>
      </w:pPr>
      <w:r w:rsidRPr="00D707F7">
        <w:rPr>
          <w:rFonts w:ascii="Palatino Linotype" w:hAnsi="Palatino Linotype"/>
          <w:b/>
        </w:rPr>
        <w:t>VISTO</w:t>
      </w:r>
      <w:r w:rsidR="00EE0FC1">
        <w:rPr>
          <w:rFonts w:ascii="Palatino Linotype" w:hAnsi="Palatino Linotype"/>
          <w:b/>
        </w:rPr>
        <w:t>S</w:t>
      </w:r>
      <w:r w:rsidR="00E74FED">
        <w:rPr>
          <w:rFonts w:ascii="Palatino Linotype" w:hAnsi="Palatino Linotype"/>
        </w:rPr>
        <w:t xml:space="preserve"> los</w:t>
      </w:r>
      <w:r w:rsidRPr="00D707F7">
        <w:rPr>
          <w:rFonts w:ascii="Palatino Linotype" w:hAnsi="Palatino Linotype"/>
        </w:rPr>
        <w:t xml:space="preserve"> expediente</w:t>
      </w:r>
      <w:r w:rsidR="00E74FED">
        <w:rPr>
          <w:rFonts w:ascii="Palatino Linotype" w:hAnsi="Palatino Linotype"/>
        </w:rPr>
        <w:t>s</w:t>
      </w:r>
      <w:r w:rsidRPr="00D707F7">
        <w:rPr>
          <w:rFonts w:ascii="Palatino Linotype" w:hAnsi="Palatino Linotype"/>
        </w:rPr>
        <w:t xml:space="preserve"> electrónico</w:t>
      </w:r>
      <w:r w:rsidR="00E74FED">
        <w:rPr>
          <w:rFonts w:ascii="Palatino Linotype" w:hAnsi="Palatino Linotype"/>
        </w:rPr>
        <w:t>s</w:t>
      </w:r>
      <w:r w:rsidRPr="00D707F7">
        <w:rPr>
          <w:rFonts w:ascii="Palatino Linotype" w:hAnsi="Palatino Linotype"/>
        </w:rPr>
        <w:t xml:space="preserve"> for</w:t>
      </w:r>
      <w:r w:rsidR="00D37494" w:rsidRPr="00D707F7">
        <w:rPr>
          <w:rFonts w:ascii="Palatino Linotype" w:hAnsi="Palatino Linotype"/>
        </w:rPr>
        <w:t>mado</w:t>
      </w:r>
      <w:r w:rsidR="00E74FED">
        <w:rPr>
          <w:rFonts w:ascii="Palatino Linotype" w:hAnsi="Palatino Linotype"/>
        </w:rPr>
        <w:t>s</w:t>
      </w:r>
      <w:r w:rsidR="00D37494" w:rsidRPr="00D707F7">
        <w:rPr>
          <w:rFonts w:ascii="Palatino Linotype" w:hAnsi="Palatino Linotype"/>
        </w:rPr>
        <w:t xml:space="preserve"> con motivo de</w:t>
      </w:r>
      <w:r w:rsidR="00184266">
        <w:rPr>
          <w:rFonts w:ascii="Palatino Linotype" w:hAnsi="Palatino Linotype"/>
        </w:rPr>
        <w:t xml:space="preserve"> </w:t>
      </w:r>
      <w:r w:rsidR="00D37494" w:rsidRPr="00D707F7">
        <w:rPr>
          <w:rFonts w:ascii="Palatino Linotype" w:hAnsi="Palatino Linotype"/>
        </w:rPr>
        <w:t>l</w:t>
      </w:r>
      <w:r w:rsidR="00184266">
        <w:rPr>
          <w:rFonts w:ascii="Palatino Linotype" w:hAnsi="Palatino Linotype"/>
        </w:rPr>
        <w:t>os</w:t>
      </w:r>
      <w:r w:rsidRPr="00D707F7">
        <w:rPr>
          <w:rFonts w:ascii="Palatino Linotype" w:hAnsi="Palatino Linotype"/>
        </w:rPr>
        <w:t xml:space="preserve"> recurso</w:t>
      </w:r>
      <w:r w:rsidR="00E74FED">
        <w:rPr>
          <w:rFonts w:ascii="Palatino Linotype" w:hAnsi="Palatino Linotype"/>
        </w:rPr>
        <w:t>s</w:t>
      </w:r>
      <w:r w:rsidRPr="00D707F7">
        <w:rPr>
          <w:rFonts w:ascii="Palatino Linotype" w:hAnsi="Palatino Linotype"/>
        </w:rPr>
        <w:t xml:space="preserve"> de revisión </w:t>
      </w:r>
      <w:r w:rsidR="00184266">
        <w:rPr>
          <w:rFonts w:ascii="Palatino Linotype" w:hAnsi="Palatino Linotype"/>
        </w:rPr>
        <w:t xml:space="preserve">acumulados </w:t>
      </w:r>
      <w:r w:rsidR="00724602">
        <w:rPr>
          <w:rFonts w:ascii="Palatino Linotype" w:hAnsi="Palatino Linotype"/>
          <w:b/>
        </w:rPr>
        <w:t>02</w:t>
      </w:r>
      <w:r w:rsidR="00EE0FC1">
        <w:rPr>
          <w:rFonts w:ascii="Palatino Linotype" w:hAnsi="Palatino Linotype"/>
          <w:b/>
        </w:rPr>
        <w:t>68</w:t>
      </w:r>
      <w:r w:rsidR="00E74FED">
        <w:rPr>
          <w:rFonts w:ascii="Palatino Linotype" w:hAnsi="Palatino Linotype"/>
          <w:b/>
        </w:rPr>
        <w:t>3</w:t>
      </w:r>
      <w:r w:rsidR="00184266" w:rsidRPr="00184266">
        <w:rPr>
          <w:rFonts w:ascii="Palatino Linotype" w:hAnsi="Palatino Linotype"/>
          <w:b/>
        </w:rPr>
        <w:t>/INFOEM/IP/RR/2020, 0</w:t>
      </w:r>
      <w:r w:rsidR="00092198">
        <w:rPr>
          <w:rFonts w:ascii="Palatino Linotype" w:hAnsi="Palatino Linotype"/>
          <w:b/>
        </w:rPr>
        <w:t>2</w:t>
      </w:r>
      <w:r w:rsidR="00EE0FC1">
        <w:rPr>
          <w:rFonts w:ascii="Palatino Linotype" w:hAnsi="Palatino Linotype"/>
          <w:b/>
        </w:rPr>
        <w:t>685</w:t>
      </w:r>
      <w:r w:rsidR="00E74FED">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2766</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2768</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2770</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2771</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2772</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2774</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2775</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2777</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2778</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2779</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2781</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2782</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2784</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2785</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2786</w:t>
      </w:r>
      <w:r w:rsidR="00EE0FC1">
        <w:rPr>
          <w:rFonts w:ascii="Palatino Linotype" w:hAnsi="Palatino Linotype"/>
          <w:b/>
        </w:rPr>
        <w:t>/INFOEM/IP/RR/2020</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2838</w:t>
      </w:r>
      <w:r w:rsidR="00EE0FC1">
        <w:rPr>
          <w:rFonts w:ascii="Palatino Linotype" w:hAnsi="Palatino Linotype"/>
          <w:b/>
        </w:rPr>
        <w:t>/INFOEM/IP/RR/2020 y</w:t>
      </w:r>
      <w:r w:rsidR="00EE0FC1" w:rsidRPr="00EE0FC1">
        <w:rPr>
          <w:rFonts w:ascii="Palatino Linotype" w:hAnsi="Palatino Linotype"/>
          <w:b/>
        </w:rPr>
        <w:t xml:space="preserve"> </w:t>
      </w:r>
      <w:r w:rsidR="00EE0FC1">
        <w:rPr>
          <w:rFonts w:ascii="Palatino Linotype" w:hAnsi="Palatino Linotype"/>
          <w:b/>
        </w:rPr>
        <w:t>0</w:t>
      </w:r>
      <w:r w:rsidR="00EE0FC1" w:rsidRPr="00EE0FC1">
        <w:rPr>
          <w:rFonts w:ascii="Palatino Linotype" w:hAnsi="Palatino Linotype"/>
          <w:b/>
        </w:rPr>
        <w:t>2839</w:t>
      </w:r>
      <w:r w:rsidR="00EE0FC1">
        <w:rPr>
          <w:rFonts w:ascii="Palatino Linotype" w:hAnsi="Palatino Linotype"/>
          <w:b/>
        </w:rPr>
        <w:t>/INFOEM/IP/RR/2020</w:t>
      </w:r>
      <w:r w:rsidR="004F3DEB" w:rsidRPr="00D707F7">
        <w:rPr>
          <w:rFonts w:ascii="Palatino Linotype" w:hAnsi="Palatino Linotype"/>
          <w:b/>
        </w:rPr>
        <w:t>,</w:t>
      </w:r>
      <w:r w:rsidR="00335BFE" w:rsidRPr="00D707F7">
        <w:rPr>
          <w:rFonts w:ascii="Palatino Linotype" w:hAnsi="Palatino Linotype" w:cs="Arial"/>
          <w:b/>
          <w:bCs/>
        </w:rPr>
        <w:t xml:space="preserve"> </w:t>
      </w:r>
      <w:r w:rsidRPr="00D707F7">
        <w:rPr>
          <w:rFonts w:ascii="Palatino Linotype" w:hAnsi="Palatino Linotype"/>
        </w:rPr>
        <w:t>promovido</w:t>
      </w:r>
      <w:r w:rsidR="00184266">
        <w:rPr>
          <w:rFonts w:ascii="Palatino Linotype" w:hAnsi="Palatino Linotype"/>
        </w:rPr>
        <w:t>s</w:t>
      </w:r>
      <w:r w:rsidRPr="00D707F7">
        <w:rPr>
          <w:rFonts w:ascii="Palatino Linotype" w:hAnsi="Palatino Linotype"/>
        </w:rPr>
        <w:t xml:space="preserve"> por</w:t>
      </w:r>
      <w:r w:rsidR="00407D12">
        <w:rPr>
          <w:rFonts w:ascii="Palatino Linotype" w:hAnsi="Palatino Linotype"/>
          <w:b/>
          <w:highlight w:val="black"/>
        </w:rPr>
        <w:t>----------------------------------------------</w:t>
      </w:r>
      <w:r w:rsidR="007521DE" w:rsidRPr="00D707F7">
        <w:rPr>
          <w:rFonts w:ascii="Palatino Linotype" w:hAnsi="Palatino Linotype"/>
        </w:rPr>
        <w:t xml:space="preserve">, </w:t>
      </w:r>
      <w:r w:rsidR="0064508B" w:rsidRPr="00D707F7">
        <w:rPr>
          <w:rFonts w:ascii="Palatino Linotype" w:hAnsi="Palatino Linotype"/>
        </w:rPr>
        <w:t xml:space="preserve">a quien </w:t>
      </w:r>
      <w:r w:rsidR="00A05D06" w:rsidRPr="00D707F7">
        <w:rPr>
          <w:rFonts w:ascii="Palatino Linotype" w:hAnsi="Palatino Linotype"/>
        </w:rPr>
        <w:t xml:space="preserve">en </w:t>
      </w:r>
      <w:r w:rsidR="00E64EAF" w:rsidRPr="00D707F7">
        <w:rPr>
          <w:rFonts w:ascii="Palatino Linotype" w:hAnsi="Palatino Linotype"/>
        </w:rPr>
        <w:t>lo sucesivo</w:t>
      </w:r>
      <w:r w:rsidR="00A05D06" w:rsidRPr="00D707F7">
        <w:rPr>
          <w:rFonts w:ascii="Palatino Linotype" w:hAnsi="Palatino Linotype"/>
        </w:rPr>
        <w:t xml:space="preserve"> se </w:t>
      </w:r>
      <w:r w:rsidR="007521DE" w:rsidRPr="00D707F7">
        <w:rPr>
          <w:rFonts w:ascii="Palatino Linotype" w:hAnsi="Palatino Linotype"/>
        </w:rPr>
        <w:t xml:space="preserve">le </w:t>
      </w:r>
      <w:r w:rsidR="00A05D06" w:rsidRPr="00D707F7">
        <w:rPr>
          <w:rFonts w:ascii="Palatino Linotype" w:hAnsi="Palatino Linotype"/>
        </w:rPr>
        <w:t>identificará como</w:t>
      </w:r>
      <w:r w:rsidR="00FF0139" w:rsidRPr="00D707F7">
        <w:rPr>
          <w:rFonts w:ascii="Palatino Linotype" w:hAnsi="Palatino Linotype"/>
        </w:rPr>
        <w:t xml:space="preserve"> </w:t>
      </w:r>
      <w:r w:rsidR="0064508B" w:rsidRPr="00D707F7">
        <w:rPr>
          <w:rFonts w:ascii="Palatino Linotype" w:hAnsi="Palatino Linotype"/>
        </w:rPr>
        <w:t>l</w:t>
      </w:r>
      <w:r w:rsidR="00724602">
        <w:rPr>
          <w:rFonts w:ascii="Palatino Linotype" w:hAnsi="Palatino Linotype"/>
        </w:rPr>
        <w:t>a</w:t>
      </w:r>
      <w:r w:rsidR="0004427A" w:rsidRPr="00D707F7">
        <w:rPr>
          <w:rFonts w:ascii="Palatino Linotype" w:hAnsi="Palatino Linotype"/>
          <w:b/>
        </w:rPr>
        <w:t xml:space="preserve"> </w:t>
      </w:r>
      <w:r w:rsidRPr="00D707F7">
        <w:rPr>
          <w:rFonts w:ascii="Palatino Linotype" w:hAnsi="Palatino Linotype" w:cs="Arial"/>
          <w:b/>
        </w:rPr>
        <w:t>RECURRENTE</w:t>
      </w:r>
      <w:r w:rsidRPr="00D707F7">
        <w:rPr>
          <w:rFonts w:ascii="Palatino Linotype" w:hAnsi="Palatino Linotype" w:cs="Arial"/>
        </w:rPr>
        <w:t xml:space="preserve">, en contra </w:t>
      </w:r>
      <w:r w:rsidR="000D5A1D" w:rsidRPr="00D707F7">
        <w:rPr>
          <w:rFonts w:ascii="Palatino Linotype" w:hAnsi="Palatino Linotype" w:cs="Arial"/>
        </w:rPr>
        <w:t xml:space="preserve">de </w:t>
      </w:r>
      <w:r w:rsidR="00843908" w:rsidRPr="00D707F7">
        <w:rPr>
          <w:rFonts w:ascii="Palatino Linotype" w:hAnsi="Palatino Linotype" w:cs="Arial"/>
        </w:rPr>
        <w:t>la</w:t>
      </w:r>
      <w:r w:rsidR="00184266">
        <w:rPr>
          <w:rFonts w:ascii="Palatino Linotype" w:hAnsi="Palatino Linotype" w:cs="Arial"/>
        </w:rPr>
        <w:t>s</w:t>
      </w:r>
      <w:r w:rsidR="00843908" w:rsidRPr="00D707F7">
        <w:rPr>
          <w:rFonts w:ascii="Palatino Linotype" w:hAnsi="Palatino Linotype" w:cs="Arial"/>
        </w:rPr>
        <w:t xml:space="preserve"> respuesta</w:t>
      </w:r>
      <w:r w:rsidR="00184266">
        <w:rPr>
          <w:rFonts w:ascii="Palatino Linotype" w:hAnsi="Palatino Linotype" w:cs="Arial"/>
        </w:rPr>
        <w:t>s</w:t>
      </w:r>
      <w:r w:rsidR="00843908" w:rsidRPr="00D707F7">
        <w:rPr>
          <w:rFonts w:ascii="Palatino Linotype" w:hAnsi="Palatino Linotype" w:cs="Arial"/>
        </w:rPr>
        <w:t xml:space="preserve"> de</w:t>
      </w:r>
      <w:r w:rsidR="00F378CB" w:rsidRPr="00D707F7">
        <w:rPr>
          <w:rFonts w:ascii="Palatino Linotype" w:hAnsi="Palatino Linotype" w:cs="Arial"/>
        </w:rPr>
        <w:t xml:space="preserve">l </w:t>
      </w:r>
      <w:r w:rsidR="00724602">
        <w:rPr>
          <w:rFonts w:ascii="Palatino Linotype" w:hAnsi="Palatino Linotype" w:cs="Arial"/>
          <w:b/>
        </w:rPr>
        <w:t>Ayuntamiento de Ixtapan de la Sal</w:t>
      </w:r>
      <w:r w:rsidR="004F3DEB" w:rsidRPr="00D707F7">
        <w:rPr>
          <w:rFonts w:ascii="Palatino Linotype" w:hAnsi="Palatino Linotype" w:cs="Arial"/>
          <w:b/>
        </w:rPr>
        <w:t>,</w:t>
      </w:r>
      <w:r w:rsidR="0036073F" w:rsidRPr="00D707F7">
        <w:rPr>
          <w:rFonts w:ascii="Palatino Linotype" w:hAnsi="Palatino Linotype"/>
          <w:b/>
        </w:rPr>
        <w:t xml:space="preserve"> </w:t>
      </w:r>
      <w:r w:rsidR="00F378CB" w:rsidRPr="00D707F7">
        <w:rPr>
          <w:rFonts w:ascii="Palatino Linotype" w:hAnsi="Palatino Linotype"/>
        </w:rPr>
        <w:t xml:space="preserve">en lo sucesivo </w:t>
      </w:r>
      <w:r w:rsidR="0081425E" w:rsidRPr="00D707F7">
        <w:rPr>
          <w:rFonts w:ascii="Palatino Linotype" w:hAnsi="Palatino Linotype"/>
        </w:rPr>
        <w:t>e</w:t>
      </w:r>
      <w:r w:rsidRPr="00D707F7">
        <w:rPr>
          <w:rFonts w:ascii="Palatino Linotype" w:hAnsi="Palatino Linotype"/>
        </w:rPr>
        <w:t>l</w:t>
      </w:r>
      <w:r w:rsidRPr="00D707F7">
        <w:rPr>
          <w:rFonts w:ascii="Palatino Linotype" w:hAnsi="Palatino Linotype"/>
          <w:b/>
        </w:rPr>
        <w:t xml:space="preserve"> SUJETO OBLIGADO</w:t>
      </w:r>
      <w:r w:rsidRPr="00D707F7">
        <w:rPr>
          <w:rFonts w:ascii="Palatino Linotype" w:hAnsi="Palatino Linotype"/>
        </w:rPr>
        <w:t xml:space="preserve">, </w:t>
      </w:r>
      <w:r w:rsidR="004D71C0" w:rsidRPr="00D707F7">
        <w:rPr>
          <w:rFonts w:ascii="Palatino Linotype" w:hAnsi="Palatino Linotype"/>
        </w:rPr>
        <w:t xml:space="preserve">por lo que </w:t>
      </w:r>
      <w:r w:rsidRPr="00D707F7">
        <w:rPr>
          <w:rFonts w:ascii="Palatino Linotype" w:hAnsi="Palatino Linotype"/>
        </w:rPr>
        <w:t>se procede a dictar la presente resolución, con base en los siguientes:</w:t>
      </w:r>
    </w:p>
    <w:p w14:paraId="769E1410" w14:textId="5740327F" w:rsidR="00587366" w:rsidRPr="00D707F7" w:rsidRDefault="00662C69" w:rsidP="001E74A5">
      <w:pPr>
        <w:pStyle w:val="Ttulo1"/>
        <w:spacing w:line="360" w:lineRule="auto"/>
        <w:jc w:val="center"/>
        <w:rPr>
          <w:b/>
          <w:szCs w:val="24"/>
        </w:rPr>
      </w:pPr>
      <w:bookmarkStart w:id="0" w:name="_Toc461555884"/>
      <w:bookmarkStart w:id="1" w:name="_Toc466371847"/>
      <w:bookmarkStart w:id="2" w:name="_Toc51457381"/>
      <w:r w:rsidRPr="00D707F7">
        <w:rPr>
          <w:b/>
          <w:szCs w:val="24"/>
        </w:rPr>
        <w:lastRenderedPageBreak/>
        <w:t>ANTECEDENTES</w:t>
      </w:r>
      <w:bookmarkEnd w:id="0"/>
      <w:bookmarkEnd w:id="1"/>
      <w:bookmarkEnd w:id="2"/>
    </w:p>
    <w:p w14:paraId="402A4C0A" w14:textId="0C56C45F" w:rsidR="00D9392E" w:rsidRPr="00D707F7" w:rsidRDefault="00E74FED" w:rsidP="00724602">
      <w:pPr>
        <w:pStyle w:val="Prrafodelista"/>
        <w:numPr>
          <w:ilvl w:val="0"/>
          <w:numId w:val="2"/>
        </w:numPr>
        <w:spacing w:before="240" w:after="240" w:line="360" w:lineRule="auto"/>
        <w:ind w:left="0" w:firstLine="0"/>
        <w:jc w:val="both"/>
        <w:rPr>
          <w:rFonts w:ascii="Palatino Linotype" w:eastAsia="Calibri" w:hAnsi="Palatino Linotype" w:cs="Arial"/>
          <w:lang w:val="es-ES"/>
        </w:rPr>
      </w:pPr>
      <w:r>
        <w:rPr>
          <w:rFonts w:ascii="Palatino Linotype" w:eastAsia="Calibri" w:hAnsi="Palatino Linotype" w:cs="Arial"/>
          <w:lang w:val="es-ES"/>
        </w:rPr>
        <w:t>Los</w:t>
      </w:r>
      <w:r w:rsidR="00D9392E" w:rsidRPr="00D707F7">
        <w:rPr>
          <w:rFonts w:ascii="Palatino Linotype" w:eastAsia="Calibri" w:hAnsi="Palatino Linotype" w:cs="Arial"/>
          <w:lang w:val="es-ES"/>
        </w:rPr>
        <w:t xml:space="preserve"> día</w:t>
      </w:r>
      <w:r>
        <w:rPr>
          <w:rFonts w:ascii="Palatino Linotype" w:eastAsia="Calibri" w:hAnsi="Palatino Linotype" w:cs="Arial"/>
          <w:lang w:val="es-ES"/>
        </w:rPr>
        <w:t xml:space="preserve">s </w:t>
      </w:r>
      <w:r w:rsidR="005D04D9">
        <w:rPr>
          <w:rFonts w:ascii="Palatino Linotype" w:eastAsia="Calibri" w:hAnsi="Palatino Linotype" w:cs="Arial"/>
          <w:lang w:val="es-ES"/>
        </w:rPr>
        <w:t>cinco</w:t>
      </w:r>
      <w:r>
        <w:rPr>
          <w:rFonts w:ascii="Palatino Linotype" w:eastAsia="Calibri" w:hAnsi="Palatino Linotype" w:cs="Arial"/>
          <w:lang w:val="es-ES"/>
        </w:rPr>
        <w:t xml:space="preserve"> (</w:t>
      </w:r>
      <w:r w:rsidR="005D04D9">
        <w:rPr>
          <w:rFonts w:ascii="Palatino Linotype" w:eastAsia="Calibri" w:hAnsi="Palatino Linotype" w:cs="Arial"/>
          <w:lang w:val="es-ES"/>
        </w:rPr>
        <w:t>05</w:t>
      </w:r>
      <w:r>
        <w:rPr>
          <w:rFonts w:ascii="Palatino Linotype" w:eastAsia="Calibri" w:hAnsi="Palatino Linotype" w:cs="Arial"/>
          <w:lang w:val="es-ES"/>
        </w:rPr>
        <w:t>)</w:t>
      </w:r>
      <w:r w:rsidR="00D9392E" w:rsidRPr="00D707F7">
        <w:rPr>
          <w:rFonts w:ascii="Palatino Linotype" w:eastAsia="Calibri" w:hAnsi="Palatino Linotype" w:cs="Arial"/>
          <w:lang w:val="es-ES"/>
        </w:rPr>
        <w:t xml:space="preserve"> </w:t>
      </w:r>
      <w:r>
        <w:rPr>
          <w:rFonts w:ascii="Palatino Linotype" w:eastAsia="Calibri" w:hAnsi="Palatino Linotype" w:cs="Arial"/>
          <w:lang w:val="es-ES"/>
        </w:rPr>
        <w:t xml:space="preserve">y </w:t>
      </w:r>
      <w:r w:rsidR="005D04D9">
        <w:rPr>
          <w:rFonts w:ascii="Palatino Linotype" w:eastAsia="Calibri" w:hAnsi="Palatino Linotype" w:cs="Arial"/>
          <w:lang w:val="es-ES"/>
        </w:rPr>
        <w:t>doce</w:t>
      </w:r>
      <w:r w:rsidR="00D9392E" w:rsidRPr="00D707F7">
        <w:rPr>
          <w:rFonts w:ascii="Palatino Linotype" w:eastAsia="Calibri" w:hAnsi="Palatino Linotype" w:cs="Arial"/>
          <w:lang w:val="es-ES"/>
        </w:rPr>
        <w:t xml:space="preserve"> (</w:t>
      </w:r>
      <w:r w:rsidR="005D04D9">
        <w:rPr>
          <w:rFonts w:ascii="Palatino Linotype" w:eastAsia="Calibri" w:hAnsi="Palatino Linotype" w:cs="Arial"/>
          <w:lang w:val="es-ES"/>
        </w:rPr>
        <w:t>12</w:t>
      </w:r>
      <w:r w:rsidR="00D9392E" w:rsidRPr="00D707F7">
        <w:rPr>
          <w:rFonts w:ascii="Palatino Linotype" w:eastAsia="Calibri" w:hAnsi="Palatino Linotype" w:cs="Arial"/>
          <w:lang w:val="es-ES"/>
        </w:rPr>
        <w:t xml:space="preserve">) de </w:t>
      </w:r>
      <w:r w:rsidR="005D04D9">
        <w:rPr>
          <w:rFonts w:ascii="Palatino Linotype" w:eastAsia="Calibri" w:hAnsi="Palatino Linotype" w:cs="Arial"/>
          <w:lang w:val="es-ES"/>
        </w:rPr>
        <w:t>jun</w:t>
      </w:r>
      <w:r>
        <w:rPr>
          <w:rFonts w:ascii="Palatino Linotype" w:eastAsia="Calibri" w:hAnsi="Palatino Linotype" w:cs="Arial"/>
          <w:lang w:val="es-ES"/>
        </w:rPr>
        <w:t>io</w:t>
      </w:r>
      <w:r w:rsidR="00DA3F4B">
        <w:rPr>
          <w:rFonts w:ascii="Palatino Linotype" w:eastAsia="Calibri" w:hAnsi="Palatino Linotype" w:cs="Arial"/>
          <w:lang w:val="es-ES"/>
        </w:rPr>
        <w:t xml:space="preserve"> de dos mil veinte</w:t>
      </w:r>
      <w:r w:rsidR="00D9392E" w:rsidRPr="00D707F7">
        <w:rPr>
          <w:rFonts w:ascii="Palatino Linotype" w:hAnsi="Palatino Linotype"/>
          <w:b/>
        </w:rPr>
        <w:t xml:space="preserve">, </w:t>
      </w:r>
      <w:r>
        <w:rPr>
          <w:rFonts w:ascii="Palatino Linotype" w:eastAsia="Calibri" w:hAnsi="Palatino Linotype" w:cs="Arial"/>
          <w:lang w:val="es-ES"/>
        </w:rPr>
        <w:t>se presentaron</w:t>
      </w:r>
      <w:r w:rsidR="00223D1A" w:rsidRPr="00D707F7">
        <w:rPr>
          <w:rFonts w:ascii="Palatino Linotype" w:eastAsia="Calibri" w:hAnsi="Palatino Linotype" w:cs="Arial"/>
          <w:lang w:val="es-ES"/>
        </w:rPr>
        <w:t xml:space="preserve"> ante </w:t>
      </w:r>
      <w:r w:rsidR="0081425E" w:rsidRPr="00D707F7">
        <w:rPr>
          <w:rFonts w:ascii="Palatino Linotype" w:eastAsia="Calibri" w:hAnsi="Palatino Linotype" w:cs="Arial"/>
          <w:lang w:val="es-ES"/>
        </w:rPr>
        <w:t>e</w:t>
      </w:r>
      <w:r w:rsidR="00D9392E" w:rsidRPr="00D707F7">
        <w:rPr>
          <w:rFonts w:ascii="Palatino Linotype" w:eastAsia="Calibri" w:hAnsi="Palatino Linotype" w:cs="Arial"/>
          <w:lang w:val="es-ES"/>
        </w:rPr>
        <w:t xml:space="preserve">l </w:t>
      </w:r>
      <w:r w:rsidR="00D9392E" w:rsidRPr="00D707F7">
        <w:rPr>
          <w:rFonts w:ascii="Palatino Linotype" w:eastAsia="Calibri" w:hAnsi="Palatino Linotype" w:cs="Arial"/>
          <w:b/>
          <w:lang w:val="es-ES"/>
        </w:rPr>
        <w:t>SUJETO OBLIGADO</w:t>
      </w:r>
      <w:r w:rsidR="00D9392E" w:rsidRPr="00D707F7">
        <w:rPr>
          <w:rFonts w:ascii="Palatino Linotype" w:eastAsia="Calibri" w:hAnsi="Palatino Linotype" w:cs="Arial"/>
        </w:rPr>
        <w:t xml:space="preserve"> vía </w:t>
      </w:r>
      <w:r>
        <w:rPr>
          <w:rFonts w:ascii="Palatino Linotype" w:eastAsia="Calibri" w:hAnsi="Palatino Linotype" w:cs="Arial"/>
        </w:rPr>
        <w:t>Sistema de Acceso a la Información Mexiquense (</w:t>
      </w:r>
      <w:r w:rsidR="00DA3F4B">
        <w:rPr>
          <w:rFonts w:ascii="Palatino Linotype" w:eastAsia="Calibri" w:hAnsi="Palatino Linotype" w:cs="Arial"/>
          <w:lang w:val="es-ES"/>
        </w:rPr>
        <w:t>SAIMEX</w:t>
      </w:r>
      <w:r>
        <w:rPr>
          <w:rFonts w:ascii="Palatino Linotype" w:eastAsia="Calibri" w:hAnsi="Palatino Linotype" w:cs="Arial"/>
          <w:lang w:val="es-ES"/>
        </w:rPr>
        <w:t>)</w:t>
      </w:r>
      <w:r w:rsidR="00D9392E" w:rsidRPr="00D707F7">
        <w:rPr>
          <w:rFonts w:ascii="Palatino Linotype" w:eastAsia="Calibri" w:hAnsi="Palatino Linotype" w:cs="Arial"/>
          <w:lang w:val="es-ES"/>
        </w:rPr>
        <w:t>, la</w:t>
      </w:r>
      <w:r>
        <w:rPr>
          <w:rFonts w:ascii="Palatino Linotype" w:eastAsia="Calibri" w:hAnsi="Palatino Linotype" w:cs="Arial"/>
          <w:lang w:val="es-ES"/>
        </w:rPr>
        <w:t>s</w:t>
      </w:r>
      <w:r w:rsidR="00D9392E" w:rsidRPr="00D707F7">
        <w:rPr>
          <w:rFonts w:ascii="Palatino Linotype" w:eastAsia="Calibri" w:hAnsi="Palatino Linotype" w:cs="Arial"/>
          <w:lang w:val="es-ES"/>
        </w:rPr>
        <w:t xml:space="preserve"> solicitud</w:t>
      </w:r>
      <w:r w:rsidR="00184266">
        <w:rPr>
          <w:rFonts w:ascii="Palatino Linotype" w:eastAsia="Calibri" w:hAnsi="Palatino Linotype" w:cs="Arial"/>
          <w:lang w:val="es-ES"/>
        </w:rPr>
        <w:t>es</w:t>
      </w:r>
      <w:r w:rsidR="00D9392E" w:rsidRPr="00D707F7">
        <w:rPr>
          <w:rFonts w:ascii="Palatino Linotype" w:eastAsia="Calibri" w:hAnsi="Palatino Linotype" w:cs="Arial"/>
          <w:lang w:val="es-ES"/>
        </w:rPr>
        <w:t xml:space="preserve"> de información pública</w:t>
      </w:r>
      <w:r w:rsidR="00184266">
        <w:rPr>
          <w:rFonts w:ascii="Palatino Linotype" w:eastAsia="Calibri" w:hAnsi="Palatino Linotype" w:cs="Arial"/>
          <w:lang w:val="es-ES"/>
        </w:rPr>
        <w:t>s</w:t>
      </w:r>
      <w:r w:rsidR="00D9392E" w:rsidRPr="00D707F7">
        <w:rPr>
          <w:rFonts w:ascii="Palatino Linotype" w:eastAsia="Calibri" w:hAnsi="Palatino Linotype" w:cs="Arial"/>
          <w:lang w:val="es-ES"/>
        </w:rPr>
        <w:t xml:space="preserve"> registrad</w:t>
      </w:r>
      <w:r w:rsidR="0081425E" w:rsidRPr="00D707F7">
        <w:rPr>
          <w:rFonts w:ascii="Palatino Linotype" w:eastAsia="Calibri" w:hAnsi="Palatino Linotype" w:cs="Arial"/>
          <w:lang w:val="es-ES"/>
        </w:rPr>
        <w:t>a</w:t>
      </w:r>
      <w:r w:rsidR="00184266">
        <w:rPr>
          <w:rFonts w:ascii="Palatino Linotype" w:eastAsia="Calibri" w:hAnsi="Palatino Linotype" w:cs="Arial"/>
          <w:lang w:val="es-ES"/>
        </w:rPr>
        <w:t>s</w:t>
      </w:r>
      <w:r w:rsidR="00D9392E" w:rsidRPr="00D707F7">
        <w:rPr>
          <w:rFonts w:ascii="Palatino Linotype" w:eastAsia="Calibri" w:hAnsi="Palatino Linotype" w:cs="Arial"/>
          <w:lang w:val="es-ES"/>
        </w:rPr>
        <w:t xml:space="preserve"> con l</w:t>
      </w:r>
      <w:r w:rsidR="00184266">
        <w:rPr>
          <w:rFonts w:ascii="Palatino Linotype" w:eastAsia="Calibri" w:hAnsi="Palatino Linotype" w:cs="Arial"/>
          <w:lang w:val="es-ES"/>
        </w:rPr>
        <w:t>os</w:t>
      </w:r>
      <w:r w:rsidR="0081425E" w:rsidRPr="00D707F7">
        <w:rPr>
          <w:rFonts w:ascii="Palatino Linotype" w:eastAsia="Calibri" w:hAnsi="Palatino Linotype" w:cs="Arial"/>
          <w:lang w:val="es-ES"/>
        </w:rPr>
        <w:t xml:space="preserve"> número</w:t>
      </w:r>
      <w:r w:rsidR="00184266">
        <w:rPr>
          <w:rFonts w:ascii="Palatino Linotype" w:eastAsia="Calibri" w:hAnsi="Palatino Linotype" w:cs="Arial"/>
          <w:lang w:val="es-ES"/>
        </w:rPr>
        <w:t>s</w:t>
      </w:r>
      <w:r w:rsidR="004D71C0" w:rsidRPr="00D707F7">
        <w:rPr>
          <w:rFonts w:ascii="Palatino Linotype" w:hAnsi="Palatino Linotype"/>
          <w:b/>
          <w:bCs/>
          <w:color w:val="000000" w:themeColor="text1"/>
        </w:rPr>
        <w:t xml:space="preserve"> </w:t>
      </w:r>
      <w:r w:rsidR="005D04D9">
        <w:rPr>
          <w:rFonts w:ascii="Palatino Linotype" w:hAnsi="Palatino Linotype"/>
          <w:bCs/>
          <w:color w:val="000000" w:themeColor="text1"/>
        </w:rPr>
        <w:t xml:space="preserve">descritos en el orden siguiente: </w:t>
      </w:r>
    </w:p>
    <w:tbl>
      <w:tblPr>
        <w:tblStyle w:val="Tablaconcuadrcula1"/>
        <w:tblW w:w="9054" w:type="dxa"/>
        <w:tblLayout w:type="fixed"/>
        <w:tblLook w:val="04A0" w:firstRow="1" w:lastRow="0" w:firstColumn="1" w:lastColumn="0" w:noHBand="0" w:noVBand="1"/>
      </w:tblPr>
      <w:tblGrid>
        <w:gridCol w:w="2972"/>
        <w:gridCol w:w="6082"/>
      </w:tblGrid>
      <w:tr w:rsidR="00405A19" w:rsidRPr="00724602" w14:paraId="62455D4F" w14:textId="77777777" w:rsidTr="005D04D9">
        <w:tc>
          <w:tcPr>
            <w:tcW w:w="2972" w:type="dxa"/>
          </w:tcPr>
          <w:p w14:paraId="6C6A600B" w14:textId="108E6931" w:rsidR="00405A19" w:rsidRPr="005D04D9" w:rsidRDefault="008605A7" w:rsidP="00724602">
            <w:pPr>
              <w:spacing w:line="360" w:lineRule="auto"/>
              <w:ind w:right="333"/>
              <w:jc w:val="center"/>
              <w:rPr>
                <w:rFonts w:ascii="Palatino Linotype" w:hAnsi="Palatino Linotype"/>
                <w:b/>
                <w:color w:val="000000"/>
                <w:sz w:val="22"/>
                <w:szCs w:val="22"/>
                <w:lang w:val="es-ES"/>
              </w:rPr>
            </w:pPr>
            <w:r w:rsidRPr="005D04D9">
              <w:rPr>
                <w:rFonts w:ascii="Palatino Linotype" w:hAnsi="Palatino Linotype"/>
                <w:b/>
                <w:color w:val="000000"/>
                <w:sz w:val="22"/>
                <w:szCs w:val="22"/>
                <w:lang w:val="es-ES"/>
              </w:rPr>
              <w:t>Número de Solicitud</w:t>
            </w:r>
          </w:p>
        </w:tc>
        <w:tc>
          <w:tcPr>
            <w:tcW w:w="6082" w:type="dxa"/>
          </w:tcPr>
          <w:p w14:paraId="47F377BD" w14:textId="5744B660" w:rsidR="00405A19" w:rsidRPr="00724602" w:rsidRDefault="00405A19" w:rsidP="00724602">
            <w:pPr>
              <w:spacing w:line="360" w:lineRule="auto"/>
              <w:ind w:right="333"/>
              <w:jc w:val="center"/>
              <w:rPr>
                <w:rFonts w:ascii="Palatino Linotype" w:hAnsi="Palatino Linotype"/>
                <w:b/>
                <w:color w:val="000000"/>
                <w:lang w:val="es-ES"/>
              </w:rPr>
            </w:pPr>
            <w:r w:rsidRPr="00724602">
              <w:rPr>
                <w:rFonts w:ascii="Palatino Linotype" w:hAnsi="Palatino Linotype"/>
                <w:b/>
                <w:color w:val="000000"/>
                <w:lang w:val="es-ES"/>
              </w:rPr>
              <w:t>Información solicitada</w:t>
            </w:r>
          </w:p>
        </w:tc>
      </w:tr>
      <w:tr w:rsidR="00405A19" w:rsidRPr="00405A19" w14:paraId="0859A587" w14:textId="77777777" w:rsidTr="005D04D9">
        <w:tc>
          <w:tcPr>
            <w:tcW w:w="2972" w:type="dxa"/>
          </w:tcPr>
          <w:p w14:paraId="1A197CC3" w14:textId="458CC5D5" w:rsidR="00405A19" w:rsidRPr="005D04D9" w:rsidRDefault="005D04D9" w:rsidP="00092198">
            <w:pPr>
              <w:spacing w:line="360" w:lineRule="auto"/>
              <w:ind w:right="333"/>
              <w:jc w:val="both"/>
              <w:rPr>
                <w:rFonts w:ascii="Palatino Linotype" w:hAnsi="Palatino Linotype"/>
                <w:color w:val="000000"/>
                <w:sz w:val="22"/>
                <w:szCs w:val="22"/>
                <w:lang w:val="es-ES"/>
              </w:rPr>
            </w:pPr>
            <w:r w:rsidRPr="005D04D9">
              <w:rPr>
                <w:rFonts w:ascii="Palatino Linotype" w:hAnsi="Palatino Linotype"/>
                <w:b/>
                <w:bCs/>
                <w:color w:val="000000" w:themeColor="text1"/>
                <w:sz w:val="22"/>
                <w:szCs w:val="22"/>
              </w:rPr>
              <w:t>00987/IXTASAL/IP/2020</w:t>
            </w:r>
          </w:p>
        </w:tc>
        <w:tc>
          <w:tcPr>
            <w:tcW w:w="6082" w:type="dxa"/>
          </w:tcPr>
          <w:p w14:paraId="5ED40F3E" w14:textId="733B23D3" w:rsidR="00405A19" w:rsidRPr="008605A7" w:rsidRDefault="008605A7" w:rsidP="0098577D">
            <w:pPr>
              <w:pStyle w:val="Prrafodelista"/>
              <w:ind w:left="0"/>
              <w:jc w:val="both"/>
              <w:rPr>
                <w:rFonts w:ascii="Palatino Linotype" w:hAnsi="Palatino Linotype"/>
                <w:i/>
                <w:color w:val="000000"/>
                <w:sz w:val="22"/>
                <w:szCs w:val="22"/>
              </w:rPr>
            </w:pPr>
            <w:r>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signadas por el secretario del ayuntamiento en 2020.</w:t>
            </w:r>
            <w:r>
              <w:rPr>
                <w:rFonts w:ascii="Palatino Linotype" w:hAnsi="Palatino Linotype"/>
                <w:i/>
                <w:color w:val="000000"/>
                <w:sz w:val="22"/>
                <w:szCs w:val="22"/>
              </w:rPr>
              <w:t>” (Sic)</w:t>
            </w:r>
          </w:p>
        </w:tc>
      </w:tr>
      <w:tr w:rsidR="00405A19" w:rsidRPr="00405A19" w14:paraId="0B2C0EE5" w14:textId="77777777" w:rsidTr="005D04D9">
        <w:tc>
          <w:tcPr>
            <w:tcW w:w="2972" w:type="dxa"/>
          </w:tcPr>
          <w:p w14:paraId="722FE403" w14:textId="0A5C18BF" w:rsidR="00405A19" w:rsidRPr="005D04D9" w:rsidRDefault="005D04D9" w:rsidP="00092198">
            <w:pPr>
              <w:spacing w:line="360" w:lineRule="auto"/>
              <w:ind w:right="333"/>
              <w:jc w:val="both"/>
              <w:rPr>
                <w:rFonts w:ascii="Palatino Linotype" w:hAnsi="Palatino Linotype"/>
                <w:color w:val="000000"/>
                <w:sz w:val="22"/>
                <w:szCs w:val="22"/>
                <w:lang w:val="es-ES"/>
              </w:rPr>
            </w:pPr>
            <w:r w:rsidRPr="005D04D9">
              <w:rPr>
                <w:rFonts w:ascii="Palatino Linotype" w:hAnsi="Palatino Linotype"/>
                <w:b/>
                <w:bCs/>
                <w:color w:val="000000" w:themeColor="text1"/>
                <w:sz w:val="22"/>
                <w:szCs w:val="22"/>
              </w:rPr>
              <w:t>00986/IXTASAL/IP/2020</w:t>
            </w:r>
          </w:p>
        </w:tc>
        <w:tc>
          <w:tcPr>
            <w:tcW w:w="6082" w:type="dxa"/>
          </w:tcPr>
          <w:p w14:paraId="324B3B3B" w14:textId="72D05AB3" w:rsidR="00405A19" w:rsidRPr="00FF45A1" w:rsidRDefault="008605A7" w:rsidP="0098577D">
            <w:pPr>
              <w:jc w:val="both"/>
              <w:rPr>
                <w:rFonts w:ascii="Palatino Linotype" w:hAnsi="Palatino Linotype"/>
                <w:color w:val="000000"/>
                <w:lang w:val="es-ES"/>
              </w:rPr>
            </w:pPr>
            <w:r>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signadas por el secretario del ayuntamiento en 2019.</w:t>
            </w:r>
            <w:r>
              <w:rPr>
                <w:rFonts w:ascii="Palatino Linotype" w:hAnsi="Palatino Linotype"/>
                <w:i/>
                <w:color w:val="000000"/>
                <w:sz w:val="22"/>
                <w:szCs w:val="22"/>
              </w:rPr>
              <w:t>” (Sic)</w:t>
            </w:r>
          </w:p>
        </w:tc>
      </w:tr>
      <w:tr w:rsidR="005D04D9" w:rsidRPr="00405A19" w14:paraId="0976F9C1" w14:textId="77777777" w:rsidTr="005D04D9">
        <w:tc>
          <w:tcPr>
            <w:tcW w:w="2972" w:type="dxa"/>
          </w:tcPr>
          <w:p w14:paraId="18D4A775" w14:textId="026AFB25"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Pr>
                <w:rFonts w:ascii="Palatino Linotype" w:hAnsi="Palatino Linotype"/>
                <w:b/>
                <w:bCs/>
                <w:color w:val="000000" w:themeColor="text1"/>
                <w:sz w:val="22"/>
                <w:szCs w:val="22"/>
              </w:rPr>
              <w:t>927</w:t>
            </w:r>
            <w:r w:rsidRPr="005D04D9">
              <w:rPr>
                <w:rFonts w:ascii="Palatino Linotype" w:hAnsi="Palatino Linotype"/>
                <w:b/>
                <w:bCs/>
                <w:color w:val="000000" w:themeColor="text1"/>
                <w:sz w:val="22"/>
                <w:szCs w:val="22"/>
              </w:rPr>
              <w:t>/IXTASAL/IP/2020</w:t>
            </w:r>
          </w:p>
        </w:tc>
        <w:tc>
          <w:tcPr>
            <w:tcW w:w="6082" w:type="dxa"/>
          </w:tcPr>
          <w:p w14:paraId="3128E8C7" w14:textId="28AF39D0" w:rsidR="005D04D9" w:rsidRDefault="005D04D9" w:rsidP="005D04D9">
            <w:pPr>
              <w:jc w:val="both"/>
              <w:rPr>
                <w:rFonts w:ascii="Palatino Linotype" w:hAnsi="Palatino Linotype"/>
                <w:i/>
                <w:color w:val="000000"/>
                <w:sz w:val="22"/>
                <w:szCs w:val="22"/>
              </w:rPr>
            </w:pPr>
            <w:r>
              <w:rPr>
                <w:rFonts w:ascii="Palatino Linotype" w:hAnsi="Palatino Linotype"/>
                <w:i/>
                <w:color w:val="000000"/>
                <w:sz w:val="22"/>
                <w:szCs w:val="22"/>
              </w:rPr>
              <w:t>“</w:t>
            </w:r>
            <w:r w:rsidR="0098577D" w:rsidRPr="0098577D">
              <w:rPr>
                <w:rFonts w:ascii="Palatino Linotype" w:hAnsi="Palatino Linotype"/>
                <w:i/>
                <w:color w:val="000000"/>
                <w:sz w:val="22"/>
                <w:szCs w:val="22"/>
              </w:rPr>
              <w:t>Las convocatorias y toda la documentación relativa a la selección de beneficiarios y al otorgamiento de apoyos en materia de pisos firmes, techos firmes, cuartos dormitorios, y cualquier apoyo a la vivienda otorgados con recursos FISMDF 2019, FISE 2019, FEFOM 2019, PAD 2019, FORTAMUNDF 2019, Recursos Propias 2019 y con cualquier fuente de recursos; así como, la relación de beneficiarios de dichos apoyos con la documentación que acredita recibieron dichos apoyos</w:t>
            </w:r>
            <w:r w:rsidRPr="008605A7">
              <w:rPr>
                <w:rFonts w:ascii="Palatino Linotype" w:hAnsi="Palatino Linotype"/>
                <w:i/>
                <w:color w:val="000000"/>
                <w:sz w:val="22"/>
                <w:szCs w:val="22"/>
              </w:rPr>
              <w:t>.</w:t>
            </w:r>
            <w:r>
              <w:rPr>
                <w:rFonts w:ascii="Palatino Linotype" w:hAnsi="Palatino Linotype"/>
                <w:i/>
                <w:color w:val="000000"/>
                <w:sz w:val="22"/>
                <w:szCs w:val="22"/>
              </w:rPr>
              <w:t>” (Sic)</w:t>
            </w:r>
          </w:p>
        </w:tc>
      </w:tr>
      <w:tr w:rsidR="005D04D9" w:rsidRPr="00405A19" w14:paraId="6BC9DDEC" w14:textId="77777777" w:rsidTr="005D04D9">
        <w:tc>
          <w:tcPr>
            <w:tcW w:w="2972" w:type="dxa"/>
          </w:tcPr>
          <w:p w14:paraId="34440D1B" w14:textId="4F90C578" w:rsidR="005D04D9" w:rsidRPr="005D04D9" w:rsidRDefault="005D04D9" w:rsidP="005D04D9">
            <w:pPr>
              <w:spacing w:line="360" w:lineRule="auto"/>
              <w:ind w:right="333"/>
              <w:jc w:val="both"/>
              <w:rPr>
                <w:rFonts w:ascii="Palatino Linotype" w:hAnsi="Palatino Linotype"/>
                <w:color w:val="000000"/>
                <w:sz w:val="22"/>
                <w:szCs w:val="22"/>
                <w:lang w:val="es-ES"/>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925</w:t>
            </w:r>
            <w:r w:rsidRPr="005D04D9">
              <w:rPr>
                <w:rFonts w:ascii="Palatino Linotype" w:hAnsi="Palatino Linotype"/>
                <w:b/>
                <w:bCs/>
                <w:color w:val="000000" w:themeColor="text1"/>
                <w:sz w:val="22"/>
                <w:szCs w:val="22"/>
              </w:rPr>
              <w:t>/IXTASAL/IP/2020</w:t>
            </w:r>
          </w:p>
        </w:tc>
        <w:tc>
          <w:tcPr>
            <w:tcW w:w="6082" w:type="dxa"/>
          </w:tcPr>
          <w:p w14:paraId="31B79B34" w14:textId="15721FE5" w:rsidR="005D04D9" w:rsidRPr="00FF45A1" w:rsidRDefault="005D04D9" w:rsidP="005D04D9">
            <w:pPr>
              <w:jc w:val="both"/>
              <w:rPr>
                <w:rFonts w:ascii="Palatino Linotype" w:hAnsi="Palatino Linotype"/>
                <w:color w:val="000000"/>
                <w:lang w:val="es-ES"/>
              </w:rPr>
            </w:pPr>
            <w:r>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relativa a los mecanismos y órganos de participación social para promover, aprobar y aplicar los recursos del FISE 2019</w:t>
            </w:r>
            <w:r w:rsidRPr="008605A7">
              <w:rPr>
                <w:rFonts w:ascii="Palatino Linotype" w:hAnsi="Palatino Linotype"/>
                <w:i/>
                <w:color w:val="000000"/>
                <w:sz w:val="22"/>
                <w:szCs w:val="22"/>
              </w:rPr>
              <w:t>.</w:t>
            </w:r>
            <w:r>
              <w:rPr>
                <w:rFonts w:ascii="Palatino Linotype" w:hAnsi="Palatino Linotype"/>
                <w:i/>
                <w:color w:val="000000"/>
                <w:sz w:val="22"/>
                <w:szCs w:val="22"/>
              </w:rPr>
              <w:t>” (Sic)</w:t>
            </w:r>
          </w:p>
        </w:tc>
      </w:tr>
      <w:tr w:rsidR="005D04D9" w:rsidRPr="00405A19" w14:paraId="5270590A" w14:textId="77777777" w:rsidTr="005D04D9">
        <w:tc>
          <w:tcPr>
            <w:tcW w:w="2972" w:type="dxa"/>
          </w:tcPr>
          <w:p w14:paraId="4C5618E2" w14:textId="0B98F837"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924</w:t>
            </w:r>
            <w:r w:rsidRPr="005D04D9">
              <w:rPr>
                <w:rFonts w:ascii="Palatino Linotype" w:hAnsi="Palatino Linotype"/>
                <w:b/>
                <w:bCs/>
                <w:color w:val="000000" w:themeColor="text1"/>
                <w:sz w:val="22"/>
                <w:szCs w:val="22"/>
              </w:rPr>
              <w:t>/IXTASAL/IP/2020</w:t>
            </w:r>
          </w:p>
        </w:tc>
        <w:tc>
          <w:tcPr>
            <w:tcW w:w="6082" w:type="dxa"/>
          </w:tcPr>
          <w:p w14:paraId="1E057543" w14:textId="76E96453"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Obras Públicas o su equivalente para adjudicar y contratar la ejecución de obras del FISE 2019.</w:t>
            </w:r>
            <w:r w:rsidRPr="00E80D02">
              <w:rPr>
                <w:rFonts w:ascii="Palatino Linotype" w:hAnsi="Palatino Linotype"/>
                <w:i/>
                <w:color w:val="000000"/>
                <w:sz w:val="22"/>
                <w:szCs w:val="22"/>
              </w:rPr>
              <w:t>” (Sic)</w:t>
            </w:r>
          </w:p>
        </w:tc>
      </w:tr>
      <w:tr w:rsidR="005D04D9" w:rsidRPr="00405A19" w14:paraId="302D2737" w14:textId="77777777" w:rsidTr="005D04D9">
        <w:tc>
          <w:tcPr>
            <w:tcW w:w="2972" w:type="dxa"/>
          </w:tcPr>
          <w:p w14:paraId="5E9C66F4" w14:textId="01E5D1D4"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923</w:t>
            </w:r>
            <w:r w:rsidRPr="005D04D9">
              <w:rPr>
                <w:rFonts w:ascii="Palatino Linotype" w:hAnsi="Palatino Linotype"/>
                <w:b/>
                <w:bCs/>
                <w:color w:val="000000" w:themeColor="text1"/>
                <w:sz w:val="22"/>
                <w:szCs w:val="22"/>
              </w:rPr>
              <w:t>/IXTASAL/IP/2020</w:t>
            </w:r>
          </w:p>
        </w:tc>
        <w:tc>
          <w:tcPr>
            <w:tcW w:w="6082" w:type="dxa"/>
          </w:tcPr>
          <w:p w14:paraId="312694F4" w14:textId="579A6171"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odas las convocatorias, actas y cualquier documentación emitida por el Comité de Obras Públicas o su equivalente para adjudicar y contratar la ejecución de obras del FEFOM 2020.</w:t>
            </w:r>
            <w:r w:rsidRPr="00E80D02">
              <w:rPr>
                <w:rFonts w:ascii="Palatino Linotype" w:hAnsi="Palatino Linotype"/>
                <w:i/>
                <w:color w:val="000000"/>
                <w:sz w:val="22"/>
                <w:szCs w:val="22"/>
              </w:rPr>
              <w:t>” (Sic)</w:t>
            </w:r>
          </w:p>
        </w:tc>
      </w:tr>
      <w:tr w:rsidR="005D04D9" w:rsidRPr="00405A19" w14:paraId="11B25CFC" w14:textId="77777777" w:rsidTr="005D04D9">
        <w:tc>
          <w:tcPr>
            <w:tcW w:w="2972" w:type="dxa"/>
          </w:tcPr>
          <w:p w14:paraId="1A89D179" w14:textId="78642D95"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922</w:t>
            </w:r>
            <w:r w:rsidRPr="005D04D9">
              <w:rPr>
                <w:rFonts w:ascii="Palatino Linotype" w:hAnsi="Palatino Linotype"/>
                <w:b/>
                <w:bCs/>
                <w:color w:val="000000" w:themeColor="text1"/>
                <w:sz w:val="22"/>
                <w:szCs w:val="22"/>
              </w:rPr>
              <w:t>/IXTASAL/IP/2020</w:t>
            </w:r>
          </w:p>
        </w:tc>
        <w:tc>
          <w:tcPr>
            <w:tcW w:w="6082" w:type="dxa"/>
          </w:tcPr>
          <w:p w14:paraId="3435DED5" w14:textId="6C057941"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Obras Públicas o su equivalente para adjudicar y contratar la ejecución de obras del FEFOM 2019.</w:t>
            </w:r>
            <w:r w:rsidRPr="00E80D02">
              <w:rPr>
                <w:rFonts w:ascii="Palatino Linotype" w:hAnsi="Palatino Linotype"/>
                <w:i/>
                <w:color w:val="000000"/>
                <w:sz w:val="22"/>
                <w:szCs w:val="22"/>
              </w:rPr>
              <w:t>” (Sic)</w:t>
            </w:r>
          </w:p>
        </w:tc>
      </w:tr>
      <w:tr w:rsidR="005D04D9" w:rsidRPr="00405A19" w14:paraId="3C922B2B" w14:textId="77777777" w:rsidTr="005D04D9">
        <w:tc>
          <w:tcPr>
            <w:tcW w:w="2972" w:type="dxa"/>
          </w:tcPr>
          <w:p w14:paraId="67E4337C" w14:textId="4D2A9F58"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lastRenderedPageBreak/>
              <w:t>00</w:t>
            </w:r>
            <w:r w:rsidR="0098577D">
              <w:rPr>
                <w:rFonts w:ascii="Palatino Linotype" w:hAnsi="Palatino Linotype"/>
                <w:b/>
                <w:bCs/>
                <w:color w:val="000000" w:themeColor="text1"/>
                <w:sz w:val="22"/>
                <w:szCs w:val="22"/>
              </w:rPr>
              <w:t>921</w:t>
            </w:r>
            <w:r w:rsidRPr="005D04D9">
              <w:rPr>
                <w:rFonts w:ascii="Palatino Linotype" w:hAnsi="Palatino Linotype"/>
                <w:b/>
                <w:bCs/>
                <w:color w:val="000000" w:themeColor="text1"/>
                <w:sz w:val="22"/>
                <w:szCs w:val="22"/>
              </w:rPr>
              <w:t>/IXTASAL/IP/2020</w:t>
            </w:r>
          </w:p>
        </w:tc>
        <w:tc>
          <w:tcPr>
            <w:tcW w:w="6082" w:type="dxa"/>
          </w:tcPr>
          <w:p w14:paraId="38980F5D" w14:textId="211A6CE9" w:rsidR="005D04D9" w:rsidRDefault="005D04D9" w:rsidP="005D04D9">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Obras Públicas o su equivalente para adjudicar y contratar la ejecución de obras del PAD (Programa de Ac</w:t>
            </w:r>
            <w:r w:rsidR="0098577D">
              <w:rPr>
                <w:rFonts w:ascii="Palatino Linotype" w:hAnsi="Palatino Linotype"/>
                <w:i/>
                <w:color w:val="000000"/>
                <w:sz w:val="22"/>
                <w:szCs w:val="22"/>
              </w:rPr>
              <w:t>ciones para el Desarrollo) 2020</w:t>
            </w:r>
            <w:r w:rsidRPr="00E80D02">
              <w:rPr>
                <w:rFonts w:ascii="Palatino Linotype" w:hAnsi="Palatino Linotype"/>
                <w:i/>
                <w:color w:val="000000"/>
                <w:sz w:val="22"/>
                <w:szCs w:val="22"/>
              </w:rPr>
              <w:t>.” (Sic)</w:t>
            </w:r>
          </w:p>
        </w:tc>
      </w:tr>
      <w:tr w:rsidR="005D04D9" w:rsidRPr="00405A19" w14:paraId="6B7990F6" w14:textId="77777777" w:rsidTr="005D04D9">
        <w:tc>
          <w:tcPr>
            <w:tcW w:w="2972" w:type="dxa"/>
          </w:tcPr>
          <w:p w14:paraId="3CD3A558" w14:textId="4CE7EF0D"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920</w:t>
            </w:r>
            <w:r w:rsidRPr="005D04D9">
              <w:rPr>
                <w:rFonts w:ascii="Palatino Linotype" w:hAnsi="Palatino Linotype"/>
                <w:b/>
                <w:bCs/>
                <w:color w:val="000000" w:themeColor="text1"/>
                <w:sz w:val="22"/>
                <w:szCs w:val="22"/>
              </w:rPr>
              <w:t>/IXTASAL/IP/2020</w:t>
            </w:r>
          </w:p>
        </w:tc>
        <w:tc>
          <w:tcPr>
            <w:tcW w:w="6082" w:type="dxa"/>
          </w:tcPr>
          <w:p w14:paraId="1E7AE395" w14:textId="52C8A11E"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Obras Públicas o su equivalente para adjudicar y contratar la ejecución de obras del PAD (Programa de Acciones para el Desarrollo) 2019.</w:t>
            </w:r>
            <w:r w:rsidRPr="00E80D02">
              <w:rPr>
                <w:rFonts w:ascii="Palatino Linotype" w:hAnsi="Palatino Linotype"/>
                <w:i/>
                <w:color w:val="000000"/>
                <w:sz w:val="22"/>
                <w:szCs w:val="22"/>
              </w:rPr>
              <w:t>” (Sic)</w:t>
            </w:r>
          </w:p>
        </w:tc>
      </w:tr>
      <w:tr w:rsidR="005D04D9" w:rsidRPr="00405A19" w14:paraId="54D1C75B" w14:textId="77777777" w:rsidTr="005D04D9">
        <w:tc>
          <w:tcPr>
            <w:tcW w:w="2972" w:type="dxa"/>
          </w:tcPr>
          <w:p w14:paraId="77977DF4" w14:textId="12643F04"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919</w:t>
            </w:r>
            <w:r w:rsidRPr="005D04D9">
              <w:rPr>
                <w:rFonts w:ascii="Palatino Linotype" w:hAnsi="Palatino Linotype"/>
                <w:b/>
                <w:bCs/>
                <w:color w:val="000000" w:themeColor="text1"/>
                <w:sz w:val="22"/>
                <w:szCs w:val="22"/>
              </w:rPr>
              <w:t>/IXTASAL/IP/2020</w:t>
            </w:r>
          </w:p>
        </w:tc>
        <w:tc>
          <w:tcPr>
            <w:tcW w:w="6082" w:type="dxa"/>
          </w:tcPr>
          <w:p w14:paraId="09C7E611" w14:textId="7B459685"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Adquisiciones y Servicios o su equivalente para adjudicar y contratar la ejecución de acciones del PAD (Programa de Acciones para el Desarrollo) 2020.</w:t>
            </w:r>
            <w:r w:rsidRPr="00E80D02">
              <w:rPr>
                <w:rFonts w:ascii="Palatino Linotype" w:hAnsi="Palatino Linotype"/>
                <w:i/>
                <w:color w:val="000000"/>
                <w:sz w:val="22"/>
                <w:szCs w:val="22"/>
              </w:rPr>
              <w:t>” (Sic)</w:t>
            </w:r>
          </w:p>
        </w:tc>
      </w:tr>
      <w:tr w:rsidR="005D04D9" w:rsidRPr="00405A19" w14:paraId="2E4B7A9A" w14:textId="77777777" w:rsidTr="005D04D9">
        <w:tc>
          <w:tcPr>
            <w:tcW w:w="2972" w:type="dxa"/>
          </w:tcPr>
          <w:p w14:paraId="150941F5" w14:textId="22DFB900"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918</w:t>
            </w:r>
            <w:r w:rsidRPr="005D04D9">
              <w:rPr>
                <w:rFonts w:ascii="Palatino Linotype" w:hAnsi="Palatino Linotype"/>
                <w:b/>
                <w:bCs/>
                <w:color w:val="000000" w:themeColor="text1"/>
                <w:sz w:val="22"/>
                <w:szCs w:val="22"/>
              </w:rPr>
              <w:t>/IXTASAL/IP/2020</w:t>
            </w:r>
          </w:p>
        </w:tc>
        <w:tc>
          <w:tcPr>
            <w:tcW w:w="6082" w:type="dxa"/>
          </w:tcPr>
          <w:p w14:paraId="1F3423BB" w14:textId="055C7A20"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Adquisiciones y Servicios o su equivalente para adjudicar y contratar la ejecución de acciones del PAD (Programa de Acciones para el Desarrollo) 2019.</w:t>
            </w:r>
            <w:r w:rsidRPr="00E80D02">
              <w:rPr>
                <w:rFonts w:ascii="Palatino Linotype" w:hAnsi="Palatino Linotype"/>
                <w:i/>
                <w:color w:val="000000"/>
                <w:sz w:val="22"/>
                <w:szCs w:val="22"/>
              </w:rPr>
              <w:t>” (Sic)</w:t>
            </w:r>
          </w:p>
        </w:tc>
      </w:tr>
      <w:tr w:rsidR="005D04D9" w:rsidRPr="00405A19" w14:paraId="269BAAB3" w14:textId="77777777" w:rsidTr="005D04D9">
        <w:tc>
          <w:tcPr>
            <w:tcW w:w="2972" w:type="dxa"/>
          </w:tcPr>
          <w:p w14:paraId="6F6129B3" w14:textId="67781341"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917</w:t>
            </w:r>
            <w:r w:rsidRPr="005D04D9">
              <w:rPr>
                <w:rFonts w:ascii="Palatino Linotype" w:hAnsi="Palatino Linotype"/>
                <w:b/>
                <w:bCs/>
                <w:color w:val="000000" w:themeColor="text1"/>
                <w:sz w:val="22"/>
                <w:szCs w:val="22"/>
              </w:rPr>
              <w:t>/IXTASAL/IP/2020</w:t>
            </w:r>
          </w:p>
        </w:tc>
        <w:tc>
          <w:tcPr>
            <w:tcW w:w="6082" w:type="dxa"/>
          </w:tcPr>
          <w:p w14:paraId="7D89B2C2" w14:textId="60F0B53B"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Adquisiciones y Servicios o su equivalente para adjudicar y contratar la ejecución de acciones del FEFOM 2020.</w:t>
            </w:r>
            <w:r w:rsidRPr="00E80D02">
              <w:rPr>
                <w:rFonts w:ascii="Palatino Linotype" w:hAnsi="Palatino Linotype"/>
                <w:i/>
                <w:color w:val="000000"/>
                <w:sz w:val="22"/>
                <w:szCs w:val="22"/>
              </w:rPr>
              <w:t>” (Sic)</w:t>
            </w:r>
          </w:p>
        </w:tc>
      </w:tr>
      <w:tr w:rsidR="005D04D9" w:rsidRPr="00405A19" w14:paraId="20AABB7D" w14:textId="77777777" w:rsidTr="005D04D9">
        <w:tc>
          <w:tcPr>
            <w:tcW w:w="2972" w:type="dxa"/>
          </w:tcPr>
          <w:p w14:paraId="09E0CF8C" w14:textId="29BC74B8"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916</w:t>
            </w:r>
            <w:r w:rsidRPr="005D04D9">
              <w:rPr>
                <w:rFonts w:ascii="Palatino Linotype" w:hAnsi="Palatino Linotype"/>
                <w:b/>
                <w:bCs/>
                <w:color w:val="000000" w:themeColor="text1"/>
                <w:sz w:val="22"/>
                <w:szCs w:val="22"/>
              </w:rPr>
              <w:t>/IXTASAL/IP/2020</w:t>
            </w:r>
          </w:p>
        </w:tc>
        <w:tc>
          <w:tcPr>
            <w:tcW w:w="6082" w:type="dxa"/>
          </w:tcPr>
          <w:p w14:paraId="1086DBCB" w14:textId="18B733E0"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Adquisiciones y Servicios o su equivalente para adjudicar y contratar la ejecución de acciones del FEFOM 2019.</w:t>
            </w:r>
            <w:r w:rsidRPr="00E80D02">
              <w:rPr>
                <w:rFonts w:ascii="Palatino Linotype" w:hAnsi="Palatino Linotype"/>
                <w:i/>
                <w:color w:val="000000"/>
                <w:sz w:val="22"/>
                <w:szCs w:val="22"/>
              </w:rPr>
              <w:t>” (Sic)</w:t>
            </w:r>
          </w:p>
        </w:tc>
      </w:tr>
      <w:tr w:rsidR="005D04D9" w:rsidRPr="00405A19" w14:paraId="67C30742" w14:textId="77777777" w:rsidTr="005D04D9">
        <w:tc>
          <w:tcPr>
            <w:tcW w:w="2972" w:type="dxa"/>
          </w:tcPr>
          <w:p w14:paraId="793698E6" w14:textId="264D62FF"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915</w:t>
            </w:r>
            <w:r w:rsidRPr="005D04D9">
              <w:rPr>
                <w:rFonts w:ascii="Palatino Linotype" w:hAnsi="Palatino Linotype"/>
                <w:b/>
                <w:bCs/>
                <w:color w:val="000000" w:themeColor="text1"/>
                <w:sz w:val="22"/>
                <w:szCs w:val="22"/>
              </w:rPr>
              <w:t>/IXTASAL/IP/2020</w:t>
            </w:r>
          </w:p>
        </w:tc>
        <w:tc>
          <w:tcPr>
            <w:tcW w:w="6082" w:type="dxa"/>
          </w:tcPr>
          <w:p w14:paraId="3E94A677" w14:textId="22302BF7"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Adquisiciones y Servicios o su equivalente para adjudicar y contratar la ejecución de acciones del FISMDF 2020 y FORTAMUNDF 2020.</w:t>
            </w:r>
            <w:r w:rsidRPr="00E80D02">
              <w:rPr>
                <w:rFonts w:ascii="Palatino Linotype" w:hAnsi="Palatino Linotype"/>
                <w:i/>
                <w:color w:val="000000"/>
                <w:sz w:val="22"/>
                <w:szCs w:val="22"/>
              </w:rPr>
              <w:t>” (Sic)</w:t>
            </w:r>
          </w:p>
        </w:tc>
      </w:tr>
      <w:tr w:rsidR="005D04D9" w:rsidRPr="00405A19" w14:paraId="243CF79D" w14:textId="77777777" w:rsidTr="005D04D9">
        <w:tc>
          <w:tcPr>
            <w:tcW w:w="2972" w:type="dxa"/>
          </w:tcPr>
          <w:p w14:paraId="14727F6E" w14:textId="605A5257"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914</w:t>
            </w:r>
            <w:r w:rsidRPr="005D04D9">
              <w:rPr>
                <w:rFonts w:ascii="Palatino Linotype" w:hAnsi="Palatino Linotype"/>
                <w:b/>
                <w:bCs/>
                <w:color w:val="000000" w:themeColor="text1"/>
                <w:sz w:val="22"/>
                <w:szCs w:val="22"/>
              </w:rPr>
              <w:t>/IXTASAL/IP/2020</w:t>
            </w:r>
          </w:p>
        </w:tc>
        <w:tc>
          <w:tcPr>
            <w:tcW w:w="6082" w:type="dxa"/>
          </w:tcPr>
          <w:p w14:paraId="078F6C5E" w14:textId="1DFD90E5"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Adquisiciones y Servicios o su equivalente para adjudicar y contratar la ejecución de acciones del FISMDF 2019 y FORTAMUNDF 2019.</w:t>
            </w:r>
            <w:r w:rsidRPr="00E80D02">
              <w:rPr>
                <w:rFonts w:ascii="Palatino Linotype" w:hAnsi="Palatino Linotype"/>
                <w:i/>
                <w:color w:val="000000"/>
                <w:sz w:val="22"/>
                <w:szCs w:val="22"/>
              </w:rPr>
              <w:t>” (Sic)</w:t>
            </w:r>
          </w:p>
        </w:tc>
      </w:tr>
      <w:tr w:rsidR="005D04D9" w:rsidRPr="00405A19" w14:paraId="2045999B" w14:textId="77777777" w:rsidTr="005D04D9">
        <w:tc>
          <w:tcPr>
            <w:tcW w:w="2972" w:type="dxa"/>
          </w:tcPr>
          <w:p w14:paraId="501BF8FE" w14:textId="0AD16B81"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913</w:t>
            </w:r>
            <w:r w:rsidRPr="005D04D9">
              <w:rPr>
                <w:rFonts w:ascii="Palatino Linotype" w:hAnsi="Palatino Linotype"/>
                <w:b/>
                <w:bCs/>
                <w:color w:val="000000" w:themeColor="text1"/>
                <w:sz w:val="22"/>
                <w:szCs w:val="22"/>
              </w:rPr>
              <w:t>/IXTASAL/IP/2020</w:t>
            </w:r>
          </w:p>
        </w:tc>
        <w:tc>
          <w:tcPr>
            <w:tcW w:w="6082" w:type="dxa"/>
          </w:tcPr>
          <w:p w14:paraId="5C2C0841" w14:textId="52451A70"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Obras Públicas para adjudicar y contratar la ejecución de las obras del FISMDF 2020 y FORTAMUNDF 2020.</w:t>
            </w:r>
            <w:r w:rsidRPr="00E80D02">
              <w:rPr>
                <w:rFonts w:ascii="Palatino Linotype" w:hAnsi="Palatino Linotype"/>
                <w:i/>
                <w:color w:val="000000"/>
                <w:sz w:val="22"/>
                <w:szCs w:val="22"/>
              </w:rPr>
              <w:t>” (Sic)</w:t>
            </w:r>
          </w:p>
        </w:tc>
      </w:tr>
      <w:tr w:rsidR="005D04D9" w:rsidRPr="00405A19" w14:paraId="2EFF35BB" w14:textId="77777777" w:rsidTr="005D04D9">
        <w:tc>
          <w:tcPr>
            <w:tcW w:w="2972" w:type="dxa"/>
          </w:tcPr>
          <w:p w14:paraId="1AC9ED82" w14:textId="62192FF5"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lastRenderedPageBreak/>
              <w:t>00</w:t>
            </w:r>
            <w:r w:rsidR="0098577D">
              <w:rPr>
                <w:rFonts w:ascii="Palatino Linotype" w:hAnsi="Palatino Linotype"/>
                <w:b/>
                <w:bCs/>
                <w:color w:val="000000" w:themeColor="text1"/>
                <w:sz w:val="22"/>
                <w:szCs w:val="22"/>
              </w:rPr>
              <w:t>912</w:t>
            </w:r>
            <w:r w:rsidRPr="005D04D9">
              <w:rPr>
                <w:rFonts w:ascii="Palatino Linotype" w:hAnsi="Palatino Linotype"/>
                <w:b/>
                <w:bCs/>
                <w:color w:val="000000" w:themeColor="text1"/>
                <w:sz w:val="22"/>
                <w:szCs w:val="22"/>
              </w:rPr>
              <w:t>/IXTASAL/IP/2020</w:t>
            </w:r>
          </w:p>
        </w:tc>
        <w:tc>
          <w:tcPr>
            <w:tcW w:w="6082" w:type="dxa"/>
          </w:tcPr>
          <w:p w14:paraId="4FA95A6F" w14:textId="0A4D706C" w:rsidR="005D04D9" w:rsidRDefault="005D04D9" w:rsidP="0098577D">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actas y cualquier documentación emitida por el Comité de Obras Públicas para adjudicar y contratar la ejecución de las obras del FISMDF 2019 y FORTAMUNDF 2019.</w:t>
            </w:r>
            <w:r w:rsidRPr="00E80D02">
              <w:rPr>
                <w:rFonts w:ascii="Palatino Linotype" w:hAnsi="Palatino Linotype"/>
                <w:i/>
                <w:color w:val="000000"/>
                <w:sz w:val="22"/>
                <w:szCs w:val="22"/>
              </w:rPr>
              <w:t>” (Sic)</w:t>
            </w:r>
          </w:p>
        </w:tc>
      </w:tr>
      <w:tr w:rsidR="005D04D9" w:rsidRPr="00405A19" w14:paraId="68594E1B" w14:textId="77777777" w:rsidTr="005D04D9">
        <w:tc>
          <w:tcPr>
            <w:tcW w:w="2972" w:type="dxa"/>
          </w:tcPr>
          <w:p w14:paraId="708A135D" w14:textId="5BE4DBB2"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865</w:t>
            </w:r>
            <w:r w:rsidRPr="005D04D9">
              <w:rPr>
                <w:rFonts w:ascii="Palatino Linotype" w:hAnsi="Palatino Linotype"/>
                <w:b/>
                <w:bCs/>
                <w:color w:val="000000" w:themeColor="text1"/>
                <w:sz w:val="22"/>
                <w:szCs w:val="22"/>
              </w:rPr>
              <w:t>/IXTASAL/IP/2020</w:t>
            </w:r>
          </w:p>
        </w:tc>
        <w:tc>
          <w:tcPr>
            <w:tcW w:w="6082" w:type="dxa"/>
          </w:tcPr>
          <w:p w14:paraId="7C15B8A3" w14:textId="20032D4C" w:rsidR="005D04D9" w:rsidRDefault="005D04D9" w:rsidP="003D45FE">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 concursos para ocupar cargos públicos y los resultados finales de los mismos durante el año 2020</w:t>
            </w:r>
            <w:r w:rsidRPr="00E80D02">
              <w:rPr>
                <w:rFonts w:ascii="Palatino Linotype" w:hAnsi="Palatino Linotype"/>
                <w:i/>
                <w:color w:val="000000"/>
                <w:sz w:val="22"/>
                <w:szCs w:val="22"/>
              </w:rPr>
              <w:t>.” (Sic)</w:t>
            </w:r>
          </w:p>
        </w:tc>
      </w:tr>
      <w:tr w:rsidR="005D04D9" w:rsidRPr="00405A19" w14:paraId="1B32B62D" w14:textId="77777777" w:rsidTr="005D04D9">
        <w:tc>
          <w:tcPr>
            <w:tcW w:w="2972" w:type="dxa"/>
          </w:tcPr>
          <w:p w14:paraId="3611675F" w14:textId="41FBCD01" w:rsidR="005D04D9" w:rsidRPr="005D04D9" w:rsidRDefault="005D04D9" w:rsidP="005D04D9">
            <w:pPr>
              <w:spacing w:line="360" w:lineRule="auto"/>
              <w:ind w:right="333"/>
              <w:jc w:val="both"/>
              <w:rPr>
                <w:rFonts w:ascii="Palatino Linotype" w:hAnsi="Palatino Linotype"/>
                <w:b/>
                <w:bCs/>
                <w:color w:val="000000" w:themeColor="text1"/>
                <w:sz w:val="22"/>
                <w:szCs w:val="22"/>
              </w:rPr>
            </w:pPr>
            <w:r w:rsidRPr="005D04D9">
              <w:rPr>
                <w:rFonts w:ascii="Palatino Linotype" w:hAnsi="Palatino Linotype"/>
                <w:b/>
                <w:bCs/>
                <w:color w:val="000000" w:themeColor="text1"/>
                <w:sz w:val="22"/>
                <w:szCs w:val="22"/>
              </w:rPr>
              <w:t>00</w:t>
            </w:r>
            <w:r w:rsidR="0098577D">
              <w:rPr>
                <w:rFonts w:ascii="Palatino Linotype" w:hAnsi="Palatino Linotype"/>
                <w:b/>
                <w:bCs/>
                <w:color w:val="000000" w:themeColor="text1"/>
                <w:sz w:val="22"/>
                <w:szCs w:val="22"/>
              </w:rPr>
              <w:t>864</w:t>
            </w:r>
            <w:r w:rsidRPr="005D04D9">
              <w:rPr>
                <w:rFonts w:ascii="Palatino Linotype" w:hAnsi="Palatino Linotype"/>
                <w:b/>
                <w:bCs/>
                <w:color w:val="000000" w:themeColor="text1"/>
                <w:sz w:val="22"/>
                <w:szCs w:val="22"/>
              </w:rPr>
              <w:t>/IXTASAL/IP/2020</w:t>
            </w:r>
          </w:p>
        </w:tc>
        <w:tc>
          <w:tcPr>
            <w:tcW w:w="6082" w:type="dxa"/>
          </w:tcPr>
          <w:p w14:paraId="54B7688C" w14:textId="6387F031" w:rsidR="005D04D9" w:rsidRDefault="005D04D9" w:rsidP="003D45FE">
            <w:pPr>
              <w:jc w:val="both"/>
              <w:rPr>
                <w:rFonts w:ascii="Palatino Linotype" w:hAnsi="Palatino Linotype"/>
                <w:i/>
                <w:color w:val="000000"/>
                <w:sz w:val="22"/>
                <w:szCs w:val="22"/>
              </w:rPr>
            </w:pPr>
            <w:r w:rsidRPr="00E80D02">
              <w:rPr>
                <w:rFonts w:ascii="Palatino Linotype" w:hAnsi="Palatino Linotype"/>
                <w:i/>
                <w:color w:val="000000"/>
                <w:sz w:val="22"/>
                <w:szCs w:val="22"/>
              </w:rPr>
              <w:t>“</w:t>
            </w:r>
            <w:r w:rsidR="0098577D" w:rsidRPr="0098577D">
              <w:rPr>
                <w:rFonts w:ascii="Palatino Linotype" w:hAnsi="Palatino Linotype"/>
                <w:i/>
                <w:color w:val="000000"/>
                <w:sz w:val="22"/>
                <w:szCs w:val="22"/>
              </w:rPr>
              <w:t>Todas las convocatorias a concursos para ocupar cargos públicos y los resultados finales de los mismos durante el año 2019.</w:t>
            </w:r>
            <w:r w:rsidRPr="00E80D02">
              <w:rPr>
                <w:rFonts w:ascii="Palatino Linotype" w:hAnsi="Palatino Linotype"/>
                <w:i/>
                <w:color w:val="000000"/>
                <w:sz w:val="22"/>
                <w:szCs w:val="22"/>
              </w:rPr>
              <w:t>” (Sic)</w:t>
            </w:r>
          </w:p>
        </w:tc>
      </w:tr>
    </w:tbl>
    <w:p w14:paraId="6601F6E5" w14:textId="77777777" w:rsidR="00FE2D41" w:rsidRPr="00405A19" w:rsidRDefault="00FE2D41" w:rsidP="00405A19">
      <w:pPr>
        <w:spacing w:line="360" w:lineRule="auto"/>
        <w:ind w:right="333"/>
        <w:jc w:val="both"/>
        <w:rPr>
          <w:rFonts w:ascii="Palatino Linotype" w:hAnsi="Palatino Linotype"/>
          <w:i/>
          <w:color w:val="000000"/>
          <w:lang w:val="es-ES"/>
        </w:rPr>
      </w:pPr>
    </w:p>
    <w:p w14:paraId="50BB2322" w14:textId="4DB60B15" w:rsidR="00BC2CF8" w:rsidRPr="003D45FE" w:rsidRDefault="00BC2CF8" w:rsidP="00DA3F4B">
      <w:pPr>
        <w:pStyle w:val="Prrafodelista"/>
        <w:numPr>
          <w:ilvl w:val="0"/>
          <w:numId w:val="4"/>
        </w:numPr>
        <w:spacing w:line="360" w:lineRule="auto"/>
        <w:ind w:left="851" w:right="34"/>
        <w:jc w:val="both"/>
        <w:rPr>
          <w:rFonts w:ascii="Palatino Linotype" w:hAnsi="Palatino Linotype"/>
          <w:b/>
        </w:rPr>
      </w:pPr>
      <w:r w:rsidRPr="00D707F7">
        <w:rPr>
          <w:rFonts w:ascii="Palatino Linotype" w:eastAsia="Times New Roman" w:hAnsi="Palatino Linotype" w:cs="Arial"/>
          <w:lang w:val="es-ES"/>
        </w:rPr>
        <w:t>Se eligió como modalidad de entrega de la información</w:t>
      </w:r>
      <w:r w:rsidRPr="00D707F7">
        <w:rPr>
          <w:rFonts w:ascii="Palatino Linotype" w:hAnsi="Palatino Linotype"/>
        </w:rPr>
        <w:t xml:space="preserve">: </w:t>
      </w:r>
      <w:r w:rsidR="00DA3F4B" w:rsidRPr="00DA3F4B">
        <w:rPr>
          <w:rFonts w:ascii="Palatino Linotype" w:hAnsi="Palatino Linotype"/>
        </w:rPr>
        <w:t xml:space="preserve">A través del </w:t>
      </w:r>
      <w:r w:rsidR="003D45FE">
        <w:rPr>
          <w:rFonts w:ascii="Palatino Linotype" w:hAnsi="Palatino Linotype"/>
        </w:rPr>
        <w:t xml:space="preserve">Sistema de Acceso a la Información Mexiquense </w:t>
      </w:r>
      <w:r w:rsidR="003D45FE" w:rsidRPr="003D45FE">
        <w:rPr>
          <w:rFonts w:ascii="Palatino Linotype" w:hAnsi="Palatino Linotype"/>
          <w:b/>
        </w:rPr>
        <w:t>(</w:t>
      </w:r>
      <w:r w:rsidR="00DA3F4B" w:rsidRPr="003D45FE">
        <w:rPr>
          <w:rFonts w:ascii="Palatino Linotype" w:hAnsi="Palatino Linotype"/>
          <w:b/>
        </w:rPr>
        <w:t>SAIMEX</w:t>
      </w:r>
      <w:r w:rsidR="003D45FE">
        <w:rPr>
          <w:rFonts w:ascii="Palatino Linotype" w:hAnsi="Palatino Linotype"/>
          <w:b/>
        </w:rPr>
        <w:t>).</w:t>
      </w:r>
    </w:p>
    <w:p w14:paraId="62DC6BA6" w14:textId="77777777" w:rsidR="007F76E9" w:rsidRPr="00D707F7" w:rsidRDefault="007F76E9" w:rsidP="007F76E9">
      <w:pPr>
        <w:pStyle w:val="Prrafodelista"/>
        <w:spacing w:line="360" w:lineRule="auto"/>
        <w:ind w:left="851" w:right="34"/>
        <w:jc w:val="both"/>
        <w:rPr>
          <w:rFonts w:ascii="Palatino Linotype" w:hAnsi="Palatino Linotype"/>
        </w:rPr>
      </w:pPr>
    </w:p>
    <w:p w14:paraId="60405CA1" w14:textId="15D80F42" w:rsidR="00C90ADB" w:rsidRPr="001F15FF" w:rsidRDefault="008605A7" w:rsidP="001F15FF">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sz w:val="22"/>
          <w:lang w:val="es-MX"/>
        </w:rPr>
      </w:pPr>
      <w:r w:rsidRPr="001F15FF">
        <w:rPr>
          <w:rFonts w:ascii="Palatino Linotype" w:eastAsia="Times New Roman" w:hAnsi="Palatino Linotype" w:cs="Arial"/>
          <w:color w:val="000000" w:themeColor="text1"/>
          <w:lang w:val="es-ES"/>
        </w:rPr>
        <w:t>El</w:t>
      </w:r>
      <w:r w:rsidR="00FF45A1" w:rsidRPr="001F15FF">
        <w:rPr>
          <w:rFonts w:ascii="Palatino Linotype" w:hAnsi="Palatino Linotype" w:cs="Arial"/>
          <w:color w:val="000000" w:themeColor="text1"/>
        </w:rPr>
        <w:t xml:space="preserve"> </w:t>
      </w:r>
      <w:r w:rsidR="003D45FE">
        <w:rPr>
          <w:rFonts w:ascii="Palatino Linotype" w:hAnsi="Palatino Linotype" w:cs="Arial"/>
          <w:color w:val="000000" w:themeColor="text1"/>
        </w:rPr>
        <w:t>veintiocho</w:t>
      </w:r>
      <w:r w:rsidR="007F76E9" w:rsidRPr="001F15FF">
        <w:rPr>
          <w:rFonts w:ascii="Palatino Linotype" w:hAnsi="Palatino Linotype" w:cs="Arial"/>
          <w:color w:val="000000" w:themeColor="text1"/>
        </w:rPr>
        <w:t xml:space="preserve"> (2</w:t>
      </w:r>
      <w:r w:rsidR="003D45FE">
        <w:rPr>
          <w:rFonts w:ascii="Palatino Linotype" w:hAnsi="Palatino Linotype" w:cs="Arial"/>
          <w:color w:val="000000" w:themeColor="text1"/>
        </w:rPr>
        <w:t>8</w:t>
      </w:r>
      <w:r w:rsidR="007F76E9" w:rsidRPr="001F15FF">
        <w:rPr>
          <w:rFonts w:ascii="Palatino Linotype" w:hAnsi="Palatino Linotype" w:cs="Arial"/>
          <w:color w:val="000000" w:themeColor="text1"/>
        </w:rPr>
        <w:t xml:space="preserve">) </w:t>
      </w:r>
      <w:r w:rsidR="00C90ADB" w:rsidRPr="001F15FF">
        <w:rPr>
          <w:rFonts w:ascii="Palatino Linotype" w:hAnsi="Palatino Linotype" w:cs="Arial"/>
          <w:color w:val="000000" w:themeColor="text1"/>
        </w:rPr>
        <w:t xml:space="preserve">de </w:t>
      </w:r>
      <w:r w:rsidR="00FF45A1" w:rsidRPr="001F15FF">
        <w:rPr>
          <w:rFonts w:ascii="Palatino Linotype" w:hAnsi="Palatino Linotype" w:cs="Arial"/>
          <w:color w:val="000000" w:themeColor="text1"/>
        </w:rPr>
        <w:t>juli</w:t>
      </w:r>
      <w:r w:rsidR="00C90ADB" w:rsidRPr="001F15FF">
        <w:rPr>
          <w:rFonts w:ascii="Palatino Linotype" w:hAnsi="Palatino Linotype" w:cs="Arial"/>
          <w:color w:val="000000" w:themeColor="text1"/>
        </w:rPr>
        <w:t xml:space="preserve">o de dos mil veinte, el </w:t>
      </w:r>
      <w:r w:rsidR="00C90ADB" w:rsidRPr="001F15FF">
        <w:rPr>
          <w:rFonts w:ascii="Palatino Linotype" w:hAnsi="Palatino Linotype" w:cs="Arial"/>
          <w:b/>
          <w:color w:val="000000" w:themeColor="text1"/>
        </w:rPr>
        <w:t xml:space="preserve">SUJETO </w:t>
      </w:r>
      <w:r w:rsidR="004C232A" w:rsidRPr="001F15FF">
        <w:rPr>
          <w:rFonts w:ascii="Palatino Linotype" w:hAnsi="Palatino Linotype" w:cs="Arial"/>
          <w:b/>
          <w:color w:val="000000" w:themeColor="text1"/>
        </w:rPr>
        <w:t>OBLIGADO,</w:t>
      </w:r>
      <w:r w:rsidR="004C232A" w:rsidRPr="001F15FF">
        <w:rPr>
          <w:rFonts w:ascii="Palatino Linotype" w:hAnsi="Palatino Linotype" w:cs="Arial"/>
          <w:color w:val="000000" w:themeColor="text1"/>
        </w:rPr>
        <w:t xml:space="preserve"> respondió</w:t>
      </w:r>
      <w:r w:rsidR="00C90ADB" w:rsidRPr="001F15FF">
        <w:rPr>
          <w:rFonts w:ascii="Palatino Linotype" w:hAnsi="Palatino Linotype" w:cs="Arial"/>
          <w:color w:val="000000" w:themeColor="text1"/>
        </w:rPr>
        <w:t xml:space="preserve"> a </w:t>
      </w:r>
      <w:r w:rsidR="007F76E9" w:rsidRPr="001F15FF">
        <w:rPr>
          <w:rFonts w:ascii="Palatino Linotype" w:hAnsi="Palatino Linotype" w:cs="Arial"/>
          <w:color w:val="000000" w:themeColor="text1"/>
        </w:rPr>
        <w:t xml:space="preserve">cada una de las solicitudes de información, a </w:t>
      </w:r>
      <w:r w:rsidR="00C90ADB" w:rsidRPr="001F15FF">
        <w:rPr>
          <w:rFonts w:ascii="Palatino Linotype" w:hAnsi="Palatino Linotype" w:cs="Arial"/>
          <w:color w:val="000000" w:themeColor="text1"/>
        </w:rPr>
        <w:t xml:space="preserve">través </w:t>
      </w:r>
      <w:r w:rsidR="00FF45A1" w:rsidRPr="001F15FF">
        <w:rPr>
          <w:rFonts w:ascii="Palatino Linotype" w:hAnsi="Palatino Linotype" w:cs="Arial"/>
          <w:color w:val="000000" w:themeColor="text1"/>
        </w:rPr>
        <w:t xml:space="preserve">del archivo electrónico </w:t>
      </w:r>
      <w:r w:rsidRPr="001F15FF">
        <w:rPr>
          <w:rFonts w:ascii="Palatino Linotype" w:hAnsi="Palatino Linotype" w:cs="Arial"/>
          <w:b/>
          <w:color w:val="000000" w:themeColor="text1"/>
        </w:rPr>
        <w:t>IXTASAL-CT-001</w:t>
      </w:r>
      <w:r w:rsidR="003D45FE">
        <w:rPr>
          <w:rFonts w:ascii="Palatino Linotype" w:hAnsi="Palatino Linotype" w:cs="Arial"/>
          <w:b/>
          <w:color w:val="000000" w:themeColor="text1"/>
        </w:rPr>
        <w:t>6</w:t>
      </w:r>
      <w:r w:rsidR="00092198" w:rsidRPr="001F15FF">
        <w:rPr>
          <w:rFonts w:ascii="Palatino Linotype" w:hAnsi="Palatino Linotype" w:cs="Arial"/>
          <w:b/>
          <w:color w:val="000000" w:themeColor="text1"/>
        </w:rPr>
        <w:t>EXT-2020.pdf</w:t>
      </w:r>
      <w:r w:rsidR="00FF45A1" w:rsidRPr="001F15FF">
        <w:rPr>
          <w:rFonts w:ascii="Palatino Linotype" w:hAnsi="Palatino Linotype" w:cs="Arial"/>
          <w:color w:val="000000" w:themeColor="text1"/>
        </w:rPr>
        <w:t xml:space="preserve"> que corresponde</w:t>
      </w:r>
      <w:r w:rsidR="00952F61" w:rsidRPr="001F15FF">
        <w:rPr>
          <w:rFonts w:ascii="Palatino Linotype" w:hAnsi="Palatino Linotype" w:cs="Arial"/>
          <w:color w:val="000000" w:themeColor="text1"/>
        </w:rPr>
        <w:t xml:space="preserve"> al Acta de la </w:t>
      </w:r>
      <w:r w:rsidR="003D45FE">
        <w:rPr>
          <w:rFonts w:ascii="Palatino Linotype" w:hAnsi="Palatino Linotype" w:cs="Arial"/>
          <w:color w:val="000000" w:themeColor="text1"/>
        </w:rPr>
        <w:t>D</w:t>
      </w:r>
      <w:r w:rsidR="00DC696B" w:rsidRPr="001F15FF">
        <w:rPr>
          <w:rFonts w:ascii="Palatino Linotype" w:hAnsi="Palatino Linotype" w:cs="Arial"/>
          <w:color w:val="000000" w:themeColor="text1"/>
        </w:rPr>
        <w:t>écimo</w:t>
      </w:r>
      <w:r w:rsidR="003D45FE">
        <w:rPr>
          <w:rFonts w:ascii="Palatino Linotype" w:hAnsi="Palatino Linotype" w:cs="Arial"/>
          <w:color w:val="000000" w:themeColor="text1"/>
        </w:rPr>
        <w:t xml:space="preserve"> Sexta</w:t>
      </w:r>
      <w:r w:rsidR="00952F61" w:rsidRPr="001F15FF">
        <w:rPr>
          <w:rFonts w:ascii="Palatino Linotype" w:hAnsi="Palatino Linotype" w:cs="Arial"/>
          <w:color w:val="000000" w:themeColor="text1"/>
        </w:rPr>
        <w:t xml:space="preserve"> </w:t>
      </w:r>
      <w:r w:rsidR="003D45FE">
        <w:rPr>
          <w:rFonts w:ascii="Palatino Linotype" w:hAnsi="Palatino Linotype" w:cs="Arial"/>
          <w:color w:val="000000" w:themeColor="text1"/>
        </w:rPr>
        <w:t>S</w:t>
      </w:r>
      <w:r w:rsidR="00DC696B" w:rsidRPr="001F15FF">
        <w:rPr>
          <w:rFonts w:ascii="Palatino Linotype" w:hAnsi="Palatino Linotype" w:cs="Arial"/>
          <w:color w:val="000000" w:themeColor="text1"/>
        </w:rPr>
        <w:t xml:space="preserve">esión </w:t>
      </w:r>
      <w:r w:rsidR="003D45FE">
        <w:rPr>
          <w:rFonts w:ascii="Palatino Linotype" w:hAnsi="Palatino Linotype" w:cs="Arial"/>
          <w:color w:val="000000" w:themeColor="text1"/>
        </w:rPr>
        <w:t>E</w:t>
      </w:r>
      <w:r w:rsidR="00952F61" w:rsidRPr="001F15FF">
        <w:rPr>
          <w:rFonts w:ascii="Palatino Linotype" w:hAnsi="Palatino Linotype" w:cs="Arial"/>
          <w:color w:val="000000" w:themeColor="text1"/>
        </w:rPr>
        <w:t xml:space="preserve">xtraordinaria del Comité de Transparencia de fecha </w:t>
      </w:r>
      <w:r w:rsidR="003D45FE">
        <w:rPr>
          <w:rFonts w:ascii="Palatino Linotype" w:hAnsi="Palatino Linotype" w:cs="Arial"/>
          <w:color w:val="000000" w:themeColor="text1"/>
        </w:rPr>
        <w:t>nueve</w:t>
      </w:r>
      <w:r w:rsidR="00952F61" w:rsidRPr="001F15FF">
        <w:rPr>
          <w:rFonts w:ascii="Palatino Linotype" w:hAnsi="Palatino Linotype" w:cs="Arial"/>
          <w:color w:val="000000" w:themeColor="text1"/>
        </w:rPr>
        <w:t xml:space="preserve"> de julio</w:t>
      </w:r>
      <w:r w:rsidR="003D45FE">
        <w:rPr>
          <w:rFonts w:ascii="Palatino Linotype" w:hAnsi="Palatino Linotype" w:cs="Arial"/>
          <w:color w:val="000000" w:themeColor="text1"/>
        </w:rPr>
        <w:t xml:space="preserve"> del año que transcurre,</w:t>
      </w:r>
      <w:r w:rsidR="00952F61" w:rsidRPr="001F15FF">
        <w:rPr>
          <w:rFonts w:ascii="Palatino Linotype" w:hAnsi="Palatino Linotype" w:cs="Arial"/>
          <w:color w:val="000000" w:themeColor="text1"/>
        </w:rPr>
        <w:t xml:space="preserve"> </w:t>
      </w:r>
      <w:r w:rsidRPr="001F15FF">
        <w:rPr>
          <w:rFonts w:ascii="Palatino Linotype" w:hAnsi="Palatino Linotype" w:cs="Arial"/>
          <w:color w:val="000000" w:themeColor="text1"/>
        </w:rPr>
        <w:t xml:space="preserve">en la que se aprueba en el punto dos del orden del día el </w:t>
      </w:r>
      <w:r w:rsidRPr="001F15FF">
        <w:rPr>
          <w:rFonts w:ascii="Palatino Linotype" w:hAnsi="Palatino Linotype" w:cs="Arial"/>
          <w:b/>
          <w:color w:val="000000" w:themeColor="text1"/>
        </w:rPr>
        <w:t>cambio de modalidad de ent</w:t>
      </w:r>
      <w:r w:rsidR="004C232A">
        <w:rPr>
          <w:rFonts w:ascii="Palatino Linotype" w:hAnsi="Palatino Linotype" w:cs="Arial"/>
          <w:b/>
          <w:color w:val="000000" w:themeColor="text1"/>
        </w:rPr>
        <w:t xml:space="preserve">rega de la información a consulta directa </w:t>
      </w:r>
      <w:r w:rsidR="001F15FF">
        <w:rPr>
          <w:rFonts w:ascii="Palatino Linotype" w:hAnsi="Palatino Linotype" w:cs="Arial"/>
          <w:color w:val="000000" w:themeColor="text1"/>
        </w:rPr>
        <w:t xml:space="preserve">de diversas solicitudes. </w:t>
      </w:r>
    </w:p>
    <w:p w14:paraId="33F71275" w14:textId="77777777" w:rsidR="00C90ADB" w:rsidRDefault="00C90ADB" w:rsidP="00C90ADB">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3F475C7B" w:rsidR="00CB3448" w:rsidRPr="00D707F7"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D707F7">
        <w:rPr>
          <w:rFonts w:ascii="Palatino Linotype" w:eastAsia="Times New Roman" w:hAnsi="Palatino Linotype" w:cs="Arial"/>
          <w:color w:val="000000" w:themeColor="text1"/>
          <w:lang w:val="es-ES"/>
        </w:rPr>
        <w:t xml:space="preserve">En fecha </w:t>
      </w:r>
      <w:r w:rsidR="00DA3F4B">
        <w:rPr>
          <w:rFonts w:ascii="Palatino Linotype" w:eastAsia="Times New Roman" w:hAnsi="Palatino Linotype" w:cs="Arial"/>
          <w:color w:val="000000" w:themeColor="text1"/>
          <w:lang w:val="es-ES"/>
        </w:rPr>
        <w:t>dieciocho</w:t>
      </w:r>
      <w:r w:rsidR="00715488"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w:t>
      </w:r>
      <w:r w:rsidR="00C93405" w:rsidRPr="00D707F7">
        <w:rPr>
          <w:rFonts w:ascii="Palatino Linotype" w:eastAsia="Times New Roman" w:hAnsi="Palatino Linotype" w:cs="Arial"/>
          <w:color w:val="000000" w:themeColor="text1"/>
          <w:lang w:val="es-ES"/>
        </w:rPr>
        <w:t>1</w:t>
      </w:r>
      <w:r w:rsidR="006A058A">
        <w:rPr>
          <w:rFonts w:ascii="Palatino Linotype" w:eastAsia="Times New Roman" w:hAnsi="Palatino Linotype" w:cs="Arial"/>
          <w:color w:val="000000" w:themeColor="text1"/>
          <w:lang w:val="es-ES"/>
        </w:rPr>
        <w:t>8) de agost</w:t>
      </w:r>
      <w:r w:rsidR="00372AE1" w:rsidRPr="00D707F7">
        <w:rPr>
          <w:rFonts w:ascii="Palatino Linotype" w:eastAsia="Times New Roman" w:hAnsi="Palatino Linotype" w:cs="Arial"/>
          <w:color w:val="000000" w:themeColor="text1"/>
          <w:lang w:val="es-ES"/>
        </w:rPr>
        <w:t>o</w:t>
      </w:r>
      <w:r w:rsidRPr="00D707F7">
        <w:rPr>
          <w:rFonts w:ascii="Palatino Linotype" w:eastAsia="Times New Roman" w:hAnsi="Palatino Linotype" w:cs="Arial"/>
          <w:color w:val="000000" w:themeColor="text1"/>
          <w:lang w:val="es-ES"/>
        </w:rPr>
        <w:t xml:space="preserve"> de</w:t>
      </w:r>
      <w:r w:rsidR="00C965D0" w:rsidRPr="00D707F7">
        <w:rPr>
          <w:rFonts w:ascii="Palatino Linotype" w:eastAsia="Times New Roman" w:hAnsi="Palatino Linotype" w:cs="Arial"/>
          <w:color w:val="000000" w:themeColor="text1"/>
          <w:lang w:val="es-ES"/>
        </w:rPr>
        <w:t xml:space="preserve"> dos mil ve</w:t>
      </w:r>
      <w:r w:rsidR="00372AE1" w:rsidRPr="00D707F7">
        <w:rPr>
          <w:rFonts w:ascii="Palatino Linotype" w:eastAsia="Times New Roman" w:hAnsi="Palatino Linotype" w:cs="Arial"/>
          <w:color w:val="000000" w:themeColor="text1"/>
          <w:lang w:val="es-ES"/>
        </w:rPr>
        <w:t>inte</w:t>
      </w:r>
      <w:r w:rsidR="006A058A">
        <w:rPr>
          <w:rFonts w:ascii="Palatino Linotype" w:eastAsia="Times New Roman" w:hAnsi="Palatino Linotype" w:cs="Arial"/>
          <w:color w:val="000000" w:themeColor="text1"/>
          <w:lang w:val="es-ES"/>
        </w:rPr>
        <w:t xml:space="preserve">, el particular interpuso </w:t>
      </w:r>
      <w:r w:rsidRPr="00D707F7">
        <w:rPr>
          <w:rFonts w:ascii="Palatino Linotype" w:eastAsia="Times New Roman" w:hAnsi="Palatino Linotype" w:cs="Arial"/>
          <w:color w:val="000000" w:themeColor="text1"/>
          <w:lang w:val="es-ES"/>
        </w:rPr>
        <w:t>l</w:t>
      </w:r>
      <w:r w:rsidR="006A058A">
        <w:rPr>
          <w:rFonts w:ascii="Palatino Linotype" w:eastAsia="Times New Roman" w:hAnsi="Palatino Linotype" w:cs="Arial"/>
          <w:color w:val="000000" w:themeColor="text1"/>
          <w:lang w:val="es-ES"/>
        </w:rPr>
        <w:t>os</w:t>
      </w:r>
      <w:r w:rsidRPr="00D707F7">
        <w:rPr>
          <w:rFonts w:ascii="Palatino Linotype" w:eastAsia="Times New Roman" w:hAnsi="Palatino Linotype" w:cs="Arial"/>
          <w:color w:val="000000" w:themeColor="text1"/>
          <w:lang w:val="es-ES"/>
        </w:rPr>
        <w:t xml:space="preserve"> recurso</w:t>
      </w:r>
      <w:r w:rsidR="006A058A">
        <w:rPr>
          <w:rFonts w:ascii="Palatino Linotype" w:eastAsia="Times New Roman" w:hAnsi="Palatino Linotype" w:cs="Arial"/>
          <w:color w:val="000000" w:themeColor="text1"/>
          <w:lang w:val="es-ES"/>
        </w:rPr>
        <w:t>s</w:t>
      </w:r>
      <w:r w:rsidRPr="00D707F7">
        <w:rPr>
          <w:rFonts w:ascii="Palatino Linotype" w:eastAsia="Times New Roman" w:hAnsi="Palatino Linotype" w:cs="Arial"/>
          <w:color w:val="000000" w:themeColor="text1"/>
          <w:lang w:val="es-ES"/>
        </w:rPr>
        <w:t xml:space="preserve"> de revisión en contra de la</w:t>
      </w:r>
      <w:r w:rsidR="007F76E9">
        <w:rPr>
          <w:rFonts w:ascii="Palatino Linotype" w:eastAsia="Times New Roman" w:hAnsi="Palatino Linotype" w:cs="Arial"/>
          <w:color w:val="000000" w:themeColor="text1"/>
          <w:lang w:val="es-ES"/>
        </w:rPr>
        <w:t>s</w:t>
      </w:r>
      <w:r w:rsidR="00372AE1" w:rsidRPr="00D707F7">
        <w:rPr>
          <w:rFonts w:ascii="Palatino Linotype" w:eastAsia="Times New Roman" w:hAnsi="Palatino Linotype" w:cs="Arial"/>
          <w:color w:val="000000" w:themeColor="text1"/>
          <w:lang w:val="es-ES"/>
        </w:rPr>
        <w:t xml:space="preserve"> </w:t>
      </w:r>
      <w:r w:rsidRPr="00D707F7">
        <w:rPr>
          <w:rFonts w:ascii="Palatino Linotype" w:eastAsia="Times New Roman" w:hAnsi="Palatino Linotype" w:cs="Arial"/>
          <w:color w:val="000000" w:themeColor="text1"/>
          <w:lang w:val="es-ES"/>
        </w:rPr>
        <w:t>respuesta</w:t>
      </w:r>
      <w:r w:rsidR="007F76E9">
        <w:rPr>
          <w:rFonts w:ascii="Palatino Linotype" w:eastAsia="Times New Roman" w:hAnsi="Palatino Linotype" w:cs="Arial"/>
          <w:color w:val="000000" w:themeColor="text1"/>
          <w:lang w:val="es-ES"/>
        </w:rPr>
        <w:t>s</w:t>
      </w:r>
      <w:r w:rsidR="003D45FE">
        <w:rPr>
          <w:rFonts w:ascii="Palatino Linotype" w:eastAsia="Times New Roman" w:hAnsi="Palatino Linotype" w:cs="Arial"/>
          <w:color w:val="000000" w:themeColor="text1"/>
          <w:lang w:val="es-ES"/>
        </w:rPr>
        <w:t xml:space="preserve">, en los cuales manifestó los mismos </w:t>
      </w:r>
      <w:r w:rsidR="00CD6BD3">
        <w:rPr>
          <w:rFonts w:ascii="Palatino Linotype" w:eastAsia="Times New Roman" w:hAnsi="Palatino Linotype" w:cs="Arial"/>
          <w:color w:val="000000" w:themeColor="text1"/>
          <w:lang w:val="es-ES"/>
        </w:rPr>
        <w:t>argumentos</w:t>
      </w:r>
      <w:r w:rsidRPr="00D707F7">
        <w:rPr>
          <w:rFonts w:ascii="Palatino Linotype" w:eastAsia="Times New Roman" w:hAnsi="Palatino Linotype" w:cs="Arial"/>
          <w:color w:val="000000" w:themeColor="text1"/>
          <w:lang w:val="es-ES"/>
        </w:rPr>
        <w:t xml:space="preserve">, </w:t>
      </w:r>
      <w:r w:rsidR="00CD6BD3">
        <w:rPr>
          <w:rFonts w:ascii="Palatino Linotype" w:eastAsia="Times New Roman" w:hAnsi="Palatino Linotype" w:cs="Arial"/>
          <w:color w:val="000000" w:themeColor="text1"/>
          <w:lang w:val="es-ES"/>
        </w:rPr>
        <w:t xml:space="preserve">por lo que en obvio de repeticiones innecesarias se transcribe el </w:t>
      </w:r>
      <w:r w:rsidR="003D45FE">
        <w:rPr>
          <w:rFonts w:ascii="Palatino Linotype" w:eastAsia="Times New Roman" w:hAnsi="Palatino Linotype" w:cs="Arial"/>
          <w:color w:val="000000" w:themeColor="text1"/>
          <w:lang w:val="es-ES"/>
        </w:rPr>
        <w:t>acto impugnado y las razones o motivos de inconformidad del uno de los medios de impugnación</w:t>
      </w:r>
      <w:r w:rsidR="00CD6BD3">
        <w:rPr>
          <w:rFonts w:ascii="Palatino Linotype" w:eastAsia="Times New Roman" w:hAnsi="Palatino Linotype" w:cs="Arial"/>
          <w:color w:val="000000" w:themeColor="text1"/>
          <w:lang w:val="es-ES"/>
        </w:rPr>
        <w:t xml:space="preserve"> acumulados</w:t>
      </w:r>
      <w:r w:rsidRPr="00D707F7">
        <w:rPr>
          <w:rFonts w:ascii="Palatino Linotype" w:eastAsia="Times New Roman" w:hAnsi="Palatino Linotype" w:cs="Arial"/>
          <w:color w:val="000000" w:themeColor="text1"/>
          <w:lang w:val="es-ES"/>
        </w:rPr>
        <w:t>:</w:t>
      </w:r>
    </w:p>
    <w:p w14:paraId="5CD56B6D" w14:textId="77777777" w:rsidR="00A33176" w:rsidRDefault="00CD6BD3" w:rsidP="00A33176">
      <w:pPr>
        <w:spacing w:line="360" w:lineRule="auto"/>
        <w:ind w:left="360" w:right="34"/>
        <w:jc w:val="both"/>
        <w:rPr>
          <w:rFonts w:ascii="Palatino Linotype" w:hAnsi="Palatino Linotype"/>
          <w:b/>
        </w:rPr>
      </w:pPr>
      <w:r>
        <w:rPr>
          <w:rFonts w:ascii="Palatino Linotype" w:hAnsi="Palatino Linotype"/>
          <w:b/>
        </w:rPr>
        <w:lastRenderedPageBreak/>
        <w:t xml:space="preserve">Recurso de revisión: </w:t>
      </w:r>
      <w:r w:rsidR="003D45FE">
        <w:rPr>
          <w:rFonts w:ascii="Palatino Linotype" w:hAnsi="Palatino Linotype"/>
          <w:b/>
        </w:rPr>
        <w:t>0268</w:t>
      </w:r>
      <w:r w:rsidR="001F15FF">
        <w:rPr>
          <w:rFonts w:ascii="Palatino Linotype" w:hAnsi="Palatino Linotype"/>
          <w:b/>
        </w:rPr>
        <w:t>3</w:t>
      </w:r>
      <w:r w:rsidR="007D5D23" w:rsidRPr="007D5D23">
        <w:rPr>
          <w:rFonts w:ascii="Palatino Linotype" w:hAnsi="Palatino Linotype"/>
          <w:b/>
        </w:rPr>
        <w:t>/INFOEM/IP/RR/2020</w:t>
      </w: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34157662"/>
      <w:bookmarkStart w:id="12" w:name="_Toc35003615"/>
      <w:bookmarkStart w:id="13" w:name="_Toc35535691"/>
      <w:bookmarkStart w:id="14" w:name="_Toc51262525"/>
      <w:bookmarkStart w:id="15" w:name="_Toc471908126"/>
      <w:bookmarkStart w:id="16" w:name="_Toc491791300"/>
      <w:bookmarkStart w:id="17" w:name="_Toc496726170"/>
      <w:bookmarkStart w:id="18" w:name="_Toc497242134"/>
      <w:bookmarkStart w:id="19" w:name="_Toc497292517"/>
      <w:bookmarkStart w:id="20" w:name="_Toc498503716"/>
      <w:bookmarkStart w:id="21" w:name="_Toc499568660"/>
      <w:bookmarkStart w:id="22" w:name="_Toc499568693"/>
      <w:bookmarkStart w:id="23" w:name="_Toc499665452"/>
      <w:bookmarkStart w:id="24" w:name="_Toc499729819"/>
      <w:bookmarkStart w:id="25" w:name="_Toc499835024"/>
      <w:bookmarkStart w:id="26" w:name="_Toc499835835"/>
      <w:bookmarkStart w:id="27" w:name="_Toc499835858"/>
      <w:bookmarkStart w:id="28" w:name="_Toc500264537"/>
      <w:bookmarkStart w:id="29" w:name="_Toc503290275"/>
      <w:bookmarkStart w:id="30" w:name="_Toc524009637"/>
      <w:bookmarkStart w:id="31" w:name="_Toc524009672"/>
      <w:bookmarkStart w:id="32" w:name="_Toc524602720"/>
      <w:bookmarkStart w:id="33" w:name="_Toc526365279"/>
      <w:bookmarkStart w:id="34" w:name="_Toc526365337"/>
      <w:bookmarkStart w:id="35" w:name="_Toc530067664"/>
      <w:bookmarkStart w:id="36" w:name="_Toc530067692"/>
      <w:bookmarkStart w:id="37" w:name="_Toc530067939"/>
      <w:bookmarkStart w:id="38" w:name="_Toc530590420"/>
      <w:bookmarkStart w:id="39" w:name="_Toc530593951"/>
      <w:bookmarkStart w:id="40" w:name="_Toc531190248"/>
      <w:bookmarkStart w:id="41" w:name="_Toc531190295"/>
      <w:bookmarkStart w:id="42" w:name="_Toc534908208"/>
      <w:bookmarkStart w:id="43" w:name="_Toc534909344"/>
      <w:bookmarkStart w:id="44" w:name="_Toc535353305"/>
      <w:bookmarkStart w:id="45" w:name="_Toc535353791"/>
      <w:bookmarkStart w:id="46" w:name="_Toc18436351"/>
      <w:bookmarkStart w:id="47" w:name="_Toc18436385"/>
      <w:bookmarkStart w:id="48" w:name="_Toc18513477"/>
      <w:bookmarkStart w:id="49" w:name="_Toc18513503"/>
      <w:bookmarkStart w:id="50" w:name="_Toc18606801"/>
      <w:bookmarkStart w:id="51" w:name="_Toc19723536"/>
      <w:bookmarkStart w:id="52" w:name="_Toc20322795"/>
      <w:bookmarkStart w:id="53" w:name="_Toc20323052"/>
      <w:bookmarkStart w:id="54" w:name="_Toc20323181"/>
      <w:bookmarkStart w:id="55" w:name="_Toc20420591"/>
      <w:bookmarkStart w:id="56" w:name="_Toc20421579"/>
      <w:bookmarkStart w:id="57" w:name="_Toc21027316"/>
      <w:bookmarkStart w:id="58" w:name="_Toc22660652"/>
      <w:bookmarkStart w:id="59" w:name="_Toc22811623"/>
      <w:bookmarkStart w:id="60" w:name="_Toc26436015"/>
      <w:bookmarkStart w:id="61" w:name="_Toc51457382"/>
    </w:p>
    <w:p w14:paraId="1055C0AA" w14:textId="77777777" w:rsidR="00A33176" w:rsidRDefault="00585F00" w:rsidP="00A33176">
      <w:pPr>
        <w:spacing w:line="360" w:lineRule="auto"/>
        <w:ind w:left="360" w:right="34"/>
        <w:jc w:val="both"/>
        <w:rPr>
          <w:rFonts w:ascii="Palatino Linotype" w:hAnsi="Palatino Linotype"/>
          <w:i/>
          <w:color w:val="000000" w:themeColor="text1"/>
        </w:rPr>
      </w:pPr>
      <w:r w:rsidRPr="00D707F7">
        <w:rPr>
          <w:rStyle w:val="Ttulo2Car"/>
          <w:rFonts w:ascii="Palatino Linotype" w:hAnsi="Palatino Linotype"/>
          <w:b/>
          <w:color w:val="auto"/>
          <w:sz w:val="24"/>
          <w:szCs w:val="24"/>
        </w:rPr>
        <w:t>Acto impugnado</w:t>
      </w:r>
      <w:bookmarkEnd w:id="3"/>
      <w:r w:rsidR="00F95F7E" w:rsidRPr="00D707F7">
        <w:rPr>
          <w:rStyle w:val="Ttulo2Car"/>
          <w:rFonts w:ascii="Palatino Linotype" w:hAnsi="Palatino Linotype"/>
          <w:b/>
          <w:color w:val="000000" w:themeColor="text1"/>
          <w:sz w:val="24"/>
          <w:szCs w:val="24"/>
        </w:rPr>
        <w:t xml:space="preserve">: </w:t>
      </w:r>
      <w:r w:rsidR="00F95F7E" w:rsidRPr="00D707F7">
        <w:rPr>
          <w:rStyle w:val="Ttulo2Car"/>
          <w:rFonts w:ascii="Palatino Linotype" w:hAnsi="Palatino Linotype"/>
          <w:i/>
          <w:color w:val="000000" w:themeColor="text1"/>
          <w:sz w:val="24"/>
          <w:szCs w:val="24"/>
        </w:rPr>
        <w:t>“</w:t>
      </w:r>
      <w:r w:rsidR="00DA6C1D" w:rsidRPr="00DA6C1D">
        <w:rPr>
          <w:rStyle w:val="Ttulo2Car"/>
          <w:rFonts w:ascii="Palatino Linotype" w:hAnsi="Palatino Linotype"/>
          <w:i/>
          <w:color w:val="000000" w:themeColor="text1"/>
          <w:sz w:val="24"/>
          <w:szCs w:val="24"/>
        </w:rPr>
        <w:t>La contestación del sujeto obligado y el acta del comité de transparencia.</w:t>
      </w:r>
      <w:r w:rsidRPr="00D707F7">
        <w:rPr>
          <w:rFonts w:ascii="Palatino Linotype" w:hAnsi="Palatino Linotype"/>
          <w:i/>
          <w:color w:val="000000" w:themeColor="text1"/>
        </w:rPr>
        <w:t>”</w:t>
      </w:r>
      <w:bookmarkEnd w:id="4"/>
      <w:bookmarkEnd w:id="5"/>
      <w:bookmarkEnd w:id="6"/>
      <w:bookmarkEnd w:id="7"/>
      <w:bookmarkEnd w:id="8"/>
      <w:bookmarkEnd w:id="9"/>
      <w:bookmarkEnd w:id="10"/>
      <w:bookmarkEnd w:id="11"/>
      <w:bookmarkEnd w:id="12"/>
      <w:bookmarkEnd w:id="13"/>
      <w:bookmarkEnd w:id="14"/>
      <w:r w:rsidRPr="00D707F7">
        <w:rPr>
          <w:rFonts w:ascii="Palatino Linotype" w:hAnsi="Palatino Linotype"/>
          <w:i/>
          <w:color w:val="000000" w:themeColor="text1"/>
        </w:rPr>
        <w:t xml:space="preserve"> </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r w:rsidR="001F15FF">
        <w:rPr>
          <w:rFonts w:ascii="Palatino Linotype" w:hAnsi="Palatino Linotype"/>
          <w:i/>
          <w:color w:val="000000" w:themeColor="text1"/>
        </w:rPr>
        <w:t>(Sic)</w:t>
      </w:r>
      <w:bookmarkStart w:id="62" w:name="_Toc466982515"/>
      <w:bookmarkStart w:id="63" w:name="_Toc27589209"/>
      <w:bookmarkStart w:id="64" w:name="_Toc29395023"/>
      <w:bookmarkStart w:id="65" w:name="_Toc29481468"/>
      <w:bookmarkStart w:id="66" w:name="_Toc33113912"/>
      <w:bookmarkStart w:id="67" w:name="_Toc33643060"/>
      <w:bookmarkStart w:id="68" w:name="_Toc33724992"/>
      <w:bookmarkStart w:id="69" w:name="_Toc33726435"/>
      <w:bookmarkStart w:id="70" w:name="_Toc34157663"/>
      <w:bookmarkStart w:id="71" w:name="_Toc35003616"/>
      <w:bookmarkStart w:id="72" w:name="_Toc35535692"/>
      <w:bookmarkStart w:id="73" w:name="_Toc51262526"/>
      <w:bookmarkStart w:id="74" w:name="_Toc51457383"/>
      <w:bookmarkStart w:id="75" w:name="_Toc471908127"/>
      <w:bookmarkStart w:id="76" w:name="_Toc491791301"/>
      <w:bookmarkStart w:id="77" w:name="_Toc496726171"/>
      <w:bookmarkStart w:id="78" w:name="_Toc497242135"/>
      <w:bookmarkStart w:id="79" w:name="_Toc497292518"/>
      <w:bookmarkStart w:id="80" w:name="_Toc498503717"/>
      <w:bookmarkStart w:id="81" w:name="_Toc499568661"/>
      <w:bookmarkStart w:id="82" w:name="_Toc499568694"/>
      <w:bookmarkStart w:id="83" w:name="_Toc499665453"/>
      <w:bookmarkStart w:id="84" w:name="_Toc499729820"/>
      <w:bookmarkStart w:id="85" w:name="_Toc499835025"/>
      <w:bookmarkStart w:id="86" w:name="_Toc499835836"/>
      <w:bookmarkStart w:id="87" w:name="_Toc499835859"/>
      <w:bookmarkStart w:id="88" w:name="_Toc500264538"/>
      <w:bookmarkStart w:id="89" w:name="_Toc503290276"/>
      <w:bookmarkStart w:id="90" w:name="_Toc524009638"/>
      <w:bookmarkStart w:id="91" w:name="_Toc524009673"/>
      <w:bookmarkStart w:id="92" w:name="_Toc524602721"/>
      <w:bookmarkStart w:id="93" w:name="_Toc526365280"/>
      <w:bookmarkStart w:id="94" w:name="_Toc526365338"/>
      <w:bookmarkStart w:id="95" w:name="_Toc530067665"/>
      <w:bookmarkStart w:id="96" w:name="_Toc530067693"/>
      <w:bookmarkStart w:id="97" w:name="_Toc530067940"/>
      <w:bookmarkStart w:id="98" w:name="_Toc530590421"/>
      <w:bookmarkStart w:id="99" w:name="_Toc530593952"/>
      <w:bookmarkStart w:id="100" w:name="_Toc531190249"/>
      <w:bookmarkStart w:id="101" w:name="_Toc531190296"/>
      <w:bookmarkStart w:id="102" w:name="_Toc534908209"/>
      <w:bookmarkStart w:id="103" w:name="_Toc534909345"/>
      <w:bookmarkStart w:id="104" w:name="_Toc535353306"/>
      <w:bookmarkStart w:id="105" w:name="_Toc535353792"/>
      <w:bookmarkStart w:id="106" w:name="_Toc18436352"/>
      <w:bookmarkStart w:id="107" w:name="_Toc18436386"/>
      <w:bookmarkStart w:id="108" w:name="_Toc18513478"/>
      <w:bookmarkStart w:id="109" w:name="_Toc18513504"/>
      <w:bookmarkStart w:id="110" w:name="_Toc18606802"/>
      <w:bookmarkStart w:id="111" w:name="_Toc19723537"/>
      <w:bookmarkStart w:id="112" w:name="_Toc20322796"/>
      <w:bookmarkStart w:id="113" w:name="_Toc20323053"/>
      <w:bookmarkStart w:id="114" w:name="_Toc20323182"/>
      <w:bookmarkStart w:id="115" w:name="_Toc20420592"/>
      <w:bookmarkStart w:id="116" w:name="_Toc20421580"/>
      <w:bookmarkStart w:id="117" w:name="_Toc21027317"/>
      <w:bookmarkStart w:id="118" w:name="_Toc22660653"/>
      <w:bookmarkStart w:id="119" w:name="_Toc22811624"/>
      <w:bookmarkStart w:id="120" w:name="_Toc26436016"/>
      <w:bookmarkEnd w:id="61"/>
    </w:p>
    <w:p w14:paraId="16C1CD16" w14:textId="6A1A5C59" w:rsidR="00585F00" w:rsidRPr="00D707F7" w:rsidRDefault="00585F00" w:rsidP="00A33176">
      <w:pPr>
        <w:spacing w:line="360" w:lineRule="auto"/>
        <w:ind w:left="360" w:right="34"/>
        <w:jc w:val="both"/>
        <w:rPr>
          <w:rFonts w:ascii="Palatino Linotype" w:hAnsi="Palatino Linotype"/>
          <w:i/>
          <w:color w:val="000000" w:themeColor="text1"/>
        </w:rPr>
      </w:pPr>
      <w:r w:rsidRPr="00D707F7">
        <w:rPr>
          <w:rStyle w:val="Ttulo2Car"/>
          <w:rFonts w:ascii="Palatino Linotype" w:hAnsi="Palatino Linotype"/>
          <w:b/>
          <w:color w:val="000000" w:themeColor="text1"/>
          <w:sz w:val="24"/>
          <w:szCs w:val="24"/>
        </w:rPr>
        <w:t>Razones o Motivos de inconformidad:</w:t>
      </w:r>
      <w:bookmarkEnd w:id="62"/>
      <w:r w:rsidRPr="00D707F7">
        <w:rPr>
          <w:rFonts w:ascii="Palatino Linotype" w:hAnsi="Palatino Linotype"/>
          <w:b/>
          <w:color w:val="000000" w:themeColor="text1"/>
        </w:rPr>
        <w:t xml:space="preserve"> </w:t>
      </w:r>
      <w:r w:rsidRPr="00D707F7">
        <w:rPr>
          <w:rFonts w:ascii="Palatino Linotype" w:hAnsi="Palatino Linotype"/>
          <w:i/>
          <w:color w:val="000000" w:themeColor="text1"/>
        </w:rPr>
        <w:t>“</w:t>
      </w:r>
      <w:r w:rsidR="00DA6C1D" w:rsidRPr="00DA6C1D">
        <w:rPr>
          <w:rFonts w:ascii="Palatino Linotype" w:hAnsi="Palatino Linotype"/>
          <w:i/>
          <w:color w:val="000000" w:themeColor="text1"/>
        </w:rPr>
        <w:t xml:space="preserve">La indebida motivación y fundamentación de la respuesta otorgada por el sujeto obligado mediante el oficio de la titular y el acta del comité de transparencia, pues es notorio, que el comité de transparencia carece de atribuciones legales para cambiar la modalidad de la entrega de la información solicitada, además, que resulta evidente, que si cuenta con la información para proporcionarla in situ, es incuestionable que lo único que le hace falta para entregármela vía saimex es escanearla en muchos de los casos, y en otros elaborar la versión pública y sesionar en comité, actividades que no requieren de tanto tiempo, por ende, no existe congruencia entre lo vertido y lo que acontece en la realidad. Es claro y patente, que su conducta busca eludir y retrasar el cumplimiento de sus obligaciones. Por lo demás, es absolutamente falso que el sujeto obligado sólo cuente con tres personas para atender las solicitudes de información, las tres personas a que alude son las adscritas a la unidad de transparencia, más todos y cada uno de los servidores públicos habilitados que se encuentran registrados en el sistema proporcionado por ustedes (más de treinta), por lo que, la suma de dichos servidores públicos da como resultado que cuenta con más de treinta servidores públicos para atender las solicitudes y no con tres, cómo maliciosamente pretende hacerlo ver; asimismo, es falso, que en todo el ayuntamiento se ha estado laborando durante la pandemia con el personal mínimo indispensable, pues aquí todos sabemos que la administración municipal ha laborado normalmente y prácticamente en su totalidad, lo </w:t>
      </w:r>
      <w:r w:rsidR="00DA6C1D" w:rsidRPr="00DA6C1D">
        <w:rPr>
          <w:rFonts w:ascii="Palatino Linotype" w:hAnsi="Palatino Linotype"/>
          <w:i/>
          <w:color w:val="000000" w:themeColor="text1"/>
        </w:rPr>
        <w:lastRenderedPageBreak/>
        <w:t>que puede corroborar este órgano garante con las propias actas que ha estado emitiendo el comité de transparencia en dicho período, así como, con todos y cada uno de los acuses de recibo de los oficios emitidos por la unidad de transparencia requiriendo información a los servidores públicos habilitados durante la pandemia, así como, con la información que deriva del reloj checador de control de asistencia, documentales todas, que desde este momento, pido se las requiera al sujeto obligado, advirtiendo que asumirá una conducta procesal falsa y dolosa, para ocultar también esta información, pues el presidente municipal es experto en simulación e hipocresía, emite actas de cabildo y acuerdos que no respeta. Por si fuera poco lo anterior, el obligado ha contado con suficiente tiempo para cumplir con sus obligaciones derivado de la interrupción de los plazos y términos por la pandemia, por lo que reitero, no existe lógica ni congruencia, para cambiar la modalidad de entrega de la información y 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 pido los sancionen, por estas razones y porqué siempre están ocultando información. Se resalta que además de vulnerar mi derecho humano a obtener la información en la modalidad deseada (saimex), también, transgrede mi derecho humano a información gratuita, pues pretende cobrarme la información.</w:t>
      </w:r>
      <w:r w:rsidRPr="00D707F7">
        <w:rPr>
          <w:rFonts w:ascii="Palatino Linotype" w:hAnsi="Palatino Linotype"/>
          <w:i/>
          <w:color w:val="000000" w:themeColor="text1"/>
        </w:rPr>
        <w:t>”</w:t>
      </w:r>
      <w:bookmarkEnd w:id="63"/>
      <w:bookmarkEnd w:id="64"/>
      <w:bookmarkEnd w:id="65"/>
      <w:bookmarkEnd w:id="66"/>
      <w:bookmarkEnd w:id="67"/>
      <w:bookmarkEnd w:id="68"/>
      <w:bookmarkEnd w:id="69"/>
      <w:bookmarkEnd w:id="70"/>
      <w:bookmarkEnd w:id="71"/>
      <w:bookmarkEnd w:id="72"/>
      <w:bookmarkEnd w:id="73"/>
      <w:r w:rsidR="001F15FF">
        <w:rPr>
          <w:rFonts w:ascii="Palatino Linotype" w:hAnsi="Palatino Linotype"/>
          <w:i/>
          <w:color w:val="000000" w:themeColor="text1"/>
        </w:rPr>
        <w:t xml:space="preserve"> (Sic)</w:t>
      </w:r>
      <w:bookmarkEnd w:id="74"/>
      <w:r w:rsidRPr="00D707F7">
        <w:rPr>
          <w:rFonts w:ascii="Palatino Linotype" w:hAnsi="Palatino Linotype"/>
          <w:i/>
          <w:color w:val="000000" w:themeColor="text1"/>
        </w:rPr>
        <w:t xml:space="preserve"> </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96CE205" w14:textId="77777777" w:rsidR="00EB781A" w:rsidRPr="00D707F7" w:rsidRDefault="00EB781A" w:rsidP="00EB781A">
      <w:pPr>
        <w:rPr>
          <w:rFonts w:ascii="Palatino Linotype" w:hAnsi="Palatino Linotype"/>
          <w:lang w:val="es-MX" w:eastAsia="en-US"/>
        </w:rPr>
      </w:pPr>
    </w:p>
    <w:p w14:paraId="255EB907" w14:textId="18303BCC" w:rsidR="008415B3" w:rsidRPr="00393311" w:rsidRDefault="006A67DA" w:rsidP="008415B3">
      <w:pPr>
        <w:pStyle w:val="Prrafodelista"/>
        <w:numPr>
          <w:ilvl w:val="0"/>
          <w:numId w:val="2"/>
        </w:numPr>
        <w:tabs>
          <w:tab w:val="left" w:pos="0"/>
        </w:tabs>
        <w:spacing w:line="360" w:lineRule="auto"/>
        <w:ind w:left="0" w:right="49" w:firstLine="0"/>
        <w:jc w:val="both"/>
        <w:rPr>
          <w:rFonts w:ascii="Palatino Linotype" w:hAnsi="Palatino Linotype"/>
        </w:rPr>
      </w:pPr>
      <w:r>
        <w:rPr>
          <w:rFonts w:ascii="Palatino Linotype" w:hAnsi="Palatino Linotype"/>
        </w:rPr>
        <w:lastRenderedPageBreak/>
        <w:t>Consecutivamente</w:t>
      </w:r>
      <w:r w:rsidR="008415B3" w:rsidRPr="00315798">
        <w:rPr>
          <w:rFonts w:ascii="Palatino Linotype" w:hAnsi="Palatino Linotype"/>
          <w:i/>
        </w:rPr>
        <w:t xml:space="preserve">, </w:t>
      </w:r>
      <w:r w:rsidR="008415B3" w:rsidRPr="00315798">
        <w:rPr>
          <w:rFonts w:ascii="Palatino Linotype" w:hAnsi="Palatino Linotype"/>
        </w:rPr>
        <w:t xml:space="preserve">con fundamento en lo dispuesto por el artículo 185 fracción I de la Ley de Transparencia y Acceso a la Información Pública del Estado de </w:t>
      </w:r>
      <w:r w:rsidR="008415B3" w:rsidRPr="00315798">
        <w:rPr>
          <w:rFonts w:ascii="Palatino Linotype" w:hAnsi="Palatino Linotype"/>
          <w:lang w:val="es-ES"/>
        </w:rPr>
        <w:t xml:space="preserve">México y Municipios, </w:t>
      </w:r>
      <w:r w:rsidR="006A058A">
        <w:rPr>
          <w:rFonts w:ascii="Palatino Linotype" w:hAnsi="Palatino Linotype"/>
        </w:rPr>
        <w:t>los recursos de referencia</w:t>
      </w:r>
      <w:r w:rsidR="008415B3" w:rsidRPr="00315798">
        <w:rPr>
          <w:rFonts w:ascii="Palatino Linotype" w:hAnsi="Palatino Linotype"/>
        </w:rPr>
        <w:t>, fue</w:t>
      </w:r>
      <w:r w:rsidR="006A058A">
        <w:rPr>
          <w:rFonts w:ascii="Palatino Linotype" w:hAnsi="Palatino Linotype"/>
        </w:rPr>
        <w:t>ron</w:t>
      </w:r>
      <w:r w:rsidR="008415B3" w:rsidRPr="00315798">
        <w:rPr>
          <w:rFonts w:ascii="Palatino Linotype" w:hAnsi="Palatino Linotype"/>
        </w:rPr>
        <w:t xml:space="preserve"> turnado</w:t>
      </w:r>
      <w:r w:rsidR="006A058A">
        <w:rPr>
          <w:rFonts w:ascii="Palatino Linotype" w:hAnsi="Palatino Linotype"/>
        </w:rPr>
        <w:t>s</w:t>
      </w:r>
      <w:r w:rsidR="008415B3" w:rsidRPr="00315798">
        <w:rPr>
          <w:rFonts w:ascii="Palatino Linotype" w:hAnsi="Palatino Linotype"/>
          <w:b/>
          <w:lang w:val="es-ES"/>
        </w:rPr>
        <w:t xml:space="preserve"> </w:t>
      </w:r>
      <w:r w:rsidR="008415B3" w:rsidRPr="00315798">
        <w:rPr>
          <w:rFonts w:ascii="Palatino Linotype" w:hAnsi="Palatino Linotype"/>
          <w:lang w:val="es-ES"/>
        </w:rPr>
        <w:t xml:space="preserve">al </w:t>
      </w:r>
      <w:r w:rsidR="008415B3" w:rsidRPr="00315798">
        <w:rPr>
          <w:rFonts w:ascii="Palatino Linotype" w:hAnsi="Palatino Linotype"/>
          <w:b/>
          <w:lang w:val="es-ES"/>
        </w:rPr>
        <w:t>Comisionado José Guadalupe Luna Hernánd</w:t>
      </w:r>
      <w:r w:rsidR="008415B3" w:rsidRPr="006A058A">
        <w:rPr>
          <w:rFonts w:ascii="Palatino Linotype" w:hAnsi="Palatino Linotype"/>
          <w:b/>
          <w:lang w:val="es-ES"/>
        </w:rPr>
        <w:t>ez</w:t>
      </w:r>
      <w:r w:rsidR="008415B3" w:rsidRPr="00315798">
        <w:rPr>
          <w:rFonts w:ascii="Palatino Linotype" w:hAnsi="Palatino Linotype"/>
          <w:b/>
          <w:lang w:val="es-ES"/>
        </w:rPr>
        <w:t xml:space="preserve"> </w:t>
      </w:r>
      <w:r w:rsidR="008415B3" w:rsidRPr="00315798">
        <w:rPr>
          <w:rFonts w:ascii="Palatino Linotype" w:hAnsi="Palatino Linotype"/>
          <w:lang w:val="es-ES"/>
        </w:rPr>
        <w:t xml:space="preserve">con el objeto de su análisis, </w:t>
      </w:r>
      <w:r w:rsidR="006A058A">
        <w:rPr>
          <w:rFonts w:ascii="Palatino Linotype" w:hAnsi="Palatino Linotype"/>
        </w:rPr>
        <w:t>por lo que el</w:t>
      </w:r>
      <w:r w:rsidR="008415B3" w:rsidRPr="00315798">
        <w:rPr>
          <w:rFonts w:ascii="Palatino Linotype" w:hAnsi="Palatino Linotype"/>
        </w:rPr>
        <w:t xml:space="preserve"> Pleno de este Órgano Autónomo, </w:t>
      </w:r>
      <w:r w:rsidR="008415B3" w:rsidRPr="0074622C">
        <w:rPr>
          <w:rFonts w:ascii="Palatino Linotype" w:hAnsi="Palatino Linotype"/>
        </w:rPr>
        <w:t>en la</w:t>
      </w:r>
      <w:r w:rsidR="008415B3" w:rsidRPr="0074622C">
        <w:rPr>
          <w:rFonts w:ascii="Palatino Linotype" w:hAnsi="Palatino Linotype"/>
          <w:b/>
        </w:rPr>
        <w:t xml:space="preserve"> </w:t>
      </w:r>
      <w:r w:rsidR="006A058A">
        <w:rPr>
          <w:rFonts w:ascii="Palatino Linotype" w:hAnsi="Palatino Linotype"/>
          <w:b/>
        </w:rPr>
        <w:t>Decimo Sexta</w:t>
      </w:r>
      <w:r w:rsidR="008415B3" w:rsidRPr="0074622C">
        <w:rPr>
          <w:rFonts w:ascii="Palatino Linotype" w:hAnsi="Palatino Linotype"/>
          <w:b/>
        </w:rPr>
        <w:t xml:space="preserve"> Sesión Ordinaria </w:t>
      </w:r>
      <w:r w:rsidR="008415B3" w:rsidRPr="0074622C">
        <w:rPr>
          <w:rFonts w:ascii="Palatino Linotype" w:hAnsi="Palatino Linotype"/>
        </w:rPr>
        <w:t>de fecha</w:t>
      </w:r>
      <w:r w:rsidR="008415B3" w:rsidRPr="0074622C">
        <w:rPr>
          <w:rFonts w:ascii="Palatino Linotype" w:hAnsi="Palatino Linotype"/>
          <w:b/>
        </w:rPr>
        <w:t xml:space="preserve"> </w:t>
      </w:r>
      <w:r w:rsidR="006A058A">
        <w:rPr>
          <w:rFonts w:ascii="Palatino Linotype" w:hAnsi="Palatino Linotype"/>
          <w:b/>
        </w:rPr>
        <w:t>do</w:t>
      </w:r>
      <w:r w:rsidR="0074622C" w:rsidRPr="0074622C">
        <w:rPr>
          <w:rFonts w:ascii="Palatino Linotype" w:hAnsi="Palatino Linotype"/>
          <w:b/>
        </w:rPr>
        <w:t>s (</w:t>
      </w:r>
      <w:r w:rsidR="006A058A">
        <w:rPr>
          <w:rFonts w:ascii="Palatino Linotype" w:hAnsi="Palatino Linotype"/>
          <w:b/>
        </w:rPr>
        <w:t>02</w:t>
      </w:r>
      <w:r w:rsidR="008415B3" w:rsidRPr="0074622C">
        <w:rPr>
          <w:rFonts w:ascii="Palatino Linotype" w:hAnsi="Palatino Linotype"/>
          <w:b/>
        </w:rPr>
        <w:t xml:space="preserve">) de </w:t>
      </w:r>
      <w:r w:rsidR="006A058A">
        <w:rPr>
          <w:rFonts w:ascii="Palatino Linotype" w:hAnsi="Palatino Linotype"/>
          <w:b/>
        </w:rPr>
        <w:t>septiembre</w:t>
      </w:r>
      <w:r w:rsidR="008415B3" w:rsidRPr="0074622C">
        <w:rPr>
          <w:rFonts w:ascii="Palatino Linotype" w:hAnsi="Palatino Linotype"/>
        </w:rPr>
        <w:t xml:space="preserve"> </w:t>
      </w:r>
      <w:r w:rsidR="008415B3" w:rsidRPr="001F15FF">
        <w:rPr>
          <w:rFonts w:ascii="Palatino Linotype" w:hAnsi="Palatino Linotype"/>
          <w:b/>
        </w:rPr>
        <w:t>de dos mil veinte</w:t>
      </w:r>
      <w:r>
        <w:rPr>
          <w:rFonts w:ascii="Palatino Linotype" w:hAnsi="Palatino Linotype"/>
        </w:rPr>
        <w:t xml:space="preserve"> </w:t>
      </w:r>
      <w:r w:rsidR="008415B3" w:rsidRPr="00315798">
        <w:rPr>
          <w:rFonts w:ascii="Palatino Linotype" w:hAnsi="Palatino Linotype"/>
        </w:rPr>
        <w:t>ordenó la acumulación de los recursos de revisión ya descritos; a efecto de que ésta Ponencia formulara y presentara el proyecto de resolución correspondiente, de conformidad con el numeral ONCE incisos b) y c) de los Lineamientos para la Recepción, Trámite y Resolución de las Solicitudes de Acceso a la Información Pública, así como de los Recursos de Revisión que deberán observar los Sujetos Obligados por la Ley de Transparencia Estatal</w:t>
      </w:r>
      <w:r w:rsidR="008415B3" w:rsidRPr="00315798">
        <w:rPr>
          <w:rFonts w:ascii="Palatino Linotype" w:hAnsi="Palatino Linotype"/>
          <w:i/>
          <w:vertAlign w:val="superscript"/>
        </w:rPr>
        <w:footnoteReference w:id="1"/>
      </w:r>
      <w:r w:rsidR="008415B3" w:rsidRPr="00315798">
        <w:rPr>
          <w:rFonts w:ascii="Palatino Linotype" w:hAnsi="Palatino Linotype"/>
        </w:rPr>
        <w:t>, que señala:</w:t>
      </w:r>
    </w:p>
    <w:p w14:paraId="3DECFD90" w14:textId="77777777" w:rsidR="008415B3" w:rsidRPr="00315798" w:rsidRDefault="008415B3" w:rsidP="008415B3">
      <w:pPr>
        <w:pStyle w:val="Prrafodelista"/>
        <w:tabs>
          <w:tab w:val="left" w:pos="0"/>
        </w:tabs>
        <w:spacing w:line="360" w:lineRule="auto"/>
        <w:ind w:left="0" w:right="49"/>
        <w:jc w:val="both"/>
        <w:rPr>
          <w:rFonts w:ascii="Palatino Linotype" w:hAnsi="Palatino Linotype"/>
        </w:rPr>
      </w:pPr>
    </w:p>
    <w:p w14:paraId="47C843BF" w14:textId="77777777" w:rsidR="008415B3" w:rsidRPr="00F70AF8"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70AF8">
        <w:rPr>
          <w:rFonts w:ascii="Palatino Linotype" w:hAnsi="Palatino Linotype"/>
          <w:b/>
          <w:i/>
          <w:sz w:val="22"/>
          <w:szCs w:val="22"/>
          <w:lang w:val="es-ES"/>
        </w:rPr>
        <w:t>“ONCE.</w:t>
      </w:r>
      <w:r w:rsidRPr="00F70AF8">
        <w:rPr>
          <w:rFonts w:ascii="Palatino Linotype" w:hAnsi="Palatino Linotype"/>
          <w:i/>
          <w:sz w:val="22"/>
          <w:szCs w:val="22"/>
          <w:lang w:val="es-ES"/>
        </w:rPr>
        <w:t xml:space="preserve"> El Instituto, para mejor resolver y evitar la emisión de resoluciones contradictorias, podrá acordar la acumulación de los expedientes de recursos de revisión, de oficio o a petición de parte cuando:</w:t>
      </w:r>
    </w:p>
    <w:p w14:paraId="68DBC655" w14:textId="77777777" w:rsidR="008415B3" w:rsidRPr="00F70AF8"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70AF8">
        <w:rPr>
          <w:rFonts w:ascii="Palatino Linotype" w:hAnsi="Palatino Linotype"/>
          <w:i/>
          <w:sz w:val="22"/>
          <w:szCs w:val="22"/>
          <w:lang w:val="es-ES"/>
        </w:rPr>
        <w:t>…</w:t>
      </w:r>
      <w:r w:rsidRPr="00F70AF8">
        <w:rPr>
          <w:rFonts w:ascii="Palatino Linotype" w:hAnsi="Palatino Linotype"/>
          <w:i/>
          <w:sz w:val="22"/>
          <w:szCs w:val="22"/>
          <w:lang w:val="es-ES"/>
        </w:rPr>
        <w:tab/>
      </w:r>
    </w:p>
    <w:p w14:paraId="5254A3D0" w14:textId="77777777" w:rsidR="008415B3" w:rsidRPr="00F70AF8"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70AF8">
        <w:rPr>
          <w:rFonts w:ascii="Palatino Linotype" w:hAnsi="Palatino Linotype"/>
          <w:i/>
          <w:sz w:val="22"/>
          <w:szCs w:val="22"/>
          <w:lang w:val="es-ES"/>
        </w:rPr>
        <w:t>b) Las partes o los actos impugnados sean iguales</w:t>
      </w:r>
    </w:p>
    <w:p w14:paraId="141D42D9" w14:textId="77777777" w:rsidR="008415B3" w:rsidRPr="00F70AF8"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70AF8">
        <w:rPr>
          <w:rFonts w:ascii="Palatino Linotype" w:hAnsi="Palatino Linotype"/>
          <w:i/>
          <w:sz w:val="22"/>
          <w:szCs w:val="22"/>
          <w:lang w:val="es-ES"/>
        </w:rPr>
        <w:t>c) Cuando se trate del mismo solicitante, el mismo SUJETO OBLIGADO, aunque se trate de solicitudes diversas;</w:t>
      </w:r>
    </w:p>
    <w:p w14:paraId="419A41F8" w14:textId="77777777" w:rsidR="008415B3" w:rsidRPr="00F70AF8" w:rsidRDefault="008415B3" w:rsidP="008415B3">
      <w:pPr>
        <w:pStyle w:val="Prrafodelista"/>
        <w:tabs>
          <w:tab w:val="left" w:pos="426"/>
        </w:tabs>
        <w:spacing w:line="360" w:lineRule="auto"/>
        <w:ind w:left="567" w:right="616"/>
        <w:jc w:val="both"/>
        <w:rPr>
          <w:rFonts w:ascii="Palatino Linotype" w:hAnsi="Palatino Linotype"/>
          <w:i/>
          <w:sz w:val="22"/>
          <w:szCs w:val="22"/>
          <w:lang w:val="es-ES"/>
        </w:rPr>
      </w:pPr>
      <w:r w:rsidRPr="00F70AF8">
        <w:rPr>
          <w:rFonts w:ascii="Palatino Linotype" w:hAnsi="Palatino Linotype"/>
          <w:i/>
          <w:sz w:val="22"/>
          <w:szCs w:val="22"/>
          <w:lang w:val="es-ES"/>
        </w:rPr>
        <w:t>(…)”</w:t>
      </w:r>
    </w:p>
    <w:p w14:paraId="55E19757" w14:textId="77777777" w:rsidR="008415B3" w:rsidRDefault="008415B3" w:rsidP="008415B3">
      <w:pPr>
        <w:pStyle w:val="Prrafodelista"/>
        <w:tabs>
          <w:tab w:val="left" w:pos="426"/>
        </w:tabs>
        <w:spacing w:line="360" w:lineRule="auto"/>
        <w:ind w:left="567" w:right="616"/>
        <w:jc w:val="both"/>
        <w:rPr>
          <w:rFonts w:ascii="Palatino Linotype" w:hAnsi="Palatino Linotype"/>
          <w:lang w:val="es-ES"/>
        </w:rPr>
      </w:pPr>
      <w:r w:rsidRPr="00315798">
        <w:rPr>
          <w:rFonts w:ascii="Palatino Linotype" w:hAnsi="Palatino Linotype"/>
          <w:lang w:val="es-ES"/>
        </w:rPr>
        <w:lastRenderedPageBreak/>
        <w:t>(Énfasis añadido)</w:t>
      </w:r>
    </w:p>
    <w:p w14:paraId="7AC449C4" w14:textId="77777777" w:rsidR="006A67DA" w:rsidRPr="00393311" w:rsidRDefault="006A67DA" w:rsidP="008415B3">
      <w:pPr>
        <w:pStyle w:val="Prrafodelista"/>
        <w:tabs>
          <w:tab w:val="left" w:pos="426"/>
        </w:tabs>
        <w:spacing w:line="360" w:lineRule="auto"/>
        <w:ind w:left="567" w:right="616"/>
        <w:jc w:val="both"/>
        <w:rPr>
          <w:rFonts w:ascii="Palatino Linotype" w:hAnsi="Palatino Linotype"/>
          <w:lang w:val="es-ES"/>
        </w:rPr>
      </w:pPr>
    </w:p>
    <w:p w14:paraId="4A77D30D" w14:textId="77777777" w:rsidR="008415B3" w:rsidRPr="00BA2844" w:rsidRDefault="008415B3" w:rsidP="008415B3">
      <w:pPr>
        <w:pStyle w:val="Prrafodelista"/>
        <w:numPr>
          <w:ilvl w:val="0"/>
          <w:numId w:val="2"/>
        </w:numPr>
        <w:tabs>
          <w:tab w:val="left" w:pos="0"/>
        </w:tabs>
        <w:spacing w:line="360" w:lineRule="auto"/>
        <w:ind w:left="0" w:right="49" w:firstLine="0"/>
        <w:jc w:val="both"/>
        <w:rPr>
          <w:rFonts w:ascii="Palatino Linotype" w:hAnsi="Palatino Linotype"/>
        </w:rPr>
      </w:pPr>
      <w:r w:rsidRPr="00393311">
        <w:rPr>
          <w:rFonts w:ascii="Palatino Linotype" w:hAnsi="Palatino Linotype"/>
        </w:rPr>
        <w:t>Es así que,</w:t>
      </w:r>
      <w:r>
        <w:rPr>
          <w:rFonts w:ascii="Palatino Linotype" w:hAnsi="Palatino Linotype"/>
          <w:i/>
        </w:rPr>
        <w:t xml:space="preserve"> </w:t>
      </w:r>
      <w:r w:rsidRPr="00BA2844">
        <w:rPr>
          <w:rFonts w:ascii="Palatino Linotype" w:hAnsi="Palatino Linotype"/>
        </w:rPr>
        <w:t>resulta conveniente su trámite de forma unificada para mejor resolver y evitar la emisión de resoluciones contradictorias, por ello resultó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71E86985" w14:textId="77777777" w:rsidR="008415B3" w:rsidRPr="00BA2844" w:rsidRDefault="008415B3" w:rsidP="008415B3">
      <w:pPr>
        <w:tabs>
          <w:tab w:val="left" w:pos="567"/>
        </w:tabs>
        <w:spacing w:line="360" w:lineRule="auto"/>
        <w:ind w:left="567" w:right="616"/>
        <w:jc w:val="both"/>
        <w:rPr>
          <w:rFonts w:ascii="Palatino Linotype" w:hAnsi="Palatino Linotype"/>
          <w:b/>
          <w:i/>
          <w:sz w:val="14"/>
        </w:rPr>
      </w:pPr>
    </w:p>
    <w:p w14:paraId="7C24FE50" w14:textId="77777777" w:rsidR="008415B3" w:rsidRPr="00F70AF8" w:rsidRDefault="008415B3" w:rsidP="00F70AF8">
      <w:pPr>
        <w:tabs>
          <w:tab w:val="left" w:pos="567"/>
        </w:tabs>
        <w:spacing w:line="360" w:lineRule="auto"/>
        <w:ind w:left="567" w:right="616"/>
        <w:jc w:val="center"/>
        <w:rPr>
          <w:rFonts w:ascii="Palatino Linotype" w:hAnsi="Palatino Linotype"/>
          <w:b/>
          <w:i/>
          <w:sz w:val="22"/>
          <w:szCs w:val="22"/>
        </w:rPr>
      </w:pPr>
      <w:r w:rsidRPr="00F70AF8">
        <w:rPr>
          <w:rFonts w:ascii="Palatino Linotype" w:hAnsi="Palatino Linotype"/>
          <w:b/>
          <w:i/>
          <w:sz w:val="22"/>
          <w:szCs w:val="22"/>
        </w:rPr>
        <w:t>Código de Procedimientos Administrativos del Estado de México.</w:t>
      </w:r>
    </w:p>
    <w:p w14:paraId="323D2B97" w14:textId="77777777" w:rsidR="008415B3" w:rsidRPr="00F70AF8" w:rsidRDefault="008415B3" w:rsidP="00F70AF8">
      <w:pPr>
        <w:tabs>
          <w:tab w:val="left" w:pos="851"/>
        </w:tabs>
        <w:spacing w:line="360" w:lineRule="auto"/>
        <w:ind w:left="851" w:right="616"/>
        <w:jc w:val="both"/>
        <w:rPr>
          <w:rFonts w:ascii="Palatino Linotype" w:hAnsi="Palatino Linotype"/>
          <w:i/>
          <w:sz w:val="22"/>
          <w:szCs w:val="22"/>
        </w:rPr>
      </w:pPr>
      <w:r w:rsidRPr="00F70AF8">
        <w:rPr>
          <w:rFonts w:ascii="Palatino Linotype" w:hAnsi="Palatino Linotype"/>
          <w:b/>
          <w:i/>
          <w:sz w:val="22"/>
          <w:szCs w:val="22"/>
        </w:rPr>
        <w:t>“Artículo 18.-</w:t>
      </w:r>
      <w:r w:rsidRPr="00F70AF8">
        <w:rPr>
          <w:rFonts w:ascii="Palatino Linotype" w:hAnsi="Palatino Linotype"/>
          <w:i/>
          <w:sz w:val="22"/>
          <w:szCs w:val="22"/>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6FBE0250" w14:textId="77777777" w:rsidR="008415B3" w:rsidRPr="00F70AF8" w:rsidRDefault="008415B3" w:rsidP="00F70AF8">
      <w:pPr>
        <w:tabs>
          <w:tab w:val="left" w:pos="567"/>
        </w:tabs>
        <w:spacing w:line="360" w:lineRule="auto"/>
        <w:ind w:right="616"/>
        <w:jc w:val="both"/>
        <w:rPr>
          <w:rFonts w:ascii="Palatino Linotype" w:hAnsi="Palatino Linotype"/>
          <w:i/>
          <w:sz w:val="22"/>
          <w:szCs w:val="22"/>
        </w:rPr>
      </w:pPr>
    </w:p>
    <w:p w14:paraId="676BBBAF" w14:textId="77777777" w:rsidR="008415B3" w:rsidRPr="00F70AF8" w:rsidRDefault="008415B3" w:rsidP="00F70AF8">
      <w:pPr>
        <w:spacing w:line="360" w:lineRule="auto"/>
        <w:ind w:left="851" w:right="616"/>
        <w:jc w:val="both"/>
        <w:rPr>
          <w:rFonts w:ascii="Palatino Linotype" w:hAnsi="Palatino Linotype"/>
          <w:b/>
          <w:i/>
          <w:sz w:val="22"/>
          <w:szCs w:val="22"/>
        </w:rPr>
      </w:pPr>
      <w:r w:rsidRPr="00F70AF8">
        <w:rPr>
          <w:rFonts w:ascii="Palatino Linotype" w:hAnsi="Palatino Linotype"/>
          <w:b/>
          <w:i/>
          <w:sz w:val="22"/>
          <w:szCs w:val="22"/>
        </w:rPr>
        <w:t>Ley de Transparencia y Acceso a la Información Pública del Estado de México y Municipios</w:t>
      </w:r>
    </w:p>
    <w:p w14:paraId="2B0C15E5" w14:textId="77777777" w:rsidR="008415B3" w:rsidRPr="00F70AF8" w:rsidRDefault="008415B3" w:rsidP="00F70AF8">
      <w:pPr>
        <w:spacing w:line="360" w:lineRule="auto"/>
        <w:ind w:left="851" w:right="616"/>
        <w:jc w:val="both"/>
        <w:rPr>
          <w:rFonts w:ascii="Palatino Linotype" w:hAnsi="Palatino Linotype"/>
          <w:i/>
          <w:sz w:val="22"/>
          <w:szCs w:val="22"/>
        </w:rPr>
      </w:pPr>
      <w:r w:rsidRPr="00F70AF8">
        <w:rPr>
          <w:rFonts w:ascii="Palatino Linotype" w:hAnsi="Palatino Linotype"/>
          <w:b/>
          <w:i/>
          <w:sz w:val="22"/>
          <w:szCs w:val="22"/>
        </w:rPr>
        <w:t>“Artículo 195.</w:t>
      </w:r>
      <w:r w:rsidRPr="00F70AF8">
        <w:rPr>
          <w:rFonts w:ascii="Palatino Linotype" w:hAnsi="Palatino Linotype"/>
          <w:i/>
          <w:sz w:val="22"/>
          <w:szCs w:val="22"/>
        </w:rPr>
        <w:t xml:space="preserve"> En la tramitación del recurso de revisión se aplicarán supletoriamente las disposiciones contenidas en el Código de Procedimientos Administrativos del Estado de México.”</w:t>
      </w:r>
    </w:p>
    <w:p w14:paraId="09B0CC8F" w14:textId="77777777" w:rsidR="008415B3" w:rsidRPr="00F70AF8" w:rsidRDefault="008415B3" w:rsidP="00F70AF8">
      <w:pPr>
        <w:spacing w:before="240" w:after="240" w:line="360" w:lineRule="auto"/>
        <w:ind w:left="851" w:right="-142"/>
        <w:contextualSpacing/>
        <w:jc w:val="both"/>
        <w:rPr>
          <w:rFonts w:ascii="Palatino Linotype" w:hAnsi="Palatino Linotype"/>
          <w:sz w:val="22"/>
          <w:szCs w:val="22"/>
        </w:rPr>
      </w:pPr>
      <w:r w:rsidRPr="00F70AF8">
        <w:rPr>
          <w:rFonts w:ascii="Palatino Linotype" w:hAnsi="Palatino Linotype"/>
          <w:sz w:val="22"/>
          <w:szCs w:val="22"/>
        </w:rPr>
        <w:t xml:space="preserve"> (Énfasis añadido)</w:t>
      </w:r>
    </w:p>
    <w:p w14:paraId="2A36D9BD" w14:textId="25F36B1F" w:rsidR="00034A1F" w:rsidRPr="00D707F7" w:rsidRDefault="00034A1F" w:rsidP="00F70AF8">
      <w:pPr>
        <w:pStyle w:val="Prrafodelista"/>
        <w:numPr>
          <w:ilvl w:val="0"/>
          <w:numId w:val="2"/>
        </w:numPr>
        <w:spacing w:before="240" w:after="240" w:line="360" w:lineRule="auto"/>
        <w:ind w:left="0" w:firstLine="0"/>
        <w:jc w:val="both"/>
        <w:rPr>
          <w:rFonts w:ascii="Palatino Linotype" w:hAnsi="Palatino Linotype"/>
          <w:i/>
        </w:rPr>
      </w:pPr>
      <w:r w:rsidRPr="00D707F7">
        <w:rPr>
          <w:rFonts w:ascii="Palatino Linotype" w:eastAsia="Calibri" w:hAnsi="Palatino Linotype" w:cs="Arial"/>
          <w:lang w:val="es-ES"/>
        </w:rPr>
        <w:lastRenderedPageBreak/>
        <w:t>El Comisionado Ponente con fundamento en lo dispuesto por el artículo 185 fracción II de la</w:t>
      </w:r>
      <w:r w:rsidR="003364ED" w:rsidRPr="00D707F7">
        <w:rPr>
          <w:rFonts w:ascii="Palatino Linotype" w:eastAsia="Calibri" w:hAnsi="Palatino Linotype" w:cs="Arial"/>
          <w:lang w:val="es-ES"/>
        </w:rPr>
        <w:t xml:space="preserve"> ley de la materia, a través de</w:t>
      </w:r>
      <w:r w:rsidR="00184266">
        <w:rPr>
          <w:rFonts w:ascii="Palatino Linotype" w:eastAsia="Calibri" w:hAnsi="Palatino Linotype" w:cs="Arial"/>
          <w:lang w:val="es-ES"/>
        </w:rPr>
        <w:t xml:space="preserve"> </w:t>
      </w:r>
      <w:r w:rsidRPr="00D707F7">
        <w:rPr>
          <w:rFonts w:ascii="Palatino Linotype" w:eastAsia="Calibri" w:hAnsi="Palatino Linotype" w:cs="Arial"/>
          <w:lang w:val="es-ES"/>
        </w:rPr>
        <w:t>l</w:t>
      </w:r>
      <w:r w:rsidR="00184266">
        <w:rPr>
          <w:rFonts w:ascii="Palatino Linotype" w:eastAsia="Calibri" w:hAnsi="Palatino Linotype" w:cs="Arial"/>
          <w:lang w:val="es-ES"/>
        </w:rPr>
        <w:t>os</w:t>
      </w:r>
      <w:r w:rsidRPr="00D707F7">
        <w:rPr>
          <w:rFonts w:ascii="Palatino Linotype" w:eastAsia="Calibri" w:hAnsi="Palatino Linotype" w:cs="Arial"/>
          <w:lang w:val="es-ES"/>
        </w:rPr>
        <w:t xml:space="preserve"> acuerdo</w:t>
      </w:r>
      <w:r w:rsidR="00184266">
        <w:rPr>
          <w:rFonts w:ascii="Palatino Linotype" w:eastAsia="Calibri" w:hAnsi="Palatino Linotype" w:cs="Arial"/>
          <w:lang w:val="es-ES"/>
        </w:rPr>
        <w:t>s</w:t>
      </w:r>
      <w:r w:rsidRPr="00D707F7">
        <w:rPr>
          <w:rFonts w:ascii="Palatino Linotype" w:eastAsia="Calibri" w:hAnsi="Palatino Linotype" w:cs="Arial"/>
          <w:lang w:val="es-ES"/>
        </w:rPr>
        <w:t xml:space="preserve"> de admisión de fecha </w:t>
      </w:r>
      <w:r w:rsidR="00FA448D">
        <w:rPr>
          <w:rFonts w:ascii="Palatino Linotype" w:eastAsia="Calibri" w:hAnsi="Palatino Linotype" w:cs="Arial"/>
          <w:lang w:val="es-ES"/>
        </w:rPr>
        <w:t>veinticuatro</w:t>
      </w:r>
      <w:r w:rsidR="001863AF" w:rsidRPr="00D707F7">
        <w:rPr>
          <w:rFonts w:ascii="Palatino Linotype" w:eastAsia="Calibri" w:hAnsi="Palatino Linotype" w:cs="Arial"/>
          <w:lang w:val="es-ES"/>
        </w:rPr>
        <w:t xml:space="preserve"> </w:t>
      </w:r>
      <w:r w:rsidR="007B002D" w:rsidRPr="00D707F7">
        <w:rPr>
          <w:rFonts w:ascii="Palatino Linotype" w:eastAsia="Calibri" w:hAnsi="Palatino Linotype" w:cs="Arial"/>
          <w:lang w:val="es-ES"/>
        </w:rPr>
        <w:t>(</w:t>
      </w:r>
      <w:r w:rsidR="00A81D2B" w:rsidRPr="00D707F7">
        <w:rPr>
          <w:rFonts w:ascii="Palatino Linotype" w:eastAsia="Calibri" w:hAnsi="Palatino Linotype" w:cs="Arial"/>
          <w:lang w:val="es-ES"/>
        </w:rPr>
        <w:t>2</w:t>
      </w:r>
      <w:r w:rsidR="00FA448D">
        <w:rPr>
          <w:rFonts w:ascii="Palatino Linotype" w:eastAsia="Calibri" w:hAnsi="Palatino Linotype" w:cs="Arial"/>
          <w:lang w:val="es-ES"/>
        </w:rPr>
        <w:t>4</w:t>
      </w:r>
      <w:r w:rsidR="007B002D" w:rsidRPr="00D707F7">
        <w:rPr>
          <w:rFonts w:ascii="Palatino Linotype" w:eastAsia="Calibri" w:hAnsi="Palatino Linotype" w:cs="Arial"/>
          <w:lang w:val="es-ES"/>
        </w:rPr>
        <w:t>)</w:t>
      </w:r>
      <w:r w:rsidR="00290721" w:rsidRPr="00D707F7">
        <w:rPr>
          <w:rFonts w:ascii="Palatino Linotype" w:eastAsia="Calibri" w:hAnsi="Palatino Linotype" w:cs="Arial"/>
          <w:lang w:val="es-ES"/>
        </w:rPr>
        <w:t xml:space="preserve"> </w:t>
      </w:r>
      <w:r w:rsidRPr="00D707F7">
        <w:rPr>
          <w:rFonts w:ascii="Palatino Linotype" w:eastAsia="Calibri" w:hAnsi="Palatino Linotype" w:cs="Arial"/>
          <w:lang w:val="es-ES"/>
        </w:rPr>
        <w:t xml:space="preserve">de </w:t>
      </w:r>
      <w:r w:rsidR="002D58F8">
        <w:rPr>
          <w:rFonts w:ascii="Palatino Linotype" w:eastAsia="Calibri" w:hAnsi="Palatino Linotype" w:cs="Arial"/>
          <w:lang w:val="es-ES"/>
        </w:rPr>
        <w:t>agost</w:t>
      </w:r>
      <w:r w:rsidR="00C93405" w:rsidRPr="00D707F7">
        <w:rPr>
          <w:rFonts w:ascii="Palatino Linotype" w:eastAsia="Calibri" w:hAnsi="Palatino Linotype" w:cs="Arial"/>
          <w:lang w:val="es-ES"/>
        </w:rPr>
        <w:t>o</w:t>
      </w:r>
      <w:r w:rsidRPr="00D707F7">
        <w:rPr>
          <w:rFonts w:ascii="Palatino Linotype" w:eastAsia="Calibri" w:hAnsi="Palatino Linotype" w:cs="Arial"/>
          <w:lang w:val="es-ES"/>
        </w:rPr>
        <w:t xml:space="preserve"> del año en curso, puso a disposición de las partes </w:t>
      </w:r>
      <w:r w:rsidR="00C93405" w:rsidRPr="00D707F7">
        <w:rPr>
          <w:rFonts w:ascii="Palatino Linotype" w:eastAsia="Calibri" w:hAnsi="Palatino Linotype" w:cs="Arial"/>
          <w:lang w:val="es-ES"/>
        </w:rPr>
        <w:t>e</w:t>
      </w:r>
      <w:r w:rsidRPr="00D707F7">
        <w:rPr>
          <w:rFonts w:ascii="Palatino Linotype" w:eastAsia="Calibri" w:hAnsi="Palatino Linotype" w:cs="Arial"/>
          <w:lang w:val="es-ES"/>
        </w:rPr>
        <w:t xml:space="preserve">l expediente electrónico </w:t>
      </w:r>
      <w:r w:rsidRPr="00D707F7">
        <w:rPr>
          <w:rFonts w:ascii="Palatino Linotype" w:eastAsia="Calibri" w:hAnsi="Palatino Linotype" w:cs="Arial"/>
        </w:rPr>
        <w:t xml:space="preserve">vía </w:t>
      </w:r>
      <w:r w:rsidRPr="00D707F7">
        <w:rPr>
          <w:rFonts w:ascii="Palatino Linotype" w:eastAsia="Calibri" w:hAnsi="Palatino Linotype" w:cs="Arial"/>
          <w:b/>
          <w:lang w:val="es-ES"/>
        </w:rPr>
        <w:t xml:space="preserve">SAIMEX </w:t>
      </w:r>
      <w:r w:rsidRPr="00D707F7">
        <w:rPr>
          <w:rFonts w:ascii="Palatino Linotype" w:eastAsia="Calibri" w:hAnsi="Palatino Linotype" w:cs="Arial"/>
          <w:lang w:val="es-ES"/>
        </w:rPr>
        <w:t>a efecto de que en un plazo máximo de siete días manifestaran</w:t>
      </w:r>
      <w:r w:rsidR="005E77E6" w:rsidRPr="00D707F7">
        <w:rPr>
          <w:rFonts w:ascii="Palatino Linotype" w:eastAsia="Calibri" w:hAnsi="Palatino Linotype" w:cs="Arial"/>
          <w:lang w:val="es-ES"/>
        </w:rPr>
        <w:t xml:space="preserve"> lo que a su derecho conviniera</w:t>
      </w:r>
      <w:r w:rsidRPr="00D707F7">
        <w:rPr>
          <w:rFonts w:ascii="Palatino Linotype" w:eastAsia="Calibri" w:hAnsi="Palatino Linotype" w:cs="Arial"/>
          <w:lang w:val="es-ES"/>
        </w:rPr>
        <w:t xml:space="preserve">, ofrecieran pruebas y alegatos según corresponda a los casos concretos, </w:t>
      </w:r>
      <w:r w:rsidR="00FA448D">
        <w:rPr>
          <w:rFonts w:ascii="Palatino Linotype" w:eastAsia="Calibri" w:hAnsi="Palatino Linotype" w:cs="Arial"/>
          <w:lang w:val="es-ES"/>
        </w:rPr>
        <w:t>y</w:t>
      </w:r>
      <w:r w:rsidRPr="00D707F7">
        <w:rPr>
          <w:rFonts w:ascii="Palatino Linotype" w:eastAsia="Calibri" w:hAnsi="Palatino Linotype" w:cs="Arial"/>
          <w:lang w:val="es-ES"/>
        </w:rPr>
        <w:t xml:space="preserve"> el </w:t>
      </w:r>
      <w:r w:rsidRPr="00D707F7">
        <w:rPr>
          <w:rFonts w:ascii="Palatino Linotype" w:eastAsia="Calibri" w:hAnsi="Palatino Linotype" w:cs="Arial"/>
          <w:b/>
          <w:lang w:val="es-ES"/>
        </w:rPr>
        <w:t>SUJETO OBLIGADO</w:t>
      </w:r>
      <w:r w:rsidRPr="00D707F7">
        <w:rPr>
          <w:rFonts w:ascii="Palatino Linotype" w:eastAsia="Calibri" w:hAnsi="Palatino Linotype" w:cs="Arial"/>
          <w:lang w:val="es-ES"/>
        </w:rPr>
        <w:t xml:space="preserve"> presentará el Informe Justificado procedente.</w:t>
      </w:r>
    </w:p>
    <w:p w14:paraId="221FC3ED" w14:textId="77777777" w:rsidR="009B03ED" w:rsidRPr="00D707F7" w:rsidRDefault="009B03ED" w:rsidP="009B03ED">
      <w:pPr>
        <w:pStyle w:val="Prrafodelista"/>
        <w:spacing w:before="240" w:after="240" w:line="360" w:lineRule="auto"/>
        <w:ind w:left="0"/>
        <w:jc w:val="both"/>
        <w:rPr>
          <w:rFonts w:ascii="Palatino Linotype" w:hAnsi="Palatino Linotype"/>
          <w:i/>
        </w:rPr>
      </w:pPr>
    </w:p>
    <w:p w14:paraId="09325F7B" w14:textId="2B2C10D9" w:rsidR="00DA6C1D" w:rsidRPr="006A2DF0" w:rsidRDefault="002D58F8" w:rsidP="00DA6C1D">
      <w:pPr>
        <w:pStyle w:val="Prrafodelista"/>
        <w:numPr>
          <w:ilvl w:val="0"/>
          <w:numId w:val="2"/>
        </w:numPr>
        <w:tabs>
          <w:tab w:val="left" w:pos="0"/>
        </w:tabs>
        <w:spacing w:line="360" w:lineRule="auto"/>
        <w:ind w:left="0" w:right="49" w:firstLine="0"/>
        <w:jc w:val="both"/>
        <w:rPr>
          <w:rFonts w:ascii="Palatino Linotype" w:hAnsi="Palatino Linotype"/>
          <w:i/>
          <w:color w:val="000000"/>
        </w:rPr>
      </w:pPr>
      <w:r w:rsidRPr="00DA6C1D">
        <w:rPr>
          <w:rFonts w:ascii="Palatino Linotype" w:hAnsi="Palatino Linotype"/>
          <w:color w:val="000000"/>
        </w:rPr>
        <w:t xml:space="preserve">El </w:t>
      </w:r>
      <w:r w:rsidRPr="00DA6C1D">
        <w:rPr>
          <w:rFonts w:ascii="Palatino Linotype" w:hAnsi="Palatino Linotype"/>
          <w:b/>
          <w:color w:val="000000"/>
        </w:rPr>
        <w:t>SUJETO OBLIGADO</w:t>
      </w:r>
      <w:r w:rsidR="00DA6C1D" w:rsidRPr="00DA6C1D">
        <w:rPr>
          <w:rFonts w:ascii="Palatino Linotype" w:hAnsi="Palatino Linotype"/>
          <w:color w:val="000000"/>
        </w:rPr>
        <w:t xml:space="preserve"> omitió </w:t>
      </w:r>
      <w:r w:rsidRPr="00DA6C1D">
        <w:rPr>
          <w:rFonts w:ascii="Palatino Linotype" w:hAnsi="Palatino Linotype"/>
          <w:color w:val="000000"/>
        </w:rPr>
        <w:t>rendir los informes justificado</w:t>
      </w:r>
      <w:r w:rsidR="00DA6C1D" w:rsidRPr="00DA6C1D">
        <w:rPr>
          <w:rFonts w:ascii="Palatino Linotype" w:hAnsi="Palatino Linotype"/>
          <w:color w:val="000000"/>
        </w:rPr>
        <w:t>s a los recursos de referencia; p</w:t>
      </w:r>
      <w:r w:rsidRPr="00DA6C1D">
        <w:rPr>
          <w:rFonts w:ascii="Palatino Linotype" w:hAnsi="Palatino Linotype"/>
          <w:color w:val="000000"/>
        </w:rPr>
        <w:t xml:space="preserve">or su parte </w:t>
      </w:r>
      <w:r w:rsidR="001F15FF" w:rsidRPr="00DA6C1D">
        <w:rPr>
          <w:rFonts w:ascii="Palatino Linotype" w:hAnsi="Palatino Linotype"/>
          <w:b/>
          <w:color w:val="000000"/>
        </w:rPr>
        <w:t>LA RECURRENTE</w:t>
      </w:r>
      <w:r w:rsidRPr="00DA6C1D">
        <w:rPr>
          <w:rFonts w:ascii="Palatino Linotype" w:hAnsi="Palatino Linotype"/>
          <w:b/>
          <w:color w:val="000000"/>
        </w:rPr>
        <w:t xml:space="preserve"> </w:t>
      </w:r>
      <w:r w:rsidR="00DA6C1D" w:rsidRPr="006A2DF0">
        <w:rPr>
          <w:rFonts w:ascii="Palatino Linotype" w:eastAsia="Calibri" w:hAnsi="Palatino Linotype" w:cs="Arial"/>
          <w:lang w:val="es-ES"/>
        </w:rPr>
        <w:t xml:space="preserve">no presentó alegatos, ni ofreció los medios de prueba, </w:t>
      </w:r>
      <w:r w:rsidR="00DA6C1D" w:rsidRPr="006A2DF0">
        <w:rPr>
          <w:rFonts w:ascii="Palatino Linotype" w:eastAsia="Calibri" w:hAnsi="Palatino Linotype" w:cs="Times New Roman"/>
          <w:lang w:val="es-ES"/>
        </w:rPr>
        <w:t xml:space="preserve">según consta en el </w:t>
      </w:r>
      <w:r w:rsidR="00DA6C1D">
        <w:rPr>
          <w:rFonts w:ascii="Palatino Linotype" w:eastAsia="Calibri" w:hAnsi="Palatino Linotype" w:cs="Arial"/>
          <w:b/>
          <w:lang w:val="es-ES"/>
        </w:rPr>
        <w:t>SAIMEX.</w:t>
      </w:r>
    </w:p>
    <w:p w14:paraId="6F675269" w14:textId="347BB743" w:rsidR="00192D8E" w:rsidRPr="00DA6C1D" w:rsidRDefault="00192D8E" w:rsidP="00DA6C1D">
      <w:pPr>
        <w:pStyle w:val="Prrafodelista"/>
        <w:spacing w:before="240" w:after="240" w:line="360" w:lineRule="auto"/>
        <w:ind w:left="0"/>
        <w:jc w:val="both"/>
        <w:rPr>
          <w:rFonts w:ascii="Palatino Linotype" w:hAnsi="Palatino Linotype"/>
          <w:b/>
        </w:rPr>
      </w:pPr>
    </w:p>
    <w:p w14:paraId="66F0290E" w14:textId="7BF21191" w:rsidR="00643903" w:rsidRPr="00184266" w:rsidRDefault="00DA6C1D" w:rsidP="00D845E3">
      <w:pPr>
        <w:pStyle w:val="Prrafodelista"/>
        <w:numPr>
          <w:ilvl w:val="0"/>
          <w:numId w:val="2"/>
        </w:numPr>
        <w:spacing w:before="240" w:after="240" w:line="360" w:lineRule="auto"/>
        <w:ind w:left="0" w:firstLine="0"/>
        <w:jc w:val="both"/>
        <w:rPr>
          <w:rFonts w:ascii="Palatino Linotype" w:hAnsi="Palatino Linotype"/>
          <w:b/>
        </w:rPr>
      </w:pPr>
      <w:r>
        <w:rPr>
          <w:rFonts w:ascii="Palatino Linotype" w:hAnsi="Palatino Linotype"/>
        </w:rPr>
        <w:t>El diecisiete</w:t>
      </w:r>
      <w:r w:rsidR="001F15FF">
        <w:rPr>
          <w:rFonts w:ascii="Palatino Linotype" w:hAnsi="Palatino Linotype"/>
        </w:rPr>
        <w:t xml:space="preserve"> (1</w:t>
      </w:r>
      <w:r>
        <w:rPr>
          <w:rFonts w:ascii="Palatino Linotype" w:hAnsi="Palatino Linotype"/>
        </w:rPr>
        <w:t>7</w:t>
      </w:r>
      <w:r w:rsidR="001F15FF">
        <w:rPr>
          <w:rFonts w:ascii="Palatino Linotype" w:hAnsi="Palatino Linotype"/>
        </w:rPr>
        <w:t>) de septiembre de dos mil veinte el</w:t>
      </w:r>
      <w:r w:rsidR="00025B10" w:rsidRPr="00D707F7">
        <w:rPr>
          <w:rFonts w:ascii="Palatino Linotype" w:hAnsi="Palatino Linotype"/>
        </w:rPr>
        <w:t xml:space="preserve"> Comisionado Ponente</w:t>
      </w:r>
      <w:r w:rsidR="001F15FF">
        <w:rPr>
          <w:rFonts w:ascii="Palatino Linotype" w:hAnsi="Palatino Linotype"/>
        </w:rPr>
        <w:t xml:space="preserve"> emitió el acuerdo de acumulación de los recursos de revisión que ahora se resuelven; asimismo</w:t>
      </w:r>
      <w:r w:rsidR="00025B10" w:rsidRPr="00D707F7">
        <w:rPr>
          <w:rFonts w:ascii="Palatino Linotype" w:hAnsi="Palatino Linotype"/>
        </w:rPr>
        <w:t xml:space="preserve"> </w:t>
      </w:r>
      <w:r w:rsidR="001F15FF">
        <w:rPr>
          <w:rFonts w:ascii="Palatino Linotype" w:hAnsi="Palatino Linotype"/>
        </w:rPr>
        <w:t>decretó</w:t>
      </w:r>
      <w:r w:rsidR="00CE2991" w:rsidRPr="00D707F7">
        <w:rPr>
          <w:rFonts w:ascii="Palatino Linotype" w:hAnsi="Palatino Linotype"/>
        </w:rPr>
        <w:t xml:space="preserve"> el cierre</w:t>
      </w:r>
      <w:r w:rsidR="001F15FF">
        <w:rPr>
          <w:rFonts w:ascii="Palatino Linotype" w:hAnsi="Palatino Linotype"/>
        </w:rPr>
        <w:t xml:space="preserve"> de instrucción</w:t>
      </w:r>
      <w:r w:rsidR="00CE2991" w:rsidRPr="00D707F7">
        <w:rPr>
          <w:rFonts w:ascii="Palatino Linotype" w:hAnsi="Palatino Linotype"/>
        </w:rPr>
        <w:t>;</w:t>
      </w:r>
      <w:r w:rsidR="00C8486C" w:rsidRPr="00D707F7">
        <w:rPr>
          <w:rFonts w:ascii="Palatino Linotype" w:hAnsi="Palatino Linotype"/>
        </w:rPr>
        <w:t xml:space="preserve"> </w:t>
      </w:r>
      <w:r w:rsidR="002D58F8">
        <w:rPr>
          <w:rFonts w:ascii="Palatino Linotype" w:hAnsi="Palatino Linotype"/>
        </w:rPr>
        <w:t>ordenando</w:t>
      </w:r>
      <w:r w:rsidR="00585F00" w:rsidRPr="00D707F7">
        <w:rPr>
          <w:rFonts w:ascii="Palatino Linotype" w:hAnsi="Palatino Linotype" w:cs="Arial"/>
        </w:rPr>
        <w:t xml:space="preserve"> tur</w:t>
      </w:r>
      <w:r w:rsidR="00434B23" w:rsidRPr="00D707F7">
        <w:rPr>
          <w:rFonts w:ascii="Palatino Linotype" w:hAnsi="Palatino Linotype" w:cs="Arial"/>
        </w:rPr>
        <w:t xml:space="preserve">nar el expediente a resolución, </w:t>
      </w:r>
      <w:r w:rsidR="00274F7F" w:rsidRPr="00D707F7">
        <w:rPr>
          <w:rFonts w:ascii="Palatino Linotype" w:hAnsi="Palatino Linotype" w:cs="Arial"/>
        </w:rPr>
        <w:t xml:space="preserve">por lo que no habiendo más que hacer constar, </w:t>
      </w:r>
      <w:r w:rsidR="001F5AF8" w:rsidRPr="00D707F7">
        <w:rPr>
          <w:rFonts w:ascii="Palatino Linotype" w:hAnsi="Palatino Linotype" w:cs="Arial"/>
        </w:rPr>
        <w:t xml:space="preserve">y - </w:t>
      </w:r>
      <w:r w:rsidR="00AD747C" w:rsidRPr="00D707F7">
        <w:rPr>
          <w:rFonts w:ascii="Palatino Linotype" w:hAnsi="Palatino Linotype" w:cs="Arial"/>
        </w:rPr>
        <w:t>- - - - -</w:t>
      </w:r>
      <w:r w:rsidR="001F15FF">
        <w:rPr>
          <w:rFonts w:ascii="Palatino Linotype" w:hAnsi="Palatino Linotype" w:cs="Arial"/>
        </w:rPr>
        <w:t xml:space="preserve"> - - - - - - - - - </w:t>
      </w:r>
      <w:r w:rsidR="00AD747C" w:rsidRPr="00D707F7">
        <w:rPr>
          <w:rFonts w:ascii="Palatino Linotype" w:hAnsi="Palatino Linotype" w:cs="Arial"/>
        </w:rPr>
        <w:t xml:space="preserve"> - </w:t>
      </w:r>
    </w:p>
    <w:p w14:paraId="3214A902" w14:textId="77777777" w:rsidR="00184266" w:rsidRPr="00184266" w:rsidRDefault="00184266" w:rsidP="00184266">
      <w:pPr>
        <w:pStyle w:val="Prrafodelista"/>
        <w:rPr>
          <w:rFonts w:ascii="Palatino Linotype" w:hAnsi="Palatino Linotype"/>
          <w:b/>
        </w:rPr>
      </w:pPr>
    </w:p>
    <w:p w14:paraId="51E91971" w14:textId="4A8939B2" w:rsidR="00585F00" w:rsidRPr="00D707F7" w:rsidRDefault="00585F00" w:rsidP="00585F00">
      <w:pPr>
        <w:pStyle w:val="Ttulo1"/>
        <w:jc w:val="center"/>
        <w:rPr>
          <w:b/>
          <w:szCs w:val="24"/>
        </w:rPr>
      </w:pPr>
      <w:bookmarkStart w:id="121" w:name="_Toc491791302"/>
      <w:bookmarkStart w:id="122" w:name="_Toc51457384"/>
      <w:r w:rsidRPr="00D707F7">
        <w:rPr>
          <w:b/>
          <w:szCs w:val="24"/>
        </w:rPr>
        <w:t>CONSIDERANDO</w:t>
      </w:r>
      <w:bookmarkEnd w:id="121"/>
      <w:bookmarkEnd w:id="122"/>
    </w:p>
    <w:p w14:paraId="7681ED66" w14:textId="77777777" w:rsidR="00585F00" w:rsidRPr="00D707F7" w:rsidRDefault="00585F00" w:rsidP="00585F00">
      <w:pPr>
        <w:rPr>
          <w:rFonts w:ascii="Palatino Linotype" w:hAnsi="Palatino Linotype"/>
          <w:lang w:val="es-MX" w:eastAsia="en-US"/>
        </w:rPr>
      </w:pPr>
    </w:p>
    <w:p w14:paraId="717D4ABA" w14:textId="77777777" w:rsidR="00585F00" w:rsidRPr="00D707F7" w:rsidRDefault="00585F00" w:rsidP="00585F00">
      <w:pPr>
        <w:pStyle w:val="Ttulo2"/>
        <w:rPr>
          <w:rFonts w:ascii="Palatino Linotype" w:hAnsi="Palatino Linotype"/>
          <w:b/>
          <w:color w:val="auto"/>
          <w:sz w:val="24"/>
          <w:szCs w:val="24"/>
        </w:rPr>
      </w:pPr>
      <w:bookmarkStart w:id="123" w:name="_Toc491791303"/>
      <w:bookmarkStart w:id="124" w:name="_Toc51457385"/>
      <w:r w:rsidRPr="00D707F7">
        <w:rPr>
          <w:rFonts w:ascii="Palatino Linotype" w:hAnsi="Palatino Linotype"/>
          <w:b/>
          <w:color w:val="auto"/>
          <w:sz w:val="24"/>
          <w:szCs w:val="24"/>
        </w:rPr>
        <w:t>PRIMERO. De la competencia</w:t>
      </w:r>
      <w:bookmarkEnd w:id="123"/>
      <w:bookmarkEnd w:id="124"/>
    </w:p>
    <w:p w14:paraId="6EA8B854" w14:textId="77777777" w:rsidR="00585F00" w:rsidRPr="00D707F7" w:rsidRDefault="00585F00" w:rsidP="00585F00">
      <w:pPr>
        <w:rPr>
          <w:rFonts w:ascii="Palatino Linotype" w:hAnsi="Palatino Linotype"/>
          <w:lang w:val="es-MX" w:eastAsia="en-US"/>
        </w:rPr>
      </w:pPr>
    </w:p>
    <w:p w14:paraId="59B46AF8" w14:textId="77777777" w:rsidR="00585F00" w:rsidRPr="00C936E7"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D707F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w:t>
      </w:r>
      <w:r w:rsidRPr="00D707F7">
        <w:rPr>
          <w:rFonts w:ascii="Palatino Linotype" w:eastAsia="Calibri" w:hAnsi="Palatino Linotype" w:cs="Times New Roman"/>
          <w:lang w:val="es-ES"/>
        </w:rPr>
        <w:lastRenderedPageBreak/>
        <w:t xml:space="preserve">y resolver del presente recurso de conformidad con el artículo: 6, apartado A, fracción IV de la </w:t>
      </w:r>
      <w:r w:rsidRPr="00D707F7">
        <w:rPr>
          <w:rFonts w:ascii="Palatino Linotype" w:eastAsia="Calibri" w:hAnsi="Palatino Linotype" w:cs="Times New Roman"/>
          <w:b/>
          <w:lang w:val="es-ES"/>
        </w:rPr>
        <w:t>Constitución Política de los Estados Unidos Mexicanos</w:t>
      </w:r>
      <w:r w:rsidRPr="00D707F7">
        <w:rPr>
          <w:rFonts w:ascii="Palatino Linotype" w:eastAsia="Calibri" w:hAnsi="Palatino Linotype" w:cs="Times New Roman"/>
          <w:lang w:val="es-ES"/>
        </w:rPr>
        <w:t xml:space="preserve">; 5, párrafos vigésimo, vigésimo primero y vigésimo segundo fracciones IV y V de la </w:t>
      </w:r>
      <w:r w:rsidRPr="00D707F7">
        <w:rPr>
          <w:rFonts w:ascii="Palatino Linotype" w:eastAsia="Calibri" w:hAnsi="Palatino Linotype" w:cs="Times New Roman"/>
          <w:b/>
          <w:lang w:val="es-ES"/>
        </w:rPr>
        <w:t>Constitución Política del Estado Libre y Soberano de México</w:t>
      </w:r>
      <w:r w:rsidRPr="00D707F7">
        <w:rPr>
          <w:rFonts w:ascii="Palatino Linotype" w:eastAsia="Calibri" w:hAnsi="Palatino Linotype" w:cs="Times New Roman"/>
          <w:lang w:val="es-ES"/>
        </w:rPr>
        <w:t xml:space="preserve">; artículos 1, 2 fracción II, 13, 29, 36 fracciones I y II, 176, 178, 179, 181 párrafo tercero y 185 </w:t>
      </w:r>
      <w:r w:rsidRPr="00D707F7">
        <w:rPr>
          <w:rFonts w:ascii="Palatino Linotype" w:eastAsia="Calibri" w:hAnsi="Palatino Linotype" w:cs="Arial"/>
          <w:lang w:val="es-ES"/>
        </w:rPr>
        <w:t xml:space="preserve">de la </w:t>
      </w:r>
      <w:r w:rsidRPr="00D707F7">
        <w:rPr>
          <w:rFonts w:ascii="Palatino Linotype" w:eastAsia="Calibri" w:hAnsi="Palatino Linotype" w:cs="Arial"/>
          <w:b/>
          <w:lang w:val="es-ES"/>
        </w:rPr>
        <w:t>Ley de Transparencia y Acceso a la Información Pública del Estado de México y Municipios</w:t>
      </w:r>
      <w:r w:rsidRPr="00D707F7">
        <w:rPr>
          <w:rFonts w:ascii="Palatino Linotype" w:eastAsia="Calibri" w:hAnsi="Palatino Linotype" w:cs="Arial"/>
          <w:lang w:val="es-ES"/>
        </w:rPr>
        <w:t xml:space="preserve">; ; y 10, 7, 9 fracciones I y XXIV, y 11 del </w:t>
      </w:r>
      <w:r w:rsidRPr="00D707F7">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7C511749" w14:textId="77777777" w:rsidR="00C936E7" w:rsidRPr="00D707F7" w:rsidRDefault="00C936E7" w:rsidP="00C936E7">
      <w:pPr>
        <w:pStyle w:val="Prrafodelista"/>
        <w:spacing w:line="360" w:lineRule="auto"/>
        <w:ind w:left="0"/>
        <w:jc w:val="both"/>
        <w:rPr>
          <w:rFonts w:ascii="Palatino Linotype" w:eastAsia="Calibri" w:hAnsi="Palatino Linotype" w:cs="Times New Roman"/>
          <w:b/>
          <w:lang w:val="es-ES"/>
        </w:rPr>
      </w:pPr>
    </w:p>
    <w:p w14:paraId="23C784AF" w14:textId="77777777" w:rsidR="00585F00" w:rsidRDefault="00585F00" w:rsidP="00585F00">
      <w:pPr>
        <w:pStyle w:val="Ttulo2"/>
        <w:rPr>
          <w:rFonts w:ascii="Palatino Linotype" w:hAnsi="Palatino Linotype"/>
          <w:b/>
          <w:color w:val="auto"/>
          <w:sz w:val="24"/>
          <w:szCs w:val="24"/>
        </w:rPr>
      </w:pPr>
      <w:bookmarkStart w:id="125" w:name="_Toc491791304"/>
      <w:bookmarkStart w:id="126" w:name="_Toc51457386"/>
      <w:r w:rsidRPr="00D707F7">
        <w:rPr>
          <w:rFonts w:ascii="Palatino Linotype" w:hAnsi="Palatino Linotype"/>
          <w:b/>
          <w:color w:val="auto"/>
          <w:sz w:val="24"/>
          <w:szCs w:val="24"/>
        </w:rPr>
        <w:t>SEGUNDO. De la oportunidad y procedencia.</w:t>
      </w:r>
      <w:bookmarkEnd w:id="125"/>
      <w:bookmarkEnd w:id="126"/>
    </w:p>
    <w:p w14:paraId="441E8740" w14:textId="77777777" w:rsidR="002D58F8" w:rsidRPr="002D58F8" w:rsidRDefault="002D58F8" w:rsidP="002D58F8">
      <w:pPr>
        <w:rPr>
          <w:lang w:val="es-MX" w:eastAsia="en-US"/>
        </w:rPr>
      </w:pPr>
    </w:p>
    <w:p w14:paraId="33C1C38F" w14:textId="6E7B98C5" w:rsidR="002D58F8" w:rsidRPr="00856414" w:rsidRDefault="002D58F8" w:rsidP="002D58F8">
      <w:pPr>
        <w:pStyle w:val="Prrafodelista"/>
        <w:numPr>
          <w:ilvl w:val="0"/>
          <w:numId w:val="2"/>
        </w:numPr>
        <w:spacing w:line="360" w:lineRule="auto"/>
        <w:ind w:left="0" w:firstLine="0"/>
        <w:jc w:val="both"/>
        <w:rPr>
          <w:rFonts w:ascii="Palatino Linotype" w:hAnsi="Palatino Linotype"/>
        </w:rPr>
      </w:pPr>
      <w:r w:rsidRPr="00D707F7">
        <w:rPr>
          <w:rFonts w:ascii="Palatino Linotype" w:eastAsia="Calibri" w:hAnsi="Palatino Linotype" w:cs="Arial"/>
        </w:rPr>
        <w:t xml:space="preserve">El medio de impugnación fue presentado a través del </w:t>
      </w:r>
      <w:r w:rsidRPr="00D707F7">
        <w:rPr>
          <w:rFonts w:ascii="Palatino Linotype" w:eastAsia="Calibri" w:hAnsi="Palatino Linotype" w:cs="Arial"/>
          <w:b/>
        </w:rPr>
        <w:t>SAIMEX,</w:t>
      </w:r>
      <w:r w:rsidRPr="00D707F7">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D707F7">
        <w:rPr>
          <w:rFonts w:ascii="Palatino Linotype" w:eastAsia="Calibri" w:hAnsi="Palatino Linotype" w:cs="Arial"/>
          <w:b/>
        </w:rPr>
        <w:t>SUJETO OBLIGADO</w:t>
      </w:r>
      <w:r w:rsidRPr="00D707F7">
        <w:rPr>
          <w:rFonts w:ascii="Palatino Linotype" w:eastAsia="Calibri" w:hAnsi="Palatino Linotype" w:cs="Arial"/>
        </w:rPr>
        <w:t xml:space="preserve"> </w:t>
      </w:r>
      <w:r w:rsidR="00DA6C1D">
        <w:rPr>
          <w:rFonts w:ascii="Palatino Linotype" w:eastAsia="Calibri" w:hAnsi="Palatino Linotype" w:cs="Arial"/>
        </w:rPr>
        <w:t>respondió</w:t>
      </w:r>
      <w:r>
        <w:rPr>
          <w:rFonts w:ascii="Palatino Linotype" w:eastAsia="Calibri" w:hAnsi="Palatino Linotype" w:cs="Arial"/>
        </w:rPr>
        <w:t xml:space="preserve"> el día veinti</w:t>
      </w:r>
      <w:r w:rsidR="007D5D23">
        <w:rPr>
          <w:rFonts w:ascii="Palatino Linotype" w:eastAsia="Calibri" w:hAnsi="Palatino Linotype" w:cs="Arial"/>
        </w:rPr>
        <w:t>ocho</w:t>
      </w:r>
      <w:r>
        <w:rPr>
          <w:rFonts w:ascii="Palatino Linotype" w:eastAsia="Calibri" w:hAnsi="Palatino Linotype" w:cs="Arial"/>
        </w:rPr>
        <w:t xml:space="preserve"> (2</w:t>
      </w:r>
      <w:r w:rsidR="007D5D23">
        <w:rPr>
          <w:rFonts w:ascii="Palatino Linotype" w:eastAsia="Calibri" w:hAnsi="Palatino Linotype" w:cs="Arial"/>
        </w:rPr>
        <w:t>8</w:t>
      </w:r>
      <w:r>
        <w:rPr>
          <w:rFonts w:ascii="Palatino Linotype" w:eastAsia="Calibri" w:hAnsi="Palatino Linotype" w:cs="Arial"/>
        </w:rPr>
        <w:t>)</w:t>
      </w:r>
      <w:r w:rsidRPr="00D707F7">
        <w:rPr>
          <w:rFonts w:ascii="Palatino Linotype" w:eastAsia="Calibri" w:hAnsi="Palatino Linotype" w:cs="Arial"/>
        </w:rPr>
        <w:t xml:space="preserve"> de </w:t>
      </w:r>
      <w:r>
        <w:rPr>
          <w:rFonts w:ascii="Palatino Linotype" w:eastAsia="Calibri" w:hAnsi="Palatino Linotype" w:cs="Arial"/>
        </w:rPr>
        <w:t>julio</w:t>
      </w:r>
      <w:r w:rsidRPr="00D707F7">
        <w:rPr>
          <w:rFonts w:ascii="Palatino Linotype" w:eastAsia="Calibri" w:hAnsi="Palatino Linotype" w:cs="Arial"/>
        </w:rPr>
        <w:t xml:space="preserve"> de dos mil </w:t>
      </w:r>
      <w:r>
        <w:rPr>
          <w:rFonts w:ascii="Palatino Linotype" w:eastAsia="Calibri" w:hAnsi="Palatino Linotype" w:cs="Arial"/>
        </w:rPr>
        <w:t>veinte</w:t>
      </w:r>
      <w:r w:rsidRPr="00D707F7">
        <w:rPr>
          <w:rFonts w:ascii="Palatino Linotype" w:eastAsia="Calibri" w:hAnsi="Palatino Linotype" w:cs="Arial"/>
        </w:rPr>
        <w:t xml:space="preserve">, </w:t>
      </w:r>
      <w:r w:rsidRPr="00D707F7">
        <w:rPr>
          <w:rFonts w:ascii="Palatino Linotype" w:hAnsi="Palatino Linotype" w:cs="Arial"/>
        </w:rPr>
        <w:t xml:space="preserve">de tal forma que el plazo para interponer el recurso transcurrió del día </w:t>
      </w:r>
      <w:r>
        <w:rPr>
          <w:rFonts w:ascii="Palatino Linotype" w:hAnsi="Palatino Linotype" w:cs="Arial"/>
        </w:rPr>
        <w:t>tres</w:t>
      </w:r>
      <w:r w:rsidRPr="00AF5118">
        <w:rPr>
          <w:rFonts w:ascii="Palatino Linotype" w:hAnsi="Palatino Linotype" w:cs="Arial"/>
        </w:rPr>
        <w:t xml:space="preserve"> (</w:t>
      </w:r>
      <w:r>
        <w:rPr>
          <w:rFonts w:ascii="Palatino Linotype" w:hAnsi="Palatino Linotype" w:cs="Arial"/>
        </w:rPr>
        <w:t>03</w:t>
      </w:r>
      <w:r w:rsidRPr="00AF5118">
        <w:rPr>
          <w:rFonts w:ascii="Palatino Linotype" w:hAnsi="Palatino Linotype" w:cs="Arial"/>
        </w:rPr>
        <w:t xml:space="preserve">) al </w:t>
      </w:r>
      <w:r>
        <w:rPr>
          <w:rFonts w:ascii="Palatino Linotype" w:hAnsi="Palatino Linotype" w:cs="Arial"/>
        </w:rPr>
        <w:t xml:space="preserve">veintiuno </w:t>
      </w:r>
      <w:r w:rsidRPr="00AF5118">
        <w:rPr>
          <w:rFonts w:ascii="Palatino Linotype" w:hAnsi="Palatino Linotype" w:cs="Arial"/>
        </w:rPr>
        <w:t>(</w:t>
      </w:r>
      <w:r>
        <w:rPr>
          <w:rFonts w:ascii="Palatino Linotype" w:hAnsi="Palatino Linotype" w:cs="Arial"/>
        </w:rPr>
        <w:t>21</w:t>
      </w:r>
      <w:r w:rsidRPr="00AF5118">
        <w:rPr>
          <w:rFonts w:ascii="Palatino Linotype" w:hAnsi="Palatino Linotype" w:cs="Arial"/>
        </w:rPr>
        <w:t>) de agosto de dos mil veinte;</w:t>
      </w:r>
      <w:r>
        <w:rPr>
          <w:rFonts w:ascii="Palatino Linotype" w:hAnsi="Palatino Linotype" w:cs="Arial"/>
        </w:rPr>
        <w:t xml:space="preserve"> derivado </w:t>
      </w:r>
      <w:r w:rsidRPr="00856414">
        <w:rPr>
          <w:rFonts w:ascii="Palatino Linotype" w:hAnsi="Palatino Linotype" w:cs="Arial"/>
        </w:rPr>
        <w:t>de la suspensión de actividades con motivo de la emergencia sanitaria generada por el virus SARS-CoV2 en los sectores público, privado y social</w:t>
      </w:r>
      <w:r>
        <w:rPr>
          <w:rFonts w:ascii="Palatino Linotype" w:hAnsi="Palatino Linotype" w:cs="Arial"/>
        </w:rPr>
        <w:t>.</w:t>
      </w:r>
    </w:p>
    <w:p w14:paraId="2B78266F" w14:textId="77777777" w:rsidR="002D58F8" w:rsidRPr="00856414" w:rsidRDefault="002D58F8" w:rsidP="002D58F8">
      <w:pPr>
        <w:pStyle w:val="Prrafodelista"/>
        <w:spacing w:line="360" w:lineRule="auto"/>
        <w:ind w:left="0"/>
        <w:jc w:val="both"/>
        <w:rPr>
          <w:rFonts w:ascii="Palatino Linotype" w:hAnsi="Palatino Linotype"/>
        </w:rPr>
      </w:pPr>
    </w:p>
    <w:p w14:paraId="3B672FDD" w14:textId="521384F9" w:rsidR="002D58F8" w:rsidRPr="00DA6C1D" w:rsidRDefault="002D58F8" w:rsidP="002D58F8">
      <w:pPr>
        <w:pStyle w:val="Prrafodelista"/>
        <w:numPr>
          <w:ilvl w:val="0"/>
          <w:numId w:val="2"/>
        </w:numPr>
        <w:spacing w:line="360" w:lineRule="auto"/>
        <w:ind w:left="0" w:firstLine="0"/>
        <w:jc w:val="both"/>
        <w:rPr>
          <w:rFonts w:ascii="Palatino Linotype" w:hAnsi="Palatino Linotype"/>
        </w:rPr>
      </w:pPr>
      <w:r>
        <w:rPr>
          <w:rFonts w:ascii="Palatino Linotype" w:hAnsi="Palatino Linotype" w:cs="Arial"/>
        </w:rPr>
        <w:lastRenderedPageBreak/>
        <w:t xml:space="preserve"> E</w:t>
      </w:r>
      <w:r w:rsidRPr="00D707F7">
        <w:rPr>
          <w:rFonts w:ascii="Palatino Linotype" w:hAnsi="Palatino Linotype" w:cs="Arial"/>
        </w:rPr>
        <w:t xml:space="preserve">n consecuencia, </w:t>
      </w:r>
      <w:r>
        <w:rPr>
          <w:rFonts w:ascii="Palatino Linotype" w:hAnsi="Palatino Linotype" w:cs="Arial"/>
        </w:rPr>
        <w:t>e</w:t>
      </w:r>
      <w:r w:rsidRPr="00D707F7">
        <w:rPr>
          <w:rFonts w:ascii="Palatino Linotype" w:hAnsi="Palatino Linotype" w:cs="Arial"/>
        </w:rPr>
        <w:t>l ahora recurrente presentó su inconformidad</w:t>
      </w:r>
      <w:r>
        <w:rPr>
          <w:rFonts w:ascii="Palatino Linotype" w:hAnsi="Palatino Linotype" w:cs="Arial"/>
        </w:rPr>
        <w:t xml:space="preserve"> e</w:t>
      </w:r>
      <w:r w:rsidRPr="00D707F7">
        <w:rPr>
          <w:rFonts w:ascii="Palatino Linotype" w:hAnsi="Palatino Linotype" w:cs="Arial"/>
        </w:rPr>
        <w:t xml:space="preserve">l día </w:t>
      </w:r>
      <w:r>
        <w:rPr>
          <w:rFonts w:ascii="Palatino Linotype" w:hAnsi="Palatino Linotype" w:cs="Arial"/>
        </w:rPr>
        <w:t xml:space="preserve">dieciocho (18) </w:t>
      </w:r>
      <w:r w:rsidRPr="00D707F7">
        <w:rPr>
          <w:rFonts w:ascii="Palatino Linotype" w:hAnsi="Palatino Linotype" w:cs="Arial"/>
        </w:rPr>
        <w:t xml:space="preserve">de </w:t>
      </w:r>
      <w:r>
        <w:rPr>
          <w:rFonts w:ascii="Palatino Linotype" w:hAnsi="Palatino Linotype" w:cs="Arial"/>
        </w:rPr>
        <w:t>agosto</w:t>
      </w:r>
      <w:r w:rsidRPr="00D707F7">
        <w:rPr>
          <w:rFonts w:ascii="Palatino Linotype" w:hAnsi="Palatino Linotype" w:cs="Arial"/>
        </w:rPr>
        <w:t xml:space="preserve"> </w:t>
      </w:r>
      <w:r w:rsidR="001F15FF">
        <w:rPr>
          <w:rFonts w:ascii="Palatino Linotype" w:hAnsi="Palatino Linotype" w:cs="Arial"/>
        </w:rPr>
        <w:t>de dos mil veinte; por lo que los</w:t>
      </w:r>
      <w:r w:rsidRPr="00D707F7">
        <w:rPr>
          <w:rFonts w:ascii="Palatino Linotype" w:hAnsi="Palatino Linotype" w:cs="Arial"/>
        </w:rPr>
        <w:t xml:space="preserve"> medio</w:t>
      </w:r>
      <w:r w:rsidR="001F15FF">
        <w:rPr>
          <w:rFonts w:ascii="Palatino Linotype" w:hAnsi="Palatino Linotype" w:cs="Arial"/>
        </w:rPr>
        <w:t>s</w:t>
      </w:r>
      <w:r w:rsidRPr="00D707F7">
        <w:rPr>
          <w:rFonts w:ascii="Palatino Linotype" w:hAnsi="Palatino Linotype" w:cs="Arial"/>
        </w:rPr>
        <w:t xml:space="preserve"> de impugnación se encuentra</w:t>
      </w:r>
      <w:r>
        <w:rPr>
          <w:rFonts w:ascii="Palatino Linotype" w:hAnsi="Palatino Linotype" w:cs="Arial"/>
        </w:rPr>
        <w:t>n</w:t>
      </w:r>
      <w:r w:rsidRPr="00D707F7">
        <w:rPr>
          <w:rFonts w:ascii="Palatino Linotype" w:hAnsi="Palatino Linotype" w:cs="Arial"/>
        </w:rPr>
        <w:t xml:space="preserve"> dentro del lapso legalmente establecido para tal efecto. </w:t>
      </w:r>
    </w:p>
    <w:p w14:paraId="51E11681" w14:textId="77777777" w:rsidR="00DA6C1D" w:rsidRPr="00AF5118" w:rsidRDefault="00DA6C1D" w:rsidP="00DA6C1D">
      <w:pPr>
        <w:pStyle w:val="Prrafodelista"/>
        <w:spacing w:line="360" w:lineRule="auto"/>
        <w:ind w:left="0"/>
        <w:jc w:val="both"/>
        <w:rPr>
          <w:rFonts w:ascii="Palatino Linotype" w:hAnsi="Palatino Linotype"/>
        </w:rPr>
      </w:pPr>
    </w:p>
    <w:p w14:paraId="30799A3B" w14:textId="77777777" w:rsidR="002D58F8" w:rsidRPr="009526B0" w:rsidRDefault="002D58F8" w:rsidP="002D58F8">
      <w:pPr>
        <w:pStyle w:val="Prrafodelista"/>
        <w:numPr>
          <w:ilvl w:val="0"/>
          <w:numId w:val="2"/>
        </w:numPr>
        <w:spacing w:line="360" w:lineRule="auto"/>
        <w:ind w:left="0" w:firstLine="0"/>
        <w:jc w:val="both"/>
        <w:rPr>
          <w:rFonts w:ascii="Palatino Linotype" w:hAnsi="Palatino Linotype"/>
        </w:rPr>
      </w:pPr>
      <w:r w:rsidRPr="00D707F7">
        <w:rPr>
          <w:rFonts w:ascii="Palatino Linotype" w:eastAsia="Calibri" w:hAnsi="Palatino Linotype" w:cs="Arial"/>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BA5E3B" w14:textId="77777777" w:rsidR="00CE2991" w:rsidRDefault="00CE2991" w:rsidP="00CE2991">
      <w:pPr>
        <w:rPr>
          <w:rFonts w:ascii="Palatino Linotype" w:hAnsi="Palatino Linotype"/>
          <w:lang w:eastAsia="en-US"/>
        </w:rPr>
      </w:pPr>
    </w:p>
    <w:p w14:paraId="4077E73C" w14:textId="77777777" w:rsidR="00575D13" w:rsidRPr="00D707F7" w:rsidRDefault="00575D13" w:rsidP="00575D13">
      <w:pPr>
        <w:pStyle w:val="Ttulo1"/>
        <w:spacing w:line="360" w:lineRule="auto"/>
        <w:rPr>
          <w:b/>
          <w:color w:val="000000" w:themeColor="text1"/>
          <w:szCs w:val="24"/>
        </w:rPr>
      </w:pPr>
      <w:bookmarkStart w:id="127" w:name="_Toc34246179"/>
      <w:bookmarkStart w:id="128" w:name="_Toc50033991"/>
      <w:bookmarkStart w:id="129" w:name="_Toc51259588"/>
      <w:bookmarkStart w:id="130" w:name="_Toc51457387"/>
      <w:r w:rsidRPr="00D707F7">
        <w:rPr>
          <w:b/>
          <w:color w:val="000000" w:themeColor="text1"/>
          <w:szCs w:val="24"/>
        </w:rPr>
        <w:t xml:space="preserve">TERCERO. </w:t>
      </w:r>
      <w:bookmarkStart w:id="131" w:name="_Toc501021589"/>
      <w:r w:rsidRPr="00D707F7">
        <w:rPr>
          <w:b/>
          <w:color w:val="000000" w:themeColor="text1"/>
          <w:szCs w:val="24"/>
        </w:rPr>
        <w:t xml:space="preserve">Del planteamiento de la </w:t>
      </w:r>
      <w:r w:rsidRPr="00D707F7">
        <w:rPr>
          <w:b/>
          <w:i/>
          <w:color w:val="000000" w:themeColor="text1"/>
          <w:szCs w:val="24"/>
        </w:rPr>
        <w:t>Litis</w:t>
      </w:r>
      <w:r w:rsidRPr="00D707F7">
        <w:rPr>
          <w:b/>
          <w:color w:val="000000" w:themeColor="text1"/>
          <w:szCs w:val="24"/>
        </w:rPr>
        <w:t>.</w:t>
      </w:r>
      <w:bookmarkEnd w:id="127"/>
      <w:bookmarkEnd w:id="128"/>
      <w:bookmarkEnd w:id="129"/>
      <w:bookmarkEnd w:id="130"/>
      <w:bookmarkEnd w:id="131"/>
    </w:p>
    <w:p w14:paraId="52EEAFFA" w14:textId="77777777" w:rsidR="00575D13" w:rsidRPr="00D707F7" w:rsidRDefault="00575D13" w:rsidP="00575D13">
      <w:pPr>
        <w:rPr>
          <w:lang w:val="es-MX" w:eastAsia="en-US"/>
        </w:rPr>
      </w:pPr>
    </w:p>
    <w:p w14:paraId="58055E4B" w14:textId="3A7E8B83" w:rsidR="00575D13" w:rsidRPr="001352F1" w:rsidRDefault="008D45AD" w:rsidP="007F37DF">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Se solicitaron </w:t>
      </w:r>
      <w:r w:rsidR="00DA6C1D">
        <w:rPr>
          <w:rFonts w:ascii="Palatino Linotype" w:hAnsi="Palatino Linotype" w:cs="Arial"/>
        </w:rPr>
        <w:t>diversas convocatorias emitidas durante los años dos mil diecinueve y dos mil veinte</w:t>
      </w:r>
      <w:r w:rsidR="00575D13">
        <w:rPr>
          <w:rFonts w:ascii="Palatino Linotype" w:hAnsi="Palatino Linotype" w:cs="Arial"/>
        </w:rPr>
        <w:t>;</w:t>
      </w:r>
      <w:r w:rsidR="00575D13" w:rsidRPr="001C0EB3">
        <w:rPr>
          <w:rFonts w:ascii="Palatino Linotype" w:hAnsi="Palatino Linotype" w:cs="Arial"/>
        </w:rPr>
        <w:t xml:space="preserve"> </w:t>
      </w:r>
      <w:r w:rsidR="00575D13">
        <w:rPr>
          <w:rFonts w:ascii="Palatino Linotype" w:hAnsi="Palatino Linotype" w:cs="Arial"/>
        </w:rPr>
        <w:t>e</w:t>
      </w:r>
      <w:r w:rsidR="00575D13" w:rsidRPr="00AB76E8">
        <w:rPr>
          <w:rFonts w:ascii="Palatino Linotype" w:hAnsi="Palatino Linotype" w:cs="Arial"/>
        </w:rPr>
        <w:t xml:space="preserve">n respuesta </w:t>
      </w:r>
      <w:r w:rsidR="00575D13">
        <w:rPr>
          <w:rFonts w:ascii="Palatino Linotype" w:hAnsi="Palatino Linotype" w:cs="Arial"/>
        </w:rPr>
        <w:t xml:space="preserve">el </w:t>
      </w:r>
      <w:r w:rsidR="00575D13">
        <w:rPr>
          <w:rFonts w:ascii="Palatino Linotype" w:hAnsi="Palatino Linotype" w:cs="Arial"/>
          <w:b/>
        </w:rPr>
        <w:t xml:space="preserve">SUJETO OBLIGADO, </w:t>
      </w:r>
      <w:r>
        <w:rPr>
          <w:rFonts w:ascii="Palatino Linotype" w:hAnsi="Palatino Linotype" w:cs="Arial"/>
        </w:rPr>
        <w:t>remitió el Acta del Comité de Transparencia en la que se aprobó el cambio de modalidad para la entrega de información</w:t>
      </w:r>
      <w:r w:rsidR="00575D13">
        <w:rPr>
          <w:rFonts w:ascii="Palatino Linotype" w:hAnsi="Palatino Linotype" w:cs="Arial"/>
        </w:rPr>
        <w:t>.</w:t>
      </w:r>
    </w:p>
    <w:p w14:paraId="60FF4FE4" w14:textId="77777777" w:rsidR="00575D13" w:rsidRDefault="00575D13" w:rsidP="00575D13">
      <w:pPr>
        <w:spacing w:line="360" w:lineRule="auto"/>
        <w:contextualSpacing/>
        <w:jc w:val="both"/>
        <w:rPr>
          <w:rFonts w:ascii="Palatino Linotype" w:hAnsi="Palatino Linotype" w:cs="Arial"/>
        </w:rPr>
      </w:pPr>
    </w:p>
    <w:p w14:paraId="3DA8C634" w14:textId="239B89B6" w:rsidR="00575D13" w:rsidRPr="00E80900" w:rsidRDefault="008D45AD" w:rsidP="00575D13">
      <w:pPr>
        <w:numPr>
          <w:ilvl w:val="0"/>
          <w:numId w:val="2"/>
        </w:numPr>
        <w:spacing w:line="360" w:lineRule="auto"/>
        <w:ind w:left="0" w:firstLine="0"/>
        <w:contextualSpacing/>
        <w:jc w:val="both"/>
        <w:rPr>
          <w:rFonts w:ascii="Palatino Linotype" w:hAnsi="Palatino Linotype" w:cs="Arial"/>
        </w:rPr>
      </w:pPr>
      <w:r>
        <w:rPr>
          <w:rFonts w:ascii="Palatino Linotype" w:hAnsi="Palatino Linotype" w:cs="Arial"/>
        </w:rPr>
        <w:t xml:space="preserve">La </w:t>
      </w:r>
      <w:r>
        <w:rPr>
          <w:rFonts w:ascii="Palatino Linotype" w:hAnsi="Palatino Linotype" w:cs="Arial"/>
          <w:b/>
        </w:rPr>
        <w:t xml:space="preserve">RECURRENTE </w:t>
      </w:r>
      <w:r>
        <w:rPr>
          <w:rFonts w:ascii="Palatino Linotype" w:hAnsi="Palatino Linotype" w:cs="Arial"/>
        </w:rPr>
        <w:t>se</w:t>
      </w:r>
      <w:r w:rsidR="00575D13" w:rsidRPr="00B538F7">
        <w:rPr>
          <w:rFonts w:ascii="Palatino Linotype" w:hAnsi="Palatino Linotype" w:cs="Arial"/>
          <w:b/>
        </w:rPr>
        <w:t xml:space="preserve"> </w:t>
      </w:r>
      <w:r>
        <w:rPr>
          <w:rFonts w:ascii="Palatino Linotype" w:hAnsi="Palatino Linotype" w:cs="Arial"/>
        </w:rPr>
        <w:t xml:space="preserve">inconformó con la respuesta </w:t>
      </w:r>
      <w:r w:rsidR="006C1759">
        <w:rPr>
          <w:rFonts w:ascii="Palatino Linotype" w:hAnsi="Palatino Linotype" w:cs="Arial"/>
        </w:rPr>
        <w:t xml:space="preserve">y términos generales manifestó como razones o motivos de inconformidad </w:t>
      </w:r>
      <w:r w:rsidR="00DA6C1D">
        <w:rPr>
          <w:rFonts w:ascii="Palatino Linotype" w:hAnsi="Palatino Linotype" w:cs="Arial"/>
        </w:rPr>
        <w:t xml:space="preserve">la indebida motivación y fundamentación de la respuesta otorgada por el </w:t>
      </w:r>
      <w:r w:rsidR="00DA6C1D">
        <w:rPr>
          <w:rFonts w:ascii="Palatino Linotype" w:hAnsi="Palatino Linotype" w:cs="Arial"/>
          <w:b/>
        </w:rPr>
        <w:t xml:space="preserve">SUJETO OBLIGADO </w:t>
      </w:r>
    </w:p>
    <w:p w14:paraId="0EC893B5" w14:textId="77777777" w:rsidR="00575D13" w:rsidRDefault="00575D13" w:rsidP="00575D13">
      <w:pPr>
        <w:pStyle w:val="Prrafodelista"/>
        <w:rPr>
          <w:rFonts w:ascii="Palatino Linotype" w:hAnsi="Palatino Linotype" w:cs="Arial"/>
        </w:rPr>
      </w:pPr>
    </w:p>
    <w:p w14:paraId="3FD73FED" w14:textId="1B15F0AF" w:rsidR="00575D13" w:rsidRPr="00BD39BA" w:rsidRDefault="00575D13" w:rsidP="00575D13">
      <w:pPr>
        <w:numPr>
          <w:ilvl w:val="0"/>
          <w:numId w:val="2"/>
        </w:numPr>
        <w:spacing w:line="360" w:lineRule="auto"/>
        <w:ind w:left="0" w:firstLine="0"/>
        <w:contextualSpacing/>
        <w:jc w:val="both"/>
        <w:rPr>
          <w:rFonts w:ascii="Palatino Linotype" w:eastAsia="MS Mincho" w:hAnsi="Palatino Linotype" w:cs="Arial"/>
        </w:rPr>
      </w:pPr>
      <w:r w:rsidRPr="00B0510D">
        <w:rPr>
          <w:rFonts w:ascii="Palatino Linotype" w:eastAsia="MS Mincho" w:hAnsi="Palatino Linotype" w:cs="Arial"/>
        </w:rPr>
        <w:t xml:space="preserve">En </w:t>
      </w:r>
      <w:r w:rsidRPr="00B0510D">
        <w:rPr>
          <w:rFonts w:ascii="Palatino Linotype" w:hAnsi="Palatino Linotype" w:cs="Arial"/>
          <w:lang w:eastAsia="es-MX"/>
        </w:rPr>
        <w:t>dichas</w:t>
      </w:r>
      <w:r w:rsidRPr="00B0510D">
        <w:rPr>
          <w:rFonts w:ascii="Palatino Linotype" w:eastAsia="Times New Roman" w:hAnsi="Palatino Linotype" w:cs="Arial"/>
        </w:rPr>
        <w:t xml:space="preserve"> condiciones, la </w:t>
      </w:r>
      <w:r w:rsidRPr="00B0510D">
        <w:rPr>
          <w:rFonts w:ascii="Palatino Linotype" w:eastAsia="Times New Roman" w:hAnsi="Palatino Linotype" w:cs="Arial"/>
          <w:i/>
        </w:rPr>
        <w:t>Litis</w:t>
      </w:r>
      <w:r w:rsidRPr="00B0510D">
        <w:rPr>
          <w:rFonts w:ascii="Palatino Linotype" w:eastAsia="Times New Roman" w:hAnsi="Palatino Linotype" w:cs="Arial"/>
        </w:rPr>
        <w:t xml:space="preserve"> a resolver en este recurso se circunscribe a determinar si </w:t>
      </w:r>
      <w:r w:rsidR="00F75A7A">
        <w:rPr>
          <w:rFonts w:ascii="Palatino Linotype" w:eastAsia="MS Mincho" w:hAnsi="Palatino Linotype" w:cs="Arial"/>
        </w:rPr>
        <w:t>se actualizan las causales</w:t>
      </w:r>
      <w:r w:rsidRPr="00B0510D">
        <w:rPr>
          <w:rFonts w:ascii="Palatino Linotype" w:eastAsia="MS Mincho" w:hAnsi="Palatino Linotype" w:cs="Arial"/>
        </w:rPr>
        <w:t xml:space="preserve"> de procedencia prevista</w:t>
      </w:r>
      <w:r w:rsidR="00F75A7A">
        <w:rPr>
          <w:rFonts w:ascii="Palatino Linotype" w:eastAsia="MS Mincho" w:hAnsi="Palatino Linotype" w:cs="Arial"/>
        </w:rPr>
        <w:t>s</w:t>
      </w:r>
      <w:r w:rsidRPr="00B0510D">
        <w:rPr>
          <w:rFonts w:ascii="Palatino Linotype" w:eastAsia="MS Mincho" w:hAnsi="Palatino Linotype" w:cs="Arial"/>
        </w:rPr>
        <w:t xml:space="preserve"> en el artículo 179, </w:t>
      </w:r>
      <w:r>
        <w:rPr>
          <w:rFonts w:ascii="Palatino Linotype" w:eastAsia="MS Mincho" w:hAnsi="Palatino Linotype" w:cs="Arial"/>
        </w:rPr>
        <w:lastRenderedPageBreak/>
        <w:t>fracciones</w:t>
      </w:r>
      <w:r w:rsidRPr="00B0510D">
        <w:rPr>
          <w:rFonts w:ascii="Palatino Linotype" w:eastAsia="MS Mincho" w:hAnsi="Palatino Linotype" w:cs="Arial"/>
        </w:rPr>
        <w:t xml:space="preserve"> </w:t>
      </w:r>
      <w:r w:rsidRPr="001C0EB3">
        <w:rPr>
          <w:rFonts w:ascii="Palatino Linotype" w:eastAsia="MS Mincho" w:hAnsi="Palatino Linotype" w:cs="Arial"/>
        </w:rPr>
        <w:t xml:space="preserve">VIII y XIII </w:t>
      </w:r>
      <w:r w:rsidRPr="00B0510D">
        <w:rPr>
          <w:rFonts w:ascii="Palatino Linotype" w:eastAsia="MS Mincho" w:hAnsi="Palatino Linotype" w:cs="Arial"/>
        </w:rPr>
        <w:t xml:space="preserve">de la </w:t>
      </w:r>
      <w:r w:rsidRPr="00B0510D">
        <w:rPr>
          <w:rFonts w:ascii="Palatino Linotype" w:eastAsia="MS Mincho" w:hAnsi="Palatino Linotype" w:cs="Arial"/>
          <w:b/>
        </w:rPr>
        <w:t>Ley de Transparencia y Acceso a la Información Pública del Estado de México y Municipios</w:t>
      </w:r>
      <w:r w:rsidRPr="00B0510D">
        <w:rPr>
          <w:rFonts w:ascii="Palatino Linotype" w:eastAsia="MS Mincho" w:hAnsi="Palatino Linotype" w:cs="Arial"/>
        </w:rPr>
        <w:t xml:space="preserve">; </w:t>
      </w:r>
      <w:r w:rsidRPr="00B0510D">
        <w:rPr>
          <w:rFonts w:ascii="Palatino Linotype" w:eastAsia="Times New Roman" w:hAnsi="Palatino Linotype" w:cs="Arial"/>
          <w:color w:val="000000" w:themeColor="text1"/>
          <w:lang w:val="es-ES" w:eastAsia="es-MX"/>
        </w:rPr>
        <w:t>fracci</w:t>
      </w:r>
      <w:r>
        <w:rPr>
          <w:rFonts w:ascii="Palatino Linotype" w:eastAsia="Times New Roman" w:hAnsi="Palatino Linotype" w:cs="Arial"/>
          <w:color w:val="000000" w:themeColor="text1"/>
          <w:lang w:val="es-ES" w:eastAsia="es-MX"/>
        </w:rPr>
        <w:t xml:space="preserve">ones </w:t>
      </w:r>
      <w:r w:rsidRPr="00B0510D">
        <w:rPr>
          <w:rFonts w:ascii="Palatino Linotype" w:eastAsia="Times New Roman" w:hAnsi="Palatino Linotype" w:cs="Arial"/>
          <w:color w:val="000000" w:themeColor="text1"/>
          <w:lang w:val="es-ES" w:eastAsia="es-MX"/>
        </w:rPr>
        <w:t>que determina</w:t>
      </w:r>
      <w:r>
        <w:rPr>
          <w:rFonts w:ascii="Palatino Linotype" w:eastAsia="Times New Roman" w:hAnsi="Palatino Linotype" w:cs="Arial"/>
          <w:color w:val="000000" w:themeColor="text1"/>
          <w:lang w:val="es-ES" w:eastAsia="es-MX"/>
        </w:rPr>
        <w:t>n las hipótesis jurídicas relativas</w:t>
      </w:r>
      <w:r w:rsidRPr="00B0510D">
        <w:rPr>
          <w:rFonts w:ascii="Palatino Linotype" w:eastAsia="Times New Roman" w:hAnsi="Palatino Linotype" w:cs="Arial"/>
          <w:color w:val="000000" w:themeColor="text1"/>
          <w:lang w:val="es-ES" w:eastAsia="es-MX"/>
        </w:rPr>
        <w:t xml:space="preserve"> a </w:t>
      </w:r>
      <w:r>
        <w:rPr>
          <w:rFonts w:ascii="Palatino Linotype" w:eastAsia="Times New Roman" w:hAnsi="Palatino Linotype" w:cs="Arial"/>
          <w:color w:val="000000" w:themeColor="text1"/>
          <w:lang w:val="es-ES" w:eastAsia="es-MX"/>
        </w:rPr>
        <w:t>l</w:t>
      </w:r>
      <w:r w:rsidRPr="001C0EB3">
        <w:rPr>
          <w:rFonts w:ascii="Palatino Linotype" w:eastAsia="Times New Roman" w:hAnsi="Palatino Linotype" w:cs="Arial"/>
          <w:color w:val="000000" w:themeColor="text1"/>
          <w:lang w:val="es-ES" w:eastAsia="es-MX"/>
        </w:rPr>
        <w:t>a notificación, entrega o puesta a disposición de información en una modalidad o fo</w:t>
      </w:r>
      <w:r>
        <w:rPr>
          <w:rFonts w:ascii="Palatino Linotype" w:eastAsia="Times New Roman" w:hAnsi="Palatino Linotype" w:cs="Arial"/>
          <w:color w:val="000000" w:themeColor="text1"/>
          <w:lang w:val="es-ES" w:eastAsia="es-MX"/>
        </w:rPr>
        <w:t>rmato distinto al solicitado y l</w:t>
      </w:r>
      <w:r w:rsidRPr="001C0EB3">
        <w:rPr>
          <w:rFonts w:ascii="Palatino Linotype" w:eastAsia="Times New Roman" w:hAnsi="Palatino Linotype" w:cs="Arial"/>
          <w:color w:val="000000" w:themeColor="text1"/>
          <w:lang w:val="es-ES" w:eastAsia="es-MX"/>
        </w:rPr>
        <w:t>a falta, deficiencia o insuficiencia de la fundamentación y/o motivación en la respuesta</w:t>
      </w:r>
      <w:r w:rsidRPr="00B0510D">
        <w:rPr>
          <w:rFonts w:ascii="Palatino Linotype" w:eastAsia="Times New Roman" w:hAnsi="Palatino Linotype" w:cs="Arial"/>
          <w:color w:val="000000" w:themeColor="text1"/>
          <w:lang w:val="es-ES" w:eastAsia="es-MX"/>
        </w:rPr>
        <w:t xml:space="preserve">; </w:t>
      </w:r>
      <w:r w:rsidRPr="00B0510D">
        <w:rPr>
          <w:rFonts w:ascii="Palatino Linotype" w:eastAsia="MS Mincho" w:hAnsi="Palatino Linotype" w:cs="Arial"/>
        </w:rPr>
        <w:t>contexto</w:t>
      </w:r>
      <w:r>
        <w:rPr>
          <w:rFonts w:ascii="Palatino Linotype" w:eastAsia="MS Mincho" w:hAnsi="Palatino Linotype" w:cs="Arial"/>
        </w:rPr>
        <w:t>s</w:t>
      </w:r>
      <w:r w:rsidRPr="00B0510D">
        <w:rPr>
          <w:rFonts w:ascii="Palatino Linotype" w:eastAsia="MS Mincho" w:hAnsi="Palatino Linotype" w:cs="Arial"/>
        </w:rPr>
        <w:t xml:space="preserve"> de</w:t>
      </w:r>
      <w:r>
        <w:rPr>
          <w:rFonts w:ascii="Palatino Linotype" w:eastAsia="MS Mincho" w:hAnsi="Palatino Linotype" w:cs="Arial"/>
        </w:rPr>
        <w:t xml:space="preserve"> </w:t>
      </w:r>
      <w:r w:rsidRPr="00B0510D">
        <w:rPr>
          <w:rFonts w:ascii="Palatino Linotype" w:eastAsia="MS Mincho" w:hAnsi="Palatino Linotype" w:cs="Arial"/>
        </w:rPr>
        <w:t>l</w:t>
      </w:r>
      <w:r>
        <w:rPr>
          <w:rFonts w:ascii="Palatino Linotype" w:eastAsia="MS Mincho" w:hAnsi="Palatino Linotype" w:cs="Arial"/>
        </w:rPr>
        <w:t>os</w:t>
      </w:r>
      <w:r w:rsidRPr="00B0510D">
        <w:rPr>
          <w:rFonts w:ascii="Palatino Linotype" w:eastAsia="MS Mincho" w:hAnsi="Palatino Linotype" w:cs="Arial"/>
        </w:rPr>
        <w:t xml:space="preserve"> cual</w:t>
      </w:r>
      <w:r>
        <w:rPr>
          <w:rFonts w:ascii="Palatino Linotype" w:eastAsia="MS Mincho" w:hAnsi="Palatino Linotype" w:cs="Arial"/>
        </w:rPr>
        <w:t>es</w:t>
      </w:r>
      <w:r w:rsidRPr="00B0510D">
        <w:rPr>
          <w:rFonts w:ascii="Palatino Linotype" w:eastAsia="MS Mincho" w:hAnsi="Palatino Linotype" w:cs="Arial"/>
        </w:rPr>
        <w:t xml:space="preserve"> se dolió </w:t>
      </w:r>
      <w:r>
        <w:rPr>
          <w:rFonts w:ascii="Palatino Linotype" w:eastAsia="MS Mincho" w:hAnsi="Palatino Linotype" w:cs="Arial"/>
        </w:rPr>
        <w:t>LA</w:t>
      </w:r>
      <w:r w:rsidRPr="00B0510D">
        <w:rPr>
          <w:rFonts w:ascii="Palatino Linotype" w:eastAsia="MS Mincho" w:hAnsi="Palatino Linotype" w:cs="Arial"/>
        </w:rPr>
        <w:t xml:space="preserve"> </w:t>
      </w:r>
      <w:r w:rsidRPr="00B0510D">
        <w:rPr>
          <w:rFonts w:ascii="Palatino Linotype" w:eastAsia="MS Mincho" w:hAnsi="Palatino Linotype" w:cs="Arial"/>
          <w:b/>
        </w:rPr>
        <w:t>RECURRENTE</w:t>
      </w:r>
      <w:r w:rsidRPr="00B0510D">
        <w:rPr>
          <w:rFonts w:ascii="Palatino Linotype" w:eastAsia="MS Mincho" w:hAnsi="Palatino Linotype" w:cs="Arial"/>
        </w:rPr>
        <w:t xml:space="preserve"> al momento de interponer </w:t>
      </w:r>
      <w:r>
        <w:rPr>
          <w:rFonts w:ascii="Palatino Linotype" w:eastAsia="MS Mincho" w:hAnsi="Palatino Linotype" w:cs="Arial"/>
        </w:rPr>
        <w:t>su inconformidad.</w:t>
      </w:r>
      <w:r w:rsidRPr="00BD39BA">
        <w:rPr>
          <w:rFonts w:ascii="Palatino Linotype" w:eastAsia="Times New Roman" w:hAnsi="Palatino Linotype" w:cs="Arial"/>
          <w:color w:val="000000" w:themeColor="text1"/>
          <w:lang w:val="es-ES" w:eastAsia="es-MX"/>
        </w:rPr>
        <w:t xml:space="preserve"> </w:t>
      </w:r>
      <w:r w:rsidR="006C1759">
        <w:rPr>
          <w:rFonts w:ascii="Palatino Linotype" w:eastAsia="Times New Roman" w:hAnsi="Palatino Linotype" w:cs="Arial"/>
          <w:color w:val="000000" w:themeColor="text1"/>
          <w:lang w:val="es-ES" w:eastAsia="es-MX"/>
        </w:rPr>
        <w:t xml:space="preserve">Por lo tanto, </w:t>
      </w:r>
      <w:r w:rsidRPr="00BD39BA">
        <w:rPr>
          <w:rFonts w:ascii="Palatino Linotype" w:hAnsi="Palatino Linotype" w:cs="Arial"/>
          <w:color w:val="000000" w:themeColor="text1"/>
          <w:szCs w:val="23"/>
        </w:rPr>
        <w:t xml:space="preserve">el </w:t>
      </w:r>
      <w:r>
        <w:rPr>
          <w:rFonts w:ascii="Palatino Linotype" w:hAnsi="Palatino Linotype" w:cs="Arial"/>
          <w:color w:val="000000" w:themeColor="text1"/>
          <w:szCs w:val="23"/>
        </w:rPr>
        <w:t>present</w:t>
      </w:r>
      <w:r w:rsidR="006C1759">
        <w:rPr>
          <w:rFonts w:ascii="Palatino Linotype" w:hAnsi="Palatino Linotype" w:cs="Arial"/>
          <w:color w:val="000000" w:themeColor="text1"/>
          <w:szCs w:val="23"/>
        </w:rPr>
        <w:t>e recurso de revisión se circunscribe</w:t>
      </w:r>
      <w:r w:rsidRPr="00BD39BA">
        <w:rPr>
          <w:rFonts w:ascii="Palatino Linotype" w:hAnsi="Palatino Linotype" w:cs="Arial"/>
          <w:color w:val="000000" w:themeColor="text1"/>
          <w:szCs w:val="23"/>
        </w:rPr>
        <w:t xml:space="preserve"> en determinar si el </w:t>
      </w:r>
      <w:r w:rsidRPr="00BD39BA">
        <w:rPr>
          <w:rFonts w:ascii="Palatino Linotype" w:hAnsi="Palatino Linotype" w:cs="Arial"/>
          <w:b/>
          <w:color w:val="000000" w:themeColor="text1"/>
          <w:szCs w:val="23"/>
        </w:rPr>
        <w:t>SUJETO</w:t>
      </w:r>
      <w:r w:rsidRPr="00BD39BA">
        <w:rPr>
          <w:rFonts w:ascii="Palatino Linotype" w:hAnsi="Palatino Linotype" w:cs="Arial"/>
          <w:color w:val="000000" w:themeColor="text1"/>
          <w:szCs w:val="23"/>
        </w:rPr>
        <w:t xml:space="preserve"> </w:t>
      </w:r>
      <w:r w:rsidRPr="00BD39BA">
        <w:rPr>
          <w:rFonts w:ascii="Palatino Linotype" w:hAnsi="Palatino Linotype" w:cs="Arial"/>
          <w:b/>
          <w:color w:val="000000" w:themeColor="text1"/>
          <w:szCs w:val="23"/>
        </w:rPr>
        <w:t>OBLIGADO</w:t>
      </w:r>
      <w:r w:rsidR="006C1759">
        <w:rPr>
          <w:rFonts w:ascii="Palatino Linotype" w:hAnsi="Palatino Linotype" w:cs="Arial"/>
          <w:color w:val="000000" w:themeColor="text1"/>
          <w:szCs w:val="23"/>
        </w:rPr>
        <w:t xml:space="preserve"> con su respuesta </w:t>
      </w:r>
      <w:r w:rsidRPr="00BD39BA">
        <w:rPr>
          <w:rFonts w:ascii="Palatino Linotype" w:eastAsia="Times New Roman" w:hAnsi="Palatino Linotype"/>
          <w:color w:val="000000" w:themeColor="text1"/>
        </w:rPr>
        <w:t>actualiza la</w:t>
      </w:r>
      <w:r>
        <w:rPr>
          <w:rFonts w:ascii="Palatino Linotype" w:eastAsia="Times New Roman" w:hAnsi="Palatino Linotype"/>
          <w:color w:val="000000" w:themeColor="text1"/>
        </w:rPr>
        <w:t>s</w:t>
      </w:r>
      <w:r w:rsidRPr="00BD39BA">
        <w:rPr>
          <w:rFonts w:ascii="Palatino Linotype" w:eastAsia="Times New Roman" w:hAnsi="Palatino Linotype"/>
          <w:color w:val="000000" w:themeColor="text1"/>
        </w:rPr>
        <w:t xml:space="preserve"> causa</w:t>
      </w:r>
      <w:r>
        <w:rPr>
          <w:rFonts w:ascii="Palatino Linotype" w:eastAsia="Times New Roman" w:hAnsi="Palatino Linotype"/>
          <w:color w:val="000000" w:themeColor="text1"/>
        </w:rPr>
        <w:t>s</w:t>
      </w:r>
      <w:r w:rsidRPr="00BD39BA">
        <w:rPr>
          <w:rFonts w:ascii="Palatino Linotype" w:eastAsia="Times New Roman" w:hAnsi="Palatino Linotype"/>
          <w:color w:val="000000" w:themeColor="text1"/>
        </w:rPr>
        <w:t xml:space="preserve"> de procedencia</w:t>
      </w:r>
      <w:r w:rsidRPr="00BD39BA">
        <w:rPr>
          <w:rFonts w:ascii="Palatino Linotype" w:eastAsia="Times New Roman" w:hAnsi="Palatino Linotype"/>
          <w:b/>
          <w:color w:val="000000" w:themeColor="text1"/>
        </w:rPr>
        <w:t xml:space="preserve"> </w:t>
      </w:r>
      <w:r w:rsidR="006C1759">
        <w:rPr>
          <w:rFonts w:ascii="Palatino Linotype" w:eastAsia="Times New Roman" w:hAnsi="Palatino Linotype" w:cs="Arial"/>
          <w:color w:val="000000" w:themeColor="text1"/>
          <w:lang w:eastAsia="es-MX"/>
        </w:rPr>
        <w:t>antes señalada</w:t>
      </w:r>
      <w:r>
        <w:rPr>
          <w:rFonts w:ascii="Palatino Linotype" w:eastAsia="Times New Roman" w:hAnsi="Palatino Linotype" w:cs="Arial"/>
          <w:color w:val="000000" w:themeColor="text1"/>
          <w:lang w:eastAsia="es-MX"/>
        </w:rPr>
        <w:t>s</w:t>
      </w:r>
      <w:r w:rsidRPr="00BD39BA">
        <w:rPr>
          <w:rFonts w:ascii="Palatino Linotype" w:eastAsia="Times New Roman" w:hAnsi="Palatino Linotype" w:cs="Arial"/>
          <w:color w:val="000000" w:themeColor="text1"/>
          <w:lang w:eastAsia="es-MX"/>
        </w:rPr>
        <w:t>.</w:t>
      </w:r>
      <w:r>
        <w:rPr>
          <w:rFonts w:ascii="Palatino Linotype" w:eastAsia="Times New Roman" w:hAnsi="Palatino Linotype" w:cs="Arial"/>
          <w:color w:val="000000" w:themeColor="text1"/>
          <w:lang w:eastAsia="es-MX"/>
        </w:rPr>
        <w:t xml:space="preserve"> Así como comprobar si la respuesta emitida resulta congruente e integral en términos del Artículo 11 de la ley de la materia.</w:t>
      </w:r>
    </w:p>
    <w:p w14:paraId="3FBC3147" w14:textId="77777777" w:rsidR="00575D13" w:rsidRDefault="00575D13" w:rsidP="00575D13">
      <w:pPr>
        <w:rPr>
          <w:rFonts w:ascii="Palatino Linotype" w:hAnsi="Palatino Linotype"/>
          <w:lang w:eastAsia="en-US"/>
        </w:rPr>
      </w:pPr>
    </w:p>
    <w:p w14:paraId="31BB43E4" w14:textId="77777777" w:rsidR="00575D13" w:rsidRDefault="00575D13" w:rsidP="00575D13">
      <w:pPr>
        <w:rPr>
          <w:rFonts w:ascii="Palatino Linotype" w:hAnsi="Palatino Linotype"/>
          <w:lang w:eastAsia="en-US"/>
        </w:rPr>
      </w:pPr>
    </w:p>
    <w:p w14:paraId="78284629" w14:textId="77777777" w:rsidR="00575D13" w:rsidRPr="001B0CE4" w:rsidRDefault="00575D13" w:rsidP="00575D13">
      <w:pPr>
        <w:pStyle w:val="Ttulo2"/>
        <w:rPr>
          <w:rFonts w:ascii="Palatino Linotype" w:hAnsi="Palatino Linotype"/>
          <w:b/>
          <w:color w:val="000000" w:themeColor="text1"/>
          <w:sz w:val="24"/>
          <w:szCs w:val="24"/>
        </w:rPr>
      </w:pPr>
      <w:bookmarkStart w:id="132" w:name="_Toc495427545"/>
      <w:bookmarkStart w:id="133" w:name="_Toc23414596"/>
      <w:bookmarkStart w:id="134" w:name="_Toc34819433"/>
      <w:bookmarkStart w:id="135" w:name="_Toc51259589"/>
      <w:bookmarkStart w:id="136" w:name="_Toc51457388"/>
      <w:r w:rsidRPr="001B0CE4">
        <w:rPr>
          <w:rFonts w:ascii="Palatino Linotype" w:hAnsi="Palatino Linotype"/>
          <w:b/>
          <w:color w:val="000000" w:themeColor="text1"/>
          <w:sz w:val="24"/>
          <w:szCs w:val="24"/>
        </w:rPr>
        <w:t>CUARTO. Del estudio y resolución del asunto.</w:t>
      </w:r>
      <w:bookmarkEnd w:id="132"/>
      <w:bookmarkEnd w:id="133"/>
      <w:bookmarkEnd w:id="134"/>
      <w:bookmarkEnd w:id="135"/>
      <w:bookmarkEnd w:id="136"/>
    </w:p>
    <w:p w14:paraId="3C1885E9" w14:textId="77777777" w:rsidR="00575D13" w:rsidRPr="007D41F6" w:rsidRDefault="00575D13" w:rsidP="00575D13">
      <w:pPr>
        <w:spacing w:line="360" w:lineRule="auto"/>
        <w:rPr>
          <w:rFonts w:ascii="Palatino Linotype" w:hAnsi="Palatino Linotype"/>
          <w:lang w:val="es-MX" w:eastAsia="en-US"/>
        </w:rPr>
      </w:pPr>
    </w:p>
    <w:p w14:paraId="13D60E98" w14:textId="77777777" w:rsidR="00575D13" w:rsidRPr="000F1EFD" w:rsidRDefault="00575D13" w:rsidP="00575D13">
      <w:pPr>
        <w:pStyle w:val="Prrafodelista"/>
        <w:numPr>
          <w:ilvl w:val="0"/>
          <w:numId w:val="2"/>
        </w:numPr>
        <w:spacing w:line="360" w:lineRule="auto"/>
        <w:ind w:left="0" w:firstLine="0"/>
        <w:jc w:val="both"/>
        <w:rPr>
          <w:rFonts w:ascii="Palatino Linotype" w:hAnsi="Palatino Linotype" w:cs="Arial"/>
          <w:i/>
          <w:lang w:val="es-MX"/>
        </w:rPr>
      </w:pPr>
      <w:r>
        <w:rPr>
          <w:rFonts w:ascii="Palatino Linotype" w:eastAsia="Calibri" w:hAnsi="Palatino Linotype" w:cs="Arial"/>
        </w:rPr>
        <w:t>Derivado</w:t>
      </w:r>
      <w:r>
        <w:rPr>
          <w:rFonts w:ascii="Palatino Linotype" w:hAnsi="Palatino Linotype" w:cs="Arial"/>
          <w:szCs w:val="23"/>
        </w:rPr>
        <w:t xml:space="preserve"> del planteamiento de la </w:t>
      </w:r>
      <w:r>
        <w:rPr>
          <w:rFonts w:ascii="Palatino Linotype" w:hAnsi="Palatino Linotype" w:cs="Arial"/>
          <w:i/>
          <w:szCs w:val="23"/>
        </w:rPr>
        <w:t>Litis</w:t>
      </w:r>
      <w:r>
        <w:rPr>
          <w:rFonts w:ascii="Palatino Linotype" w:hAnsi="Palatino Linotype" w:cs="Arial"/>
          <w:szCs w:val="23"/>
        </w:rPr>
        <w:t xml:space="preserve">, se procede analizar el contenido íntegro de las actuaciones que obran en el expediente electrónico en que se actúa, y así este Órgano Garante dictar la resolución correspondiente, tomando en consideración los elementos aportados por las partes y apegándose en todo momento al principio de máxima publicidad de acuerdo a lo establecido en el artículo 8 de la </w:t>
      </w:r>
      <w:r>
        <w:rPr>
          <w:rFonts w:ascii="Palatino Linotype" w:eastAsia="Calibri" w:hAnsi="Palatino Linotype" w:cs="Arial"/>
          <w:b/>
          <w:lang w:val="es-ES"/>
        </w:rPr>
        <w:t>Ley de Transparencia y Acceso a la Información Pública del Estado de México y Municipios</w:t>
      </w:r>
      <w:r>
        <w:rPr>
          <w:rFonts w:ascii="Palatino Linotype" w:eastAsia="Times New Roman" w:hAnsi="Palatino Linotype" w:cs="Arial"/>
          <w:lang w:val="es-ES" w:eastAsia="es-MX"/>
        </w:rPr>
        <w:t>.</w:t>
      </w:r>
    </w:p>
    <w:p w14:paraId="15FA939F" w14:textId="77777777" w:rsidR="00575D13" w:rsidRDefault="00575D13" w:rsidP="00575D13">
      <w:pPr>
        <w:pStyle w:val="Prrafodelista"/>
        <w:spacing w:line="360" w:lineRule="auto"/>
        <w:ind w:left="0"/>
        <w:jc w:val="both"/>
        <w:rPr>
          <w:rFonts w:ascii="Palatino Linotype" w:hAnsi="Palatino Linotype" w:cs="Arial"/>
          <w:i/>
          <w:lang w:val="es-MX"/>
        </w:rPr>
      </w:pPr>
    </w:p>
    <w:p w14:paraId="48FDE94B" w14:textId="77777777" w:rsidR="00575D1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lastRenderedPageBreak/>
        <w:t>Es</w:t>
      </w:r>
      <w:r>
        <w:rPr>
          <w:rFonts w:ascii="Palatino Linotype" w:hAnsi="Palatino Linotype"/>
        </w:rPr>
        <w:t xml:space="preserve"> menester precisar que este </w:t>
      </w:r>
      <w:r>
        <w:rPr>
          <w:rFonts w:ascii="Palatino Linotype" w:eastAsia="MS Mincho" w:hAnsi="Palatino Linotype" w:cs="Times New Roman"/>
          <w:color w:val="000000"/>
        </w:rPr>
        <w:t xml:space="preserve">Órgano Garante parte de que </w:t>
      </w:r>
      <w:r>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Pr>
          <w:rFonts w:ascii="Palatino Linotype" w:eastAsia="Times New Roman" w:hAnsi="Palatino Linotype" w:cs="Arial"/>
          <w:color w:val="000000"/>
        </w:rPr>
        <w:t xml:space="preserve"> </w:t>
      </w:r>
      <w:r>
        <w:rPr>
          <w:rFonts w:ascii="Palatino Linotype" w:eastAsia="Times New Roman" w:hAnsi="Palatino Linotype" w:cs="Arial"/>
          <w:b/>
          <w:color w:val="000000"/>
        </w:rPr>
        <w:t>SUJETO OBLIGADO</w:t>
      </w:r>
      <w:r>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Pr>
          <w:rFonts w:ascii="Palatino Linotype" w:eastAsia="Times New Roman" w:hAnsi="Palatino Linotype" w:cs="Arial"/>
          <w:b/>
          <w:color w:val="000000"/>
        </w:rPr>
        <w:t xml:space="preserve">Constitución Política de los Estados Unidos Mexicanos </w:t>
      </w:r>
      <w:r>
        <w:rPr>
          <w:rFonts w:ascii="Palatino Linotype" w:eastAsia="Times New Roman" w:hAnsi="Palatino Linotype" w:cs="Arial"/>
          <w:color w:val="000000"/>
        </w:rPr>
        <w:t xml:space="preserve">al señalar la obligación de “promover, </w:t>
      </w:r>
      <w:r>
        <w:rPr>
          <w:rFonts w:ascii="Palatino Linotype" w:eastAsia="Times New Roman" w:hAnsi="Palatino Linotype" w:cs="Arial"/>
          <w:b/>
          <w:color w:val="000000"/>
        </w:rPr>
        <w:t>respetar</w:t>
      </w:r>
      <w:r>
        <w:rPr>
          <w:rFonts w:ascii="Palatino Linotype" w:eastAsia="Times New Roman" w:hAnsi="Palatino Linotype" w:cs="Arial"/>
          <w:color w:val="000000"/>
        </w:rPr>
        <w:t xml:space="preserve">, proteger y </w:t>
      </w:r>
      <w:r>
        <w:rPr>
          <w:rFonts w:ascii="Palatino Linotype" w:eastAsia="Times New Roman" w:hAnsi="Palatino Linotype" w:cs="Arial"/>
          <w:b/>
          <w:color w:val="000000"/>
        </w:rPr>
        <w:t>garantizar</w:t>
      </w:r>
      <w:r>
        <w:rPr>
          <w:rFonts w:ascii="Palatino Linotype" w:eastAsia="Times New Roman" w:hAnsi="Palatino Linotype" w:cs="Arial"/>
          <w:color w:val="000000"/>
        </w:rPr>
        <w:t xml:space="preserve"> los derechos humanos”, entre los cuales se encuentra dicho derecho. </w:t>
      </w:r>
    </w:p>
    <w:p w14:paraId="4FEBB45E" w14:textId="77777777" w:rsidR="00575D13" w:rsidRDefault="00575D13" w:rsidP="00575D13">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207356FD" w14:textId="77777777" w:rsidR="00575D13" w:rsidRDefault="00575D13" w:rsidP="00575D13">
      <w:pPr>
        <w:pStyle w:val="Prrafodelista"/>
        <w:numPr>
          <w:ilvl w:val="0"/>
          <w:numId w:val="2"/>
        </w:numPr>
        <w:spacing w:line="360" w:lineRule="auto"/>
        <w:ind w:left="0" w:firstLine="0"/>
        <w:jc w:val="both"/>
        <w:rPr>
          <w:rFonts w:ascii="Palatino Linotype" w:eastAsia="Times New Roman" w:hAnsi="Palatino Linotype"/>
        </w:rPr>
      </w:pPr>
      <w:r>
        <w:rPr>
          <w:rFonts w:ascii="Palatino Linotype" w:eastAsia="Calibri" w:hAnsi="Palatino Linotype" w:cs="Arial"/>
        </w:rPr>
        <w:t>Por</w:t>
      </w:r>
      <w:r>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03DCDD6A" w14:textId="77777777" w:rsidR="00575D13" w:rsidRDefault="00575D13" w:rsidP="00575D13">
      <w:pPr>
        <w:pStyle w:val="Prrafodelista"/>
        <w:ind w:left="426"/>
        <w:rPr>
          <w:rFonts w:ascii="Palatino Linotype" w:eastAsia="MS Mincho" w:hAnsi="Palatino Linotype" w:cs="Times New Roman"/>
          <w:color w:val="000000"/>
        </w:rPr>
      </w:pPr>
    </w:p>
    <w:p w14:paraId="4B26D325" w14:textId="77777777" w:rsidR="00575D13" w:rsidRDefault="00575D13" w:rsidP="00575D13">
      <w:pPr>
        <w:pStyle w:val="Prrafodelista"/>
        <w:numPr>
          <w:ilvl w:val="0"/>
          <w:numId w:val="2"/>
        </w:numPr>
        <w:spacing w:line="360" w:lineRule="auto"/>
        <w:ind w:left="0" w:firstLine="0"/>
        <w:jc w:val="both"/>
        <w:rPr>
          <w:rFonts w:ascii="Palatino Linotype" w:eastAsia="MS Mincho" w:hAnsi="Palatino Linotype" w:cs="Times New Roman"/>
          <w:color w:val="000000"/>
        </w:rPr>
      </w:pPr>
      <w:r>
        <w:rPr>
          <w:rFonts w:ascii="Palatino Linotype" w:eastAsia="Calibri" w:hAnsi="Palatino Linotype" w:cs="Arial"/>
        </w:rPr>
        <w:t>Además</w:t>
      </w:r>
      <w:r>
        <w:rPr>
          <w:rFonts w:ascii="Palatino Linotype" w:eastAsia="MS Mincho" w:hAnsi="Palatino Linotype" w:cs="Times New Roman"/>
          <w:color w:val="000000"/>
        </w:rPr>
        <w:t xml:space="preserve"> de la obligación de promover, </w:t>
      </w:r>
      <w:r>
        <w:rPr>
          <w:rFonts w:ascii="Palatino Linotype" w:eastAsia="MS Mincho" w:hAnsi="Palatino Linotype" w:cs="Times New Roman"/>
          <w:b/>
          <w:color w:val="000000"/>
          <w:u w:val="single"/>
        </w:rPr>
        <w:t>respetar, proteger</w:t>
      </w:r>
      <w:r>
        <w:rPr>
          <w:rFonts w:ascii="Palatino Linotype" w:eastAsia="MS Mincho" w:hAnsi="Palatino Linotype" w:cs="Times New Roman"/>
          <w:color w:val="000000"/>
        </w:rPr>
        <w:t xml:space="preserve"> y garantizar el derecho de acceso a la información, la </w:t>
      </w:r>
      <w:r>
        <w:rPr>
          <w:rFonts w:ascii="Palatino Linotype" w:eastAsia="MS Mincho" w:hAnsi="Palatino Linotype" w:cs="Times New Roman"/>
          <w:b/>
          <w:color w:val="000000"/>
        </w:rPr>
        <w:t xml:space="preserve">Ley General de Trasparencia y Acceso a la Información Pública del Estado de México y Municipios </w:t>
      </w:r>
      <w:r>
        <w:rPr>
          <w:rFonts w:ascii="Palatino Linotype" w:eastAsia="MS Mincho" w:hAnsi="Palatino Linotype" w:cs="Times New Roman"/>
          <w:color w:val="000000"/>
        </w:rPr>
        <w:t xml:space="preserve">en el artículo 150 establece que el Procedimiento de Acceso a la Información Pública es la garantía </w:t>
      </w:r>
      <w:r>
        <w:rPr>
          <w:rFonts w:ascii="Palatino Linotype" w:eastAsia="MS Mincho" w:hAnsi="Palatino Linotype" w:cs="Times New Roman"/>
          <w:color w:val="000000"/>
        </w:rPr>
        <w:lastRenderedPageBreak/>
        <w:t xml:space="preserve">primaria del derecho de Acceso a la Información y se rige por los principios de </w:t>
      </w:r>
      <w:r>
        <w:rPr>
          <w:rFonts w:ascii="Palatino Linotype" w:eastAsia="MS Mincho" w:hAnsi="Palatino Linotype" w:cs="Times New Roman"/>
          <w:b/>
          <w:color w:val="000000"/>
        </w:rPr>
        <w:t>simplicidad y rapidez</w:t>
      </w:r>
      <w:r>
        <w:rPr>
          <w:rFonts w:ascii="Palatino Linotype" w:eastAsia="MS Mincho" w:hAnsi="Palatino Linotype" w:cs="Times New Roman"/>
          <w:color w:val="000000"/>
        </w:rPr>
        <w:t xml:space="preserve">. </w:t>
      </w:r>
    </w:p>
    <w:p w14:paraId="2B7F0FA7" w14:textId="77777777" w:rsidR="00575D13" w:rsidRDefault="00575D13" w:rsidP="00575D13">
      <w:pPr>
        <w:pStyle w:val="Prrafodelista"/>
        <w:spacing w:line="360" w:lineRule="auto"/>
        <w:ind w:left="0"/>
        <w:jc w:val="both"/>
        <w:rPr>
          <w:rFonts w:ascii="Palatino Linotype" w:hAnsi="Palatino Linotype" w:cs="Arial"/>
        </w:rPr>
      </w:pPr>
    </w:p>
    <w:p w14:paraId="44885202" w14:textId="77777777" w:rsidR="00575D13" w:rsidRPr="007D41F6" w:rsidRDefault="00575D13" w:rsidP="00575D13">
      <w:pPr>
        <w:pStyle w:val="Prrafodelista"/>
        <w:numPr>
          <w:ilvl w:val="0"/>
          <w:numId w:val="2"/>
        </w:numPr>
        <w:spacing w:line="360" w:lineRule="auto"/>
        <w:ind w:left="0" w:firstLine="0"/>
        <w:jc w:val="both"/>
        <w:rPr>
          <w:rFonts w:ascii="Palatino Linotype" w:hAnsi="Palatino Linotype" w:cs="Arial"/>
        </w:rPr>
      </w:pPr>
      <w:r>
        <w:rPr>
          <w:rFonts w:ascii="Palatino Linotype" w:hAnsi="Palatino Linotype" w:cs="Arial"/>
        </w:rPr>
        <w:t>Asimismo, e</w:t>
      </w:r>
      <w:r w:rsidRPr="007D41F6">
        <w:rPr>
          <w:rFonts w:ascii="Palatino Linotype" w:hAnsi="Palatino Linotype" w:cs="Arial"/>
        </w:rPr>
        <w:t xml:space="preserve">l recurso revisión tiene como finalidad reparar cualquier posible afectación al derecho de acceso a la información pública en términos del Título Octavo de la Ley de </w:t>
      </w:r>
      <w:r w:rsidRPr="007D41F6">
        <w:rPr>
          <w:rFonts w:ascii="Palatino Linotype" w:eastAsia="Calibri" w:hAnsi="Palatino Linotype" w:cs="Arial"/>
        </w:rPr>
        <w:t>Transparencia, Acceso a la Información Pública del Estado de México y Municipios</w:t>
      </w:r>
      <w:r w:rsidRPr="007D41F6">
        <w:rPr>
          <w:rFonts w:ascii="Palatino Linotype" w:hAnsi="Palatino Linotype" w:cs="Arial"/>
        </w:rPr>
        <w:t xml:space="preserve">, y determinar la </w:t>
      </w:r>
      <w:r w:rsidRPr="001C0EB3">
        <w:rPr>
          <w:rFonts w:ascii="Palatino Linotype" w:hAnsi="Palatino Linotype" w:cs="Arial"/>
          <w:b/>
          <w:u w:val="single"/>
        </w:rPr>
        <w:t>confirmación</w:t>
      </w:r>
      <w:r w:rsidRPr="007D41F6">
        <w:rPr>
          <w:rFonts w:ascii="Palatino Linotype" w:hAnsi="Palatino Linotype" w:cs="Arial"/>
        </w:rPr>
        <w:t xml:space="preserve">; revocación o modificación; desechamiento o </w:t>
      </w:r>
      <w:r w:rsidRPr="001C0EB3">
        <w:rPr>
          <w:rFonts w:ascii="Palatino Linotype" w:hAnsi="Palatino Linotype" w:cs="Arial"/>
        </w:rPr>
        <w:t>sobreseimiento</w:t>
      </w:r>
      <w:r w:rsidRPr="007D41F6">
        <w:rPr>
          <w:rFonts w:ascii="Palatino Linotype" w:hAnsi="Palatino Linotype" w:cs="Arial"/>
        </w:rPr>
        <w:t xml:space="preserve">; y en su caso ordenar la entrega de la información con respecto a la respuesta emitida por el </w:t>
      </w:r>
      <w:r w:rsidRPr="007D41F6">
        <w:rPr>
          <w:rFonts w:ascii="Palatino Linotype" w:hAnsi="Palatino Linotype" w:cs="Arial"/>
          <w:b/>
        </w:rPr>
        <w:t>SUJETO</w:t>
      </w:r>
      <w:r w:rsidRPr="007D41F6">
        <w:rPr>
          <w:rFonts w:ascii="Palatino Linotype" w:hAnsi="Palatino Linotype" w:cs="Arial"/>
        </w:rPr>
        <w:t xml:space="preserve"> </w:t>
      </w:r>
      <w:r w:rsidRPr="007D41F6">
        <w:rPr>
          <w:rFonts w:ascii="Palatino Linotype" w:hAnsi="Palatino Linotype" w:cs="Arial"/>
          <w:b/>
        </w:rPr>
        <w:t>OBLIGADO</w:t>
      </w:r>
      <w:r w:rsidRPr="007D41F6">
        <w:rPr>
          <w:rFonts w:ascii="Palatino Linotype" w:hAnsi="Palatino Linotype" w:cs="Arial"/>
        </w:rPr>
        <w:t>.</w:t>
      </w:r>
    </w:p>
    <w:p w14:paraId="3CBEF67C" w14:textId="77777777" w:rsidR="00575D13" w:rsidRPr="007D41F6" w:rsidRDefault="00575D13" w:rsidP="00575D13">
      <w:pPr>
        <w:pStyle w:val="Prrafodelista"/>
        <w:spacing w:line="360" w:lineRule="auto"/>
        <w:ind w:left="0"/>
        <w:jc w:val="both"/>
        <w:rPr>
          <w:rFonts w:ascii="Palatino Linotype" w:hAnsi="Palatino Linotype" w:cs="Arial"/>
        </w:rPr>
      </w:pPr>
    </w:p>
    <w:p w14:paraId="0502D223" w14:textId="2675FB1D" w:rsidR="00575D13" w:rsidRPr="00B33377" w:rsidRDefault="00575D13" w:rsidP="00575D13">
      <w:pPr>
        <w:pStyle w:val="Prrafodelista"/>
        <w:numPr>
          <w:ilvl w:val="0"/>
          <w:numId w:val="2"/>
        </w:numPr>
        <w:spacing w:line="360" w:lineRule="auto"/>
        <w:ind w:left="0" w:firstLine="0"/>
        <w:jc w:val="both"/>
        <w:rPr>
          <w:rFonts w:ascii="Palatino Linotype" w:hAnsi="Palatino Linotype"/>
          <w:b/>
          <w:sz w:val="22"/>
          <w:szCs w:val="22"/>
        </w:rPr>
      </w:pPr>
      <w:r w:rsidRPr="00437569">
        <w:rPr>
          <w:rFonts w:ascii="Palatino Linotype" w:eastAsia="Calibri" w:hAnsi="Palatino Linotype" w:cs="Arial"/>
          <w:color w:val="000000" w:themeColor="text1"/>
          <w:lang w:val="es-MX" w:eastAsia="en-US"/>
        </w:rPr>
        <w:t>Ahora bien, del caso concr</w:t>
      </w:r>
      <w:r>
        <w:rPr>
          <w:rFonts w:ascii="Palatino Linotype" w:eastAsia="Calibri" w:hAnsi="Palatino Linotype" w:cs="Arial"/>
          <w:color w:val="000000" w:themeColor="text1"/>
          <w:lang w:val="es-MX" w:eastAsia="en-US"/>
        </w:rPr>
        <w:t xml:space="preserve">eto y derivado del análisis a las constancias que obran en </w:t>
      </w:r>
      <w:r w:rsidRPr="00437569">
        <w:rPr>
          <w:rFonts w:ascii="Palatino Linotype" w:eastAsia="Calibri" w:hAnsi="Palatino Linotype" w:cs="Arial"/>
          <w:color w:val="000000" w:themeColor="text1"/>
          <w:lang w:val="es-MX" w:eastAsia="en-US"/>
        </w:rPr>
        <w:t>l</w:t>
      </w:r>
      <w:r>
        <w:rPr>
          <w:rFonts w:ascii="Palatino Linotype" w:eastAsia="Calibri" w:hAnsi="Palatino Linotype" w:cs="Arial"/>
          <w:color w:val="000000" w:themeColor="text1"/>
          <w:lang w:val="es-MX" w:eastAsia="en-US"/>
        </w:rPr>
        <w:t>os</w:t>
      </w:r>
      <w:r w:rsidRPr="00437569">
        <w:rPr>
          <w:rFonts w:ascii="Palatino Linotype" w:eastAsia="Calibri" w:hAnsi="Palatino Linotype" w:cs="Arial"/>
          <w:color w:val="000000" w:themeColor="text1"/>
          <w:lang w:val="es-MX" w:eastAsia="en-US"/>
        </w:rPr>
        <w:t xml:space="preserve"> expediente</w:t>
      </w:r>
      <w:r>
        <w:rPr>
          <w:rFonts w:ascii="Palatino Linotype" w:eastAsia="Calibri" w:hAnsi="Palatino Linotype" w:cs="Arial"/>
          <w:color w:val="000000" w:themeColor="text1"/>
          <w:lang w:val="es-MX" w:eastAsia="en-US"/>
        </w:rPr>
        <w:t>s</w:t>
      </w:r>
      <w:r w:rsidRPr="00437569">
        <w:rPr>
          <w:rFonts w:ascii="Palatino Linotype" w:eastAsia="Calibri" w:hAnsi="Palatino Linotype" w:cs="Arial"/>
          <w:color w:val="000000" w:themeColor="text1"/>
          <w:lang w:val="es-MX" w:eastAsia="en-US"/>
        </w:rPr>
        <w:t xml:space="preserve"> electrónico</w:t>
      </w:r>
      <w:r>
        <w:rPr>
          <w:rFonts w:ascii="Palatino Linotype" w:eastAsia="Calibri" w:hAnsi="Palatino Linotype" w:cs="Arial"/>
          <w:color w:val="000000" w:themeColor="text1"/>
          <w:lang w:val="es-MX" w:eastAsia="en-US"/>
        </w:rPr>
        <w:t>s al rubro indicado</w:t>
      </w:r>
      <w:r w:rsidR="006C1759">
        <w:rPr>
          <w:rFonts w:ascii="Palatino Linotype" w:eastAsia="Calibri" w:hAnsi="Palatino Linotype" w:cs="Arial"/>
          <w:color w:val="000000" w:themeColor="text1"/>
          <w:lang w:val="es-MX" w:eastAsia="en-US"/>
        </w:rPr>
        <w:t>s</w:t>
      </w:r>
      <w:r>
        <w:rPr>
          <w:rFonts w:ascii="Palatino Linotype" w:eastAsia="Calibri" w:hAnsi="Palatino Linotype" w:cs="Arial"/>
          <w:color w:val="000000" w:themeColor="text1"/>
          <w:lang w:val="es-MX" w:eastAsia="en-US"/>
        </w:rPr>
        <w:t xml:space="preserve">; es de señalar que </w:t>
      </w:r>
      <w:r w:rsidRPr="00437569">
        <w:rPr>
          <w:rFonts w:ascii="Palatino Linotype" w:eastAsia="Calibri" w:hAnsi="Palatino Linotype" w:cs="Arial"/>
          <w:color w:val="000000" w:themeColor="text1"/>
          <w:lang w:val="es-MX" w:eastAsia="en-US"/>
        </w:rPr>
        <w:t>l</w:t>
      </w:r>
      <w:r>
        <w:rPr>
          <w:rFonts w:ascii="Palatino Linotype" w:eastAsia="Calibri" w:hAnsi="Palatino Linotype" w:cs="Arial"/>
          <w:color w:val="000000" w:themeColor="text1"/>
          <w:lang w:val="es-MX" w:eastAsia="en-US"/>
        </w:rPr>
        <w:t>a</w:t>
      </w:r>
      <w:r w:rsidRPr="00437569">
        <w:rPr>
          <w:rFonts w:ascii="Palatino Linotype" w:eastAsia="Calibri" w:hAnsi="Palatino Linotype" w:cs="Arial"/>
          <w:color w:val="000000" w:themeColor="text1"/>
          <w:lang w:val="es-MX" w:eastAsia="en-US"/>
        </w:rPr>
        <w:t xml:space="preserve"> </w:t>
      </w:r>
      <w:r w:rsidR="006C1759">
        <w:rPr>
          <w:rFonts w:ascii="Palatino Linotype" w:hAnsi="Palatino Linotype" w:cs="Arial"/>
          <w:b/>
          <w:color w:val="000000" w:themeColor="text1"/>
        </w:rPr>
        <w:t>RECURRENTE</w:t>
      </w:r>
      <w:r w:rsidRPr="00437569">
        <w:rPr>
          <w:rFonts w:ascii="Palatino Linotype" w:hAnsi="Palatino Linotype" w:cs="Arial"/>
          <w:color w:val="000000" w:themeColor="text1"/>
        </w:rPr>
        <w:t xml:space="preserve">, solicitó conocer </w:t>
      </w:r>
      <w:r w:rsidR="006C1759">
        <w:rPr>
          <w:rFonts w:ascii="Palatino Linotype" w:hAnsi="Palatino Linotype" w:cs="Arial"/>
          <w:color w:val="000000" w:themeColor="text1"/>
        </w:rPr>
        <w:t xml:space="preserve">las licencias y/o permisos de funcionamiento emitidos en los años dos mil diecinueve y dos mil veinte. </w:t>
      </w:r>
    </w:p>
    <w:p w14:paraId="58442915" w14:textId="77777777" w:rsidR="00575D13" w:rsidRPr="00B33377" w:rsidRDefault="00575D13" w:rsidP="00575D13">
      <w:pPr>
        <w:pStyle w:val="Prrafodelista"/>
        <w:rPr>
          <w:rFonts w:ascii="Palatino Linotype" w:hAnsi="Palatino Linotype"/>
          <w:b/>
          <w:sz w:val="22"/>
          <w:szCs w:val="22"/>
        </w:rPr>
      </w:pPr>
    </w:p>
    <w:p w14:paraId="49E8F673" w14:textId="0DE7FE58" w:rsidR="00575D13" w:rsidRPr="009B12F3" w:rsidRDefault="006C1759" w:rsidP="00575D13">
      <w:pPr>
        <w:numPr>
          <w:ilvl w:val="0"/>
          <w:numId w:val="2"/>
        </w:numPr>
        <w:spacing w:line="360" w:lineRule="auto"/>
        <w:ind w:left="0" w:right="49" w:firstLine="0"/>
        <w:contextualSpacing/>
        <w:jc w:val="both"/>
        <w:rPr>
          <w:rFonts w:cs="Times New Roman"/>
          <w:b/>
          <w:color w:val="000000" w:themeColor="text1"/>
          <w:lang w:eastAsia="es-ES_tradnl"/>
        </w:rPr>
      </w:pPr>
      <w:r>
        <w:rPr>
          <w:rFonts w:ascii="Palatino Linotype" w:eastAsia="MS Mincho" w:hAnsi="Palatino Linotype" w:cs="Times New Roman"/>
        </w:rPr>
        <w:t>E</w:t>
      </w:r>
      <w:r w:rsidR="00575D13" w:rsidRPr="00F46EB2">
        <w:rPr>
          <w:rFonts w:ascii="Palatino Linotype" w:eastAsia="MS Mincho" w:hAnsi="Palatino Linotype" w:cs="Times New Roman"/>
        </w:rPr>
        <w:t>n respuesta</w:t>
      </w:r>
      <w:r>
        <w:rPr>
          <w:rFonts w:ascii="Palatino Linotype" w:eastAsia="MS Mincho" w:hAnsi="Palatino Linotype" w:cs="Times New Roman"/>
        </w:rPr>
        <w:t xml:space="preserve"> a las solicitudes de información</w:t>
      </w:r>
      <w:r w:rsidR="00575D13">
        <w:rPr>
          <w:rFonts w:ascii="Palatino Linotype" w:eastAsia="MS Mincho" w:hAnsi="Palatino Linotype" w:cs="Times New Roman"/>
        </w:rPr>
        <w:t>,</w:t>
      </w:r>
      <w:r w:rsidR="00575D13" w:rsidRPr="00F46EB2">
        <w:rPr>
          <w:rFonts w:ascii="Palatino Linotype" w:eastAsia="MS Mincho" w:hAnsi="Palatino Linotype" w:cs="Times New Roman"/>
        </w:rPr>
        <w:t xml:space="preserve"> el </w:t>
      </w:r>
      <w:r w:rsidR="00575D13" w:rsidRPr="00F46EB2">
        <w:rPr>
          <w:rFonts w:ascii="Palatino Linotype" w:eastAsia="MS Mincho" w:hAnsi="Palatino Linotype" w:cs="Times New Roman"/>
          <w:b/>
        </w:rPr>
        <w:t xml:space="preserve">SUJETO OBLIGADO </w:t>
      </w:r>
      <w:bookmarkStart w:id="137" w:name="_Toc521949107"/>
      <w:bookmarkStart w:id="138" w:name="_Toc522209067"/>
      <w:bookmarkStart w:id="139" w:name="_Toc523908140"/>
      <w:bookmarkStart w:id="140" w:name="_Toc31221176"/>
      <w:bookmarkStart w:id="141" w:name="_Toc23440737"/>
      <w:bookmarkStart w:id="142" w:name="_Toc21026228"/>
      <w:bookmarkStart w:id="143" w:name="_Toc20412820"/>
      <w:bookmarkStart w:id="144" w:name="_Toc20392593"/>
      <w:bookmarkStart w:id="145" w:name="_Toc11834466"/>
      <w:bookmarkStart w:id="146" w:name="_Toc12448142"/>
      <w:bookmarkStart w:id="147" w:name="_Toc17043969"/>
      <w:bookmarkStart w:id="148" w:name="_Toc17390946"/>
      <w:r w:rsidR="00575D13">
        <w:rPr>
          <w:rFonts w:ascii="Palatino Linotype" w:eastAsia="MS Mincho" w:hAnsi="Palatino Linotype" w:cs="Times New Roman"/>
        </w:rPr>
        <w:t xml:space="preserve">precisó que los documentos referentes a la información que se solicita, se encuentran disponibles para su consulta, </w:t>
      </w:r>
      <w:r w:rsidR="00A006EB">
        <w:rPr>
          <w:rFonts w:ascii="Palatino Linotype" w:eastAsia="MS Mincho" w:hAnsi="Palatino Linotype" w:cs="Times New Roman"/>
        </w:rPr>
        <w:t xml:space="preserve">de forma directa </w:t>
      </w:r>
      <w:r w:rsidR="00575D13">
        <w:rPr>
          <w:rFonts w:ascii="Palatino Linotype" w:eastAsia="MS Mincho" w:hAnsi="Palatino Linotype" w:cs="Times New Roman"/>
        </w:rPr>
        <w:t xml:space="preserve">en las oficinas de la Unidad de Transparencia, esto derivado de la carga de trabajo que implica dar contestación a cada una de las solicitudes de información que ha recibido el </w:t>
      </w:r>
      <w:r w:rsidR="00A006EB">
        <w:rPr>
          <w:rFonts w:ascii="Palatino Linotype" w:eastAsia="MS Mincho" w:hAnsi="Palatino Linotype" w:cs="Times New Roman"/>
          <w:b/>
        </w:rPr>
        <w:t>SUJETO OBLIGADO</w:t>
      </w:r>
      <w:r w:rsidR="00575D13">
        <w:rPr>
          <w:rFonts w:ascii="Palatino Linotype" w:eastAsia="MS Mincho" w:hAnsi="Palatino Linotype" w:cs="Times New Roman"/>
        </w:rPr>
        <w:t xml:space="preserve"> en el mismo lapso de tiempo; pues implica contestar todas y cada una dentro de los plazos establecidos, por lo que dichas solicitudes empatan en tiempo de </w:t>
      </w:r>
      <w:r w:rsidR="00575D13">
        <w:rPr>
          <w:rFonts w:ascii="Palatino Linotype" w:eastAsia="MS Mincho" w:hAnsi="Palatino Linotype" w:cs="Times New Roman"/>
        </w:rPr>
        <w:lastRenderedPageBreak/>
        <w:t xml:space="preserve">contestación, lo cual </w:t>
      </w:r>
      <w:r w:rsidR="00575D13" w:rsidRPr="002453AD">
        <w:rPr>
          <w:rFonts w:ascii="Palatino Linotype" w:eastAsia="MS Mincho" w:hAnsi="Palatino Linotype" w:cs="Times New Roman"/>
        </w:rPr>
        <w:t>rebasa las capacidades técnicas, administrativas y humanas del sujeto obligado para cumplir con la solicitud y/o solicitudes en los plazos establecidos, sumado</w:t>
      </w:r>
      <w:r w:rsidR="00575D13" w:rsidRPr="002453AD">
        <w:t xml:space="preserve"> </w:t>
      </w:r>
      <w:r w:rsidR="00575D13" w:rsidRPr="002453AD">
        <w:rPr>
          <w:rFonts w:ascii="Palatino Linotype" w:eastAsia="MS Mincho" w:hAnsi="Palatino Linotype" w:cs="Times New Roman"/>
        </w:rPr>
        <w:t>a la emergencia sanitaria declarada por la Organización Mundial de la Salud (OMS) con motivo del virus SARS CoV2 (COVID-19), que implica como medida preventiva para desarrollar sus actividades, el realizarlas con el personal mínimo e indispensable.</w:t>
      </w:r>
      <w:r w:rsidR="00575D13">
        <w:rPr>
          <w:rFonts w:ascii="Palatino Linotype" w:eastAsia="MS Mincho" w:hAnsi="Palatino Linotype" w:cs="Times New Roman"/>
          <w:b/>
        </w:rPr>
        <w:t xml:space="preserve"> </w:t>
      </w:r>
    </w:p>
    <w:p w14:paraId="0943823B" w14:textId="77777777" w:rsidR="00575D13" w:rsidRDefault="00575D13" w:rsidP="00575D13">
      <w:pPr>
        <w:pStyle w:val="Prrafodelista"/>
        <w:rPr>
          <w:rFonts w:ascii="Palatino Linotype" w:eastAsia="MS Mincho" w:hAnsi="Palatino Linotype" w:cs="Times New Roman"/>
        </w:rPr>
      </w:pPr>
    </w:p>
    <w:p w14:paraId="7DE7CCD9" w14:textId="53BF07A4" w:rsidR="00575D13" w:rsidRPr="00021FA9" w:rsidRDefault="00575D13" w:rsidP="00575D13">
      <w:pPr>
        <w:numPr>
          <w:ilvl w:val="0"/>
          <w:numId w:val="2"/>
        </w:numPr>
        <w:spacing w:line="360" w:lineRule="auto"/>
        <w:ind w:left="0" w:right="49" w:firstLine="0"/>
        <w:contextualSpacing/>
        <w:jc w:val="both"/>
        <w:rPr>
          <w:rFonts w:cs="Times New Roman"/>
          <w:b/>
          <w:color w:val="000000" w:themeColor="text1"/>
          <w:lang w:eastAsia="es-ES_tradnl"/>
        </w:rPr>
      </w:pPr>
      <w:r>
        <w:rPr>
          <w:rFonts w:ascii="Palatino Linotype" w:eastAsia="MS Mincho" w:hAnsi="Palatino Linotype" w:cs="Times New Roman"/>
        </w:rPr>
        <w:t xml:space="preserve">El </w:t>
      </w:r>
      <w:r>
        <w:rPr>
          <w:rFonts w:ascii="Palatino Linotype" w:eastAsia="MS Mincho" w:hAnsi="Palatino Linotype" w:cs="Times New Roman"/>
          <w:b/>
        </w:rPr>
        <w:t xml:space="preserve">SUJETO OBLIGADO </w:t>
      </w:r>
      <w:r>
        <w:rPr>
          <w:rFonts w:ascii="Palatino Linotype" w:eastAsia="MS Mincho" w:hAnsi="Palatino Linotype" w:cs="Times New Roman"/>
        </w:rPr>
        <w:t xml:space="preserve">con la intención </w:t>
      </w:r>
      <w:r>
        <w:rPr>
          <w:rFonts w:ascii="Palatino Linotype" w:eastAsia="MS Mincho" w:hAnsi="Palatino Linotype" w:cs="Times New Roman"/>
          <w:b/>
        </w:rPr>
        <w:t>legítima de no lesionar el derecho humano, pone a disposición del solicitante los documentos s</w:t>
      </w:r>
      <w:r w:rsidR="00A006EB">
        <w:rPr>
          <w:rFonts w:ascii="Palatino Linotype" w:eastAsia="MS Mincho" w:hAnsi="Palatino Linotype" w:cs="Times New Roman"/>
          <w:b/>
        </w:rPr>
        <w:t xml:space="preserve">olicitados en consulta directa, </w:t>
      </w:r>
      <w:r w:rsidR="00A006EB">
        <w:rPr>
          <w:rFonts w:ascii="Palatino Linotype" w:eastAsia="MS Mincho" w:hAnsi="Palatino Linotype" w:cs="Times New Roman"/>
        </w:rPr>
        <w:t>manifestó, que de la información</w:t>
      </w:r>
      <w:r>
        <w:rPr>
          <w:rFonts w:ascii="Palatino Linotype" w:eastAsia="MS Mincho" w:hAnsi="Palatino Linotype" w:cs="Times New Roman"/>
        </w:rPr>
        <w:t xml:space="preserve"> se le facilitará también en copia simple o certificada, así como su reproducción por cualquier medio disponible,</w:t>
      </w:r>
      <w:r w:rsidRPr="00D06C97">
        <w:rPr>
          <w:rFonts w:ascii="Palatino Linotype" w:eastAsia="MS Mincho" w:hAnsi="Palatino Linotype" w:cs="Times New Roman"/>
        </w:rPr>
        <w:t xml:space="preserve"> </w:t>
      </w:r>
      <w:r>
        <w:rPr>
          <w:rFonts w:ascii="Palatino Linotype" w:eastAsia="MS Mincho" w:hAnsi="Palatino Linotype" w:cs="Times New Roman"/>
        </w:rPr>
        <w:t>o en el q</w:t>
      </w:r>
      <w:r w:rsidR="00A006EB">
        <w:rPr>
          <w:rFonts w:ascii="Palatino Linotype" w:eastAsia="MS Mincho" w:hAnsi="Palatino Linotype" w:cs="Times New Roman"/>
        </w:rPr>
        <w:t>ue el solicitante aporte, en sus instalaciones.</w:t>
      </w:r>
    </w:p>
    <w:p w14:paraId="40AAA29C" w14:textId="77777777" w:rsidR="00575D13" w:rsidRDefault="00575D13" w:rsidP="00575D13">
      <w:pPr>
        <w:spacing w:line="360" w:lineRule="auto"/>
        <w:ind w:right="49"/>
        <w:contextualSpacing/>
        <w:jc w:val="both"/>
        <w:rPr>
          <w:rFonts w:ascii="Palatino Linotype" w:eastAsia="MS Mincho" w:hAnsi="Palatino Linotype" w:cs="Times New Roman"/>
        </w:rPr>
      </w:pPr>
    </w:p>
    <w:p w14:paraId="6D2D0539" w14:textId="4CF17001" w:rsidR="00575D13" w:rsidRPr="00D74034" w:rsidRDefault="00575D13" w:rsidP="00575D13">
      <w:pPr>
        <w:pStyle w:val="Prrafodelista"/>
        <w:numPr>
          <w:ilvl w:val="0"/>
          <w:numId w:val="2"/>
        </w:numPr>
        <w:tabs>
          <w:tab w:val="left" w:pos="142"/>
        </w:tabs>
        <w:spacing w:line="360" w:lineRule="auto"/>
        <w:ind w:left="0" w:right="49" w:firstLine="0"/>
        <w:jc w:val="both"/>
        <w:rPr>
          <w:rFonts w:ascii="Palatino Linotype" w:eastAsia="MS Mincho" w:hAnsi="Palatino Linotype" w:cs="Times New Roman"/>
        </w:rPr>
      </w:pPr>
      <w:r>
        <w:rPr>
          <w:rFonts w:ascii="Palatino Linotype" w:eastAsia="MS Mincho" w:hAnsi="Palatino Linotype" w:cs="Times New Roman"/>
        </w:rPr>
        <w:t xml:space="preserve">Por todo lo anterior, </w:t>
      </w:r>
      <w:r w:rsidR="00A006EB">
        <w:rPr>
          <w:rFonts w:ascii="Palatino Linotype" w:eastAsia="MS Mincho" w:hAnsi="Palatino Linotype" w:cs="Times New Roman"/>
        </w:rPr>
        <w:t>es necesario</w:t>
      </w:r>
      <w:r>
        <w:rPr>
          <w:rFonts w:ascii="Palatino Linotype" w:eastAsia="MS Mincho" w:hAnsi="Palatino Linotype" w:cs="Times New Roman"/>
        </w:rPr>
        <w:t xml:space="preserve"> analizar si resulta procedente el cambio de modalidad propuesto por </w:t>
      </w:r>
      <w:r w:rsidRPr="00967F76">
        <w:rPr>
          <w:rFonts w:ascii="Palatino Linotype" w:eastAsia="MS Mincho" w:hAnsi="Palatino Linotype" w:cs="Times New Roman"/>
        </w:rPr>
        <w:t xml:space="preserve">el </w:t>
      </w:r>
      <w:r w:rsidR="00A006EB">
        <w:rPr>
          <w:rFonts w:ascii="Palatino Linotype" w:eastAsia="MS Mincho" w:hAnsi="Palatino Linotype" w:cs="Times New Roman"/>
          <w:b/>
          <w:bCs/>
        </w:rPr>
        <w:t>SUJETO OBLIGADO</w:t>
      </w:r>
      <w:r>
        <w:rPr>
          <w:rFonts w:ascii="Palatino Linotype" w:eastAsia="MS Mincho" w:hAnsi="Palatino Linotype" w:cs="Times New Roman"/>
          <w:bCs/>
        </w:rPr>
        <w:t>,</w:t>
      </w:r>
      <w:r w:rsidRPr="00967F76">
        <w:rPr>
          <w:rFonts w:ascii="Palatino Linotype" w:eastAsia="MS Mincho" w:hAnsi="Palatino Linotype" w:cs="Times New Roman"/>
          <w:b/>
          <w:bCs/>
        </w:rPr>
        <w:t xml:space="preserve"> </w:t>
      </w:r>
      <w:r>
        <w:rPr>
          <w:rFonts w:ascii="Palatino Linotype" w:eastAsia="MS Mincho" w:hAnsi="Palatino Linotype" w:cs="Times New Roman"/>
          <w:bCs/>
        </w:rPr>
        <w:t xml:space="preserve">lo cual se determina a través del siguiente análisis: </w:t>
      </w:r>
    </w:p>
    <w:p w14:paraId="732E51A4" w14:textId="77777777" w:rsidR="00575D13" w:rsidRPr="00973234" w:rsidRDefault="00575D13" w:rsidP="00575D13">
      <w:pPr>
        <w:spacing w:line="360" w:lineRule="auto"/>
        <w:ind w:right="49"/>
        <w:contextualSpacing/>
        <w:jc w:val="both"/>
        <w:rPr>
          <w:rFonts w:cs="Times New Roman"/>
          <w:b/>
          <w:color w:val="000000" w:themeColor="text1"/>
          <w:lang w:eastAsia="es-ES_tradnl"/>
        </w:rPr>
      </w:pPr>
    </w:p>
    <w:p w14:paraId="52FEFD2F" w14:textId="1FB0C12F" w:rsidR="00575D13" w:rsidRPr="00A006EB" w:rsidRDefault="00575D13" w:rsidP="00A006EB">
      <w:pPr>
        <w:pStyle w:val="Prrafodelista"/>
        <w:keepNext/>
        <w:keepLines/>
        <w:numPr>
          <w:ilvl w:val="0"/>
          <w:numId w:val="46"/>
        </w:numPr>
        <w:spacing w:line="360" w:lineRule="auto"/>
        <w:ind w:left="709" w:hanging="425"/>
        <w:outlineLvl w:val="0"/>
        <w:rPr>
          <w:rFonts w:ascii="Palatino Linotype" w:eastAsia="MS Gothic" w:hAnsi="Palatino Linotype" w:cstheme="majorBidi"/>
          <w:b/>
        </w:rPr>
      </w:pPr>
      <w:bookmarkStart w:id="149" w:name="_Toc33090993"/>
      <w:bookmarkStart w:id="150" w:name="_Toc33810792"/>
      <w:bookmarkStart w:id="151" w:name="_Toc34819434"/>
      <w:bookmarkStart w:id="152" w:name="_Toc51259590"/>
      <w:bookmarkStart w:id="153" w:name="_Toc51457389"/>
      <w:bookmarkEnd w:id="137"/>
      <w:bookmarkEnd w:id="138"/>
      <w:bookmarkEnd w:id="139"/>
      <w:bookmarkEnd w:id="140"/>
      <w:bookmarkEnd w:id="141"/>
      <w:bookmarkEnd w:id="142"/>
      <w:bookmarkEnd w:id="143"/>
      <w:bookmarkEnd w:id="144"/>
      <w:bookmarkEnd w:id="145"/>
      <w:bookmarkEnd w:id="146"/>
      <w:bookmarkEnd w:id="147"/>
      <w:bookmarkEnd w:id="148"/>
      <w:r w:rsidRPr="00A006EB">
        <w:rPr>
          <w:rFonts w:ascii="Palatino Linotype" w:eastAsia="MS Gothic" w:hAnsi="Palatino Linotype" w:cstheme="majorBidi"/>
          <w:b/>
        </w:rPr>
        <w:t>De la modalidad de entrega de la información solicitada.</w:t>
      </w:r>
      <w:bookmarkEnd w:id="149"/>
      <w:bookmarkEnd w:id="150"/>
      <w:bookmarkEnd w:id="151"/>
      <w:bookmarkEnd w:id="152"/>
      <w:bookmarkEnd w:id="153"/>
      <w:r w:rsidRPr="00A006EB">
        <w:rPr>
          <w:rFonts w:ascii="Palatino Linotype" w:eastAsia="MS Gothic" w:hAnsi="Palatino Linotype" w:cstheme="majorBidi"/>
          <w:b/>
        </w:rPr>
        <w:t xml:space="preserve"> </w:t>
      </w:r>
    </w:p>
    <w:p w14:paraId="1B43D09D" w14:textId="77777777" w:rsidR="00575D13" w:rsidRDefault="00575D13" w:rsidP="00575D13">
      <w:pPr>
        <w:spacing w:line="360" w:lineRule="auto"/>
        <w:contextualSpacing/>
        <w:jc w:val="both"/>
        <w:rPr>
          <w:rFonts w:ascii="Palatino Linotype" w:eastAsia="MS Mincho" w:hAnsi="Palatino Linotype" w:cs="Arial"/>
        </w:rPr>
      </w:pPr>
    </w:p>
    <w:p w14:paraId="13A6D707" w14:textId="77777777" w:rsidR="00575D13" w:rsidRDefault="00575D13" w:rsidP="00575D13">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Primeramente, es indispensable traer a colación lo contenido en los artículos 158 y 164 de la Ley de Transparencia y Acceso a la Información Pública del Estado de México y Municipios, los cuales señalan que: </w:t>
      </w:r>
    </w:p>
    <w:p w14:paraId="0293DFAB" w14:textId="77777777" w:rsidR="00575D13" w:rsidRDefault="00575D13" w:rsidP="00575D13">
      <w:pPr>
        <w:spacing w:line="360" w:lineRule="auto"/>
        <w:contextualSpacing/>
        <w:jc w:val="both"/>
        <w:rPr>
          <w:rFonts w:ascii="Palatino Linotype" w:eastAsia="MS Mincho" w:hAnsi="Palatino Linotype" w:cs="Arial"/>
        </w:rPr>
      </w:pPr>
    </w:p>
    <w:p w14:paraId="7DF85877" w14:textId="77777777" w:rsidR="00575D13" w:rsidRPr="00425E29" w:rsidRDefault="00575D13" w:rsidP="00575D13">
      <w:pPr>
        <w:spacing w:line="360" w:lineRule="auto"/>
        <w:ind w:left="567" w:right="567"/>
        <w:jc w:val="both"/>
        <w:rPr>
          <w:rFonts w:ascii="Palatino Linotype" w:hAnsi="Palatino Linotype"/>
          <w:i/>
          <w:sz w:val="22"/>
        </w:rPr>
      </w:pPr>
      <w:r w:rsidRPr="00425E29">
        <w:rPr>
          <w:rFonts w:ascii="Palatino Linotype" w:hAnsi="Palatino Linotype"/>
          <w:i/>
          <w:sz w:val="22"/>
        </w:rPr>
        <w:lastRenderedPageBreak/>
        <w:t>“</w:t>
      </w:r>
      <w:r w:rsidRPr="00425E29">
        <w:rPr>
          <w:rFonts w:ascii="Palatino Linotype" w:hAnsi="Palatino Linotype"/>
          <w:b/>
          <w:bCs/>
          <w:i/>
          <w:sz w:val="22"/>
        </w:rPr>
        <w:t>Artículo 158.</w:t>
      </w:r>
      <w:r w:rsidRPr="00425E29">
        <w:rPr>
          <w:rFonts w:ascii="Palatino Linotype" w:hAnsi="Palatino Linotype"/>
          <w:i/>
          <w:sz w:val="22"/>
        </w:rPr>
        <w:t xml:space="preserve"> </w:t>
      </w:r>
      <w:r w:rsidRPr="00425E29">
        <w:rPr>
          <w:rFonts w:ascii="Palatino Linotype" w:hAnsi="Palatino Linotype"/>
          <w:b/>
          <w:bCs/>
          <w:i/>
          <w:sz w:val="22"/>
        </w:rPr>
        <w:t>De manera excepcional, cuando de forma fundada y motivada así lo determine el sujeto obligado</w:t>
      </w:r>
      <w:r w:rsidRPr="00425E29">
        <w:rPr>
          <w:rFonts w:ascii="Palatino Linotype" w:hAnsi="Palatino Linotype"/>
          <w:i/>
          <w:sz w:val="22"/>
        </w:rPr>
        <w:t xml:space="preserve">, en aquellos casos en que la información solicitada que ya se encuentre en su posesión implique análisis, estudio o procesamiento de documentos </w:t>
      </w:r>
      <w:r w:rsidRPr="00425E29">
        <w:rPr>
          <w:rFonts w:ascii="Palatino Linotype" w:hAnsi="Palatino Linotype"/>
          <w:b/>
          <w:bCs/>
          <w:i/>
          <w:sz w:val="22"/>
        </w:rPr>
        <w:t>cuya entrega o reproducción sobrepase las capacidades técnicas administrativas y humanas del sujeto obligado</w:t>
      </w:r>
      <w:r w:rsidRPr="00425E29">
        <w:rPr>
          <w:rFonts w:ascii="Palatino Linotype" w:hAnsi="Palatino Linotype"/>
          <w:i/>
          <w:sz w:val="22"/>
        </w:rPr>
        <w:t xml:space="preserve"> para cumplir con la solicitud, en los plazos establecidos para dichos efectos,</w:t>
      </w:r>
      <w:r w:rsidRPr="00425E29">
        <w:rPr>
          <w:rFonts w:ascii="Palatino Linotype" w:hAnsi="Palatino Linotype"/>
          <w:b/>
          <w:bCs/>
          <w:i/>
          <w:sz w:val="22"/>
        </w:rPr>
        <w:t xml:space="preserve"> se podrá poner a disposición del solicitante los documentos en consulta directa</w:t>
      </w:r>
      <w:r w:rsidRPr="00425E29">
        <w:rPr>
          <w:rFonts w:ascii="Palatino Linotype" w:hAnsi="Palatino Linotype"/>
          <w:i/>
          <w:sz w:val="22"/>
        </w:rPr>
        <w:t>, salvo la información clasificada”.</w:t>
      </w:r>
    </w:p>
    <w:p w14:paraId="3B66DA06" w14:textId="77777777" w:rsidR="00575D13" w:rsidRPr="00425E29" w:rsidRDefault="00575D13" w:rsidP="00575D13">
      <w:pPr>
        <w:spacing w:line="360" w:lineRule="auto"/>
        <w:ind w:right="567"/>
        <w:jc w:val="both"/>
        <w:rPr>
          <w:rFonts w:ascii="Palatino Linotype" w:hAnsi="Palatino Linotype"/>
          <w:i/>
          <w:sz w:val="22"/>
        </w:rPr>
      </w:pPr>
    </w:p>
    <w:p w14:paraId="73C6EE45" w14:textId="77777777" w:rsidR="00575D13" w:rsidRPr="00425E29" w:rsidRDefault="00575D13" w:rsidP="00575D13">
      <w:pPr>
        <w:spacing w:line="360" w:lineRule="auto"/>
        <w:ind w:left="567" w:right="567"/>
        <w:jc w:val="both"/>
        <w:rPr>
          <w:rFonts w:ascii="Palatino Linotype" w:hAnsi="Palatino Linotype"/>
          <w:b/>
          <w:bCs/>
          <w:i/>
          <w:sz w:val="22"/>
        </w:rPr>
      </w:pPr>
      <w:r w:rsidRPr="00425E29">
        <w:rPr>
          <w:rFonts w:ascii="Palatino Linotype" w:hAnsi="Palatino Linotype"/>
          <w:i/>
          <w:sz w:val="22"/>
        </w:rPr>
        <w:t>“</w:t>
      </w:r>
      <w:r w:rsidRPr="00425E29">
        <w:rPr>
          <w:rFonts w:ascii="Palatino Linotype" w:hAnsi="Palatino Linotype"/>
          <w:b/>
          <w:bCs/>
          <w:i/>
          <w:sz w:val="22"/>
        </w:rPr>
        <w:t>Artículo 164.</w:t>
      </w:r>
      <w:r w:rsidRPr="00425E29">
        <w:rPr>
          <w:rFonts w:ascii="Palatino Linotype" w:hAnsi="Palatino Linotype"/>
          <w:i/>
          <w:sz w:val="22"/>
        </w:rPr>
        <w:t xml:space="preserve"> </w:t>
      </w:r>
      <w:r w:rsidRPr="00425E29">
        <w:rPr>
          <w:rFonts w:ascii="Palatino Linotype" w:hAnsi="Palatino Linotype"/>
          <w:b/>
          <w:bCs/>
          <w:i/>
          <w:sz w:val="22"/>
        </w:rPr>
        <w:t>El acceso se dará en la modalidad de entrega</w:t>
      </w:r>
      <w:r w:rsidRPr="00425E29">
        <w:rPr>
          <w:rFonts w:ascii="Palatino Linotype" w:hAnsi="Palatino Linotype"/>
          <w:i/>
          <w:sz w:val="22"/>
        </w:rPr>
        <w:t xml:space="preserve"> y, en su caso, de envío elegidos por el solicitante</w:t>
      </w:r>
      <w:r w:rsidRPr="00425E29">
        <w:rPr>
          <w:rFonts w:ascii="Palatino Linotype" w:hAnsi="Palatino Linotype"/>
          <w:b/>
          <w:bCs/>
          <w:i/>
          <w:sz w:val="22"/>
        </w:rPr>
        <w:t>. Cuando la información no pueda entregarse o enviarse en la modalidad solicitada, el sujeto obligado deberá ofrecer otra u otras modalidades de entrega.</w:t>
      </w:r>
    </w:p>
    <w:p w14:paraId="31AFC1F5" w14:textId="77777777" w:rsidR="00575D13" w:rsidRPr="00425E29" w:rsidRDefault="00575D13" w:rsidP="00575D13">
      <w:pPr>
        <w:spacing w:line="360" w:lineRule="auto"/>
        <w:ind w:left="567" w:right="567"/>
        <w:jc w:val="both"/>
        <w:rPr>
          <w:rFonts w:ascii="Palatino Linotype" w:hAnsi="Palatino Linotype"/>
          <w:i/>
          <w:sz w:val="22"/>
        </w:rPr>
      </w:pPr>
    </w:p>
    <w:p w14:paraId="3EB09544" w14:textId="77777777" w:rsidR="00575D13" w:rsidRPr="00425E29" w:rsidRDefault="00575D13" w:rsidP="00575D13">
      <w:pPr>
        <w:spacing w:line="360" w:lineRule="auto"/>
        <w:ind w:left="567" w:right="567"/>
        <w:jc w:val="both"/>
        <w:rPr>
          <w:rFonts w:ascii="Palatino Linotype" w:hAnsi="Palatino Linotype"/>
          <w:i/>
          <w:sz w:val="22"/>
        </w:rPr>
      </w:pPr>
      <w:r w:rsidRPr="00425E29">
        <w:rPr>
          <w:rFonts w:ascii="Palatino Linotype" w:hAnsi="Palatino Linotype"/>
          <w:b/>
          <w:bCs/>
          <w:i/>
          <w:sz w:val="22"/>
        </w:rPr>
        <w:t>En cualquier caso, se deberá fundar y motivar la necesidad de ofrecer otras modalidades</w:t>
      </w:r>
      <w:r w:rsidRPr="00425E29">
        <w:rPr>
          <w:rFonts w:ascii="Palatino Linotype" w:hAnsi="Palatino Linotype"/>
          <w:i/>
          <w:sz w:val="22"/>
        </w:rPr>
        <w:t>”.</w:t>
      </w:r>
    </w:p>
    <w:p w14:paraId="175B3390" w14:textId="77777777" w:rsidR="00575D13" w:rsidRPr="00425E29" w:rsidRDefault="00575D13" w:rsidP="00575D13">
      <w:pPr>
        <w:spacing w:line="360" w:lineRule="auto"/>
        <w:contextualSpacing/>
        <w:jc w:val="both"/>
        <w:rPr>
          <w:rFonts w:ascii="Palatino Linotype" w:eastAsia="MS Mincho" w:hAnsi="Palatino Linotype" w:cs="Arial"/>
          <w:i/>
        </w:rPr>
      </w:pPr>
    </w:p>
    <w:p w14:paraId="20D5D755" w14:textId="77777777" w:rsidR="00575D13" w:rsidRDefault="00575D13" w:rsidP="00575D13">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Del artículo 158 referido, se tiene que </w:t>
      </w:r>
      <w:r>
        <w:rPr>
          <w:rFonts w:ascii="Palatino Linotype" w:eastAsia="MS Mincho" w:hAnsi="Palatino Linotype" w:cs="Arial"/>
          <w:b/>
        </w:rPr>
        <w:t xml:space="preserve">excepcionalmente, de forma fundada y motivada, </w:t>
      </w:r>
      <w:r>
        <w:rPr>
          <w:rFonts w:ascii="Palatino Linotype" w:eastAsia="MS Mincho" w:hAnsi="Palatino Linotype" w:cs="Arial"/>
        </w:rPr>
        <w:t xml:space="preserve">en el caso de que la información solicitada implique </w:t>
      </w:r>
      <w:r>
        <w:rPr>
          <w:rFonts w:ascii="Palatino Linotype" w:eastAsia="MS Mincho" w:hAnsi="Palatino Linotype" w:cs="Arial"/>
          <w:b/>
        </w:rPr>
        <w:t xml:space="preserve">análisis, estudio o procesamiento de documentos, </w:t>
      </w:r>
      <w:r>
        <w:rPr>
          <w:rFonts w:ascii="Palatino Linotype" w:eastAsia="MS Mincho" w:hAnsi="Palatino Linotype" w:cs="Arial"/>
        </w:rPr>
        <w:t xml:space="preserve">cuya entrega o reproducción </w:t>
      </w:r>
      <w:r>
        <w:rPr>
          <w:rFonts w:ascii="Palatino Linotype" w:eastAsia="MS Mincho" w:hAnsi="Palatino Linotype" w:cs="Arial"/>
          <w:b/>
        </w:rPr>
        <w:t xml:space="preserve">sobrepase las capacidades técnicas, administrativas y humanas del sujeto obligado, </w:t>
      </w:r>
      <w:r>
        <w:rPr>
          <w:rFonts w:ascii="Palatino Linotype" w:eastAsia="MS Mincho" w:hAnsi="Palatino Linotype" w:cs="Arial"/>
        </w:rPr>
        <w:t xml:space="preserve">se podrá poner a disposición del solicitante los documentos en consulta directa. </w:t>
      </w:r>
    </w:p>
    <w:p w14:paraId="46B29E50" w14:textId="77777777" w:rsidR="00575D13" w:rsidRDefault="00575D13" w:rsidP="00575D13">
      <w:pPr>
        <w:spacing w:line="360" w:lineRule="auto"/>
        <w:contextualSpacing/>
        <w:jc w:val="both"/>
        <w:rPr>
          <w:rFonts w:ascii="Palatino Linotype" w:eastAsia="MS Mincho" w:hAnsi="Palatino Linotype" w:cs="Arial"/>
        </w:rPr>
      </w:pPr>
      <w:r>
        <w:rPr>
          <w:rFonts w:ascii="Palatino Linotype" w:eastAsia="MS Mincho" w:hAnsi="Palatino Linotype" w:cs="Arial"/>
        </w:rPr>
        <w:t xml:space="preserve"> </w:t>
      </w:r>
    </w:p>
    <w:p w14:paraId="4D703303" w14:textId="6C49958E" w:rsidR="00575D13" w:rsidRPr="00422831" w:rsidRDefault="00575D13" w:rsidP="00575D13">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lastRenderedPageBreak/>
        <w:t xml:space="preserve">Es decir, del artículo anterior, se derivan tres hipótesis que en conjunto y de manera fundada y motivada, validan el cambio de modalidad de entrega de la información y las cuales son, que las documentales a proporcionar </w:t>
      </w:r>
      <w:r>
        <w:rPr>
          <w:rFonts w:ascii="Palatino Linotype" w:eastAsia="MS Mincho" w:hAnsi="Palatino Linotype" w:cs="Arial"/>
          <w:b/>
        </w:rPr>
        <w:t xml:space="preserve">sobrepasen las capacidades técnicas, administrativas y humanas del </w:t>
      </w:r>
      <w:r w:rsidR="00A006EB">
        <w:rPr>
          <w:rFonts w:ascii="Palatino Linotype" w:eastAsia="MS Mincho" w:hAnsi="Palatino Linotype" w:cs="Arial"/>
          <w:b/>
        </w:rPr>
        <w:t>SUJETO OBLIGADO</w:t>
      </w:r>
      <w:r>
        <w:rPr>
          <w:rFonts w:ascii="Palatino Linotype" w:eastAsia="MS Mincho" w:hAnsi="Palatino Linotype" w:cs="Arial"/>
          <w:b/>
        </w:rPr>
        <w:t xml:space="preserve">. </w:t>
      </w:r>
    </w:p>
    <w:p w14:paraId="628858BA" w14:textId="77777777" w:rsidR="00422831" w:rsidRDefault="00422831" w:rsidP="00422831">
      <w:pPr>
        <w:pStyle w:val="Prrafodelista"/>
        <w:rPr>
          <w:rFonts w:ascii="Palatino Linotype" w:eastAsia="MS Mincho" w:hAnsi="Palatino Linotype" w:cs="Arial"/>
        </w:rPr>
      </w:pPr>
    </w:p>
    <w:p w14:paraId="16F54FAE" w14:textId="10F8C335" w:rsidR="00575D13" w:rsidRPr="00505F6A" w:rsidRDefault="00575D13" w:rsidP="00575D13">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Para ello, cabe mencionar </w:t>
      </w:r>
      <w:r w:rsidR="00A006EB">
        <w:rPr>
          <w:rFonts w:ascii="Palatino Linotype" w:eastAsia="MS Mincho" w:hAnsi="Palatino Linotype" w:cs="Arial"/>
        </w:rPr>
        <w:t>que la</w:t>
      </w:r>
      <w:r>
        <w:rPr>
          <w:rFonts w:ascii="Palatino Linotype" w:eastAsia="MS Mincho" w:hAnsi="Palatino Linotype" w:cs="Arial"/>
        </w:rPr>
        <w:t xml:space="preserve"> </w:t>
      </w:r>
      <w:r w:rsidRPr="00805D83">
        <w:rPr>
          <w:rFonts w:ascii="Palatino Linotype" w:eastAsia="MS Mincho" w:hAnsi="Palatino Linotype" w:cs="Arial"/>
          <w:b/>
        </w:rPr>
        <w:t>“capacidad</w:t>
      </w:r>
      <w:r>
        <w:rPr>
          <w:rFonts w:ascii="Palatino Linotype" w:eastAsia="MS Mincho" w:hAnsi="Palatino Linotype" w:cs="Arial"/>
          <w:b/>
        </w:rPr>
        <w:t>”</w:t>
      </w:r>
      <w:r>
        <w:rPr>
          <w:rFonts w:ascii="Palatino Linotype" w:eastAsia="MS Mincho" w:hAnsi="Palatino Linotype" w:cs="Arial"/>
        </w:rPr>
        <w:t xml:space="preserve"> de manera general puede </w:t>
      </w:r>
      <w:r w:rsidR="00A006EB">
        <w:rPr>
          <w:rFonts w:ascii="Palatino Linotype" w:eastAsia="MS Mincho" w:hAnsi="Palatino Linotype" w:cs="Arial"/>
        </w:rPr>
        <w:t>interpretarse</w:t>
      </w:r>
      <w:r>
        <w:rPr>
          <w:rFonts w:ascii="Palatino Linotype" w:eastAsia="MS Mincho" w:hAnsi="Palatino Linotype" w:cs="Arial"/>
        </w:rPr>
        <w:t xml:space="preserve"> como la circunstancia o conjunto de condiciones, cualidades o aptitudes que permiten el desarrollo o el cumplimiento de una función o desempeño de un cargo y que, para el funcionamiento adecuado de una institución se desglosa en las siguientes:</w:t>
      </w:r>
    </w:p>
    <w:p w14:paraId="5BFE8958" w14:textId="77777777" w:rsidR="00575D13" w:rsidRPr="00505F6A" w:rsidRDefault="00575D13" w:rsidP="00575D13">
      <w:pPr>
        <w:spacing w:line="360" w:lineRule="auto"/>
        <w:contextualSpacing/>
        <w:jc w:val="both"/>
        <w:rPr>
          <w:rFonts w:ascii="Palatino Linotype" w:eastAsia="MS Mincho" w:hAnsi="Palatino Linotype" w:cs="Arial"/>
        </w:rPr>
      </w:pPr>
    </w:p>
    <w:p w14:paraId="4EE7EB94" w14:textId="75730F98" w:rsidR="00575D13" w:rsidRPr="00505F6A"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4" w:name="_Toc34819435"/>
      <w:bookmarkStart w:id="155" w:name="_Toc51259591"/>
      <w:bookmarkStart w:id="156" w:name="_Toc51457390"/>
      <w:r>
        <w:rPr>
          <w:rFonts w:ascii="Palatino Linotype" w:eastAsia="MS Gothic" w:hAnsi="Palatino Linotype" w:cstheme="majorBidi"/>
          <w:b/>
        </w:rPr>
        <w:t>De las capacidades técnicas.</w:t>
      </w:r>
      <w:bookmarkEnd w:id="154"/>
      <w:bookmarkEnd w:id="155"/>
      <w:bookmarkEnd w:id="156"/>
      <w:r>
        <w:rPr>
          <w:rFonts w:ascii="Palatino Linotype" w:eastAsia="MS Gothic" w:hAnsi="Palatino Linotype" w:cstheme="majorBidi"/>
          <w:b/>
        </w:rPr>
        <w:t xml:space="preserve"> </w:t>
      </w:r>
    </w:p>
    <w:p w14:paraId="32457B36" w14:textId="77777777" w:rsidR="00575D13" w:rsidRPr="00505F6A" w:rsidRDefault="00575D13" w:rsidP="00575D13">
      <w:pPr>
        <w:spacing w:line="360" w:lineRule="auto"/>
        <w:contextualSpacing/>
        <w:jc w:val="both"/>
        <w:rPr>
          <w:rFonts w:ascii="Palatino Linotype" w:eastAsia="MS Mincho" w:hAnsi="Palatino Linotype" w:cs="Arial"/>
        </w:rPr>
      </w:pPr>
    </w:p>
    <w:p w14:paraId="2E94966B" w14:textId="72EBA320" w:rsidR="00575D13" w:rsidRPr="004136DD"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Para abundar en este punto, resulta indispensable verlo desde dos vertientes: a) de la capacidad técnica del Sistema de Acceso a la Información Mexiquense y b) de la capacidad técnica del </w:t>
      </w:r>
      <w:r w:rsidR="00A006EB">
        <w:rPr>
          <w:rFonts w:ascii="Palatino Linotype" w:eastAsia="MS Mincho" w:hAnsi="Palatino Linotype" w:cs="Arial"/>
          <w:b/>
        </w:rPr>
        <w:t>SUJETO OBLIGADO</w:t>
      </w:r>
      <w:r>
        <w:rPr>
          <w:rFonts w:ascii="Palatino Linotype" w:eastAsia="MS Mincho" w:hAnsi="Palatino Linotype" w:cs="Arial"/>
          <w:b/>
        </w:rPr>
        <w:t xml:space="preserve">. </w:t>
      </w:r>
    </w:p>
    <w:p w14:paraId="155B4B82" w14:textId="77777777" w:rsidR="00575D13" w:rsidRPr="004136DD" w:rsidRDefault="00575D13" w:rsidP="00575D13">
      <w:pPr>
        <w:spacing w:line="360" w:lineRule="auto"/>
        <w:contextualSpacing/>
        <w:jc w:val="both"/>
        <w:rPr>
          <w:rFonts w:ascii="Palatino Linotype" w:eastAsia="MS Mincho" w:hAnsi="Palatino Linotype" w:cs="Arial"/>
        </w:rPr>
      </w:pPr>
    </w:p>
    <w:p w14:paraId="6A6C7C63" w14:textId="33541A83" w:rsidR="00575D13" w:rsidRPr="00A006EB"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A006EB">
        <w:rPr>
          <w:rFonts w:ascii="Palatino Linotype" w:eastAsia="MS Mincho" w:hAnsi="Palatino Linotype" w:cs="Arial"/>
        </w:rPr>
        <w:t xml:space="preserve">Respecto al punto a),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w:t>
      </w:r>
      <w:r w:rsidRPr="00A006EB">
        <w:rPr>
          <w:rFonts w:ascii="Palatino Linotype" w:eastAsia="MS Mincho" w:hAnsi="Palatino Linotype" w:cs="Arial"/>
        </w:rPr>
        <w:lastRenderedPageBreak/>
        <w:t xml:space="preserve">es posible darle seguimiento a la presentación, respuesta, inconformidad y resolución de la misma. </w:t>
      </w:r>
    </w:p>
    <w:p w14:paraId="5EECCAB7" w14:textId="77777777" w:rsidR="00575D13" w:rsidRDefault="00575D13" w:rsidP="00575D13">
      <w:pPr>
        <w:spacing w:line="360" w:lineRule="auto"/>
        <w:contextualSpacing/>
        <w:jc w:val="both"/>
        <w:rPr>
          <w:rFonts w:ascii="Palatino Linotype" w:eastAsia="MS Mincho" w:hAnsi="Palatino Linotype" w:cs="Arial"/>
        </w:rPr>
      </w:pPr>
    </w:p>
    <w:p w14:paraId="3D29A5C6" w14:textId="77777777"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1C967DD" w14:textId="77777777" w:rsidR="00575D13" w:rsidRDefault="00575D13" w:rsidP="00575D13">
      <w:pPr>
        <w:spacing w:line="360" w:lineRule="auto"/>
        <w:contextualSpacing/>
        <w:jc w:val="both"/>
        <w:rPr>
          <w:rFonts w:ascii="Palatino Linotype" w:eastAsia="MS Mincho" w:hAnsi="Palatino Linotype" w:cs="Arial"/>
        </w:rPr>
      </w:pPr>
    </w:p>
    <w:p w14:paraId="26A22EFA" w14:textId="79111C79"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4136DD">
        <w:rPr>
          <w:rFonts w:ascii="Palatino Linotype" w:eastAsia="MS Mincho" w:hAnsi="Palatino Linotype" w:cs="Arial"/>
        </w:rPr>
        <w:t>R</w:t>
      </w:r>
      <w:r>
        <w:rPr>
          <w:rFonts w:ascii="Palatino Linotype" w:eastAsia="MS Mincho" w:hAnsi="Palatino Linotype" w:cs="Arial"/>
        </w:rPr>
        <w:t xml:space="preserve">especto al punto b), </w:t>
      </w:r>
      <w:r w:rsidRPr="004136DD">
        <w:rPr>
          <w:rFonts w:ascii="Palatino Linotype" w:eastAsia="MS Mincho" w:hAnsi="Palatino Linotype" w:cs="Arial"/>
        </w:rPr>
        <w:t xml:space="preserve">el </w:t>
      </w:r>
      <w:r w:rsidR="00A006EB">
        <w:rPr>
          <w:rFonts w:ascii="Palatino Linotype" w:eastAsia="MS Mincho" w:hAnsi="Palatino Linotype" w:cs="Arial"/>
          <w:b/>
        </w:rPr>
        <w:t xml:space="preserve">SUJETO OBLIGADO </w:t>
      </w:r>
      <w:r w:rsidR="00A006EB">
        <w:rPr>
          <w:rFonts w:ascii="Palatino Linotype" w:eastAsia="MS Mincho" w:hAnsi="Palatino Linotype" w:cs="Arial"/>
        </w:rPr>
        <w:t>invocó el artículo 158 de la L</w:t>
      </w:r>
      <w:r>
        <w:rPr>
          <w:rFonts w:ascii="Palatino Linotype" w:eastAsia="MS Mincho" w:hAnsi="Palatino Linotype" w:cs="Arial"/>
        </w:rPr>
        <w:t xml:space="preserve">ey de la materia haciendo énfasis en las capacidades técnicas, al respecto los 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 deberá  agregar los archivos electrónicos que contengan la información requerida en dicho sistema, y sólo en su caso, previo aviso a este Instituto, puede optarse por cambiar la modalidad de la entrega. </w:t>
      </w:r>
    </w:p>
    <w:p w14:paraId="36F0EE50" w14:textId="77777777" w:rsidR="00575D13" w:rsidRDefault="00575D13" w:rsidP="00575D13">
      <w:pPr>
        <w:spacing w:line="360" w:lineRule="auto"/>
        <w:contextualSpacing/>
        <w:jc w:val="both"/>
        <w:rPr>
          <w:rFonts w:ascii="Palatino Linotype" w:eastAsia="MS Mincho" w:hAnsi="Palatino Linotype" w:cs="Arial"/>
        </w:rPr>
      </w:pPr>
    </w:p>
    <w:p w14:paraId="53F33419" w14:textId="77777777" w:rsidR="00575D13" w:rsidRPr="008F4344"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lastRenderedPageBreak/>
        <w:t xml:space="preserve">De tal forma que, el Titular de la Unidad de Transparencia debe entregar los documentos solicitados en la modalidad elegida por el particular; y sólo en caso de que se encuentre imposibilitado, </w:t>
      </w:r>
      <w:r w:rsidRPr="009B12F3">
        <w:rPr>
          <w:rFonts w:ascii="Palatino Linotype" w:eastAsia="MS Mincho" w:hAnsi="Palatino Linotype" w:cs="Arial"/>
        </w:rPr>
        <w:t>deberá avisar de inmediato a este Instituto, a través del correo electrónico institucional y comunicarse vía telefónica a efecto de que reciba el apoyo técnico correspondiente.</w:t>
      </w:r>
      <w:r>
        <w:rPr>
          <w:rFonts w:ascii="Palatino Linotype" w:eastAsia="MS Mincho" w:hAnsi="Palatino Linotype" w:cs="Arial"/>
          <w:b/>
        </w:rPr>
        <w:t xml:space="preserve"> </w:t>
      </w:r>
    </w:p>
    <w:p w14:paraId="34229666" w14:textId="77777777" w:rsidR="00575D13" w:rsidRPr="008F4344" w:rsidRDefault="00575D13" w:rsidP="00575D13">
      <w:pPr>
        <w:spacing w:line="360" w:lineRule="auto"/>
        <w:contextualSpacing/>
        <w:jc w:val="both"/>
        <w:rPr>
          <w:rFonts w:ascii="Palatino Linotype" w:eastAsia="MS Mincho" w:hAnsi="Palatino Linotype" w:cs="Arial"/>
        </w:rPr>
      </w:pPr>
    </w:p>
    <w:p w14:paraId="2DF08F70" w14:textId="77777777"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Del análisis de la información solicitada, se puede advertir que los documentos requeridos, pudieran o no sobrepasar las 8,000 hojas que admite el Sistema de Acceso a la Información Mexiquense; sin embargo, para que se cumpla con la modalidad de entrega solicitada, no depende únicamente de la capacidad tecnológica del SAIMEX, sino también de otras variables como lo son: capacidades administrativas y humanas sobre las que hizo hincapié el </w:t>
      </w:r>
      <w:r w:rsidRPr="00A006EB">
        <w:rPr>
          <w:rFonts w:ascii="Palatino Linotype" w:eastAsia="MS Mincho" w:hAnsi="Palatino Linotype" w:cs="Arial"/>
          <w:b/>
        </w:rPr>
        <w:t>Ayuntamiento de Ixtapan de la Sal</w:t>
      </w:r>
      <w:r>
        <w:rPr>
          <w:rFonts w:ascii="Palatino Linotype" w:eastAsia="MS Mincho" w:hAnsi="Palatino Linotype" w:cs="Arial"/>
        </w:rPr>
        <w:t xml:space="preserve">, las cuales serán analizadas a continuación: </w:t>
      </w:r>
    </w:p>
    <w:p w14:paraId="00BB8100" w14:textId="77777777" w:rsidR="00575D13" w:rsidRPr="00D05D59" w:rsidRDefault="00575D13" w:rsidP="00575D13">
      <w:pPr>
        <w:spacing w:line="360" w:lineRule="auto"/>
        <w:contextualSpacing/>
        <w:jc w:val="both"/>
        <w:rPr>
          <w:rFonts w:ascii="Palatino Linotype" w:eastAsia="MS Mincho" w:hAnsi="Palatino Linotype" w:cs="Arial"/>
        </w:rPr>
      </w:pPr>
    </w:p>
    <w:p w14:paraId="34509127" w14:textId="5D948AE9" w:rsidR="00575D13"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57" w:name="_Toc34819436"/>
      <w:bookmarkStart w:id="158" w:name="_Toc51259592"/>
      <w:bookmarkStart w:id="159" w:name="_Toc51457391"/>
      <w:r>
        <w:rPr>
          <w:rFonts w:ascii="Palatino Linotype" w:eastAsia="MS Gothic" w:hAnsi="Palatino Linotype" w:cstheme="majorBidi"/>
          <w:b/>
        </w:rPr>
        <w:t>De las capacidades administrativas.</w:t>
      </w:r>
      <w:bookmarkEnd w:id="157"/>
      <w:bookmarkEnd w:id="158"/>
      <w:bookmarkEnd w:id="159"/>
      <w:r>
        <w:rPr>
          <w:rFonts w:ascii="Palatino Linotype" w:eastAsia="MS Gothic" w:hAnsi="Palatino Linotype" w:cstheme="majorBidi"/>
          <w:b/>
        </w:rPr>
        <w:t xml:space="preserve"> </w:t>
      </w:r>
    </w:p>
    <w:p w14:paraId="11DD48D5" w14:textId="77777777"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La capacidad administrativa, es definida como la habilidad institucional de un gobierno, para formular y realizar planes, políticas, programas, actividades, operaciones u otras medidas para cumplir con los propósitos de desarrollo. En palabras más simples, es la </w:t>
      </w:r>
      <w:r>
        <w:rPr>
          <w:rFonts w:ascii="Palatino Linotype" w:eastAsia="MS Mincho" w:hAnsi="Palatino Linotype" w:cs="Arial"/>
          <w:b/>
        </w:rPr>
        <w:t>eficiencia organizacional para efectuar funciones esenciales.</w:t>
      </w:r>
    </w:p>
    <w:p w14:paraId="713FD32D" w14:textId="77777777" w:rsidR="00575D13" w:rsidRPr="00505F6A" w:rsidRDefault="00575D13" w:rsidP="00575D13">
      <w:pPr>
        <w:spacing w:line="360" w:lineRule="auto"/>
        <w:contextualSpacing/>
        <w:jc w:val="both"/>
        <w:rPr>
          <w:rFonts w:ascii="Palatino Linotype" w:eastAsia="MS Mincho" w:hAnsi="Palatino Linotype" w:cs="Arial"/>
        </w:rPr>
      </w:pPr>
    </w:p>
    <w:p w14:paraId="38956BF5" w14:textId="5A3289AD"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lastRenderedPageBreak/>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FD88803" w14:textId="77777777" w:rsidR="00A006EB" w:rsidRDefault="00A006EB" w:rsidP="00A006EB">
      <w:pPr>
        <w:spacing w:line="360" w:lineRule="auto"/>
        <w:contextualSpacing/>
        <w:jc w:val="both"/>
        <w:rPr>
          <w:rFonts w:ascii="Palatino Linotype" w:eastAsia="MS Mincho" w:hAnsi="Palatino Linotype" w:cs="Arial"/>
        </w:rPr>
      </w:pPr>
    </w:p>
    <w:p w14:paraId="68D60F09" w14:textId="6D9F6923" w:rsidR="00575D13" w:rsidRPr="00CB3671"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Desde una perspectiva institucional, la </w:t>
      </w:r>
      <w:r>
        <w:rPr>
          <w:rFonts w:ascii="Palatino Linotype" w:eastAsia="MS Mincho" w:hAnsi="Palatino Linotype" w:cs="Arial"/>
          <w:b/>
        </w:rPr>
        <w:t xml:space="preserve">capacidad administrativa </w:t>
      </w:r>
      <w:r>
        <w:rPr>
          <w:rFonts w:ascii="Palatino Linotype" w:eastAsia="MS Mincho" w:hAnsi="Palatino Linotype" w:cs="Arial"/>
        </w:rPr>
        <w:t xml:space="preserve">es entendida como </w:t>
      </w:r>
      <w:r>
        <w:rPr>
          <w:rFonts w:ascii="Palatino Linotype" w:eastAsia="MS Mincho" w:hAnsi="Palatino Linotype" w:cs="Arial"/>
          <w:i/>
        </w:rPr>
        <w:t xml:space="preserve">“las habilidades técnico-burocráticas del aparato estatal requeridas para alcanzar sus objetos. En este componente se ubican el nivel micro y meso de la Capacidad Institucional. El </w:t>
      </w:r>
      <w:r>
        <w:rPr>
          <w:rFonts w:ascii="Palatino Linotype" w:eastAsia="MS Mincho" w:hAnsi="Palatino Linotype" w:cs="Arial"/>
          <w:b/>
          <w:i/>
        </w:rPr>
        <w:t xml:space="preserve">primero </w:t>
      </w:r>
      <w:r>
        <w:rPr>
          <w:rFonts w:ascii="Palatino Linotype" w:eastAsia="MS Mincho" w:hAnsi="Palatino Linotype" w:cs="Arial"/>
          <w:i/>
        </w:rPr>
        <w:t xml:space="preserve">hace alusión al individuo, al </w:t>
      </w:r>
      <w:r w:rsidR="00086BF3">
        <w:rPr>
          <w:rFonts w:ascii="Palatino Linotype" w:eastAsia="MS Mincho" w:hAnsi="Palatino Linotype" w:cs="Arial"/>
          <w:b/>
          <w:i/>
        </w:rPr>
        <w:t>recurso</w:t>
      </w:r>
      <w:r>
        <w:rPr>
          <w:rFonts w:ascii="Palatino Linotype" w:eastAsia="MS Mincho" w:hAnsi="Palatino Linotype" w:cs="Arial"/>
          <w:b/>
          <w:i/>
        </w:rPr>
        <w:t xml:space="preserve"> humano</w:t>
      </w:r>
      <w:r>
        <w:rPr>
          <w:rFonts w:ascii="Palatino Linotype" w:eastAsia="MS Mincho" w:hAnsi="Palatino Linotype" w:cs="Arial"/>
          <w:i/>
        </w:rPr>
        <w:t xml:space="preserve">. En el segundo nivel, se ubica la </w:t>
      </w:r>
      <w:r>
        <w:rPr>
          <w:rFonts w:ascii="Palatino Linotype" w:eastAsia="MS Mincho" w:hAnsi="Palatino Linotype" w:cs="Arial"/>
          <w:b/>
          <w:i/>
        </w:rPr>
        <w:t>capacidad de gestión</w:t>
      </w:r>
      <w:r>
        <w:rPr>
          <w:rFonts w:ascii="Palatino Linotype" w:eastAsia="MS Mincho" w:hAnsi="Palatino Linotype" w:cs="Arial"/>
          <w:i/>
        </w:rPr>
        <w:t xml:space="preserve">, el cual se centra en el fortalecimiento organizacional como área de intervención para construir capacidad; cultura organizacional, sistemas de comunicación u organización”. </w:t>
      </w:r>
      <w:r>
        <w:rPr>
          <w:rStyle w:val="Refdenotaalpie"/>
          <w:rFonts w:ascii="Palatino Linotype" w:eastAsia="MS Mincho" w:hAnsi="Palatino Linotype" w:cs="Arial"/>
          <w:i/>
        </w:rPr>
        <w:footnoteReference w:id="2"/>
      </w:r>
    </w:p>
    <w:p w14:paraId="770BC786" w14:textId="77777777" w:rsidR="00575D13" w:rsidRPr="00CB3671" w:rsidRDefault="00575D13" w:rsidP="00575D13">
      <w:pPr>
        <w:spacing w:line="360" w:lineRule="auto"/>
        <w:contextualSpacing/>
        <w:jc w:val="both"/>
        <w:rPr>
          <w:rFonts w:ascii="Palatino Linotype" w:eastAsia="MS Mincho" w:hAnsi="Palatino Linotype" w:cs="Arial"/>
        </w:rPr>
      </w:pPr>
    </w:p>
    <w:p w14:paraId="19F2582B" w14:textId="77777777"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1C01A2">
        <w:rPr>
          <w:rFonts w:ascii="Palatino Linotype" w:eastAsia="MS Mincho" w:hAnsi="Palatino Linotype" w:cs="Arial"/>
        </w:rPr>
        <w:t>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w:t>
      </w:r>
      <w:r>
        <w:rPr>
          <w:rFonts w:ascii="Palatino Linotype" w:eastAsia="MS Mincho" w:hAnsi="Palatino Linotype" w:cs="Arial"/>
        </w:rPr>
        <w:t xml:space="preserve">des y funciones de manera eficaz y eficiente. </w:t>
      </w:r>
    </w:p>
    <w:p w14:paraId="012D2019" w14:textId="77777777" w:rsidR="00575D13" w:rsidRDefault="00575D13" w:rsidP="00575D13">
      <w:pPr>
        <w:spacing w:line="360" w:lineRule="auto"/>
        <w:contextualSpacing/>
        <w:jc w:val="both"/>
        <w:rPr>
          <w:rFonts w:ascii="Palatino Linotype" w:eastAsia="MS Mincho" w:hAnsi="Palatino Linotype" w:cs="Arial"/>
        </w:rPr>
      </w:pPr>
    </w:p>
    <w:p w14:paraId="3B351495" w14:textId="6CB24A00"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lastRenderedPageBreak/>
        <w:t xml:space="preserve">Atendiendo esta óptica, el </w:t>
      </w:r>
      <w:r w:rsidR="00086BF3">
        <w:rPr>
          <w:rFonts w:ascii="Palatino Linotype" w:eastAsia="MS Mincho" w:hAnsi="Palatino Linotype" w:cs="Arial"/>
          <w:b/>
        </w:rPr>
        <w:t>SUJETO OBLIGADO</w:t>
      </w:r>
      <w:r>
        <w:rPr>
          <w:rFonts w:ascii="Palatino Linotype" w:eastAsia="MS Mincho" w:hAnsi="Palatino Linotype" w:cs="Arial"/>
          <w:b/>
        </w:rPr>
        <w:t xml:space="preserve"> </w:t>
      </w:r>
      <w:r>
        <w:rPr>
          <w:rFonts w:ascii="Palatino Linotype" w:eastAsia="MS Mincho" w:hAnsi="Palatino Linotype" w:cs="Arial"/>
        </w:rPr>
        <w:t>se pronunció mencionando que para encontrarse en posibilidad de dar respuesta en tiempo y forma a las múltiples solicitudes de información, es necesario que se realice una serie de procedimientos internos a efecto de atender todas y c</w:t>
      </w:r>
      <w:r w:rsidR="00086BF3">
        <w:rPr>
          <w:rFonts w:ascii="Palatino Linotype" w:eastAsia="MS Mincho" w:hAnsi="Palatino Linotype" w:cs="Arial"/>
        </w:rPr>
        <w:t>ada una de las solicitudes, partiendo d</w:t>
      </w:r>
      <w:r>
        <w:rPr>
          <w:rFonts w:ascii="Palatino Linotype" w:eastAsia="MS Mincho" w:hAnsi="Palatino Linotype" w:cs="Arial"/>
        </w:rPr>
        <w:t xml:space="preserve">el análisis exhaustivo de los pedimentos, obtención, separación y clasificación de la información, así como la elaboración de versiones públicas correspondientes, lo que implica destinar un número significativo de días, horas y personal e impide la realización de otras actividades lo cual generaría un daño en el cumplimiento los objetivos previamente establecidos, sumando que cuenta con personal limitado debido a la emergencia sanitaria que impera. </w:t>
      </w:r>
    </w:p>
    <w:p w14:paraId="7E636620" w14:textId="77777777" w:rsidR="00575D13" w:rsidRDefault="00575D13" w:rsidP="00575D13">
      <w:pPr>
        <w:spacing w:line="360" w:lineRule="auto"/>
        <w:contextualSpacing/>
        <w:jc w:val="both"/>
        <w:rPr>
          <w:rFonts w:ascii="Palatino Linotype" w:eastAsia="MS Mincho" w:hAnsi="Palatino Linotype" w:cs="Arial"/>
        </w:rPr>
      </w:pPr>
    </w:p>
    <w:p w14:paraId="4651E8AA" w14:textId="77777777"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De tal forma que, al no integrar adecuadamente los recursos humanos, materiales, financieros e intangibles, que como se mencionó en conjunto lograrían el cumplimiento de las responsabilidades y funciones de manera eficaz y eficiente, resultaría irrealizable la entrega de la información bajo la modalidad solicitada, ahora bien, por último, resulta procedente analizar lo que se tiene por capacidad humana, la cual se abarca a continuación: </w:t>
      </w:r>
    </w:p>
    <w:p w14:paraId="4F579228" w14:textId="77777777" w:rsidR="00575D13" w:rsidRDefault="00575D13" w:rsidP="00575D13">
      <w:pPr>
        <w:spacing w:line="360" w:lineRule="auto"/>
        <w:contextualSpacing/>
        <w:jc w:val="both"/>
        <w:rPr>
          <w:rFonts w:ascii="Palatino Linotype" w:eastAsia="MS Mincho" w:hAnsi="Palatino Linotype" w:cs="Arial"/>
        </w:rPr>
      </w:pPr>
    </w:p>
    <w:p w14:paraId="6D8EDE8C" w14:textId="77777777" w:rsidR="00575D13" w:rsidRPr="00B9198A" w:rsidRDefault="00575D13" w:rsidP="00A006EB">
      <w:pPr>
        <w:pStyle w:val="Prrafodelista"/>
        <w:keepNext/>
        <w:keepLines/>
        <w:numPr>
          <w:ilvl w:val="0"/>
          <w:numId w:val="47"/>
        </w:numPr>
        <w:spacing w:line="360" w:lineRule="auto"/>
        <w:outlineLvl w:val="0"/>
        <w:rPr>
          <w:rFonts w:ascii="Palatino Linotype" w:eastAsia="MS Gothic" w:hAnsi="Palatino Linotype" w:cstheme="majorBidi"/>
          <w:b/>
        </w:rPr>
      </w:pPr>
      <w:bookmarkStart w:id="160" w:name="_Toc34819437"/>
      <w:bookmarkStart w:id="161" w:name="_Toc51259593"/>
      <w:bookmarkStart w:id="162" w:name="_Toc51457392"/>
      <w:r w:rsidRPr="00B9198A">
        <w:rPr>
          <w:rFonts w:ascii="Palatino Linotype" w:eastAsia="MS Gothic" w:hAnsi="Palatino Linotype" w:cstheme="majorBidi"/>
          <w:b/>
        </w:rPr>
        <w:t xml:space="preserve">De las capacidades </w:t>
      </w:r>
      <w:r>
        <w:rPr>
          <w:rFonts w:ascii="Palatino Linotype" w:eastAsia="MS Gothic" w:hAnsi="Palatino Linotype" w:cstheme="majorBidi"/>
          <w:b/>
        </w:rPr>
        <w:t>humanas</w:t>
      </w:r>
      <w:r w:rsidRPr="00B9198A">
        <w:rPr>
          <w:rFonts w:ascii="Palatino Linotype" w:eastAsia="MS Gothic" w:hAnsi="Palatino Linotype" w:cstheme="majorBidi"/>
          <w:b/>
        </w:rPr>
        <w:t>.</w:t>
      </w:r>
      <w:bookmarkEnd w:id="160"/>
      <w:bookmarkEnd w:id="161"/>
      <w:bookmarkEnd w:id="162"/>
      <w:r w:rsidRPr="00B9198A">
        <w:rPr>
          <w:rFonts w:ascii="Palatino Linotype" w:eastAsia="MS Gothic" w:hAnsi="Palatino Linotype" w:cstheme="majorBidi"/>
          <w:b/>
        </w:rPr>
        <w:t xml:space="preserve"> </w:t>
      </w:r>
    </w:p>
    <w:p w14:paraId="1CFC8EC8" w14:textId="77777777" w:rsidR="00575D13" w:rsidRDefault="00575D13" w:rsidP="00575D13">
      <w:pPr>
        <w:spacing w:line="360" w:lineRule="auto"/>
        <w:contextualSpacing/>
        <w:jc w:val="both"/>
        <w:rPr>
          <w:rFonts w:ascii="Palatino Linotype" w:eastAsia="MS Mincho" w:hAnsi="Palatino Linotype" w:cs="Arial"/>
        </w:rPr>
      </w:pPr>
    </w:p>
    <w:p w14:paraId="1FFE541E" w14:textId="1711B914"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En este </w:t>
      </w:r>
      <w:r w:rsidR="00086BF3">
        <w:rPr>
          <w:rFonts w:ascii="Palatino Linotype" w:eastAsia="MS Mincho" w:hAnsi="Palatino Linotype" w:cs="Arial"/>
        </w:rPr>
        <w:t xml:space="preserve">punto, vale la pena precisar </w:t>
      </w:r>
      <w:r>
        <w:rPr>
          <w:rFonts w:ascii="Palatino Linotype" w:eastAsia="MS Mincho" w:hAnsi="Palatino Linotype" w:cs="Arial"/>
        </w:rPr>
        <w:t xml:space="preserve">que </w:t>
      </w:r>
      <w:r w:rsidR="00086BF3">
        <w:rPr>
          <w:rFonts w:ascii="Palatino Linotype" w:eastAsia="MS Mincho" w:hAnsi="Palatino Linotype" w:cs="Arial"/>
        </w:rPr>
        <w:t>los</w:t>
      </w:r>
      <w:r>
        <w:rPr>
          <w:rFonts w:ascii="Palatino Linotype" w:eastAsia="MS Mincho" w:hAnsi="Palatino Linotype" w:cs="Arial"/>
        </w:rPr>
        <w:t xml:space="preserve"> </w:t>
      </w:r>
      <w:r>
        <w:rPr>
          <w:rFonts w:ascii="Palatino Linotype" w:eastAsia="MS Mincho" w:hAnsi="Palatino Linotype" w:cs="Arial"/>
          <w:b/>
        </w:rPr>
        <w:t>recursos humanos</w:t>
      </w:r>
      <w:r>
        <w:rPr>
          <w:rFonts w:ascii="Palatino Linotype" w:eastAsia="MS Mincho" w:hAnsi="Palatino Linotype" w:cs="Arial"/>
        </w:rPr>
        <w:t xml:space="preserve">, </w:t>
      </w:r>
      <w:r w:rsidR="00086BF3">
        <w:rPr>
          <w:rFonts w:ascii="Palatino Linotype" w:eastAsia="MS Mincho" w:hAnsi="Palatino Linotype" w:cs="Arial"/>
        </w:rPr>
        <w:t xml:space="preserve">es el conjunto de personas con </w:t>
      </w:r>
      <w:r>
        <w:rPr>
          <w:rFonts w:ascii="Palatino Linotype" w:eastAsia="MS Mincho" w:hAnsi="Palatino Linotype" w:cs="Arial"/>
        </w:rPr>
        <w:t xml:space="preserve">que cuenta una determinada organización, para desarrollar y </w:t>
      </w:r>
      <w:r>
        <w:rPr>
          <w:rFonts w:ascii="Palatino Linotype" w:eastAsia="MS Mincho" w:hAnsi="Palatino Linotype" w:cs="Arial"/>
        </w:rPr>
        <w:lastRenderedPageBreak/>
        <w:t xml:space="preserve">ejecutar de manera correcta las acciones, actividades, labores y tareas que deben realizarse y que han sido solicitadas. </w:t>
      </w:r>
    </w:p>
    <w:p w14:paraId="7AEDC4FB" w14:textId="77777777" w:rsidR="00575D13" w:rsidRDefault="00575D13" w:rsidP="00575D13">
      <w:pPr>
        <w:spacing w:line="360" w:lineRule="auto"/>
        <w:contextualSpacing/>
        <w:jc w:val="both"/>
        <w:rPr>
          <w:rFonts w:ascii="Palatino Linotype" w:eastAsia="MS Mincho" w:hAnsi="Palatino Linotype" w:cs="Arial"/>
        </w:rPr>
      </w:pPr>
    </w:p>
    <w:p w14:paraId="0EAAD955" w14:textId="6D8E620E"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Las personas, son la </w:t>
      </w:r>
      <w:r>
        <w:rPr>
          <w:rFonts w:ascii="Palatino Linotype" w:eastAsia="MS Mincho" w:hAnsi="Palatino Linotype" w:cs="Arial"/>
          <w:b/>
        </w:rPr>
        <w:t xml:space="preserve">parte fundamental de una organización </w:t>
      </w:r>
      <w:r>
        <w:rPr>
          <w:rFonts w:ascii="Palatino Linotype" w:eastAsia="MS Mincho" w:hAnsi="Palatino Linotype" w:cs="Arial"/>
        </w:rPr>
        <w:t>y junto con los recursos materiales, financieros e intangibles, conforman el “todo” que una organización necesita, es decir, para el correcto funcionamiento y el alcance de objetivos, deben coexistir uno con otro, de otra forma, el desarrollo no sería el apropiado y el c</w:t>
      </w:r>
      <w:r w:rsidR="00086BF3">
        <w:rPr>
          <w:rFonts w:ascii="Palatino Linotype" w:eastAsia="MS Mincho" w:hAnsi="Palatino Linotype" w:cs="Arial"/>
        </w:rPr>
        <w:t>umplimiento de metas imposible</w:t>
      </w:r>
      <w:r>
        <w:rPr>
          <w:rFonts w:ascii="Palatino Linotype" w:eastAsia="MS Mincho" w:hAnsi="Palatino Linotype" w:cs="Arial"/>
        </w:rPr>
        <w:t xml:space="preserve">. </w:t>
      </w:r>
    </w:p>
    <w:p w14:paraId="4B604701" w14:textId="77777777" w:rsidR="00575D13" w:rsidRDefault="00575D13" w:rsidP="00575D13">
      <w:pPr>
        <w:spacing w:line="360" w:lineRule="auto"/>
        <w:contextualSpacing/>
        <w:jc w:val="both"/>
        <w:rPr>
          <w:rFonts w:ascii="Palatino Linotype" w:eastAsia="MS Mincho" w:hAnsi="Palatino Linotype" w:cs="Arial"/>
        </w:rPr>
      </w:pPr>
    </w:p>
    <w:p w14:paraId="4790C2E3" w14:textId="417B6A31"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Ante ello, el </w:t>
      </w:r>
      <w:r w:rsidR="00086BF3">
        <w:rPr>
          <w:rFonts w:ascii="Palatino Linotype" w:eastAsia="MS Mincho" w:hAnsi="Palatino Linotype" w:cs="Arial"/>
          <w:b/>
        </w:rPr>
        <w:t>SUJETO OBLIGADO</w:t>
      </w:r>
      <w:r>
        <w:rPr>
          <w:rFonts w:ascii="Palatino Linotype" w:eastAsia="MS Mincho" w:hAnsi="Palatino Linotype" w:cs="Arial"/>
          <w:b/>
        </w:rPr>
        <w:t xml:space="preserve"> </w:t>
      </w:r>
      <w:r w:rsidR="00086BF3">
        <w:rPr>
          <w:rFonts w:ascii="Palatino Linotype" w:eastAsia="MS Mincho" w:hAnsi="Palatino Linotype" w:cs="Arial"/>
        </w:rPr>
        <w:t>mencionó que</w:t>
      </w:r>
      <w:r>
        <w:rPr>
          <w:rFonts w:ascii="Palatino Linotype" w:eastAsia="MS Mincho" w:hAnsi="Palatino Linotype" w:cs="Arial"/>
        </w:rPr>
        <w:t xml:space="preserve"> cuenta</w:t>
      </w:r>
      <w:r w:rsidR="00086BF3">
        <w:rPr>
          <w:rFonts w:ascii="Palatino Linotype" w:eastAsia="MS Mincho" w:hAnsi="Palatino Linotype" w:cs="Arial"/>
        </w:rPr>
        <w:t xml:space="preserve"> únicamente</w:t>
      </w:r>
      <w:r>
        <w:rPr>
          <w:rFonts w:ascii="Palatino Linotype" w:eastAsia="MS Mincho" w:hAnsi="Palatino Linotype" w:cs="Arial"/>
        </w:rPr>
        <w:t xml:space="preserve"> con tres (03) servidores públicos adscritos a la Unidad Administrativa más los servidores públicos habilitados registrados, quienes atenderían atender las múltiples solicitudes de información enunciadas por el Ayuntamiento en su Acuerdo, realizando un análisis exhaustivo de los pedimentos, obtención, separación y clasificación de la información, así como la elaboración de versiones públicas, lo cual implica, destinar días y horas para realizar exclusivamente esa encomienda. </w:t>
      </w:r>
    </w:p>
    <w:p w14:paraId="179149EC" w14:textId="77777777" w:rsidR="00575D13" w:rsidRDefault="00575D13" w:rsidP="00575D13">
      <w:pPr>
        <w:spacing w:line="360" w:lineRule="auto"/>
        <w:contextualSpacing/>
        <w:jc w:val="both"/>
        <w:rPr>
          <w:rFonts w:ascii="Palatino Linotype" w:eastAsia="MS Mincho" w:hAnsi="Palatino Linotype" w:cs="Arial"/>
        </w:rPr>
      </w:pPr>
    </w:p>
    <w:p w14:paraId="3BCD92D7" w14:textId="151389F8"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Por lo que, a </w:t>
      </w:r>
      <w:r w:rsidRPr="00D703A2">
        <w:rPr>
          <w:rFonts w:ascii="Palatino Linotype" w:eastAsia="MS Mincho" w:hAnsi="Palatino Linotype" w:cs="Arial"/>
        </w:rPr>
        <w:t xml:space="preserve">todas luces resulta insuficiente el recurso humano con el que cuenta el </w:t>
      </w:r>
      <w:r w:rsidR="00086BF3">
        <w:rPr>
          <w:rFonts w:ascii="Palatino Linotype" w:eastAsia="MS Mincho" w:hAnsi="Palatino Linotype" w:cs="Arial"/>
          <w:b/>
        </w:rPr>
        <w:t>SUJETO OBLIGADO</w:t>
      </w:r>
      <w:r w:rsidRPr="00D703A2">
        <w:rPr>
          <w:rFonts w:ascii="Palatino Linotype" w:eastAsia="MS Mincho" w:hAnsi="Palatino Linotype" w:cs="Arial"/>
          <w:b/>
        </w:rPr>
        <w:t xml:space="preserve"> </w:t>
      </w:r>
      <w:r w:rsidRPr="00D703A2">
        <w:rPr>
          <w:rFonts w:ascii="Palatino Linotype" w:eastAsia="MS Mincho" w:hAnsi="Palatino Linotype" w:cs="Arial"/>
        </w:rPr>
        <w:t>para atende</w:t>
      </w:r>
      <w:r>
        <w:rPr>
          <w:rFonts w:ascii="Palatino Linotype" w:eastAsia="MS Mincho" w:hAnsi="Palatino Linotype" w:cs="Arial"/>
        </w:rPr>
        <w:t xml:space="preserve">r la cantidad de solicitudes </w:t>
      </w:r>
      <w:r w:rsidRPr="00D703A2">
        <w:rPr>
          <w:rFonts w:ascii="Palatino Linotype" w:eastAsia="MS Mincho" w:hAnsi="Palatino Linotype" w:cs="Arial"/>
        </w:rPr>
        <w:t>cumpliendo con los plazo</w:t>
      </w:r>
      <w:r>
        <w:rPr>
          <w:rFonts w:ascii="Palatino Linotype" w:eastAsia="MS Mincho" w:hAnsi="Palatino Linotype" w:cs="Arial"/>
        </w:rPr>
        <w:t xml:space="preserve">s establecidos para tal efecto, aunado a que, del estudio derivado de los requerimientos de información, se advierte que las solicitudes guardan identidad de parte; es decir, fueron interpuestas por un mismo solicitante, lo que resulta inviable </w:t>
      </w:r>
      <w:r>
        <w:rPr>
          <w:rFonts w:ascii="Palatino Linotype" w:eastAsia="MS Mincho" w:hAnsi="Palatino Linotype" w:cs="Arial"/>
        </w:rPr>
        <w:lastRenderedPageBreak/>
        <w:t>atender únicamente lo solicitado por un ciudadano, excluyendo las demás actividades encomendadas a dichos servidores públicos, en pro de la sociedad en general.</w:t>
      </w:r>
    </w:p>
    <w:p w14:paraId="7215CF2D" w14:textId="77777777" w:rsidR="00575D13" w:rsidRPr="00AF586D"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9B12F3">
        <w:rPr>
          <w:rFonts w:ascii="Palatino Linotype" w:eastAsia="MS Mincho" w:hAnsi="Palatino Linotype" w:cs="Arial"/>
        </w:rPr>
        <w:t>En conclusión</w:t>
      </w:r>
      <w:r w:rsidRPr="003F24F3">
        <w:rPr>
          <w:rFonts w:ascii="Palatino Linotype" w:eastAsia="MS Mincho" w:hAnsi="Palatino Linotype" w:cs="Arial"/>
        </w:rPr>
        <w:t xml:space="preserve">, </w:t>
      </w:r>
      <w:r>
        <w:rPr>
          <w:rFonts w:ascii="Palatino Linotype" w:hAnsi="Palatino Linotype"/>
        </w:rPr>
        <w:t>d</w:t>
      </w:r>
      <w:r w:rsidRPr="003F24F3">
        <w:rPr>
          <w:rFonts w:ascii="Palatino Linotype" w:hAnsi="Palatino Linotype"/>
        </w:rPr>
        <w:t xml:space="preserve">e manera excepcional, cuando la entrega o reproducción de la información sobrepase las capacidades técnicas, administrativas y humanas del sujeto obligado, los documentos se podrán poner a disposición del solicitante en consulta directa. </w:t>
      </w:r>
    </w:p>
    <w:p w14:paraId="49B9EA35" w14:textId="77777777" w:rsidR="00575D13" w:rsidRDefault="00575D13" w:rsidP="00575D13">
      <w:pPr>
        <w:spacing w:line="360" w:lineRule="auto"/>
        <w:contextualSpacing/>
        <w:jc w:val="both"/>
        <w:rPr>
          <w:rFonts w:ascii="Palatino Linotype" w:eastAsia="MS Mincho" w:hAnsi="Palatino Linotype" w:cs="Arial"/>
        </w:rPr>
      </w:pPr>
    </w:p>
    <w:p w14:paraId="7C5ACCA4" w14:textId="1D229FBD"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hAnsi="Palatino Linotype"/>
        </w:rPr>
        <w:t xml:space="preserve">En conjunto, </w:t>
      </w:r>
      <w:r w:rsidRPr="003F24F3">
        <w:rPr>
          <w:rFonts w:ascii="Palatino Linotype" w:hAnsi="Palatino Linotype"/>
        </w:rPr>
        <w:t xml:space="preserve">las capacidades técnicas, administrativas y humanas, en coexistencia, permiten el correcto funcionamiento y el alcance de objetivos planteados por las instituciones y </w:t>
      </w:r>
      <w:r>
        <w:rPr>
          <w:rFonts w:ascii="Palatino Linotype" w:hAnsi="Palatino Linotype"/>
        </w:rPr>
        <w:t>que</w:t>
      </w:r>
      <w:r w:rsidR="004E3F55">
        <w:rPr>
          <w:rFonts w:ascii="Palatino Linotype" w:hAnsi="Palatino Linotype"/>
        </w:rPr>
        <w:t xml:space="preserve"> </w:t>
      </w:r>
      <w:r>
        <w:rPr>
          <w:rFonts w:ascii="Palatino Linotype" w:hAnsi="Palatino Linotype"/>
        </w:rPr>
        <w:t xml:space="preserve">en el presente caso, se traduce como la entrega de la información bajo la modalidad solicitada, siendo que en contrario sensu, a falta de uno de esos tres elementos, el </w:t>
      </w:r>
      <w:r>
        <w:rPr>
          <w:rFonts w:ascii="Palatino Linotype" w:hAnsi="Palatino Linotype"/>
          <w:b/>
        </w:rPr>
        <w:t xml:space="preserve">SUJETO OBLIGADO </w:t>
      </w:r>
      <w:r>
        <w:rPr>
          <w:rFonts w:ascii="Palatino Linotype" w:hAnsi="Palatino Linotype"/>
        </w:rPr>
        <w:t xml:space="preserve">se vería imposibilitado en el cumplimiento requerido, en el plazo legal legalmente establecido para tales efectos.  </w:t>
      </w:r>
    </w:p>
    <w:p w14:paraId="4269A42B" w14:textId="77777777" w:rsidR="00575D13" w:rsidRPr="00FA22C7" w:rsidRDefault="00575D13" w:rsidP="00575D13">
      <w:pPr>
        <w:spacing w:line="360" w:lineRule="auto"/>
        <w:contextualSpacing/>
        <w:jc w:val="both"/>
        <w:rPr>
          <w:rFonts w:ascii="Palatino Linotype" w:eastAsia="MS Mincho" w:hAnsi="Palatino Linotype" w:cs="Arial"/>
        </w:rPr>
      </w:pPr>
    </w:p>
    <w:p w14:paraId="69CBD15F" w14:textId="1626AF3A" w:rsidR="00575D13" w:rsidRPr="001C380A" w:rsidRDefault="00575D13" w:rsidP="00A006EB">
      <w:pPr>
        <w:numPr>
          <w:ilvl w:val="0"/>
          <w:numId w:val="2"/>
        </w:numPr>
        <w:spacing w:line="360" w:lineRule="auto"/>
        <w:ind w:left="0" w:firstLine="0"/>
        <w:contextualSpacing/>
        <w:jc w:val="both"/>
        <w:rPr>
          <w:rFonts w:ascii="Palatino Linotype" w:eastAsia="MS Mincho" w:hAnsi="Palatino Linotype" w:cs="Arial"/>
        </w:rPr>
      </w:pPr>
      <w:r w:rsidRPr="001C380A">
        <w:rPr>
          <w:rFonts w:ascii="Palatino Linotype" w:hAnsi="Palatino Linotype"/>
        </w:rPr>
        <w:t>En el caso que ahora resolvemos, al enfren</w:t>
      </w:r>
      <w:r w:rsidR="00086BF3">
        <w:rPr>
          <w:rFonts w:ascii="Palatino Linotype" w:hAnsi="Palatino Linotype"/>
        </w:rPr>
        <w:t>tarnos contra un déficit humano</w:t>
      </w:r>
      <w:r>
        <w:rPr>
          <w:rFonts w:ascii="Palatino Linotype" w:hAnsi="Palatino Linotype"/>
        </w:rPr>
        <w:t>; un déficit material</w:t>
      </w:r>
      <w:r w:rsidRPr="001C380A">
        <w:rPr>
          <w:rFonts w:ascii="Palatino Linotype" w:hAnsi="Palatino Linotype"/>
        </w:rPr>
        <w:t>; un déficit intangible, al no contar con el tiempo suficiente, y; ante un exceso de solicitudes d</w:t>
      </w:r>
      <w:r w:rsidR="00086BF3">
        <w:rPr>
          <w:rFonts w:ascii="Palatino Linotype" w:hAnsi="Palatino Linotype"/>
        </w:rPr>
        <w:t xml:space="preserve">e información, resulta </w:t>
      </w:r>
      <w:r w:rsidR="004E3F55">
        <w:rPr>
          <w:rFonts w:ascii="Palatino Linotype" w:hAnsi="Palatino Linotype"/>
        </w:rPr>
        <w:t>difícil</w:t>
      </w:r>
      <w:r w:rsidRPr="001C380A">
        <w:rPr>
          <w:rFonts w:ascii="Palatino Linotype" w:hAnsi="Palatino Linotype"/>
        </w:rPr>
        <w:t xml:space="preserve"> cumplir con los plazos de entrega de la información bajo la modalidad prevista por el solicitante, además de que la exclusividad para atender </w:t>
      </w:r>
      <w:r>
        <w:rPr>
          <w:rFonts w:ascii="Palatino Linotype" w:hAnsi="Palatino Linotype"/>
        </w:rPr>
        <w:t>múltiples solicitudes de información interpuestas en un mismo lapso de tiempo,</w:t>
      </w:r>
      <w:r w:rsidRPr="001C380A">
        <w:rPr>
          <w:rFonts w:ascii="Palatino Linotype" w:hAnsi="Palatino Linotype"/>
        </w:rPr>
        <w:t xml:space="preserve"> solicitudes conllevaría un daño al desempeño de otras </w:t>
      </w:r>
      <w:r w:rsidRPr="001C380A">
        <w:rPr>
          <w:rFonts w:ascii="Palatino Linotype" w:hAnsi="Palatino Linotype"/>
        </w:rPr>
        <w:lastRenderedPageBreak/>
        <w:t>funciones y con ello una repercusión al rendimiento de la administración pública municip</w:t>
      </w:r>
      <w:r>
        <w:rPr>
          <w:rFonts w:ascii="Palatino Linotype" w:hAnsi="Palatino Linotype"/>
        </w:rPr>
        <w:t xml:space="preserve">al. </w:t>
      </w:r>
    </w:p>
    <w:p w14:paraId="4B2C1BDA" w14:textId="77777777" w:rsidR="00575D13" w:rsidRPr="001C380A" w:rsidRDefault="00575D13" w:rsidP="00575D13">
      <w:pPr>
        <w:spacing w:line="360" w:lineRule="auto"/>
        <w:contextualSpacing/>
        <w:jc w:val="both"/>
        <w:rPr>
          <w:rFonts w:ascii="Palatino Linotype" w:eastAsia="MS Mincho" w:hAnsi="Palatino Linotype" w:cs="Arial"/>
        </w:rPr>
      </w:pPr>
    </w:p>
    <w:p w14:paraId="76355B13" w14:textId="77777777" w:rsidR="00575D13" w:rsidRPr="001C380A"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hAnsi="Palatino Linotype"/>
        </w:rPr>
        <w:t xml:space="preserve">Asimismo, es propicio señalar que el cambio de modalidad de entrega de la información, no resulta ser una acción que lesione el derecho de acceso a la información del particular, sino por el contrario, se advierte que el </w:t>
      </w:r>
      <w:r>
        <w:rPr>
          <w:rFonts w:ascii="Palatino Linotype" w:hAnsi="Palatino Linotype"/>
          <w:b/>
        </w:rPr>
        <w:t xml:space="preserve">SUJETO OBLIGADO </w:t>
      </w:r>
      <w:r>
        <w:rPr>
          <w:rFonts w:ascii="Palatino Linotype" w:hAnsi="Palatino Linotype"/>
        </w:rPr>
        <w:t xml:space="preserve">reconoce que la información solicitada sobrepasa sus capacidades técnicas y humanas, por lo que para dar cumplimiento y salvaguardar el derecho de acceso a la información pública, sugiere el cambio de modalidad como una mejora en la atención de tal derecho. </w:t>
      </w:r>
    </w:p>
    <w:p w14:paraId="77F3E2C8" w14:textId="77777777" w:rsidR="00575D13" w:rsidRPr="001C380A" w:rsidRDefault="00575D13" w:rsidP="00575D13">
      <w:pPr>
        <w:spacing w:line="360" w:lineRule="auto"/>
        <w:contextualSpacing/>
        <w:jc w:val="both"/>
        <w:rPr>
          <w:rFonts w:ascii="Palatino Linotype" w:eastAsia="MS Mincho" w:hAnsi="Palatino Linotype" w:cs="Arial"/>
        </w:rPr>
      </w:pPr>
    </w:p>
    <w:p w14:paraId="62500EA9" w14:textId="77777777" w:rsidR="00575D13" w:rsidRPr="001C380A"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Ahora bien, tal y como se precisó en párrafos anteriores, el </w:t>
      </w:r>
      <w:r>
        <w:rPr>
          <w:rFonts w:ascii="Palatino Linotype" w:eastAsia="MS Mincho" w:hAnsi="Palatino Linotype" w:cs="Arial"/>
          <w:b/>
        </w:rPr>
        <w:t xml:space="preserve">SUJETO OBLIGADO </w:t>
      </w:r>
      <w:r>
        <w:rPr>
          <w:rFonts w:ascii="Palatino Linotype" w:eastAsia="MS Mincho" w:hAnsi="Palatino Linotype" w:cs="Arial"/>
        </w:rPr>
        <w:t xml:space="preserve">fundó, motivó y justificó la imposibilidad de entregar documentos en formato electrónico a través de nuestra plataforma digital; sin embargo, concedió entregar los documentos que correspondan para atender los recursos de revisión que nos ocupan, por lo que, </w:t>
      </w:r>
      <w:r w:rsidRPr="00FA22C7">
        <w:rPr>
          <w:rFonts w:ascii="Palatino Linotype" w:hAnsi="Palatino Linotype"/>
        </w:rPr>
        <w:t xml:space="preserve">esta Ponencia determina que </w:t>
      </w:r>
      <w:r w:rsidRPr="00FA22C7">
        <w:rPr>
          <w:rFonts w:ascii="Palatino Linotype" w:hAnsi="Palatino Linotype"/>
          <w:b/>
        </w:rPr>
        <w:t>resulta procedente</w:t>
      </w:r>
      <w:r w:rsidRPr="00FA22C7">
        <w:rPr>
          <w:rFonts w:ascii="Palatino Linotype" w:hAnsi="Palatino Linotype"/>
        </w:rPr>
        <w:t xml:space="preserve"> realizar el cambio de modalidad de entrega de la información a consulta directa. </w:t>
      </w:r>
    </w:p>
    <w:p w14:paraId="344F5AE9" w14:textId="77777777" w:rsidR="00575D13" w:rsidRPr="00043CF2" w:rsidRDefault="00575D13" w:rsidP="00575D13">
      <w:pPr>
        <w:spacing w:line="360" w:lineRule="auto"/>
        <w:contextualSpacing/>
        <w:jc w:val="both"/>
        <w:rPr>
          <w:rFonts w:ascii="Palatino Linotype" w:eastAsia="MS Mincho" w:hAnsi="Palatino Linotype" w:cs="Arial"/>
        </w:rPr>
      </w:pPr>
    </w:p>
    <w:p w14:paraId="635F7D9A" w14:textId="0546D65E"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En otro rubro, derivado de la puesta a disposición de la información en consulta directa, los Lineamientos Generales en materia de Clasificación y Desclasificación de la Información, así como para la Elaboración de Versiones Públicas – en adelante Lineamientos Generales- establecen lo siguiente: </w:t>
      </w:r>
    </w:p>
    <w:p w14:paraId="2429DFB8" w14:textId="77777777" w:rsidR="00086BF3" w:rsidRDefault="00086BF3" w:rsidP="00575D13">
      <w:pPr>
        <w:spacing w:line="360" w:lineRule="auto"/>
        <w:ind w:left="567" w:right="616"/>
        <w:jc w:val="both"/>
        <w:rPr>
          <w:rFonts w:ascii="Palatino Linotype" w:hAnsi="Palatino Linotype" w:cs="Arial"/>
          <w:b/>
          <w:bCs/>
          <w:i/>
          <w:iCs/>
          <w:sz w:val="22"/>
        </w:rPr>
      </w:pPr>
    </w:p>
    <w:p w14:paraId="14E76BD9" w14:textId="253CAF9D" w:rsidR="00575D13" w:rsidRPr="00086BF3" w:rsidRDefault="00086BF3" w:rsidP="00575D13">
      <w:pPr>
        <w:spacing w:line="360" w:lineRule="auto"/>
        <w:ind w:left="567" w:right="616"/>
        <w:jc w:val="both"/>
        <w:rPr>
          <w:rFonts w:ascii="Palatino Linotype" w:hAnsi="Palatino Linotype" w:cs="Arial"/>
          <w:i/>
          <w:iCs/>
          <w:sz w:val="22"/>
        </w:rPr>
      </w:pPr>
      <w:r>
        <w:rPr>
          <w:rFonts w:ascii="Palatino Linotype" w:hAnsi="Palatino Linotype" w:cs="Arial"/>
          <w:b/>
          <w:bCs/>
          <w:i/>
          <w:iCs/>
          <w:sz w:val="22"/>
        </w:rPr>
        <w:t>“</w:t>
      </w:r>
      <w:r w:rsidR="00575D13" w:rsidRPr="00086BF3">
        <w:rPr>
          <w:rFonts w:ascii="Palatino Linotype" w:hAnsi="Palatino Linotype" w:cs="Arial"/>
          <w:b/>
          <w:bCs/>
          <w:i/>
          <w:iCs/>
          <w:sz w:val="22"/>
        </w:rPr>
        <w:t xml:space="preserve">Sexagésimo séptimo. </w:t>
      </w:r>
      <w:r w:rsidR="00575D13" w:rsidRPr="00086BF3">
        <w:rPr>
          <w:rFonts w:ascii="Palatino Linotype" w:hAnsi="Palatino Linotype" w:cs="Arial"/>
          <w:i/>
          <w:iCs/>
          <w:sz w:val="22"/>
        </w:rPr>
        <w:t xml:space="preserve">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 </w:t>
      </w:r>
    </w:p>
    <w:p w14:paraId="0D212F4A"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4D1FD9FC"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Sexagésimo octavo. </w:t>
      </w:r>
      <w:r w:rsidRPr="00086BF3">
        <w:rPr>
          <w:rFonts w:ascii="Palatino Linotype" w:hAnsi="Palatino Linotype" w:cs="Arial"/>
          <w:i/>
          <w:iCs/>
          <w:sz w:val="22"/>
        </w:rPr>
        <w:t xml:space="preserve">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59FA89EA"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7B89A906"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Sexagésimo noveno. </w:t>
      </w:r>
      <w:r w:rsidRPr="00086BF3">
        <w:rPr>
          <w:rFonts w:ascii="Palatino Linotype" w:hAnsi="Palatino Linotype" w:cs="Arial"/>
          <w:i/>
          <w:iCs/>
          <w:sz w:val="22"/>
        </w:rPr>
        <w:t xml:space="preserve">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6B265545" w14:textId="77777777" w:rsidR="00575D13" w:rsidRPr="00086BF3" w:rsidRDefault="00575D13" w:rsidP="00575D13">
      <w:pPr>
        <w:spacing w:line="360" w:lineRule="auto"/>
        <w:ind w:left="567" w:right="616"/>
        <w:jc w:val="both"/>
        <w:rPr>
          <w:rFonts w:ascii="Palatino Linotype" w:hAnsi="Palatino Linotype" w:cs="Arial"/>
          <w:i/>
          <w:iCs/>
          <w:sz w:val="10"/>
          <w:szCs w:val="12"/>
        </w:rPr>
      </w:pPr>
    </w:p>
    <w:p w14:paraId="38A22F47"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Septuagésimo. </w:t>
      </w:r>
      <w:r w:rsidRPr="00086BF3">
        <w:rPr>
          <w:rFonts w:ascii="Palatino Linotype" w:hAnsi="Palatino Linotype" w:cs="Arial"/>
          <w:i/>
          <w:iCs/>
          <w:sz w:val="22"/>
        </w:rPr>
        <w:t xml:space="preserve">Para el desahogo de las actuaciones tendientes a permitir la consulta directa, en los casos en que ésta resulte procedente, los sujetos obligados deberán observar lo siguiente: </w:t>
      </w:r>
    </w:p>
    <w:p w14:paraId="40FC9055"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3439E90B"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I. </w:t>
      </w:r>
      <w:r w:rsidRPr="00086BF3">
        <w:rPr>
          <w:rFonts w:ascii="Palatino Linotype" w:hAnsi="Palatino Linotype" w:cs="Arial"/>
          <w:i/>
          <w:iCs/>
          <w:sz w:val="22"/>
        </w:rPr>
        <w:t>Señalar claramente al particular, en la respuesta a su solicitud</w:t>
      </w:r>
      <w:r w:rsidRPr="00086BF3">
        <w:rPr>
          <w:rFonts w:ascii="Palatino Linotype" w:hAnsi="Palatino Linotype" w:cs="Arial"/>
          <w:i/>
          <w:iCs/>
          <w:sz w:val="22"/>
          <w:u w:val="single"/>
        </w:rPr>
        <w:t xml:space="preserve">, el lugar, día y hora </w:t>
      </w:r>
      <w:r w:rsidRPr="00086BF3">
        <w:rPr>
          <w:rFonts w:ascii="Palatino Linotype" w:hAnsi="Palatino Linotype" w:cs="Arial"/>
          <w:i/>
          <w:iCs/>
          <w:sz w:val="22"/>
        </w:rPr>
        <w:t xml:space="preserve">en que se podrá llevar a cabo la consulta de la documentación solicitada. En caso de que, derivado del volumen o de las particularidades de los documentos, el sujeto obligado </w:t>
      </w:r>
      <w:r w:rsidRPr="00086BF3">
        <w:rPr>
          <w:rFonts w:ascii="Palatino Linotype" w:hAnsi="Palatino Linotype" w:cs="Arial"/>
          <w:i/>
          <w:iCs/>
          <w:sz w:val="22"/>
        </w:rPr>
        <w:lastRenderedPageBreak/>
        <w:t xml:space="preserve">determine que se requiere más de un día para realizar la consulta, en la respuesta a la solicitud también se deberá indicar esta situación al solicitante y los días, y horarios en que podrá llevarse a cabo. </w:t>
      </w:r>
    </w:p>
    <w:p w14:paraId="2C6F5DF4"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II. </w:t>
      </w:r>
      <w:r w:rsidRPr="00086BF3">
        <w:rPr>
          <w:rFonts w:ascii="Palatino Linotype" w:hAnsi="Palatino Linotype" w:cs="Arial"/>
          <w:i/>
          <w:iCs/>
          <w:sz w:val="22"/>
        </w:rPr>
        <w:t xml:space="preserve">En su caso, la procedencia de los ajustes razonables solicitados y/o la procedencia de acceso en la lengua indígena requerida; </w:t>
      </w:r>
    </w:p>
    <w:p w14:paraId="4774337B"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4FE7C75B"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III. </w:t>
      </w:r>
      <w:r w:rsidRPr="00086BF3">
        <w:rPr>
          <w:rFonts w:ascii="Palatino Linotype" w:hAnsi="Palatino Linotype" w:cs="Arial"/>
          <w:i/>
          <w:iCs/>
          <w:sz w:val="22"/>
        </w:rPr>
        <w:t xml:space="preserve">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 </w:t>
      </w:r>
    </w:p>
    <w:p w14:paraId="09D7C774"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360B5501"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IV. </w:t>
      </w:r>
      <w:r w:rsidRPr="00086BF3">
        <w:rPr>
          <w:rFonts w:ascii="Palatino Linotype" w:hAnsi="Palatino Linotype" w:cs="Arial"/>
          <w:i/>
          <w:iCs/>
          <w:sz w:val="22"/>
        </w:rPr>
        <w:t xml:space="preserve">Proporcionar al solicitante las facilidades y asistencia requerida para la consulta de los documentos; </w:t>
      </w:r>
    </w:p>
    <w:p w14:paraId="6BC8D31D"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1257F1E1"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V. </w:t>
      </w:r>
      <w:r w:rsidRPr="00086BF3">
        <w:rPr>
          <w:rFonts w:ascii="Palatino Linotype" w:hAnsi="Palatino Linotype" w:cs="Arial"/>
          <w:i/>
          <w:iCs/>
          <w:sz w:val="22"/>
        </w:rPr>
        <w:t>Abstenerse de requerir al solicitante que acredite interés alguno;</w:t>
      </w:r>
    </w:p>
    <w:p w14:paraId="52E6FF68"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02E11B3E"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VI. </w:t>
      </w:r>
      <w:r w:rsidRPr="00086BF3">
        <w:rPr>
          <w:rFonts w:ascii="Palatino Linotype" w:hAnsi="Palatino Linotype" w:cs="Arial"/>
          <w:i/>
          <w:iCs/>
          <w:sz w:val="22"/>
        </w:rPr>
        <w:t xml:space="preserve">Adoptar las medidas técnicas, físicas, administrativas y demás que resulten necesarias para garantizar la integridad de la información a consultar, de conformidad con las características específicas del documento solicitado, tales como: </w:t>
      </w:r>
    </w:p>
    <w:p w14:paraId="10DEC090"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4C8E2024"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a) </w:t>
      </w:r>
      <w:r w:rsidRPr="00086BF3">
        <w:rPr>
          <w:rFonts w:ascii="Palatino Linotype" w:hAnsi="Palatino Linotype" w:cs="Arial"/>
          <w:i/>
          <w:iCs/>
          <w:sz w:val="22"/>
        </w:rPr>
        <w:t xml:space="preserve">Contar con instalaciones y mobiliario adecuado para asegurar tanto la integridad del documento consultado, como para proporcionar al solicitante las mejores condiciones para poder llevar a cabo la consulta directa; </w:t>
      </w:r>
    </w:p>
    <w:p w14:paraId="0373EF08"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b) </w:t>
      </w:r>
      <w:r w:rsidRPr="00086BF3">
        <w:rPr>
          <w:rFonts w:ascii="Palatino Linotype" w:hAnsi="Palatino Linotype" w:cs="Arial"/>
          <w:i/>
          <w:iCs/>
          <w:sz w:val="22"/>
        </w:rPr>
        <w:t xml:space="preserve">Equipo y personal de vigilancia; </w:t>
      </w:r>
    </w:p>
    <w:p w14:paraId="11A5B33E"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c) </w:t>
      </w:r>
      <w:r w:rsidRPr="00086BF3">
        <w:rPr>
          <w:rFonts w:ascii="Palatino Linotype" w:hAnsi="Palatino Linotype" w:cs="Arial"/>
          <w:i/>
          <w:iCs/>
          <w:sz w:val="22"/>
        </w:rPr>
        <w:t xml:space="preserve">Plan de acción contra robo o vandalismo; </w:t>
      </w:r>
    </w:p>
    <w:p w14:paraId="1CDA00E1"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d) </w:t>
      </w:r>
      <w:r w:rsidRPr="00086BF3">
        <w:rPr>
          <w:rFonts w:ascii="Palatino Linotype" w:hAnsi="Palatino Linotype" w:cs="Arial"/>
          <w:i/>
          <w:iCs/>
          <w:sz w:val="22"/>
        </w:rPr>
        <w:t xml:space="preserve">Extintores de fuego de gas inocuo; </w:t>
      </w:r>
    </w:p>
    <w:p w14:paraId="726089C8"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lastRenderedPageBreak/>
        <w:t xml:space="preserve">e) </w:t>
      </w:r>
      <w:r w:rsidRPr="00086BF3">
        <w:rPr>
          <w:rFonts w:ascii="Palatino Linotype" w:hAnsi="Palatino Linotype" w:cs="Arial"/>
          <w:i/>
          <w:iCs/>
          <w:sz w:val="22"/>
        </w:rPr>
        <w:t xml:space="preserve">Registro e identificación del personal autorizado para el tratamiento de los documentos o expedientes a revisar; </w:t>
      </w:r>
    </w:p>
    <w:p w14:paraId="7C92B9E2"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f) </w:t>
      </w:r>
      <w:r w:rsidRPr="00086BF3">
        <w:rPr>
          <w:rFonts w:ascii="Palatino Linotype" w:hAnsi="Palatino Linotype" w:cs="Arial"/>
          <w:i/>
          <w:iCs/>
          <w:sz w:val="22"/>
        </w:rPr>
        <w:t xml:space="preserve">Registro e identificación de los particulares autorizados para llevar a cabo la consulta directa, y </w:t>
      </w:r>
    </w:p>
    <w:p w14:paraId="23F2199A"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g) </w:t>
      </w:r>
      <w:r w:rsidRPr="00086BF3">
        <w:rPr>
          <w:rFonts w:ascii="Palatino Linotype" w:hAnsi="Palatino Linotype" w:cs="Arial"/>
          <w:i/>
          <w:iCs/>
          <w:sz w:val="22"/>
        </w:rPr>
        <w:t xml:space="preserve">Las demás que, a criterio de los sujetos obligados, resulten necesarias. </w:t>
      </w:r>
    </w:p>
    <w:p w14:paraId="6375E9CD"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VII. </w:t>
      </w:r>
      <w:r w:rsidRPr="00086BF3">
        <w:rPr>
          <w:rFonts w:ascii="Palatino Linotype" w:hAnsi="Palatino Linotype" w:cs="Arial"/>
          <w:i/>
          <w:iCs/>
          <w:sz w:val="22"/>
        </w:rPr>
        <w:t xml:space="preserve">Hacer del conocimiento del solicitante, previo al acceso a la información, las reglas a que se sujetará la consulta para garantizar la integridad de los documentos, y </w:t>
      </w:r>
    </w:p>
    <w:p w14:paraId="3D97470C"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6F8D6E93"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VIII. </w:t>
      </w:r>
      <w:r w:rsidRPr="00086BF3">
        <w:rPr>
          <w:rFonts w:ascii="Palatino Linotype" w:hAnsi="Palatino Linotype" w:cs="Arial"/>
          <w:i/>
          <w:iCs/>
          <w:sz w:val="22"/>
        </w:rPr>
        <w:t xml:space="preserve">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 </w:t>
      </w:r>
    </w:p>
    <w:p w14:paraId="1FD7E7BA"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38E19AD2"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Septuagésimo primero. </w:t>
      </w:r>
      <w:r w:rsidRPr="00086BF3">
        <w:rPr>
          <w:rFonts w:ascii="Palatino Linotype" w:hAnsi="Palatino Linotype" w:cs="Arial"/>
          <w:i/>
          <w:iCs/>
          <w:sz w:val="22"/>
        </w:rPr>
        <w:t xml:space="preserve">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1FD325F"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29823650"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i/>
          <w:iCs/>
          <w:sz w:val="22"/>
        </w:rPr>
        <w:t xml:space="preserve">El solicitante deberá observar en todo momento las reglas que el sujeto obligado haya hecho de su conocimiento para efectos de la conservación de los documentos. </w:t>
      </w:r>
    </w:p>
    <w:p w14:paraId="036A5FB3"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22E61831"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Septuagésimo segundo. </w:t>
      </w:r>
      <w:r w:rsidRPr="00086BF3">
        <w:rPr>
          <w:rFonts w:ascii="Palatino Linotype" w:hAnsi="Palatino Linotype" w:cs="Arial"/>
          <w:i/>
          <w:iCs/>
          <w:sz w:val="22"/>
        </w:rPr>
        <w:t xml:space="preserve">El solicitante deberá realizar la consulta de los documentos requeridos en el lugar, horarios y con la persona destinada para tal efecto. </w:t>
      </w:r>
    </w:p>
    <w:p w14:paraId="703AD22F" w14:textId="77777777" w:rsidR="00575D13" w:rsidRPr="00086BF3" w:rsidRDefault="00575D13" w:rsidP="00575D13">
      <w:pPr>
        <w:spacing w:line="360" w:lineRule="auto"/>
        <w:ind w:left="567" w:right="616"/>
        <w:jc w:val="both"/>
        <w:rPr>
          <w:rFonts w:ascii="Palatino Linotype" w:hAnsi="Palatino Linotype" w:cs="Arial"/>
          <w:i/>
          <w:iCs/>
          <w:sz w:val="12"/>
          <w:szCs w:val="14"/>
        </w:rPr>
      </w:pPr>
    </w:p>
    <w:p w14:paraId="1B9E52BB"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i/>
          <w:iCs/>
          <w:sz w:val="22"/>
        </w:rPr>
        <w:t xml:space="preserve">Si una vez realizada la diligencia, en el tiempo previsto para ello, no fuera posible consultar toda la documentación, el solicitante podrá requerir al sujeto obligado una </w:t>
      </w:r>
      <w:r w:rsidRPr="00086BF3">
        <w:rPr>
          <w:rFonts w:ascii="Palatino Linotype" w:hAnsi="Palatino Linotype" w:cs="Arial"/>
          <w:i/>
          <w:iCs/>
          <w:sz w:val="22"/>
        </w:rPr>
        <w:lastRenderedPageBreak/>
        <w:t xml:space="preserve">nueva cita, misma que deberá ser programada indicándole al particular los días y horarios en que podrá llevarse a cabo. </w:t>
      </w:r>
    </w:p>
    <w:p w14:paraId="23D89AF0"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47BCBC35" w14:textId="77777777"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b/>
          <w:bCs/>
          <w:i/>
          <w:iCs/>
          <w:sz w:val="22"/>
        </w:rPr>
        <w:t xml:space="preserve">Septuagésimo tercero. </w:t>
      </w:r>
      <w:r w:rsidRPr="00086BF3">
        <w:rPr>
          <w:rFonts w:ascii="Palatino Linotype" w:hAnsi="Palatino Linotype" w:cs="Arial"/>
          <w:i/>
          <w:iCs/>
          <w:sz w:val="22"/>
        </w:rPr>
        <w:t xml:space="preserve">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2E8D20FC" w14:textId="77777777" w:rsidR="00575D13" w:rsidRPr="00086BF3" w:rsidRDefault="00575D13" w:rsidP="00575D13">
      <w:pPr>
        <w:spacing w:line="360" w:lineRule="auto"/>
        <w:ind w:left="567" w:right="616"/>
        <w:jc w:val="both"/>
        <w:rPr>
          <w:rFonts w:ascii="Palatino Linotype" w:hAnsi="Palatino Linotype" w:cs="Arial"/>
          <w:i/>
          <w:iCs/>
          <w:sz w:val="8"/>
          <w:szCs w:val="10"/>
        </w:rPr>
      </w:pPr>
    </w:p>
    <w:p w14:paraId="77373451" w14:textId="15AB7589" w:rsidR="00575D13" w:rsidRPr="00086BF3" w:rsidRDefault="00575D13" w:rsidP="00575D13">
      <w:pPr>
        <w:spacing w:line="360" w:lineRule="auto"/>
        <w:ind w:left="567" w:right="616"/>
        <w:jc w:val="both"/>
        <w:rPr>
          <w:rFonts w:ascii="Palatino Linotype" w:hAnsi="Palatino Linotype" w:cs="Arial"/>
          <w:i/>
          <w:iCs/>
          <w:sz w:val="22"/>
        </w:rPr>
      </w:pPr>
      <w:r w:rsidRPr="00086BF3">
        <w:rPr>
          <w:rFonts w:ascii="Palatino Linotype" w:hAnsi="Palatino Linotype" w:cs="Arial"/>
          <w:i/>
          <w:iCs/>
          <w:sz w:val="22"/>
        </w:rPr>
        <w:t>La información deberá ser entregada sin costo, cuando implique la entrega de no más de veinte hojas simples.</w:t>
      </w:r>
      <w:r w:rsidR="00086BF3">
        <w:rPr>
          <w:rFonts w:ascii="Palatino Linotype" w:hAnsi="Palatino Linotype" w:cs="Arial"/>
          <w:i/>
          <w:iCs/>
          <w:sz w:val="22"/>
        </w:rPr>
        <w:t>”</w:t>
      </w:r>
    </w:p>
    <w:p w14:paraId="1BDF004A" w14:textId="77777777" w:rsidR="00575D13" w:rsidRPr="00086BF3" w:rsidRDefault="00575D13" w:rsidP="00575D13">
      <w:pPr>
        <w:spacing w:line="360" w:lineRule="auto"/>
        <w:contextualSpacing/>
        <w:jc w:val="both"/>
        <w:rPr>
          <w:rFonts w:ascii="Palatino Linotype" w:eastAsia="MS Mincho" w:hAnsi="Palatino Linotype" w:cs="Arial"/>
          <w:i/>
        </w:rPr>
      </w:pPr>
    </w:p>
    <w:p w14:paraId="3E5584E3" w14:textId="77777777" w:rsidR="00575D13" w:rsidRDefault="00575D13" w:rsidP="00A006EB">
      <w:pPr>
        <w:numPr>
          <w:ilvl w:val="0"/>
          <w:numId w:val="2"/>
        </w:numPr>
        <w:spacing w:line="360" w:lineRule="auto"/>
        <w:ind w:left="0" w:firstLine="0"/>
        <w:contextualSpacing/>
        <w:jc w:val="both"/>
        <w:rPr>
          <w:rFonts w:ascii="Palatino Linotype" w:eastAsia="MS Mincho" w:hAnsi="Palatino Linotype" w:cs="Arial"/>
        </w:rPr>
      </w:pPr>
      <w:r>
        <w:rPr>
          <w:rFonts w:ascii="Palatino Linotype" w:eastAsia="MS Mincho" w:hAnsi="Palatino Linotype" w:cs="Arial"/>
        </w:rPr>
        <w:t xml:space="preserve">En ese tenor, el </w:t>
      </w:r>
      <w:r>
        <w:rPr>
          <w:rFonts w:ascii="Palatino Linotype" w:eastAsia="MS Mincho" w:hAnsi="Palatino Linotype" w:cs="Arial"/>
          <w:b/>
        </w:rPr>
        <w:t xml:space="preserve">SUJETO OBLIGADO </w:t>
      </w:r>
      <w:r>
        <w:rPr>
          <w:rFonts w:ascii="Palatino Linotype" w:eastAsia="MS Mincho" w:hAnsi="Palatino Linotype" w:cs="Arial"/>
        </w:rPr>
        <w:t xml:space="preserve">en sus respuestas tuvo a bien precisar cada uno de los elementos planteados por los Lineamientos Generales, a fin de garantizar la correcta disposición de la información a través de consulta directa. </w:t>
      </w:r>
    </w:p>
    <w:p w14:paraId="2FFE6F56" w14:textId="77777777" w:rsidR="00FD4A4B" w:rsidRDefault="00FD4A4B" w:rsidP="00FD4A4B">
      <w:pPr>
        <w:spacing w:line="360" w:lineRule="auto"/>
        <w:contextualSpacing/>
        <w:jc w:val="both"/>
        <w:rPr>
          <w:rFonts w:ascii="Palatino Linotype" w:eastAsia="MS Mincho" w:hAnsi="Palatino Linotype" w:cs="Arial"/>
        </w:rPr>
      </w:pPr>
    </w:p>
    <w:p w14:paraId="71D7D60C" w14:textId="77777777" w:rsidR="00575D13" w:rsidRPr="00111F1C" w:rsidRDefault="00575D13" w:rsidP="00A006EB">
      <w:pPr>
        <w:numPr>
          <w:ilvl w:val="0"/>
          <w:numId w:val="2"/>
        </w:numPr>
        <w:spacing w:line="360" w:lineRule="auto"/>
        <w:ind w:left="0" w:firstLine="0"/>
        <w:contextualSpacing/>
        <w:jc w:val="both"/>
        <w:rPr>
          <w:rFonts w:ascii="Palatino Linotype" w:hAnsi="Palatino Linotype"/>
        </w:rPr>
      </w:pPr>
      <w:r>
        <w:rPr>
          <w:rFonts w:ascii="Palatino Linotype" w:eastAsia="Times New Roman" w:hAnsi="Palatino Linotype"/>
        </w:rPr>
        <w:t xml:space="preserve">En otro contexto, es de subrayar que con relación a la respuesta emitida por el </w:t>
      </w:r>
      <w:r>
        <w:rPr>
          <w:rFonts w:ascii="Palatino Linotype" w:eastAsia="Times New Roman" w:hAnsi="Palatino Linotype"/>
          <w:b/>
        </w:rPr>
        <w:t xml:space="preserve">SUJETO OBLIGADO </w:t>
      </w:r>
      <w:r>
        <w:rPr>
          <w:rFonts w:ascii="Palatino Linotype" w:eastAsia="Times New Roman" w:hAnsi="Palatino Linotype"/>
        </w:rPr>
        <w:t xml:space="preserve">a través de su Comité de Transparencia; </w:t>
      </w:r>
      <w:r w:rsidRPr="00111F1C">
        <w:rPr>
          <w:rFonts w:ascii="Palatino Linotype" w:hAnsi="Palatino Linotype" w:cs="Arial"/>
          <w:color w:val="000000" w:themeColor="text1"/>
        </w:rPr>
        <w:t xml:space="preserve">este Instituto no puede prejuzgar sobre las contestaciones esgrimidas por los sujetos obligados, dado que no se encuentra facultado para </w:t>
      </w:r>
      <w:r w:rsidRPr="00EE0251">
        <w:rPr>
          <w:rFonts w:ascii="Palatino Linotype" w:hAnsi="Palatino Linotype" w:cs="Arial"/>
          <w:b/>
          <w:color w:val="000000" w:themeColor="text1"/>
        </w:rPr>
        <w:t>dudar de la veracidad</w:t>
      </w:r>
      <w:r w:rsidRPr="00111F1C">
        <w:rPr>
          <w:rFonts w:ascii="Palatino Linotype" w:hAnsi="Palatino Linotype" w:cs="Arial"/>
          <w:color w:val="000000" w:themeColor="text1"/>
        </w:rPr>
        <w:t xml:space="preserve"> </w:t>
      </w:r>
      <w:r w:rsidRPr="00111F1C">
        <w:rPr>
          <w:rFonts w:ascii="Palatino Linotype" w:hAnsi="Palatino Linotype" w:cs="Bookman Old Style"/>
          <w:lang w:val="es-ES"/>
        </w:rPr>
        <w:t>de las respuestas emitidas por los sujetos obligados</w:t>
      </w:r>
      <w:r w:rsidRPr="00111F1C">
        <w:rPr>
          <w:rFonts w:ascii="Palatino Linotype" w:hAnsi="Palatino Linotype" w:cs="Arial"/>
        </w:rPr>
        <w:t xml:space="preserve"> ni de la que ponen a disposición de los solicitantes; situación que se aleja de las atribuciones de este Instituto </w:t>
      </w:r>
      <w:r w:rsidRPr="00111F1C">
        <w:rPr>
          <w:rFonts w:ascii="Palatino Linotype" w:hAnsi="Palatino Linotype"/>
          <w:color w:val="000000"/>
        </w:rPr>
        <w:t>máxime que al momento que ponen a disposición ésta, la misma tiene el carácter oficial y se presume veraz, tan es así que la misma queda registrada en el SAIMEX.</w:t>
      </w:r>
    </w:p>
    <w:p w14:paraId="003B858C" w14:textId="77777777" w:rsidR="00575D13" w:rsidRDefault="00575D13" w:rsidP="00575D13">
      <w:pPr>
        <w:pStyle w:val="Prrafodelista"/>
        <w:spacing w:line="360" w:lineRule="auto"/>
        <w:ind w:left="0"/>
        <w:jc w:val="both"/>
        <w:rPr>
          <w:rFonts w:ascii="Palatino Linotype" w:hAnsi="Palatino Linotype"/>
        </w:rPr>
      </w:pPr>
    </w:p>
    <w:p w14:paraId="067EF0A7" w14:textId="77777777" w:rsidR="00575D13" w:rsidRDefault="00575D13" w:rsidP="00A006EB">
      <w:pPr>
        <w:numPr>
          <w:ilvl w:val="0"/>
          <w:numId w:val="2"/>
        </w:numPr>
        <w:spacing w:line="360" w:lineRule="auto"/>
        <w:ind w:left="0" w:firstLine="0"/>
        <w:contextualSpacing/>
        <w:jc w:val="both"/>
        <w:rPr>
          <w:rFonts w:ascii="Palatino Linotype" w:hAnsi="Palatino Linotype"/>
        </w:rPr>
      </w:pPr>
      <w:r w:rsidRPr="00D03344">
        <w:rPr>
          <w:rFonts w:ascii="Palatino Linotype" w:eastAsia="Times New Roman" w:hAnsi="Palatino Linotype"/>
        </w:rPr>
        <w:t>Sirviendo</w:t>
      </w:r>
      <w:r>
        <w:rPr>
          <w:rFonts w:ascii="Palatino Linotype" w:hAnsi="Palatino Linotype"/>
        </w:rPr>
        <w:t xml:space="preserve"> de apoyo a lo anterior por analogía, el criterio 31-10 emitido por el ahora </w:t>
      </w:r>
      <w:r w:rsidRPr="00BB32F4">
        <w:rPr>
          <w:rFonts w:ascii="Palatino Linotype" w:hAnsi="Palatino Linotype" w:cs="Arial"/>
        </w:rPr>
        <w:t>Instituto</w:t>
      </w:r>
      <w:r>
        <w:rPr>
          <w:rFonts w:ascii="Palatino Linotype" w:hAnsi="Palatino Linotype"/>
        </w:rPr>
        <w:t xml:space="preserve"> Nacional de Transparencia, Acceso a la Información y Protección de Datos Personales, que a la letra dice:</w:t>
      </w:r>
    </w:p>
    <w:p w14:paraId="4EE2F143" w14:textId="77777777" w:rsidR="00575D13" w:rsidRPr="00906C5B" w:rsidRDefault="00575D13" w:rsidP="00575D13">
      <w:pPr>
        <w:pStyle w:val="Default"/>
        <w:spacing w:before="240" w:after="360" w:line="360" w:lineRule="auto"/>
        <w:ind w:left="851" w:right="850"/>
        <w:jc w:val="both"/>
        <w:rPr>
          <w:rFonts w:ascii="Palatino Linotype" w:hAnsi="Palatino Linotype"/>
          <w:i/>
          <w:sz w:val="22"/>
          <w:szCs w:val="22"/>
        </w:rPr>
      </w:pPr>
      <w:r w:rsidRPr="00906C5B">
        <w:rPr>
          <w:rFonts w:ascii="Palatino Linotype" w:hAnsi="Palatino Linotype"/>
          <w:i/>
          <w:sz w:val="22"/>
          <w:szCs w:val="22"/>
        </w:rPr>
        <w:t xml:space="preserve">El Instituto Federal de Acceso a la Información y Protección de Datos </w:t>
      </w:r>
      <w:r w:rsidRPr="00906C5B">
        <w:rPr>
          <w:rFonts w:ascii="Palatino Linotype" w:hAnsi="Palatino Linotype"/>
          <w:b/>
          <w:i/>
          <w:sz w:val="22"/>
          <w:szCs w:val="22"/>
        </w:rPr>
        <w:t>no cuenta con facultades para pronunciarse respecto de la veracidad de los documentos proporcionados por los sujetos obligados.</w:t>
      </w:r>
      <w:r w:rsidRPr="00906C5B">
        <w:rPr>
          <w:rFonts w:ascii="Palatino Linotype" w:hAnsi="Palatino Linotype"/>
          <w:i/>
          <w:sz w:val="22"/>
          <w:szCs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34E8132" w14:textId="77777777" w:rsidR="00575D13" w:rsidRDefault="00575D13" w:rsidP="00A006EB">
      <w:pPr>
        <w:numPr>
          <w:ilvl w:val="0"/>
          <w:numId w:val="2"/>
        </w:numPr>
        <w:spacing w:line="360" w:lineRule="auto"/>
        <w:ind w:left="0" w:firstLine="0"/>
        <w:contextualSpacing/>
        <w:jc w:val="both"/>
        <w:rPr>
          <w:rFonts w:ascii="Palatino Linotype" w:hAnsi="Palatino Linotype"/>
          <w:i/>
        </w:rPr>
      </w:pPr>
      <w:r w:rsidRPr="00FD4A4B">
        <w:rPr>
          <w:rFonts w:ascii="Palatino Linotype" w:eastAsia="Times New Roman" w:hAnsi="Palatino Linotype"/>
        </w:rPr>
        <w:t>Por</w:t>
      </w:r>
      <w:r>
        <w:rPr>
          <w:rFonts w:ascii="Palatino Linotype" w:hAnsi="Palatino Linotype"/>
        </w:rPr>
        <w:t xml:space="preserve"> su parte, la </w:t>
      </w:r>
      <w:r>
        <w:rPr>
          <w:rFonts w:ascii="Palatino Linotype" w:hAnsi="Palatino Linotype"/>
          <w:b/>
        </w:rPr>
        <w:t xml:space="preserve">Ley de Transparencia y Acceso a la Información Pública del </w:t>
      </w:r>
      <w:r w:rsidRPr="00BB32F4">
        <w:rPr>
          <w:rFonts w:ascii="Palatino Linotype" w:hAnsi="Palatino Linotype"/>
        </w:rPr>
        <w:t>Estado</w:t>
      </w:r>
      <w:r>
        <w:rPr>
          <w:rFonts w:ascii="Palatino Linotype" w:hAnsi="Palatino Linotype"/>
          <w:b/>
        </w:rPr>
        <w:t xml:space="preserve"> de México y Municipios</w:t>
      </w:r>
      <w:r>
        <w:rPr>
          <w:rFonts w:ascii="Palatino Linotype" w:hAnsi="Palatino Linotype"/>
        </w:rPr>
        <w:t xml:space="preserve">, establece que la información pública generada, administrada o en posesión de los Sujetos Obligados en ejercicio de sus atribuciones, será accesible de manera permanente a cualquier persona, privilegiando el principio </w:t>
      </w:r>
      <w:r>
        <w:rPr>
          <w:rFonts w:ascii="Palatino Linotype" w:hAnsi="Palatino Linotype"/>
        </w:rPr>
        <w:lastRenderedPageBreak/>
        <w:t>de máxima publicidad de la información, por lo que deberán apegarse en todo momento a los criterios de publicidad, veracidad, oportunidad entre otros, numeral en comento que a la letra señala:</w:t>
      </w:r>
    </w:p>
    <w:p w14:paraId="0074AB2E" w14:textId="77777777" w:rsidR="004E3F55" w:rsidRDefault="004E3F55" w:rsidP="00575D13">
      <w:pPr>
        <w:pStyle w:val="Prrafodelista"/>
        <w:spacing w:line="360" w:lineRule="auto"/>
        <w:ind w:left="709" w:right="758"/>
        <w:jc w:val="both"/>
        <w:rPr>
          <w:rFonts w:ascii="Palatino Linotype" w:hAnsi="Palatino Linotype" w:cs="Arial"/>
          <w:i/>
          <w:sz w:val="22"/>
          <w:szCs w:val="22"/>
        </w:rPr>
      </w:pPr>
    </w:p>
    <w:p w14:paraId="397CF2C2" w14:textId="133F5A37" w:rsidR="00575D13" w:rsidRDefault="00575D13" w:rsidP="00575D13">
      <w:pPr>
        <w:pStyle w:val="Prrafodelista"/>
        <w:spacing w:line="360" w:lineRule="auto"/>
        <w:ind w:left="709" w:right="758"/>
        <w:jc w:val="both"/>
        <w:rPr>
          <w:rFonts w:ascii="Palatino Linotype" w:hAnsi="Palatino Linotype" w:cs="Arial"/>
          <w:b/>
        </w:rPr>
      </w:pPr>
      <w:r w:rsidRPr="00E71F29">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E71F29">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r>
        <w:rPr>
          <w:rFonts w:ascii="Palatino Linotype" w:hAnsi="Palatino Linotype" w:cs="Arial"/>
          <w:b/>
          <w:i/>
        </w:rPr>
        <w:t xml:space="preserve">.” </w:t>
      </w:r>
      <w:r>
        <w:rPr>
          <w:rFonts w:ascii="Palatino Linotype" w:hAnsi="Palatino Linotype" w:cs="Arial"/>
        </w:rPr>
        <w:t>Énfasis añadido</w:t>
      </w:r>
    </w:p>
    <w:p w14:paraId="0979CC0E" w14:textId="77777777" w:rsidR="00575D13" w:rsidRDefault="00575D13" w:rsidP="00575D13">
      <w:pPr>
        <w:pStyle w:val="Prrafodelista"/>
        <w:spacing w:line="360" w:lineRule="auto"/>
        <w:ind w:left="851" w:right="902"/>
        <w:jc w:val="both"/>
        <w:rPr>
          <w:rFonts w:ascii="Palatino Linotype" w:hAnsi="Palatino Linotype" w:cs="Arial"/>
          <w:b/>
          <w:i/>
        </w:rPr>
      </w:pPr>
    </w:p>
    <w:p w14:paraId="2095E4D1" w14:textId="41DE0D72" w:rsidR="00575D13" w:rsidRDefault="00575D13" w:rsidP="00A006EB">
      <w:pPr>
        <w:numPr>
          <w:ilvl w:val="0"/>
          <w:numId w:val="2"/>
        </w:numPr>
        <w:spacing w:line="360" w:lineRule="auto"/>
        <w:ind w:left="0" w:firstLine="0"/>
        <w:contextualSpacing/>
        <w:jc w:val="both"/>
        <w:rPr>
          <w:rFonts w:ascii="Palatino Linotype" w:hAnsi="Palatino Linotype" w:cs="Arial"/>
          <w:noProof/>
          <w:lang w:eastAsia="es-MX"/>
        </w:rPr>
      </w:pPr>
      <w:r w:rsidRPr="00FD4A4B">
        <w:rPr>
          <w:rFonts w:ascii="Palatino Linotype" w:eastAsia="Times New Roman" w:hAnsi="Palatino Linotype"/>
        </w:rPr>
        <w:t>Numerales</w:t>
      </w:r>
      <w:r>
        <w:rPr>
          <w:rFonts w:ascii="Palatino Linotype" w:hAnsi="Palatino Linotype" w:cs="Arial"/>
          <w:noProof/>
          <w:lang w:eastAsia="es-MX"/>
        </w:rPr>
        <w:t xml:space="preserve"> que compelen al </w:t>
      </w:r>
      <w:r>
        <w:rPr>
          <w:rFonts w:ascii="Palatino Linotype" w:hAnsi="Palatino Linotype" w:cs="Arial"/>
          <w:b/>
          <w:noProof/>
          <w:lang w:eastAsia="es-MX"/>
        </w:rPr>
        <w:t>SUJETO OBLIGADO</w:t>
      </w:r>
      <w:r>
        <w:rPr>
          <w:rFonts w:ascii="Palatino Linotype" w:hAnsi="Palatino Linotype" w:cs="Arial"/>
          <w:noProof/>
          <w:lang w:eastAsia="es-MX"/>
        </w:rPr>
        <w:t xml:space="preserve"> apegarse en todo </w:t>
      </w:r>
      <w:r w:rsidRPr="00D03344">
        <w:rPr>
          <w:rFonts w:ascii="Palatino Linotype" w:hAnsi="Palatino Linotype"/>
        </w:rPr>
        <w:t>momento</w:t>
      </w:r>
      <w:r>
        <w:rPr>
          <w:rFonts w:ascii="Palatino Linotype" w:hAnsi="Palatino Linotype" w:cs="Arial"/>
          <w:noProof/>
          <w:lang w:eastAsia="es-MX"/>
        </w:rPr>
        <w:t xml:space="preserve"> a los criterios ya expuestos, imipidiendo a este Órgano Colegiado cuestionar la veracidad de la información.</w:t>
      </w:r>
    </w:p>
    <w:p w14:paraId="7EB69871" w14:textId="77777777" w:rsidR="00E16F58" w:rsidRDefault="00E16F58" w:rsidP="00E16F58">
      <w:pPr>
        <w:spacing w:line="360" w:lineRule="auto"/>
        <w:contextualSpacing/>
        <w:jc w:val="both"/>
        <w:rPr>
          <w:rFonts w:ascii="Palatino Linotype" w:hAnsi="Palatino Linotype" w:cs="Arial"/>
          <w:noProof/>
          <w:lang w:eastAsia="es-MX"/>
        </w:rPr>
      </w:pPr>
    </w:p>
    <w:p w14:paraId="2C9EE73D" w14:textId="31401FE4" w:rsidR="00E16F58" w:rsidRDefault="00E16F58" w:rsidP="00E16F58">
      <w:pPr>
        <w:numPr>
          <w:ilvl w:val="0"/>
          <w:numId w:val="2"/>
        </w:numPr>
        <w:spacing w:line="360" w:lineRule="auto"/>
        <w:ind w:left="0" w:firstLine="0"/>
        <w:contextualSpacing/>
        <w:jc w:val="both"/>
        <w:rPr>
          <w:rFonts w:ascii="Palatino Linotype" w:eastAsia="Times New Roman" w:hAnsi="Palatino Linotype"/>
        </w:rPr>
      </w:pPr>
      <w:r>
        <w:rPr>
          <w:rFonts w:ascii="Palatino Linotype" w:eastAsia="Times New Roman" w:hAnsi="Palatino Linotype"/>
        </w:rPr>
        <w:t xml:space="preserve">Por otro lado, </w:t>
      </w:r>
      <w:r>
        <w:rPr>
          <w:rFonts w:ascii="Palatino Linotype" w:eastAsia="Times New Roman" w:hAnsi="Palatino Linotype"/>
          <w:b/>
        </w:rPr>
        <w:t xml:space="preserve">LA RECURRENTE </w:t>
      </w:r>
      <w:r>
        <w:rPr>
          <w:rFonts w:ascii="Palatino Linotype" w:eastAsia="Times New Roman" w:hAnsi="Palatino Linotype"/>
        </w:rPr>
        <w:t xml:space="preserve">al momento de interponer su inconformidad, solicitó lo siguiente: </w:t>
      </w:r>
      <w:r w:rsidRPr="00FD4A4B">
        <w:rPr>
          <w:rFonts w:ascii="Palatino Linotype" w:eastAsia="Times New Roman" w:hAnsi="Palatino Linotype"/>
          <w:b/>
          <w:i/>
        </w:rPr>
        <w:t>“…la información que deriva del reloj checador de control de asistencia, documentales todas, que desde este momento, pido se las requiera al sujeto obligado…”</w:t>
      </w:r>
    </w:p>
    <w:p w14:paraId="6719D331" w14:textId="77777777" w:rsidR="00E16F58" w:rsidRPr="008E1942" w:rsidRDefault="00E16F58" w:rsidP="00E16F58">
      <w:pPr>
        <w:pStyle w:val="Prrafodelista"/>
        <w:rPr>
          <w:rFonts w:ascii="Palatino Linotype" w:eastAsia="Times New Roman" w:hAnsi="Palatino Linotype"/>
        </w:rPr>
      </w:pPr>
    </w:p>
    <w:p w14:paraId="64C7FC4E" w14:textId="77777777" w:rsidR="00E16F58" w:rsidRPr="006815A2" w:rsidRDefault="00E16F58" w:rsidP="00E16F58">
      <w:pPr>
        <w:numPr>
          <w:ilvl w:val="0"/>
          <w:numId w:val="2"/>
        </w:numPr>
        <w:spacing w:line="360" w:lineRule="auto"/>
        <w:ind w:left="0" w:firstLine="0"/>
        <w:contextualSpacing/>
        <w:jc w:val="both"/>
        <w:rPr>
          <w:rFonts w:ascii="Palatino Linotype" w:eastAsia="Times New Roman" w:hAnsi="Palatino Linotype" w:cs="Arial"/>
          <w:color w:val="222222"/>
          <w:lang w:eastAsia="es-MX"/>
        </w:rPr>
      </w:pPr>
      <w:r>
        <w:rPr>
          <w:rFonts w:ascii="Palatino Linotype" w:hAnsi="Palatino Linotype" w:cs="Arial"/>
        </w:rPr>
        <w:lastRenderedPageBreak/>
        <w:t>Lo anterior constituye cuestiones</w:t>
      </w:r>
      <w:r>
        <w:rPr>
          <w:rFonts w:ascii="Palatino Linotype" w:eastAsia="MS Mincho" w:hAnsi="Palatino Linotype" w:cs="Times New Roman"/>
          <w:color w:val="000000"/>
        </w:rPr>
        <w:t xml:space="preserve"> novedosas que no se solicitaron en un inicio, </w:t>
      </w:r>
      <w:r w:rsidRPr="006815A2">
        <w:rPr>
          <w:rFonts w:ascii="Palatino Linotype" w:eastAsia="Times New Roman" w:hAnsi="Palatino Linotype" w:cs="Arial"/>
          <w:color w:val="000000" w:themeColor="text1"/>
          <w:lang w:val="es-ES"/>
        </w:rPr>
        <w:t>lo anterior se entiende como un</w:t>
      </w:r>
      <w:r>
        <w:rPr>
          <w:rFonts w:ascii="Palatino Linotype" w:eastAsia="Times New Roman" w:hAnsi="Palatino Linotype" w:cs="Arial"/>
          <w:color w:val="000000" w:themeColor="text1"/>
          <w:lang w:val="es-ES"/>
        </w:rPr>
        <w:t>a</w:t>
      </w:r>
      <w:r w:rsidRPr="006815A2">
        <w:rPr>
          <w:rFonts w:ascii="Palatino Linotype" w:eastAsia="Times New Roman" w:hAnsi="Palatino Linotype" w:cs="Arial"/>
          <w:color w:val="000000" w:themeColor="text1"/>
          <w:lang w:val="es-ES"/>
        </w:rPr>
        <w:t xml:space="preserve"> </w:t>
      </w:r>
      <w:r w:rsidRPr="006815A2">
        <w:rPr>
          <w:rFonts w:ascii="Palatino Linotype" w:eastAsia="Times New Roman" w:hAnsi="Palatino Linotype" w:cs="Arial"/>
          <w:b/>
          <w:bCs/>
          <w:i/>
          <w:iCs/>
          <w:color w:val="000000" w:themeColor="text1"/>
          <w:lang w:val="es-ES"/>
        </w:rPr>
        <w:t xml:space="preserve">Plus Petitio </w:t>
      </w:r>
      <w:r w:rsidRPr="006815A2">
        <w:rPr>
          <w:rFonts w:ascii="Palatino Linotype" w:eastAsia="Times New Roman" w:hAnsi="Palatino Linotype" w:cs="Arial"/>
          <w:color w:val="000000" w:themeColor="text1"/>
          <w:lang w:val="es-ES"/>
        </w:rPr>
        <w:t>a su petición inicial que no puede abordarse</w:t>
      </w:r>
      <w:r w:rsidRPr="006815A2">
        <w:rPr>
          <w:rFonts w:ascii="Palatino Linotype" w:eastAsia="Times New Roman" w:hAnsi="Palatino Linotype" w:cs="Arial"/>
          <w:i/>
          <w:iCs/>
          <w:color w:val="000000" w:themeColor="text1"/>
          <w:lang w:val="es-ES"/>
        </w:rPr>
        <w:t>.</w:t>
      </w:r>
    </w:p>
    <w:p w14:paraId="67271FB0" w14:textId="77777777" w:rsidR="00E16F58" w:rsidRPr="006815A2" w:rsidRDefault="00E16F58" w:rsidP="00E16F58">
      <w:pPr>
        <w:pStyle w:val="Prrafodelista"/>
        <w:tabs>
          <w:tab w:val="left" w:pos="567"/>
        </w:tabs>
        <w:spacing w:line="360" w:lineRule="auto"/>
        <w:ind w:left="0"/>
        <w:jc w:val="both"/>
        <w:rPr>
          <w:rFonts w:ascii="Palatino Linotype" w:eastAsia="Calibri" w:hAnsi="Palatino Linotype" w:cs="Times New Roman"/>
          <w:lang w:val="es-ES"/>
        </w:rPr>
      </w:pPr>
    </w:p>
    <w:p w14:paraId="62F79D98" w14:textId="1E3DA771" w:rsidR="00E16F58" w:rsidRDefault="00E16F58" w:rsidP="00E16F58">
      <w:pPr>
        <w:numPr>
          <w:ilvl w:val="0"/>
          <w:numId w:val="2"/>
        </w:numPr>
        <w:spacing w:line="360" w:lineRule="auto"/>
        <w:ind w:left="0" w:firstLine="0"/>
        <w:contextualSpacing/>
        <w:jc w:val="both"/>
        <w:rPr>
          <w:rFonts w:ascii="Palatino Linotype" w:eastAsia="Times New Roman" w:hAnsi="Palatino Linotype" w:cs="Arial"/>
          <w:color w:val="000000" w:themeColor="text1"/>
          <w:lang w:val="es-ES"/>
        </w:rPr>
      </w:pPr>
      <w:r w:rsidRPr="00877764">
        <w:rPr>
          <w:rFonts w:ascii="Palatino Linotype" w:hAnsi="Palatino Linotype" w:cs="Arial"/>
        </w:rPr>
        <w:t>Robusteciendo</w:t>
      </w:r>
      <w:r w:rsidRPr="006815A2">
        <w:rPr>
          <w:rFonts w:ascii="Palatino Linotype" w:eastAsia="Times New Roman" w:hAnsi="Palatino Linotype" w:cs="Arial"/>
          <w:color w:val="000000" w:themeColor="text1"/>
          <w:lang w:val="es-ES"/>
        </w:rPr>
        <w:t xml:space="preserve">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14:paraId="3E4D6401" w14:textId="77777777" w:rsidR="00E16F58" w:rsidRPr="006815A2" w:rsidRDefault="00E16F58" w:rsidP="00E16F58">
      <w:pPr>
        <w:spacing w:line="360" w:lineRule="auto"/>
        <w:contextualSpacing/>
        <w:jc w:val="both"/>
        <w:rPr>
          <w:rFonts w:ascii="Palatino Linotype" w:eastAsia="Times New Roman" w:hAnsi="Palatino Linotype" w:cs="Arial"/>
          <w:color w:val="000000" w:themeColor="text1"/>
          <w:lang w:val="es-ES"/>
        </w:rPr>
      </w:pPr>
    </w:p>
    <w:p w14:paraId="5065B752" w14:textId="77777777" w:rsidR="00E16F58" w:rsidRPr="006815A2" w:rsidRDefault="00E16F58" w:rsidP="00E16F58">
      <w:pPr>
        <w:shd w:val="clear" w:color="auto" w:fill="FFFFFF"/>
        <w:spacing w:line="360" w:lineRule="auto"/>
        <w:ind w:left="709" w:right="616"/>
        <w:jc w:val="both"/>
        <w:rPr>
          <w:rFonts w:ascii="Palatino Linotype" w:eastAsia="Times New Roman" w:hAnsi="Palatino Linotype" w:cs="Arial"/>
          <w:color w:val="000000" w:themeColor="text1"/>
          <w:sz w:val="22"/>
          <w:szCs w:val="22"/>
          <w:lang w:val="es-ES"/>
        </w:rPr>
      </w:pPr>
      <w:r w:rsidRPr="006815A2">
        <w:rPr>
          <w:rFonts w:ascii="Palatino Linotype" w:eastAsia="Times New Roman" w:hAnsi="Palatino Linotype" w:cs="Arial"/>
          <w:b/>
          <w:bCs/>
          <w:i/>
          <w:iCs/>
          <w:color w:val="000000" w:themeColor="text1"/>
          <w:sz w:val="22"/>
          <w:szCs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69369C3A" w14:textId="77777777" w:rsidR="00E16F58" w:rsidRDefault="00E16F58" w:rsidP="00E16F58">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r w:rsidRPr="006815A2">
        <w:rPr>
          <w:rFonts w:ascii="Palatino Linotype" w:eastAsia="Times New Roman" w:hAnsi="Palatino Linotype" w:cs="Arial"/>
          <w:i/>
          <w:iCs/>
          <w:color w:val="000000" w:themeColor="text1"/>
          <w:sz w:val="22"/>
          <w:szCs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w:t>
      </w:r>
      <w:r w:rsidRPr="006815A2">
        <w:rPr>
          <w:rFonts w:ascii="Palatino Linotype" w:eastAsia="Times New Roman" w:hAnsi="Palatino Linotype" w:cs="Arial"/>
          <w:i/>
          <w:iCs/>
          <w:color w:val="000000" w:themeColor="text1"/>
          <w:sz w:val="22"/>
          <w:szCs w:val="22"/>
          <w:lang w:val="es-ES"/>
        </w:rPr>
        <w:lastRenderedPageBreak/>
        <w:t>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6F145C4C" w14:textId="77777777" w:rsidR="00E16F58" w:rsidRPr="006815A2" w:rsidRDefault="00E16F58" w:rsidP="00E16F58">
      <w:pPr>
        <w:pStyle w:val="Prrafodelista"/>
        <w:shd w:val="clear" w:color="auto" w:fill="FFFFFF"/>
        <w:spacing w:line="360" w:lineRule="auto"/>
        <w:ind w:left="567" w:right="567"/>
        <w:jc w:val="both"/>
        <w:rPr>
          <w:rFonts w:ascii="Palatino Linotype" w:eastAsia="Times New Roman" w:hAnsi="Palatino Linotype" w:cs="Arial"/>
          <w:i/>
          <w:iCs/>
          <w:color w:val="000000" w:themeColor="text1"/>
          <w:sz w:val="22"/>
          <w:szCs w:val="22"/>
          <w:lang w:val="es-ES"/>
        </w:rPr>
      </w:pPr>
    </w:p>
    <w:p w14:paraId="7B25B9C8" w14:textId="4977E181" w:rsidR="00E16F58" w:rsidRDefault="00E16F58" w:rsidP="00E16F58">
      <w:pPr>
        <w:numPr>
          <w:ilvl w:val="0"/>
          <w:numId w:val="2"/>
        </w:numPr>
        <w:spacing w:line="360" w:lineRule="auto"/>
        <w:ind w:left="0" w:firstLine="0"/>
        <w:contextualSpacing/>
        <w:jc w:val="both"/>
        <w:rPr>
          <w:rFonts w:ascii="Palatino Linotype" w:eastAsia="Times New Roman" w:hAnsi="Palatino Linotype" w:cs="Arial"/>
          <w:color w:val="000000" w:themeColor="text1"/>
          <w:lang w:val="es-ES"/>
        </w:rPr>
      </w:pPr>
      <w:r w:rsidRPr="00877764">
        <w:rPr>
          <w:rFonts w:ascii="Palatino Linotype" w:hAnsi="Palatino Linotype" w:cs="Arial"/>
        </w:rPr>
        <w:t>Asimismo</w:t>
      </w:r>
      <w:r>
        <w:rPr>
          <w:rFonts w:ascii="Palatino Linotype" w:eastAsia="Times New Roman" w:hAnsi="Palatino Linotype" w:cs="Arial"/>
          <w:color w:val="000000" w:themeColor="text1"/>
          <w:lang w:val="es-ES"/>
        </w:rPr>
        <w:t>,</w:t>
      </w:r>
      <w:r w:rsidRPr="006815A2">
        <w:rPr>
          <w:rFonts w:ascii="Palatino Linotype" w:eastAsia="Times New Roman" w:hAnsi="Palatino Linotype" w:cs="Arial"/>
          <w:color w:val="000000" w:themeColor="text1"/>
          <w:lang w:val="es-ES"/>
        </w:rPr>
        <w:t xml:space="preserve"> ha sido criterio del Instituto Nacional de Transparencia, Acceso a la Información y Protección de Datos Personales bajo el </w:t>
      </w:r>
      <w:r w:rsidRPr="004C10BC">
        <w:rPr>
          <w:rFonts w:ascii="Palatino Linotype" w:eastAsia="Times New Roman" w:hAnsi="Palatino Linotype" w:cs="Arial"/>
          <w:b/>
          <w:color w:val="000000" w:themeColor="text1"/>
          <w:lang w:val="es-ES"/>
        </w:rPr>
        <w:t>criterio número</w:t>
      </w:r>
      <w:r w:rsidRPr="006815A2">
        <w:rPr>
          <w:rFonts w:ascii="Palatino Linotype" w:eastAsia="Times New Roman" w:hAnsi="Palatino Linotype" w:cs="Arial"/>
          <w:color w:val="000000" w:themeColor="text1"/>
          <w:lang w:val="es-ES"/>
        </w:rPr>
        <w:t xml:space="preserve"> </w:t>
      </w:r>
      <w:r w:rsidRPr="004C10BC">
        <w:rPr>
          <w:rFonts w:ascii="Palatino Linotype" w:eastAsia="Times New Roman" w:hAnsi="Palatino Linotype" w:cs="Arial"/>
          <w:b/>
          <w:color w:val="000000" w:themeColor="text1"/>
          <w:lang w:val="es-ES"/>
        </w:rPr>
        <w:t>01/17</w:t>
      </w:r>
      <w:r w:rsidRPr="006815A2">
        <w:rPr>
          <w:rFonts w:ascii="Palatino Linotype" w:eastAsia="Times New Roman" w:hAnsi="Palatino Linotype" w:cs="Arial"/>
          <w:color w:val="000000" w:themeColor="text1"/>
          <w:lang w:val="es-ES"/>
        </w:rPr>
        <w:t xml:space="preserve"> que </w:t>
      </w:r>
      <w:r w:rsidRPr="006815A2">
        <w:rPr>
          <w:rFonts w:ascii="Palatino Linotype" w:eastAsia="Times New Roman" w:hAnsi="Palatino Linotype" w:cs="Arial"/>
          <w:bCs/>
          <w:color w:val="000000" w:themeColor="text1"/>
          <w:u w:val="single"/>
          <w:lang w:val="es-ES"/>
        </w:rPr>
        <w:t>resulta improcedente ampliar las solicitudes de información pública</w:t>
      </w:r>
      <w:r w:rsidRPr="006815A2">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6815A2">
        <w:rPr>
          <w:rFonts w:ascii="Palatino Linotype" w:eastAsia="Times New Roman" w:hAnsi="Palatino Linotype" w:cs="Arial"/>
          <w:color w:val="000000" w:themeColor="text1"/>
          <w:lang w:val="es-ES"/>
        </w:rPr>
        <w:t xml:space="preserve">, como se estima acontece en el presente asunto, al aumentar datos a la solicitud inicial, </w:t>
      </w:r>
      <w:r w:rsidRPr="006815A2">
        <w:rPr>
          <w:rFonts w:ascii="Palatino Linotype" w:eastAsia="Times New Roman" w:hAnsi="Palatino Linotype" w:cs="Arial"/>
          <w:b/>
          <w:bCs/>
          <w:color w:val="000000" w:themeColor="text1"/>
          <w:lang w:val="es-ES"/>
        </w:rPr>
        <w:t>por lo que se insiste no se puede entrar al estudio de la información novedosa</w:t>
      </w:r>
      <w:r w:rsidRPr="006815A2">
        <w:rPr>
          <w:rFonts w:ascii="Palatino Linotype" w:eastAsia="Times New Roman" w:hAnsi="Palatino Linotype" w:cs="Arial"/>
          <w:color w:val="000000" w:themeColor="text1"/>
          <w:lang w:val="es-ES"/>
        </w:rPr>
        <w:t>, criterio que es de la literalidad siguiente:</w:t>
      </w:r>
    </w:p>
    <w:p w14:paraId="1712E3C3" w14:textId="77777777" w:rsidR="00E16F58" w:rsidRPr="006815A2" w:rsidRDefault="00E16F58" w:rsidP="00E16F58">
      <w:pPr>
        <w:spacing w:line="360" w:lineRule="auto"/>
        <w:contextualSpacing/>
        <w:jc w:val="both"/>
        <w:rPr>
          <w:rFonts w:ascii="Palatino Linotype" w:eastAsia="Times New Roman" w:hAnsi="Palatino Linotype" w:cs="Arial"/>
          <w:color w:val="000000" w:themeColor="text1"/>
          <w:lang w:val="es-ES"/>
        </w:rPr>
      </w:pPr>
    </w:p>
    <w:p w14:paraId="71551654" w14:textId="77777777" w:rsidR="00E16F58" w:rsidRPr="00152F5A" w:rsidRDefault="00E16F58" w:rsidP="00E16F58">
      <w:pPr>
        <w:spacing w:line="360" w:lineRule="auto"/>
        <w:ind w:left="567" w:right="567"/>
        <w:jc w:val="both"/>
        <w:rPr>
          <w:rFonts w:ascii="Palatino Linotype" w:hAnsi="Palatino Linotype" w:cs="Arial"/>
          <w:b/>
          <w:i/>
        </w:rPr>
      </w:pPr>
      <w:r w:rsidRPr="00152F5A">
        <w:rPr>
          <w:rFonts w:ascii="Palatino Linotype" w:hAnsi="Palatino Linotype" w:cs="Arial"/>
          <w:b/>
          <w:i/>
        </w:rPr>
        <w:t xml:space="preserve">Es improcedente ampliar las solicitudes de acceso a información, a través de la interposición del recurso de revisión. </w:t>
      </w:r>
      <w:r w:rsidRPr="00152F5A">
        <w:rPr>
          <w:rFonts w:ascii="Palatino Linotype" w:hAnsi="Palatino Linotype" w:cs="Arial"/>
          <w:i/>
        </w:rPr>
        <w:t xml:space="preserve">En términos de los artículos 155, fracción VII de la Ley General de Transparencia y Acceso a la Información Pública, y 161, fracción VII de la Ley Federal de Transparencia y Acceso a la Información Pública, en aquellos casos en que los recurrentes, mediante su </w:t>
      </w:r>
      <w:r w:rsidRPr="00152F5A">
        <w:rPr>
          <w:rFonts w:ascii="Palatino Linotype" w:hAnsi="Palatino Linotype" w:cs="Arial"/>
          <w:i/>
        </w:rPr>
        <w:lastRenderedPageBreak/>
        <w:t>recurso de revisión, amplíen los alcances de la solicitud de información inicial, los nuevos contenidos no podrán constituir materia del procedimiento a sustanciarse por el Instituto Nacional de Transparencia, Acceso a la Información y Protección de Datos Personales; actualizándose la hipótesis de improcedencia respectiva.</w:t>
      </w:r>
    </w:p>
    <w:p w14:paraId="68468B46" w14:textId="77777777" w:rsidR="00E16F58" w:rsidRPr="00152F5A" w:rsidRDefault="00E16F58" w:rsidP="00E16F58">
      <w:pPr>
        <w:ind w:left="993" w:right="567"/>
        <w:jc w:val="both"/>
        <w:rPr>
          <w:rFonts w:ascii="Palatino Linotype" w:hAnsi="Palatino Linotype" w:cs="Arial"/>
          <w:b/>
          <w:i/>
        </w:rPr>
      </w:pPr>
    </w:p>
    <w:p w14:paraId="7559F8E2" w14:textId="77777777" w:rsidR="00E16F58" w:rsidRPr="00152F5A" w:rsidRDefault="00E16F58" w:rsidP="00E16F58">
      <w:pPr>
        <w:ind w:left="993" w:right="567"/>
        <w:jc w:val="both"/>
        <w:rPr>
          <w:rFonts w:ascii="Palatino Linotype" w:hAnsi="Palatino Linotype" w:cs="Arial"/>
          <w:b/>
          <w:i/>
          <w:sz w:val="20"/>
        </w:rPr>
      </w:pPr>
      <w:r w:rsidRPr="00152F5A">
        <w:rPr>
          <w:rFonts w:ascii="Palatino Linotype" w:hAnsi="Palatino Linotype" w:cs="Arial"/>
          <w:b/>
          <w:i/>
          <w:sz w:val="20"/>
        </w:rPr>
        <w:t>Resoluciones:</w:t>
      </w:r>
    </w:p>
    <w:p w14:paraId="17ADEAFE" w14:textId="77777777" w:rsidR="00E16F58" w:rsidRPr="00152F5A" w:rsidRDefault="00E16F58" w:rsidP="00E16F58">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152F5A">
        <w:rPr>
          <w:rFonts w:ascii="Palatino Linotype" w:hAnsi="Palatino Linotype" w:cs="Arial"/>
          <w:b/>
          <w:i/>
          <w:sz w:val="20"/>
        </w:rPr>
        <w:t>RRA 0196/16.</w:t>
      </w:r>
      <w:r w:rsidRPr="00152F5A">
        <w:rPr>
          <w:rFonts w:ascii="Palatino Linotype" w:hAnsi="Palatino Linotype" w:cs="Arial"/>
          <w:i/>
          <w:sz w:val="20"/>
        </w:rPr>
        <w:t xml:space="preserve"> Secretaría de Agricultura, Ganadería, Desarrollo Rural, Pesca y Alimentación. 13 de julio de 2016. Por unanimidad. Comisionado Ponente Joel Salas Suárez.</w:t>
      </w:r>
    </w:p>
    <w:p w14:paraId="061CD38A" w14:textId="77777777" w:rsidR="00E16F58" w:rsidRPr="00152F5A" w:rsidRDefault="00E16F58" w:rsidP="00E16F58">
      <w:pPr>
        <w:pStyle w:val="Prrafodelista"/>
        <w:numPr>
          <w:ilvl w:val="0"/>
          <w:numId w:val="36"/>
        </w:numPr>
        <w:spacing w:before="120" w:after="120"/>
        <w:ind w:left="993" w:right="567" w:hanging="284"/>
        <w:contextualSpacing w:val="0"/>
        <w:jc w:val="both"/>
        <w:rPr>
          <w:rFonts w:ascii="Palatino Linotype" w:hAnsi="Palatino Linotype" w:cs="Arial"/>
          <w:i/>
          <w:sz w:val="20"/>
        </w:rPr>
      </w:pPr>
      <w:r w:rsidRPr="00152F5A">
        <w:rPr>
          <w:rFonts w:ascii="Palatino Linotype" w:hAnsi="Palatino Linotype" w:cs="Arial"/>
          <w:b/>
          <w:i/>
          <w:sz w:val="20"/>
        </w:rPr>
        <w:t xml:space="preserve">RRA 0130/16. </w:t>
      </w:r>
      <w:r w:rsidRPr="00152F5A">
        <w:rPr>
          <w:rFonts w:ascii="Palatino Linotype" w:hAnsi="Palatino Linotype" w:cs="Arial"/>
          <w:i/>
          <w:sz w:val="20"/>
        </w:rPr>
        <w:t xml:space="preserve">Comisión Nacional del Agua. 09 de agosto de 2016. Por unanimidad. Comisionado Ponente </w:t>
      </w:r>
      <w:r w:rsidRPr="00152F5A">
        <w:rPr>
          <w:rFonts w:ascii="Palatino Linotype" w:hAnsi="Palatino Linotype"/>
          <w:i/>
          <w:color w:val="000000"/>
          <w:sz w:val="20"/>
        </w:rPr>
        <w:t>María Patricia Kurczyn Villalobos.</w:t>
      </w:r>
    </w:p>
    <w:p w14:paraId="1AEC10A1" w14:textId="302E9DD9" w:rsidR="00E16F58" w:rsidRDefault="00E16F58" w:rsidP="00E16F58">
      <w:pPr>
        <w:pStyle w:val="Prrafodelista"/>
        <w:shd w:val="clear" w:color="auto" w:fill="FFFFFF"/>
        <w:spacing w:before="240" w:after="240" w:line="360" w:lineRule="auto"/>
        <w:ind w:left="993" w:right="567"/>
        <w:jc w:val="both"/>
        <w:rPr>
          <w:rFonts w:ascii="Palatino Linotype" w:hAnsi="Palatino Linotype" w:cs="Arial"/>
          <w:i/>
          <w:sz w:val="20"/>
        </w:rPr>
      </w:pPr>
      <w:r w:rsidRPr="00152F5A">
        <w:rPr>
          <w:rFonts w:ascii="Palatino Linotype" w:hAnsi="Palatino Linotype" w:cs="Arial"/>
          <w:b/>
          <w:i/>
          <w:sz w:val="20"/>
        </w:rPr>
        <w:t>RRA 0342/16.</w:t>
      </w:r>
      <w:r w:rsidRPr="00152F5A">
        <w:rPr>
          <w:rFonts w:ascii="Palatino Linotype" w:hAnsi="Palatino Linotype" w:cs="Arial"/>
          <w:i/>
          <w:sz w:val="20"/>
        </w:rPr>
        <w:t xml:space="preserve"> Colegio de Bachilleres. 24 de agosto de 2016. Por unanimidad. Comisionada Ponente Ximena Puente de la Mora.</w:t>
      </w:r>
    </w:p>
    <w:p w14:paraId="076A5564" w14:textId="77777777" w:rsidR="00E16F58" w:rsidRDefault="00E16F58" w:rsidP="00E16F58">
      <w:pPr>
        <w:pStyle w:val="Prrafodelista"/>
        <w:shd w:val="clear" w:color="auto" w:fill="FFFFFF"/>
        <w:spacing w:before="240" w:after="240" w:line="360" w:lineRule="auto"/>
        <w:ind w:left="993" w:right="567"/>
        <w:jc w:val="both"/>
        <w:rPr>
          <w:rFonts w:ascii="Palatino Linotype" w:hAnsi="Palatino Linotype" w:cs="Arial"/>
          <w:i/>
          <w:sz w:val="20"/>
        </w:rPr>
      </w:pPr>
    </w:p>
    <w:p w14:paraId="1FB56490" w14:textId="0CDFBA70" w:rsidR="00E16F58" w:rsidRPr="001B2CE2" w:rsidRDefault="00E16F58" w:rsidP="00E16F58">
      <w:pPr>
        <w:numPr>
          <w:ilvl w:val="0"/>
          <w:numId w:val="2"/>
        </w:numPr>
        <w:spacing w:line="360" w:lineRule="auto"/>
        <w:ind w:left="0" w:firstLine="0"/>
        <w:contextualSpacing/>
        <w:jc w:val="both"/>
        <w:rPr>
          <w:rFonts w:ascii="Palatino Linotype" w:hAnsi="Palatino Linotype" w:cs="Arial"/>
          <w:noProof/>
          <w:lang w:eastAsia="es-MX"/>
        </w:rPr>
      </w:pPr>
      <w:r w:rsidRPr="001B2CE2">
        <w:rPr>
          <w:rFonts w:ascii="Palatino Linotype" w:hAnsi="Palatino Linotype" w:cs="Arial"/>
          <w:noProof/>
          <w:lang w:eastAsia="es-MX"/>
        </w:rPr>
        <w:t>Finalmente por cuanto hace a</w:t>
      </w:r>
      <w:r>
        <w:rPr>
          <w:rFonts w:ascii="Palatino Linotype" w:hAnsi="Palatino Linotype"/>
          <w:i/>
          <w:color w:val="000000" w:themeColor="text1"/>
        </w:rPr>
        <w:t>: “…</w:t>
      </w:r>
      <w:r w:rsidRPr="00DA6C1D">
        <w:rPr>
          <w:rFonts w:ascii="Palatino Linotype" w:hAnsi="Palatino Linotype"/>
          <w:i/>
          <w:color w:val="000000" w:themeColor="text1"/>
        </w:rPr>
        <w:t>lo único que pretende es descubrir quienes les solicitamos información para amedrentarnos, pues así lo ha declarado el presidente y la de transparencia, que van a descubrir quien les solicita información y no se la va a acabar, que harán lo necesario para que se arrepienta, y tales actitudes son notoriamente ilegales e infringen la ley de la materia, en tanto que no pueden andar investigando quien les solicita información y mucho menos para amedrentarlo</w:t>
      </w:r>
      <w:r>
        <w:rPr>
          <w:rFonts w:ascii="Palatino Linotype" w:hAnsi="Palatino Linotype"/>
          <w:i/>
          <w:color w:val="000000" w:themeColor="text1"/>
        </w:rPr>
        <w:t>…”</w:t>
      </w:r>
      <w:r w:rsidRPr="00E16F58">
        <w:rPr>
          <w:rFonts w:ascii="Palatino Linotype" w:hAnsi="Palatino Linotype"/>
          <w:color w:val="000000" w:themeColor="text1"/>
        </w:rPr>
        <w:t xml:space="preserve"> </w:t>
      </w:r>
      <w:r w:rsidRPr="001B2CE2">
        <w:rPr>
          <w:rFonts w:ascii="Palatino Linotype" w:hAnsi="Palatino Linotype"/>
          <w:color w:val="000000" w:themeColor="text1"/>
        </w:rPr>
        <w:t xml:space="preserve">Este Órgano Garante advierte que se trata de manifestaciones </w:t>
      </w:r>
      <w:r w:rsidRPr="00D6298C">
        <w:rPr>
          <w:rFonts w:ascii="Palatino Linotype" w:eastAsia="Times New Roman" w:hAnsi="Palatino Linotype" w:cs="Times New Roman"/>
          <w:color w:val="222222"/>
          <w:lang w:val="es-MX" w:eastAsia="es-MX"/>
        </w:rPr>
        <w:t xml:space="preserve">unilaterales subjetivas de la parte recurrente en ejercicio del derecho de libertad de expresión, las cuales resultan inatendibles, ya que este Instituto en términos </w:t>
      </w:r>
      <w:r>
        <w:rPr>
          <w:rFonts w:ascii="Palatino Linotype" w:eastAsia="Times New Roman" w:hAnsi="Palatino Linotype" w:cs="Times New Roman"/>
          <w:color w:val="222222"/>
          <w:lang w:val="es-MX" w:eastAsia="es-MX"/>
        </w:rPr>
        <w:t xml:space="preserve">del artículo 36 </w:t>
      </w:r>
      <w:r w:rsidRPr="00D6298C">
        <w:rPr>
          <w:rFonts w:ascii="Palatino Linotype" w:eastAsia="Times New Roman" w:hAnsi="Palatino Linotype" w:cs="Times New Roman"/>
          <w:color w:val="222222"/>
          <w:lang w:val="es-MX" w:eastAsia="es-MX"/>
        </w:rPr>
        <w:t xml:space="preserve">de la </w:t>
      </w:r>
      <w:r w:rsidRPr="001B2CE2">
        <w:rPr>
          <w:rFonts w:ascii="Palatino Linotype" w:eastAsia="Times New Roman" w:hAnsi="Palatino Linotype" w:cs="Times New Roman"/>
          <w:b/>
          <w:color w:val="222222"/>
          <w:lang w:val="es-MX" w:eastAsia="es-MX"/>
        </w:rPr>
        <w:t xml:space="preserve">Ley de Transparencia y Acceso a la </w:t>
      </w:r>
      <w:r w:rsidRPr="001B2CE2">
        <w:rPr>
          <w:rFonts w:ascii="Palatino Linotype" w:eastAsia="Times New Roman" w:hAnsi="Palatino Linotype" w:cs="Times New Roman"/>
          <w:b/>
          <w:color w:val="222222"/>
          <w:lang w:val="es-MX" w:eastAsia="es-MX"/>
        </w:rPr>
        <w:lastRenderedPageBreak/>
        <w:t>Información Pública del Estado de México y Municipios</w:t>
      </w:r>
      <w:r w:rsidRPr="00D6298C">
        <w:rPr>
          <w:rFonts w:ascii="Palatino Linotype" w:eastAsia="Times New Roman" w:hAnsi="Palatino Linotype" w:cs="Times New Roman"/>
          <w:color w:val="222222"/>
          <w:lang w:val="es-MX" w:eastAsia="es-MX"/>
        </w:rPr>
        <w:t xml:space="preserve"> y de las demás disposiciones jurídicas aplicables, carece de facultades para pronunciarse sobre las mismas</w:t>
      </w:r>
      <w:r>
        <w:rPr>
          <w:rFonts w:ascii="Palatino Linotype" w:eastAsia="Times New Roman" w:hAnsi="Palatino Linotype" w:cs="Times New Roman"/>
          <w:color w:val="222222"/>
          <w:lang w:val="es-MX" w:eastAsia="es-MX"/>
        </w:rPr>
        <w:t xml:space="preserve">. </w:t>
      </w:r>
    </w:p>
    <w:p w14:paraId="0188A8A5" w14:textId="2EE6A4AF" w:rsidR="00E16F58" w:rsidRDefault="00E16F58" w:rsidP="00E16F58">
      <w:pPr>
        <w:spacing w:line="360" w:lineRule="auto"/>
        <w:contextualSpacing/>
        <w:jc w:val="both"/>
        <w:rPr>
          <w:rFonts w:ascii="Palatino Linotype" w:hAnsi="Palatino Linotype" w:cs="Arial"/>
          <w:noProof/>
          <w:lang w:eastAsia="es-MX"/>
        </w:rPr>
      </w:pPr>
    </w:p>
    <w:p w14:paraId="22265E14" w14:textId="77777777" w:rsidR="00FD4A4B" w:rsidRPr="00FD4A4B" w:rsidRDefault="00FD4A4B" w:rsidP="00FD4A4B">
      <w:pPr>
        <w:pStyle w:val="Prrafodelista"/>
        <w:rPr>
          <w:rFonts w:ascii="Palatino Linotype" w:eastAsia="Times New Roman" w:hAnsi="Palatino Linotype"/>
        </w:rPr>
      </w:pPr>
    </w:p>
    <w:p w14:paraId="203D782D" w14:textId="252D535C" w:rsidR="00E71F29" w:rsidRDefault="00E71F29" w:rsidP="00E71F29">
      <w:pPr>
        <w:pStyle w:val="Prrafodelista"/>
        <w:numPr>
          <w:ilvl w:val="0"/>
          <w:numId w:val="2"/>
        </w:numPr>
        <w:tabs>
          <w:tab w:val="left" w:pos="426"/>
        </w:tabs>
        <w:spacing w:line="360" w:lineRule="auto"/>
        <w:ind w:left="0" w:firstLine="0"/>
        <w:jc w:val="both"/>
        <w:rPr>
          <w:rFonts w:ascii="Palatino Linotype" w:eastAsia="MS Mincho" w:hAnsi="Palatino Linotype" w:cs="Arial"/>
          <w:color w:val="000000" w:themeColor="text1"/>
        </w:rPr>
      </w:pPr>
      <w:r w:rsidRPr="002D5698">
        <w:rPr>
          <w:rFonts w:ascii="Palatino Linotype" w:eastAsia="Times New Roman" w:hAnsi="Palatino Linotype" w:cs="Arial"/>
          <w:lang w:val="es-ES"/>
        </w:rPr>
        <w:t xml:space="preserve">Por lo anteriormente expuesto, resultan infundadas las razones o motivos de </w:t>
      </w:r>
      <w:r w:rsidRPr="002D5698">
        <w:rPr>
          <w:rFonts w:ascii="Palatino Linotype" w:hAnsi="Palatino Linotype" w:cs="Arial"/>
        </w:rPr>
        <w:t>inconformidad hechos valer por el</w:t>
      </w:r>
      <w:r w:rsidRPr="002D5698">
        <w:rPr>
          <w:rFonts w:ascii="Palatino Linotype" w:hAnsi="Palatino Linotype"/>
        </w:rPr>
        <w:t xml:space="preserve"> </w:t>
      </w:r>
      <w:r w:rsidRPr="002D5698">
        <w:rPr>
          <w:rFonts w:ascii="Palatino Linotype" w:hAnsi="Palatino Linotype"/>
          <w:b/>
        </w:rPr>
        <w:t>RECURRENTE</w:t>
      </w:r>
      <w:r w:rsidRPr="002D5698">
        <w:rPr>
          <w:rFonts w:ascii="Palatino Linotype" w:hAnsi="Palatino Linotype" w:cs="Arial"/>
        </w:rPr>
        <w:t>, toda vez que</w:t>
      </w:r>
      <w:r w:rsidRPr="002D5698">
        <w:rPr>
          <w:rFonts w:ascii="Palatino Linotype" w:eastAsia="Times New Roman" w:hAnsi="Palatino Linotype" w:cs="Times New Roman"/>
        </w:rPr>
        <w:t xml:space="preserve"> no se actualiza</w:t>
      </w:r>
      <w:r>
        <w:rPr>
          <w:rFonts w:ascii="Palatino Linotype" w:eastAsia="Times New Roman" w:hAnsi="Palatino Linotype" w:cs="Times New Roman"/>
        </w:rPr>
        <w:t>n</w:t>
      </w:r>
      <w:r w:rsidRPr="002D5698">
        <w:rPr>
          <w:rFonts w:ascii="Palatino Linotype" w:eastAsia="Times New Roman" w:hAnsi="Palatino Linotype" w:cs="Times New Roman"/>
        </w:rPr>
        <w:t xml:space="preserve"> la hipótesis de procedencia</w:t>
      </w:r>
      <w:r w:rsidRPr="002D5698">
        <w:rPr>
          <w:rFonts w:ascii="Palatino Linotype" w:eastAsia="Times New Roman" w:hAnsi="Palatino Linotype" w:cs="Times New Roman"/>
          <w:b/>
        </w:rPr>
        <w:t xml:space="preserve"> </w:t>
      </w:r>
      <w:r w:rsidRPr="002D5698">
        <w:rPr>
          <w:rFonts w:ascii="Palatino Linotype" w:eastAsia="Times New Roman" w:hAnsi="Palatino Linotype" w:cs="Arial"/>
          <w:color w:val="222222"/>
          <w:lang w:eastAsia="es-MX"/>
        </w:rPr>
        <w:t>contenida</w:t>
      </w:r>
      <w:r>
        <w:rPr>
          <w:rFonts w:ascii="Palatino Linotype" w:eastAsia="Times New Roman" w:hAnsi="Palatino Linotype" w:cs="Arial"/>
          <w:color w:val="222222"/>
          <w:lang w:eastAsia="es-MX"/>
        </w:rPr>
        <w:t>s</w:t>
      </w:r>
      <w:r w:rsidRPr="002D5698">
        <w:rPr>
          <w:rFonts w:ascii="Palatino Linotype" w:eastAsia="Times New Roman" w:hAnsi="Palatino Linotype" w:cs="Arial"/>
          <w:color w:val="222222"/>
          <w:lang w:eastAsia="es-MX"/>
        </w:rPr>
        <w:t xml:space="preserve"> en </w:t>
      </w:r>
      <w:r>
        <w:rPr>
          <w:rFonts w:ascii="Palatino Linotype" w:eastAsia="Times New Roman" w:hAnsi="Palatino Linotype" w:cs="Arial"/>
          <w:color w:val="222222"/>
          <w:lang w:val="es-ES" w:eastAsia="es-MX"/>
        </w:rPr>
        <w:t>el artículo 179 fracciones</w:t>
      </w:r>
      <w:r w:rsidRPr="002D5698">
        <w:rPr>
          <w:rFonts w:ascii="Palatino Linotype" w:eastAsia="Times New Roman" w:hAnsi="Palatino Linotype" w:cs="Arial"/>
          <w:color w:val="222222"/>
          <w:lang w:val="es-ES" w:eastAsia="es-MX"/>
        </w:rPr>
        <w:t xml:space="preserve"> V</w:t>
      </w:r>
      <w:r>
        <w:rPr>
          <w:rFonts w:ascii="Palatino Linotype" w:eastAsia="Times New Roman" w:hAnsi="Palatino Linotype" w:cs="Arial"/>
          <w:color w:val="222222"/>
          <w:lang w:val="es-ES" w:eastAsia="es-MX"/>
        </w:rPr>
        <w:t>III</w:t>
      </w:r>
      <w:r w:rsidRPr="002D5698">
        <w:rPr>
          <w:rFonts w:ascii="Palatino Linotype" w:eastAsia="Times New Roman" w:hAnsi="Palatino Linotype" w:cs="Arial"/>
          <w:color w:val="222222"/>
          <w:lang w:val="es-ES" w:eastAsia="es-MX"/>
        </w:rPr>
        <w:t xml:space="preserve"> </w:t>
      </w:r>
      <w:r>
        <w:rPr>
          <w:rFonts w:ascii="Palatino Linotype" w:eastAsia="Times New Roman" w:hAnsi="Palatino Linotype" w:cs="Arial"/>
          <w:color w:val="222222"/>
          <w:lang w:val="es-ES" w:eastAsia="es-MX"/>
        </w:rPr>
        <w:t xml:space="preserve"> y XIII </w:t>
      </w:r>
      <w:r w:rsidRPr="002D5698">
        <w:rPr>
          <w:rFonts w:ascii="Palatino Linotype" w:eastAsia="Times New Roman" w:hAnsi="Palatino Linotype" w:cs="Arial"/>
          <w:color w:val="222222"/>
          <w:lang w:val="es-ES" w:eastAsia="es-MX"/>
        </w:rPr>
        <w:t xml:space="preserve">de la </w:t>
      </w:r>
      <w:r w:rsidRPr="002D5698">
        <w:rPr>
          <w:rFonts w:ascii="Palatino Linotype" w:eastAsia="Calibri" w:hAnsi="Palatino Linotype" w:cs="Arial"/>
          <w:b/>
          <w:lang w:val="es-ES"/>
        </w:rPr>
        <w:t>Ley de Transparencia y Acceso a la Información Pública del Estado de México y Municipios</w:t>
      </w:r>
      <w:r w:rsidRPr="002D5698">
        <w:rPr>
          <w:rFonts w:ascii="Palatino Linotype" w:eastAsia="Times New Roman" w:hAnsi="Palatino Linotype" w:cs="Arial"/>
          <w:color w:val="222222"/>
          <w:lang w:val="es-ES" w:eastAsia="es-MX"/>
        </w:rPr>
        <w:t>, por lo que este Órgano Garante emite los siguientes</w:t>
      </w:r>
      <w:r w:rsidRPr="002D5698">
        <w:rPr>
          <w:rFonts w:ascii="Palatino Linotype" w:eastAsia="MS Mincho" w:hAnsi="Palatino Linotype" w:cs="Arial"/>
          <w:color w:val="000000" w:themeColor="text1"/>
        </w:rPr>
        <w:t xml:space="preserve">: </w:t>
      </w:r>
    </w:p>
    <w:p w14:paraId="220E1324" w14:textId="77777777" w:rsidR="004E3F55" w:rsidRPr="004E3F55" w:rsidRDefault="004E3F55" w:rsidP="004E3F55">
      <w:pPr>
        <w:pStyle w:val="Prrafodelista"/>
        <w:rPr>
          <w:rFonts w:ascii="Palatino Linotype" w:eastAsia="MS Mincho" w:hAnsi="Palatino Linotype" w:cs="Arial"/>
          <w:color w:val="000000" w:themeColor="text1"/>
        </w:rPr>
      </w:pPr>
    </w:p>
    <w:p w14:paraId="56E3BF52" w14:textId="06E1CB99" w:rsidR="004E3F55" w:rsidRDefault="004E3F55" w:rsidP="004E3F55">
      <w:pPr>
        <w:tabs>
          <w:tab w:val="left" w:pos="426"/>
        </w:tabs>
        <w:spacing w:line="360" w:lineRule="auto"/>
        <w:jc w:val="both"/>
        <w:rPr>
          <w:rFonts w:ascii="Palatino Linotype" w:eastAsia="MS Mincho" w:hAnsi="Palatino Linotype" w:cs="Arial"/>
          <w:color w:val="000000" w:themeColor="text1"/>
        </w:rPr>
      </w:pPr>
    </w:p>
    <w:p w14:paraId="1F4C5A5E" w14:textId="5C4F2FFD" w:rsidR="004E3F55" w:rsidRDefault="004E3F55" w:rsidP="004E3F55">
      <w:pPr>
        <w:tabs>
          <w:tab w:val="left" w:pos="426"/>
        </w:tabs>
        <w:spacing w:line="360" w:lineRule="auto"/>
        <w:jc w:val="both"/>
        <w:rPr>
          <w:rFonts w:ascii="Palatino Linotype" w:eastAsia="MS Mincho" w:hAnsi="Palatino Linotype" w:cs="Arial"/>
          <w:color w:val="000000" w:themeColor="text1"/>
        </w:rPr>
      </w:pPr>
    </w:p>
    <w:p w14:paraId="64F0E5BC" w14:textId="4384C592"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579C55D8" w14:textId="4C4BE2FB"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164FA0D6" w14:textId="6FD7AC10"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3FF0D62D" w14:textId="5B22FD37"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6859035D" w14:textId="757F40B3"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2DE1FD0D" w14:textId="2790FF7A"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00A5C0AB" w14:textId="77777777" w:rsidR="00E16F58" w:rsidRDefault="00E16F58" w:rsidP="004E3F55">
      <w:pPr>
        <w:tabs>
          <w:tab w:val="left" w:pos="426"/>
        </w:tabs>
        <w:spacing w:line="360" w:lineRule="auto"/>
        <w:jc w:val="both"/>
        <w:rPr>
          <w:rFonts w:ascii="Palatino Linotype" w:eastAsia="MS Mincho" w:hAnsi="Palatino Linotype" w:cs="Arial"/>
          <w:color w:val="000000" w:themeColor="text1"/>
        </w:rPr>
      </w:pPr>
    </w:p>
    <w:p w14:paraId="3FAD8164" w14:textId="77777777" w:rsidR="004E3F55" w:rsidRPr="004E3F55" w:rsidRDefault="004E3F55" w:rsidP="004E3F55">
      <w:pPr>
        <w:tabs>
          <w:tab w:val="left" w:pos="426"/>
        </w:tabs>
        <w:spacing w:line="360" w:lineRule="auto"/>
        <w:jc w:val="both"/>
        <w:rPr>
          <w:rFonts w:ascii="Palatino Linotype" w:eastAsia="MS Mincho" w:hAnsi="Palatino Linotype" w:cs="Arial"/>
          <w:color w:val="000000" w:themeColor="text1"/>
        </w:rPr>
      </w:pPr>
    </w:p>
    <w:p w14:paraId="46369032" w14:textId="3AF6C034" w:rsidR="004C232A" w:rsidRDefault="004C232A" w:rsidP="00575D13">
      <w:pPr>
        <w:spacing w:line="360" w:lineRule="auto"/>
        <w:contextualSpacing/>
        <w:rPr>
          <w:rFonts w:ascii="Palatino Linotype" w:eastAsia="Times New Roman" w:hAnsi="Palatino Linotype"/>
          <w:highlight w:val="green"/>
        </w:rPr>
      </w:pPr>
    </w:p>
    <w:p w14:paraId="11226624" w14:textId="77777777" w:rsidR="00575D13" w:rsidRPr="006A0827" w:rsidRDefault="00575D13" w:rsidP="00575D13">
      <w:pPr>
        <w:pStyle w:val="Ttulo1"/>
        <w:spacing w:before="0" w:line="360" w:lineRule="auto"/>
        <w:jc w:val="center"/>
        <w:rPr>
          <w:rFonts w:eastAsia="Calibri"/>
          <w:b/>
          <w:szCs w:val="24"/>
          <w:lang w:val="es-ES" w:eastAsia="es-ES"/>
        </w:rPr>
      </w:pPr>
      <w:bookmarkStart w:id="163" w:name="_Toc504500693"/>
      <w:bookmarkStart w:id="164" w:name="_Toc534742545"/>
      <w:bookmarkStart w:id="165" w:name="_Toc2248738"/>
      <w:bookmarkStart w:id="166" w:name="_Toc34819440"/>
      <w:bookmarkStart w:id="167" w:name="_Toc51259595"/>
      <w:bookmarkStart w:id="168" w:name="_Toc51457393"/>
      <w:r w:rsidRPr="006A0827">
        <w:rPr>
          <w:rFonts w:eastAsia="Calibri"/>
          <w:b/>
          <w:szCs w:val="24"/>
          <w:lang w:val="es-ES" w:eastAsia="es-ES"/>
        </w:rPr>
        <w:lastRenderedPageBreak/>
        <w:t>R E S O L U T I V O S</w:t>
      </w:r>
      <w:bookmarkEnd w:id="163"/>
      <w:bookmarkEnd w:id="164"/>
      <w:bookmarkEnd w:id="165"/>
      <w:bookmarkEnd w:id="166"/>
      <w:bookmarkEnd w:id="167"/>
      <w:bookmarkEnd w:id="168"/>
      <w:r w:rsidRPr="006A0827">
        <w:rPr>
          <w:rFonts w:eastAsia="Calibri"/>
          <w:b/>
          <w:szCs w:val="24"/>
          <w:lang w:val="es-ES" w:eastAsia="es-ES"/>
        </w:rPr>
        <w:t xml:space="preserve"> </w:t>
      </w:r>
    </w:p>
    <w:p w14:paraId="6FB536D0" w14:textId="77777777" w:rsidR="00575D13" w:rsidRPr="00A62DC6" w:rsidRDefault="00575D13" w:rsidP="00575D13">
      <w:pPr>
        <w:spacing w:line="360" w:lineRule="auto"/>
        <w:rPr>
          <w:lang w:val="es-ES"/>
        </w:rPr>
      </w:pPr>
    </w:p>
    <w:p w14:paraId="1604AB32" w14:textId="4844469A" w:rsidR="00575D13" w:rsidRPr="001139A2" w:rsidRDefault="00575D13" w:rsidP="00575D13">
      <w:pPr>
        <w:spacing w:line="360" w:lineRule="auto"/>
        <w:jc w:val="both"/>
        <w:rPr>
          <w:rFonts w:ascii="Palatino Linotype" w:eastAsia="Times New Roman" w:hAnsi="Palatino Linotype" w:cs="Times New Roman"/>
        </w:rPr>
      </w:pPr>
      <w:r w:rsidRPr="00B06FF1">
        <w:rPr>
          <w:rFonts w:ascii="Palatino Linotype" w:eastAsia="Times New Roman" w:hAnsi="Palatino Linotype" w:cs="Arial"/>
          <w:b/>
        </w:rPr>
        <w:t xml:space="preserve">PRIMERO. </w:t>
      </w:r>
      <w:r w:rsidRPr="00B06FF1">
        <w:rPr>
          <w:rFonts w:ascii="Palatino Linotype" w:eastAsia="Times New Roman" w:hAnsi="Palatino Linotype" w:cs="Arial"/>
        </w:rPr>
        <w:t>Resultan infundadas las</w:t>
      </w:r>
      <w:r w:rsidRPr="00B06FF1">
        <w:rPr>
          <w:rFonts w:ascii="Palatino Linotype" w:eastAsia="Times New Roman" w:hAnsi="Palatino Linotype" w:cs="Arial"/>
          <w:b/>
        </w:rPr>
        <w:t xml:space="preserve"> </w:t>
      </w:r>
      <w:r w:rsidRPr="00B06FF1">
        <w:rPr>
          <w:rFonts w:ascii="Palatino Linotype" w:eastAsia="Times New Roman" w:hAnsi="Palatino Linotype" w:cs="Arial"/>
          <w:lang w:val="es-ES"/>
        </w:rPr>
        <w:t xml:space="preserve">razones o motivos de inconformidad hechos valer </w:t>
      </w:r>
      <w:r>
        <w:rPr>
          <w:rFonts w:ascii="Palatino Linotype" w:eastAsia="Calibri" w:hAnsi="Palatino Linotype" w:cs="Arial"/>
          <w:lang w:val="es-ES"/>
        </w:rPr>
        <w:t xml:space="preserve">en </w:t>
      </w:r>
      <w:r w:rsidRPr="00B06FF1">
        <w:rPr>
          <w:rFonts w:ascii="Palatino Linotype" w:eastAsia="Calibri" w:hAnsi="Palatino Linotype" w:cs="Arial"/>
          <w:lang w:val="es-ES"/>
        </w:rPr>
        <w:t>l</w:t>
      </w:r>
      <w:r>
        <w:rPr>
          <w:rFonts w:ascii="Palatino Linotype" w:eastAsia="Calibri" w:hAnsi="Palatino Linotype" w:cs="Arial"/>
          <w:lang w:val="es-ES"/>
        </w:rPr>
        <w:t>os</w:t>
      </w:r>
      <w:r w:rsidRPr="00B06FF1">
        <w:rPr>
          <w:rFonts w:ascii="Palatino Linotype" w:eastAsia="Calibri" w:hAnsi="Palatino Linotype" w:cs="Arial"/>
          <w:lang w:val="es-ES"/>
        </w:rPr>
        <w:t xml:space="preserve"> recurso</w:t>
      </w:r>
      <w:r>
        <w:rPr>
          <w:rFonts w:ascii="Palatino Linotype" w:eastAsia="Calibri" w:hAnsi="Palatino Linotype" w:cs="Arial"/>
          <w:lang w:val="es-ES"/>
        </w:rPr>
        <w:t>s</w:t>
      </w:r>
      <w:r w:rsidRPr="00B06FF1">
        <w:rPr>
          <w:rFonts w:ascii="Palatino Linotype" w:eastAsia="Calibri" w:hAnsi="Palatino Linotype" w:cs="Arial"/>
          <w:lang w:val="es-ES"/>
        </w:rPr>
        <w:t xml:space="preserve"> de </w:t>
      </w:r>
      <w:r w:rsidRPr="001139A2">
        <w:rPr>
          <w:rFonts w:ascii="Palatino Linotype" w:eastAsia="Calibri" w:hAnsi="Palatino Linotype" w:cs="Arial"/>
          <w:lang w:val="es-ES"/>
        </w:rPr>
        <w:t xml:space="preserve">revisión </w:t>
      </w:r>
      <w:r w:rsidR="004E3F55">
        <w:rPr>
          <w:rFonts w:ascii="Palatino Linotype" w:hAnsi="Palatino Linotype"/>
          <w:b/>
        </w:rPr>
        <w:t>02683</w:t>
      </w:r>
      <w:r w:rsidR="004E3F55" w:rsidRPr="00184266">
        <w:rPr>
          <w:rFonts w:ascii="Palatino Linotype" w:hAnsi="Palatino Linotype"/>
          <w:b/>
        </w:rPr>
        <w:t>/INFOEM/IP/RR/2020, 0</w:t>
      </w:r>
      <w:r w:rsidR="004E3F55">
        <w:rPr>
          <w:rFonts w:ascii="Palatino Linotype" w:hAnsi="Palatino Linotype"/>
          <w:b/>
        </w:rPr>
        <w:t>2685/INFOEM/IP/RR/2020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2766</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2768</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2770</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2771</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2772</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2774</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2775</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2777</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2778</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2779</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2781</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2782</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2784</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2785</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2786</w:t>
      </w:r>
      <w:r w:rsidR="004E3F55">
        <w:rPr>
          <w:rFonts w:ascii="Palatino Linotype" w:hAnsi="Palatino Linotype"/>
          <w:b/>
        </w:rPr>
        <w:t>/INFOEM/IP/RR/2020</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2838</w:t>
      </w:r>
      <w:r w:rsidR="004E3F55">
        <w:rPr>
          <w:rFonts w:ascii="Palatino Linotype" w:hAnsi="Palatino Linotype"/>
          <w:b/>
        </w:rPr>
        <w:t>/INFOEM/IP/RR/2020 y</w:t>
      </w:r>
      <w:r w:rsidR="004E3F55" w:rsidRPr="00EE0FC1">
        <w:rPr>
          <w:rFonts w:ascii="Palatino Linotype" w:hAnsi="Palatino Linotype"/>
          <w:b/>
        </w:rPr>
        <w:t xml:space="preserve"> </w:t>
      </w:r>
      <w:r w:rsidR="004E3F55">
        <w:rPr>
          <w:rFonts w:ascii="Palatino Linotype" w:hAnsi="Palatino Linotype"/>
          <w:b/>
        </w:rPr>
        <w:t>0</w:t>
      </w:r>
      <w:r w:rsidR="004E3F55" w:rsidRPr="00EE0FC1">
        <w:rPr>
          <w:rFonts w:ascii="Palatino Linotype" w:hAnsi="Palatino Linotype"/>
          <w:b/>
        </w:rPr>
        <w:t>2839</w:t>
      </w:r>
      <w:r w:rsidR="004E3F55">
        <w:rPr>
          <w:rFonts w:ascii="Palatino Linotype" w:hAnsi="Palatino Linotype"/>
          <w:b/>
        </w:rPr>
        <w:t>/INFOEM/IP/RR/2020</w:t>
      </w:r>
      <w:r w:rsidRPr="001139A2">
        <w:rPr>
          <w:rFonts w:ascii="Palatino Linotype" w:hAnsi="Palatino Linotype" w:cs="Arial"/>
          <w:b/>
          <w:bCs/>
        </w:rPr>
        <w:t xml:space="preserve">, </w:t>
      </w:r>
      <w:r w:rsidRPr="001139A2">
        <w:rPr>
          <w:rFonts w:ascii="Palatino Linotype" w:hAnsi="Palatino Linotype" w:cs="Arial"/>
          <w:bCs/>
        </w:rPr>
        <w:t xml:space="preserve">en términos del </w:t>
      </w:r>
      <w:r w:rsidRPr="001139A2">
        <w:rPr>
          <w:rFonts w:ascii="Palatino Linotype" w:hAnsi="Palatino Linotype" w:cs="Arial"/>
          <w:b/>
          <w:bCs/>
        </w:rPr>
        <w:t>Considerando</w:t>
      </w:r>
      <w:r w:rsidRPr="001139A2">
        <w:rPr>
          <w:rFonts w:ascii="Palatino Linotype" w:hAnsi="Palatino Linotype" w:cs="Arial"/>
          <w:bCs/>
        </w:rPr>
        <w:t xml:space="preserve"> </w:t>
      </w:r>
      <w:r w:rsidRPr="001139A2">
        <w:rPr>
          <w:rFonts w:ascii="Palatino Linotype" w:hAnsi="Palatino Linotype" w:cs="Arial"/>
          <w:b/>
          <w:bCs/>
        </w:rPr>
        <w:t>CUARTO</w:t>
      </w:r>
      <w:r w:rsidRPr="001139A2">
        <w:rPr>
          <w:rFonts w:ascii="Palatino Linotype" w:hAnsi="Palatino Linotype" w:cs="Arial"/>
          <w:bCs/>
        </w:rPr>
        <w:t xml:space="preserve"> de la presente resolución.</w:t>
      </w:r>
    </w:p>
    <w:p w14:paraId="4C286AB7" w14:textId="1133113E" w:rsidR="00575D13" w:rsidRPr="00A33176" w:rsidRDefault="00575D13" w:rsidP="00A33176">
      <w:pPr>
        <w:spacing w:before="240" w:after="240" w:line="360" w:lineRule="auto"/>
        <w:jc w:val="both"/>
        <w:rPr>
          <w:rFonts w:ascii="Palatino Linotype" w:hAnsi="Palatino Linotype"/>
          <w:b/>
          <w:bCs/>
          <w:color w:val="000000" w:themeColor="text1"/>
        </w:rPr>
      </w:pPr>
      <w:r w:rsidRPr="001139A2">
        <w:rPr>
          <w:rFonts w:ascii="Palatino Linotype" w:hAnsi="Palatino Linotype"/>
          <w:b/>
        </w:rPr>
        <w:t>SEGUNDO.</w:t>
      </w:r>
      <w:r w:rsidRPr="001139A2">
        <w:rPr>
          <w:rStyle w:val="Ttulo2Car"/>
          <w:rFonts w:ascii="Palatino Linotype" w:hAnsi="Palatino Linotype"/>
          <w:b/>
        </w:rPr>
        <w:t xml:space="preserve"> </w:t>
      </w:r>
      <w:r w:rsidRPr="001139A2">
        <w:rPr>
          <w:rFonts w:ascii="Palatino Linotype" w:eastAsia="Calibri" w:hAnsi="Palatino Linotype" w:cs="Arial"/>
          <w:lang w:val="es-ES"/>
        </w:rPr>
        <w:t>Se</w:t>
      </w:r>
      <w:r w:rsidRPr="001139A2">
        <w:rPr>
          <w:rFonts w:ascii="Palatino Linotype" w:eastAsia="Calibri" w:hAnsi="Palatino Linotype" w:cs="Arial"/>
          <w:b/>
          <w:lang w:val="es-ES"/>
        </w:rPr>
        <w:t xml:space="preserve"> CONFIRMA</w:t>
      </w:r>
      <w:r w:rsidR="00906C5B">
        <w:rPr>
          <w:rFonts w:ascii="Palatino Linotype" w:eastAsia="Calibri" w:hAnsi="Palatino Linotype" w:cs="Arial"/>
          <w:b/>
          <w:lang w:val="es-ES"/>
        </w:rPr>
        <w:t>N</w:t>
      </w:r>
      <w:r w:rsidRPr="001139A2">
        <w:rPr>
          <w:rFonts w:ascii="Palatino Linotype" w:eastAsia="Calibri" w:hAnsi="Palatino Linotype" w:cs="Arial"/>
          <w:b/>
          <w:lang w:val="es-ES"/>
        </w:rPr>
        <w:t xml:space="preserve"> </w:t>
      </w:r>
      <w:r w:rsidRPr="001139A2">
        <w:rPr>
          <w:rFonts w:ascii="Palatino Linotype" w:eastAsia="Calibri" w:hAnsi="Palatino Linotype" w:cs="Arial"/>
          <w:lang w:val="es-ES"/>
        </w:rPr>
        <w:t>la</w:t>
      </w:r>
      <w:r w:rsidR="00906C5B">
        <w:rPr>
          <w:rFonts w:ascii="Palatino Linotype" w:eastAsia="Calibri" w:hAnsi="Palatino Linotype" w:cs="Arial"/>
          <w:lang w:val="es-ES"/>
        </w:rPr>
        <w:t>s</w:t>
      </w:r>
      <w:r w:rsidRPr="001139A2">
        <w:rPr>
          <w:rFonts w:ascii="Palatino Linotype" w:eastAsia="Calibri" w:hAnsi="Palatino Linotype" w:cs="Arial"/>
          <w:lang w:val="es-ES"/>
        </w:rPr>
        <w:t xml:space="preserve"> respuesta</w:t>
      </w:r>
      <w:r w:rsidR="00906C5B">
        <w:rPr>
          <w:rFonts w:ascii="Palatino Linotype" w:eastAsia="Calibri" w:hAnsi="Palatino Linotype" w:cs="Arial"/>
          <w:lang w:val="es-ES"/>
        </w:rPr>
        <w:t>s</w:t>
      </w:r>
      <w:r w:rsidRPr="001139A2">
        <w:rPr>
          <w:rFonts w:ascii="Palatino Linotype" w:eastAsia="Calibri" w:hAnsi="Palatino Linotype" w:cs="Arial"/>
          <w:lang w:val="es-ES"/>
        </w:rPr>
        <w:t xml:space="preserve"> emitida</w:t>
      </w:r>
      <w:r w:rsidR="00906C5B">
        <w:rPr>
          <w:rFonts w:ascii="Palatino Linotype" w:eastAsia="Calibri" w:hAnsi="Palatino Linotype" w:cs="Arial"/>
          <w:lang w:val="es-ES"/>
        </w:rPr>
        <w:t>s</w:t>
      </w:r>
      <w:r w:rsidRPr="001139A2">
        <w:rPr>
          <w:rFonts w:ascii="Palatino Linotype" w:eastAsia="Calibri" w:hAnsi="Palatino Linotype" w:cs="Arial"/>
          <w:lang w:val="es-ES"/>
        </w:rPr>
        <w:t xml:space="preserve"> por </w:t>
      </w:r>
      <w:r>
        <w:rPr>
          <w:rFonts w:ascii="Palatino Linotype" w:eastAsia="Calibri" w:hAnsi="Palatino Linotype" w:cs="Arial"/>
          <w:lang w:val="es-ES"/>
        </w:rPr>
        <w:t>e</w:t>
      </w:r>
      <w:r w:rsidRPr="001139A2">
        <w:rPr>
          <w:rFonts w:ascii="Palatino Linotype" w:eastAsia="Calibri" w:hAnsi="Palatino Linotype" w:cs="Arial"/>
          <w:lang w:val="es-ES"/>
        </w:rPr>
        <w:t xml:space="preserve">l </w:t>
      </w:r>
      <w:r>
        <w:rPr>
          <w:rFonts w:ascii="Palatino Linotype" w:hAnsi="Palatino Linotype" w:cs="Arial"/>
          <w:b/>
        </w:rPr>
        <w:t>Ayuntamiento de Ixtapan de la Sal,</w:t>
      </w:r>
      <w:r w:rsidRPr="001139A2">
        <w:rPr>
          <w:rFonts w:ascii="Palatino Linotype" w:eastAsia="Calibri" w:hAnsi="Palatino Linotype" w:cs="Arial"/>
          <w:lang w:val="es-ES"/>
        </w:rPr>
        <w:t xml:space="preserve"> a la</w:t>
      </w:r>
      <w:r>
        <w:rPr>
          <w:rFonts w:ascii="Palatino Linotype" w:eastAsia="Calibri" w:hAnsi="Palatino Linotype" w:cs="Arial"/>
          <w:lang w:val="es-ES"/>
        </w:rPr>
        <w:t>s</w:t>
      </w:r>
      <w:r w:rsidRPr="001139A2">
        <w:rPr>
          <w:rFonts w:ascii="Palatino Linotype" w:eastAsia="Calibri" w:hAnsi="Palatino Linotype" w:cs="Arial"/>
          <w:lang w:val="es-ES"/>
        </w:rPr>
        <w:t xml:space="preserve"> solicitud</w:t>
      </w:r>
      <w:r>
        <w:rPr>
          <w:rFonts w:ascii="Palatino Linotype" w:eastAsia="Calibri" w:hAnsi="Palatino Linotype" w:cs="Arial"/>
          <w:lang w:val="es-ES"/>
        </w:rPr>
        <w:t>es de información</w:t>
      </w:r>
      <w:r w:rsidRPr="001139A2">
        <w:rPr>
          <w:rFonts w:ascii="Palatino Linotype" w:eastAsia="Calibri" w:hAnsi="Palatino Linotype" w:cs="Arial"/>
          <w:lang w:val="es-ES"/>
        </w:rPr>
        <w:t xml:space="preserve"> </w:t>
      </w:r>
      <w:r w:rsidR="00A33176">
        <w:rPr>
          <w:rFonts w:ascii="Palatino Linotype" w:hAnsi="Palatino Linotype"/>
          <w:b/>
          <w:bCs/>
          <w:color w:val="000000" w:themeColor="text1"/>
        </w:rPr>
        <w:t xml:space="preserve">00987/IXTASAL/IP/2020, 00986/IXTASAL/IP/2020, 00927/IXTASAL/IP/2020, 00925/IXTASAL/IP/2020, 00924/IXTASAL/IP/2020, 00923/IXTASAL/IP/2020, 00922/IXTASAL/IP/2020, 00921/IXTASAL/IP/2020, 00920/IXTASAL/IP/2020, 00919/IXTASAL/IP/2020, 00918/IXTASAL/IP/2020, 00917/IXTASAL/IP/2020, 00916/IXTASAL/IP/2020, </w:t>
      </w:r>
      <w:r w:rsidR="00A33176" w:rsidRPr="00A33176">
        <w:rPr>
          <w:rFonts w:ascii="Palatino Linotype" w:hAnsi="Palatino Linotype"/>
          <w:b/>
          <w:bCs/>
          <w:color w:val="000000" w:themeColor="text1"/>
        </w:rPr>
        <w:t>00915/IXTASAL/IP/2020</w:t>
      </w:r>
      <w:r w:rsidR="00A33176">
        <w:rPr>
          <w:rFonts w:ascii="Palatino Linotype" w:hAnsi="Palatino Linotype"/>
          <w:b/>
          <w:bCs/>
          <w:color w:val="000000" w:themeColor="text1"/>
        </w:rPr>
        <w:t xml:space="preserve">, </w:t>
      </w:r>
      <w:r w:rsidR="00A33176" w:rsidRPr="00A33176">
        <w:rPr>
          <w:rFonts w:ascii="Palatino Linotype" w:hAnsi="Palatino Linotype"/>
          <w:b/>
          <w:bCs/>
          <w:color w:val="000000" w:themeColor="text1"/>
        </w:rPr>
        <w:t>00914/IXTASAL/IP/2020</w:t>
      </w:r>
      <w:r w:rsidR="00A33176">
        <w:rPr>
          <w:rFonts w:ascii="Palatino Linotype" w:hAnsi="Palatino Linotype"/>
          <w:b/>
          <w:bCs/>
          <w:color w:val="000000" w:themeColor="text1"/>
        </w:rPr>
        <w:t xml:space="preserve">, </w:t>
      </w:r>
      <w:r w:rsidR="00A33176" w:rsidRPr="00A33176">
        <w:rPr>
          <w:rFonts w:ascii="Palatino Linotype" w:hAnsi="Palatino Linotype"/>
          <w:b/>
          <w:bCs/>
          <w:color w:val="000000" w:themeColor="text1"/>
        </w:rPr>
        <w:t>00913/IXTASAL/IP/2020</w:t>
      </w:r>
      <w:r w:rsidR="00A33176">
        <w:rPr>
          <w:rFonts w:ascii="Palatino Linotype" w:hAnsi="Palatino Linotype"/>
          <w:b/>
          <w:bCs/>
          <w:color w:val="000000" w:themeColor="text1"/>
        </w:rPr>
        <w:t xml:space="preserve">, </w:t>
      </w:r>
      <w:r w:rsidR="00A33176" w:rsidRPr="00A33176">
        <w:rPr>
          <w:rFonts w:ascii="Palatino Linotype" w:hAnsi="Palatino Linotype"/>
          <w:b/>
          <w:bCs/>
          <w:color w:val="000000" w:themeColor="text1"/>
        </w:rPr>
        <w:t>00912/IXTASAL/IP/2020</w:t>
      </w:r>
      <w:r w:rsidR="00A33176">
        <w:rPr>
          <w:rFonts w:ascii="Palatino Linotype" w:hAnsi="Palatino Linotype"/>
          <w:b/>
          <w:bCs/>
          <w:color w:val="000000" w:themeColor="text1"/>
        </w:rPr>
        <w:t xml:space="preserve">, </w:t>
      </w:r>
      <w:r w:rsidR="00A33176" w:rsidRPr="00A33176">
        <w:rPr>
          <w:rFonts w:ascii="Palatino Linotype" w:hAnsi="Palatino Linotype"/>
          <w:b/>
          <w:bCs/>
          <w:color w:val="000000" w:themeColor="text1"/>
        </w:rPr>
        <w:t>00865/IXTASAL/IP/2020</w:t>
      </w:r>
      <w:r w:rsidR="00A33176">
        <w:rPr>
          <w:rFonts w:ascii="Palatino Linotype" w:hAnsi="Palatino Linotype"/>
          <w:b/>
          <w:bCs/>
          <w:color w:val="000000" w:themeColor="text1"/>
        </w:rPr>
        <w:t xml:space="preserve"> y </w:t>
      </w:r>
      <w:r w:rsidR="00A33176" w:rsidRPr="00A33176">
        <w:rPr>
          <w:rFonts w:ascii="Palatino Linotype" w:hAnsi="Palatino Linotype"/>
          <w:b/>
          <w:bCs/>
          <w:color w:val="000000" w:themeColor="text1"/>
        </w:rPr>
        <w:t>00864/IXTASAL/IP/2020</w:t>
      </w:r>
      <w:r w:rsidRPr="001139A2">
        <w:rPr>
          <w:rFonts w:ascii="Palatino Linotype" w:eastAsia="Calibri" w:hAnsi="Palatino Linotype" w:cs="Arial"/>
          <w:b/>
          <w:lang w:val="es-ES"/>
        </w:rPr>
        <w:t>.</w:t>
      </w:r>
      <w:r w:rsidRPr="00B06FF1">
        <w:rPr>
          <w:rFonts w:ascii="Palatino Linotype" w:eastAsia="Calibri" w:hAnsi="Palatino Linotype" w:cs="Arial"/>
          <w:lang w:val="es-ES"/>
        </w:rPr>
        <w:t xml:space="preserve"> </w:t>
      </w:r>
    </w:p>
    <w:p w14:paraId="4592C83F" w14:textId="77777777" w:rsidR="00575D13" w:rsidRPr="00B06FF1" w:rsidRDefault="00575D13" w:rsidP="00575D13">
      <w:pPr>
        <w:tabs>
          <w:tab w:val="left" w:pos="8080"/>
        </w:tabs>
        <w:spacing w:line="360" w:lineRule="auto"/>
        <w:ind w:right="49"/>
        <w:contextualSpacing/>
        <w:jc w:val="both"/>
        <w:rPr>
          <w:rFonts w:ascii="Palatino Linotype" w:eastAsia="Palatino Linotype" w:hAnsi="Palatino Linotype" w:cs="Palatino Linotype"/>
          <w:b/>
        </w:rPr>
      </w:pPr>
      <w:r w:rsidRPr="00B06FF1">
        <w:rPr>
          <w:rFonts w:ascii="Palatino Linotype" w:eastAsia="Palatino Linotype" w:hAnsi="Palatino Linotype" w:cs="Palatino Linotype"/>
          <w:b/>
        </w:rPr>
        <w:lastRenderedPageBreak/>
        <w:t xml:space="preserve">TERCERO. REMÍTASE, </w:t>
      </w:r>
      <w:r w:rsidRPr="00B06FF1">
        <w:rPr>
          <w:rFonts w:ascii="Palatino Linotype" w:eastAsia="Palatino Linotype" w:hAnsi="Palatino Linotype" w:cs="Palatino Linotype"/>
        </w:rPr>
        <w:t xml:space="preserve">vía Sistema de Acceso a la Información Mexiquense (SAIMEX), la presente resolución al Titular de la Unidad de Transparencia del </w:t>
      </w:r>
      <w:r w:rsidRPr="00323478">
        <w:rPr>
          <w:rFonts w:ascii="Palatino Linotype" w:eastAsia="Palatino Linotype" w:hAnsi="Palatino Linotype" w:cs="Palatino Linotype"/>
          <w:b/>
        </w:rPr>
        <w:t>SUJETO OBLIGADO.</w:t>
      </w:r>
    </w:p>
    <w:p w14:paraId="2B18E398" w14:textId="77777777" w:rsidR="00575D13" w:rsidRPr="00B06FF1" w:rsidRDefault="00575D13" w:rsidP="00575D13">
      <w:pPr>
        <w:tabs>
          <w:tab w:val="left" w:pos="8080"/>
        </w:tabs>
        <w:spacing w:line="360" w:lineRule="auto"/>
        <w:ind w:right="49"/>
        <w:contextualSpacing/>
        <w:jc w:val="both"/>
        <w:rPr>
          <w:rFonts w:ascii="Palatino Linotype" w:eastAsia="Palatino Linotype" w:hAnsi="Palatino Linotype" w:cs="Palatino Linotype"/>
          <w:b/>
        </w:rPr>
      </w:pPr>
    </w:p>
    <w:p w14:paraId="74DFF55D" w14:textId="2BC24D11" w:rsidR="00575D13" w:rsidRPr="00B06FF1" w:rsidRDefault="00575D13" w:rsidP="00575D13">
      <w:pPr>
        <w:shd w:val="clear" w:color="auto" w:fill="FFFFFF"/>
        <w:spacing w:line="360" w:lineRule="auto"/>
        <w:jc w:val="both"/>
        <w:rPr>
          <w:rFonts w:ascii="Palatino Linotype" w:hAnsi="Palatino Linotype"/>
        </w:rPr>
      </w:pPr>
      <w:r w:rsidRPr="00B06FF1">
        <w:rPr>
          <w:rFonts w:ascii="Palatino Linotype" w:eastAsia="Times New Roman" w:hAnsi="Palatino Linotype" w:cs="Arial"/>
          <w:b/>
        </w:rPr>
        <w:t xml:space="preserve">CUARTO. </w:t>
      </w:r>
      <w:r w:rsidRPr="00B06FF1">
        <w:rPr>
          <w:rFonts w:ascii="Palatino Linotype" w:eastAsia="Times New Roman" w:hAnsi="Palatino Linotype" w:cs="Times New Roman"/>
          <w:b/>
          <w:bCs/>
          <w:color w:val="222222"/>
          <w:lang w:val="es-ES"/>
        </w:rPr>
        <w:t xml:space="preserve">Notifíquese </w:t>
      </w:r>
      <w:r w:rsidRPr="00533E69">
        <w:rPr>
          <w:rFonts w:ascii="Palatino Linotype" w:eastAsia="Times New Roman" w:hAnsi="Palatino Linotype" w:cs="Times New Roman"/>
          <w:bCs/>
          <w:color w:val="222222"/>
          <w:lang w:val="es-ES"/>
        </w:rPr>
        <w:t>a</w:t>
      </w:r>
      <w:r w:rsidR="00906C5B">
        <w:rPr>
          <w:rFonts w:ascii="Palatino Linotype" w:eastAsia="Times New Roman" w:hAnsi="Palatino Linotype" w:cs="Times New Roman"/>
          <w:bCs/>
          <w:color w:val="222222"/>
          <w:lang w:val="es-ES"/>
        </w:rPr>
        <w:t xml:space="preserve"> </w:t>
      </w:r>
      <w:r w:rsidR="00407D12">
        <w:rPr>
          <w:rFonts w:ascii="Palatino Linotype" w:hAnsi="Palatino Linotype"/>
          <w:b/>
          <w:highlight w:val="black"/>
        </w:rPr>
        <w:t>-----------------------------------------</w:t>
      </w:r>
      <w:r w:rsidRPr="00B06FF1">
        <w:rPr>
          <w:rFonts w:ascii="Palatino Linotype" w:hAnsi="Palatino Linotype"/>
        </w:rPr>
        <w:t>la presente resolución</w:t>
      </w:r>
      <w:r w:rsidRPr="00523B46">
        <w:rPr>
          <w:rFonts w:ascii="Palatino Linotype" w:hAnsi="Palatino Linotype"/>
        </w:rPr>
        <w:t>.</w:t>
      </w:r>
    </w:p>
    <w:p w14:paraId="4ED4E500" w14:textId="77777777" w:rsidR="00575D13" w:rsidRPr="00B06FF1" w:rsidRDefault="00575D13" w:rsidP="00575D13">
      <w:pPr>
        <w:shd w:val="clear" w:color="auto" w:fill="FFFFFF"/>
        <w:spacing w:line="360" w:lineRule="auto"/>
        <w:jc w:val="both"/>
        <w:rPr>
          <w:rFonts w:ascii="Palatino Linotype" w:hAnsi="Palatino Linotype"/>
        </w:rPr>
      </w:pPr>
    </w:p>
    <w:p w14:paraId="58620059" w14:textId="15479658" w:rsidR="00575D13" w:rsidRDefault="00575D13" w:rsidP="00575D13">
      <w:pPr>
        <w:spacing w:line="360" w:lineRule="auto"/>
        <w:jc w:val="both"/>
        <w:rPr>
          <w:rFonts w:ascii="Palatino Linotype" w:eastAsia="MS Mincho" w:hAnsi="Palatino Linotype" w:cs="Times New Roman"/>
          <w:lang w:val="es-ES"/>
        </w:rPr>
      </w:pPr>
      <w:r w:rsidRPr="00B06FF1">
        <w:rPr>
          <w:rFonts w:ascii="Palatino Linotype" w:eastAsia="MS Mincho" w:hAnsi="Palatino Linotype" w:cs="Times New Roman"/>
          <w:b/>
          <w:lang w:val="es-MX"/>
        </w:rPr>
        <w:t>QUINTO.</w:t>
      </w:r>
      <w:r w:rsidRPr="00B06FF1">
        <w:rPr>
          <w:rFonts w:ascii="Palatino Linotype" w:eastAsia="MS Mincho" w:hAnsi="Palatino Linotype" w:cs="Times New Roman"/>
          <w:lang w:val="es-MX"/>
        </w:rPr>
        <w:t xml:space="preserve"> </w:t>
      </w:r>
      <w:r w:rsidRPr="00B06FF1">
        <w:rPr>
          <w:rFonts w:ascii="Palatino Linotype" w:eastAsia="MS Mincho" w:hAnsi="Palatino Linotype" w:cs="Times New Roman"/>
          <w:lang w:val="es-ES"/>
        </w:rPr>
        <w:t>Se hace del conocimiento de</w:t>
      </w:r>
      <w:r>
        <w:rPr>
          <w:rFonts w:ascii="Palatino Linotype" w:eastAsia="MS Mincho" w:hAnsi="Palatino Linotype" w:cs="Times New Roman"/>
          <w:lang w:val="es-ES"/>
        </w:rPr>
        <w:t xml:space="preserve"> </w:t>
      </w:r>
      <w:r w:rsidR="00407D12">
        <w:rPr>
          <w:rFonts w:ascii="Palatino Linotype" w:hAnsi="Palatino Linotype"/>
          <w:b/>
          <w:highlight w:val="black"/>
        </w:rPr>
        <w:t>----------------------------</w:t>
      </w:r>
      <w:r w:rsidR="00407D12">
        <w:rPr>
          <w:rFonts w:ascii="Palatino Linotype" w:hAnsi="Palatino Linotype"/>
          <w:b/>
          <w:highlight w:val="black"/>
        </w:rPr>
        <w:t>-</w:t>
      </w:r>
      <w:r w:rsidR="00407D12">
        <w:rPr>
          <w:rFonts w:ascii="Palatino Linotype" w:hAnsi="Palatino Linotype"/>
          <w:b/>
          <w:highlight w:val="black"/>
        </w:rPr>
        <w:t>----------</w:t>
      </w:r>
      <w:r w:rsidRPr="00B06FF1">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B06FF1">
        <w:rPr>
          <w:rFonts w:ascii="Palatino Linotype" w:eastAsia="MS Mincho" w:hAnsi="Palatino Linotype" w:cs="Times New Roman"/>
          <w:bCs/>
          <w:lang w:val="es-ES"/>
        </w:rPr>
        <w:t>vía juicio de amparo</w:t>
      </w:r>
      <w:r w:rsidRPr="00B06FF1">
        <w:rPr>
          <w:rFonts w:ascii="Palatino Linotype" w:eastAsia="MS Mincho" w:hAnsi="Palatino Linotype" w:cs="Times New Roman"/>
          <w:lang w:val="es-ES"/>
        </w:rPr>
        <w:t> en los términos de las leyes aplicables.</w:t>
      </w:r>
    </w:p>
    <w:p w14:paraId="323B2EB4" w14:textId="77777777" w:rsidR="004C232A" w:rsidRDefault="004C232A" w:rsidP="00575D13">
      <w:pPr>
        <w:spacing w:line="360" w:lineRule="auto"/>
        <w:jc w:val="both"/>
        <w:rPr>
          <w:rFonts w:ascii="Palatino Linotype" w:eastAsia="MS Mincho" w:hAnsi="Palatino Linotype" w:cs="Times New Roman"/>
          <w:lang w:val="es-ES"/>
        </w:rPr>
      </w:pPr>
    </w:p>
    <w:p w14:paraId="17B6E1FE" w14:textId="2C6FBD28" w:rsidR="00575D13" w:rsidRPr="00A62DC6" w:rsidRDefault="00575D13" w:rsidP="00575D13">
      <w:pPr>
        <w:tabs>
          <w:tab w:val="left" w:pos="0"/>
        </w:tabs>
        <w:spacing w:line="360" w:lineRule="auto"/>
        <w:ind w:right="49"/>
        <w:jc w:val="both"/>
        <w:rPr>
          <w:rFonts w:ascii="Palatino Linotype" w:hAnsi="Palatino Linotype" w:cs="Arial"/>
        </w:rPr>
      </w:pPr>
      <w:r w:rsidRPr="00A62DC6">
        <w:rPr>
          <w:rFonts w:ascii="Palatino Linotype" w:hAnsi="Palatino Linotype" w:cs="Arial"/>
        </w:rPr>
        <w:t xml:space="preserve">ASÍ LO RESUELVE, POR </w:t>
      </w:r>
      <w:r w:rsidR="00D8611C">
        <w:rPr>
          <w:rFonts w:ascii="Palatino Linotype" w:hAnsi="Palatino Linotype" w:cs="Arial"/>
        </w:rPr>
        <w:t>MAYORÍA</w:t>
      </w:r>
      <w:r w:rsidRPr="00A62DC6">
        <w:rPr>
          <w:rFonts w:ascii="Palatino Linotype" w:hAnsi="Palatino Linotype" w:cs="Arial"/>
        </w:rPr>
        <w:t xml:space="preserve"> DE VOTOS, EL PLENO DEL</w:t>
      </w:r>
      <w:r w:rsidRPr="00A62DC6">
        <w:rPr>
          <w:rFonts w:ascii="Palatino Linotype" w:eastAsia="Arial Unicode MS" w:hAnsi="Palatino Linotype" w:cs="Arial"/>
        </w:rPr>
        <w:t xml:space="preserve"> INSTITUTO DE TRANSPARENCIA, ACCESO A LA INFORMACIÓN PÚBLICA Y PROTECCIÓN DE DATOS PERSONALES DEL ESTADO DE MÉXICO Y MUNICIPIOS</w:t>
      </w:r>
      <w:r w:rsidRPr="00A62DC6">
        <w:rPr>
          <w:rFonts w:ascii="Palatino Linotype" w:hAnsi="Palatino Linotype" w:cs="Arial"/>
        </w:rPr>
        <w:t>, CONFORMADO POR LOS COMISIONADOS ZULEMA MARTÍNEZ SÁNCHEZ; EVA ABAID YAPUR; JOSÉ GUADALUPE LUNA HERNÁNDEZ; JAVIER MARTÍNEZ</w:t>
      </w:r>
      <w:r w:rsidR="00D8611C">
        <w:rPr>
          <w:rFonts w:ascii="Palatino Linotype" w:hAnsi="Palatino Linotype" w:cs="Arial"/>
        </w:rPr>
        <w:t xml:space="preserve"> CRUZ EMITIENDO VOTO EN CONTRA CON VOTO DISIDENTE</w:t>
      </w:r>
      <w:r w:rsidRPr="00A62DC6">
        <w:rPr>
          <w:rFonts w:ascii="Palatino Linotype" w:hAnsi="Palatino Linotype" w:cs="Arial"/>
        </w:rPr>
        <w:t xml:space="preserve"> Y LUIS GUS</w:t>
      </w:r>
      <w:r w:rsidR="00906C5B">
        <w:rPr>
          <w:rFonts w:ascii="Palatino Linotype" w:hAnsi="Palatino Linotype" w:cs="Arial"/>
        </w:rPr>
        <w:t>TAVO PARRA NORIEGA; EN LA VIGÉSIMA</w:t>
      </w:r>
      <w:r w:rsidRPr="00A62DC6">
        <w:rPr>
          <w:rFonts w:ascii="Palatino Linotype" w:hAnsi="Palatino Linotype" w:cs="Arial"/>
        </w:rPr>
        <w:t xml:space="preserve"> SE</w:t>
      </w:r>
      <w:r w:rsidR="00906C5B">
        <w:rPr>
          <w:rFonts w:ascii="Palatino Linotype" w:hAnsi="Palatino Linotype" w:cs="Arial"/>
        </w:rPr>
        <w:t>SIÓN ORDINARIA CELEBRADA EL TREINTA</w:t>
      </w:r>
      <w:r w:rsidRPr="00A62DC6">
        <w:rPr>
          <w:rFonts w:ascii="Palatino Linotype" w:hAnsi="Palatino Linotype" w:cs="Arial"/>
        </w:rPr>
        <w:t xml:space="preserve"> DE </w:t>
      </w:r>
      <w:r w:rsidR="00906C5B">
        <w:rPr>
          <w:rFonts w:ascii="Palatino Linotype" w:hAnsi="Palatino Linotype" w:cs="Arial"/>
        </w:rPr>
        <w:t>SEPTIEMBRE</w:t>
      </w:r>
      <w:r w:rsidRPr="00A62DC6">
        <w:rPr>
          <w:rFonts w:ascii="Palatino Linotype" w:hAnsi="Palatino Linotype" w:cs="Arial"/>
        </w:rPr>
        <w:t xml:space="preserve"> DE DOS MIL VEINTE, ANTE EL SECRETARIO TÉCNICO DEL PLENO, </w:t>
      </w:r>
      <w:r w:rsidRPr="00A62DC6">
        <w:rPr>
          <w:rFonts w:ascii="Palatino Linotype" w:hAnsi="Palatino Linotype"/>
        </w:rPr>
        <w:t>ALEXIS TAPIA RAMÍREZ</w:t>
      </w:r>
      <w:r w:rsidRPr="00A62DC6">
        <w:rPr>
          <w:rFonts w:ascii="Palatino Linotype" w:hAnsi="Palatino Linotype" w:cs="Arial"/>
        </w:rPr>
        <w:t>.</w:t>
      </w:r>
    </w:p>
    <w:p w14:paraId="5E088D69" w14:textId="77777777" w:rsidR="00575D13" w:rsidRPr="00A62DC6" w:rsidRDefault="00575D13" w:rsidP="00575D13">
      <w:pPr>
        <w:tabs>
          <w:tab w:val="left" w:pos="0"/>
        </w:tabs>
        <w:spacing w:line="360" w:lineRule="auto"/>
        <w:ind w:right="49"/>
        <w:jc w:val="both"/>
        <w:rPr>
          <w:rFonts w:ascii="Palatino Linotype" w:hAnsi="Palatino Linotype" w:cs="Arial"/>
        </w:rPr>
      </w:pPr>
    </w:p>
    <w:tbl>
      <w:tblPr>
        <w:tblW w:w="9918" w:type="dxa"/>
        <w:jc w:val="center"/>
        <w:tblLayout w:type="fixed"/>
        <w:tblLook w:val="04A0" w:firstRow="1" w:lastRow="0" w:firstColumn="1" w:lastColumn="0" w:noHBand="0" w:noVBand="1"/>
      </w:tblPr>
      <w:tblGrid>
        <w:gridCol w:w="4905"/>
        <w:gridCol w:w="5013"/>
      </w:tblGrid>
      <w:tr w:rsidR="00575D13" w:rsidRPr="00A62DC6" w14:paraId="5DB72529" w14:textId="77777777" w:rsidTr="004C232A">
        <w:trPr>
          <w:jc w:val="center"/>
        </w:trPr>
        <w:tc>
          <w:tcPr>
            <w:tcW w:w="9918" w:type="dxa"/>
            <w:gridSpan w:val="2"/>
          </w:tcPr>
          <w:p w14:paraId="3E025E1D" w14:textId="1286E521" w:rsidR="00906C5B" w:rsidRDefault="00906C5B"/>
          <w:p w14:paraId="5C10EAEB" w14:textId="77777777" w:rsidR="00906C5B" w:rsidRDefault="00906C5B"/>
          <w:tbl>
            <w:tblPr>
              <w:tblW w:w="9918" w:type="dxa"/>
              <w:jc w:val="center"/>
              <w:tblLayout w:type="fixed"/>
              <w:tblLook w:val="04A0" w:firstRow="1" w:lastRow="0" w:firstColumn="1" w:lastColumn="0" w:noHBand="0" w:noVBand="1"/>
            </w:tblPr>
            <w:tblGrid>
              <w:gridCol w:w="4905"/>
              <w:gridCol w:w="5013"/>
            </w:tblGrid>
            <w:tr w:rsidR="00906C5B" w:rsidRPr="002D5698" w14:paraId="0F42675F" w14:textId="77777777" w:rsidTr="004C232A">
              <w:trPr>
                <w:jc w:val="center"/>
              </w:trPr>
              <w:tc>
                <w:tcPr>
                  <w:tcW w:w="9918" w:type="dxa"/>
                  <w:gridSpan w:val="2"/>
                </w:tcPr>
                <w:p w14:paraId="62E4F5D6" w14:textId="77777777" w:rsidR="00D8611C" w:rsidRDefault="00D8611C" w:rsidP="00906C5B">
                  <w:pPr>
                    <w:tabs>
                      <w:tab w:val="left" w:pos="0"/>
                    </w:tabs>
                    <w:spacing w:line="0" w:lineRule="atLeast"/>
                    <w:jc w:val="center"/>
                    <w:rPr>
                      <w:rFonts w:ascii="Palatino Linotype" w:hAnsi="Palatino Linotype" w:cs="Arial"/>
                      <w:b/>
                    </w:rPr>
                  </w:pPr>
                </w:p>
                <w:p w14:paraId="397B58A4"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Zulema Martínez Sánchez</w:t>
                  </w:r>
                </w:p>
                <w:p w14:paraId="4C0461F8"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rPr>
                    <w:t>Comisionada Presidenta</w:t>
                  </w:r>
                </w:p>
                <w:p w14:paraId="5F2F517E"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 xml:space="preserve">(Rúbrica) </w:t>
                  </w:r>
                </w:p>
                <w:p w14:paraId="355625EB" w14:textId="77777777" w:rsidR="00906C5B" w:rsidRPr="002D5698" w:rsidRDefault="00906C5B" w:rsidP="00906C5B">
                  <w:pPr>
                    <w:tabs>
                      <w:tab w:val="left" w:pos="0"/>
                    </w:tabs>
                    <w:spacing w:line="0" w:lineRule="atLeast"/>
                    <w:rPr>
                      <w:rFonts w:ascii="Palatino Linotype" w:hAnsi="Palatino Linotype" w:cs="Arial"/>
                      <w:b/>
                    </w:rPr>
                  </w:pPr>
                </w:p>
                <w:p w14:paraId="44F9655D" w14:textId="05337E3F" w:rsidR="00906C5B" w:rsidRDefault="00906C5B" w:rsidP="00906C5B">
                  <w:pPr>
                    <w:tabs>
                      <w:tab w:val="left" w:pos="0"/>
                    </w:tabs>
                    <w:spacing w:line="0" w:lineRule="atLeast"/>
                    <w:jc w:val="center"/>
                    <w:rPr>
                      <w:rFonts w:ascii="Palatino Linotype" w:hAnsi="Palatino Linotype" w:cs="Arial"/>
                      <w:b/>
                    </w:rPr>
                  </w:pPr>
                </w:p>
                <w:p w14:paraId="237ED90E" w14:textId="022CD175" w:rsidR="00906C5B" w:rsidRDefault="00906C5B" w:rsidP="00906C5B">
                  <w:pPr>
                    <w:tabs>
                      <w:tab w:val="left" w:pos="0"/>
                    </w:tabs>
                    <w:spacing w:line="0" w:lineRule="atLeast"/>
                    <w:jc w:val="center"/>
                    <w:rPr>
                      <w:rFonts w:ascii="Palatino Linotype" w:hAnsi="Palatino Linotype" w:cs="Arial"/>
                      <w:b/>
                    </w:rPr>
                  </w:pPr>
                </w:p>
                <w:p w14:paraId="2EB27515" w14:textId="77777777" w:rsidR="00906C5B" w:rsidRPr="002D5698" w:rsidRDefault="00906C5B" w:rsidP="00906C5B">
                  <w:pPr>
                    <w:tabs>
                      <w:tab w:val="left" w:pos="0"/>
                    </w:tabs>
                    <w:spacing w:line="0" w:lineRule="atLeast"/>
                    <w:jc w:val="center"/>
                    <w:rPr>
                      <w:rFonts w:ascii="Palatino Linotype" w:hAnsi="Palatino Linotype" w:cs="Arial"/>
                      <w:b/>
                    </w:rPr>
                  </w:pPr>
                </w:p>
              </w:tc>
            </w:tr>
            <w:tr w:rsidR="00906C5B" w:rsidRPr="002D5698" w14:paraId="115142A2" w14:textId="77777777" w:rsidTr="004C232A">
              <w:trPr>
                <w:jc w:val="center"/>
              </w:trPr>
              <w:tc>
                <w:tcPr>
                  <w:tcW w:w="4905" w:type="dxa"/>
                </w:tcPr>
                <w:p w14:paraId="01845898" w14:textId="77777777" w:rsidR="00906C5B" w:rsidRPr="002D5698" w:rsidRDefault="00906C5B" w:rsidP="00906C5B">
                  <w:pPr>
                    <w:tabs>
                      <w:tab w:val="left" w:pos="0"/>
                    </w:tabs>
                    <w:spacing w:line="0" w:lineRule="atLeast"/>
                    <w:rPr>
                      <w:rFonts w:ascii="Palatino Linotype" w:hAnsi="Palatino Linotype" w:cs="Arial"/>
                      <w:b/>
                    </w:rPr>
                  </w:pPr>
                </w:p>
                <w:p w14:paraId="4D4771B8"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Eva Abaid Yapur</w:t>
                  </w:r>
                </w:p>
                <w:p w14:paraId="48E28A05" w14:textId="77777777" w:rsidR="00906C5B" w:rsidRPr="002D5698" w:rsidRDefault="00906C5B" w:rsidP="00906C5B">
                  <w:pPr>
                    <w:tabs>
                      <w:tab w:val="left" w:pos="0"/>
                    </w:tabs>
                    <w:spacing w:line="0" w:lineRule="atLeast"/>
                    <w:jc w:val="center"/>
                    <w:rPr>
                      <w:rFonts w:ascii="Palatino Linotype" w:hAnsi="Palatino Linotype" w:cs="Arial"/>
                    </w:rPr>
                  </w:pPr>
                  <w:r w:rsidRPr="002D5698">
                    <w:rPr>
                      <w:rFonts w:ascii="Palatino Linotype" w:hAnsi="Palatino Linotype" w:cs="Arial"/>
                    </w:rPr>
                    <w:t>Comisionada</w:t>
                  </w:r>
                </w:p>
                <w:p w14:paraId="35D5AF85"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(Rúbrica)</w:t>
                  </w:r>
                </w:p>
              </w:tc>
              <w:tc>
                <w:tcPr>
                  <w:tcW w:w="5013" w:type="dxa"/>
                </w:tcPr>
                <w:p w14:paraId="61BB42A7" w14:textId="77777777" w:rsidR="00906C5B" w:rsidRPr="002D5698" w:rsidRDefault="00906C5B" w:rsidP="00906C5B">
                  <w:pPr>
                    <w:tabs>
                      <w:tab w:val="left" w:pos="0"/>
                    </w:tabs>
                    <w:spacing w:line="0" w:lineRule="atLeast"/>
                    <w:rPr>
                      <w:rFonts w:ascii="Palatino Linotype" w:hAnsi="Palatino Linotype" w:cs="Arial"/>
                      <w:b/>
                    </w:rPr>
                  </w:pPr>
                </w:p>
                <w:p w14:paraId="67F8E97E"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José Guadalupe Luna Hernández</w:t>
                  </w:r>
                </w:p>
                <w:p w14:paraId="53226508" w14:textId="77777777" w:rsidR="00906C5B" w:rsidRPr="002D5698" w:rsidRDefault="00906C5B" w:rsidP="00906C5B">
                  <w:pPr>
                    <w:tabs>
                      <w:tab w:val="left" w:pos="0"/>
                    </w:tabs>
                    <w:spacing w:line="0" w:lineRule="atLeast"/>
                    <w:jc w:val="center"/>
                    <w:rPr>
                      <w:rFonts w:ascii="Palatino Linotype" w:hAnsi="Palatino Linotype" w:cs="Arial"/>
                    </w:rPr>
                  </w:pPr>
                  <w:r w:rsidRPr="002D5698">
                    <w:rPr>
                      <w:rFonts w:ascii="Palatino Linotype" w:hAnsi="Palatino Linotype" w:cs="Arial"/>
                    </w:rPr>
                    <w:t>Comisionado</w:t>
                  </w:r>
                </w:p>
                <w:p w14:paraId="698AD113"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(Rúbrica)</w:t>
                  </w:r>
                </w:p>
                <w:p w14:paraId="0D83B8B2" w14:textId="77777777" w:rsidR="00906C5B" w:rsidRPr="002D5698" w:rsidRDefault="00906C5B" w:rsidP="00906C5B">
                  <w:pPr>
                    <w:tabs>
                      <w:tab w:val="left" w:pos="0"/>
                    </w:tabs>
                    <w:spacing w:line="0" w:lineRule="atLeast"/>
                    <w:jc w:val="center"/>
                    <w:rPr>
                      <w:rFonts w:ascii="Palatino Linotype" w:hAnsi="Palatino Linotype" w:cs="Arial"/>
                      <w:b/>
                    </w:rPr>
                  </w:pPr>
                </w:p>
              </w:tc>
            </w:tr>
            <w:tr w:rsidR="00906C5B" w:rsidRPr="002D5698" w14:paraId="058F16E0" w14:textId="77777777" w:rsidTr="004C232A">
              <w:trPr>
                <w:jc w:val="center"/>
              </w:trPr>
              <w:tc>
                <w:tcPr>
                  <w:tcW w:w="4905" w:type="dxa"/>
                </w:tcPr>
                <w:p w14:paraId="7575FCA4" w14:textId="77777777" w:rsidR="00906C5B" w:rsidRPr="002D5698" w:rsidRDefault="00906C5B" w:rsidP="00906C5B">
                  <w:pPr>
                    <w:tabs>
                      <w:tab w:val="left" w:pos="0"/>
                    </w:tabs>
                    <w:spacing w:line="0" w:lineRule="atLeast"/>
                    <w:jc w:val="center"/>
                    <w:rPr>
                      <w:rFonts w:ascii="Palatino Linotype" w:hAnsi="Palatino Linotype" w:cs="Arial"/>
                      <w:b/>
                    </w:rPr>
                  </w:pPr>
                </w:p>
                <w:p w14:paraId="640750C3" w14:textId="77777777" w:rsidR="00906C5B" w:rsidRPr="002D5698" w:rsidRDefault="00906C5B" w:rsidP="00906C5B">
                  <w:pPr>
                    <w:tabs>
                      <w:tab w:val="left" w:pos="0"/>
                    </w:tabs>
                    <w:spacing w:line="0" w:lineRule="atLeast"/>
                    <w:jc w:val="center"/>
                    <w:rPr>
                      <w:rFonts w:ascii="Palatino Linotype" w:hAnsi="Palatino Linotype" w:cs="Arial"/>
                      <w:b/>
                    </w:rPr>
                  </w:pPr>
                </w:p>
                <w:p w14:paraId="5BC1D762" w14:textId="77777777" w:rsidR="00906C5B" w:rsidRPr="002D5698" w:rsidRDefault="00906C5B" w:rsidP="00906C5B">
                  <w:pPr>
                    <w:tabs>
                      <w:tab w:val="left" w:pos="0"/>
                    </w:tabs>
                    <w:spacing w:line="0" w:lineRule="atLeast"/>
                    <w:jc w:val="center"/>
                    <w:rPr>
                      <w:rFonts w:ascii="Palatino Linotype" w:hAnsi="Palatino Linotype" w:cs="Arial"/>
                      <w:b/>
                    </w:rPr>
                  </w:pPr>
                </w:p>
                <w:p w14:paraId="3670BAEC"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Javier Martínez Cruz</w:t>
                  </w:r>
                </w:p>
                <w:p w14:paraId="1DBFADED" w14:textId="77777777" w:rsidR="00906C5B" w:rsidRPr="002D5698" w:rsidRDefault="00906C5B" w:rsidP="00906C5B">
                  <w:pPr>
                    <w:tabs>
                      <w:tab w:val="left" w:pos="0"/>
                    </w:tabs>
                    <w:spacing w:line="0" w:lineRule="atLeast"/>
                    <w:jc w:val="center"/>
                    <w:rPr>
                      <w:rFonts w:ascii="Palatino Linotype" w:hAnsi="Palatino Linotype" w:cs="Arial"/>
                    </w:rPr>
                  </w:pPr>
                  <w:r w:rsidRPr="002D5698">
                    <w:rPr>
                      <w:rFonts w:ascii="Palatino Linotype" w:hAnsi="Palatino Linotype" w:cs="Arial"/>
                    </w:rPr>
                    <w:t>Comisionado</w:t>
                  </w:r>
                </w:p>
                <w:p w14:paraId="5D802DCB"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(Rúbrica)</w:t>
                  </w:r>
                </w:p>
              </w:tc>
              <w:tc>
                <w:tcPr>
                  <w:tcW w:w="5013" w:type="dxa"/>
                </w:tcPr>
                <w:p w14:paraId="1969B6A4" w14:textId="77777777" w:rsidR="00906C5B" w:rsidRPr="002D5698" w:rsidRDefault="00906C5B" w:rsidP="00906C5B">
                  <w:pPr>
                    <w:tabs>
                      <w:tab w:val="left" w:pos="0"/>
                    </w:tabs>
                    <w:spacing w:line="0" w:lineRule="atLeast"/>
                    <w:jc w:val="center"/>
                    <w:rPr>
                      <w:rFonts w:ascii="Palatino Linotype" w:hAnsi="Palatino Linotype" w:cs="Arial"/>
                      <w:b/>
                    </w:rPr>
                  </w:pPr>
                </w:p>
                <w:p w14:paraId="079068A7" w14:textId="77777777" w:rsidR="00906C5B" w:rsidRPr="002D5698" w:rsidRDefault="00906C5B" w:rsidP="00906C5B">
                  <w:pPr>
                    <w:tabs>
                      <w:tab w:val="left" w:pos="0"/>
                    </w:tabs>
                    <w:spacing w:line="0" w:lineRule="atLeast"/>
                    <w:jc w:val="center"/>
                    <w:rPr>
                      <w:rFonts w:ascii="Palatino Linotype" w:hAnsi="Palatino Linotype" w:cs="Arial"/>
                      <w:b/>
                    </w:rPr>
                  </w:pPr>
                </w:p>
                <w:p w14:paraId="4A0B958D" w14:textId="77777777" w:rsidR="00906C5B" w:rsidRPr="002D5698" w:rsidRDefault="00906C5B" w:rsidP="00906C5B">
                  <w:pPr>
                    <w:tabs>
                      <w:tab w:val="left" w:pos="0"/>
                    </w:tabs>
                    <w:spacing w:line="0" w:lineRule="atLeast"/>
                    <w:jc w:val="center"/>
                    <w:rPr>
                      <w:rFonts w:ascii="Palatino Linotype" w:hAnsi="Palatino Linotype" w:cs="Arial"/>
                      <w:b/>
                    </w:rPr>
                  </w:pPr>
                </w:p>
                <w:p w14:paraId="14F05356"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Luis Gustavo Parra Noriega</w:t>
                  </w:r>
                </w:p>
                <w:p w14:paraId="62B9B7DF" w14:textId="77777777" w:rsidR="00906C5B" w:rsidRPr="002D5698" w:rsidRDefault="00906C5B" w:rsidP="00906C5B">
                  <w:pPr>
                    <w:tabs>
                      <w:tab w:val="left" w:pos="0"/>
                    </w:tabs>
                    <w:spacing w:line="0" w:lineRule="atLeast"/>
                    <w:jc w:val="center"/>
                    <w:rPr>
                      <w:rFonts w:ascii="Palatino Linotype" w:hAnsi="Palatino Linotype" w:cs="Arial"/>
                    </w:rPr>
                  </w:pPr>
                  <w:r w:rsidRPr="002D5698">
                    <w:rPr>
                      <w:rFonts w:ascii="Palatino Linotype" w:hAnsi="Palatino Linotype" w:cs="Arial"/>
                    </w:rPr>
                    <w:t>Comisionado</w:t>
                  </w:r>
                </w:p>
                <w:p w14:paraId="09CFD79B"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(Rúbrica)</w:t>
                  </w:r>
                </w:p>
              </w:tc>
            </w:tr>
            <w:tr w:rsidR="00906C5B" w:rsidRPr="002D5698" w14:paraId="68EEA7A3" w14:textId="77777777" w:rsidTr="004C232A">
              <w:trPr>
                <w:jc w:val="center"/>
              </w:trPr>
              <w:tc>
                <w:tcPr>
                  <w:tcW w:w="9918" w:type="dxa"/>
                  <w:gridSpan w:val="2"/>
                </w:tcPr>
                <w:p w14:paraId="5D6D4060" w14:textId="77777777" w:rsidR="00906C5B" w:rsidRPr="002D5698" w:rsidRDefault="00906C5B" w:rsidP="00906C5B">
                  <w:pPr>
                    <w:tabs>
                      <w:tab w:val="left" w:pos="0"/>
                    </w:tabs>
                    <w:spacing w:line="0" w:lineRule="atLeast"/>
                    <w:jc w:val="center"/>
                    <w:rPr>
                      <w:rFonts w:ascii="Palatino Linotype" w:hAnsi="Palatino Linotype" w:cs="Arial"/>
                      <w:b/>
                    </w:rPr>
                  </w:pPr>
                </w:p>
                <w:p w14:paraId="434B9B23" w14:textId="77777777" w:rsidR="00906C5B" w:rsidRPr="002D5698" w:rsidRDefault="00906C5B" w:rsidP="00906C5B">
                  <w:pPr>
                    <w:tabs>
                      <w:tab w:val="left" w:pos="0"/>
                    </w:tabs>
                    <w:spacing w:line="0" w:lineRule="atLeast"/>
                    <w:jc w:val="center"/>
                    <w:rPr>
                      <w:rFonts w:ascii="Palatino Linotype" w:hAnsi="Palatino Linotype" w:cs="Arial"/>
                      <w:b/>
                    </w:rPr>
                  </w:pPr>
                </w:p>
                <w:p w14:paraId="468B55A5" w14:textId="77777777" w:rsidR="00906C5B" w:rsidRPr="002D5698" w:rsidRDefault="00906C5B" w:rsidP="00906C5B">
                  <w:pPr>
                    <w:tabs>
                      <w:tab w:val="left" w:pos="0"/>
                    </w:tabs>
                    <w:spacing w:line="0" w:lineRule="atLeast"/>
                    <w:jc w:val="center"/>
                    <w:rPr>
                      <w:rFonts w:ascii="Palatino Linotype" w:hAnsi="Palatino Linotype" w:cs="Arial"/>
                      <w:b/>
                    </w:rPr>
                  </w:pPr>
                </w:p>
                <w:p w14:paraId="0D9850EA" w14:textId="77777777" w:rsidR="00906C5B" w:rsidRPr="002D5698" w:rsidRDefault="00906C5B" w:rsidP="00906C5B">
                  <w:pPr>
                    <w:tabs>
                      <w:tab w:val="left" w:pos="0"/>
                    </w:tabs>
                    <w:spacing w:line="0" w:lineRule="atLeast"/>
                    <w:jc w:val="center"/>
                    <w:rPr>
                      <w:rFonts w:ascii="Palatino Linotype" w:hAnsi="Palatino Linotype" w:cs="Arial"/>
                      <w:b/>
                    </w:rPr>
                  </w:pPr>
                  <w:r w:rsidRPr="002D5698">
                    <w:rPr>
                      <w:rFonts w:ascii="Palatino Linotype" w:hAnsi="Palatino Linotype" w:cs="Arial"/>
                      <w:b/>
                    </w:rPr>
                    <w:t>Alexis Tapia Ramírez</w:t>
                  </w:r>
                </w:p>
                <w:p w14:paraId="2764EA70" w14:textId="77777777" w:rsidR="00906C5B" w:rsidRPr="002D5698" w:rsidRDefault="00906C5B" w:rsidP="00906C5B">
                  <w:pPr>
                    <w:tabs>
                      <w:tab w:val="left" w:pos="0"/>
                    </w:tabs>
                    <w:spacing w:line="0" w:lineRule="atLeast"/>
                    <w:jc w:val="center"/>
                    <w:rPr>
                      <w:rFonts w:ascii="Palatino Linotype" w:hAnsi="Palatino Linotype" w:cs="Arial"/>
                    </w:rPr>
                  </w:pPr>
                  <w:r w:rsidRPr="002D5698">
                    <w:rPr>
                      <w:rFonts w:ascii="Palatino Linotype" w:hAnsi="Palatino Linotype" w:cs="Arial"/>
                    </w:rPr>
                    <w:t>Secretario Técnico del Pleno</w:t>
                  </w:r>
                </w:p>
                <w:p w14:paraId="748D39C8" w14:textId="47B90600" w:rsidR="00906C5B" w:rsidRPr="002D5698" w:rsidRDefault="00D8611C" w:rsidP="00D8611C">
                  <w:pPr>
                    <w:tabs>
                      <w:tab w:val="left" w:pos="0"/>
                    </w:tabs>
                    <w:spacing w:line="0" w:lineRule="atLeast"/>
                    <w:jc w:val="center"/>
                    <w:rPr>
                      <w:rFonts w:ascii="Palatino Linotype" w:hAnsi="Palatino Linotype" w:cs="Arial"/>
                      <w:b/>
                    </w:rPr>
                  </w:pPr>
                  <w:r>
                    <w:rPr>
                      <w:rFonts w:ascii="Palatino Linotype" w:hAnsi="Palatino Linotype" w:cs="Arial"/>
                      <w:b/>
                    </w:rPr>
                    <w:t>(Rúbrica)</w:t>
                  </w:r>
                </w:p>
              </w:tc>
            </w:tr>
          </w:tbl>
          <w:p w14:paraId="67B67519" w14:textId="77777777" w:rsidR="00575D13" w:rsidRPr="00A62DC6" w:rsidRDefault="00575D13" w:rsidP="004C232A">
            <w:pPr>
              <w:tabs>
                <w:tab w:val="left" w:pos="0"/>
              </w:tabs>
              <w:spacing w:line="360" w:lineRule="auto"/>
              <w:jc w:val="center"/>
              <w:rPr>
                <w:rFonts w:ascii="Palatino Linotype" w:hAnsi="Palatino Linotype" w:cs="Arial"/>
                <w:b/>
              </w:rPr>
            </w:pPr>
          </w:p>
        </w:tc>
      </w:tr>
      <w:tr w:rsidR="00575D13" w:rsidRPr="00A62DC6" w14:paraId="398BD785" w14:textId="77777777" w:rsidTr="004C232A">
        <w:trPr>
          <w:jc w:val="center"/>
        </w:trPr>
        <w:tc>
          <w:tcPr>
            <w:tcW w:w="4905" w:type="dxa"/>
          </w:tcPr>
          <w:p w14:paraId="133C1BA1" w14:textId="79B9D299" w:rsidR="00575D13" w:rsidRPr="00A62DC6" w:rsidRDefault="00575D13" w:rsidP="004C232A">
            <w:pPr>
              <w:tabs>
                <w:tab w:val="left" w:pos="0"/>
              </w:tabs>
              <w:spacing w:line="360" w:lineRule="auto"/>
              <w:jc w:val="center"/>
              <w:rPr>
                <w:rFonts w:ascii="Palatino Linotype" w:hAnsi="Palatino Linotype" w:cs="Arial"/>
                <w:b/>
              </w:rPr>
            </w:pPr>
          </w:p>
        </w:tc>
        <w:tc>
          <w:tcPr>
            <w:tcW w:w="5013" w:type="dxa"/>
          </w:tcPr>
          <w:p w14:paraId="4824743B" w14:textId="77777777" w:rsidR="00575D13" w:rsidRPr="00A62DC6" w:rsidRDefault="00575D13" w:rsidP="004C232A">
            <w:pPr>
              <w:tabs>
                <w:tab w:val="left" w:pos="0"/>
              </w:tabs>
              <w:spacing w:line="360" w:lineRule="auto"/>
              <w:jc w:val="center"/>
              <w:rPr>
                <w:rFonts w:ascii="Palatino Linotype" w:hAnsi="Palatino Linotype" w:cs="Arial"/>
                <w:b/>
              </w:rPr>
            </w:pPr>
          </w:p>
        </w:tc>
      </w:tr>
      <w:tr w:rsidR="00575D13" w:rsidRPr="00A62DC6" w14:paraId="5AA403A3" w14:textId="77777777" w:rsidTr="004C232A">
        <w:trPr>
          <w:jc w:val="center"/>
        </w:trPr>
        <w:tc>
          <w:tcPr>
            <w:tcW w:w="4905" w:type="dxa"/>
          </w:tcPr>
          <w:p w14:paraId="699040B7" w14:textId="68D12593" w:rsidR="00575D13" w:rsidRPr="00A62DC6" w:rsidRDefault="00575D13" w:rsidP="004C232A">
            <w:pPr>
              <w:tabs>
                <w:tab w:val="left" w:pos="0"/>
              </w:tabs>
              <w:spacing w:line="360" w:lineRule="auto"/>
              <w:jc w:val="center"/>
              <w:rPr>
                <w:rFonts w:ascii="Palatino Linotype" w:hAnsi="Palatino Linotype" w:cs="Arial"/>
                <w:b/>
              </w:rPr>
            </w:pPr>
          </w:p>
        </w:tc>
        <w:tc>
          <w:tcPr>
            <w:tcW w:w="5013" w:type="dxa"/>
          </w:tcPr>
          <w:p w14:paraId="26E2820D" w14:textId="6E56CC47" w:rsidR="00906C5B" w:rsidRPr="00A62DC6" w:rsidRDefault="00906C5B" w:rsidP="004C232A">
            <w:pPr>
              <w:tabs>
                <w:tab w:val="left" w:pos="0"/>
              </w:tabs>
              <w:spacing w:line="360" w:lineRule="auto"/>
              <w:jc w:val="center"/>
              <w:rPr>
                <w:rFonts w:ascii="Palatino Linotype" w:hAnsi="Palatino Linotype" w:cs="Arial"/>
                <w:b/>
              </w:rPr>
            </w:pPr>
          </w:p>
        </w:tc>
      </w:tr>
    </w:tbl>
    <w:p w14:paraId="1499EB42" w14:textId="2303D360" w:rsidR="00575D13" w:rsidRPr="00D8611C" w:rsidRDefault="00575D13" w:rsidP="00D8611C">
      <w:pPr>
        <w:jc w:val="both"/>
        <w:rPr>
          <w:rFonts w:ascii="Palatino Linotype" w:hAnsi="Palatino Linotype"/>
          <w:lang w:eastAsia="en-US"/>
        </w:rPr>
      </w:pPr>
      <w:r w:rsidRPr="002D6F4B">
        <w:rPr>
          <w:rFonts w:ascii="Palatino Linotype" w:hAnsi="Palatino Linotype" w:cs="Arial"/>
          <w:color w:val="000000" w:themeColor="text1"/>
        </w:rPr>
        <w:t xml:space="preserve">Esta hoja corresponde a la resolución del </w:t>
      </w:r>
      <w:r w:rsidR="00906C5B">
        <w:rPr>
          <w:rFonts w:ascii="Palatino Linotype" w:hAnsi="Palatino Linotype" w:cs="Arial"/>
          <w:color w:val="000000" w:themeColor="text1"/>
        </w:rPr>
        <w:t>treinta</w:t>
      </w:r>
      <w:r>
        <w:rPr>
          <w:rFonts w:ascii="Palatino Linotype" w:hAnsi="Palatino Linotype" w:cs="Arial"/>
          <w:color w:val="000000" w:themeColor="text1"/>
        </w:rPr>
        <w:t xml:space="preserve"> (</w:t>
      </w:r>
      <w:r w:rsidR="00906C5B">
        <w:rPr>
          <w:rFonts w:ascii="Palatino Linotype" w:hAnsi="Palatino Linotype" w:cs="Arial"/>
          <w:color w:val="000000" w:themeColor="text1"/>
        </w:rPr>
        <w:t>30</w:t>
      </w:r>
      <w:r>
        <w:rPr>
          <w:rFonts w:ascii="Palatino Linotype" w:hAnsi="Palatino Linotype" w:cs="Arial"/>
          <w:color w:val="000000" w:themeColor="text1"/>
        </w:rPr>
        <w:t>)</w:t>
      </w:r>
      <w:r w:rsidRPr="002D6F4B">
        <w:rPr>
          <w:rFonts w:ascii="Palatino Linotype" w:hAnsi="Palatino Linotype" w:cs="Arial"/>
          <w:color w:val="000000" w:themeColor="text1"/>
        </w:rPr>
        <w:t xml:space="preserve"> de </w:t>
      </w:r>
      <w:r>
        <w:rPr>
          <w:rFonts w:ascii="Palatino Linotype" w:hAnsi="Palatino Linotype" w:cs="Arial"/>
          <w:color w:val="000000" w:themeColor="text1"/>
        </w:rPr>
        <w:t>septiembre de dos mil veinte,</w:t>
      </w:r>
      <w:r w:rsidRPr="002D6F4B">
        <w:rPr>
          <w:rFonts w:ascii="Palatino Linotype" w:hAnsi="Palatino Linotype" w:cs="Arial"/>
          <w:color w:val="000000" w:themeColor="text1"/>
        </w:rPr>
        <w:t xml:space="preserve"> emitida en el recurso de revisión </w:t>
      </w:r>
      <w:r w:rsidR="00D8611C">
        <w:rPr>
          <w:rFonts w:ascii="Palatino Linotype" w:hAnsi="Palatino Linotype" w:cs="Arial"/>
          <w:b/>
          <w:bCs/>
          <w:color w:val="000000" w:themeColor="text1"/>
          <w:lang w:eastAsia="es-MX"/>
        </w:rPr>
        <w:t>02683</w:t>
      </w:r>
      <w:r>
        <w:rPr>
          <w:rFonts w:ascii="Palatino Linotype" w:hAnsi="Palatino Linotype" w:cs="Arial"/>
          <w:b/>
          <w:bCs/>
          <w:color w:val="000000" w:themeColor="text1"/>
          <w:lang w:eastAsia="es-MX"/>
        </w:rPr>
        <w:t>/INFOEM/IP/RR/2020 y acumulados</w:t>
      </w:r>
      <w:r w:rsidRPr="002D6F4B">
        <w:rPr>
          <w:rFonts w:ascii="Palatino Linotype" w:hAnsi="Palatino Linotype" w:cs="Arial"/>
          <w:color w:val="000000" w:themeColor="text1"/>
        </w:rPr>
        <w:t>.</w:t>
      </w:r>
    </w:p>
    <w:sectPr w:rsidR="00575D13" w:rsidRPr="00D8611C" w:rsidSect="00943B9C">
      <w:headerReference w:type="even" r:id="rId8"/>
      <w:headerReference w:type="default" r:id="rId9"/>
      <w:footerReference w:type="default" r:id="rId10"/>
      <w:headerReference w:type="first" r:id="rId11"/>
      <w:footerReference w:type="first" r:id="rId12"/>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F3D515" w14:textId="77777777" w:rsidR="00846983" w:rsidRDefault="00846983" w:rsidP="00587366">
      <w:r>
        <w:separator/>
      </w:r>
    </w:p>
  </w:endnote>
  <w:endnote w:type="continuationSeparator" w:id="0">
    <w:p w14:paraId="4F6A1705" w14:textId="77777777" w:rsidR="00846983" w:rsidRDefault="00846983"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man Old Style">
    <w:altName w:val="Bookman Old Style"/>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057D357" w:rsidR="00DA6C1D" w:rsidRPr="00883450" w:rsidRDefault="00DA6C1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8611C">
              <w:rPr>
                <w:rFonts w:ascii="Palatino Linotype" w:hAnsi="Palatino Linotype"/>
                <w:b/>
                <w:bCs/>
                <w:noProof/>
                <w:sz w:val="22"/>
                <w:szCs w:val="20"/>
              </w:rPr>
              <w:t>38</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8611C">
              <w:rPr>
                <w:rFonts w:ascii="Palatino Linotype" w:hAnsi="Palatino Linotype"/>
                <w:b/>
                <w:bCs/>
                <w:noProof/>
                <w:sz w:val="22"/>
                <w:szCs w:val="20"/>
              </w:rPr>
              <w:t>39</w:t>
            </w:r>
            <w:r w:rsidRPr="00883450">
              <w:rPr>
                <w:rFonts w:ascii="Palatino Linotype" w:hAnsi="Palatino Linotype"/>
                <w:b/>
                <w:bCs/>
                <w:sz w:val="22"/>
                <w:szCs w:val="20"/>
              </w:rPr>
              <w:fldChar w:fldCharType="end"/>
            </w:r>
          </w:p>
        </w:sdtContent>
      </w:sdt>
    </w:sdtContent>
  </w:sdt>
  <w:p w14:paraId="6243EC1B" w14:textId="77777777" w:rsidR="00DA6C1D" w:rsidRDefault="00DA6C1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882B7" w14:textId="199182F2" w:rsidR="00DA6C1D" w:rsidRPr="00883450" w:rsidRDefault="00DA6C1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8611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8611C" w:rsidRPr="00D8611C">
      <w:rPr>
        <w:rFonts w:ascii="Palatino Linotype" w:hAnsi="Palatino Linotype"/>
        <w:noProof/>
        <w:sz w:val="22"/>
        <w:szCs w:val="22"/>
        <w:lang w:val="es-ES"/>
      </w:rPr>
      <w:t>40</w:t>
    </w:r>
    <w:r w:rsidRPr="00883450">
      <w:rPr>
        <w:rFonts w:ascii="Palatino Linotype" w:hAnsi="Palatino Linotype"/>
        <w:sz w:val="22"/>
        <w:szCs w:val="22"/>
      </w:rPr>
      <w:fldChar w:fldCharType="end"/>
    </w:r>
  </w:p>
  <w:p w14:paraId="5F5C4865" w14:textId="77777777" w:rsidR="00DA6C1D" w:rsidRPr="00883450" w:rsidRDefault="00DA6C1D">
    <w:pPr>
      <w:pStyle w:val="Piedepgina"/>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7878E" w14:textId="77777777" w:rsidR="00846983" w:rsidRDefault="00846983" w:rsidP="00587366">
      <w:r>
        <w:separator/>
      </w:r>
    </w:p>
  </w:footnote>
  <w:footnote w:type="continuationSeparator" w:id="0">
    <w:p w14:paraId="561E9427" w14:textId="77777777" w:rsidR="00846983" w:rsidRDefault="00846983" w:rsidP="00587366">
      <w:r>
        <w:continuationSeparator/>
      </w:r>
    </w:p>
  </w:footnote>
  <w:footnote w:id="1">
    <w:p w14:paraId="5EA43FAC" w14:textId="77777777" w:rsidR="00DA6C1D" w:rsidRPr="00F75272" w:rsidRDefault="00DA6C1D" w:rsidP="008415B3">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A53ADF8" w14:textId="77777777" w:rsidR="00DA6C1D" w:rsidRDefault="00DA6C1D" w:rsidP="00575D13">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72D30" w14:textId="3C58E892" w:rsidR="00D8611C" w:rsidRDefault="00407D12">
    <w:pPr>
      <w:pStyle w:val="Encabezado"/>
    </w:pPr>
    <w:r>
      <w:rPr>
        <w:noProof/>
        <w:lang w:val="es-MX" w:eastAsia="es-MX"/>
      </w:rPr>
      <w:pict w14:anchorId="39DEF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801579"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E5A6E" w14:textId="38F1C0C5" w:rsidR="00DA6C1D" w:rsidRDefault="00407D12" w:rsidP="001C6012">
    <w:pPr>
      <w:pStyle w:val="Encabezado"/>
      <w:tabs>
        <w:tab w:val="clear" w:pos="4252"/>
        <w:tab w:val="clear" w:pos="8504"/>
        <w:tab w:val="left" w:pos="8460"/>
      </w:tabs>
    </w:pPr>
    <w:r>
      <w:rPr>
        <w:noProof/>
        <w:lang w:val="es-MX" w:eastAsia="es-MX"/>
      </w:rPr>
      <w:pict w14:anchorId="2D7D07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801580"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r w:rsidR="00DA6C1D">
      <w:tab/>
    </w:r>
  </w:p>
  <w:p w14:paraId="64F5F23E" w14:textId="390690E5" w:rsidR="00DA6C1D" w:rsidRDefault="00DA6C1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DA6C1D" w:rsidRPr="00674A46" w14:paraId="07F2896E" w14:textId="77777777" w:rsidTr="0081485A">
      <w:trPr>
        <w:trHeight w:val="138"/>
        <w:jc w:val="right"/>
      </w:trPr>
      <w:tc>
        <w:tcPr>
          <w:tcW w:w="4253" w:type="dxa"/>
          <w:vAlign w:val="center"/>
        </w:tcPr>
        <w:p w14:paraId="4A5B1974" w14:textId="3B2AB4E0" w:rsidR="00DA6C1D" w:rsidRPr="00674A46" w:rsidRDefault="00DA6C1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509182A5" w:rsidR="00DA6C1D" w:rsidRPr="00674A46" w:rsidRDefault="00DA6C1D" w:rsidP="00EE0FC1">
          <w:pPr>
            <w:pStyle w:val="Encabezado"/>
            <w:rPr>
              <w:rFonts w:ascii="Palatino Linotype" w:hAnsi="Palatino Linotype"/>
              <w:b/>
              <w:sz w:val="22"/>
              <w:szCs w:val="22"/>
            </w:rPr>
          </w:pPr>
          <w:r>
            <w:rPr>
              <w:rFonts w:ascii="Palatino Linotype" w:hAnsi="Palatino Linotype" w:cs="Arial"/>
              <w:b/>
              <w:bCs/>
              <w:sz w:val="22"/>
              <w:szCs w:val="22"/>
              <w:lang w:eastAsia="es-MX"/>
            </w:rPr>
            <w:t>02683/INFOEM/IP/RR/2020 y acumulados</w:t>
          </w:r>
        </w:p>
      </w:tc>
    </w:tr>
    <w:tr w:rsidR="00DA6C1D" w:rsidRPr="00674A46" w14:paraId="1B5D8690" w14:textId="77777777" w:rsidTr="0081485A">
      <w:trPr>
        <w:trHeight w:val="233"/>
        <w:jc w:val="right"/>
      </w:trPr>
      <w:tc>
        <w:tcPr>
          <w:tcW w:w="4253" w:type="dxa"/>
          <w:vAlign w:val="center"/>
        </w:tcPr>
        <w:p w14:paraId="3903F2C6" w14:textId="22D569F8" w:rsidR="00DA6C1D" w:rsidRPr="00674A46" w:rsidRDefault="00DA6C1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4DA7C918" w:rsidR="00DA6C1D" w:rsidRPr="00B75F20" w:rsidRDefault="00DA6C1D" w:rsidP="00926F75">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DA6C1D" w:rsidRPr="00674A46" w14:paraId="095EB01B" w14:textId="77777777" w:rsidTr="0081485A">
      <w:trPr>
        <w:trHeight w:val="321"/>
        <w:jc w:val="right"/>
      </w:trPr>
      <w:tc>
        <w:tcPr>
          <w:tcW w:w="4253" w:type="dxa"/>
          <w:vAlign w:val="center"/>
        </w:tcPr>
        <w:p w14:paraId="6E000A51" w14:textId="25DCC1C7" w:rsidR="00DA6C1D" w:rsidRPr="00674A46" w:rsidRDefault="00DA6C1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DA6C1D" w:rsidRPr="00674A46" w:rsidRDefault="00DA6C1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DA6C1D" w:rsidRDefault="00DA6C1D" w:rsidP="00472C41">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CD4FEF" w14:textId="4B2BA5E1" w:rsidR="00DA6C1D" w:rsidRDefault="00407D12" w:rsidP="00472C41">
    <w:pPr>
      <w:pStyle w:val="Encabezado"/>
      <w:tabs>
        <w:tab w:val="clear" w:pos="4252"/>
        <w:tab w:val="clear" w:pos="8504"/>
        <w:tab w:val="left" w:pos="3103"/>
      </w:tabs>
    </w:pPr>
    <w:r>
      <w:rPr>
        <w:noProof/>
        <w:lang w:val="es-MX" w:eastAsia="es-MX"/>
      </w:rPr>
      <w:pict w14:anchorId="64877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9801578"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DA6C1D">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DA6C1D" w:rsidRPr="00674A46" w14:paraId="0A3256F2" w14:textId="77777777" w:rsidTr="006E6B65">
      <w:trPr>
        <w:trHeight w:val="138"/>
        <w:jc w:val="right"/>
      </w:trPr>
      <w:tc>
        <w:tcPr>
          <w:tcW w:w="3261" w:type="dxa"/>
          <w:vAlign w:val="center"/>
        </w:tcPr>
        <w:p w14:paraId="3D80769D" w14:textId="316F11F8" w:rsidR="00DA6C1D" w:rsidRPr="00674A46" w:rsidRDefault="00DA6C1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794A0534" w:rsidR="00DA6C1D" w:rsidRPr="00674A46" w:rsidRDefault="00DA6C1D" w:rsidP="00EE0FC1">
          <w:pPr>
            <w:pStyle w:val="Encabezado"/>
            <w:rPr>
              <w:rFonts w:ascii="Palatino Linotype" w:hAnsi="Palatino Linotype"/>
              <w:b/>
              <w:sz w:val="22"/>
              <w:szCs w:val="22"/>
            </w:rPr>
          </w:pPr>
          <w:r>
            <w:rPr>
              <w:rFonts w:ascii="Palatino Linotype" w:hAnsi="Palatino Linotype" w:cs="Arial"/>
              <w:b/>
              <w:bCs/>
              <w:sz w:val="22"/>
              <w:szCs w:val="22"/>
              <w:lang w:eastAsia="es-MX"/>
            </w:rPr>
            <w:t>02683/INFOEM/IP/RR/2020 y acumulados</w:t>
          </w:r>
        </w:p>
      </w:tc>
    </w:tr>
    <w:tr w:rsidR="00DA6C1D" w:rsidRPr="00B75F20" w14:paraId="128C8B3C" w14:textId="77777777" w:rsidTr="006E6B65">
      <w:trPr>
        <w:trHeight w:val="233"/>
        <w:jc w:val="right"/>
      </w:trPr>
      <w:tc>
        <w:tcPr>
          <w:tcW w:w="3261" w:type="dxa"/>
          <w:vAlign w:val="center"/>
        </w:tcPr>
        <w:p w14:paraId="483E3371" w14:textId="66B1BC74" w:rsidR="00DA6C1D" w:rsidRPr="00674A46" w:rsidRDefault="00DA6C1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49A76934" w:rsidR="00DA6C1D" w:rsidRPr="00B75F20" w:rsidRDefault="00407D12" w:rsidP="009B42A1">
          <w:pPr>
            <w:pStyle w:val="Encabezado"/>
            <w:tabs>
              <w:tab w:val="clear" w:pos="4252"/>
              <w:tab w:val="clear" w:pos="8504"/>
              <w:tab w:val="left" w:pos="521"/>
            </w:tabs>
            <w:rPr>
              <w:rFonts w:ascii="Palatino Linotype" w:hAnsi="Palatino Linotype"/>
              <w:b/>
              <w:sz w:val="22"/>
              <w:szCs w:val="22"/>
            </w:rPr>
          </w:pPr>
          <w:r>
            <w:rPr>
              <w:rFonts w:ascii="Palatino Linotype" w:hAnsi="Palatino Linotype"/>
              <w:b/>
              <w:highlight w:val="black"/>
            </w:rPr>
            <w:t>--------------------------------------</w:t>
          </w:r>
          <w:r>
            <w:rPr>
              <w:rFonts w:ascii="Palatino Linotype" w:hAnsi="Palatino Linotype"/>
              <w:b/>
              <w:highlight w:val="black"/>
            </w:rPr>
            <w:t>-</w:t>
          </w:r>
          <w:r>
            <w:rPr>
              <w:rFonts w:ascii="Palatino Linotype" w:hAnsi="Palatino Linotype"/>
              <w:b/>
              <w:highlight w:val="black"/>
            </w:rPr>
            <w:t>-</w:t>
          </w:r>
          <w:r w:rsidR="00DA6C1D">
            <w:rPr>
              <w:rFonts w:ascii="Palatino Linotype" w:hAnsi="Palatino Linotype"/>
              <w:b/>
              <w:sz w:val="22"/>
              <w:szCs w:val="22"/>
            </w:rPr>
            <w:tab/>
          </w:r>
        </w:p>
      </w:tc>
    </w:tr>
    <w:tr w:rsidR="00DA6C1D" w:rsidRPr="00674A46" w14:paraId="41BE0704" w14:textId="77777777" w:rsidTr="006E6B65">
      <w:trPr>
        <w:trHeight w:val="321"/>
        <w:jc w:val="right"/>
      </w:trPr>
      <w:tc>
        <w:tcPr>
          <w:tcW w:w="3261" w:type="dxa"/>
          <w:vAlign w:val="center"/>
        </w:tcPr>
        <w:p w14:paraId="34C64148" w14:textId="10C6C8A9" w:rsidR="00DA6C1D" w:rsidRPr="00674A46" w:rsidRDefault="00DA6C1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61E93AA" w:rsidR="00DA6C1D" w:rsidRPr="00674A46" w:rsidRDefault="00DA6C1D" w:rsidP="005C3414">
          <w:pPr>
            <w:pStyle w:val="Encabezado"/>
            <w:jc w:val="both"/>
            <w:rPr>
              <w:rFonts w:ascii="Palatino Linotype" w:hAnsi="Palatino Linotype"/>
              <w:b/>
              <w:sz w:val="22"/>
              <w:szCs w:val="22"/>
            </w:rPr>
          </w:pPr>
          <w:r w:rsidRPr="00724602">
            <w:rPr>
              <w:rFonts w:ascii="Palatino Linotype" w:hAnsi="Palatino Linotype"/>
              <w:b/>
              <w:bCs/>
              <w:color w:val="000000"/>
              <w:sz w:val="22"/>
              <w:szCs w:val="22"/>
            </w:rPr>
            <w:t>Ayuntamiento de Ixtapan de la Sal</w:t>
          </w:r>
        </w:p>
      </w:tc>
    </w:tr>
    <w:tr w:rsidR="00DA6C1D" w:rsidRPr="00674A46" w14:paraId="0C8B6193" w14:textId="77777777" w:rsidTr="006E6B65">
      <w:trPr>
        <w:trHeight w:val="321"/>
        <w:jc w:val="right"/>
      </w:trPr>
      <w:tc>
        <w:tcPr>
          <w:tcW w:w="3261" w:type="dxa"/>
          <w:vAlign w:val="center"/>
        </w:tcPr>
        <w:p w14:paraId="321FFAFF" w14:textId="40E5A678" w:rsidR="00DA6C1D" w:rsidRPr="00674A46" w:rsidRDefault="00DA6C1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DA6C1D" w:rsidRPr="00674A46" w:rsidRDefault="00DA6C1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DA6C1D" w:rsidRDefault="00DA6C1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9327468"/>
    <w:multiLevelType w:val="hybridMultilevel"/>
    <w:tmpl w:val="1F26565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D9006A9"/>
    <w:multiLevelType w:val="multilevel"/>
    <w:tmpl w:val="9F064572"/>
    <w:lvl w:ilvl="0">
      <w:start w:val="20"/>
      <w:numFmt w:val="decimal"/>
      <w:lvlText w:val="%1."/>
      <w:lvlJc w:val="left"/>
      <w:pPr>
        <w:ind w:left="502" w:hanging="360"/>
      </w:pPr>
      <w:rPr>
        <w:rFonts w:ascii="Palatino Linotype" w:hAnsi="Palatino Linotype" w:hint="default"/>
        <w:b/>
        <w:i w:val="0"/>
        <w:sz w:val="24"/>
      </w:rPr>
    </w:lvl>
    <w:lvl w:ilvl="1">
      <w:start w:val="1"/>
      <w:numFmt w:val="lowerLetter"/>
      <w:lvlText w:val="%2."/>
      <w:lvlJc w:val="left"/>
      <w:pPr>
        <w:ind w:left="1222" w:hanging="360"/>
      </w:pPr>
      <w:rPr>
        <w:rFonts w:hint="default"/>
      </w:rPr>
    </w:lvl>
    <w:lvl w:ilvl="2">
      <w:start w:val="1"/>
      <w:numFmt w:val="lowerRoman"/>
      <w:lvlText w:val="%3."/>
      <w:lvlJc w:val="right"/>
      <w:pPr>
        <w:ind w:left="1942" w:hanging="180"/>
      </w:pPr>
      <w:rPr>
        <w:rFonts w:hint="default"/>
      </w:rPr>
    </w:lvl>
    <w:lvl w:ilvl="3">
      <w:start w:val="1"/>
      <w:numFmt w:val="decimal"/>
      <w:lvlText w:val="%4."/>
      <w:lvlJc w:val="left"/>
      <w:pPr>
        <w:ind w:left="2662" w:hanging="360"/>
      </w:pPr>
      <w:rPr>
        <w:rFonts w:hint="default"/>
      </w:rPr>
    </w:lvl>
    <w:lvl w:ilvl="4">
      <w:start w:val="1"/>
      <w:numFmt w:val="lowerLetter"/>
      <w:lvlText w:val="%5."/>
      <w:lvlJc w:val="left"/>
      <w:pPr>
        <w:ind w:left="3382" w:hanging="360"/>
      </w:pPr>
      <w:rPr>
        <w:rFonts w:hint="default"/>
      </w:rPr>
    </w:lvl>
    <w:lvl w:ilvl="5">
      <w:start w:val="1"/>
      <w:numFmt w:val="lowerRoman"/>
      <w:lvlText w:val="%6."/>
      <w:lvlJc w:val="right"/>
      <w:pPr>
        <w:ind w:left="4102" w:hanging="180"/>
      </w:pPr>
      <w:rPr>
        <w:rFonts w:hint="default"/>
      </w:rPr>
    </w:lvl>
    <w:lvl w:ilvl="6">
      <w:start w:val="1"/>
      <w:numFmt w:val="decimal"/>
      <w:lvlText w:val="%7."/>
      <w:lvlJc w:val="left"/>
      <w:pPr>
        <w:ind w:left="4822" w:hanging="360"/>
      </w:pPr>
      <w:rPr>
        <w:rFonts w:hint="default"/>
      </w:rPr>
    </w:lvl>
    <w:lvl w:ilvl="7">
      <w:start w:val="1"/>
      <w:numFmt w:val="lowerLetter"/>
      <w:lvlText w:val="%8."/>
      <w:lvlJc w:val="left"/>
      <w:pPr>
        <w:ind w:left="5542" w:hanging="360"/>
      </w:pPr>
      <w:rPr>
        <w:rFonts w:hint="default"/>
      </w:rPr>
    </w:lvl>
    <w:lvl w:ilvl="8">
      <w:start w:val="1"/>
      <w:numFmt w:val="lowerRoman"/>
      <w:lvlText w:val="%9."/>
      <w:lvlJc w:val="right"/>
      <w:pPr>
        <w:ind w:left="6262" w:hanging="180"/>
      </w:pPr>
      <w:rPr>
        <w:rFonts w:hint="default"/>
      </w:rPr>
    </w:lvl>
  </w:abstractNum>
  <w:abstractNum w:abstractNumId="6"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9"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1"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15:restartNumberingAfterBreak="0">
    <w:nsid w:val="43AC5BDD"/>
    <w:multiLevelType w:val="hybridMultilevel"/>
    <w:tmpl w:val="D5D00828"/>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4" w15:restartNumberingAfterBreak="0">
    <w:nsid w:val="50481E22"/>
    <w:multiLevelType w:val="hybridMultilevel"/>
    <w:tmpl w:val="9B7EC3E4"/>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A291EAB"/>
    <w:multiLevelType w:val="hybridMultilevel"/>
    <w:tmpl w:val="B81C9718"/>
    <w:lvl w:ilvl="0" w:tplc="C12895D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AEF422F"/>
    <w:multiLevelType w:val="hybridMultilevel"/>
    <w:tmpl w:val="09148180"/>
    <w:lvl w:ilvl="0" w:tplc="5D3665D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2E0049F"/>
    <w:multiLevelType w:val="hybridMultilevel"/>
    <w:tmpl w:val="828254CC"/>
    <w:lvl w:ilvl="0" w:tplc="1C8A5F06">
      <w:start w:val="1"/>
      <w:numFmt w:val="decimal"/>
      <w:lvlText w:val="%1."/>
      <w:lvlJc w:val="left"/>
      <w:pPr>
        <w:ind w:left="644"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34638D1"/>
    <w:multiLevelType w:val="hybridMultilevel"/>
    <w:tmpl w:val="CBE22B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4" w15:restartNumberingAfterBreak="0">
    <w:nsid w:val="68B529D4"/>
    <w:multiLevelType w:val="hybridMultilevel"/>
    <w:tmpl w:val="93C0D804"/>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8" w15:restartNumberingAfterBreak="0">
    <w:nsid w:val="73F55EF2"/>
    <w:multiLevelType w:val="hybridMultilevel"/>
    <w:tmpl w:val="4C5007B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42" w15:restartNumberingAfterBreak="0">
    <w:nsid w:val="7AC663A3"/>
    <w:multiLevelType w:val="hybridMultilevel"/>
    <w:tmpl w:val="5DC2715A"/>
    <w:lvl w:ilvl="0" w:tplc="7F5A14CA">
      <w:start w:val="16"/>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BAF3DB4"/>
    <w:multiLevelType w:val="hybridMultilevel"/>
    <w:tmpl w:val="26480E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4"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num w:numId="1">
    <w:abstractNumId w:val="16"/>
  </w:num>
  <w:num w:numId="2">
    <w:abstractNumId w:val="15"/>
  </w:num>
  <w:num w:numId="3">
    <w:abstractNumId w:val="35"/>
  </w:num>
  <w:num w:numId="4">
    <w:abstractNumId w:val="43"/>
  </w:num>
  <w:num w:numId="5">
    <w:abstractNumId w:val="18"/>
  </w:num>
  <w:num w:numId="6">
    <w:abstractNumId w:val="36"/>
  </w:num>
  <w:num w:numId="7">
    <w:abstractNumId w:val="3"/>
  </w:num>
  <w:num w:numId="8">
    <w:abstractNumId w:val="13"/>
  </w:num>
  <w:num w:numId="9">
    <w:abstractNumId w:val="10"/>
  </w:num>
  <w:num w:numId="10">
    <w:abstractNumId w:val="9"/>
  </w:num>
  <w:num w:numId="11">
    <w:abstractNumId w:val="20"/>
  </w:num>
  <w:num w:numId="12">
    <w:abstractNumId w:val="26"/>
  </w:num>
  <w:num w:numId="13">
    <w:abstractNumId w:val="2"/>
  </w:num>
  <w:num w:numId="14">
    <w:abstractNumId w:val="1"/>
  </w:num>
  <w:num w:numId="15">
    <w:abstractNumId w:val="11"/>
  </w:num>
  <w:num w:numId="16">
    <w:abstractNumId w:val="41"/>
  </w:num>
  <w:num w:numId="17">
    <w:abstractNumId w:val="37"/>
  </w:num>
  <w:num w:numId="18">
    <w:abstractNumId w:val="25"/>
  </w:num>
  <w:num w:numId="19">
    <w:abstractNumId w:val="33"/>
  </w:num>
  <w:num w:numId="20">
    <w:abstractNumId w:val="19"/>
  </w:num>
  <w:num w:numId="21">
    <w:abstractNumId w:val="39"/>
  </w:num>
  <w:num w:numId="22">
    <w:abstractNumId w:val="44"/>
  </w:num>
  <w:num w:numId="23">
    <w:abstractNumId w:val="21"/>
  </w:num>
  <w:num w:numId="24">
    <w:abstractNumId w:val="7"/>
  </w:num>
  <w:num w:numId="25">
    <w:abstractNumId w:val="12"/>
  </w:num>
  <w:num w:numId="26">
    <w:abstractNumId w:val="40"/>
  </w:num>
  <w:num w:numId="27">
    <w:abstractNumId w:val="29"/>
  </w:num>
  <w:num w:numId="28">
    <w:abstractNumId w:val="6"/>
  </w:num>
  <w:num w:numId="29">
    <w:abstractNumId w:val="8"/>
  </w:num>
  <w:num w:numId="30">
    <w:abstractNumId w:val="22"/>
  </w:num>
  <w:num w:numId="31">
    <w:abstractNumId w:val="14"/>
  </w:num>
  <w:num w:numId="32">
    <w:abstractNumId w:val="45"/>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4"/>
  </w:num>
  <w:num w:numId="36">
    <w:abstractNumId w:val="30"/>
  </w:num>
  <w:num w:numId="37">
    <w:abstractNumId w:val="34"/>
  </w:num>
  <w:num w:numId="38">
    <w:abstractNumId w:val="31"/>
  </w:num>
  <w:num w:numId="39">
    <w:abstractNumId w:val="38"/>
  </w:num>
  <w:num w:numId="40">
    <w:abstractNumId w:val="32"/>
  </w:num>
  <w:num w:numId="41">
    <w:abstractNumId w:val="23"/>
  </w:num>
  <w:num w:numId="42">
    <w:abstractNumId w:val="42"/>
  </w:num>
  <w:num w:numId="43">
    <w:abstractNumId w:val="24"/>
  </w:num>
  <w:num w:numId="44">
    <w:abstractNumId w:val="5"/>
  </w:num>
  <w:num w:numId="45">
    <w:abstractNumId w:val="17"/>
  </w:num>
  <w:num w:numId="46">
    <w:abstractNumId w:val="28"/>
  </w:num>
  <w:num w:numId="4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19C7"/>
    <w:rsid w:val="00023B29"/>
    <w:rsid w:val="0002415E"/>
    <w:rsid w:val="000246C2"/>
    <w:rsid w:val="00024F35"/>
    <w:rsid w:val="00025B10"/>
    <w:rsid w:val="000303BB"/>
    <w:rsid w:val="0003063D"/>
    <w:rsid w:val="00030F2B"/>
    <w:rsid w:val="000319FD"/>
    <w:rsid w:val="00031F10"/>
    <w:rsid w:val="00032493"/>
    <w:rsid w:val="0003432C"/>
    <w:rsid w:val="00034A1F"/>
    <w:rsid w:val="00034B29"/>
    <w:rsid w:val="0004072A"/>
    <w:rsid w:val="0004193F"/>
    <w:rsid w:val="00041C24"/>
    <w:rsid w:val="00042380"/>
    <w:rsid w:val="000431F7"/>
    <w:rsid w:val="000439C9"/>
    <w:rsid w:val="000440C5"/>
    <w:rsid w:val="0004427A"/>
    <w:rsid w:val="000444FF"/>
    <w:rsid w:val="00045C97"/>
    <w:rsid w:val="00046557"/>
    <w:rsid w:val="0004686A"/>
    <w:rsid w:val="000468E2"/>
    <w:rsid w:val="0004743E"/>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66013"/>
    <w:rsid w:val="0007192E"/>
    <w:rsid w:val="00072930"/>
    <w:rsid w:val="000732C3"/>
    <w:rsid w:val="000800AC"/>
    <w:rsid w:val="00080F9E"/>
    <w:rsid w:val="0008230A"/>
    <w:rsid w:val="00082D11"/>
    <w:rsid w:val="00082F81"/>
    <w:rsid w:val="000833BD"/>
    <w:rsid w:val="0008542A"/>
    <w:rsid w:val="00086BF3"/>
    <w:rsid w:val="00086D80"/>
    <w:rsid w:val="000878AA"/>
    <w:rsid w:val="00090D6F"/>
    <w:rsid w:val="00092198"/>
    <w:rsid w:val="00093A9A"/>
    <w:rsid w:val="00093E38"/>
    <w:rsid w:val="000950AA"/>
    <w:rsid w:val="00095114"/>
    <w:rsid w:val="000A1BDD"/>
    <w:rsid w:val="000A24C0"/>
    <w:rsid w:val="000A3216"/>
    <w:rsid w:val="000A3F90"/>
    <w:rsid w:val="000A4E44"/>
    <w:rsid w:val="000A65A0"/>
    <w:rsid w:val="000A77ED"/>
    <w:rsid w:val="000B01B9"/>
    <w:rsid w:val="000B0370"/>
    <w:rsid w:val="000B0A5E"/>
    <w:rsid w:val="000B4850"/>
    <w:rsid w:val="000B5057"/>
    <w:rsid w:val="000B5A12"/>
    <w:rsid w:val="000B5AB1"/>
    <w:rsid w:val="000B5D79"/>
    <w:rsid w:val="000B6D31"/>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7AC"/>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1FA5"/>
    <w:rsid w:val="0010268C"/>
    <w:rsid w:val="00102A39"/>
    <w:rsid w:val="00102D65"/>
    <w:rsid w:val="00103888"/>
    <w:rsid w:val="00104C12"/>
    <w:rsid w:val="00105B1D"/>
    <w:rsid w:val="00107499"/>
    <w:rsid w:val="00107557"/>
    <w:rsid w:val="0011001E"/>
    <w:rsid w:val="0011167C"/>
    <w:rsid w:val="00112B02"/>
    <w:rsid w:val="001133C1"/>
    <w:rsid w:val="001139A2"/>
    <w:rsid w:val="00113B08"/>
    <w:rsid w:val="00113BD3"/>
    <w:rsid w:val="001140A4"/>
    <w:rsid w:val="00114A21"/>
    <w:rsid w:val="00115071"/>
    <w:rsid w:val="0012006D"/>
    <w:rsid w:val="00120243"/>
    <w:rsid w:val="00123F05"/>
    <w:rsid w:val="00124A13"/>
    <w:rsid w:val="001250B4"/>
    <w:rsid w:val="001253D1"/>
    <w:rsid w:val="001253FB"/>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0BDE"/>
    <w:rsid w:val="001521F5"/>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67D10"/>
    <w:rsid w:val="00170D28"/>
    <w:rsid w:val="00171E0A"/>
    <w:rsid w:val="001729DF"/>
    <w:rsid w:val="00173DDB"/>
    <w:rsid w:val="00173F22"/>
    <w:rsid w:val="00175DB6"/>
    <w:rsid w:val="0017653A"/>
    <w:rsid w:val="001770B7"/>
    <w:rsid w:val="001775DF"/>
    <w:rsid w:val="00184266"/>
    <w:rsid w:val="0018435D"/>
    <w:rsid w:val="001854E7"/>
    <w:rsid w:val="001863AF"/>
    <w:rsid w:val="00190999"/>
    <w:rsid w:val="0019160F"/>
    <w:rsid w:val="00192B71"/>
    <w:rsid w:val="00192D8E"/>
    <w:rsid w:val="00192E4B"/>
    <w:rsid w:val="00193EC9"/>
    <w:rsid w:val="00195C4D"/>
    <w:rsid w:val="001972CC"/>
    <w:rsid w:val="001A1188"/>
    <w:rsid w:val="001A138D"/>
    <w:rsid w:val="001A18F8"/>
    <w:rsid w:val="001A1A1F"/>
    <w:rsid w:val="001A1CA8"/>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43A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0F3B"/>
    <w:rsid w:val="001D162B"/>
    <w:rsid w:val="001D2194"/>
    <w:rsid w:val="001D393C"/>
    <w:rsid w:val="001D3AB5"/>
    <w:rsid w:val="001D53A2"/>
    <w:rsid w:val="001D7E82"/>
    <w:rsid w:val="001E0AD2"/>
    <w:rsid w:val="001E2824"/>
    <w:rsid w:val="001E3F91"/>
    <w:rsid w:val="001E4777"/>
    <w:rsid w:val="001E48DA"/>
    <w:rsid w:val="001E6822"/>
    <w:rsid w:val="001E74A5"/>
    <w:rsid w:val="001E7617"/>
    <w:rsid w:val="001E7B9E"/>
    <w:rsid w:val="001E7E27"/>
    <w:rsid w:val="001F025B"/>
    <w:rsid w:val="001F053F"/>
    <w:rsid w:val="001F0E92"/>
    <w:rsid w:val="001F1169"/>
    <w:rsid w:val="001F15FF"/>
    <w:rsid w:val="001F2BDF"/>
    <w:rsid w:val="001F4299"/>
    <w:rsid w:val="001F5AF8"/>
    <w:rsid w:val="001F6E45"/>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17D84"/>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224A"/>
    <w:rsid w:val="00252A20"/>
    <w:rsid w:val="00252B41"/>
    <w:rsid w:val="0025331E"/>
    <w:rsid w:val="002539DD"/>
    <w:rsid w:val="00254FE5"/>
    <w:rsid w:val="0025524F"/>
    <w:rsid w:val="0025717D"/>
    <w:rsid w:val="00260C1D"/>
    <w:rsid w:val="00261001"/>
    <w:rsid w:val="002614BE"/>
    <w:rsid w:val="00261D84"/>
    <w:rsid w:val="00262E4F"/>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2C6A"/>
    <w:rsid w:val="00293AAD"/>
    <w:rsid w:val="002940E2"/>
    <w:rsid w:val="00295F6E"/>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B638C"/>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8F8"/>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2DCB"/>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6065"/>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2AE1"/>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4445"/>
    <w:rsid w:val="0039555F"/>
    <w:rsid w:val="00396545"/>
    <w:rsid w:val="00396F71"/>
    <w:rsid w:val="003A04FF"/>
    <w:rsid w:val="003A0AA2"/>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18D8"/>
    <w:rsid w:val="003D20C4"/>
    <w:rsid w:val="003D3043"/>
    <w:rsid w:val="003D3C1A"/>
    <w:rsid w:val="003D4188"/>
    <w:rsid w:val="003D45FE"/>
    <w:rsid w:val="003D46D0"/>
    <w:rsid w:val="003D5E95"/>
    <w:rsid w:val="003D6CE0"/>
    <w:rsid w:val="003E05CB"/>
    <w:rsid w:val="003E2663"/>
    <w:rsid w:val="003E5E39"/>
    <w:rsid w:val="003E6679"/>
    <w:rsid w:val="003E6D0F"/>
    <w:rsid w:val="003E712E"/>
    <w:rsid w:val="003F140F"/>
    <w:rsid w:val="003F15DB"/>
    <w:rsid w:val="003F227C"/>
    <w:rsid w:val="003F2702"/>
    <w:rsid w:val="003F2778"/>
    <w:rsid w:val="003F36A4"/>
    <w:rsid w:val="003F70CA"/>
    <w:rsid w:val="0040137F"/>
    <w:rsid w:val="00401DB7"/>
    <w:rsid w:val="00402179"/>
    <w:rsid w:val="0040278D"/>
    <w:rsid w:val="00403520"/>
    <w:rsid w:val="00405A19"/>
    <w:rsid w:val="00406EED"/>
    <w:rsid w:val="00407D12"/>
    <w:rsid w:val="00410219"/>
    <w:rsid w:val="00412DB3"/>
    <w:rsid w:val="00412E24"/>
    <w:rsid w:val="00413469"/>
    <w:rsid w:val="004136EF"/>
    <w:rsid w:val="00413903"/>
    <w:rsid w:val="00413DAD"/>
    <w:rsid w:val="00414836"/>
    <w:rsid w:val="00416727"/>
    <w:rsid w:val="00417555"/>
    <w:rsid w:val="0042068A"/>
    <w:rsid w:val="00421EDE"/>
    <w:rsid w:val="00422831"/>
    <w:rsid w:val="004229F4"/>
    <w:rsid w:val="004242BB"/>
    <w:rsid w:val="0042432C"/>
    <w:rsid w:val="0042437A"/>
    <w:rsid w:val="00424CBA"/>
    <w:rsid w:val="00424E72"/>
    <w:rsid w:val="0042513C"/>
    <w:rsid w:val="00426D7C"/>
    <w:rsid w:val="004300ED"/>
    <w:rsid w:val="00431687"/>
    <w:rsid w:val="00432B72"/>
    <w:rsid w:val="00433016"/>
    <w:rsid w:val="00433415"/>
    <w:rsid w:val="004342F1"/>
    <w:rsid w:val="004349C0"/>
    <w:rsid w:val="00434B23"/>
    <w:rsid w:val="00434FD0"/>
    <w:rsid w:val="00435917"/>
    <w:rsid w:val="0043626D"/>
    <w:rsid w:val="004362AD"/>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4E45"/>
    <w:rsid w:val="00456317"/>
    <w:rsid w:val="00456348"/>
    <w:rsid w:val="004613B1"/>
    <w:rsid w:val="00461513"/>
    <w:rsid w:val="0046231E"/>
    <w:rsid w:val="004635E2"/>
    <w:rsid w:val="00464735"/>
    <w:rsid w:val="00464B7B"/>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386B"/>
    <w:rsid w:val="00483C14"/>
    <w:rsid w:val="00485BA5"/>
    <w:rsid w:val="00485D48"/>
    <w:rsid w:val="00485DB6"/>
    <w:rsid w:val="0048624A"/>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4BE6"/>
    <w:rsid w:val="004B56EB"/>
    <w:rsid w:val="004B58EA"/>
    <w:rsid w:val="004B5B76"/>
    <w:rsid w:val="004B73EF"/>
    <w:rsid w:val="004C0A9B"/>
    <w:rsid w:val="004C20F2"/>
    <w:rsid w:val="004C232A"/>
    <w:rsid w:val="004C251E"/>
    <w:rsid w:val="004C33A5"/>
    <w:rsid w:val="004C3F25"/>
    <w:rsid w:val="004C4A6E"/>
    <w:rsid w:val="004C525E"/>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3F55"/>
    <w:rsid w:val="004E4879"/>
    <w:rsid w:val="004E4AF8"/>
    <w:rsid w:val="004E5988"/>
    <w:rsid w:val="004E62B6"/>
    <w:rsid w:val="004E6E3A"/>
    <w:rsid w:val="004E7FF5"/>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1625"/>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2E72"/>
    <w:rsid w:val="0056305B"/>
    <w:rsid w:val="0056397F"/>
    <w:rsid w:val="005669D6"/>
    <w:rsid w:val="00566C3D"/>
    <w:rsid w:val="00567045"/>
    <w:rsid w:val="005678C8"/>
    <w:rsid w:val="00567998"/>
    <w:rsid w:val="00567AF8"/>
    <w:rsid w:val="005713E3"/>
    <w:rsid w:val="00571419"/>
    <w:rsid w:val="0057374F"/>
    <w:rsid w:val="005759CD"/>
    <w:rsid w:val="00575D13"/>
    <w:rsid w:val="00577884"/>
    <w:rsid w:val="00577C09"/>
    <w:rsid w:val="00580873"/>
    <w:rsid w:val="00581C0F"/>
    <w:rsid w:val="00582919"/>
    <w:rsid w:val="005832C3"/>
    <w:rsid w:val="00583F65"/>
    <w:rsid w:val="005844F1"/>
    <w:rsid w:val="005849B2"/>
    <w:rsid w:val="00585F00"/>
    <w:rsid w:val="00587366"/>
    <w:rsid w:val="0058757A"/>
    <w:rsid w:val="00590037"/>
    <w:rsid w:val="0059017A"/>
    <w:rsid w:val="00590516"/>
    <w:rsid w:val="005908F1"/>
    <w:rsid w:val="00592318"/>
    <w:rsid w:val="00593476"/>
    <w:rsid w:val="00594A43"/>
    <w:rsid w:val="00594E32"/>
    <w:rsid w:val="00595511"/>
    <w:rsid w:val="00595BC4"/>
    <w:rsid w:val="00596B4D"/>
    <w:rsid w:val="00596F7B"/>
    <w:rsid w:val="005A228F"/>
    <w:rsid w:val="005A2A65"/>
    <w:rsid w:val="005A2F65"/>
    <w:rsid w:val="005A3068"/>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04D9"/>
    <w:rsid w:val="005D2079"/>
    <w:rsid w:val="005D27DD"/>
    <w:rsid w:val="005D3493"/>
    <w:rsid w:val="005D3DD3"/>
    <w:rsid w:val="005D622E"/>
    <w:rsid w:val="005D7A17"/>
    <w:rsid w:val="005E0183"/>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995"/>
    <w:rsid w:val="00614DFF"/>
    <w:rsid w:val="00617125"/>
    <w:rsid w:val="00617813"/>
    <w:rsid w:val="00620176"/>
    <w:rsid w:val="006206CC"/>
    <w:rsid w:val="006214EC"/>
    <w:rsid w:val="00621501"/>
    <w:rsid w:val="00622B06"/>
    <w:rsid w:val="0062306D"/>
    <w:rsid w:val="00623D7D"/>
    <w:rsid w:val="006245C1"/>
    <w:rsid w:val="00625797"/>
    <w:rsid w:val="00627163"/>
    <w:rsid w:val="0062768A"/>
    <w:rsid w:val="0063147E"/>
    <w:rsid w:val="0063265C"/>
    <w:rsid w:val="0063278F"/>
    <w:rsid w:val="00634476"/>
    <w:rsid w:val="006349FE"/>
    <w:rsid w:val="0063650E"/>
    <w:rsid w:val="00637580"/>
    <w:rsid w:val="00637624"/>
    <w:rsid w:val="00641EBB"/>
    <w:rsid w:val="0064275F"/>
    <w:rsid w:val="00643903"/>
    <w:rsid w:val="0064393B"/>
    <w:rsid w:val="00644375"/>
    <w:rsid w:val="00644A5C"/>
    <w:rsid w:val="0064508B"/>
    <w:rsid w:val="00646A08"/>
    <w:rsid w:val="00646BEE"/>
    <w:rsid w:val="00647721"/>
    <w:rsid w:val="00647A44"/>
    <w:rsid w:val="00650392"/>
    <w:rsid w:val="0065061D"/>
    <w:rsid w:val="00652EAE"/>
    <w:rsid w:val="00653004"/>
    <w:rsid w:val="006539FB"/>
    <w:rsid w:val="00653E8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67279"/>
    <w:rsid w:val="006718FB"/>
    <w:rsid w:val="006720F3"/>
    <w:rsid w:val="00673695"/>
    <w:rsid w:val="006736F2"/>
    <w:rsid w:val="00674701"/>
    <w:rsid w:val="00674A46"/>
    <w:rsid w:val="006752B0"/>
    <w:rsid w:val="00675A28"/>
    <w:rsid w:val="00676959"/>
    <w:rsid w:val="00676C6B"/>
    <w:rsid w:val="00680235"/>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27E"/>
    <w:rsid w:val="006958A7"/>
    <w:rsid w:val="00695F94"/>
    <w:rsid w:val="006961B0"/>
    <w:rsid w:val="006964F5"/>
    <w:rsid w:val="00696EF8"/>
    <w:rsid w:val="006973C4"/>
    <w:rsid w:val="0069770D"/>
    <w:rsid w:val="006A058A"/>
    <w:rsid w:val="006A0836"/>
    <w:rsid w:val="006A1047"/>
    <w:rsid w:val="006A2A2F"/>
    <w:rsid w:val="006A2CF3"/>
    <w:rsid w:val="006A2D34"/>
    <w:rsid w:val="006A2EDE"/>
    <w:rsid w:val="006A3BB6"/>
    <w:rsid w:val="006A3D7A"/>
    <w:rsid w:val="006A3E8C"/>
    <w:rsid w:val="006A438E"/>
    <w:rsid w:val="006A53A9"/>
    <w:rsid w:val="006A67DA"/>
    <w:rsid w:val="006A727B"/>
    <w:rsid w:val="006A7AA4"/>
    <w:rsid w:val="006A7DCA"/>
    <w:rsid w:val="006B004E"/>
    <w:rsid w:val="006B0198"/>
    <w:rsid w:val="006B12E8"/>
    <w:rsid w:val="006B13FB"/>
    <w:rsid w:val="006B1C19"/>
    <w:rsid w:val="006B1EBF"/>
    <w:rsid w:val="006B4A27"/>
    <w:rsid w:val="006B59A4"/>
    <w:rsid w:val="006B5FE4"/>
    <w:rsid w:val="006B7A58"/>
    <w:rsid w:val="006C075F"/>
    <w:rsid w:val="006C08A0"/>
    <w:rsid w:val="006C1759"/>
    <w:rsid w:val="006C26B3"/>
    <w:rsid w:val="006C2FEE"/>
    <w:rsid w:val="006C48BC"/>
    <w:rsid w:val="006C50C2"/>
    <w:rsid w:val="006C53EB"/>
    <w:rsid w:val="006C55C6"/>
    <w:rsid w:val="006C563A"/>
    <w:rsid w:val="006C5F6F"/>
    <w:rsid w:val="006C6E1A"/>
    <w:rsid w:val="006D27EF"/>
    <w:rsid w:val="006D2CB1"/>
    <w:rsid w:val="006D52D1"/>
    <w:rsid w:val="006D5E1E"/>
    <w:rsid w:val="006D6B4D"/>
    <w:rsid w:val="006D7293"/>
    <w:rsid w:val="006D7529"/>
    <w:rsid w:val="006E013D"/>
    <w:rsid w:val="006E1056"/>
    <w:rsid w:val="006E2FF4"/>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4DE0"/>
    <w:rsid w:val="007050B1"/>
    <w:rsid w:val="007069D1"/>
    <w:rsid w:val="00707096"/>
    <w:rsid w:val="00712144"/>
    <w:rsid w:val="007136BC"/>
    <w:rsid w:val="00714576"/>
    <w:rsid w:val="00715488"/>
    <w:rsid w:val="00715A04"/>
    <w:rsid w:val="0072056D"/>
    <w:rsid w:val="00721335"/>
    <w:rsid w:val="007213FB"/>
    <w:rsid w:val="00721924"/>
    <w:rsid w:val="00721F66"/>
    <w:rsid w:val="00722988"/>
    <w:rsid w:val="00722B93"/>
    <w:rsid w:val="00724602"/>
    <w:rsid w:val="00731F1F"/>
    <w:rsid w:val="00735234"/>
    <w:rsid w:val="007365AD"/>
    <w:rsid w:val="00737BB1"/>
    <w:rsid w:val="00740705"/>
    <w:rsid w:val="00741DC7"/>
    <w:rsid w:val="00742486"/>
    <w:rsid w:val="0074433B"/>
    <w:rsid w:val="0074622C"/>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CA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B78ED"/>
    <w:rsid w:val="007C0013"/>
    <w:rsid w:val="007C0CBC"/>
    <w:rsid w:val="007C255D"/>
    <w:rsid w:val="007C2706"/>
    <w:rsid w:val="007C37D2"/>
    <w:rsid w:val="007C3985"/>
    <w:rsid w:val="007C3C28"/>
    <w:rsid w:val="007C6110"/>
    <w:rsid w:val="007D0C01"/>
    <w:rsid w:val="007D2EE9"/>
    <w:rsid w:val="007D3933"/>
    <w:rsid w:val="007D3FBD"/>
    <w:rsid w:val="007D4892"/>
    <w:rsid w:val="007D49A0"/>
    <w:rsid w:val="007D5D23"/>
    <w:rsid w:val="007D739C"/>
    <w:rsid w:val="007D7B38"/>
    <w:rsid w:val="007D7EF3"/>
    <w:rsid w:val="007E004C"/>
    <w:rsid w:val="007E0CCA"/>
    <w:rsid w:val="007E3772"/>
    <w:rsid w:val="007E4E68"/>
    <w:rsid w:val="007E5125"/>
    <w:rsid w:val="007E5DB4"/>
    <w:rsid w:val="007E5F2C"/>
    <w:rsid w:val="007F0617"/>
    <w:rsid w:val="007F37DF"/>
    <w:rsid w:val="007F3AC9"/>
    <w:rsid w:val="007F3CB7"/>
    <w:rsid w:val="007F5589"/>
    <w:rsid w:val="007F729E"/>
    <w:rsid w:val="007F75F2"/>
    <w:rsid w:val="007F76E9"/>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40DC"/>
    <w:rsid w:val="00836224"/>
    <w:rsid w:val="00837BE4"/>
    <w:rsid w:val="00840559"/>
    <w:rsid w:val="00840788"/>
    <w:rsid w:val="008415B3"/>
    <w:rsid w:val="008421F7"/>
    <w:rsid w:val="00842B93"/>
    <w:rsid w:val="00843153"/>
    <w:rsid w:val="00843908"/>
    <w:rsid w:val="00845BF5"/>
    <w:rsid w:val="00845D12"/>
    <w:rsid w:val="00846713"/>
    <w:rsid w:val="00846983"/>
    <w:rsid w:val="00846A1C"/>
    <w:rsid w:val="008473FA"/>
    <w:rsid w:val="00847470"/>
    <w:rsid w:val="00847830"/>
    <w:rsid w:val="008478E8"/>
    <w:rsid w:val="0085000D"/>
    <w:rsid w:val="00851A81"/>
    <w:rsid w:val="00851F4C"/>
    <w:rsid w:val="008523BA"/>
    <w:rsid w:val="00852B26"/>
    <w:rsid w:val="0085480B"/>
    <w:rsid w:val="008560F4"/>
    <w:rsid w:val="00856B0A"/>
    <w:rsid w:val="00857D29"/>
    <w:rsid w:val="008605A7"/>
    <w:rsid w:val="00860A1E"/>
    <w:rsid w:val="00860FE6"/>
    <w:rsid w:val="00861622"/>
    <w:rsid w:val="0086256E"/>
    <w:rsid w:val="008628FF"/>
    <w:rsid w:val="008632C8"/>
    <w:rsid w:val="0086513D"/>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001"/>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5AD"/>
    <w:rsid w:val="008D4E99"/>
    <w:rsid w:val="008D5066"/>
    <w:rsid w:val="008D52BD"/>
    <w:rsid w:val="008D5A97"/>
    <w:rsid w:val="008D6697"/>
    <w:rsid w:val="008D728C"/>
    <w:rsid w:val="008D7A72"/>
    <w:rsid w:val="008E0674"/>
    <w:rsid w:val="008E0B38"/>
    <w:rsid w:val="008E11CC"/>
    <w:rsid w:val="008E1B8F"/>
    <w:rsid w:val="008E1BD5"/>
    <w:rsid w:val="008E4CDB"/>
    <w:rsid w:val="008E549B"/>
    <w:rsid w:val="008E5797"/>
    <w:rsid w:val="008E5E89"/>
    <w:rsid w:val="008E625D"/>
    <w:rsid w:val="008F12E6"/>
    <w:rsid w:val="008F1558"/>
    <w:rsid w:val="008F4768"/>
    <w:rsid w:val="008F5927"/>
    <w:rsid w:val="009001DD"/>
    <w:rsid w:val="0090174A"/>
    <w:rsid w:val="009036B3"/>
    <w:rsid w:val="00903870"/>
    <w:rsid w:val="009039BC"/>
    <w:rsid w:val="00903D32"/>
    <w:rsid w:val="0090434E"/>
    <w:rsid w:val="00905B9A"/>
    <w:rsid w:val="00906C5B"/>
    <w:rsid w:val="009071FE"/>
    <w:rsid w:val="00907761"/>
    <w:rsid w:val="00910E40"/>
    <w:rsid w:val="00911940"/>
    <w:rsid w:val="0091242A"/>
    <w:rsid w:val="00913770"/>
    <w:rsid w:val="00913AA4"/>
    <w:rsid w:val="00915778"/>
    <w:rsid w:val="009164DD"/>
    <w:rsid w:val="00917A9D"/>
    <w:rsid w:val="009210C9"/>
    <w:rsid w:val="00924F14"/>
    <w:rsid w:val="00925C68"/>
    <w:rsid w:val="00926F75"/>
    <w:rsid w:val="0093005B"/>
    <w:rsid w:val="009306B8"/>
    <w:rsid w:val="009315B0"/>
    <w:rsid w:val="009316E9"/>
    <w:rsid w:val="00931924"/>
    <w:rsid w:val="0093416D"/>
    <w:rsid w:val="0093533F"/>
    <w:rsid w:val="00935346"/>
    <w:rsid w:val="00936F3C"/>
    <w:rsid w:val="009412A0"/>
    <w:rsid w:val="009417AD"/>
    <w:rsid w:val="00941D44"/>
    <w:rsid w:val="00943531"/>
    <w:rsid w:val="00943B9C"/>
    <w:rsid w:val="00943EB4"/>
    <w:rsid w:val="009459D5"/>
    <w:rsid w:val="00945A61"/>
    <w:rsid w:val="00950154"/>
    <w:rsid w:val="00950C7B"/>
    <w:rsid w:val="00952F61"/>
    <w:rsid w:val="00953054"/>
    <w:rsid w:val="00953338"/>
    <w:rsid w:val="009548C1"/>
    <w:rsid w:val="009549D7"/>
    <w:rsid w:val="009563A5"/>
    <w:rsid w:val="00956868"/>
    <w:rsid w:val="00956B3E"/>
    <w:rsid w:val="0095765F"/>
    <w:rsid w:val="009606E6"/>
    <w:rsid w:val="00960A73"/>
    <w:rsid w:val="00961B83"/>
    <w:rsid w:val="00962F40"/>
    <w:rsid w:val="00963968"/>
    <w:rsid w:val="00965141"/>
    <w:rsid w:val="00967690"/>
    <w:rsid w:val="00967C66"/>
    <w:rsid w:val="00970DBE"/>
    <w:rsid w:val="00970F70"/>
    <w:rsid w:val="00971056"/>
    <w:rsid w:val="009714B2"/>
    <w:rsid w:val="0097252B"/>
    <w:rsid w:val="00972668"/>
    <w:rsid w:val="009727B4"/>
    <w:rsid w:val="00972C36"/>
    <w:rsid w:val="00975E26"/>
    <w:rsid w:val="00977C8B"/>
    <w:rsid w:val="00980EE4"/>
    <w:rsid w:val="009830D3"/>
    <w:rsid w:val="00983212"/>
    <w:rsid w:val="00983B8F"/>
    <w:rsid w:val="009849F0"/>
    <w:rsid w:val="0098577D"/>
    <w:rsid w:val="0098595E"/>
    <w:rsid w:val="00986073"/>
    <w:rsid w:val="00986F84"/>
    <w:rsid w:val="0098770F"/>
    <w:rsid w:val="009909DD"/>
    <w:rsid w:val="00990DC0"/>
    <w:rsid w:val="00990EE2"/>
    <w:rsid w:val="009916D2"/>
    <w:rsid w:val="0099212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2A1"/>
    <w:rsid w:val="009B4864"/>
    <w:rsid w:val="009B4D4E"/>
    <w:rsid w:val="009B5504"/>
    <w:rsid w:val="009B6280"/>
    <w:rsid w:val="009B649B"/>
    <w:rsid w:val="009B6F16"/>
    <w:rsid w:val="009B7156"/>
    <w:rsid w:val="009B7934"/>
    <w:rsid w:val="009C0940"/>
    <w:rsid w:val="009C0DB9"/>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AB4"/>
    <w:rsid w:val="009E21FE"/>
    <w:rsid w:val="009E255E"/>
    <w:rsid w:val="009E4814"/>
    <w:rsid w:val="009E4942"/>
    <w:rsid w:val="009E5A10"/>
    <w:rsid w:val="009F0B67"/>
    <w:rsid w:val="009F1846"/>
    <w:rsid w:val="009F1E4B"/>
    <w:rsid w:val="009F249C"/>
    <w:rsid w:val="009F307E"/>
    <w:rsid w:val="009F50DE"/>
    <w:rsid w:val="009F54F9"/>
    <w:rsid w:val="009F6D34"/>
    <w:rsid w:val="009F7BB0"/>
    <w:rsid w:val="00A00397"/>
    <w:rsid w:val="00A006EB"/>
    <w:rsid w:val="00A00D50"/>
    <w:rsid w:val="00A023AE"/>
    <w:rsid w:val="00A02B5C"/>
    <w:rsid w:val="00A036C5"/>
    <w:rsid w:val="00A03AD2"/>
    <w:rsid w:val="00A05005"/>
    <w:rsid w:val="00A05D06"/>
    <w:rsid w:val="00A064D5"/>
    <w:rsid w:val="00A07D84"/>
    <w:rsid w:val="00A10336"/>
    <w:rsid w:val="00A10CE2"/>
    <w:rsid w:val="00A1181A"/>
    <w:rsid w:val="00A1244E"/>
    <w:rsid w:val="00A12870"/>
    <w:rsid w:val="00A12CA2"/>
    <w:rsid w:val="00A133FA"/>
    <w:rsid w:val="00A13811"/>
    <w:rsid w:val="00A161BC"/>
    <w:rsid w:val="00A16B32"/>
    <w:rsid w:val="00A16DF1"/>
    <w:rsid w:val="00A16F1A"/>
    <w:rsid w:val="00A17A17"/>
    <w:rsid w:val="00A206F7"/>
    <w:rsid w:val="00A20B1F"/>
    <w:rsid w:val="00A20CFD"/>
    <w:rsid w:val="00A232CA"/>
    <w:rsid w:val="00A235D0"/>
    <w:rsid w:val="00A26D02"/>
    <w:rsid w:val="00A27A7F"/>
    <w:rsid w:val="00A3276A"/>
    <w:rsid w:val="00A32D56"/>
    <w:rsid w:val="00A33176"/>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1D2B"/>
    <w:rsid w:val="00A82510"/>
    <w:rsid w:val="00A82724"/>
    <w:rsid w:val="00A82C5A"/>
    <w:rsid w:val="00A83FF6"/>
    <w:rsid w:val="00A85245"/>
    <w:rsid w:val="00A8561B"/>
    <w:rsid w:val="00A8620F"/>
    <w:rsid w:val="00A86AAB"/>
    <w:rsid w:val="00A87674"/>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00BE"/>
    <w:rsid w:val="00AC22B5"/>
    <w:rsid w:val="00AC37C3"/>
    <w:rsid w:val="00AC535B"/>
    <w:rsid w:val="00AC5D1D"/>
    <w:rsid w:val="00AC5EC6"/>
    <w:rsid w:val="00AC5F6A"/>
    <w:rsid w:val="00AC7600"/>
    <w:rsid w:val="00AC7784"/>
    <w:rsid w:val="00AD0B3C"/>
    <w:rsid w:val="00AD1AD3"/>
    <w:rsid w:val="00AD1CC0"/>
    <w:rsid w:val="00AD22B5"/>
    <w:rsid w:val="00AD3485"/>
    <w:rsid w:val="00AD3DB4"/>
    <w:rsid w:val="00AD3F0D"/>
    <w:rsid w:val="00AD5125"/>
    <w:rsid w:val="00AD55B2"/>
    <w:rsid w:val="00AD6F04"/>
    <w:rsid w:val="00AD747C"/>
    <w:rsid w:val="00AD785F"/>
    <w:rsid w:val="00AE0445"/>
    <w:rsid w:val="00AE119F"/>
    <w:rsid w:val="00AE3053"/>
    <w:rsid w:val="00AE3985"/>
    <w:rsid w:val="00AE3ABA"/>
    <w:rsid w:val="00AE5E2D"/>
    <w:rsid w:val="00AE64FB"/>
    <w:rsid w:val="00AF1F04"/>
    <w:rsid w:val="00AF3D59"/>
    <w:rsid w:val="00AF6794"/>
    <w:rsid w:val="00AF6B14"/>
    <w:rsid w:val="00AF6C18"/>
    <w:rsid w:val="00B0144D"/>
    <w:rsid w:val="00B016F7"/>
    <w:rsid w:val="00B02288"/>
    <w:rsid w:val="00B026CE"/>
    <w:rsid w:val="00B02BDD"/>
    <w:rsid w:val="00B055B9"/>
    <w:rsid w:val="00B12503"/>
    <w:rsid w:val="00B1288E"/>
    <w:rsid w:val="00B13D85"/>
    <w:rsid w:val="00B14CBD"/>
    <w:rsid w:val="00B159C2"/>
    <w:rsid w:val="00B16296"/>
    <w:rsid w:val="00B1786A"/>
    <w:rsid w:val="00B203DA"/>
    <w:rsid w:val="00B206D8"/>
    <w:rsid w:val="00B20DFD"/>
    <w:rsid w:val="00B24E55"/>
    <w:rsid w:val="00B26BC4"/>
    <w:rsid w:val="00B312C7"/>
    <w:rsid w:val="00B315D9"/>
    <w:rsid w:val="00B316B9"/>
    <w:rsid w:val="00B32E58"/>
    <w:rsid w:val="00B335A2"/>
    <w:rsid w:val="00B34371"/>
    <w:rsid w:val="00B37104"/>
    <w:rsid w:val="00B3748A"/>
    <w:rsid w:val="00B40045"/>
    <w:rsid w:val="00B411D7"/>
    <w:rsid w:val="00B42B0B"/>
    <w:rsid w:val="00B437A5"/>
    <w:rsid w:val="00B447D7"/>
    <w:rsid w:val="00B44DF1"/>
    <w:rsid w:val="00B4604F"/>
    <w:rsid w:val="00B47C12"/>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72C"/>
    <w:rsid w:val="00B73838"/>
    <w:rsid w:val="00B73E8A"/>
    <w:rsid w:val="00B7421A"/>
    <w:rsid w:val="00B75267"/>
    <w:rsid w:val="00B75473"/>
    <w:rsid w:val="00B75F20"/>
    <w:rsid w:val="00B762FD"/>
    <w:rsid w:val="00B808A4"/>
    <w:rsid w:val="00B81371"/>
    <w:rsid w:val="00B8296B"/>
    <w:rsid w:val="00B83E2E"/>
    <w:rsid w:val="00B849B5"/>
    <w:rsid w:val="00B84B6C"/>
    <w:rsid w:val="00B852CD"/>
    <w:rsid w:val="00B866B8"/>
    <w:rsid w:val="00B86EAB"/>
    <w:rsid w:val="00B902E7"/>
    <w:rsid w:val="00B922D9"/>
    <w:rsid w:val="00B926D6"/>
    <w:rsid w:val="00B94C17"/>
    <w:rsid w:val="00B966BF"/>
    <w:rsid w:val="00B974B4"/>
    <w:rsid w:val="00B9772A"/>
    <w:rsid w:val="00BA0012"/>
    <w:rsid w:val="00BA0081"/>
    <w:rsid w:val="00BA1C89"/>
    <w:rsid w:val="00BA2666"/>
    <w:rsid w:val="00BA3DCE"/>
    <w:rsid w:val="00BA4EEA"/>
    <w:rsid w:val="00BA4F66"/>
    <w:rsid w:val="00BA6C6B"/>
    <w:rsid w:val="00BA7987"/>
    <w:rsid w:val="00BA7CFA"/>
    <w:rsid w:val="00BB03D0"/>
    <w:rsid w:val="00BB1309"/>
    <w:rsid w:val="00BB2592"/>
    <w:rsid w:val="00BB3156"/>
    <w:rsid w:val="00BB32F4"/>
    <w:rsid w:val="00BB3C9C"/>
    <w:rsid w:val="00BB5CA9"/>
    <w:rsid w:val="00BB6001"/>
    <w:rsid w:val="00BB6662"/>
    <w:rsid w:val="00BB6B13"/>
    <w:rsid w:val="00BC0CE4"/>
    <w:rsid w:val="00BC260A"/>
    <w:rsid w:val="00BC2CF8"/>
    <w:rsid w:val="00BC30BF"/>
    <w:rsid w:val="00BC3150"/>
    <w:rsid w:val="00BC370D"/>
    <w:rsid w:val="00BC573E"/>
    <w:rsid w:val="00BC61B2"/>
    <w:rsid w:val="00BD010F"/>
    <w:rsid w:val="00BD02D5"/>
    <w:rsid w:val="00BD1076"/>
    <w:rsid w:val="00BD1B67"/>
    <w:rsid w:val="00BD335B"/>
    <w:rsid w:val="00BD33B6"/>
    <w:rsid w:val="00BD39BA"/>
    <w:rsid w:val="00BD3D7F"/>
    <w:rsid w:val="00BD4097"/>
    <w:rsid w:val="00BD4E41"/>
    <w:rsid w:val="00BD4F5D"/>
    <w:rsid w:val="00BD58D8"/>
    <w:rsid w:val="00BD6560"/>
    <w:rsid w:val="00BD680C"/>
    <w:rsid w:val="00BE00FA"/>
    <w:rsid w:val="00BE0C95"/>
    <w:rsid w:val="00BE0D6A"/>
    <w:rsid w:val="00BE108C"/>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0688"/>
    <w:rsid w:val="00C020F8"/>
    <w:rsid w:val="00C02535"/>
    <w:rsid w:val="00C02903"/>
    <w:rsid w:val="00C03581"/>
    <w:rsid w:val="00C04666"/>
    <w:rsid w:val="00C04D22"/>
    <w:rsid w:val="00C05995"/>
    <w:rsid w:val="00C07A48"/>
    <w:rsid w:val="00C11482"/>
    <w:rsid w:val="00C13C55"/>
    <w:rsid w:val="00C149E0"/>
    <w:rsid w:val="00C14AFD"/>
    <w:rsid w:val="00C14CDF"/>
    <w:rsid w:val="00C150E0"/>
    <w:rsid w:val="00C150F6"/>
    <w:rsid w:val="00C15419"/>
    <w:rsid w:val="00C16762"/>
    <w:rsid w:val="00C17637"/>
    <w:rsid w:val="00C179FC"/>
    <w:rsid w:val="00C200E3"/>
    <w:rsid w:val="00C2038C"/>
    <w:rsid w:val="00C2054F"/>
    <w:rsid w:val="00C20EB1"/>
    <w:rsid w:val="00C210CD"/>
    <w:rsid w:val="00C2139F"/>
    <w:rsid w:val="00C2169E"/>
    <w:rsid w:val="00C218B6"/>
    <w:rsid w:val="00C21B00"/>
    <w:rsid w:val="00C2210C"/>
    <w:rsid w:val="00C230A3"/>
    <w:rsid w:val="00C24619"/>
    <w:rsid w:val="00C252F4"/>
    <w:rsid w:val="00C27ABF"/>
    <w:rsid w:val="00C3157F"/>
    <w:rsid w:val="00C315FB"/>
    <w:rsid w:val="00C317BD"/>
    <w:rsid w:val="00C31A00"/>
    <w:rsid w:val="00C32942"/>
    <w:rsid w:val="00C32AF2"/>
    <w:rsid w:val="00C32E86"/>
    <w:rsid w:val="00C33279"/>
    <w:rsid w:val="00C336B9"/>
    <w:rsid w:val="00C37DED"/>
    <w:rsid w:val="00C41015"/>
    <w:rsid w:val="00C41EE1"/>
    <w:rsid w:val="00C43EDF"/>
    <w:rsid w:val="00C44029"/>
    <w:rsid w:val="00C459AB"/>
    <w:rsid w:val="00C45BF0"/>
    <w:rsid w:val="00C47468"/>
    <w:rsid w:val="00C54BEF"/>
    <w:rsid w:val="00C55F12"/>
    <w:rsid w:val="00C55FE8"/>
    <w:rsid w:val="00C609CB"/>
    <w:rsid w:val="00C60F5C"/>
    <w:rsid w:val="00C6138C"/>
    <w:rsid w:val="00C6220B"/>
    <w:rsid w:val="00C63CF2"/>
    <w:rsid w:val="00C648FC"/>
    <w:rsid w:val="00C661D1"/>
    <w:rsid w:val="00C663BE"/>
    <w:rsid w:val="00C70E92"/>
    <w:rsid w:val="00C71858"/>
    <w:rsid w:val="00C71B19"/>
    <w:rsid w:val="00C7220E"/>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24B"/>
    <w:rsid w:val="00C90AAF"/>
    <w:rsid w:val="00C90ADB"/>
    <w:rsid w:val="00C90FB4"/>
    <w:rsid w:val="00C90FC9"/>
    <w:rsid w:val="00C91E6F"/>
    <w:rsid w:val="00C92394"/>
    <w:rsid w:val="00C93405"/>
    <w:rsid w:val="00C9362D"/>
    <w:rsid w:val="00C936E7"/>
    <w:rsid w:val="00C94989"/>
    <w:rsid w:val="00C94C06"/>
    <w:rsid w:val="00C952CF"/>
    <w:rsid w:val="00C95593"/>
    <w:rsid w:val="00C965D0"/>
    <w:rsid w:val="00C96A63"/>
    <w:rsid w:val="00C97602"/>
    <w:rsid w:val="00CA1F79"/>
    <w:rsid w:val="00CA2022"/>
    <w:rsid w:val="00CA2A4E"/>
    <w:rsid w:val="00CA407B"/>
    <w:rsid w:val="00CA4422"/>
    <w:rsid w:val="00CA6AAE"/>
    <w:rsid w:val="00CA709B"/>
    <w:rsid w:val="00CB0101"/>
    <w:rsid w:val="00CB12C8"/>
    <w:rsid w:val="00CB1684"/>
    <w:rsid w:val="00CB3393"/>
    <w:rsid w:val="00CB3448"/>
    <w:rsid w:val="00CB3C69"/>
    <w:rsid w:val="00CB3C89"/>
    <w:rsid w:val="00CB3E21"/>
    <w:rsid w:val="00CB4A92"/>
    <w:rsid w:val="00CB57BF"/>
    <w:rsid w:val="00CC0224"/>
    <w:rsid w:val="00CC053E"/>
    <w:rsid w:val="00CC2D8B"/>
    <w:rsid w:val="00CC2DE4"/>
    <w:rsid w:val="00CC360E"/>
    <w:rsid w:val="00CC399C"/>
    <w:rsid w:val="00CC48D6"/>
    <w:rsid w:val="00CC73D6"/>
    <w:rsid w:val="00CD0A20"/>
    <w:rsid w:val="00CD1D73"/>
    <w:rsid w:val="00CD2C1A"/>
    <w:rsid w:val="00CD6866"/>
    <w:rsid w:val="00CD6BD3"/>
    <w:rsid w:val="00CD6F46"/>
    <w:rsid w:val="00CD75EE"/>
    <w:rsid w:val="00CD76D4"/>
    <w:rsid w:val="00CD7893"/>
    <w:rsid w:val="00CE03CC"/>
    <w:rsid w:val="00CE0DB1"/>
    <w:rsid w:val="00CE2991"/>
    <w:rsid w:val="00CE5BD0"/>
    <w:rsid w:val="00CE670C"/>
    <w:rsid w:val="00CE7E6A"/>
    <w:rsid w:val="00CF030B"/>
    <w:rsid w:val="00CF23A2"/>
    <w:rsid w:val="00CF2C67"/>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1DCB"/>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07F7"/>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611C"/>
    <w:rsid w:val="00D8720F"/>
    <w:rsid w:val="00D87527"/>
    <w:rsid w:val="00D87652"/>
    <w:rsid w:val="00D9060C"/>
    <w:rsid w:val="00D92D08"/>
    <w:rsid w:val="00D9372E"/>
    <w:rsid w:val="00D9392E"/>
    <w:rsid w:val="00D93EE0"/>
    <w:rsid w:val="00D947F0"/>
    <w:rsid w:val="00D963CC"/>
    <w:rsid w:val="00D9640E"/>
    <w:rsid w:val="00D97F59"/>
    <w:rsid w:val="00DA0EAA"/>
    <w:rsid w:val="00DA23D7"/>
    <w:rsid w:val="00DA39FF"/>
    <w:rsid w:val="00DA3A4F"/>
    <w:rsid w:val="00DA3A77"/>
    <w:rsid w:val="00DA3F4B"/>
    <w:rsid w:val="00DA42C0"/>
    <w:rsid w:val="00DA52A2"/>
    <w:rsid w:val="00DA6C1D"/>
    <w:rsid w:val="00DA77AE"/>
    <w:rsid w:val="00DA7DC1"/>
    <w:rsid w:val="00DA7E2F"/>
    <w:rsid w:val="00DB0C0B"/>
    <w:rsid w:val="00DB1C9B"/>
    <w:rsid w:val="00DB27F7"/>
    <w:rsid w:val="00DB31E7"/>
    <w:rsid w:val="00DB3A66"/>
    <w:rsid w:val="00DB4037"/>
    <w:rsid w:val="00DB4AC0"/>
    <w:rsid w:val="00DB4BEF"/>
    <w:rsid w:val="00DB78B2"/>
    <w:rsid w:val="00DB7AE9"/>
    <w:rsid w:val="00DC230C"/>
    <w:rsid w:val="00DC2CE7"/>
    <w:rsid w:val="00DC301A"/>
    <w:rsid w:val="00DC30B5"/>
    <w:rsid w:val="00DC696B"/>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567D"/>
    <w:rsid w:val="00E065F2"/>
    <w:rsid w:val="00E06AFA"/>
    <w:rsid w:val="00E073C2"/>
    <w:rsid w:val="00E07E4D"/>
    <w:rsid w:val="00E10C25"/>
    <w:rsid w:val="00E1123F"/>
    <w:rsid w:val="00E12CF5"/>
    <w:rsid w:val="00E12D1C"/>
    <w:rsid w:val="00E1327D"/>
    <w:rsid w:val="00E14317"/>
    <w:rsid w:val="00E14EF0"/>
    <w:rsid w:val="00E14F41"/>
    <w:rsid w:val="00E16412"/>
    <w:rsid w:val="00E165DD"/>
    <w:rsid w:val="00E16F58"/>
    <w:rsid w:val="00E17463"/>
    <w:rsid w:val="00E17BD3"/>
    <w:rsid w:val="00E17F3A"/>
    <w:rsid w:val="00E21392"/>
    <w:rsid w:val="00E21F52"/>
    <w:rsid w:val="00E227C3"/>
    <w:rsid w:val="00E22843"/>
    <w:rsid w:val="00E22E88"/>
    <w:rsid w:val="00E244F5"/>
    <w:rsid w:val="00E24C79"/>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1F29"/>
    <w:rsid w:val="00E72689"/>
    <w:rsid w:val="00E72D82"/>
    <w:rsid w:val="00E730AA"/>
    <w:rsid w:val="00E74FED"/>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5AF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6E6"/>
    <w:rsid w:val="00EC6DB6"/>
    <w:rsid w:val="00EC6FAC"/>
    <w:rsid w:val="00EC7352"/>
    <w:rsid w:val="00ED2270"/>
    <w:rsid w:val="00ED29ED"/>
    <w:rsid w:val="00ED4587"/>
    <w:rsid w:val="00ED512E"/>
    <w:rsid w:val="00ED5477"/>
    <w:rsid w:val="00ED5AF4"/>
    <w:rsid w:val="00ED687C"/>
    <w:rsid w:val="00EE0293"/>
    <w:rsid w:val="00EE048D"/>
    <w:rsid w:val="00EE0A95"/>
    <w:rsid w:val="00EE0ACB"/>
    <w:rsid w:val="00EE0F2F"/>
    <w:rsid w:val="00EE0FC1"/>
    <w:rsid w:val="00EE107C"/>
    <w:rsid w:val="00EE1531"/>
    <w:rsid w:val="00EE280E"/>
    <w:rsid w:val="00EE3E9C"/>
    <w:rsid w:val="00EE4D4C"/>
    <w:rsid w:val="00EE4FBE"/>
    <w:rsid w:val="00EE706E"/>
    <w:rsid w:val="00EE76CC"/>
    <w:rsid w:val="00EF1AD7"/>
    <w:rsid w:val="00EF2E2B"/>
    <w:rsid w:val="00EF34D2"/>
    <w:rsid w:val="00EF42F4"/>
    <w:rsid w:val="00EF4C26"/>
    <w:rsid w:val="00EF5C31"/>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D6B"/>
    <w:rsid w:val="00F126D9"/>
    <w:rsid w:val="00F12CDC"/>
    <w:rsid w:val="00F13E45"/>
    <w:rsid w:val="00F147C6"/>
    <w:rsid w:val="00F15D5F"/>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6C0"/>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AF8"/>
    <w:rsid w:val="00F70BC9"/>
    <w:rsid w:val="00F70DCA"/>
    <w:rsid w:val="00F72B99"/>
    <w:rsid w:val="00F72CCD"/>
    <w:rsid w:val="00F72E9F"/>
    <w:rsid w:val="00F73160"/>
    <w:rsid w:val="00F732B1"/>
    <w:rsid w:val="00F739E9"/>
    <w:rsid w:val="00F75A7A"/>
    <w:rsid w:val="00F81620"/>
    <w:rsid w:val="00F81A31"/>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1B3"/>
    <w:rsid w:val="00F97AFE"/>
    <w:rsid w:val="00F97F3F"/>
    <w:rsid w:val="00FA0128"/>
    <w:rsid w:val="00FA0214"/>
    <w:rsid w:val="00FA1786"/>
    <w:rsid w:val="00FA215F"/>
    <w:rsid w:val="00FA2160"/>
    <w:rsid w:val="00FA2B72"/>
    <w:rsid w:val="00FA2E55"/>
    <w:rsid w:val="00FA3191"/>
    <w:rsid w:val="00FA3981"/>
    <w:rsid w:val="00FA448D"/>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20F"/>
    <w:rsid w:val="00FD38A5"/>
    <w:rsid w:val="00FD4A4B"/>
    <w:rsid w:val="00FD4B65"/>
    <w:rsid w:val="00FD4C74"/>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45A1"/>
    <w:rsid w:val="00FF4646"/>
    <w:rsid w:val="00FF5136"/>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04F9767D-6F1B-4980-8B9D-95B7D176E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5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FD4A4B"/>
    <w:pPr>
      <w:tabs>
        <w:tab w:val="right" w:leader="dot" w:pos="8789"/>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customStyle="1" w:styleId="Tabladecuadrcula1clara1">
    <w:name w:val="Tabla de cuadrícula 1 clara1"/>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paragraph" w:customStyle="1" w:styleId="francesa">
    <w:name w:val="francesa"/>
    <w:basedOn w:val="Normal"/>
    <w:rsid w:val="00295F6E"/>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9708724">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AF1D6-F034-45AA-9457-1BB827BC7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39</Pages>
  <Words>8111</Words>
  <Characters>44611</Characters>
  <Application>Microsoft Office Word</Application>
  <DocSecurity>0</DocSecurity>
  <Lines>371</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5</cp:revision>
  <cp:lastPrinted>2019-01-16T02:59:00Z</cp:lastPrinted>
  <dcterms:created xsi:type="dcterms:W3CDTF">2020-09-24T03:05:00Z</dcterms:created>
  <dcterms:modified xsi:type="dcterms:W3CDTF">2020-10-16T00:44:00Z</dcterms:modified>
</cp:coreProperties>
</file>