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DC3F3" w14:textId="2D819A68" w:rsidR="00365CB0" w:rsidRPr="00AD2A55" w:rsidRDefault="00365CB0" w:rsidP="00B16C8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B16C87">
        <w:rPr>
          <w:rFonts w:ascii="Palatino Linotype" w:eastAsia="Times New Roman" w:hAnsi="Palatino Linotype" w:cs="Arial"/>
          <w:color w:val="000000"/>
          <w:sz w:val="24"/>
          <w:szCs w:val="24"/>
          <w:lang w:eastAsia="es-MX"/>
        </w:rPr>
        <w:t xml:space="preserve"> once de noviembre</w:t>
      </w:r>
      <w:r>
        <w:rPr>
          <w:rFonts w:ascii="Palatino Linotype" w:eastAsia="Times New Roman" w:hAnsi="Palatino Linotype" w:cs="Arial"/>
          <w:color w:val="000000"/>
          <w:sz w:val="24"/>
          <w:szCs w:val="24"/>
          <w:lang w:eastAsia="es-MX"/>
        </w:rPr>
        <w:t xml:space="preserve"> de dos mil veinte</w:t>
      </w:r>
      <w:r w:rsidRPr="00CC3652">
        <w:rPr>
          <w:rFonts w:ascii="Palatino Linotype" w:eastAsia="Times New Roman" w:hAnsi="Palatino Linotype" w:cs="Arial"/>
          <w:color w:val="000000"/>
          <w:sz w:val="24"/>
          <w:szCs w:val="24"/>
          <w:lang w:eastAsia="es-MX"/>
        </w:rPr>
        <w:t>.</w:t>
      </w:r>
    </w:p>
    <w:p w14:paraId="61D30B31" w14:textId="77777777" w:rsidR="00365CB0" w:rsidRPr="00AD2A55" w:rsidRDefault="00365CB0" w:rsidP="00B16C8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8614B16" w14:textId="6B37FAD8" w:rsidR="00365CB0" w:rsidRPr="00AD2A55" w:rsidRDefault="00365CB0" w:rsidP="00B16C87">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3</w:t>
      </w:r>
      <w:r w:rsidR="0008072F">
        <w:rPr>
          <w:rFonts w:ascii="Palatino Linotype" w:hAnsi="Palatino Linotype" w:cs="Arial"/>
          <w:b/>
          <w:bCs/>
          <w:sz w:val="24"/>
          <w:szCs w:val="24"/>
          <w:lang w:eastAsia="es-MX"/>
        </w:rPr>
        <w:t>775</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un ciudadano que al momento de ingresa</w:t>
      </w:r>
      <w:r w:rsidR="00A30EBA">
        <w:rPr>
          <w:rFonts w:ascii="Palatino Linotype" w:hAnsi="Palatino Linotype" w:cs="Arial"/>
          <w:sz w:val="24"/>
          <w:szCs w:val="24"/>
        </w:rPr>
        <w:t>r la solicitud de información</w:t>
      </w:r>
      <w:r>
        <w:rPr>
          <w:rFonts w:ascii="Palatino Linotype" w:hAnsi="Palatino Linotype" w:cs="Arial"/>
          <w:sz w:val="24"/>
          <w:szCs w:val="24"/>
        </w:rPr>
        <w:t xml:space="preserve"> señalo nombre o seudónimo con el cual deseé identificarse</w:t>
      </w:r>
      <w:r w:rsidR="00A30EBA">
        <w:rPr>
          <w:rFonts w:ascii="Palatino Linotype" w:hAnsi="Palatino Linotype" w:cs="Arial"/>
          <w:sz w:val="24"/>
          <w:szCs w:val="24"/>
        </w:rPr>
        <w:t xml:space="preserve"> </w:t>
      </w:r>
      <w:r w:rsidR="00724C70">
        <w:rPr>
          <w:rFonts w:ascii="Palatino Linotype" w:hAnsi="Palatino Linotype" w:cs="Arial"/>
          <w:b/>
          <w:sz w:val="24"/>
          <w:szCs w:val="24"/>
        </w:rPr>
        <w:t>“</w:t>
      </w:r>
      <w:r w:rsidR="00A51EC5">
        <w:rPr>
          <w:rFonts w:ascii="Palatino Linotype" w:hAnsi="Palatino Linotype" w:cs="Arial"/>
          <w:b/>
          <w:sz w:val="24"/>
          <w:szCs w:val="24"/>
        </w:rPr>
        <w:t>xxxxxxxxxxxx</w:t>
      </w:r>
      <w:r w:rsidR="00A30EBA" w:rsidRPr="00A30EBA">
        <w:rPr>
          <w:rFonts w:ascii="Palatino Linotype" w:hAnsi="Palatino Linotype" w:cs="Arial"/>
          <w:b/>
          <w:sz w:val="24"/>
          <w:szCs w:val="24"/>
        </w:rPr>
        <w:t>”</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w:t>
      </w:r>
      <w:r w:rsidR="00CC3A65">
        <w:rPr>
          <w:rFonts w:ascii="Palatino Linotype" w:hAnsi="Palatino Linotype" w:cs="Arial"/>
          <w:sz w:val="24"/>
          <w:szCs w:val="24"/>
        </w:rPr>
        <w:t xml:space="preserve">falta de </w:t>
      </w:r>
      <w:r w:rsidRPr="00AD2A55">
        <w:rPr>
          <w:rFonts w:ascii="Palatino Linotype" w:hAnsi="Palatino Linotype" w:cs="Arial"/>
          <w:sz w:val="24"/>
          <w:szCs w:val="24"/>
        </w:rPr>
        <w:t>respuest</w:t>
      </w:r>
      <w:r w:rsidR="00CC3A65">
        <w:rPr>
          <w:rFonts w:ascii="Palatino Linotype" w:hAnsi="Palatino Linotype" w:cs="Arial"/>
          <w:sz w:val="24"/>
          <w:szCs w:val="24"/>
        </w:rPr>
        <w:t xml:space="preserve">a </w:t>
      </w:r>
      <w:r w:rsidRPr="00AD2A55">
        <w:rPr>
          <w:rFonts w:ascii="Palatino Linotype" w:hAnsi="Palatino Linotype" w:cs="Arial"/>
          <w:sz w:val="24"/>
          <w:szCs w:val="24"/>
        </w:rPr>
        <w:t xml:space="preserve">del </w:t>
      </w:r>
      <w:r w:rsidRPr="00B25463">
        <w:rPr>
          <w:rFonts w:ascii="Palatino Linotype" w:hAnsi="Palatino Linotype" w:cs="Arial"/>
          <w:b/>
          <w:sz w:val="24"/>
          <w:szCs w:val="24"/>
        </w:rPr>
        <w:t xml:space="preserve">Ayuntamiento de </w:t>
      </w:r>
      <w:r w:rsidR="0008072F">
        <w:rPr>
          <w:rFonts w:ascii="Palatino Linotype" w:hAnsi="Palatino Linotype" w:cs="Arial"/>
          <w:b/>
          <w:sz w:val="24"/>
          <w:szCs w:val="24"/>
        </w:rPr>
        <w:t>Naucalpan de Juárez</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obligado, </w:t>
      </w:r>
      <w:r w:rsidRPr="00AD2A55">
        <w:rPr>
          <w:rFonts w:ascii="Palatino Linotype" w:hAnsi="Palatino Linotype" w:cs="Arial"/>
          <w:sz w:val="24"/>
          <w:szCs w:val="24"/>
        </w:rPr>
        <w:t>se procede a dictar la presente resolución.</w:t>
      </w:r>
    </w:p>
    <w:p w14:paraId="478A8799" w14:textId="77777777" w:rsidR="00365CB0" w:rsidRPr="00AD2A55" w:rsidRDefault="00365CB0" w:rsidP="00B16C87">
      <w:pPr>
        <w:tabs>
          <w:tab w:val="left" w:pos="6960"/>
        </w:tabs>
        <w:spacing w:after="0" w:line="360" w:lineRule="auto"/>
        <w:jc w:val="both"/>
        <w:rPr>
          <w:rFonts w:ascii="Palatino Linotype" w:hAnsi="Palatino Linotype" w:cs="Arial"/>
          <w:sz w:val="24"/>
          <w:szCs w:val="24"/>
        </w:rPr>
      </w:pPr>
    </w:p>
    <w:p w14:paraId="2880D51F" w14:textId="77777777" w:rsidR="00365CB0" w:rsidRPr="007763F3" w:rsidRDefault="00365CB0" w:rsidP="00B16C87">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717CC63F" w14:textId="77777777" w:rsidR="00365CB0" w:rsidRPr="00D23436" w:rsidRDefault="00365CB0" w:rsidP="00B16C87">
      <w:pPr>
        <w:spacing w:after="0" w:line="360" w:lineRule="auto"/>
        <w:rPr>
          <w:rFonts w:ascii="Palatino Linotype" w:hAnsi="Palatino Linotype" w:cs="Arial"/>
          <w:b/>
          <w:sz w:val="24"/>
          <w:szCs w:val="24"/>
        </w:rPr>
      </w:pPr>
    </w:p>
    <w:p w14:paraId="5ACE63BC" w14:textId="77777777" w:rsidR="00365CB0" w:rsidRPr="004C083E" w:rsidRDefault="00365CB0" w:rsidP="00B16C87">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14:paraId="3AD4FF16" w14:textId="7145347F" w:rsidR="00365CB0" w:rsidRDefault="00365CB0" w:rsidP="00B16C8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724C70">
        <w:rPr>
          <w:rFonts w:ascii="Palatino Linotype" w:hAnsi="Palatino Linotype" w:cs="Arial"/>
          <w:sz w:val="24"/>
          <w:szCs w:val="24"/>
        </w:rPr>
        <w:t>dieciocho</w:t>
      </w:r>
      <w:r w:rsidR="00A30EBA">
        <w:rPr>
          <w:rFonts w:ascii="Palatino Linotype" w:hAnsi="Palatino Linotype" w:cs="Arial"/>
          <w:sz w:val="24"/>
          <w:szCs w:val="24"/>
        </w:rPr>
        <w:t xml:space="preserve"> de junio</w:t>
      </w:r>
      <w:r>
        <w:rPr>
          <w:rFonts w:ascii="Palatino Linotype" w:hAnsi="Palatino Linotype" w:cs="Arial"/>
          <w:sz w:val="24"/>
          <w:szCs w:val="24"/>
        </w:rPr>
        <w:t xml:space="preserve">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Pr>
          <w:rFonts w:ascii="Palatino Linotype" w:hAnsi="Palatino Linotype" w:cs="Arial"/>
          <w:sz w:val="24"/>
          <w:szCs w:val="24"/>
        </w:rPr>
        <w:t xml:space="preserve"> presentó a través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C3112C" w:rsidRPr="00C3112C">
        <w:rPr>
          <w:rFonts w:ascii="Palatino Linotype" w:hAnsi="Palatino Linotype" w:cs="Arial"/>
          <w:b/>
          <w:sz w:val="24"/>
          <w:szCs w:val="24"/>
        </w:rPr>
        <w:t>00521/NAUCALPA/IP/2020</w:t>
      </w:r>
      <w:r w:rsidR="00C3112C">
        <w:rPr>
          <w:rFonts w:ascii="Palatino Linotype" w:hAnsi="Palatino Linotype" w:cs="Arial"/>
          <w:b/>
          <w:sz w:val="24"/>
          <w:szCs w:val="24"/>
        </w:rPr>
        <w:t xml:space="preserve">, </w:t>
      </w:r>
      <w:r w:rsidRPr="00AD2A55">
        <w:rPr>
          <w:rFonts w:ascii="Palatino Linotype" w:hAnsi="Palatino Linotype" w:cs="Arial"/>
          <w:sz w:val="24"/>
          <w:szCs w:val="24"/>
        </w:rPr>
        <w:t>mediante la cual solicitó información en el tenor siguiente:</w:t>
      </w:r>
    </w:p>
    <w:p w14:paraId="184AB607" w14:textId="77777777" w:rsidR="00365CB0" w:rsidRDefault="00365CB0" w:rsidP="00B16C87">
      <w:pPr>
        <w:spacing w:after="0" w:line="360" w:lineRule="auto"/>
        <w:jc w:val="both"/>
        <w:rPr>
          <w:rFonts w:ascii="Palatino Linotype" w:hAnsi="Palatino Linotype" w:cs="Arial"/>
          <w:sz w:val="24"/>
          <w:szCs w:val="24"/>
        </w:rPr>
      </w:pPr>
    </w:p>
    <w:p w14:paraId="0535E584" w14:textId="63D740DB" w:rsidR="00365CB0" w:rsidRDefault="00365CB0" w:rsidP="00B16C87">
      <w:pPr>
        <w:tabs>
          <w:tab w:val="left" w:pos="5647"/>
        </w:tabs>
        <w:spacing w:after="0" w:line="240" w:lineRule="auto"/>
        <w:ind w:left="567"/>
        <w:jc w:val="both"/>
        <w:rPr>
          <w:rFonts w:ascii="Palatino Linotype" w:eastAsia="Times New Roman" w:hAnsi="Palatino Linotype" w:cs="Times New Roman"/>
          <w:szCs w:val="24"/>
          <w:lang w:val="es-ES_tradnl" w:eastAsia="es-ES"/>
        </w:rPr>
      </w:pPr>
      <w:r>
        <w:rPr>
          <w:rFonts w:ascii="Palatino Linotype" w:eastAsia="Times New Roman" w:hAnsi="Palatino Linotype" w:cs="Times New Roman"/>
          <w:i/>
          <w:szCs w:val="24"/>
          <w:lang w:val="es-ES_tradnl" w:eastAsia="es-ES"/>
        </w:rPr>
        <w:t>“</w:t>
      </w:r>
      <w:r w:rsidR="0008072F" w:rsidRPr="0008072F">
        <w:rPr>
          <w:rFonts w:ascii="Palatino Linotype" w:eastAsia="Times New Roman" w:hAnsi="Palatino Linotype" w:cs="Times New Roman"/>
          <w:i/>
          <w:szCs w:val="24"/>
          <w:lang w:val="es-ES_tradnl" w:eastAsia="es-ES"/>
        </w:rPr>
        <w:t xml:space="preserve">SOLICITO ME PUEDA INFORMAR EL NÚMERO DE VACANTES DISPONIBLES PARA LABORAR EN ESTE ENTE PÚBLICO, REQUISITOS Y SUELDOS OFRECIDOS. TAMBIÉN ME PUEDEN INFORMAR DE LOS PROCEDIMIENTOS QUE SE DEBEN </w:t>
      </w:r>
      <w:r w:rsidR="0008072F" w:rsidRPr="0008072F">
        <w:rPr>
          <w:rFonts w:ascii="Palatino Linotype" w:eastAsia="Times New Roman" w:hAnsi="Palatino Linotype" w:cs="Times New Roman"/>
          <w:i/>
          <w:szCs w:val="24"/>
          <w:lang w:val="es-ES_tradnl" w:eastAsia="es-ES"/>
        </w:rPr>
        <w:lastRenderedPageBreak/>
        <w:t>REALIZAR PARA PARTICIPAR COMO CANDIDATOS EN LAS VACANTES DISPONIBLES.</w:t>
      </w:r>
      <w:r>
        <w:rPr>
          <w:rFonts w:ascii="Palatino Linotype" w:eastAsia="Times New Roman" w:hAnsi="Palatino Linotype" w:cs="Times New Roman"/>
          <w:i/>
          <w:szCs w:val="24"/>
          <w:lang w:val="es-ES_tradnl" w:eastAsia="es-ES"/>
        </w:rPr>
        <w:t>”</w:t>
      </w:r>
    </w:p>
    <w:p w14:paraId="7FB2AA8D" w14:textId="77777777" w:rsidR="00365CB0" w:rsidRDefault="00365CB0" w:rsidP="00B16C87">
      <w:pPr>
        <w:tabs>
          <w:tab w:val="left" w:pos="5647"/>
        </w:tabs>
        <w:spacing w:after="0" w:line="360" w:lineRule="auto"/>
        <w:jc w:val="both"/>
        <w:rPr>
          <w:rFonts w:ascii="Palatino Linotype" w:eastAsia="Times New Roman" w:hAnsi="Palatino Linotype" w:cs="Times New Roman"/>
          <w:sz w:val="24"/>
          <w:szCs w:val="24"/>
          <w:lang w:val="es-ES_tradnl" w:eastAsia="es-ES"/>
        </w:rPr>
      </w:pPr>
    </w:p>
    <w:p w14:paraId="0445ECDF" w14:textId="77777777" w:rsidR="00365CB0" w:rsidRDefault="00365CB0" w:rsidP="00B16C87">
      <w:pPr>
        <w:tabs>
          <w:tab w:val="left" w:pos="5647"/>
        </w:tabs>
        <w:spacing w:after="0" w:line="360" w:lineRule="auto"/>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14:paraId="099CCE0E" w14:textId="77777777" w:rsidR="00365CB0" w:rsidRDefault="00365CB0" w:rsidP="00B16C87">
      <w:pPr>
        <w:spacing w:after="0" w:line="360" w:lineRule="auto"/>
        <w:jc w:val="both"/>
        <w:rPr>
          <w:rFonts w:ascii="Palatino Linotype" w:hAnsi="Palatino Linotype" w:cs="Arial"/>
          <w:sz w:val="24"/>
          <w:szCs w:val="24"/>
        </w:rPr>
      </w:pPr>
    </w:p>
    <w:p w14:paraId="5F99948C" w14:textId="77777777" w:rsidR="00365CB0" w:rsidRPr="00835D88" w:rsidRDefault="00365CB0" w:rsidP="00B16C87">
      <w:pPr>
        <w:spacing w:after="0" w:line="360" w:lineRule="auto"/>
        <w:jc w:val="both"/>
        <w:rPr>
          <w:rFonts w:ascii="Palatino Linotype" w:hAnsi="Palatino Linotype" w:cs="Arial"/>
          <w:b/>
          <w:sz w:val="24"/>
          <w:szCs w:val="24"/>
        </w:rPr>
      </w:pPr>
      <w:r w:rsidRPr="00835D88">
        <w:rPr>
          <w:rFonts w:ascii="Palatino Linotype" w:hAnsi="Palatino Linotype" w:cs="Arial"/>
          <w:b/>
          <w:sz w:val="28"/>
          <w:szCs w:val="24"/>
        </w:rPr>
        <w:t>SEGUNDO</w:t>
      </w:r>
      <w:r w:rsidRPr="00835D88">
        <w:rPr>
          <w:rFonts w:ascii="Palatino Linotype" w:hAnsi="Palatino Linotype" w:cs="Arial"/>
          <w:b/>
          <w:sz w:val="24"/>
          <w:szCs w:val="24"/>
        </w:rPr>
        <w:t>. De la falta de respuesta del Sujeto Obligado.</w:t>
      </w:r>
    </w:p>
    <w:p w14:paraId="21E4B82C" w14:textId="77777777"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Una vez transcurrido el plazo para dar cumplimiento a la solicitud de información de referencia, con base en las constancias contenidas en el expediente virtual del </w:t>
      </w:r>
      <w:r w:rsidRPr="00835D88">
        <w:rPr>
          <w:rFonts w:ascii="Palatino Linotype" w:hAnsi="Palatino Linotype" w:cs="Arial"/>
          <w:b/>
          <w:sz w:val="24"/>
          <w:szCs w:val="24"/>
        </w:rPr>
        <w:t>SAIMEX</w:t>
      </w:r>
      <w:r w:rsidRPr="00835D88">
        <w:rPr>
          <w:rFonts w:ascii="Palatino Linotype" w:hAnsi="Palatino Linotype" w:cs="Arial"/>
          <w:sz w:val="24"/>
          <w:szCs w:val="24"/>
        </w:rPr>
        <w:t xml:space="preserve"> aperturado con motivo del ingreso de la solicitud de información</w:t>
      </w:r>
      <w:r w:rsidRPr="00835D88">
        <w:rPr>
          <w:rFonts w:ascii="Palatino Linotype" w:hAnsi="Palatino Linotype" w:cs="Arial"/>
          <w:b/>
          <w:sz w:val="24"/>
          <w:szCs w:val="24"/>
        </w:rPr>
        <w:t>,</w:t>
      </w:r>
      <w:r w:rsidRPr="00835D88">
        <w:rPr>
          <w:rFonts w:ascii="Palatino Linotype" w:hAnsi="Palatino Linotype" w:cs="Arial"/>
          <w:sz w:val="24"/>
          <w:szCs w:val="24"/>
        </w:rPr>
        <w:t xml:space="preserve"> se aprecia que el</w:t>
      </w:r>
      <w:r w:rsidRPr="00835D88">
        <w:rPr>
          <w:rFonts w:ascii="Palatino Linotype" w:hAnsi="Palatino Linotype" w:cs="Arial"/>
          <w:b/>
          <w:sz w:val="24"/>
          <w:szCs w:val="24"/>
        </w:rPr>
        <w:t xml:space="preserve"> sujeto obligado</w:t>
      </w:r>
      <w:r w:rsidRPr="00835D88">
        <w:rPr>
          <w:rFonts w:ascii="Palatino Linotype" w:hAnsi="Palatino Linotype" w:cs="Arial"/>
          <w:sz w:val="24"/>
          <w:szCs w:val="24"/>
        </w:rPr>
        <w:t xml:space="preserve"> no dio contestación a la solicitud de información, como se muestra a continuación:</w:t>
      </w:r>
    </w:p>
    <w:p w14:paraId="5E7A2661" w14:textId="77777777" w:rsidR="00365CB0" w:rsidRPr="00835D88" w:rsidRDefault="00365CB0" w:rsidP="00B16C87">
      <w:pPr>
        <w:spacing w:after="0" w:line="360" w:lineRule="auto"/>
        <w:jc w:val="both"/>
        <w:rPr>
          <w:rFonts w:ascii="Palatino Linotype" w:hAnsi="Palatino Linotype" w:cs="Arial"/>
          <w:sz w:val="24"/>
          <w:szCs w:val="24"/>
        </w:rPr>
      </w:pPr>
    </w:p>
    <w:p w14:paraId="0F1F5280" w14:textId="7D5427DB" w:rsidR="00365CB0" w:rsidRDefault="003713E0" w:rsidP="00B16C87">
      <w:pPr>
        <w:spacing w:after="0" w:line="360" w:lineRule="auto"/>
        <w:jc w:val="center"/>
        <w:rPr>
          <w:rFonts w:ascii="Palatino Linotype" w:eastAsia="Calibri" w:hAnsi="Palatino Linotype" w:cs="Arial"/>
          <w:noProof/>
          <w:sz w:val="24"/>
          <w:szCs w:val="24"/>
          <w:lang w:eastAsia="es-MX"/>
        </w:rPr>
      </w:pPr>
      <w:bookmarkStart w:id="0" w:name="_GoBack"/>
      <w:r>
        <w:rPr>
          <w:rFonts w:ascii="Palatino Linotype" w:eastAsia="Calibri" w:hAnsi="Palatino Linotype" w:cs="Arial"/>
          <w:noProof/>
          <w:sz w:val="24"/>
          <w:szCs w:val="24"/>
          <w:lang w:eastAsia="es-MX"/>
        </w:rPr>
        <w:drawing>
          <wp:inline distT="0" distB="0" distL="0" distR="0" wp14:anchorId="369D8BCE" wp14:editId="25E09545">
            <wp:extent cx="5780336" cy="28427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0867" cy="2847967"/>
                    </a:xfrm>
                    <a:prstGeom prst="rect">
                      <a:avLst/>
                    </a:prstGeom>
                    <a:noFill/>
                    <a:ln>
                      <a:noFill/>
                    </a:ln>
                  </pic:spPr>
                </pic:pic>
              </a:graphicData>
            </a:graphic>
          </wp:inline>
        </w:drawing>
      </w:r>
      <w:bookmarkEnd w:id="0"/>
    </w:p>
    <w:p w14:paraId="3FACA442" w14:textId="77777777" w:rsidR="00A30EBA" w:rsidRPr="00835D88" w:rsidRDefault="00A30EBA" w:rsidP="00B16C87">
      <w:pPr>
        <w:spacing w:after="0" w:line="360" w:lineRule="auto"/>
        <w:jc w:val="center"/>
        <w:rPr>
          <w:rFonts w:ascii="Palatino Linotype" w:eastAsia="Calibri" w:hAnsi="Palatino Linotype" w:cs="Arial"/>
          <w:noProof/>
          <w:sz w:val="24"/>
          <w:szCs w:val="24"/>
          <w:lang w:eastAsia="es-MX"/>
        </w:rPr>
      </w:pPr>
    </w:p>
    <w:p w14:paraId="5D2654D0" w14:textId="77777777" w:rsidR="00365CB0" w:rsidRPr="00835D88" w:rsidRDefault="00365CB0" w:rsidP="00B16C87">
      <w:pPr>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TERCERO. Del recurso de revisión.</w:t>
      </w:r>
    </w:p>
    <w:p w14:paraId="22908B6D" w14:textId="673F30C7"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Inconforme ante la falta de respuesta por parte del </w:t>
      </w:r>
      <w:r w:rsidRPr="00835D88">
        <w:rPr>
          <w:rFonts w:ascii="Palatino Linotype" w:hAnsi="Palatino Linotype" w:cs="Arial"/>
          <w:b/>
          <w:sz w:val="24"/>
          <w:szCs w:val="24"/>
        </w:rPr>
        <w:t>sujeto obligado</w:t>
      </w:r>
      <w:r w:rsidRPr="00835D88">
        <w:rPr>
          <w:rFonts w:ascii="Palatino Linotype" w:hAnsi="Palatino Linotype" w:cs="Arial"/>
          <w:sz w:val="24"/>
          <w:szCs w:val="24"/>
        </w:rPr>
        <w:t xml:space="preserve">, el ahora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en fecha </w:t>
      </w:r>
      <w:r w:rsidR="0008072F">
        <w:rPr>
          <w:rFonts w:ascii="Palatino Linotype" w:hAnsi="Palatino Linotype" w:cs="Arial"/>
          <w:sz w:val="24"/>
          <w:szCs w:val="24"/>
        </w:rPr>
        <w:t>nueve de septiembre</w:t>
      </w:r>
      <w:r>
        <w:rPr>
          <w:rFonts w:ascii="Palatino Linotype" w:hAnsi="Palatino Linotype" w:cs="Arial"/>
          <w:sz w:val="24"/>
          <w:szCs w:val="24"/>
        </w:rPr>
        <w:t xml:space="preserve"> de dos mil veinte</w:t>
      </w:r>
      <w:r w:rsidRPr="00835D88">
        <w:rPr>
          <w:rFonts w:ascii="Palatino Linotype" w:hAnsi="Palatino Linotype" w:cs="Arial"/>
          <w:sz w:val="24"/>
          <w:szCs w:val="24"/>
        </w:rPr>
        <w:t xml:space="preserve">, interpuso el recurso de </w:t>
      </w:r>
      <w:r w:rsidRPr="00835D88">
        <w:rPr>
          <w:rFonts w:ascii="Palatino Linotype" w:hAnsi="Palatino Linotype" w:cs="Arial"/>
          <w:sz w:val="24"/>
          <w:szCs w:val="24"/>
        </w:rPr>
        <w:lastRenderedPageBreak/>
        <w:t>revisión, que fue registrado</w:t>
      </w:r>
      <w:r w:rsidRPr="00835D88">
        <w:rPr>
          <w:rFonts w:ascii="Palatino Linotype" w:hAnsi="Palatino Linotype" w:cs="Arial"/>
          <w:b/>
          <w:sz w:val="24"/>
          <w:szCs w:val="24"/>
        </w:rPr>
        <w:t xml:space="preserve"> </w:t>
      </w:r>
      <w:r w:rsidRPr="00835D88">
        <w:rPr>
          <w:rFonts w:ascii="Palatino Linotype" w:hAnsi="Palatino Linotype" w:cs="Arial"/>
          <w:sz w:val="24"/>
          <w:szCs w:val="24"/>
        </w:rPr>
        <w:t xml:space="preserve">en el sistema electrónico con número de expediente </w:t>
      </w:r>
      <w:r w:rsidRPr="00835D88">
        <w:rPr>
          <w:rFonts w:ascii="Palatino Linotype" w:hAnsi="Palatino Linotype" w:cs="Arial"/>
          <w:b/>
          <w:bCs/>
          <w:sz w:val="24"/>
          <w:szCs w:val="24"/>
          <w:lang w:eastAsia="es-MX"/>
        </w:rPr>
        <w:t>0</w:t>
      </w:r>
      <w:r>
        <w:rPr>
          <w:rFonts w:ascii="Palatino Linotype" w:hAnsi="Palatino Linotype" w:cs="Arial"/>
          <w:b/>
          <w:bCs/>
          <w:sz w:val="24"/>
          <w:szCs w:val="24"/>
          <w:lang w:eastAsia="es-MX"/>
        </w:rPr>
        <w:t>3</w:t>
      </w:r>
      <w:r w:rsidR="0008072F">
        <w:rPr>
          <w:rFonts w:ascii="Palatino Linotype" w:hAnsi="Palatino Linotype" w:cs="Arial"/>
          <w:b/>
          <w:bCs/>
          <w:sz w:val="24"/>
          <w:szCs w:val="24"/>
          <w:lang w:eastAsia="es-MX"/>
        </w:rPr>
        <w:t>775</w:t>
      </w:r>
      <w:r w:rsidRPr="00835D88">
        <w:rPr>
          <w:rFonts w:ascii="Palatino Linotype" w:hAnsi="Palatino Linotype" w:cs="Arial"/>
          <w:b/>
          <w:bCs/>
          <w:sz w:val="24"/>
          <w:szCs w:val="24"/>
          <w:lang w:eastAsia="es-MX"/>
        </w:rPr>
        <w:t>/INFOEM/IP/RR/2020</w:t>
      </w:r>
      <w:r w:rsidRPr="00835D88">
        <w:rPr>
          <w:rFonts w:ascii="Palatino Linotype" w:hAnsi="Palatino Linotype" w:cs="Arial"/>
          <w:sz w:val="24"/>
          <w:szCs w:val="24"/>
        </w:rPr>
        <w:t>, aduciendo como acto impugnado y razones o motivos de inconformidad los siguientes:</w:t>
      </w:r>
    </w:p>
    <w:p w14:paraId="1E41A29A" w14:textId="77777777" w:rsidR="00365CB0" w:rsidRPr="00835D88" w:rsidRDefault="00365CB0" w:rsidP="00B16C87">
      <w:pPr>
        <w:spacing w:after="0" w:line="360" w:lineRule="auto"/>
        <w:jc w:val="both"/>
        <w:rPr>
          <w:rFonts w:ascii="Palatino Linotype" w:hAnsi="Palatino Linotype" w:cs="Arial"/>
          <w:b/>
          <w:sz w:val="24"/>
          <w:szCs w:val="24"/>
        </w:rPr>
      </w:pPr>
    </w:p>
    <w:p w14:paraId="5707A4CB" w14:textId="77777777" w:rsidR="00365CB0" w:rsidRPr="00835D88" w:rsidRDefault="00365CB0" w:rsidP="00B16C87">
      <w:pPr>
        <w:spacing w:after="0" w:line="360" w:lineRule="auto"/>
        <w:jc w:val="both"/>
        <w:rPr>
          <w:rFonts w:ascii="Palatino Linotype" w:eastAsia="Times New Roman" w:hAnsi="Palatino Linotype" w:cs="Arial"/>
          <w:b/>
          <w:sz w:val="24"/>
          <w:szCs w:val="24"/>
          <w:lang w:val="es-ES" w:eastAsia="es-ES"/>
        </w:rPr>
      </w:pPr>
      <w:r w:rsidRPr="00835D88">
        <w:rPr>
          <w:rFonts w:ascii="Palatino Linotype" w:eastAsia="Times New Roman" w:hAnsi="Palatino Linotype" w:cs="Arial"/>
          <w:b/>
          <w:sz w:val="24"/>
          <w:szCs w:val="24"/>
          <w:lang w:val="es-ES" w:eastAsia="es-ES"/>
        </w:rPr>
        <w:t>Acto Impugnado:</w:t>
      </w:r>
    </w:p>
    <w:p w14:paraId="5B49D816" w14:textId="77777777" w:rsidR="00365CB0" w:rsidRPr="00835D88" w:rsidRDefault="00365CB0" w:rsidP="00B16C87">
      <w:pPr>
        <w:spacing w:after="0" w:line="360" w:lineRule="auto"/>
        <w:jc w:val="both"/>
        <w:rPr>
          <w:rFonts w:ascii="Palatino Linotype" w:eastAsia="Times New Roman" w:hAnsi="Palatino Linotype" w:cs="Arial"/>
          <w:sz w:val="24"/>
          <w:szCs w:val="24"/>
          <w:lang w:val="es-ES" w:eastAsia="es-ES"/>
        </w:rPr>
      </w:pPr>
    </w:p>
    <w:p w14:paraId="3AF3A3C0" w14:textId="5FFB4279" w:rsidR="00365CB0" w:rsidRPr="00835D88" w:rsidRDefault="00365CB0" w:rsidP="00B16C87">
      <w:pPr>
        <w:spacing w:after="0" w:line="276" w:lineRule="auto"/>
        <w:ind w:left="567"/>
        <w:jc w:val="both"/>
        <w:rPr>
          <w:rFonts w:ascii="Palatino Linotype" w:eastAsia="Times New Roman" w:hAnsi="Palatino Linotype" w:cs="Arial"/>
          <w:i/>
          <w:szCs w:val="24"/>
          <w:lang w:val="es-ES" w:eastAsia="es-ES"/>
        </w:rPr>
      </w:pPr>
      <w:r w:rsidRPr="00835D88">
        <w:rPr>
          <w:rFonts w:ascii="Palatino Linotype" w:eastAsia="Times New Roman" w:hAnsi="Palatino Linotype" w:cs="Arial"/>
          <w:i/>
          <w:szCs w:val="24"/>
          <w:lang w:val="es-ES" w:eastAsia="es-ES"/>
        </w:rPr>
        <w:t>“</w:t>
      </w:r>
      <w:r w:rsidR="0008072F" w:rsidRPr="0008072F">
        <w:rPr>
          <w:rFonts w:ascii="Palatino Linotype" w:eastAsia="Times New Roman" w:hAnsi="Palatino Linotype" w:cs="Arial"/>
          <w:i/>
          <w:szCs w:val="24"/>
          <w:lang w:val="es-ES" w:eastAsia="es-ES"/>
        </w:rPr>
        <w:t>La falta de respuesta a mi solicitud</w:t>
      </w:r>
      <w:r w:rsidRPr="00835D88">
        <w:rPr>
          <w:rFonts w:ascii="Palatino Linotype" w:eastAsia="Times New Roman" w:hAnsi="Palatino Linotype" w:cs="Arial"/>
          <w:i/>
          <w:szCs w:val="24"/>
          <w:lang w:val="es-ES" w:eastAsia="es-ES"/>
        </w:rPr>
        <w:t>”</w:t>
      </w:r>
    </w:p>
    <w:p w14:paraId="2FDDDBD6" w14:textId="77777777" w:rsidR="00365CB0" w:rsidRPr="00835D88" w:rsidRDefault="00365CB0" w:rsidP="00B16C87">
      <w:pPr>
        <w:spacing w:after="0" w:line="360" w:lineRule="auto"/>
        <w:jc w:val="both"/>
        <w:rPr>
          <w:rFonts w:ascii="Palatino Linotype" w:eastAsia="Times New Roman" w:hAnsi="Palatino Linotype" w:cs="Arial"/>
          <w:b/>
          <w:sz w:val="24"/>
          <w:szCs w:val="24"/>
          <w:lang w:val="es-ES" w:eastAsia="es-ES"/>
        </w:rPr>
      </w:pPr>
    </w:p>
    <w:p w14:paraId="6D476779" w14:textId="77777777" w:rsidR="00365CB0" w:rsidRPr="00835D88" w:rsidRDefault="00365CB0" w:rsidP="00B16C87">
      <w:pPr>
        <w:spacing w:after="0" w:line="360" w:lineRule="auto"/>
        <w:jc w:val="both"/>
        <w:rPr>
          <w:rFonts w:ascii="Palatino Linotype" w:eastAsia="Times New Roman" w:hAnsi="Palatino Linotype" w:cs="Arial"/>
          <w:b/>
          <w:sz w:val="24"/>
          <w:szCs w:val="24"/>
          <w:lang w:val="es-ES" w:eastAsia="es-ES"/>
        </w:rPr>
      </w:pPr>
      <w:r w:rsidRPr="00835D88">
        <w:rPr>
          <w:rFonts w:ascii="Palatino Linotype" w:eastAsia="Times New Roman" w:hAnsi="Palatino Linotype" w:cs="Arial"/>
          <w:b/>
          <w:sz w:val="24"/>
          <w:szCs w:val="24"/>
          <w:lang w:val="es-ES" w:eastAsia="es-ES"/>
        </w:rPr>
        <w:t>Razones o motivos de inconformidad:</w:t>
      </w:r>
    </w:p>
    <w:p w14:paraId="675978C7" w14:textId="77777777" w:rsidR="00365CB0" w:rsidRPr="00835D88" w:rsidRDefault="00365CB0" w:rsidP="00B16C87">
      <w:pPr>
        <w:spacing w:after="0" w:line="360" w:lineRule="auto"/>
        <w:jc w:val="both"/>
        <w:rPr>
          <w:rFonts w:ascii="Palatino Linotype" w:eastAsia="Times New Roman" w:hAnsi="Palatino Linotype" w:cs="Arial"/>
          <w:b/>
          <w:sz w:val="24"/>
          <w:szCs w:val="24"/>
          <w:lang w:val="es-ES" w:eastAsia="es-ES"/>
        </w:rPr>
      </w:pPr>
    </w:p>
    <w:p w14:paraId="6E7B52D1" w14:textId="7BFE0E70" w:rsidR="00365CB0" w:rsidRPr="00835D88" w:rsidRDefault="00365CB0" w:rsidP="00B16C87">
      <w:pPr>
        <w:spacing w:after="0" w:line="276" w:lineRule="auto"/>
        <w:ind w:left="567"/>
        <w:jc w:val="both"/>
        <w:rPr>
          <w:rFonts w:ascii="Palatino Linotype" w:hAnsi="Palatino Linotype"/>
          <w:i/>
          <w:color w:val="000000"/>
        </w:rPr>
      </w:pPr>
      <w:r w:rsidRPr="00835D88">
        <w:rPr>
          <w:rFonts w:ascii="Palatino Linotype" w:hAnsi="Palatino Linotype" w:cs="Arial"/>
          <w:i/>
        </w:rPr>
        <w:t>“</w:t>
      </w:r>
      <w:r w:rsidR="0008072F" w:rsidRPr="0008072F">
        <w:rPr>
          <w:rFonts w:ascii="Palatino Linotype" w:hAnsi="Palatino Linotype"/>
          <w:i/>
          <w:color w:val="000000"/>
        </w:rPr>
        <w:t>no han contestado mi solicitud</w:t>
      </w:r>
      <w:r w:rsidR="00407345" w:rsidRPr="00407345">
        <w:rPr>
          <w:rFonts w:ascii="Palatino Linotype" w:hAnsi="Palatino Linotype"/>
          <w:i/>
          <w:color w:val="000000"/>
        </w:rPr>
        <w:t>.</w:t>
      </w:r>
      <w:r w:rsidRPr="00835D88">
        <w:rPr>
          <w:rFonts w:ascii="Palatino Linotype" w:hAnsi="Palatino Linotype"/>
          <w:i/>
          <w:color w:val="000000"/>
        </w:rPr>
        <w:t>” (sic)</w:t>
      </w:r>
    </w:p>
    <w:p w14:paraId="0C2504AE" w14:textId="77777777" w:rsidR="00365CB0" w:rsidRPr="00835D88" w:rsidRDefault="00365CB0" w:rsidP="00B16C87">
      <w:pPr>
        <w:spacing w:after="0" w:line="360" w:lineRule="auto"/>
        <w:jc w:val="both"/>
        <w:rPr>
          <w:rFonts w:ascii="Palatino Linotype" w:hAnsi="Palatino Linotype" w:cs="Arial"/>
          <w:sz w:val="24"/>
          <w:szCs w:val="24"/>
        </w:rPr>
      </w:pPr>
    </w:p>
    <w:p w14:paraId="0331384B" w14:textId="77777777" w:rsidR="00365CB0" w:rsidRPr="00835D88" w:rsidRDefault="00365CB0" w:rsidP="00B16C87">
      <w:pPr>
        <w:spacing w:after="0" w:line="360" w:lineRule="auto"/>
        <w:jc w:val="both"/>
        <w:rPr>
          <w:rFonts w:ascii="Palatino Linotype" w:eastAsia="Times New Roman" w:hAnsi="Palatino Linotype" w:cs="Arial"/>
          <w:b/>
          <w:sz w:val="28"/>
          <w:lang w:eastAsia="es-ES"/>
        </w:rPr>
      </w:pPr>
      <w:r w:rsidRPr="00835D88">
        <w:rPr>
          <w:rFonts w:ascii="Palatino Linotype" w:eastAsia="Times New Roman" w:hAnsi="Palatino Linotype" w:cs="Arial"/>
          <w:b/>
          <w:sz w:val="28"/>
          <w:lang w:eastAsia="es-ES"/>
        </w:rPr>
        <w:t>CUARTO. Del turno del recurso de revisión</w:t>
      </w:r>
    </w:p>
    <w:p w14:paraId="124947C0" w14:textId="48D16308" w:rsidR="00365CB0" w:rsidRPr="00835D88" w:rsidRDefault="00365CB0" w:rsidP="00B16C87">
      <w:pPr>
        <w:spacing w:after="0" w:line="360" w:lineRule="auto"/>
        <w:jc w:val="both"/>
        <w:rPr>
          <w:rFonts w:ascii="Palatino Linotype" w:eastAsia="Times New Roman" w:hAnsi="Palatino Linotype" w:cs="Arial"/>
          <w:sz w:val="24"/>
          <w:szCs w:val="24"/>
          <w:lang w:val="es-ES_tradnl" w:eastAsia="es-ES"/>
        </w:rPr>
      </w:pPr>
      <w:r w:rsidRPr="00835D88">
        <w:rPr>
          <w:rFonts w:ascii="Palatino Linotype" w:eastAsia="Times New Roman" w:hAnsi="Palatino Linotype" w:cs="Arial"/>
          <w:sz w:val="24"/>
          <w:szCs w:val="24"/>
          <w:lang w:val="es-ES" w:eastAsia="es-ES"/>
        </w:rPr>
        <w:t xml:space="preserve">En fecha </w:t>
      </w:r>
      <w:r w:rsidR="0008072F">
        <w:rPr>
          <w:rFonts w:ascii="Palatino Linotype" w:eastAsia="Times New Roman" w:hAnsi="Palatino Linotype" w:cs="Arial"/>
          <w:sz w:val="24"/>
          <w:szCs w:val="24"/>
          <w:lang w:val="es-ES" w:eastAsia="es-ES"/>
        </w:rPr>
        <w:t>nueve de septiembre</w:t>
      </w:r>
      <w:r>
        <w:rPr>
          <w:rFonts w:ascii="Palatino Linotype" w:eastAsia="Times New Roman" w:hAnsi="Palatino Linotype" w:cs="Arial"/>
          <w:sz w:val="24"/>
          <w:szCs w:val="24"/>
          <w:lang w:val="es-ES" w:eastAsia="es-ES"/>
        </w:rPr>
        <w:t xml:space="preserve"> </w:t>
      </w:r>
      <w:r w:rsidRPr="00835D88">
        <w:rPr>
          <w:rFonts w:ascii="Palatino Linotype" w:eastAsia="Times New Roman" w:hAnsi="Palatino Linotype" w:cs="Arial"/>
          <w:sz w:val="24"/>
          <w:szCs w:val="24"/>
          <w:lang w:val="es-ES" w:eastAsia="es-ES"/>
        </w:rPr>
        <w:t xml:space="preserve">de dos mil veinte, el </w:t>
      </w:r>
      <w:r w:rsidRPr="00835D88">
        <w:rPr>
          <w:rFonts w:ascii="Palatino Linotype" w:eastAsia="Times New Roman" w:hAnsi="Palatino Linotype" w:cs="Arial"/>
          <w:sz w:val="24"/>
          <w:szCs w:val="24"/>
          <w:lang w:val="es-ES_tradnl" w:eastAsia="es-ES"/>
        </w:rPr>
        <w:t>recurso de que</w:t>
      </w:r>
      <w:r w:rsidRPr="00835D88">
        <w:rPr>
          <w:rFonts w:ascii="Palatino Linotype" w:eastAsia="Times New Roman" w:hAnsi="Palatino Linotype" w:cs="Arial"/>
          <w:sz w:val="24"/>
          <w:szCs w:val="24"/>
          <w:lang w:val="es-ES" w:eastAsia="es-ES"/>
        </w:rPr>
        <w:t xml:space="preserve"> se trata</w:t>
      </w:r>
      <w:r w:rsidRPr="00835D88">
        <w:rPr>
          <w:rFonts w:ascii="Palatino Linotype" w:eastAsia="Times New Roman" w:hAnsi="Palatino Linotype" w:cs="Arial"/>
          <w:sz w:val="24"/>
          <w:szCs w:val="24"/>
          <w:lang w:val="es-ES_tradnl" w:eastAsia="es-ES"/>
        </w:rPr>
        <w:t xml:space="preserve"> se envió electrónicamente al Instituto de </w:t>
      </w:r>
      <w:r w:rsidRPr="00835D88">
        <w:rPr>
          <w:rFonts w:ascii="Palatino Linotype" w:eastAsia="Arial Unicode MS" w:hAnsi="Palatino Linotype" w:cs="Arial"/>
          <w:sz w:val="24"/>
          <w:szCs w:val="24"/>
          <w:lang w:val="es-ES" w:eastAsia="es-ES"/>
        </w:rPr>
        <w:t>Transparencia</w:t>
      </w:r>
      <w:r w:rsidRPr="00835D88">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35D88">
        <w:rPr>
          <w:rFonts w:ascii="Palatino Linotype" w:eastAsia="Times New Roman" w:hAnsi="Palatino Linotype" w:cs="Times New Roman"/>
          <w:sz w:val="24"/>
          <w:szCs w:val="24"/>
          <w:lang w:val="es-ES" w:eastAsia="es-ES"/>
        </w:rPr>
        <w:t>Ley de Transparencia y Acceso a la Información Pública del Estado de México y Municipios</w:t>
      </w:r>
      <w:r w:rsidRPr="00835D88">
        <w:rPr>
          <w:rFonts w:ascii="Palatino Linotype" w:eastAsia="Times New Roman" w:hAnsi="Palatino Linotype" w:cs="Arial"/>
          <w:sz w:val="24"/>
          <w:szCs w:val="24"/>
          <w:lang w:val="es-ES_tradnl" w:eastAsia="es-ES"/>
        </w:rPr>
        <w:t>, se turnó a través del</w:t>
      </w:r>
      <w:r w:rsidRPr="00835D88">
        <w:rPr>
          <w:rFonts w:ascii="Palatino Linotype" w:eastAsia="Arial Unicode MS" w:hAnsi="Palatino Linotype" w:cs="Arial"/>
          <w:sz w:val="24"/>
          <w:szCs w:val="24"/>
          <w:lang w:val="es-ES_tradnl" w:eastAsia="es-ES"/>
        </w:rPr>
        <w:t xml:space="preserve"> </w:t>
      </w:r>
      <w:r w:rsidRPr="00835D88">
        <w:rPr>
          <w:rFonts w:ascii="Palatino Linotype" w:eastAsia="Arial Unicode MS" w:hAnsi="Palatino Linotype" w:cs="Arial"/>
          <w:b/>
          <w:sz w:val="24"/>
          <w:szCs w:val="24"/>
          <w:lang w:val="es-ES_tradnl" w:eastAsia="es-ES"/>
        </w:rPr>
        <w:t>SAIMEX</w:t>
      </w:r>
      <w:r w:rsidRPr="00835D88">
        <w:rPr>
          <w:rFonts w:ascii="Palatino Linotype" w:eastAsia="Times New Roman" w:hAnsi="Palatino Linotype" w:cs="Times New Roman"/>
          <w:sz w:val="24"/>
          <w:szCs w:val="24"/>
          <w:lang w:val="es-ES" w:eastAsia="es-ES"/>
        </w:rPr>
        <w:t xml:space="preserve"> a la </w:t>
      </w:r>
      <w:r w:rsidRPr="00835D88">
        <w:rPr>
          <w:rFonts w:ascii="Palatino Linotype" w:eastAsia="Times New Roman" w:hAnsi="Palatino Linotype" w:cs="Arial"/>
          <w:sz w:val="24"/>
          <w:szCs w:val="24"/>
          <w:lang w:val="es-ES_tradnl" w:eastAsia="es-ES"/>
        </w:rPr>
        <w:t xml:space="preserve">Comisionada Presidenta </w:t>
      </w:r>
      <w:r w:rsidRPr="00835D88">
        <w:rPr>
          <w:rFonts w:ascii="Palatino Linotype" w:eastAsia="Times New Roman" w:hAnsi="Palatino Linotype" w:cs="Arial"/>
          <w:b/>
          <w:sz w:val="24"/>
          <w:szCs w:val="24"/>
          <w:lang w:val="es-ES_tradnl" w:eastAsia="es-ES"/>
        </w:rPr>
        <w:t xml:space="preserve">ZULEMA MARTÍNEZ SÁNCHEZ, </w:t>
      </w:r>
      <w:r w:rsidRPr="00835D88">
        <w:rPr>
          <w:rFonts w:ascii="Palatino Linotype" w:eastAsia="Times New Roman" w:hAnsi="Palatino Linotype" w:cs="Arial"/>
          <w:sz w:val="24"/>
          <w:szCs w:val="24"/>
          <w:lang w:val="es-ES_tradnl" w:eastAsia="es-ES"/>
        </w:rPr>
        <w:t>a efecto de que decretara su admisión o desechamiento.</w:t>
      </w:r>
    </w:p>
    <w:p w14:paraId="20525491" w14:textId="77777777" w:rsidR="00365CB0" w:rsidRPr="00835D88" w:rsidRDefault="00365CB0" w:rsidP="00B16C87">
      <w:pPr>
        <w:spacing w:after="0" w:line="360" w:lineRule="auto"/>
        <w:jc w:val="both"/>
        <w:rPr>
          <w:rFonts w:ascii="Palatino Linotype" w:eastAsia="Times New Roman" w:hAnsi="Palatino Linotype" w:cs="Arial"/>
          <w:sz w:val="24"/>
          <w:szCs w:val="24"/>
          <w:lang w:val="es-ES_tradnl" w:eastAsia="es-ES"/>
        </w:rPr>
      </w:pPr>
    </w:p>
    <w:p w14:paraId="1182F18E" w14:textId="77777777" w:rsidR="00365CB0" w:rsidRPr="00835D88" w:rsidRDefault="00365CB0" w:rsidP="00B16C87">
      <w:pPr>
        <w:spacing w:after="0" w:line="360" w:lineRule="auto"/>
        <w:jc w:val="both"/>
        <w:rPr>
          <w:rFonts w:ascii="Palatino Linotype" w:eastAsia="Times New Roman" w:hAnsi="Palatino Linotype" w:cs="Arial"/>
          <w:b/>
          <w:sz w:val="28"/>
          <w:szCs w:val="28"/>
          <w:lang w:val="es-ES_tradnl" w:eastAsia="es-ES"/>
        </w:rPr>
      </w:pPr>
      <w:r w:rsidRPr="00835D88">
        <w:rPr>
          <w:rFonts w:ascii="Palatino Linotype" w:eastAsia="Times New Roman" w:hAnsi="Palatino Linotype" w:cs="Arial"/>
          <w:b/>
          <w:sz w:val="28"/>
          <w:szCs w:val="28"/>
          <w:lang w:val="es-ES_tradnl" w:eastAsia="es-ES"/>
        </w:rPr>
        <w:t>QUINTO. De la admisión del Recurso de revisión</w:t>
      </w:r>
    </w:p>
    <w:p w14:paraId="677994DF" w14:textId="7BF8E980" w:rsidR="00365CB0" w:rsidRPr="00835D88" w:rsidRDefault="00365CB0" w:rsidP="00B16C87">
      <w:pPr>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_tradnl" w:eastAsia="es-ES"/>
        </w:rPr>
        <w:t>E</w:t>
      </w:r>
      <w:r w:rsidRPr="00835D88">
        <w:rPr>
          <w:rFonts w:ascii="Palatino Linotype" w:eastAsia="Times New Roman" w:hAnsi="Palatino Linotype" w:cs="Arial"/>
          <w:sz w:val="24"/>
          <w:szCs w:val="24"/>
          <w:lang w:val="es-ES" w:eastAsia="es-ES"/>
        </w:rPr>
        <w:t xml:space="preserve">n fecha </w:t>
      </w:r>
      <w:r w:rsidR="0008072F">
        <w:rPr>
          <w:rFonts w:ascii="Palatino Linotype" w:eastAsia="Times New Roman" w:hAnsi="Palatino Linotype" w:cs="Arial"/>
          <w:sz w:val="24"/>
          <w:szCs w:val="24"/>
          <w:lang w:val="es-ES" w:eastAsia="es-ES"/>
        </w:rPr>
        <w:t>quince</w:t>
      </w:r>
      <w:r>
        <w:rPr>
          <w:rFonts w:ascii="Palatino Linotype" w:eastAsia="Times New Roman" w:hAnsi="Palatino Linotype" w:cs="Arial"/>
          <w:sz w:val="24"/>
          <w:szCs w:val="24"/>
          <w:lang w:val="es-ES" w:eastAsia="es-ES"/>
        </w:rPr>
        <w:t xml:space="preserve"> de septiembre d</w:t>
      </w:r>
      <w:r w:rsidRPr="00835D88">
        <w:rPr>
          <w:rFonts w:ascii="Palatino Linotype" w:eastAsia="Times New Roman" w:hAnsi="Palatino Linotype" w:cs="Arial"/>
          <w:sz w:val="24"/>
          <w:szCs w:val="24"/>
          <w:lang w:val="es-ES" w:eastAsia="es-ES"/>
        </w:rPr>
        <w:t xml:space="preserve">e dos mil veinte, atento a lo dispuesto en el </w:t>
      </w:r>
      <w:r w:rsidRPr="00835D88">
        <w:rPr>
          <w:rFonts w:ascii="Palatino Linotype" w:eastAsia="Times New Roman" w:hAnsi="Palatino Linotype" w:cs="Arial"/>
          <w:sz w:val="24"/>
          <w:szCs w:val="24"/>
          <w:lang w:val="es-ES_tradnl" w:eastAsia="es-ES"/>
        </w:rPr>
        <w:t>artículo</w:t>
      </w:r>
      <w:r w:rsidRPr="00835D88">
        <w:rPr>
          <w:rFonts w:ascii="Palatino Linotype" w:eastAsia="Times New Roman" w:hAnsi="Palatino Linotype" w:cs="Arial"/>
          <w:sz w:val="24"/>
          <w:szCs w:val="24"/>
          <w:lang w:val="es-ES" w:eastAsia="es-ES"/>
        </w:rPr>
        <w:t xml:space="preserve"> 185 fracciones I, II y IV </w:t>
      </w:r>
      <w:r w:rsidRPr="00835D88">
        <w:rPr>
          <w:rFonts w:ascii="Palatino Linotype" w:eastAsia="Times New Roman" w:hAnsi="Palatino Linotype" w:cs="Arial"/>
          <w:sz w:val="24"/>
          <w:szCs w:val="24"/>
          <w:lang w:val="es-ES_tradnl" w:eastAsia="es-ES"/>
        </w:rPr>
        <w:t xml:space="preserve">de la </w:t>
      </w:r>
      <w:r w:rsidRPr="00835D88">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835D88">
        <w:rPr>
          <w:rFonts w:ascii="Palatino Linotype" w:eastAsia="Times New Roman" w:hAnsi="Palatino Linotype" w:cs="Arial"/>
          <w:sz w:val="24"/>
          <w:szCs w:val="24"/>
          <w:lang w:val="es-ES" w:eastAsia="es-ES"/>
        </w:rPr>
        <w:t xml:space="preserve">cordó la admisión a trámite del referido </w:t>
      </w:r>
      <w:r w:rsidRPr="00835D88">
        <w:rPr>
          <w:rFonts w:ascii="Palatino Linotype" w:eastAsia="Times New Roman" w:hAnsi="Palatino Linotype" w:cs="Arial"/>
          <w:sz w:val="24"/>
          <w:szCs w:val="24"/>
          <w:lang w:val="es-ES" w:eastAsia="es-ES"/>
        </w:rPr>
        <w:lastRenderedPageBreak/>
        <w:t>recurso de revisión, así como la integración del expediente respectivo, que se puso a disposición de las partes, para que en un plazo máximo de siete días hábiles, realizarán manifestaciones y ofrecieran las pruebas y alegatos que a su derecho conviniera o exhibieran el informe justificado, según fuera el caso.</w:t>
      </w:r>
    </w:p>
    <w:p w14:paraId="3E51295F" w14:textId="77777777" w:rsidR="00365CB0" w:rsidRPr="00835D88" w:rsidRDefault="00365CB0" w:rsidP="00B16C87">
      <w:pPr>
        <w:spacing w:after="0" w:line="360" w:lineRule="auto"/>
        <w:jc w:val="both"/>
        <w:rPr>
          <w:rFonts w:ascii="Palatino Linotype" w:eastAsia="Times New Roman" w:hAnsi="Palatino Linotype" w:cs="Arial"/>
          <w:sz w:val="24"/>
          <w:szCs w:val="24"/>
          <w:lang w:val="es-ES" w:eastAsia="es-ES"/>
        </w:rPr>
      </w:pPr>
    </w:p>
    <w:p w14:paraId="4AACECBD" w14:textId="77777777" w:rsidR="00365CB0" w:rsidRPr="00835D88" w:rsidRDefault="00365CB0" w:rsidP="00B16C87">
      <w:pPr>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SEXTO. De la etapa de instrucción.</w:t>
      </w:r>
    </w:p>
    <w:p w14:paraId="6702F695" w14:textId="7F03E960"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Una vez abierta la etapa de instrucción, en el sumario se observa que el </w:t>
      </w:r>
      <w:r w:rsidRPr="00835D88">
        <w:rPr>
          <w:rFonts w:ascii="Palatino Linotype" w:hAnsi="Palatino Linotype" w:cs="Arial"/>
          <w:b/>
          <w:sz w:val="24"/>
          <w:szCs w:val="24"/>
        </w:rPr>
        <w:t>sujeto obligado</w:t>
      </w:r>
      <w:r w:rsidRPr="00835D88">
        <w:rPr>
          <w:rFonts w:ascii="Palatino Linotype" w:hAnsi="Palatino Linotype" w:cs="Arial"/>
          <w:sz w:val="24"/>
          <w:szCs w:val="24"/>
        </w:rPr>
        <w:t xml:space="preserve"> </w:t>
      </w:r>
      <w:r w:rsidR="0008072F">
        <w:rPr>
          <w:rFonts w:ascii="Palatino Linotype" w:hAnsi="Palatino Linotype" w:cs="Arial"/>
          <w:sz w:val="24"/>
          <w:szCs w:val="24"/>
        </w:rPr>
        <w:t>rindió informe justificado en fecha diecisiete y veintidós de septiembre</w:t>
      </w:r>
      <w:r w:rsidR="003B79D2">
        <w:rPr>
          <w:rFonts w:ascii="Palatino Linotype" w:hAnsi="Palatino Linotype" w:cs="Arial"/>
          <w:sz w:val="24"/>
          <w:szCs w:val="24"/>
        </w:rPr>
        <w:t xml:space="preserve"> de dos mil veinte</w:t>
      </w:r>
      <w:r w:rsidR="0008072F">
        <w:rPr>
          <w:rFonts w:ascii="Palatino Linotype" w:hAnsi="Palatino Linotype" w:cs="Arial"/>
          <w:sz w:val="24"/>
          <w:szCs w:val="24"/>
        </w:rPr>
        <w:t xml:space="preserve"> </w:t>
      </w:r>
      <w:r w:rsidRPr="00835D88">
        <w:rPr>
          <w:rFonts w:ascii="Palatino Linotype" w:hAnsi="Palatino Linotype" w:cs="Arial"/>
          <w:sz w:val="24"/>
          <w:szCs w:val="24"/>
        </w:rPr>
        <w:t xml:space="preserve">dentro del término de ley que le fue otorgado, de igual manera se observa que el </w:t>
      </w:r>
      <w:r w:rsidRPr="00835D88">
        <w:rPr>
          <w:rFonts w:ascii="Palatino Linotype" w:hAnsi="Palatino Linotype" w:cs="Arial"/>
          <w:b/>
          <w:sz w:val="24"/>
          <w:szCs w:val="24"/>
        </w:rPr>
        <w:t>recurrente</w:t>
      </w:r>
      <w:r w:rsidRPr="00835D88">
        <w:rPr>
          <w:rFonts w:ascii="Palatino Linotype" w:hAnsi="Palatino Linotype" w:cs="Arial"/>
          <w:sz w:val="24"/>
          <w:szCs w:val="24"/>
        </w:rPr>
        <w:t xml:space="preserve"> no rindió manifestación alguna que a sus intereses conviniera.</w:t>
      </w:r>
    </w:p>
    <w:p w14:paraId="77BAAFDB" w14:textId="77777777" w:rsidR="00365CB0" w:rsidRPr="00835D88" w:rsidRDefault="00365CB0" w:rsidP="00B16C87">
      <w:pPr>
        <w:spacing w:after="0" w:line="360" w:lineRule="auto"/>
        <w:jc w:val="both"/>
        <w:rPr>
          <w:rFonts w:ascii="Palatino Linotype" w:hAnsi="Palatino Linotype" w:cs="Arial"/>
          <w:sz w:val="24"/>
          <w:szCs w:val="24"/>
        </w:rPr>
      </w:pPr>
    </w:p>
    <w:p w14:paraId="4FF95CD1" w14:textId="77777777"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Así mismo se aprecia que no se llevaron a cabo audiencias durante la sustanciación del recurso de revisión, ni se ofrecieron pruebas por parte del hoy </w:t>
      </w:r>
      <w:r w:rsidRPr="00835D88">
        <w:rPr>
          <w:rFonts w:ascii="Palatino Linotype" w:hAnsi="Palatino Linotype" w:cs="Arial"/>
          <w:b/>
          <w:sz w:val="24"/>
          <w:szCs w:val="24"/>
        </w:rPr>
        <w:t>recurrente</w:t>
      </w:r>
      <w:r w:rsidRPr="00835D88">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14:paraId="2C6AAC4C" w14:textId="77777777" w:rsidR="00365CB0" w:rsidRDefault="00365CB0" w:rsidP="00B16C87">
      <w:pPr>
        <w:spacing w:after="0" w:line="360" w:lineRule="auto"/>
        <w:jc w:val="both"/>
        <w:rPr>
          <w:rFonts w:ascii="Palatino Linotype" w:hAnsi="Palatino Linotype" w:cs="Arial"/>
          <w:sz w:val="24"/>
          <w:szCs w:val="24"/>
        </w:rPr>
      </w:pPr>
    </w:p>
    <w:p w14:paraId="1360A871" w14:textId="77777777" w:rsidR="00365CB0" w:rsidRPr="00835D88" w:rsidRDefault="00365CB0" w:rsidP="00B16C87">
      <w:pPr>
        <w:spacing w:after="0" w:line="360" w:lineRule="auto"/>
        <w:jc w:val="both"/>
        <w:rPr>
          <w:rFonts w:ascii="Palatino Linotype" w:hAnsi="Palatino Linotype" w:cs="Arial"/>
          <w:sz w:val="24"/>
          <w:szCs w:val="24"/>
        </w:rPr>
      </w:pPr>
    </w:p>
    <w:p w14:paraId="7E2ABFCD" w14:textId="77777777" w:rsidR="00365CB0" w:rsidRPr="00835D88" w:rsidRDefault="00365CB0" w:rsidP="00B16C87">
      <w:pPr>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SÉPTIMO. Del cierre de instrucción.</w:t>
      </w:r>
    </w:p>
    <w:p w14:paraId="490D29FC" w14:textId="1E6A9963"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8072F">
        <w:rPr>
          <w:rFonts w:ascii="Palatino Linotype" w:hAnsi="Palatino Linotype" w:cs="Arial"/>
          <w:sz w:val="24"/>
          <w:szCs w:val="24"/>
        </w:rPr>
        <w:t>diez de noviembre</w:t>
      </w:r>
      <w:r>
        <w:rPr>
          <w:rFonts w:ascii="Palatino Linotype" w:hAnsi="Palatino Linotype" w:cs="Arial"/>
          <w:sz w:val="24"/>
          <w:szCs w:val="24"/>
        </w:rPr>
        <w:t xml:space="preserve"> </w:t>
      </w:r>
      <w:r w:rsidRPr="00835D88">
        <w:rPr>
          <w:rFonts w:ascii="Palatino Linotype" w:hAnsi="Palatino Linotype" w:cs="Arial"/>
          <w:sz w:val="24"/>
          <w:szCs w:val="24"/>
        </w:rPr>
        <w:t xml:space="preserve">de dos mil veinte, en términos del artículo 185 fracción VI de la Ley de Transparencia y Acceso a la </w:t>
      </w:r>
      <w:r w:rsidRPr="00835D88">
        <w:rPr>
          <w:rFonts w:ascii="Palatino Linotype" w:hAnsi="Palatino Linotype" w:cs="Arial"/>
          <w:sz w:val="24"/>
          <w:szCs w:val="24"/>
        </w:rPr>
        <w:lastRenderedPageBreak/>
        <w:t>Información Pública del Estado de México y Municipios, ordenándose turnar el expediente a la resolución que en derecho proceda.</w:t>
      </w:r>
    </w:p>
    <w:p w14:paraId="191094F9" w14:textId="77777777" w:rsidR="00365CB0" w:rsidRPr="00835D88" w:rsidRDefault="00365CB0" w:rsidP="00B16C87">
      <w:pPr>
        <w:spacing w:after="0" w:line="360" w:lineRule="auto"/>
        <w:jc w:val="both"/>
        <w:rPr>
          <w:rFonts w:ascii="Palatino Linotype" w:hAnsi="Palatino Linotype" w:cs="Arial"/>
          <w:sz w:val="24"/>
          <w:szCs w:val="24"/>
        </w:rPr>
      </w:pPr>
    </w:p>
    <w:p w14:paraId="2C2FC191" w14:textId="77777777" w:rsidR="00365CB0" w:rsidRPr="00835D88" w:rsidRDefault="00365CB0" w:rsidP="00B16C87">
      <w:pPr>
        <w:spacing w:after="0" w:line="360" w:lineRule="auto"/>
        <w:jc w:val="center"/>
        <w:rPr>
          <w:rFonts w:ascii="Palatino Linotype" w:hAnsi="Palatino Linotype" w:cs="Arial"/>
          <w:b/>
          <w:sz w:val="28"/>
          <w:szCs w:val="24"/>
        </w:rPr>
      </w:pPr>
      <w:r w:rsidRPr="00835D88">
        <w:rPr>
          <w:rFonts w:ascii="Palatino Linotype" w:hAnsi="Palatino Linotype" w:cs="Arial"/>
          <w:b/>
          <w:sz w:val="28"/>
          <w:szCs w:val="24"/>
        </w:rPr>
        <w:t xml:space="preserve">C O N S I D E R A N D O </w:t>
      </w:r>
    </w:p>
    <w:p w14:paraId="3F21987D" w14:textId="77777777" w:rsidR="00365CB0" w:rsidRPr="00835D88" w:rsidRDefault="00365CB0" w:rsidP="00B16C87">
      <w:pPr>
        <w:spacing w:after="0" w:line="360" w:lineRule="auto"/>
        <w:jc w:val="center"/>
        <w:rPr>
          <w:rFonts w:ascii="Palatino Linotype" w:hAnsi="Palatino Linotype" w:cs="Arial"/>
          <w:b/>
          <w:sz w:val="24"/>
          <w:szCs w:val="24"/>
        </w:rPr>
      </w:pPr>
    </w:p>
    <w:p w14:paraId="06E3D1D3" w14:textId="77777777" w:rsidR="00365CB0" w:rsidRPr="00835D88" w:rsidRDefault="00365CB0" w:rsidP="00B16C87">
      <w:pPr>
        <w:spacing w:after="0" w:line="360" w:lineRule="auto"/>
        <w:jc w:val="both"/>
        <w:rPr>
          <w:rFonts w:ascii="Palatino Linotype" w:hAnsi="Palatino Linotype" w:cs="Arial"/>
          <w:sz w:val="28"/>
          <w:szCs w:val="28"/>
        </w:rPr>
      </w:pPr>
      <w:r w:rsidRPr="00835D88">
        <w:rPr>
          <w:rFonts w:ascii="Palatino Linotype" w:hAnsi="Palatino Linotype" w:cs="Arial"/>
          <w:b/>
          <w:sz w:val="28"/>
          <w:szCs w:val="28"/>
        </w:rPr>
        <w:t>PRIMERO. De la competencia</w:t>
      </w:r>
      <w:r w:rsidRPr="00835D88">
        <w:rPr>
          <w:rFonts w:ascii="Palatino Linotype" w:hAnsi="Palatino Linotype" w:cs="Arial"/>
          <w:sz w:val="28"/>
          <w:szCs w:val="28"/>
        </w:rPr>
        <w:t>.</w:t>
      </w:r>
    </w:p>
    <w:p w14:paraId="6CF53A08" w14:textId="77777777" w:rsidR="00365CB0"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por el ahora </w:t>
      </w:r>
      <w:r w:rsidRPr="00835D88">
        <w:rPr>
          <w:rFonts w:ascii="Palatino Linotype" w:hAnsi="Palatino Linotype" w:cs="Arial"/>
          <w:b/>
          <w:sz w:val="24"/>
          <w:szCs w:val="24"/>
        </w:rPr>
        <w:t>recurrente</w:t>
      </w:r>
      <w:r w:rsidRPr="00835D88">
        <w:rPr>
          <w:rFonts w:ascii="Palatino Linotype" w:hAnsi="Palatino Linotype" w:cs="Arial"/>
          <w:sz w:val="24"/>
          <w:szCs w:val="24"/>
        </w:rPr>
        <w:t>,</w:t>
      </w:r>
      <w:r w:rsidRPr="00835D88">
        <w:rPr>
          <w:rFonts w:ascii="Palatino Linotype" w:hAnsi="Palatino Linotype" w:cs="Arial"/>
          <w:b/>
          <w:sz w:val="24"/>
          <w:szCs w:val="24"/>
        </w:rPr>
        <w:t xml:space="preserve"> </w:t>
      </w:r>
      <w:r w:rsidRPr="00835D8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14:paraId="16C02F75" w14:textId="77777777" w:rsidR="00365CB0" w:rsidRPr="00835D88" w:rsidRDefault="00365CB0" w:rsidP="00B16C87">
      <w:pPr>
        <w:spacing w:after="0" w:line="360" w:lineRule="auto"/>
        <w:jc w:val="both"/>
        <w:rPr>
          <w:rFonts w:ascii="Palatino Linotype" w:hAnsi="Palatino Linotype" w:cs="Arial"/>
          <w:sz w:val="24"/>
          <w:szCs w:val="24"/>
        </w:rPr>
      </w:pPr>
    </w:p>
    <w:p w14:paraId="65E95A5E" w14:textId="77777777" w:rsidR="00365CB0" w:rsidRPr="00835D88" w:rsidRDefault="00365CB0" w:rsidP="00B16C87">
      <w:pPr>
        <w:autoSpaceDE w:val="0"/>
        <w:autoSpaceDN w:val="0"/>
        <w:adjustRightInd w:val="0"/>
        <w:spacing w:after="0" w:line="360" w:lineRule="auto"/>
        <w:jc w:val="both"/>
        <w:rPr>
          <w:rFonts w:ascii="Palatino Linotype" w:hAnsi="Palatino Linotype" w:cs="Arial"/>
          <w:b/>
          <w:sz w:val="28"/>
          <w:szCs w:val="28"/>
        </w:rPr>
      </w:pPr>
      <w:r w:rsidRPr="00835D88">
        <w:rPr>
          <w:rFonts w:ascii="Palatino Linotype" w:hAnsi="Palatino Linotype" w:cs="Arial"/>
          <w:b/>
          <w:sz w:val="28"/>
          <w:szCs w:val="28"/>
        </w:rPr>
        <w:t xml:space="preserve">SEGUNDO. Alcances del recurso de revisión. </w:t>
      </w:r>
    </w:p>
    <w:p w14:paraId="443CB133" w14:textId="77777777" w:rsidR="00365CB0" w:rsidRPr="00835D88"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35D88">
        <w:rPr>
          <w:rFonts w:ascii="Palatino Linotype" w:eastAsia="Times New Roman" w:hAnsi="Palatino Linotype" w:cs="Arial"/>
          <w:sz w:val="24"/>
          <w:szCs w:val="24"/>
          <w:lang w:val="es-ES" w:eastAsia="es-E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w:t>
      </w:r>
      <w:r w:rsidRPr="00835D88">
        <w:rPr>
          <w:rFonts w:ascii="Palatino Linotype" w:eastAsia="Times New Roman" w:hAnsi="Palatino Linotype" w:cs="Arial"/>
          <w:sz w:val="24"/>
          <w:szCs w:val="24"/>
          <w:lang w:val="es-ES" w:eastAsia="es-ES"/>
        </w:rPr>
        <w:lastRenderedPageBreak/>
        <w:t>derecho de acceso a la información pública y garantizando el principio rector de máxima publicidad.</w:t>
      </w:r>
    </w:p>
    <w:p w14:paraId="6766BE54" w14:textId="77777777" w:rsidR="00365CB0" w:rsidRPr="00835D88"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BA07D52"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06F4A6B5"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72AC213A"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w:t>
      </w:r>
      <w:r w:rsidRPr="00835D88">
        <w:rPr>
          <w:rFonts w:ascii="Palatino Linotype" w:eastAsia="Times New Roman" w:hAnsi="Palatino Linotype" w:cs="Arial"/>
          <w:b/>
          <w:i/>
          <w:lang w:val="es-ES" w:eastAsia="es-ES"/>
        </w:rPr>
        <w:t>Artículo 163.</w:t>
      </w:r>
      <w:r w:rsidRPr="00835D88">
        <w:rPr>
          <w:rFonts w:ascii="Palatino Linotype" w:eastAsia="Times New Roman" w:hAnsi="Palatino Linotype" w:cs="Arial"/>
          <w:i/>
          <w:lang w:val="es-ES" w:eastAsia="es-ES"/>
        </w:rPr>
        <w:t xml:space="preserve"> </w:t>
      </w:r>
      <w:r w:rsidRPr="00835D88">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5083A61B"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5883359" w14:textId="77777777" w:rsidR="00365CB0" w:rsidRPr="00835D88" w:rsidRDefault="00365CB0" w:rsidP="00B16C87">
      <w:pPr>
        <w:autoSpaceDE w:val="0"/>
        <w:autoSpaceDN w:val="0"/>
        <w:adjustRightInd w:val="0"/>
        <w:spacing w:after="0" w:line="240" w:lineRule="auto"/>
        <w:ind w:left="567"/>
        <w:jc w:val="right"/>
        <w:rPr>
          <w:rFonts w:ascii="Palatino Linotype" w:eastAsia="Times New Roman" w:hAnsi="Palatino Linotype" w:cs="Arial"/>
          <w:lang w:val="es-ES" w:eastAsia="es-ES"/>
        </w:rPr>
      </w:pPr>
      <w:r w:rsidRPr="00835D88">
        <w:rPr>
          <w:rFonts w:ascii="Palatino Linotype" w:eastAsia="Times New Roman" w:hAnsi="Palatino Linotype" w:cs="Arial"/>
          <w:lang w:val="es-ES" w:eastAsia="es-ES"/>
        </w:rPr>
        <w:t>(Énfasis añadido)</w:t>
      </w:r>
    </w:p>
    <w:p w14:paraId="3526B97F"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29A700A6"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De la interpretación al precepto legal inserto, se advierte que el plazo que les asiste a los </w:t>
      </w:r>
      <w:r w:rsidRPr="00835D88">
        <w:rPr>
          <w:rFonts w:ascii="Palatino Linotype" w:hAnsi="Palatino Linotype" w:cs="Arial"/>
          <w:b/>
          <w:sz w:val="24"/>
          <w:szCs w:val="24"/>
        </w:rPr>
        <w:t>sujetos</w:t>
      </w:r>
      <w:r w:rsidRPr="00835D88">
        <w:rPr>
          <w:rFonts w:ascii="Palatino Linotype" w:hAnsi="Palatino Linotype" w:cs="Arial"/>
          <w:sz w:val="24"/>
          <w:szCs w:val="24"/>
        </w:rPr>
        <w:t xml:space="preserve"> </w:t>
      </w:r>
      <w:r w:rsidRPr="00835D88">
        <w:rPr>
          <w:rFonts w:ascii="Palatino Linotype" w:hAnsi="Palatino Linotype" w:cs="Arial"/>
          <w:b/>
          <w:sz w:val="24"/>
          <w:szCs w:val="24"/>
        </w:rPr>
        <w:t>obligados</w:t>
      </w:r>
      <w:r w:rsidRPr="00835D88">
        <w:rPr>
          <w:rFonts w:ascii="Palatino Linotype" w:hAnsi="Palatino Linotype" w:cs="Arial"/>
          <w:sz w:val="24"/>
          <w:szCs w:val="24"/>
        </w:rPr>
        <w:t xml:space="preserve"> para notificar la respuesta a una solicitud de información pública, es de quince días hábiles posteriores a la presentación de ésta.</w:t>
      </w:r>
    </w:p>
    <w:p w14:paraId="06D0AD09"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0E8AE5C0"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019CA210"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Se constituye la figura jurídica de la </w:t>
      </w:r>
      <w:r w:rsidRPr="00835D88">
        <w:rPr>
          <w:rFonts w:ascii="Palatino Linotype" w:hAnsi="Palatino Linotype" w:cs="Arial"/>
          <w:b/>
          <w:i/>
          <w:sz w:val="24"/>
          <w:szCs w:val="24"/>
        </w:rPr>
        <w:t>NEGATIVA FICTA</w:t>
      </w:r>
      <w:r w:rsidRPr="00835D88">
        <w:rPr>
          <w:rFonts w:ascii="Palatino Linotype" w:hAnsi="Palatino Linotype" w:cs="Arial"/>
          <w:sz w:val="24"/>
          <w:szCs w:val="24"/>
        </w:rPr>
        <w:t>, cuya esencia consiste en atribuir un efecto negativo al silencio de la autoridad administrativa frente a las instancias y solicitudes que hagan los particulares.</w:t>
      </w:r>
    </w:p>
    <w:p w14:paraId="7101F2D6" w14:textId="77777777" w:rsidR="00365CB0" w:rsidRPr="00835D88" w:rsidRDefault="00365CB0" w:rsidP="00B16C87">
      <w:pPr>
        <w:spacing w:after="0" w:line="360" w:lineRule="auto"/>
        <w:rPr>
          <w:rFonts w:ascii="Palatino Linotype" w:hAnsi="Palatino Linotype"/>
        </w:rPr>
      </w:pPr>
    </w:p>
    <w:p w14:paraId="72CDF054"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Por su parte el artículo 178 de la Ley de Transparencia y Acceso a la Información Pública del Estado de México y Municipios, establece:</w:t>
      </w:r>
    </w:p>
    <w:p w14:paraId="6189C42B" w14:textId="77777777" w:rsidR="00365CB0" w:rsidRPr="00835D88" w:rsidRDefault="00365CB0" w:rsidP="00B16C87">
      <w:pPr>
        <w:spacing w:after="0" w:line="240" w:lineRule="auto"/>
        <w:rPr>
          <w:rFonts w:ascii="Palatino Linotype" w:hAnsi="Palatino Linotype"/>
        </w:rPr>
      </w:pPr>
    </w:p>
    <w:p w14:paraId="7D3796FC"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w:t>
      </w:r>
      <w:r w:rsidRPr="00835D88">
        <w:rPr>
          <w:rFonts w:ascii="Palatino Linotype" w:eastAsia="Times New Roman" w:hAnsi="Palatino Linotype" w:cs="Arial"/>
          <w:b/>
          <w:i/>
          <w:lang w:val="es-ES" w:eastAsia="es-ES"/>
        </w:rPr>
        <w:t>Artículo 178.</w:t>
      </w:r>
      <w:r w:rsidRPr="00835D88">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A83AEE"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p>
    <w:p w14:paraId="48E9A031"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r w:rsidRPr="00835D88">
        <w:rPr>
          <w:rFonts w:ascii="Palatino Linotype" w:eastAsia="Times New Roman" w:hAnsi="Palatino Linotype" w:cs="Arial"/>
          <w:b/>
          <w:i/>
          <w:lang w:val="es-ES" w:eastAsia="es-ES"/>
        </w:rPr>
        <w:t>A falta de respuesta del sujeto obligado, dentro de los plazos establecidos en esta Ley, a una solicitud de acceso a la información pública, el recurso podrá ser interpuesto en cualquier momento</w:t>
      </w:r>
      <w:r w:rsidRPr="00835D88">
        <w:rPr>
          <w:rFonts w:ascii="Palatino Linotype" w:eastAsia="Times New Roman" w:hAnsi="Palatino Linotype" w:cs="Arial"/>
          <w:i/>
          <w:lang w:val="es-ES" w:eastAsia="es-ES"/>
        </w:rPr>
        <w:t>, acompañado con el documento que pruebe la fecha en que presentó la solicitud.</w:t>
      </w:r>
    </w:p>
    <w:p w14:paraId="45B34893"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p>
    <w:p w14:paraId="09F401E7"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r w:rsidRPr="00835D88">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70F9ADDE" w14:textId="77777777" w:rsidR="00365CB0" w:rsidRPr="00835D88" w:rsidRDefault="00365CB0" w:rsidP="00B16C87">
      <w:pPr>
        <w:autoSpaceDE w:val="0"/>
        <w:autoSpaceDN w:val="0"/>
        <w:adjustRightInd w:val="0"/>
        <w:spacing w:after="0" w:line="240" w:lineRule="auto"/>
        <w:ind w:left="567"/>
        <w:jc w:val="both"/>
        <w:rPr>
          <w:rFonts w:ascii="Palatino Linotype" w:eastAsia="Times New Roman" w:hAnsi="Palatino Linotype" w:cs="Arial"/>
          <w:i/>
          <w:lang w:val="es-ES" w:eastAsia="es-ES"/>
        </w:rPr>
      </w:pPr>
    </w:p>
    <w:p w14:paraId="35900B45" w14:textId="77777777" w:rsidR="00365CB0" w:rsidRPr="00835D88" w:rsidRDefault="00365CB0" w:rsidP="00B16C87">
      <w:pPr>
        <w:autoSpaceDE w:val="0"/>
        <w:autoSpaceDN w:val="0"/>
        <w:adjustRightInd w:val="0"/>
        <w:spacing w:after="0" w:line="240" w:lineRule="auto"/>
        <w:ind w:left="567"/>
        <w:jc w:val="right"/>
        <w:rPr>
          <w:rFonts w:ascii="Palatino Linotype" w:eastAsia="Times New Roman" w:hAnsi="Palatino Linotype" w:cs="Arial"/>
          <w:lang w:val="es-ES" w:eastAsia="es-ES"/>
        </w:rPr>
      </w:pPr>
      <w:r w:rsidRPr="00835D88">
        <w:rPr>
          <w:rFonts w:ascii="Palatino Linotype" w:eastAsia="Times New Roman" w:hAnsi="Palatino Linotype" w:cs="Arial"/>
          <w:lang w:val="es-ES" w:eastAsia="es-ES"/>
        </w:rPr>
        <w:t>(Énfasis añadido)</w:t>
      </w:r>
    </w:p>
    <w:p w14:paraId="720D2603"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7D783A05" w14:textId="77777777" w:rsidR="00365CB0"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835D88">
        <w:rPr>
          <w:rFonts w:ascii="Palatino Linotype" w:hAnsi="Palatino Linotype" w:cs="Arial"/>
          <w:b/>
          <w:sz w:val="24"/>
          <w:szCs w:val="24"/>
        </w:rPr>
        <w:t>sujeto obligado</w:t>
      </w:r>
      <w:r w:rsidRPr="00835D88">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0856D89E"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06C0D030"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Así mismo, esta Ponencia considera importante abordar el análisis de los requisitos de procedibilidad de los recursos de revisión, así el artículo 180 de la Ley de </w:t>
      </w:r>
      <w:r w:rsidRPr="00835D88">
        <w:rPr>
          <w:rFonts w:ascii="Palatino Linotype" w:hAnsi="Palatino Linotype" w:cs="Arial"/>
          <w:sz w:val="24"/>
          <w:szCs w:val="24"/>
        </w:rPr>
        <w:lastRenderedPageBreak/>
        <w:t>Transparencia y Acceso a la Información Pública del Estado de México y Municipios, que establece lo siguiente:</w:t>
      </w:r>
    </w:p>
    <w:p w14:paraId="2DFF6A0D"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3A94396F"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r w:rsidRPr="00835D88">
        <w:rPr>
          <w:rFonts w:ascii="Palatino Linotype" w:hAnsi="Palatino Linotype" w:cs="Arial"/>
          <w:b/>
          <w:i/>
          <w:szCs w:val="24"/>
        </w:rPr>
        <w:t>Artículo 180</w:t>
      </w:r>
      <w:r w:rsidRPr="00835D88">
        <w:rPr>
          <w:rFonts w:ascii="Palatino Linotype" w:hAnsi="Palatino Linotype" w:cs="Arial"/>
          <w:i/>
          <w:szCs w:val="24"/>
        </w:rPr>
        <w:t xml:space="preserve">. El recurso de revisión contendrá: </w:t>
      </w:r>
    </w:p>
    <w:p w14:paraId="636C207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w:t>
      </w:r>
      <w:r w:rsidRPr="00835D88">
        <w:rPr>
          <w:rFonts w:ascii="Palatino Linotype" w:hAnsi="Palatino Linotype" w:cs="Arial"/>
          <w:i/>
          <w:szCs w:val="24"/>
        </w:rPr>
        <w:t xml:space="preserve">. El sujeto obligado ante la cual se presentó la solicitud; </w:t>
      </w:r>
    </w:p>
    <w:p w14:paraId="4625E6C5"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II</w:t>
      </w:r>
      <w:r w:rsidRPr="00835D88">
        <w:rPr>
          <w:rFonts w:ascii="Palatino Linotype" w:hAnsi="Palatino Linotype" w:cs="Arial"/>
          <w:i/>
          <w:szCs w:val="24"/>
        </w:rPr>
        <w:t xml:space="preserve">. </w:t>
      </w:r>
      <w:r w:rsidRPr="00835D88">
        <w:rPr>
          <w:rFonts w:ascii="Palatino Linotype" w:hAnsi="Palatino Linotype" w:cs="Arial"/>
          <w:i/>
          <w:szCs w:val="24"/>
          <w:u w:val="single"/>
        </w:rPr>
        <w:t>El nombre del solicitante</w:t>
      </w:r>
      <w:r w:rsidRPr="00835D88">
        <w:rPr>
          <w:rFonts w:ascii="Palatino Linotype" w:hAnsi="Palatino Linotype" w:cs="Arial"/>
          <w:i/>
          <w:szCs w:val="24"/>
        </w:rPr>
        <w:t xml:space="preserve"> que recurre o de su representante y, en su caso, del tercero interesado, así como la dirección o medio que señale para recibir notificaciones; </w:t>
      </w:r>
    </w:p>
    <w:p w14:paraId="3712EB3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III</w:t>
      </w:r>
      <w:r w:rsidRPr="00835D88">
        <w:rPr>
          <w:rFonts w:ascii="Palatino Linotype" w:hAnsi="Palatino Linotype" w:cs="Arial"/>
          <w:i/>
          <w:szCs w:val="24"/>
        </w:rPr>
        <w:t xml:space="preserve">. El número de folio de respuesta de la solicitud de acceso; </w:t>
      </w:r>
    </w:p>
    <w:p w14:paraId="6BD7243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IV</w:t>
      </w:r>
      <w:r w:rsidRPr="00835D88">
        <w:rPr>
          <w:rFonts w:ascii="Palatino Linotype" w:hAnsi="Palatino Linotype" w:cs="Arial"/>
          <w:i/>
          <w:szCs w:val="24"/>
        </w:rPr>
        <w:t xml:space="preserve">. La fecha en que fue notificada la respuesta al solicitante o tuvo conocimiento del acto reclamado, o de presentación de la solicitud, en caso de falta de respuesta; </w:t>
      </w:r>
    </w:p>
    <w:p w14:paraId="3794BCB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w:t>
      </w:r>
      <w:r w:rsidRPr="00835D88">
        <w:rPr>
          <w:rFonts w:ascii="Palatino Linotype" w:hAnsi="Palatino Linotype" w:cs="Arial"/>
          <w:i/>
          <w:szCs w:val="24"/>
        </w:rPr>
        <w:t xml:space="preserve">. El acto que se recurre; </w:t>
      </w:r>
    </w:p>
    <w:p w14:paraId="601808C0"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VI</w:t>
      </w:r>
      <w:r w:rsidRPr="00835D88">
        <w:rPr>
          <w:rFonts w:ascii="Palatino Linotype" w:hAnsi="Palatino Linotype" w:cs="Arial"/>
          <w:i/>
          <w:szCs w:val="24"/>
        </w:rPr>
        <w:t xml:space="preserve">. Las razones o motivos de inconformidad; </w:t>
      </w:r>
    </w:p>
    <w:p w14:paraId="151492E8"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VII</w:t>
      </w:r>
      <w:r w:rsidRPr="00835D88">
        <w:rPr>
          <w:rFonts w:ascii="Palatino Linotype" w:hAnsi="Palatino Linotype" w:cs="Arial"/>
          <w:i/>
          <w:szCs w:val="24"/>
        </w:rPr>
        <w:t xml:space="preserve">. La copia de la respuesta que se impugna y, en su caso, de la notificación correspondiente, en el caso de respuesta de la solicitud; y </w:t>
      </w:r>
    </w:p>
    <w:p w14:paraId="51548A00"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VIII</w:t>
      </w:r>
      <w:r w:rsidRPr="00835D88">
        <w:rPr>
          <w:rFonts w:ascii="Palatino Linotype" w:hAnsi="Palatino Linotype" w:cs="Arial"/>
          <w:i/>
          <w:szCs w:val="24"/>
        </w:rPr>
        <w:t xml:space="preserve">. Firma del recurrente, en su caso, cuando se presente por escrito, requisito sin el cual se dará trámite al recurso. </w:t>
      </w:r>
    </w:p>
    <w:p w14:paraId="333EF2E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 xml:space="preserve">Adicionalmente, se podrán anexar las pruebas y demás elementos que considere procedentes someter a juicio del Instituto. </w:t>
      </w:r>
    </w:p>
    <w:p w14:paraId="10FA282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 xml:space="preserve">En ningún caso será necesario que el particular ratifique el recurso de revisión interpuesto. </w:t>
      </w:r>
    </w:p>
    <w:p w14:paraId="67E3CAB1"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u w:val="single"/>
        </w:rPr>
      </w:pPr>
      <w:r w:rsidRPr="00835D88">
        <w:rPr>
          <w:rFonts w:ascii="Palatino Linotype" w:hAnsi="Palatino Linotype" w:cs="Arial"/>
          <w:i/>
          <w:szCs w:val="24"/>
          <w:u w:val="single"/>
        </w:rPr>
        <w:t>En caso de que el recurso se interponga de manera electrónica no será indispensable que contengan los requisitos establecidos en las fracciones II, IV, VII y VIII.”</w:t>
      </w:r>
    </w:p>
    <w:p w14:paraId="28E3D6A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p>
    <w:p w14:paraId="47AF4D51" w14:textId="77777777" w:rsidR="00365CB0" w:rsidRPr="00835D88" w:rsidRDefault="00365CB0" w:rsidP="00B16C87">
      <w:pPr>
        <w:autoSpaceDE w:val="0"/>
        <w:autoSpaceDN w:val="0"/>
        <w:adjustRightInd w:val="0"/>
        <w:spacing w:after="0" w:line="240" w:lineRule="auto"/>
        <w:ind w:left="567"/>
        <w:jc w:val="right"/>
        <w:rPr>
          <w:rFonts w:ascii="Palatino Linotype" w:hAnsi="Palatino Linotype" w:cs="Arial"/>
          <w:szCs w:val="24"/>
        </w:rPr>
      </w:pPr>
      <w:r w:rsidRPr="00835D88">
        <w:rPr>
          <w:rFonts w:ascii="Palatino Linotype" w:hAnsi="Palatino Linotype" w:cs="Arial"/>
          <w:szCs w:val="24"/>
        </w:rPr>
        <w:t>(Énfasis añadido)</w:t>
      </w:r>
    </w:p>
    <w:p w14:paraId="2B35E52F"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4DA5FDDC" w14:textId="17449093"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w:t>
      </w:r>
      <w:r w:rsidR="00A30EBA">
        <w:rPr>
          <w:rFonts w:ascii="Palatino Linotype" w:hAnsi="Palatino Linotype" w:cs="Arial"/>
          <w:sz w:val="24"/>
          <w:szCs w:val="24"/>
        </w:rPr>
        <w:t>señalo como</w:t>
      </w:r>
      <w:r w:rsidRPr="00835D88">
        <w:rPr>
          <w:rFonts w:ascii="Palatino Linotype" w:hAnsi="Palatino Linotype" w:cs="Arial"/>
          <w:sz w:val="24"/>
          <w:szCs w:val="24"/>
        </w:rPr>
        <w:t xml:space="preserve"> nombre </w:t>
      </w:r>
      <w:r w:rsidR="00A30EBA">
        <w:rPr>
          <w:rFonts w:ascii="Palatino Linotype" w:hAnsi="Palatino Linotype" w:cs="Arial"/>
          <w:sz w:val="24"/>
          <w:szCs w:val="24"/>
        </w:rPr>
        <w:t xml:space="preserve">o seudónimo </w:t>
      </w:r>
      <w:r w:rsidRPr="00835D88">
        <w:rPr>
          <w:rFonts w:ascii="Palatino Linotype" w:hAnsi="Palatino Linotype" w:cs="Arial"/>
          <w:sz w:val="24"/>
          <w:szCs w:val="24"/>
        </w:rPr>
        <w:t xml:space="preserve">para que sea identificado, </w:t>
      </w:r>
      <w:r w:rsidR="00A30EBA">
        <w:rPr>
          <w:rFonts w:ascii="Palatino Linotype" w:hAnsi="Palatino Linotype" w:cs="Arial"/>
          <w:sz w:val="24"/>
          <w:szCs w:val="24"/>
        </w:rPr>
        <w:t>el de “</w:t>
      </w:r>
      <w:r w:rsidR="00BE16B0">
        <w:rPr>
          <w:rFonts w:ascii="Palatino Linotype" w:hAnsi="Palatino Linotype" w:cs="Arial"/>
          <w:sz w:val="24"/>
          <w:szCs w:val="24"/>
        </w:rPr>
        <w:t>xxxxxxxxxxxxxxxxxx</w:t>
      </w:r>
      <w:r w:rsidR="00A30EBA">
        <w:rPr>
          <w:rFonts w:ascii="Palatino Linotype" w:hAnsi="Palatino Linotype" w:cs="Arial"/>
          <w:sz w:val="24"/>
          <w:szCs w:val="24"/>
        </w:rPr>
        <w:t>”</w:t>
      </w:r>
      <w:r w:rsidRPr="00835D88">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7408CD31" w14:textId="77777777" w:rsidR="00365CB0"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lastRenderedPageBreak/>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w:t>
      </w:r>
      <w:r w:rsidRPr="00835D88">
        <w:rPr>
          <w:rFonts w:ascii="Palatino Linotype" w:hAnsi="Palatino Linotype" w:cs="Arial"/>
          <w:i/>
          <w:sz w:val="24"/>
          <w:szCs w:val="24"/>
        </w:rPr>
        <w:t>sine qua non</w:t>
      </w:r>
      <w:r w:rsidRPr="00835D88">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0B4BCB3"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00B7E816"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A4F4B4A"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3F0831AC" w14:textId="77777777" w:rsidR="00365CB0" w:rsidRPr="00835D88" w:rsidRDefault="00365CB0" w:rsidP="00B16C87">
      <w:pPr>
        <w:autoSpaceDE w:val="0"/>
        <w:autoSpaceDN w:val="0"/>
        <w:adjustRightInd w:val="0"/>
        <w:spacing w:after="0" w:line="240" w:lineRule="auto"/>
        <w:jc w:val="center"/>
        <w:rPr>
          <w:rFonts w:ascii="Palatino Linotype" w:hAnsi="Palatino Linotype" w:cs="Arial"/>
          <w:b/>
          <w:i/>
        </w:rPr>
      </w:pPr>
      <w:r w:rsidRPr="00835D88">
        <w:rPr>
          <w:rFonts w:ascii="Palatino Linotype" w:hAnsi="Palatino Linotype" w:cs="Arial"/>
          <w:b/>
          <w:i/>
        </w:rPr>
        <w:t>Constitución Política de los Estados Unidos Mexicanos</w:t>
      </w:r>
    </w:p>
    <w:p w14:paraId="38666605" w14:textId="77777777" w:rsidR="00365CB0" w:rsidRPr="00835D88" w:rsidRDefault="00365CB0" w:rsidP="00B16C87">
      <w:pPr>
        <w:autoSpaceDE w:val="0"/>
        <w:autoSpaceDN w:val="0"/>
        <w:adjustRightInd w:val="0"/>
        <w:spacing w:after="0" w:line="240" w:lineRule="auto"/>
        <w:jc w:val="both"/>
        <w:rPr>
          <w:rFonts w:ascii="Palatino Linotype" w:hAnsi="Palatino Linotype" w:cs="Arial"/>
        </w:rPr>
      </w:pPr>
    </w:p>
    <w:p w14:paraId="4B649765"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rPr>
      </w:pPr>
      <w:r w:rsidRPr="00835D88">
        <w:rPr>
          <w:rFonts w:ascii="Palatino Linotype" w:hAnsi="Palatino Linotype" w:cs="Arial"/>
          <w:i/>
        </w:rPr>
        <w:t>“</w:t>
      </w:r>
      <w:r w:rsidRPr="00835D88">
        <w:rPr>
          <w:rFonts w:ascii="Palatino Linotype" w:hAnsi="Palatino Linotype" w:cs="Arial"/>
          <w:b/>
          <w:i/>
        </w:rPr>
        <w:t>Artículo 6o</w:t>
      </w:r>
      <w:r w:rsidRPr="00835D8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D10E5C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3C4B7582"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Para efectos de lo dispuesto en el presente artículo se observará lo siguiente:</w:t>
      </w:r>
    </w:p>
    <w:p w14:paraId="35E7C5E2"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lastRenderedPageBreak/>
        <w:t>A</w:t>
      </w:r>
      <w:r w:rsidRPr="00835D88">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179F37C9"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w:t>
      </w:r>
      <w:r w:rsidRPr="00835D88">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22BD4D6"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p>
    <w:p w14:paraId="76910622"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III.</w:t>
      </w:r>
      <w:r w:rsidRPr="00835D88">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34A531E0"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p>
    <w:p w14:paraId="40772B07"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w:t>
      </w:r>
      <w:r w:rsidRPr="00835D88">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6BA7E6A"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VI.</w:t>
      </w:r>
      <w:r w:rsidRPr="00835D88">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2B907E4D"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p>
    <w:p w14:paraId="614A28F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La ley establecerá aquella información que se considere reservada o confidencial.</w:t>
      </w:r>
    </w:p>
    <w:p w14:paraId="751343A7"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p>
    <w:p w14:paraId="7F176463"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p>
    <w:p w14:paraId="3F731A95" w14:textId="77777777" w:rsidR="00365CB0" w:rsidRPr="00835D88" w:rsidRDefault="00365CB0" w:rsidP="00B16C87">
      <w:pPr>
        <w:autoSpaceDE w:val="0"/>
        <w:autoSpaceDN w:val="0"/>
        <w:adjustRightInd w:val="0"/>
        <w:spacing w:after="0" w:line="240" w:lineRule="auto"/>
        <w:ind w:left="567"/>
        <w:jc w:val="center"/>
        <w:rPr>
          <w:rFonts w:ascii="Palatino Linotype" w:hAnsi="Palatino Linotype" w:cs="Arial"/>
          <w:b/>
          <w:i/>
          <w:szCs w:val="24"/>
        </w:rPr>
      </w:pPr>
      <w:r w:rsidRPr="00835D88">
        <w:rPr>
          <w:rFonts w:ascii="Palatino Linotype" w:hAnsi="Palatino Linotype" w:cs="Arial"/>
          <w:b/>
          <w:i/>
          <w:szCs w:val="24"/>
        </w:rPr>
        <w:t>Constitución Política del Estado Libre y Soberano de México</w:t>
      </w:r>
    </w:p>
    <w:p w14:paraId="3DCFA045"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p>
    <w:p w14:paraId="61443E3F"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r w:rsidRPr="00835D88">
        <w:rPr>
          <w:rFonts w:ascii="Palatino Linotype" w:hAnsi="Palatino Linotype" w:cs="Arial"/>
          <w:b/>
          <w:i/>
          <w:szCs w:val="24"/>
        </w:rPr>
        <w:t>Artículo 5</w:t>
      </w:r>
      <w:r w:rsidRPr="00835D88">
        <w:rPr>
          <w:rFonts w:ascii="Palatino Linotype" w:hAnsi="Palatino Linotype" w:cs="Arial"/>
          <w:i/>
          <w:szCs w:val="24"/>
        </w:rPr>
        <w:t xml:space="preserve">. … </w:t>
      </w:r>
    </w:p>
    <w:p w14:paraId="1214E629"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p>
    <w:p w14:paraId="46CE5C41"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75B60DA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4363939"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Este derecho se regirá por los principios y bases siguientes:</w:t>
      </w:r>
    </w:p>
    <w:p w14:paraId="0F3E283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w:t>
      </w:r>
      <w:r w:rsidRPr="00835D88">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w:t>
      </w:r>
      <w:r w:rsidRPr="00835D88">
        <w:rPr>
          <w:rFonts w:ascii="Palatino Linotype" w:hAnsi="Palatino Linotype" w:cs="Arial"/>
          <w:i/>
          <w:szCs w:val="24"/>
        </w:rPr>
        <w:lastRenderedPageBreak/>
        <w:t>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E9A482F"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p>
    <w:p w14:paraId="5FD00A5D"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b/>
          <w:i/>
          <w:szCs w:val="24"/>
        </w:rPr>
        <w:t>III</w:t>
      </w:r>
      <w:r w:rsidRPr="00835D88">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4B2A8314" w14:textId="77777777" w:rsidR="00365CB0" w:rsidRPr="00835D88" w:rsidRDefault="00365CB0" w:rsidP="00B16C87">
      <w:pPr>
        <w:autoSpaceDE w:val="0"/>
        <w:autoSpaceDN w:val="0"/>
        <w:adjustRightInd w:val="0"/>
        <w:spacing w:after="0" w:line="240" w:lineRule="auto"/>
        <w:ind w:left="567"/>
        <w:jc w:val="right"/>
        <w:rPr>
          <w:rFonts w:ascii="Palatino Linotype" w:hAnsi="Palatino Linotype" w:cs="Arial"/>
          <w:i/>
          <w:szCs w:val="24"/>
        </w:rPr>
      </w:pPr>
      <w:r w:rsidRPr="00835D88">
        <w:rPr>
          <w:rFonts w:ascii="Palatino Linotype" w:hAnsi="Palatino Linotype" w:cs="Arial"/>
          <w:i/>
          <w:szCs w:val="24"/>
        </w:rPr>
        <w:t>(Énfasis añadido)</w:t>
      </w:r>
    </w:p>
    <w:p w14:paraId="38F36252"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6C0FA546"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Por otra parte, del contenido del artículo 1 de la Constitución Política de los Estados Unidos Mexicanos, se destaca lo siguiente:</w:t>
      </w:r>
    </w:p>
    <w:p w14:paraId="2F446531"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6DEADEE4"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r w:rsidRPr="00835D88">
        <w:rPr>
          <w:rFonts w:ascii="Palatino Linotype" w:hAnsi="Palatino Linotype" w:cs="Arial"/>
          <w:b/>
          <w:i/>
          <w:szCs w:val="24"/>
        </w:rPr>
        <w:t>Artículo 1o.</w:t>
      </w:r>
      <w:r w:rsidRPr="00835D88">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675C5B7"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4F2EE51B"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5181EAA" w14:textId="77777777" w:rsidR="00365CB0" w:rsidRDefault="00365CB0" w:rsidP="00B16C87">
      <w:pPr>
        <w:autoSpaceDE w:val="0"/>
        <w:autoSpaceDN w:val="0"/>
        <w:adjustRightInd w:val="0"/>
        <w:spacing w:after="0" w:line="360" w:lineRule="auto"/>
        <w:jc w:val="both"/>
        <w:rPr>
          <w:rFonts w:ascii="Palatino Linotype" w:hAnsi="Palatino Linotype" w:cs="Arial"/>
          <w:sz w:val="24"/>
          <w:szCs w:val="24"/>
        </w:rPr>
      </w:pPr>
    </w:p>
    <w:p w14:paraId="195D4224"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w:t>
      </w:r>
      <w:r w:rsidRPr="00835D88">
        <w:rPr>
          <w:rFonts w:ascii="Palatino Linotype" w:hAnsi="Palatino Linotype" w:cs="Arial"/>
          <w:sz w:val="24"/>
          <w:szCs w:val="24"/>
        </w:rPr>
        <w:lastRenderedPageBreak/>
        <w:t>permite la posibilidad de que inclusive, la solicitud de acceso a la información pueda ser anónima o no contener un nombre que identifique al solicitante o que permita tener certeza sobre su identidad.</w:t>
      </w:r>
    </w:p>
    <w:p w14:paraId="29BF2583"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250EE28A" w14:textId="77777777" w:rsidR="00365CB0"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47159AB4"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22DCCBAD"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r w:rsidRPr="00835D88">
        <w:rPr>
          <w:rFonts w:ascii="Palatino Linotype" w:hAnsi="Palatino Linotype" w:cs="Arial"/>
          <w:i/>
          <w:szCs w:val="24"/>
        </w:rPr>
        <w:t>“</w:t>
      </w:r>
      <w:r w:rsidRPr="00835D88">
        <w:rPr>
          <w:rFonts w:ascii="Palatino Linotype" w:hAnsi="Palatino Linotype" w:cs="Arial"/>
          <w:b/>
          <w:i/>
          <w:szCs w:val="24"/>
        </w:rPr>
        <w:t>Acceso a información gubernamental. No debe condicionarse a que el solicitante acredite su personalidad, demuestre interés alguno o justifique su utilización.</w:t>
      </w:r>
      <w:r w:rsidRPr="00835D88">
        <w:rPr>
          <w:rFonts w:ascii="Palatino Linotype" w:hAnsi="Palatino Linotype" w:cs="Arial"/>
          <w:i/>
          <w:szCs w:val="24"/>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B7E6EFD"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Cs w:val="24"/>
        </w:rPr>
      </w:pPr>
    </w:p>
    <w:p w14:paraId="0C7489C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Resoluciones</w:t>
      </w:r>
    </w:p>
    <w:p w14:paraId="6DD71F30"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 RDA 5275/13. Interpuesto en contra de la Secretaría de la Defensa Nacional. Comisionado Ponente Ángel Trinidad Zaldívar.</w:t>
      </w:r>
    </w:p>
    <w:p w14:paraId="70D46A99"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 RDA 2937/13. Interpuesto en contra de LICONSA, S.A. de C.V. Comisionado. Ponente Gerardo Laveaga Rendón.</w:t>
      </w:r>
    </w:p>
    <w:p w14:paraId="200A5AA8"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 RDA 3609/12. Interpuesto en contra de la Secretaría de Educación Pública. Comisionada Ponente Sigrid Arzt Colunga.</w:t>
      </w:r>
    </w:p>
    <w:p w14:paraId="4844A83C"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 RDA 3361/12. Interpuesto en contra del Servicio de Administración Tributaria. Comisionada Ponente María Elena Pérez-Jaén Zermeño.</w:t>
      </w:r>
    </w:p>
    <w:p w14:paraId="0CF6F166" w14:textId="77777777" w:rsidR="00365CB0" w:rsidRPr="00835D88" w:rsidRDefault="00365CB0" w:rsidP="00B16C87">
      <w:pPr>
        <w:autoSpaceDE w:val="0"/>
        <w:autoSpaceDN w:val="0"/>
        <w:adjustRightInd w:val="0"/>
        <w:spacing w:after="0" w:line="240" w:lineRule="auto"/>
        <w:ind w:left="567"/>
        <w:jc w:val="both"/>
        <w:rPr>
          <w:rFonts w:ascii="Palatino Linotype" w:hAnsi="Palatino Linotype" w:cs="Arial"/>
          <w:i/>
          <w:sz w:val="20"/>
          <w:szCs w:val="24"/>
        </w:rPr>
      </w:pPr>
      <w:r w:rsidRPr="00835D88">
        <w:rPr>
          <w:rFonts w:ascii="Palatino Linotype" w:hAnsi="Palatino Linotype" w:cs="Arial"/>
          <w:i/>
          <w:sz w:val="20"/>
          <w:szCs w:val="24"/>
        </w:rPr>
        <w:t>• RDA 0563/12. Interpuesto en contra de la Secretaría de la Función Pública. Comisionada Ponente Jacqueline Peschard Mariscal.”</w:t>
      </w:r>
    </w:p>
    <w:p w14:paraId="7897833C"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679282F0"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835D88">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7AB631FC"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3AA899F7"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12777A9"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122693EB"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el recurrente, </w:t>
      </w:r>
      <w:r w:rsidRPr="00835D88">
        <w:rPr>
          <w:rFonts w:ascii="Palatino Linotype" w:hAnsi="Palatino Linotype" w:cs="Arial"/>
          <w:sz w:val="24"/>
          <w:szCs w:val="24"/>
        </w:rPr>
        <w:lastRenderedPageBreak/>
        <w:t>es la misma persona que realizó la solicitud de acceso a la información pública que ahora se impugna.</w:t>
      </w:r>
    </w:p>
    <w:p w14:paraId="6D056C38"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041595FC"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De igual manera, el propio artículo 180 de la Ley de Transparencia local,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4B279EEA" w14:textId="77777777" w:rsidR="00365CB0" w:rsidRPr="00835D88"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BFEE372" w14:textId="77777777" w:rsidR="00C60789" w:rsidRPr="00996D9B" w:rsidRDefault="00C60789" w:rsidP="00B16C87">
      <w:pPr>
        <w:spacing w:after="0" w:line="360" w:lineRule="auto"/>
        <w:jc w:val="both"/>
        <w:rPr>
          <w:rFonts w:ascii="Palatino Linotype" w:eastAsiaTheme="minorEastAsia" w:hAnsi="Palatino Linotype" w:cs="Arial"/>
          <w:b/>
          <w:sz w:val="28"/>
          <w:szCs w:val="28"/>
          <w:lang w:val="es-ES_tradnl" w:eastAsia="es-ES"/>
        </w:rPr>
      </w:pPr>
      <w:r>
        <w:rPr>
          <w:rFonts w:ascii="Palatino Linotype" w:hAnsi="Palatino Linotype" w:cs="Arial"/>
          <w:b/>
          <w:sz w:val="28"/>
        </w:rPr>
        <w:t>TERCERO</w:t>
      </w:r>
      <w:r w:rsidRPr="00D24A52">
        <w:rPr>
          <w:rFonts w:ascii="Palatino Linotype" w:hAnsi="Palatino Linotype" w:cs="Arial"/>
          <w:b/>
        </w:rPr>
        <w:t xml:space="preserve">. </w:t>
      </w:r>
      <w:r w:rsidRPr="00996D9B">
        <w:rPr>
          <w:rFonts w:ascii="Palatino Linotype" w:eastAsiaTheme="minorEastAsia" w:hAnsi="Palatino Linotype" w:cs="Arial"/>
          <w:b/>
          <w:sz w:val="28"/>
          <w:szCs w:val="28"/>
          <w:lang w:val="es-ES_tradnl" w:eastAsia="es-ES"/>
        </w:rPr>
        <w:t>Del estudio de las causas de improcedencia y sobreseimiento.</w:t>
      </w:r>
    </w:p>
    <w:p w14:paraId="4C684775"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78A3270"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6BBDD1D8"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w:t>
      </w:r>
      <w:r>
        <w:rPr>
          <w:rFonts w:ascii="Palatino Linotype" w:eastAsiaTheme="minorEastAsia" w:hAnsi="Palatino Linotype" w:cs="Arial"/>
          <w:sz w:val="24"/>
          <w:szCs w:val="24"/>
          <w:lang w:val="es-ES_tradnl" w:eastAsia="es-ES"/>
        </w:rPr>
        <w:t xml:space="preserve"> </w:t>
      </w:r>
      <w:r w:rsidRPr="00996D9B">
        <w:rPr>
          <w:rFonts w:ascii="Palatino Linotype" w:eastAsiaTheme="minorEastAsia" w:hAnsi="Palatino Linotype" w:cs="Arial"/>
          <w:sz w:val="24"/>
          <w:szCs w:val="24"/>
          <w:lang w:val="es-ES_tradnl" w:eastAsia="es-ES"/>
        </w:rPr>
        <w:t xml:space="preserve"> un asunto en su fondo, cuando una </w:t>
      </w:r>
      <w:r w:rsidRPr="00996D9B">
        <w:rPr>
          <w:rFonts w:ascii="Palatino Linotype" w:eastAsiaTheme="minorEastAsia" w:hAnsi="Palatino Linotype" w:cs="Arial"/>
          <w:sz w:val="24"/>
          <w:szCs w:val="24"/>
          <w:lang w:val="es-ES_tradnl" w:eastAsia="es-ES"/>
        </w:rPr>
        <w:lastRenderedPageBreak/>
        <w:t>vez admitido el recurso de revisión se advierta una causa de improcedencia que permita sobreseerlo.</w:t>
      </w:r>
    </w:p>
    <w:p w14:paraId="6C283F88"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5F1A2C2E"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Estudio de causales de improcedencia que no son incompatibles con el derecho de acceso a la justicia, ya que éste no se coarta por regular causas de improcedencia y sobreseimiento con tales fines</w:t>
      </w:r>
      <w:r w:rsidRPr="00996D9B">
        <w:rPr>
          <w:rFonts w:ascii="Palatino Linotype" w:eastAsiaTheme="minorEastAsia" w:hAnsi="Palatino Linotype" w:cs="Arial"/>
          <w:sz w:val="24"/>
          <w:szCs w:val="24"/>
          <w:vertAlign w:val="superscript"/>
          <w:lang w:val="es-ES_tradnl" w:eastAsia="es-ES"/>
        </w:rPr>
        <w:footnoteReference w:id="1"/>
      </w:r>
      <w:r w:rsidRPr="00996D9B">
        <w:rPr>
          <w:rFonts w:ascii="Palatino Linotype" w:eastAsiaTheme="minorEastAsia" w:hAnsi="Palatino Linotype" w:cs="Arial"/>
          <w:sz w:val="24"/>
          <w:szCs w:val="24"/>
          <w:lang w:val="es-ES_tradnl" w:eastAsia="es-ES"/>
        </w:rPr>
        <w:t>.</w:t>
      </w:r>
    </w:p>
    <w:p w14:paraId="0A1DD095" w14:textId="77777777" w:rsidR="00C60789" w:rsidRPr="00996D9B" w:rsidRDefault="00C60789" w:rsidP="00B16C87">
      <w:pPr>
        <w:autoSpaceDE w:val="0"/>
        <w:autoSpaceDN w:val="0"/>
        <w:adjustRightInd w:val="0"/>
        <w:spacing w:after="0" w:line="360" w:lineRule="auto"/>
        <w:contextualSpacing/>
        <w:jc w:val="both"/>
        <w:rPr>
          <w:rFonts w:ascii="Palatino Linotype" w:eastAsiaTheme="minorEastAsia" w:hAnsi="Palatino Linotype" w:cs="Arial"/>
          <w:sz w:val="24"/>
          <w:szCs w:val="24"/>
          <w:lang w:val="es-ES_tradnl" w:eastAsia="es-ES"/>
        </w:rPr>
      </w:pPr>
    </w:p>
    <w:p w14:paraId="34D79EE0" w14:textId="77777777" w:rsidR="00C60789" w:rsidRPr="00996D9B" w:rsidRDefault="00C60789" w:rsidP="00B16C87">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w:t>
      </w:r>
      <w:r w:rsidRPr="00996D9B">
        <w:rPr>
          <w:rFonts w:ascii="Palatino Linotype" w:eastAsiaTheme="minorEastAsia" w:hAnsi="Palatino Linotype" w:cs="Arial"/>
          <w:sz w:val="24"/>
          <w:szCs w:val="24"/>
          <w:lang w:val="es-ES_tradnl" w:eastAsia="es-ES"/>
        </w:rPr>
        <w:lastRenderedPageBreak/>
        <w:t>interpretación que se le dé a una solicitud de información, ya que el sujeto obligado puede considerar una circunstancia en particular diversa a la que el particular objetivamente requiere.</w:t>
      </w:r>
    </w:p>
    <w:p w14:paraId="4EF6BA6F" w14:textId="77777777" w:rsidR="00C60789" w:rsidRPr="00996D9B" w:rsidRDefault="00C60789" w:rsidP="00B16C87">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14:paraId="6A5B23F7" w14:textId="77777777" w:rsidR="00C60789" w:rsidRPr="00996D9B" w:rsidRDefault="00C60789" w:rsidP="00B16C87">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r w:rsidRPr="00996D9B">
        <w:rPr>
          <w:rFonts w:ascii="Palatino Linotype" w:eastAsiaTheme="minorEastAsia" w:hAnsi="Palatino Linotype" w:cs="Arial"/>
          <w:sz w:val="24"/>
          <w:szCs w:val="24"/>
          <w:lang w:val="es-ES_tradnl" w:eastAsia="es-ES"/>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6BDB1F90" w14:textId="77777777" w:rsidR="00365CB0"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056CD40" w14:textId="77777777" w:rsidR="00365CB0"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Ahora bien, respecto de la información peticionada, cabe precisar que de la redacción de la solicitud de información, el </w:t>
      </w:r>
      <w:r>
        <w:rPr>
          <w:rFonts w:ascii="Palatino Linotype" w:eastAsia="Times New Roman" w:hAnsi="Palatino Linotype" w:cs="Arial"/>
          <w:b/>
          <w:sz w:val="24"/>
          <w:szCs w:val="24"/>
          <w:lang w:val="es-ES" w:eastAsia="es-ES"/>
        </w:rPr>
        <w:t>recurrente</w:t>
      </w:r>
      <w:r>
        <w:rPr>
          <w:rFonts w:ascii="Palatino Linotype" w:eastAsia="Times New Roman" w:hAnsi="Palatino Linotype" w:cs="Arial"/>
          <w:sz w:val="24"/>
          <w:szCs w:val="24"/>
          <w:lang w:val="es-ES" w:eastAsia="es-ES"/>
        </w:rPr>
        <w:t xml:space="preserve"> sustancialmente peticionó lo siguiente:</w:t>
      </w:r>
    </w:p>
    <w:p w14:paraId="2D0CE67E" w14:textId="77777777" w:rsidR="00365CB0"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EF5B68A" w14:textId="2FBD48E8" w:rsidR="004B7130" w:rsidRDefault="004B7130" w:rsidP="00B16C87">
      <w:pPr>
        <w:pStyle w:val="Prrafodelista"/>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Número de vacantes disponibles para laborar.</w:t>
      </w:r>
    </w:p>
    <w:p w14:paraId="5C973446" w14:textId="7DB44F26" w:rsidR="004B7130" w:rsidRDefault="004B7130" w:rsidP="00B16C87">
      <w:pPr>
        <w:pStyle w:val="Prrafodelista"/>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Requisitos.</w:t>
      </w:r>
    </w:p>
    <w:p w14:paraId="0BA2C034" w14:textId="76239255" w:rsidR="004B7130" w:rsidRDefault="004B7130" w:rsidP="00B16C87">
      <w:pPr>
        <w:pStyle w:val="Prrafodelista"/>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Sueldos ofrecidos.</w:t>
      </w:r>
    </w:p>
    <w:p w14:paraId="57C7A91C" w14:textId="7A3C1480" w:rsidR="007E1766" w:rsidRDefault="004B7130" w:rsidP="00B16C87">
      <w:pPr>
        <w:pStyle w:val="Prrafodelista"/>
        <w:numPr>
          <w:ilvl w:val="0"/>
          <w:numId w:val="3"/>
        </w:num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Procedimientos para participar como candidatos en las vacantes disponibles.</w:t>
      </w:r>
    </w:p>
    <w:p w14:paraId="6DEB7300" w14:textId="77777777" w:rsidR="007E1766" w:rsidRDefault="007E1766"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A1E9532" w14:textId="77777777" w:rsidR="00730858" w:rsidRDefault="00671177" w:rsidP="00B16C87">
      <w:pPr>
        <w:spacing w:after="0" w:line="360" w:lineRule="auto"/>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 xml:space="preserve">Posteriormente en el apartado de manifestaciones, el Sujeto Obligado rindió su informe justificado en el cual anexa dos documentos electrónicos denominados </w:t>
      </w:r>
      <w:r>
        <w:rPr>
          <w:rFonts w:ascii="Palatino Linotype" w:eastAsia="Times New Roman" w:hAnsi="Palatino Linotype" w:cs="Times New Roman"/>
          <w:b/>
          <w:noProof/>
          <w:sz w:val="24"/>
          <w:szCs w:val="24"/>
          <w:lang w:val="es-ES" w:eastAsia="es-MX"/>
        </w:rPr>
        <w:t>“</w:t>
      </w:r>
      <w:r w:rsidRPr="00671177">
        <w:rPr>
          <w:rFonts w:ascii="Palatino Linotype" w:eastAsia="Times New Roman" w:hAnsi="Palatino Linotype" w:cs="Times New Roman"/>
          <w:b/>
          <w:noProof/>
          <w:sz w:val="24"/>
          <w:szCs w:val="24"/>
          <w:lang w:val="es-ES" w:eastAsia="es-MX"/>
        </w:rPr>
        <w:t>DCS-061-2020_202009221535.pdf</w:t>
      </w:r>
      <w:r>
        <w:rPr>
          <w:rFonts w:ascii="Palatino Linotype" w:eastAsia="Times New Roman" w:hAnsi="Palatino Linotype" w:cs="Times New Roman"/>
          <w:b/>
          <w:noProof/>
          <w:sz w:val="24"/>
          <w:szCs w:val="24"/>
          <w:lang w:val="es-ES" w:eastAsia="es-MX"/>
        </w:rPr>
        <w:t>” y “</w:t>
      </w:r>
      <w:r w:rsidRPr="00671177">
        <w:rPr>
          <w:rFonts w:ascii="Palatino Linotype" w:eastAsia="Times New Roman" w:hAnsi="Palatino Linotype" w:cs="Times New Roman"/>
          <w:b/>
          <w:noProof/>
          <w:sz w:val="24"/>
          <w:szCs w:val="24"/>
          <w:lang w:val="es-ES" w:eastAsia="es-MX"/>
        </w:rPr>
        <w:t>UTSIP-0276-2020_202009171428.pdf</w:t>
      </w:r>
      <w:r>
        <w:rPr>
          <w:rFonts w:ascii="Palatino Linotype" w:eastAsia="Times New Roman" w:hAnsi="Palatino Linotype" w:cs="Times New Roman"/>
          <w:b/>
          <w:noProof/>
          <w:sz w:val="24"/>
          <w:szCs w:val="24"/>
          <w:lang w:val="es-ES" w:eastAsia="es-MX"/>
        </w:rPr>
        <w:t xml:space="preserve">” </w:t>
      </w:r>
      <w:r w:rsidR="00730858">
        <w:rPr>
          <w:rFonts w:ascii="Palatino Linotype" w:eastAsia="Times New Roman" w:hAnsi="Palatino Linotype" w:cs="Times New Roman"/>
          <w:noProof/>
          <w:sz w:val="24"/>
          <w:szCs w:val="24"/>
          <w:lang w:val="es-ES" w:eastAsia="es-MX"/>
        </w:rPr>
        <w:t>en los cuales se adjunta lo siguiente:</w:t>
      </w:r>
    </w:p>
    <w:p w14:paraId="5196EC08" w14:textId="224E64D9" w:rsidR="00671177" w:rsidRDefault="00671177" w:rsidP="00B16C87">
      <w:pPr>
        <w:spacing w:after="0" w:line="360" w:lineRule="auto"/>
        <w:jc w:val="both"/>
        <w:rPr>
          <w:rFonts w:ascii="Palatino Linotype" w:hAnsi="Palatino Linotype"/>
        </w:rPr>
      </w:pPr>
      <w:r>
        <w:rPr>
          <w:rFonts w:ascii="Palatino Linotype" w:eastAsia="Times New Roman" w:hAnsi="Palatino Linotype" w:cs="Times New Roman"/>
          <w:noProof/>
          <w:sz w:val="24"/>
          <w:szCs w:val="24"/>
          <w:lang w:val="es-ES" w:eastAsia="es-MX"/>
        </w:rPr>
        <w:t xml:space="preserve"> </w:t>
      </w:r>
    </w:p>
    <w:p w14:paraId="7B60F668" w14:textId="0AD0D850" w:rsidR="00671177" w:rsidRDefault="00730858" w:rsidP="00B16C87">
      <w:pPr>
        <w:pStyle w:val="Prrafodelista"/>
        <w:autoSpaceDE w:val="0"/>
        <w:autoSpaceDN w:val="0"/>
        <w:adjustRightInd w:val="0"/>
        <w:spacing w:line="360" w:lineRule="auto"/>
        <w:ind w:left="0"/>
        <w:jc w:val="both"/>
        <w:rPr>
          <w:rFonts w:ascii="Palatino Linotype" w:eastAsia="Times New Roman" w:hAnsi="Palatino Linotype" w:cs="Times New Roman"/>
          <w:noProof/>
          <w:sz w:val="24"/>
          <w:szCs w:val="24"/>
          <w:lang w:val="es-ES" w:eastAsia="es-MX"/>
        </w:rPr>
      </w:pPr>
      <w:r w:rsidRPr="00671177">
        <w:rPr>
          <w:rFonts w:ascii="Palatino Linotype" w:eastAsia="Times New Roman" w:hAnsi="Palatino Linotype" w:cs="Times New Roman"/>
          <w:b/>
          <w:noProof/>
          <w:sz w:val="24"/>
          <w:szCs w:val="24"/>
          <w:lang w:val="es-ES" w:eastAsia="es-MX"/>
        </w:rPr>
        <w:lastRenderedPageBreak/>
        <w:t>DCS-061-2020_202009221535.pdf</w:t>
      </w:r>
      <w:r>
        <w:rPr>
          <w:rFonts w:ascii="Palatino Linotype" w:eastAsia="Times New Roman" w:hAnsi="Palatino Linotype" w:cs="Times New Roman"/>
          <w:b/>
          <w:noProof/>
          <w:sz w:val="24"/>
          <w:szCs w:val="24"/>
          <w:lang w:val="es-ES" w:eastAsia="es-MX"/>
        </w:rPr>
        <w:t xml:space="preserve">: </w:t>
      </w:r>
      <w:r>
        <w:rPr>
          <w:rFonts w:ascii="Palatino Linotype" w:eastAsia="Times New Roman" w:hAnsi="Palatino Linotype" w:cs="Times New Roman"/>
          <w:noProof/>
          <w:sz w:val="24"/>
          <w:szCs w:val="24"/>
          <w:lang w:val="es-ES" w:eastAsia="es-MX"/>
        </w:rPr>
        <w:t>Oficio número UTAIP/0276/2020 en el que el Director de la unidad de transparencia solicita al secretario de administración realice la busqueda exhaustiva dentro de las áreas competentes de lo que se refiere en la solicitud de información.</w:t>
      </w:r>
    </w:p>
    <w:p w14:paraId="1C83E40F" w14:textId="77777777" w:rsidR="00730858" w:rsidRDefault="00730858" w:rsidP="00B16C87">
      <w:pPr>
        <w:pStyle w:val="Prrafodelista"/>
        <w:autoSpaceDE w:val="0"/>
        <w:autoSpaceDN w:val="0"/>
        <w:adjustRightInd w:val="0"/>
        <w:spacing w:line="360" w:lineRule="auto"/>
        <w:ind w:left="0"/>
        <w:jc w:val="both"/>
        <w:rPr>
          <w:rFonts w:ascii="Palatino Linotype" w:hAnsi="Palatino Linotype" w:cs="Arial"/>
        </w:rPr>
      </w:pPr>
    </w:p>
    <w:p w14:paraId="7BDCB0B7" w14:textId="51CA2404" w:rsidR="00730858" w:rsidRDefault="00730858" w:rsidP="00B16C87">
      <w:pPr>
        <w:pStyle w:val="Prrafodelista"/>
        <w:autoSpaceDE w:val="0"/>
        <w:autoSpaceDN w:val="0"/>
        <w:adjustRightInd w:val="0"/>
        <w:spacing w:line="360" w:lineRule="auto"/>
        <w:ind w:left="0"/>
        <w:jc w:val="both"/>
        <w:rPr>
          <w:rFonts w:ascii="Palatino Linotype" w:eastAsia="Times New Roman" w:hAnsi="Palatino Linotype" w:cs="Times New Roman"/>
          <w:noProof/>
          <w:sz w:val="24"/>
          <w:szCs w:val="24"/>
          <w:lang w:val="es-ES" w:eastAsia="es-MX"/>
        </w:rPr>
      </w:pPr>
      <w:r w:rsidRPr="00671177">
        <w:rPr>
          <w:rFonts w:ascii="Palatino Linotype" w:eastAsia="Times New Roman" w:hAnsi="Palatino Linotype" w:cs="Times New Roman"/>
          <w:b/>
          <w:noProof/>
          <w:sz w:val="24"/>
          <w:szCs w:val="24"/>
          <w:lang w:val="es-ES" w:eastAsia="es-MX"/>
        </w:rPr>
        <w:t>UTSIP-0276-2020_202009171428.pdf</w:t>
      </w:r>
      <w:r>
        <w:rPr>
          <w:rFonts w:ascii="Palatino Linotype" w:eastAsia="Times New Roman" w:hAnsi="Palatino Linotype" w:cs="Times New Roman"/>
          <w:b/>
          <w:noProof/>
          <w:sz w:val="24"/>
          <w:szCs w:val="24"/>
          <w:lang w:val="es-ES" w:eastAsia="es-MX"/>
        </w:rPr>
        <w:t>:</w:t>
      </w:r>
      <w:r>
        <w:rPr>
          <w:rFonts w:ascii="Palatino Linotype" w:eastAsia="Times New Roman" w:hAnsi="Palatino Linotype" w:cs="Times New Roman"/>
          <w:noProof/>
          <w:sz w:val="24"/>
          <w:szCs w:val="24"/>
          <w:lang w:val="es-ES" w:eastAsia="es-MX"/>
        </w:rPr>
        <w:t xml:space="preserve"> consta de tres documentos en los cuales se hace del conocimiento que no hay vacantes en este momento y por lo tanto no se entrega la información peticionada por el ahora Recurrente.</w:t>
      </w:r>
    </w:p>
    <w:p w14:paraId="52D4917B" w14:textId="77777777" w:rsidR="00730858" w:rsidRDefault="00730858" w:rsidP="00B16C87">
      <w:pPr>
        <w:pStyle w:val="Prrafodelista"/>
        <w:autoSpaceDE w:val="0"/>
        <w:autoSpaceDN w:val="0"/>
        <w:adjustRightInd w:val="0"/>
        <w:spacing w:line="360" w:lineRule="auto"/>
        <w:ind w:left="0"/>
        <w:jc w:val="both"/>
        <w:rPr>
          <w:rFonts w:ascii="Palatino Linotype" w:eastAsia="Times New Roman" w:hAnsi="Palatino Linotype" w:cs="Times New Roman"/>
          <w:noProof/>
          <w:sz w:val="24"/>
          <w:szCs w:val="24"/>
          <w:lang w:val="es-ES" w:eastAsia="es-MX"/>
        </w:rPr>
      </w:pPr>
    </w:p>
    <w:p w14:paraId="3FDE0854" w14:textId="5E985A1C" w:rsidR="00730858" w:rsidRDefault="00730858" w:rsidP="00B16C87">
      <w:pPr>
        <w:pStyle w:val="Prrafodelista"/>
        <w:autoSpaceDE w:val="0"/>
        <w:autoSpaceDN w:val="0"/>
        <w:adjustRightInd w:val="0"/>
        <w:spacing w:line="360" w:lineRule="auto"/>
        <w:ind w:left="0"/>
        <w:jc w:val="both"/>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val="es-ES" w:eastAsia="es-MX"/>
        </w:rPr>
        <w:t>A mayor abundamiento se agregan las imágenes correspondientes:</w:t>
      </w:r>
    </w:p>
    <w:p w14:paraId="15C5D4B8" w14:textId="263AB7F1" w:rsid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6089A3ED" wp14:editId="47EFB39C">
            <wp:extent cx="6206335" cy="703384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8621" cy="7036437"/>
                    </a:xfrm>
                    <a:prstGeom prst="rect">
                      <a:avLst/>
                    </a:prstGeom>
                    <a:noFill/>
                    <a:ln>
                      <a:noFill/>
                    </a:ln>
                  </pic:spPr>
                </pic:pic>
              </a:graphicData>
            </a:graphic>
          </wp:inline>
        </w:drawing>
      </w:r>
    </w:p>
    <w:p w14:paraId="35AF6E45" w14:textId="57B84AB0" w:rsid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02D3C56E" wp14:editId="08B8B4CA">
            <wp:extent cx="5452867" cy="676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4141" cy="6768141"/>
                    </a:xfrm>
                    <a:prstGeom prst="rect">
                      <a:avLst/>
                    </a:prstGeom>
                    <a:noFill/>
                    <a:ln>
                      <a:noFill/>
                    </a:ln>
                  </pic:spPr>
                </pic:pic>
              </a:graphicData>
            </a:graphic>
          </wp:inline>
        </w:drawing>
      </w:r>
    </w:p>
    <w:p w14:paraId="54162A63" w14:textId="4B97907B" w:rsid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49A23C73" wp14:editId="530D036A">
            <wp:extent cx="5785702" cy="6682154"/>
            <wp:effectExtent l="0" t="0" r="571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6464" cy="6683034"/>
                    </a:xfrm>
                    <a:prstGeom prst="rect">
                      <a:avLst/>
                    </a:prstGeom>
                    <a:noFill/>
                    <a:ln>
                      <a:noFill/>
                    </a:ln>
                  </pic:spPr>
                </pic:pic>
              </a:graphicData>
            </a:graphic>
          </wp:inline>
        </w:drawing>
      </w:r>
    </w:p>
    <w:p w14:paraId="108E9468" w14:textId="7DDE6DEE" w:rsid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6CFA3B32" wp14:editId="19C20BB4">
            <wp:extent cx="5996001" cy="6850966"/>
            <wp:effectExtent l="0" t="0" r="508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7772" cy="6852989"/>
                    </a:xfrm>
                    <a:prstGeom prst="rect">
                      <a:avLst/>
                    </a:prstGeom>
                    <a:noFill/>
                    <a:ln>
                      <a:noFill/>
                    </a:ln>
                  </pic:spPr>
                </pic:pic>
              </a:graphicData>
            </a:graphic>
          </wp:inline>
        </w:drawing>
      </w:r>
      <w:r>
        <w:rPr>
          <w:rFonts w:ascii="Palatino Linotype" w:eastAsia="Times New Roman" w:hAnsi="Palatino Linotype" w:cs="Times New Roman"/>
          <w:noProof/>
          <w:sz w:val="24"/>
          <w:szCs w:val="24"/>
          <w:lang w:eastAsia="es-MX"/>
        </w:rPr>
        <w:lastRenderedPageBreak/>
        <w:drawing>
          <wp:inline distT="0" distB="0" distL="0" distR="0" wp14:anchorId="4F114CB3" wp14:editId="296AD725">
            <wp:extent cx="6216697" cy="680876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8196" cy="6810405"/>
                    </a:xfrm>
                    <a:prstGeom prst="rect">
                      <a:avLst/>
                    </a:prstGeom>
                    <a:noFill/>
                    <a:ln>
                      <a:noFill/>
                    </a:ln>
                  </pic:spPr>
                </pic:pic>
              </a:graphicData>
            </a:graphic>
          </wp:inline>
        </w:drawing>
      </w:r>
    </w:p>
    <w:p w14:paraId="592C502D" w14:textId="6DDD1F7F" w:rsid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4252707C" wp14:editId="18D5AA7E">
            <wp:extent cx="5280047" cy="68228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391" cy="6827152"/>
                    </a:xfrm>
                    <a:prstGeom prst="rect">
                      <a:avLst/>
                    </a:prstGeom>
                    <a:noFill/>
                    <a:ln>
                      <a:noFill/>
                    </a:ln>
                  </pic:spPr>
                </pic:pic>
              </a:graphicData>
            </a:graphic>
          </wp:inline>
        </w:drawing>
      </w:r>
    </w:p>
    <w:p w14:paraId="570E4B6A" w14:textId="2FF527D8" w:rsidR="00730858" w:rsidRPr="00730858" w:rsidRDefault="00730858" w:rsidP="00B16C87">
      <w:pPr>
        <w:autoSpaceDE w:val="0"/>
        <w:autoSpaceDN w:val="0"/>
        <w:adjustRightInd w:val="0"/>
        <w:spacing w:line="360" w:lineRule="auto"/>
        <w:jc w:val="center"/>
        <w:rPr>
          <w:rFonts w:ascii="Palatino Linotype" w:eastAsia="Times New Roman" w:hAnsi="Palatino Linotype" w:cs="Times New Roman"/>
          <w:noProof/>
          <w:sz w:val="24"/>
          <w:szCs w:val="24"/>
          <w:lang w:val="es-ES" w:eastAsia="es-MX"/>
        </w:rPr>
      </w:pPr>
      <w:r>
        <w:rPr>
          <w:rFonts w:ascii="Palatino Linotype" w:eastAsia="Times New Roman" w:hAnsi="Palatino Linotype" w:cs="Times New Roman"/>
          <w:noProof/>
          <w:sz w:val="24"/>
          <w:szCs w:val="24"/>
          <w:lang w:eastAsia="es-MX"/>
        </w:rPr>
        <w:lastRenderedPageBreak/>
        <w:drawing>
          <wp:inline distT="0" distB="0" distL="0" distR="0" wp14:anchorId="4DAADCE1" wp14:editId="01FBB255">
            <wp:extent cx="3762375" cy="30003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3000375"/>
                    </a:xfrm>
                    <a:prstGeom prst="rect">
                      <a:avLst/>
                    </a:prstGeom>
                    <a:noFill/>
                    <a:ln>
                      <a:noFill/>
                    </a:ln>
                  </pic:spPr>
                </pic:pic>
              </a:graphicData>
            </a:graphic>
          </wp:inline>
        </w:drawing>
      </w:r>
    </w:p>
    <w:p w14:paraId="7818D2E3" w14:textId="3C2F72D4" w:rsidR="00141F29" w:rsidRDefault="00141F29"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Resulta necesario hacer hincapié en las atribuciones concernientes a la Dirección de Recursos Humanos, lo cual se encuentra establecido en el artículo 6.7, del Reglamento Orgánico del Ayuntamiento de Naucalpan de Juárez:</w:t>
      </w:r>
    </w:p>
    <w:p w14:paraId="66F2A7FD" w14:textId="77777777" w:rsidR="00141F29" w:rsidRPr="00141F29" w:rsidRDefault="00141F29" w:rsidP="00B16C87">
      <w:pPr>
        <w:autoSpaceDE w:val="0"/>
        <w:autoSpaceDN w:val="0"/>
        <w:adjustRightInd w:val="0"/>
        <w:spacing w:after="0" w:line="360" w:lineRule="auto"/>
        <w:ind w:left="709"/>
        <w:jc w:val="center"/>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CAPÍTULO II</w:t>
      </w:r>
    </w:p>
    <w:p w14:paraId="06237FFD" w14:textId="77777777" w:rsidR="00141F29" w:rsidRPr="00141F29" w:rsidRDefault="00141F29" w:rsidP="00B16C87">
      <w:pPr>
        <w:autoSpaceDE w:val="0"/>
        <w:autoSpaceDN w:val="0"/>
        <w:adjustRightInd w:val="0"/>
        <w:spacing w:after="0" w:line="360" w:lineRule="auto"/>
        <w:ind w:left="709"/>
        <w:jc w:val="center"/>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DE LA DIRECCIÓN DE RECURSOS HUMANOS</w:t>
      </w:r>
    </w:p>
    <w:p w14:paraId="44ED647A" w14:textId="61C96CEA"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Artículo 6.7.- Corresponde al Titular de la Dirección de Recursos Humanos, el despacho de los siguientes asuntos:</w:t>
      </w:r>
    </w:p>
    <w:p w14:paraId="623473FC"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I. Administrar los recursos materiales, financieros, tecnológicos y humanos a su cargo;</w:t>
      </w:r>
    </w:p>
    <w:p w14:paraId="11527852"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II. Acordar con el Secretario, los asuntos de su competencia que así lo requieran;</w:t>
      </w:r>
    </w:p>
    <w:p w14:paraId="2DA97C86" w14:textId="463F9019"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III. Proponer, previo acuerdo con el Secretario, el nombramiento y remoción del personal a su cargo, atendiendo la normatividad aplicable;</w:t>
      </w:r>
    </w:p>
    <w:p w14:paraId="5A1ADF78"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IV. Evaluar el desempeño de las Unidades administrativas a su cargo;</w:t>
      </w:r>
    </w:p>
    <w:p w14:paraId="53FBE0AD"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V. Vigilar el cumplimiento de las disposiciones legales que regulen las relaciones laborales entre la</w:t>
      </w:r>
    </w:p>
    <w:p w14:paraId="00E71DC6"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Administración Pública Municipal y sus servidores públicos;</w:t>
      </w:r>
    </w:p>
    <w:p w14:paraId="3D76A413" w14:textId="28A3F246"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lastRenderedPageBreak/>
        <w:t>VI. Realizar los cambios de adscripción del personal de la Administración Pública Centralizada cuando estos se requieran, de acuerdo a la normatividad aplicable;</w:t>
      </w:r>
    </w:p>
    <w:p w14:paraId="788F63AF" w14:textId="309DE25A"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VII. Atender en coordinación con el Secretario, las negociaciones entre el Ayuntamiento y la representación sindical;</w:t>
      </w:r>
    </w:p>
    <w:p w14:paraId="5BADFF73" w14:textId="6FD47700"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VIII. Tramitar los nombramientos, remociones, renuncias, licencias, pago de marchas en caso de defunción y jubilaciones de los servidores públicos de la Administración Pública Municipal, atendiendo las disposiciones de la normatividad aplicable;</w:t>
      </w:r>
    </w:p>
    <w:p w14:paraId="1FBF83AC" w14:textId="776DB009"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IX. Supervisar los procesos de selección, contratación y capacitación para el personal que requieran las Dependencias, atendiendo las disposiciones de la normatividad aplicable;</w:t>
      </w:r>
    </w:p>
    <w:p w14:paraId="413E451A" w14:textId="4A0486C5"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 Intervenir en la elaboración de los perfiles de puestos que se requieran en las Dependencias, a efecto de optimizar los Recursos Humanos, de conformidad con la normatividad aplicable;</w:t>
      </w:r>
    </w:p>
    <w:p w14:paraId="19931B3F" w14:textId="30053840"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XI. Emitir las constancias laborales, de percepciones y retenciones aplicados a los sueldos y salarios de los empleados que así lo requieran;</w:t>
      </w:r>
    </w:p>
    <w:p w14:paraId="3A00B55F" w14:textId="644C4CB5" w:rsid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XII. Elaborar el presupuesto anual de egresos correspondiente al Capítulo de Servicios Personales de cada una de las Dependencias y para todo el Ayuntamiento;</w:t>
      </w:r>
    </w:p>
    <w:p w14:paraId="1EDB6D9A"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XIII. Autorizar los horarios de las jornadas de trabajo de los servidores públicos de la Administración</w:t>
      </w:r>
    </w:p>
    <w:p w14:paraId="63087600"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Pública Centralizada;</w:t>
      </w:r>
    </w:p>
    <w:p w14:paraId="62631E2E" w14:textId="1A4DABB8"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XIV. Emitir manuales, procedimientos internos, circulares, lineamientos, comunicados y todos aquellos</w:t>
      </w:r>
      <w:r>
        <w:rPr>
          <w:rFonts w:ascii="Palatino Linotype" w:eastAsia="Times New Roman" w:hAnsi="Palatino Linotype" w:cs="Arial"/>
          <w:i/>
          <w:szCs w:val="24"/>
          <w:lang w:val="es-ES" w:eastAsia="es-ES"/>
        </w:rPr>
        <w:t xml:space="preserve"> </w:t>
      </w:r>
      <w:r w:rsidRPr="00141F29">
        <w:rPr>
          <w:rFonts w:ascii="Palatino Linotype" w:eastAsia="Times New Roman" w:hAnsi="Palatino Linotype" w:cs="Arial"/>
          <w:i/>
          <w:szCs w:val="24"/>
          <w:lang w:val="es-ES" w:eastAsia="es-ES"/>
        </w:rPr>
        <w:t>documentos que coadyuven al mejor desempeño de las funciones propias de la Dirección;</w:t>
      </w:r>
    </w:p>
    <w:p w14:paraId="0F89B81C"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XV. Supervisar la debida elaboración, dispersión y pago de las nóminas;</w:t>
      </w:r>
    </w:p>
    <w:p w14:paraId="45705F47" w14:textId="6F82DEF2"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XVI. Supervisar y autorizar todo lo relativo al control de asistencias, retardos, faltas, ho</w:t>
      </w:r>
      <w:r>
        <w:rPr>
          <w:rFonts w:ascii="Palatino Linotype" w:eastAsia="Times New Roman" w:hAnsi="Palatino Linotype" w:cs="Arial"/>
          <w:i/>
          <w:szCs w:val="24"/>
          <w:lang w:val="es-ES" w:eastAsia="es-ES"/>
        </w:rPr>
        <w:t xml:space="preserve">ras extras, primas </w:t>
      </w:r>
      <w:r w:rsidRPr="00141F29">
        <w:rPr>
          <w:rFonts w:ascii="Palatino Linotype" w:eastAsia="Times New Roman" w:hAnsi="Palatino Linotype" w:cs="Arial"/>
          <w:i/>
          <w:szCs w:val="24"/>
          <w:lang w:val="es-ES" w:eastAsia="es-ES"/>
        </w:rPr>
        <w:t>dominicales, incidencias, comisiones, permisos y licencias del person</w:t>
      </w:r>
      <w:r>
        <w:rPr>
          <w:rFonts w:ascii="Palatino Linotype" w:eastAsia="Times New Roman" w:hAnsi="Palatino Linotype" w:cs="Arial"/>
          <w:i/>
          <w:szCs w:val="24"/>
          <w:lang w:val="es-ES" w:eastAsia="es-ES"/>
        </w:rPr>
        <w:t xml:space="preserve">al de la administración pública </w:t>
      </w:r>
      <w:r w:rsidRPr="00141F29">
        <w:rPr>
          <w:rFonts w:ascii="Palatino Linotype" w:eastAsia="Times New Roman" w:hAnsi="Palatino Linotype" w:cs="Arial"/>
          <w:i/>
          <w:szCs w:val="24"/>
          <w:lang w:val="es-ES" w:eastAsia="es-ES"/>
        </w:rPr>
        <w:t>centralizada. Se entenderá por incidencias:</w:t>
      </w:r>
    </w:p>
    <w:p w14:paraId="0303F41F" w14:textId="77777777" w:rsidR="00141F29" w:rsidRPr="00141F29" w:rsidRDefault="00141F29" w:rsidP="00B16C87">
      <w:pPr>
        <w:autoSpaceDE w:val="0"/>
        <w:autoSpaceDN w:val="0"/>
        <w:adjustRightInd w:val="0"/>
        <w:spacing w:after="0" w:line="360" w:lineRule="auto"/>
        <w:ind w:left="1276"/>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a). Faltas justificadas;</w:t>
      </w:r>
    </w:p>
    <w:p w14:paraId="49B90E1F" w14:textId="77777777" w:rsidR="00141F29" w:rsidRPr="00141F29" w:rsidRDefault="00141F29" w:rsidP="00B16C87">
      <w:pPr>
        <w:autoSpaceDE w:val="0"/>
        <w:autoSpaceDN w:val="0"/>
        <w:adjustRightInd w:val="0"/>
        <w:spacing w:after="0" w:line="360" w:lineRule="auto"/>
        <w:ind w:left="1276"/>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lastRenderedPageBreak/>
        <w:t>b). Suspensiones;</w:t>
      </w:r>
    </w:p>
    <w:p w14:paraId="5B5F9254" w14:textId="77777777" w:rsidR="00141F29" w:rsidRPr="00141F29" w:rsidRDefault="00141F29" w:rsidP="00B16C87">
      <w:pPr>
        <w:autoSpaceDE w:val="0"/>
        <w:autoSpaceDN w:val="0"/>
        <w:adjustRightInd w:val="0"/>
        <w:spacing w:after="0" w:line="360" w:lineRule="auto"/>
        <w:ind w:left="1276"/>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c). Permisos con goce de sueldo;</w:t>
      </w:r>
    </w:p>
    <w:p w14:paraId="4DE26C77" w14:textId="5F21EB01" w:rsidR="00141F29" w:rsidRPr="00141F29" w:rsidRDefault="00141F29" w:rsidP="00B16C87">
      <w:pPr>
        <w:autoSpaceDE w:val="0"/>
        <w:autoSpaceDN w:val="0"/>
        <w:adjustRightInd w:val="0"/>
        <w:spacing w:after="0" w:line="360" w:lineRule="auto"/>
        <w:ind w:left="1276"/>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d). Permisos sin goce de sueldo, de entrada y salida o por efect</w:t>
      </w:r>
      <w:r>
        <w:rPr>
          <w:rFonts w:ascii="Palatino Linotype" w:eastAsia="Times New Roman" w:hAnsi="Palatino Linotype" w:cs="Arial"/>
          <w:i/>
          <w:szCs w:val="24"/>
          <w:lang w:val="es-ES" w:eastAsia="es-ES"/>
        </w:rPr>
        <w:t xml:space="preserve">ividad de algún derecho laboral </w:t>
      </w:r>
      <w:r w:rsidRPr="00141F29">
        <w:rPr>
          <w:rFonts w:ascii="Palatino Linotype" w:eastAsia="Times New Roman" w:hAnsi="Palatino Linotype" w:cs="Arial"/>
          <w:i/>
          <w:szCs w:val="24"/>
          <w:lang w:val="es-ES" w:eastAsia="es-ES"/>
        </w:rPr>
        <w:t xml:space="preserve">como pueden ser incapacidad, enfermedad profesional y </w:t>
      </w:r>
      <w:r>
        <w:rPr>
          <w:rFonts w:ascii="Palatino Linotype" w:eastAsia="Times New Roman" w:hAnsi="Palatino Linotype" w:cs="Arial"/>
          <w:i/>
          <w:szCs w:val="24"/>
          <w:lang w:val="es-ES" w:eastAsia="es-ES"/>
        </w:rPr>
        <w:t xml:space="preserve">no profesional, incapacidad por </w:t>
      </w:r>
      <w:r w:rsidRPr="00141F29">
        <w:rPr>
          <w:rFonts w:ascii="Palatino Linotype" w:eastAsia="Times New Roman" w:hAnsi="Palatino Linotype" w:cs="Arial"/>
          <w:i/>
          <w:szCs w:val="24"/>
          <w:lang w:val="es-ES" w:eastAsia="es-ES"/>
        </w:rPr>
        <w:t>maternidad, prestaciones de vacaciones, cumpleaños, así co</w:t>
      </w:r>
      <w:r>
        <w:rPr>
          <w:rFonts w:ascii="Palatino Linotype" w:eastAsia="Times New Roman" w:hAnsi="Palatino Linotype" w:cs="Arial"/>
          <w:i/>
          <w:szCs w:val="24"/>
          <w:lang w:val="es-ES" w:eastAsia="es-ES"/>
        </w:rPr>
        <w:t xml:space="preserve">mo comisiones y guardias, y las </w:t>
      </w:r>
      <w:r w:rsidRPr="00141F29">
        <w:rPr>
          <w:rFonts w:ascii="Palatino Linotype" w:eastAsia="Times New Roman" w:hAnsi="Palatino Linotype" w:cs="Arial"/>
          <w:i/>
          <w:szCs w:val="24"/>
          <w:lang w:val="es-ES" w:eastAsia="es-ES"/>
        </w:rPr>
        <w:t>demás establecidas en las disposiciones legales aplicables.</w:t>
      </w:r>
    </w:p>
    <w:p w14:paraId="6A04E870" w14:textId="7E40C506"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XVII. Expedir las Constancias de Prestación de Servicios a los servidore</w:t>
      </w:r>
      <w:r>
        <w:rPr>
          <w:rFonts w:ascii="Palatino Linotype" w:eastAsia="Times New Roman" w:hAnsi="Palatino Linotype" w:cs="Arial"/>
          <w:i/>
          <w:szCs w:val="24"/>
          <w:lang w:val="es-ES" w:eastAsia="es-ES"/>
        </w:rPr>
        <w:t xml:space="preserve">s y/o ex servidores públicos de </w:t>
      </w:r>
      <w:r w:rsidRPr="00141F29">
        <w:rPr>
          <w:rFonts w:ascii="Palatino Linotype" w:eastAsia="Times New Roman" w:hAnsi="Palatino Linotype" w:cs="Arial"/>
          <w:i/>
          <w:szCs w:val="24"/>
          <w:lang w:val="es-ES" w:eastAsia="es-ES"/>
        </w:rPr>
        <w:t>la Administración Pública Centralizada;</w:t>
      </w:r>
    </w:p>
    <w:p w14:paraId="5465D3ED" w14:textId="11C657EE"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XVIII. Emitir los oficios y circulares de carácter administrativo respecto de</w:t>
      </w:r>
      <w:r>
        <w:rPr>
          <w:rFonts w:ascii="Palatino Linotype" w:eastAsia="Times New Roman" w:hAnsi="Palatino Linotype" w:cs="Arial"/>
          <w:i/>
          <w:szCs w:val="24"/>
          <w:lang w:val="es-ES" w:eastAsia="es-ES"/>
        </w:rPr>
        <w:t xml:space="preserve"> los asuntos de su competencia; </w:t>
      </w:r>
      <w:r w:rsidRPr="00141F29">
        <w:rPr>
          <w:rFonts w:ascii="Palatino Linotype" w:eastAsia="Times New Roman" w:hAnsi="Palatino Linotype" w:cs="Arial"/>
          <w:i/>
          <w:szCs w:val="24"/>
          <w:lang w:val="es-ES" w:eastAsia="es-ES"/>
        </w:rPr>
        <w:t>y</w:t>
      </w:r>
    </w:p>
    <w:p w14:paraId="61801412" w14:textId="77777777"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XIX. Solicitar a la Dirección Jurídica su opinión respecto al convenio laboral sujeto a revisión;</w:t>
      </w:r>
    </w:p>
    <w:p w14:paraId="2D901D3F" w14:textId="7A5A774D"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XX. Supervisar que se proporcionen los ap</w:t>
      </w:r>
      <w:r>
        <w:rPr>
          <w:rFonts w:ascii="Palatino Linotype" w:eastAsia="Times New Roman" w:hAnsi="Palatino Linotype" w:cs="Arial"/>
          <w:i/>
          <w:szCs w:val="24"/>
          <w:lang w:val="es-ES" w:eastAsia="es-ES"/>
        </w:rPr>
        <w:t xml:space="preserve">oyos técnicos y administrativo </w:t>
      </w:r>
      <w:r w:rsidRPr="00141F29">
        <w:rPr>
          <w:rFonts w:ascii="Palatino Linotype" w:eastAsia="Times New Roman" w:hAnsi="Palatino Linotype" w:cs="Arial"/>
          <w:i/>
          <w:szCs w:val="24"/>
          <w:lang w:val="es-ES" w:eastAsia="es-ES"/>
        </w:rPr>
        <w:t>necesarios en la elaboraci</w:t>
      </w:r>
      <w:r>
        <w:rPr>
          <w:rFonts w:ascii="Palatino Linotype" w:eastAsia="Times New Roman" w:hAnsi="Palatino Linotype" w:cs="Arial"/>
          <w:i/>
          <w:szCs w:val="24"/>
          <w:lang w:val="es-ES" w:eastAsia="es-ES"/>
        </w:rPr>
        <w:t xml:space="preserve">ón </w:t>
      </w:r>
      <w:r w:rsidRPr="00141F29">
        <w:rPr>
          <w:rFonts w:ascii="Palatino Linotype" w:eastAsia="Times New Roman" w:hAnsi="Palatino Linotype" w:cs="Arial"/>
          <w:i/>
          <w:szCs w:val="24"/>
          <w:lang w:val="es-ES" w:eastAsia="es-ES"/>
        </w:rPr>
        <w:t>de los manuales de organización, Métodos y procedimientos</w:t>
      </w:r>
      <w:r>
        <w:rPr>
          <w:rFonts w:ascii="Palatino Linotype" w:eastAsia="Times New Roman" w:hAnsi="Palatino Linotype" w:cs="Arial"/>
          <w:i/>
          <w:szCs w:val="24"/>
          <w:lang w:val="es-ES" w:eastAsia="es-ES"/>
        </w:rPr>
        <w:t xml:space="preserve"> de las Dependencias que así lo </w:t>
      </w:r>
      <w:r w:rsidRPr="00141F29">
        <w:rPr>
          <w:rFonts w:ascii="Palatino Linotype" w:eastAsia="Times New Roman" w:hAnsi="Palatino Linotype" w:cs="Arial"/>
          <w:i/>
          <w:szCs w:val="24"/>
          <w:lang w:val="es-ES" w:eastAsia="es-ES"/>
        </w:rPr>
        <w:t>requieran; y</w:t>
      </w:r>
    </w:p>
    <w:p w14:paraId="5E27A780" w14:textId="0CBED72D" w:rsidR="00141F29" w:rsidRPr="00141F29" w:rsidRDefault="00141F29" w:rsidP="00B16C87">
      <w:pPr>
        <w:autoSpaceDE w:val="0"/>
        <w:autoSpaceDN w:val="0"/>
        <w:adjustRightInd w:val="0"/>
        <w:spacing w:after="0" w:line="360" w:lineRule="auto"/>
        <w:ind w:left="709"/>
        <w:jc w:val="both"/>
        <w:rPr>
          <w:rFonts w:ascii="Palatino Linotype" w:eastAsia="Times New Roman" w:hAnsi="Palatino Linotype" w:cs="Arial"/>
          <w:i/>
          <w:szCs w:val="24"/>
          <w:lang w:val="es-ES" w:eastAsia="es-ES"/>
        </w:rPr>
      </w:pPr>
      <w:r w:rsidRPr="00141F29">
        <w:rPr>
          <w:rFonts w:ascii="Palatino Linotype" w:eastAsia="Times New Roman" w:hAnsi="Palatino Linotype" w:cs="Arial"/>
          <w:i/>
          <w:szCs w:val="24"/>
          <w:lang w:val="es-ES" w:eastAsia="es-ES"/>
        </w:rPr>
        <w:t>XXI. Las demás que le sean solicitadas por el Secretario.</w:t>
      </w:r>
      <w:r w:rsidRPr="00141F29">
        <w:rPr>
          <w:rFonts w:ascii="Palatino Linotype" w:eastAsia="Times New Roman" w:hAnsi="Palatino Linotype" w:cs="Arial"/>
          <w:i/>
          <w:szCs w:val="24"/>
          <w:lang w:val="es-ES" w:eastAsia="es-ES"/>
        </w:rPr>
        <w:cr/>
      </w:r>
    </w:p>
    <w:p w14:paraId="5F21742A" w14:textId="28AC35B5" w:rsidR="00F01474" w:rsidRDefault="007E1766"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Aunado a lo anterior cabe mencionar que por cuanto hace a la información peticionada es obligación del sujeto Obligado contenerla pues se encuentra establecido en el artículo 92</w:t>
      </w:r>
      <w:r w:rsidR="00671177">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de la Ley local en la materia que a la letra señala:</w:t>
      </w:r>
    </w:p>
    <w:p w14:paraId="529491DA" w14:textId="77777777" w:rsidR="00671177" w:rsidRDefault="00671177" w:rsidP="00B16C87">
      <w:pPr>
        <w:autoSpaceDE w:val="0"/>
        <w:autoSpaceDN w:val="0"/>
        <w:adjustRightInd w:val="0"/>
        <w:spacing w:after="0" w:line="360" w:lineRule="auto"/>
        <w:ind w:left="709"/>
        <w:jc w:val="both"/>
        <w:rPr>
          <w:rFonts w:ascii="Palatino Linotype" w:eastAsia="Times New Roman" w:hAnsi="Palatino Linotype" w:cs="Arial"/>
          <w:b/>
          <w:i/>
          <w:sz w:val="24"/>
          <w:szCs w:val="24"/>
          <w:lang w:val="es-ES" w:eastAsia="es-ES"/>
        </w:rPr>
      </w:pPr>
    </w:p>
    <w:p w14:paraId="66DFA17F" w14:textId="77777777"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b/>
          <w:i/>
          <w:sz w:val="24"/>
          <w:szCs w:val="24"/>
          <w:lang w:val="es-ES" w:eastAsia="es-ES"/>
        </w:rPr>
      </w:pPr>
      <w:r w:rsidRPr="007E1766">
        <w:rPr>
          <w:rFonts w:ascii="Palatino Linotype" w:eastAsia="Times New Roman" w:hAnsi="Palatino Linotype" w:cs="Arial"/>
          <w:b/>
          <w:i/>
          <w:sz w:val="24"/>
          <w:szCs w:val="24"/>
          <w:lang w:val="es-ES" w:eastAsia="es-ES"/>
        </w:rPr>
        <w:t>Capítulo II</w:t>
      </w:r>
    </w:p>
    <w:p w14:paraId="2C4370A9" w14:textId="77777777"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b/>
          <w:i/>
          <w:sz w:val="24"/>
          <w:szCs w:val="24"/>
          <w:lang w:val="es-ES" w:eastAsia="es-ES"/>
        </w:rPr>
      </w:pPr>
      <w:r w:rsidRPr="007E1766">
        <w:rPr>
          <w:rFonts w:ascii="Palatino Linotype" w:eastAsia="Times New Roman" w:hAnsi="Palatino Linotype" w:cs="Arial"/>
          <w:b/>
          <w:i/>
          <w:sz w:val="24"/>
          <w:szCs w:val="24"/>
          <w:lang w:val="es-ES" w:eastAsia="es-ES"/>
        </w:rPr>
        <w:t>De las Obligaciones de Transparencia Comunes</w:t>
      </w:r>
    </w:p>
    <w:p w14:paraId="3E190FE4" w14:textId="2065384C" w:rsid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 xml:space="preserve">Artículo 92. Los sujetos obligados deberán poner a disposición del público de manera permanente y actualizada de forma sencilla, precisa y entendible, en los respectivos medios electrónicos, de acuerdo con sus facultades, atribuciones, funciones u objeto </w:t>
      </w:r>
      <w:r w:rsidRPr="007E1766">
        <w:rPr>
          <w:rFonts w:ascii="Palatino Linotype" w:eastAsia="Times New Roman" w:hAnsi="Palatino Linotype" w:cs="Arial"/>
          <w:i/>
          <w:sz w:val="24"/>
          <w:szCs w:val="24"/>
          <w:lang w:val="es-ES" w:eastAsia="es-ES"/>
        </w:rPr>
        <w:lastRenderedPageBreak/>
        <w:t>social, según corresponda, la información, por lo menos, de los temas, documentos y políticas que a continuación se señalan:</w:t>
      </w:r>
    </w:p>
    <w:p w14:paraId="26DB8CDC" w14:textId="1B430531" w:rsid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Pr>
          <w:rFonts w:ascii="Palatino Linotype" w:eastAsia="Times New Roman" w:hAnsi="Palatino Linotype" w:cs="Arial"/>
          <w:i/>
          <w:sz w:val="24"/>
          <w:szCs w:val="24"/>
          <w:lang w:val="es-ES" w:eastAsia="es-ES"/>
        </w:rPr>
        <w:t>…</w:t>
      </w:r>
    </w:p>
    <w:p w14:paraId="7096D28E" w14:textId="77777777"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VIII. La remuneración bruta y neta de todos los servidores públicos de</w:t>
      </w:r>
    </w:p>
    <w:p w14:paraId="6DAB1443" w14:textId="64AF5F3A"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base o de confianza, de todas las pe</w:t>
      </w:r>
      <w:r>
        <w:rPr>
          <w:rFonts w:ascii="Palatino Linotype" w:eastAsia="Times New Roman" w:hAnsi="Palatino Linotype" w:cs="Arial"/>
          <w:i/>
          <w:sz w:val="24"/>
          <w:szCs w:val="24"/>
          <w:lang w:val="es-ES" w:eastAsia="es-ES"/>
        </w:rPr>
        <w:t xml:space="preserve">rcepciones, incluyendo sueldos, </w:t>
      </w:r>
      <w:r w:rsidRPr="007E1766">
        <w:rPr>
          <w:rFonts w:ascii="Palatino Linotype" w:eastAsia="Times New Roman" w:hAnsi="Palatino Linotype" w:cs="Arial"/>
          <w:i/>
          <w:sz w:val="24"/>
          <w:szCs w:val="24"/>
          <w:lang w:val="es-ES" w:eastAsia="es-ES"/>
        </w:rPr>
        <w:t>prestaciones, gratificaciones, pri</w:t>
      </w:r>
      <w:r>
        <w:rPr>
          <w:rFonts w:ascii="Palatino Linotype" w:eastAsia="Times New Roman" w:hAnsi="Palatino Linotype" w:cs="Arial"/>
          <w:i/>
          <w:sz w:val="24"/>
          <w:szCs w:val="24"/>
          <w:lang w:val="es-ES" w:eastAsia="es-ES"/>
        </w:rPr>
        <w:t xml:space="preserve">mas, comisiones, dietas, bonos, </w:t>
      </w:r>
      <w:r w:rsidRPr="007E1766">
        <w:rPr>
          <w:rFonts w:ascii="Palatino Linotype" w:eastAsia="Times New Roman" w:hAnsi="Palatino Linotype" w:cs="Arial"/>
          <w:i/>
          <w:sz w:val="24"/>
          <w:szCs w:val="24"/>
          <w:lang w:val="es-ES" w:eastAsia="es-ES"/>
        </w:rPr>
        <w:t>estímulos, ingresos y sistema</w:t>
      </w:r>
      <w:r>
        <w:rPr>
          <w:rFonts w:ascii="Palatino Linotype" w:eastAsia="Times New Roman" w:hAnsi="Palatino Linotype" w:cs="Arial"/>
          <w:i/>
          <w:sz w:val="24"/>
          <w:szCs w:val="24"/>
          <w:lang w:val="es-ES" w:eastAsia="es-ES"/>
        </w:rPr>
        <w:t xml:space="preserve">s de compensación, señalando la </w:t>
      </w:r>
      <w:r w:rsidRPr="007E1766">
        <w:rPr>
          <w:rFonts w:ascii="Palatino Linotype" w:eastAsia="Times New Roman" w:hAnsi="Palatino Linotype" w:cs="Arial"/>
          <w:i/>
          <w:sz w:val="24"/>
          <w:szCs w:val="24"/>
          <w:lang w:val="es-ES" w:eastAsia="es-ES"/>
        </w:rPr>
        <w:t>periodicidad de dicha remuneración;</w:t>
      </w:r>
    </w:p>
    <w:p w14:paraId="2FD441B2" w14:textId="668555D6"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IX. Los gastos de representación y viáti</w:t>
      </w:r>
      <w:r>
        <w:rPr>
          <w:rFonts w:ascii="Palatino Linotype" w:eastAsia="Times New Roman" w:hAnsi="Palatino Linotype" w:cs="Arial"/>
          <w:i/>
          <w:sz w:val="24"/>
          <w:szCs w:val="24"/>
          <w:lang w:val="es-ES" w:eastAsia="es-ES"/>
        </w:rPr>
        <w:t xml:space="preserve">cos, así como el objeto e </w:t>
      </w:r>
      <w:r w:rsidRPr="007E1766">
        <w:rPr>
          <w:rFonts w:ascii="Palatino Linotype" w:eastAsia="Times New Roman" w:hAnsi="Palatino Linotype" w:cs="Arial"/>
          <w:i/>
          <w:sz w:val="24"/>
          <w:szCs w:val="24"/>
          <w:lang w:val="es-ES" w:eastAsia="es-ES"/>
        </w:rPr>
        <w:t>informe de comisión correspondiente;</w:t>
      </w:r>
    </w:p>
    <w:p w14:paraId="6F58DA04" w14:textId="5F160021"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X. El número total de las plazas y del p</w:t>
      </w:r>
      <w:r>
        <w:rPr>
          <w:rFonts w:ascii="Palatino Linotype" w:eastAsia="Times New Roman" w:hAnsi="Palatino Linotype" w:cs="Arial"/>
          <w:i/>
          <w:sz w:val="24"/>
          <w:szCs w:val="24"/>
          <w:lang w:val="es-ES" w:eastAsia="es-ES"/>
        </w:rPr>
        <w:t xml:space="preserve">ersonal de base y de confianza, </w:t>
      </w:r>
      <w:r w:rsidRPr="007E1766">
        <w:rPr>
          <w:rFonts w:ascii="Palatino Linotype" w:eastAsia="Times New Roman" w:hAnsi="Palatino Linotype" w:cs="Arial"/>
          <w:i/>
          <w:sz w:val="24"/>
          <w:szCs w:val="24"/>
          <w:lang w:val="es-ES" w:eastAsia="es-ES"/>
        </w:rPr>
        <w:t>especificando el total de las vaca</w:t>
      </w:r>
      <w:r>
        <w:rPr>
          <w:rFonts w:ascii="Palatino Linotype" w:eastAsia="Times New Roman" w:hAnsi="Palatino Linotype" w:cs="Arial"/>
          <w:i/>
          <w:sz w:val="24"/>
          <w:szCs w:val="24"/>
          <w:lang w:val="es-ES" w:eastAsia="es-ES"/>
        </w:rPr>
        <w:t xml:space="preserve">ntes, por nivel de puesto, para </w:t>
      </w:r>
      <w:r w:rsidRPr="007E1766">
        <w:rPr>
          <w:rFonts w:ascii="Palatino Linotype" w:eastAsia="Times New Roman" w:hAnsi="Palatino Linotype" w:cs="Arial"/>
          <w:i/>
          <w:sz w:val="24"/>
          <w:szCs w:val="24"/>
          <w:lang w:val="es-ES" w:eastAsia="es-ES"/>
        </w:rPr>
        <w:t>cada unidad administrativa;</w:t>
      </w:r>
    </w:p>
    <w:p w14:paraId="000A377D" w14:textId="2CA859AF" w:rsidR="007E1766" w:rsidRP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XI. Las contrataciones de servicio</w:t>
      </w:r>
      <w:r>
        <w:rPr>
          <w:rFonts w:ascii="Palatino Linotype" w:eastAsia="Times New Roman" w:hAnsi="Palatino Linotype" w:cs="Arial"/>
          <w:i/>
          <w:sz w:val="24"/>
          <w:szCs w:val="24"/>
          <w:lang w:val="es-ES" w:eastAsia="es-ES"/>
        </w:rPr>
        <w:t xml:space="preserve">s profesionales por honorarios, </w:t>
      </w:r>
      <w:r w:rsidRPr="007E1766">
        <w:rPr>
          <w:rFonts w:ascii="Palatino Linotype" w:eastAsia="Times New Roman" w:hAnsi="Palatino Linotype" w:cs="Arial"/>
          <w:i/>
          <w:sz w:val="24"/>
          <w:szCs w:val="24"/>
          <w:lang w:val="es-ES" w:eastAsia="es-ES"/>
        </w:rPr>
        <w:t>señalando los nombres de lo</w:t>
      </w:r>
      <w:r>
        <w:rPr>
          <w:rFonts w:ascii="Palatino Linotype" w:eastAsia="Times New Roman" w:hAnsi="Palatino Linotype" w:cs="Arial"/>
          <w:i/>
          <w:sz w:val="24"/>
          <w:szCs w:val="24"/>
          <w:lang w:val="es-ES" w:eastAsia="es-ES"/>
        </w:rPr>
        <w:t xml:space="preserve">s prestadores de servicios, los </w:t>
      </w:r>
      <w:r w:rsidRPr="007E1766">
        <w:rPr>
          <w:rFonts w:ascii="Palatino Linotype" w:eastAsia="Times New Roman" w:hAnsi="Palatino Linotype" w:cs="Arial"/>
          <w:i/>
          <w:sz w:val="24"/>
          <w:szCs w:val="24"/>
          <w:lang w:val="es-ES" w:eastAsia="es-ES"/>
        </w:rPr>
        <w:t>servicios contratados, el monto de</w:t>
      </w:r>
      <w:r>
        <w:rPr>
          <w:rFonts w:ascii="Palatino Linotype" w:eastAsia="Times New Roman" w:hAnsi="Palatino Linotype" w:cs="Arial"/>
          <w:i/>
          <w:sz w:val="24"/>
          <w:szCs w:val="24"/>
          <w:lang w:val="es-ES" w:eastAsia="es-ES"/>
        </w:rPr>
        <w:t xml:space="preserve"> los honorarios y el periodo de </w:t>
      </w:r>
      <w:r w:rsidRPr="007E1766">
        <w:rPr>
          <w:rFonts w:ascii="Palatino Linotype" w:eastAsia="Times New Roman" w:hAnsi="Palatino Linotype" w:cs="Arial"/>
          <w:i/>
          <w:sz w:val="24"/>
          <w:szCs w:val="24"/>
          <w:lang w:val="es-ES" w:eastAsia="es-ES"/>
        </w:rPr>
        <w:t>contratación;</w:t>
      </w:r>
    </w:p>
    <w:p w14:paraId="752ADFCC" w14:textId="3643655E" w:rsidR="007E1766" w:rsidRDefault="007E1766" w:rsidP="00B16C87">
      <w:pPr>
        <w:autoSpaceDE w:val="0"/>
        <w:autoSpaceDN w:val="0"/>
        <w:adjustRightInd w:val="0"/>
        <w:spacing w:after="0" w:line="360" w:lineRule="auto"/>
        <w:ind w:left="709"/>
        <w:jc w:val="both"/>
        <w:rPr>
          <w:rFonts w:ascii="Palatino Linotype" w:eastAsia="Times New Roman" w:hAnsi="Palatino Linotype" w:cs="Arial"/>
          <w:i/>
          <w:sz w:val="24"/>
          <w:szCs w:val="24"/>
          <w:lang w:val="es-ES" w:eastAsia="es-ES"/>
        </w:rPr>
      </w:pPr>
      <w:r w:rsidRPr="007E1766">
        <w:rPr>
          <w:rFonts w:ascii="Palatino Linotype" w:eastAsia="Times New Roman" w:hAnsi="Palatino Linotype" w:cs="Arial"/>
          <w:i/>
          <w:sz w:val="24"/>
          <w:szCs w:val="24"/>
          <w:lang w:val="es-ES" w:eastAsia="es-ES"/>
        </w:rPr>
        <w:t>XII. El perfil de los puestos de los servi</w:t>
      </w:r>
      <w:r w:rsidR="00671177">
        <w:rPr>
          <w:rFonts w:ascii="Palatino Linotype" w:eastAsia="Times New Roman" w:hAnsi="Palatino Linotype" w:cs="Arial"/>
          <w:i/>
          <w:sz w:val="24"/>
          <w:szCs w:val="24"/>
          <w:lang w:val="es-ES" w:eastAsia="es-ES"/>
        </w:rPr>
        <w:t xml:space="preserve">dores públicos a su servicio en </w:t>
      </w:r>
      <w:r w:rsidRPr="007E1766">
        <w:rPr>
          <w:rFonts w:ascii="Palatino Linotype" w:eastAsia="Times New Roman" w:hAnsi="Palatino Linotype" w:cs="Arial"/>
          <w:i/>
          <w:sz w:val="24"/>
          <w:szCs w:val="24"/>
          <w:lang w:val="es-ES" w:eastAsia="es-ES"/>
        </w:rPr>
        <w:t>los casos que aplique;</w:t>
      </w:r>
    </w:p>
    <w:p w14:paraId="0329BF96" w14:textId="77777777" w:rsidR="00671177" w:rsidRDefault="00671177" w:rsidP="00B16C87">
      <w:pPr>
        <w:autoSpaceDE w:val="0"/>
        <w:autoSpaceDN w:val="0"/>
        <w:adjustRightInd w:val="0"/>
        <w:spacing w:after="0" w:line="360" w:lineRule="auto"/>
        <w:contextualSpacing/>
        <w:jc w:val="both"/>
        <w:rPr>
          <w:rFonts w:ascii="Palatino Linotype" w:eastAsia="Times New Roman" w:hAnsi="Palatino Linotype" w:cs="Arial"/>
          <w:i/>
          <w:sz w:val="24"/>
          <w:szCs w:val="24"/>
          <w:lang w:val="es-ES" w:eastAsia="es-ES"/>
        </w:rPr>
      </w:pPr>
    </w:p>
    <w:p w14:paraId="73A797DC" w14:textId="668C4520" w:rsidR="00671177" w:rsidRDefault="00671177" w:rsidP="00B16C8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Asimismo del artículo 24 fracción XII puede desprenderse que los Sujetos Obligados deberán mantener actualizada su información en aras de garantizar la transparencia, tal como se muestra a continuación:</w:t>
      </w:r>
    </w:p>
    <w:p w14:paraId="286FDD5F" w14:textId="77777777" w:rsidR="00671177" w:rsidRDefault="00671177" w:rsidP="00B16C87">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50FEFB57" w14:textId="7EE10B75" w:rsidR="00671177" w:rsidRPr="00C60789" w:rsidRDefault="00671177" w:rsidP="00B16C87">
      <w:pPr>
        <w:autoSpaceDE w:val="0"/>
        <w:autoSpaceDN w:val="0"/>
        <w:adjustRightInd w:val="0"/>
        <w:spacing w:after="0" w:line="360" w:lineRule="auto"/>
        <w:ind w:left="709"/>
        <w:contextualSpacing/>
        <w:jc w:val="both"/>
        <w:rPr>
          <w:rFonts w:ascii="Palatino Linotype" w:eastAsia="Times New Roman" w:hAnsi="Palatino Linotype" w:cs="Arial"/>
          <w:i/>
          <w:szCs w:val="24"/>
          <w:lang w:val="es-ES" w:eastAsia="es-ES"/>
        </w:rPr>
      </w:pPr>
      <w:r w:rsidRPr="00C60789">
        <w:rPr>
          <w:rFonts w:ascii="Palatino Linotype" w:eastAsia="Times New Roman" w:hAnsi="Palatino Linotype" w:cs="Arial"/>
          <w:i/>
          <w:szCs w:val="24"/>
          <w:lang w:val="es-ES" w:eastAsia="es-ES"/>
        </w:rPr>
        <w:t>Artículo 24. Para el cumplimiento de los objetivos de esta Ley, los sujetos obligados deberán cumplir con las siguientes obligaciones, según corresponda, de acuerdo a su naturaleza:</w:t>
      </w:r>
    </w:p>
    <w:p w14:paraId="5FCF2C55" w14:textId="70A1FF7F" w:rsidR="00671177" w:rsidRPr="00C60789" w:rsidRDefault="00671177" w:rsidP="00B16C87">
      <w:pPr>
        <w:autoSpaceDE w:val="0"/>
        <w:autoSpaceDN w:val="0"/>
        <w:adjustRightInd w:val="0"/>
        <w:spacing w:after="0" w:line="360" w:lineRule="auto"/>
        <w:ind w:left="709"/>
        <w:contextualSpacing/>
        <w:jc w:val="both"/>
        <w:rPr>
          <w:rFonts w:ascii="Palatino Linotype" w:eastAsia="Times New Roman" w:hAnsi="Palatino Linotype" w:cs="Arial"/>
          <w:i/>
          <w:szCs w:val="24"/>
          <w:u w:val="single"/>
          <w:lang w:val="es-ES" w:eastAsia="es-ES"/>
        </w:rPr>
      </w:pPr>
      <w:r w:rsidRPr="00C60789">
        <w:rPr>
          <w:rFonts w:ascii="Palatino Linotype" w:eastAsia="Times New Roman" w:hAnsi="Palatino Linotype" w:cs="Arial"/>
          <w:i/>
          <w:szCs w:val="24"/>
          <w:u w:val="single"/>
          <w:lang w:val="es-ES" w:eastAsia="es-ES"/>
        </w:rPr>
        <w:t>XII. Publicar y mantener actualizada la información relativa a las obligaciones generales de transparencia previstas en la presente</w:t>
      </w:r>
    </w:p>
    <w:p w14:paraId="1A817E31" w14:textId="4A846DBD" w:rsidR="00671177" w:rsidRPr="00C60789" w:rsidRDefault="00671177" w:rsidP="00B16C87">
      <w:pPr>
        <w:autoSpaceDE w:val="0"/>
        <w:autoSpaceDN w:val="0"/>
        <w:adjustRightInd w:val="0"/>
        <w:spacing w:after="0" w:line="360" w:lineRule="auto"/>
        <w:ind w:left="709"/>
        <w:contextualSpacing/>
        <w:jc w:val="both"/>
        <w:rPr>
          <w:rFonts w:ascii="Palatino Linotype" w:eastAsia="Times New Roman" w:hAnsi="Palatino Linotype" w:cs="Arial"/>
          <w:i/>
          <w:szCs w:val="24"/>
          <w:u w:val="single"/>
          <w:lang w:val="es-ES" w:eastAsia="es-ES"/>
        </w:rPr>
      </w:pPr>
      <w:r w:rsidRPr="00C60789">
        <w:rPr>
          <w:rFonts w:ascii="Palatino Linotype" w:eastAsia="Times New Roman" w:hAnsi="Palatino Linotype" w:cs="Arial"/>
          <w:i/>
          <w:szCs w:val="24"/>
          <w:u w:val="single"/>
          <w:lang w:val="es-ES" w:eastAsia="es-ES"/>
        </w:rPr>
        <w:lastRenderedPageBreak/>
        <w:t>Ley o determinadas así por el Instituto, y en general aquel</w:t>
      </w:r>
      <w:r w:rsidR="00C60789" w:rsidRPr="00C60789">
        <w:rPr>
          <w:rFonts w:ascii="Palatino Linotype" w:eastAsia="Times New Roman" w:hAnsi="Palatino Linotype" w:cs="Arial"/>
          <w:i/>
          <w:szCs w:val="24"/>
          <w:u w:val="single"/>
          <w:lang w:val="es-ES" w:eastAsia="es-ES"/>
        </w:rPr>
        <w:t xml:space="preserve">la que sea de interés público; </w:t>
      </w:r>
    </w:p>
    <w:p w14:paraId="141A2830" w14:textId="77777777" w:rsidR="00C60789" w:rsidRDefault="00C60789" w:rsidP="00B16C87">
      <w:pPr>
        <w:autoSpaceDE w:val="0"/>
        <w:autoSpaceDN w:val="0"/>
        <w:adjustRightInd w:val="0"/>
        <w:spacing w:after="0" w:line="360" w:lineRule="auto"/>
        <w:ind w:left="709"/>
        <w:contextualSpacing/>
        <w:jc w:val="both"/>
        <w:rPr>
          <w:rFonts w:ascii="Palatino Linotype" w:eastAsia="Times New Roman" w:hAnsi="Palatino Linotype" w:cs="Arial"/>
          <w:i/>
          <w:sz w:val="28"/>
          <w:szCs w:val="24"/>
          <w:u w:val="single"/>
          <w:lang w:val="es-ES" w:eastAsia="es-ES"/>
        </w:rPr>
      </w:pPr>
    </w:p>
    <w:p w14:paraId="23C60E5C" w14:textId="77777777" w:rsidR="00C60789" w:rsidRPr="00524C4D" w:rsidRDefault="00C60789" w:rsidP="00B16C87">
      <w:pPr>
        <w:shd w:val="clear" w:color="auto" w:fill="FFFFFF"/>
        <w:spacing w:after="0" w:line="360" w:lineRule="auto"/>
        <w:contextualSpacing/>
        <w:jc w:val="both"/>
        <w:rPr>
          <w:rFonts w:ascii="Palatino Linotype" w:eastAsia="Calibri" w:hAnsi="Palatino Linotype" w:cs="Arial"/>
          <w:sz w:val="24"/>
          <w:szCs w:val="24"/>
          <w:lang w:val="es-ES_tradnl"/>
        </w:rPr>
      </w:pPr>
      <w:r w:rsidRPr="00524C4D">
        <w:rPr>
          <w:rFonts w:ascii="Palatino Linotype" w:eastAsia="Calibri" w:hAnsi="Palatino Linotype" w:cs="Arial"/>
          <w:sz w:val="24"/>
          <w:szCs w:val="24"/>
        </w:rPr>
        <w:t>En ese apartado, es necesario señalar que este Órgano Garante</w:t>
      </w:r>
      <w:r w:rsidRPr="00524C4D">
        <w:rPr>
          <w:rFonts w:ascii="Palatino Linotype" w:eastAsia="Calibri" w:hAnsi="Palatino Linotype" w:cs="Arial"/>
          <w:sz w:val="24"/>
          <w:szCs w:val="24"/>
          <w:lang w:val="es-ES_tradnl"/>
        </w:rPr>
        <w:t xml:space="preserve"> no se encuentra facultado para manifestarse sobre la veracidad de la información proporcionada por parte de los </w:t>
      </w:r>
      <w:r w:rsidRPr="00524C4D">
        <w:rPr>
          <w:rFonts w:ascii="Palatino Linotype" w:eastAsia="Calibri" w:hAnsi="Palatino Linotype" w:cs="Arial"/>
          <w:b/>
          <w:sz w:val="24"/>
          <w:szCs w:val="24"/>
          <w:lang w:val="es-ES_tradnl"/>
        </w:rPr>
        <w:t>sujetos obligados</w:t>
      </w:r>
      <w:r w:rsidRPr="00524C4D">
        <w:rPr>
          <w:rFonts w:ascii="Palatino Linotype" w:eastAsia="Calibri" w:hAnsi="Palatino Linotype" w:cs="Arial"/>
          <w:sz w:val="24"/>
          <w:szCs w:val="24"/>
          <w:lang w:val="es-ES_tradnl"/>
        </w:rPr>
        <w:t>, conforme a lo establecido en el Criterio 31/10 emitido por el Instituto Nacional de Transparencia, Acceso a la Información Pública y Protección de Datos Personales INAI (anteriormente IFAI) que se procede a citar a continuación:</w:t>
      </w:r>
    </w:p>
    <w:p w14:paraId="00219EE4" w14:textId="77777777" w:rsidR="00C60789" w:rsidRPr="00524C4D" w:rsidRDefault="00C60789" w:rsidP="00B16C87">
      <w:pPr>
        <w:shd w:val="clear" w:color="auto" w:fill="FFFFFF"/>
        <w:spacing w:after="0" w:line="360" w:lineRule="auto"/>
        <w:contextualSpacing/>
        <w:jc w:val="both"/>
        <w:rPr>
          <w:rFonts w:ascii="Palatino Linotype" w:eastAsia="Calibri" w:hAnsi="Palatino Linotype" w:cs="Arial"/>
          <w:sz w:val="24"/>
          <w:szCs w:val="24"/>
        </w:rPr>
      </w:pPr>
    </w:p>
    <w:p w14:paraId="24D93E89"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lang w:eastAsia="es-ES"/>
        </w:rPr>
      </w:pPr>
      <w:r w:rsidRPr="00524C4D">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524C4D">
        <w:rPr>
          <w:rFonts w:ascii="Palatino Linotype" w:eastAsia="MS Mincho" w:hAnsi="Palatino Linotype" w:cs="Arial"/>
          <w:i/>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D40DFF8"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lang w:eastAsia="es-ES"/>
        </w:rPr>
      </w:pPr>
    </w:p>
    <w:p w14:paraId="7CDCF8EB"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Expedientes:</w:t>
      </w:r>
    </w:p>
    <w:p w14:paraId="444648AE"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2440/07 Comisión Federal de Electricidad - Alonso Lujambio Irazábal</w:t>
      </w:r>
    </w:p>
    <w:p w14:paraId="575F180C"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0113/09 Instituto de Seguridad y Servicios Sociales de los Trabajadores del</w:t>
      </w:r>
    </w:p>
    <w:p w14:paraId="762A6038"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Estado – Alonso Lujambio Irazábal</w:t>
      </w:r>
    </w:p>
    <w:p w14:paraId="52BA38B5"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1624/09 Instituto Nacional para la Educación de los Adultos - María Marván Laborde</w:t>
      </w:r>
    </w:p>
    <w:p w14:paraId="4D1E550A"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2395/09 Secretaría de Economía - María Marván Laborde</w:t>
      </w:r>
    </w:p>
    <w:p w14:paraId="1FB13FF2" w14:textId="77777777" w:rsidR="00C60789" w:rsidRPr="00524C4D" w:rsidRDefault="00C60789" w:rsidP="00B16C87">
      <w:pPr>
        <w:tabs>
          <w:tab w:val="left" w:pos="8222"/>
        </w:tabs>
        <w:spacing w:after="0" w:line="240" w:lineRule="auto"/>
        <w:ind w:left="567"/>
        <w:contextualSpacing/>
        <w:jc w:val="both"/>
        <w:rPr>
          <w:rFonts w:ascii="Palatino Linotype" w:eastAsia="MS Mincho" w:hAnsi="Palatino Linotype" w:cs="Arial"/>
          <w:i/>
          <w:sz w:val="20"/>
          <w:lang w:eastAsia="es-ES"/>
        </w:rPr>
      </w:pPr>
      <w:r w:rsidRPr="00524C4D">
        <w:rPr>
          <w:rFonts w:ascii="Palatino Linotype" w:eastAsia="MS Mincho" w:hAnsi="Palatino Linotype" w:cs="Arial"/>
          <w:i/>
          <w:sz w:val="20"/>
          <w:lang w:eastAsia="es-ES"/>
        </w:rPr>
        <w:t>0837/10 Administración Portuaria Integral de Veracruz, S.A. de C.V. – María Marván Laborde.</w:t>
      </w:r>
    </w:p>
    <w:p w14:paraId="6DEEDC30" w14:textId="77777777" w:rsidR="00C60789" w:rsidRDefault="00C60789" w:rsidP="00B16C87">
      <w:pPr>
        <w:spacing w:after="0" w:line="360" w:lineRule="auto"/>
        <w:jc w:val="both"/>
        <w:rPr>
          <w:rFonts w:ascii="Palatino Linotype" w:eastAsia="Times New Roman" w:hAnsi="Palatino Linotype" w:cs="Times New Roman"/>
          <w:noProof/>
          <w:sz w:val="24"/>
          <w:szCs w:val="24"/>
          <w:lang w:val="es-ES" w:eastAsia="es-MX"/>
        </w:rPr>
      </w:pPr>
    </w:p>
    <w:p w14:paraId="7F81FCE5" w14:textId="77777777" w:rsidR="00C60789" w:rsidRPr="009B504D" w:rsidRDefault="00C60789" w:rsidP="00B16C87">
      <w:pPr>
        <w:spacing w:after="0" w:line="360" w:lineRule="auto"/>
        <w:jc w:val="both"/>
        <w:rPr>
          <w:rFonts w:ascii="Palatino Linotype" w:eastAsiaTheme="minorEastAsia" w:hAnsi="Palatino Linotype" w:cs="Arial"/>
          <w:sz w:val="24"/>
          <w:szCs w:val="24"/>
          <w:lang w:val="es-ES_tradnl" w:eastAsia="es-ES"/>
        </w:rPr>
      </w:pPr>
      <w:r w:rsidRPr="007275EB">
        <w:rPr>
          <w:rFonts w:ascii="Palatino Linotype" w:eastAsiaTheme="minorEastAsia" w:hAnsi="Palatino Linotype" w:cs="Arial"/>
          <w:sz w:val="24"/>
          <w:szCs w:val="24"/>
          <w:lang w:val="es-ES_tradnl" w:eastAsia="es-ES"/>
        </w:rPr>
        <w:t>Es con base en las consideraciones de hecho y de derecho precisadas en párrafos anterior</w:t>
      </w:r>
      <w:r>
        <w:rPr>
          <w:rFonts w:ascii="Palatino Linotype" w:eastAsiaTheme="minorEastAsia" w:hAnsi="Palatino Linotype" w:cs="Arial"/>
          <w:sz w:val="24"/>
          <w:szCs w:val="24"/>
          <w:lang w:val="es-ES_tradnl" w:eastAsia="es-ES"/>
        </w:rPr>
        <w:t xml:space="preserve">es, que se tiene por acreditada la imposibilidad de hacer pública la </w:t>
      </w:r>
      <w:r>
        <w:rPr>
          <w:rFonts w:ascii="Palatino Linotype" w:eastAsiaTheme="minorEastAsia" w:hAnsi="Palatino Linotype" w:cs="Arial"/>
          <w:sz w:val="24"/>
          <w:szCs w:val="24"/>
          <w:lang w:val="es-ES_tradnl" w:eastAsia="es-ES"/>
        </w:rPr>
        <w:lastRenderedPageBreak/>
        <w:t xml:space="preserve">información al consistir en un hecho negativo a cargo del </w:t>
      </w:r>
      <w:r>
        <w:rPr>
          <w:rFonts w:ascii="Palatino Linotype" w:eastAsiaTheme="minorEastAsia" w:hAnsi="Palatino Linotype" w:cs="Arial"/>
          <w:b/>
          <w:sz w:val="24"/>
          <w:szCs w:val="24"/>
          <w:lang w:val="es-ES_tradnl" w:eastAsia="es-ES"/>
        </w:rPr>
        <w:t>sujeto obligado</w:t>
      </w:r>
      <w:r w:rsidRPr="007275EB">
        <w:rPr>
          <w:rFonts w:ascii="Palatino Linotype" w:eastAsiaTheme="minorEastAsia" w:hAnsi="Palatino Linotype" w:cs="Arial"/>
          <w:sz w:val="24"/>
          <w:szCs w:val="24"/>
          <w:lang w:val="es-ES_tradnl" w:eastAsia="es-ES"/>
        </w:rPr>
        <w:t xml:space="preserve">, </w:t>
      </w:r>
      <w:r>
        <w:rPr>
          <w:rFonts w:ascii="Palatino Linotype" w:eastAsia="Calibri" w:hAnsi="Palatino Linotype" w:cs="Times New Roman"/>
          <w:sz w:val="24"/>
          <w:szCs w:val="24"/>
          <w:lang w:val="es-ES_tradnl" w:eastAsia="es-ES"/>
        </w:rPr>
        <w:t xml:space="preserve">en ese sentido se </w:t>
      </w:r>
      <w:r w:rsidRPr="007275EB">
        <w:rPr>
          <w:rFonts w:ascii="Palatino Linotype" w:eastAsiaTheme="minorEastAsia" w:hAnsi="Palatino Linotype" w:cs="Arial"/>
          <w:sz w:val="24"/>
          <w:szCs w:val="24"/>
          <w:lang w:val="es-ES_tradnl" w:eastAsia="es-ES"/>
        </w:rPr>
        <w:t xml:space="preserve">actualiza lo consagrado en la fracción III del artículo 192, de la </w:t>
      </w:r>
      <w:r w:rsidRPr="007275EB">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7275EB">
        <w:rPr>
          <w:rFonts w:ascii="Palatino Linotype" w:eastAsiaTheme="minorEastAsia" w:hAnsi="Palatino Linotype" w:cs="Arial"/>
          <w:sz w:val="24"/>
          <w:szCs w:val="24"/>
          <w:lang w:val="es-ES_tradnl" w:eastAsia="es-ES"/>
        </w:rPr>
        <w:t>vigente, que a la letra señala:</w:t>
      </w:r>
    </w:p>
    <w:p w14:paraId="38CFC6EA"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Theme="minorEastAsia" w:hAnsi="Palatino Linotype" w:cs="Arial"/>
          <w:i/>
          <w:lang w:val="es-ES_tradnl" w:eastAsia="es-ES"/>
        </w:rPr>
      </w:pPr>
      <w:r w:rsidRPr="007275EB">
        <w:rPr>
          <w:rFonts w:ascii="Palatino Linotype" w:eastAsiaTheme="minorEastAsia" w:hAnsi="Palatino Linotype" w:cs="Arial"/>
          <w:b/>
          <w:bCs/>
          <w:i/>
          <w:lang w:val="es-ES_tradnl" w:eastAsia="es-ES"/>
        </w:rPr>
        <w:t xml:space="preserve">“Artículo 192. </w:t>
      </w:r>
      <w:r w:rsidRPr="007275EB">
        <w:rPr>
          <w:rFonts w:ascii="Palatino Linotype" w:eastAsiaTheme="minorEastAsia" w:hAnsi="Palatino Linotype" w:cs="Arial"/>
          <w:i/>
          <w:lang w:val="es-ES_tradnl" w:eastAsia="es-ES"/>
        </w:rPr>
        <w:t>El recurso será sobreseído, en todo o en parte, cuando una vez admitido, se actualicen alguno de los siguientes supuestos:</w:t>
      </w:r>
    </w:p>
    <w:p w14:paraId="160EE43D" w14:textId="77777777" w:rsidR="00C60789" w:rsidRPr="007275EB" w:rsidRDefault="00C60789" w:rsidP="00B16C87">
      <w:pPr>
        <w:autoSpaceDE w:val="0"/>
        <w:autoSpaceDN w:val="0"/>
        <w:adjustRightInd w:val="0"/>
        <w:spacing w:after="0" w:line="240" w:lineRule="auto"/>
        <w:ind w:left="567"/>
        <w:rPr>
          <w:rFonts w:ascii="Palatino Linotype" w:eastAsiaTheme="minorEastAsia" w:hAnsi="Palatino Linotype" w:cs="Arial"/>
          <w:i/>
          <w:lang w:eastAsia="es-ES"/>
        </w:rPr>
      </w:pPr>
      <w:r w:rsidRPr="007275EB">
        <w:rPr>
          <w:rFonts w:ascii="Palatino Linotype" w:eastAsiaTheme="minorEastAsia" w:hAnsi="Palatino Linotype" w:cs="Arial"/>
          <w:bCs/>
          <w:i/>
          <w:lang w:eastAsia="es-ES"/>
        </w:rPr>
        <w:t>(…)</w:t>
      </w:r>
    </w:p>
    <w:p w14:paraId="5456BAD8" w14:textId="77777777" w:rsidR="00C60789" w:rsidRPr="007275EB" w:rsidRDefault="00C60789" w:rsidP="00B16C87">
      <w:pPr>
        <w:autoSpaceDE w:val="0"/>
        <w:autoSpaceDN w:val="0"/>
        <w:adjustRightInd w:val="0"/>
        <w:spacing w:after="0" w:line="240" w:lineRule="auto"/>
        <w:ind w:left="567"/>
        <w:rPr>
          <w:rFonts w:ascii="Palatino Linotype" w:eastAsiaTheme="minorEastAsia" w:hAnsi="Palatino Linotype" w:cs="Arial"/>
          <w:i/>
          <w:lang w:eastAsia="es-ES"/>
        </w:rPr>
      </w:pPr>
      <w:r w:rsidRPr="007275EB">
        <w:rPr>
          <w:rFonts w:ascii="Palatino Linotype" w:eastAsiaTheme="minorEastAsia" w:hAnsi="Palatino Linotype" w:cs="Arial"/>
          <w:b/>
          <w:bCs/>
          <w:i/>
          <w:lang w:eastAsia="es-ES"/>
        </w:rPr>
        <w:t xml:space="preserve">III. </w:t>
      </w:r>
      <w:r w:rsidRPr="007275EB">
        <w:rPr>
          <w:rFonts w:ascii="Palatino Linotype" w:eastAsiaTheme="minorEastAsia" w:hAnsi="Palatino Linotype" w:cs="Arial"/>
          <w:i/>
          <w:u w:val="single"/>
          <w:lang w:eastAsia="es-ES"/>
        </w:rPr>
        <w:t xml:space="preserve">El sujeto obligado responsable del acto lo </w:t>
      </w:r>
      <w:r w:rsidRPr="007275EB">
        <w:rPr>
          <w:rFonts w:ascii="Palatino Linotype" w:eastAsiaTheme="minorEastAsia" w:hAnsi="Palatino Linotype" w:cs="Arial"/>
          <w:b/>
          <w:i/>
          <w:u w:val="single"/>
          <w:lang w:eastAsia="es-ES"/>
        </w:rPr>
        <w:t>modifique</w:t>
      </w:r>
      <w:r w:rsidRPr="007275EB">
        <w:rPr>
          <w:rFonts w:ascii="Palatino Linotype" w:eastAsiaTheme="minorEastAsia" w:hAnsi="Palatino Linotype" w:cs="Arial"/>
          <w:i/>
          <w:u w:val="single"/>
          <w:lang w:eastAsia="es-ES"/>
        </w:rPr>
        <w:t xml:space="preserve"> o revoque de tal manera que el recurso de revisión quede sin materia;</w:t>
      </w:r>
    </w:p>
    <w:p w14:paraId="1E4AE3A3"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Theme="minorEastAsia" w:hAnsi="Palatino Linotype" w:cs="Arial"/>
          <w:i/>
          <w:lang w:eastAsia="es-ES"/>
        </w:rPr>
      </w:pPr>
      <w:r w:rsidRPr="007275EB">
        <w:rPr>
          <w:rFonts w:ascii="Palatino Linotype" w:eastAsiaTheme="minorEastAsia" w:hAnsi="Palatino Linotype" w:cs="Arial"/>
          <w:i/>
          <w:lang w:eastAsia="es-ES"/>
        </w:rPr>
        <w:t>(…)</w:t>
      </w:r>
    </w:p>
    <w:p w14:paraId="3A0B9EA9"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Theme="minorEastAsia" w:hAnsi="Palatino Linotype" w:cs="Arial"/>
          <w:lang w:eastAsia="es-ES"/>
        </w:rPr>
      </w:pPr>
    </w:p>
    <w:p w14:paraId="6AD286F1" w14:textId="77777777" w:rsidR="00C60789" w:rsidRPr="007275EB" w:rsidRDefault="00C60789" w:rsidP="00B16C87">
      <w:pPr>
        <w:autoSpaceDE w:val="0"/>
        <w:autoSpaceDN w:val="0"/>
        <w:adjustRightInd w:val="0"/>
        <w:spacing w:after="0" w:line="240" w:lineRule="auto"/>
        <w:ind w:left="567"/>
        <w:contextualSpacing/>
        <w:jc w:val="right"/>
        <w:rPr>
          <w:rFonts w:ascii="Palatino Linotype" w:eastAsiaTheme="minorEastAsia" w:hAnsi="Palatino Linotype" w:cs="Arial"/>
          <w:lang w:eastAsia="es-ES"/>
        </w:rPr>
      </w:pPr>
      <w:r w:rsidRPr="007275EB">
        <w:rPr>
          <w:rFonts w:ascii="Palatino Linotype" w:eastAsiaTheme="minorEastAsia" w:hAnsi="Palatino Linotype" w:cs="Arial"/>
          <w:lang w:eastAsia="es-ES"/>
        </w:rPr>
        <w:t>(Énfasis añadido)</w:t>
      </w:r>
    </w:p>
    <w:p w14:paraId="298FCBAE" w14:textId="77777777" w:rsidR="00C60789" w:rsidRDefault="00C60789" w:rsidP="00B16C87">
      <w:pPr>
        <w:spacing w:after="0" w:line="360" w:lineRule="auto"/>
        <w:jc w:val="both"/>
        <w:rPr>
          <w:rFonts w:ascii="Palatino Linotype" w:eastAsiaTheme="minorEastAsia" w:hAnsi="Palatino Linotype"/>
          <w:sz w:val="24"/>
          <w:szCs w:val="24"/>
        </w:rPr>
      </w:pPr>
    </w:p>
    <w:p w14:paraId="0C859D11" w14:textId="77777777" w:rsidR="00C60789" w:rsidRPr="007275EB" w:rsidRDefault="00C60789" w:rsidP="00B16C87">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Theme="minorEastAsia" w:hAnsi="Palatino Linotype"/>
          <w:sz w:val="24"/>
          <w:szCs w:val="24"/>
        </w:rPr>
        <w:t xml:space="preserve">Artículo </w:t>
      </w:r>
      <w:r w:rsidRPr="007275EB">
        <w:rPr>
          <w:rFonts w:ascii="Palatino Linotype" w:eastAsia="Batang" w:hAnsi="Palatino Linotype" w:cs="Arial"/>
          <w:sz w:val="24"/>
          <w:szCs w:val="24"/>
          <w:lang w:val="es-ES_tradnl" w:eastAsia="es-ES"/>
        </w:rPr>
        <w:t xml:space="preserve">de la Ley de Transparencia y Acceso a la Información Pública del Estado de México y Municipios, la procedencia para sobreseer el recurso de revisión cuando el </w:t>
      </w:r>
      <w:r w:rsidRPr="007275EB">
        <w:rPr>
          <w:rFonts w:ascii="Palatino Linotype" w:eastAsia="Batang" w:hAnsi="Palatino Linotype" w:cs="Arial"/>
          <w:b/>
          <w:sz w:val="24"/>
          <w:szCs w:val="24"/>
          <w:lang w:val="es-ES_tradnl" w:eastAsia="es-ES"/>
        </w:rPr>
        <w:t>sujeto obligado</w:t>
      </w:r>
      <w:r w:rsidRPr="007275EB">
        <w:rPr>
          <w:rFonts w:ascii="Palatino Linotype" w:eastAsia="Batang" w:hAnsi="Palatino Linotype" w:cs="Arial"/>
          <w:sz w:val="24"/>
          <w:szCs w:val="24"/>
          <w:lang w:val="es-ES_tradnl" w:eastAsia="es-ES"/>
        </w:rPr>
        <w:t xml:space="preserve"> mediante un acto posterior, revoque o modifique el acto de origen del recurso de tal manera que se quede sin materia.</w:t>
      </w:r>
    </w:p>
    <w:p w14:paraId="7CE75A42" w14:textId="77777777" w:rsidR="00C60789" w:rsidRPr="007275EB" w:rsidRDefault="00C60789" w:rsidP="00B16C87">
      <w:pPr>
        <w:spacing w:after="0" w:line="360" w:lineRule="auto"/>
        <w:jc w:val="both"/>
        <w:rPr>
          <w:rFonts w:ascii="Palatino Linotype" w:eastAsia="Batang" w:hAnsi="Palatino Linotype" w:cs="Arial"/>
          <w:sz w:val="24"/>
          <w:szCs w:val="24"/>
          <w:lang w:val="es-ES_tradnl" w:eastAsia="es-ES"/>
        </w:rPr>
      </w:pPr>
    </w:p>
    <w:p w14:paraId="527E81F3" w14:textId="77777777" w:rsidR="00C60789" w:rsidRPr="007275EB" w:rsidRDefault="00C60789" w:rsidP="00B16C87">
      <w:pPr>
        <w:spacing w:after="0" w:line="360" w:lineRule="auto"/>
        <w:jc w:val="both"/>
        <w:rPr>
          <w:rFonts w:ascii="Palatino Linotype" w:eastAsia="Batang" w:hAnsi="Palatino Linotype" w:cs="Arial"/>
          <w:sz w:val="24"/>
          <w:szCs w:val="24"/>
          <w:lang w:val="es-ES_tradnl" w:eastAsia="es-ES"/>
        </w:rPr>
      </w:pPr>
      <w:r w:rsidRPr="007275EB">
        <w:rPr>
          <w:rFonts w:ascii="Palatino Linotype" w:eastAsia="Batang" w:hAnsi="Palatino Linotype" w:cs="Arial"/>
          <w:sz w:val="24"/>
          <w:szCs w:val="24"/>
          <w:lang w:val="es-ES" w:eastAsia="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5A4C1760" w14:textId="77777777" w:rsidR="00C60789" w:rsidRPr="007275EB" w:rsidRDefault="00C60789" w:rsidP="00B16C87">
      <w:pPr>
        <w:spacing w:after="0" w:line="360" w:lineRule="auto"/>
        <w:ind w:left="720"/>
        <w:contextualSpacing/>
        <w:rPr>
          <w:rFonts w:ascii="Palatino Linotype" w:eastAsia="Batang" w:hAnsi="Palatino Linotype" w:cs="Arial"/>
          <w:sz w:val="24"/>
          <w:szCs w:val="24"/>
          <w:lang w:val="es-ES_tradnl" w:eastAsia="es-ES"/>
        </w:rPr>
      </w:pPr>
    </w:p>
    <w:p w14:paraId="34299E62"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Batang" w:hAnsi="Palatino Linotype" w:cs="Arial"/>
          <w:b/>
          <w:i/>
          <w:szCs w:val="24"/>
          <w:lang w:val="es-AR" w:eastAsia="es-ES"/>
        </w:rPr>
      </w:pPr>
      <w:r w:rsidRPr="007275EB">
        <w:rPr>
          <w:rFonts w:ascii="Palatino Linotype" w:eastAsia="Batang" w:hAnsi="Palatino Linotype" w:cs="Arial"/>
          <w:b/>
          <w:i/>
          <w:szCs w:val="24"/>
          <w:lang w:val="es-AR" w:eastAsia="es-ES"/>
        </w:rPr>
        <w:t>SOBRESEIMIENTO EN EL JUICIO DE AMPARO DIRECTO. IMPIDE EL ESTUDIO DE LAS VIOLACIONES PROCESALES PLANTEADAS EN LOS CONCEPTOS DE VIOLACIÓN.</w:t>
      </w:r>
    </w:p>
    <w:p w14:paraId="3BADEDA5"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Batang" w:hAnsi="Palatino Linotype" w:cs="Arial"/>
          <w:i/>
          <w:szCs w:val="24"/>
          <w:lang w:val="es-AR" w:eastAsia="es-ES"/>
        </w:rPr>
      </w:pPr>
      <w:r w:rsidRPr="007275EB">
        <w:rPr>
          <w:rFonts w:ascii="Palatino Linotype" w:eastAsia="Batang" w:hAnsi="Palatino Linotype" w:cs="Arial"/>
          <w:b/>
          <w:i/>
          <w:szCs w:val="24"/>
          <w:lang w:val="es-AR" w:eastAsia="es-ES"/>
        </w:rPr>
        <w:t>El sobreseimiento</w:t>
      </w:r>
      <w:r w:rsidRPr="007275EB">
        <w:rPr>
          <w:rFonts w:ascii="Palatino Linotype" w:eastAsia="Batang" w:hAnsi="Palatino Linotype" w:cs="Arial"/>
          <w:i/>
          <w:szCs w:val="24"/>
          <w:lang w:val="es-AR" w:eastAsia="es-ES"/>
        </w:rPr>
        <w:t xml:space="preserve"> en el juicio de amparo directo </w:t>
      </w:r>
      <w:r w:rsidRPr="007275EB">
        <w:rPr>
          <w:rFonts w:ascii="Palatino Linotype" w:eastAsia="Batang" w:hAnsi="Palatino Linotype" w:cs="Arial"/>
          <w:b/>
          <w:i/>
          <w:szCs w:val="24"/>
          <w:lang w:val="es-AR" w:eastAsia="es-ES"/>
        </w:rPr>
        <w:t>provoca la terminación de la controversia planteada</w:t>
      </w:r>
      <w:r w:rsidRPr="007275EB">
        <w:rPr>
          <w:rFonts w:ascii="Palatino Linotype" w:eastAsia="Batang" w:hAnsi="Palatino Linotype" w:cs="Arial"/>
          <w:i/>
          <w:szCs w:val="24"/>
          <w:lang w:val="es-AR" w:eastAsia="es-ES"/>
        </w:rPr>
        <w:t xml:space="preserve"> por el quejoso en la demanda de amparo</w:t>
      </w:r>
      <w:r w:rsidRPr="007275EB">
        <w:rPr>
          <w:rFonts w:ascii="Palatino Linotype" w:eastAsia="Batang" w:hAnsi="Palatino Linotype" w:cs="Arial"/>
          <w:b/>
          <w:i/>
          <w:szCs w:val="24"/>
          <w:lang w:val="es-AR" w:eastAsia="es-ES"/>
        </w:rPr>
        <w:t>, sin hacer un pronunciamiento de fondo sobre la legalidad o ilegalidad de la sentencia reclamada</w:t>
      </w:r>
      <w:r w:rsidRPr="007275EB">
        <w:rPr>
          <w:rFonts w:ascii="Palatino Linotype" w:eastAsia="Batang" w:hAnsi="Palatino Linotype" w:cs="Arial"/>
          <w:i/>
          <w:szCs w:val="24"/>
          <w:lang w:val="es-AR" w:eastAsia="es-ES"/>
        </w:rPr>
        <w:t xml:space="preserve">. </w:t>
      </w:r>
      <w:r w:rsidRPr="007275EB">
        <w:rPr>
          <w:rFonts w:ascii="Palatino Linotype" w:eastAsia="Batang" w:hAnsi="Palatino Linotype" w:cs="Arial"/>
          <w:b/>
          <w:i/>
          <w:szCs w:val="24"/>
          <w:lang w:val="es-AR" w:eastAsia="es-ES"/>
        </w:rPr>
        <w:lastRenderedPageBreak/>
        <w:t xml:space="preserve">Por consiguiente, si al sobreseerse en el juicio de amparo </w:t>
      </w:r>
      <w:r w:rsidRPr="007275EB">
        <w:rPr>
          <w:rFonts w:ascii="Palatino Linotype" w:eastAsia="Batang" w:hAnsi="Palatino Linotype" w:cs="Arial"/>
          <w:b/>
          <w:i/>
          <w:szCs w:val="24"/>
          <w:u w:val="single"/>
          <w:lang w:val="es-AR" w:eastAsia="es-ES"/>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7275EB">
        <w:rPr>
          <w:rFonts w:ascii="Palatino Linotype" w:eastAsia="Batang" w:hAnsi="Palatino Linotype" w:cs="Arial"/>
          <w:i/>
          <w:szCs w:val="24"/>
          <w:lang w:val="es-AR" w:eastAsia="es-ES"/>
        </w:rPr>
        <w:t>.</w:t>
      </w:r>
    </w:p>
    <w:p w14:paraId="1A8296D4" w14:textId="77777777" w:rsidR="00C60789" w:rsidRPr="007275EB" w:rsidRDefault="00C60789" w:rsidP="00B16C87">
      <w:pPr>
        <w:autoSpaceDE w:val="0"/>
        <w:autoSpaceDN w:val="0"/>
        <w:adjustRightInd w:val="0"/>
        <w:spacing w:after="0" w:line="240" w:lineRule="auto"/>
        <w:ind w:lef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SÉPTIMO TRIBUNAL COLEGIADO EN MATERIA CIVIL DEL PRIMER CIRCUITO.</w:t>
      </w:r>
    </w:p>
    <w:p w14:paraId="1EE10C39" w14:textId="77777777" w:rsidR="00C60789" w:rsidRDefault="00C60789" w:rsidP="00B16C87">
      <w:pPr>
        <w:autoSpaceDE w:val="0"/>
        <w:autoSpaceDN w:val="0"/>
        <w:adjustRightInd w:val="0"/>
        <w:spacing w:after="0" w:line="240" w:lineRule="auto"/>
        <w:ind w:left="567"/>
        <w:contextualSpacing/>
        <w:jc w:val="both"/>
        <w:rPr>
          <w:rFonts w:ascii="Palatino Linotype" w:eastAsia="Batang" w:hAnsi="Palatino Linotype" w:cs="Arial"/>
          <w:i/>
          <w:sz w:val="20"/>
          <w:szCs w:val="24"/>
          <w:lang w:val="es-AR" w:eastAsia="es-ES"/>
        </w:rPr>
      </w:pPr>
      <w:r w:rsidRPr="007275EB">
        <w:rPr>
          <w:rFonts w:ascii="Palatino Linotype" w:eastAsia="Batang" w:hAnsi="Palatino Linotype" w:cs="Arial"/>
          <w:i/>
          <w:sz w:val="20"/>
          <w:szCs w:val="24"/>
          <w:lang w:val="es-AR" w:eastAsia="es-ES"/>
        </w:rPr>
        <w:t>Amparo directo 699/2008. Mariana Leticia González Steele. 13 de noviembre de 2008. Unanimidad de votos. Ponente: Sara Judith Montalvo Trejo. Secretario: Arnulfo Mateos García.</w:t>
      </w:r>
    </w:p>
    <w:p w14:paraId="3A9EABF1" w14:textId="77777777" w:rsidR="00C60789" w:rsidRDefault="00C60789" w:rsidP="00B16C87">
      <w:pPr>
        <w:autoSpaceDE w:val="0"/>
        <w:autoSpaceDN w:val="0"/>
        <w:adjustRightInd w:val="0"/>
        <w:spacing w:after="0" w:line="240" w:lineRule="auto"/>
        <w:ind w:left="567"/>
        <w:contextualSpacing/>
        <w:jc w:val="both"/>
        <w:rPr>
          <w:rFonts w:ascii="Palatino Linotype" w:eastAsia="Batang" w:hAnsi="Palatino Linotype" w:cs="Arial"/>
          <w:sz w:val="20"/>
          <w:szCs w:val="24"/>
          <w:lang w:val="es-AR" w:eastAsia="es-ES"/>
        </w:rPr>
      </w:pPr>
    </w:p>
    <w:p w14:paraId="74371018" w14:textId="77777777" w:rsidR="00C60789" w:rsidRPr="00AB77F6" w:rsidRDefault="00C60789" w:rsidP="00B16C87">
      <w:pPr>
        <w:autoSpaceDE w:val="0"/>
        <w:autoSpaceDN w:val="0"/>
        <w:adjustRightInd w:val="0"/>
        <w:spacing w:after="0" w:line="240" w:lineRule="auto"/>
        <w:ind w:left="567"/>
        <w:contextualSpacing/>
        <w:jc w:val="right"/>
        <w:rPr>
          <w:rFonts w:ascii="Palatino Linotype" w:eastAsia="Batang" w:hAnsi="Palatino Linotype" w:cs="Arial"/>
          <w:sz w:val="20"/>
          <w:szCs w:val="24"/>
          <w:lang w:val="es-AR" w:eastAsia="es-ES"/>
        </w:rPr>
      </w:pPr>
      <w:r>
        <w:rPr>
          <w:rFonts w:ascii="Palatino Linotype" w:eastAsia="Batang" w:hAnsi="Palatino Linotype" w:cs="Arial"/>
          <w:sz w:val="20"/>
          <w:szCs w:val="24"/>
          <w:lang w:val="es-AR" w:eastAsia="es-ES"/>
        </w:rPr>
        <w:t>(Énfasis añadido)</w:t>
      </w:r>
    </w:p>
    <w:p w14:paraId="7F7156DC" w14:textId="77777777" w:rsidR="00C60789" w:rsidRDefault="00C60789" w:rsidP="00B16C87">
      <w:pPr>
        <w:spacing w:after="0" w:line="360" w:lineRule="auto"/>
        <w:jc w:val="both"/>
        <w:rPr>
          <w:rFonts w:ascii="Palatino Linotype" w:eastAsia="Batang" w:hAnsi="Palatino Linotype" w:cs="Arial"/>
          <w:sz w:val="24"/>
          <w:szCs w:val="24"/>
          <w:lang w:val="es-ES" w:eastAsia="es-ES"/>
        </w:rPr>
      </w:pPr>
    </w:p>
    <w:p w14:paraId="3A1E36B9" w14:textId="77777777" w:rsidR="00C60789" w:rsidRPr="007275EB" w:rsidRDefault="00C60789" w:rsidP="00B16C87">
      <w:pPr>
        <w:spacing w:after="0" w:line="360" w:lineRule="auto"/>
        <w:jc w:val="both"/>
        <w:rPr>
          <w:rFonts w:ascii="Palatino Linotype" w:eastAsia="Batang" w:hAnsi="Palatino Linotype" w:cs="Arial"/>
          <w:sz w:val="24"/>
          <w:szCs w:val="24"/>
          <w:lang w:val="es-ES" w:eastAsia="es-ES"/>
        </w:rPr>
      </w:pPr>
      <w:r w:rsidRPr="007275EB">
        <w:rPr>
          <w:rFonts w:ascii="Palatino Linotype" w:eastAsia="Batang" w:hAnsi="Palatino Linotype" w:cs="Arial"/>
          <w:sz w:val="24"/>
          <w:szCs w:val="24"/>
          <w:lang w:val="es-ES" w:eastAsia="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7275EB">
        <w:rPr>
          <w:rFonts w:ascii="Palatino Linotype" w:eastAsia="Batang" w:hAnsi="Palatino Linotype" w:cs="Arial"/>
          <w:b/>
          <w:sz w:val="24"/>
          <w:szCs w:val="24"/>
          <w:lang w:val="es-ES" w:eastAsia="es-ES"/>
        </w:rPr>
        <w:t xml:space="preserve">192 </w:t>
      </w:r>
      <w:r w:rsidRPr="007275EB">
        <w:rPr>
          <w:rFonts w:ascii="Palatino Linotype" w:eastAsia="Batang" w:hAnsi="Palatino Linotype" w:cs="Arial"/>
          <w:sz w:val="24"/>
          <w:szCs w:val="24"/>
          <w:lang w:val="es-ES" w:eastAsia="es-ES"/>
        </w:rPr>
        <w:t xml:space="preserve">de la </w:t>
      </w:r>
      <w:r w:rsidRPr="007275EB">
        <w:rPr>
          <w:rFonts w:ascii="Palatino Linotype" w:eastAsia="Batang" w:hAnsi="Palatino Linotype" w:cs="Arial"/>
          <w:b/>
          <w:sz w:val="24"/>
          <w:szCs w:val="24"/>
          <w:lang w:val="es-ES" w:eastAsia="es-ES"/>
        </w:rPr>
        <w:t>Ley de Transparencia y Acceso a la Información Pública del Estado de México y Municipios</w:t>
      </w:r>
      <w:r w:rsidRPr="007275EB">
        <w:rPr>
          <w:rFonts w:ascii="Palatino Linotype" w:eastAsia="Batang" w:hAnsi="Palatino Linotype" w:cs="Arial"/>
          <w:sz w:val="24"/>
          <w:szCs w:val="24"/>
          <w:lang w:val="es-ES" w:eastAsia="es-ES"/>
        </w:rPr>
        <w:t>, nos encontramos ante un sobreseimiento definitivo toda vez que pone fin al procedimiento sin entrar al estudio de fondo del mismo.</w:t>
      </w:r>
    </w:p>
    <w:p w14:paraId="34263A57" w14:textId="77777777" w:rsidR="00C60789" w:rsidRDefault="00C60789" w:rsidP="00B16C87">
      <w:pPr>
        <w:spacing w:after="0" w:line="360" w:lineRule="auto"/>
        <w:jc w:val="both"/>
        <w:rPr>
          <w:rFonts w:ascii="Palatino Linotype" w:eastAsia="Batang" w:hAnsi="Palatino Linotype" w:cs="Arial"/>
          <w:sz w:val="24"/>
          <w:szCs w:val="24"/>
          <w:lang w:val="es-ES" w:eastAsia="es-ES"/>
        </w:rPr>
      </w:pPr>
    </w:p>
    <w:p w14:paraId="3998DAFF" w14:textId="77777777" w:rsidR="00C60789" w:rsidRDefault="00C60789" w:rsidP="00B16C87">
      <w:pPr>
        <w:spacing w:after="0" w:line="360" w:lineRule="auto"/>
        <w:jc w:val="both"/>
        <w:rPr>
          <w:rFonts w:ascii="Palatino Linotype" w:eastAsia="Batang" w:hAnsi="Palatino Linotype" w:cs="Arial"/>
          <w:sz w:val="24"/>
          <w:szCs w:val="24"/>
          <w:lang w:val="es-ES" w:eastAsia="es-ES"/>
        </w:rPr>
      </w:pPr>
    </w:p>
    <w:p w14:paraId="381635BD" w14:textId="77777777" w:rsidR="00C60789" w:rsidRDefault="00C60789" w:rsidP="00B16C87">
      <w:pPr>
        <w:pStyle w:val="Sinespaciado"/>
        <w:spacing w:line="360" w:lineRule="auto"/>
        <w:jc w:val="both"/>
        <w:rPr>
          <w:rFonts w:ascii="Palatino Linotype" w:hAnsi="Palatino Linotype"/>
        </w:rPr>
      </w:pPr>
      <w:r>
        <w:rPr>
          <w:rFonts w:ascii="Palatino Linotype" w:hAnsi="Palatino Linotype"/>
        </w:rPr>
        <w:t>Se observa que el Recurrente manifestó la falta de información clara y precisa; sin embargo, como se observó anteriormente, es evidente que el Sujeto Obligado hizo entrega de lo solicitado por el recurrente. En consecuencia, queda sin fundamento dicho motivo de inconformidad.</w:t>
      </w:r>
    </w:p>
    <w:p w14:paraId="471869FA" w14:textId="77777777" w:rsidR="00C60789" w:rsidRDefault="00C60789" w:rsidP="00B16C87">
      <w:pPr>
        <w:pStyle w:val="Sinespaciado"/>
        <w:spacing w:line="360" w:lineRule="auto"/>
        <w:jc w:val="both"/>
        <w:rPr>
          <w:rFonts w:ascii="Palatino Linotype" w:hAnsi="Palatino Linotype"/>
        </w:rPr>
      </w:pPr>
    </w:p>
    <w:p w14:paraId="0EA67F41" w14:textId="77777777" w:rsidR="00C60789" w:rsidRDefault="00C60789" w:rsidP="00B16C87">
      <w:pPr>
        <w:pStyle w:val="Sinespaciado"/>
        <w:spacing w:line="360" w:lineRule="auto"/>
        <w:jc w:val="both"/>
        <w:rPr>
          <w:rFonts w:ascii="Palatino Linotype" w:hAnsi="Palatino Linotype"/>
        </w:rPr>
      </w:pPr>
      <w:r>
        <w:rPr>
          <w:rFonts w:ascii="Palatino Linotype" w:hAnsi="Palatino Linotype"/>
        </w:rPr>
        <w:t>Por cuanto hace a los puntos restantes, el sujeto obligado tuvo a bien reafirmar que no cuenta con la información solicitada.</w:t>
      </w:r>
    </w:p>
    <w:p w14:paraId="246C9584" w14:textId="77777777" w:rsidR="00C60789" w:rsidRDefault="00C60789" w:rsidP="00B16C87">
      <w:pPr>
        <w:pStyle w:val="Sinespaciado"/>
        <w:spacing w:line="360" w:lineRule="auto"/>
        <w:jc w:val="both"/>
        <w:rPr>
          <w:rFonts w:ascii="Palatino Linotype" w:hAnsi="Palatino Linotype"/>
        </w:rPr>
      </w:pPr>
    </w:p>
    <w:p w14:paraId="74B0A591" w14:textId="77777777" w:rsidR="00C60789" w:rsidRPr="00AB48CB" w:rsidRDefault="00C60789" w:rsidP="00B16C87">
      <w:pPr>
        <w:pStyle w:val="Sinespaciado"/>
        <w:spacing w:line="360" w:lineRule="auto"/>
        <w:jc w:val="both"/>
        <w:rPr>
          <w:rFonts w:ascii="Palatino Linotype" w:hAnsi="Palatino Linotype"/>
        </w:rPr>
      </w:pPr>
      <w:r>
        <w:rPr>
          <w:rFonts w:ascii="Palatino Linotype" w:hAnsi="Palatino Linotype"/>
        </w:rPr>
        <w:t xml:space="preserve">Lo anterior, se refuerza mediante la </w:t>
      </w:r>
      <w:r w:rsidRPr="00AB48CB">
        <w:rPr>
          <w:rFonts w:ascii="Palatino Linotype" w:hAnsi="Palatino Linotype"/>
        </w:rPr>
        <w:t xml:space="preserve">Tesis Aislada, número de registro 230923 de la Octava Época, que puede consultarse en el Semanario Judicial de la Federación </w:t>
      </w:r>
      <w:r w:rsidRPr="00AB48CB">
        <w:rPr>
          <w:rFonts w:ascii="Palatino Linotype" w:hAnsi="Palatino Linotype"/>
        </w:rPr>
        <w:lastRenderedPageBreak/>
        <w:t>T</w:t>
      </w:r>
      <w:r>
        <w:rPr>
          <w:rFonts w:ascii="Palatino Linotype" w:hAnsi="Palatino Linotype"/>
        </w:rPr>
        <w:t>omo I, Segunda Parte, enero – j</w:t>
      </w:r>
      <w:r w:rsidRPr="00AB48CB">
        <w:rPr>
          <w:rFonts w:ascii="Palatino Linotype" w:hAnsi="Palatino Linotype"/>
        </w:rPr>
        <w:t>unio de 1988 en materia común, en la que se dispone lo siguiente:</w:t>
      </w:r>
    </w:p>
    <w:p w14:paraId="37CCA9DB" w14:textId="77777777" w:rsidR="00C60789" w:rsidRPr="00AB48CB" w:rsidRDefault="00C60789" w:rsidP="00B16C87">
      <w:pPr>
        <w:pStyle w:val="Sinespaciado"/>
        <w:spacing w:line="360" w:lineRule="auto"/>
        <w:jc w:val="both"/>
        <w:rPr>
          <w:rFonts w:ascii="Palatino Linotype" w:hAnsi="Palatino Linotype"/>
        </w:rPr>
      </w:pPr>
    </w:p>
    <w:p w14:paraId="419D0BE7" w14:textId="77777777" w:rsidR="00C60789" w:rsidRPr="00AB48CB" w:rsidRDefault="00C60789" w:rsidP="00B16C87">
      <w:pPr>
        <w:pStyle w:val="Sinespaciado"/>
        <w:ind w:left="567"/>
        <w:jc w:val="both"/>
        <w:rPr>
          <w:rFonts w:ascii="Palatino Linotype" w:hAnsi="Palatino Linotype"/>
          <w:b/>
          <w:i/>
        </w:rPr>
      </w:pPr>
      <w:r w:rsidRPr="00AB48CB">
        <w:rPr>
          <w:rFonts w:ascii="Palatino Linotype" w:hAnsi="Palatino Linotype"/>
          <w:b/>
          <w:i/>
        </w:rPr>
        <w:t>AGRAVIOS, LO QUE DEBE CONSIDERARSE COMO TALES.</w:t>
      </w:r>
    </w:p>
    <w:p w14:paraId="40DE727D" w14:textId="77777777" w:rsidR="00C60789" w:rsidRPr="00AB48CB" w:rsidRDefault="00C60789" w:rsidP="00B16C87">
      <w:pPr>
        <w:pStyle w:val="Sinespaciado"/>
        <w:ind w:left="567"/>
        <w:jc w:val="both"/>
        <w:rPr>
          <w:rFonts w:ascii="Palatino Linotype" w:hAnsi="Palatino Linotype"/>
          <w:i/>
        </w:rPr>
      </w:pPr>
    </w:p>
    <w:p w14:paraId="30DAE985" w14:textId="77777777" w:rsidR="00C60789" w:rsidRPr="00DB2739" w:rsidRDefault="00C60789" w:rsidP="00B16C87">
      <w:pPr>
        <w:pStyle w:val="Sinespaciado"/>
        <w:ind w:left="567"/>
        <w:jc w:val="both"/>
        <w:rPr>
          <w:rFonts w:ascii="Palatino Linotype" w:hAnsi="Palatino Linotype"/>
          <w:b/>
          <w:i/>
        </w:rPr>
      </w:pPr>
      <w:r w:rsidRPr="00AB48CB">
        <w:rPr>
          <w:rFonts w:ascii="Palatino Linotype" w:hAnsi="Palatino Linotype"/>
          <w:i/>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w:t>
      </w:r>
      <w:r w:rsidRPr="00A854D1">
        <w:rPr>
          <w:rFonts w:ascii="Palatino Linotype" w:hAnsi="Palatino Linotype"/>
          <w:i/>
        </w:rPr>
        <w:t xml:space="preserve">pues </w:t>
      </w:r>
      <w:r w:rsidRPr="00A854D1">
        <w:rPr>
          <w:rFonts w:ascii="Palatino Linotype" w:hAnsi="Palatino Linotype"/>
          <w:b/>
          <w:i/>
          <w:u w:val="single"/>
        </w:rPr>
        <w:t>no pueden considerarse como agravios la simple manifestación u opinión del recurrente de inconformidad con el sentido de la sentencia recurrida por considerarla ilegal</w:t>
      </w:r>
      <w:r w:rsidRPr="00DB2739">
        <w:rPr>
          <w:rFonts w:ascii="Palatino Linotype" w:hAnsi="Palatino Linotype"/>
          <w:b/>
          <w:i/>
          <w:u w:val="single"/>
        </w:rPr>
        <w:t>, ya que él mismo debe impugnar con razonamientos lo que la hayan fundado</w:t>
      </w:r>
      <w:r w:rsidRPr="00DB2739">
        <w:rPr>
          <w:rFonts w:ascii="Palatino Linotype" w:hAnsi="Palatino Linotype"/>
          <w:b/>
          <w:i/>
        </w:rPr>
        <w:t xml:space="preserve">. </w:t>
      </w:r>
    </w:p>
    <w:p w14:paraId="593D716D" w14:textId="77777777" w:rsidR="00C60789" w:rsidRPr="00AB48CB" w:rsidRDefault="00C60789" w:rsidP="00B16C87">
      <w:pPr>
        <w:pStyle w:val="Sinespaciado"/>
        <w:ind w:left="567"/>
        <w:jc w:val="both"/>
        <w:rPr>
          <w:rFonts w:ascii="Palatino Linotype" w:hAnsi="Palatino Linotype"/>
          <w:i/>
        </w:rPr>
      </w:pPr>
    </w:p>
    <w:p w14:paraId="253541D5" w14:textId="77777777" w:rsidR="00C60789" w:rsidRPr="00AB48CB" w:rsidRDefault="00C60789" w:rsidP="00B16C87">
      <w:pPr>
        <w:pStyle w:val="Sinespaciado"/>
        <w:ind w:left="567"/>
        <w:jc w:val="both"/>
        <w:rPr>
          <w:rFonts w:ascii="Palatino Linotype" w:hAnsi="Palatino Linotype"/>
          <w:i/>
        </w:rPr>
      </w:pPr>
      <w:r w:rsidRPr="00AB48CB">
        <w:rPr>
          <w:rFonts w:ascii="Palatino Linotype" w:hAnsi="Palatino Linotype"/>
          <w:i/>
        </w:rPr>
        <w:t>PRIMER TRIBUNAL COLEGIADO DEL SEPTIMO CIRCUITO.</w:t>
      </w:r>
    </w:p>
    <w:p w14:paraId="072B5D0D" w14:textId="77777777" w:rsidR="00C60789" w:rsidRPr="00AB48CB" w:rsidRDefault="00C60789" w:rsidP="00B16C87">
      <w:pPr>
        <w:pStyle w:val="Sinespaciado"/>
        <w:ind w:left="567"/>
        <w:jc w:val="both"/>
        <w:rPr>
          <w:rFonts w:ascii="Palatino Linotype" w:hAnsi="Palatino Linotype"/>
          <w:i/>
        </w:rPr>
      </w:pPr>
    </w:p>
    <w:p w14:paraId="259D78F1" w14:textId="77777777" w:rsidR="00C60789" w:rsidRPr="00AB48CB" w:rsidRDefault="00C60789" w:rsidP="00B16C87">
      <w:pPr>
        <w:pStyle w:val="Sinespaciado"/>
        <w:ind w:left="567"/>
        <w:jc w:val="both"/>
        <w:rPr>
          <w:rFonts w:ascii="Palatino Linotype" w:hAnsi="Palatino Linotype"/>
        </w:rPr>
      </w:pPr>
      <w:r w:rsidRPr="00AB48CB">
        <w:rPr>
          <w:rFonts w:ascii="Palatino Linotype" w:hAnsi="Palatino Linotype"/>
          <w:i/>
        </w:rPr>
        <w:t>Incidente 563/87. Jorge Orlando Cuallo. 20 de enero de 1988. Unanimidad de votos. Ponente: Tomás Enrique Ochoa Moguel. Secretario: Héctor Riveros Caraza.</w:t>
      </w:r>
    </w:p>
    <w:p w14:paraId="5572BD42" w14:textId="77777777" w:rsidR="00C60789" w:rsidRPr="00C60789" w:rsidRDefault="00C60789" w:rsidP="00B16C87">
      <w:pPr>
        <w:autoSpaceDE w:val="0"/>
        <w:autoSpaceDN w:val="0"/>
        <w:adjustRightInd w:val="0"/>
        <w:spacing w:after="0" w:line="360" w:lineRule="auto"/>
        <w:contextualSpacing/>
        <w:jc w:val="both"/>
        <w:rPr>
          <w:rFonts w:ascii="Palatino Linotype" w:eastAsia="Times New Roman" w:hAnsi="Palatino Linotype" w:cs="Arial"/>
          <w:sz w:val="28"/>
          <w:szCs w:val="24"/>
          <w:lang w:val="es-ES" w:eastAsia="es-ES"/>
        </w:rPr>
      </w:pPr>
    </w:p>
    <w:p w14:paraId="134AFD8E" w14:textId="77777777" w:rsidR="00730858" w:rsidRPr="00584718" w:rsidRDefault="00730858" w:rsidP="00B16C87">
      <w:pPr>
        <w:pStyle w:val="Prrafodelista"/>
        <w:numPr>
          <w:ilvl w:val="0"/>
          <w:numId w:val="9"/>
        </w:numPr>
        <w:autoSpaceDE w:val="0"/>
        <w:autoSpaceDN w:val="0"/>
        <w:adjustRightInd w:val="0"/>
        <w:spacing w:after="0" w:line="360" w:lineRule="auto"/>
        <w:contextualSpacing w:val="0"/>
        <w:jc w:val="both"/>
        <w:rPr>
          <w:rFonts w:ascii="Palatino Linotype" w:hAnsi="Palatino Linotype"/>
          <w:b/>
          <w:i/>
          <w:sz w:val="28"/>
          <w:u w:val="single"/>
        </w:rPr>
      </w:pPr>
      <w:r w:rsidRPr="00584718">
        <w:rPr>
          <w:rFonts w:ascii="Palatino Linotype" w:hAnsi="Palatino Linotype"/>
          <w:b/>
          <w:i/>
          <w:sz w:val="28"/>
          <w:u w:val="single"/>
        </w:rPr>
        <w:t xml:space="preserve">Vista a los Órganos de Control Interno </w:t>
      </w:r>
    </w:p>
    <w:p w14:paraId="3EEDEA0E" w14:textId="77777777" w:rsidR="00730858" w:rsidRPr="00584718" w:rsidRDefault="00730858" w:rsidP="00B16C87">
      <w:pPr>
        <w:spacing w:after="0" w:line="360" w:lineRule="auto"/>
        <w:contextualSpacing/>
        <w:jc w:val="both"/>
        <w:rPr>
          <w:rFonts w:ascii="Palatino Linotype" w:eastAsia="MS Mincho" w:hAnsi="Palatino Linotype" w:cs="Times New Roman"/>
          <w:sz w:val="24"/>
          <w:szCs w:val="24"/>
          <w:lang w:val="es-ES_tradnl" w:eastAsia="es-ES"/>
        </w:rPr>
      </w:pPr>
      <w:r w:rsidRPr="00584718">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84718">
        <w:rPr>
          <w:rFonts w:ascii="Palatino Linotype" w:eastAsia="MS Mincho" w:hAnsi="Palatino Linotype" w:cs="Times New Roman"/>
          <w:b/>
          <w:sz w:val="24"/>
          <w:szCs w:val="24"/>
          <w:lang w:val="es-ES_tradnl" w:eastAsia="es-ES"/>
        </w:rPr>
        <w:t>Sujeto Obligado</w:t>
      </w:r>
      <w:r w:rsidRPr="00584718">
        <w:rPr>
          <w:rFonts w:ascii="Palatino Linotype" w:eastAsia="MS Mincho" w:hAnsi="Palatino Linotype" w:cs="Times New Roman"/>
          <w:sz w:val="24"/>
          <w:szCs w:val="24"/>
          <w:lang w:val="es-ES_tradnl" w:eastAsia="es-ES"/>
        </w:rPr>
        <w:t>.</w:t>
      </w:r>
    </w:p>
    <w:p w14:paraId="48390123" w14:textId="77777777" w:rsidR="00730858" w:rsidRPr="00584718" w:rsidRDefault="00730858" w:rsidP="00B16C87">
      <w:pPr>
        <w:spacing w:after="0" w:line="360" w:lineRule="auto"/>
        <w:contextualSpacing/>
        <w:jc w:val="both"/>
        <w:rPr>
          <w:rFonts w:ascii="Palatino Linotype" w:eastAsia="MS Mincho" w:hAnsi="Palatino Linotype"/>
        </w:rPr>
      </w:pPr>
    </w:p>
    <w:p w14:paraId="4DED84B0" w14:textId="77777777" w:rsidR="00730858" w:rsidRPr="00584718" w:rsidRDefault="00730858" w:rsidP="00B16C87">
      <w:pPr>
        <w:spacing w:after="0" w:line="360" w:lineRule="auto"/>
        <w:contextualSpacing/>
        <w:jc w:val="both"/>
        <w:rPr>
          <w:rFonts w:ascii="Palatino Linotype" w:eastAsia="MS Mincho" w:hAnsi="Palatino Linotype"/>
          <w:sz w:val="24"/>
        </w:rPr>
      </w:pPr>
      <w:r w:rsidRPr="00584718">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14:paraId="2C084023" w14:textId="77777777" w:rsidR="00730858" w:rsidRPr="00584718" w:rsidRDefault="00730858" w:rsidP="00B16C87">
      <w:pPr>
        <w:spacing w:after="0" w:line="360" w:lineRule="auto"/>
        <w:contextualSpacing/>
        <w:jc w:val="both"/>
        <w:rPr>
          <w:rFonts w:ascii="Palatino Linotype" w:eastAsia="MS Mincho" w:hAnsi="Palatino Linotype"/>
          <w:sz w:val="16"/>
        </w:rPr>
      </w:pPr>
    </w:p>
    <w:p w14:paraId="53913D47"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36.</w:t>
      </w:r>
      <w:r w:rsidRPr="00584718">
        <w:rPr>
          <w:rFonts w:ascii="Palatino Linotype" w:eastAsia="MS Mincho" w:hAnsi="Palatino Linotype" w:cs="Times New Roman"/>
          <w:i/>
        </w:rPr>
        <w:t xml:space="preserve"> El Instituto tendrá, en el ámbito de su competencia, las siguientes atribuciones:</w:t>
      </w:r>
    </w:p>
    <w:p w14:paraId="05E8C056"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4D275A2A"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i/>
        </w:rPr>
        <w:t xml:space="preserve">X. Hacer del conocimiento del órgano de control interno o equivalente de cada Sujeto Obligado las infracciones a esta Ley; </w:t>
      </w:r>
    </w:p>
    <w:p w14:paraId="79BADC90"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10AC8251" w14:textId="77777777" w:rsidR="00730858" w:rsidRPr="00584718" w:rsidRDefault="00730858" w:rsidP="00B16C87">
      <w:pPr>
        <w:spacing w:after="0" w:line="360" w:lineRule="auto"/>
        <w:contextualSpacing/>
        <w:jc w:val="both"/>
        <w:rPr>
          <w:rFonts w:ascii="Palatino Linotype" w:eastAsia="MS Mincho" w:hAnsi="Palatino Linotype"/>
          <w:sz w:val="16"/>
        </w:rPr>
      </w:pPr>
    </w:p>
    <w:p w14:paraId="45101699" w14:textId="77777777" w:rsidR="00730858" w:rsidRDefault="00730858" w:rsidP="00B16C87">
      <w:pPr>
        <w:spacing w:after="0" w:line="360" w:lineRule="auto"/>
        <w:contextualSpacing/>
        <w:jc w:val="both"/>
        <w:rPr>
          <w:rFonts w:ascii="Palatino Linotype" w:eastAsia="MS Mincho" w:hAnsi="Palatino Linotype" w:cs="Arial"/>
          <w:sz w:val="24"/>
        </w:rPr>
      </w:pPr>
      <w:r w:rsidRPr="00584718">
        <w:rPr>
          <w:rFonts w:ascii="Palatino Linotype" w:eastAsia="MS Mincho" w:hAnsi="Palatino Linotype"/>
          <w:sz w:val="24"/>
        </w:rPr>
        <w:t xml:space="preserve">Asimismo, este Pleno hará del conocimiento del órgano de control de este Instituto de las infracciones en que el </w:t>
      </w:r>
      <w:r w:rsidRPr="00584718">
        <w:rPr>
          <w:rFonts w:ascii="Palatino Linotype" w:eastAsia="MS Mincho" w:hAnsi="Palatino Linotype"/>
          <w:b/>
          <w:sz w:val="24"/>
        </w:rPr>
        <w:t>Sujeto Obligado</w:t>
      </w:r>
      <w:r w:rsidRPr="00584718">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584718">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14:paraId="153FB5C4" w14:textId="77777777" w:rsidR="00730858" w:rsidRPr="00893282" w:rsidRDefault="00730858" w:rsidP="00B16C87">
      <w:pPr>
        <w:pStyle w:val="Sinespaciado"/>
        <w:rPr>
          <w:rFonts w:eastAsia="MS Mincho"/>
          <w:sz w:val="22"/>
        </w:rPr>
      </w:pPr>
    </w:p>
    <w:p w14:paraId="482CCCEF" w14:textId="77777777" w:rsidR="00730858" w:rsidRPr="00584718" w:rsidRDefault="00730858" w:rsidP="00B16C87">
      <w:pPr>
        <w:pStyle w:val="Sinespaciado"/>
        <w:rPr>
          <w:sz w:val="8"/>
        </w:rPr>
      </w:pPr>
    </w:p>
    <w:p w14:paraId="79BED785"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190.</w:t>
      </w:r>
      <w:r w:rsidRPr="00584718">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95EFC55"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p>
    <w:p w14:paraId="3C031BD3"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222.</w:t>
      </w:r>
      <w:r w:rsidRPr="0058471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14:paraId="5E4F4A69"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22E69967" w14:textId="77777777" w:rsidR="00730858" w:rsidRPr="00584718" w:rsidRDefault="00730858" w:rsidP="00B16C87">
      <w:pPr>
        <w:spacing w:after="0" w:line="240" w:lineRule="auto"/>
        <w:ind w:left="567"/>
        <w:contextualSpacing/>
        <w:jc w:val="both"/>
        <w:rPr>
          <w:rFonts w:ascii="Palatino Linotype" w:eastAsia="MS Mincho" w:hAnsi="Palatino Linotype" w:cs="Times New Roman"/>
          <w:b/>
          <w:i/>
        </w:rPr>
      </w:pPr>
      <w:r w:rsidRPr="00584718">
        <w:rPr>
          <w:rFonts w:ascii="Palatino Linotype" w:eastAsia="MS Mincho" w:hAnsi="Palatino Linotype" w:cs="Times New Roman"/>
          <w:b/>
          <w:i/>
        </w:rPr>
        <w:t xml:space="preserve">I. Cualquier acto u </w:t>
      </w:r>
      <w:r w:rsidRPr="00584718">
        <w:rPr>
          <w:rFonts w:ascii="Palatino Linotype" w:eastAsia="MS Mincho" w:hAnsi="Palatino Linotype" w:cs="Times New Roman"/>
          <w:b/>
          <w:i/>
          <w:u w:val="single"/>
        </w:rPr>
        <w:t>omisión</w:t>
      </w:r>
      <w:r w:rsidRPr="00584718">
        <w:rPr>
          <w:rFonts w:ascii="Palatino Linotype" w:eastAsia="MS Mincho" w:hAnsi="Palatino Linotype" w:cs="Times New Roman"/>
          <w:b/>
          <w:i/>
        </w:rPr>
        <w:t xml:space="preserve"> que provoque la suspensión o deficiencia en la atención de las solicitudes de información;</w:t>
      </w:r>
    </w:p>
    <w:p w14:paraId="0397D68B"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b/>
          <w:i/>
          <w:u w:val="single"/>
        </w:rPr>
        <w:t>II. La falta de respuesta a las solicitudes de información en los plazos señalados en la normatividad aplicable</w:t>
      </w:r>
      <w:r w:rsidRPr="00584718">
        <w:rPr>
          <w:rFonts w:ascii="Palatino Linotype" w:eastAsia="MS Mincho" w:hAnsi="Palatino Linotype" w:cs="Times New Roman"/>
          <w:i/>
        </w:rPr>
        <w:t>;</w:t>
      </w:r>
    </w:p>
    <w:p w14:paraId="730E48F7"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i/>
        </w:rPr>
        <w:t>(…)</w:t>
      </w:r>
    </w:p>
    <w:p w14:paraId="06122DF6" w14:textId="77777777" w:rsidR="00730858" w:rsidRPr="00584718" w:rsidRDefault="00730858" w:rsidP="00B16C87">
      <w:pPr>
        <w:spacing w:after="0" w:line="240" w:lineRule="auto"/>
        <w:ind w:left="567"/>
        <w:contextualSpacing/>
        <w:jc w:val="both"/>
        <w:rPr>
          <w:rFonts w:ascii="Palatino Linotype" w:eastAsia="MS Mincho" w:hAnsi="Palatino Linotype" w:cs="Times New Roman"/>
          <w:i/>
        </w:rPr>
      </w:pPr>
      <w:r w:rsidRPr="00584718">
        <w:rPr>
          <w:rFonts w:ascii="Palatino Linotype" w:eastAsia="MS Mincho" w:hAnsi="Palatino Linotype" w:cs="Times New Roman"/>
          <w:b/>
          <w:i/>
        </w:rPr>
        <w:t>Artículo 223.</w:t>
      </w:r>
      <w:r w:rsidRPr="0058471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w:t>
      </w:r>
      <w:r w:rsidRPr="00584718">
        <w:rPr>
          <w:rFonts w:ascii="Palatino Linotype" w:eastAsia="MS Mincho" w:hAnsi="Palatino Linotype" w:cs="Times New Roman"/>
          <w:i/>
        </w:rPr>
        <w:lastRenderedPageBreak/>
        <w:t>Municipios, para que determine el grado de responsabilidad de quienes incumplan con las obligaciones de la presente Ley.</w:t>
      </w:r>
    </w:p>
    <w:p w14:paraId="0279DE28" w14:textId="77777777" w:rsidR="00730858" w:rsidRPr="00584718" w:rsidRDefault="00730858" w:rsidP="00B16C87">
      <w:pPr>
        <w:spacing w:after="0" w:line="360" w:lineRule="auto"/>
        <w:contextualSpacing/>
        <w:jc w:val="both"/>
        <w:rPr>
          <w:rFonts w:ascii="Palatino Linotype" w:eastAsia="Calibri" w:hAnsi="Palatino Linotype" w:cs="Arial"/>
          <w:color w:val="000000"/>
          <w:lang w:eastAsia="es-MX"/>
        </w:rPr>
      </w:pPr>
    </w:p>
    <w:p w14:paraId="184C6951" w14:textId="77777777" w:rsidR="00730858" w:rsidRDefault="00730858" w:rsidP="00B16C87">
      <w:pPr>
        <w:spacing w:after="0" w:line="360" w:lineRule="auto"/>
        <w:contextualSpacing/>
        <w:jc w:val="both"/>
        <w:rPr>
          <w:rFonts w:ascii="Palatino Linotype" w:eastAsia="Calibri" w:hAnsi="Palatino Linotype" w:cs="Arial"/>
          <w:color w:val="000000"/>
          <w:sz w:val="24"/>
          <w:lang w:eastAsia="es-MX"/>
        </w:rPr>
      </w:pPr>
    </w:p>
    <w:p w14:paraId="46711887" w14:textId="77777777" w:rsidR="00730858" w:rsidRPr="00AA17EB" w:rsidRDefault="00730858" w:rsidP="00B16C87">
      <w:pPr>
        <w:spacing w:after="0" w:line="360" w:lineRule="auto"/>
        <w:contextualSpacing/>
        <w:jc w:val="both"/>
        <w:rPr>
          <w:rFonts w:ascii="Palatino Linotype" w:hAnsi="Palatino Linotype" w:cs="Arial"/>
          <w:color w:val="222222"/>
          <w:sz w:val="24"/>
          <w:lang w:eastAsia="es-MX"/>
        </w:rPr>
      </w:pPr>
      <w:r w:rsidRPr="00584718">
        <w:rPr>
          <w:rFonts w:ascii="Palatino Linotype" w:eastAsia="Calibri" w:hAnsi="Palatino Linotype" w:cs="Arial"/>
          <w:color w:val="000000"/>
          <w:sz w:val="24"/>
          <w:lang w:eastAsia="es-MX"/>
        </w:rPr>
        <w:t xml:space="preserve">Por lo que es menester en este asunto, </w:t>
      </w:r>
      <w:r w:rsidRPr="00584718">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13392B9E" w14:textId="77777777" w:rsidR="00730858" w:rsidRDefault="00730858" w:rsidP="00B16C87">
      <w:pPr>
        <w:autoSpaceDE w:val="0"/>
        <w:autoSpaceDN w:val="0"/>
        <w:adjustRightInd w:val="0"/>
        <w:spacing w:after="0" w:line="360" w:lineRule="auto"/>
        <w:jc w:val="both"/>
        <w:rPr>
          <w:rFonts w:ascii="Palatino Linotype" w:hAnsi="Palatino Linotype" w:cs="Arial"/>
          <w:sz w:val="24"/>
          <w:szCs w:val="24"/>
        </w:rPr>
      </w:pPr>
    </w:p>
    <w:p w14:paraId="7F5362BF" w14:textId="72A858B2" w:rsidR="00365CB0"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835D88">
        <w:rPr>
          <w:rFonts w:ascii="Palatino Linotype" w:hAnsi="Palatino Linotype" w:cs="Arial"/>
          <w:b/>
          <w:sz w:val="24"/>
          <w:szCs w:val="24"/>
        </w:rPr>
        <w:t>ordena</w:t>
      </w:r>
      <w:r w:rsidRPr="00835D88">
        <w:rPr>
          <w:rFonts w:ascii="Palatino Linotype" w:hAnsi="Palatino Linotype" w:cs="Arial"/>
          <w:sz w:val="24"/>
          <w:szCs w:val="24"/>
        </w:rPr>
        <w:t xml:space="preserve"> al sujeto obligado, atienda la solicitud de información </w:t>
      </w:r>
      <w:r w:rsidR="00730858" w:rsidRPr="00730858">
        <w:rPr>
          <w:rFonts w:ascii="Palatino Linotype" w:hAnsi="Palatino Linotype" w:cs="Arial"/>
          <w:b/>
          <w:sz w:val="24"/>
          <w:szCs w:val="24"/>
        </w:rPr>
        <w:t xml:space="preserve">00521/NAUCALPA/IP/2020 </w:t>
      </w:r>
      <w:r w:rsidRPr="00835D88">
        <w:rPr>
          <w:rFonts w:ascii="Palatino Linotype" w:hAnsi="Palatino Linotype" w:cs="Arial"/>
          <w:sz w:val="24"/>
          <w:szCs w:val="24"/>
        </w:rPr>
        <w:t>que ha sido materia del presente fallo.</w:t>
      </w:r>
    </w:p>
    <w:p w14:paraId="3D004282"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4E043849"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r w:rsidRPr="00835D88">
        <w:rPr>
          <w:rFonts w:ascii="Palatino Linotype" w:hAnsi="Palatino Linotype" w:cs="Arial"/>
          <w:sz w:val="24"/>
          <w:szCs w:val="24"/>
        </w:rPr>
        <w:t>Por lo antes expuesto y fundado es de resolverse y,</w:t>
      </w:r>
    </w:p>
    <w:p w14:paraId="12F0382A"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38C23869" w14:textId="77777777" w:rsidR="00141F29" w:rsidRPr="00413327" w:rsidRDefault="00141F29" w:rsidP="00B16C87">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14:paraId="143B798C" w14:textId="2E5F5B22" w:rsidR="00141F29" w:rsidRPr="00141F29" w:rsidRDefault="00141F29" w:rsidP="00B16C87">
      <w:pPr>
        <w:spacing w:before="240" w:line="360" w:lineRule="auto"/>
        <w:jc w:val="both"/>
        <w:rPr>
          <w:rFonts w:ascii="Palatino Linotype" w:hAnsi="Palatino Linotype" w:cs="Arial"/>
          <w:sz w:val="2"/>
          <w:szCs w:val="24"/>
        </w:rPr>
      </w:pPr>
      <w:r w:rsidRPr="00413327">
        <w:rPr>
          <w:rFonts w:ascii="Palatino Linotype" w:hAnsi="Palatino Linotype" w:cs="Arial"/>
          <w:b/>
          <w:sz w:val="24"/>
          <w:szCs w:val="24"/>
          <w:lang w:val="es-ES_tradnl"/>
        </w:rPr>
        <w:lastRenderedPageBreak/>
        <w:t>PRIMERO.</w:t>
      </w:r>
      <w:r w:rsidRPr="00413327">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Se </w:t>
      </w:r>
      <w:r>
        <w:rPr>
          <w:rFonts w:ascii="Palatino Linotype" w:hAnsi="Palatino Linotype" w:cs="Arial"/>
          <w:b/>
          <w:sz w:val="24"/>
          <w:szCs w:val="24"/>
          <w:lang w:val="es-ES_tradnl"/>
        </w:rPr>
        <w:t>SOBRESEE</w:t>
      </w:r>
      <w:r>
        <w:rPr>
          <w:rFonts w:ascii="Palatino Linotype" w:hAnsi="Palatino Linotype" w:cs="Arial"/>
          <w:sz w:val="24"/>
          <w:szCs w:val="24"/>
          <w:lang w:val="es-ES_tradnl"/>
        </w:rPr>
        <w:t xml:space="preserve"> </w:t>
      </w:r>
      <w:r>
        <w:rPr>
          <w:rFonts w:ascii="Palatino Linotype" w:hAnsi="Palatino Linotype" w:cs="Arial"/>
          <w:sz w:val="24"/>
          <w:szCs w:val="24"/>
        </w:rPr>
        <w:t>el</w:t>
      </w:r>
      <w:r w:rsidRPr="00664330">
        <w:rPr>
          <w:rFonts w:ascii="Palatino Linotype" w:hAnsi="Palatino Linotype" w:cs="Arial"/>
          <w:sz w:val="24"/>
          <w:szCs w:val="24"/>
        </w:rPr>
        <w:t xml:space="preserve"> </w:t>
      </w:r>
      <w:r>
        <w:rPr>
          <w:rFonts w:ascii="Palatino Linotype" w:hAnsi="Palatino Linotype" w:cs="Arial"/>
          <w:sz w:val="24"/>
          <w:szCs w:val="24"/>
        </w:rPr>
        <w:t xml:space="preserve">recurso de revisión número </w:t>
      </w:r>
      <w:r>
        <w:rPr>
          <w:rFonts w:ascii="Palatino Linotype" w:hAnsi="Palatino Linotype" w:cs="Arial"/>
          <w:b/>
        </w:rPr>
        <w:t xml:space="preserve"> </w:t>
      </w:r>
      <w:r w:rsidRPr="007275EB">
        <w:rPr>
          <w:rFonts w:ascii="Palatino Linotype" w:eastAsiaTheme="minorEastAsia" w:hAnsi="Palatino Linotype" w:cs="Arial"/>
          <w:b/>
          <w:sz w:val="24"/>
          <w:szCs w:val="24"/>
          <w:lang w:val="es-ES_tradnl" w:eastAsia="es-ES"/>
        </w:rPr>
        <w:t>0</w:t>
      </w:r>
      <w:r>
        <w:rPr>
          <w:rFonts w:ascii="Palatino Linotype" w:eastAsiaTheme="minorEastAsia" w:hAnsi="Palatino Linotype" w:cs="Arial"/>
          <w:b/>
          <w:sz w:val="24"/>
          <w:szCs w:val="24"/>
          <w:lang w:val="es-ES_tradnl" w:eastAsia="es-ES"/>
        </w:rPr>
        <w:t xml:space="preserve">3775/INFOEM/IP/RR/2020 </w:t>
      </w:r>
      <w:r>
        <w:rPr>
          <w:rFonts w:ascii="Palatino Linotype" w:hAnsi="Palatino Linotype" w:cs="Arial"/>
        </w:rPr>
        <w:t xml:space="preserve">porque al modificar la respuesta, el recurso de revisión quedó sin materia en términos del considerando </w:t>
      </w:r>
      <w:r>
        <w:rPr>
          <w:rFonts w:ascii="Palatino Linotype" w:hAnsi="Palatino Linotype" w:cs="Arial"/>
          <w:b/>
        </w:rPr>
        <w:t xml:space="preserve">TERCERO </w:t>
      </w:r>
      <w:r>
        <w:rPr>
          <w:rFonts w:ascii="Palatino Linotype" w:hAnsi="Palatino Linotype" w:cs="Arial"/>
        </w:rPr>
        <w:t>de la presente resolución.</w:t>
      </w:r>
    </w:p>
    <w:p w14:paraId="48B2A043" w14:textId="66C2D6D0" w:rsidR="00141F29" w:rsidRPr="003956B8" w:rsidRDefault="003B79D2" w:rsidP="00B16C87">
      <w:pPr>
        <w:pStyle w:val="Textoindependiente"/>
        <w:spacing w:line="360" w:lineRule="auto"/>
        <w:ind w:left="0"/>
        <w:jc w:val="both"/>
        <w:rPr>
          <w:rFonts w:ascii="Palatino Linotype" w:hAnsi="Palatino Linotype"/>
          <w:sz w:val="24"/>
          <w:szCs w:val="24"/>
        </w:rPr>
      </w:pPr>
      <w:r>
        <w:rPr>
          <w:rFonts w:ascii="Palatino Linotype" w:hAnsi="Palatino Linotype" w:cs="Arial"/>
          <w:b/>
          <w:sz w:val="28"/>
          <w:szCs w:val="28"/>
        </w:rPr>
        <w:t>SEGUNDO</w:t>
      </w:r>
      <w:r w:rsidR="00141F29" w:rsidRPr="00352F7C">
        <w:rPr>
          <w:rFonts w:ascii="Palatino Linotype" w:hAnsi="Palatino Linotype" w:cs="Arial"/>
          <w:b/>
          <w:sz w:val="28"/>
          <w:szCs w:val="28"/>
        </w:rPr>
        <w:t>. N</w:t>
      </w:r>
      <w:r w:rsidR="00141F29" w:rsidRPr="00352F7C">
        <w:rPr>
          <w:rFonts w:ascii="Palatino Linotype" w:hAnsi="Palatino Linotype"/>
          <w:b/>
          <w:sz w:val="28"/>
          <w:szCs w:val="28"/>
        </w:rPr>
        <w:t>OTIFÍQUESE</w:t>
      </w:r>
      <w:r w:rsidR="00141F29" w:rsidRPr="003956B8">
        <w:rPr>
          <w:rFonts w:ascii="Palatino Linotype" w:hAnsi="Palatino Linotype"/>
          <w:sz w:val="24"/>
          <w:szCs w:val="24"/>
        </w:rPr>
        <w:t xml:space="preserve"> vía </w:t>
      </w:r>
      <w:r w:rsidR="00141F29" w:rsidRPr="003956B8">
        <w:rPr>
          <w:rFonts w:ascii="Palatino Linotype" w:hAnsi="Palatino Linotype"/>
          <w:b/>
          <w:sz w:val="24"/>
          <w:szCs w:val="24"/>
        </w:rPr>
        <w:t>SAIMEX</w:t>
      </w:r>
      <w:r w:rsidR="00141F29" w:rsidRPr="003956B8">
        <w:rPr>
          <w:rFonts w:ascii="Palatino Linotype" w:hAnsi="Palatino Linotype"/>
          <w:sz w:val="24"/>
          <w:szCs w:val="24"/>
        </w:rPr>
        <w:t xml:space="preserve">, la presente resolución al Titular de la Unidad de Transparencia del </w:t>
      </w:r>
      <w:r w:rsidR="00141F29" w:rsidRPr="003956B8">
        <w:rPr>
          <w:rFonts w:ascii="Palatino Linotype" w:hAnsi="Palatino Linotype"/>
          <w:b/>
          <w:sz w:val="24"/>
          <w:szCs w:val="24"/>
        </w:rPr>
        <w:t>Sujeto Obligado</w:t>
      </w:r>
      <w:r w:rsidR="00141F29" w:rsidRPr="003956B8">
        <w:rPr>
          <w:rFonts w:ascii="Palatino Linotype" w:hAnsi="Palatino Linotype"/>
          <w:sz w:val="24"/>
          <w:szCs w:val="24"/>
        </w:rPr>
        <w:t>.</w:t>
      </w:r>
    </w:p>
    <w:p w14:paraId="07BB1138" w14:textId="77777777" w:rsidR="00141F29" w:rsidRPr="003956B8" w:rsidRDefault="00141F29" w:rsidP="00B16C87">
      <w:pPr>
        <w:pStyle w:val="Textoindependiente"/>
        <w:spacing w:line="360" w:lineRule="auto"/>
        <w:jc w:val="both"/>
        <w:rPr>
          <w:rFonts w:ascii="Palatino Linotype" w:hAnsi="Palatino Linotype" w:cs="Arial"/>
          <w:b/>
          <w:sz w:val="28"/>
          <w:szCs w:val="24"/>
        </w:rPr>
      </w:pPr>
    </w:p>
    <w:p w14:paraId="2E9053E2" w14:textId="75C5B424" w:rsidR="00141F29" w:rsidRPr="003956B8" w:rsidRDefault="003B79D2" w:rsidP="00B16C87">
      <w:pPr>
        <w:pStyle w:val="Textoindependiente"/>
        <w:spacing w:line="360" w:lineRule="auto"/>
        <w:ind w:left="0"/>
        <w:jc w:val="both"/>
        <w:rPr>
          <w:rFonts w:ascii="Palatino Linotype" w:hAnsi="Palatino Linotype"/>
          <w:sz w:val="24"/>
          <w:szCs w:val="24"/>
        </w:rPr>
      </w:pPr>
      <w:r>
        <w:rPr>
          <w:rFonts w:ascii="Palatino Linotype" w:hAnsi="Palatino Linotype" w:cs="Arial"/>
          <w:b/>
          <w:sz w:val="28"/>
          <w:szCs w:val="24"/>
        </w:rPr>
        <w:t>TERCERO</w:t>
      </w:r>
      <w:r w:rsidR="00141F29" w:rsidRPr="003956B8">
        <w:rPr>
          <w:rFonts w:ascii="Palatino Linotype" w:hAnsi="Palatino Linotype" w:cs="Arial"/>
          <w:b/>
          <w:sz w:val="28"/>
          <w:szCs w:val="24"/>
        </w:rPr>
        <w:t xml:space="preserve">. </w:t>
      </w:r>
      <w:r w:rsidR="00141F29" w:rsidRPr="003956B8">
        <w:rPr>
          <w:rFonts w:ascii="Palatino Linotype" w:hAnsi="Palatino Linotype"/>
          <w:b/>
          <w:sz w:val="24"/>
          <w:szCs w:val="24"/>
        </w:rPr>
        <w:t>NOTIFÍQUESE</w:t>
      </w:r>
      <w:r w:rsidR="00141F29" w:rsidRPr="003956B8">
        <w:rPr>
          <w:rFonts w:ascii="Palatino Linotype" w:hAnsi="Palatino Linotype"/>
          <w:sz w:val="24"/>
          <w:szCs w:val="24"/>
        </w:rPr>
        <w:t xml:space="preserve"> al </w:t>
      </w:r>
      <w:r w:rsidR="00141F29" w:rsidRPr="003956B8">
        <w:rPr>
          <w:rFonts w:ascii="Palatino Linotype" w:hAnsi="Palatino Linotype"/>
          <w:b/>
          <w:sz w:val="24"/>
          <w:szCs w:val="24"/>
        </w:rPr>
        <w:t xml:space="preserve">Recurrente </w:t>
      </w:r>
      <w:r w:rsidR="00141F29" w:rsidRPr="003956B8">
        <w:rPr>
          <w:rFonts w:ascii="Palatino Linotype" w:hAnsi="Palatino Linotype"/>
          <w:sz w:val="24"/>
          <w:szCs w:val="24"/>
        </w:rPr>
        <w:t xml:space="preserve">la presente resolución, y </w:t>
      </w:r>
      <w:r w:rsidR="00141F29" w:rsidRPr="003956B8">
        <w:rPr>
          <w:rFonts w:ascii="Palatino Linotype" w:hAnsi="Palatino Linotype" w:cs="Arial"/>
          <w:sz w:val="24"/>
          <w:szCs w:val="24"/>
        </w:rPr>
        <w:t>hágase</w:t>
      </w:r>
      <w:r w:rsidR="00141F29" w:rsidRPr="003956B8">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F9329F0" w14:textId="77777777" w:rsidR="00365CB0" w:rsidRPr="00835D88" w:rsidRDefault="00365CB0" w:rsidP="00B16C87">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BBCE35C" w14:textId="3BCCEC3A" w:rsidR="00365CB0" w:rsidRDefault="003B79D2" w:rsidP="00B16C87">
      <w:pPr>
        <w:spacing w:after="0" w:line="360" w:lineRule="auto"/>
        <w:jc w:val="both"/>
        <w:rPr>
          <w:rFonts w:ascii="Palatino Linotype" w:hAnsi="Palatino Linotype"/>
          <w:sz w:val="24"/>
          <w:szCs w:val="24"/>
          <w:lang w:eastAsia="es-ES_tradnl"/>
        </w:rPr>
      </w:pPr>
      <w:r>
        <w:rPr>
          <w:rFonts w:ascii="Palatino Linotype" w:hAnsi="Palatino Linotype"/>
          <w:b/>
          <w:sz w:val="28"/>
          <w:szCs w:val="28"/>
        </w:rPr>
        <w:t>CUARTO</w:t>
      </w:r>
      <w:r w:rsidR="00365CB0" w:rsidRPr="00835D88">
        <w:rPr>
          <w:rFonts w:ascii="Palatino Linotype" w:hAnsi="Palatino Linotype"/>
          <w:b/>
          <w:sz w:val="24"/>
          <w:szCs w:val="24"/>
        </w:rPr>
        <w:t xml:space="preserve">. </w:t>
      </w:r>
      <w:r w:rsidR="00365CB0" w:rsidRPr="00835D88">
        <w:rPr>
          <w:rFonts w:ascii="Palatino Linotype" w:hAnsi="Palatino Linotype"/>
          <w:sz w:val="24"/>
          <w:szCs w:val="24"/>
          <w:lang w:eastAsia="es-ES_tradnl"/>
        </w:rPr>
        <w:t>Gírese oficio al Titular de la Contraloría Interna y Órgano de Control y Vigilancia de este Instituto, de conformidad con el artículo 190 de la Ley de Transparencia y Acceso a la Información Pública del Estado de México y Municipios determine lo conducente, en t</w:t>
      </w:r>
      <w:r w:rsidR="00141F29">
        <w:rPr>
          <w:rFonts w:ascii="Palatino Linotype" w:hAnsi="Palatino Linotype"/>
          <w:sz w:val="24"/>
          <w:szCs w:val="24"/>
          <w:lang w:eastAsia="es-ES_tradnl"/>
        </w:rPr>
        <w:t xml:space="preserve">érminos del considerando tercero </w:t>
      </w:r>
      <w:r w:rsidR="00365CB0" w:rsidRPr="00835D88">
        <w:rPr>
          <w:rFonts w:ascii="Palatino Linotype" w:hAnsi="Palatino Linotype"/>
          <w:sz w:val="24"/>
          <w:szCs w:val="24"/>
          <w:lang w:eastAsia="es-ES_tradnl"/>
        </w:rPr>
        <w:t>de la presente resolución.</w:t>
      </w:r>
    </w:p>
    <w:p w14:paraId="6D58C872" w14:textId="77777777" w:rsidR="00B16C87" w:rsidRDefault="00B16C87" w:rsidP="00B16C87">
      <w:pPr>
        <w:spacing w:after="0" w:line="360" w:lineRule="auto"/>
        <w:jc w:val="both"/>
        <w:rPr>
          <w:rFonts w:ascii="Palatino Linotype" w:hAnsi="Palatino Linotype"/>
          <w:sz w:val="24"/>
          <w:szCs w:val="24"/>
          <w:lang w:eastAsia="es-ES_tradnl"/>
        </w:rPr>
      </w:pPr>
    </w:p>
    <w:p w14:paraId="020EA532" w14:textId="77777777" w:rsidR="00B16C87" w:rsidRDefault="00B16C87" w:rsidP="00B16C87">
      <w:pPr>
        <w:spacing w:after="0" w:line="360" w:lineRule="auto"/>
        <w:jc w:val="both"/>
        <w:rPr>
          <w:rFonts w:ascii="Palatino Linotype" w:hAnsi="Palatino Linotype"/>
          <w:sz w:val="24"/>
          <w:szCs w:val="24"/>
          <w:lang w:eastAsia="es-ES_tradnl"/>
        </w:rPr>
      </w:pPr>
    </w:p>
    <w:p w14:paraId="06E4124F" w14:textId="77777777" w:rsidR="00B16C87" w:rsidRDefault="00B16C87" w:rsidP="00B16C87">
      <w:pPr>
        <w:spacing w:after="0" w:line="360" w:lineRule="auto"/>
        <w:jc w:val="both"/>
        <w:rPr>
          <w:rFonts w:ascii="Palatino Linotype" w:hAnsi="Palatino Linotype"/>
          <w:sz w:val="24"/>
          <w:szCs w:val="24"/>
          <w:lang w:eastAsia="es-ES_tradnl"/>
        </w:rPr>
      </w:pPr>
    </w:p>
    <w:p w14:paraId="769F1B71" w14:textId="77777777" w:rsidR="00B16C87" w:rsidRDefault="00B16C87" w:rsidP="00B16C87">
      <w:pPr>
        <w:spacing w:after="0" w:line="360" w:lineRule="auto"/>
        <w:jc w:val="both"/>
        <w:rPr>
          <w:rFonts w:ascii="Palatino Linotype" w:hAnsi="Palatino Linotype"/>
          <w:sz w:val="24"/>
          <w:szCs w:val="24"/>
          <w:lang w:eastAsia="es-ES_tradnl"/>
        </w:rPr>
      </w:pPr>
    </w:p>
    <w:p w14:paraId="50ECBE78" w14:textId="77777777" w:rsidR="00B16C87" w:rsidRDefault="00B16C87" w:rsidP="00B16C87">
      <w:pPr>
        <w:spacing w:after="0" w:line="360" w:lineRule="auto"/>
        <w:jc w:val="both"/>
        <w:rPr>
          <w:rFonts w:ascii="Palatino Linotype" w:hAnsi="Palatino Linotype"/>
          <w:sz w:val="24"/>
          <w:szCs w:val="24"/>
          <w:lang w:eastAsia="es-ES_tradnl"/>
        </w:rPr>
      </w:pPr>
    </w:p>
    <w:p w14:paraId="2553D909" w14:textId="77777777" w:rsidR="00B16C87" w:rsidRPr="00835D88" w:rsidRDefault="00B16C87" w:rsidP="00B16C87">
      <w:pPr>
        <w:spacing w:after="0" w:line="360" w:lineRule="auto"/>
        <w:jc w:val="both"/>
        <w:rPr>
          <w:rFonts w:ascii="Palatino Linotype" w:hAnsi="Palatino Linotype"/>
          <w:sz w:val="24"/>
          <w:szCs w:val="24"/>
          <w:lang w:eastAsia="es-ES_tradnl"/>
        </w:rPr>
      </w:pPr>
    </w:p>
    <w:p w14:paraId="2A2BBBE2" w14:textId="77777777" w:rsidR="00365CB0" w:rsidRPr="00835D88" w:rsidRDefault="00365CB0" w:rsidP="00B16C87">
      <w:pPr>
        <w:autoSpaceDE w:val="0"/>
        <w:autoSpaceDN w:val="0"/>
        <w:adjustRightInd w:val="0"/>
        <w:spacing w:after="0" w:line="360" w:lineRule="auto"/>
        <w:jc w:val="both"/>
        <w:rPr>
          <w:rFonts w:ascii="Palatino Linotype" w:hAnsi="Palatino Linotype" w:cs="Arial"/>
          <w:sz w:val="24"/>
          <w:szCs w:val="24"/>
        </w:rPr>
      </w:pPr>
    </w:p>
    <w:p w14:paraId="19444191" w14:textId="035E5CD9" w:rsidR="002000BB" w:rsidRPr="00835D88" w:rsidRDefault="00365CB0" w:rsidP="00B16C87">
      <w:pPr>
        <w:spacing w:after="0" w:line="360" w:lineRule="auto"/>
        <w:jc w:val="both"/>
        <w:rPr>
          <w:rFonts w:ascii="Palatino Linotype" w:hAnsi="Palatino Linotype" w:cs="Arial"/>
          <w:sz w:val="24"/>
          <w:szCs w:val="24"/>
        </w:rPr>
      </w:pPr>
      <w:r w:rsidRPr="00835D88">
        <w:rPr>
          <w:rFonts w:ascii="Palatino Linotype" w:hAnsi="Palatino Linotype" w:cs="Arial"/>
          <w:sz w:val="24"/>
          <w:szCs w:val="24"/>
        </w:rPr>
        <w:lastRenderedPageBreak/>
        <w:t xml:space="preserve">ASÍ LO RESUELVE, POR </w:t>
      </w:r>
      <w:r w:rsidR="00B16C87">
        <w:rPr>
          <w:rFonts w:ascii="Palatino Linotype" w:hAnsi="Palatino Linotype" w:cs="Arial"/>
          <w:sz w:val="24"/>
          <w:szCs w:val="24"/>
        </w:rPr>
        <w:t>UNANIMIDAD</w:t>
      </w:r>
      <w:r w:rsidRPr="00835D88">
        <w:rPr>
          <w:rFonts w:ascii="Palatino Linotype" w:hAnsi="Palatino Linotype" w:cs="Arial"/>
          <w:sz w:val="24"/>
          <w:szCs w:val="24"/>
        </w:rPr>
        <w:t xml:space="preserve"> DE VOTOS EL PLENO DEL</w:t>
      </w:r>
      <w:r w:rsidRPr="00835D88">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35D88">
        <w:rPr>
          <w:rFonts w:ascii="Palatino Linotype" w:hAnsi="Palatino Linotype" w:cs="Arial"/>
          <w:sz w:val="24"/>
          <w:szCs w:val="24"/>
        </w:rPr>
        <w:t xml:space="preserve">, CONFORMADO POR LOS COMISIONADOS ZULEMA MARTÍNEZ SÁNCHEZ, EVA ABAID YAPUR, JOSÉ GUADALUPE LUNA </w:t>
      </w:r>
      <w:r w:rsidR="00B16C87">
        <w:rPr>
          <w:rFonts w:ascii="Palatino Linotype" w:hAnsi="Palatino Linotype" w:cs="Arial"/>
          <w:sz w:val="24"/>
          <w:szCs w:val="24"/>
        </w:rPr>
        <w:t>HERNÁNDEZ, JAVIER MARTÍNEZ CRUZ</w:t>
      </w:r>
      <w:r w:rsidRPr="00835D88">
        <w:rPr>
          <w:rFonts w:ascii="Palatino Linotype" w:hAnsi="Palatino Linotype" w:cs="Arial"/>
          <w:sz w:val="24"/>
          <w:szCs w:val="24"/>
        </w:rPr>
        <w:t xml:space="preserve"> Y LUIS GUSTAVO PARRA NORIEGA, EN LA</w:t>
      </w:r>
      <w:r w:rsidR="00B16C87">
        <w:rPr>
          <w:rFonts w:ascii="Palatino Linotype" w:hAnsi="Palatino Linotype" w:cs="Arial"/>
          <w:sz w:val="24"/>
          <w:szCs w:val="24"/>
        </w:rPr>
        <w:t xml:space="preserve"> VIGÉSIMO SEXTA</w:t>
      </w:r>
      <w:r w:rsidR="00761CDF">
        <w:rPr>
          <w:rFonts w:ascii="Palatino Linotype" w:hAnsi="Palatino Linotype" w:cs="Arial"/>
          <w:sz w:val="24"/>
          <w:szCs w:val="24"/>
        </w:rPr>
        <w:t xml:space="preserve"> </w:t>
      </w:r>
      <w:r w:rsidRPr="00835D88">
        <w:rPr>
          <w:rFonts w:ascii="Palatino Linotype" w:hAnsi="Palatino Linotype" w:cs="Arial"/>
          <w:sz w:val="24"/>
          <w:szCs w:val="24"/>
        </w:rPr>
        <w:t xml:space="preserve">SESIÓN ORDINARIA CELEBRADA EL </w:t>
      </w:r>
      <w:r w:rsidR="00B16C87">
        <w:rPr>
          <w:rFonts w:ascii="Palatino Linotype" w:hAnsi="Palatino Linotype" w:cs="Arial"/>
          <w:sz w:val="24"/>
          <w:szCs w:val="24"/>
        </w:rPr>
        <w:t xml:space="preserve">ONCE DE NOVIEMBRE </w:t>
      </w:r>
      <w:r w:rsidRPr="00835D88">
        <w:rPr>
          <w:rFonts w:ascii="Palatino Linotype" w:hAnsi="Palatino Linotype" w:cs="Arial"/>
          <w:sz w:val="24"/>
          <w:szCs w:val="24"/>
        </w:rPr>
        <w:t xml:space="preserve">DE DOS MIL VEINTE, ANTE EL SECRETARIO TÉCNICO DEL PLENO, ALEXIS TAPIA RAMÍREZ. </w:t>
      </w:r>
      <w:r w:rsidR="00B16C87">
        <w:rPr>
          <w:rFonts w:ascii="Palatino Linotype" w:hAnsi="Palatino Linotype" w:cs="Arial"/>
          <w:sz w:val="24"/>
          <w:szCs w:val="24"/>
        </w:rPr>
        <w:t>-----------------------------------------------------------------------------------------------------------------------------------------------------------------------------------------------------------------------------------------------------------------------------------------------------------------------------------------------------------------------------------------------------------------------------------------------------------------------------------------------------------------------------------------------------------------------------------------------------------------------------------------------------------------------------------------------------------------------------------------------------------------------------------------------------------------------------------------------------------------------------------------------------------------------------------------------------------------------------------------------------------------------------------------------------------------------------------------------------------------------------------------------------------------------------------------------------------------------------------------------------------------------------------------------------------------------------------------------------------------------------------------------------------------------------------------------------------------------------------------------------------------------------------------------------------------------------------------------------------------------------------------------------------------------------------------------------------------------------------------------------------------------------------------------------------------------------------------------------------------------------</w:t>
      </w:r>
    </w:p>
    <w:p w14:paraId="714BE64E" w14:textId="1B37F9A0" w:rsidR="002000BB" w:rsidRPr="00835D88" w:rsidRDefault="002000BB" w:rsidP="00B16C87">
      <w:pPr>
        <w:spacing w:after="0" w:line="360" w:lineRule="auto"/>
        <w:jc w:val="both"/>
        <w:rPr>
          <w:rFonts w:ascii="Palatino Linotype" w:hAnsi="Palatino Linotype" w:cs="Arial"/>
          <w:sz w:val="24"/>
          <w:szCs w:val="24"/>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394"/>
      </w:tblGrid>
      <w:tr w:rsidR="00365CB0" w:rsidRPr="00835D88" w14:paraId="780AEB19" w14:textId="77777777" w:rsidTr="0070479E">
        <w:trPr>
          <w:jc w:val="center"/>
        </w:trPr>
        <w:tc>
          <w:tcPr>
            <w:tcW w:w="9062" w:type="dxa"/>
            <w:gridSpan w:val="2"/>
          </w:tcPr>
          <w:p w14:paraId="6475E263" w14:textId="77777777" w:rsidR="00141F29" w:rsidRPr="00835D88" w:rsidRDefault="00141F29" w:rsidP="00B16C87">
            <w:pPr>
              <w:rPr>
                <w:rFonts w:ascii="Palatino Linotype" w:eastAsia="Times New Roman" w:hAnsi="Palatino Linotype" w:cs="Times New Roman"/>
                <w:b/>
                <w:sz w:val="24"/>
                <w:szCs w:val="24"/>
                <w:lang w:eastAsia="es-ES"/>
              </w:rPr>
            </w:pPr>
          </w:p>
          <w:p w14:paraId="4A896C3A"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1509C843"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335467FD"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482630D9" w14:textId="77777777" w:rsidR="00365CB0" w:rsidRPr="00835D88" w:rsidRDefault="00365CB0" w:rsidP="00B16C87">
            <w:pPr>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Zulema Martínez Sánchez</w:t>
            </w:r>
          </w:p>
          <w:p w14:paraId="7C2CC9CC"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Comisionada Presidenta</w:t>
            </w:r>
          </w:p>
          <w:p w14:paraId="5D469690"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(Rúbrica)</w:t>
            </w:r>
          </w:p>
        </w:tc>
      </w:tr>
      <w:tr w:rsidR="00365CB0" w:rsidRPr="00835D88" w14:paraId="4810F9F8" w14:textId="77777777" w:rsidTr="0070479E">
        <w:trPr>
          <w:jc w:val="center"/>
        </w:trPr>
        <w:tc>
          <w:tcPr>
            <w:tcW w:w="4531" w:type="dxa"/>
          </w:tcPr>
          <w:p w14:paraId="55EA27A6"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12FFF807"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00DAED87"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69D7045F"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78CF906B"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4DE4515B" w14:textId="77777777" w:rsidR="00365CB0" w:rsidRPr="00835D88" w:rsidRDefault="00365CB0" w:rsidP="00B16C87">
            <w:pPr>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Eva Abaid Yapur</w:t>
            </w:r>
          </w:p>
          <w:p w14:paraId="4B11ECE5"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Comisionada</w:t>
            </w:r>
          </w:p>
          <w:p w14:paraId="09B9E90F"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(Rúbrica)</w:t>
            </w:r>
          </w:p>
          <w:p w14:paraId="3C2E8C16"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60C10534"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67F1743B"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3504DB31"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1659C5E3"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0D095C33"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p>
          <w:p w14:paraId="3B22D5FD" w14:textId="77777777" w:rsidR="00365CB0" w:rsidRPr="00835D88" w:rsidRDefault="00365CB0" w:rsidP="00B16C87">
            <w:pPr>
              <w:spacing w:line="276" w:lineRule="auto"/>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Javier Martínez Cruz</w:t>
            </w:r>
          </w:p>
          <w:p w14:paraId="42780CFF"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Comisionado</w:t>
            </w:r>
          </w:p>
          <w:p w14:paraId="1297746C"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Rúbrica</w:t>
            </w:r>
            <w:r w:rsidRPr="00835D88">
              <w:rPr>
                <w:rFonts w:ascii="Palatino Linotype" w:eastAsia="Times New Roman" w:hAnsi="Palatino Linotype" w:cs="Arial"/>
                <w:sz w:val="24"/>
                <w:szCs w:val="24"/>
                <w:lang w:eastAsia="es-ES"/>
              </w:rPr>
              <w:t>)</w:t>
            </w:r>
          </w:p>
        </w:tc>
        <w:tc>
          <w:tcPr>
            <w:tcW w:w="4531" w:type="dxa"/>
          </w:tcPr>
          <w:p w14:paraId="575A0848"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33FCA313"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7E08DF79"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3572216A"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7678AE1B"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0EBC3068" w14:textId="77777777" w:rsidR="00365CB0" w:rsidRPr="00835D88" w:rsidRDefault="00365CB0" w:rsidP="00B16C87">
            <w:pPr>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José Guadalupe Luna Hernández</w:t>
            </w:r>
          </w:p>
          <w:p w14:paraId="6499BD27"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Comisionado</w:t>
            </w:r>
          </w:p>
          <w:p w14:paraId="78FA63EC"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(Rúbrica)</w:t>
            </w:r>
          </w:p>
          <w:p w14:paraId="38D83E02"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5ACFB482"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6D4CBAA3"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33A0F022"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40291800"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038A9511"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76855137" w14:textId="77777777" w:rsidR="00365CB0" w:rsidRPr="00835D88" w:rsidRDefault="00365CB0" w:rsidP="00B16C87">
            <w:pPr>
              <w:jc w:val="center"/>
              <w:rPr>
                <w:rFonts w:ascii="Palatino Linotype" w:eastAsia="Times New Roman" w:hAnsi="Palatino Linotype" w:cs="Times New Roman"/>
                <w:sz w:val="24"/>
                <w:szCs w:val="24"/>
                <w:lang w:eastAsia="es-ES"/>
              </w:rPr>
            </w:pPr>
          </w:p>
          <w:p w14:paraId="738992FA" w14:textId="77777777" w:rsidR="00365CB0" w:rsidRPr="00835D88" w:rsidRDefault="00365CB0" w:rsidP="00B16C87">
            <w:pPr>
              <w:spacing w:line="276" w:lineRule="auto"/>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Luis Gustavo Parra Noriega</w:t>
            </w:r>
          </w:p>
          <w:p w14:paraId="7FD88584" w14:textId="77777777"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 xml:space="preserve">Comisionado </w:t>
            </w:r>
          </w:p>
          <w:p w14:paraId="30870D2B" w14:textId="3AFE1724" w:rsidR="00365CB0" w:rsidRPr="00835D88" w:rsidRDefault="00365CB0" w:rsidP="00B16C87">
            <w:pPr>
              <w:spacing w:line="276" w:lineRule="auto"/>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w:t>
            </w:r>
            <w:r w:rsidR="00CC3A65">
              <w:rPr>
                <w:rFonts w:ascii="Palatino Linotype" w:eastAsia="Times New Roman" w:hAnsi="Palatino Linotype" w:cs="Times New Roman"/>
                <w:sz w:val="24"/>
                <w:szCs w:val="24"/>
                <w:lang w:eastAsia="es-ES"/>
              </w:rPr>
              <w:t>Rúbrica)</w:t>
            </w:r>
          </w:p>
        </w:tc>
      </w:tr>
      <w:tr w:rsidR="00365CB0" w:rsidRPr="00835D88" w14:paraId="4F0442D4" w14:textId="77777777" w:rsidTr="0070479E">
        <w:trPr>
          <w:jc w:val="center"/>
        </w:trPr>
        <w:tc>
          <w:tcPr>
            <w:tcW w:w="9062" w:type="dxa"/>
            <w:gridSpan w:val="2"/>
          </w:tcPr>
          <w:p w14:paraId="4E5286A5" w14:textId="77777777" w:rsidR="00365CB0" w:rsidRPr="00835D88" w:rsidRDefault="00365CB0" w:rsidP="00B16C87">
            <w:pPr>
              <w:rPr>
                <w:rFonts w:ascii="Palatino Linotype" w:eastAsia="Times New Roman" w:hAnsi="Palatino Linotype" w:cs="Times New Roman"/>
                <w:sz w:val="24"/>
                <w:szCs w:val="24"/>
                <w:lang w:eastAsia="es-ES"/>
              </w:rPr>
            </w:pPr>
          </w:p>
        </w:tc>
      </w:tr>
      <w:tr w:rsidR="00365CB0" w:rsidRPr="00835D88" w14:paraId="71D457AF" w14:textId="77777777" w:rsidTr="0070479E">
        <w:trPr>
          <w:jc w:val="center"/>
        </w:trPr>
        <w:tc>
          <w:tcPr>
            <w:tcW w:w="9062" w:type="dxa"/>
            <w:gridSpan w:val="2"/>
          </w:tcPr>
          <w:p w14:paraId="7184A584"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08CEA561"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7AAB276B"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13142205" w14:textId="77777777" w:rsidR="00365CB0" w:rsidRPr="00835D88" w:rsidRDefault="00365CB0" w:rsidP="00B16C87">
            <w:pPr>
              <w:jc w:val="center"/>
              <w:rPr>
                <w:rFonts w:ascii="Palatino Linotype" w:eastAsia="Times New Roman" w:hAnsi="Palatino Linotype" w:cs="Times New Roman"/>
                <w:b/>
                <w:sz w:val="24"/>
                <w:szCs w:val="24"/>
                <w:lang w:eastAsia="es-ES"/>
              </w:rPr>
            </w:pPr>
          </w:p>
          <w:p w14:paraId="0669CDE5" w14:textId="77777777" w:rsidR="00365CB0" w:rsidRPr="00835D88" w:rsidRDefault="00365CB0" w:rsidP="00B16C87">
            <w:pPr>
              <w:jc w:val="center"/>
              <w:rPr>
                <w:rFonts w:ascii="Palatino Linotype" w:eastAsia="Times New Roman" w:hAnsi="Palatino Linotype" w:cs="Times New Roman"/>
                <w:b/>
                <w:sz w:val="24"/>
                <w:szCs w:val="24"/>
                <w:lang w:eastAsia="es-ES"/>
              </w:rPr>
            </w:pPr>
            <w:r w:rsidRPr="00835D88">
              <w:rPr>
                <w:rFonts w:ascii="Palatino Linotype" w:eastAsia="Times New Roman" w:hAnsi="Palatino Linotype" w:cs="Times New Roman"/>
                <w:b/>
                <w:sz w:val="24"/>
                <w:szCs w:val="24"/>
                <w:lang w:eastAsia="es-ES"/>
              </w:rPr>
              <w:t>Alexis Tapia Ramírez</w:t>
            </w:r>
          </w:p>
          <w:p w14:paraId="240C86E3"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Secretario Técnico del Pleno</w:t>
            </w:r>
          </w:p>
          <w:p w14:paraId="0F9F6AE4" w14:textId="77777777" w:rsidR="00365CB0" w:rsidRPr="00835D88" w:rsidRDefault="00365CB0" w:rsidP="00B16C87">
            <w:pPr>
              <w:jc w:val="center"/>
              <w:rPr>
                <w:rFonts w:ascii="Palatino Linotype" w:eastAsia="Times New Roman" w:hAnsi="Palatino Linotype" w:cs="Times New Roman"/>
                <w:sz w:val="24"/>
                <w:szCs w:val="24"/>
                <w:lang w:eastAsia="es-ES"/>
              </w:rPr>
            </w:pPr>
            <w:r w:rsidRPr="00835D88">
              <w:rPr>
                <w:rFonts w:ascii="Palatino Linotype" w:eastAsia="Times New Roman" w:hAnsi="Palatino Linotype" w:cs="Times New Roman"/>
                <w:sz w:val="24"/>
                <w:szCs w:val="24"/>
                <w:lang w:eastAsia="es-ES"/>
              </w:rPr>
              <w:t>(Rúbrica)</w:t>
            </w:r>
          </w:p>
        </w:tc>
      </w:tr>
    </w:tbl>
    <w:p w14:paraId="7A34D0E1" w14:textId="77777777" w:rsidR="00365CB0" w:rsidRPr="00835D88" w:rsidRDefault="00365CB0" w:rsidP="00B16C87">
      <w:pPr>
        <w:spacing w:after="0" w:line="360" w:lineRule="auto"/>
        <w:jc w:val="both"/>
        <w:rPr>
          <w:rFonts w:ascii="Palatino Linotype" w:hAnsi="Palatino Linotype" w:cs="Arial"/>
          <w:sz w:val="4"/>
          <w:szCs w:val="24"/>
        </w:rPr>
      </w:pPr>
    </w:p>
    <w:p w14:paraId="573E2EC3" w14:textId="77777777" w:rsidR="00365CB0" w:rsidRPr="00835D88" w:rsidRDefault="00365CB0" w:rsidP="00B16C87">
      <w:pPr>
        <w:spacing w:after="0" w:line="240" w:lineRule="auto"/>
        <w:jc w:val="both"/>
        <w:rPr>
          <w:rFonts w:ascii="Palatino Linotype" w:hAnsi="Palatino Linotype" w:cs="Arial"/>
          <w:sz w:val="2"/>
          <w:szCs w:val="20"/>
        </w:rPr>
      </w:pPr>
    </w:p>
    <w:p w14:paraId="0794E5C1" w14:textId="0939ED10" w:rsidR="00365CB0" w:rsidRPr="00835D88" w:rsidRDefault="00365CB0" w:rsidP="00B16C87">
      <w:pPr>
        <w:spacing w:after="0" w:line="240" w:lineRule="auto"/>
        <w:jc w:val="both"/>
        <w:rPr>
          <w:rFonts w:ascii="Palatino Linotype" w:hAnsi="Palatino Linotype" w:cs="Arial"/>
          <w:sz w:val="16"/>
          <w:szCs w:val="20"/>
        </w:rPr>
      </w:pPr>
      <w:r w:rsidRPr="00835D88">
        <w:rPr>
          <w:rFonts w:ascii="Palatino Linotype" w:hAnsi="Palatino Linotype" w:cs="Arial"/>
          <w:sz w:val="16"/>
          <w:szCs w:val="20"/>
        </w:rPr>
        <w:t>Esta hoja corresponde a la resolución de fecha</w:t>
      </w:r>
      <w:r w:rsidR="00761CDF">
        <w:rPr>
          <w:rFonts w:ascii="Palatino Linotype" w:hAnsi="Palatino Linotype" w:cs="Arial"/>
          <w:sz w:val="16"/>
          <w:szCs w:val="20"/>
        </w:rPr>
        <w:t xml:space="preserve"> </w:t>
      </w:r>
      <w:r w:rsidR="00B16C87">
        <w:rPr>
          <w:rFonts w:ascii="Palatino Linotype" w:hAnsi="Palatino Linotype" w:cs="Arial"/>
          <w:sz w:val="16"/>
          <w:szCs w:val="20"/>
        </w:rPr>
        <w:t>once de noviembre</w:t>
      </w:r>
      <w:r>
        <w:rPr>
          <w:rFonts w:ascii="Palatino Linotype" w:hAnsi="Palatino Linotype" w:cs="Arial"/>
          <w:sz w:val="16"/>
          <w:szCs w:val="20"/>
        </w:rPr>
        <w:t xml:space="preserve"> </w:t>
      </w:r>
      <w:r w:rsidRPr="00835D88">
        <w:rPr>
          <w:rFonts w:ascii="Palatino Linotype" w:hAnsi="Palatino Linotype" w:cs="Arial"/>
          <w:sz w:val="16"/>
          <w:szCs w:val="20"/>
        </w:rPr>
        <w:t xml:space="preserve">de dos mil veinte, emitida en el recurso de revisión </w:t>
      </w:r>
      <w:r w:rsidRPr="00835D88">
        <w:rPr>
          <w:rFonts w:ascii="Palatino Linotype" w:hAnsi="Palatino Linotype" w:cs="Arial"/>
          <w:bCs/>
          <w:sz w:val="16"/>
          <w:szCs w:val="20"/>
          <w:lang w:eastAsia="es-MX"/>
        </w:rPr>
        <w:t>0</w:t>
      </w:r>
      <w:r w:rsidR="00B16C87">
        <w:rPr>
          <w:rFonts w:ascii="Palatino Linotype" w:hAnsi="Palatino Linotype" w:cs="Arial"/>
          <w:bCs/>
          <w:sz w:val="16"/>
          <w:szCs w:val="20"/>
          <w:lang w:eastAsia="es-MX"/>
        </w:rPr>
        <w:t>3775</w:t>
      </w:r>
      <w:r w:rsidRPr="00835D88">
        <w:rPr>
          <w:rFonts w:ascii="Palatino Linotype" w:hAnsi="Palatino Linotype" w:cs="Arial"/>
          <w:bCs/>
          <w:sz w:val="16"/>
          <w:szCs w:val="20"/>
          <w:lang w:eastAsia="es-MX"/>
        </w:rPr>
        <w:t>/INFOEM/IP/RR/2020.</w:t>
      </w:r>
    </w:p>
    <w:p w14:paraId="64591111" w14:textId="197AE515" w:rsidR="0070479E" w:rsidRDefault="00491E14" w:rsidP="00B16C87">
      <w:pPr>
        <w:spacing w:after="0" w:line="240" w:lineRule="auto"/>
      </w:pPr>
      <w:r>
        <w:rPr>
          <w:rFonts w:ascii="Palatino Linotype" w:hAnsi="Palatino Linotype"/>
          <w:sz w:val="14"/>
          <w:szCs w:val="20"/>
        </w:rPr>
        <w:t>ZMS/OSAM/FJJC</w:t>
      </w:r>
    </w:p>
    <w:sectPr w:rsidR="0070479E" w:rsidSect="00B16C87">
      <w:headerReference w:type="even" r:id="rId15"/>
      <w:headerReference w:type="default" r:id="rId16"/>
      <w:footerReference w:type="default" r:id="rId17"/>
      <w:headerReference w:type="first" r:id="rId18"/>
      <w:footerReference w:type="first" r:id="rId19"/>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1A996" w14:textId="77777777" w:rsidR="00966156" w:rsidRDefault="00966156" w:rsidP="00365CB0">
      <w:pPr>
        <w:spacing w:after="0" w:line="240" w:lineRule="auto"/>
      </w:pPr>
      <w:r>
        <w:separator/>
      </w:r>
    </w:p>
  </w:endnote>
  <w:endnote w:type="continuationSeparator" w:id="0">
    <w:p w14:paraId="7BDB02C5" w14:textId="77777777" w:rsidR="00966156" w:rsidRDefault="00966156" w:rsidP="00365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B5DA70A" w14:textId="77777777" w:rsidR="0008072F" w:rsidRPr="002D6DD8" w:rsidRDefault="0008072F" w:rsidP="0070479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13E0">
              <w:rPr>
                <w:rFonts w:ascii="Palatino Linotype" w:hAnsi="Palatino Linotype"/>
                <w:bCs/>
                <w:noProof/>
                <w:sz w:val="20"/>
              </w:rPr>
              <w:t>24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13E0">
              <w:rPr>
                <w:rFonts w:ascii="Palatino Linotype" w:hAnsi="Palatino Linotype"/>
                <w:bCs/>
                <w:noProof/>
                <w:sz w:val="20"/>
              </w:rPr>
              <w:t>36</w:t>
            </w:r>
            <w:r>
              <w:rPr>
                <w:rFonts w:ascii="Palatino Linotype" w:hAnsi="Palatino Linotype"/>
                <w:bCs/>
                <w:noProof/>
                <w:sz w:val="20"/>
              </w:rPr>
              <w:fldChar w:fldCharType="end"/>
            </w:r>
          </w:p>
        </w:sdtContent>
      </w:sdt>
    </w:sdtContent>
  </w:sdt>
  <w:p w14:paraId="62DE054B" w14:textId="77777777" w:rsidR="0008072F" w:rsidRDefault="000807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A9E5F" w14:textId="77777777" w:rsidR="0008072F" w:rsidRPr="000B69FA" w:rsidRDefault="0008072F" w:rsidP="0070479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13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3713E0">
      <w:rPr>
        <w:rFonts w:ascii="Palatino Linotype" w:hAnsi="Palatino Linotype"/>
        <w:bCs/>
        <w:noProof/>
        <w:sz w:val="20"/>
      </w:rPr>
      <w:t>36</w:t>
    </w:r>
    <w:r>
      <w:rPr>
        <w:rFonts w:ascii="Palatino Linotype" w:hAnsi="Palatino Linotype"/>
        <w:bCs/>
        <w:noProof/>
        <w:sz w:val="20"/>
      </w:rPr>
      <w:fldChar w:fldCharType="end"/>
    </w:r>
  </w:p>
  <w:p w14:paraId="2C4A4D86" w14:textId="77777777" w:rsidR="0008072F" w:rsidRDefault="000807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667C6" w14:textId="77777777" w:rsidR="00966156" w:rsidRDefault="00966156" w:rsidP="00365CB0">
      <w:pPr>
        <w:spacing w:after="0" w:line="240" w:lineRule="auto"/>
      </w:pPr>
      <w:r>
        <w:separator/>
      </w:r>
    </w:p>
  </w:footnote>
  <w:footnote w:type="continuationSeparator" w:id="0">
    <w:p w14:paraId="54325162" w14:textId="77777777" w:rsidR="00966156" w:rsidRDefault="00966156" w:rsidP="00365CB0">
      <w:pPr>
        <w:spacing w:after="0" w:line="240" w:lineRule="auto"/>
      </w:pPr>
      <w:r>
        <w:continuationSeparator/>
      </w:r>
    </w:p>
  </w:footnote>
  <w:footnote w:id="1">
    <w:p w14:paraId="457FAD4C" w14:textId="77777777" w:rsidR="00C60789" w:rsidRPr="00911081" w:rsidRDefault="00C60789" w:rsidP="00C60789">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E280C08" w14:textId="77777777" w:rsidR="00C60789" w:rsidRPr="00911081" w:rsidRDefault="00C60789" w:rsidP="00C60789">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Pr>
          <w:rFonts w:ascii="Palatino Linotype" w:hAnsi="Palatino Linotype"/>
          <w:i/>
          <w:sz w:val="16"/>
          <w:szCs w:val="16"/>
        </w:rPr>
        <w:t xml:space="preserve"> </w:t>
      </w:r>
      <w:hyperlink r:id="rId1" w:history="1">
        <w:r w:rsidRPr="00911081">
          <w:rPr>
            <w:rStyle w:val="Hipervnculo"/>
            <w:rFonts w:ascii="Palatino Linotype" w:hAnsi="Palatino Linotype"/>
            <w:i/>
            <w:sz w:val="16"/>
            <w:szCs w:val="16"/>
          </w:rPr>
          <w:t>73 y 74 de la Ley de Amparo</w:t>
        </w:r>
      </w:hyperlink>
      <w:r w:rsidRPr="005D5598">
        <w:rPr>
          <w:rStyle w:val="apple-converted-space"/>
          <w:rFonts w:ascii="Palatino Linotype" w:hAnsi="Palatino Linotype"/>
          <w:i/>
          <w:sz w:val="16"/>
          <w:szCs w:val="16"/>
        </w:rPr>
        <w:t xml:space="preserve"> </w:t>
      </w:r>
      <w:r w:rsidRPr="00911081">
        <w:rPr>
          <w:rFonts w:ascii="Palatino Linotype" w:hAnsi="Palatino Linotype"/>
          <w:i/>
          <w:sz w:val="16"/>
          <w:szCs w:val="16"/>
        </w:rPr>
        <w:t>con el artículo</w:t>
      </w:r>
      <w:r>
        <w:rPr>
          <w:rFonts w:ascii="Palatino Linotype" w:hAnsi="Palatino Linotype"/>
          <w:i/>
          <w:sz w:val="16"/>
          <w:szCs w:val="16"/>
        </w:rPr>
        <w:t xml:space="preserve"> </w:t>
      </w:r>
      <w:hyperlink r:id="rId2" w:history="1">
        <w:r w:rsidRPr="00911081">
          <w:rPr>
            <w:rStyle w:val="Hipervnculo"/>
            <w:rFonts w:ascii="Palatino Linotype" w:hAnsi="Palatino Linotype"/>
            <w:i/>
            <w:sz w:val="16"/>
            <w:szCs w:val="16"/>
          </w:rPr>
          <w:t>25.1 de la Convención Americana sobre Derechos Humanos</w:t>
        </w:r>
      </w:hyperlink>
      <w:r w:rsidRPr="005D5598">
        <w:rPr>
          <w:rStyle w:val="Hipervnculo"/>
          <w:rFonts w:ascii="Palatino Linotype" w:hAnsi="Palatino Linotype"/>
          <w:i/>
          <w:sz w:val="16"/>
          <w:szCs w:val="16"/>
        </w:rPr>
        <w:t xml:space="preserve">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D8622" w14:textId="77777777" w:rsidR="0008072F" w:rsidRDefault="00966156">
    <w:pPr>
      <w:pStyle w:val="Encabezado"/>
    </w:pPr>
    <w:r>
      <w:rPr>
        <w:noProof/>
        <w:lang w:val="es-MX" w:eastAsia="es-MX"/>
      </w:rPr>
      <w:pict w14:anchorId="0DA62A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2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1" w:type="dxa"/>
      <w:tblInd w:w="759" w:type="dxa"/>
      <w:tblCellMar>
        <w:left w:w="70" w:type="dxa"/>
        <w:right w:w="70" w:type="dxa"/>
      </w:tblCellMar>
      <w:tblLook w:val="04A0" w:firstRow="1" w:lastRow="0" w:firstColumn="1" w:lastColumn="0" w:noHBand="0" w:noVBand="1"/>
    </w:tblPr>
    <w:tblGrid>
      <w:gridCol w:w="3639"/>
      <w:gridCol w:w="5142"/>
    </w:tblGrid>
    <w:tr w:rsidR="0008072F" w14:paraId="65255EEA" w14:textId="77777777" w:rsidTr="006E0AC5">
      <w:trPr>
        <w:trHeight w:val="263"/>
      </w:trPr>
      <w:tc>
        <w:tcPr>
          <w:tcW w:w="3639" w:type="dxa"/>
          <w:hideMark/>
        </w:tcPr>
        <w:p w14:paraId="3956F8A9" w14:textId="77777777" w:rsidR="0008072F" w:rsidRPr="00B25463" w:rsidRDefault="0008072F" w:rsidP="0070479E">
          <w:pPr>
            <w:spacing w:after="120" w:line="256" w:lineRule="auto"/>
            <w:ind w:right="204"/>
            <w:jc w:val="right"/>
            <w:rPr>
              <w:rFonts w:ascii="Palatino Linotype" w:hAnsi="Palatino Linotype" w:cs="Arial"/>
              <w:szCs w:val="20"/>
            </w:rPr>
          </w:pPr>
          <w:r w:rsidRPr="00B25463">
            <w:rPr>
              <w:rFonts w:ascii="Palatino Linotype" w:hAnsi="Palatino Linotype" w:cs="Arial"/>
              <w:szCs w:val="20"/>
            </w:rPr>
            <w:t>Recurso de Revisión N°:</w:t>
          </w:r>
        </w:p>
      </w:tc>
      <w:tc>
        <w:tcPr>
          <w:tcW w:w="5142" w:type="dxa"/>
          <w:hideMark/>
        </w:tcPr>
        <w:p w14:paraId="588E4622" w14:textId="2E4DE3F8" w:rsidR="0008072F" w:rsidRPr="00B25463" w:rsidRDefault="00730858" w:rsidP="00E208D1">
          <w:pPr>
            <w:spacing w:after="120" w:line="256" w:lineRule="auto"/>
            <w:ind w:left="-486" w:right="214" w:firstLine="699"/>
            <w:jc w:val="right"/>
            <w:rPr>
              <w:rFonts w:ascii="Palatino Linotype" w:hAnsi="Palatino Linotype" w:cs="Arial"/>
              <w:b/>
              <w:szCs w:val="20"/>
            </w:rPr>
          </w:pPr>
          <w:r>
            <w:rPr>
              <w:rFonts w:ascii="Palatino Linotype" w:hAnsi="Palatino Linotype" w:cs="Arial"/>
              <w:b/>
              <w:bCs/>
              <w:sz w:val="24"/>
              <w:lang w:eastAsia="es-MX"/>
            </w:rPr>
            <w:t>03775</w:t>
          </w:r>
          <w:r w:rsidR="0008072F" w:rsidRPr="00B25463">
            <w:rPr>
              <w:rFonts w:ascii="Palatino Linotype" w:hAnsi="Palatino Linotype" w:cs="Arial"/>
              <w:b/>
              <w:bCs/>
              <w:sz w:val="24"/>
              <w:lang w:eastAsia="es-MX"/>
            </w:rPr>
            <w:t>/INFOEM/IP/RR/2020</w:t>
          </w:r>
        </w:p>
      </w:tc>
    </w:tr>
    <w:tr w:rsidR="0008072F" w14:paraId="5F60111C" w14:textId="77777777" w:rsidTr="006E0AC5">
      <w:trPr>
        <w:trHeight w:val="280"/>
      </w:trPr>
      <w:tc>
        <w:tcPr>
          <w:tcW w:w="3639" w:type="dxa"/>
          <w:hideMark/>
        </w:tcPr>
        <w:p w14:paraId="65B72BAB" w14:textId="77777777" w:rsidR="0008072F" w:rsidRPr="00B25463" w:rsidRDefault="0008072F" w:rsidP="0070479E">
          <w:pPr>
            <w:spacing w:after="120" w:line="256" w:lineRule="auto"/>
            <w:ind w:right="204"/>
            <w:jc w:val="right"/>
            <w:rPr>
              <w:rFonts w:ascii="Palatino Linotype" w:hAnsi="Palatino Linotype" w:cs="Arial"/>
              <w:szCs w:val="20"/>
            </w:rPr>
          </w:pPr>
          <w:r w:rsidRPr="00B25463">
            <w:rPr>
              <w:rFonts w:ascii="Palatino Linotype" w:hAnsi="Palatino Linotype" w:cs="Arial"/>
              <w:szCs w:val="20"/>
            </w:rPr>
            <w:t>Sujeto Obligado:</w:t>
          </w:r>
        </w:p>
      </w:tc>
      <w:tc>
        <w:tcPr>
          <w:tcW w:w="5142" w:type="dxa"/>
          <w:hideMark/>
        </w:tcPr>
        <w:p w14:paraId="3F133835" w14:textId="21CD3644" w:rsidR="0008072F" w:rsidRPr="00B25463" w:rsidRDefault="0008072F" w:rsidP="00730858">
          <w:pPr>
            <w:spacing w:after="120" w:line="256" w:lineRule="auto"/>
            <w:ind w:left="-486" w:right="214" w:firstLine="284"/>
            <w:jc w:val="right"/>
            <w:rPr>
              <w:rFonts w:ascii="Palatino Linotype" w:hAnsi="Palatino Linotype" w:cs="Arial"/>
              <w:b/>
              <w:szCs w:val="20"/>
            </w:rPr>
          </w:pPr>
          <w:r>
            <w:rPr>
              <w:rFonts w:ascii="Palatino Linotype" w:hAnsi="Palatino Linotype" w:cs="Arial"/>
              <w:b/>
              <w:szCs w:val="20"/>
            </w:rPr>
            <w:t xml:space="preserve">Ayuntamiento de </w:t>
          </w:r>
          <w:r w:rsidR="00730858">
            <w:rPr>
              <w:rFonts w:ascii="Palatino Linotype" w:hAnsi="Palatino Linotype" w:cs="Arial"/>
              <w:b/>
              <w:szCs w:val="20"/>
            </w:rPr>
            <w:t>Naucalpan de Juárez</w:t>
          </w:r>
        </w:p>
      </w:tc>
    </w:tr>
    <w:tr w:rsidR="0008072F" w14:paraId="43B57A68" w14:textId="77777777" w:rsidTr="006E0AC5">
      <w:trPr>
        <w:trHeight w:val="396"/>
      </w:trPr>
      <w:tc>
        <w:tcPr>
          <w:tcW w:w="3639" w:type="dxa"/>
          <w:hideMark/>
        </w:tcPr>
        <w:p w14:paraId="037D406F" w14:textId="77777777" w:rsidR="0008072F" w:rsidRPr="00B25463" w:rsidRDefault="0008072F" w:rsidP="0070479E">
          <w:pPr>
            <w:tabs>
              <w:tab w:val="left" w:pos="4892"/>
            </w:tabs>
            <w:spacing w:after="120" w:line="256" w:lineRule="auto"/>
            <w:ind w:right="204"/>
            <w:jc w:val="right"/>
            <w:rPr>
              <w:rFonts w:ascii="Palatino Linotype" w:hAnsi="Palatino Linotype" w:cs="Arial"/>
              <w:szCs w:val="20"/>
            </w:rPr>
          </w:pPr>
          <w:r w:rsidRPr="00B25463">
            <w:rPr>
              <w:rFonts w:ascii="Palatino Linotype" w:hAnsi="Palatino Linotype" w:cs="Arial"/>
              <w:szCs w:val="20"/>
            </w:rPr>
            <w:t>Comisionada Ponente:</w:t>
          </w:r>
        </w:p>
      </w:tc>
      <w:tc>
        <w:tcPr>
          <w:tcW w:w="5142" w:type="dxa"/>
          <w:hideMark/>
        </w:tcPr>
        <w:p w14:paraId="771D8CF5" w14:textId="77777777" w:rsidR="0008072F" w:rsidRPr="00B25463" w:rsidRDefault="0008072F" w:rsidP="0070479E">
          <w:pPr>
            <w:spacing w:after="120" w:line="256" w:lineRule="auto"/>
            <w:ind w:left="-486" w:right="214" w:firstLine="567"/>
            <w:jc w:val="right"/>
            <w:rPr>
              <w:rFonts w:ascii="Palatino Linotype" w:hAnsi="Palatino Linotype" w:cs="Arial"/>
              <w:b/>
              <w:szCs w:val="20"/>
            </w:rPr>
          </w:pPr>
          <w:r w:rsidRPr="00B25463">
            <w:rPr>
              <w:rFonts w:ascii="Palatino Linotype" w:hAnsi="Palatino Linotype" w:cs="Arial"/>
              <w:b/>
              <w:szCs w:val="20"/>
            </w:rPr>
            <w:t>Zulema Martínez Sánchez</w:t>
          </w:r>
        </w:p>
      </w:tc>
    </w:tr>
  </w:tbl>
  <w:p w14:paraId="2425B4BC" w14:textId="77777777" w:rsidR="0008072F" w:rsidRPr="00AE046A" w:rsidRDefault="00966156" w:rsidP="0070479E">
    <w:pPr>
      <w:pStyle w:val="Encabezado"/>
      <w:tabs>
        <w:tab w:val="clear" w:pos="4419"/>
        <w:tab w:val="clear" w:pos="8838"/>
        <w:tab w:val="left" w:pos="6005"/>
      </w:tabs>
      <w:rPr>
        <w:sz w:val="14"/>
      </w:rPr>
    </w:pPr>
    <w:r>
      <w:rPr>
        <w:noProof/>
        <w:sz w:val="14"/>
        <w:lang w:val="es-MX" w:eastAsia="es-MX"/>
      </w:rPr>
      <w:pict w14:anchorId="3ABE3C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2642" o:spid="_x0000_s2051" type="#_x0000_t75" style="position:absolute;margin-left:-96.1pt;margin-top:-108.75pt;width:609.4pt;height:793.75pt;z-index:-251656192;mso-position-horizontal-relative:margin;mso-position-vertical-relative:margin" o:allowincell="f">
          <v:imagedata r:id="rId1" o:title="logo 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06" w:type="dxa"/>
      <w:tblInd w:w="1014" w:type="dxa"/>
      <w:tblCellMar>
        <w:left w:w="70" w:type="dxa"/>
        <w:right w:w="70" w:type="dxa"/>
      </w:tblCellMar>
      <w:tblLook w:val="04A0" w:firstRow="1" w:lastRow="0" w:firstColumn="1" w:lastColumn="0" w:noHBand="0" w:noVBand="1"/>
    </w:tblPr>
    <w:tblGrid>
      <w:gridCol w:w="3483"/>
      <w:gridCol w:w="5223"/>
    </w:tblGrid>
    <w:tr w:rsidR="0008072F" w14:paraId="17EBE58B" w14:textId="77777777" w:rsidTr="006E0AC5">
      <w:trPr>
        <w:trHeight w:val="225"/>
      </w:trPr>
      <w:tc>
        <w:tcPr>
          <w:tcW w:w="3483" w:type="dxa"/>
          <w:hideMark/>
        </w:tcPr>
        <w:p w14:paraId="4FC0F1AD" w14:textId="77777777" w:rsidR="0008072F" w:rsidRDefault="0008072F" w:rsidP="0070479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223" w:type="dxa"/>
          <w:hideMark/>
        </w:tcPr>
        <w:p w14:paraId="38044C32" w14:textId="28B5DC0E" w:rsidR="0008072F" w:rsidRPr="00B25463" w:rsidRDefault="0008072F" w:rsidP="00E208D1">
          <w:pPr>
            <w:spacing w:after="120" w:line="256" w:lineRule="auto"/>
            <w:ind w:left="-486" w:right="214" w:firstLine="699"/>
            <w:jc w:val="right"/>
            <w:rPr>
              <w:rFonts w:ascii="Palatino Linotype" w:hAnsi="Palatino Linotype" w:cs="Arial"/>
              <w:b/>
              <w:szCs w:val="20"/>
            </w:rPr>
          </w:pPr>
          <w:r w:rsidRPr="00B25463">
            <w:rPr>
              <w:rFonts w:ascii="Palatino Linotype" w:hAnsi="Palatino Linotype" w:cs="Arial"/>
              <w:b/>
              <w:bCs/>
              <w:sz w:val="24"/>
              <w:lang w:eastAsia="es-MX"/>
            </w:rPr>
            <w:t>0</w:t>
          </w:r>
          <w:r>
            <w:rPr>
              <w:rFonts w:ascii="Palatino Linotype" w:hAnsi="Palatino Linotype" w:cs="Arial"/>
              <w:b/>
              <w:bCs/>
              <w:sz w:val="24"/>
              <w:lang w:eastAsia="es-MX"/>
            </w:rPr>
            <w:t>3775</w:t>
          </w:r>
          <w:r w:rsidRPr="00B25463">
            <w:rPr>
              <w:rFonts w:ascii="Palatino Linotype" w:hAnsi="Palatino Linotype" w:cs="Arial"/>
              <w:b/>
              <w:bCs/>
              <w:sz w:val="24"/>
              <w:lang w:eastAsia="es-MX"/>
            </w:rPr>
            <w:t>/INFOEM/IP/RR/2020</w:t>
          </w:r>
        </w:p>
      </w:tc>
    </w:tr>
    <w:tr w:rsidR="0008072F" w14:paraId="50B4507C" w14:textId="77777777" w:rsidTr="006E0AC5">
      <w:trPr>
        <w:trHeight w:val="239"/>
      </w:trPr>
      <w:tc>
        <w:tcPr>
          <w:tcW w:w="3483" w:type="dxa"/>
          <w:hideMark/>
        </w:tcPr>
        <w:p w14:paraId="4FD1D4FF" w14:textId="77777777" w:rsidR="0008072F" w:rsidRDefault="0008072F" w:rsidP="0070479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223" w:type="dxa"/>
          <w:hideMark/>
        </w:tcPr>
        <w:p w14:paraId="3FE509C3" w14:textId="262620EF" w:rsidR="0008072F" w:rsidRPr="00B25463" w:rsidRDefault="0008072F" w:rsidP="0070479E">
          <w:pPr>
            <w:spacing w:after="120" w:line="256" w:lineRule="auto"/>
            <w:ind w:left="-486" w:right="214" w:firstLine="284"/>
            <w:jc w:val="right"/>
            <w:rPr>
              <w:rFonts w:ascii="Palatino Linotype" w:hAnsi="Palatino Linotype" w:cs="Arial"/>
              <w:b/>
              <w:szCs w:val="20"/>
            </w:rPr>
          </w:pPr>
          <w:r w:rsidRPr="0008072F">
            <w:rPr>
              <w:rFonts w:ascii="Palatino Linotype" w:hAnsi="Palatino Linotype" w:cs="Arial"/>
              <w:b/>
              <w:szCs w:val="20"/>
            </w:rPr>
            <w:t>Ayuntamiento de Naucalpan de Juárez</w:t>
          </w:r>
        </w:p>
      </w:tc>
    </w:tr>
    <w:tr w:rsidR="0008072F" w14:paraId="7DFECE88" w14:textId="77777777" w:rsidTr="006E0AC5">
      <w:trPr>
        <w:trHeight w:val="339"/>
      </w:trPr>
      <w:tc>
        <w:tcPr>
          <w:tcW w:w="3483" w:type="dxa"/>
        </w:tcPr>
        <w:p w14:paraId="30808C4D" w14:textId="77777777" w:rsidR="0008072F" w:rsidRDefault="0008072F" w:rsidP="0070479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223" w:type="dxa"/>
        </w:tcPr>
        <w:p w14:paraId="4E9324FD" w14:textId="7DF2AE18" w:rsidR="0008072F" w:rsidRPr="00B25463" w:rsidRDefault="00A51EC5" w:rsidP="00724C70">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w:t>
          </w:r>
        </w:p>
      </w:tc>
    </w:tr>
    <w:tr w:rsidR="0008072F" w14:paraId="224DC948" w14:textId="77777777" w:rsidTr="006E0AC5">
      <w:trPr>
        <w:trHeight w:val="339"/>
      </w:trPr>
      <w:tc>
        <w:tcPr>
          <w:tcW w:w="3483" w:type="dxa"/>
        </w:tcPr>
        <w:p w14:paraId="33462254" w14:textId="77777777" w:rsidR="0008072F" w:rsidRDefault="0008072F" w:rsidP="0070479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223" w:type="dxa"/>
        </w:tcPr>
        <w:p w14:paraId="249FD226" w14:textId="77777777" w:rsidR="0008072F" w:rsidRPr="00B25463" w:rsidRDefault="0008072F" w:rsidP="0070479E">
          <w:pPr>
            <w:spacing w:after="120" w:line="256" w:lineRule="auto"/>
            <w:ind w:left="-486" w:right="214" w:firstLine="567"/>
            <w:jc w:val="right"/>
            <w:rPr>
              <w:rFonts w:ascii="Palatino Linotype" w:hAnsi="Palatino Linotype" w:cs="Arial"/>
              <w:b/>
              <w:szCs w:val="20"/>
            </w:rPr>
          </w:pPr>
          <w:r w:rsidRPr="00B25463">
            <w:rPr>
              <w:rFonts w:ascii="Palatino Linotype" w:hAnsi="Palatino Linotype" w:cs="Arial"/>
              <w:b/>
              <w:szCs w:val="20"/>
            </w:rPr>
            <w:t>Zulema Martínez Sánchez</w:t>
          </w:r>
        </w:p>
      </w:tc>
    </w:tr>
  </w:tbl>
  <w:p w14:paraId="1D2FA1F4" w14:textId="77777777" w:rsidR="0008072F" w:rsidRPr="00C222C0" w:rsidRDefault="00966156">
    <w:pPr>
      <w:pStyle w:val="Encabezado"/>
      <w:rPr>
        <w:sz w:val="16"/>
      </w:rPr>
    </w:pPr>
    <w:r>
      <w:rPr>
        <w:noProof/>
        <w:sz w:val="16"/>
        <w:lang w:val="es-MX" w:eastAsia="es-MX"/>
      </w:rPr>
      <w:pict w14:anchorId="2F25D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42640" o:spid="_x0000_s2049" type="#_x0000_t75" style="position:absolute;margin-left:-87.1pt;margin-top:-137.4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46391"/>
    <w:multiLevelType w:val="hybridMultilevel"/>
    <w:tmpl w:val="E3D60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9506975"/>
    <w:multiLevelType w:val="hybridMultilevel"/>
    <w:tmpl w:val="8D3A8AE0"/>
    <w:lvl w:ilvl="0" w:tplc="3272A41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nsid w:val="44595521"/>
    <w:multiLevelType w:val="hybridMultilevel"/>
    <w:tmpl w:val="3B20A1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AB24D0E"/>
    <w:multiLevelType w:val="hybridMultilevel"/>
    <w:tmpl w:val="99ACC026"/>
    <w:lvl w:ilvl="0" w:tplc="080A0001">
      <w:start w:val="1"/>
      <w:numFmt w:val="bullet"/>
      <w:lvlText w:val=""/>
      <w:lvlJc w:val="left"/>
      <w:pPr>
        <w:ind w:left="720" w:hanging="360"/>
      </w:pPr>
      <w:rPr>
        <w:rFonts w:ascii="Symbol" w:hAnsi="Symbol"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17D43F2"/>
    <w:multiLevelType w:val="hybridMultilevel"/>
    <w:tmpl w:val="CE8EB0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4933007"/>
    <w:multiLevelType w:val="hybridMultilevel"/>
    <w:tmpl w:val="CBAC10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C3C149F"/>
    <w:multiLevelType w:val="hybridMultilevel"/>
    <w:tmpl w:val="A72E0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0"/>
  </w:num>
  <w:num w:numId="5">
    <w:abstractNumId w:val="7"/>
  </w:num>
  <w:num w:numId="6">
    <w:abstractNumId w:val="3"/>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CB0"/>
    <w:rsid w:val="00036F8B"/>
    <w:rsid w:val="0008072F"/>
    <w:rsid w:val="000F7110"/>
    <w:rsid w:val="00123996"/>
    <w:rsid w:val="00141F29"/>
    <w:rsid w:val="002000BB"/>
    <w:rsid w:val="00202B87"/>
    <w:rsid w:val="00211669"/>
    <w:rsid w:val="00365CB0"/>
    <w:rsid w:val="003713E0"/>
    <w:rsid w:val="003B79D2"/>
    <w:rsid w:val="003C0C36"/>
    <w:rsid w:val="00407345"/>
    <w:rsid w:val="0043692A"/>
    <w:rsid w:val="00491E14"/>
    <w:rsid w:val="004B7130"/>
    <w:rsid w:val="00505F40"/>
    <w:rsid w:val="005C2E54"/>
    <w:rsid w:val="0066060A"/>
    <w:rsid w:val="00671177"/>
    <w:rsid w:val="006738AE"/>
    <w:rsid w:val="006A0B40"/>
    <w:rsid w:val="006A19B6"/>
    <w:rsid w:val="006E0AC5"/>
    <w:rsid w:val="0070479E"/>
    <w:rsid w:val="00724C70"/>
    <w:rsid w:val="00730858"/>
    <w:rsid w:val="00761CDF"/>
    <w:rsid w:val="007744C8"/>
    <w:rsid w:val="007E1766"/>
    <w:rsid w:val="007E7B10"/>
    <w:rsid w:val="00835019"/>
    <w:rsid w:val="0084174D"/>
    <w:rsid w:val="00966156"/>
    <w:rsid w:val="00A016E5"/>
    <w:rsid w:val="00A30EBA"/>
    <w:rsid w:val="00A51EC5"/>
    <w:rsid w:val="00AE2D28"/>
    <w:rsid w:val="00B16C87"/>
    <w:rsid w:val="00B61A29"/>
    <w:rsid w:val="00B81717"/>
    <w:rsid w:val="00B973F5"/>
    <w:rsid w:val="00BD306E"/>
    <w:rsid w:val="00BE16B0"/>
    <w:rsid w:val="00C3112C"/>
    <w:rsid w:val="00C31D78"/>
    <w:rsid w:val="00C60789"/>
    <w:rsid w:val="00CC3A65"/>
    <w:rsid w:val="00CD3AC4"/>
    <w:rsid w:val="00CF1D7C"/>
    <w:rsid w:val="00E17527"/>
    <w:rsid w:val="00E208D1"/>
    <w:rsid w:val="00EC10C6"/>
    <w:rsid w:val="00F01474"/>
    <w:rsid w:val="00FB4EBB"/>
    <w:rsid w:val="00FF5E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12477E"/>
  <w15:chartTrackingRefBased/>
  <w15:docId w15:val="{354D7D35-B0CC-4182-823F-81F91CEA9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CB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65C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65CB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65CB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65CB0"/>
    <w:rPr>
      <w:rFonts w:ascii="Times New Roman" w:eastAsia="Calibri"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365CB0"/>
    <w:rPr>
      <w:vertAlign w:val="superscript"/>
    </w:rPr>
  </w:style>
  <w:style w:type="character" w:styleId="Hipervnculo">
    <w:name w:val="Hyperlink"/>
    <w:basedOn w:val="Fuentedeprrafopredeter"/>
    <w:uiPriority w:val="99"/>
    <w:unhideWhenUsed/>
    <w:rsid w:val="00365CB0"/>
    <w:rPr>
      <w:color w:val="0563C1" w:themeColor="hyperlink"/>
      <w:u w:val="single"/>
    </w:rPr>
  </w:style>
  <w:style w:type="character" w:customStyle="1" w:styleId="apple-converted-space">
    <w:name w:val="apple-converted-space"/>
    <w:basedOn w:val="Fuentedeprrafopredeter"/>
    <w:rsid w:val="00365CB0"/>
  </w:style>
  <w:style w:type="table" w:customStyle="1" w:styleId="Tablaconcuadrcula1">
    <w:name w:val="Tabla con cuadrícula1"/>
    <w:basedOn w:val="Tablanormal"/>
    <w:next w:val="Tablaconcuadrcula"/>
    <w:uiPriority w:val="39"/>
    <w:rsid w:val="00365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65CB0"/>
    <w:pPr>
      <w:ind w:left="720"/>
      <w:contextualSpacing/>
    </w:pPr>
  </w:style>
  <w:style w:type="table" w:styleId="Tablaconcuadrcula">
    <w:name w:val="Table Grid"/>
    <w:basedOn w:val="Tablanormal"/>
    <w:uiPriority w:val="39"/>
    <w:rsid w:val="00365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B81717"/>
    <w:rPr>
      <w:sz w:val="16"/>
      <w:szCs w:val="16"/>
    </w:rPr>
  </w:style>
  <w:style w:type="paragraph" w:styleId="Textocomentario">
    <w:name w:val="annotation text"/>
    <w:basedOn w:val="Normal"/>
    <w:link w:val="TextocomentarioCar"/>
    <w:uiPriority w:val="99"/>
    <w:semiHidden/>
    <w:unhideWhenUsed/>
    <w:rsid w:val="00B817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81717"/>
    <w:rPr>
      <w:sz w:val="20"/>
      <w:szCs w:val="20"/>
    </w:rPr>
  </w:style>
  <w:style w:type="paragraph" w:styleId="Asuntodelcomentario">
    <w:name w:val="annotation subject"/>
    <w:basedOn w:val="Textocomentario"/>
    <w:next w:val="Textocomentario"/>
    <w:link w:val="AsuntodelcomentarioCar"/>
    <w:uiPriority w:val="99"/>
    <w:semiHidden/>
    <w:unhideWhenUsed/>
    <w:rsid w:val="00B81717"/>
    <w:rPr>
      <w:b/>
      <w:bCs/>
    </w:rPr>
  </w:style>
  <w:style w:type="character" w:customStyle="1" w:styleId="AsuntodelcomentarioCar">
    <w:name w:val="Asunto del comentario Car"/>
    <w:basedOn w:val="TextocomentarioCar"/>
    <w:link w:val="Asuntodelcomentario"/>
    <w:uiPriority w:val="99"/>
    <w:semiHidden/>
    <w:rsid w:val="00B81717"/>
    <w:rPr>
      <w:b/>
      <w:bCs/>
      <w:sz w:val="20"/>
      <w:szCs w:val="20"/>
    </w:rPr>
  </w:style>
  <w:style w:type="paragraph" w:styleId="Textodeglobo">
    <w:name w:val="Balloon Text"/>
    <w:basedOn w:val="Normal"/>
    <w:link w:val="TextodegloboCar"/>
    <w:uiPriority w:val="99"/>
    <w:semiHidden/>
    <w:unhideWhenUsed/>
    <w:rsid w:val="00B817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1717"/>
    <w:rPr>
      <w:rFonts w:ascii="Segoe UI" w:hAnsi="Segoe UI" w:cs="Segoe UI"/>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0479E"/>
  </w:style>
  <w:style w:type="paragraph" w:styleId="Sinespaciado">
    <w:name w:val="No Spacing"/>
    <w:aliases w:val="Francesa,INAI"/>
    <w:link w:val="SinespaciadoCar"/>
    <w:uiPriority w:val="1"/>
    <w:qFormat/>
    <w:rsid w:val="00491E14"/>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91E14"/>
    <w:rPr>
      <w:rFonts w:ascii="Times New Roman" w:eastAsia="Times New Roman" w:hAnsi="Times New Roman" w:cs="Times New Roman"/>
      <w:sz w:val="24"/>
      <w:szCs w:val="24"/>
      <w:lang w:eastAsia="es-ES"/>
    </w:rPr>
  </w:style>
  <w:style w:type="table" w:customStyle="1" w:styleId="Tablaconcuadrcula2">
    <w:name w:val="Tabla con cuadrícula2"/>
    <w:basedOn w:val="Tablanormal"/>
    <w:next w:val="Tablaconcuadrcula"/>
    <w:uiPriority w:val="59"/>
    <w:rsid w:val="00491E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141F29"/>
    <w:pPr>
      <w:autoSpaceDE w:val="0"/>
      <w:autoSpaceDN w:val="0"/>
      <w:adjustRightInd w:val="0"/>
      <w:spacing w:after="0" w:line="240" w:lineRule="auto"/>
      <w:ind w:left="108"/>
    </w:pPr>
    <w:rPr>
      <w:rFonts w:ascii="Times New Roman" w:hAnsi="Times New Roman" w:cs="Times New Roman"/>
      <w:sz w:val="25"/>
      <w:szCs w:val="25"/>
    </w:rPr>
  </w:style>
  <w:style w:type="character" w:customStyle="1" w:styleId="TextoindependienteCar">
    <w:name w:val="Texto independiente Car"/>
    <w:basedOn w:val="Fuentedeprrafopredeter"/>
    <w:link w:val="Textoindependiente"/>
    <w:uiPriority w:val="1"/>
    <w:rsid w:val="00141F29"/>
    <w:rPr>
      <w:rFonts w:ascii="Times New Roman" w:hAnsi="Times New Roman" w:cs="Times New Roman"/>
      <w:sz w:val="25"/>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789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36</Pages>
  <Words>7297</Words>
  <Characters>40135</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10</cp:revision>
  <dcterms:created xsi:type="dcterms:W3CDTF">2020-11-06T22:25:00Z</dcterms:created>
  <dcterms:modified xsi:type="dcterms:W3CDTF">2021-05-17T03:41:00Z</dcterms:modified>
</cp:coreProperties>
</file>