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627404" w14:textId="688FB27F" w:rsidR="003B017D" w:rsidRPr="00FF05AC" w:rsidRDefault="003B017D" w:rsidP="003B017D">
      <w:pPr>
        <w:spacing w:before="100" w:beforeAutospacing="1" w:after="100" w:afterAutospacing="1" w:line="360" w:lineRule="auto"/>
        <w:jc w:val="both"/>
        <w:rPr>
          <w:rFonts w:ascii="Palatino Linotype" w:hAnsi="Palatino Linotype"/>
          <w:color w:val="000000" w:themeColor="text1"/>
        </w:rPr>
      </w:pPr>
      <w:r w:rsidRPr="00FF05AC">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1314E3" w:rsidRPr="00FF05AC">
        <w:rPr>
          <w:rFonts w:ascii="Palatino Linotype" w:hAnsi="Palatino Linotype"/>
          <w:color w:val="000000" w:themeColor="text1"/>
        </w:rPr>
        <w:t>veintiséis</w:t>
      </w:r>
      <w:r w:rsidRPr="00FF05AC">
        <w:rPr>
          <w:rFonts w:ascii="Palatino Linotype" w:hAnsi="Palatino Linotype"/>
          <w:color w:val="000000" w:themeColor="text1"/>
        </w:rPr>
        <w:t xml:space="preserve"> de mayo de dos mil veintiuno. </w:t>
      </w:r>
    </w:p>
    <w:p w14:paraId="16627405" w14:textId="29A6C795" w:rsidR="003B017D" w:rsidRPr="00FF05AC" w:rsidRDefault="006A6D18" w:rsidP="003B017D">
      <w:pPr>
        <w:spacing w:before="100" w:beforeAutospacing="1" w:after="100" w:afterAutospacing="1" w:line="360" w:lineRule="auto"/>
        <w:jc w:val="both"/>
        <w:rPr>
          <w:rFonts w:ascii="Palatino Linotype" w:hAnsi="Palatino Linotype" w:cs="Arial"/>
        </w:rPr>
      </w:pPr>
      <w:r w:rsidRPr="00FF05AC">
        <w:rPr>
          <w:rFonts w:ascii="Palatino Linotype" w:hAnsi="Palatino Linotype"/>
          <w:color w:val="000000" w:themeColor="text1"/>
        </w:rPr>
        <w:t>VISTO el expediente formado con motivo del</w:t>
      </w:r>
      <w:r w:rsidR="00D2182E" w:rsidRPr="00FF05AC">
        <w:rPr>
          <w:rFonts w:ascii="Palatino Linotype" w:hAnsi="Palatino Linotype"/>
          <w:color w:val="000000" w:themeColor="text1"/>
        </w:rPr>
        <w:t xml:space="preserve"> recurso de revisión </w:t>
      </w:r>
      <w:r w:rsidRPr="00FF05AC">
        <w:rPr>
          <w:rFonts w:ascii="Palatino Linotype" w:hAnsi="Palatino Linotype"/>
          <w:b/>
          <w:color w:val="000000" w:themeColor="text1"/>
        </w:rPr>
        <w:t>05902/INFOEM/IP/RR/</w:t>
      </w:r>
      <w:r w:rsidR="00D2182E" w:rsidRPr="00FF05AC">
        <w:rPr>
          <w:rFonts w:ascii="Palatino Linotype" w:hAnsi="Palatino Linotype"/>
          <w:b/>
          <w:color w:val="000000" w:themeColor="text1"/>
        </w:rPr>
        <w:t>2020,</w:t>
      </w:r>
      <w:r w:rsidRPr="00FF05AC">
        <w:rPr>
          <w:rFonts w:ascii="Palatino Linotype" w:hAnsi="Palatino Linotype"/>
          <w:color w:val="000000" w:themeColor="text1"/>
        </w:rPr>
        <w:t xml:space="preserve"> promovido</w:t>
      </w:r>
      <w:r w:rsidR="00D2182E" w:rsidRPr="00FF05AC">
        <w:rPr>
          <w:rFonts w:ascii="Palatino Linotype" w:hAnsi="Palatino Linotype"/>
          <w:color w:val="000000" w:themeColor="text1"/>
        </w:rPr>
        <w:t xml:space="preserve"> por</w:t>
      </w:r>
      <w:r w:rsidRPr="00FF05AC">
        <w:rPr>
          <w:rFonts w:ascii="Palatino Linotype" w:hAnsi="Palatino Linotype"/>
          <w:color w:val="000000" w:themeColor="text1"/>
        </w:rPr>
        <w:t xml:space="preserve"> el C.</w:t>
      </w:r>
      <w:r w:rsidR="00D2182E" w:rsidRPr="00FF05AC">
        <w:rPr>
          <w:rFonts w:ascii="Arial" w:hAnsi="Arial" w:cs="Arial"/>
          <w:b/>
          <w:bCs/>
          <w:color w:val="333333"/>
          <w:sz w:val="15"/>
          <w:szCs w:val="15"/>
          <w:shd w:val="clear" w:color="auto" w:fill="F7F7F8"/>
        </w:rPr>
        <w:t xml:space="preserve"> </w:t>
      </w:r>
      <w:r w:rsidR="00D75158">
        <w:rPr>
          <w:rFonts w:ascii="Palatino Linotype" w:hAnsi="Palatino Linotype"/>
          <w:b/>
          <w:lang w:val="es-ES_tradnl"/>
        </w:rPr>
        <w:t>xxxxxxxxxxxxxxxxxxxxxxxxxxxxx</w:t>
      </w:r>
      <w:bookmarkStart w:id="0" w:name="_GoBack"/>
      <w:bookmarkEnd w:id="0"/>
      <w:r w:rsidR="00D2182E" w:rsidRPr="00FF05AC">
        <w:rPr>
          <w:rFonts w:ascii="Palatino Linotype" w:hAnsi="Palatino Linotype"/>
          <w:b/>
          <w:color w:val="000000" w:themeColor="text1"/>
        </w:rPr>
        <w:t xml:space="preserve">, </w:t>
      </w:r>
      <w:r w:rsidR="00D2182E" w:rsidRPr="00FF05AC">
        <w:rPr>
          <w:rFonts w:ascii="Palatino Linotype" w:hAnsi="Palatino Linotype" w:cs="Arial"/>
          <w:color w:val="000000" w:themeColor="text1"/>
        </w:rPr>
        <w:t>en lo sucesivo</w:t>
      </w:r>
      <w:r w:rsidR="00D2182E" w:rsidRPr="00FF05AC">
        <w:rPr>
          <w:rFonts w:ascii="Palatino Linotype" w:hAnsi="Palatino Linotype" w:cs="Arial"/>
          <w:b/>
          <w:color w:val="000000" w:themeColor="text1"/>
        </w:rPr>
        <w:t xml:space="preserve"> EL RECURRENTE,</w:t>
      </w:r>
      <w:r w:rsidR="00D2182E" w:rsidRPr="00FF05AC">
        <w:rPr>
          <w:rFonts w:ascii="Palatino Linotype" w:hAnsi="Palatino Linotype"/>
          <w:color w:val="000000" w:themeColor="text1"/>
        </w:rPr>
        <w:t xml:space="preserve"> </w:t>
      </w:r>
      <w:r w:rsidR="00D2182E" w:rsidRPr="00FF05AC">
        <w:rPr>
          <w:rFonts w:ascii="Palatino Linotype" w:hAnsi="Palatino Linotype" w:cs="Arial"/>
          <w:color w:val="000000" w:themeColor="text1"/>
        </w:rPr>
        <w:t>en contra de la</w:t>
      </w:r>
      <w:r w:rsidRPr="00FF05AC">
        <w:rPr>
          <w:rFonts w:ascii="Palatino Linotype" w:hAnsi="Palatino Linotype" w:cs="Arial"/>
          <w:color w:val="000000" w:themeColor="text1"/>
        </w:rPr>
        <w:t xml:space="preserve"> respuesta</w:t>
      </w:r>
      <w:r w:rsidR="00D2182E" w:rsidRPr="00FF05AC">
        <w:rPr>
          <w:rFonts w:ascii="Palatino Linotype" w:hAnsi="Palatino Linotype" w:cs="Arial"/>
          <w:color w:val="000000" w:themeColor="text1"/>
        </w:rPr>
        <w:t xml:space="preserve"> de la </w:t>
      </w:r>
      <w:r w:rsidRPr="00FF05AC">
        <w:rPr>
          <w:rFonts w:ascii="Palatino Linotype" w:hAnsi="Palatino Linotype"/>
          <w:b/>
          <w:color w:val="000000" w:themeColor="text1"/>
        </w:rPr>
        <w:t>Tribunal de Justicia Administrativa del Estado de México</w:t>
      </w:r>
      <w:r w:rsidR="00D2182E" w:rsidRPr="00FF05AC">
        <w:rPr>
          <w:rFonts w:ascii="Palatino Linotype" w:hAnsi="Palatino Linotype" w:cs="Arial"/>
          <w:b/>
          <w:color w:val="000000" w:themeColor="text1"/>
        </w:rPr>
        <w:t xml:space="preserve">, </w:t>
      </w:r>
      <w:r w:rsidR="00D2182E" w:rsidRPr="00FF05AC">
        <w:rPr>
          <w:rFonts w:ascii="Palatino Linotype" w:hAnsi="Palatino Linotype" w:cs="Arial"/>
          <w:color w:val="000000" w:themeColor="text1"/>
        </w:rPr>
        <w:t xml:space="preserve">en lo sucesivo </w:t>
      </w:r>
      <w:r w:rsidR="00D2182E" w:rsidRPr="00FF05AC">
        <w:rPr>
          <w:rFonts w:ascii="Palatino Linotype" w:hAnsi="Palatino Linotype" w:cs="Arial"/>
          <w:b/>
          <w:color w:val="000000" w:themeColor="text1"/>
        </w:rPr>
        <w:t xml:space="preserve">EL SUJETO OBLIGADO, </w:t>
      </w:r>
      <w:r w:rsidR="00D2182E" w:rsidRPr="00FF05AC">
        <w:rPr>
          <w:rFonts w:ascii="Palatino Linotype" w:hAnsi="Palatino Linotype" w:cs="Arial"/>
          <w:color w:val="000000" w:themeColor="text1"/>
        </w:rPr>
        <w:t xml:space="preserve">se procede a dictar la presente resolución </w:t>
      </w:r>
      <w:r w:rsidR="003B017D" w:rsidRPr="00FF05AC">
        <w:rPr>
          <w:rStyle w:val="Ninguno"/>
          <w:rFonts w:ascii="Palatino Linotype" w:eastAsia="Palatino Linotype" w:hAnsi="Palatino Linotype" w:cs="Palatino Linotype"/>
        </w:rPr>
        <w:t xml:space="preserve">en cumplimiento al fallo emitido en fecha </w:t>
      </w:r>
      <w:r w:rsidRPr="00FF05AC">
        <w:rPr>
          <w:rStyle w:val="Ninguno"/>
          <w:rFonts w:ascii="Palatino Linotype" w:eastAsia="Palatino Linotype" w:hAnsi="Palatino Linotype" w:cs="Palatino Linotype"/>
        </w:rPr>
        <w:t>cinco de mayo</w:t>
      </w:r>
      <w:r w:rsidR="00D2182E" w:rsidRPr="00FF05AC">
        <w:rPr>
          <w:rStyle w:val="Ninguno"/>
          <w:rFonts w:ascii="Palatino Linotype" w:eastAsia="Palatino Linotype" w:hAnsi="Palatino Linotype" w:cs="Palatino Linotype"/>
        </w:rPr>
        <w:t xml:space="preserve"> de </w:t>
      </w:r>
      <w:r w:rsidR="003B017D" w:rsidRPr="00FF05AC">
        <w:rPr>
          <w:rStyle w:val="Ninguno"/>
          <w:rFonts w:ascii="Palatino Linotype" w:eastAsia="Palatino Linotype" w:hAnsi="Palatino Linotype" w:cs="Palatino Linotype"/>
        </w:rPr>
        <w:t xml:space="preserve">dos mil veintiuno, por el Instituto Nacional de Transparencia, Acceso a la Información y Protección de Datos Personales, en lo subsecuente el </w:t>
      </w:r>
      <w:r w:rsidR="003B017D" w:rsidRPr="00FF05AC">
        <w:rPr>
          <w:rStyle w:val="Ninguno"/>
          <w:rFonts w:ascii="Palatino Linotype" w:eastAsia="Palatino Linotype" w:hAnsi="Palatino Linotype" w:cs="Palatino Linotype"/>
          <w:b/>
        </w:rPr>
        <w:t>Órgano Garante Nacional</w:t>
      </w:r>
      <w:r w:rsidR="003B017D" w:rsidRPr="00FF05AC">
        <w:rPr>
          <w:rStyle w:val="Ninguno"/>
          <w:rFonts w:ascii="Palatino Linotype" w:eastAsia="Palatino Linotype" w:hAnsi="Palatino Linotype" w:cs="Palatino Linotype"/>
        </w:rPr>
        <w:t xml:space="preserve">, correspondiente al Recurso de Inconformidad número </w:t>
      </w:r>
      <w:r w:rsidRPr="00FF05AC">
        <w:rPr>
          <w:rStyle w:val="Ninguno"/>
          <w:rFonts w:ascii="Palatino Linotype" w:eastAsia="Palatino Linotype" w:hAnsi="Palatino Linotype" w:cs="Palatino Linotype"/>
          <w:b/>
        </w:rPr>
        <w:t>RIA 126</w:t>
      </w:r>
      <w:r w:rsidR="003B017D" w:rsidRPr="00FF05AC">
        <w:rPr>
          <w:rStyle w:val="Ninguno"/>
          <w:rFonts w:ascii="Palatino Linotype" w:eastAsia="Palatino Linotype" w:hAnsi="Palatino Linotype" w:cs="Palatino Linotype"/>
          <w:b/>
        </w:rPr>
        <w:t>/2</w:t>
      </w:r>
      <w:r w:rsidR="00D2182E" w:rsidRPr="00FF05AC">
        <w:rPr>
          <w:rStyle w:val="Ninguno"/>
          <w:rFonts w:ascii="Palatino Linotype" w:eastAsia="Palatino Linotype" w:hAnsi="Palatino Linotype" w:cs="Palatino Linotype"/>
          <w:b/>
        </w:rPr>
        <w:t>1</w:t>
      </w:r>
      <w:r w:rsidR="003B017D" w:rsidRPr="00FF05AC">
        <w:rPr>
          <w:rStyle w:val="Ninguno"/>
          <w:rFonts w:ascii="Palatino Linotype" w:eastAsia="Palatino Linotype" w:hAnsi="Palatino Linotype" w:cs="Palatino Linotype"/>
        </w:rPr>
        <w:t xml:space="preserve">, </w:t>
      </w:r>
      <w:r w:rsidR="003B017D" w:rsidRPr="00FF05AC">
        <w:rPr>
          <w:rFonts w:ascii="Palatino Linotype" w:hAnsi="Palatino Linotype" w:cs="Arial"/>
        </w:rPr>
        <w:t>con base en lo siguiente:</w:t>
      </w:r>
    </w:p>
    <w:p w14:paraId="16627406" w14:textId="77777777" w:rsidR="003B017D" w:rsidRPr="00FF05AC" w:rsidRDefault="003B017D" w:rsidP="003B017D">
      <w:pPr>
        <w:spacing w:before="100" w:beforeAutospacing="1" w:after="100" w:afterAutospacing="1" w:line="360" w:lineRule="auto"/>
        <w:jc w:val="center"/>
        <w:rPr>
          <w:rFonts w:ascii="Palatino Linotype" w:hAnsi="Palatino Linotype"/>
          <w:b/>
          <w:bCs/>
          <w:color w:val="000000" w:themeColor="text1"/>
          <w:spacing w:val="40"/>
          <w:sz w:val="28"/>
        </w:rPr>
      </w:pPr>
      <w:r w:rsidRPr="00FF05AC">
        <w:rPr>
          <w:rFonts w:ascii="Palatino Linotype" w:hAnsi="Palatino Linotype"/>
          <w:b/>
          <w:bCs/>
          <w:color w:val="000000" w:themeColor="text1"/>
          <w:spacing w:val="40"/>
          <w:sz w:val="28"/>
        </w:rPr>
        <w:t>RESULTANDO</w:t>
      </w:r>
    </w:p>
    <w:p w14:paraId="16627407" w14:textId="77777777" w:rsidR="003B017D" w:rsidRPr="00FF05AC" w:rsidRDefault="003B017D" w:rsidP="003B017D">
      <w:pPr>
        <w:spacing w:before="100" w:beforeAutospacing="1" w:after="100" w:afterAutospacing="1" w:line="360" w:lineRule="auto"/>
        <w:jc w:val="both"/>
        <w:rPr>
          <w:rFonts w:ascii="Palatino Linotype" w:hAnsi="Palatino Linotype"/>
          <w:b/>
          <w:color w:val="000000" w:themeColor="text1"/>
          <w:sz w:val="28"/>
          <w:szCs w:val="28"/>
        </w:rPr>
      </w:pPr>
      <w:r w:rsidRPr="00FF05AC">
        <w:rPr>
          <w:rFonts w:ascii="Palatino Linotype" w:hAnsi="Palatino Linotype"/>
          <w:b/>
          <w:color w:val="000000" w:themeColor="text1"/>
          <w:sz w:val="28"/>
          <w:szCs w:val="28"/>
        </w:rPr>
        <w:t xml:space="preserve">I. Solicitud de Información </w:t>
      </w:r>
    </w:p>
    <w:p w14:paraId="16627408" w14:textId="73BCB8B1" w:rsidR="00D2182E" w:rsidRPr="00FF05AC" w:rsidRDefault="00D2182E" w:rsidP="00D2182E">
      <w:pPr>
        <w:spacing w:before="100" w:beforeAutospacing="1" w:after="100" w:afterAutospacing="1" w:line="360" w:lineRule="auto"/>
        <w:jc w:val="both"/>
        <w:rPr>
          <w:rFonts w:ascii="Palatino Linotype" w:hAnsi="Palatino Linotype"/>
          <w:color w:val="000000" w:themeColor="text1"/>
        </w:rPr>
      </w:pPr>
      <w:r w:rsidRPr="00FF05AC">
        <w:rPr>
          <w:rFonts w:ascii="Palatino Linotype" w:hAnsi="Palatino Linotype" w:cs="Arial"/>
          <w:color w:val="000000" w:themeColor="text1"/>
        </w:rPr>
        <w:t xml:space="preserve">En fecha </w:t>
      </w:r>
      <w:r w:rsidR="007E25B3" w:rsidRPr="00FF05AC">
        <w:rPr>
          <w:rFonts w:ascii="Palatino Linotype" w:hAnsi="Palatino Linotype" w:cs="Arial"/>
          <w:color w:val="000000" w:themeColor="text1"/>
        </w:rPr>
        <w:t>veintiséis de octubre</w:t>
      </w:r>
      <w:r w:rsidRPr="00FF05AC">
        <w:rPr>
          <w:rFonts w:ascii="Palatino Linotype" w:hAnsi="Palatino Linotype" w:cs="Arial"/>
          <w:color w:val="000000" w:themeColor="text1"/>
        </w:rPr>
        <w:t xml:space="preserve"> de dos mil veinte, </w:t>
      </w:r>
      <w:r w:rsidRPr="00FF05AC">
        <w:rPr>
          <w:rFonts w:ascii="Palatino Linotype" w:hAnsi="Palatino Linotype" w:cs="Arial"/>
          <w:b/>
          <w:color w:val="000000" w:themeColor="text1"/>
        </w:rPr>
        <w:t>EL RECURRENTE</w:t>
      </w:r>
      <w:r w:rsidRPr="00FF05AC">
        <w:rPr>
          <w:rFonts w:ascii="Palatino Linotype" w:hAnsi="Palatino Linotype" w:cs="Arial"/>
          <w:color w:val="000000" w:themeColor="text1"/>
        </w:rPr>
        <w:t xml:space="preserve"> </w:t>
      </w:r>
      <w:r w:rsidR="007E25B3" w:rsidRPr="00FF05AC">
        <w:rPr>
          <w:rFonts w:ascii="Palatino Linotype" w:hAnsi="Palatino Linotype" w:cs="Arial"/>
          <w:color w:val="000000" w:themeColor="text1"/>
        </w:rPr>
        <w:t>del</w:t>
      </w:r>
      <w:r w:rsidRPr="00FF05AC">
        <w:rPr>
          <w:rFonts w:ascii="Palatino Linotype" w:hAnsi="Palatino Linotype" w:cs="Arial"/>
          <w:color w:val="000000" w:themeColor="text1"/>
        </w:rPr>
        <w:t xml:space="preserve"> Sistema de Acceso a la Información Mexiquense, en lo subsecuente </w:t>
      </w:r>
      <w:r w:rsidRPr="00FF05AC">
        <w:rPr>
          <w:rFonts w:ascii="Palatino Linotype" w:hAnsi="Palatino Linotype" w:cs="Arial"/>
          <w:b/>
          <w:color w:val="000000" w:themeColor="text1"/>
        </w:rPr>
        <w:t>EL SAIMEX</w:t>
      </w:r>
      <w:r w:rsidRPr="00FF05AC">
        <w:rPr>
          <w:rFonts w:ascii="Palatino Linotype" w:hAnsi="Palatino Linotype" w:cs="Arial"/>
          <w:color w:val="000000" w:themeColor="text1"/>
        </w:rPr>
        <w:t xml:space="preserve"> ante </w:t>
      </w:r>
      <w:r w:rsidRPr="00FF05AC">
        <w:rPr>
          <w:rFonts w:ascii="Palatino Linotype" w:hAnsi="Palatino Linotype" w:cs="Arial"/>
          <w:b/>
          <w:color w:val="000000" w:themeColor="text1"/>
        </w:rPr>
        <w:t>EL SUJETO OBLIGADO</w:t>
      </w:r>
      <w:r w:rsidRPr="00FF05AC">
        <w:rPr>
          <w:rFonts w:ascii="Palatino Linotype" w:hAnsi="Palatino Linotype" w:cs="Arial"/>
          <w:color w:val="000000" w:themeColor="text1"/>
        </w:rPr>
        <w:t xml:space="preserve">, </w:t>
      </w:r>
      <w:r w:rsidR="007E25B3" w:rsidRPr="00FF05AC">
        <w:rPr>
          <w:rFonts w:ascii="Palatino Linotype" w:hAnsi="Palatino Linotype"/>
          <w:color w:val="000000" w:themeColor="text1"/>
        </w:rPr>
        <w:t>la solicitud</w:t>
      </w:r>
      <w:r w:rsidRPr="00FF05AC">
        <w:rPr>
          <w:rFonts w:ascii="Palatino Linotype" w:hAnsi="Palatino Linotype"/>
          <w:color w:val="000000" w:themeColor="text1"/>
        </w:rPr>
        <w:t xml:space="preserve"> de acce</w:t>
      </w:r>
      <w:r w:rsidR="007E25B3" w:rsidRPr="00FF05AC">
        <w:rPr>
          <w:rFonts w:ascii="Palatino Linotype" w:hAnsi="Palatino Linotype"/>
          <w:color w:val="000000" w:themeColor="text1"/>
        </w:rPr>
        <w:t>so a información pública, a la que se le</w:t>
      </w:r>
      <w:r w:rsidRPr="00FF05AC">
        <w:rPr>
          <w:rFonts w:ascii="Palatino Linotype" w:hAnsi="Palatino Linotype"/>
          <w:color w:val="000000" w:themeColor="text1"/>
        </w:rPr>
        <w:t xml:space="preserve"> asignó </w:t>
      </w:r>
      <w:r w:rsidR="007E25B3" w:rsidRPr="00FF05AC">
        <w:rPr>
          <w:rFonts w:ascii="Palatino Linotype" w:hAnsi="Palatino Linotype"/>
          <w:color w:val="000000" w:themeColor="text1"/>
        </w:rPr>
        <w:t xml:space="preserve">el </w:t>
      </w:r>
      <w:r w:rsidRPr="00FF05AC">
        <w:rPr>
          <w:rFonts w:ascii="Palatino Linotype" w:hAnsi="Palatino Linotype"/>
          <w:color w:val="000000" w:themeColor="text1"/>
        </w:rPr>
        <w:t xml:space="preserve">número </w:t>
      </w:r>
      <w:r w:rsidR="00F64C98" w:rsidRPr="00FF05AC">
        <w:rPr>
          <w:rFonts w:ascii="Palatino Linotype" w:hAnsi="Palatino Linotype"/>
          <w:b/>
          <w:color w:val="000000" w:themeColor="text1"/>
        </w:rPr>
        <w:t>00228</w:t>
      </w:r>
      <w:r w:rsidRPr="00FF05AC">
        <w:rPr>
          <w:rFonts w:ascii="Palatino Linotype" w:hAnsi="Palatino Linotype"/>
          <w:b/>
          <w:color w:val="000000" w:themeColor="text1"/>
        </w:rPr>
        <w:t>/</w:t>
      </w:r>
      <w:r w:rsidR="00F64C98" w:rsidRPr="00FF05AC">
        <w:rPr>
          <w:rFonts w:ascii="Palatino Linotype" w:hAnsi="Palatino Linotype"/>
          <w:b/>
          <w:color w:val="000000" w:themeColor="text1"/>
        </w:rPr>
        <w:t>TRIJAEM</w:t>
      </w:r>
      <w:r w:rsidRPr="00FF05AC">
        <w:rPr>
          <w:rFonts w:ascii="Palatino Linotype" w:hAnsi="Palatino Linotype"/>
          <w:b/>
          <w:color w:val="000000" w:themeColor="text1"/>
        </w:rPr>
        <w:t>/IP/2020</w:t>
      </w:r>
      <w:r w:rsidRPr="00FF05AC">
        <w:rPr>
          <w:rFonts w:ascii="Palatino Linotype" w:hAnsi="Palatino Linotype"/>
          <w:b/>
          <w:color w:val="000000" w:themeColor="text1"/>
          <w:spacing w:val="-20"/>
        </w:rPr>
        <w:t xml:space="preserve">, </w:t>
      </w:r>
      <w:r w:rsidRPr="00FF05AC">
        <w:rPr>
          <w:rFonts w:ascii="Palatino Linotype" w:hAnsi="Palatino Linotype"/>
          <w:color w:val="000000" w:themeColor="text1"/>
        </w:rPr>
        <w:t>mediante la</w:t>
      </w:r>
      <w:r w:rsidR="00F64C98" w:rsidRPr="00FF05AC">
        <w:rPr>
          <w:rFonts w:ascii="Palatino Linotype" w:hAnsi="Palatino Linotype"/>
          <w:color w:val="000000" w:themeColor="text1"/>
        </w:rPr>
        <w:t xml:space="preserve"> cual</w:t>
      </w:r>
      <w:r w:rsidRPr="00FF05AC">
        <w:rPr>
          <w:rFonts w:ascii="Palatino Linotype" w:hAnsi="Palatino Linotype"/>
          <w:color w:val="000000" w:themeColor="text1"/>
        </w:rPr>
        <w:t xml:space="preserve"> solicitó lo </w:t>
      </w:r>
      <w:r w:rsidRPr="00FF05AC">
        <w:rPr>
          <w:rFonts w:ascii="Palatino Linotype" w:hAnsi="Palatino Linotype" w:cs="Arial"/>
          <w:color w:val="000000" w:themeColor="text1"/>
        </w:rPr>
        <w:t>siguiente</w:t>
      </w:r>
      <w:r w:rsidRPr="00FF05AC">
        <w:rPr>
          <w:rFonts w:ascii="Palatino Linotype" w:hAnsi="Palatino Linotype"/>
          <w:color w:val="000000" w:themeColor="text1"/>
        </w:rPr>
        <w:t>:</w:t>
      </w:r>
    </w:p>
    <w:p w14:paraId="19DB49D5" w14:textId="77777777" w:rsidR="00F64C98" w:rsidRPr="00FF05AC" w:rsidRDefault="00F64C98" w:rsidP="00D2182E">
      <w:pPr>
        <w:spacing w:before="100" w:beforeAutospacing="1" w:after="100" w:afterAutospacing="1" w:line="360" w:lineRule="auto"/>
        <w:jc w:val="both"/>
        <w:rPr>
          <w:rFonts w:ascii="Palatino Linotype" w:hAnsi="Palatino Linotype"/>
          <w:color w:val="000000" w:themeColor="text1"/>
        </w:rPr>
      </w:pPr>
    </w:p>
    <w:p w14:paraId="0CAC3278" w14:textId="78A86D0D" w:rsidR="00F64C98" w:rsidRPr="00FF05AC" w:rsidRDefault="00F64C98" w:rsidP="00F64C98">
      <w:pPr>
        <w:spacing w:before="100" w:beforeAutospacing="1" w:after="100" w:afterAutospacing="1"/>
        <w:ind w:left="851" w:right="902"/>
        <w:jc w:val="both"/>
        <w:rPr>
          <w:rFonts w:ascii="Palatino Linotype" w:hAnsi="Palatino Linotype"/>
          <w:i/>
          <w:color w:val="000000" w:themeColor="text1"/>
          <w:sz w:val="22"/>
          <w:szCs w:val="22"/>
        </w:rPr>
      </w:pPr>
      <w:r w:rsidRPr="00FF05AC">
        <w:rPr>
          <w:rFonts w:ascii="Palatino Linotype" w:hAnsi="Palatino Linotype"/>
          <w:i/>
          <w:color w:val="000000" w:themeColor="text1"/>
          <w:sz w:val="22"/>
          <w:szCs w:val="22"/>
        </w:rPr>
        <w:t xml:space="preserve">En relación al Juicio contencioso administrativo </w:t>
      </w:r>
      <w:r w:rsidR="00CF5B5E">
        <w:rPr>
          <w:rFonts w:ascii="Palatino Linotype" w:hAnsi="Palatino Linotype"/>
          <w:i/>
          <w:color w:val="000000" w:themeColor="text1"/>
          <w:sz w:val="22"/>
          <w:szCs w:val="22"/>
        </w:rPr>
        <w:t>XXXXXX</w:t>
      </w:r>
      <w:r w:rsidRPr="00FF05AC">
        <w:rPr>
          <w:rFonts w:ascii="Palatino Linotype" w:hAnsi="Palatino Linotype"/>
          <w:i/>
          <w:color w:val="000000" w:themeColor="text1"/>
          <w:sz w:val="22"/>
          <w:szCs w:val="22"/>
        </w:rPr>
        <w:t xml:space="preserve"> del índice de la Sexta Sala Regional del Tribunal de Justicia Administrativa del Estado de México promovido por </w:t>
      </w:r>
      <w:r w:rsidR="00CF5B5E">
        <w:rPr>
          <w:rFonts w:ascii="Palatino Linotype" w:hAnsi="Palatino Linotype"/>
          <w:i/>
          <w:color w:val="000000" w:themeColor="text1"/>
          <w:sz w:val="22"/>
          <w:szCs w:val="22"/>
        </w:rPr>
        <w:t>XXXXXXXXXXXXXXXXX</w:t>
      </w:r>
      <w:r w:rsidRPr="00FF05AC">
        <w:rPr>
          <w:rFonts w:ascii="Palatino Linotype" w:hAnsi="Palatino Linotype"/>
          <w:i/>
          <w:color w:val="000000" w:themeColor="text1"/>
          <w:sz w:val="22"/>
          <w:szCs w:val="22"/>
        </w:rPr>
        <w:t xml:space="preserve"> en contra del Director de Desarrollo Urbano del Municipio de Atizapán de Zaragoza, solicito: a) Versión pública del escrito inicial de demanda (sin anexos) b) Versión pública de todos y cada uno de los documentos anexos como prubea c) Versión pública de la sentencia que resolvió el asunto, de 28 de agosto de 2017 Es de señalarse que el juicio fue resuelto mediante sentencia de 28/agosto/2017, ejecutoriada el 22/sept/2017, por lo que al tratarse de un juicio concluido, es plenamente otorgable la información solicitada</w:t>
      </w:r>
    </w:p>
    <w:p w14:paraId="16627421" w14:textId="77777777" w:rsidR="003B017D" w:rsidRPr="00FF05AC" w:rsidRDefault="003B017D" w:rsidP="003B017D">
      <w:pPr>
        <w:spacing w:before="100" w:beforeAutospacing="1" w:after="100" w:afterAutospacing="1" w:line="360" w:lineRule="auto"/>
        <w:jc w:val="both"/>
        <w:rPr>
          <w:rFonts w:ascii="Palatino Linotype" w:hAnsi="Palatino Linotype" w:cs="Arial"/>
          <w:color w:val="000000" w:themeColor="text1"/>
        </w:rPr>
      </w:pPr>
      <w:r w:rsidRPr="00FF05AC">
        <w:rPr>
          <w:rFonts w:ascii="Palatino Linotype" w:hAnsi="Palatino Linotype" w:cs="Arial"/>
          <w:b/>
          <w:color w:val="000000" w:themeColor="text1"/>
        </w:rPr>
        <w:t>MODALIDAD DE ENTREGA:</w:t>
      </w:r>
      <w:r w:rsidRPr="00FF05AC">
        <w:rPr>
          <w:rFonts w:ascii="Palatino Linotype" w:hAnsi="Palatino Linotype" w:cs="Arial"/>
          <w:color w:val="000000" w:themeColor="text1"/>
        </w:rPr>
        <w:t xml:space="preserve"> Vía </w:t>
      </w:r>
      <w:r w:rsidRPr="00FF05AC">
        <w:rPr>
          <w:rFonts w:ascii="Palatino Linotype" w:hAnsi="Palatino Linotype" w:cs="Arial"/>
          <w:b/>
          <w:color w:val="000000" w:themeColor="text1"/>
        </w:rPr>
        <w:t>SAIMEX</w:t>
      </w:r>
      <w:r w:rsidRPr="00FF05AC">
        <w:rPr>
          <w:rFonts w:ascii="Palatino Linotype" w:hAnsi="Palatino Linotype" w:cs="Arial"/>
          <w:color w:val="000000" w:themeColor="text1"/>
        </w:rPr>
        <w:t>.</w:t>
      </w:r>
    </w:p>
    <w:p w14:paraId="16627422" w14:textId="77777777" w:rsidR="003B017D" w:rsidRPr="00FF05AC" w:rsidRDefault="003B017D" w:rsidP="003B017D">
      <w:pPr>
        <w:spacing w:line="360" w:lineRule="auto"/>
        <w:jc w:val="both"/>
        <w:rPr>
          <w:rFonts w:ascii="Palatino Linotype" w:hAnsi="Palatino Linotype"/>
          <w:b/>
          <w:sz w:val="28"/>
          <w:szCs w:val="28"/>
        </w:rPr>
      </w:pPr>
      <w:r w:rsidRPr="00FF05AC">
        <w:rPr>
          <w:rFonts w:ascii="Palatino Linotype" w:hAnsi="Palatino Linotype"/>
          <w:b/>
          <w:sz w:val="28"/>
          <w:szCs w:val="28"/>
        </w:rPr>
        <w:t>II. Requerimiento a Servidor Público Habilitado</w:t>
      </w:r>
    </w:p>
    <w:p w14:paraId="6580268B" w14:textId="77777777" w:rsidR="00A03ABB" w:rsidRPr="00FF05AC" w:rsidRDefault="00A03ABB" w:rsidP="00A03ABB">
      <w:pPr>
        <w:spacing w:before="100" w:beforeAutospacing="1" w:after="100" w:afterAutospacing="1" w:line="360" w:lineRule="auto"/>
        <w:contextualSpacing/>
        <w:jc w:val="both"/>
        <w:rPr>
          <w:rFonts w:ascii="Palatino Linotype" w:hAnsi="Palatino Linotype"/>
        </w:rPr>
      </w:pPr>
      <w:r w:rsidRPr="00FF05AC">
        <w:rPr>
          <w:rFonts w:ascii="Palatino Linotype" w:hAnsi="Palatino Linotype" w:cs="Arial"/>
        </w:rPr>
        <w:t xml:space="preserve">En cumplimiento al artículo 162 de la Ley de Transparencia y Acceso a la Información Pública del Estado de México y Municipios, el quince de septiembre de dos mil veinte, el Titular de la Unidad de Transparencia del </w:t>
      </w:r>
      <w:r w:rsidRPr="00FF05AC">
        <w:rPr>
          <w:rFonts w:ascii="Palatino Linotype" w:hAnsi="Palatino Linotype" w:cs="Arial"/>
          <w:b/>
        </w:rPr>
        <w:t>SUJETO OBLIGADO</w:t>
      </w:r>
      <w:r w:rsidRPr="00FF05AC">
        <w:rPr>
          <w:rFonts w:ascii="Palatino Linotype" w:hAnsi="Palatino Linotype" w:cs="Arial"/>
        </w:rPr>
        <w:t xml:space="preserve">, mediante los folios </w:t>
      </w:r>
      <w:r w:rsidRPr="00FF05AC">
        <w:rPr>
          <w:rFonts w:ascii="Palatino Linotype" w:hAnsi="Palatino Linotype" w:cs="Arial"/>
          <w:b/>
          <w:bCs/>
        </w:rPr>
        <w:t xml:space="preserve">00228/TRIJAEM/IP/2020/TSP/0001 </w:t>
      </w:r>
      <w:r w:rsidRPr="00FF05AC">
        <w:rPr>
          <w:rFonts w:ascii="Palatino Linotype" w:hAnsi="Palatino Linotype" w:cs="Arial"/>
          <w:bCs/>
        </w:rPr>
        <w:t>respectivamente,</w:t>
      </w:r>
      <w:r w:rsidRPr="00FF05AC">
        <w:rPr>
          <w:rFonts w:ascii="Palatino Linotype" w:hAnsi="Palatino Linotype" w:cs="Arial"/>
        </w:rPr>
        <w:t xml:space="preserve"> </w:t>
      </w:r>
      <w:r w:rsidRPr="00FF05AC">
        <w:rPr>
          <w:rFonts w:ascii="Palatino Linotype" w:hAnsi="Palatino Linotype"/>
          <w:bCs/>
        </w:rPr>
        <w:t>turnó los requerimientos de información, a fin de colmar la solicitud de acceso a la información; tal y como, se aprecia en las imágenes siguientes:</w:t>
      </w:r>
    </w:p>
    <w:p w14:paraId="0053846E" w14:textId="77777777" w:rsidR="00A03ABB" w:rsidRPr="00FF05AC" w:rsidRDefault="00A03ABB" w:rsidP="00A03ABB">
      <w:pPr>
        <w:spacing w:before="100" w:beforeAutospacing="1" w:after="100" w:afterAutospacing="1" w:line="360" w:lineRule="auto"/>
        <w:contextualSpacing/>
        <w:jc w:val="both"/>
        <w:rPr>
          <w:rFonts w:ascii="Palatino Linotype" w:hAnsi="Palatino Linotype"/>
          <w:b/>
          <w:sz w:val="28"/>
          <w:szCs w:val="28"/>
        </w:rPr>
      </w:pPr>
    </w:p>
    <w:p w14:paraId="1F0C32F3" w14:textId="77777777" w:rsidR="00A03ABB" w:rsidRPr="00FF05AC" w:rsidRDefault="00A03ABB" w:rsidP="00A03ABB">
      <w:pPr>
        <w:spacing w:before="100" w:beforeAutospacing="1" w:after="100" w:afterAutospacing="1" w:line="360" w:lineRule="auto"/>
        <w:contextualSpacing/>
        <w:jc w:val="both"/>
        <w:rPr>
          <w:rFonts w:ascii="Palatino Linotype" w:hAnsi="Palatino Linotype"/>
          <w:b/>
          <w:sz w:val="28"/>
          <w:szCs w:val="28"/>
        </w:rPr>
      </w:pPr>
      <w:r w:rsidRPr="00FF05AC">
        <w:rPr>
          <w:rFonts w:ascii="Palatino Linotype" w:hAnsi="Palatino Linotype"/>
          <w:noProof/>
          <w:lang w:eastAsia="es-MX"/>
        </w:rPr>
        <w:lastRenderedPageBreak/>
        <w:drawing>
          <wp:inline distT="0" distB="0" distL="0" distR="0" wp14:anchorId="320B5697" wp14:editId="7805BD90">
            <wp:extent cx="5753819" cy="21304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72" t="37861" r="4125" b="47311"/>
                    <a:stretch/>
                  </pic:blipFill>
                  <pic:spPr bwMode="auto">
                    <a:xfrm>
                      <a:off x="0" y="0"/>
                      <a:ext cx="5817183" cy="215388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BF91522" w14:textId="35BEF4F1" w:rsidR="00A03ABB" w:rsidRPr="00FF05AC" w:rsidRDefault="003B017D" w:rsidP="003B017D">
      <w:pPr>
        <w:spacing w:line="360" w:lineRule="auto"/>
        <w:jc w:val="both"/>
        <w:rPr>
          <w:rFonts w:ascii="Palatino Linotype" w:hAnsi="Palatino Linotype"/>
          <w:b/>
          <w:color w:val="000000" w:themeColor="text1"/>
          <w:sz w:val="28"/>
          <w:szCs w:val="28"/>
        </w:rPr>
      </w:pPr>
      <w:r w:rsidRPr="00FF05AC">
        <w:rPr>
          <w:rFonts w:ascii="Palatino Linotype" w:hAnsi="Palatino Linotype"/>
          <w:b/>
          <w:color w:val="000000" w:themeColor="text1"/>
          <w:sz w:val="28"/>
          <w:szCs w:val="28"/>
        </w:rPr>
        <w:t xml:space="preserve">III. </w:t>
      </w:r>
      <w:r w:rsidR="00A03ABB" w:rsidRPr="00FF05AC">
        <w:rPr>
          <w:rFonts w:ascii="Palatino Linotype" w:hAnsi="Palatino Linotype"/>
          <w:b/>
          <w:color w:val="000000" w:themeColor="text1"/>
          <w:sz w:val="28"/>
          <w:szCs w:val="28"/>
        </w:rPr>
        <w:t>Notificación de Prórroga</w:t>
      </w:r>
    </w:p>
    <w:p w14:paraId="32B18BA2" w14:textId="77777777" w:rsidR="00A03ABB" w:rsidRPr="00FF05AC" w:rsidRDefault="00A03ABB" w:rsidP="00A03ABB">
      <w:pPr>
        <w:spacing w:before="100" w:beforeAutospacing="1" w:after="100" w:afterAutospacing="1" w:line="360" w:lineRule="auto"/>
        <w:contextualSpacing/>
        <w:jc w:val="both"/>
        <w:rPr>
          <w:rFonts w:ascii="Palatino Linotype" w:hAnsi="Palatino Linotype"/>
        </w:rPr>
      </w:pPr>
      <w:r w:rsidRPr="00FF05AC">
        <w:rPr>
          <w:rFonts w:ascii="Palatino Linotype" w:hAnsi="Palatino Linotype"/>
        </w:rPr>
        <w:t xml:space="preserve">De las constancias que obran en </w:t>
      </w:r>
      <w:r w:rsidRPr="00FF05AC">
        <w:rPr>
          <w:rFonts w:ascii="Palatino Linotype" w:hAnsi="Palatino Linotype"/>
          <w:b/>
        </w:rPr>
        <w:t>EL SAIMEX,</w:t>
      </w:r>
      <w:r w:rsidRPr="00FF05AC">
        <w:rPr>
          <w:rFonts w:ascii="Palatino Linotype" w:hAnsi="Palatino Linotype"/>
        </w:rPr>
        <w:t xml:space="preserve"> se advierte que en fecha diecisiete de noviembre de dos mil veinte, </w:t>
      </w:r>
      <w:r w:rsidRPr="00FF05AC">
        <w:rPr>
          <w:rFonts w:ascii="Palatino Linotype" w:hAnsi="Palatino Linotype"/>
          <w:b/>
        </w:rPr>
        <w:t xml:space="preserve">EL SUJETO OBLIGADO </w:t>
      </w:r>
      <w:r w:rsidRPr="00FF05AC">
        <w:rPr>
          <w:rFonts w:ascii="Palatino Linotype" w:hAnsi="Palatino Linotype"/>
        </w:rPr>
        <w:t xml:space="preserve">notificó una prórroga de siete días para dar respuesta a la solicitud de información planteada por </w:t>
      </w:r>
      <w:r w:rsidRPr="00FF05AC">
        <w:rPr>
          <w:rFonts w:ascii="Palatino Linotype" w:hAnsi="Palatino Linotype"/>
          <w:b/>
        </w:rPr>
        <w:t>LA RECURRENTE</w:t>
      </w:r>
      <w:r w:rsidRPr="00FF05AC">
        <w:rPr>
          <w:rFonts w:ascii="Palatino Linotype" w:hAnsi="Palatino Linotype"/>
        </w:rPr>
        <w:t>, en los siguientes términos:</w:t>
      </w:r>
    </w:p>
    <w:p w14:paraId="60469CF7" w14:textId="77777777" w:rsidR="00A03ABB" w:rsidRPr="00FF05AC" w:rsidRDefault="00A03ABB" w:rsidP="00A03ABB">
      <w:pPr>
        <w:spacing w:before="100" w:beforeAutospacing="1" w:after="100" w:afterAutospacing="1" w:line="360" w:lineRule="auto"/>
        <w:contextualSpacing/>
        <w:jc w:val="both"/>
        <w:rPr>
          <w:rFonts w:ascii="Palatino Linotype" w:hAnsi="Palatino Linotype"/>
        </w:rPr>
      </w:pPr>
    </w:p>
    <w:p w14:paraId="10008BAC" w14:textId="77777777" w:rsidR="00A03ABB" w:rsidRPr="00FF05AC" w:rsidRDefault="00A03ABB" w:rsidP="00A03ABB">
      <w:pPr>
        <w:spacing w:before="100" w:beforeAutospacing="1" w:after="100" w:afterAutospacing="1"/>
        <w:ind w:left="851" w:right="902"/>
        <w:contextualSpacing/>
        <w:jc w:val="both"/>
        <w:rPr>
          <w:rFonts w:ascii="Palatino Linotype" w:hAnsi="Palatino Linotype"/>
          <w:i/>
          <w:sz w:val="22"/>
          <w:szCs w:val="22"/>
        </w:rPr>
      </w:pPr>
      <w:r w:rsidRPr="00FF05AC">
        <w:rPr>
          <w:rFonts w:ascii="Palatino Linotype" w:hAnsi="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FFAF416" w14:textId="77777777" w:rsidR="00A03ABB" w:rsidRPr="00FF05AC" w:rsidRDefault="00A03ABB" w:rsidP="00A03ABB">
      <w:pPr>
        <w:spacing w:before="100" w:beforeAutospacing="1" w:after="100" w:afterAutospacing="1"/>
        <w:ind w:left="851" w:right="902"/>
        <w:contextualSpacing/>
        <w:jc w:val="both"/>
        <w:rPr>
          <w:rFonts w:ascii="Palatino Linotype" w:hAnsi="Palatino Linotype"/>
          <w:i/>
          <w:sz w:val="22"/>
          <w:szCs w:val="22"/>
        </w:rPr>
      </w:pPr>
    </w:p>
    <w:p w14:paraId="5972EF72" w14:textId="77777777" w:rsidR="00A03ABB" w:rsidRPr="00FF05AC" w:rsidRDefault="00A03ABB" w:rsidP="00A03ABB">
      <w:pPr>
        <w:spacing w:before="100" w:beforeAutospacing="1" w:after="100" w:afterAutospacing="1"/>
        <w:ind w:left="851" w:right="902"/>
        <w:contextualSpacing/>
        <w:jc w:val="both"/>
        <w:rPr>
          <w:rFonts w:ascii="Palatino Linotype" w:hAnsi="Palatino Linotype"/>
          <w:i/>
          <w:sz w:val="22"/>
          <w:szCs w:val="22"/>
        </w:rPr>
      </w:pPr>
      <w:r w:rsidRPr="00FF05AC">
        <w:rPr>
          <w:rFonts w:ascii="Palatino Linotype" w:hAnsi="Palatino Linotype"/>
          <w:i/>
          <w:sz w:val="22"/>
          <w:szCs w:val="22"/>
        </w:rPr>
        <w:t>Se aprueba la presente prorroga considerando que se está en el proceso de búsqueda minuciosa y exhaustiva de la información.</w:t>
      </w:r>
    </w:p>
    <w:p w14:paraId="2958C135" w14:textId="77777777" w:rsidR="00A03ABB" w:rsidRPr="00FF05AC" w:rsidRDefault="00A03ABB" w:rsidP="00A03ABB">
      <w:pPr>
        <w:spacing w:before="100" w:beforeAutospacing="1" w:after="100" w:afterAutospacing="1"/>
        <w:ind w:left="851" w:right="902"/>
        <w:contextualSpacing/>
        <w:jc w:val="both"/>
        <w:rPr>
          <w:rFonts w:ascii="Palatino Linotype" w:hAnsi="Palatino Linotype"/>
          <w:i/>
          <w:sz w:val="22"/>
          <w:szCs w:val="22"/>
        </w:rPr>
      </w:pPr>
    </w:p>
    <w:p w14:paraId="4CF8CB18" w14:textId="77777777" w:rsidR="00A03ABB" w:rsidRPr="00FF05AC" w:rsidRDefault="00A03ABB" w:rsidP="00A03ABB">
      <w:pPr>
        <w:spacing w:before="100" w:beforeAutospacing="1" w:after="100" w:afterAutospacing="1"/>
        <w:ind w:left="851" w:right="902"/>
        <w:contextualSpacing/>
        <w:jc w:val="both"/>
        <w:rPr>
          <w:rFonts w:ascii="Palatino Linotype" w:hAnsi="Palatino Linotype"/>
          <w:i/>
          <w:sz w:val="22"/>
          <w:szCs w:val="22"/>
        </w:rPr>
      </w:pPr>
      <w:r w:rsidRPr="00FF05AC">
        <w:rPr>
          <w:rFonts w:ascii="Palatino Linotype" w:hAnsi="Palatino Linotype"/>
          <w:i/>
          <w:sz w:val="22"/>
          <w:szCs w:val="22"/>
        </w:rPr>
        <w:t>L.A.E. ERIKA YOLANDA FUNES VELÁZQUEZ</w:t>
      </w:r>
    </w:p>
    <w:p w14:paraId="7F944470" w14:textId="77777777" w:rsidR="00A03ABB" w:rsidRPr="00FF05AC" w:rsidRDefault="00A03ABB" w:rsidP="00A03ABB">
      <w:pPr>
        <w:spacing w:before="100" w:beforeAutospacing="1" w:after="100" w:afterAutospacing="1"/>
        <w:ind w:left="851" w:right="902"/>
        <w:contextualSpacing/>
        <w:jc w:val="both"/>
        <w:rPr>
          <w:rFonts w:ascii="Palatino Linotype" w:hAnsi="Palatino Linotype"/>
          <w:i/>
          <w:sz w:val="22"/>
          <w:szCs w:val="22"/>
        </w:rPr>
      </w:pPr>
    </w:p>
    <w:p w14:paraId="76126C07" w14:textId="77777777" w:rsidR="00A03ABB" w:rsidRPr="00FF05AC" w:rsidRDefault="00A03ABB" w:rsidP="00A03ABB">
      <w:pPr>
        <w:spacing w:before="100" w:beforeAutospacing="1" w:after="100" w:afterAutospacing="1"/>
        <w:ind w:left="851" w:right="902"/>
        <w:contextualSpacing/>
        <w:jc w:val="both"/>
        <w:rPr>
          <w:rFonts w:ascii="Palatino Linotype" w:hAnsi="Palatino Linotype"/>
          <w:i/>
          <w:sz w:val="22"/>
          <w:szCs w:val="22"/>
        </w:rPr>
      </w:pPr>
      <w:r w:rsidRPr="00FF05AC">
        <w:rPr>
          <w:rFonts w:ascii="Palatino Linotype" w:hAnsi="Palatino Linotype"/>
          <w:i/>
          <w:sz w:val="22"/>
          <w:szCs w:val="22"/>
        </w:rPr>
        <w:t>Responsable de la Unidad de Transparencia” (SIC)</w:t>
      </w:r>
    </w:p>
    <w:p w14:paraId="6457A547" w14:textId="77777777" w:rsidR="00A03ABB" w:rsidRPr="00FF05AC" w:rsidRDefault="00A03ABB" w:rsidP="003B017D">
      <w:pPr>
        <w:spacing w:line="360" w:lineRule="auto"/>
        <w:jc w:val="both"/>
        <w:rPr>
          <w:rFonts w:ascii="Palatino Linotype" w:hAnsi="Palatino Linotype"/>
          <w:b/>
          <w:color w:val="000000" w:themeColor="text1"/>
          <w:sz w:val="28"/>
          <w:szCs w:val="28"/>
        </w:rPr>
      </w:pPr>
    </w:p>
    <w:p w14:paraId="16627428" w14:textId="66575CB7" w:rsidR="003B017D" w:rsidRPr="00FF05AC" w:rsidRDefault="00A03ABB" w:rsidP="003B017D">
      <w:pPr>
        <w:spacing w:line="360" w:lineRule="auto"/>
        <w:jc w:val="both"/>
        <w:rPr>
          <w:rFonts w:ascii="Palatino Linotype" w:hAnsi="Palatino Linotype"/>
          <w:b/>
          <w:color w:val="000000" w:themeColor="text1"/>
          <w:sz w:val="28"/>
          <w:szCs w:val="28"/>
        </w:rPr>
      </w:pPr>
      <w:r w:rsidRPr="00FF05AC">
        <w:rPr>
          <w:rFonts w:ascii="Palatino Linotype" w:hAnsi="Palatino Linotype"/>
          <w:b/>
          <w:color w:val="000000" w:themeColor="text1"/>
          <w:sz w:val="28"/>
          <w:szCs w:val="28"/>
        </w:rPr>
        <w:t>IV. Respuesta a la solicitud</w:t>
      </w:r>
      <w:r w:rsidR="003B017D" w:rsidRPr="00FF05AC">
        <w:rPr>
          <w:rFonts w:ascii="Palatino Linotype" w:hAnsi="Palatino Linotype"/>
          <w:b/>
          <w:color w:val="000000" w:themeColor="text1"/>
          <w:sz w:val="28"/>
          <w:szCs w:val="28"/>
        </w:rPr>
        <w:t xml:space="preserve"> de información </w:t>
      </w:r>
    </w:p>
    <w:p w14:paraId="72836AB0" w14:textId="77777777" w:rsidR="00A03ABB" w:rsidRPr="00FF05AC" w:rsidRDefault="00A03ABB" w:rsidP="00A03ABB">
      <w:pPr>
        <w:spacing w:before="100" w:beforeAutospacing="1" w:after="100" w:afterAutospacing="1" w:line="360" w:lineRule="auto"/>
        <w:contextualSpacing/>
        <w:jc w:val="both"/>
        <w:rPr>
          <w:rFonts w:ascii="Palatino Linotype" w:hAnsi="Palatino Linotype" w:cs="Arial"/>
          <w:lang w:val="es-ES_tradnl"/>
        </w:rPr>
      </w:pPr>
      <w:r w:rsidRPr="00FF05AC">
        <w:rPr>
          <w:rFonts w:ascii="Palatino Linotype" w:hAnsi="Palatino Linotype"/>
        </w:rPr>
        <w:lastRenderedPageBreak/>
        <w:t xml:space="preserve">De las constancias que obran en </w:t>
      </w:r>
      <w:r w:rsidRPr="00FF05AC">
        <w:rPr>
          <w:rFonts w:ascii="Palatino Linotype" w:hAnsi="Palatino Linotype"/>
          <w:b/>
        </w:rPr>
        <w:t>EL SAIMEX,</w:t>
      </w:r>
      <w:r w:rsidRPr="00FF05AC">
        <w:rPr>
          <w:rFonts w:ascii="Palatino Linotype" w:hAnsi="Palatino Linotype"/>
        </w:rPr>
        <w:t xml:space="preserve"> se advierte que el veinticinco de noviembre de dos mil veinte, </w:t>
      </w:r>
      <w:r w:rsidRPr="00FF05AC">
        <w:rPr>
          <w:rFonts w:ascii="Palatino Linotype" w:hAnsi="Palatino Linotype" w:cs="Arial"/>
          <w:lang w:val="es-ES_tradnl"/>
        </w:rPr>
        <w:t>el Responsable de la Unidad de Transparencia del</w:t>
      </w:r>
      <w:r w:rsidRPr="00FF05AC">
        <w:rPr>
          <w:rFonts w:ascii="Palatino Linotype" w:hAnsi="Palatino Linotype" w:cs="Arial"/>
          <w:b/>
          <w:lang w:val="es-ES_tradnl"/>
        </w:rPr>
        <w:t xml:space="preserve"> SUJETO OBLIGADO</w:t>
      </w:r>
      <w:r w:rsidRPr="00FF05AC">
        <w:rPr>
          <w:rFonts w:ascii="Palatino Linotype" w:hAnsi="Palatino Linotype" w:cs="Arial"/>
          <w:lang w:val="es-ES_tradnl"/>
        </w:rPr>
        <w:t xml:space="preserve"> dio respuesta a la solicitud de información, en los siguientes términos:</w:t>
      </w:r>
    </w:p>
    <w:p w14:paraId="36A0D57A" w14:textId="77777777" w:rsidR="00A03ABB" w:rsidRPr="00FF05AC" w:rsidRDefault="00A03ABB" w:rsidP="00A03ABB">
      <w:pPr>
        <w:spacing w:before="100" w:beforeAutospacing="1" w:after="100" w:afterAutospacing="1"/>
        <w:ind w:left="851" w:right="899"/>
        <w:contextualSpacing/>
        <w:jc w:val="both"/>
        <w:rPr>
          <w:rFonts w:ascii="Palatino Linotype" w:hAnsi="Palatino Linotype" w:cs="Arial"/>
          <w:i/>
          <w:sz w:val="22"/>
          <w:szCs w:val="22"/>
        </w:rPr>
      </w:pPr>
    </w:p>
    <w:p w14:paraId="532A86C1" w14:textId="77777777" w:rsidR="00A03ABB" w:rsidRPr="00FF05AC" w:rsidRDefault="00A03ABB" w:rsidP="00A03ABB">
      <w:pPr>
        <w:spacing w:before="100" w:beforeAutospacing="1" w:after="100" w:afterAutospacing="1"/>
        <w:ind w:left="851" w:right="899"/>
        <w:contextualSpacing/>
        <w:jc w:val="both"/>
        <w:rPr>
          <w:rFonts w:ascii="Palatino Linotype" w:hAnsi="Palatino Linotype" w:cs="Arial"/>
          <w:i/>
          <w:sz w:val="22"/>
          <w:szCs w:val="22"/>
        </w:rPr>
      </w:pPr>
      <w:r w:rsidRPr="00FF05AC">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180875C" w14:textId="77777777" w:rsidR="00A03ABB" w:rsidRPr="00FF05AC" w:rsidRDefault="00A03ABB" w:rsidP="00A03ABB">
      <w:pPr>
        <w:spacing w:before="100" w:beforeAutospacing="1" w:after="100" w:afterAutospacing="1"/>
        <w:ind w:left="851" w:right="899"/>
        <w:contextualSpacing/>
        <w:jc w:val="both"/>
        <w:rPr>
          <w:rFonts w:ascii="Palatino Linotype" w:hAnsi="Palatino Linotype" w:cs="Arial"/>
          <w:i/>
          <w:sz w:val="22"/>
          <w:szCs w:val="22"/>
        </w:rPr>
      </w:pPr>
      <w:r w:rsidRPr="00FF05AC">
        <w:rPr>
          <w:rFonts w:ascii="Palatino Linotype" w:hAnsi="Palatino Linotype" w:cs="Arial"/>
          <w:i/>
          <w:sz w:val="22"/>
          <w:szCs w:val="22"/>
        </w:rPr>
        <w:t>Mediante archivo adjunto se da respuesta a la presente solicitud.</w:t>
      </w:r>
    </w:p>
    <w:p w14:paraId="5AD5A7D1" w14:textId="77777777" w:rsidR="00A03ABB" w:rsidRPr="00FF05AC" w:rsidRDefault="00A03ABB" w:rsidP="00A03ABB">
      <w:pPr>
        <w:spacing w:before="100" w:beforeAutospacing="1" w:after="100" w:afterAutospacing="1"/>
        <w:ind w:left="851" w:right="899"/>
        <w:contextualSpacing/>
        <w:jc w:val="both"/>
        <w:rPr>
          <w:rFonts w:ascii="Palatino Linotype" w:hAnsi="Palatino Linotype" w:cs="Arial"/>
          <w:i/>
          <w:sz w:val="22"/>
          <w:szCs w:val="22"/>
        </w:rPr>
      </w:pPr>
    </w:p>
    <w:p w14:paraId="5193DD22" w14:textId="77777777" w:rsidR="00A03ABB" w:rsidRPr="00FF05AC" w:rsidRDefault="00A03ABB" w:rsidP="00A03ABB">
      <w:pPr>
        <w:spacing w:before="100" w:beforeAutospacing="1" w:after="100" w:afterAutospacing="1"/>
        <w:ind w:left="851" w:right="899"/>
        <w:contextualSpacing/>
        <w:jc w:val="both"/>
        <w:rPr>
          <w:rFonts w:ascii="Palatino Linotype" w:hAnsi="Palatino Linotype" w:cs="Arial"/>
          <w:i/>
          <w:sz w:val="22"/>
          <w:szCs w:val="22"/>
        </w:rPr>
      </w:pPr>
      <w:r w:rsidRPr="00FF05AC">
        <w:rPr>
          <w:rFonts w:ascii="Palatino Linotype" w:hAnsi="Palatino Linotype" w:cs="Arial"/>
          <w:i/>
          <w:sz w:val="22"/>
          <w:szCs w:val="22"/>
        </w:rPr>
        <w:t>ATENTAMENTE</w:t>
      </w:r>
    </w:p>
    <w:p w14:paraId="309743E2" w14:textId="77777777" w:rsidR="00A03ABB" w:rsidRPr="00FF05AC" w:rsidRDefault="00A03ABB" w:rsidP="00A03ABB">
      <w:pPr>
        <w:spacing w:before="100" w:beforeAutospacing="1" w:after="100" w:afterAutospacing="1"/>
        <w:ind w:left="851" w:right="899"/>
        <w:contextualSpacing/>
        <w:jc w:val="both"/>
        <w:rPr>
          <w:rFonts w:ascii="Palatino Linotype" w:hAnsi="Palatino Linotype" w:cs="Arial"/>
          <w:i/>
          <w:sz w:val="22"/>
          <w:szCs w:val="22"/>
        </w:rPr>
      </w:pPr>
    </w:p>
    <w:p w14:paraId="36140979" w14:textId="77777777" w:rsidR="00A03ABB" w:rsidRPr="00FF05AC" w:rsidRDefault="00A03ABB" w:rsidP="00A03ABB">
      <w:pPr>
        <w:spacing w:before="100" w:beforeAutospacing="1" w:after="100" w:afterAutospacing="1"/>
        <w:ind w:left="851" w:right="899"/>
        <w:contextualSpacing/>
        <w:jc w:val="both"/>
        <w:rPr>
          <w:rFonts w:ascii="Palatino Linotype" w:hAnsi="Palatino Linotype" w:cs="Arial"/>
          <w:i/>
          <w:sz w:val="22"/>
          <w:szCs w:val="22"/>
        </w:rPr>
      </w:pPr>
      <w:r w:rsidRPr="00FF05AC">
        <w:rPr>
          <w:rFonts w:ascii="Palatino Linotype" w:hAnsi="Palatino Linotype" w:cs="Arial"/>
          <w:i/>
          <w:sz w:val="22"/>
          <w:szCs w:val="22"/>
        </w:rPr>
        <w:t>L.A.E. ERIKA YOLANDA FUNES VELÁZQUEZ</w:t>
      </w:r>
    </w:p>
    <w:p w14:paraId="39BC2EAA" w14:textId="77777777" w:rsidR="00A03ABB" w:rsidRPr="00FF05AC" w:rsidRDefault="00A03ABB" w:rsidP="00A03ABB">
      <w:pPr>
        <w:spacing w:before="100" w:beforeAutospacing="1" w:after="100" w:afterAutospacing="1"/>
        <w:ind w:left="851" w:right="899"/>
        <w:contextualSpacing/>
        <w:jc w:val="both"/>
        <w:rPr>
          <w:rFonts w:ascii="Palatino Linotype" w:hAnsi="Palatino Linotype" w:cs="Arial"/>
          <w:sz w:val="22"/>
          <w:szCs w:val="22"/>
        </w:rPr>
      </w:pPr>
    </w:p>
    <w:p w14:paraId="03570315" w14:textId="77777777" w:rsidR="00A03ABB" w:rsidRPr="00FF05AC" w:rsidRDefault="00A03ABB" w:rsidP="00A03ABB">
      <w:pPr>
        <w:tabs>
          <w:tab w:val="left" w:pos="8222"/>
        </w:tabs>
        <w:spacing w:before="100" w:beforeAutospacing="1" w:after="100" w:afterAutospacing="1" w:line="360" w:lineRule="auto"/>
        <w:ind w:right="899"/>
        <w:contextualSpacing/>
        <w:jc w:val="both"/>
        <w:rPr>
          <w:rFonts w:ascii="Palatino Linotype" w:hAnsi="Palatino Linotype" w:cs="Arial"/>
        </w:rPr>
      </w:pPr>
      <w:r w:rsidRPr="00FF05AC">
        <w:rPr>
          <w:rFonts w:ascii="Palatino Linotype" w:hAnsi="Palatino Linotype" w:cs="Arial"/>
        </w:rPr>
        <w:t xml:space="preserve">Asimismo, adjuntó los archivos electrónicos </w:t>
      </w:r>
      <w:r w:rsidRPr="00FF05AC">
        <w:rPr>
          <w:rFonts w:ascii="Palatino Linotype" w:hAnsi="Palatino Linotype" w:cs="Arial"/>
          <w:b/>
          <w:i/>
        </w:rPr>
        <w:t>ACTA SESION 47-2020.pdf</w:t>
      </w:r>
      <w:r w:rsidRPr="00FF05AC">
        <w:rPr>
          <w:rFonts w:ascii="Palatino Linotype" w:hAnsi="Palatino Linotype" w:cs="Arial"/>
          <w:b/>
        </w:rPr>
        <w:t xml:space="preserve"> </w:t>
      </w:r>
      <w:r w:rsidRPr="00FF05AC">
        <w:rPr>
          <w:rFonts w:ascii="Palatino Linotype" w:hAnsi="Palatino Linotype" w:cs="Arial"/>
        </w:rPr>
        <w:t xml:space="preserve">del que medularmente se desprende el acta de la cuadragésima séptima extraordinaria sesión del Comité de Transparencia en la que se aprobó la reserva de información correspondiente a la solicitud </w:t>
      </w:r>
      <w:r w:rsidRPr="00FF05AC">
        <w:rPr>
          <w:rFonts w:ascii="Palatino Linotype" w:hAnsi="Palatino Linotype" w:cs="Arial"/>
          <w:b/>
        </w:rPr>
        <w:t>00228/TRIJAEM/IP/2020</w:t>
      </w:r>
      <w:r w:rsidRPr="00FF05AC">
        <w:rPr>
          <w:rFonts w:ascii="Palatino Linotype" w:hAnsi="Palatino Linotype" w:cs="Arial"/>
        </w:rPr>
        <w:t>; y,</w:t>
      </w:r>
      <w:r w:rsidRPr="00FF05AC">
        <w:rPr>
          <w:rFonts w:ascii="Palatino Linotype" w:hAnsi="Palatino Linotype" w:cs="Arial"/>
          <w:b/>
        </w:rPr>
        <w:t xml:space="preserve"> </w:t>
      </w:r>
      <w:r w:rsidRPr="00FF05AC">
        <w:rPr>
          <w:rFonts w:ascii="Palatino Linotype" w:hAnsi="Palatino Linotype" w:cs="Arial"/>
          <w:b/>
          <w:i/>
        </w:rPr>
        <w:t xml:space="preserve">ACUERDO SOL 228-2020.pdf </w:t>
      </w:r>
      <w:r w:rsidRPr="00FF05AC">
        <w:rPr>
          <w:rFonts w:ascii="Palatino Linotype" w:hAnsi="Palatino Linotype" w:cs="Arial"/>
        </w:rPr>
        <w:t>mediante el cual hizo del conocimiento del particular que no podía entregar información en virtud que el juicio al que hizo referencia en la solicitud inicial de acceso a información pública no se encuentra como definitivamente concluido.</w:t>
      </w:r>
    </w:p>
    <w:p w14:paraId="16627454" w14:textId="77777777" w:rsidR="003B017D" w:rsidRPr="00FF05AC" w:rsidRDefault="003B017D" w:rsidP="003B017D">
      <w:pPr>
        <w:spacing w:line="360" w:lineRule="auto"/>
        <w:jc w:val="both"/>
        <w:rPr>
          <w:rFonts w:ascii="Palatino Linotype" w:hAnsi="Palatino Linotype"/>
          <w:b/>
          <w:color w:val="000000" w:themeColor="text1"/>
          <w:sz w:val="20"/>
          <w:szCs w:val="20"/>
        </w:rPr>
      </w:pPr>
    </w:p>
    <w:p w14:paraId="16627455" w14:textId="2AB6915E" w:rsidR="003B017D" w:rsidRPr="00FF05AC" w:rsidRDefault="00A03ABB" w:rsidP="003B017D">
      <w:pPr>
        <w:spacing w:line="360" w:lineRule="auto"/>
        <w:jc w:val="both"/>
        <w:rPr>
          <w:rFonts w:ascii="Palatino Linotype" w:hAnsi="Palatino Linotype"/>
          <w:b/>
          <w:color w:val="000000" w:themeColor="text1"/>
          <w:sz w:val="28"/>
          <w:szCs w:val="28"/>
        </w:rPr>
      </w:pPr>
      <w:r w:rsidRPr="00FF05AC">
        <w:rPr>
          <w:rFonts w:ascii="Palatino Linotype" w:hAnsi="Palatino Linotype"/>
          <w:b/>
          <w:color w:val="000000" w:themeColor="text1"/>
          <w:sz w:val="28"/>
          <w:szCs w:val="28"/>
        </w:rPr>
        <w:t>V. Recurso</w:t>
      </w:r>
      <w:r w:rsidR="003B017D" w:rsidRPr="00FF05AC">
        <w:rPr>
          <w:rFonts w:ascii="Palatino Linotype" w:hAnsi="Palatino Linotype"/>
          <w:b/>
          <w:color w:val="000000" w:themeColor="text1"/>
          <w:sz w:val="28"/>
          <w:szCs w:val="28"/>
        </w:rPr>
        <w:t xml:space="preserve"> de revisión </w:t>
      </w:r>
    </w:p>
    <w:p w14:paraId="7BC63720" w14:textId="77777777" w:rsidR="00A03ABB" w:rsidRPr="00FF05AC" w:rsidRDefault="00A03ABB" w:rsidP="00A03ABB">
      <w:pPr>
        <w:spacing w:before="100" w:beforeAutospacing="1" w:after="100" w:afterAutospacing="1" w:line="360" w:lineRule="auto"/>
        <w:contextualSpacing/>
        <w:jc w:val="both"/>
        <w:rPr>
          <w:rFonts w:ascii="Palatino Linotype" w:hAnsi="Palatino Linotype" w:cs="Arial"/>
        </w:rPr>
      </w:pPr>
      <w:r w:rsidRPr="00FF05AC">
        <w:rPr>
          <w:rFonts w:ascii="Palatino Linotype" w:hAnsi="Palatino Linotype"/>
        </w:rPr>
        <w:t xml:space="preserve">Inconforme con la </w:t>
      </w:r>
      <w:r w:rsidRPr="00FF05AC">
        <w:rPr>
          <w:rFonts w:ascii="Palatino Linotype" w:hAnsi="Palatino Linotype" w:cs="Arial"/>
        </w:rPr>
        <w:t xml:space="preserve">respuesta, </w:t>
      </w:r>
      <w:r w:rsidRPr="00FF05AC">
        <w:rPr>
          <w:rFonts w:ascii="Palatino Linotype" w:hAnsi="Palatino Linotype"/>
          <w:b/>
        </w:rPr>
        <w:t>LA RECURRENTE</w:t>
      </w:r>
      <w:r w:rsidRPr="00FF05AC">
        <w:rPr>
          <w:rFonts w:ascii="Palatino Linotype" w:hAnsi="Palatino Linotype"/>
        </w:rPr>
        <w:t xml:space="preserve"> interpuso el recurso de revisión objeto del presente estudio el día </w:t>
      </w:r>
      <w:r w:rsidRPr="00FF05AC">
        <w:rPr>
          <w:rFonts w:ascii="Palatino Linotype" w:hAnsi="Palatino Linotype" w:cs="Arial"/>
        </w:rPr>
        <w:t>treinta de noviembre de dos mil veinte</w:t>
      </w:r>
      <w:r w:rsidRPr="00FF05AC">
        <w:rPr>
          <w:rFonts w:ascii="Palatino Linotype" w:hAnsi="Palatino Linotype"/>
        </w:rPr>
        <w:t xml:space="preserve">, el cual fue registrado en </w:t>
      </w:r>
      <w:r w:rsidRPr="00FF05AC">
        <w:rPr>
          <w:rFonts w:ascii="Palatino Linotype" w:hAnsi="Palatino Linotype"/>
          <w:b/>
        </w:rPr>
        <w:t>EL SAIMEX</w:t>
      </w:r>
      <w:r w:rsidRPr="00FF05AC">
        <w:rPr>
          <w:rFonts w:ascii="Palatino Linotype" w:hAnsi="Palatino Linotype"/>
        </w:rPr>
        <w:t xml:space="preserve"> y se le asignó el número de </w:t>
      </w:r>
      <w:r w:rsidRPr="00FF05AC">
        <w:rPr>
          <w:rFonts w:ascii="Palatino Linotype" w:hAnsi="Palatino Linotype" w:cs="Arial"/>
          <w:b/>
          <w:bCs/>
        </w:rPr>
        <w:t>05902/INFOEM/IP/RR/2020</w:t>
      </w:r>
      <w:r w:rsidRPr="00FF05AC">
        <w:rPr>
          <w:rFonts w:ascii="Palatino Linotype" w:hAnsi="Palatino Linotype" w:cs="Arial"/>
        </w:rPr>
        <w:t>, en el que señaló tanto en acto impugnado lo siguiente:</w:t>
      </w:r>
    </w:p>
    <w:p w14:paraId="7E3DAF39" w14:textId="77777777" w:rsidR="00A03ABB" w:rsidRPr="00FF05AC" w:rsidRDefault="00A03ABB" w:rsidP="00A03ABB">
      <w:pPr>
        <w:spacing w:before="100" w:beforeAutospacing="1" w:after="100" w:afterAutospacing="1"/>
        <w:ind w:left="851" w:right="899"/>
        <w:contextualSpacing/>
        <w:jc w:val="both"/>
        <w:rPr>
          <w:rFonts w:ascii="Palatino Linotype" w:hAnsi="Palatino Linotype" w:cs="Arial"/>
          <w:i/>
          <w:sz w:val="22"/>
          <w:szCs w:val="22"/>
        </w:rPr>
      </w:pPr>
    </w:p>
    <w:p w14:paraId="1F780D6D" w14:textId="77777777" w:rsidR="00A03ABB" w:rsidRPr="00FF05AC" w:rsidRDefault="00A03ABB" w:rsidP="00A03ABB">
      <w:pPr>
        <w:spacing w:before="100" w:beforeAutospacing="1" w:after="100" w:afterAutospacing="1"/>
        <w:ind w:left="851" w:right="899"/>
        <w:contextualSpacing/>
        <w:jc w:val="both"/>
        <w:rPr>
          <w:rFonts w:ascii="Palatino Linotype" w:hAnsi="Palatino Linotype" w:cs="Arial"/>
          <w:i/>
          <w:sz w:val="22"/>
          <w:szCs w:val="22"/>
        </w:rPr>
      </w:pPr>
      <w:r w:rsidRPr="00FF05AC">
        <w:rPr>
          <w:rFonts w:ascii="Palatino Linotype" w:hAnsi="Palatino Linotype" w:cs="Arial"/>
          <w:i/>
          <w:sz w:val="22"/>
          <w:szCs w:val="22"/>
        </w:rPr>
        <w:t>“a) La reserva de información requerida a través de la solicitud de información 228/TRIJAEM/IP/2020, aprobada en el punto V del orden del día de la 47 sesión extraordinaria del Comité de Transparencia del sujeto obligado de 23 de noviembre de 2020, por el cual se aprobó por unanimidad el acuerdo de TJA/00228/TRIJAEM/IP/2020. b) El oficio TCA-6SR/4292/2020 de 24 de noviembre de 2020” (sic)</w:t>
      </w:r>
    </w:p>
    <w:p w14:paraId="5BA7E1D7" w14:textId="77777777" w:rsidR="00A03ABB" w:rsidRPr="00FF05AC" w:rsidRDefault="00A03ABB" w:rsidP="00A03ABB">
      <w:pPr>
        <w:spacing w:before="100" w:beforeAutospacing="1" w:after="100" w:afterAutospacing="1" w:line="360" w:lineRule="auto"/>
        <w:contextualSpacing/>
        <w:jc w:val="both"/>
        <w:rPr>
          <w:rFonts w:ascii="Palatino Linotype" w:hAnsi="Palatino Linotype" w:cs="Arial"/>
          <w:sz w:val="22"/>
          <w:szCs w:val="22"/>
        </w:rPr>
      </w:pPr>
    </w:p>
    <w:p w14:paraId="528FEDBD" w14:textId="77777777" w:rsidR="00A03ABB" w:rsidRPr="00FF05AC" w:rsidRDefault="00A03ABB" w:rsidP="00A03ABB">
      <w:pPr>
        <w:spacing w:before="100" w:beforeAutospacing="1" w:after="100" w:afterAutospacing="1" w:line="360" w:lineRule="auto"/>
        <w:contextualSpacing/>
        <w:jc w:val="both"/>
        <w:rPr>
          <w:rFonts w:ascii="Palatino Linotype" w:hAnsi="Palatino Linotype" w:cs="Arial"/>
        </w:rPr>
      </w:pPr>
      <w:r w:rsidRPr="00FF05AC">
        <w:rPr>
          <w:rFonts w:ascii="Palatino Linotype" w:hAnsi="Palatino Linotype" w:cs="Arial"/>
        </w:rPr>
        <w:t>Asimismo, como razones o motivos de inconformidad:</w:t>
      </w:r>
    </w:p>
    <w:p w14:paraId="76A0566E" w14:textId="77777777" w:rsidR="00A03ABB" w:rsidRPr="00FF05AC" w:rsidRDefault="00A03ABB" w:rsidP="00A03ABB">
      <w:pPr>
        <w:spacing w:before="100" w:beforeAutospacing="1" w:after="100" w:afterAutospacing="1" w:line="360" w:lineRule="auto"/>
        <w:contextualSpacing/>
        <w:jc w:val="both"/>
        <w:rPr>
          <w:rFonts w:ascii="Palatino Linotype" w:hAnsi="Palatino Linotype" w:cs="Arial"/>
        </w:rPr>
      </w:pPr>
    </w:p>
    <w:p w14:paraId="0020B3F3" w14:textId="77777777" w:rsidR="00A03ABB" w:rsidRPr="00FF05AC" w:rsidRDefault="00A03ABB" w:rsidP="00A03ABB">
      <w:pPr>
        <w:spacing w:before="100" w:beforeAutospacing="1" w:after="100" w:afterAutospacing="1"/>
        <w:ind w:left="851" w:right="899"/>
        <w:contextualSpacing/>
        <w:jc w:val="both"/>
        <w:rPr>
          <w:rFonts w:ascii="Palatino Linotype" w:hAnsi="Palatino Linotype" w:cs="Arial"/>
          <w:i/>
          <w:sz w:val="22"/>
          <w:szCs w:val="22"/>
        </w:rPr>
      </w:pPr>
      <w:r w:rsidRPr="00FF05AC">
        <w:rPr>
          <w:rFonts w:ascii="Palatino Linotype" w:hAnsi="Palatino Linotype" w:cs="Arial"/>
          <w:i/>
          <w:sz w:val="22"/>
          <w:szCs w:val="22"/>
        </w:rPr>
        <w:t>“Son ilícitos tanto la reserva del Comité de Transparencia, como el oficio de respuesta TCA-6SR/4292/2020 de la Sexta Sala Regional, ambos del Sujeto obligado, en virtud de que ordenan la reserva de la información a partir de la inexacta premisa de que un expediente jurisdiccional debe mantenerse bajo reserva hasta en tanto no se completen todas y cada una de sus partes, incluida su ejecución, y se ordene su archivo. Circunstancia que vulnera directamente el numeral 140 fracción VIII, de la Ley de Transparencia mexiquense, toda vez que el mismo señala como causal de restricción del acceso a la información, y su calificación como reservada, cuando la información solicitud vulnere la conducción de los expedientes judiciales. Sin embargo, esa causal únicamente puede considerarse actualizable hasta en tanto no hayan quedado firmes las sentencia que los resuelva, lo que en el caso concreto ya aconteció, toda vez que la responsable ya emitió actuaciones en cumplimiento de la sentencia definitiva solicitada. En consecuencia, aún en el supuesto no concedido de que existan actuaciones pendientes en el expediente jurisdiccional materia de la solicitud, su revelación pasa perfectamente una prueba de daño y de interés público, toda vez que con la revelación de la información solicitada en nada podría afectarse el resultado del proceso jurisdiccional, al vulnerarse, por ejemplo, la igualdad entre las partes y la confidencialidad, pues YA EXISTE UNA SENTENCIA FIRME QUE LO RESOLVIÓ. Además, materialmente el asunto versa sobre un cambio de uso de suelo, que trae aparejado posibles afectaciones al orden público, ya que altera el desarrollo urbano municipal, que es DE INTERÉS GENERAL Y COELCTIVO, por lo que existe un DEBER REFORZADO DE ESCRUTÍNIO del actuar del juzgador. Finalmente, no dejo de llamar la atención a éste Instituto garante, la simulación que realiza el sujeto obligado respecto de la aprobación de la clasificación de la información, toda vez que el Comité de Transparencia al aprobó la clasificación el día 23 de noviembre, es decir, un día antes del 24 de noviembre, fecha del oficio de reserva de la Sexta Sala Regional, el cual necesariamente debió aprobarse primero, lo que conlleva necesariamente a la revocación de la clasificación por vicios de forma y de procedimiento, ya que al momento de la aprobación de la reserva, la sexta sala regional aún no había emitido el oficio de reserva. Por lo que resulta procedente conforme a Derecho revocar la respuesta impugnada, la reserva de la información solicitada y ordenar al sujeto obligado a entregar la misma.” (sic)</w:t>
      </w:r>
    </w:p>
    <w:p w14:paraId="16627472" w14:textId="77777777" w:rsidR="003B017D" w:rsidRPr="00FF05AC" w:rsidRDefault="003B017D" w:rsidP="003B017D">
      <w:pPr>
        <w:spacing w:line="360" w:lineRule="auto"/>
        <w:jc w:val="both"/>
        <w:rPr>
          <w:rFonts w:ascii="Palatino Linotype" w:hAnsi="Palatino Linotype" w:cs="Arial"/>
          <w:color w:val="000000" w:themeColor="text1"/>
        </w:rPr>
      </w:pPr>
    </w:p>
    <w:p w14:paraId="16627473" w14:textId="76EBE842" w:rsidR="003B017D" w:rsidRPr="00FF05AC" w:rsidRDefault="003B017D" w:rsidP="003B017D">
      <w:pPr>
        <w:pStyle w:val="Default"/>
        <w:spacing w:line="360" w:lineRule="auto"/>
        <w:ind w:right="49"/>
        <w:jc w:val="both"/>
        <w:rPr>
          <w:rFonts w:ascii="Palatino Linotype" w:hAnsi="Palatino Linotype"/>
          <w:b/>
          <w:color w:val="000000" w:themeColor="text1"/>
          <w:sz w:val="28"/>
          <w:szCs w:val="28"/>
        </w:rPr>
      </w:pPr>
      <w:r w:rsidRPr="00FF05AC">
        <w:rPr>
          <w:rFonts w:ascii="Palatino Linotype" w:hAnsi="Palatino Linotype"/>
          <w:b/>
          <w:color w:val="000000" w:themeColor="text1"/>
          <w:sz w:val="28"/>
          <w:szCs w:val="28"/>
        </w:rPr>
        <w:t>V</w:t>
      </w:r>
      <w:r w:rsidR="00A03ABB" w:rsidRPr="00FF05AC">
        <w:rPr>
          <w:rFonts w:ascii="Palatino Linotype" w:hAnsi="Palatino Linotype"/>
          <w:b/>
          <w:color w:val="000000" w:themeColor="text1"/>
          <w:sz w:val="28"/>
          <w:szCs w:val="28"/>
        </w:rPr>
        <w:t>I</w:t>
      </w:r>
      <w:r w:rsidRPr="00FF05AC">
        <w:rPr>
          <w:rFonts w:ascii="Palatino Linotype" w:hAnsi="Palatino Linotype"/>
          <w:b/>
          <w:color w:val="000000" w:themeColor="text1"/>
          <w:sz w:val="28"/>
          <w:szCs w:val="28"/>
        </w:rPr>
        <w:t>. Turno de</w:t>
      </w:r>
      <w:r w:rsidR="004A1BA9" w:rsidRPr="00FF05AC">
        <w:rPr>
          <w:rFonts w:ascii="Palatino Linotype" w:hAnsi="Palatino Linotype"/>
          <w:b/>
          <w:color w:val="000000" w:themeColor="text1"/>
          <w:sz w:val="28"/>
          <w:szCs w:val="28"/>
        </w:rPr>
        <w:t>l</w:t>
      </w:r>
      <w:r w:rsidRPr="00FF05AC">
        <w:rPr>
          <w:rFonts w:ascii="Palatino Linotype" w:hAnsi="Palatino Linotype"/>
          <w:b/>
          <w:color w:val="000000" w:themeColor="text1"/>
          <w:sz w:val="28"/>
          <w:szCs w:val="28"/>
        </w:rPr>
        <w:t xml:space="preserve"> recurso de revisión </w:t>
      </w:r>
    </w:p>
    <w:p w14:paraId="16627474" w14:textId="3F21BBF7" w:rsidR="00091B0C" w:rsidRPr="00FF05AC" w:rsidRDefault="00A03ABB" w:rsidP="00091B0C">
      <w:pPr>
        <w:spacing w:before="100" w:beforeAutospacing="1" w:after="100" w:afterAutospacing="1" w:line="360" w:lineRule="auto"/>
        <w:ind w:right="49"/>
        <w:jc w:val="both"/>
        <w:rPr>
          <w:rFonts w:ascii="Palatino Linotype" w:hAnsi="Palatino Linotype" w:cs="Arial"/>
          <w:color w:val="000000" w:themeColor="text1"/>
          <w:lang w:val="es-ES_tradnl"/>
        </w:rPr>
      </w:pPr>
      <w:r w:rsidRPr="00FF05AC">
        <w:rPr>
          <w:rFonts w:ascii="Palatino Linotype" w:hAnsi="Palatino Linotype"/>
        </w:rPr>
        <w:t>El</w:t>
      </w:r>
      <w:r w:rsidRPr="00FF05AC">
        <w:rPr>
          <w:rFonts w:ascii="Palatino Linotype" w:hAnsi="Palatino Linotype"/>
          <w:b/>
          <w:sz w:val="28"/>
          <w:szCs w:val="28"/>
        </w:rPr>
        <w:t xml:space="preserve"> </w:t>
      </w:r>
      <w:r w:rsidRPr="00FF05AC">
        <w:rPr>
          <w:rFonts w:ascii="Palatino Linotype" w:hAnsi="Palatino Linotype" w:cs="Arial"/>
        </w:rPr>
        <w:t xml:space="preserve">treinta de noviembre </w:t>
      </w:r>
      <w:r w:rsidRPr="00FF05AC">
        <w:rPr>
          <w:rFonts w:ascii="Palatino Linotype" w:hAnsi="Palatino Linotype"/>
        </w:rPr>
        <w:t xml:space="preserve">de dos mil veinte, el </w:t>
      </w:r>
      <w:r w:rsidRPr="00FF05AC">
        <w:rPr>
          <w:rFonts w:ascii="Palatino Linotype" w:hAnsi="Palatino Linotype"/>
          <w:lang w:val="es-ES_tradnl"/>
        </w:rPr>
        <w:t>recurso de que</w:t>
      </w:r>
      <w:r w:rsidRPr="00FF05AC">
        <w:rPr>
          <w:rFonts w:ascii="Palatino Linotype" w:hAnsi="Palatino Linotype"/>
        </w:rPr>
        <w:t xml:space="preserve"> se trata</w:t>
      </w:r>
      <w:r w:rsidRPr="00FF05AC">
        <w:rPr>
          <w:rFonts w:ascii="Palatino Linotype" w:hAnsi="Palatino Linotype"/>
          <w:lang w:val="es-ES_tradnl"/>
        </w:rPr>
        <w:t xml:space="preserve"> se envió electrónicamente al Instituto de </w:t>
      </w:r>
      <w:r w:rsidRPr="00FF05AC">
        <w:rPr>
          <w:rFonts w:ascii="Palatino Linotype" w:eastAsia="Arial Unicode MS" w:hAnsi="Palatino Linotype"/>
        </w:rPr>
        <w:t>Transparencia</w:t>
      </w:r>
      <w:r w:rsidRPr="00FF05AC">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Pr="00FF05AC">
        <w:rPr>
          <w:rFonts w:ascii="Palatino Linotype" w:hAnsi="Palatino Linotype"/>
        </w:rPr>
        <w:t>Ley de Transparencia y Acceso a la Información Pública del Estado de México y Municipios</w:t>
      </w:r>
      <w:r w:rsidRPr="00FF05AC">
        <w:rPr>
          <w:rFonts w:ascii="Palatino Linotype" w:hAnsi="Palatino Linotype"/>
          <w:lang w:val="es-ES_tradnl"/>
        </w:rPr>
        <w:t>, se turnó, a través del</w:t>
      </w:r>
      <w:r w:rsidRPr="00FF05AC">
        <w:rPr>
          <w:rFonts w:ascii="Palatino Linotype" w:eastAsia="Arial Unicode MS" w:hAnsi="Palatino Linotype"/>
          <w:lang w:val="es-ES_tradnl"/>
        </w:rPr>
        <w:t xml:space="preserve"> </w:t>
      </w:r>
      <w:r w:rsidRPr="00FF05AC">
        <w:rPr>
          <w:rFonts w:ascii="Palatino Linotype" w:eastAsia="Arial Unicode MS" w:hAnsi="Palatino Linotype"/>
          <w:b/>
          <w:lang w:val="es-ES_tradnl"/>
        </w:rPr>
        <w:t>SAIMEX</w:t>
      </w:r>
      <w:r w:rsidRPr="00FF05AC">
        <w:rPr>
          <w:rFonts w:ascii="Palatino Linotype" w:hAnsi="Palatino Linotype"/>
        </w:rPr>
        <w:t xml:space="preserve">, a la </w:t>
      </w:r>
      <w:r w:rsidRPr="00FF05AC">
        <w:rPr>
          <w:rFonts w:ascii="Palatino Linotype" w:hAnsi="Palatino Linotype"/>
          <w:lang w:val="es-ES_tradnl"/>
        </w:rPr>
        <w:t xml:space="preserve">Comisionada </w:t>
      </w:r>
      <w:r w:rsidRPr="00FF05AC">
        <w:rPr>
          <w:rFonts w:ascii="Palatino Linotype" w:hAnsi="Palatino Linotype"/>
          <w:b/>
          <w:lang w:val="es-ES_tradnl"/>
        </w:rPr>
        <w:t>EVA ABAID YAPUR</w:t>
      </w:r>
      <w:r w:rsidRPr="00FF05AC">
        <w:rPr>
          <w:rFonts w:ascii="Palatino Linotype" w:hAnsi="Palatino Linotype"/>
        </w:rPr>
        <w:t>,</w:t>
      </w:r>
      <w:r w:rsidRPr="00FF05AC">
        <w:rPr>
          <w:rFonts w:ascii="Palatino Linotype" w:hAnsi="Palatino Linotype"/>
          <w:lang w:val="es-ES_tradnl"/>
        </w:rPr>
        <w:t xml:space="preserve"> a efecto de decretar su admisión o desechamiento</w:t>
      </w:r>
      <w:r w:rsidR="00091B0C" w:rsidRPr="00FF05AC">
        <w:rPr>
          <w:rFonts w:ascii="Palatino Linotype" w:hAnsi="Palatino Linotype" w:cs="Arial"/>
          <w:color w:val="000000" w:themeColor="text1"/>
          <w:lang w:val="es-ES_tradnl"/>
        </w:rPr>
        <w:t>.</w:t>
      </w:r>
    </w:p>
    <w:p w14:paraId="16627475" w14:textId="41FE8F83" w:rsidR="003B017D" w:rsidRPr="00FF05AC" w:rsidRDefault="003B017D" w:rsidP="003B017D">
      <w:pPr>
        <w:pStyle w:val="Piedepgina"/>
        <w:spacing w:line="360" w:lineRule="auto"/>
        <w:jc w:val="both"/>
        <w:rPr>
          <w:rFonts w:ascii="Palatino Linotype" w:hAnsi="Palatino Linotype" w:cs="Arial"/>
          <w:b/>
          <w:color w:val="000000" w:themeColor="text1"/>
          <w:sz w:val="28"/>
        </w:rPr>
      </w:pPr>
      <w:r w:rsidRPr="00FF05AC">
        <w:rPr>
          <w:rFonts w:ascii="Palatino Linotype" w:hAnsi="Palatino Linotype" w:cs="Arial"/>
          <w:b/>
          <w:color w:val="000000" w:themeColor="text1"/>
          <w:sz w:val="28"/>
        </w:rPr>
        <w:t>V</w:t>
      </w:r>
      <w:r w:rsidR="00A03ABB" w:rsidRPr="00FF05AC">
        <w:rPr>
          <w:rFonts w:ascii="Palatino Linotype" w:hAnsi="Palatino Linotype" w:cs="Arial"/>
          <w:b/>
          <w:color w:val="000000" w:themeColor="text1"/>
          <w:sz w:val="28"/>
        </w:rPr>
        <w:t>I</w:t>
      </w:r>
      <w:r w:rsidRPr="00FF05AC">
        <w:rPr>
          <w:rFonts w:ascii="Palatino Linotype" w:hAnsi="Palatino Linotype" w:cs="Arial"/>
          <w:b/>
          <w:color w:val="000000" w:themeColor="text1"/>
          <w:sz w:val="28"/>
        </w:rPr>
        <w:t>I. Admisión de</w:t>
      </w:r>
      <w:r w:rsidR="004A1BA9" w:rsidRPr="00FF05AC">
        <w:rPr>
          <w:rFonts w:ascii="Palatino Linotype" w:hAnsi="Palatino Linotype" w:cs="Arial"/>
          <w:b/>
          <w:color w:val="000000" w:themeColor="text1"/>
          <w:sz w:val="28"/>
        </w:rPr>
        <w:t>l</w:t>
      </w:r>
      <w:r w:rsidRPr="00FF05AC">
        <w:rPr>
          <w:rFonts w:ascii="Palatino Linotype" w:hAnsi="Palatino Linotype" w:cs="Arial"/>
          <w:b/>
          <w:color w:val="000000" w:themeColor="text1"/>
          <w:sz w:val="28"/>
        </w:rPr>
        <w:t xml:space="preserve"> recurso de revisión </w:t>
      </w:r>
    </w:p>
    <w:p w14:paraId="286E08D0" w14:textId="77777777" w:rsidR="00A03ABB" w:rsidRPr="00FF05AC" w:rsidRDefault="00A03ABB" w:rsidP="003B017D">
      <w:pPr>
        <w:pStyle w:val="Piedepgina"/>
        <w:spacing w:line="360" w:lineRule="auto"/>
        <w:jc w:val="both"/>
        <w:rPr>
          <w:rFonts w:ascii="Palatino Linotype" w:hAnsi="Palatino Linotype" w:cs="Arial"/>
          <w:b/>
          <w:color w:val="000000" w:themeColor="text1"/>
          <w:sz w:val="28"/>
        </w:rPr>
      </w:pPr>
    </w:p>
    <w:p w14:paraId="6750F904" w14:textId="77777777" w:rsidR="00A03ABB" w:rsidRPr="00FF05AC" w:rsidRDefault="00A03ABB" w:rsidP="00A03ABB">
      <w:pPr>
        <w:pStyle w:val="Piedepgina"/>
        <w:spacing w:before="100" w:beforeAutospacing="1" w:after="100" w:afterAutospacing="1" w:line="360" w:lineRule="auto"/>
        <w:contextualSpacing/>
        <w:jc w:val="both"/>
        <w:rPr>
          <w:rFonts w:ascii="Palatino Linotype" w:hAnsi="Palatino Linotype" w:cs="Arial"/>
        </w:rPr>
      </w:pPr>
      <w:r w:rsidRPr="00FF05AC">
        <w:rPr>
          <w:rFonts w:ascii="Palatino Linotype" w:hAnsi="Palatino Linotype" w:cs="Arial"/>
        </w:rPr>
        <w:t>De las constancias del expediente electrónico del</w:t>
      </w:r>
      <w:r w:rsidRPr="00FF05AC">
        <w:rPr>
          <w:rFonts w:ascii="Palatino Linotype" w:hAnsi="Palatino Linotype" w:cs="Arial"/>
          <w:b/>
        </w:rPr>
        <w:t xml:space="preserve"> SAIMEX</w:t>
      </w:r>
      <w:r w:rsidRPr="00FF05AC">
        <w:rPr>
          <w:rFonts w:ascii="Palatino Linotype" w:hAnsi="Palatino Linotype" w:cs="Arial"/>
        </w:rPr>
        <w:t xml:space="preserve">, se advierte que en fecha cuatro de diciembre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FF05AC">
        <w:rPr>
          <w:rFonts w:ascii="Palatino Linotype" w:hAnsi="Palatino Linotype" w:cs="Arial"/>
          <w:b/>
        </w:rPr>
        <w:t xml:space="preserve">EL SUJETO OBLIGADO </w:t>
      </w:r>
      <w:r w:rsidRPr="00FF05AC">
        <w:rPr>
          <w:rFonts w:ascii="Palatino Linotype" w:hAnsi="Palatino Linotype" w:cs="Arial"/>
        </w:rPr>
        <w:t>rindiera su</w:t>
      </w:r>
      <w:r w:rsidRPr="00FF05AC">
        <w:rPr>
          <w:rFonts w:ascii="Palatino Linotype" w:hAnsi="Palatino Linotype" w:cs="Arial"/>
          <w:b/>
        </w:rPr>
        <w:t xml:space="preserve"> </w:t>
      </w:r>
      <w:r w:rsidRPr="00FF05AC">
        <w:rPr>
          <w:rFonts w:ascii="Palatino Linotype" w:hAnsi="Palatino Linotype" w:cs="Arial"/>
        </w:rPr>
        <w:t>Informe Justificado.</w:t>
      </w:r>
    </w:p>
    <w:p w14:paraId="16627479" w14:textId="4E123F39" w:rsidR="003B017D" w:rsidRPr="00FF05AC" w:rsidRDefault="003B017D" w:rsidP="003B017D">
      <w:pPr>
        <w:spacing w:line="360" w:lineRule="auto"/>
        <w:jc w:val="both"/>
        <w:rPr>
          <w:rFonts w:ascii="Palatino Linotype" w:hAnsi="Palatino Linotype" w:cs="Arial"/>
          <w:b/>
          <w:color w:val="000000" w:themeColor="text1"/>
          <w:sz w:val="28"/>
        </w:rPr>
      </w:pPr>
      <w:r w:rsidRPr="00FF05AC">
        <w:rPr>
          <w:rFonts w:ascii="Palatino Linotype" w:eastAsia="Arial Unicode MS" w:hAnsi="Palatino Linotype" w:cs="Arial"/>
          <w:b/>
          <w:color w:val="000000" w:themeColor="text1"/>
          <w:sz w:val="28"/>
          <w:szCs w:val="28"/>
        </w:rPr>
        <w:t>VII. Etapa de manifestaciones e Informe Justificado</w:t>
      </w:r>
    </w:p>
    <w:p w14:paraId="2D104394" w14:textId="77777777" w:rsidR="00A03ABB" w:rsidRPr="00FF05AC" w:rsidRDefault="00A03ABB" w:rsidP="00A03ABB">
      <w:pPr>
        <w:spacing w:before="100" w:beforeAutospacing="1" w:after="100" w:afterAutospacing="1" w:line="360" w:lineRule="auto"/>
        <w:contextualSpacing/>
        <w:jc w:val="both"/>
        <w:rPr>
          <w:rFonts w:ascii="Palatino Linotype" w:eastAsia="Arial Unicode MS" w:hAnsi="Palatino Linotype" w:cs="Arial"/>
        </w:rPr>
      </w:pPr>
      <w:r w:rsidRPr="00FF05AC">
        <w:rPr>
          <w:rFonts w:ascii="Palatino Linotype" w:eastAsia="Arial Unicode MS" w:hAnsi="Palatino Linotype" w:cs="Arial"/>
        </w:rPr>
        <w:t xml:space="preserve">Conforme a las constancias del </w:t>
      </w:r>
      <w:r w:rsidRPr="00FF05AC">
        <w:rPr>
          <w:rFonts w:ascii="Palatino Linotype" w:eastAsia="Arial Unicode MS" w:hAnsi="Palatino Linotype" w:cs="Arial"/>
          <w:b/>
        </w:rPr>
        <w:t>SAIMEX</w:t>
      </w:r>
      <w:r w:rsidRPr="00FF05AC">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w:t>
      </w:r>
      <w:r w:rsidRPr="00FF05AC">
        <w:rPr>
          <w:rFonts w:ascii="Palatino Linotype" w:eastAsia="Arial Unicode MS" w:hAnsi="Palatino Linotype" w:cs="Arial"/>
          <w:b/>
          <w:color w:val="000000"/>
          <w:lang w:eastAsia="es-MX"/>
        </w:rPr>
        <w:t xml:space="preserve">EL SUJETO OBLIGADO </w:t>
      </w:r>
      <w:r w:rsidRPr="00FF05AC">
        <w:rPr>
          <w:rFonts w:ascii="Palatino Linotype" w:eastAsia="Arial Unicode MS" w:hAnsi="Palatino Linotype" w:cs="Arial"/>
        </w:rPr>
        <w:t xml:space="preserve">mediante su informe justificado remitió el archivo electrónico </w:t>
      </w:r>
      <w:r w:rsidRPr="00FF05AC">
        <w:rPr>
          <w:rFonts w:ascii="Palatino Linotype" w:eastAsia="Arial Unicode MS" w:hAnsi="Palatino Linotype" w:cs="Arial"/>
          <w:b/>
          <w:i/>
        </w:rPr>
        <w:t xml:space="preserve">INF JUST 228-2020.pdf </w:t>
      </w:r>
      <w:r w:rsidRPr="00FF05AC">
        <w:rPr>
          <w:rFonts w:ascii="Palatino Linotype" w:eastAsia="Arial Unicode MS" w:hAnsi="Palatino Linotype" w:cs="Arial"/>
        </w:rPr>
        <w:t>mediante el cual hizo del conocimiento del particular que el expediente correspondiente al juicio administrativo no se encuentra concluido; asimismo, que en virtud de la pandemia en la que nos encontramos si bien la información fue remitida el día 24 de noviembre lo cierto es que en esa fecha se envió físicamente la información y que esta fue tratada personalmente con anterioridad;</w:t>
      </w:r>
      <w:r w:rsidRPr="00FF05AC">
        <w:rPr>
          <w:rFonts w:ascii="Palatino Linotype" w:eastAsia="Arial Unicode MS" w:hAnsi="Palatino Linotype" w:cs="Arial"/>
          <w:b/>
          <w:i/>
        </w:rPr>
        <w:t xml:space="preserve"> </w:t>
      </w:r>
      <w:r w:rsidRPr="00FF05AC">
        <w:rPr>
          <w:rFonts w:ascii="Palatino Linotype" w:eastAsia="Arial Unicode MS" w:hAnsi="Palatino Linotype" w:cs="Arial"/>
        </w:rPr>
        <w:t xml:space="preserve">por su parte </w:t>
      </w:r>
      <w:r w:rsidRPr="00FF05AC">
        <w:rPr>
          <w:rFonts w:ascii="Palatino Linotype" w:eastAsia="Arial Unicode MS" w:hAnsi="Palatino Linotype" w:cs="Arial"/>
          <w:b/>
        </w:rPr>
        <w:t xml:space="preserve">EL RECURRENTE </w:t>
      </w:r>
      <w:r w:rsidRPr="00FF05AC">
        <w:rPr>
          <w:rFonts w:ascii="Palatino Linotype" w:eastAsia="Arial Unicode MS" w:hAnsi="Palatino Linotype" w:cs="Arial"/>
        </w:rPr>
        <w:t>no realizó manifestación alguna, ni presentó pruebas o alegatos como se muestra a continuación:</w:t>
      </w:r>
    </w:p>
    <w:p w14:paraId="63FD3E62" w14:textId="77777777" w:rsidR="00A03ABB" w:rsidRPr="00FF05AC" w:rsidRDefault="00A03ABB" w:rsidP="00A03ABB">
      <w:pPr>
        <w:spacing w:before="100" w:beforeAutospacing="1" w:after="100" w:afterAutospacing="1" w:line="360" w:lineRule="auto"/>
        <w:contextualSpacing/>
        <w:jc w:val="both"/>
        <w:rPr>
          <w:rFonts w:ascii="Palatino Linotype" w:eastAsia="Arial Unicode MS" w:hAnsi="Palatino Linotype" w:cs="Arial"/>
        </w:rPr>
      </w:pPr>
    </w:p>
    <w:p w14:paraId="054F2998" w14:textId="585582C9" w:rsidR="00A03ABB" w:rsidRPr="00FF05AC" w:rsidRDefault="00A03ABB" w:rsidP="00A03ABB">
      <w:pPr>
        <w:spacing w:before="100" w:beforeAutospacing="1" w:after="100" w:afterAutospacing="1" w:line="360" w:lineRule="auto"/>
        <w:contextualSpacing/>
        <w:jc w:val="both"/>
        <w:rPr>
          <w:rFonts w:ascii="Palatino Linotype" w:eastAsia="Arial Unicode MS" w:hAnsi="Palatino Linotype" w:cs="Arial"/>
        </w:rPr>
      </w:pPr>
      <w:r w:rsidRPr="00FF05AC">
        <w:rPr>
          <w:rFonts w:ascii="Palatino Linotype" w:hAnsi="Palatino Linotype"/>
          <w:noProof/>
          <w:lang w:eastAsia="es-MX"/>
        </w:rPr>
        <w:drawing>
          <wp:inline distT="0" distB="0" distL="0" distR="0" wp14:anchorId="6387327B" wp14:editId="1CE465F7">
            <wp:extent cx="5762625" cy="22383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748" t="33911" r="19252" b="24868"/>
                    <a:stretch/>
                  </pic:blipFill>
                  <pic:spPr bwMode="auto">
                    <a:xfrm>
                      <a:off x="0" y="0"/>
                      <a:ext cx="5762625" cy="22383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8FB6696" w14:textId="77777777" w:rsidR="00A03ABB" w:rsidRPr="00FF05AC" w:rsidRDefault="00A03ABB" w:rsidP="00A03ABB">
      <w:pPr>
        <w:spacing w:before="100" w:beforeAutospacing="1" w:after="100" w:afterAutospacing="1" w:line="360" w:lineRule="auto"/>
        <w:contextualSpacing/>
        <w:jc w:val="both"/>
        <w:rPr>
          <w:rFonts w:ascii="Palatino Linotype" w:hAnsi="Palatino Linotype" w:cs="Arial"/>
          <w:i/>
          <w:sz w:val="22"/>
          <w:szCs w:val="22"/>
          <w:lang w:eastAsia="es-MX"/>
        </w:rPr>
      </w:pPr>
    </w:p>
    <w:p w14:paraId="1662748A" w14:textId="550B1BA4" w:rsidR="003B017D" w:rsidRPr="00FF05AC" w:rsidRDefault="00A03ABB" w:rsidP="003B017D">
      <w:pPr>
        <w:spacing w:line="360" w:lineRule="auto"/>
        <w:jc w:val="both"/>
        <w:rPr>
          <w:rFonts w:ascii="Palatino Linotype" w:hAnsi="Palatino Linotype"/>
          <w:b/>
          <w:color w:val="000000" w:themeColor="text1"/>
          <w:sz w:val="28"/>
          <w:szCs w:val="28"/>
        </w:rPr>
      </w:pPr>
      <w:r w:rsidRPr="00FF05AC">
        <w:rPr>
          <w:rFonts w:ascii="Palatino Linotype" w:hAnsi="Palatino Linotype"/>
          <w:b/>
          <w:color w:val="000000" w:themeColor="text1"/>
          <w:sz w:val="28"/>
          <w:szCs w:val="28"/>
        </w:rPr>
        <w:t>VI</w:t>
      </w:r>
      <w:r w:rsidR="00091B0C" w:rsidRPr="00FF05AC">
        <w:rPr>
          <w:rFonts w:ascii="Palatino Linotype" w:hAnsi="Palatino Linotype"/>
          <w:b/>
          <w:color w:val="000000" w:themeColor="text1"/>
          <w:sz w:val="28"/>
          <w:szCs w:val="28"/>
        </w:rPr>
        <w:t>I</w:t>
      </w:r>
      <w:r w:rsidR="003B017D" w:rsidRPr="00FF05AC">
        <w:rPr>
          <w:rFonts w:ascii="Palatino Linotype" w:hAnsi="Palatino Linotype"/>
          <w:b/>
          <w:color w:val="000000" w:themeColor="text1"/>
          <w:sz w:val="28"/>
          <w:szCs w:val="28"/>
        </w:rPr>
        <w:t xml:space="preserve">. Cierre de instrucción </w:t>
      </w:r>
    </w:p>
    <w:p w14:paraId="0E749202" w14:textId="77777777" w:rsidR="00A03ABB" w:rsidRPr="00FF05AC" w:rsidRDefault="00A03ABB" w:rsidP="00A03ABB">
      <w:pPr>
        <w:spacing w:before="100" w:beforeAutospacing="1" w:after="100" w:afterAutospacing="1" w:line="360" w:lineRule="auto"/>
        <w:contextualSpacing/>
        <w:jc w:val="both"/>
        <w:rPr>
          <w:rFonts w:ascii="Palatino Linotype" w:hAnsi="Palatino Linotype" w:cs="Arial"/>
        </w:rPr>
      </w:pPr>
      <w:r w:rsidRPr="00FF05AC">
        <w:rPr>
          <w:rFonts w:ascii="Palatino Linotype" w:hAnsi="Palatino Linotype" w:cs="Arial"/>
        </w:rPr>
        <w:t>En fecha cinco de febrero de dos mil veintiuno, la Comisionada Ponente acordó el cierre de instrucción, así como la remisión del mismo a efecto de ser resuelto, de conformidad con lo establecido en el artículo 185 fracción VIII de la Ley de Transparencia y Acceso a la Información Pública del Estado de México y Municipios.</w:t>
      </w:r>
    </w:p>
    <w:p w14:paraId="1662748E" w14:textId="24457E24" w:rsidR="003B017D" w:rsidRPr="00FF05AC" w:rsidRDefault="00A03ABB" w:rsidP="003B017D">
      <w:pPr>
        <w:pStyle w:val="Prrafodelista"/>
        <w:tabs>
          <w:tab w:val="left" w:pos="567"/>
        </w:tabs>
        <w:spacing w:line="360" w:lineRule="auto"/>
        <w:ind w:left="0"/>
        <w:jc w:val="both"/>
        <w:rPr>
          <w:rStyle w:val="Ninguno"/>
          <w:rFonts w:ascii="Palatino Linotype" w:eastAsia="Palatino Linotype" w:hAnsi="Palatino Linotype" w:cs="Palatino Linotype"/>
          <w:b/>
          <w:sz w:val="28"/>
          <w:szCs w:val="28"/>
        </w:rPr>
      </w:pPr>
      <w:r w:rsidRPr="00FF05AC">
        <w:rPr>
          <w:rStyle w:val="Ninguno"/>
          <w:rFonts w:ascii="Palatino Linotype" w:eastAsia="Palatino Linotype" w:hAnsi="Palatino Linotype" w:cs="Palatino Linotype"/>
          <w:b/>
          <w:sz w:val="28"/>
          <w:szCs w:val="28"/>
        </w:rPr>
        <w:t>I</w:t>
      </w:r>
      <w:r w:rsidR="003B017D" w:rsidRPr="00FF05AC">
        <w:rPr>
          <w:rStyle w:val="Ninguno"/>
          <w:rFonts w:ascii="Palatino Linotype" w:eastAsia="Palatino Linotype" w:hAnsi="Palatino Linotype" w:cs="Palatino Linotype"/>
          <w:b/>
          <w:sz w:val="28"/>
          <w:szCs w:val="28"/>
        </w:rPr>
        <w:t>X. Resolución del recurso de revisión</w:t>
      </w:r>
    </w:p>
    <w:p w14:paraId="1662748F" w14:textId="0CFEFADB" w:rsidR="003B017D" w:rsidRPr="00FF05AC" w:rsidRDefault="003B017D" w:rsidP="003B017D">
      <w:pPr>
        <w:pStyle w:val="Prrafodelista"/>
        <w:spacing w:line="360" w:lineRule="auto"/>
        <w:ind w:left="0"/>
        <w:jc w:val="both"/>
        <w:rPr>
          <w:rFonts w:ascii="Palatino Linotype" w:hAnsi="Palatino Linotype"/>
        </w:rPr>
      </w:pPr>
      <w:r w:rsidRPr="00FF05AC">
        <w:rPr>
          <w:rStyle w:val="Ninguno"/>
          <w:rFonts w:ascii="Palatino Linotype" w:eastAsia="Palatino Linotype" w:hAnsi="Palatino Linotype" w:cs="Palatino Linotype"/>
        </w:rPr>
        <w:t xml:space="preserve">En fecha </w:t>
      </w:r>
      <w:r w:rsidR="00114804" w:rsidRPr="00FF05AC">
        <w:rPr>
          <w:rStyle w:val="Ninguno"/>
          <w:rFonts w:ascii="Palatino Linotype" w:eastAsia="Palatino Linotype" w:hAnsi="Palatino Linotype" w:cs="Palatino Linotype"/>
        </w:rPr>
        <w:t>diez de febrero</w:t>
      </w:r>
      <w:r w:rsidR="00091B0C" w:rsidRPr="00FF05AC">
        <w:rPr>
          <w:rStyle w:val="Ninguno"/>
          <w:rFonts w:ascii="Palatino Linotype" w:eastAsia="Palatino Linotype" w:hAnsi="Palatino Linotype" w:cs="Palatino Linotype"/>
        </w:rPr>
        <w:t xml:space="preserve"> de dos mil veintiuno, </w:t>
      </w:r>
      <w:r w:rsidRPr="00FF05AC">
        <w:rPr>
          <w:rStyle w:val="Ninguno"/>
          <w:rFonts w:ascii="Palatino Linotype" w:eastAsia="Palatino Linotype" w:hAnsi="Palatino Linotype" w:cs="Palatino Linotype"/>
        </w:rPr>
        <w:t xml:space="preserve">en la </w:t>
      </w:r>
      <w:r w:rsidR="00114804" w:rsidRPr="00FF05AC">
        <w:rPr>
          <w:rStyle w:val="Ninguno"/>
          <w:rFonts w:ascii="Palatino Linotype" w:eastAsia="Palatino Linotype" w:hAnsi="Palatino Linotype" w:cs="Palatino Linotype"/>
        </w:rPr>
        <w:t xml:space="preserve">Cuarta </w:t>
      </w:r>
      <w:r w:rsidRPr="00FF05AC">
        <w:rPr>
          <w:rStyle w:val="Ninguno"/>
          <w:rFonts w:ascii="Palatino Linotype" w:eastAsia="Palatino Linotype" w:hAnsi="Palatino Linotype" w:cs="Palatino Linotype"/>
        </w:rPr>
        <w:t xml:space="preserve">Sesión Ordinaria, el Pleno del Instituto de Transparencia, Acceso a la Información Pública y Protección de Datos Personales del Estado de México y Municipios, aprobó, por </w:t>
      </w:r>
      <w:r w:rsidR="00091B0C" w:rsidRPr="00FF05AC">
        <w:rPr>
          <w:rStyle w:val="Ninguno"/>
          <w:rFonts w:ascii="Palatino Linotype" w:eastAsia="Palatino Linotype" w:hAnsi="Palatino Linotype" w:cs="Palatino Linotype"/>
        </w:rPr>
        <w:t xml:space="preserve">unanimidad </w:t>
      </w:r>
      <w:r w:rsidRPr="00FF05AC">
        <w:rPr>
          <w:rStyle w:val="Ninguno"/>
          <w:rFonts w:ascii="Palatino Linotype" w:eastAsia="Palatino Linotype" w:hAnsi="Palatino Linotype" w:cs="Palatino Linotype"/>
        </w:rPr>
        <w:t>de votos, la resolución dictada en</w:t>
      </w:r>
      <w:r w:rsidRPr="00FF05AC">
        <w:rPr>
          <w:rFonts w:ascii="Palatino Linotype" w:hAnsi="Palatino Linotype"/>
        </w:rPr>
        <w:t xml:space="preserve"> </w:t>
      </w:r>
      <w:r w:rsidRPr="00FF05AC">
        <w:rPr>
          <w:rFonts w:ascii="Palatino Linotype" w:hAnsi="Palatino Linotype"/>
          <w:color w:val="000000" w:themeColor="text1"/>
        </w:rPr>
        <w:t>los recursos de revisión</w:t>
      </w:r>
      <w:r w:rsidR="00091B0C" w:rsidRPr="00FF05AC">
        <w:rPr>
          <w:rFonts w:ascii="Palatino Linotype" w:hAnsi="Palatino Linotype"/>
          <w:color w:val="000000" w:themeColor="text1"/>
        </w:rPr>
        <w:t xml:space="preserve"> </w:t>
      </w:r>
      <w:r w:rsidR="004A1BA9" w:rsidRPr="00FF05AC">
        <w:rPr>
          <w:rFonts w:ascii="Palatino Linotype" w:hAnsi="Palatino Linotype"/>
          <w:b/>
          <w:color w:val="000000" w:themeColor="text1"/>
          <w:spacing w:val="-20"/>
        </w:rPr>
        <w:t>05902</w:t>
      </w:r>
      <w:r w:rsidR="00091B0C" w:rsidRPr="00FF05AC">
        <w:rPr>
          <w:rFonts w:ascii="Palatino Linotype" w:hAnsi="Palatino Linotype"/>
          <w:b/>
          <w:color w:val="000000" w:themeColor="text1"/>
          <w:spacing w:val="-20"/>
        </w:rPr>
        <w:t xml:space="preserve">/INFOEM/IP/RR/2020, </w:t>
      </w:r>
      <w:r w:rsidR="00091B0C" w:rsidRPr="00FF05AC">
        <w:rPr>
          <w:rFonts w:ascii="Palatino Linotype" w:hAnsi="Palatino Linotype"/>
          <w:color w:val="000000" w:themeColor="text1"/>
        </w:rPr>
        <w:t xml:space="preserve"> </w:t>
      </w:r>
      <w:r w:rsidRPr="00FF05AC">
        <w:rPr>
          <w:rFonts w:ascii="Palatino Linotype" w:hAnsi="Palatino Linotype"/>
        </w:rPr>
        <w:t>en la cual se determinó lo siguiente:</w:t>
      </w:r>
    </w:p>
    <w:p w14:paraId="16627490" w14:textId="77777777" w:rsidR="00091B0C" w:rsidRPr="00FF05AC" w:rsidRDefault="00091B0C" w:rsidP="003B017D">
      <w:pPr>
        <w:pStyle w:val="Prrafodelista"/>
        <w:spacing w:line="360" w:lineRule="auto"/>
        <w:ind w:left="0"/>
        <w:jc w:val="both"/>
        <w:rPr>
          <w:rFonts w:ascii="Palatino Linotype" w:hAnsi="Palatino Linotype"/>
          <w:color w:val="000000" w:themeColor="text1"/>
        </w:rPr>
      </w:pPr>
    </w:p>
    <w:p w14:paraId="16B81D6A" w14:textId="77777777" w:rsidR="001D1393" w:rsidRPr="00FF05AC" w:rsidRDefault="003B017D" w:rsidP="001D1393">
      <w:pPr>
        <w:autoSpaceDE w:val="0"/>
        <w:autoSpaceDN w:val="0"/>
        <w:adjustRightInd w:val="0"/>
        <w:ind w:left="851" w:right="899"/>
        <w:jc w:val="both"/>
        <w:rPr>
          <w:rFonts w:ascii="Palatino Linotype" w:hAnsi="Palatino Linotype"/>
          <w:b/>
          <w:i/>
          <w:color w:val="000000" w:themeColor="text1"/>
          <w:sz w:val="22"/>
          <w:szCs w:val="22"/>
          <w:lang w:eastAsia="es-ES_tradnl"/>
        </w:rPr>
      </w:pPr>
      <w:r w:rsidRPr="00FF05AC">
        <w:rPr>
          <w:rFonts w:ascii="Palatino Linotype" w:hAnsi="Palatino Linotype"/>
          <w:i/>
          <w:color w:val="000000" w:themeColor="text1"/>
          <w:sz w:val="22"/>
          <w:szCs w:val="22"/>
          <w:lang w:eastAsia="es-ES_tradnl"/>
        </w:rPr>
        <w:t>“</w:t>
      </w:r>
      <w:r w:rsidR="001D1393" w:rsidRPr="00FF05AC">
        <w:rPr>
          <w:rFonts w:ascii="Palatino Linotype" w:hAnsi="Palatino Linotype"/>
          <w:b/>
          <w:i/>
          <w:color w:val="000000" w:themeColor="text1"/>
          <w:sz w:val="22"/>
          <w:szCs w:val="22"/>
          <w:lang w:eastAsia="es-ES_tradnl"/>
        </w:rPr>
        <w:t xml:space="preserve">PRIMERO. </w:t>
      </w:r>
      <w:r w:rsidR="001D1393" w:rsidRPr="00FF05AC">
        <w:rPr>
          <w:rFonts w:ascii="Palatino Linotype" w:hAnsi="Palatino Linotype"/>
          <w:i/>
          <w:color w:val="000000" w:themeColor="text1"/>
          <w:sz w:val="22"/>
          <w:szCs w:val="22"/>
          <w:lang w:eastAsia="es-ES_tradnl"/>
        </w:rPr>
        <w:t>Resultan parcialmente fundadas las razones o motivos de inconformidad planteadas por EL RECURRENTE, en términos del Considerando QUINTO de la presente resolución.</w:t>
      </w:r>
    </w:p>
    <w:p w14:paraId="59E239C4" w14:textId="77777777" w:rsidR="001D1393" w:rsidRPr="00FF05AC" w:rsidRDefault="001D1393" w:rsidP="001D1393">
      <w:pPr>
        <w:autoSpaceDE w:val="0"/>
        <w:autoSpaceDN w:val="0"/>
        <w:adjustRightInd w:val="0"/>
        <w:ind w:left="851" w:right="899"/>
        <w:jc w:val="both"/>
        <w:rPr>
          <w:rFonts w:ascii="Palatino Linotype" w:hAnsi="Palatino Linotype"/>
          <w:b/>
          <w:i/>
          <w:color w:val="000000" w:themeColor="text1"/>
          <w:sz w:val="22"/>
          <w:szCs w:val="22"/>
          <w:lang w:eastAsia="es-ES_tradnl"/>
        </w:rPr>
      </w:pPr>
    </w:p>
    <w:p w14:paraId="304D23DB" w14:textId="77777777" w:rsidR="001D1393" w:rsidRPr="00FF05AC" w:rsidRDefault="001D1393" w:rsidP="001D1393">
      <w:pPr>
        <w:autoSpaceDE w:val="0"/>
        <w:autoSpaceDN w:val="0"/>
        <w:adjustRightInd w:val="0"/>
        <w:ind w:left="851" w:right="899"/>
        <w:jc w:val="both"/>
        <w:rPr>
          <w:rFonts w:ascii="Palatino Linotype" w:hAnsi="Palatino Linotype"/>
          <w:b/>
          <w:i/>
          <w:color w:val="000000" w:themeColor="text1"/>
          <w:sz w:val="22"/>
          <w:szCs w:val="22"/>
          <w:lang w:eastAsia="es-ES_tradnl"/>
        </w:rPr>
      </w:pPr>
      <w:r w:rsidRPr="00FF05AC">
        <w:rPr>
          <w:rFonts w:ascii="Palatino Linotype" w:hAnsi="Palatino Linotype"/>
          <w:b/>
          <w:i/>
          <w:color w:val="000000" w:themeColor="text1"/>
          <w:sz w:val="22"/>
          <w:szCs w:val="22"/>
          <w:lang w:eastAsia="es-ES_tradnl"/>
        </w:rPr>
        <w:t xml:space="preserve">SEGUNDO. </w:t>
      </w:r>
      <w:r w:rsidRPr="00FF05AC">
        <w:rPr>
          <w:rFonts w:ascii="Palatino Linotype" w:hAnsi="Palatino Linotype"/>
          <w:i/>
          <w:color w:val="000000" w:themeColor="text1"/>
          <w:sz w:val="22"/>
          <w:szCs w:val="22"/>
          <w:lang w:eastAsia="es-ES_tradnl"/>
        </w:rPr>
        <w:t xml:space="preserve">Se </w:t>
      </w:r>
      <w:r w:rsidRPr="00FF05AC">
        <w:rPr>
          <w:rFonts w:ascii="Palatino Linotype" w:hAnsi="Palatino Linotype"/>
          <w:b/>
          <w:i/>
          <w:color w:val="000000" w:themeColor="text1"/>
          <w:sz w:val="22"/>
          <w:szCs w:val="22"/>
          <w:lang w:eastAsia="es-ES_tradnl"/>
        </w:rPr>
        <w:t xml:space="preserve">MODIFICA </w:t>
      </w:r>
      <w:r w:rsidRPr="00FF05AC">
        <w:rPr>
          <w:rFonts w:ascii="Palatino Linotype" w:hAnsi="Palatino Linotype"/>
          <w:i/>
          <w:color w:val="000000" w:themeColor="text1"/>
          <w:sz w:val="22"/>
          <w:szCs w:val="22"/>
          <w:lang w:eastAsia="es-ES_tradnl"/>
        </w:rPr>
        <w:t xml:space="preserve">la respuesta otorgada por EL SUJETO OBLIGADO a la solicitud de información </w:t>
      </w:r>
      <w:r w:rsidRPr="00FF05AC">
        <w:rPr>
          <w:rFonts w:ascii="Palatino Linotype" w:hAnsi="Palatino Linotype"/>
          <w:b/>
          <w:i/>
          <w:color w:val="000000" w:themeColor="text1"/>
          <w:sz w:val="22"/>
          <w:szCs w:val="22"/>
          <w:lang w:eastAsia="es-ES_tradnl"/>
        </w:rPr>
        <w:t xml:space="preserve">00228/TRIJAEM/IP/2020 </w:t>
      </w:r>
      <w:r w:rsidRPr="00FF05AC">
        <w:rPr>
          <w:rFonts w:ascii="Palatino Linotype" w:hAnsi="Palatino Linotype"/>
          <w:i/>
          <w:color w:val="000000" w:themeColor="text1"/>
          <w:sz w:val="22"/>
          <w:szCs w:val="22"/>
          <w:lang w:eastAsia="es-ES_tradnl"/>
        </w:rPr>
        <w:t>y se le ordena en términos del Considerando QUINTO de la presente resolución, entregue al RECURRENTE vía SAIMEX, lo siguiente:</w:t>
      </w:r>
    </w:p>
    <w:p w14:paraId="1A6552D1" w14:textId="77777777" w:rsidR="001D1393" w:rsidRPr="00FF05AC" w:rsidRDefault="001D1393" w:rsidP="001D1393">
      <w:pPr>
        <w:autoSpaceDE w:val="0"/>
        <w:autoSpaceDN w:val="0"/>
        <w:adjustRightInd w:val="0"/>
        <w:ind w:left="851" w:right="899"/>
        <w:jc w:val="both"/>
        <w:rPr>
          <w:rFonts w:ascii="Palatino Linotype" w:hAnsi="Palatino Linotype"/>
          <w:b/>
          <w:i/>
          <w:color w:val="000000" w:themeColor="text1"/>
          <w:sz w:val="22"/>
          <w:szCs w:val="22"/>
          <w:lang w:eastAsia="es-ES_tradnl"/>
        </w:rPr>
      </w:pPr>
    </w:p>
    <w:p w14:paraId="3C26CFA0" w14:textId="77777777" w:rsidR="001D1393" w:rsidRPr="00FF05AC" w:rsidRDefault="001D1393" w:rsidP="001D1393">
      <w:pPr>
        <w:autoSpaceDE w:val="0"/>
        <w:autoSpaceDN w:val="0"/>
        <w:adjustRightInd w:val="0"/>
        <w:ind w:left="851" w:right="899"/>
        <w:jc w:val="both"/>
        <w:rPr>
          <w:rFonts w:ascii="Palatino Linotype" w:hAnsi="Palatino Linotype"/>
          <w:b/>
          <w:i/>
          <w:color w:val="000000" w:themeColor="text1"/>
          <w:sz w:val="22"/>
          <w:szCs w:val="22"/>
          <w:lang w:eastAsia="es-ES_tradnl"/>
        </w:rPr>
      </w:pPr>
      <w:r w:rsidRPr="00FF05AC">
        <w:rPr>
          <w:rFonts w:ascii="Palatino Linotype" w:hAnsi="Palatino Linotype"/>
          <w:b/>
          <w:i/>
          <w:color w:val="000000" w:themeColor="text1"/>
          <w:sz w:val="22"/>
          <w:szCs w:val="22"/>
          <w:lang w:eastAsia="es-ES_tradnl"/>
        </w:rPr>
        <w:t>“El Acuerdo de Clasificación mediante el cual el Comité de Transparencia determine que el expediente referido en la solicitud y radicado en la Sexta Sala Regional del Tribunal de Justicia Administrativa del Estado de México, es información reservada, conforme a los artículos 49 fracción VIII, 129, 140 y 141 de la Ley de Transparencia y Acceso a la Información Pública del Estado de México y Municipios.”</w:t>
      </w:r>
    </w:p>
    <w:p w14:paraId="5E57CD98" w14:textId="77777777" w:rsidR="001D1393" w:rsidRPr="00FF05AC" w:rsidRDefault="001D1393" w:rsidP="001D1393">
      <w:pPr>
        <w:autoSpaceDE w:val="0"/>
        <w:autoSpaceDN w:val="0"/>
        <w:adjustRightInd w:val="0"/>
        <w:ind w:left="851" w:right="899"/>
        <w:jc w:val="both"/>
        <w:rPr>
          <w:rFonts w:ascii="Palatino Linotype" w:hAnsi="Palatino Linotype"/>
          <w:b/>
          <w:i/>
          <w:color w:val="000000" w:themeColor="text1"/>
          <w:sz w:val="22"/>
          <w:szCs w:val="22"/>
          <w:lang w:eastAsia="es-ES_tradnl"/>
        </w:rPr>
      </w:pPr>
    </w:p>
    <w:p w14:paraId="37F813B4" w14:textId="77777777" w:rsidR="001D1393" w:rsidRPr="00FF05AC" w:rsidRDefault="001D1393" w:rsidP="001D1393">
      <w:pPr>
        <w:autoSpaceDE w:val="0"/>
        <w:autoSpaceDN w:val="0"/>
        <w:adjustRightInd w:val="0"/>
        <w:ind w:left="851" w:right="899"/>
        <w:jc w:val="both"/>
        <w:rPr>
          <w:rFonts w:ascii="Palatino Linotype" w:hAnsi="Palatino Linotype"/>
          <w:i/>
          <w:color w:val="000000" w:themeColor="text1"/>
          <w:sz w:val="22"/>
          <w:szCs w:val="22"/>
          <w:lang w:eastAsia="es-ES_tradnl"/>
        </w:rPr>
      </w:pPr>
      <w:r w:rsidRPr="00FF05AC">
        <w:rPr>
          <w:rFonts w:ascii="Palatino Linotype" w:hAnsi="Palatino Linotype"/>
          <w:b/>
          <w:i/>
          <w:color w:val="000000" w:themeColor="text1"/>
          <w:sz w:val="22"/>
          <w:szCs w:val="22"/>
          <w:lang w:eastAsia="es-ES_tradnl"/>
        </w:rPr>
        <w:t xml:space="preserve">TERCERO. </w:t>
      </w:r>
      <w:r w:rsidRPr="00FF05AC">
        <w:rPr>
          <w:rFonts w:ascii="Palatino Linotype" w:hAnsi="Palatino Linotype"/>
          <w:i/>
          <w:color w:val="000000" w:themeColor="text1"/>
          <w:sz w:val="22"/>
          <w:szCs w:val="22"/>
          <w:lang w:eastAsia="es-ES_tradnl"/>
        </w:rPr>
        <w:t>Notifíquese al Titular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6CF00A0" w14:textId="77777777" w:rsidR="001D1393" w:rsidRPr="00FF05AC" w:rsidRDefault="001D1393" w:rsidP="001D1393">
      <w:pPr>
        <w:autoSpaceDE w:val="0"/>
        <w:autoSpaceDN w:val="0"/>
        <w:adjustRightInd w:val="0"/>
        <w:ind w:left="851" w:right="899"/>
        <w:jc w:val="both"/>
        <w:rPr>
          <w:rFonts w:ascii="Palatino Linotype" w:hAnsi="Palatino Linotype"/>
          <w:b/>
          <w:i/>
          <w:color w:val="000000" w:themeColor="text1"/>
          <w:sz w:val="22"/>
          <w:szCs w:val="22"/>
          <w:lang w:eastAsia="es-ES_tradnl"/>
        </w:rPr>
      </w:pPr>
    </w:p>
    <w:p w14:paraId="4318AD6B" w14:textId="77777777" w:rsidR="001D1393" w:rsidRPr="00FF05AC" w:rsidRDefault="001D1393" w:rsidP="001D1393">
      <w:pPr>
        <w:autoSpaceDE w:val="0"/>
        <w:autoSpaceDN w:val="0"/>
        <w:adjustRightInd w:val="0"/>
        <w:ind w:left="851" w:right="899"/>
        <w:jc w:val="both"/>
        <w:rPr>
          <w:rFonts w:ascii="Palatino Linotype" w:hAnsi="Palatino Linotype"/>
          <w:i/>
          <w:color w:val="000000" w:themeColor="text1"/>
          <w:sz w:val="22"/>
          <w:szCs w:val="22"/>
          <w:lang w:eastAsia="es-ES_tradnl"/>
        </w:rPr>
      </w:pPr>
      <w:r w:rsidRPr="00FF05AC">
        <w:rPr>
          <w:rFonts w:ascii="Palatino Linotype" w:hAnsi="Palatino Linotype"/>
          <w:b/>
          <w:i/>
          <w:color w:val="000000" w:themeColor="text1"/>
          <w:sz w:val="22"/>
          <w:szCs w:val="22"/>
          <w:lang w:eastAsia="es-ES_tradnl"/>
        </w:rPr>
        <w:t xml:space="preserve">CUARTO. </w:t>
      </w:r>
      <w:r w:rsidRPr="00FF05AC">
        <w:rPr>
          <w:rFonts w:ascii="Palatino Linotype" w:hAnsi="Palatino Linotype"/>
          <w:i/>
          <w:color w:val="000000" w:themeColor="text1"/>
          <w:sz w:val="22"/>
          <w:szCs w:val="22"/>
          <w:lang w:eastAsia="es-ES_tradnl"/>
        </w:rPr>
        <w:t>Con fundamento en el artículo 198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p>
    <w:p w14:paraId="69772765" w14:textId="77777777" w:rsidR="001D1393" w:rsidRPr="00FF05AC" w:rsidRDefault="001D1393" w:rsidP="001D1393">
      <w:pPr>
        <w:autoSpaceDE w:val="0"/>
        <w:autoSpaceDN w:val="0"/>
        <w:adjustRightInd w:val="0"/>
        <w:ind w:left="851" w:right="899"/>
        <w:jc w:val="both"/>
        <w:rPr>
          <w:rFonts w:ascii="Palatino Linotype" w:hAnsi="Palatino Linotype"/>
          <w:i/>
          <w:color w:val="000000" w:themeColor="text1"/>
          <w:sz w:val="22"/>
          <w:szCs w:val="22"/>
          <w:lang w:eastAsia="es-ES_tradnl"/>
        </w:rPr>
      </w:pPr>
    </w:p>
    <w:p w14:paraId="24C1B139" w14:textId="77777777" w:rsidR="001D1393" w:rsidRPr="00FF05AC" w:rsidRDefault="001D1393" w:rsidP="001D1393">
      <w:pPr>
        <w:autoSpaceDE w:val="0"/>
        <w:autoSpaceDN w:val="0"/>
        <w:adjustRightInd w:val="0"/>
        <w:ind w:left="851" w:right="899"/>
        <w:jc w:val="both"/>
        <w:rPr>
          <w:rFonts w:ascii="Palatino Linotype" w:hAnsi="Palatino Linotype"/>
          <w:i/>
          <w:color w:val="000000" w:themeColor="text1"/>
          <w:sz w:val="22"/>
          <w:szCs w:val="22"/>
          <w:lang w:eastAsia="es-ES_tradnl"/>
        </w:rPr>
      </w:pPr>
      <w:r w:rsidRPr="00FF05AC">
        <w:rPr>
          <w:rFonts w:ascii="Palatino Linotype" w:hAnsi="Palatino Linotype"/>
          <w:i/>
          <w:color w:val="000000" w:themeColor="text1"/>
          <w:sz w:val="22"/>
          <w:szCs w:val="22"/>
          <w:lang w:eastAsia="es-ES_tradnl"/>
        </w:rPr>
        <w:t>QUINTO. Nofíquese al RECURRENTE la presente resolución.</w:t>
      </w:r>
    </w:p>
    <w:p w14:paraId="1B2F2C1B" w14:textId="77777777" w:rsidR="001D1393" w:rsidRPr="00FF05AC" w:rsidRDefault="001D1393" w:rsidP="001D1393">
      <w:pPr>
        <w:autoSpaceDE w:val="0"/>
        <w:autoSpaceDN w:val="0"/>
        <w:adjustRightInd w:val="0"/>
        <w:ind w:left="851" w:right="899"/>
        <w:jc w:val="both"/>
        <w:rPr>
          <w:rFonts w:ascii="Palatino Linotype" w:hAnsi="Palatino Linotype"/>
          <w:i/>
          <w:color w:val="000000" w:themeColor="text1"/>
          <w:sz w:val="22"/>
          <w:szCs w:val="22"/>
          <w:lang w:eastAsia="es-ES_tradnl"/>
        </w:rPr>
      </w:pPr>
    </w:p>
    <w:p w14:paraId="35B898E5" w14:textId="77777777" w:rsidR="001D1393" w:rsidRPr="00FF05AC" w:rsidRDefault="001D1393" w:rsidP="001D1393">
      <w:pPr>
        <w:autoSpaceDE w:val="0"/>
        <w:autoSpaceDN w:val="0"/>
        <w:adjustRightInd w:val="0"/>
        <w:ind w:left="851" w:right="899"/>
        <w:jc w:val="both"/>
        <w:rPr>
          <w:rFonts w:ascii="Palatino Linotype" w:hAnsi="Palatino Linotype"/>
          <w:i/>
          <w:color w:val="000000" w:themeColor="text1"/>
          <w:sz w:val="22"/>
          <w:szCs w:val="22"/>
          <w:lang w:eastAsia="es-ES_tradnl"/>
        </w:rPr>
      </w:pPr>
      <w:r w:rsidRPr="00FF05AC">
        <w:rPr>
          <w:rFonts w:ascii="Palatino Linotype" w:hAnsi="Palatino Linotype"/>
          <w:b/>
          <w:i/>
          <w:color w:val="000000" w:themeColor="text1"/>
          <w:sz w:val="22"/>
          <w:szCs w:val="22"/>
          <w:lang w:eastAsia="es-ES_tradnl"/>
        </w:rPr>
        <w:t xml:space="preserve">SEXTO. </w:t>
      </w:r>
      <w:r w:rsidRPr="00FF05AC">
        <w:rPr>
          <w:rFonts w:ascii="Palatino Linotype" w:hAnsi="Palatino Linotype"/>
          <w:i/>
          <w:color w:val="000000" w:themeColor="text1"/>
          <w:sz w:val="22"/>
          <w:szCs w:val="22"/>
          <w:lang w:eastAsia="es-ES_tradnl"/>
        </w:rPr>
        <w:t>Hágase del conocimiento al RECURRENTE 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términos de las leyes aplicables.</w:t>
      </w:r>
    </w:p>
    <w:p w14:paraId="7BBBB630" w14:textId="77777777" w:rsidR="001D1393" w:rsidRPr="00FF05AC" w:rsidRDefault="001D1393" w:rsidP="001D1393">
      <w:pPr>
        <w:autoSpaceDE w:val="0"/>
        <w:autoSpaceDN w:val="0"/>
        <w:adjustRightInd w:val="0"/>
        <w:ind w:left="851" w:right="899"/>
        <w:jc w:val="both"/>
        <w:rPr>
          <w:rFonts w:ascii="Palatino Linotype" w:hAnsi="Palatino Linotype"/>
          <w:b/>
          <w:i/>
          <w:color w:val="000000" w:themeColor="text1"/>
          <w:sz w:val="22"/>
          <w:szCs w:val="22"/>
          <w:lang w:eastAsia="es-ES_tradnl"/>
        </w:rPr>
      </w:pPr>
    </w:p>
    <w:p w14:paraId="16627497" w14:textId="05CE6415" w:rsidR="003B017D" w:rsidRPr="00FF05AC" w:rsidRDefault="001D1393" w:rsidP="001D1393">
      <w:pPr>
        <w:autoSpaceDE w:val="0"/>
        <w:autoSpaceDN w:val="0"/>
        <w:adjustRightInd w:val="0"/>
        <w:ind w:left="851" w:right="899"/>
        <w:jc w:val="both"/>
        <w:rPr>
          <w:rFonts w:ascii="Palatino Linotype" w:hAnsi="Palatino Linotype"/>
          <w:i/>
          <w:color w:val="000000" w:themeColor="text1"/>
          <w:sz w:val="22"/>
          <w:szCs w:val="22"/>
          <w:lang w:eastAsia="es-ES_tradnl"/>
        </w:rPr>
      </w:pPr>
      <w:r w:rsidRPr="00FF05AC">
        <w:rPr>
          <w:rFonts w:ascii="Palatino Linotype" w:hAnsi="Palatino Linotype"/>
          <w:b/>
          <w:i/>
          <w:color w:val="000000" w:themeColor="text1"/>
          <w:sz w:val="22"/>
          <w:szCs w:val="22"/>
          <w:lang w:eastAsia="es-ES_tradnl"/>
        </w:rPr>
        <w:t xml:space="preserve">SÉPTIMO. </w:t>
      </w:r>
      <w:r w:rsidRPr="00FF05AC">
        <w:rPr>
          <w:rFonts w:ascii="Palatino Linotype" w:hAnsi="Palatino Linotype"/>
          <w:i/>
          <w:color w:val="000000" w:themeColor="text1"/>
          <w:sz w:val="22"/>
          <w:szCs w:val="22"/>
          <w:lang w:eastAsia="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003B017D" w:rsidRPr="00FF05AC">
        <w:rPr>
          <w:rFonts w:ascii="Palatino Linotype" w:hAnsi="Palatino Linotype"/>
          <w:i/>
          <w:color w:val="000000" w:themeColor="text1"/>
          <w:sz w:val="22"/>
          <w:szCs w:val="22"/>
          <w:lang w:eastAsia="es-ES_tradnl"/>
        </w:rPr>
        <w:t>)</w:t>
      </w:r>
    </w:p>
    <w:p w14:paraId="16627498" w14:textId="77777777" w:rsidR="003B017D" w:rsidRPr="00FF05AC" w:rsidRDefault="003B017D" w:rsidP="003B017D">
      <w:pPr>
        <w:pStyle w:val="Prrafodelista"/>
        <w:tabs>
          <w:tab w:val="left" w:pos="567"/>
        </w:tabs>
        <w:spacing w:before="240" w:line="360" w:lineRule="auto"/>
        <w:ind w:left="0"/>
        <w:jc w:val="both"/>
        <w:rPr>
          <w:rStyle w:val="Ninguno"/>
          <w:rFonts w:ascii="Palatino Linotype" w:eastAsia="Palatino Linotype" w:hAnsi="Palatino Linotype" w:cs="Palatino Linotype"/>
          <w:b/>
          <w:sz w:val="28"/>
          <w:szCs w:val="28"/>
        </w:rPr>
      </w:pPr>
      <w:r w:rsidRPr="00FF05AC">
        <w:rPr>
          <w:rStyle w:val="Ninguno"/>
          <w:rFonts w:ascii="Palatino Linotype" w:eastAsia="Palatino Linotype" w:hAnsi="Palatino Linotype" w:cs="Palatino Linotype"/>
          <w:b/>
          <w:sz w:val="28"/>
          <w:szCs w:val="28"/>
        </w:rPr>
        <w:t>XII. Recurso de Inconformidad</w:t>
      </w:r>
    </w:p>
    <w:p w14:paraId="16627499" w14:textId="009527E4" w:rsidR="003B017D" w:rsidRPr="00FF05AC" w:rsidRDefault="003B017D" w:rsidP="003B017D">
      <w:pPr>
        <w:pStyle w:val="Prrafodelista"/>
        <w:spacing w:after="120" w:line="360" w:lineRule="auto"/>
        <w:ind w:left="0"/>
        <w:jc w:val="both"/>
        <w:rPr>
          <w:rStyle w:val="Ninguno"/>
          <w:rFonts w:ascii="Palatino Linotype" w:eastAsia="Palatino Linotype" w:hAnsi="Palatino Linotype" w:cs="Palatino Linotype"/>
        </w:rPr>
      </w:pPr>
      <w:r w:rsidRPr="00FF05AC">
        <w:rPr>
          <w:rStyle w:val="Ninguno"/>
          <w:rFonts w:ascii="Palatino Linotype" w:eastAsia="Palatino Linotype" w:hAnsi="Palatino Linotype" w:cs="Palatino Linotype"/>
        </w:rPr>
        <w:t xml:space="preserve">En fecha </w:t>
      </w:r>
      <w:r w:rsidR="007F445E" w:rsidRPr="00FF05AC">
        <w:rPr>
          <w:rStyle w:val="Ninguno"/>
          <w:rFonts w:ascii="Palatino Linotype" w:eastAsia="Palatino Linotype" w:hAnsi="Palatino Linotype" w:cs="Palatino Linotype"/>
        </w:rPr>
        <w:t xml:space="preserve">veintitrés de febrero </w:t>
      </w:r>
      <w:r w:rsidR="00091B0C" w:rsidRPr="00FF05AC">
        <w:rPr>
          <w:rStyle w:val="Ninguno"/>
          <w:rFonts w:ascii="Palatino Linotype" w:eastAsia="Palatino Linotype" w:hAnsi="Palatino Linotype" w:cs="Palatino Linotype"/>
        </w:rPr>
        <w:t xml:space="preserve">de dos mil veintiuno, </w:t>
      </w:r>
      <w:r w:rsidRPr="00FF05AC">
        <w:rPr>
          <w:rStyle w:val="Ninguno"/>
          <w:rFonts w:ascii="Palatino Linotype" w:eastAsia="Palatino Linotype" w:hAnsi="Palatino Linotype" w:cs="Palatino Linotype"/>
          <w:b/>
        </w:rPr>
        <w:t>EL</w:t>
      </w:r>
      <w:r w:rsidRPr="00FF05AC">
        <w:rPr>
          <w:rStyle w:val="Ninguno"/>
          <w:rFonts w:ascii="Palatino Linotype" w:eastAsia="Palatino Linotype" w:hAnsi="Palatino Linotype" w:cs="Palatino Linotype"/>
        </w:rPr>
        <w:t xml:space="preserve"> </w:t>
      </w:r>
      <w:r w:rsidRPr="00FF05AC">
        <w:rPr>
          <w:rStyle w:val="Ninguno"/>
          <w:rFonts w:ascii="Palatino Linotype" w:eastAsia="Palatino Linotype" w:hAnsi="Palatino Linotype" w:cs="Palatino Linotype"/>
          <w:b/>
        </w:rPr>
        <w:t xml:space="preserve">RECURRENTE </w:t>
      </w:r>
      <w:r w:rsidRPr="00FF05AC">
        <w:rPr>
          <w:rStyle w:val="Ninguno"/>
          <w:rFonts w:ascii="Palatino Linotype" w:eastAsia="Palatino Linotype" w:hAnsi="Palatino Linotype" w:cs="Palatino Linotype"/>
        </w:rPr>
        <w:t xml:space="preserve">interpuso el recurso de inconformidad, al que se le asignó el número de expediente </w:t>
      </w:r>
      <w:r w:rsidR="00091B0C" w:rsidRPr="00FF05AC">
        <w:rPr>
          <w:rStyle w:val="Ninguno"/>
          <w:rFonts w:ascii="Palatino Linotype" w:eastAsia="Palatino Linotype" w:hAnsi="Palatino Linotype" w:cs="Palatino Linotype"/>
          <w:b/>
        </w:rPr>
        <w:t xml:space="preserve">RIA </w:t>
      </w:r>
      <w:r w:rsidR="007F445E" w:rsidRPr="00FF05AC">
        <w:rPr>
          <w:rStyle w:val="Ninguno"/>
          <w:rFonts w:ascii="Palatino Linotype" w:eastAsia="Palatino Linotype" w:hAnsi="Palatino Linotype" w:cs="Palatino Linotype"/>
          <w:b/>
        </w:rPr>
        <w:t>126</w:t>
      </w:r>
      <w:r w:rsidRPr="00FF05AC">
        <w:rPr>
          <w:rStyle w:val="Ninguno"/>
          <w:rFonts w:ascii="Palatino Linotype" w:eastAsia="Palatino Linotype" w:hAnsi="Palatino Linotype" w:cs="Palatino Linotype"/>
          <w:b/>
        </w:rPr>
        <w:t>/2</w:t>
      </w:r>
      <w:r w:rsidR="00091B0C" w:rsidRPr="00FF05AC">
        <w:rPr>
          <w:rStyle w:val="Ninguno"/>
          <w:rFonts w:ascii="Palatino Linotype" w:eastAsia="Palatino Linotype" w:hAnsi="Palatino Linotype" w:cs="Palatino Linotype"/>
          <w:b/>
        </w:rPr>
        <w:t>1</w:t>
      </w:r>
      <w:r w:rsidRPr="00FF05AC">
        <w:rPr>
          <w:rStyle w:val="Ninguno"/>
          <w:rFonts w:ascii="Palatino Linotype" w:eastAsia="Palatino Linotype" w:hAnsi="Palatino Linotype" w:cs="Palatino Linotype"/>
        </w:rPr>
        <w:t>,</w:t>
      </w:r>
      <w:r w:rsidR="007F445E" w:rsidRPr="00FF05AC">
        <w:rPr>
          <w:rStyle w:val="Ninguno"/>
          <w:rFonts w:ascii="Palatino Linotype" w:eastAsia="Palatino Linotype" w:hAnsi="Palatino Linotype" w:cs="Palatino Linotype"/>
        </w:rPr>
        <w:t xml:space="preserve"> siendo turnado a la Comisionada Josefina Román Vergara</w:t>
      </w:r>
      <w:r w:rsidRPr="00FF05AC">
        <w:rPr>
          <w:rStyle w:val="Ninguno"/>
          <w:rFonts w:ascii="Palatino Linotype" w:eastAsia="Palatino Linotype" w:hAnsi="Palatino Linotype" w:cs="Palatino Linotype"/>
        </w:rPr>
        <w:t>.</w:t>
      </w:r>
    </w:p>
    <w:p w14:paraId="1662749A" w14:textId="77777777" w:rsidR="003B017D" w:rsidRPr="00FF05AC" w:rsidRDefault="003B017D" w:rsidP="003B017D">
      <w:pPr>
        <w:pStyle w:val="Prrafodelista"/>
        <w:tabs>
          <w:tab w:val="left" w:pos="567"/>
        </w:tabs>
        <w:spacing w:before="180" w:line="360" w:lineRule="auto"/>
        <w:ind w:left="0"/>
        <w:jc w:val="both"/>
        <w:rPr>
          <w:rStyle w:val="Ninguno"/>
          <w:rFonts w:ascii="Palatino Linotype" w:eastAsia="Palatino Linotype" w:hAnsi="Palatino Linotype" w:cs="Palatino Linotype"/>
          <w:b/>
          <w:sz w:val="28"/>
          <w:szCs w:val="28"/>
        </w:rPr>
      </w:pPr>
      <w:r w:rsidRPr="00FF05AC">
        <w:rPr>
          <w:rStyle w:val="Ninguno"/>
          <w:rFonts w:ascii="Palatino Linotype" w:eastAsia="Palatino Linotype" w:hAnsi="Palatino Linotype" w:cs="Palatino Linotype"/>
          <w:b/>
          <w:sz w:val="28"/>
          <w:szCs w:val="28"/>
        </w:rPr>
        <w:t>XI</w:t>
      </w:r>
      <w:r w:rsidR="00091B0C" w:rsidRPr="00FF05AC">
        <w:rPr>
          <w:rStyle w:val="Ninguno"/>
          <w:rFonts w:ascii="Palatino Linotype" w:eastAsia="Palatino Linotype" w:hAnsi="Palatino Linotype" w:cs="Palatino Linotype"/>
          <w:b/>
          <w:sz w:val="28"/>
          <w:szCs w:val="28"/>
        </w:rPr>
        <w:t>II</w:t>
      </w:r>
      <w:r w:rsidRPr="00FF05AC">
        <w:rPr>
          <w:rStyle w:val="Ninguno"/>
          <w:rFonts w:ascii="Palatino Linotype" w:eastAsia="Palatino Linotype" w:hAnsi="Palatino Linotype" w:cs="Palatino Linotype"/>
          <w:b/>
          <w:sz w:val="28"/>
          <w:szCs w:val="28"/>
        </w:rPr>
        <w:t>.</w:t>
      </w:r>
      <w:r w:rsidRPr="00FF05AC">
        <w:rPr>
          <w:rStyle w:val="Ninguno"/>
          <w:rFonts w:ascii="Palatino Linotype" w:eastAsia="Palatino Linotype" w:hAnsi="Palatino Linotype" w:cs="Palatino Linotype"/>
          <w:sz w:val="28"/>
          <w:szCs w:val="28"/>
        </w:rPr>
        <w:t xml:space="preserve"> </w:t>
      </w:r>
      <w:r w:rsidRPr="00FF05AC">
        <w:rPr>
          <w:rStyle w:val="Ninguno"/>
          <w:rFonts w:ascii="Palatino Linotype" w:eastAsia="Palatino Linotype" w:hAnsi="Palatino Linotype" w:cs="Palatino Linotype"/>
          <w:b/>
          <w:sz w:val="28"/>
          <w:szCs w:val="28"/>
        </w:rPr>
        <w:t>Resolución del Recurso de Inconformidad</w:t>
      </w:r>
    </w:p>
    <w:p w14:paraId="1662749B" w14:textId="6A643982" w:rsidR="003B017D" w:rsidRPr="00FF05AC" w:rsidRDefault="003B017D" w:rsidP="003B017D">
      <w:pPr>
        <w:pStyle w:val="Prrafodelista"/>
        <w:spacing w:after="120" w:line="360" w:lineRule="auto"/>
        <w:ind w:left="0"/>
        <w:jc w:val="both"/>
        <w:rPr>
          <w:rStyle w:val="Ninguno"/>
          <w:rFonts w:ascii="Palatino Linotype" w:eastAsia="Palatino Linotype" w:hAnsi="Palatino Linotype" w:cs="Palatino Linotype"/>
        </w:rPr>
      </w:pPr>
      <w:r w:rsidRPr="00FF05AC">
        <w:rPr>
          <w:rStyle w:val="Ninguno"/>
          <w:rFonts w:ascii="Palatino Linotype" w:eastAsia="Palatino Linotype" w:hAnsi="Palatino Linotype" w:cs="Palatino Linotype"/>
        </w:rPr>
        <w:t xml:space="preserve">En fecha </w:t>
      </w:r>
      <w:r w:rsidR="007F445E" w:rsidRPr="00FF05AC">
        <w:rPr>
          <w:rStyle w:val="Ninguno"/>
          <w:rFonts w:ascii="Palatino Linotype" w:eastAsia="Palatino Linotype" w:hAnsi="Palatino Linotype" w:cs="Palatino Linotype"/>
        </w:rPr>
        <w:t>cinco de mayo</w:t>
      </w:r>
      <w:r w:rsidR="00091B0C" w:rsidRPr="00FF05AC">
        <w:rPr>
          <w:rStyle w:val="Ninguno"/>
          <w:rFonts w:ascii="Palatino Linotype" w:eastAsia="Palatino Linotype" w:hAnsi="Palatino Linotype" w:cs="Palatino Linotype"/>
        </w:rPr>
        <w:t xml:space="preserve"> </w:t>
      </w:r>
      <w:r w:rsidRPr="00FF05AC">
        <w:rPr>
          <w:rStyle w:val="Ninguno"/>
          <w:rFonts w:ascii="Palatino Linotype" w:eastAsia="Palatino Linotype" w:hAnsi="Palatino Linotype" w:cs="Palatino Linotype"/>
        </w:rPr>
        <w:t xml:space="preserve">de dos mil veintiuno, el Comisionado Ponente sometió a la consideración del Pleno del </w:t>
      </w:r>
      <w:r w:rsidRPr="00FF05AC">
        <w:rPr>
          <w:rStyle w:val="Ninguno"/>
          <w:rFonts w:ascii="Palatino Linotype" w:eastAsia="Palatino Linotype" w:hAnsi="Palatino Linotype" w:cs="Palatino Linotype"/>
          <w:b/>
        </w:rPr>
        <w:t>Órgano Garante Nacional</w:t>
      </w:r>
      <w:r w:rsidRPr="00FF05AC">
        <w:rPr>
          <w:rStyle w:val="Ninguno"/>
          <w:rFonts w:ascii="Palatino Linotype" w:eastAsia="Palatino Linotype" w:hAnsi="Palatino Linotype" w:cs="Palatino Linotype"/>
        </w:rPr>
        <w:t xml:space="preserve">, el proyecto de resolución correspondiente, el cual fue aprobado por Unanimidad de sus integrantes, en los siguientes términos: </w:t>
      </w:r>
    </w:p>
    <w:p w14:paraId="562B4E9E" w14:textId="128FDBF5" w:rsidR="007F445E" w:rsidRPr="00FF05AC" w:rsidRDefault="007F445E" w:rsidP="007F445E">
      <w:pPr>
        <w:widowControl w:val="0"/>
        <w:autoSpaceDE w:val="0"/>
        <w:autoSpaceDN w:val="0"/>
        <w:adjustRightInd w:val="0"/>
        <w:ind w:left="851" w:right="899"/>
        <w:jc w:val="both"/>
        <w:rPr>
          <w:rFonts w:ascii="Palatino Linotype" w:hAnsi="Palatino Linotype"/>
          <w:b/>
          <w:i/>
          <w:color w:val="000000" w:themeColor="text1"/>
          <w:sz w:val="22"/>
          <w:szCs w:val="22"/>
          <w:lang w:eastAsia="es-ES_tradnl"/>
        </w:rPr>
      </w:pPr>
      <w:r w:rsidRPr="00FF05AC">
        <w:rPr>
          <w:rFonts w:ascii="Palatino Linotype" w:hAnsi="Palatino Linotype"/>
          <w:b/>
          <w:i/>
          <w:color w:val="000000" w:themeColor="text1"/>
          <w:sz w:val="22"/>
          <w:szCs w:val="22"/>
          <w:lang w:eastAsia="es-ES_tradnl"/>
        </w:rPr>
        <w:t xml:space="preserve">PRIMERO. Se REVOCA </w:t>
      </w:r>
      <w:r w:rsidRPr="00FF05AC">
        <w:rPr>
          <w:rFonts w:ascii="Palatino Linotype" w:hAnsi="Palatino Linotype"/>
          <w:i/>
          <w:color w:val="000000" w:themeColor="text1"/>
          <w:sz w:val="22"/>
          <w:szCs w:val="22"/>
          <w:lang w:eastAsia="es-ES_tradnl"/>
        </w:rPr>
        <w:t>la resolución emitida por el Instituto de Transparencia, Acceso a la Información Pública y Protección de Datos Personales del Estado de México y Municipios, de acuerdo con el considerando Cuarto de la presente resolución</w:t>
      </w:r>
      <w:r w:rsidRPr="00FF05AC">
        <w:rPr>
          <w:rFonts w:ascii="Palatino Linotype" w:hAnsi="Palatino Linotype"/>
          <w:b/>
          <w:i/>
          <w:color w:val="000000" w:themeColor="text1"/>
          <w:sz w:val="22"/>
          <w:szCs w:val="22"/>
          <w:lang w:eastAsia="es-ES_tradnl"/>
        </w:rPr>
        <w:t>.</w:t>
      </w:r>
    </w:p>
    <w:p w14:paraId="33F5F104" w14:textId="77777777" w:rsidR="007F445E" w:rsidRPr="00FF05AC" w:rsidRDefault="007F445E" w:rsidP="007F445E">
      <w:pPr>
        <w:widowControl w:val="0"/>
        <w:autoSpaceDE w:val="0"/>
        <w:autoSpaceDN w:val="0"/>
        <w:adjustRightInd w:val="0"/>
        <w:ind w:left="851" w:right="899"/>
        <w:jc w:val="both"/>
        <w:rPr>
          <w:rFonts w:ascii="Palatino Linotype" w:hAnsi="Palatino Linotype"/>
          <w:b/>
          <w:i/>
          <w:color w:val="000000" w:themeColor="text1"/>
          <w:sz w:val="22"/>
          <w:szCs w:val="22"/>
          <w:lang w:eastAsia="es-ES_tradnl"/>
        </w:rPr>
      </w:pPr>
    </w:p>
    <w:p w14:paraId="2171E31D" w14:textId="6650438B" w:rsidR="007F445E" w:rsidRPr="00FF05AC" w:rsidRDefault="007F445E" w:rsidP="007F445E">
      <w:pPr>
        <w:widowControl w:val="0"/>
        <w:autoSpaceDE w:val="0"/>
        <w:autoSpaceDN w:val="0"/>
        <w:adjustRightInd w:val="0"/>
        <w:ind w:left="851" w:right="899"/>
        <w:jc w:val="both"/>
        <w:rPr>
          <w:rFonts w:ascii="Palatino Linotype" w:hAnsi="Palatino Linotype"/>
          <w:b/>
          <w:i/>
          <w:color w:val="000000" w:themeColor="text1"/>
          <w:sz w:val="22"/>
          <w:szCs w:val="22"/>
          <w:lang w:eastAsia="es-ES_tradnl"/>
        </w:rPr>
      </w:pPr>
      <w:r w:rsidRPr="00FF05AC">
        <w:rPr>
          <w:rFonts w:ascii="Palatino Linotype" w:hAnsi="Palatino Linotype"/>
          <w:b/>
          <w:i/>
          <w:color w:val="000000" w:themeColor="text1"/>
          <w:sz w:val="22"/>
          <w:szCs w:val="22"/>
          <w:lang w:eastAsia="es-ES_tradnl"/>
        </w:rPr>
        <w:t>SEGUNDO. Se instruye</w:t>
      </w:r>
      <w:r w:rsidRPr="00FF05AC">
        <w:rPr>
          <w:rFonts w:ascii="Palatino Linotype" w:hAnsi="Palatino Linotype"/>
          <w:i/>
          <w:color w:val="000000" w:themeColor="text1"/>
          <w:sz w:val="22"/>
          <w:szCs w:val="22"/>
          <w:lang w:eastAsia="es-ES_tradnl"/>
        </w:rPr>
        <w:t xml:space="preserve"> al Instituto de Transparencia, Acceso a la Información Pública y Protección de Datos Personales del Estado de México y Municipios para que cumpla con lo ordenado en la presente resolución, en los siguientes términos:</w:t>
      </w:r>
    </w:p>
    <w:p w14:paraId="303C191E" w14:textId="77777777" w:rsidR="007F445E" w:rsidRPr="00FF05AC" w:rsidRDefault="007F445E" w:rsidP="007F445E">
      <w:pPr>
        <w:widowControl w:val="0"/>
        <w:autoSpaceDE w:val="0"/>
        <w:autoSpaceDN w:val="0"/>
        <w:adjustRightInd w:val="0"/>
        <w:ind w:left="851" w:right="899"/>
        <w:jc w:val="both"/>
        <w:rPr>
          <w:rFonts w:ascii="Palatino Linotype" w:hAnsi="Palatino Linotype"/>
          <w:b/>
          <w:i/>
          <w:color w:val="000000" w:themeColor="text1"/>
          <w:sz w:val="22"/>
          <w:szCs w:val="22"/>
          <w:lang w:eastAsia="es-ES_tradnl"/>
        </w:rPr>
      </w:pPr>
    </w:p>
    <w:p w14:paraId="2922930C" w14:textId="77777777" w:rsidR="007F445E" w:rsidRPr="00FF05AC" w:rsidRDefault="007F445E" w:rsidP="007F445E">
      <w:pPr>
        <w:widowControl w:val="0"/>
        <w:autoSpaceDE w:val="0"/>
        <w:autoSpaceDN w:val="0"/>
        <w:adjustRightInd w:val="0"/>
        <w:ind w:left="851" w:right="899"/>
        <w:jc w:val="both"/>
        <w:rPr>
          <w:rFonts w:ascii="Palatino Linotype" w:hAnsi="Palatino Linotype"/>
          <w:b/>
          <w:i/>
          <w:color w:val="000000" w:themeColor="text1"/>
          <w:sz w:val="22"/>
          <w:szCs w:val="22"/>
          <w:lang w:eastAsia="es-ES_tradnl"/>
        </w:rPr>
      </w:pPr>
      <w:r w:rsidRPr="00FF05AC">
        <w:rPr>
          <w:rFonts w:ascii="Palatino Linotype" w:hAnsi="Palatino Linotype"/>
          <w:b/>
          <w:i/>
          <w:color w:val="000000" w:themeColor="text1"/>
          <w:sz w:val="22"/>
          <w:szCs w:val="22"/>
          <w:lang w:eastAsia="es-ES_tradnl"/>
        </w:rPr>
        <w:t>a) Emita una nueva resolución en la que instruya al Tribunal de Justicia</w:t>
      </w:r>
    </w:p>
    <w:p w14:paraId="54E3AB32" w14:textId="3CC9B01E" w:rsidR="007F445E" w:rsidRPr="00FF05AC" w:rsidRDefault="007F445E" w:rsidP="007F445E">
      <w:pPr>
        <w:widowControl w:val="0"/>
        <w:autoSpaceDE w:val="0"/>
        <w:autoSpaceDN w:val="0"/>
        <w:adjustRightInd w:val="0"/>
        <w:ind w:left="851" w:right="899"/>
        <w:jc w:val="both"/>
        <w:rPr>
          <w:rFonts w:ascii="Palatino Linotype" w:hAnsi="Palatino Linotype"/>
          <w:b/>
          <w:i/>
          <w:color w:val="000000" w:themeColor="text1"/>
          <w:sz w:val="22"/>
          <w:szCs w:val="22"/>
          <w:lang w:eastAsia="es-ES_tradnl"/>
        </w:rPr>
      </w:pPr>
      <w:r w:rsidRPr="00FF05AC">
        <w:rPr>
          <w:rFonts w:ascii="Palatino Linotype" w:hAnsi="Palatino Linotype"/>
          <w:b/>
          <w:i/>
          <w:color w:val="000000" w:themeColor="text1"/>
          <w:sz w:val="22"/>
          <w:szCs w:val="22"/>
          <w:lang w:eastAsia="es-ES_tradnl"/>
        </w:rPr>
        <w:t xml:space="preserve">Administrativa del Estado de México a que entregue al particular respecto del juicio contencioso administrativo </w:t>
      </w:r>
      <w:r w:rsidR="00CF5B5E">
        <w:rPr>
          <w:rFonts w:ascii="Palatino Linotype" w:hAnsi="Palatino Linotype"/>
          <w:b/>
          <w:i/>
          <w:color w:val="000000" w:themeColor="text1"/>
          <w:sz w:val="22"/>
          <w:szCs w:val="22"/>
          <w:lang w:eastAsia="es-ES_tradnl"/>
        </w:rPr>
        <w:t>XXXXXXXX</w:t>
      </w:r>
      <w:r w:rsidRPr="00FF05AC">
        <w:rPr>
          <w:rFonts w:ascii="Palatino Linotype" w:hAnsi="Palatino Linotype"/>
          <w:b/>
          <w:i/>
          <w:color w:val="000000" w:themeColor="text1"/>
          <w:sz w:val="22"/>
          <w:szCs w:val="22"/>
          <w:lang w:eastAsia="es-ES_tradnl"/>
        </w:rPr>
        <w:t xml:space="preserve"> del índice de la Sexta Sala Regional del Tribunal de Justicia Administrativa del Estado de México y promovido por una persona moral en contra del Director de Desarrollo Urbano del Municipio de Atizapán de Zaragoza, la versión pública del (i) escrito inicial de demanda, (ii) los documentos anexos como prueba y de (iii) la sentencia de 28 de agosto de 2017 que resolvió el asunto, en las que podrá testar firmas de particulares, el nombre, domicilio y la ubicación, medidas y/o dimensiones, así como denominación del fraccionamiento, relativos a la personal moral que promovió el juicio, con fundamento en el artículo 143, fracción I, de la Ley Transparencia y Acceso a la Información Pública del Estado de México y Municipios, así como cualquier otro dato, que actualice su confidencialidad en términos del numeral citado.</w:t>
      </w:r>
    </w:p>
    <w:p w14:paraId="046EA37B" w14:textId="77777777" w:rsidR="007F445E" w:rsidRPr="00FF05AC" w:rsidRDefault="007F445E" w:rsidP="007F445E">
      <w:pPr>
        <w:widowControl w:val="0"/>
        <w:autoSpaceDE w:val="0"/>
        <w:autoSpaceDN w:val="0"/>
        <w:adjustRightInd w:val="0"/>
        <w:ind w:left="851" w:right="899"/>
        <w:jc w:val="both"/>
        <w:rPr>
          <w:rFonts w:ascii="Palatino Linotype" w:hAnsi="Palatino Linotype"/>
          <w:b/>
          <w:i/>
          <w:color w:val="000000" w:themeColor="text1"/>
          <w:sz w:val="22"/>
          <w:szCs w:val="22"/>
          <w:lang w:eastAsia="es-ES_tradnl"/>
        </w:rPr>
      </w:pPr>
    </w:p>
    <w:p w14:paraId="1339B004" w14:textId="4FEF6FE2" w:rsidR="007F445E" w:rsidRPr="00FF05AC" w:rsidRDefault="007F445E" w:rsidP="007F445E">
      <w:pPr>
        <w:widowControl w:val="0"/>
        <w:autoSpaceDE w:val="0"/>
        <w:autoSpaceDN w:val="0"/>
        <w:adjustRightInd w:val="0"/>
        <w:ind w:left="851" w:right="899"/>
        <w:jc w:val="both"/>
        <w:rPr>
          <w:rFonts w:ascii="Palatino Linotype" w:hAnsi="Palatino Linotype"/>
          <w:b/>
          <w:i/>
          <w:color w:val="000000" w:themeColor="text1"/>
          <w:sz w:val="22"/>
          <w:szCs w:val="22"/>
          <w:lang w:eastAsia="es-ES_tradnl"/>
        </w:rPr>
      </w:pPr>
      <w:r w:rsidRPr="00FF05AC">
        <w:rPr>
          <w:rFonts w:ascii="Palatino Linotype" w:hAnsi="Palatino Linotype"/>
          <w:b/>
          <w:i/>
          <w:color w:val="000000" w:themeColor="text1"/>
          <w:sz w:val="22"/>
          <w:szCs w:val="22"/>
          <w:lang w:eastAsia="es-ES_tradnl"/>
        </w:rPr>
        <w:t>b) Se instruya al sujeto obligado a que emita a través de su Comité de Transparencia una resolución o acuerdo, debidamente fundado y motivado, mediante el cual se confirme la clasificación de los datos confidenciales conforme al inciso anterior se aprueben las versiones públicas correspondientes lo cual deberá proporcionarlo al particular.</w:t>
      </w:r>
    </w:p>
    <w:p w14:paraId="5150F008" w14:textId="2DC12798" w:rsidR="007F445E" w:rsidRPr="00FF05AC" w:rsidRDefault="007F445E" w:rsidP="007F445E">
      <w:pPr>
        <w:widowControl w:val="0"/>
        <w:autoSpaceDE w:val="0"/>
        <w:autoSpaceDN w:val="0"/>
        <w:adjustRightInd w:val="0"/>
        <w:ind w:left="851" w:right="899"/>
        <w:jc w:val="both"/>
        <w:rPr>
          <w:rFonts w:ascii="Palatino Linotype" w:hAnsi="Palatino Linotype"/>
          <w:b/>
          <w:i/>
          <w:color w:val="000000" w:themeColor="text1"/>
          <w:sz w:val="22"/>
          <w:szCs w:val="22"/>
          <w:lang w:eastAsia="es-ES_tradnl"/>
        </w:rPr>
      </w:pPr>
      <w:r w:rsidRPr="00FF05AC">
        <w:rPr>
          <w:rFonts w:ascii="Palatino Linotype" w:hAnsi="Palatino Linotype"/>
          <w:b/>
          <w:i/>
          <w:color w:val="000000" w:themeColor="text1"/>
          <w:sz w:val="22"/>
          <w:szCs w:val="22"/>
          <w:lang w:eastAsia="es-ES_tradnl"/>
        </w:rPr>
        <w:t xml:space="preserve">c) En virtud de que el particular señaló como modalidad de entrega a través del Sistema de Acceso a la Información Mexiquense, se instruya al sujeto obligado a que le proporcione de manera electrónica en la dirección señalada para tal efecto, la sentencia de 28 de agosto de 2017 que resolvió el asunto, al ser una obligación de transparencia, y ponga a su disposición el escrito inicial de demanda y los documentos anexos como prueba en el juicio contencioso administrativo </w:t>
      </w:r>
      <w:r w:rsidR="00CF5B5E">
        <w:rPr>
          <w:rFonts w:ascii="Palatino Linotype" w:hAnsi="Palatino Linotype"/>
          <w:b/>
          <w:i/>
          <w:color w:val="000000" w:themeColor="text1"/>
          <w:sz w:val="22"/>
          <w:szCs w:val="22"/>
          <w:lang w:eastAsia="es-ES_tradnl"/>
        </w:rPr>
        <w:t>XXXXXXXX</w:t>
      </w:r>
      <w:r w:rsidRPr="00FF05AC">
        <w:rPr>
          <w:rFonts w:ascii="Palatino Linotype" w:hAnsi="Palatino Linotype"/>
          <w:b/>
          <w:i/>
          <w:color w:val="000000" w:themeColor="text1"/>
          <w:sz w:val="22"/>
          <w:szCs w:val="22"/>
          <w:lang w:eastAsia="es-ES_tradnl"/>
        </w:rPr>
        <w:t>, mediante consulta directa, copia simple o copia certificada, informando los costos de reproducción y, de envío en su caso, así como de las gratuidad de las primeras veinte hojas.</w:t>
      </w:r>
    </w:p>
    <w:p w14:paraId="4002AF82" w14:textId="77777777" w:rsidR="007F445E" w:rsidRPr="00FF05AC" w:rsidRDefault="007F445E" w:rsidP="007F445E">
      <w:pPr>
        <w:widowControl w:val="0"/>
        <w:autoSpaceDE w:val="0"/>
        <w:autoSpaceDN w:val="0"/>
        <w:adjustRightInd w:val="0"/>
        <w:ind w:left="851" w:right="899"/>
        <w:jc w:val="both"/>
        <w:rPr>
          <w:rFonts w:ascii="Palatino Linotype" w:hAnsi="Palatino Linotype"/>
          <w:b/>
          <w:i/>
          <w:color w:val="000000" w:themeColor="text1"/>
          <w:sz w:val="22"/>
          <w:szCs w:val="22"/>
          <w:lang w:eastAsia="es-ES_tradnl"/>
        </w:rPr>
      </w:pPr>
    </w:p>
    <w:p w14:paraId="24AB793B" w14:textId="3B1F916B" w:rsidR="007F445E" w:rsidRPr="00FF05AC" w:rsidRDefault="007F445E" w:rsidP="007F445E">
      <w:pPr>
        <w:widowControl w:val="0"/>
        <w:autoSpaceDE w:val="0"/>
        <w:autoSpaceDN w:val="0"/>
        <w:adjustRightInd w:val="0"/>
        <w:ind w:left="851" w:right="899"/>
        <w:jc w:val="both"/>
        <w:rPr>
          <w:rFonts w:ascii="Palatino Linotype" w:hAnsi="Palatino Linotype"/>
          <w:i/>
          <w:color w:val="000000" w:themeColor="text1"/>
          <w:sz w:val="22"/>
          <w:szCs w:val="22"/>
          <w:lang w:eastAsia="es-ES_tradnl"/>
        </w:rPr>
      </w:pPr>
      <w:r w:rsidRPr="00FF05AC">
        <w:rPr>
          <w:rFonts w:ascii="Palatino Linotype" w:hAnsi="Palatino Linotype"/>
          <w:b/>
          <w:i/>
          <w:color w:val="000000" w:themeColor="text1"/>
          <w:sz w:val="22"/>
          <w:szCs w:val="22"/>
          <w:lang w:eastAsia="es-ES_tradnl"/>
        </w:rPr>
        <w:t xml:space="preserve">TERCERO. </w:t>
      </w:r>
      <w:r w:rsidRPr="00FF05AC">
        <w:rPr>
          <w:rFonts w:ascii="Palatino Linotype" w:hAnsi="Palatino Linotype"/>
          <w:i/>
          <w:color w:val="000000" w:themeColor="text1"/>
          <w:sz w:val="22"/>
          <w:szCs w:val="22"/>
          <w:lang w:eastAsia="es-ES_tradnl"/>
        </w:rPr>
        <w:t>Con fundamento en el artículo 172 de la Ley General de Transparencia y Acceso a la Información Pública, el órgano garante local, contará con un plazo máximo de quince días hábiles, contados a partir del día hábil siguiente al de su notificación, para dar cumplimiento al presente recurso de inconformidad.</w:t>
      </w:r>
    </w:p>
    <w:p w14:paraId="203D3795" w14:textId="19CA7172" w:rsidR="007F445E" w:rsidRPr="00FF05AC" w:rsidRDefault="007F445E" w:rsidP="005353EB">
      <w:pPr>
        <w:widowControl w:val="0"/>
        <w:autoSpaceDE w:val="0"/>
        <w:autoSpaceDN w:val="0"/>
        <w:adjustRightInd w:val="0"/>
        <w:ind w:left="851" w:right="899"/>
        <w:jc w:val="both"/>
        <w:rPr>
          <w:rFonts w:ascii="Palatino Linotype" w:hAnsi="Palatino Linotype"/>
          <w:i/>
          <w:color w:val="000000" w:themeColor="text1"/>
          <w:sz w:val="22"/>
          <w:szCs w:val="22"/>
          <w:lang w:eastAsia="es-ES_tradnl"/>
        </w:rPr>
      </w:pPr>
      <w:r w:rsidRPr="00FF05AC">
        <w:rPr>
          <w:rFonts w:ascii="Palatino Linotype" w:hAnsi="Palatino Linotype"/>
          <w:i/>
          <w:color w:val="000000" w:themeColor="text1"/>
          <w:sz w:val="22"/>
          <w:szCs w:val="22"/>
          <w:lang w:eastAsia="es-ES_tradnl"/>
        </w:rPr>
        <w:t>En términos del artículo 173 de la Ley General</w:t>
      </w:r>
      <w:r w:rsidR="005353EB" w:rsidRPr="00FF05AC">
        <w:rPr>
          <w:rFonts w:ascii="Palatino Linotype" w:hAnsi="Palatino Linotype"/>
          <w:i/>
          <w:color w:val="000000" w:themeColor="text1"/>
          <w:sz w:val="22"/>
          <w:szCs w:val="22"/>
          <w:lang w:eastAsia="es-ES_tradnl"/>
        </w:rPr>
        <w:t xml:space="preserve"> de Transparencia y Acceso a la </w:t>
      </w:r>
      <w:r w:rsidRPr="00FF05AC">
        <w:rPr>
          <w:rFonts w:ascii="Palatino Linotype" w:hAnsi="Palatino Linotype"/>
          <w:i/>
          <w:color w:val="000000" w:themeColor="text1"/>
          <w:sz w:val="22"/>
          <w:szCs w:val="22"/>
          <w:lang w:eastAsia="es-ES_tradnl"/>
        </w:rPr>
        <w:t xml:space="preserve">Información Pública, el Organismo Garante Local deberá </w:t>
      </w:r>
      <w:r w:rsidR="005353EB" w:rsidRPr="00FF05AC">
        <w:rPr>
          <w:rFonts w:ascii="Palatino Linotype" w:hAnsi="Palatino Linotype"/>
          <w:i/>
          <w:color w:val="000000" w:themeColor="text1"/>
          <w:sz w:val="22"/>
          <w:szCs w:val="22"/>
          <w:lang w:eastAsia="es-ES_tradnl"/>
        </w:rPr>
        <w:t xml:space="preserve">informar a este Instituto sobre </w:t>
      </w:r>
      <w:r w:rsidRPr="00FF05AC">
        <w:rPr>
          <w:rFonts w:ascii="Palatino Linotype" w:hAnsi="Palatino Linotype"/>
          <w:i/>
          <w:color w:val="000000" w:themeColor="text1"/>
          <w:sz w:val="22"/>
          <w:szCs w:val="22"/>
          <w:lang w:eastAsia="es-ES_tradnl"/>
        </w:rPr>
        <w:t>el cumplimiento de esta resolución.</w:t>
      </w:r>
    </w:p>
    <w:p w14:paraId="066EF0DE" w14:textId="77777777" w:rsidR="005353EB" w:rsidRPr="00FF05AC" w:rsidRDefault="005353EB" w:rsidP="005353EB">
      <w:pPr>
        <w:widowControl w:val="0"/>
        <w:autoSpaceDE w:val="0"/>
        <w:autoSpaceDN w:val="0"/>
        <w:adjustRightInd w:val="0"/>
        <w:ind w:left="851" w:right="899"/>
        <w:jc w:val="both"/>
        <w:rPr>
          <w:rFonts w:ascii="Palatino Linotype" w:hAnsi="Palatino Linotype"/>
          <w:b/>
          <w:i/>
          <w:color w:val="000000" w:themeColor="text1"/>
          <w:sz w:val="22"/>
          <w:szCs w:val="22"/>
          <w:lang w:eastAsia="es-ES_tradnl"/>
        </w:rPr>
      </w:pPr>
    </w:p>
    <w:p w14:paraId="338A2639" w14:textId="391ED009" w:rsidR="007F445E" w:rsidRPr="00FF05AC" w:rsidRDefault="007F445E" w:rsidP="007F445E">
      <w:pPr>
        <w:widowControl w:val="0"/>
        <w:autoSpaceDE w:val="0"/>
        <w:autoSpaceDN w:val="0"/>
        <w:adjustRightInd w:val="0"/>
        <w:ind w:left="851" w:right="899"/>
        <w:jc w:val="both"/>
        <w:rPr>
          <w:rFonts w:ascii="Palatino Linotype" w:hAnsi="Palatino Linotype"/>
          <w:b/>
          <w:i/>
          <w:color w:val="000000" w:themeColor="text1"/>
          <w:sz w:val="22"/>
          <w:szCs w:val="22"/>
          <w:lang w:eastAsia="es-ES_tradnl"/>
        </w:rPr>
      </w:pPr>
      <w:r w:rsidRPr="00FF05AC">
        <w:rPr>
          <w:rFonts w:ascii="Palatino Linotype" w:hAnsi="Palatino Linotype"/>
          <w:b/>
          <w:i/>
          <w:color w:val="000000" w:themeColor="text1"/>
          <w:sz w:val="22"/>
          <w:szCs w:val="22"/>
          <w:lang w:eastAsia="es-ES_tradnl"/>
        </w:rPr>
        <w:t xml:space="preserve">CUARTO. </w:t>
      </w:r>
      <w:r w:rsidRPr="00FF05AC">
        <w:rPr>
          <w:rFonts w:ascii="Palatino Linotype" w:hAnsi="Palatino Linotype"/>
          <w:i/>
          <w:color w:val="000000" w:themeColor="text1"/>
          <w:sz w:val="22"/>
          <w:szCs w:val="22"/>
          <w:lang w:eastAsia="es-ES_tradnl"/>
        </w:rPr>
        <w:t>Se instruye a la Secretaría Técnica del Pleno, para que, a través de la Dirección</w:t>
      </w:r>
      <w:r w:rsidR="005353EB" w:rsidRPr="00FF05AC">
        <w:rPr>
          <w:rFonts w:ascii="Palatino Linotype" w:hAnsi="Palatino Linotype"/>
          <w:i/>
          <w:color w:val="000000" w:themeColor="text1"/>
          <w:sz w:val="22"/>
          <w:szCs w:val="22"/>
          <w:lang w:eastAsia="es-ES_tradnl"/>
        </w:rPr>
        <w:t xml:space="preserve"> </w:t>
      </w:r>
      <w:r w:rsidRPr="00FF05AC">
        <w:rPr>
          <w:rFonts w:ascii="Palatino Linotype" w:hAnsi="Palatino Linotype"/>
          <w:i/>
          <w:color w:val="000000" w:themeColor="text1"/>
          <w:sz w:val="22"/>
          <w:szCs w:val="22"/>
          <w:lang w:eastAsia="es-ES_tradnl"/>
        </w:rPr>
        <w:t>General de Cumplimientos y Responsabilidades de este Instituto, verifique que se cumpla</w:t>
      </w:r>
      <w:r w:rsidR="005353EB" w:rsidRPr="00FF05AC">
        <w:rPr>
          <w:rFonts w:ascii="Palatino Linotype" w:hAnsi="Palatino Linotype"/>
          <w:i/>
          <w:color w:val="000000" w:themeColor="text1"/>
          <w:sz w:val="22"/>
          <w:szCs w:val="22"/>
          <w:lang w:eastAsia="es-ES_tradnl"/>
        </w:rPr>
        <w:t xml:space="preserve"> </w:t>
      </w:r>
      <w:r w:rsidRPr="00FF05AC">
        <w:rPr>
          <w:rFonts w:ascii="Palatino Linotype" w:hAnsi="Palatino Linotype"/>
          <w:i/>
          <w:color w:val="000000" w:themeColor="text1"/>
          <w:sz w:val="22"/>
          <w:szCs w:val="22"/>
          <w:lang w:eastAsia="es-ES_tradnl"/>
        </w:rPr>
        <w:t>la presente resolución y dé el seguimiento que corresponda, con fundamento en los</w:t>
      </w:r>
      <w:r w:rsidR="005353EB" w:rsidRPr="00FF05AC">
        <w:rPr>
          <w:rFonts w:ascii="Palatino Linotype" w:hAnsi="Palatino Linotype"/>
          <w:i/>
          <w:color w:val="000000" w:themeColor="text1"/>
          <w:sz w:val="22"/>
          <w:szCs w:val="22"/>
          <w:lang w:eastAsia="es-ES_tradnl"/>
        </w:rPr>
        <w:t xml:space="preserve"> </w:t>
      </w:r>
      <w:r w:rsidRPr="00FF05AC">
        <w:rPr>
          <w:rFonts w:ascii="Palatino Linotype" w:hAnsi="Palatino Linotype"/>
          <w:i/>
          <w:color w:val="000000" w:themeColor="text1"/>
          <w:sz w:val="22"/>
          <w:szCs w:val="22"/>
          <w:lang w:eastAsia="es-ES_tradnl"/>
        </w:rPr>
        <w:t>artículos 41, fracción XI, 170, último párrafo, 196, 197 y 198 de la Ley General de</w:t>
      </w:r>
      <w:r w:rsidR="005353EB" w:rsidRPr="00FF05AC">
        <w:rPr>
          <w:rFonts w:ascii="Palatino Linotype" w:hAnsi="Palatino Linotype"/>
          <w:i/>
          <w:color w:val="000000" w:themeColor="text1"/>
          <w:sz w:val="22"/>
          <w:szCs w:val="22"/>
          <w:lang w:eastAsia="es-ES_tradnl"/>
        </w:rPr>
        <w:t xml:space="preserve"> </w:t>
      </w:r>
      <w:r w:rsidRPr="00FF05AC">
        <w:rPr>
          <w:rFonts w:ascii="Palatino Linotype" w:hAnsi="Palatino Linotype"/>
          <w:i/>
          <w:color w:val="000000" w:themeColor="text1"/>
          <w:sz w:val="22"/>
          <w:szCs w:val="22"/>
          <w:lang w:eastAsia="es-ES_tradnl"/>
        </w:rPr>
        <w:t>Transparencia y Acceso a la Información Pública.</w:t>
      </w:r>
    </w:p>
    <w:p w14:paraId="6E1FB026" w14:textId="77777777" w:rsidR="005353EB" w:rsidRPr="00FF05AC" w:rsidRDefault="005353EB" w:rsidP="007F445E">
      <w:pPr>
        <w:widowControl w:val="0"/>
        <w:autoSpaceDE w:val="0"/>
        <w:autoSpaceDN w:val="0"/>
        <w:adjustRightInd w:val="0"/>
        <w:ind w:left="851" w:right="899"/>
        <w:jc w:val="both"/>
        <w:rPr>
          <w:rFonts w:ascii="Palatino Linotype" w:hAnsi="Palatino Linotype"/>
          <w:b/>
          <w:i/>
          <w:color w:val="000000" w:themeColor="text1"/>
          <w:sz w:val="22"/>
          <w:szCs w:val="22"/>
          <w:lang w:eastAsia="es-ES_tradnl"/>
        </w:rPr>
      </w:pPr>
    </w:p>
    <w:p w14:paraId="432256F6" w14:textId="42946E18" w:rsidR="007F445E" w:rsidRPr="00FF05AC" w:rsidRDefault="007F445E" w:rsidP="007F445E">
      <w:pPr>
        <w:widowControl w:val="0"/>
        <w:autoSpaceDE w:val="0"/>
        <w:autoSpaceDN w:val="0"/>
        <w:adjustRightInd w:val="0"/>
        <w:ind w:left="851" w:right="899"/>
        <w:jc w:val="both"/>
        <w:rPr>
          <w:rFonts w:ascii="Palatino Linotype" w:hAnsi="Palatino Linotype"/>
          <w:b/>
          <w:i/>
          <w:color w:val="000000" w:themeColor="text1"/>
          <w:sz w:val="22"/>
          <w:szCs w:val="22"/>
          <w:lang w:eastAsia="es-ES_tradnl"/>
        </w:rPr>
      </w:pPr>
      <w:r w:rsidRPr="00FF05AC">
        <w:rPr>
          <w:rFonts w:ascii="Palatino Linotype" w:hAnsi="Palatino Linotype"/>
          <w:b/>
          <w:i/>
          <w:color w:val="000000" w:themeColor="text1"/>
          <w:sz w:val="22"/>
          <w:szCs w:val="22"/>
          <w:lang w:eastAsia="es-ES_tradnl"/>
        </w:rPr>
        <w:t xml:space="preserve">QUINTO. </w:t>
      </w:r>
      <w:r w:rsidRPr="00FF05AC">
        <w:rPr>
          <w:rFonts w:ascii="Palatino Linotype" w:hAnsi="Palatino Linotype"/>
          <w:i/>
          <w:color w:val="000000" w:themeColor="text1"/>
          <w:sz w:val="22"/>
          <w:szCs w:val="22"/>
          <w:lang w:eastAsia="es-ES_tradnl"/>
        </w:rPr>
        <w:t>Se hace del conocimiento de la parte recurrente que, en caso de encontrarse</w:t>
      </w:r>
      <w:r w:rsidR="005353EB" w:rsidRPr="00FF05AC">
        <w:rPr>
          <w:rFonts w:ascii="Palatino Linotype" w:hAnsi="Palatino Linotype"/>
          <w:i/>
          <w:color w:val="000000" w:themeColor="text1"/>
          <w:sz w:val="22"/>
          <w:szCs w:val="22"/>
          <w:lang w:eastAsia="es-ES_tradnl"/>
        </w:rPr>
        <w:t xml:space="preserve"> </w:t>
      </w:r>
      <w:r w:rsidRPr="00FF05AC">
        <w:rPr>
          <w:rFonts w:ascii="Palatino Linotype" w:hAnsi="Palatino Linotype"/>
          <w:i/>
          <w:color w:val="000000" w:themeColor="text1"/>
          <w:sz w:val="22"/>
          <w:szCs w:val="22"/>
          <w:lang w:eastAsia="es-ES_tradnl"/>
        </w:rPr>
        <w:t>insatisfecha con la presente resolución, le asiste el derecho de impugnarla ante el Poder</w:t>
      </w:r>
      <w:r w:rsidR="005353EB" w:rsidRPr="00FF05AC">
        <w:rPr>
          <w:rFonts w:ascii="Palatino Linotype" w:hAnsi="Palatino Linotype"/>
          <w:i/>
          <w:color w:val="000000" w:themeColor="text1"/>
          <w:sz w:val="22"/>
          <w:szCs w:val="22"/>
          <w:lang w:eastAsia="es-ES_tradnl"/>
        </w:rPr>
        <w:t xml:space="preserve"> </w:t>
      </w:r>
      <w:r w:rsidRPr="00FF05AC">
        <w:rPr>
          <w:rFonts w:ascii="Palatino Linotype" w:hAnsi="Palatino Linotype"/>
          <w:i/>
          <w:color w:val="000000" w:themeColor="text1"/>
          <w:sz w:val="22"/>
          <w:szCs w:val="22"/>
          <w:lang w:eastAsia="es-ES_tradnl"/>
        </w:rPr>
        <w:t>Judicial de la Federación.</w:t>
      </w:r>
    </w:p>
    <w:p w14:paraId="535056CD" w14:textId="77777777" w:rsidR="005353EB" w:rsidRPr="00FF05AC" w:rsidRDefault="005353EB" w:rsidP="007F445E">
      <w:pPr>
        <w:widowControl w:val="0"/>
        <w:autoSpaceDE w:val="0"/>
        <w:autoSpaceDN w:val="0"/>
        <w:adjustRightInd w:val="0"/>
        <w:ind w:left="851" w:right="899"/>
        <w:jc w:val="both"/>
        <w:rPr>
          <w:rFonts w:ascii="Palatino Linotype" w:hAnsi="Palatino Linotype"/>
          <w:b/>
          <w:i/>
          <w:color w:val="000000" w:themeColor="text1"/>
          <w:sz w:val="22"/>
          <w:szCs w:val="22"/>
          <w:lang w:eastAsia="es-ES_tradnl"/>
        </w:rPr>
      </w:pPr>
    </w:p>
    <w:p w14:paraId="166274AC" w14:textId="4CBAA730" w:rsidR="003B017D" w:rsidRPr="00FF05AC" w:rsidRDefault="007F445E" w:rsidP="007F445E">
      <w:pPr>
        <w:widowControl w:val="0"/>
        <w:autoSpaceDE w:val="0"/>
        <w:autoSpaceDN w:val="0"/>
        <w:adjustRightInd w:val="0"/>
        <w:ind w:left="851" w:right="899"/>
        <w:jc w:val="both"/>
        <w:rPr>
          <w:rFonts w:ascii="Palatino Linotype" w:hAnsi="Palatino Linotype"/>
          <w:i/>
          <w:color w:val="000000" w:themeColor="text1"/>
          <w:sz w:val="22"/>
          <w:szCs w:val="22"/>
          <w:lang w:eastAsia="es-ES_tradnl"/>
        </w:rPr>
      </w:pPr>
      <w:r w:rsidRPr="00FF05AC">
        <w:rPr>
          <w:rFonts w:ascii="Palatino Linotype" w:hAnsi="Palatino Linotype"/>
          <w:b/>
          <w:i/>
          <w:color w:val="000000" w:themeColor="text1"/>
          <w:sz w:val="22"/>
          <w:szCs w:val="22"/>
          <w:lang w:eastAsia="es-ES_tradnl"/>
        </w:rPr>
        <w:t>SEXTO</w:t>
      </w:r>
      <w:r w:rsidRPr="00FF05AC">
        <w:rPr>
          <w:rFonts w:ascii="Palatino Linotype" w:hAnsi="Palatino Linotype"/>
          <w:i/>
          <w:color w:val="000000" w:themeColor="text1"/>
          <w:sz w:val="22"/>
          <w:szCs w:val="22"/>
          <w:lang w:eastAsia="es-ES_tradnl"/>
        </w:rPr>
        <w:t>. Notifíquese la presente resolución a la parte recurrente a través del medio</w:t>
      </w:r>
      <w:r w:rsidR="005353EB" w:rsidRPr="00FF05AC">
        <w:rPr>
          <w:rFonts w:ascii="Palatino Linotype" w:hAnsi="Palatino Linotype"/>
          <w:i/>
          <w:color w:val="000000" w:themeColor="text1"/>
          <w:sz w:val="22"/>
          <w:szCs w:val="22"/>
          <w:lang w:eastAsia="es-ES_tradnl"/>
        </w:rPr>
        <w:t xml:space="preserve"> </w:t>
      </w:r>
      <w:r w:rsidRPr="00FF05AC">
        <w:rPr>
          <w:rFonts w:ascii="Palatino Linotype" w:hAnsi="Palatino Linotype"/>
          <w:i/>
          <w:color w:val="000000" w:themeColor="text1"/>
          <w:sz w:val="22"/>
          <w:szCs w:val="22"/>
          <w:lang w:eastAsia="es-ES_tradnl"/>
        </w:rPr>
        <w:t>señalado para tales efectos y al órgano garante local</w:t>
      </w:r>
      <w:r w:rsidR="005353EB" w:rsidRPr="00FF05AC">
        <w:rPr>
          <w:rFonts w:ascii="Palatino Linotype" w:hAnsi="Palatino Linotype"/>
          <w:i/>
          <w:color w:val="000000" w:themeColor="text1"/>
          <w:sz w:val="22"/>
          <w:szCs w:val="22"/>
          <w:lang w:eastAsia="es-ES_tradnl"/>
        </w:rPr>
        <w:t>.</w:t>
      </w:r>
    </w:p>
    <w:p w14:paraId="55522DFA" w14:textId="77777777" w:rsidR="005353EB" w:rsidRPr="00FF05AC" w:rsidRDefault="005353EB" w:rsidP="007F445E">
      <w:pPr>
        <w:widowControl w:val="0"/>
        <w:autoSpaceDE w:val="0"/>
        <w:autoSpaceDN w:val="0"/>
        <w:adjustRightInd w:val="0"/>
        <w:ind w:left="851" w:right="899"/>
        <w:jc w:val="both"/>
        <w:rPr>
          <w:rFonts w:ascii="Palatino Linotype" w:hAnsi="Palatino Linotype"/>
          <w:b/>
          <w:i/>
          <w:color w:val="000000" w:themeColor="text1"/>
          <w:sz w:val="22"/>
          <w:szCs w:val="22"/>
          <w:lang w:eastAsia="es-ES_tradnl"/>
        </w:rPr>
      </w:pPr>
    </w:p>
    <w:p w14:paraId="5C154A3D" w14:textId="488B7059" w:rsidR="007F445E" w:rsidRPr="00FF05AC" w:rsidRDefault="007F445E" w:rsidP="005353EB">
      <w:pPr>
        <w:widowControl w:val="0"/>
        <w:autoSpaceDE w:val="0"/>
        <w:autoSpaceDN w:val="0"/>
        <w:adjustRightInd w:val="0"/>
        <w:ind w:left="851" w:right="899"/>
        <w:jc w:val="both"/>
        <w:rPr>
          <w:rFonts w:ascii="Palatino Linotype" w:hAnsi="Palatino Linotype" w:cs="Arial"/>
          <w:i/>
          <w:sz w:val="22"/>
          <w:szCs w:val="22"/>
        </w:rPr>
      </w:pPr>
      <w:r w:rsidRPr="00FF05AC">
        <w:rPr>
          <w:rFonts w:ascii="Palatino Linotype" w:hAnsi="Palatino Linotype" w:cs="Arial"/>
          <w:i/>
          <w:sz w:val="22"/>
          <w:szCs w:val="22"/>
        </w:rPr>
        <w:t>SÉPTIMO. Se pone a disposición de la parte recurrente para su atención el teléfono 01</w:t>
      </w:r>
      <w:r w:rsidR="005353EB" w:rsidRPr="00FF05AC">
        <w:rPr>
          <w:rFonts w:ascii="Palatino Linotype" w:hAnsi="Palatino Linotype" w:cs="Arial"/>
          <w:i/>
          <w:sz w:val="22"/>
          <w:szCs w:val="22"/>
        </w:rPr>
        <w:t xml:space="preserve"> </w:t>
      </w:r>
      <w:r w:rsidRPr="00FF05AC">
        <w:rPr>
          <w:rFonts w:ascii="Palatino Linotype" w:hAnsi="Palatino Linotype" w:cs="Arial"/>
          <w:i/>
          <w:sz w:val="22"/>
          <w:szCs w:val="22"/>
        </w:rPr>
        <w:t xml:space="preserve">800 TELINAI (835 4324) y el correo electrónico </w:t>
      </w:r>
      <w:r w:rsidR="005353EB" w:rsidRPr="00FF05AC">
        <w:rPr>
          <w:rFonts w:ascii="Palatino Linotype" w:hAnsi="Palatino Linotype" w:cs="Arial"/>
          <w:i/>
          <w:sz w:val="22"/>
          <w:szCs w:val="22"/>
        </w:rPr>
        <w:t xml:space="preserve">vigilancia@inai.org.mx para que </w:t>
      </w:r>
      <w:r w:rsidRPr="00FF05AC">
        <w:rPr>
          <w:rFonts w:ascii="Palatino Linotype" w:hAnsi="Palatino Linotype" w:cs="Arial"/>
          <w:i/>
          <w:sz w:val="22"/>
          <w:szCs w:val="22"/>
        </w:rPr>
        <w:t>comunique a este Instituto cualquier incumplimiento a la presente resolución.</w:t>
      </w:r>
    </w:p>
    <w:p w14:paraId="651BD490" w14:textId="77777777" w:rsidR="005353EB" w:rsidRPr="00FF05AC" w:rsidRDefault="005353EB" w:rsidP="007F445E">
      <w:pPr>
        <w:widowControl w:val="0"/>
        <w:autoSpaceDE w:val="0"/>
        <w:autoSpaceDN w:val="0"/>
        <w:adjustRightInd w:val="0"/>
        <w:ind w:left="851" w:right="899"/>
        <w:jc w:val="both"/>
        <w:rPr>
          <w:rFonts w:ascii="Palatino Linotype" w:hAnsi="Palatino Linotype" w:cs="Arial"/>
          <w:i/>
          <w:sz w:val="22"/>
          <w:szCs w:val="22"/>
        </w:rPr>
      </w:pPr>
    </w:p>
    <w:p w14:paraId="37CDFBA6" w14:textId="77777777" w:rsidR="007F445E" w:rsidRPr="00FF05AC" w:rsidRDefault="007F445E" w:rsidP="007F445E">
      <w:pPr>
        <w:widowControl w:val="0"/>
        <w:autoSpaceDE w:val="0"/>
        <w:autoSpaceDN w:val="0"/>
        <w:adjustRightInd w:val="0"/>
        <w:ind w:left="851" w:right="899"/>
        <w:jc w:val="both"/>
        <w:rPr>
          <w:rFonts w:ascii="Palatino Linotype" w:hAnsi="Palatino Linotype" w:cs="Arial"/>
          <w:i/>
          <w:sz w:val="22"/>
          <w:szCs w:val="22"/>
        </w:rPr>
      </w:pPr>
      <w:r w:rsidRPr="00FF05AC">
        <w:rPr>
          <w:rFonts w:ascii="Palatino Linotype" w:hAnsi="Palatino Linotype" w:cs="Arial"/>
          <w:i/>
          <w:sz w:val="22"/>
          <w:szCs w:val="22"/>
        </w:rPr>
        <w:t>OCTAVO. Se instruye a la Secretaria Técnico del Pleno que, con fundamento en lo</w:t>
      </w:r>
    </w:p>
    <w:p w14:paraId="25323693" w14:textId="7EA6A5C4" w:rsidR="007F445E" w:rsidRPr="00FF05AC" w:rsidRDefault="007F445E" w:rsidP="007F445E">
      <w:pPr>
        <w:widowControl w:val="0"/>
        <w:autoSpaceDE w:val="0"/>
        <w:autoSpaceDN w:val="0"/>
        <w:adjustRightInd w:val="0"/>
        <w:ind w:left="851" w:right="899"/>
        <w:jc w:val="both"/>
        <w:rPr>
          <w:rFonts w:ascii="Palatino Linotype" w:hAnsi="Palatino Linotype" w:cs="Arial"/>
          <w:i/>
          <w:sz w:val="22"/>
          <w:szCs w:val="22"/>
        </w:rPr>
      </w:pPr>
      <w:r w:rsidRPr="00FF05AC">
        <w:rPr>
          <w:rFonts w:ascii="Palatino Linotype" w:hAnsi="Palatino Linotype" w:cs="Arial"/>
          <w:i/>
          <w:sz w:val="22"/>
          <w:szCs w:val="22"/>
        </w:rPr>
        <w:t>dispuesto en el artículo 45, fracción IV, de la Ley Federal de Transparencia y Acceso a</w:t>
      </w:r>
      <w:r w:rsidR="005353EB" w:rsidRPr="00FF05AC">
        <w:rPr>
          <w:rFonts w:ascii="Palatino Linotype" w:hAnsi="Palatino Linotype" w:cs="Arial"/>
          <w:i/>
          <w:sz w:val="22"/>
          <w:szCs w:val="22"/>
        </w:rPr>
        <w:t xml:space="preserve"> </w:t>
      </w:r>
      <w:r w:rsidRPr="00FF05AC">
        <w:rPr>
          <w:rFonts w:ascii="Palatino Linotype" w:hAnsi="Palatino Linotype" w:cs="Arial"/>
          <w:i/>
          <w:sz w:val="22"/>
          <w:szCs w:val="22"/>
        </w:rPr>
        <w:t>la Información Pública, expida certificación de la presente resolución, para proceder a su</w:t>
      </w:r>
      <w:r w:rsidR="005353EB" w:rsidRPr="00FF05AC">
        <w:rPr>
          <w:rFonts w:ascii="Palatino Linotype" w:hAnsi="Palatino Linotype" w:cs="Arial"/>
          <w:i/>
          <w:sz w:val="22"/>
          <w:szCs w:val="22"/>
        </w:rPr>
        <w:t xml:space="preserve"> </w:t>
      </w:r>
      <w:r w:rsidRPr="00FF05AC">
        <w:rPr>
          <w:rFonts w:ascii="Palatino Linotype" w:hAnsi="Palatino Linotype" w:cs="Arial"/>
          <w:i/>
          <w:sz w:val="22"/>
          <w:szCs w:val="22"/>
        </w:rPr>
        <w:t>ejecución.</w:t>
      </w:r>
    </w:p>
    <w:p w14:paraId="5A324371" w14:textId="77777777" w:rsidR="005353EB" w:rsidRPr="00FF05AC" w:rsidRDefault="005353EB" w:rsidP="007F445E">
      <w:pPr>
        <w:widowControl w:val="0"/>
        <w:autoSpaceDE w:val="0"/>
        <w:autoSpaceDN w:val="0"/>
        <w:adjustRightInd w:val="0"/>
        <w:ind w:left="851" w:right="899"/>
        <w:jc w:val="both"/>
        <w:rPr>
          <w:rFonts w:ascii="Palatino Linotype" w:hAnsi="Palatino Linotype" w:cs="Arial"/>
          <w:i/>
          <w:sz w:val="22"/>
          <w:szCs w:val="22"/>
        </w:rPr>
      </w:pPr>
    </w:p>
    <w:p w14:paraId="12645D9A" w14:textId="77777777" w:rsidR="007F445E" w:rsidRPr="00FF05AC" w:rsidRDefault="007F445E" w:rsidP="007F445E">
      <w:pPr>
        <w:widowControl w:val="0"/>
        <w:autoSpaceDE w:val="0"/>
        <w:autoSpaceDN w:val="0"/>
        <w:adjustRightInd w:val="0"/>
        <w:ind w:left="851" w:right="899"/>
        <w:jc w:val="both"/>
        <w:rPr>
          <w:rFonts w:ascii="Palatino Linotype" w:hAnsi="Palatino Linotype" w:cs="Arial"/>
          <w:i/>
          <w:sz w:val="22"/>
          <w:szCs w:val="22"/>
        </w:rPr>
      </w:pPr>
      <w:r w:rsidRPr="00FF05AC">
        <w:rPr>
          <w:rFonts w:ascii="Palatino Linotype" w:hAnsi="Palatino Linotype" w:cs="Arial"/>
          <w:i/>
          <w:sz w:val="22"/>
          <w:szCs w:val="22"/>
        </w:rPr>
        <w:t>NOVENO. Háganse las anotaciones correspondientes en los registros respectivos.</w:t>
      </w:r>
    </w:p>
    <w:p w14:paraId="166274AD" w14:textId="77777777" w:rsidR="003B017D" w:rsidRPr="00FF05AC" w:rsidRDefault="003B017D" w:rsidP="003B017D">
      <w:pPr>
        <w:pStyle w:val="Prrafodelista"/>
        <w:tabs>
          <w:tab w:val="left" w:pos="567"/>
        </w:tabs>
        <w:spacing w:before="180" w:line="360" w:lineRule="auto"/>
        <w:ind w:left="0"/>
        <w:jc w:val="both"/>
        <w:rPr>
          <w:rStyle w:val="Ninguno"/>
          <w:rFonts w:ascii="Palatino Linotype" w:eastAsia="Palatino Linotype" w:hAnsi="Palatino Linotype" w:cs="Palatino Linotype"/>
          <w:b/>
          <w:sz w:val="28"/>
          <w:szCs w:val="28"/>
        </w:rPr>
      </w:pPr>
      <w:r w:rsidRPr="00FF05AC">
        <w:rPr>
          <w:rStyle w:val="Ninguno"/>
          <w:rFonts w:ascii="Palatino Linotype" w:eastAsia="Palatino Linotype" w:hAnsi="Palatino Linotype" w:cs="Palatino Linotype"/>
          <w:b/>
          <w:sz w:val="28"/>
          <w:szCs w:val="28"/>
        </w:rPr>
        <w:t>X</w:t>
      </w:r>
      <w:r w:rsidR="00091B0C" w:rsidRPr="00FF05AC">
        <w:rPr>
          <w:rStyle w:val="Ninguno"/>
          <w:rFonts w:ascii="Palatino Linotype" w:eastAsia="Palatino Linotype" w:hAnsi="Palatino Linotype" w:cs="Palatino Linotype"/>
          <w:b/>
          <w:sz w:val="28"/>
          <w:szCs w:val="28"/>
        </w:rPr>
        <w:t>I</w:t>
      </w:r>
      <w:r w:rsidRPr="00FF05AC">
        <w:rPr>
          <w:rStyle w:val="Ninguno"/>
          <w:rFonts w:ascii="Palatino Linotype" w:eastAsia="Palatino Linotype" w:hAnsi="Palatino Linotype" w:cs="Palatino Linotype"/>
          <w:b/>
          <w:sz w:val="28"/>
          <w:szCs w:val="28"/>
        </w:rPr>
        <w:t>V. Cumplimiento al Recurso de Inconformidad</w:t>
      </w:r>
    </w:p>
    <w:p w14:paraId="166274AE" w14:textId="69338389" w:rsidR="003B017D" w:rsidRPr="00FF05AC" w:rsidRDefault="003B017D" w:rsidP="003B017D">
      <w:pPr>
        <w:pStyle w:val="Prrafodelista"/>
        <w:spacing w:after="240" w:line="360" w:lineRule="auto"/>
        <w:ind w:left="0"/>
        <w:jc w:val="both"/>
        <w:rPr>
          <w:rStyle w:val="Ninguno"/>
          <w:rFonts w:ascii="Palatino Linotype" w:hAnsi="Palatino Linotype"/>
          <w:color w:val="000000" w:themeColor="text1"/>
          <w:lang w:val="es-MX"/>
        </w:rPr>
      </w:pPr>
      <w:r w:rsidRPr="00FF05AC">
        <w:rPr>
          <w:rStyle w:val="Ninguno"/>
          <w:rFonts w:ascii="Palatino Linotype" w:eastAsia="Palatino Linotype" w:hAnsi="Palatino Linotype" w:cs="Palatino Linotype"/>
        </w:rPr>
        <w:t xml:space="preserve">En virtud de lo dispuesto por el artículo 172 de la Ley General de Transparencia y Acceso a la Información Pública, y a fin de dar cumplimiento a lo instruido por el Órgano Garante Nacional, </w:t>
      </w:r>
      <w:r w:rsidRPr="00FF05AC">
        <w:rPr>
          <w:rStyle w:val="Ninguno"/>
          <w:rFonts w:ascii="Palatino Linotype" w:eastAsia="Palatino Linotype" w:hAnsi="Palatino Linotype" w:cs="Palatino Linotype"/>
          <w:b/>
        </w:rPr>
        <w:t>se deja sin efectos la r</w:t>
      </w:r>
      <w:r w:rsidR="005353EB" w:rsidRPr="00FF05AC">
        <w:rPr>
          <w:rStyle w:val="Ninguno"/>
          <w:rFonts w:ascii="Palatino Linotype" w:eastAsia="Palatino Linotype" w:hAnsi="Palatino Linotype" w:cs="Palatino Linotype"/>
          <w:b/>
        </w:rPr>
        <w:t>esolución recaída al</w:t>
      </w:r>
      <w:r w:rsidRPr="00FF05AC">
        <w:rPr>
          <w:rStyle w:val="Ninguno"/>
          <w:rFonts w:ascii="Palatino Linotype" w:eastAsia="Palatino Linotype" w:hAnsi="Palatino Linotype" w:cs="Palatino Linotype"/>
          <w:b/>
        </w:rPr>
        <w:t xml:space="preserve"> </w:t>
      </w:r>
      <w:r w:rsidR="005353EB" w:rsidRPr="00FF05AC">
        <w:rPr>
          <w:rFonts w:ascii="Palatino Linotype" w:hAnsi="Palatino Linotype"/>
          <w:b/>
          <w:color w:val="000000" w:themeColor="text1"/>
        </w:rPr>
        <w:t>recurso</w:t>
      </w:r>
      <w:r w:rsidRPr="00FF05AC">
        <w:rPr>
          <w:rFonts w:ascii="Palatino Linotype" w:hAnsi="Palatino Linotype"/>
          <w:b/>
          <w:color w:val="000000" w:themeColor="text1"/>
        </w:rPr>
        <w:t xml:space="preserve"> de revisión </w:t>
      </w:r>
      <w:r w:rsidR="005353EB" w:rsidRPr="00FF05AC">
        <w:rPr>
          <w:rFonts w:ascii="Palatino Linotype" w:hAnsi="Palatino Linotype"/>
          <w:b/>
          <w:color w:val="000000" w:themeColor="text1"/>
          <w:spacing w:val="-20"/>
        </w:rPr>
        <w:t xml:space="preserve">05902/INFOEM/IP/RR/2020 </w:t>
      </w:r>
      <w:r w:rsidRPr="00FF05AC">
        <w:rPr>
          <w:rStyle w:val="Ninguno"/>
          <w:rFonts w:ascii="Palatino Linotype" w:eastAsia="Palatino Linotype" w:hAnsi="Palatino Linotype" w:cs="Palatino Linotype"/>
        </w:rPr>
        <w:t>de fecha</w:t>
      </w:r>
      <w:r w:rsidR="00091B0C" w:rsidRPr="00FF05AC">
        <w:rPr>
          <w:rStyle w:val="Ninguno"/>
          <w:rFonts w:ascii="Palatino Linotype" w:eastAsia="Palatino Linotype" w:hAnsi="Palatino Linotype" w:cs="Palatino Linotype"/>
        </w:rPr>
        <w:t xml:space="preserve"> </w:t>
      </w:r>
      <w:r w:rsidR="005353EB" w:rsidRPr="00FF05AC">
        <w:rPr>
          <w:rStyle w:val="Ninguno"/>
          <w:rFonts w:ascii="Palatino Linotype" w:eastAsia="Palatino Linotype" w:hAnsi="Palatino Linotype" w:cs="Palatino Linotype"/>
          <w:b/>
        </w:rPr>
        <w:t>diez de febrero</w:t>
      </w:r>
      <w:r w:rsidR="00091B0C" w:rsidRPr="00FF05AC">
        <w:rPr>
          <w:rStyle w:val="Ninguno"/>
          <w:rFonts w:ascii="Palatino Linotype" w:eastAsia="Palatino Linotype" w:hAnsi="Palatino Linotype" w:cs="Palatino Linotype"/>
          <w:b/>
        </w:rPr>
        <w:t xml:space="preserve"> de dos mil veintiuno</w:t>
      </w:r>
      <w:r w:rsidRPr="00FF05AC">
        <w:rPr>
          <w:rStyle w:val="Ninguno"/>
          <w:rFonts w:ascii="Palatino Linotype" w:eastAsia="Palatino Linotype" w:hAnsi="Palatino Linotype" w:cs="Palatino Linotype"/>
        </w:rPr>
        <w:t xml:space="preserve"> y en su lugar se dicta la presente resolución, de conformidad con lo siguiente:</w:t>
      </w:r>
    </w:p>
    <w:p w14:paraId="166274AF" w14:textId="77777777" w:rsidR="003B017D" w:rsidRPr="00FF05AC" w:rsidRDefault="003B017D" w:rsidP="003B017D">
      <w:pPr>
        <w:jc w:val="center"/>
        <w:rPr>
          <w:rFonts w:ascii="Palatino Linotype" w:hAnsi="Palatino Linotype"/>
          <w:b/>
          <w:bCs/>
          <w:color w:val="000000" w:themeColor="text1"/>
          <w:spacing w:val="40"/>
          <w:sz w:val="28"/>
        </w:rPr>
      </w:pPr>
      <w:r w:rsidRPr="00FF05AC">
        <w:rPr>
          <w:rFonts w:ascii="Palatino Linotype" w:hAnsi="Palatino Linotype"/>
          <w:b/>
          <w:bCs/>
          <w:color w:val="000000" w:themeColor="text1"/>
          <w:spacing w:val="40"/>
          <w:sz w:val="28"/>
        </w:rPr>
        <w:t>CONSIDERANDO</w:t>
      </w:r>
    </w:p>
    <w:p w14:paraId="166274B0" w14:textId="77777777" w:rsidR="003B017D" w:rsidRPr="00FF05AC" w:rsidRDefault="003B017D" w:rsidP="003B017D">
      <w:pPr>
        <w:jc w:val="center"/>
        <w:rPr>
          <w:rFonts w:ascii="Palatino Linotype" w:hAnsi="Palatino Linotype"/>
          <w:b/>
          <w:bCs/>
          <w:color w:val="000000" w:themeColor="text1"/>
          <w:spacing w:val="40"/>
          <w:sz w:val="20"/>
          <w:szCs w:val="20"/>
        </w:rPr>
      </w:pPr>
    </w:p>
    <w:p w14:paraId="166274B1" w14:textId="77777777" w:rsidR="003B017D" w:rsidRPr="00FF05AC" w:rsidRDefault="003B017D" w:rsidP="003B017D">
      <w:pPr>
        <w:spacing w:line="360" w:lineRule="auto"/>
        <w:ind w:right="50"/>
        <w:jc w:val="both"/>
        <w:rPr>
          <w:rFonts w:ascii="Palatino Linotype" w:hAnsi="Palatino Linotype" w:cs="Arial"/>
        </w:rPr>
      </w:pPr>
      <w:r w:rsidRPr="00FF05AC">
        <w:rPr>
          <w:rFonts w:ascii="Palatino Linotype" w:hAnsi="Palatino Linotype"/>
          <w:b/>
          <w:color w:val="000000" w:themeColor="text1"/>
          <w:sz w:val="28"/>
          <w:szCs w:val="28"/>
        </w:rPr>
        <w:t>PRIMERO</w:t>
      </w:r>
      <w:r w:rsidRPr="00FF05AC">
        <w:rPr>
          <w:rFonts w:ascii="Palatino Linotype" w:hAnsi="Palatino Linotype"/>
          <w:b/>
          <w:color w:val="000000" w:themeColor="text1"/>
        </w:rPr>
        <w:t>.</w:t>
      </w:r>
      <w:r w:rsidRPr="00FF05AC">
        <w:rPr>
          <w:rFonts w:ascii="Palatino Linotype" w:hAnsi="Palatino Linotype"/>
          <w:color w:val="000000" w:themeColor="text1"/>
        </w:rPr>
        <w:t xml:space="preserve"> </w:t>
      </w:r>
      <w:r w:rsidRPr="00FF05AC">
        <w:rPr>
          <w:rFonts w:ascii="Palatino Linotype" w:hAnsi="Palatino Linotype"/>
          <w:b/>
          <w:color w:val="000000" w:themeColor="text1"/>
        </w:rPr>
        <w:t>Competencia</w:t>
      </w:r>
      <w:r w:rsidRPr="00FF05AC">
        <w:rPr>
          <w:rFonts w:ascii="Palatino Linotype" w:hAnsi="Palatino Linotype"/>
          <w:color w:val="000000" w:themeColor="text1"/>
        </w:rPr>
        <w:t>.</w:t>
      </w:r>
      <w:r w:rsidRPr="00FF05AC">
        <w:rPr>
          <w:rFonts w:ascii="Palatino Linotype" w:hAnsi="Palatino Linotype"/>
          <w:b/>
          <w:color w:val="000000" w:themeColor="text1"/>
        </w:rPr>
        <w:t xml:space="preserve"> </w:t>
      </w:r>
      <w:r w:rsidRPr="00FF05AC">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w:t>
      </w:r>
      <w:r w:rsidR="00091B0C" w:rsidRPr="00FF05AC">
        <w:rPr>
          <w:rFonts w:ascii="Palatino Linotype" w:hAnsi="Palatino Linotype"/>
        </w:rPr>
        <w:t xml:space="preserve">, trigésimo primero </w:t>
      </w:r>
      <w:r w:rsidRPr="00FF05AC">
        <w:rPr>
          <w:rFonts w:ascii="Palatino Linotype" w:hAnsi="Palatino Linotype"/>
        </w:rPr>
        <w:t>y trigésimo</w:t>
      </w:r>
      <w:r w:rsidR="00091B0C" w:rsidRPr="00FF05AC">
        <w:rPr>
          <w:rFonts w:ascii="Palatino Linotype" w:hAnsi="Palatino Linotype"/>
        </w:rPr>
        <w:t xml:space="preserve"> segundo</w:t>
      </w:r>
      <w:r w:rsidRPr="00FF05AC">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FF05AC">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166274B2" w14:textId="77777777" w:rsidR="003B017D" w:rsidRPr="00FF05AC" w:rsidRDefault="003B017D" w:rsidP="003B017D">
      <w:pPr>
        <w:spacing w:line="360" w:lineRule="auto"/>
        <w:ind w:right="50"/>
        <w:jc w:val="both"/>
        <w:rPr>
          <w:rFonts w:ascii="Palatino Linotype" w:hAnsi="Palatino Linotype" w:cs="Arial"/>
        </w:rPr>
      </w:pPr>
    </w:p>
    <w:p w14:paraId="166274B3" w14:textId="77777777" w:rsidR="003B017D" w:rsidRPr="00FF05AC" w:rsidRDefault="003B017D" w:rsidP="003B017D">
      <w:pPr>
        <w:pStyle w:val="Prrafodelista"/>
        <w:widowControl w:val="0"/>
        <w:tabs>
          <w:tab w:val="left" w:pos="1701"/>
        </w:tabs>
        <w:autoSpaceDE w:val="0"/>
        <w:autoSpaceDN w:val="0"/>
        <w:adjustRightInd w:val="0"/>
        <w:spacing w:line="360" w:lineRule="auto"/>
        <w:ind w:left="0"/>
        <w:jc w:val="both"/>
        <w:rPr>
          <w:rFonts w:ascii="Palatino Linotype" w:hAnsi="Palatino Linotype"/>
          <w:b/>
        </w:rPr>
      </w:pPr>
      <w:r w:rsidRPr="00FF05AC">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66274B4" w14:textId="437559A3" w:rsidR="003B017D" w:rsidRPr="00FF05AC" w:rsidRDefault="003B017D" w:rsidP="003B017D">
      <w:pPr>
        <w:spacing w:before="100" w:beforeAutospacing="1" w:after="100" w:afterAutospacing="1" w:line="360" w:lineRule="auto"/>
        <w:jc w:val="both"/>
        <w:rPr>
          <w:rFonts w:ascii="Palatino Linotype" w:hAnsi="Palatino Linotype"/>
        </w:rPr>
      </w:pPr>
      <w:r w:rsidRPr="00FF05AC">
        <w:rPr>
          <w:rFonts w:ascii="Palatino Linotype" w:hAnsi="Palatino Linotype" w:cs="Arial"/>
          <w:b/>
          <w:color w:val="000000" w:themeColor="text1"/>
          <w:sz w:val="28"/>
        </w:rPr>
        <w:t>SEGUNDO</w:t>
      </w:r>
      <w:r w:rsidRPr="00FF05AC">
        <w:rPr>
          <w:rFonts w:ascii="Palatino Linotype" w:hAnsi="Palatino Linotype" w:cs="Arial"/>
          <w:b/>
          <w:color w:val="000000" w:themeColor="text1"/>
        </w:rPr>
        <w:t xml:space="preserve">. Interés. </w:t>
      </w:r>
      <w:r w:rsidRPr="00FF05AC">
        <w:rPr>
          <w:rFonts w:ascii="Palatino Linotype" w:hAnsi="Palatino Linotype"/>
        </w:rPr>
        <w:t xml:space="preserve">Los recursos de revisión fueron interpuestos por parte legítima, en atención a que fueron presentados por </w:t>
      </w:r>
      <w:r w:rsidR="007D0636" w:rsidRPr="00FF05AC">
        <w:rPr>
          <w:rFonts w:ascii="Palatino Linotype" w:hAnsi="Palatino Linotype"/>
          <w:b/>
        </w:rPr>
        <w:t>EL</w:t>
      </w:r>
      <w:r w:rsidRPr="00FF05AC">
        <w:rPr>
          <w:rFonts w:ascii="Palatino Linotype" w:hAnsi="Palatino Linotype"/>
          <w:b/>
        </w:rPr>
        <w:t xml:space="preserve"> RECURRENTE,</w:t>
      </w:r>
      <w:r w:rsidRPr="00FF05AC">
        <w:rPr>
          <w:rFonts w:ascii="Palatino Linotype" w:hAnsi="Palatino Linotype"/>
        </w:rPr>
        <w:t xml:space="preserve"> quien es la misma persona que formuló las solicitudes de acceso a la información pública al </w:t>
      </w:r>
      <w:r w:rsidRPr="00FF05AC">
        <w:rPr>
          <w:rFonts w:ascii="Palatino Linotype" w:hAnsi="Palatino Linotype"/>
          <w:b/>
        </w:rPr>
        <w:t>SUJETO OBLIGADO</w:t>
      </w:r>
      <w:r w:rsidRPr="00FF05AC">
        <w:rPr>
          <w:rFonts w:ascii="Palatino Linotype" w:hAnsi="Palatino Linotype"/>
        </w:rPr>
        <w:t>.</w:t>
      </w:r>
    </w:p>
    <w:p w14:paraId="0E186D32" w14:textId="5E3EB95D" w:rsidR="005353EB" w:rsidRPr="00FF05AC" w:rsidRDefault="003B017D" w:rsidP="005353EB">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FF05AC">
        <w:rPr>
          <w:rFonts w:ascii="Palatino Linotype" w:hAnsi="Palatino Linotype" w:cs="Arial"/>
          <w:b/>
          <w:color w:val="000000" w:themeColor="text1"/>
          <w:sz w:val="28"/>
          <w:szCs w:val="28"/>
        </w:rPr>
        <w:t>TERCERO.</w:t>
      </w:r>
      <w:r w:rsidR="005353EB" w:rsidRPr="00FF05AC">
        <w:rPr>
          <w:rFonts w:ascii="Palatino Linotype" w:hAnsi="Palatino Linotype" w:cs="Arial"/>
          <w:b/>
          <w:color w:val="000000" w:themeColor="text1"/>
          <w:sz w:val="28"/>
          <w:szCs w:val="28"/>
        </w:rPr>
        <w:t xml:space="preserve"> </w:t>
      </w:r>
      <w:r w:rsidR="005353EB" w:rsidRPr="00FF05AC">
        <w:rPr>
          <w:rFonts w:ascii="Palatino Linotype" w:hAnsi="Palatino Linotype" w:cs="Arial"/>
          <w:b/>
        </w:rPr>
        <w:t>Oportunidad.</w:t>
      </w:r>
      <w:r w:rsidR="005353EB" w:rsidRPr="00FF05AC">
        <w:rPr>
          <w:rFonts w:ascii="Palatino Linotype" w:hAnsi="Palatino Linotype" w:cs="Arial"/>
          <w:b/>
          <w:sz w:val="28"/>
          <w:szCs w:val="28"/>
        </w:rPr>
        <w:t xml:space="preserve"> </w:t>
      </w:r>
      <w:r w:rsidR="005353EB" w:rsidRPr="00FF05AC">
        <w:rPr>
          <w:rFonts w:ascii="Palatino Linotype" w:hAnsi="Palatino Linotype" w:cs="Arial"/>
        </w:rPr>
        <w:t xml:space="preserve">El recurso de revisión fue interpuesto dentro del plazo de quince días hábiles contados a partir del día siguiente al en que </w:t>
      </w:r>
      <w:r w:rsidR="005353EB" w:rsidRPr="00FF05AC">
        <w:rPr>
          <w:rFonts w:ascii="Palatino Linotype" w:hAnsi="Palatino Linotype" w:cs="Arial"/>
          <w:b/>
        </w:rPr>
        <w:t xml:space="preserve">EL RECURRENTE </w:t>
      </w:r>
      <w:r w:rsidR="005353EB" w:rsidRPr="00FF05AC">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5A21C013" w14:textId="77777777" w:rsidR="005353EB" w:rsidRPr="00FF05AC" w:rsidRDefault="005353EB" w:rsidP="005353EB">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5BD2797C" w14:textId="77777777" w:rsidR="005353EB" w:rsidRPr="00FF05AC" w:rsidRDefault="005353EB" w:rsidP="005353E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FF05AC">
        <w:rPr>
          <w:rFonts w:ascii="Palatino Linotype" w:eastAsiaTheme="minorEastAsia" w:hAnsi="Palatino Linotype" w:cs="Arial"/>
          <w:b/>
          <w:i/>
          <w:sz w:val="22"/>
          <w:szCs w:val="22"/>
          <w:lang w:val="es-ES_tradnl"/>
        </w:rPr>
        <w:t>“Artículo 178.</w:t>
      </w:r>
      <w:r w:rsidRPr="00FF05AC">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48B690F" w14:textId="77777777" w:rsidR="005353EB" w:rsidRPr="00FF05AC" w:rsidRDefault="005353EB" w:rsidP="005353E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FF05AC">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4A2436" w14:textId="77777777" w:rsidR="005353EB" w:rsidRPr="00FF05AC" w:rsidRDefault="005353EB" w:rsidP="005353E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FF05AC">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FF05AC">
        <w:rPr>
          <w:rFonts w:ascii="Palatino Linotype" w:eastAsiaTheme="minorEastAsia" w:hAnsi="Palatino Linotype" w:cs="Arial"/>
          <w:b/>
          <w:i/>
          <w:sz w:val="22"/>
          <w:szCs w:val="22"/>
          <w:lang w:val="es-ES_tradnl"/>
        </w:rPr>
        <w:t>”</w:t>
      </w:r>
    </w:p>
    <w:p w14:paraId="2E5C1B90" w14:textId="77777777" w:rsidR="005353EB" w:rsidRPr="00FF05AC" w:rsidRDefault="005353EB" w:rsidP="005353EB">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1E9A2507" w14:textId="34EC07B9" w:rsidR="005353EB" w:rsidRPr="00FF05AC" w:rsidRDefault="005353EB" w:rsidP="005353EB">
      <w:pPr>
        <w:spacing w:before="100" w:beforeAutospacing="1" w:after="100" w:afterAutospacing="1" w:line="360" w:lineRule="auto"/>
        <w:contextualSpacing/>
        <w:jc w:val="both"/>
        <w:rPr>
          <w:rFonts w:ascii="Palatino Linotype" w:hAnsi="Palatino Linotype" w:cs="Arial"/>
        </w:rPr>
      </w:pPr>
      <w:r w:rsidRPr="00FF05AC">
        <w:rPr>
          <w:rFonts w:ascii="Palatino Linotype" w:eastAsiaTheme="minorEastAsia" w:hAnsi="Palatino Linotype" w:cs="Arial"/>
          <w:color w:val="000000" w:themeColor="text1"/>
          <w:lang w:val="es-ES_tradnl"/>
        </w:rPr>
        <w:t xml:space="preserve">En efecto, atendiendo a que </w:t>
      </w:r>
      <w:r w:rsidRPr="00FF05AC">
        <w:rPr>
          <w:rFonts w:ascii="Palatino Linotype" w:eastAsiaTheme="minorEastAsia" w:hAnsi="Palatino Linotype" w:cs="Arial"/>
          <w:b/>
          <w:color w:val="000000" w:themeColor="text1"/>
          <w:lang w:val="es-ES_tradnl"/>
        </w:rPr>
        <w:t>EL SUJETO OBLIGADO</w:t>
      </w:r>
      <w:r w:rsidRPr="00FF05AC">
        <w:rPr>
          <w:rFonts w:ascii="Palatino Linotype" w:eastAsiaTheme="minorEastAsia" w:hAnsi="Palatino Linotype" w:cs="Arial"/>
          <w:color w:val="000000" w:themeColor="text1"/>
          <w:lang w:val="es-ES_tradnl"/>
        </w:rPr>
        <w:t xml:space="preserve"> notificó la respuesta a la solicitud de información pública el </w:t>
      </w:r>
      <w:r w:rsidRPr="00FF05AC">
        <w:rPr>
          <w:rFonts w:ascii="Palatino Linotype" w:eastAsiaTheme="minorEastAsia" w:hAnsi="Palatino Linotype" w:cs="Arial"/>
          <w:b/>
          <w:color w:val="000000" w:themeColor="text1"/>
          <w:lang w:val="es-ES_tradnl"/>
        </w:rPr>
        <w:t xml:space="preserve">veinticinco de noviembre de dos mil veinte; </w:t>
      </w:r>
      <w:r w:rsidRPr="00FF05AC">
        <w:rPr>
          <w:rFonts w:ascii="Palatino Linotype" w:hAnsi="Palatino Linotype" w:cs="Arial"/>
          <w:color w:val="000000" w:themeColor="text1"/>
        </w:rPr>
        <w:t>en consecuencia, el plazo de quince días hábiles que el artículo 178 de la ley de la materia otorga al</w:t>
      </w:r>
      <w:r w:rsidRPr="00FF05AC">
        <w:rPr>
          <w:rFonts w:ascii="Palatino Linotype" w:hAnsi="Palatino Linotype" w:cs="Arial"/>
          <w:b/>
          <w:color w:val="000000" w:themeColor="text1"/>
        </w:rPr>
        <w:t xml:space="preserve"> RECURRENTE</w:t>
      </w:r>
      <w:r w:rsidRPr="00FF05AC">
        <w:rPr>
          <w:rFonts w:ascii="Palatino Linotype" w:hAnsi="Palatino Linotype" w:cs="Arial"/>
          <w:color w:val="000000" w:themeColor="text1"/>
        </w:rPr>
        <w:t xml:space="preserve"> para presentar el recurso de revisión, transcurrió del </w:t>
      </w:r>
      <w:r w:rsidRPr="00FF05AC">
        <w:rPr>
          <w:rFonts w:ascii="Palatino Linotype" w:hAnsi="Palatino Linotype" w:cs="Arial"/>
          <w:b/>
          <w:color w:val="000000" w:themeColor="text1"/>
        </w:rPr>
        <w:t>veintiséis de noviembre al dieciséis de diciembre de dos mil veinte;</w:t>
      </w:r>
      <w:r w:rsidRPr="00FF05AC">
        <w:rPr>
          <w:rFonts w:ascii="Palatino Linotype" w:hAnsi="Palatino Linotype" w:cs="Arial"/>
          <w:color w:val="000000" w:themeColor="text1"/>
        </w:rPr>
        <w:t xml:space="preserve"> </w:t>
      </w:r>
      <w:r w:rsidRPr="00FF05AC">
        <w:rPr>
          <w:rFonts w:ascii="Palatino Linotype" w:hAnsi="Palatino Linotype" w:cs="Arial"/>
        </w:rPr>
        <w:t xml:space="preserve">sin contemplar en el cómputo los días veintiocho y veintinueve de noviembre, asimismo, cinco, seis, doce y trece de diciembre de dos mil veinte; por corresponder a sábados y domingos, considerados como días inhábiles, en términos del artículo 3, fracción X de la </w:t>
      </w:r>
      <w:r w:rsidRPr="00FF05AC">
        <w:rPr>
          <w:rFonts w:ascii="Palatino Linotype" w:hAnsi="Palatino Linotype"/>
        </w:rPr>
        <w:t>Ley de Transparencia y Acceso a la Información Pública del Estado de México y Municipios,</w:t>
      </w:r>
      <w:r w:rsidRPr="00FF05AC">
        <w:rPr>
          <w:rFonts w:ascii="Palatino Linotype" w:hAnsi="Palatino Linotype" w:cs="Arial"/>
        </w:rPr>
        <w:t xml:space="preserve"> de conformidad con el Calendario Oficial en Materia de Transparencia, Acceso a la Información Pública y Protección de Datos Personales del Estado de México y Municipios; </w:t>
      </w:r>
      <w:r w:rsidRPr="00FF05AC">
        <w:rPr>
          <w:rFonts w:ascii="Palatino Linotype" w:eastAsiaTheme="minorEastAsia" w:hAnsi="Palatino Linotype" w:cs="Arial"/>
          <w:lang w:val="es-ES_tradnl"/>
        </w:rPr>
        <w:t>así como, del siete al quince de enero de dos mil veintiuno; por ser considerados como suspensión de plazos, de conformidad con los Acuerdos de Pleno, de fecha dieciséis de diciembre de dos mil veinte; asimismo, del escrito de fecha ocho de enero de dos mil veintiuno, por el que se acordó que los días siete, ocho, once, doce, trece, catorce y quince de enero de dos mil veintiuno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veintiuno y enero dos mil veintidós, aprobado por el Pleno de este Instituto, el dieciséis de diciembre de dos mil veinte.</w:t>
      </w:r>
    </w:p>
    <w:p w14:paraId="1A8B3C7C" w14:textId="77777777" w:rsidR="005353EB" w:rsidRPr="00FF05AC" w:rsidRDefault="005353EB" w:rsidP="005353EB">
      <w:pPr>
        <w:spacing w:before="100" w:beforeAutospacing="1" w:after="100" w:afterAutospacing="1" w:line="360" w:lineRule="auto"/>
        <w:contextualSpacing/>
        <w:jc w:val="both"/>
        <w:rPr>
          <w:rFonts w:ascii="Palatino Linotype" w:hAnsi="Palatino Linotype" w:cs="Arial"/>
        </w:rPr>
      </w:pPr>
    </w:p>
    <w:p w14:paraId="6A9C2AB3" w14:textId="77777777" w:rsidR="005353EB" w:rsidRPr="00FF05AC" w:rsidRDefault="005353EB" w:rsidP="005353EB">
      <w:pPr>
        <w:spacing w:before="100" w:beforeAutospacing="1" w:after="100" w:afterAutospacing="1" w:line="360" w:lineRule="auto"/>
        <w:contextualSpacing/>
        <w:jc w:val="both"/>
        <w:rPr>
          <w:rFonts w:ascii="Palatino Linotype" w:eastAsiaTheme="minorEastAsia" w:hAnsi="Palatino Linotype" w:cs="Arial"/>
          <w:lang w:val="es-ES_tradnl"/>
        </w:rPr>
      </w:pPr>
      <w:r w:rsidRPr="00FF05AC">
        <w:rPr>
          <w:rFonts w:ascii="Palatino Linotype" w:eastAsiaTheme="minorEastAsia" w:hAnsi="Palatino Linotype" w:cs="Arial"/>
          <w:lang w:val="es-ES_tradnl"/>
        </w:rPr>
        <w:t>En ese tenor, si el recurso de revisión que nos ocupa, se interpuso el día</w:t>
      </w:r>
      <w:r w:rsidRPr="00FF05AC">
        <w:rPr>
          <w:rFonts w:ascii="Palatino Linotype" w:eastAsiaTheme="minorEastAsia" w:hAnsi="Palatino Linotype" w:cs="Arial"/>
          <w:b/>
          <w:lang w:val="es-ES_tradnl"/>
        </w:rPr>
        <w:t xml:space="preserve"> treinta noviembre de dos mil veinte,</w:t>
      </w:r>
      <w:r w:rsidRPr="00FF05AC">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166274C7" w14:textId="3B15D2B1" w:rsidR="003B017D" w:rsidRPr="00FF05AC" w:rsidRDefault="004A1BA9" w:rsidP="005353EB">
      <w:pPr>
        <w:pStyle w:val="Encabezado"/>
        <w:spacing w:before="100" w:beforeAutospacing="1" w:after="100" w:afterAutospacing="1" w:line="360" w:lineRule="auto"/>
        <w:jc w:val="both"/>
        <w:rPr>
          <w:rFonts w:ascii="Palatino Linotype" w:hAnsi="Palatino Linotype" w:cs="Arial"/>
          <w:b/>
          <w:color w:val="000000" w:themeColor="text1"/>
        </w:rPr>
      </w:pPr>
      <w:r w:rsidRPr="00FF05AC">
        <w:rPr>
          <w:rFonts w:ascii="Palatino Linotype" w:hAnsi="Palatino Linotype" w:cs="Arial"/>
          <w:b/>
          <w:color w:val="000000" w:themeColor="text1"/>
          <w:sz w:val="28"/>
          <w:szCs w:val="28"/>
        </w:rPr>
        <w:t>CUARTO</w:t>
      </w:r>
      <w:r w:rsidR="003B017D" w:rsidRPr="00FF05AC">
        <w:rPr>
          <w:rFonts w:ascii="Palatino Linotype" w:hAnsi="Palatino Linotype"/>
          <w:b/>
          <w:color w:val="000000" w:themeColor="text1"/>
          <w:sz w:val="28"/>
          <w:szCs w:val="28"/>
        </w:rPr>
        <w:t>.</w:t>
      </w:r>
      <w:r w:rsidR="003B017D" w:rsidRPr="00FF05AC">
        <w:rPr>
          <w:rFonts w:ascii="Palatino Linotype" w:hAnsi="Palatino Linotype"/>
          <w:b/>
          <w:color w:val="000000" w:themeColor="text1"/>
        </w:rPr>
        <w:t xml:space="preserve"> Procedibilidad. </w:t>
      </w:r>
      <w:r w:rsidR="003B017D" w:rsidRPr="00FF05AC">
        <w:rPr>
          <w:rFonts w:ascii="Palatino Linotype" w:hAnsi="Palatino Linotype" w:cs="Arial"/>
          <w:color w:val="000000" w:themeColor="text1"/>
        </w:rPr>
        <w:t xml:space="preserve">Del análisis efectuado se advierte que resulta procedente la interposición de los recursos y se concluye la acreditación plena de todos y cada uno de los elementos formales exigidos por el artículo 180 de la </w:t>
      </w:r>
      <w:r w:rsidR="003B017D" w:rsidRPr="00FF05AC">
        <w:rPr>
          <w:rFonts w:ascii="Palatino Linotype" w:hAnsi="Palatino Linotype"/>
          <w:color w:val="000000" w:themeColor="text1"/>
        </w:rPr>
        <w:t xml:space="preserve">Ley de Transparencia y Acceso a la Información Pública del Estado de México y Municipios, en atención a que fueron presentados mediante el formato visible en </w:t>
      </w:r>
      <w:r w:rsidR="003B017D" w:rsidRPr="00FF05AC">
        <w:rPr>
          <w:rFonts w:ascii="Palatino Linotype" w:hAnsi="Palatino Linotype"/>
          <w:b/>
          <w:color w:val="000000" w:themeColor="text1"/>
        </w:rPr>
        <w:t>EL SAIMEX.</w:t>
      </w:r>
    </w:p>
    <w:p w14:paraId="161CD79C" w14:textId="4F40A6EB" w:rsidR="005353EB" w:rsidRPr="00FF05AC" w:rsidRDefault="004A1BA9" w:rsidP="005353EB">
      <w:pPr>
        <w:pStyle w:val="Prrafodelista"/>
        <w:spacing w:before="100" w:beforeAutospacing="1" w:after="100" w:afterAutospacing="1" w:line="360" w:lineRule="auto"/>
        <w:ind w:left="0"/>
        <w:contextualSpacing/>
        <w:jc w:val="both"/>
        <w:rPr>
          <w:rFonts w:ascii="Palatino Linotype" w:hAnsi="Palatino Linotype" w:cs="Arial"/>
        </w:rPr>
      </w:pPr>
      <w:r w:rsidRPr="00FF05AC">
        <w:rPr>
          <w:rFonts w:ascii="Palatino Linotype" w:hAnsi="Palatino Linotype" w:cs="Arial"/>
          <w:b/>
          <w:color w:val="000000" w:themeColor="text1"/>
          <w:sz w:val="28"/>
          <w:szCs w:val="28"/>
        </w:rPr>
        <w:t>QUINTO</w:t>
      </w:r>
      <w:r w:rsidR="003B017D" w:rsidRPr="00FF05AC">
        <w:rPr>
          <w:rFonts w:ascii="Palatino Linotype" w:hAnsi="Palatino Linotype" w:cs="Arial"/>
          <w:b/>
          <w:color w:val="000000" w:themeColor="text1"/>
        </w:rPr>
        <w:t xml:space="preserve">. </w:t>
      </w:r>
      <w:r w:rsidR="005353EB" w:rsidRPr="00FF05AC">
        <w:rPr>
          <w:rFonts w:ascii="Palatino Linotype" w:eastAsiaTheme="minorEastAsia" w:hAnsi="Palatino Linotype" w:cs="Arial"/>
          <w:b/>
          <w:lang w:val="es-ES_tradnl"/>
        </w:rPr>
        <w:t>Estudio y resolución del asunto</w:t>
      </w:r>
      <w:r w:rsidR="005353EB" w:rsidRPr="00FF05AC">
        <w:rPr>
          <w:rFonts w:ascii="Palatino Linotype" w:eastAsiaTheme="minorEastAsia" w:hAnsi="Palatino Linotype" w:cstheme="minorBidi"/>
          <w:b/>
          <w:lang w:val="es-ES_tradnl"/>
        </w:rPr>
        <w:t xml:space="preserve">. </w:t>
      </w:r>
      <w:r w:rsidR="005353EB" w:rsidRPr="00FF05AC">
        <w:rPr>
          <w:rFonts w:ascii="Palatino Linotype" w:hAnsi="Palatino Linotype" w:cs="Arial"/>
        </w:rPr>
        <w:t xml:space="preserve">Tal y como quedó precisado en los resultandos de la presente resolución, el particular requirió del </w:t>
      </w:r>
      <w:r w:rsidR="005353EB" w:rsidRPr="00FF05AC">
        <w:rPr>
          <w:rFonts w:ascii="Palatino Linotype" w:hAnsi="Palatino Linotype" w:cs="Arial"/>
          <w:b/>
        </w:rPr>
        <w:t xml:space="preserve">SUJETO OBLIGADO </w:t>
      </w:r>
      <w:r w:rsidR="005353EB" w:rsidRPr="00FF05AC">
        <w:rPr>
          <w:rFonts w:ascii="Palatino Linotype" w:hAnsi="Palatino Linotype" w:cs="Arial"/>
        </w:rPr>
        <w:t>la información que a continuación se desagrega:</w:t>
      </w:r>
    </w:p>
    <w:p w14:paraId="6B8836B7" w14:textId="7C75F3D7" w:rsidR="005353EB" w:rsidRPr="00FF05AC" w:rsidRDefault="005353EB" w:rsidP="005353EB">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rPr>
      </w:pPr>
      <w:r w:rsidRPr="00FF05AC">
        <w:rPr>
          <w:rFonts w:ascii="Palatino Linotype" w:eastAsia="Arial Unicode MS" w:hAnsi="Palatino Linotype" w:cs="Arial"/>
          <w:i/>
          <w:sz w:val="22"/>
        </w:rPr>
        <w:t xml:space="preserve">“En relación al Juicio contencioso administrativo </w:t>
      </w:r>
      <w:r w:rsidR="00CF5B5E">
        <w:rPr>
          <w:rFonts w:ascii="Palatino Linotype" w:eastAsia="Arial Unicode MS" w:hAnsi="Palatino Linotype" w:cs="Arial"/>
          <w:i/>
          <w:sz w:val="22"/>
        </w:rPr>
        <w:t>XXXXXXXXXXX</w:t>
      </w:r>
      <w:r w:rsidRPr="00FF05AC">
        <w:rPr>
          <w:rFonts w:ascii="Palatino Linotype" w:eastAsia="Arial Unicode MS" w:hAnsi="Palatino Linotype" w:cs="Arial"/>
          <w:i/>
          <w:sz w:val="22"/>
        </w:rPr>
        <w:t xml:space="preserve"> del índice de la Sexta Sala Regional del Tribunal de Justicia Administrativa del Estado de México promovido por </w:t>
      </w:r>
      <w:r w:rsidR="00CF5B5E">
        <w:rPr>
          <w:rFonts w:ascii="Palatino Linotype" w:eastAsia="Arial Unicode MS" w:hAnsi="Palatino Linotype" w:cs="Arial"/>
          <w:i/>
          <w:sz w:val="22"/>
        </w:rPr>
        <w:t>XXXXXXXXXXXXXXXX</w:t>
      </w:r>
      <w:r w:rsidRPr="00FF05AC">
        <w:rPr>
          <w:rFonts w:ascii="Palatino Linotype" w:eastAsia="Arial Unicode MS" w:hAnsi="Palatino Linotype" w:cs="Arial"/>
          <w:i/>
          <w:sz w:val="22"/>
        </w:rPr>
        <w:t xml:space="preserve"> en contra del Director de Desarrollo Urbano del Municipio de Atizapán de Zaragoza, solicito: a) Versión pública del escrito inicial de demanda (sin anexos) b) Versión pública de todos y cada uno de los documentos anexos como prueba c) Versión pública de la sentencia que resolvió el asunto, de 28 de agosto de 2017 Es de señalarse que el juicio fue resuelto mediante sentencia de 28/agosto/2017, ejecutoriada el 22/sept/2017, por lo que al tratarse de un juicio concluido, es plenamente otorgable la información solicitada (sic)</w:t>
      </w:r>
    </w:p>
    <w:p w14:paraId="63A8006A" w14:textId="77777777" w:rsidR="005353EB" w:rsidRPr="00FF05AC" w:rsidRDefault="005353EB" w:rsidP="005353EB">
      <w:pPr>
        <w:spacing w:before="100" w:beforeAutospacing="1" w:after="100" w:afterAutospacing="1" w:line="360" w:lineRule="auto"/>
        <w:contextualSpacing/>
        <w:jc w:val="both"/>
        <w:rPr>
          <w:rFonts w:ascii="Palatino Linotype" w:hAnsi="Palatino Linotype" w:cs="Arial"/>
        </w:rPr>
      </w:pPr>
    </w:p>
    <w:p w14:paraId="3F24DF1D" w14:textId="77777777" w:rsidR="005353EB" w:rsidRPr="00FF05AC" w:rsidRDefault="005353EB" w:rsidP="005353EB">
      <w:pPr>
        <w:spacing w:before="100" w:beforeAutospacing="1" w:after="100" w:afterAutospacing="1" w:line="360" w:lineRule="auto"/>
        <w:contextualSpacing/>
        <w:jc w:val="both"/>
        <w:rPr>
          <w:rFonts w:ascii="Palatino Linotype" w:hAnsi="Palatino Linotype" w:cs="Arial"/>
        </w:rPr>
      </w:pPr>
      <w:r w:rsidRPr="00FF05AC">
        <w:rPr>
          <w:rFonts w:ascii="Palatino Linotype" w:hAnsi="Palatino Linotype" w:cs="Arial"/>
        </w:rPr>
        <w:t xml:space="preserve">Así, como se indicó en el Resultando III de la presente Resolución, </w:t>
      </w:r>
      <w:r w:rsidRPr="00FF05AC">
        <w:rPr>
          <w:rFonts w:ascii="Palatino Linotype" w:hAnsi="Palatino Linotype" w:cs="Arial"/>
          <w:b/>
        </w:rPr>
        <w:t>EL SUJETO OBLIGADO</w:t>
      </w:r>
      <w:r w:rsidRPr="00FF05AC">
        <w:rPr>
          <w:rFonts w:ascii="Palatino Linotype" w:hAnsi="Palatino Linotype" w:cs="Arial"/>
        </w:rPr>
        <w:t xml:space="preserve"> respondió a los cuestionamientos realizados por el particular de la siguiente manera:</w:t>
      </w:r>
    </w:p>
    <w:p w14:paraId="04903800" w14:textId="77777777" w:rsidR="005353EB" w:rsidRPr="00FF05AC" w:rsidRDefault="005353EB" w:rsidP="005353EB">
      <w:pPr>
        <w:spacing w:before="100" w:beforeAutospacing="1" w:after="100" w:afterAutospacing="1"/>
        <w:ind w:left="851" w:right="899"/>
        <w:contextualSpacing/>
        <w:jc w:val="both"/>
        <w:rPr>
          <w:rFonts w:ascii="Palatino Linotype" w:hAnsi="Palatino Linotype" w:cs="Arial"/>
          <w:i/>
          <w:sz w:val="22"/>
          <w:szCs w:val="22"/>
        </w:rPr>
      </w:pPr>
      <w:r w:rsidRPr="00FF05AC">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C11106" w14:textId="77777777" w:rsidR="005353EB" w:rsidRPr="00FF05AC" w:rsidRDefault="005353EB" w:rsidP="005353EB">
      <w:pPr>
        <w:spacing w:before="100" w:beforeAutospacing="1" w:after="100" w:afterAutospacing="1"/>
        <w:ind w:left="851" w:right="899"/>
        <w:contextualSpacing/>
        <w:jc w:val="both"/>
        <w:rPr>
          <w:rFonts w:ascii="Palatino Linotype" w:hAnsi="Palatino Linotype" w:cs="Arial"/>
          <w:i/>
          <w:sz w:val="22"/>
          <w:szCs w:val="22"/>
        </w:rPr>
      </w:pPr>
      <w:r w:rsidRPr="00FF05AC">
        <w:rPr>
          <w:rFonts w:ascii="Palatino Linotype" w:hAnsi="Palatino Linotype" w:cs="Arial"/>
          <w:i/>
          <w:sz w:val="22"/>
          <w:szCs w:val="22"/>
        </w:rPr>
        <w:t>Mediante archivo adjunto se da respuesta a la presente solicitud.</w:t>
      </w:r>
    </w:p>
    <w:p w14:paraId="28B6CF6C" w14:textId="77777777" w:rsidR="005353EB" w:rsidRPr="00FF05AC" w:rsidRDefault="005353EB" w:rsidP="005353EB">
      <w:pPr>
        <w:spacing w:before="100" w:beforeAutospacing="1" w:after="100" w:afterAutospacing="1"/>
        <w:ind w:left="851" w:right="899"/>
        <w:contextualSpacing/>
        <w:jc w:val="both"/>
        <w:rPr>
          <w:rFonts w:ascii="Palatino Linotype" w:hAnsi="Palatino Linotype" w:cs="Arial"/>
          <w:i/>
          <w:sz w:val="22"/>
          <w:szCs w:val="22"/>
        </w:rPr>
      </w:pPr>
    </w:p>
    <w:p w14:paraId="08403D93" w14:textId="77777777" w:rsidR="005353EB" w:rsidRPr="00FF05AC" w:rsidRDefault="005353EB" w:rsidP="005353EB">
      <w:pPr>
        <w:spacing w:before="100" w:beforeAutospacing="1" w:after="100" w:afterAutospacing="1"/>
        <w:ind w:left="851" w:right="899"/>
        <w:contextualSpacing/>
        <w:jc w:val="both"/>
        <w:rPr>
          <w:rFonts w:ascii="Palatino Linotype" w:hAnsi="Palatino Linotype" w:cs="Arial"/>
          <w:i/>
          <w:sz w:val="22"/>
          <w:szCs w:val="22"/>
        </w:rPr>
      </w:pPr>
      <w:r w:rsidRPr="00FF05AC">
        <w:rPr>
          <w:rFonts w:ascii="Palatino Linotype" w:hAnsi="Palatino Linotype" w:cs="Arial"/>
          <w:i/>
          <w:sz w:val="22"/>
          <w:szCs w:val="22"/>
        </w:rPr>
        <w:t>ATENTAMENTE</w:t>
      </w:r>
    </w:p>
    <w:p w14:paraId="2386F3FD" w14:textId="77777777" w:rsidR="005353EB" w:rsidRPr="00FF05AC" w:rsidRDefault="005353EB" w:rsidP="005353EB">
      <w:pPr>
        <w:spacing w:before="100" w:beforeAutospacing="1" w:after="100" w:afterAutospacing="1"/>
        <w:ind w:left="851" w:right="899"/>
        <w:contextualSpacing/>
        <w:jc w:val="both"/>
        <w:rPr>
          <w:rFonts w:ascii="Palatino Linotype" w:hAnsi="Palatino Linotype" w:cs="Arial"/>
          <w:i/>
          <w:sz w:val="22"/>
          <w:szCs w:val="22"/>
        </w:rPr>
      </w:pPr>
    </w:p>
    <w:p w14:paraId="0B4B049C" w14:textId="77777777" w:rsidR="005353EB" w:rsidRPr="00FF05AC" w:rsidRDefault="005353EB" w:rsidP="005353EB">
      <w:pPr>
        <w:spacing w:before="100" w:beforeAutospacing="1" w:after="100" w:afterAutospacing="1"/>
        <w:ind w:left="851" w:right="899"/>
        <w:contextualSpacing/>
        <w:jc w:val="both"/>
        <w:rPr>
          <w:rFonts w:ascii="Palatino Linotype" w:hAnsi="Palatino Linotype" w:cs="Arial"/>
          <w:i/>
          <w:sz w:val="22"/>
          <w:szCs w:val="22"/>
        </w:rPr>
      </w:pPr>
      <w:r w:rsidRPr="00FF05AC">
        <w:rPr>
          <w:rFonts w:ascii="Palatino Linotype" w:hAnsi="Palatino Linotype" w:cs="Arial"/>
          <w:i/>
          <w:sz w:val="22"/>
          <w:szCs w:val="22"/>
        </w:rPr>
        <w:t>L.A.E. ERIKA YOLANDA FUNES VELÁZQUEZ</w:t>
      </w:r>
    </w:p>
    <w:p w14:paraId="57FC8407" w14:textId="77777777" w:rsidR="005353EB" w:rsidRPr="00FF05AC" w:rsidRDefault="005353EB" w:rsidP="005353EB">
      <w:pPr>
        <w:spacing w:before="100" w:beforeAutospacing="1" w:after="100" w:afterAutospacing="1"/>
        <w:ind w:left="851" w:right="899"/>
        <w:contextualSpacing/>
        <w:jc w:val="both"/>
        <w:rPr>
          <w:rFonts w:ascii="Palatino Linotype" w:hAnsi="Palatino Linotype" w:cs="Arial"/>
          <w:sz w:val="22"/>
          <w:szCs w:val="22"/>
        </w:rPr>
      </w:pPr>
    </w:p>
    <w:p w14:paraId="0D61D298" w14:textId="77777777" w:rsidR="005353EB" w:rsidRPr="00FF05AC" w:rsidRDefault="005353EB" w:rsidP="005353EB">
      <w:pPr>
        <w:spacing w:before="100" w:beforeAutospacing="1" w:after="100" w:afterAutospacing="1" w:line="360" w:lineRule="auto"/>
        <w:ind w:right="49"/>
        <w:contextualSpacing/>
        <w:jc w:val="both"/>
        <w:rPr>
          <w:rFonts w:ascii="Palatino Linotype" w:hAnsi="Palatino Linotype" w:cs="Arial"/>
        </w:rPr>
      </w:pPr>
      <w:r w:rsidRPr="00FF05AC">
        <w:rPr>
          <w:rFonts w:ascii="Palatino Linotype" w:hAnsi="Palatino Linotype" w:cs="Arial"/>
        </w:rPr>
        <w:t xml:space="preserve">Asimismo, adjuntó los archivos electrónicos </w:t>
      </w:r>
      <w:r w:rsidRPr="00FF05AC">
        <w:rPr>
          <w:rFonts w:ascii="Palatino Linotype" w:hAnsi="Palatino Linotype" w:cs="Arial"/>
          <w:b/>
          <w:i/>
        </w:rPr>
        <w:t>ACTA SESION 47-2020.pdf</w:t>
      </w:r>
      <w:r w:rsidRPr="00FF05AC">
        <w:rPr>
          <w:rFonts w:ascii="Palatino Linotype" w:hAnsi="Palatino Linotype" w:cs="Arial"/>
          <w:b/>
        </w:rPr>
        <w:t xml:space="preserve"> </w:t>
      </w:r>
      <w:r w:rsidRPr="00FF05AC">
        <w:rPr>
          <w:rFonts w:ascii="Palatino Linotype" w:hAnsi="Palatino Linotype" w:cs="Arial"/>
        </w:rPr>
        <w:t xml:space="preserve">del que medularmente se desprende el acta de la cuadragésima séptima extraordinaria sesión del Comité de Transparencia en la que se aprobó la reserva de información correspondiente a la solicitud </w:t>
      </w:r>
      <w:r w:rsidRPr="00FF05AC">
        <w:rPr>
          <w:rFonts w:ascii="Palatino Linotype" w:hAnsi="Palatino Linotype" w:cs="Arial"/>
          <w:b/>
        </w:rPr>
        <w:t>00228/TRIJAEM/IP/2020</w:t>
      </w:r>
      <w:r w:rsidRPr="00FF05AC">
        <w:rPr>
          <w:rFonts w:ascii="Palatino Linotype" w:hAnsi="Palatino Linotype" w:cs="Arial"/>
        </w:rPr>
        <w:t>; y,</w:t>
      </w:r>
      <w:r w:rsidRPr="00FF05AC">
        <w:rPr>
          <w:rFonts w:ascii="Palatino Linotype" w:hAnsi="Palatino Linotype" w:cs="Arial"/>
          <w:b/>
        </w:rPr>
        <w:t xml:space="preserve"> </w:t>
      </w:r>
      <w:r w:rsidRPr="00FF05AC">
        <w:rPr>
          <w:rFonts w:ascii="Palatino Linotype" w:hAnsi="Palatino Linotype" w:cs="Arial"/>
          <w:b/>
          <w:i/>
        </w:rPr>
        <w:t xml:space="preserve">ACUERDO SOL 228-2020.pdf </w:t>
      </w:r>
      <w:r w:rsidRPr="00FF05AC">
        <w:rPr>
          <w:rFonts w:ascii="Palatino Linotype" w:hAnsi="Palatino Linotype" w:cs="Arial"/>
        </w:rPr>
        <w:t>mediante el cual hizo del conocimiento del particular que no podía entregar información en virtud que el juicio al que hizo referencia en la solicitud inicial de acceso a información pública no se encuentra como definitivamente concluido.</w:t>
      </w:r>
    </w:p>
    <w:p w14:paraId="7CD8C0B8" w14:textId="77777777" w:rsidR="005353EB" w:rsidRPr="00FF05AC" w:rsidRDefault="005353EB" w:rsidP="005353EB">
      <w:pPr>
        <w:spacing w:before="100" w:beforeAutospacing="1" w:after="100" w:afterAutospacing="1"/>
        <w:ind w:left="851" w:right="899"/>
        <w:contextualSpacing/>
        <w:jc w:val="both"/>
        <w:rPr>
          <w:rFonts w:ascii="Palatino Linotype" w:hAnsi="Palatino Linotype" w:cs="Arial"/>
          <w:i/>
          <w:sz w:val="22"/>
          <w:szCs w:val="22"/>
        </w:rPr>
      </w:pPr>
    </w:p>
    <w:p w14:paraId="22665931" w14:textId="77777777" w:rsidR="005353EB" w:rsidRPr="00FF05AC" w:rsidRDefault="005353EB" w:rsidP="005353EB">
      <w:pPr>
        <w:spacing w:before="100" w:beforeAutospacing="1" w:after="100" w:afterAutospacing="1" w:line="360" w:lineRule="auto"/>
        <w:contextualSpacing/>
        <w:jc w:val="both"/>
        <w:rPr>
          <w:rFonts w:ascii="Palatino Linotype" w:hAnsi="Palatino Linotype" w:cs="Arial"/>
        </w:rPr>
      </w:pPr>
      <w:r w:rsidRPr="00FF05AC">
        <w:rPr>
          <w:rFonts w:ascii="Palatino Linotype" w:hAnsi="Palatino Linotype" w:cs="Arial"/>
        </w:rPr>
        <w:t xml:space="preserve">Inconforme con la respuesta del </w:t>
      </w:r>
      <w:r w:rsidRPr="00FF05AC">
        <w:rPr>
          <w:rFonts w:ascii="Palatino Linotype" w:hAnsi="Palatino Linotype" w:cs="Arial"/>
          <w:b/>
        </w:rPr>
        <w:t>SUJETO OBLIGADO,</w:t>
      </w:r>
      <w:r w:rsidRPr="00FF05AC">
        <w:rPr>
          <w:rFonts w:ascii="Palatino Linotype" w:hAnsi="Palatino Linotype" w:cs="Arial"/>
        </w:rPr>
        <w:t xml:space="preserve"> el particular interpuso el recurso de revisión en el que señaló como acto impugnado lo siguiente:</w:t>
      </w:r>
    </w:p>
    <w:p w14:paraId="4B787A80" w14:textId="77777777" w:rsidR="005353EB" w:rsidRPr="00FF05AC" w:rsidRDefault="005353EB" w:rsidP="005353EB">
      <w:pPr>
        <w:spacing w:before="100" w:beforeAutospacing="1" w:after="100" w:afterAutospacing="1"/>
        <w:ind w:left="851" w:right="899"/>
        <w:contextualSpacing/>
        <w:jc w:val="both"/>
        <w:rPr>
          <w:rFonts w:ascii="Palatino Linotype" w:hAnsi="Palatino Linotype" w:cs="Arial"/>
          <w:i/>
          <w:sz w:val="22"/>
          <w:szCs w:val="22"/>
        </w:rPr>
      </w:pPr>
    </w:p>
    <w:p w14:paraId="68006833" w14:textId="77777777" w:rsidR="005353EB" w:rsidRPr="00FF05AC" w:rsidRDefault="005353EB" w:rsidP="005353EB">
      <w:pPr>
        <w:spacing w:before="100" w:beforeAutospacing="1" w:after="100" w:afterAutospacing="1"/>
        <w:ind w:left="851" w:right="899"/>
        <w:contextualSpacing/>
        <w:jc w:val="both"/>
        <w:rPr>
          <w:rFonts w:ascii="Palatino Linotype" w:hAnsi="Palatino Linotype" w:cs="Arial"/>
          <w:i/>
          <w:sz w:val="22"/>
          <w:szCs w:val="22"/>
        </w:rPr>
      </w:pPr>
      <w:r w:rsidRPr="00FF05AC">
        <w:rPr>
          <w:rFonts w:ascii="Palatino Linotype" w:hAnsi="Palatino Linotype" w:cs="Arial"/>
          <w:i/>
          <w:sz w:val="22"/>
          <w:szCs w:val="22"/>
        </w:rPr>
        <w:t>“a) La reserva de información requerida a través de la solicitud de información 228/TRIJAEM/IP/2020, aprobada en el punto V del orden del día de la 47 sesión extraordinaria del Comité de Transparencia del sujeto obligado de 23 de noviembre de 2020, por el cual se aprobó por unanimidad el acuerdo de TJA/00228/TRIJAEM/IP/2020. b) El oficio TCA-6SR/4292/2020 de 24 de noviembre de 2020” (sic)</w:t>
      </w:r>
    </w:p>
    <w:p w14:paraId="72AA5559" w14:textId="77777777" w:rsidR="005353EB" w:rsidRPr="00FF05AC" w:rsidRDefault="005353EB" w:rsidP="005353EB">
      <w:pPr>
        <w:spacing w:before="100" w:beforeAutospacing="1" w:after="100" w:afterAutospacing="1" w:line="360" w:lineRule="auto"/>
        <w:contextualSpacing/>
        <w:jc w:val="both"/>
        <w:rPr>
          <w:rFonts w:ascii="Palatino Linotype" w:hAnsi="Palatino Linotype" w:cs="Arial"/>
        </w:rPr>
      </w:pPr>
    </w:p>
    <w:p w14:paraId="0B993BF5" w14:textId="77777777" w:rsidR="005353EB" w:rsidRPr="00FF05AC" w:rsidRDefault="005353EB" w:rsidP="005353EB">
      <w:pPr>
        <w:spacing w:before="100" w:beforeAutospacing="1" w:after="100" w:afterAutospacing="1" w:line="360" w:lineRule="auto"/>
        <w:contextualSpacing/>
        <w:jc w:val="both"/>
        <w:rPr>
          <w:rFonts w:ascii="Palatino Linotype" w:hAnsi="Palatino Linotype" w:cs="Arial"/>
        </w:rPr>
      </w:pPr>
      <w:r w:rsidRPr="00FF05AC">
        <w:rPr>
          <w:rFonts w:ascii="Palatino Linotype" w:hAnsi="Palatino Linotype" w:cs="Arial"/>
        </w:rPr>
        <w:t>Asimismo, como en razones o motivos de inconformidad:</w:t>
      </w:r>
    </w:p>
    <w:p w14:paraId="109DECF7" w14:textId="77777777" w:rsidR="005353EB" w:rsidRPr="00FF05AC" w:rsidRDefault="005353EB" w:rsidP="005353EB">
      <w:pPr>
        <w:spacing w:before="100" w:beforeAutospacing="1" w:after="100" w:afterAutospacing="1" w:line="360" w:lineRule="auto"/>
        <w:contextualSpacing/>
        <w:jc w:val="both"/>
        <w:rPr>
          <w:rFonts w:ascii="Palatino Linotype" w:hAnsi="Palatino Linotype" w:cs="Arial"/>
        </w:rPr>
      </w:pPr>
    </w:p>
    <w:p w14:paraId="159873BC" w14:textId="77777777" w:rsidR="005353EB" w:rsidRPr="00FF05AC" w:rsidRDefault="005353EB" w:rsidP="005353EB">
      <w:pPr>
        <w:spacing w:before="100" w:beforeAutospacing="1" w:after="100" w:afterAutospacing="1"/>
        <w:ind w:left="851" w:right="902"/>
        <w:contextualSpacing/>
        <w:jc w:val="both"/>
        <w:rPr>
          <w:rFonts w:ascii="Palatino Linotype" w:hAnsi="Palatino Linotype" w:cs="Arial"/>
          <w:i/>
          <w:sz w:val="22"/>
          <w:szCs w:val="22"/>
        </w:rPr>
      </w:pPr>
      <w:r w:rsidRPr="00FF05AC">
        <w:rPr>
          <w:rFonts w:ascii="Palatino Linotype" w:hAnsi="Palatino Linotype"/>
          <w:i/>
          <w:color w:val="000000"/>
          <w:sz w:val="22"/>
          <w:szCs w:val="22"/>
        </w:rPr>
        <w:t>“Son ilícitos tanto la reserva del Comité de Transparencia, como el oficio de respuesta TCA-6SR/4292/2020 de la Sexta Sala Regional, ambos del Sujeto obligado, en virtud de que ordenan la reserva de la información a partir de la inexacta premisa de que un expediente jurisdiccional debe mantenerse bajo reserva hasta en tanto no se completen todas y cada una de sus partes, incluida su ejecución, y se ordene su archivo. Circunstancia que vulnera directamente el numeral 140 fracción VIII, de la Ley de Transparencia mexiquense, toda vez que el mismo señala como causal de restricción del acceso a la información, y su calificación como reservada, cuando la información solicitud vulnere la conducción de los expedientes judiciales. Sin embargo, esa causal únicamente puede considerarse actualizable hasta en tanto no hayan quedado firmes las sentencia que los resuelva, lo que en el caso concreto ya aconteció, toda vez que la responsable ya emitió actuaciones en cumplimiento de la sentencia definitiva solicitada. En consecuencia, aún en el supuesto no concedido de que existan actuaciones pendientes en el expediente jurisdiccional materia de la solicitud, su revelación pasa perfectamente una prueba de daño y de interés público, toda vez que con la revelación de la información solicitada en nada podría afectarse el resultado del proceso jurisdiccional, al vulnerarse, por ejemplo, la igualdad entre las partes y la confidencialidad, pues YA EXISTE UNA SENTENCIA FIRME QUE LO RESOLVIÓ. Además, materialmente el asunto versa sobre un cambio de uso de suelo, que trae aparejado posibles afectaciones al orden público, ya que altera el desarrollo urbano municipal, que es DE INTERÉS GENERAL Y COELCTIVO, por lo que existe un DEBER REFORZADO DE ESCRUTÍNIO del actuar del juzgador. Finalmente, no dejo de llamar la atención a éste Instituto garante, la simulación que realiza el sujeto obligado respecto de la aprobación de la clasificación de la información, toda vez que el Comité de Transparencia al aprobó la clasificación el día 23 de noviembre, es decir, un día antes del 24 de noviembre, fecha del oficio de reserva de la Sexta Sala Regional, el cual necesariamente debió aprobarse primero, lo que conlleva necesariamente a la revocación de la clasificación por vicios de forma y de procedimiento, ya que al momento de la aprobación de la reserva, la sexta sala regional aún no había emitido el oficio de reserva. Por lo que resulta procedente conforme a Derecho revocar la respuesta impugnada, la reserva de la información solicitada y ordenar al sujeto obligado a entregar la misma.” (sic)</w:t>
      </w:r>
    </w:p>
    <w:p w14:paraId="149CA906" w14:textId="77777777" w:rsidR="005353EB" w:rsidRPr="00FF05AC" w:rsidRDefault="005353EB" w:rsidP="005353EB">
      <w:pPr>
        <w:spacing w:before="100" w:beforeAutospacing="1" w:after="100" w:afterAutospacing="1" w:line="360" w:lineRule="auto"/>
        <w:contextualSpacing/>
        <w:jc w:val="both"/>
        <w:rPr>
          <w:rFonts w:ascii="Palatino Linotype" w:hAnsi="Palatino Linotype" w:cs="Arial"/>
        </w:rPr>
      </w:pPr>
    </w:p>
    <w:p w14:paraId="590D07B8" w14:textId="341B8132" w:rsidR="005353EB" w:rsidRPr="00FF05AC" w:rsidRDefault="005353EB" w:rsidP="005353EB">
      <w:pPr>
        <w:spacing w:before="100" w:beforeAutospacing="1" w:after="100" w:afterAutospacing="1" w:line="360" w:lineRule="auto"/>
        <w:contextualSpacing/>
        <w:jc w:val="both"/>
        <w:rPr>
          <w:rFonts w:ascii="Palatino Linotype" w:eastAsia="Arial Unicode MS" w:hAnsi="Palatino Linotype" w:cs="Arial"/>
        </w:rPr>
      </w:pPr>
      <w:r w:rsidRPr="00FF05AC">
        <w:rPr>
          <w:rFonts w:ascii="Palatino Linotype" w:hAnsi="Palatino Linotype" w:cs="Arial"/>
        </w:rPr>
        <w:t xml:space="preserve">Ahora bien, en el presente recurso </w:t>
      </w:r>
      <w:r w:rsidRPr="00FF05AC">
        <w:rPr>
          <w:rFonts w:ascii="Palatino Linotype" w:hAnsi="Palatino Linotype" w:cs="Arial"/>
          <w:b/>
        </w:rPr>
        <w:t>EL RECURRENTE</w:t>
      </w:r>
      <w:r w:rsidRPr="00FF05AC">
        <w:rPr>
          <w:rFonts w:ascii="Palatino Linotype" w:hAnsi="Palatino Linotype" w:cs="Arial"/>
        </w:rPr>
        <w:t xml:space="preserve"> fue omiso en verter sus manifestaciones y presentar los alegatos que a su derecho convinieran, por su parte </w:t>
      </w:r>
      <w:r w:rsidRPr="00FF05AC">
        <w:rPr>
          <w:rFonts w:ascii="Palatino Linotype" w:hAnsi="Palatino Linotype" w:cs="Arial"/>
          <w:b/>
        </w:rPr>
        <w:t>EL SUJETO OBLIGADO</w:t>
      </w:r>
      <w:r w:rsidRPr="00FF05AC">
        <w:rPr>
          <w:rFonts w:ascii="Palatino Linotype" w:hAnsi="Palatino Linotype" w:cs="Arial"/>
        </w:rPr>
        <w:t xml:space="preserve"> mediante su informe justificado </w:t>
      </w:r>
      <w:r w:rsidRPr="00FF05AC">
        <w:rPr>
          <w:rFonts w:ascii="Palatino Linotype" w:eastAsia="Arial Unicode MS" w:hAnsi="Palatino Linotype" w:cs="Arial"/>
        </w:rPr>
        <w:t xml:space="preserve">remitió el archivo electrónico </w:t>
      </w:r>
      <w:r w:rsidRPr="00FF05AC">
        <w:rPr>
          <w:rFonts w:ascii="Palatino Linotype" w:eastAsia="Arial Unicode MS" w:hAnsi="Palatino Linotype" w:cs="Arial"/>
          <w:b/>
          <w:i/>
        </w:rPr>
        <w:t xml:space="preserve">INF JUST 228-2020.pdf </w:t>
      </w:r>
      <w:r w:rsidRPr="00FF05AC">
        <w:rPr>
          <w:rFonts w:ascii="Palatino Linotype" w:eastAsia="Arial Unicode MS" w:hAnsi="Palatino Linotype" w:cs="Arial"/>
        </w:rPr>
        <w:t>mediante el cual hizo del conocimiento del particular que el expediente correspondiente al juicio administrativo no se encuentra concluido; asimismo, que en virtud de la pandemia en la que nos encontramos si bien la información fue remitida el día 24 de noviembre del año pasado, lo cierto es que en esa fecha se envió físicamente la información y que esta fue tratada personalmente con anterioridad tal y como se muestra a continuación:</w:t>
      </w:r>
    </w:p>
    <w:p w14:paraId="1E383CF3" w14:textId="77777777" w:rsidR="009741B3" w:rsidRPr="00FF05AC" w:rsidRDefault="009741B3" w:rsidP="005353EB">
      <w:pPr>
        <w:spacing w:before="100" w:beforeAutospacing="1" w:after="100" w:afterAutospacing="1" w:line="360" w:lineRule="auto"/>
        <w:contextualSpacing/>
        <w:jc w:val="both"/>
        <w:rPr>
          <w:rFonts w:ascii="Palatino Linotype" w:eastAsia="Arial Unicode MS" w:hAnsi="Palatino Linotype" w:cs="Arial"/>
        </w:rPr>
      </w:pPr>
    </w:p>
    <w:p w14:paraId="63EE150E" w14:textId="06062C0B" w:rsidR="005353EB" w:rsidRPr="00FF05AC" w:rsidRDefault="00CF5B5E" w:rsidP="005353EB">
      <w:pPr>
        <w:spacing w:before="100" w:beforeAutospacing="1" w:after="100" w:afterAutospacing="1" w:line="360" w:lineRule="auto"/>
        <w:contextualSpacing/>
        <w:jc w:val="both"/>
        <w:rPr>
          <w:rFonts w:ascii="Palatino Linotype" w:eastAsia="Arial Unicode MS" w:hAnsi="Palatino Linotype" w:cs="Arial"/>
        </w:rPr>
      </w:pPr>
      <w:r>
        <w:rPr>
          <w:rFonts w:ascii="Palatino Linotype" w:hAnsi="Palatino Linotype"/>
          <w:noProof/>
          <w:lang w:eastAsia="es-MX"/>
        </w:rPr>
        <mc:AlternateContent>
          <mc:Choice Requires="wps">
            <w:drawing>
              <wp:anchor distT="0" distB="0" distL="114300" distR="114300" simplePos="0" relativeHeight="251657214" behindDoc="0" locked="0" layoutInCell="1" allowOverlap="1" wp14:anchorId="35D46249" wp14:editId="5A471268">
                <wp:simplePos x="0" y="0"/>
                <wp:positionH relativeFrom="column">
                  <wp:posOffset>4317365</wp:posOffset>
                </wp:positionH>
                <wp:positionV relativeFrom="paragraph">
                  <wp:posOffset>2032635</wp:posOffset>
                </wp:positionV>
                <wp:extent cx="533400" cy="165100"/>
                <wp:effectExtent l="0" t="0" r="19050" b="25400"/>
                <wp:wrapNone/>
                <wp:docPr id="7" name="Rectángulo 7"/>
                <wp:cNvGraphicFramePr/>
                <a:graphic xmlns:a="http://schemas.openxmlformats.org/drawingml/2006/main">
                  <a:graphicData uri="http://schemas.microsoft.com/office/word/2010/wordprocessingShape">
                    <wps:wsp>
                      <wps:cNvSpPr/>
                      <wps:spPr>
                        <a:xfrm>
                          <a:off x="0" y="0"/>
                          <a:ext cx="533400" cy="1651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399DCE" id="Rectángulo 7" o:spid="_x0000_s1026" style="position:absolute;margin-left:339.95pt;margin-top:160.05pt;width:42pt;height:13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" fillcolor="black [3200]" strokecolor="black [1600]" strokeweight="1pt"/>
            </w:pict>
          </mc:Fallback>
        </mc:AlternateContent>
      </w:r>
      <w:r>
        <w:rPr>
          <w:rFonts w:ascii="Palatino Linotype" w:hAnsi="Palatino Linotype"/>
          <w:noProof/>
          <w:lang w:eastAsia="es-MX"/>
        </w:rPr>
        <mc:AlternateContent>
          <mc:Choice Requires="wps">
            <w:drawing>
              <wp:anchor distT="0" distB="0" distL="114300" distR="114300" simplePos="0" relativeHeight="251658239" behindDoc="0" locked="0" layoutInCell="1" allowOverlap="1" wp14:anchorId="37926789" wp14:editId="6539176A">
                <wp:simplePos x="0" y="0"/>
                <wp:positionH relativeFrom="column">
                  <wp:posOffset>2939415</wp:posOffset>
                </wp:positionH>
                <wp:positionV relativeFrom="paragraph">
                  <wp:posOffset>705485</wp:posOffset>
                </wp:positionV>
                <wp:extent cx="1384300" cy="95250"/>
                <wp:effectExtent l="0" t="0" r="25400" b="19050"/>
                <wp:wrapNone/>
                <wp:docPr id="5" name="Rectángulo 5"/>
                <wp:cNvGraphicFramePr/>
                <a:graphic xmlns:a="http://schemas.openxmlformats.org/drawingml/2006/main">
                  <a:graphicData uri="http://schemas.microsoft.com/office/word/2010/wordprocessingShape">
                    <wps:wsp>
                      <wps:cNvSpPr/>
                      <wps:spPr>
                        <a:xfrm>
                          <a:off x="0" y="0"/>
                          <a:ext cx="1384300" cy="95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0A5D5" id="Rectángulo 5" o:spid="_x0000_s1026" style="position:absolute;margin-left:231.45pt;margin-top:55.55pt;width:109pt;height:7.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" fillcolor="black [3200]" strokecolor="black [1600]" strokeweight="1pt"/>
            </w:pict>
          </mc:Fallback>
        </mc:AlternateContent>
      </w:r>
      <w:r>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DC53B9A" wp14:editId="27F5B92F">
                <wp:simplePos x="0" y="0"/>
                <wp:positionH relativeFrom="column">
                  <wp:posOffset>2533015</wp:posOffset>
                </wp:positionH>
                <wp:positionV relativeFrom="paragraph">
                  <wp:posOffset>591185</wp:posOffset>
                </wp:positionV>
                <wp:extent cx="342900" cy="88900"/>
                <wp:effectExtent l="0" t="0" r="19050" b="25400"/>
                <wp:wrapNone/>
                <wp:docPr id="4" name="Rectángulo 4"/>
                <wp:cNvGraphicFramePr/>
                <a:graphic xmlns:a="http://schemas.openxmlformats.org/drawingml/2006/main">
                  <a:graphicData uri="http://schemas.microsoft.com/office/word/2010/wordprocessingShape">
                    <wps:wsp>
                      <wps:cNvSpPr/>
                      <wps:spPr>
                        <a:xfrm>
                          <a:off x="0" y="0"/>
                          <a:ext cx="342900" cy="889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0B5B31" id="Rectángulo 4" o:spid="_x0000_s1026" style="position:absolute;margin-left:199.45pt;margin-top:46.55pt;width:27pt;height: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" fillcolor="black [3200]" strokecolor="black [1600]" strokeweight="1pt"/>
            </w:pict>
          </mc:Fallback>
        </mc:AlternateContent>
      </w:r>
      <w:r w:rsidR="005353EB" w:rsidRPr="00FF05AC">
        <w:rPr>
          <w:rFonts w:ascii="Palatino Linotype" w:hAnsi="Palatino Linotype"/>
          <w:noProof/>
          <w:lang w:eastAsia="es-MX"/>
        </w:rPr>
        <w:drawing>
          <wp:inline distT="0" distB="0" distL="0" distR="0" wp14:anchorId="6FC0F00F" wp14:editId="732A9D5B">
            <wp:extent cx="5742305" cy="48133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121" t="36272" r="24154" b="7584"/>
                    <a:stretch/>
                  </pic:blipFill>
                  <pic:spPr bwMode="auto">
                    <a:xfrm>
                      <a:off x="0" y="0"/>
                      <a:ext cx="5820676" cy="487899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FAA938D" w14:textId="77777777" w:rsidR="005353EB" w:rsidRPr="00FF05AC" w:rsidRDefault="005353EB" w:rsidP="005353EB">
      <w:pPr>
        <w:spacing w:before="100" w:beforeAutospacing="1" w:after="100" w:afterAutospacing="1" w:line="360" w:lineRule="auto"/>
        <w:contextualSpacing/>
        <w:jc w:val="both"/>
        <w:rPr>
          <w:rFonts w:ascii="Palatino Linotype" w:hAnsi="Palatino Linotype" w:cs="Arial"/>
        </w:rPr>
      </w:pPr>
    </w:p>
    <w:p w14:paraId="0DEB5D6B" w14:textId="77777777" w:rsidR="005353EB" w:rsidRPr="00FF05AC" w:rsidRDefault="005353EB" w:rsidP="005353EB">
      <w:pPr>
        <w:spacing w:before="100" w:beforeAutospacing="1" w:after="100" w:afterAutospacing="1" w:line="360" w:lineRule="auto"/>
        <w:contextualSpacing/>
        <w:jc w:val="both"/>
        <w:rPr>
          <w:rFonts w:ascii="Palatino Linotype" w:hAnsi="Palatino Linotype" w:cs="Arial"/>
        </w:rPr>
      </w:pPr>
      <w:r w:rsidRPr="00FF05AC">
        <w:rPr>
          <w:rFonts w:ascii="Palatino Linotype" w:hAnsi="Palatino Linotype"/>
          <w:noProof/>
          <w:lang w:eastAsia="es-MX"/>
        </w:rPr>
        <w:drawing>
          <wp:inline distT="0" distB="0" distL="0" distR="0" wp14:anchorId="6EAE39C4" wp14:editId="2CEB0340">
            <wp:extent cx="5741286" cy="333842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427" t="44480" r="25934" b="9969"/>
                    <a:stretch/>
                  </pic:blipFill>
                  <pic:spPr bwMode="auto">
                    <a:xfrm>
                      <a:off x="0" y="0"/>
                      <a:ext cx="5782986" cy="336267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96B9981" w14:textId="77777777" w:rsidR="005353EB" w:rsidRPr="00FF05AC" w:rsidRDefault="005353EB" w:rsidP="005353EB">
      <w:pPr>
        <w:spacing w:line="360" w:lineRule="auto"/>
        <w:jc w:val="both"/>
        <w:rPr>
          <w:rFonts w:ascii="Palatino Linotype" w:hAnsi="Palatino Linotype" w:cs="Arial"/>
          <w:lang w:eastAsia="es-MX"/>
        </w:rPr>
      </w:pPr>
      <w:r w:rsidRPr="00FF05AC">
        <w:rPr>
          <w:rFonts w:ascii="Palatino Linotype" w:hAnsi="Palatino Linotype" w:cs="Arial"/>
          <w:lang w:eastAsia="es-MX"/>
        </w:rPr>
        <w:t xml:space="preserve">De lo anterior, y toda vez que, </w:t>
      </w:r>
      <w:r w:rsidRPr="00FF05AC">
        <w:rPr>
          <w:rFonts w:ascii="Palatino Linotype" w:hAnsi="Palatino Linotype" w:cs="Arial"/>
          <w:b/>
          <w:lang w:eastAsia="es-MX"/>
        </w:rPr>
        <w:t>EL SUJETO OBLIGADO</w:t>
      </w:r>
      <w:r w:rsidRPr="00FF05AC">
        <w:rPr>
          <w:rFonts w:ascii="Palatino Linotype" w:hAnsi="Palatino Linotype" w:cs="Arial"/>
          <w:lang w:eastAsia="es-MX"/>
        </w:rPr>
        <w:t xml:space="preserve"> realizó manifestaciones relacionadas con la información solicitada y atendiendo a la naturaleza de la misma, este Instituto no está facultado para pronunciarse sobre la veracidad de la información proporcionada. </w:t>
      </w:r>
    </w:p>
    <w:p w14:paraId="4FECB637" w14:textId="77777777" w:rsidR="005353EB" w:rsidRPr="00FF05AC" w:rsidRDefault="005353EB" w:rsidP="005353EB">
      <w:pPr>
        <w:spacing w:line="360" w:lineRule="auto"/>
        <w:jc w:val="both"/>
        <w:rPr>
          <w:rFonts w:ascii="Palatino Linotype" w:hAnsi="Palatino Linotype" w:cs="Arial"/>
          <w:lang w:eastAsia="es-MX"/>
        </w:rPr>
      </w:pPr>
    </w:p>
    <w:p w14:paraId="47173957" w14:textId="77777777" w:rsidR="005353EB" w:rsidRPr="00FF05AC" w:rsidRDefault="005353EB" w:rsidP="005353EB">
      <w:pPr>
        <w:spacing w:line="360" w:lineRule="auto"/>
        <w:jc w:val="both"/>
        <w:rPr>
          <w:rFonts w:ascii="Palatino Linotype" w:hAnsi="Palatino Linotype" w:cs="Arial"/>
          <w:lang w:eastAsia="es-MX"/>
        </w:rPr>
      </w:pPr>
      <w:r w:rsidRPr="00FF05AC">
        <w:rPr>
          <w:rFonts w:ascii="Palatino Linotype" w:hAnsi="Palatino Linotype" w:cs="Arial"/>
          <w:lang w:eastAsia="es-MX"/>
        </w:rPr>
        <w:t>Ello, en virtud de que no existe precepto legal alguno en la Ley de la materia que permita que, vía recurso de revisión, se pronuncie al respecto. Sirve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14:paraId="60FFA4E2" w14:textId="77777777" w:rsidR="005353EB" w:rsidRPr="00FF05AC" w:rsidRDefault="005353EB" w:rsidP="005353EB">
      <w:pPr>
        <w:spacing w:line="360" w:lineRule="auto"/>
        <w:jc w:val="both"/>
        <w:rPr>
          <w:rFonts w:ascii="Palatino Linotype" w:hAnsi="Palatino Linotype" w:cs="Arial"/>
          <w:lang w:eastAsia="es-MX"/>
        </w:rPr>
      </w:pPr>
    </w:p>
    <w:p w14:paraId="4A65499E" w14:textId="77777777" w:rsidR="005353EB" w:rsidRPr="00FF05AC" w:rsidRDefault="005353EB" w:rsidP="005353EB">
      <w:pPr>
        <w:ind w:left="709" w:right="757"/>
        <w:jc w:val="both"/>
        <w:rPr>
          <w:rFonts w:ascii="Palatino Linotype" w:hAnsi="Palatino Linotype" w:cs="Arial"/>
          <w:i/>
          <w:sz w:val="22"/>
          <w:lang w:eastAsia="es-MX"/>
        </w:rPr>
      </w:pPr>
      <w:r w:rsidRPr="00FF05AC">
        <w:rPr>
          <w:rFonts w:ascii="Palatino Linotype" w:hAnsi="Palatino Linotype" w:cs="Arial"/>
          <w:i/>
          <w:sz w:val="22"/>
          <w:lang w:eastAsia="es-MX"/>
        </w:rPr>
        <w:t>“</w:t>
      </w:r>
      <w:r w:rsidRPr="00FF05AC">
        <w:rPr>
          <w:rFonts w:ascii="Palatino Linotype" w:hAnsi="Palatino Linotype" w:cs="Arial"/>
          <w:b/>
          <w:i/>
          <w:sz w:val="22"/>
          <w:lang w:eastAsia="es-MX"/>
        </w:rPr>
        <w:t>El Instituto Federal de Acceso a la Información y Protección de Datos no cuenta con facultades para pronunciarse respecto de la veracidad de los documentos proporcionados por los Sujetos Obligados</w:t>
      </w:r>
      <w:r w:rsidRPr="00FF05AC">
        <w:rPr>
          <w:rFonts w:ascii="Palatino Linotype" w:hAnsi="Palatino Linotype" w:cs="Arial"/>
          <w:i/>
          <w:sz w:val="22"/>
          <w:lang w:eastAsia="es-MX"/>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AC6123C" w14:textId="77777777" w:rsidR="005353EB" w:rsidRPr="00FF05AC" w:rsidRDefault="005353EB" w:rsidP="005353EB">
      <w:pPr>
        <w:ind w:left="709" w:right="757"/>
        <w:jc w:val="both"/>
        <w:rPr>
          <w:rFonts w:ascii="Palatino Linotype" w:hAnsi="Palatino Linotype" w:cs="Arial"/>
          <w:i/>
          <w:sz w:val="22"/>
          <w:lang w:eastAsia="es-MX"/>
        </w:rPr>
      </w:pPr>
    </w:p>
    <w:p w14:paraId="0BB6477D" w14:textId="77777777" w:rsidR="005353EB" w:rsidRPr="00FF05AC" w:rsidRDefault="005353EB" w:rsidP="005353EB">
      <w:pPr>
        <w:ind w:left="709" w:right="757"/>
        <w:jc w:val="both"/>
        <w:rPr>
          <w:rFonts w:ascii="Palatino Linotype" w:hAnsi="Palatino Linotype" w:cs="Arial"/>
          <w:i/>
          <w:sz w:val="22"/>
          <w:lang w:eastAsia="es-MX"/>
        </w:rPr>
      </w:pPr>
      <w:r w:rsidRPr="00FF05AC">
        <w:rPr>
          <w:rFonts w:ascii="Palatino Linotype" w:hAnsi="Palatino Linotype" w:cs="Arial"/>
          <w:i/>
          <w:sz w:val="22"/>
          <w:lang w:eastAsia="es-MX"/>
        </w:rPr>
        <w:t>Expedientes:</w:t>
      </w:r>
    </w:p>
    <w:p w14:paraId="6AE14905" w14:textId="77777777" w:rsidR="005353EB" w:rsidRPr="00FF05AC" w:rsidRDefault="005353EB" w:rsidP="005353EB">
      <w:pPr>
        <w:ind w:left="709" w:right="757"/>
        <w:jc w:val="both"/>
        <w:rPr>
          <w:rFonts w:ascii="Palatino Linotype" w:hAnsi="Palatino Linotype" w:cs="Arial"/>
          <w:i/>
          <w:sz w:val="22"/>
          <w:lang w:eastAsia="es-MX"/>
        </w:rPr>
      </w:pPr>
    </w:p>
    <w:p w14:paraId="5FBB3103" w14:textId="77777777" w:rsidR="005353EB" w:rsidRPr="00FF05AC" w:rsidRDefault="005353EB" w:rsidP="005353EB">
      <w:pPr>
        <w:ind w:left="709" w:right="757"/>
        <w:jc w:val="both"/>
        <w:rPr>
          <w:rFonts w:ascii="Palatino Linotype" w:hAnsi="Palatino Linotype" w:cs="Arial"/>
          <w:i/>
          <w:sz w:val="22"/>
          <w:lang w:eastAsia="es-MX"/>
        </w:rPr>
      </w:pPr>
      <w:r w:rsidRPr="00FF05AC">
        <w:rPr>
          <w:rFonts w:ascii="Palatino Linotype" w:hAnsi="Palatino Linotype" w:cs="Arial"/>
          <w:i/>
          <w:sz w:val="22"/>
          <w:lang w:eastAsia="es-MX"/>
        </w:rPr>
        <w:t>2440/07 Comisión Federal de Electricidad - Alonso Lujambio Irazábal</w:t>
      </w:r>
    </w:p>
    <w:p w14:paraId="2B542505" w14:textId="77777777" w:rsidR="005353EB" w:rsidRPr="00FF05AC" w:rsidRDefault="005353EB" w:rsidP="005353EB">
      <w:pPr>
        <w:ind w:left="709" w:right="757"/>
        <w:jc w:val="both"/>
        <w:rPr>
          <w:rFonts w:ascii="Palatino Linotype" w:hAnsi="Palatino Linotype" w:cs="Arial"/>
          <w:i/>
          <w:sz w:val="22"/>
          <w:lang w:eastAsia="es-MX"/>
        </w:rPr>
      </w:pPr>
      <w:r w:rsidRPr="00FF05AC">
        <w:rPr>
          <w:rFonts w:ascii="Palatino Linotype" w:hAnsi="Palatino Linotype" w:cs="Arial"/>
          <w:i/>
          <w:sz w:val="22"/>
          <w:lang w:eastAsia="es-MX"/>
        </w:rPr>
        <w:t>0113/09 Instituto de Seguridad y Servicios Sociales de los Trabajadores del Estado – Alonso Lujambio Irazábal</w:t>
      </w:r>
    </w:p>
    <w:p w14:paraId="561CFDFE" w14:textId="77777777" w:rsidR="005353EB" w:rsidRPr="00FF05AC" w:rsidRDefault="005353EB" w:rsidP="005353EB">
      <w:pPr>
        <w:ind w:left="709" w:right="757"/>
        <w:jc w:val="both"/>
        <w:rPr>
          <w:rFonts w:ascii="Palatino Linotype" w:hAnsi="Palatino Linotype" w:cs="Arial"/>
          <w:i/>
          <w:sz w:val="22"/>
          <w:lang w:eastAsia="es-MX"/>
        </w:rPr>
      </w:pPr>
      <w:r w:rsidRPr="00FF05AC">
        <w:rPr>
          <w:rFonts w:ascii="Palatino Linotype" w:hAnsi="Palatino Linotype" w:cs="Arial"/>
          <w:i/>
          <w:sz w:val="22"/>
          <w:lang w:eastAsia="es-MX"/>
        </w:rPr>
        <w:t>1624/09 Instituto Nacional para la Educación de los Adultos - María Marván Laborde</w:t>
      </w:r>
    </w:p>
    <w:p w14:paraId="3148D68F" w14:textId="77777777" w:rsidR="005353EB" w:rsidRPr="00FF05AC" w:rsidRDefault="005353EB" w:rsidP="005353EB">
      <w:pPr>
        <w:ind w:left="709" w:right="757"/>
        <w:jc w:val="both"/>
        <w:rPr>
          <w:rFonts w:ascii="Palatino Linotype" w:hAnsi="Palatino Linotype" w:cs="Arial"/>
          <w:i/>
          <w:sz w:val="22"/>
          <w:lang w:eastAsia="es-MX"/>
        </w:rPr>
      </w:pPr>
      <w:r w:rsidRPr="00FF05AC">
        <w:rPr>
          <w:rFonts w:ascii="Palatino Linotype" w:hAnsi="Palatino Linotype" w:cs="Arial"/>
          <w:i/>
          <w:sz w:val="22"/>
          <w:lang w:eastAsia="es-MX"/>
        </w:rPr>
        <w:t>2395/09 Secretaría de Economía - María Marván Laborde</w:t>
      </w:r>
    </w:p>
    <w:p w14:paraId="525C0B42" w14:textId="77777777" w:rsidR="005353EB" w:rsidRPr="00FF05AC" w:rsidRDefault="005353EB" w:rsidP="005353EB">
      <w:pPr>
        <w:ind w:left="709" w:right="757"/>
        <w:jc w:val="both"/>
        <w:rPr>
          <w:rFonts w:ascii="Palatino Linotype" w:hAnsi="Palatino Linotype" w:cs="Arial"/>
          <w:i/>
          <w:sz w:val="22"/>
          <w:lang w:eastAsia="es-MX"/>
        </w:rPr>
      </w:pPr>
      <w:r w:rsidRPr="00FF05AC">
        <w:rPr>
          <w:rFonts w:ascii="Palatino Linotype" w:hAnsi="Palatino Linotype" w:cs="Arial"/>
          <w:i/>
          <w:sz w:val="22"/>
          <w:lang w:eastAsia="es-MX"/>
        </w:rPr>
        <w:t>0837/10 Administración Portuaria Integral de Veracruz, S.A. de C.V. – María Marván Laborde”</w:t>
      </w:r>
    </w:p>
    <w:p w14:paraId="3028BE9D" w14:textId="77777777" w:rsidR="005353EB" w:rsidRPr="00FF05AC" w:rsidRDefault="005353EB" w:rsidP="005353EB">
      <w:pPr>
        <w:widowControl w:val="0"/>
        <w:autoSpaceDE w:val="0"/>
        <w:autoSpaceDN w:val="0"/>
        <w:adjustRightInd w:val="0"/>
        <w:spacing w:line="360" w:lineRule="auto"/>
        <w:jc w:val="both"/>
        <w:rPr>
          <w:rFonts w:ascii="Palatino Linotype" w:eastAsia="Arial Unicode MS" w:hAnsi="Palatino Linotype" w:cs="Arial"/>
        </w:rPr>
      </w:pPr>
    </w:p>
    <w:p w14:paraId="26256C7F" w14:textId="77777777" w:rsidR="005353EB" w:rsidRPr="00FF05AC" w:rsidRDefault="005353EB" w:rsidP="005353EB">
      <w:pPr>
        <w:widowControl w:val="0"/>
        <w:autoSpaceDE w:val="0"/>
        <w:autoSpaceDN w:val="0"/>
        <w:adjustRightInd w:val="0"/>
        <w:spacing w:line="360" w:lineRule="auto"/>
        <w:jc w:val="both"/>
        <w:rPr>
          <w:rFonts w:ascii="Palatino Linotype" w:eastAsia="Arial Unicode MS" w:hAnsi="Palatino Linotype" w:cs="Arial"/>
        </w:rPr>
      </w:pPr>
      <w:r w:rsidRPr="00FF05AC">
        <w:rPr>
          <w:rFonts w:ascii="Palatino Linotype" w:eastAsia="Arial Unicode MS" w:hAnsi="Palatino Linotype" w:cs="Arial"/>
        </w:rPr>
        <w:t xml:space="preserve">En este sentido, este Órgano Garante advierte que resultan parcialmente fundadas las razones o motivos de inconformidad hechas valer por </w:t>
      </w:r>
      <w:r w:rsidRPr="00FF05AC">
        <w:rPr>
          <w:rFonts w:ascii="Palatino Linotype" w:eastAsia="Arial Unicode MS" w:hAnsi="Palatino Linotype" w:cs="Arial"/>
          <w:b/>
        </w:rPr>
        <w:t>EL RECURRENTE</w:t>
      </w:r>
      <w:r w:rsidRPr="00FF05AC">
        <w:rPr>
          <w:rFonts w:ascii="Palatino Linotype" w:eastAsia="Arial Unicode MS" w:hAnsi="Palatino Linotype" w:cs="Arial"/>
        </w:rPr>
        <w:t xml:space="preserve"> de conformidad con lo siguiente:</w:t>
      </w:r>
    </w:p>
    <w:p w14:paraId="04C0075A" w14:textId="77777777" w:rsidR="005353EB" w:rsidRPr="00FF05AC" w:rsidRDefault="005353EB" w:rsidP="005353EB">
      <w:pPr>
        <w:widowControl w:val="0"/>
        <w:autoSpaceDE w:val="0"/>
        <w:autoSpaceDN w:val="0"/>
        <w:adjustRightInd w:val="0"/>
        <w:spacing w:line="360" w:lineRule="auto"/>
        <w:jc w:val="both"/>
        <w:rPr>
          <w:rFonts w:ascii="Palatino Linotype" w:hAnsi="Palatino Linotype"/>
          <w:lang w:eastAsia="es-MX"/>
        </w:rPr>
      </w:pPr>
    </w:p>
    <w:p w14:paraId="55E6B88C" w14:textId="77777777" w:rsidR="005353EB" w:rsidRPr="00FF05AC" w:rsidRDefault="005353EB" w:rsidP="005353EB">
      <w:pPr>
        <w:spacing w:line="360" w:lineRule="auto"/>
        <w:jc w:val="both"/>
        <w:rPr>
          <w:rFonts w:ascii="Palatino Linotype" w:hAnsi="Palatino Linotype"/>
        </w:rPr>
      </w:pPr>
      <w:r w:rsidRPr="00FF05AC">
        <w:rPr>
          <w:rFonts w:ascii="Palatino Linotype" w:hAnsi="Palatino Linotype" w:cs="Arial"/>
        </w:rPr>
        <w:t>Precisado ello,</w:t>
      </w:r>
      <w:r w:rsidRPr="00FF05AC">
        <w:rPr>
          <w:rFonts w:ascii="Palatino Linotype" w:hAnsi="Palatino Linotype"/>
        </w:rPr>
        <w:t xml:space="preserve"> se obvia el análisis de la competencia por parte del </w:t>
      </w:r>
      <w:r w:rsidRPr="00FF05AC">
        <w:rPr>
          <w:rFonts w:ascii="Palatino Linotype" w:hAnsi="Palatino Linotype"/>
          <w:b/>
        </w:rPr>
        <w:t>SUJETO OBLIGADO</w:t>
      </w:r>
      <w:r w:rsidRPr="00FF05AC">
        <w:rPr>
          <w:rFonts w:ascii="Palatino Linotype" w:hAnsi="Palatino Linotype"/>
        </w:rPr>
        <w:t xml:space="preserve">, para generar, administrar o poseer la información solicitada en el recurso que nos ocupa, dado que éste ha asumido tener conocimiento de la misma, en razón de que en su respuesta, éste </w:t>
      </w:r>
      <w:r w:rsidRPr="00FF05AC">
        <w:rPr>
          <w:rFonts w:ascii="Palatino Linotype" w:hAnsi="Palatino Linotype" w:cs="Arial"/>
          <w:color w:val="000000"/>
        </w:rPr>
        <w:t xml:space="preserve">se pronunció ante los requerimientos del ciudadano asumiendo lo referente al expediente solicitado, </w:t>
      </w:r>
      <w:r w:rsidRPr="00FF05AC">
        <w:rPr>
          <w:rFonts w:ascii="Palatino Linotype" w:hAnsi="Palatino Linotype"/>
        </w:rPr>
        <w:t xml:space="preserve">por lo cual, asume contar con las facultades y competencias de en su caso, contar con la información a la que pretende acceder </w:t>
      </w:r>
      <w:r w:rsidRPr="00FF05AC">
        <w:rPr>
          <w:rFonts w:ascii="Palatino Linotype" w:hAnsi="Palatino Linotype" w:cs="Arial"/>
          <w:b/>
        </w:rPr>
        <w:t>EL RECURRENTE</w:t>
      </w:r>
      <w:r w:rsidRPr="00FF05AC">
        <w:rPr>
          <w:rFonts w:ascii="Palatino Linotype" w:hAnsi="Palatino Linotype"/>
        </w:rPr>
        <w:t>.</w:t>
      </w:r>
    </w:p>
    <w:p w14:paraId="0F42BD30" w14:textId="77777777" w:rsidR="005353EB" w:rsidRPr="00FF05AC" w:rsidRDefault="005353EB" w:rsidP="005353EB">
      <w:pPr>
        <w:spacing w:line="360" w:lineRule="auto"/>
        <w:jc w:val="both"/>
        <w:rPr>
          <w:rFonts w:ascii="Palatino Linotype" w:hAnsi="Palatino Linotype"/>
        </w:rPr>
      </w:pPr>
    </w:p>
    <w:p w14:paraId="0E608440" w14:textId="77777777" w:rsidR="005353EB" w:rsidRPr="00FF05AC" w:rsidRDefault="005353EB" w:rsidP="005353EB">
      <w:pPr>
        <w:spacing w:line="360" w:lineRule="auto"/>
        <w:jc w:val="both"/>
        <w:rPr>
          <w:rFonts w:ascii="Palatino Linotype" w:hAnsi="Palatino Linotype"/>
        </w:rPr>
      </w:pPr>
      <w:r w:rsidRPr="00FF05AC">
        <w:rPr>
          <w:rFonts w:ascii="Palatino Linotype" w:hAnsi="Palatino Linotype"/>
        </w:rPr>
        <w:t xml:space="preserve">En efecto, el hecho de que </w:t>
      </w:r>
      <w:r w:rsidRPr="00FF05AC">
        <w:rPr>
          <w:rFonts w:ascii="Palatino Linotype" w:hAnsi="Palatino Linotype"/>
          <w:b/>
        </w:rPr>
        <w:t>EL SUJETO OBLIGADO</w:t>
      </w:r>
      <w:r w:rsidRPr="00FF05AC">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27BE4C5D" w14:textId="77777777" w:rsidR="005353EB" w:rsidRPr="00FF05AC" w:rsidRDefault="005353EB" w:rsidP="005353EB">
      <w:pPr>
        <w:spacing w:line="360" w:lineRule="auto"/>
        <w:jc w:val="both"/>
        <w:rPr>
          <w:rFonts w:ascii="Palatino Linotype" w:hAnsi="Palatino Linotype"/>
        </w:rPr>
      </w:pPr>
    </w:p>
    <w:p w14:paraId="4A845FB4" w14:textId="77777777" w:rsidR="005353EB" w:rsidRPr="00FF05AC" w:rsidRDefault="005353EB" w:rsidP="005353EB">
      <w:pPr>
        <w:ind w:left="851" w:right="899"/>
        <w:jc w:val="both"/>
        <w:rPr>
          <w:rFonts w:ascii="Palatino Linotype" w:hAnsi="Palatino Linotype"/>
          <w:i/>
          <w:sz w:val="22"/>
          <w:szCs w:val="22"/>
        </w:rPr>
      </w:pPr>
      <w:r w:rsidRPr="00FF05AC">
        <w:rPr>
          <w:rFonts w:ascii="Palatino Linotype" w:hAnsi="Palatino Linotype"/>
          <w:b/>
          <w:i/>
          <w:sz w:val="22"/>
          <w:szCs w:val="22"/>
        </w:rPr>
        <w:t>“Artículo 12</w:t>
      </w:r>
      <w:r w:rsidRPr="00FF05AC">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53586703" w14:textId="77777777" w:rsidR="005353EB" w:rsidRPr="00FF05AC" w:rsidRDefault="005353EB" w:rsidP="005353EB">
      <w:pPr>
        <w:ind w:left="851" w:right="899"/>
        <w:jc w:val="both"/>
        <w:rPr>
          <w:rFonts w:ascii="Palatino Linotype" w:hAnsi="Palatino Linotype"/>
          <w:i/>
          <w:sz w:val="22"/>
          <w:szCs w:val="22"/>
        </w:rPr>
      </w:pPr>
    </w:p>
    <w:p w14:paraId="0174CA24" w14:textId="77777777" w:rsidR="005353EB" w:rsidRPr="00FF05AC" w:rsidRDefault="005353EB" w:rsidP="005353EB">
      <w:pPr>
        <w:ind w:left="851" w:right="899"/>
        <w:jc w:val="both"/>
        <w:rPr>
          <w:rFonts w:ascii="Palatino Linotype" w:hAnsi="Palatino Linotype"/>
          <w:b/>
          <w:i/>
          <w:sz w:val="22"/>
          <w:szCs w:val="22"/>
        </w:rPr>
      </w:pPr>
      <w:r w:rsidRPr="00FF05AC">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FF05AC">
        <w:rPr>
          <w:rFonts w:ascii="Palatino Linotype" w:hAnsi="Palatino Linotype"/>
          <w:b/>
          <w:i/>
          <w:sz w:val="22"/>
          <w:szCs w:val="22"/>
        </w:rPr>
        <w:t>”</w:t>
      </w:r>
    </w:p>
    <w:p w14:paraId="787B77B4" w14:textId="77777777" w:rsidR="005353EB" w:rsidRPr="00FF05AC" w:rsidRDefault="005353EB" w:rsidP="005353EB">
      <w:pPr>
        <w:spacing w:line="360" w:lineRule="auto"/>
        <w:ind w:left="851" w:right="899"/>
        <w:jc w:val="both"/>
        <w:rPr>
          <w:rFonts w:ascii="Palatino Linotype" w:hAnsi="Palatino Linotype"/>
          <w:i/>
          <w:sz w:val="22"/>
          <w:szCs w:val="22"/>
        </w:rPr>
      </w:pPr>
    </w:p>
    <w:p w14:paraId="33AC302D" w14:textId="77777777" w:rsidR="005353EB" w:rsidRPr="00FF05AC" w:rsidRDefault="005353EB" w:rsidP="005353EB">
      <w:pPr>
        <w:spacing w:line="360" w:lineRule="auto"/>
        <w:jc w:val="both"/>
        <w:rPr>
          <w:rFonts w:ascii="Palatino Linotype" w:hAnsi="Palatino Linotype"/>
        </w:rPr>
      </w:pPr>
      <w:r w:rsidRPr="00FF05AC">
        <w:rPr>
          <w:rFonts w:ascii="Palatino Linotype" w:hAnsi="Palatino Linotype"/>
        </w:rPr>
        <w:t xml:space="preserve">De hecho, el estudio de la naturaleza jurídica de la información pública solicitada, tiene por objeto determinar si ésta la genera, posee o administra </w:t>
      </w:r>
      <w:r w:rsidRPr="00FF05AC">
        <w:rPr>
          <w:rFonts w:ascii="Palatino Linotype" w:hAnsi="Palatino Linotype"/>
          <w:b/>
        </w:rPr>
        <w:t>EL SUJETO OBLIGADO</w:t>
      </w:r>
      <w:r w:rsidRPr="00FF05AC">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2549E95B" w14:textId="77777777" w:rsidR="00090E29" w:rsidRPr="00FF05AC" w:rsidRDefault="00090E29" w:rsidP="005353EB">
      <w:pPr>
        <w:spacing w:line="360" w:lineRule="auto"/>
        <w:jc w:val="both"/>
        <w:rPr>
          <w:rFonts w:ascii="Palatino Linotype" w:hAnsi="Palatino Linotype"/>
        </w:rPr>
      </w:pPr>
    </w:p>
    <w:p w14:paraId="1F8A1DB4" w14:textId="56A69881" w:rsidR="00090E29" w:rsidRPr="00FF05AC" w:rsidRDefault="00090E29" w:rsidP="005353EB">
      <w:pPr>
        <w:spacing w:line="360" w:lineRule="auto"/>
        <w:jc w:val="both"/>
        <w:rPr>
          <w:rFonts w:ascii="Palatino Linotype" w:hAnsi="Palatino Linotype"/>
        </w:rPr>
      </w:pPr>
      <w:r w:rsidRPr="00FF05AC">
        <w:rPr>
          <w:rFonts w:ascii="Palatino Linotype" w:hAnsi="Palatino Linotype"/>
        </w:rPr>
        <w:t>Por lo anterior, en primer término conviene analizar el Acuerdo de Clasificación de la información</w:t>
      </w:r>
      <w:r w:rsidR="001B580F" w:rsidRPr="00FF05AC">
        <w:rPr>
          <w:rFonts w:ascii="Palatino Linotype" w:hAnsi="Palatino Linotype"/>
        </w:rPr>
        <w:t xml:space="preserve"> como reservada, del que se desprende lo siguiente:</w:t>
      </w:r>
    </w:p>
    <w:p w14:paraId="560D4896" w14:textId="710BB8CF" w:rsidR="001B580F" w:rsidRPr="00FF05AC" w:rsidRDefault="001B580F" w:rsidP="004A1BA9">
      <w:pPr>
        <w:pStyle w:val="Prrafodelista"/>
        <w:numPr>
          <w:ilvl w:val="0"/>
          <w:numId w:val="10"/>
        </w:numPr>
        <w:spacing w:line="360" w:lineRule="auto"/>
        <w:jc w:val="both"/>
        <w:rPr>
          <w:rFonts w:ascii="Palatino Linotype" w:hAnsi="Palatino Linotype"/>
        </w:rPr>
      </w:pPr>
      <w:r w:rsidRPr="00FF05AC">
        <w:rPr>
          <w:rFonts w:ascii="Palatino Linotype" w:hAnsi="Palatino Linotype"/>
        </w:rPr>
        <w:t>Que la información requerida es clasificada por corresponder a procedimientos administrativos seguidos en forma de juicio y que no ha quedado firme</w:t>
      </w:r>
    </w:p>
    <w:p w14:paraId="2CC514E9" w14:textId="469C78D6" w:rsidR="001B580F" w:rsidRPr="00FF05AC" w:rsidRDefault="001B580F" w:rsidP="004A1BA9">
      <w:pPr>
        <w:pStyle w:val="Prrafodelista"/>
        <w:numPr>
          <w:ilvl w:val="0"/>
          <w:numId w:val="10"/>
        </w:numPr>
        <w:spacing w:line="360" w:lineRule="auto"/>
        <w:jc w:val="both"/>
        <w:rPr>
          <w:rFonts w:ascii="Palatino Linotype" w:hAnsi="Palatino Linotype"/>
        </w:rPr>
      </w:pPr>
      <w:r w:rsidRPr="00FF05AC">
        <w:rPr>
          <w:rFonts w:ascii="Palatino Linotype" w:hAnsi="Palatino Linotype"/>
        </w:rPr>
        <w:t>Que se encuentra sub judice  lo que la ubica en la hipótesis prevista en el artículo 140 fracción VIII de la Ley de Transparencia</w:t>
      </w:r>
    </w:p>
    <w:p w14:paraId="2D751002" w14:textId="5D4DA0F9" w:rsidR="001B580F" w:rsidRPr="00FF05AC" w:rsidRDefault="001B580F" w:rsidP="004A1BA9">
      <w:pPr>
        <w:pStyle w:val="Prrafodelista"/>
        <w:numPr>
          <w:ilvl w:val="0"/>
          <w:numId w:val="10"/>
        </w:numPr>
        <w:spacing w:line="360" w:lineRule="auto"/>
        <w:jc w:val="both"/>
        <w:rPr>
          <w:rFonts w:ascii="Palatino Linotype" w:hAnsi="Palatino Linotype"/>
        </w:rPr>
      </w:pPr>
      <w:r w:rsidRPr="00FF05AC">
        <w:rPr>
          <w:rFonts w:ascii="Palatino Linotype" w:hAnsi="Palatino Linotype"/>
        </w:rPr>
        <w:t>Que hasta en tanto el expediente no se encuentre totalmente concluido, los procesos que en él se tramitan pueden ser susceptibles de ser alterados</w:t>
      </w:r>
    </w:p>
    <w:p w14:paraId="062555B0" w14:textId="00E8D331" w:rsidR="001B580F" w:rsidRPr="00FF05AC" w:rsidRDefault="001B580F" w:rsidP="004A1BA9">
      <w:pPr>
        <w:pStyle w:val="Prrafodelista"/>
        <w:numPr>
          <w:ilvl w:val="0"/>
          <w:numId w:val="10"/>
        </w:numPr>
        <w:spacing w:line="360" w:lineRule="auto"/>
        <w:jc w:val="both"/>
        <w:rPr>
          <w:rFonts w:ascii="Palatino Linotype" w:hAnsi="Palatino Linotype"/>
        </w:rPr>
      </w:pPr>
      <w:r w:rsidRPr="00FF05AC">
        <w:rPr>
          <w:rFonts w:ascii="Palatino Linotype" w:hAnsi="Palatino Linotype"/>
        </w:rPr>
        <w:t>Que la clasificación de la información tendrá efectos hasta en tanto se dicte el acuerdo o la resolución que se ordene el archivo de aquellos como total y definitivamente concluidos</w:t>
      </w:r>
    </w:p>
    <w:p w14:paraId="3B4325B2" w14:textId="0498138E" w:rsidR="001B580F" w:rsidRPr="00FF05AC" w:rsidRDefault="001B580F" w:rsidP="001B580F">
      <w:pPr>
        <w:spacing w:line="360" w:lineRule="auto"/>
        <w:jc w:val="both"/>
        <w:rPr>
          <w:rFonts w:ascii="Palatino Linotype" w:hAnsi="Palatino Linotype"/>
        </w:rPr>
      </w:pPr>
      <w:r w:rsidRPr="00FF05AC">
        <w:rPr>
          <w:rFonts w:ascii="Palatino Linotype" w:hAnsi="Palatino Linotype"/>
        </w:rPr>
        <w:t>Para tal efecto, es necesario precisar que la Ley General de Transparencia y Acceso a la Información Pública, señala cómo debe ser el actuar de los sujetos obligados en tratándose de información clasificada:</w:t>
      </w:r>
    </w:p>
    <w:p w14:paraId="1A09E0CD"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0801E8B9"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44. Cada Comité de Transparencia tendrá las siguientes funciones:</w:t>
      </w:r>
    </w:p>
    <w:p w14:paraId="4C49C94A"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45BBEBAE"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II. Confirmar, modificar o revocar las determinaciones que en materia de ampliación del plazo</w:t>
      </w:r>
    </w:p>
    <w:p w14:paraId="554D5D35"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de respuesta, clasificación de la información y declaración de inexistencia o de incompetencia</w:t>
      </w:r>
    </w:p>
    <w:p w14:paraId="13FDA2C8"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realicen los titulares de las Áreas de los sujetos obligados;</w:t>
      </w:r>
    </w:p>
    <w:p w14:paraId="045A950C"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22149E4A"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100. La clasificación es el proceso mediante el cual el sujeto obligado determina que</w:t>
      </w:r>
    </w:p>
    <w:p w14:paraId="0C0947D1"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la información en su poder actualiza alguno de los supuestos de reserva o confidencialidad,</w:t>
      </w:r>
    </w:p>
    <w:p w14:paraId="5B14C29D"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de conformidad con lo dispuesto en el presente Título.</w:t>
      </w:r>
    </w:p>
    <w:p w14:paraId="467AE8E3"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Los supuestos de reserva o confidencialidad previstos en las leyes deberán ser acordes con</w:t>
      </w:r>
    </w:p>
    <w:p w14:paraId="74451CDC"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las bases, principios y disposiciones establecidos en esta Ley y, en ningún caso, podrán</w:t>
      </w:r>
    </w:p>
    <w:p w14:paraId="1A71204E"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contravenirla.</w:t>
      </w:r>
    </w:p>
    <w:p w14:paraId="00F117E6"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Los titulares de las Áreas de los sujetos obligados serán los responsables de clasificar la</w:t>
      </w:r>
    </w:p>
    <w:p w14:paraId="3C2E7193"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información, de conformidad con lo dispuesto en esta Ley, la Ley Federal y de las Entidades</w:t>
      </w:r>
    </w:p>
    <w:p w14:paraId="5CC7F5E2"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Federativas.</w:t>
      </w:r>
    </w:p>
    <w:p w14:paraId="7E30D077"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31BA5E9E"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103. En los casos en que se niegue el acceso a la información, por actualizarse</w:t>
      </w:r>
    </w:p>
    <w:p w14:paraId="55CC90C4"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alguno de los supuestos de clasificación, el Comité de Transparencia deberá confirmar,</w:t>
      </w:r>
    </w:p>
    <w:p w14:paraId="23DA7FFA"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modificar o revocar la decisión.</w:t>
      </w:r>
    </w:p>
    <w:p w14:paraId="43754882" w14:textId="62C35FC3"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Para motivar la clasificación de la información y la ampliación del plazo de reserva, se deberán</w:t>
      </w:r>
      <w:r w:rsidR="00114804" w:rsidRPr="00FF05AC">
        <w:rPr>
          <w:rFonts w:ascii="Palatino Linotype" w:hAnsi="Palatino Linotype"/>
          <w:i/>
          <w:sz w:val="22"/>
          <w:szCs w:val="22"/>
        </w:rPr>
        <w:t xml:space="preserve"> </w:t>
      </w:r>
      <w:r w:rsidRPr="00FF05AC">
        <w:rPr>
          <w:rFonts w:ascii="Palatino Linotype" w:hAnsi="Palatino Linotype"/>
          <w:i/>
          <w:sz w:val="22"/>
          <w:szCs w:val="22"/>
        </w:rPr>
        <w:t>señalar las razones, motivos o circunstancias especiales que llevaron al sujeto obligado a</w:t>
      </w:r>
      <w:r w:rsidR="00114804" w:rsidRPr="00FF05AC">
        <w:rPr>
          <w:rFonts w:ascii="Palatino Linotype" w:hAnsi="Palatino Linotype"/>
          <w:i/>
          <w:sz w:val="22"/>
          <w:szCs w:val="22"/>
        </w:rPr>
        <w:t xml:space="preserve"> </w:t>
      </w:r>
      <w:r w:rsidRPr="00FF05AC">
        <w:rPr>
          <w:rFonts w:ascii="Palatino Linotype" w:hAnsi="Palatino Linotype"/>
          <w:i/>
          <w:sz w:val="22"/>
          <w:szCs w:val="22"/>
        </w:rPr>
        <w:t>concluir que el caso particular se ajusta al supuesto previsto por la norma legal invocada como</w:t>
      </w:r>
      <w:r w:rsidR="00114804" w:rsidRPr="00FF05AC">
        <w:rPr>
          <w:rFonts w:ascii="Palatino Linotype" w:hAnsi="Palatino Linotype"/>
          <w:i/>
          <w:sz w:val="22"/>
          <w:szCs w:val="22"/>
        </w:rPr>
        <w:t xml:space="preserve"> </w:t>
      </w:r>
      <w:r w:rsidRPr="00FF05AC">
        <w:rPr>
          <w:rFonts w:ascii="Palatino Linotype" w:hAnsi="Palatino Linotype"/>
          <w:i/>
          <w:sz w:val="22"/>
          <w:szCs w:val="22"/>
        </w:rPr>
        <w:t>fundamento. Además, el sujeto obligado deberá, en todo momento, aplicar una prueba de</w:t>
      </w:r>
      <w:r w:rsidR="00114804" w:rsidRPr="00FF05AC">
        <w:rPr>
          <w:rFonts w:ascii="Palatino Linotype" w:hAnsi="Palatino Linotype"/>
          <w:i/>
          <w:sz w:val="22"/>
          <w:szCs w:val="22"/>
        </w:rPr>
        <w:t xml:space="preserve"> </w:t>
      </w:r>
      <w:r w:rsidRPr="00FF05AC">
        <w:rPr>
          <w:rFonts w:ascii="Palatino Linotype" w:hAnsi="Palatino Linotype"/>
          <w:i/>
          <w:sz w:val="22"/>
          <w:szCs w:val="22"/>
        </w:rPr>
        <w:t>daño.</w:t>
      </w:r>
    </w:p>
    <w:p w14:paraId="10A24D79" w14:textId="7C3D9CDE" w:rsidR="00090E29"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Tratándose de aquella información que actualice los supuestos de clasificación, deberá</w:t>
      </w:r>
      <w:r w:rsidR="00114804" w:rsidRPr="00FF05AC">
        <w:rPr>
          <w:rFonts w:ascii="Palatino Linotype" w:hAnsi="Palatino Linotype"/>
          <w:i/>
          <w:sz w:val="22"/>
          <w:szCs w:val="22"/>
        </w:rPr>
        <w:t xml:space="preserve"> </w:t>
      </w:r>
      <w:r w:rsidRPr="00FF05AC">
        <w:rPr>
          <w:rFonts w:ascii="Palatino Linotype" w:hAnsi="Palatino Linotype"/>
          <w:i/>
          <w:sz w:val="22"/>
          <w:szCs w:val="22"/>
        </w:rPr>
        <w:t>señalarse el plazo al que estará sujeto la reserva.</w:t>
      </w:r>
    </w:p>
    <w:p w14:paraId="0B391D64"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104. En la aplicación de la prueba de daño, el sujeto obligado deberá justificar que:</w:t>
      </w:r>
    </w:p>
    <w:p w14:paraId="2C66D4AA" w14:textId="62B7F9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I. La divulgación de la información representa un riesgo real, demostrable e identificable de</w:t>
      </w:r>
      <w:r w:rsidR="00114804" w:rsidRPr="00FF05AC">
        <w:rPr>
          <w:rFonts w:ascii="Palatino Linotype" w:hAnsi="Palatino Linotype"/>
          <w:i/>
          <w:sz w:val="22"/>
          <w:szCs w:val="22"/>
        </w:rPr>
        <w:t xml:space="preserve"> </w:t>
      </w:r>
      <w:r w:rsidRPr="00FF05AC">
        <w:rPr>
          <w:rFonts w:ascii="Palatino Linotype" w:hAnsi="Palatino Linotype"/>
          <w:i/>
          <w:sz w:val="22"/>
          <w:szCs w:val="22"/>
        </w:rPr>
        <w:t>perjuicio significativo al interés público o a la seguridad nacional;</w:t>
      </w:r>
    </w:p>
    <w:p w14:paraId="1C20D491" w14:textId="46EA3E25"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II. El riesgo de perjuicio que supondría la divulgación supera el interés público general de que</w:t>
      </w:r>
      <w:r w:rsidR="00114804" w:rsidRPr="00FF05AC">
        <w:rPr>
          <w:rFonts w:ascii="Palatino Linotype" w:hAnsi="Palatino Linotype"/>
          <w:i/>
          <w:sz w:val="22"/>
          <w:szCs w:val="22"/>
        </w:rPr>
        <w:t xml:space="preserve"> </w:t>
      </w:r>
      <w:r w:rsidRPr="00FF05AC">
        <w:rPr>
          <w:rFonts w:ascii="Palatino Linotype" w:hAnsi="Palatino Linotype"/>
          <w:i/>
          <w:sz w:val="22"/>
          <w:szCs w:val="22"/>
        </w:rPr>
        <w:t>se difunda, y</w:t>
      </w:r>
    </w:p>
    <w:p w14:paraId="12BA0241" w14:textId="235EEB35"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III. La limitación se adecua al principio de proporcionalidad y representa el medio menos</w:t>
      </w:r>
      <w:r w:rsidR="00114804" w:rsidRPr="00FF05AC">
        <w:rPr>
          <w:rFonts w:ascii="Palatino Linotype" w:hAnsi="Palatino Linotype"/>
          <w:i/>
          <w:sz w:val="22"/>
          <w:szCs w:val="22"/>
        </w:rPr>
        <w:t xml:space="preserve"> </w:t>
      </w:r>
      <w:r w:rsidRPr="00FF05AC">
        <w:rPr>
          <w:rFonts w:ascii="Palatino Linotype" w:hAnsi="Palatino Linotype"/>
          <w:i/>
          <w:sz w:val="22"/>
          <w:szCs w:val="22"/>
        </w:rPr>
        <w:t>restrictivo disponible para evitar el perjuicio.</w:t>
      </w:r>
    </w:p>
    <w:p w14:paraId="04F539A1"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106AD264" w14:textId="33810684"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105. Los sujetos obligados deberán aplicar, de manera restrictiva y limitada, las</w:t>
      </w:r>
      <w:r w:rsidR="00114804" w:rsidRPr="00FF05AC">
        <w:rPr>
          <w:rFonts w:ascii="Palatino Linotype" w:hAnsi="Palatino Linotype"/>
          <w:i/>
          <w:sz w:val="22"/>
          <w:szCs w:val="22"/>
        </w:rPr>
        <w:t xml:space="preserve"> </w:t>
      </w:r>
      <w:r w:rsidRPr="00FF05AC">
        <w:rPr>
          <w:rFonts w:ascii="Palatino Linotype" w:hAnsi="Palatino Linotype"/>
          <w:i/>
          <w:sz w:val="22"/>
          <w:szCs w:val="22"/>
        </w:rPr>
        <w:t>excepciones al derecho de acceso a la información prevista en el presente Título y deberán</w:t>
      </w:r>
      <w:r w:rsidR="00114804" w:rsidRPr="00FF05AC">
        <w:rPr>
          <w:rFonts w:ascii="Palatino Linotype" w:hAnsi="Palatino Linotype"/>
          <w:i/>
          <w:sz w:val="22"/>
          <w:szCs w:val="22"/>
        </w:rPr>
        <w:t xml:space="preserve"> </w:t>
      </w:r>
      <w:r w:rsidRPr="00FF05AC">
        <w:rPr>
          <w:rFonts w:ascii="Palatino Linotype" w:hAnsi="Palatino Linotype"/>
          <w:i/>
          <w:sz w:val="22"/>
          <w:szCs w:val="22"/>
        </w:rPr>
        <w:t>acreditar su procedencia.</w:t>
      </w:r>
    </w:p>
    <w:p w14:paraId="7E1A7125" w14:textId="77E3C3CD"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La carga de la prueba para justificar toda negativa de acceso a la información, por actualizarse</w:t>
      </w:r>
      <w:r w:rsidR="00114804" w:rsidRPr="00FF05AC">
        <w:rPr>
          <w:rFonts w:ascii="Palatino Linotype" w:hAnsi="Palatino Linotype"/>
          <w:i/>
          <w:sz w:val="22"/>
          <w:szCs w:val="22"/>
        </w:rPr>
        <w:t xml:space="preserve"> </w:t>
      </w:r>
      <w:r w:rsidRPr="00FF05AC">
        <w:rPr>
          <w:rFonts w:ascii="Palatino Linotype" w:hAnsi="Palatino Linotype"/>
          <w:i/>
          <w:sz w:val="22"/>
          <w:szCs w:val="22"/>
        </w:rPr>
        <w:t>cualquiera de los supuestos de reserva previstos, corresponderá a los sujetos obligados.</w:t>
      </w:r>
    </w:p>
    <w:p w14:paraId="57738B75"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107E6508" w14:textId="3B8E63E8"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108. Los sujetos obligados no podrán emitir acuerdos de carácter general ni</w:t>
      </w:r>
      <w:r w:rsidR="00114804" w:rsidRPr="00FF05AC">
        <w:rPr>
          <w:rFonts w:ascii="Palatino Linotype" w:hAnsi="Palatino Linotype"/>
          <w:i/>
          <w:sz w:val="22"/>
          <w:szCs w:val="22"/>
        </w:rPr>
        <w:t xml:space="preserve"> </w:t>
      </w:r>
      <w:r w:rsidRPr="00FF05AC">
        <w:rPr>
          <w:rFonts w:ascii="Palatino Linotype" w:hAnsi="Palatino Linotype"/>
          <w:i/>
          <w:sz w:val="22"/>
          <w:szCs w:val="22"/>
        </w:rPr>
        <w:t>particular que clasifiquen Documentos o información como reservada. La clasificación podrá</w:t>
      </w:r>
      <w:r w:rsidR="00114804" w:rsidRPr="00FF05AC">
        <w:rPr>
          <w:rFonts w:ascii="Palatino Linotype" w:hAnsi="Palatino Linotype"/>
          <w:i/>
          <w:sz w:val="22"/>
          <w:szCs w:val="22"/>
        </w:rPr>
        <w:t xml:space="preserve"> </w:t>
      </w:r>
      <w:r w:rsidRPr="00FF05AC">
        <w:rPr>
          <w:rFonts w:ascii="Palatino Linotype" w:hAnsi="Palatino Linotype"/>
          <w:i/>
          <w:sz w:val="22"/>
          <w:szCs w:val="22"/>
        </w:rPr>
        <w:t>establecerse de manera parcial o total de acuerdo al contenido de la información del</w:t>
      </w:r>
    </w:p>
    <w:p w14:paraId="1CF24999" w14:textId="609B81F0"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Documento y deberá estar acorde con la actualización de los supuestos definidos en el</w:t>
      </w:r>
      <w:r w:rsidR="00114804" w:rsidRPr="00FF05AC">
        <w:rPr>
          <w:rFonts w:ascii="Palatino Linotype" w:hAnsi="Palatino Linotype"/>
          <w:i/>
          <w:sz w:val="22"/>
          <w:szCs w:val="22"/>
        </w:rPr>
        <w:t xml:space="preserve"> </w:t>
      </w:r>
      <w:r w:rsidRPr="00FF05AC">
        <w:rPr>
          <w:rFonts w:ascii="Palatino Linotype" w:hAnsi="Palatino Linotype"/>
          <w:i/>
          <w:sz w:val="22"/>
          <w:szCs w:val="22"/>
        </w:rPr>
        <w:t>presente Título como información clasificada. En ningún caso se podrán clasificar</w:t>
      </w:r>
    </w:p>
    <w:p w14:paraId="15FE2815"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Documentos antes de que se genere la información.</w:t>
      </w:r>
    </w:p>
    <w:p w14:paraId="0E17ACB4" w14:textId="48D4B90A"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La clasificación de información reservada se realizará conforme a un análisis caso por caso,</w:t>
      </w:r>
      <w:r w:rsidR="00114804" w:rsidRPr="00FF05AC">
        <w:rPr>
          <w:rFonts w:ascii="Palatino Linotype" w:hAnsi="Palatino Linotype"/>
          <w:i/>
          <w:sz w:val="22"/>
          <w:szCs w:val="22"/>
        </w:rPr>
        <w:t xml:space="preserve"> </w:t>
      </w:r>
      <w:r w:rsidRPr="00FF05AC">
        <w:rPr>
          <w:rFonts w:ascii="Palatino Linotype" w:hAnsi="Palatino Linotype"/>
          <w:i/>
          <w:sz w:val="22"/>
          <w:szCs w:val="22"/>
        </w:rPr>
        <w:t>mediante la aplicación de la prueba de daño.</w:t>
      </w:r>
    </w:p>
    <w:p w14:paraId="3D49275E"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2D93435E" w14:textId="1C88A0BC"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137. En caso de que los sujetos obligados consideren que los Documentos o la</w:t>
      </w:r>
      <w:r w:rsidR="00114804" w:rsidRPr="00FF05AC">
        <w:rPr>
          <w:rFonts w:ascii="Palatino Linotype" w:hAnsi="Palatino Linotype"/>
          <w:i/>
          <w:sz w:val="22"/>
          <w:szCs w:val="22"/>
        </w:rPr>
        <w:t xml:space="preserve"> </w:t>
      </w:r>
      <w:r w:rsidRPr="00FF05AC">
        <w:rPr>
          <w:rFonts w:ascii="Palatino Linotype" w:hAnsi="Palatino Linotype"/>
          <w:i/>
          <w:sz w:val="22"/>
          <w:szCs w:val="22"/>
        </w:rPr>
        <w:t>información deba ser clasificada, se sujetará a lo siguiente:</w:t>
      </w:r>
    </w:p>
    <w:p w14:paraId="058C33E2"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El Área deberá remitir la solicitud, así como un escrito en el que funde y motive la clasificación</w:t>
      </w:r>
    </w:p>
    <w:p w14:paraId="6EAF2A8F"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al Comité de Transparencia, mismo que deberá resolver para:</w:t>
      </w:r>
    </w:p>
    <w:p w14:paraId="3D82CE95" w14:textId="51009866" w:rsidR="00090E29"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 Confirmar la clasificación;</w:t>
      </w:r>
    </w:p>
    <w:p w14:paraId="4B86189C"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b) Modificar la clasificación y otorgar total o parcialmente el acceso a la información, y</w:t>
      </w:r>
    </w:p>
    <w:p w14:paraId="726AF1D5"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c) Revocar la clasificación y conceder el acceso a la información.</w:t>
      </w:r>
    </w:p>
    <w:p w14:paraId="3F1AF3CA" w14:textId="44F31AE2"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El Comité de Transparencia podrá tener acceso a la información que esté en poder del Área</w:t>
      </w:r>
      <w:r w:rsidR="00114804" w:rsidRPr="00FF05AC">
        <w:rPr>
          <w:rFonts w:ascii="Palatino Linotype" w:hAnsi="Palatino Linotype"/>
          <w:i/>
          <w:sz w:val="22"/>
          <w:szCs w:val="22"/>
        </w:rPr>
        <w:t xml:space="preserve"> </w:t>
      </w:r>
      <w:r w:rsidRPr="00FF05AC">
        <w:rPr>
          <w:rFonts w:ascii="Palatino Linotype" w:hAnsi="Palatino Linotype"/>
          <w:i/>
          <w:sz w:val="22"/>
          <w:szCs w:val="22"/>
        </w:rPr>
        <w:t>correspondiente, de la cual se haya solicitado su clasificación.</w:t>
      </w:r>
    </w:p>
    <w:p w14:paraId="5E3C09BC" w14:textId="408B0DA2" w:rsidR="00090E29"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La resolución del Comité de Transparencia será notificada al interesado en el plazo de</w:t>
      </w:r>
      <w:r w:rsidR="00114804" w:rsidRPr="00FF05AC">
        <w:rPr>
          <w:rFonts w:ascii="Palatino Linotype" w:hAnsi="Palatino Linotype"/>
          <w:i/>
          <w:sz w:val="22"/>
          <w:szCs w:val="22"/>
        </w:rPr>
        <w:t xml:space="preserve"> </w:t>
      </w:r>
      <w:r w:rsidRPr="00FF05AC">
        <w:rPr>
          <w:rFonts w:ascii="Palatino Linotype" w:hAnsi="Palatino Linotype"/>
          <w:i/>
          <w:sz w:val="22"/>
          <w:szCs w:val="22"/>
        </w:rPr>
        <w:t>respuesta a la solicitud que establece el artículo 132 de la presente Ley.</w:t>
      </w:r>
    </w:p>
    <w:p w14:paraId="6434A253" w14:textId="77777777" w:rsidR="001B580F" w:rsidRPr="00FF05AC" w:rsidRDefault="001B580F" w:rsidP="00114804">
      <w:pPr>
        <w:spacing w:line="360" w:lineRule="auto"/>
        <w:ind w:left="851" w:right="902"/>
        <w:jc w:val="both"/>
        <w:rPr>
          <w:rFonts w:ascii="Palatino Linotype" w:hAnsi="Palatino Linotype"/>
          <w:i/>
          <w:sz w:val="22"/>
          <w:szCs w:val="22"/>
        </w:rPr>
      </w:pPr>
    </w:p>
    <w:p w14:paraId="55A67F0A" w14:textId="74B36C9C"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En términos de los preceptos legales en cita, se desprende que la clasificación es una</w:t>
      </w:r>
      <w:r w:rsidR="00114804" w:rsidRPr="00FF05AC">
        <w:rPr>
          <w:rFonts w:ascii="Palatino Linotype" w:hAnsi="Palatino Linotype"/>
          <w:i/>
          <w:sz w:val="22"/>
          <w:szCs w:val="22"/>
        </w:rPr>
        <w:t xml:space="preserve"> </w:t>
      </w:r>
      <w:r w:rsidRPr="00FF05AC">
        <w:rPr>
          <w:rFonts w:ascii="Palatino Linotype" w:hAnsi="Palatino Linotype"/>
          <w:i/>
          <w:sz w:val="22"/>
          <w:szCs w:val="22"/>
        </w:rPr>
        <w:t>excepción al derecho de acceso a la información, pues ésta se trata de un proceso</w:t>
      </w:r>
      <w:r w:rsidR="00114804" w:rsidRPr="00FF05AC">
        <w:rPr>
          <w:rFonts w:ascii="Palatino Linotype" w:hAnsi="Palatino Linotype"/>
          <w:i/>
          <w:sz w:val="22"/>
          <w:szCs w:val="22"/>
        </w:rPr>
        <w:t xml:space="preserve"> </w:t>
      </w:r>
      <w:r w:rsidRPr="00FF05AC">
        <w:rPr>
          <w:rFonts w:ascii="Palatino Linotype" w:hAnsi="Palatino Linotype"/>
          <w:i/>
          <w:sz w:val="22"/>
          <w:szCs w:val="22"/>
        </w:rPr>
        <w:t>mediante el cual el sujeto obligado determina que la información que obra en su poder</w:t>
      </w:r>
      <w:r w:rsidR="00114804" w:rsidRPr="00FF05AC">
        <w:rPr>
          <w:rFonts w:ascii="Palatino Linotype" w:hAnsi="Palatino Linotype"/>
          <w:i/>
          <w:sz w:val="22"/>
          <w:szCs w:val="22"/>
        </w:rPr>
        <w:t xml:space="preserve"> </w:t>
      </w:r>
      <w:r w:rsidRPr="00FF05AC">
        <w:rPr>
          <w:rFonts w:ascii="Palatino Linotype" w:hAnsi="Palatino Linotype"/>
          <w:i/>
          <w:sz w:val="22"/>
          <w:szCs w:val="22"/>
        </w:rPr>
        <w:t>actualiza alguno de los supuestos de reserva o confidencialidad, misma que debe</w:t>
      </w:r>
      <w:r w:rsidR="00114804" w:rsidRPr="00FF05AC">
        <w:rPr>
          <w:rFonts w:ascii="Palatino Linotype" w:hAnsi="Palatino Linotype"/>
          <w:i/>
          <w:sz w:val="22"/>
          <w:szCs w:val="22"/>
        </w:rPr>
        <w:t xml:space="preserve"> </w:t>
      </w:r>
      <w:r w:rsidRPr="00FF05AC">
        <w:rPr>
          <w:rFonts w:ascii="Palatino Linotype" w:hAnsi="Palatino Linotype"/>
          <w:i/>
          <w:sz w:val="22"/>
          <w:szCs w:val="22"/>
        </w:rPr>
        <w:t>aplicarse de manera restrictiva y limitada, debiendo acreditar su procedencia.</w:t>
      </w:r>
    </w:p>
    <w:p w14:paraId="1A64A113" w14:textId="3C832A70"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En esta tesitura, cuando se trate de información clasificada, el Comité de Transparencia</w:t>
      </w:r>
      <w:r w:rsidR="00114804" w:rsidRPr="00FF05AC">
        <w:rPr>
          <w:rFonts w:ascii="Palatino Linotype" w:hAnsi="Palatino Linotype"/>
          <w:i/>
          <w:sz w:val="22"/>
          <w:szCs w:val="22"/>
        </w:rPr>
        <w:t xml:space="preserve"> </w:t>
      </w:r>
      <w:r w:rsidRPr="00FF05AC">
        <w:rPr>
          <w:rFonts w:ascii="Palatino Linotype" w:hAnsi="Palatino Linotype"/>
          <w:i/>
          <w:sz w:val="22"/>
          <w:szCs w:val="22"/>
        </w:rPr>
        <w:t>resolverá, de manera fundada y motiva, ya sea confirmando, modificando o revocando</w:t>
      </w:r>
      <w:r w:rsidR="00114804" w:rsidRPr="00FF05AC">
        <w:rPr>
          <w:rFonts w:ascii="Palatino Linotype" w:hAnsi="Palatino Linotype"/>
          <w:i/>
          <w:sz w:val="22"/>
          <w:szCs w:val="22"/>
        </w:rPr>
        <w:t xml:space="preserve"> </w:t>
      </w:r>
      <w:r w:rsidRPr="00FF05AC">
        <w:rPr>
          <w:rFonts w:ascii="Palatino Linotype" w:hAnsi="Palatino Linotype"/>
          <w:i/>
          <w:sz w:val="22"/>
          <w:szCs w:val="22"/>
        </w:rPr>
        <w:t>la clasificación invocada por el área administrativa, señalando las razones, motivos o</w:t>
      </w:r>
      <w:r w:rsidR="00114804" w:rsidRPr="00FF05AC">
        <w:rPr>
          <w:rFonts w:ascii="Palatino Linotype" w:hAnsi="Palatino Linotype"/>
          <w:i/>
          <w:sz w:val="22"/>
          <w:szCs w:val="22"/>
        </w:rPr>
        <w:t xml:space="preserve"> </w:t>
      </w:r>
      <w:r w:rsidRPr="00FF05AC">
        <w:rPr>
          <w:rFonts w:ascii="Palatino Linotype" w:hAnsi="Palatino Linotype"/>
          <w:i/>
          <w:sz w:val="22"/>
          <w:szCs w:val="22"/>
        </w:rPr>
        <w:t>circunstancias especiales que llevaron al sujeto obligado a concluir que el caso particular</w:t>
      </w:r>
      <w:r w:rsidR="00114804" w:rsidRPr="00FF05AC">
        <w:rPr>
          <w:rFonts w:ascii="Palatino Linotype" w:hAnsi="Palatino Linotype"/>
          <w:i/>
          <w:sz w:val="22"/>
          <w:szCs w:val="22"/>
        </w:rPr>
        <w:t xml:space="preserve"> </w:t>
      </w:r>
      <w:r w:rsidRPr="00FF05AC">
        <w:rPr>
          <w:rFonts w:ascii="Palatino Linotype" w:hAnsi="Palatino Linotype"/>
          <w:i/>
          <w:sz w:val="22"/>
          <w:szCs w:val="22"/>
        </w:rPr>
        <w:t>se ajusta a alguna causal de clasificación.</w:t>
      </w:r>
    </w:p>
    <w:p w14:paraId="21840B1B"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Así, en la resolución que al efecto sea emitida, deberá aplicarse la prueba de daño y</w:t>
      </w:r>
    </w:p>
    <w:p w14:paraId="6E1F0A84" w14:textId="0EFFDC83"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señalar el periodo al cual estará sujeta –en su caso- la reserva de la información,</w:t>
      </w:r>
      <w:r w:rsidR="00114804" w:rsidRPr="00FF05AC">
        <w:rPr>
          <w:rFonts w:ascii="Palatino Linotype" w:hAnsi="Palatino Linotype"/>
          <w:i/>
          <w:sz w:val="22"/>
          <w:szCs w:val="22"/>
        </w:rPr>
        <w:t xml:space="preserve">  </w:t>
      </w:r>
      <w:r w:rsidRPr="00FF05AC">
        <w:rPr>
          <w:rFonts w:ascii="Palatino Linotype" w:hAnsi="Palatino Linotype"/>
          <w:i/>
          <w:sz w:val="22"/>
          <w:szCs w:val="22"/>
        </w:rPr>
        <w:t>debiendo notificarla al solicitante.</w:t>
      </w:r>
    </w:p>
    <w:p w14:paraId="29F95774" w14:textId="08BB4E8E"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Los sujetos obligados no pueden emitir acuerdos de carácter general ni particular que</w:t>
      </w:r>
      <w:r w:rsidR="00114804" w:rsidRPr="00FF05AC">
        <w:rPr>
          <w:rFonts w:ascii="Palatino Linotype" w:hAnsi="Palatino Linotype"/>
          <w:i/>
          <w:sz w:val="22"/>
          <w:szCs w:val="22"/>
        </w:rPr>
        <w:t xml:space="preserve"> </w:t>
      </w:r>
      <w:r w:rsidRPr="00FF05AC">
        <w:rPr>
          <w:rFonts w:ascii="Palatino Linotype" w:hAnsi="Palatino Linotype"/>
          <w:i/>
          <w:sz w:val="22"/>
          <w:szCs w:val="22"/>
        </w:rPr>
        <w:t>clasifiquen documentos o información como reservada.</w:t>
      </w:r>
    </w:p>
    <w:p w14:paraId="39806BC8" w14:textId="0419B300"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En relación con lo anterior, es menester señalar que la Ley de Transparencia y Acceso</w:t>
      </w:r>
      <w:r w:rsidR="00114804" w:rsidRPr="00FF05AC">
        <w:rPr>
          <w:rFonts w:ascii="Palatino Linotype" w:hAnsi="Palatino Linotype"/>
          <w:i/>
          <w:sz w:val="22"/>
          <w:szCs w:val="22"/>
        </w:rPr>
        <w:t xml:space="preserve"> </w:t>
      </w:r>
      <w:r w:rsidRPr="00FF05AC">
        <w:rPr>
          <w:rFonts w:ascii="Palatino Linotype" w:hAnsi="Palatino Linotype"/>
          <w:i/>
          <w:sz w:val="22"/>
          <w:szCs w:val="22"/>
        </w:rPr>
        <w:t>a la Información Pública del Estado de México y Municipios, acorde al segundo párrafo</w:t>
      </w:r>
      <w:r w:rsidR="00114804" w:rsidRPr="00FF05AC">
        <w:rPr>
          <w:rFonts w:ascii="Palatino Linotype" w:hAnsi="Palatino Linotype"/>
          <w:i/>
          <w:sz w:val="22"/>
          <w:szCs w:val="22"/>
        </w:rPr>
        <w:t xml:space="preserve"> </w:t>
      </w:r>
      <w:r w:rsidRPr="00FF05AC">
        <w:rPr>
          <w:rFonts w:ascii="Palatino Linotype" w:hAnsi="Palatino Linotype"/>
          <w:i/>
          <w:sz w:val="22"/>
          <w:szCs w:val="22"/>
        </w:rPr>
        <w:t>de su artículo 1°, tiene por objeto establecer los principios, bases generales y</w:t>
      </w:r>
      <w:r w:rsidR="00114804" w:rsidRPr="00FF05AC">
        <w:rPr>
          <w:rFonts w:ascii="Palatino Linotype" w:hAnsi="Palatino Linotype"/>
          <w:i/>
          <w:sz w:val="22"/>
          <w:szCs w:val="22"/>
        </w:rPr>
        <w:t xml:space="preserve"> </w:t>
      </w:r>
      <w:r w:rsidRPr="00FF05AC">
        <w:rPr>
          <w:rFonts w:ascii="Palatino Linotype" w:hAnsi="Palatino Linotype"/>
          <w:i/>
          <w:sz w:val="22"/>
          <w:szCs w:val="22"/>
        </w:rPr>
        <w:t>procedimientos para tutelar y garantizar la transparencia y el derecho humano de acceso</w:t>
      </w:r>
      <w:r w:rsidR="00114804" w:rsidRPr="00FF05AC">
        <w:rPr>
          <w:rFonts w:ascii="Palatino Linotype" w:hAnsi="Palatino Linotype"/>
          <w:i/>
          <w:sz w:val="22"/>
          <w:szCs w:val="22"/>
        </w:rPr>
        <w:t xml:space="preserve"> </w:t>
      </w:r>
      <w:r w:rsidRPr="00FF05AC">
        <w:rPr>
          <w:rFonts w:ascii="Palatino Linotype" w:hAnsi="Palatino Linotype"/>
          <w:i/>
          <w:sz w:val="22"/>
          <w:szCs w:val="22"/>
        </w:rPr>
        <w:t>a la información pública en posesión de los sujetos obligados, así como armonizar las disposiciones legales del Estado de México, con lo señalado por el artículo 6, apartado</w:t>
      </w:r>
    </w:p>
    <w:p w14:paraId="1E6B09C9" w14:textId="68F4B8E6"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 de la Constitución Política de los Estados Unidos Mexicanos y con lo establecido en</w:t>
      </w:r>
      <w:r w:rsidR="00114804" w:rsidRPr="00FF05AC">
        <w:rPr>
          <w:rFonts w:ascii="Palatino Linotype" w:hAnsi="Palatino Linotype"/>
          <w:i/>
          <w:sz w:val="22"/>
          <w:szCs w:val="22"/>
        </w:rPr>
        <w:t xml:space="preserve"> </w:t>
      </w:r>
      <w:r w:rsidRPr="00FF05AC">
        <w:rPr>
          <w:rFonts w:ascii="Palatino Linotype" w:hAnsi="Palatino Linotype"/>
          <w:i/>
          <w:sz w:val="22"/>
          <w:szCs w:val="22"/>
        </w:rPr>
        <w:t>la Ley General de Transparencia y Acceso a la Información Pública.</w:t>
      </w:r>
    </w:p>
    <w:p w14:paraId="0B63291B"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Asimismo, dispone lo siguiente:</w:t>
      </w:r>
    </w:p>
    <w:p w14:paraId="2100D48B" w14:textId="77777777" w:rsidR="00114804" w:rsidRPr="00FF05AC" w:rsidRDefault="00114804" w:rsidP="00114804">
      <w:pPr>
        <w:spacing w:line="360" w:lineRule="auto"/>
        <w:ind w:left="851" w:right="902"/>
        <w:jc w:val="both"/>
        <w:rPr>
          <w:rFonts w:ascii="Palatino Linotype" w:hAnsi="Palatino Linotype"/>
          <w:i/>
          <w:sz w:val="22"/>
          <w:szCs w:val="22"/>
        </w:rPr>
      </w:pPr>
    </w:p>
    <w:p w14:paraId="762CB66A"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2. Son objetivos de esta Ley:</w:t>
      </w:r>
    </w:p>
    <w:p w14:paraId="2C5EF6E5"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5A8B6497" w14:textId="517D79BD"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II. Proveer lo necesario para garantizar a toda persona el derecho de acceso a la información</w:t>
      </w:r>
      <w:r w:rsidR="00114804" w:rsidRPr="00FF05AC">
        <w:rPr>
          <w:rFonts w:ascii="Palatino Linotype" w:hAnsi="Palatino Linotype"/>
          <w:i/>
          <w:sz w:val="22"/>
          <w:szCs w:val="22"/>
        </w:rPr>
        <w:t xml:space="preserve"> </w:t>
      </w:r>
      <w:r w:rsidRPr="00FF05AC">
        <w:rPr>
          <w:rFonts w:ascii="Palatino Linotype" w:hAnsi="Palatino Linotype"/>
          <w:i/>
          <w:sz w:val="22"/>
          <w:szCs w:val="22"/>
        </w:rPr>
        <w:t>pública, a través de procedimientos sencillos, expeditos, oportunos y gratuitos, determinando</w:t>
      </w:r>
      <w:r w:rsidR="00114804" w:rsidRPr="00FF05AC">
        <w:rPr>
          <w:rFonts w:ascii="Palatino Linotype" w:hAnsi="Palatino Linotype"/>
          <w:i/>
          <w:sz w:val="22"/>
          <w:szCs w:val="22"/>
        </w:rPr>
        <w:t xml:space="preserve"> </w:t>
      </w:r>
      <w:r w:rsidRPr="00FF05AC">
        <w:rPr>
          <w:rFonts w:ascii="Palatino Linotype" w:hAnsi="Palatino Linotype"/>
          <w:i/>
          <w:sz w:val="22"/>
          <w:szCs w:val="22"/>
        </w:rPr>
        <w:t>las bases mínimas sobre las cuales se regirán los mismos;</w:t>
      </w:r>
    </w:p>
    <w:p w14:paraId="0AE40FAE" w14:textId="209A00E4"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III. Contribuir a la mejora de procedimientos y mecanismos que permitan transparentar la</w:t>
      </w:r>
      <w:r w:rsidR="00114804" w:rsidRPr="00FF05AC">
        <w:rPr>
          <w:rFonts w:ascii="Palatino Linotype" w:hAnsi="Palatino Linotype"/>
          <w:i/>
          <w:sz w:val="22"/>
          <w:szCs w:val="22"/>
        </w:rPr>
        <w:t xml:space="preserve"> </w:t>
      </w:r>
      <w:r w:rsidRPr="00FF05AC">
        <w:rPr>
          <w:rFonts w:ascii="Palatino Linotype" w:hAnsi="Palatino Linotype"/>
          <w:i/>
          <w:sz w:val="22"/>
          <w:szCs w:val="22"/>
        </w:rPr>
        <w:t>gestión pública y mejorar la toma de decisiones, mediante la difusión de la información que</w:t>
      </w:r>
      <w:r w:rsidR="00114804" w:rsidRPr="00FF05AC">
        <w:rPr>
          <w:rFonts w:ascii="Palatino Linotype" w:hAnsi="Palatino Linotype"/>
          <w:i/>
          <w:sz w:val="22"/>
          <w:szCs w:val="22"/>
        </w:rPr>
        <w:t xml:space="preserve"> </w:t>
      </w:r>
      <w:r w:rsidRPr="00FF05AC">
        <w:rPr>
          <w:rFonts w:ascii="Palatino Linotype" w:hAnsi="Palatino Linotype"/>
          <w:i/>
          <w:sz w:val="22"/>
          <w:szCs w:val="22"/>
        </w:rPr>
        <w:t>generen los sujetos obligados;</w:t>
      </w:r>
    </w:p>
    <w:p w14:paraId="6A3A399C"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56C106BD"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3. Para los efectos de la presente Ley se entenderá por:</w:t>
      </w:r>
    </w:p>
    <w:p w14:paraId="462C5E2C"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14DA5A0A" w14:textId="6080D45F"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XXII. Información de interés público: Se refiere a la información que resulta relevante o</w:t>
      </w:r>
      <w:r w:rsidR="00114804" w:rsidRPr="00FF05AC">
        <w:rPr>
          <w:rFonts w:ascii="Palatino Linotype" w:hAnsi="Palatino Linotype"/>
          <w:i/>
          <w:sz w:val="22"/>
          <w:szCs w:val="22"/>
        </w:rPr>
        <w:t xml:space="preserve"> </w:t>
      </w:r>
      <w:r w:rsidRPr="00FF05AC">
        <w:rPr>
          <w:rFonts w:ascii="Palatino Linotype" w:hAnsi="Palatino Linotype"/>
          <w:i/>
          <w:sz w:val="22"/>
          <w:szCs w:val="22"/>
        </w:rPr>
        <w:t>beneficiosa para la sociedad y no simplemente de interés individual, cuya divulgación resulta</w:t>
      </w:r>
      <w:r w:rsidR="00114804" w:rsidRPr="00FF05AC">
        <w:rPr>
          <w:rFonts w:ascii="Palatino Linotype" w:hAnsi="Palatino Linotype"/>
          <w:i/>
          <w:sz w:val="22"/>
          <w:szCs w:val="22"/>
        </w:rPr>
        <w:t xml:space="preserve"> </w:t>
      </w:r>
      <w:r w:rsidRPr="00FF05AC">
        <w:rPr>
          <w:rFonts w:ascii="Palatino Linotype" w:hAnsi="Palatino Linotype"/>
          <w:i/>
          <w:sz w:val="22"/>
          <w:szCs w:val="22"/>
        </w:rPr>
        <w:t>útil para que el público comprenda las actividades que llevan a cabo los sujetos obligados;</w:t>
      </w:r>
    </w:p>
    <w:p w14:paraId="17BCEA48"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6814A878" w14:textId="2C1FFE29"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XXXIII. Prueba de Daño: Responsabilidad de los sujetos obligados de demostrar de manera</w:t>
      </w:r>
      <w:r w:rsidR="00114804" w:rsidRPr="00FF05AC">
        <w:rPr>
          <w:rFonts w:ascii="Palatino Linotype" w:hAnsi="Palatino Linotype"/>
          <w:i/>
          <w:sz w:val="22"/>
          <w:szCs w:val="22"/>
        </w:rPr>
        <w:t xml:space="preserve"> </w:t>
      </w:r>
      <w:r w:rsidRPr="00FF05AC">
        <w:rPr>
          <w:rFonts w:ascii="Palatino Linotype" w:hAnsi="Palatino Linotype"/>
          <w:i/>
          <w:sz w:val="22"/>
          <w:szCs w:val="22"/>
        </w:rPr>
        <w:t>fundada y motivada que la divulgación de información lesiona el interés jurídicamente</w:t>
      </w:r>
      <w:r w:rsidR="00114804" w:rsidRPr="00FF05AC">
        <w:rPr>
          <w:rFonts w:ascii="Palatino Linotype" w:hAnsi="Palatino Linotype"/>
          <w:i/>
          <w:sz w:val="22"/>
          <w:szCs w:val="22"/>
        </w:rPr>
        <w:t xml:space="preserve"> </w:t>
      </w:r>
      <w:r w:rsidRPr="00FF05AC">
        <w:rPr>
          <w:rFonts w:ascii="Palatino Linotype" w:hAnsi="Palatino Linotype"/>
          <w:i/>
          <w:sz w:val="22"/>
          <w:szCs w:val="22"/>
        </w:rPr>
        <w:t>protegido por la Ley, y que el menoscabo o daño que puede producirse con la publicidad de</w:t>
      </w:r>
      <w:r w:rsidR="00114804" w:rsidRPr="00FF05AC">
        <w:rPr>
          <w:rFonts w:ascii="Palatino Linotype" w:hAnsi="Palatino Linotype"/>
          <w:i/>
          <w:sz w:val="22"/>
          <w:szCs w:val="22"/>
        </w:rPr>
        <w:t xml:space="preserve"> </w:t>
      </w:r>
      <w:r w:rsidRPr="00FF05AC">
        <w:rPr>
          <w:rFonts w:ascii="Palatino Linotype" w:hAnsi="Palatino Linotype"/>
          <w:i/>
          <w:sz w:val="22"/>
          <w:szCs w:val="22"/>
        </w:rPr>
        <w:t>la información es mayor que el interés de conocerla y por consiguiente debe clasificarse como</w:t>
      </w:r>
      <w:r w:rsidR="00114804" w:rsidRPr="00FF05AC">
        <w:rPr>
          <w:rFonts w:ascii="Palatino Linotype" w:hAnsi="Palatino Linotype"/>
          <w:i/>
          <w:sz w:val="22"/>
          <w:szCs w:val="22"/>
        </w:rPr>
        <w:t xml:space="preserve"> </w:t>
      </w:r>
      <w:r w:rsidRPr="00FF05AC">
        <w:rPr>
          <w:rFonts w:ascii="Palatino Linotype" w:hAnsi="Palatino Linotype"/>
          <w:i/>
          <w:sz w:val="22"/>
          <w:szCs w:val="22"/>
        </w:rPr>
        <w:t>reservada;</w:t>
      </w:r>
    </w:p>
    <w:p w14:paraId="52443D04" w14:textId="0432BCE4"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XXXIV. Prueba de interés público: Es el proceso de ponderación entre el beneficio que</w:t>
      </w:r>
      <w:r w:rsidR="00114804" w:rsidRPr="00FF05AC">
        <w:rPr>
          <w:rFonts w:ascii="Palatino Linotype" w:hAnsi="Palatino Linotype"/>
          <w:i/>
          <w:sz w:val="22"/>
          <w:szCs w:val="22"/>
        </w:rPr>
        <w:t xml:space="preserve"> </w:t>
      </w:r>
      <w:r w:rsidRPr="00FF05AC">
        <w:rPr>
          <w:rFonts w:ascii="Palatino Linotype" w:hAnsi="Palatino Linotype"/>
          <w:i/>
          <w:sz w:val="22"/>
          <w:szCs w:val="22"/>
        </w:rPr>
        <w:t>reporta dar a conocer la información confidencial solicitada contra el daño que su divulgación</w:t>
      </w:r>
      <w:r w:rsidR="00114804" w:rsidRPr="00FF05AC">
        <w:rPr>
          <w:rFonts w:ascii="Palatino Linotype" w:hAnsi="Palatino Linotype"/>
          <w:i/>
          <w:sz w:val="22"/>
          <w:szCs w:val="22"/>
        </w:rPr>
        <w:t xml:space="preserve"> </w:t>
      </w:r>
      <w:r w:rsidRPr="00FF05AC">
        <w:rPr>
          <w:rFonts w:ascii="Palatino Linotype" w:hAnsi="Palatino Linotype"/>
          <w:i/>
          <w:sz w:val="22"/>
          <w:szCs w:val="22"/>
        </w:rPr>
        <w:t>genera en los derechos de las personas, llevado a cabo por el Instituto en el ámbito de sus</w:t>
      </w:r>
      <w:r w:rsidR="00114804" w:rsidRPr="00FF05AC">
        <w:rPr>
          <w:rFonts w:ascii="Palatino Linotype" w:hAnsi="Palatino Linotype"/>
          <w:i/>
          <w:sz w:val="22"/>
          <w:szCs w:val="22"/>
        </w:rPr>
        <w:t xml:space="preserve"> </w:t>
      </w:r>
      <w:r w:rsidRPr="00FF05AC">
        <w:rPr>
          <w:rFonts w:ascii="Palatino Linotype" w:hAnsi="Palatino Linotype"/>
          <w:i/>
          <w:sz w:val="22"/>
          <w:szCs w:val="22"/>
        </w:rPr>
        <w:t>respectivas competencias;</w:t>
      </w:r>
    </w:p>
    <w:p w14:paraId="7041B4B1" w14:textId="2A36AE29"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4. El derecho humano de acceso a la información pública es la prerrogativa de las</w:t>
      </w:r>
      <w:r w:rsidR="00114804" w:rsidRPr="00FF05AC">
        <w:rPr>
          <w:rFonts w:ascii="Palatino Linotype" w:hAnsi="Palatino Linotype"/>
          <w:i/>
          <w:sz w:val="22"/>
          <w:szCs w:val="22"/>
        </w:rPr>
        <w:t xml:space="preserve"> </w:t>
      </w:r>
      <w:r w:rsidRPr="00FF05AC">
        <w:rPr>
          <w:rFonts w:ascii="Palatino Linotype" w:hAnsi="Palatino Linotype"/>
          <w:i/>
          <w:sz w:val="22"/>
          <w:szCs w:val="22"/>
        </w:rPr>
        <w:t>personas para buscar, difundir, investigar, recabar, recibir y solicitar información pública, sin</w:t>
      </w:r>
      <w:r w:rsidR="00114804" w:rsidRPr="00FF05AC">
        <w:rPr>
          <w:rFonts w:ascii="Palatino Linotype" w:hAnsi="Palatino Linotype"/>
          <w:i/>
          <w:sz w:val="22"/>
          <w:szCs w:val="22"/>
        </w:rPr>
        <w:t xml:space="preserve"> </w:t>
      </w:r>
      <w:r w:rsidRPr="00FF05AC">
        <w:rPr>
          <w:rFonts w:ascii="Palatino Linotype" w:hAnsi="Palatino Linotype"/>
          <w:i/>
          <w:sz w:val="22"/>
          <w:szCs w:val="22"/>
        </w:rPr>
        <w:t>necesidad de acreditar personalidad ni interés jurídico.</w:t>
      </w:r>
    </w:p>
    <w:p w14:paraId="71AFE436" w14:textId="2B6B755A"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Toda la información generada, obtenida, adquirida, transformada, administrada o en</w:t>
      </w:r>
      <w:r w:rsidR="00114804" w:rsidRPr="00FF05AC">
        <w:rPr>
          <w:rFonts w:ascii="Palatino Linotype" w:hAnsi="Palatino Linotype"/>
          <w:i/>
          <w:sz w:val="22"/>
          <w:szCs w:val="22"/>
        </w:rPr>
        <w:t xml:space="preserve"> </w:t>
      </w:r>
      <w:r w:rsidRPr="00FF05AC">
        <w:rPr>
          <w:rFonts w:ascii="Palatino Linotype" w:hAnsi="Palatino Linotype"/>
          <w:i/>
          <w:sz w:val="22"/>
          <w:szCs w:val="22"/>
        </w:rPr>
        <w:t>posesión de los sujetos obligados es pública y accesible de manera permanente a</w:t>
      </w:r>
      <w:r w:rsidR="00114804" w:rsidRPr="00FF05AC">
        <w:rPr>
          <w:rFonts w:ascii="Palatino Linotype" w:hAnsi="Palatino Linotype"/>
          <w:i/>
          <w:sz w:val="22"/>
          <w:szCs w:val="22"/>
        </w:rPr>
        <w:t xml:space="preserve"> </w:t>
      </w:r>
      <w:r w:rsidRPr="00FF05AC">
        <w:rPr>
          <w:rFonts w:ascii="Palatino Linotype" w:hAnsi="Palatino Linotype"/>
          <w:i/>
          <w:sz w:val="22"/>
          <w:szCs w:val="22"/>
        </w:rPr>
        <w:t>cualquier persona, en los términos y condiciones que se establezcan en los tratados</w:t>
      </w:r>
      <w:r w:rsidR="00114804" w:rsidRPr="00FF05AC">
        <w:rPr>
          <w:rFonts w:ascii="Palatino Linotype" w:hAnsi="Palatino Linotype"/>
          <w:i/>
          <w:sz w:val="22"/>
          <w:szCs w:val="22"/>
        </w:rPr>
        <w:t xml:space="preserve"> </w:t>
      </w:r>
      <w:r w:rsidRPr="00FF05AC">
        <w:rPr>
          <w:rFonts w:ascii="Palatino Linotype" w:hAnsi="Palatino Linotype"/>
          <w:i/>
          <w:sz w:val="22"/>
          <w:szCs w:val="22"/>
        </w:rPr>
        <w:t>internacionales de los que el Estado mexicano sea parte, en la Ley General, la presente Ley</w:t>
      </w:r>
      <w:r w:rsidR="00114804" w:rsidRPr="00FF05AC">
        <w:rPr>
          <w:rFonts w:ascii="Palatino Linotype" w:hAnsi="Palatino Linotype"/>
          <w:i/>
          <w:sz w:val="22"/>
          <w:szCs w:val="22"/>
        </w:rPr>
        <w:t xml:space="preserve"> </w:t>
      </w:r>
      <w:r w:rsidRPr="00FF05AC">
        <w:rPr>
          <w:rFonts w:ascii="Palatino Linotype" w:hAnsi="Palatino Linotype"/>
          <w:i/>
          <w:sz w:val="22"/>
          <w:szCs w:val="22"/>
        </w:rPr>
        <w:t>y demás disposiciones de la materia, privilegiando el principio de máxima publicidad de la</w:t>
      </w:r>
      <w:r w:rsidR="00114804" w:rsidRPr="00FF05AC">
        <w:rPr>
          <w:rFonts w:ascii="Palatino Linotype" w:hAnsi="Palatino Linotype"/>
          <w:i/>
          <w:sz w:val="22"/>
          <w:szCs w:val="22"/>
        </w:rPr>
        <w:t xml:space="preserve"> </w:t>
      </w:r>
      <w:r w:rsidRPr="00FF05AC">
        <w:rPr>
          <w:rFonts w:ascii="Palatino Linotype" w:hAnsi="Palatino Linotype"/>
          <w:i/>
          <w:sz w:val="22"/>
          <w:szCs w:val="22"/>
        </w:rPr>
        <w:t>información. Solo podrá ser clasificada excepcionalmente como reservada temporalmente por</w:t>
      </w:r>
      <w:r w:rsidR="00114804" w:rsidRPr="00FF05AC">
        <w:rPr>
          <w:rFonts w:ascii="Palatino Linotype" w:hAnsi="Palatino Linotype"/>
          <w:i/>
          <w:sz w:val="22"/>
          <w:szCs w:val="22"/>
        </w:rPr>
        <w:t xml:space="preserve"> </w:t>
      </w:r>
      <w:r w:rsidRPr="00FF05AC">
        <w:rPr>
          <w:rFonts w:ascii="Palatino Linotype" w:hAnsi="Palatino Linotype"/>
          <w:i/>
          <w:sz w:val="22"/>
          <w:szCs w:val="22"/>
        </w:rPr>
        <w:t>razones de interés público, en los términos de las causas legítimas y estrictamente necesarias</w:t>
      </w:r>
      <w:r w:rsidR="00114804" w:rsidRPr="00FF05AC">
        <w:rPr>
          <w:rFonts w:ascii="Palatino Linotype" w:hAnsi="Palatino Linotype"/>
          <w:i/>
          <w:sz w:val="22"/>
          <w:szCs w:val="22"/>
        </w:rPr>
        <w:t xml:space="preserve"> </w:t>
      </w:r>
      <w:r w:rsidRPr="00FF05AC">
        <w:rPr>
          <w:rFonts w:ascii="Palatino Linotype" w:hAnsi="Palatino Linotype"/>
          <w:i/>
          <w:sz w:val="22"/>
          <w:szCs w:val="22"/>
        </w:rPr>
        <w:t>previstas por esta Ley.</w:t>
      </w:r>
    </w:p>
    <w:p w14:paraId="03D2CFE0"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70FA85B6" w14:textId="08F0C684"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7. El Estado de México garantizará el efectivo acceso de toda persona a la</w:t>
      </w:r>
      <w:r w:rsidR="00114804" w:rsidRPr="00FF05AC">
        <w:rPr>
          <w:rFonts w:ascii="Palatino Linotype" w:hAnsi="Palatino Linotype"/>
          <w:i/>
          <w:sz w:val="22"/>
          <w:szCs w:val="22"/>
        </w:rPr>
        <w:t xml:space="preserve"> </w:t>
      </w:r>
      <w:r w:rsidRPr="00FF05AC">
        <w:rPr>
          <w:rFonts w:ascii="Palatino Linotype" w:hAnsi="Palatino Linotype"/>
          <w:i/>
          <w:sz w:val="22"/>
          <w:szCs w:val="22"/>
        </w:rPr>
        <w:t>información en posesión de cualquier entidad, autoridad, órgano y organismo de los poderes</w:t>
      </w:r>
      <w:r w:rsidR="00114804" w:rsidRPr="00FF05AC">
        <w:rPr>
          <w:rFonts w:ascii="Palatino Linotype" w:hAnsi="Palatino Linotype"/>
          <w:i/>
          <w:sz w:val="22"/>
          <w:szCs w:val="22"/>
        </w:rPr>
        <w:t xml:space="preserve"> </w:t>
      </w:r>
      <w:r w:rsidRPr="00FF05AC">
        <w:rPr>
          <w:rFonts w:ascii="Palatino Linotype" w:hAnsi="Palatino Linotype"/>
          <w:i/>
          <w:sz w:val="22"/>
          <w:szCs w:val="22"/>
        </w:rPr>
        <w:t>Ejecutivo, Legislativo y Judicial, órganos autónomos, partidos políticos, fideicomisos y fondos</w:t>
      </w:r>
      <w:r w:rsidR="00114804" w:rsidRPr="00FF05AC">
        <w:rPr>
          <w:rFonts w:ascii="Palatino Linotype" w:hAnsi="Palatino Linotype"/>
          <w:i/>
          <w:sz w:val="22"/>
          <w:szCs w:val="22"/>
        </w:rPr>
        <w:t xml:space="preserve"> </w:t>
      </w:r>
      <w:r w:rsidRPr="00FF05AC">
        <w:rPr>
          <w:rFonts w:ascii="Palatino Linotype" w:hAnsi="Palatino Linotype"/>
          <w:i/>
          <w:sz w:val="22"/>
          <w:szCs w:val="22"/>
        </w:rPr>
        <w:t>públicos, así como de cualquier persona física, jurídico colectiva o sindicato que reciba y</w:t>
      </w:r>
      <w:r w:rsidR="00114804" w:rsidRPr="00FF05AC">
        <w:rPr>
          <w:rFonts w:ascii="Palatino Linotype" w:hAnsi="Palatino Linotype"/>
          <w:i/>
          <w:sz w:val="22"/>
          <w:szCs w:val="22"/>
        </w:rPr>
        <w:t xml:space="preserve"> </w:t>
      </w:r>
      <w:r w:rsidRPr="00FF05AC">
        <w:rPr>
          <w:rFonts w:ascii="Palatino Linotype" w:hAnsi="Palatino Linotype"/>
          <w:i/>
          <w:sz w:val="22"/>
          <w:szCs w:val="22"/>
        </w:rPr>
        <w:t>ejerza recursos públicos o realice actos de autoridad en el ámbito de competencia del Estado</w:t>
      </w:r>
      <w:r w:rsidR="00114804" w:rsidRPr="00FF05AC">
        <w:rPr>
          <w:rFonts w:ascii="Palatino Linotype" w:hAnsi="Palatino Linotype"/>
          <w:i/>
          <w:sz w:val="22"/>
          <w:szCs w:val="22"/>
        </w:rPr>
        <w:t xml:space="preserve"> </w:t>
      </w:r>
      <w:r w:rsidRPr="00FF05AC">
        <w:rPr>
          <w:rFonts w:ascii="Palatino Linotype" w:hAnsi="Palatino Linotype"/>
          <w:i/>
          <w:sz w:val="22"/>
          <w:szCs w:val="22"/>
        </w:rPr>
        <w:t>de México y sus municipios.</w:t>
      </w:r>
    </w:p>
    <w:p w14:paraId="2256B095" w14:textId="6D0B4F9D"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8. El derecho de acceso a la información o la clasificación de la información se</w:t>
      </w:r>
      <w:r w:rsidR="00114804" w:rsidRPr="00FF05AC">
        <w:rPr>
          <w:rFonts w:ascii="Palatino Linotype" w:hAnsi="Palatino Linotype"/>
          <w:i/>
          <w:sz w:val="22"/>
          <w:szCs w:val="22"/>
        </w:rPr>
        <w:t xml:space="preserve"> </w:t>
      </w:r>
      <w:r w:rsidRPr="00FF05AC">
        <w:rPr>
          <w:rFonts w:ascii="Palatino Linotype" w:hAnsi="Palatino Linotype"/>
          <w:i/>
          <w:sz w:val="22"/>
          <w:szCs w:val="22"/>
        </w:rPr>
        <w:t>interpretarán conforme a los principios establecidos en la Constitución Federal, los tratados</w:t>
      </w:r>
      <w:r w:rsidR="00325590" w:rsidRPr="00FF05AC">
        <w:rPr>
          <w:rFonts w:ascii="Palatino Linotype" w:hAnsi="Palatino Linotype"/>
          <w:i/>
          <w:sz w:val="22"/>
          <w:szCs w:val="22"/>
        </w:rPr>
        <w:t xml:space="preserve"> </w:t>
      </w:r>
      <w:r w:rsidRPr="00FF05AC">
        <w:rPr>
          <w:rFonts w:ascii="Palatino Linotype" w:hAnsi="Palatino Linotype"/>
          <w:i/>
          <w:sz w:val="22"/>
          <w:szCs w:val="22"/>
        </w:rPr>
        <w:t>internacionales de los que el Estado mexicano sea parte, la Ley General, la Constitución Local</w:t>
      </w:r>
      <w:r w:rsidR="00325590" w:rsidRPr="00FF05AC">
        <w:rPr>
          <w:rFonts w:ascii="Palatino Linotype" w:hAnsi="Palatino Linotype"/>
          <w:i/>
          <w:sz w:val="22"/>
          <w:szCs w:val="22"/>
        </w:rPr>
        <w:t xml:space="preserve"> </w:t>
      </w:r>
      <w:r w:rsidRPr="00FF05AC">
        <w:rPr>
          <w:rFonts w:ascii="Palatino Linotype" w:hAnsi="Palatino Linotype"/>
          <w:i/>
          <w:sz w:val="22"/>
          <w:szCs w:val="22"/>
        </w:rPr>
        <w:t>y la presente Ley.</w:t>
      </w:r>
    </w:p>
    <w:p w14:paraId="7FF816D1" w14:textId="0983F3B2"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En la aplicación e interpretación de la presente Ley deberá prevalecer el principio de máxima</w:t>
      </w:r>
      <w:r w:rsidR="00325590" w:rsidRPr="00FF05AC">
        <w:rPr>
          <w:rFonts w:ascii="Palatino Linotype" w:hAnsi="Palatino Linotype"/>
          <w:i/>
          <w:sz w:val="22"/>
          <w:szCs w:val="22"/>
        </w:rPr>
        <w:t xml:space="preserve"> </w:t>
      </w:r>
      <w:r w:rsidRPr="00FF05AC">
        <w:rPr>
          <w:rFonts w:ascii="Palatino Linotype" w:hAnsi="Palatino Linotype"/>
          <w:i/>
          <w:sz w:val="22"/>
          <w:szCs w:val="22"/>
        </w:rPr>
        <w:t>publicidad, conforme a lo dispuesto en la Constitución Federal, en los tratados internacionales</w:t>
      </w:r>
      <w:r w:rsidR="00325590" w:rsidRPr="00FF05AC">
        <w:rPr>
          <w:rFonts w:ascii="Palatino Linotype" w:hAnsi="Palatino Linotype"/>
          <w:i/>
          <w:sz w:val="22"/>
          <w:szCs w:val="22"/>
        </w:rPr>
        <w:t xml:space="preserve"> </w:t>
      </w:r>
      <w:r w:rsidRPr="00FF05AC">
        <w:rPr>
          <w:rFonts w:ascii="Palatino Linotype" w:hAnsi="Palatino Linotype"/>
          <w:i/>
          <w:sz w:val="22"/>
          <w:szCs w:val="22"/>
        </w:rPr>
        <w:t>de los que el Estado mexicano sea parte, la Ley General, la Constitución Local, así como en</w:t>
      </w:r>
      <w:r w:rsidR="00325590" w:rsidRPr="00FF05AC">
        <w:rPr>
          <w:rFonts w:ascii="Palatino Linotype" w:hAnsi="Palatino Linotype"/>
          <w:i/>
          <w:sz w:val="22"/>
          <w:szCs w:val="22"/>
        </w:rPr>
        <w:t xml:space="preserve"> </w:t>
      </w:r>
      <w:r w:rsidRPr="00FF05AC">
        <w:rPr>
          <w:rFonts w:ascii="Palatino Linotype" w:hAnsi="Palatino Linotype"/>
          <w:i/>
          <w:sz w:val="22"/>
          <w:szCs w:val="22"/>
        </w:rPr>
        <w:t>las resoluciones y sentencias vinculantes que emitan los órganos nacionales e internacionales</w:t>
      </w:r>
      <w:r w:rsidR="00325590" w:rsidRPr="00FF05AC">
        <w:rPr>
          <w:rFonts w:ascii="Palatino Linotype" w:hAnsi="Palatino Linotype"/>
          <w:i/>
          <w:sz w:val="22"/>
          <w:szCs w:val="22"/>
        </w:rPr>
        <w:t xml:space="preserve"> </w:t>
      </w:r>
      <w:r w:rsidRPr="00FF05AC">
        <w:rPr>
          <w:rFonts w:ascii="Palatino Linotype" w:hAnsi="Palatino Linotype"/>
          <w:i/>
          <w:sz w:val="22"/>
          <w:szCs w:val="22"/>
        </w:rPr>
        <w:t>especializados, favoreciendo en todo tiempo a las personas la protección más amplia,</w:t>
      </w:r>
      <w:r w:rsidR="00325590" w:rsidRPr="00FF05AC">
        <w:rPr>
          <w:rFonts w:ascii="Palatino Linotype" w:hAnsi="Palatino Linotype"/>
          <w:i/>
          <w:sz w:val="22"/>
          <w:szCs w:val="22"/>
        </w:rPr>
        <w:t xml:space="preserve"> </w:t>
      </w:r>
      <w:r w:rsidRPr="00FF05AC">
        <w:rPr>
          <w:rFonts w:ascii="Palatino Linotype" w:hAnsi="Palatino Linotype"/>
          <w:i/>
          <w:sz w:val="22"/>
          <w:szCs w:val="22"/>
        </w:rPr>
        <w:t>atendiendo al principio pro persona.</w:t>
      </w:r>
    </w:p>
    <w:p w14:paraId="62AF550E" w14:textId="36ABE331"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Para el caso de la interpretación se podrá tomar en cuenta los criterios, determinaciones y</w:t>
      </w:r>
      <w:r w:rsidR="00325590" w:rsidRPr="00FF05AC">
        <w:rPr>
          <w:rFonts w:ascii="Palatino Linotype" w:hAnsi="Palatino Linotype"/>
          <w:i/>
          <w:sz w:val="22"/>
          <w:szCs w:val="22"/>
        </w:rPr>
        <w:t xml:space="preserve"> </w:t>
      </w:r>
      <w:r w:rsidRPr="00FF05AC">
        <w:rPr>
          <w:rFonts w:ascii="Palatino Linotype" w:hAnsi="Palatino Linotype"/>
          <w:i/>
          <w:sz w:val="22"/>
          <w:szCs w:val="22"/>
        </w:rPr>
        <w:t>opiniones de los organismos nacionales e internacionales, en materia de transparencia y el</w:t>
      </w:r>
      <w:r w:rsidR="00325590" w:rsidRPr="00FF05AC">
        <w:rPr>
          <w:rFonts w:ascii="Palatino Linotype" w:hAnsi="Palatino Linotype"/>
          <w:i/>
          <w:sz w:val="22"/>
          <w:szCs w:val="22"/>
        </w:rPr>
        <w:t xml:space="preserve"> </w:t>
      </w:r>
      <w:r w:rsidRPr="00FF05AC">
        <w:rPr>
          <w:rFonts w:ascii="Palatino Linotype" w:hAnsi="Palatino Linotype"/>
          <w:i/>
          <w:sz w:val="22"/>
          <w:szCs w:val="22"/>
        </w:rPr>
        <w:t>derecho de acceso a la información.</w:t>
      </w:r>
    </w:p>
    <w:p w14:paraId="7B5EE7ED"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72543EA2" w14:textId="02F47A3E"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9. El Instituto deberá regir su funcionamiento de acuerdo a los siguientes principios:</w:t>
      </w:r>
    </w:p>
    <w:p w14:paraId="5322E5C6" w14:textId="676281F0"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I. Certeza: Principio que otorga seguridad y certidumbre jurídica a los particulares, en virtud</w:t>
      </w:r>
      <w:r w:rsidR="00325590" w:rsidRPr="00FF05AC">
        <w:rPr>
          <w:rFonts w:ascii="Palatino Linotype" w:hAnsi="Palatino Linotype"/>
          <w:i/>
          <w:sz w:val="22"/>
          <w:szCs w:val="22"/>
        </w:rPr>
        <w:t xml:space="preserve"> </w:t>
      </w:r>
      <w:r w:rsidRPr="00FF05AC">
        <w:rPr>
          <w:rFonts w:ascii="Palatino Linotype" w:hAnsi="Palatino Linotype"/>
          <w:i/>
          <w:sz w:val="22"/>
          <w:szCs w:val="22"/>
        </w:rPr>
        <w:t>de que permite conocer si las acciones del Instituto son apegadas a derecho y garantiza que</w:t>
      </w:r>
      <w:r w:rsidR="00325590" w:rsidRPr="00FF05AC">
        <w:rPr>
          <w:rFonts w:ascii="Palatino Linotype" w:hAnsi="Palatino Linotype"/>
          <w:i/>
          <w:sz w:val="22"/>
          <w:szCs w:val="22"/>
        </w:rPr>
        <w:t xml:space="preserve"> </w:t>
      </w:r>
      <w:r w:rsidRPr="00FF05AC">
        <w:rPr>
          <w:rFonts w:ascii="Palatino Linotype" w:hAnsi="Palatino Linotype"/>
          <w:i/>
          <w:sz w:val="22"/>
          <w:szCs w:val="22"/>
        </w:rPr>
        <w:t>los procedimientos sean completamente verificables, fidedignos y confiables;</w:t>
      </w:r>
    </w:p>
    <w:p w14:paraId="2FF95C69" w14:textId="34897720"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II. Eficacia: Obligación del Instituto para tutelar, de manera efectiva, el derecho de acceso a</w:t>
      </w:r>
      <w:r w:rsidR="00325590" w:rsidRPr="00FF05AC">
        <w:rPr>
          <w:rFonts w:ascii="Palatino Linotype" w:hAnsi="Palatino Linotype"/>
          <w:i/>
          <w:sz w:val="22"/>
          <w:szCs w:val="22"/>
        </w:rPr>
        <w:t xml:space="preserve"> </w:t>
      </w:r>
      <w:r w:rsidRPr="00FF05AC">
        <w:rPr>
          <w:rFonts w:ascii="Palatino Linotype" w:hAnsi="Palatino Linotype"/>
          <w:i/>
          <w:sz w:val="22"/>
          <w:szCs w:val="22"/>
        </w:rPr>
        <w:t>la información;</w:t>
      </w:r>
    </w:p>
    <w:p w14:paraId="0C5AE9B6"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0FA62329" w14:textId="59DD7A17"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VI. Legalidad: Obligación del Instituto de ajustar su actuación, que funde y motive sus</w:t>
      </w:r>
      <w:r w:rsidR="00325590" w:rsidRPr="00FF05AC">
        <w:rPr>
          <w:rFonts w:ascii="Palatino Linotype" w:hAnsi="Palatino Linotype"/>
          <w:i/>
          <w:sz w:val="22"/>
          <w:szCs w:val="22"/>
        </w:rPr>
        <w:t xml:space="preserve"> </w:t>
      </w:r>
      <w:r w:rsidRPr="00FF05AC">
        <w:rPr>
          <w:rFonts w:ascii="Palatino Linotype" w:hAnsi="Palatino Linotype"/>
          <w:i/>
          <w:sz w:val="22"/>
          <w:szCs w:val="22"/>
        </w:rPr>
        <w:t>resoluciones y actos en las normas aplicables;</w:t>
      </w:r>
    </w:p>
    <w:p w14:paraId="63FEA7AE" w14:textId="19ABCA91"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VII. Máxima Publicidad: Toda la información en posesión de los sujetos obligados será</w:t>
      </w:r>
      <w:r w:rsidR="00325590" w:rsidRPr="00FF05AC">
        <w:rPr>
          <w:rFonts w:ascii="Palatino Linotype" w:hAnsi="Palatino Linotype"/>
          <w:i/>
          <w:sz w:val="22"/>
          <w:szCs w:val="22"/>
        </w:rPr>
        <w:t xml:space="preserve"> </w:t>
      </w:r>
      <w:r w:rsidRPr="00FF05AC">
        <w:rPr>
          <w:rFonts w:ascii="Palatino Linotype" w:hAnsi="Palatino Linotype"/>
          <w:i/>
          <w:sz w:val="22"/>
          <w:szCs w:val="22"/>
        </w:rPr>
        <w:t>pública, completa, oportuna y accesible, sujeta a un claro régimen de excepciones que</w:t>
      </w:r>
      <w:r w:rsidR="00325590" w:rsidRPr="00FF05AC">
        <w:rPr>
          <w:rFonts w:ascii="Palatino Linotype" w:hAnsi="Palatino Linotype"/>
          <w:i/>
          <w:sz w:val="22"/>
          <w:szCs w:val="22"/>
        </w:rPr>
        <w:t xml:space="preserve"> </w:t>
      </w:r>
      <w:r w:rsidRPr="00FF05AC">
        <w:rPr>
          <w:rFonts w:ascii="Palatino Linotype" w:hAnsi="Palatino Linotype"/>
          <w:i/>
          <w:sz w:val="22"/>
          <w:szCs w:val="22"/>
        </w:rPr>
        <w:t>deberán estar definidas y ser además legítimas y estrictamente necesarias en una sociedad</w:t>
      </w:r>
      <w:r w:rsidR="00325590" w:rsidRPr="00FF05AC">
        <w:rPr>
          <w:rFonts w:ascii="Palatino Linotype" w:hAnsi="Palatino Linotype"/>
          <w:i/>
          <w:sz w:val="22"/>
          <w:szCs w:val="22"/>
        </w:rPr>
        <w:t xml:space="preserve"> </w:t>
      </w:r>
      <w:r w:rsidRPr="00FF05AC">
        <w:rPr>
          <w:rFonts w:ascii="Palatino Linotype" w:hAnsi="Palatino Linotype"/>
          <w:i/>
          <w:sz w:val="22"/>
          <w:szCs w:val="22"/>
        </w:rPr>
        <w:t>democrática;</w:t>
      </w:r>
    </w:p>
    <w:p w14:paraId="3B73A9E2"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1301FA10" w14:textId="2E94B9AC"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21. Todo procedimiento en materia de derecho de acceso a la información deberá</w:t>
      </w:r>
      <w:r w:rsidR="00325590" w:rsidRPr="00FF05AC">
        <w:rPr>
          <w:rFonts w:ascii="Palatino Linotype" w:hAnsi="Palatino Linotype"/>
          <w:i/>
          <w:sz w:val="22"/>
          <w:szCs w:val="22"/>
        </w:rPr>
        <w:t xml:space="preserve"> </w:t>
      </w:r>
      <w:r w:rsidRPr="00FF05AC">
        <w:rPr>
          <w:rFonts w:ascii="Palatino Linotype" w:hAnsi="Palatino Linotype"/>
          <w:i/>
          <w:sz w:val="22"/>
          <w:szCs w:val="22"/>
        </w:rPr>
        <w:t>sustanciarse de manera sencilla y expedita, de conformidad con las bases de esta Ley.</w:t>
      </w:r>
    </w:p>
    <w:p w14:paraId="4DE2EC1D"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1588E623"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36. El Instituto tendrá, en el ámbito de su competencia, las atribuciones siguientes:</w:t>
      </w:r>
    </w:p>
    <w:p w14:paraId="3FF178C6"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I. Interpretar los ordenamientos que les resulten aplicables y que deriven de la Constitución</w:t>
      </w:r>
    </w:p>
    <w:p w14:paraId="2DB31647"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Federal, la Constitución Local, la Ley General y esta Ley;</w:t>
      </w:r>
    </w:p>
    <w:p w14:paraId="257E642C" w14:textId="04A73D3E"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II. Conocer y resolver los recursos de revisión interpuestos por los particulares en contra de</w:t>
      </w:r>
      <w:r w:rsidR="00325590" w:rsidRPr="00FF05AC">
        <w:rPr>
          <w:rFonts w:ascii="Palatino Linotype" w:hAnsi="Palatino Linotype"/>
          <w:i/>
          <w:sz w:val="22"/>
          <w:szCs w:val="22"/>
        </w:rPr>
        <w:t xml:space="preserve"> </w:t>
      </w:r>
      <w:r w:rsidRPr="00FF05AC">
        <w:rPr>
          <w:rFonts w:ascii="Palatino Linotype" w:hAnsi="Palatino Linotype"/>
          <w:i/>
          <w:sz w:val="22"/>
          <w:szCs w:val="22"/>
        </w:rPr>
        <w:t>las resoluciones de los sujetos obligados en el ámbito estatal en términos de lo dispuesto en</w:t>
      </w:r>
      <w:r w:rsidR="00325590" w:rsidRPr="00FF05AC">
        <w:rPr>
          <w:rFonts w:ascii="Palatino Linotype" w:hAnsi="Palatino Linotype"/>
          <w:i/>
          <w:sz w:val="22"/>
          <w:szCs w:val="22"/>
        </w:rPr>
        <w:t xml:space="preserve"> </w:t>
      </w:r>
      <w:r w:rsidRPr="00FF05AC">
        <w:rPr>
          <w:rFonts w:ascii="Palatino Linotype" w:hAnsi="Palatino Linotype"/>
          <w:i/>
          <w:sz w:val="22"/>
          <w:szCs w:val="22"/>
        </w:rPr>
        <w:t>el Capítulo I del Título Octavo de la presente Ley;</w:t>
      </w:r>
    </w:p>
    <w:p w14:paraId="7CD5BEA0"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09BEF131" w14:textId="036A4A80"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45. Cada sujeto obligado establecerá un Comité de Transparencia, colegiado e</w:t>
      </w:r>
      <w:r w:rsidR="00325590" w:rsidRPr="00FF05AC">
        <w:rPr>
          <w:rFonts w:ascii="Palatino Linotype" w:hAnsi="Palatino Linotype"/>
          <w:i/>
          <w:sz w:val="22"/>
          <w:szCs w:val="22"/>
        </w:rPr>
        <w:t xml:space="preserve"> </w:t>
      </w:r>
      <w:r w:rsidRPr="00FF05AC">
        <w:rPr>
          <w:rFonts w:ascii="Palatino Linotype" w:hAnsi="Palatino Linotype"/>
          <w:i/>
          <w:sz w:val="22"/>
          <w:szCs w:val="22"/>
        </w:rPr>
        <w:t>integrado por lo menos por tres miembros, debiendo de ser siempre un número impar.</w:t>
      </w:r>
    </w:p>
    <w:p w14:paraId="7D379CFE"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78025BD6" w14:textId="598EC551"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49. Los Comités de Transparencia tendrán las siguientes atribuciones:</w:t>
      </w:r>
    </w:p>
    <w:p w14:paraId="4ACC0F1D" w14:textId="167564A3"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XII. Emitir las resoluciones que correspondan para la atención de las solicitudes de</w:t>
      </w:r>
      <w:r w:rsidR="00325590" w:rsidRPr="00FF05AC">
        <w:rPr>
          <w:rFonts w:ascii="Palatino Linotype" w:hAnsi="Palatino Linotype"/>
          <w:i/>
          <w:sz w:val="22"/>
          <w:szCs w:val="22"/>
        </w:rPr>
        <w:t xml:space="preserve"> </w:t>
      </w:r>
      <w:r w:rsidRPr="00FF05AC">
        <w:rPr>
          <w:rFonts w:ascii="Palatino Linotype" w:hAnsi="Palatino Linotype"/>
          <w:i/>
          <w:sz w:val="22"/>
          <w:szCs w:val="22"/>
        </w:rPr>
        <w:t>información;</w:t>
      </w:r>
    </w:p>
    <w:p w14:paraId="116C9664"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4900CDEC" w14:textId="676F4905"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122. La clasificación es el proceso mediante el cual el sujeto obligado determina que</w:t>
      </w:r>
      <w:r w:rsidR="00325590" w:rsidRPr="00FF05AC">
        <w:rPr>
          <w:rFonts w:ascii="Palatino Linotype" w:hAnsi="Palatino Linotype"/>
          <w:i/>
          <w:sz w:val="22"/>
          <w:szCs w:val="22"/>
        </w:rPr>
        <w:t xml:space="preserve"> </w:t>
      </w:r>
      <w:r w:rsidRPr="00FF05AC">
        <w:rPr>
          <w:rFonts w:ascii="Palatino Linotype" w:hAnsi="Palatino Linotype"/>
          <w:i/>
          <w:sz w:val="22"/>
          <w:szCs w:val="22"/>
        </w:rPr>
        <w:t>la información en su poder actualiza alguno de los supuestos de reserva o confidencialidad,</w:t>
      </w:r>
      <w:r w:rsidR="00325590" w:rsidRPr="00FF05AC">
        <w:rPr>
          <w:rFonts w:ascii="Palatino Linotype" w:hAnsi="Palatino Linotype"/>
          <w:i/>
          <w:sz w:val="22"/>
          <w:szCs w:val="22"/>
        </w:rPr>
        <w:t xml:space="preserve"> </w:t>
      </w:r>
      <w:r w:rsidRPr="00FF05AC">
        <w:rPr>
          <w:rFonts w:ascii="Palatino Linotype" w:hAnsi="Palatino Linotype"/>
          <w:i/>
          <w:sz w:val="22"/>
          <w:szCs w:val="22"/>
        </w:rPr>
        <w:t>de conformidad con lo dispuesto en el presente título.</w:t>
      </w:r>
    </w:p>
    <w:p w14:paraId="68770FBA" w14:textId="24E31899"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Los supuestos de reserva o confidencialidad previstos en las leyes deberán ser acordes con</w:t>
      </w:r>
      <w:r w:rsidR="00325590" w:rsidRPr="00FF05AC">
        <w:rPr>
          <w:rFonts w:ascii="Palatino Linotype" w:hAnsi="Palatino Linotype"/>
          <w:i/>
          <w:sz w:val="22"/>
          <w:szCs w:val="22"/>
        </w:rPr>
        <w:t xml:space="preserve"> </w:t>
      </w:r>
      <w:r w:rsidRPr="00FF05AC">
        <w:rPr>
          <w:rFonts w:ascii="Palatino Linotype" w:hAnsi="Palatino Linotype"/>
          <w:i/>
          <w:sz w:val="22"/>
          <w:szCs w:val="22"/>
        </w:rPr>
        <w:t>las bases, principios y disposiciones establecidos en la Ley General y, en ningún caso, podrán</w:t>
      </w:r>
      <w:r w:rsidR="00325590" w:rsidRPr="00FF05AC">
        <w:rPr>
          <w:rFonts w:ascii="Palatino Linotype" w:hAnsi="Palatino Linotype"/>
          <w:i/>
          <w:sz w:val="22"/>
          <w:szCs w:val="22"/>
        </w:rPr>
        <w:t xml:space="preserve"> </w:t>
      </w:r>
      <w:r w:rsidRPr="00FF05AC">
        <w:rPr>
          <w:rFonts w:ascii="Palatino Linotype" w:hAnsi="Palatino Linotype"/>
          <w:i/>
          <w:sz w:val="22"/>
          <w:szCs w:val="22"/>
        </w:rPr>
        <w:t>contravenirla.</w:t>
      </w:r>
    </w:p>
    <w:p w14:paraId="200ABF5D" w14:textId="3307BF00"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Los titulares de las áreas de los sujetos obligados serán los responsables de clasificar la</w:t>
      </w:r>
      <w:r w:rsidR="00325590" w:rsidRPr="00FF05AC">
        <w:rPr>
          <w:rFonts w:ascii="Palatino Linotype" w:hAnsi="Palatino Linotype"/>
          <w:i/>
          <w:sz w:val="22"/>
          <w:szCs w:val="22"/>
        </w:rPr>
        <w:t xml:space="preserve"> </w:t>
      </w:r>
      <w:r w:rsidRPr="00FF05AC">
        <w:rPr>
          <w:rFonts w:ascii="Palatino Linotype" w:hAnsi="Palatino Linotype"/>
          <w:i/>
          <w:sz w:val="22"/>
          <w:szCs w:val="22"/>
        </w:rPr>
        <w:t>información, de conformidad con lo dispuesto en la presente Ley y demás disposiciones</w:t>
      </w:r>
      <w:r w:rsidR="00325590" w:rsidRPr="00FF05AC">
        <w:rPr>
          <w:rFonts w:ascii="Palatino Linotype" w:hAnsi="Palatino Linotype"/>
          <w:i/>
          <w:sz w:val="22"/>
          <w:szCs w:val="22"/>
        </w:rPr>
        <w:t xml:space="preserve"> </w:t>
      </w:r>
      <w:r w:rsidRPr="00FF05AC">
        <w:rPr>
          <w:rFonts w:ascii="Palatino Linotype" w:hAnsi="Palatino Linotype"/>
          <w:i/>
          <w:sz w:val="22"/>
          <w:szCs w:val="22"/>
        </w:rPr>
        <w:t>jurídicas aplicables.</w:t>
      </w:r>
    </w:p>
    <w:p w14:paraId="575C062F"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00662A25"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125. La información clasificada como reservada, de acuerdo a lo establecido en esta</w:t>
      </w:r>
    </w:p>
    <w:p w14:paraId="2439976B" w14:textId="025AD42A"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Ley podrá permanecer con tal carácter hasta por un periodo de cinco años, contados a</w:t>
      </w:r>
      <w:r w:rsidR="00325590" w:rsidRPr="00FF05AC">
        <w:rPr>
          <w:rFonts w:ascii="Palatino Linotype" w:hAnsi="Palatino Linotype"/>
          <w:i/>
          <w:sz w:val="22"/>
          <w:szCs w:val="22"/>
        </w:rPr>
        <w:t xml:space="preserve"> </w:t>
      </w:r>
      <w:r w:rsidRPr="00FF05AC">
        <w:rPr>
          <w:rFonts w:ascii="Palatino Linotype" w:hAnsi="Palatino Linotype"/>
          <w:i/>
          <w:sz w:val="22"/>
          <w:szCs w:val="22"/>
        </w:rPr>
        <w:t>partir de su clasificación, salvo que antes del cumplimiento del periodo de restricción, dejaran</w:t>
      </w:r>
      <w:r w:rsidR="00325590" w:rsidRPr="00FF05AC">
        <w:rPr>
          <w:rFonts w:ascii="Palatino Linotype" w:hAnsi="Palatino Linotype"/>
          <w:i/>
          <w:sz w:val="22"/>
          <w:szCs w:val="22"/>
        </w:rPr>
        <w:t xml:space="preserve"> </w:t>
      </w:r>
      <w:r w:rsidRPr="00FF05AC">
        <w:rPr>
          <w:rFonts w:ascii="Palatino Linotype" w:hAnsi="Palatino Linotype"/>
          <w:i/>
          <w:sz w:val="22"/>
          <w:szCs w:val="22"/>
        </w:rPr>
        <w:t>de existir los motivos de su reserva.</w:t>
      </w:r>
    </w:p>
    <w:p w14:paraId="2EC2DD9D" w14:textId="6355E527"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Los titulares de las áreas deberán determinar que el plazo de reserva sea el estrictamente</w:t>
      </w:r>
      <w:r w:rsidR="00325590" w:rsidRPr="00FF05AC">
        <w:rPr>
          <w:rFonts w:ascii="Palatino Linotype" w:hAnsi="Palatino Linotype"/>
          <w:i/>
          <w:sz w:val="22"/>
          <w:szCs w:val="22"/>
        </w:rPr>
        <w:t xml:space="preserve"> </w:t>
      </w:r>
      <w:r w:rsidRPr="00FF05AC">
        <w:rPr>
          <w:rFonts w:ascii="Palatino Linotype" w:hAnsi="Palatino Linotype"/>
          <w:i/>
          <w:sz w:val="22"/>
          <w:szCs w:val="22"/>
        </w:rPr>
        <w:t>necesario para proteger la información mientras subsistan las causas que dieron origen a la</w:t>
      </w:r>
      <w:r w:rsidR="00325590" w:rsidRPr="00FF05AC">
        <w:rPr>
          <w:rFonts w:ascii="Palatino Linotype" w:hAnsi="Palatino Linotype"/>
          <w:i/>
          <w:sz w:val="22"/>
          <w:szCs w:val="22"/>
        </w:rPr>
        <w:t xml:space="preserve"> </w:t>
      </w:r>
      <w:r w:rsidRPr="00FF05AC">
        <w:rPr>
          <w:rFonts w:ascii="Palatino Linotype" w:hAnsi="Palatino Linotype"/>
          <w:i/>
          <w:sz w:val="22"/>
          <w:szCs w:val="22"/>
        </w:rPr>
        <w:t>clasificación, salvaguardando el interés público protegido y tomarán en cuenta las razones</w:t>
      </w:r>
      <w:r w:rsidR="00325590" w:rsidRPr="00FF05AC">
        <w:rPr>
          <w:rFonts w:ascii="Palatino Linotype" w:hAnsi="Palatino Linotype"/>
          <w:i/>
          <w:sz w:val="22"/>
          <w:szCs w:val="22"/>
        </w:rPr>
        <w:t xml:space="preserve"> </w:t>
      </w:r>
      <w:r w:rsidRPr="00FF05AC">
        <w:rPr>
          <w:rFonts w:ascii="Palatino Linotype" w:hAnsi="Palatino Linotype"/>
          <w:i/>
          <w:sz w:val="22"/>
          <w:szCs w:val="22"/>
        </w:rPr>
        <w:t>que justifican el periodo de reserva establecido.</w:t>
      </w:r>
    </w:p>
    <w:p w14:paraId="63BB3F1C" w14:textId="56F4C0F4"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Excepcionalmente los sujetos obligados con la aprobación de su Comité de Transparencia,</w:t>
      </w:r>
      <w:r w:rsidR="00325590" w:rsidRPr="00FF05AC">
        <w:rPr>
          <w:rFonts w:ascii="Palatino Linotype" w:hAnsi="Palatino Linotype"/>
          <w:i/>
          <w:sz w:val="22"/>
          <w:szCs w:val="22"/>
        </w:rPr>
        <w:t xml:space="preserve"> </w:t>
      </w:r>
      <w:r w:rsidRPr="00FF05AC">
        <w:rPr>
          <w:rFonts w:ascii="Palatino Linotype" w:hAnsi="Palatino Linotype"/>
          <w:i/>
          <w:sz w:val="22"/>
          <w:szCs w:val="22"/>
        </w:rPr>
        <w:t>podrán ampliar el periodo de reserva hasta por un plazo de cinco años adicionales y por una</w:t>
      </w:r>
      <w:r w:rsidR="00325590" w:rsidRPr="00FF05AC">
        <w:rPr>
          <w:rFonts w:ascii="Palatino Linotype" w:hAnsi="Palatino Linotype"/>
          <w:i/>
          <w:sz w:val="22"/>
          <w:szCs w:val="22"/>
        </w:rPr>
        <w:t xml:space="preserve"> </w:t>
      </w:r>
      <w:r w:rsidRPr="00FF05AC">
        <w:rPr>
          <w:rFonts w:ascii="Palatino Linotype" w:hAnsi="Palatino Linotype"/>
          <w:i/>
          <w:sz w:val="22"/>
          <w:szCs w:val="22"/>
        </w:rPr>
        <w:t>sola vez, siempre y cuando justifiquen que subsisten las causas que dieron origen a su</w:t>
      </w:r>
      <w:r w:rsidR="00325590" w:rsidRPr="00FF05AC">
        <w:rPr>
          <w:rFonts w:ascii="Palatino Linotype" w:hAnsi="Palatino Linotype"/>
          <w:i/>
          <w:sz w:val="22"/>
          <w:szCs w:val="22"/>
        </w:rPr>
        <w:t xml:space="preserve"> </w:t>
      </w:r>
      <w:r w:rsidRPr="00FF05AC">
        <w:rPr>
          <w:rFonts w:ascii="Palatino Linotype" w:hAnsi="Palatino Linotype"/>
          <w:i/>
          <w:sz w:val="22"/>
          <w:szCs w:val="22"/>
        </w:rPr>
        <w:t>clasificación, mediante la aplicación de una prueba de daño.</w:t>
      </w:r>
    </w:p>
    <w:p w14:paraId="217110E1"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2E52DA50" w14:textId="735837AB"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128. En los casos en que se niegue el acceso a la información, por actualizarse</w:t>
      </w:r>
      <w:r w:rsidR="00325590" w:rsidRPr="00FF05AC">
        <w:rPr>
          <w:rFonts w:ascii="Palatino Linotype" w:hAnsi="Palatino Linotype"/>
          <w:i/>
          <w:sz w:val="22"/>
          <w:szCs w:val="22"/>
        </w:rPr>
        <w:t xml:space="preserve"> </w:t>
      </w:r>
      <w:r w:rsidRPr="00FF05AC">
        <w:rPr>
          <w:rFonts w:ascii="Palatino Linotype" w:hAnsi="Palatino Linotype"/>
          <w:i/>
          <w:sz w:val="22"/>
          <w:szCs w:val="22"/>
        </w:rPr>
        <w:t>alguno de los supuestos de clasificación, el Comité de Transparencia deberá confirmar,</w:t>
      </w:r>
      <w:r w:rsidR="00325590" w:rsidRPr="00FF05AC">
        <w:rPr>
          <w:rFonts w:ascii="Palatino Linotype" w:hAnsi="Palatino Linotype"/>
          <w:i/>
          <w:sz w:val="22"/>
          <w:szCs w:val="22"/>
        </w:rPr>
        <w:t xml:space="preserve"> </w:t>
      </w:r>
      <w:r w:rsidRPr="00FF05AC">
        <w:rPr>
          <w:rFonts w:ascii="Palatino Linotype" w:hAnsi="Palatino Linotype"/>
          <w:i/>
          <w:sz w:val="22"/>
          <w:szCs w:val="22"/>
        </w:rPr>
        <w:t>modificar o revocar la decisión.</w:t>
      </w:r>
    </w:p>
    <w:p w14:paraId="51BE6DB9" w14:textId="084FA260"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Para motivar la clasificación de la información y la ampliación del plazo de reserva, se</w:t>
      </w:r>
      <w:r w:rsidR="00325590" w:rsidRPr="00FF05AC">
        <w:rPr>
          <w:rFonts w:ascii="Palatino Linotype" w:hAnsi="Palatino Linotype"/>
          <w:i/>
          <w:sz w:val="22"/>
          <w:szCs w:val="22"/>
        </w:rPr>
        <w:t xml:space="preserve"> </w:t>
      </w:r>
      <w:r w:rsidRPr="00FF05AC">
        <w:rPr>
          <w:rFonts w:ascii="Palatino Linotype" w:hAnsi="Palatino Linotype"/>
          <w:i/>
          <w:sz w:val="22"/>
          <w:szCs w:val="22"/>
        </w:rPr>
        <w:t>deberán señalar las razones, motivos o circunstancias especiales que llevaron al sujeto</w:t>
      </w:r>
      <w:r w:rsidR="00325590" w:rsidRPr="00FF05AC">
        <w:rPr>
          <w:rFonts w:ascii="Palatino Linotype" w:hAnsi="Palatino Linotype"/>
          <w:i/>
          <w:sz w:val="22"/>
          <w:szCs w:val="22"/>
        </w:rPr>
        <w:t xml:space="preserve"> </w:t>
      </w:r>
      <w:r w:rsidRPr="00FF05AC">
        <w:rPr>
          <w:rFonts w:ascii="Palatino Linotype" w:hAnsi="Palatino Linotype"/>
          <w:i/>
          <w:sz w:val="22"/>
          <w:szCs w:val="22"/>
        </w:rPr>
        <w:t>obligado a concluir que el caso particular se ajusta al supuesto previsto por la norma legal invocada como fundamento. Además, el sujeto obligado deberá, en todo</w:t>
      </w:r>
      <w:r w:rsidR="00325590" w:rsidRPr="00FF05AC">
        <w:rPr>
          <w:rFonts w:ascii="Palatino Linotype" w:hAnsi="Palatino Linotype"/>
          <w:i/>
          <w:sz w:val="22"/>
          <w:szCs w:val="22"/>
        </w:rPr>
        <w:t xml:space="preserve"> </w:t>
      </w:r>
      <w:r w:rsidRPr="00FF05AC">
        <w:rPr>
          <w:rFonts w:ascii="Palatino Linotype" w:hAnsi="Palatino Linotype"/>
          <w:i/>
          <w:sz w:val="22"/>
          <w:szCs w:val="22"/>
        </w:rPr>
        <w:t>momento, aplicar una prueba de daño.</w:t>
      </w:r>
    </w:p>
    <w:p w14:paraId="14DA2E36" w14:textId="0955705E"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Tratándose de aquélla información que actualice los supuestos de clasificación, deberá</w:t>
      </w:r>
      <w:r w:rsidR="00325590" w:rsidRPr="00FF05AC">
        <w:rPr>
          <w:rFonts w:ascii="Palatino Linotype" w:hAnsi="Palatino Linotype"/>
          <w:i/>
          <w:sz w:val="22"/>
          <w:szCs w:val="22"/>
        </w:rPr>
        <w:t xml:space="preserve"> </w:t>
      </w:r>
      <w:r w:rsidRPr="00FF05AC">
        <w:rPr>
          <w:rFonts w:ascii="Palatino Linotype" w:hAnsi="Palatino Linotype"/>
          <w:i/>
          <w:sz w:val="22"/>
          <w:szCs w:val="22"/>
        </w:rPr>
        <w:t>señalarse el plazo al que estará sujeto la reserva.</w:t>
      </w:r>
    </w:p>
    <w:p w14:paraId="3871DAEF" w14:textId="5C0D08E1"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129. En la aplicación de la prueba de daño, el sujeto obligado deberá precisar las</w:t>
      </w:r>
      <w:r w:rsidR="00325590" w:rsidRPr="00FF05AC">
        <w:rPr>
          <w:rFonts w:ascii="Palatino Linotype" w:hAnsi="Palatino Linotype"/>
          <w:i/>
          <w:sz w:val="22"/>
          <w:szCs w:val="22"/>
        </w:rPr>
        <w:t xml:space="preserve"> </w:t>
      </w:r>
      <w:r w:rsidRPr="00FF05AC">
        <w:rPr>
          <w:rFonts w:ascii="Palatino Linotype" w:hAnsi="Palatino Linotype"/>
          <w:i/>
          <w:sz w:val="22"/>
          <w:szCs w:val="22"/>
        </w:rPr>
        <w:t>razones objetivas por las que la apertura de la información generaría una afectación,</w:t>
      </w:r>
      <w:r w:rsidR="00325590" w:rsidRPr="00FF05AC">
        <w:rPr>
          <w:rFonts w:ascii="Palatino Linotype" w:hAnsi="Palatino Linotype"/>
          <w:i/>
          <w:sz w:val="22"/>
          <w:szCs w:val="22"/>
        </w:rPr>
        <w:t xml:space="preserve"> </w:t>
      </w:r>
      <w:r w:rsidRPr="00FF05AC">
        <w:rPr>
          <w:rFonts w:ascii="Palatino Linotype" w:hAnsi="Palatino Linotype"/>
          <w:i/>
          <w:sz w:val="22"/>
          <w:szCs w:val="22"/>
        </w:rPr>
        <w:t>justificando que:</w:t>
      </w:r>
    </w:p>
    <w:p w14:paraId="371BFD53" w14:textId="08AA752D"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I. La divulgación de la información representa un riesgo real, demostrable e identificable del</w:t>
      </w:r>
      <w:r w:rsidR="00325590" w:rsidRPr="00FF05AC">
        <w:rPr>
          <w:rFonts w:ascii="Palatino Linotype" w:hAnsi="Palatino Linotype"/>
          <w:i/>
          <w:sz w:val="22"/>
          <w:szCs w:val="22"/>
        </w:rPr>
        <w:t xml:space="preserve"> </w:t>
      </w:r>
      <w:r w:rsidRPr="00FF05AC">
        <w:rPr>
          <w:rFonts w:ascii="Palatino Linotype" w:hAnsi="Palatino Linotype"/>
          <w:i/>
          <w:sz w:val="22"/>
          <w:szCs w:val="22"/>
        </w:rPr>
        <w:t>perjuicio significativo al interés público o a la seguridad pública;</w:t>
      </w:r>
    </w:p>
    <w:p w14:paraId="62E4A683" w14:textId="36987850"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II. El riesgo de perjuicio que supondría la divulgación supera el interés público general de que</w:t>
      </w:r>
      <w:r w:rsidR="00325590" w:rsidRPr="00FF05AC">
        <w:rPr>
          <w:rFonts w:ascii="Palatino Linotype" w:hAnsi="Palatino Linotype"/>
          <w:i/>
          <w:sz w:val="22"/>
          <w:szCs w:val="22"/>
        </w:rPr>
        <w:t xml:space="preserve"> </w:t>
      </w:r>
      <w:r w:rsidRPr="00FF05AC">
        <w:rPr>
          <w:rFonts w:ascii="Palatino Linotype" w:hAnsi="Palatino Linotype"/>
          <w:i/>
          <w:sz w:val="22"/>
          <w:szCs w:val="22"/>
        </w:rPr>
        <w:t>se difunda; y</w:t>
      </w:r>
    </w:p>
    <w:p w14:paraId="17EF7F3D" w14:textId="03D213CE"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III. La limitación se adecua al principio de proporcionalidad y representa el medio menos</w:t>
      </w:r>
      <w:r w:rsidR="00325590" w:rsidRPr="00FF05AC">
        <w:rPr>
          <w:rFonts w:ascii="Palatino Linotype" w:hAnsi="Palatino Linotype"/>
          <w:i/>
          <w:sz w:val="22"/>
          <w:szCs w:val="22"/>
        </w:rPr>
        <w:t xml:space="preserve"> </w:t>
      </w:r>
      <w:r w:rsidRPr="00FF05AC">
        <w:rPr>
          <w:rFonts w:ascii="Palatino Linotype" w:hAnsi="Palatino Linotype"/>
          <w:i/>
          <w:sz w:val="22"/>
          <w:szCs w:val="22"/>
        </w:rPr>
        <w:t>restrictivo disponible representa el medio menos restrictivo disponible para evitar el perjuicio.</w:t>
      </w:r>
    </w:p>
    <w:p w14:paraId="4892AB28" w14:textId="52E06747"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130. Los sujetos obligados deberán aplicar, de manera restrictiva y limitada,</w:t>
      </w:r>
      <w:r w:rsidR="00325590" w:rsidRPr="00FF05AC">
        <w:rPr>
          <w:rFonts w:ascii="Palatino Linotype" w:hAnsi="Palatino Linotype"/>
          <w:i/>
          <w:sz w:val="22"/>
          <w:szCs w:val="22"/>
        </w:rPr>
        <w:t xml:space="preserve"> </w:t>
      </w:r>
      <w:r w:rsidRPr="00FF05AC">
        <w:rPr>
          <w:rFonts w:ascii="Palatino Linotype" w:hAnsi="Palatino Linotype"/>
          <w:i/>
          <w:sz w:val="22"/>
          <w:szCs w:val="22"/>
        </w:rPr>
        <w:t>las excepciones al derecho de acceso a la información y sólo podrán invocarlas cuando</w:t>
      </w:r>
      <w:r w:rsidR="00325590" w:rsidRPr="00FF05AC">
        <w:rPr>
          <w:rFonts w:ascii="Palatino Linotype" w:hAnsi="Palatino Linotype"/>
          <w:i/>
          <w:sz w:val="22"/>
          <w:szCs w:val="22"/>
        </w:rPr>
        <w:t xml:space="preserve"> </w:t>
      </w:r>
      <w:r w:rsidRPr="00FF05AC">
        <w:rPr>
          <w:rFonts w:ascii="Palatino Linotype" w:hAnsi="Palatino Linotype"/>
          <w:i/>
          <w:sz w:val="22"/>
          <w:szCs w:val="22"/>
        </w:rPr>
        <w:t>acrediten su procedencia, sin ampliar las excepciones o supuestos de reserva o</w:t>
      </w:r>
      <w:r w:rsidR="00325590" w:rsidRPr="00FF05AC">
        <w:rPr>
          <w:rFonts w:ascii="Palatino Linotype" w:hAnsi="Palatino Linotype"/>
          <w:i/>
          <w:sz w:val="22"/>
          <w:szCs w:val="22"/>
        </w:rPr>
        <w:t xml:space="preserve"> </w:t>
      </w:r>
      <w:r w:rsidRPr="00FF05AC">
        <w:rPr>
          <w:rFonts w:ascii="Palatino Linotype" w:hAnsi="Palatino Linotype"/>
          <w:i/>
          <w:sz w:val="22"/>
          <w:szCs w:val="22"/>
        </w:rPr>
        <w:t>confidencialidad previstos en la Ley General y la presente Ley, aduciendo analogía o mayoría</w:t>
      </w:r>
      <w:r w:rsidR="00325590" w:rsidRPr="00FF05AC">
        <w:rPr>
          <w:rFonts w:ascii="Palatino Linotype" w:hAnsi="Palatino Linotype"/>
          <w:i/>
          <w:sz w:val="22"/>
          <w:szCs w:val="22"/>
        </w:rPr>
        <w:t xml:space="preserve"> </w:t>
      </w:r>
      <w:r w:rsidRPr="00FF05AC">
        <w:rPr>
          <w:rFonts w:ascii="Palatino Linotype" w:hAnsi="Palatino Linotype"/>
          <w:i/>
          <w:sz w:val="22"/>
          <w:szCs w:val="22"/>
        </w:rPr>
        <w:t>de razón.</w:t>
      </w:r>
    </w:p>
    <w:p w14:paraId="6CCC70E6" w14:textId="77777777" w:rsidR="00325590" w:rsidRPr="00FF05AC" w:rsidRDefault="00325590" w:rsidP="00325590">
      <w:pPr>
        <w:spacing w:line="360" w:lineRule="auto"/>
        <w:ind w:left="851" w:right="902"/>
        <w:jc w:val="both"/>
        <w:rPr>
          <w:rFonts w:ascii="Palatino Linotype" w:hAnsi="Palatino Linotype"/>
          <w:i/>
          <w:sz w:val="22"/>
          <w:szCs w:val="22"/>
        </w:rPr>
      </w:pPr>
    </w:p>
    <w:p w14:paraId="3DBCF7E5"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131. La carga de la prueba para justificar toda negativa de acceso a la información,</w:t>
      </w:r>
    </w:p>
    <w:p w14:paraId="1A8379E1" w14:textId="781A21D1"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por actualizarse cualquiera de los supuestos de clasificación previstos en esta Ley</w:t>
      </w:r>
      <w:r w:rsidR="00325590" w:rsidRPr="00FF05AC">
        <w:rPr>
          <w:rFonts w:ascii="Palatino Linotype" w:hAnsi="Palatino Linotype"/>
          <w:i/>
          <w:sz w:val="22"/>
          <w:szCs w:val="22"/>
        </w:rPr>
        <w:t xml:space="preserve"> </w:t>
      </w:r>
      <w:r w:rsidRPr="00FF05AC">
        <w:rPr>
          <w:rFonts w:ascii="Palatino Linotype" w:hAnsi="Palatino Linotype"/>
          <w:i/>
          <w:sz w:val="22"/>
          <w:szCs w:val="22"/>
        </w:rPr>
        <w:t>corresponderá a los sujetos obligados; en tal caso deberá fundar y motivar debidamente la</w:t>
      </w:r>
      <w:r w:rsidR="00325590" w:rsidRPr="00FF05AC">
        <w:rPr>
          <w:rFonts w:ascii="Palatino Linotype" w:hAnsi="Palatino Linotype"/>
          <w:i/>
          <w:sz w:val="22"/>
          <w:szCs w:val="22"/>
        </w:rPr>
        <w:t xml:space="preserve"> </w:t>
      </w:r>
      <w:r w:rsidRPr="00FF05AC">
        <w:rPr>
          <w:rFonts w:ascii="Palatino Linotype" w:hAnsi="Palatino Linotype"/>
          <w:i/>
          <w:sz w:val="22"/>
          <w:szCs w:val="22"/>
        </w:rPr>
        <w:t>clasificación de la información, de conformidad con lo previsto en la presente Ley.</w:t>
      </w:r>
    </w:p>
    <w:p w14:paraId="40E75FD7"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132. La clasificación de la información se llevará a cabo en el momento en que:</w:t>
      </w:r>
    </w:p>
    <w:p w14:paraId="0754904D"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I. Se reciba una solicitud de acceso a la información;</w:t>
      </w:r>
    </w:p>
    <w:p w14:paraId="5230A19A"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II. Se determine mediante resolución de autoridad competente; o</w:t>
      </w:r>
    </w:p>
    <w:p w14:paraId="553496CE" w14:textId="6AC2516B"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III. Se generen versiones públicas para dar cumplimiento a las obligaciones de transparencia</w:t>
      </w:r>
      <w:r w:rsidR="00325590" w:rsidRPr="00FF05AC">
        <w:rPr>
          <w:rFonts w:ascii="Palatino Linotype" w:hAnsi="Palatino Linotype"/>
          <w:i/>
          <w:sz w:val="22"/>
          <w:szCs w:val="22"/>
        </w:rPr>
        <w:t xml:space="preserve"> </w:t>
      </w:r>
      <w:r w:rsidRPr="00FF05AC">
        <w:rPr>
          <w:rFonts w:ascii="Palatino Linotype" w:hAnsi="Palatino Linotype"/>
          <w:i/>
          <w:sz w:val="22"/>
          <w:szCs w:val="22"/>
        </w:rPr>
        <w:t>previstas en esta Ley.</w:t>
      </w:r>
    </w:p>
    <w:p w14:paraId="35EF1B3F" w14:textId="3FF7BD52"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Tratándose de información reservada, los titulares de las áreas deberán revisar la clasificación</w:t>
      </w:r>
      <w:r w:rsidR="00325590" w:rsidRPr="00FF05AC">
        <w:rPr>
          <w:rFonts w:ascii="Palatino Linotype" w:hAnsi="Palatino Linotype"/>
          <w:i/>
          <w:sz w:val="22"/>
          <w:szCs w:val="22"/>
        </w:rPr>
        <w:t xml:space="preserve"> </w:t>
      </w:r>
      <w:r w:rsidRPr="00FF05AC">
        <w:rPr>
          <w:rFonts w:ascii="Palatino Linotype" w:hAnsi="Palatino Linotype"/>
          <w:i/>
          <w:sz w:val="22"/>
          <w:szCs w:val="22"/>
        </w:rPr>
        <w:t>al momento de la recepción de una solicitud, para verificar si subsisten las causas que le</w:t>
      </w:r>
      <w:r w:rsidR="00325590" w:rsidRPr="00FF05AC">
        <w:rPr>
          <w:rFonts w:ascii="Palatino Linotype" w:hAnsi="Palatino Linotype"/>
          <w:i/>
          <w:sz w:val="22"/>
          <w:szCs w:val="22"/>
        </w:rPr>
        <w:t xml:space="preserve"> </w:t>
      </w:r>
      <w:r w:rsidRPr="00FF05AC">
        <w:rPr>
          <w:rFonts w:ascii="Palatino Linotype" w:hAnsi="Palatino Linotype"/>
          <w:i/>
          <w:sz w:val="22"/>
          <w:szCs w:val="22"/>
        </w:rPr>
        <w:t>dieron origen.</w:t>
      </w:r>
    </w:p>
    <w:p w14:paraId="30F51861"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134. Los sujetos obligados no podrán emitir acuerdos de carácter general ni</w:t>
      </w:r>
    </w:p>
    <w:p w14:paraId="42B900E8" w14:textId="03465B73"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particular que clasifiquen documentos o información como reservada. La clasificación</w:t>
      </w:r>
      <w:r w:rsidR="00325590" w:rsidRPr="00FF05AC">
        <w:rPr>
          <w:rFonts w:ascii="Palatino Linotype" w:hAnsi="Palatino Linotype"/>
          <w:i/>
          <w:sz w:val="22"/>
          <w:szCs w:val="22"/>
        </w:rPr>
        <w:t xml:space="preserve"> </w:t>
      </w:r>
      <w:r w:rsidRPr="00FF05AC">
        <w:rPr>
          <w:rFonts w:ascii="Palatino Linotype" w:hAnsi="Palatino Linotype"/>
          <w:i/>
          <w:sz w:val="22"/>
          <w:szCs w:val="22"/>
        </w:rPr>
        <w:t>podrá establecerse de manera parcial o total de acuerdo al contenido de la información del</w:t>
      </w:r>
      <w:r w:rsidR="00325590" w:rsidRPr="00FF05AC">
        <w:rPr>
          <w:rFonts w:ascii="Palatino Linotype" w:hAnsi="Palatino Linotype"/>
          <w:i/>
          <w:sz w:val="22"/>
          <w:szCs w:val="22"/>
        </w:rPr>
        <w:t xml:space="preserve"> </w:t>
      </w:r>
      <w:r w:rsidRPr="00FF05AC">
        <w:rPr>
          <w:rFonts w:ascii="Palatino Linotype" w:hAnsi="Palatino Linotype"/>
          <w:i/>
          <w:sz w:val="22"/>
          <w:szCs w:val="22"/>
        </w:rPr>
        <w:t>documento y deberá estar acorde con la actualización de los supuestos definidos en el</w:t>
      </w:r>
      <w:r w:rsidR="00114804" w:rsidRPr="00FF05AC">
        <w:rPr>
          <w:rFonts w:ascii="Palatino Linotype" w:hAnsi="Palatino Linotype"/>
          <w:i/>
          <w:sz w:val="22"/>
          <w:szCs w:val="22"/>
        </w:rPr>
        <w:t xml:space="preserve"> </w:t>
      </w:r>
      <w:r w:rsidRPr="00FF05AC">
        <w:rPr>
          <w:rFonts w:ascii="Palatino Linotype" w:hAnsi="Palatino Linotype"/>
          <w:i/>
          <w:sz w:val="22"/>
          <w:szCs w:val="22"/>
        </w:rPr>
        <w:t>presente Título como información clasificada.</w:t>
      </w:r>
    </w:p>
    <w:p w14:paraId="4E64A9F5"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En ningún caso se podrán clasificar documentos antes de que se genere la información.</w:t>
      </w:r>
    </w:p>
    <w:p w14:paraId="4F27F0F0" w14:textId="0FA0A51B"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La clasificación de información se realizará conforme a un análisis caso por caso,</w:t>
      </w:r>
      <w:r w:rsidR="00114804" w:rsidRPr="00FF05AC">
        <w:rPr>
          <w:rFonts w:ascii="Palatino Linotype" w:hAnsi="Palatino Linotype"/>
          <w:i/>
          <w:sz w:val="22"/>
          <w:szCs w:val="22"/>
        </w:rPr>
        <w:t xml:space="preserve"> </w:t>
      </w:r>
      <w:r w:rsidRPr="00FF05AC">
        <w:rPr>
          <w:rFonts w:ascii="Palatino Linotype" w:hAnsi="Palatino Linotype"/>
          <w:i/>
          <w:sz w:val="22"/>
          <w:szCs w:val="22"/>
        </w:rPr>
        <w:t>mediante la aplicación de la prueba de daño.</w:t>
      </w:r>
    </w:p>
    <w:p w14:paraId="4A530A3E"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135. Los lineamientos generales que se emitan al respecto en materia de</w:t>
      </w:r>
    </w:p>
    <w:p w14:paraId="5BD066EC" w14:textId="715A6044"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clasificación de la información reservada y confidencial y, para la elaboración de versiones</w:t>
      </w:r>
      <w:r w:rsidR="00114804" w:rsidRPr="00FF05AC">
        <w:rPr>
          <w:rFonts w:ascii="Palatino Linotype" w:hAnsi="Palatino Linotype"/>
          <w:i/>
          <w:sz w:val="22"/>
          <w:szCs w:val="22"/>
        </w:rPr>
        <w:t xml:space="preserve"> </w:t>
      </w:r>
      <w:r w:rsidRPr="00FF05AC">
        <w:rPr>
          <w:rFonts w:ascii="Palatino Linotype" w:hAnsi="Palatino Linotype"/>
          <w:i/>
          <w:sz w:val="22"/>
          <w:szCs w:val="22"/>
        </w:rPr>
        <w:t>públicas, serán de observancia obligatoria para los sujetos obligados.</w:t>
      </w:r>
    </w:p>
    <w:p w14:paraId="650941AD"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1E5F24EE" w14:textId="15244845"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Artículo 140. El acceso a la información pública será restringido excepcionalmente, cuando</w:t>
      </w:r>
      <w:r w:rsidR="00325590" w:rsidRPr="00FF05AC">
        <w:rPr>
          <w:rFonts w:ascii="Palatino Linotype" w:hAnsi="Palatino Linotype"/>
          <w:i/>
          <w:sz w:val="22"/>
          <w:szCs w:val="22"/>
        </w:rPr>
        <w:t xml:space="preserve"> </w:t>
      </w:r>
      <w:r w:rsidRPr="00FF05AC">
        <w:rPr>
          <w:rFonts w:ascii="Palatino Linotype" w:hAnsi="Palatino Linotype"/>
          <w:i/>
          <w:sz w:val="22"/>
          <w:szCs w:val="22"/>
        </w:rPr>
        <w:t>por razones de interés público, ésta sea clasificada como reservada, conforme a los criterios</w:t>
      </w:r>
      <w:r w:rsidR="00114804" w:rsidRPr="00FF05AC">
        <w:rPr>
          <w:rFonts w:ascii="Palatino Linotype" w:hAnsi="Palatino Linotype"/>
          <w:i/>
          <w:sz w:val="22"/>
          <w:szCs w:val="22"/>
        </w:rPr>
        <w:t xml:space="preserve"> </w:t>
      </w:r>
      <w:r w:rsidRPr="00FF05AC">
        <w:rPr>
          <w:rFonts w:ascii="Palatino Linotype" w:hAnsi="Palatino Linotype"/>
          <w:i/>
          <w:sz w:val="22"/>
          <w:szCs w:val="22"/>
        </w:rPr>
        <w:t>siguientes:</w:t>
      </w:r>
    </w:p>
    <w:p w14:paraId="1987AD5A" w14:textId="77777777" w:rsidR="00325590" w:rsidRPr="00FF05AC" w:rsidRDefault="00325590" w:rsidP="00114804">
      <w:pPr>
        <w:spacing w:line="360" w:lineRule="auto"/>
        <w:ind w:left="851" w:right="902"/>
        <w:jc w:val="both"/>
        <w:rPr>
          <w:rFonts w:ascii="Palatino Linotype" w:hAnsi="Palatino Linotype"/>
          <w:i/>
          <w:sz w:val="22"/>
          <w:szCs w:val="22"/>
        </w:rPr>
      </w:pPr>
    </w:p>
    <w:p w14:paraId="1E2DBAF6" w14:textId="65C4479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I. Comprometa la seguridad pública y cuente con un propósito genuino y un efecto</w:t>
      </w:r>
      <w:r w:rsidR="00114804" w:rsidRPr="00FF05AC">
        <w:rPr>
          <w:rFonts w:ascii="Palatino Linotype" w:hAnsi="Palatino Linotype"/>
          <w:i/>
          <w:sz w:val="22"/>
          <w:szCs w:val="22"/>
        </w:rPr>
        <w:t xml:space="preserve"> </w:t>
      </w:r>
      <w:r w:rsidRPr="00FF05AC">
        <w:rPr>
          <w:rFonts w:ascii="Palatino Linotype" w:hAnsi="Palatino Linotype"/>
          <w:i/>
          <w:sz w:val="22"/>
          <w:szCs w:val="22"/>
        </w:rPr>
        <w:t>demostrable;</w:t>
      </w:r>
    </w:p>
    <w:p w14:paraId="5B6A3B91"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II. Pueda menoscabar la conducción de las negociaciones y relaciones internacionales;</w:t>
      </w:r>
    </w:p>
    <w:p w14:paraId="22E00CBC" w14:textId="5DF98EC7"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III. Se entregue a la Entidad expresamente con ese carácter o el de confidencialidad por otro</w:t>
      </w:r>
      <w:r w:rsidR="00325590" w:rsidRPr="00FF05AC">
        <w:rPr>
          <w:rFonts w:ascii="Palatino Linotype" w:hAnsi="Palatino Linotype"/>
          <w:i/>
          <w:sz w:val="22"/>
          <w:szCs w:val="22"/>
        </w:rPr>
        <w:t xml:space="preserve"> </w:t>
      </w:r>
      <w:r w:rsidRPr="00FF05AC">
        <w:rPr>
          <w:rFonts w:ascii="Palatino Linotype" w:hAnsi="Palatino Linotype"/>
          <w:i/>
          <w:sz w:val="22"/>
          <w:szCs w:val="22"/>
        </w:rPr>
        <w:t>u otros sujetos de derecho internacional, excepto cuando se trate de violaciones graves de</w:t>
      </w:r>
      <w:r w:rsidR="00114804" w:rsidRPr="00FF05AC">
        <w:rPr>
          <w:rFonts w:ascii="Palatino Linotype" w:hAnsi="Palatino Linotype"/>
          <w:i/>
          <w:sz w:val="22"/>
          <w:szCs w:val="22"/>
        </w:rPr>
        <w:t xml:space="preserve"> </w:t>
      </w:r>
      <w:r w:rsidRPr="00FF05AC">
        <w:rPr>
          <w:rFonts w:ascii="Palatino Linotype" w:hAnsi="Palatino Linotype"/>
          <w:i/>
          <w:sz w:val="22"/>
          <w:szCs w:val="22"/>
        </w:rPr>
        <w:t>derechos humanos o delitos de lesa humanidad de conformidad con el derecho internacional;</w:t>
      </w:r>
    </w:p>
    <w:p w14:paraId="085548D0"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IV. Ponga en riesgo la vida, la seguridad o la salud de una persona física;</w:t>
      </w:r>
    </w:p>
    <w:p w14:paraId="4AD71619" w14:textId="77777777"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V. Aquella cuya divulgación obstruya o pueda causar un serio perjuicio a:</w:t>
      </w:r>
    </w:p>
    <w:p w14:paraId="609A99BF" w14:textId="491E5329" w:rsidR="001B580F" w:rsidRPr="00FF05AC" w:rsidRDefault="001B580F"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1. Las actividades de fiscalización, verificación, inspección, comprobación y auditoría sobre</w:t>
      </w:r>
      <w:r w:rsidR="00325590" w:rsidRPr="00FF05AC">
        <w:rPr>
          <w:rFonts w:ascii="Palatino Linotype" w:hAnsi="Palatino Linotype"/>
          <w:i/>
          <w:sz w:val="22"/>
          <w:szCs w:val="22"/>
        </w:rPr>
        <w:t xml:space="preserve"> </w:t>
      </w:r>
      <w:r w:rsidRPr="00FF05AC">
        <w:rPr>
          <w:rFonts w:ascii="Palatino Linotype" w:hAnsi="Palatino Linotype"/>
          <w:i/>
          <w:sz w:val="22"/>
          <w:szCs w:val="22"/>
        </w:rPr>
        <w:t>el cumplimiento de las Leyes; o</w:t>
      </w:r>
    </w:p>
    <w:p w14:paraId="509B1D64" w14:textId="2609278E" w:rsidR="001B580F" w:rsidRPr="00FF05AC" w:rsidRDefault="001B580F"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2. La recaudación de las contribuciones.</w:t>
      </w:r>
    </w:p>
    <w:p w14:paraId="404E68CF" w14:textId="02044961" w:rsidR="00090E29" w:rsidRPr="00FF05AC" w:rsidRDefault="00CB6CE2"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797FB593" w14:textId="6485DF7A" w:rsidR="00CB6CE2" w:rsidRPr="00FF05AC" w:rsidRDefault="00CB6CE2" w:rsidP="00325590">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VIII. Vulnere la conducción de los expedientes judiciales o de los procedimientos</w:t>
      </w:r>
      <w:r w:rsidR="00325590" w:rsidRPr="00FF05AC">
        <w:rPr>
          <w:rFonts w:ascii="Palatino Linotype" w:hAnsi="Palatino Linotype"/>
          <w:i/>
          <w:sz w:val="22"/>
          <w:szCs w:val="22"/>
        </w:rPr>
        <w:t xml:space="preserve"> </w:t>
      </w:r>
      <w:r w:rsidRPr="00FF05AC">
        <w:rPr>
          <w:rFonts w:ascii="Palatino Linotype" w:hAnsi="Palatino Linotype"/>
          <w:i/>
          <w:sz w:val="22"/>
          <w:szCs w:val="22"/>
        </w:rPr>
        <w:t>administrativos seguidos en forma de juicio, en tanto no hayan quedado firmes;</w:t>
      </w:r>
    </w:p>
    <w:p w14:paraId="364A47A3" w14:textId="5AD229AB" w:rsidR="00C8165E" w:rsidRPr="00FF05AC" w:rsidRDefault="00852097" w:rsidP="00114804">
      <w:pPr>
        <w:spacing w:line="360" w:lineRule="auto"/>
        <w:ind w:left="851" w:right="902"/>
        <w:jc w:val="both"/>
        <w:rPr>
          <w:rFonts w:ascii="Palatino Linotype" w:hAnsi="Palatino Linotype"/>
          <w:i/>
          <w:sz w:val="22"/>
          <w:szCs w:val="22"/>
        </w:rPr>
      </w:pPr>
      <w:r w:rsidRPr="00FF05AC">
        <w:rPr>
          <w:rFonts w:ascii="Palatino Linotype" w:hAnsi="Palatino Linotype"/>
          <w:i/>
          <w:sz w:val="22"/>
          <w:szCs w:val="22"/>
        </w:rPr>
        <w:t>…</w:t>
      </w:r>
    </w:p>
    <w:p w14:paraId="1670A3F6" w14:textId="7EDB32DE" w:rsidR="00325590" w:rsidRPr="00FF05AC" w:rsidRDefault="00852097" w:rsidP="00CB6CE2">
      <w:pPr>
        <w:spacing w:line="360" w:lineRule="auto"/>
        <w:jc w:val="both"/>
        <w:rPr>
          <w:rFonts w:ascii="Palatino Linotype" w:hAnsi="Palatino Linotype"/>
        </w:rPr>
      </w:pPr>
      <w:r w:rsidRPr="00FF05AC">
        <w:rPr>
          <w:rFonts w:ascii="Palatino Linotype" w:hAnsi="Palatino Linotype"/>
        </w:rPr>
        <w:t xml:space="preserve">A partir de las disposiciones en cita, se desprende que, entre los objetivos de la Ley de Transparencia y Acceso a la Información Pública del Estado de México y Municipios, se encuentran los de proveer lo necesario para garantizar a toda persona el derecho de acceso a la información pública, mediante procedimientos sencillos, expeditos, oportunos y gratuitos; así como contribuir a la mejora de procedimientos y mecanismos que permitan transparentar la gestión pública y mejorar la toma de decisiones, mediante la difusión de la información que generen los sujetos obligados. De tal forma, el organismo garante local debe regir su funcionamiento con base en los principios de, entre otros, certeza, que otorga seguridad y certidumbre jurídica a los particulares, pues permite conocer si sus acciones sin apegadas a derecho y garantiza que los procedimientos sean completamente verificables, fidedignos y confiables; eficacia, el cual implica el deber que tiene ese organismo garante, para tutelar el derecho de acceso a la información; y, legalidad, el cual implica que debe fundar y motivar su actuación en las normas aplicables; y, máxima publicidad, el cual refiere que toda la información en posesión de los sujetos obligados es pública, completa, oportuna y accesible, sujeta a un claro régimen de excepciones definido, legítimo y estrictamente necesario en una sociedad democrática. Así pues, entre las atribuciones que le corresponde llevar a cabo al organismo garante para garantizar el derecho de acceso a la información pública, se encuentra la de conocer y resolver los recursos de revisión interpuestos por los particulares en contra de las resoluciones de los sujetos obligados. Por otra parte, la legislación citada, contiene disposiciones relativas a la información clasificada, definiendo que la clasificación es proceso mediante el cual los sujetos obligados determinan que la información en su poder </w:t>
      </w:r>
      <w:r w:rsidR="00325590" w:rsidRPr="00FF05AC">
        <w:rPr>
          <w:rFonts w:ascii="Palatino Linotype" w:hAnsi="Palatino Linotype"/>
        </w:rPr>
        <w:t>actualizar</w:t>
      </w:r>
      <w:r w:rsidRPr="00FF05AC">
        <w:rPr>
          <w:rFonts w:ascii="Palatino Linotype" w:hAnsi="Palatino Linotype"/>
        </w:rPr>
        <w:t xml:space="preserve"> alguno de los supuestos de reserva o confidencialidad. Al respecto, se dispone que los sujetos obligados deben aplicar de manera restrictiva y limitada, las excepciones al derecho de acceso a la información, debiendo acreditar su procedencia, por lo que la carga de la prueba corresponde a los sujetos obligados.</w:t>
      </w:r>
    </w:p>
    <w:p w14:paraId="37FC7E4E" w14:textId="77777777" w:rsidR="00325590" w:rsidRPr="00FF05AC" w:rsidRDefault="00325590" w:rsidP="00CB6CE2">
      <w:pPr>
        <w:spacing w:line="360" w:lineRule="auto"/>
        <w:jc w:val="both"/>
        <w:rPr>
          <w:rFonts w:ascii="Palatino Linotype" w:hAnsi="Palatino Linotype"/>
        </w:rPr>
      </w:pPr>
    </w:p>
    <w:p w14:paraId="7654EDF1" w14:textId="067B8727" w:rsidR="00325590" w:rsidRPr="00FF05AC" w:rsidRDefault="00852097" w:rsidP="00CB6CE2">
      <w:pPr>
        <w:spacing w:line="360" w:lineRule="auto"/>
        <w:jc w:val="both"/>
        <w:rPr>
          <w:rFonts w:ascii="Palatino Linotype" w:hAnsi="Palatino Linotype"/>
        </w:rPr>
      </w:pPr>
      <w:r w:rsidRPr="00FF05AC">
        <w:rPr>
          <w:rFonts w:ascii="Palatino Linotype" w:hAnsi="Palatino Linotype"/>
        </w:rPr>
        <w:t xml:space="preserve">Ahora bien, la legislación en comento establece como regla general que toda la información generada, obtenida, adquirida, transformada, administrada o en posesión de los sujetos obligados es pública y accesible a cualquier persona, salvo la información clasificada reservada, por razones de interés público. En ese sentido, el derecho de acceso a la información o la clasificación de la información se interpretarán bajo los principios establecidos en nuestra Constitución Federal, la normativa internacional aplicable al Estado mexicano, la Ley General de Transparencia, la Constitución local del Estado de México y la Ley local de la materia. De este modo, la excepción al principio de máxima publicidad se constituye cuando se invoca la clasificación de la información por parte de los sujetos obligados, por actualizarse algún supuesto de reserva o confidencialidad, debiendo llevarse a cabo el procedimiento siguiente: </w:t>
      </w:r>
    </w:p>
    <w:p w14:paraId="4B957D9B" w14:textId="33393F99" w:rsidR="00852097" w:rsidRPr="00FF05AC" w:rsidRDefault="00852097" w:rsidP="00CB6CE2">
      <w:pPr>
        <w:spacing w:line="360" w:lineRule="auto"/>
        <w:jc w:val="both"/>
        <w:rPr>
          <w:rFonts w:ascii="Palatino Linotype" w:hAnsi="Palatino Linotype"/>
        </w:rPr>
      </w:pPr>
      <w:r w:rsidRPr="00FF05AC">
        <w:rPr>
          <w:rFonts w:ascii="Palatino Linotype" w:hAnsi="Palatino Linotype"/>
        </w:rPr>
        <w:t>• El área responsable de la información debe remitir su solicitud de clasificación al Comité de Transparencia, acompañada de un escrito en el que funde y motive clasificación. • El Comité de Transparencia, debe resolver sobre la clasificación ya sea confirmando, modificando –en cuyo caso se otorgará total o parcialmente la información-, o bien revocando –concediendo el acceso a la información- la hipótesis normativa invocada por el área responsable. En esa tesitura, la resolución que al efecto sea emitida por parte del Comité de Transparencia, debe contener los elementos siguientes:</w:t>
      </w:r>
    </w:p>
    <w:p w14:paraId="7DD29AEA" w14:textId="77777777" w:rsidR="00325590" w:rsidRPr="00FF05AC" w:rsidRDefault="00325590" w:rsidP="00CB6CE2">
      <w:pPr>
        <w:spacing w:line="360" w:lineRule="auto"/>
        <w:jc w:val="both"/>
        <w:rPr>
          <w:rFonts w:ascii="Palatino Linotype" w:hAnsi="Palatino Linotype"/>
        </w:rPr>
      </w:pPr>
    </w:p>
    <w:p w14:paraId="3498BB8D" w14:textId="49BD3DD0" w:rsidR="00852097" w:rsidRPr="00FF05AC" w:rsidRDefault="00852097" w:rsidP="00CB6CE2">
      <w:pPr>
        <w:spacing w:line="360" w:lineRule="auto"/>
        <w:jc w:val="both"/>
        <w:rPr>
          <w:rFonts w:ascii="Palatino Linotype" w:hAnsi="Palatino Linotype"/>
        </w:rPr>
      </w:pPr>
      <w:r w:rsidRPr="00FF05AC">
        <w:rPr>
          <w:rFonts w:ascii="Palatino Linotype" w:hAnsi="Palatino Linotype"/>
        </w:rPr>
        <w:t>Las razones, motivos o circunstancias especiales que llevaron al sujeto obligado a concluir que el caso particular se adecua al supuesto previsto por la norma legal invocada como fundamento; es decir, debe fundar y motivar la clasificación de la información. • La aplicación de la prueba de daño, justificando que: − La divulgación de la información representa un riesgo real, demostrable e identificable de perjuicio significativo al interés público o a la seguridad pública. − El riesgo de perjuicio que supondría la divulgación de la información, supera el interés público general de que se difunda. − La limitación se adecua al principio de proporcionalidad y representa el medio restrictivo disponible para evitar el perjuicio. • En tratándose de información reservada, se deberá realizar un análisis caso por caso, mediante la aplicación de la prueba de daño en mención. • En tratándose de reserva, el plazo al cual se sujetará la misma no puede ser mayor a cinco años, prorrogable por el mismo tiempo, el cual debe ser un periodo estrictamente necesario para proteger la información mientras subsistan las causas que dieron origen a la clasificación. Al efecto, la citada Ley prevé que los sujetos obligados no pueden emitir acuerdos de carácter general que clasifiquen documentos o información como reservada y tampoco se pueden clasificar documentos de manera previa a que se genere la información. Asimismo, se señala que los lineamientos generales que se emitan al respecto en materia de clasificación de la información reservada y confidencial y, para la elaboración de versiones públicas, serán de observancia obligatoria para los sujetos obligados.</w:t>
      </w:r>
    </w:p>
    <w:p w14:paraId="34C06F9B" w14:textId="77777777" w:rsidR="00325590" w:rsidRPr="00FF05AC" w:rsidRDefault="00325590" w:rsidP="00CB6CE2">
      <w:pPr>
        <w:spacing w:line="360" w:lineRule="auto"/>
        <w:jc w:val="both"/>
        <w:rPr>
          <w:rFonts w:ascii="Palatino Linotype" w:hAnsi="Palatino Linotype"/>
        </w:rPr>
      </w:pPr>
    </w:p>
    <w:p w14:paraId="7BF925B5" w14:textId="4FC5A393" w:rsidR="00852097" w:rsidRPr="00FF05AC" w:rsidRDefault="00852097" w:rsidP="00CB6CE2">
      <w:pPr>
        <w:spacing w:line="360" w:lineRule="auto"/>
        <w:jc w:val="both"/>
        <w:rPr>
          <w:rFonts w:ascii="Palatino Linotype" w:hAnsi="Palatino Linotype"/>
        </w:rPr>
      </w:pPr>
      <w:r w:rsidRPr="00FF05AC">
        <w:rPr>
          <w:rFonts w:ascii="Palatino Linotype" w:hAnsi="Palatino Linotype"/>
        </w:rPr>
        <w:t>Por lo anterior, el Acuerdo del Comité de Transparencia no cumplió con las formalidades y fundamentos que la Ley de la materia y demás normatividad aplicable requieren para la debida clasificación de la información.</w:t>
      </w:r>
    </w:p>
    <w:p w14:paraId="04C57739" w14:textId="77777777" w:rsidR="00E602CC" w:rsidRPr="00FF05AC" w:rsidRDefault="00E602CC" w:rsidP="00CB6CE2">
      <w:pPr>
        <w:spacing w:line="360" w:lineRule="auto"/>
        <w:jc w:val="both"/>
        <w:rPr>
          <w:rFonts w:ascii="Palatino Linotype" w:hAnsi="Palatino Linotype"/>
        </w:rPr>
      </w:pPr>
    </w:p>
    <w:p w14:paraId="267B7AC1" w14:textId="3D7E3AE5" w:rsidR="00E602CC" w:rsidRPr="00FF05AC" w:rsidRDefault="00E602CC" w:rsidP="00CB6CE2">
      <w:pPr>
        <w:spacing w:line="360" w:lineRule="auto"/>
        <w:jc w:val="both"/>
        <w:rPr>
          <w:rFonts w:ascii="Palatino Linotype" w:hAnsi="Palatino Linotype"/>
        </w:rPr>
      </w:pPr>
      <w:r w:rsidRPr="00FF05AC">
        <w:rPr>
          <w:rFonts w:ascii="Palatino Linotype" w:hAnsi="Palatino Linotype"/>
        </w:rPr>
        <w:t>De igual manera, en relación con el periodo de reserva, el segundo párrafo del artículo 99 de la Ley Federal de Transparencia y Acceso a la Información Pública, así como el Trigésimo Cuarto de los Lineamientos Generales, disponen que la información clasificada podrá permanecer con tal carácter hasta por un período de cinco años. En concordancia con lo anterior, el artículo 128 de la Ley local de la materia, establece la obligación de determinar un periodo de reserva considerando que el período máximo de la misma es de cinco años. En ese sentido, se desprende que, en la resolución del organismo garante, no se aludió a la fijación del periodo de reserva, considerando que no se estableció un periodo delimitado por parte el sujeto obligado, pues solamente indicó que la información sería reservada mientras el juicio referido estuviera en trámite. En suma, se considera que la resolución del organismo garante, por medio de la cual validó la reserva de la información, carece de fundamentación y motivación. Conforme a lo anterior, este Instituto advierte que los agravios de la parte recurrente, fundamentados en la fracción I del artículo 160 de la Ley General de Transparencia y Acceso a la Información Pública, resultan fundados, por las consideraciones siguientes:</w:t>
      </w:r>
    </w:p>
    <w:p w14:paraId="15EADE55" w14:textId="77777777" w:rsidR="00325590" w:rsidRPr="00FF05AC" w:rsidRDefault="00325590" w:rsidP="00CB6CE2">
      <w:pPr>
        <w:spacing w:line="360" w:lineRule="auto"/>
        <w:jc w:val="both"/>
        <w:rPr>
          <w:rFonts w:ascii="Palatino Linotype" w:hAnsi="Palatino Linotype"/>
        </w:rPr>
      </w:pPr>
    </w:p>
    <w:p w14:paraId="2EA62CEC" w14:textId="5D111E61" w:rsidR="00E602CC" w:rsidRPr="00FF05AC" w:rsidRDefault="00E602CC" w:rsidP="00BE44A7">
      <w:pPr>
        <w:ind w:left="851" w:right="902"/>
        <w:jc w:val="both"/>
        <w:rPr>
          <w:rFonts w:ascii="Palatino Linotype" w:hAnsi="Palatino Linotype"/>
          <w:i/>
          <w:sz w:val="22"/>
          <w:szCs w:val="22"/>
        </w:rPr>
      </w:pPr>
      <w:r w:rsidRPr="00FF05AC">
        <w:rPr>
          <w:rFonts w:ascii="Palatino Linotype" w:hAnsi="Palatino Linotype"/>
          <w:i/>
          <w:sz w:val="22"/>
          <w:szCs w:val="22"/>
        </w:rPr>
        <w:t>a) No se realizó valoración alguna respecto del daño que causaría la divulgación de la información, a efecto de sustentar la reserva de la información invocada por el sujeto obligado, máxime cuando este último omitió precisar los elementos de daño que pudiera causar la difusión de la información. b) Omitió cerciorarse de que cada uno de los documentos requeridos obran en el expediente materia de clasificación por parte del sujeto obligado, de su naturaleza, así como de las circunstancias que rodean al caso en concreto. c) Tampoco aludió al periodo de reserva que debe fijarse por el sujeto obligado. d) La resolución carece de la debida fundamentación y motivación. Ahora bien, la causal de reserva prevista en el artículo 140, fracción VIII de la Ley local de la materia, dispone que la información es clasificada como reservada cuando vulnere la conducción de los expedientes judiciales o de los procedimientos administrativos seguidos en forma de juicio, en tanto no hayan quedado firmes.</w:t>
      </w:r>
    </w:p>
    <w:p w14:paraId="453E71AA" w14:textId="77777777" w:rsidR="00E602CC" w:rsidRPr="00FF05AC" w:rsidRDefault="00E602CC" w:rsidP="00CB6CE2">
      <w:pPr>
        <w:spacing w:line="360" w:lineRule="auto"/>
        <w:jc w:val="both"/>
        <w:rPr>
          <w:rFonts w:ascii="Palatino Linotype" w:hAnsi="Palatino Linotype"/>
        </w:rPr>
      </w:pPr>
    </w:p>
    <w:p w14:paraId="079B512A" w14:textId="236F18F7" w:rsidR="00E602CC" w:rsidRPr="00FF05AC" w:rsidRDefault="00E602CC" w:rsidP="00CB6CE2">
      <w:pPr>
        <w:spacing w:line="360" w:lineRule="auto"/>
        <w:jc w:val="both"/>
        <w:rPr>
          <w:rFonts w:ascii="Palatino Linotype" w:hAnsi="Palatino Linotype"/>
        </w:rPr>
      </w:pPr>
      <w:r w:rsidRPr="00FF05AC">
        <w:rPr>
          <w:rFonts w:ascii="Palatino Linotype" w:hAnsi="Palatino Linotype"/>
        </w:rPr>
        <w:t>En ese mismo tenor, en relación con la causal de reserva en mención, debe señalarse – de manera análoga- que los Lineamientos generales en materia de clasificación y desclasificación de la información, así como para la elaboración de versiones públicas, en lo subsecuente Lineamientos Generales, prevén lo siguiente: “TRIGÉSIMO.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I. La existencia de un juicio o procedimiento administrativo materialmente jurisdiccional, que se encuentre en trámite, y II. Que la información solicitada se refiera a actuaciones, diligencias o constancias propias del procedimiento.</w:t>
      </w:r>
    </w:p>
    <w:p w14:paraId="6C8579E5" w14:textId="77777777" w:rsidR="00E602CC" w:rsidRPr="00FF05AC" w:rsidRDefault="00E602CC" w:rsidP="00CB6CE2">
      <w:pPr>
        <w:spacing w:line="360" w:lineRule="auto"/>
        <w:jc w:val="both"/>
        <w:rPr>
          <w:rFonts w:ascii="Palatino Linotype" w:hAnsi="Palatino Linotype"/>
        </w:rPr>
      </w:pPr>
    </w:p>
    <w:p w14:paraId="57A22486" w14:textId="433C48CD" w:rsidR="00E602CC" w:rsidRPr="00FF05AC" w:rsidRDefault="00E602CC" w:rsidP="00CB6CE2">
      <w:pPr>
        <w:spacing w:line="360" w:lineRule="auto"/>
        <w:jc w:val="both"/>
        <w:rPr>
          <w:rFonts w:ascii="Palatino Linotype" w:hAnsi="Palatino Linotype"/>
        </w:rPr>
      </w:pPr>
      <w:r w:rsidRPr="00FF05AC">
        <w:rPr>
          <w:rFonts w:ascii="Palatino Linotype" w:hAnsi="Palatino Linotype"/>
        </w:rPr>
        <w:t>Para los efectos del primer párrafo de este numeral, se considera procedimiento seguido en forma de juicio a aquel formalmente administrativo, pero materialmente jurisdiccional; esto es, en el que concurran los siguientes elementos: 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2. Que se cumplan las formalidades esenciales del procedimiento. No serán objeto de reserva las resoluciones interlocutorias o definitivas que se dicten dentro de los procedimientos o con las que se concluya el mismo. En estos casos deberá otorgarse acceso a la resolución en versión pública, testando la información clasificada.” Es decir, para que se actualice el supuesto de reserva que se analiza, deben acreditarse los siguientes elementos: • La existencia de un juicio o procedimiento administrativo materialmente jurisdiccional. • Que el procedimiento respectivo no haya causado estado. • Que la información solicitada se refiera a actuaciones, diligencias o constancias propias del procedimiento. No serán objeto de reserva las resoluciones interlocutorias o definitivas que se dicten dentro de los procedimientos o con las que se concluya el mismo. En estos casos deberá otorgarse acceso a la resolución en versión pública, testando la información clasificada. Por tanto, a efecto de determinar la procedencia de la clasificación de la información solicitada con base en la fracción VIII, del artículo 140 de la Ley local de la materia, es indispensable acreditar que la misma forma parte de algún expediente judicial o procedimiento administrativo seguido en forma de juicio, que no haya causado estado y que se refiera a las actuaciones y diligencias propias del juicio o del procedimiento administrativo respectivo, así como observar la prueba de daño.</w:t>
      </w:r>
    </w:p>
    <w:p w14:paraId="02601CE6" w14:textId="77777777" w:rsidR="00E602CC" w:rsidRPr="00FF05AC" w:rsidRDefault="00E602CC" w:rsidP="00CB6CE2">
      <w:pPr>
        <w:spacing w:line="360" w:lineRule="auto"/>
        <w:jc w:val="both"/>
        <w:rPr>
          <w:rFonts w:ascii="Palatino Linotype" w:hAnsi="Palatino Linotype"/>
        </w:rPr>
      </w:pPr>
    </w:p>
    <w:p w14:paraId="3C414C77" w14:textId="06629E7C" w:rsidR="00E602CC" w:rsidRPr="00FF05AC" w:rsidRDefault="00E602CC" w:rsidP="00CB6CE2">
      <w:pPr>
        <w:spacing w:line="360" w:lineRule="auto"/>
        <w:jc w:val="both"/>
        <w:rPr>
          <w:rFonts w:ascii="Palatino Linotype" w:hAnsi="Palatino Linotype"/>
        </w:rPr>
      </w:pPr>
      <w:r w:rsidRPr="00FF05AC">
        <w:rPr>
          <w:rFonts w:ascii="Palatino Linotype" w:hAnsi="Palatino Linotype"/>
        </w:rPr>
        <w:t xml:space="preserve">De esta suerte, se estima que dicha causal de clasificación tiene como propósito evitar injerencias externas que vulneren la objetividad de la autoridad que sustancia el procedimiento de que se trate, es decir, propiciar el buen curso del procedimiento. Es decir, la ratio legis del precepto legal en cita consiste en proteger la capacidad juzgadora de la autoridad encargada de resolver el procedimiento judicial o administrativo seguido en forma de juicio, de tal manera que deben ser consideradas como reservadas aquellas constancias propias del expediente del juicio o del procedimiento administrativo respectivo, cuya difusión pudiera causar un perjuicio a la substanciación del juicio, por ejemplo, a la deliberación que realiza la autoridad competente para resolver, conforme a derecho, la controversia planteada, en tanto que la difusión de las mismas, podría afectar su convicción respecto a la Litis de las partes que intervienen en el mismo. A continuación, se analizará la procedencia de la clasificación de la información solicitada. 1. La existencia de un juicio o procedimiento administrativo materialmente jurisdiccional. En principio, es importante recordar, que el particular solicitó, respecto del juicio contencioso administrativo </w:t>
      </w:r>
      <w:r w:rsidR="00CF5B5E">
        <w:rPr>
          <w:rFonts w:ascii="Palatino Linotype" w:hAnsi="Palatino Linotype"/>
        </w:rPr>
        <w:t>XXXXXXXXX</w:t>
      </w:r>
      <w:r w:rsidRPr="00FF05AC">
        <w:rPr>
          <w:rFonts w:ascii="Palatino Linotype" w:hAnsi="Palatino Linotype"/>
        </w:rPr>
        <w:t xml:space="preserve"> del índice de la Sexta Sala Regional del Tribunal de Justicia Administrativa del Estado de México y promovido por una persona moral en contra del Director de Desarrollo Urbano del Municipio de Atizapán de Zaragoza, la versión pública del (a) escrito inicial de demanda, (b) los documentos anexos como prueba y de (c) la sentencia de 28 de agosto de 2017 que resolvió el asunto. En atención a la solicitud, el sujeto obligado clasificó la información requerida, por encontrarse contenida en el juicio administrativo con número </w:t>
      </w:r>
      <w:r w:rsidR="00CF5B5E">
        <w:rPr>
          <w:rFonts w:ascii="Palatino Linotype" w:hAnsi="Palatino Linotype"/>
        </w:rPr>
        <w:t>XXXXXX</w:t>
      </w:r>
      <w:r w:rsidRPr="00FF05AC">
        <w:rPr>
          <w:rFonts w:ascii="Palatino Linotype" w:hAnsi="Palatino Linotype"/>
        </w:rPr>
        <w:t xml:space="preserve">. Asimismo, en el desahogo al requerimiento de información adicional formulado al sujeto obligado por parte del Organismo Garante Nacional, acreditó la existencia del juicio administrativo remitiendo los últimos dos acuerdos dictados en el juicio de mérito, relativo al cumplimiento de la sentencia respectiva. De lo anterior, se advierte la existencia del juicio administrativo número </w:t>
      </w:r>
      <w:r w:rsidR="00CF5B5E">
        <w:rPr>
          <w:rFonts w:ascii="Palatino Linotype" w:hAnsi="Palatino Linotype"/>
        </w:rPr>
        <w:t>XXXXXXX</w:t>
      </w:r>
      <w:r w:rsidRPr="00FF05AC">
        <w:rPr>
          <w:rFonts w:ascii="Palatino Linotype" w:hAnsi="Palatino Linotype"/>
        </w:rPr>
        <w:t xml:space="preserve"> de la Sexta Sala Regional interpuesto en contra de un oficio emitido por la Dirección de Desarrollo Urbano del Municipio de Atizapán de Zaragoza, Estado de México, por lo tanto, se acredita el primer elemento en estudio, es decir, la existencia de un juicio. 2. Que el procedimiento respectivo no haya causado estado. Ahora bien, por lo que hace al segundo de los elementos consistente en que el procedimiento del cual forme parte la información solicitada no haya causado estado o ejecutoria, se considera pertinente traer como marco referencial el Código de Procedimientos Administrativos del Estado de México, mismo que prevé: “Artículo 278.- Causan ejecutoria las siguientes sentencias: I. Las que no admitan ningún recurso; II. Las que, admitiendo algún recurso, no fueren recurridas, o habiéndolas sido se haya desechado o sobreseido o hubiese resultado infundado; y III. Las consentidas expresamente por las partes o sus representantes legítimos. Artículo 279.- Cuando haya causado ejecutoria una sentencia favorable al actor, la sala regional competente la comunicará, por oficio y sin demora alguna, a las autoridades demandadas para su cumplimiento. En el propio oficio en que se haga la notificación a los demandados, se les prevendrá para que informen sobre el cumplimiento que se dé a la sentencia respectiva. Artículo 280.- Si dentro de los tres días siguientes a la notificación a los demandados, la sentencia no quedare cumplida o no se encontrare en vías de cumplimiento, la sala regional competente, de oficio o a petición de parte, dará vista a las autoridades para que manifiesten lo que a su derecho convenga. Se formulará la misma vista, cuando el actor manifieste que existe defecto o exceso en la ejecución de la sentencia o que se ha repetido el acto impugnado</w:t>
      </w:r>
    </w:p>
    <w:p w14:paraId="301F51D1" w14:textId="2A067013" w:rsidR="00E602CC" w:rsidRPr="00FF05AC" w:rsidRDefault="00E602CC" w:rsidP="00CB6CE2">
      <w:pPr>
        <w:spacing w:line="360" w:lineRule="auto"/>
        <w:jc w:val="both"/>
        <w:rPr>
          <w:rFonts w:ascii="Palatino Linotype" w:hAnsi="Palatino Linotype"/>
        </w:rPr>
      </w:pPr>
      <w:r w:rsidRPr="00FF05AC">
        <w:rPr>
          <w:rFonts w:ascii="Palatino Linotype" w:hAnsi="Palatino Linotype"/>
        </w:rPr>
        <w:t>… Artículo 283.- El juicio contencioso administrativo podrá archivarse cuando quede cumplida la sentencia ejecutoria en que se haya declarado la invalidez del acto o la disposición general impugnada, o bien haya operado la caducidad. …” De lo anterior se tiene que causan ejecutoria las siguientes sentencias: a. Las que no admitan ningún recurso; b. Las que, admitiendo algún recurso, no fueren recurridas, o habiéndolas sido se haya desechado o sobreseído o hubiese resultado infundado; y c. Las consentidas expresamente por las partes o sus representantes legítimos. Respecto de estos últimos supuestos, se contempla la existencia de una autoridad superior (segunda instancia) encargada de revisar que la resolución o determinación definitiva se encuentre apegada a las disposiciones jurídicas que le resulten aplicables; y que hasta en tanto no resuelva lo que corresponda dicha autoridad, no se podrá considerar que dicha resolución o determinación definitiva ha causado estado, pues al recurrirla ante el superior jerárquico, la determinación no puede declararse firme, ya que está sujeta a un proceso de revisión por parte de un órgano superior, sin que pueda desligarse un procedimiento de otro, pues los efectos que pudiere contener la resolución original no pueden ejecutarse hasta que se resuelva la segunda instancia, el cual puede revocar, modificar o confirmar la determinación tomada con respecto a la controversia planteada. Por tanto, cuando exista un procedimiento en el cual se dictará una resolución y ésta hubiere sido impugnada ante un órgano superior, la determinación adoptada en una primera instancia no podrá considerarse como resolución firme que haya causado estado, pues para que surta sus efectos y consecuencias legales deberán haberse concluido todos los medios de impugnación (recursos) que contemplen las Leyes aplicables para cada caso.</w:t>
      </w:r>
    </w:p>
    <w:p w14:paraId="0F4FDCA7" w14:textId="77777777" w:rsidR="00325590" w:rsidRPr="00FF05AC" w:rsidRDefault="00325590" w:rsidP="00CB6CE2">
      <w:pPr>
        <w:spacing w:line="360" w:lineRule="auto"/>
        <w:jc w:val="both"/>
        <w:rPr>
          <w:rFonts w:ascii="Palatino Linotype" w:hAnsi="Palatino Linotype"/>
        </w:rPr>
      </w:pPr>
    </w:p>
    <w:p w14:paraId="5406522E" w14:textId="2E1CC0A8" w:rsidR="00E602CC" w:rsidRPr="00FF05AC" w:rsidRDefault="00E602CC" w:rsidP="00CB6CE2">
      <w:pPr>
        <w:spacing w:line="360" w:lineRule="auto"/>
        <w:jc w:val="both"/>
        <w:rPr>
          <w:rFonts w:ascii="Palatino Linotype" w:hAnsi="Palatino Linotype"/>
        </w:rPr>
      </w:pPr>
      <w:r w:rsidRPr="00FF05AC">
        <w:rPr>
          <w:rFonts w:ascii="Palatino Linotype" w:hAnsi="Palatino Linotype"/>
        </w:rPr>
        <w:t>Lo anterior, se refuerza con el siguiente criterio sostenido por el Pleno de la Suprema Corte de Justicia de la Nación5 : “COSA JUZGADA. EL SUSTENTO CONSTITUCIONAL DE ESA INSTITUCIÓN JURÍDICA PROCESAL SE ENCUENTRA EN LOS ARTÍCULOS 14, SEGUNDO PÁRRAFO Y 17, TERCER PÁRRAFO, DE LA CONSTITUCIÓN POLÍTICA DE LOS ESTADOS UNIDOS MEXICANOS. En el sistema jurídico mexicano la institución de la cosa juzgada se ubica en la sentencia obtenida de un auténtico proceso judicial, entendido como el seguido con las formalidades esenciales del procedimiento, conforme al artículo 14, segundo párrafo, de la Constitución Política de los Estados Unidos Mexicanos, dotando a las partes en litigio de seguridad y certeza jurídica. Por otra parte, la figura procesal citada también encuentra fundamento en el artículo 17, tercer párrafo, de la Norma Suprema, al disponer que las leyes federales y locales establecerán los medios necesarios para garantizar la independencia de los tribunales y la plena ejecución de sus resoluciones, porque tal ejecución íntegra se logra sólo en la medida en que la cosa juzgada se instituye en el ordenamiento jurídico como resultado de un juicio regular que ha concluido en todas sus instancias, llegando al punto en que lo decidido ya no es susceptible de discutirse, en aras de salvaguardar la garantía de acceso a la justicia prevista en el segundo párrafo del artículo 17 constitucional, pues dentro de aquélla se encuentra no sólo el derecho a que los órganos jurisdiccionales establecidos por el Estado diriman los conflictos, sino también el relativo a que se garantice la ejecución de sus fallos. En ese sentido, la autoridad de la cosa juzgada es uno de los principios esenciales en que se funda la seguridad jurídica, toda vez que el respeto a sus consecuencias constituye un pilar del Estado de derecho, como fin último de la impartición de justicia a cargo del Estado, siempre que en el juicio correspondiente se haya hecho efectivo el debido proceso con sus formalidades esenciales.” Así, la cosa juzgada se instituye en el ordenamiento jurídico como resultado de un juicio regular que ha concluido en todas sus instancias, llegando al punto en que lo decidido ya no es susceptible de discutirse. En el caso concreto, se advierte que la sentencia definitiva dictada por la Sexta Sala Regional del Tribunal de Justicia Administrativa del Estado de México en el juicio</w:t>
      </w:r>
      <w:r w:rsidR="00325590" w:rsidRPr="00FF05AC">
        <w:rPr>
          <w:rFonts w:ascii="Palatino Linotype" w:hAnsi="Palatino Linotype"/>
        </w:rPr>
        <w:t xml:space="preserve"> </w:t>
      </w:r>
      <w:r w:rsidRPr="00FF05AC">
        <w:rPr>
          <w:rFonts w:ascii="Palatino Linotype" w:hAnsi="Palatino Linotype"/>
        </w:rPr>
        <w:t xml:space="preserve">administrativo en cuestión se encuentra firme, lo cual se desprende de las propias manifestaciones del sujeto obligado, dado que, en atención al requerimiento de información adicional, señaló lo siguiente: • Por acuerdo de veintisiete de febrero de dos mil veinte, dictado por la Sexta Sala Regional, previo cause ejecutoria de la resolución recaída al recurso de revisión 58/2019, se requirió a las autoridades demandadas el cumplimiento a la Sentencia definitiva emitida en el expediente administrativo que nos ocupa, bajo el apercibimiento de ley correspondiente. • Dada la naturaleza de la condena, actualmente se desarrolla el procedimiento de ejecución de sentencia en esta Sexta Sala Regional, ventilándose los desahogos de requerimiento a la demandada y las vistas respectivas a la justiciable, hasta en tanto se tenga por cumplida la condena en todos sus extremos, y se proceda en su momento al dictado del archivo del juicio como total y definitivamente concluido. De lo anterior, se colige que la sentencia definitiva del veintiocho de agosto de dos mil diecisiete dictada por la Sexta Sala Regional del Tribunal de Justicia Administrativa del Estado de México en el juicio administrativo </w:t>
      </w:r>
      <w:r w:rsidR="00CF5B5E">
        <w:rPr>
          <w:rFonts w:ascii="Palatino Linotype" w:hAnsi="Palatino Linotype"/>
        </w:rPr>
        <w:t xml:space="preserve">XXXXXXXXX </w:t>
      </w:r>
      <w:r w:rsidRPr="00FF05AC">
        <w:rPr>
          <w:rFonts w:ascii="Palatino Linotype" w:hAnsi="Palatino Linotype"/>
        </w:rPr>
        <w:t>quedó firme, al encontrarse precisamente en etapa de ejecución para verificar el cumplimiento de la misma, por lo que se estima que no se cumple con la segunda hipótesis prevista para la actualización de la causal de reserva que se analiza, es decir, que el juicio se encuentre en trámite, en virtud de que el juicio en cuestión se encuentra concluido. Aunado a esto, cabe recordar que los Lineamientos Generales establecen que, no serán objeto de reserva las resoluciones interlocutorias o definitivas que se dicten dentro de los procedimientos o con las que se concluya el mismo, para lo cual debe testarse la información clasificada.</w:t>
      </w:r>
    </w:p>
    <w:p w14:paraId="692A5C7F" w14:textId="0BBA8684" w:rsidR="00E602CC" w:rsidRPr="00FF05AC" w:rsidRDefault="00E602CC" w:rsidP="00CB6CE2">
      <w:pPr>
        <w:spacing w:line="360" w:lineRule="auto"/>
        <w:jc w:val="both"/>
        <w:rPr>
          <w:rFonts w:ascii="Palatino Linotype" w:hAnsi="Palatino Linotype"/>
        </w:rPr>
      </w:pPr>
      <w:r w:rsidRPr="00FF05AC">
        <w:rPr>
          <w:rFonts w:ascii="Palatino Linotype" w:hAnsi="Palatino Linotype"/>
        </w:rPr>
        <w:t>No obsta, el hecho de que actualmente se esté llevando a cabo al procedimiento de ejecución, pues la materia de la controversia ha quedado resuelta, de tal manera que los documentos solicitados, esto es, el escrito de demanda y las pruebas exhibidas, ya fueron valorados en la sentencia definitiva, también solicitada por el particular,</w:t>
      </w:r>
      <w:r w:rsidR="00325590" w:rsidRPr="00FF05AC">
        <w:rPr>
          <w:rFonts w:ascii="Palatino Linotype" w:hAnsi="Palatino Linotype"/>
        </w:rPr>
        <w:t xml:space="preserve"> </w:t>
      </w:r>
      <w:r w:rsidRPr="00FF05AC">
        <w:rPr>
          <w:rFonts w:ascii="Palatino Linotype" w:hAnsi="Palatino Linotype"/>
        </w:rPr>
        <w:t xml:space="preserve">cumpliéndose así con las formalidades esenciales del procedimiento y con la libertad de jurisdicción de la autoridad que dirimió la controversia, pues recordemos que el bien jurídico tutelado de la causal prevista en la fracción VIII, del artículo 140 de la Ley local de la materia, es el evitar injerencias externas que vulneren la objetividad de la autoridad que sustancia el procedimiento de que se trate, es decir, propiciar el buen curso del procedimiento. En ese sentido, en tanto que el expediente del juicio </w:t>
      </w:r>
      <w:r w:rsidR="00CF5B5E">
        <w:rPr>
          <w:rFonts w:ascii="Palatino Linotype" w:hAnsi="Palatino Linotype"/>
        </w:rPr>
        <w:t>XXXXXX</w:t>
      </w:r>
      <w:r w:rsidRPr="00FF05AC">
        <w:rPr>
          <w:rFonts w:ascii="Palatino Linotype" w:hAnsi="Palatino Linotype"/>
        </w:rPr>
        <w:t xml:space="preserve"> del índice de la Sexta Sala Regional del Tribunal de Justicia Administrativa del Estado de México ya causó estado, se estima que no se actualiza la causal de reserva invocada por el sujeto obligado, de conformidad con el artículo 140, fracción VIII de la Ley Transparencia y Acceso a la Información Pública del Estado de México y Municipios, pues aun cuando se encuentra en etapa de ejecución de sentencia, la determinación definitiva dictada en juicio de mérito no podría ser modificada. Aunado a lo anterior, contrario a lo referido por el sujeto obligado dentro de la prueba de daño aportada en el desahogo al requerimiento de información adicional, este Instituto no advierte de qué forma la difusión de tal información podría vulnerar el cumplimiento de la sentencia. Por tal motivo, el sujeto obligado deberá entregar al particular la versión pública de la información requerida</w:t>
      </w:r>
      <w:r w:rsidR="00325590" w:rsidRPr="00FF05AC">
        <w:rPr>
          <w:rFonts w:ascii="Palatino Linotype" w:hAnsi="Palatino Linotype"/>
        </w:rPr>
        <w:t>.</w:t>
      </w:r>
    </w:p>
    <w:p w14:paraId="62872D9F" w14:textId="77777777" w:rsidR="00325590" w:rsidRPr="00FF05AC" w:rsidRDefault="00325590" w:rsidP="00CB6CE2">
      <w:pPr>
        <w:spacing w:line="360" w:lineRule="auto"/>
        <w:jc w:val="both"/>
        <w:rPr>
          <w:rFonts w:ascii="Palatino Linotype" w:hAnsi="Palatino Linotype"/>
        </w:rPr>
      </w:pPr>
    </w:p>
    <w:p w14:paraId="166274F3" w14:textId="26C6308F" w:rsidR="003B017D" w:rsidRPr="00FF05AC" w:rsidRDefault="003B017D" w:rsidP="005353EB">
      <w:pPr>
        <w:spacing w:line="360" w:lineRule="auto"/>
        <w:jc w:val="both"/>
        <w:rPr>
          <w:rFonts w:ascii="Palatino Linotype" w:eastAsia="Calibri" w:hAnsi="Palatino Linotype"/>
          <w:szCs w:val="22"/>
          <w:lang w:eastAsia="en-US"/>
        </w:rPr>
      </w:pPr>
      <w:r w:rsidRPr="00FF05AC">
        <w:rPr>
          <w:rFonts w:ascii="Palatino Linotype" w:eastAsia="Calibri" w:hAnsi="Palatino Linotype"/>
          <w:szCs w:val="22"/>
          <w:lang w:eastAsia="en-US"/>
        </w:rPr>
        <w:t xml:space="preserve">En consecuencia, esta Ponencia Resolutora determina </w:t>
      </w:r>
      <w:r w:rsidRPr="00FF05AC">
        <w:rPr>
          <w:rFonts w:ascii="Palatino Linotype" w:eastAsia="Calibri" w:hAnsi="Palatino Linotype"/>
          <w:b/>
          <w:szCs w:val="22"/>
          <w:lang w:eastAsia="en-US"/>
        </w:rPr>
        <w:t>Revocar</w:t>
      </w:r>
      <w:r w:rsidRPr="00FF05AC">
        <w:rPr>
          <w:rFonts w:ascii="Palatino Linotype" w:eastAsia="Calibri" w:hAnsi="Palatino Linotype"/>
          <w:szCs w:val="22"/>
          <w:lang w:eastAsia="en-US"/>
        </w:rPr>
        <w:t xml:space="preserve"> la respuesta otorgada a la solic</w:t>
      </w:r>
      <w:r w:rsidR="00D03FE4" w:rsidRPr="00FF05AC">
        <w:rPr>
          <w:rFonts w:ascii="Palatino Linotype" w:eastAsia="Calibri" w:hAnsi="Palatino Linotype"/>
          <w:szCs w:val="22"/>
          <w:lang w:eastAsia="en-US"/>
        </w:rPr>
        <w:t>itud</w:t>
      </w:r>
      <w:r w:rsidR="00325590" w:rsidRPr="00FF05AC">
        <w:rPr>
          <w:rFonts w:ascii="Palatino Linotype" w:eastAsia="Calibri" w:hAnsi="Palatino Linotype"/>
          <w:szCs w:val="22"/>
          <w:lang w:eastAsia="en-US"/>
        </w:rPr>
        <w:t xml:space="preserve"> </w:t>
      </w:r>
      <w:r w:rsidR="00D03FE4" w:rsidRPr="00FF05AC">
        <w:rPr>
          <w:rFonts w:ascii="Palatino Linotype" w:eastAsia="Calibri" w:hAnsi="Palatino Linotype"/>
          <w:szCs w:val="22"/>
          <w:lang w:eastAsia="en-US"/>
        </w:rPr>
        <w:t>de información que dio origen al recurso</w:t>
      </w:r>
      <w:r w:rsidRPr="00FF05AC">
        <w:rPr>
          <w:rFonts w:ascii="Palatino Linotype" w:eastAsia="Calibri" w:hAnsi="Palatino Linotype"/>
          <w:szCs w:val="22"/>
          <w:lang w:eastAsia="en-US"/>
        </w:rPr>
        <w:t xml:space="preserve"> de revisión en estudio para ordenar la entrega del documento en donde conste </w:t>
      </w:r>
      <w:r w:rsidR="00091B0C" w:rsidRPr="00FF05AC">
        <w:rPr>
          <w:rFonts w:ascii="Palatino Linotype" w:eastAsia="Calibri" w:hAnsi="Palatino Linotype"/>
          <w:szCs w:val="22"/>
          <w:lang w:eastAsia="en-US"/>
        </w:rPr>
        <w:t xml:space="preserve">la información solicitada objeto del presente estudio; por lo que, </w:t>
      </w:r>
      <w:r w:rsidRPr="00FF05AC">
        <w:rPr>
          <w:rFonts w:ascii="Palatino Linotype" w:hAnsi="Palatino Linotype" w:cs="Arial"/>
        </w:rPr>
        <w:t>es toral señalar que, , deberá entregar la información de mérito en versión pública y emitir el Acuerdo de Clasificación en el que se sustenten dichas versiones públicas.</w:t>
      </w:r>
    </w:p>
    <w:p w14:paraId="166274F4" w14:textId="77777777" w:rsidR="003B017D" w:rsidRPr="00FF05AC" w:rsidRDefault="003B017D" w:rsidP="003B017D">
      <w:pPr>
        <w:autoSpaceDE w:val="0"/>
        <w:autoSpaceDN w:val="0"/>
        <w:adjustRightInd w:val="0"/>
        <w:spacing w:before="100" w:beforeAutospacing="1" w:after="100" w:afterAutospacing="1" w:line="360" w:lineRule="auto"/>
        <w:ind w:right="51"/>
        <w:jc w:val="both"/>
        <w:rPr>
          <w:rFonts w:ascii="Palatino Linotype" w:hAnsi="Palatino Linotype" w:cs="Arial"/>
        </w:rPr>
      </w:pPr>
      <w:r w:rsidRPr="00FF05AC">
        <w:rPr>
          <w:rFonts w:ascii="Palatino Linotype" w:hAnsi="Palatino Linotype" w:cs="Arial"/>
          <w:color w:val="000000"/>
        </w:rPr>
        <w:t xml:space="preserve">En ese sentido, es de precisar que </w:t>
      </w:r>
      <w:r w:rsidRPr="00FF05AC">
        <w:rPr>
          <w:rFonts w:ascii="Palatino Linotype" w:eastAsia="Calibri" w:hAnsi="Palatino Linotype" w:cs="Bookman Old Style,Bold"/>
          <w:bCs/>
          <w:color w:val="0D0D0D"/>
          <w:lang w:eastAsia="en-US"/>
        </w:rPr>
        <w:t xml:space="preserve">la clasificación de la información no se da por el simple mandato de la Ley, sino que </w:t>
      </w:r>
      <w:r w:rsidRPr="00FF05AC">
        <w:rPr>
          <w:rFonts w:ascii="Palatino Linotype" w:hAnsi="Palatino Linotype"/>
        </w:rPr>
        <w:t xml:space="preserve">es necesario que </w:t>
      </w:r>
      <w:r w:rsidRPr="00FF05AC">
        <w:rPr>
          <w:rFonts w:ascii="Palatino Linotype" w:hAnsi="Palatino Linotype"/>
          <w:b/>
        </w:rPr>
        <w:t xml:space="preserve">EL SUJETO OBLIGADO </w:t>
      </w:r>
      <w:r w:rsidRPr="00FF05AC">
        <w:rPr>
          <w:rFonts w:ascii="Palatino Linotype" w:hAnsi="Palatino Linotype"/>
        </w:rPr>
        <w:t xml:space="preserve">cuando clasifique algún documento o información, ya sea todo o en parte, debe atender lo dispuesto por </w:t>
      </w:r>
      <w:r w:rsidRPr="00FF05AC">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FF05AC">
        <w:rPr>
          <w:rFonts w:ascii="Palatino Linotype" w:hAnsi="Palatino Linotype" w:cs="Arial"/>
          <w:b/>
        </w:rPr>
        <w:t>SUJETO OBLIGADO</w:t>
      </w:r>
      <w:r w:rsidRPr="00FF05AC">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166274F5" w14:textId="77777777" w:rsidR="003B017D" w:rsidRPr="00FF05AC" w:rsidRDefault="003B017D" w:rsidP="003B017D">
      <w:pPr>
        <w:autoSpaceDE w:val="0"/>
        <w:autoSpaceDN w:val="0"/>
        <w:adjustRightInd w:val="0"/>
        <w:spacing w:before="100" w:beforeAutospacing="1" w:after="100" w:afterAutospacing="1" w:line="360" w:lineRule="auto"/>
        <w:jc w:val="both"/>
        <w:rPr>
          <w:rFonts w:ascii="Palatino Linotype" w:hAnsi="Palatino Linotype" w:cs="Arial"/>
        </w:rPr>
      </w:pPr>
      <w:r w:rsidRPr="00FF05AC">
        <w:rPr>
          <w:rFonts w:ascii="Palatino Linotype" w:hAnsi="Palatino Linotype" w:cs="Arial"/>
          <w:lang w:val="es-ES"/>
        </w:rPr>
        <w:t xml:space="preserve">Así las cosas, dentro de los datos personales que pudieran contenerse se destacan los datos personales sensibles, los cuales son aquellos </w:t>
      </w:r>
      <w:r w:rsidRPr="00FF05AC">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166274F6" w14:textId="77777777" w:rsidR="003B017D" w:rsidRPr="00FF05AC" w:rsidRDefault="003B017D" w:rsidP="003B017D">
      <w:pPr>
        <w:autoSpaceDE w:val="0"/>
        <w:autoSpaceDN w:val="0"/>
        <w:adjustRightInd w:val="0"/>
        <w:spacing w:before="100" w:beforeAutospacing="1" w:after="100" w:afterAutospacing="1" w:line="360" w:lineRule="auto"/>
        <w:jc w:val="both"/>
        <w:rPr>
          <w:rFonts w:ascii="Palatino Linotype" w:hAnsi="Palatino Linotype" w:cs="Arial"/>
        </w:rPr>
      </w:pPr>
      <w:r w:rsidRPr="00FF05AC">
        <w:rPr>
          <w:rFonts w:ascii="Palatino Linotype" w:hAnsi="Palatino Linotype" w:cs="Arial"/>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14:paraId="166274F7" w14:textId="3FC25B6E" w:rsidR="003B017D" w:rsidRPr="00FF05AC" w:rsidRDefault="003B017D" w:rsidP="003B017D">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F05AC">
        <w:rPr>
          <w:rFonts w:ascii="Palatino Linotype" w:hAnsi="Palatino Linotype" w:cs="Arial"/>
        </w:rPr>
        <w:t xml:space="preserve">En el caso específico, la </w:t>
      </w:r>
      <w:r w:rsidRPr="00FF05AC">
        <w:rPr>
          <w:rFonts w:ascii="Palatino Linotype" w:hAnsi="Palatino Linotype"/>
        </w:rPr>
        <w:t>información</w:t>
      </w:r>
      <w:r w:rsidRPr="00FF05AC">
        <w:rPr>
          <w:rFonts w:ascii="Palatino Linotype" w:hAnsi="Palatino Linotype" w:cs="Arial"/>
        </w:rPr>
        <w:t xml:space="preserve"> solicitada pudiera contener datos personales, como lo son los domicilios de particulares, que de hacerse públicos afectarían la intimidad y vida privada de determinadas personas; es por ello que deben testarse al momento de la elaboración de versiones públicas; aunque no pasa desapercibido que en algunos supuestos como lo establecen los Lineamientos Técnicos Generales para la publicación Homologación y Estandarización de la Información de las Obligaciones Establecidas en el Título Quinto  y en la Fracción </w:t>
      </w:r>
      <w:r w:rsidR="00D44DB0" w:rsidRPr="00FF05AC">
        <w:rPr>
          <w:rFonts w:ascii="Palatino Linotype" w:hAnsi="Palatino Linotype" w:cs="Arial"/>
        </w:rPr>
        <w:t xml:space="preserve">IV </w:t>
      </w:r>
      <w:r w:rsidRPr="00FF05AC">
        <w:rPr>
          <w:rFonts w:ascii="Palatino Linotype" w:hAnsi="Palatino Linotype" w:cs="Arial"/>
        </w:rPr>
        <w:t>Del Artículo 31 de la Ley General De Transparencia y Acceso a la Información Pública, que deben de difundir los Sujetos Obligados en los Portales de Internet y en la Plataforma Nacional de Transparencia; así como los Criterios y Formatos Contenidos en los Anexos de los Propios Lineamientos, Derivado de la Verificación Diagnóstica realizada por los Organismos Garantes de la  Federación y de las Entidades Federativas; se aplicara en los casos en que así resulte procedente.</w:t>
      </w:r>
    </w:p>
    <w:p w14:paraId="166274F8" w14:textId="77777777" w:rsidR="003B017D" w:rsidRPr="00FF05AC" w:rsidRDefault="003B017D" w:rsidP="003B017D">
      <w:pPr>
        <w:spacing w:before="100" w:beforeAutospacing="1" w:after="100" w:afterAutospacing="1" w:line="360" w:lineRule="auto"/>
        <w:jc w:val="both"/>
        <w:rPr>
          <w:rFonts w:ascii="Palatino Linotype" w:hAnsi="Palatino Linotype" w:cs="Arial"/>
          <w:lang w:val="es-ES_tradnl"/>
        </w:rPr>
      </w:pPr>
      <w:r w:rsidRPr="00FF05AC">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FF05AC">
        <w:rPr>
          <w:rFonts w:ascii="Palatino Linotype" w:hAnsi="Palatino Linotype" w:cs="Arial"/>
          <w:lang w:val="es-ES_tradnl"/>
        </w:rPr>
        <w:t>mediante las formalidades de Ley, es decir,</w:t>
      </w:r>
      <w:r w:rsidRPr="00FF05AC">
        <w:rPr>
          <w:rFonts w:ascii="Palatino Linotype" w:hAnsi="Palatino Linotype" w:cs="Arial"/>
        </w:rPr>
        <w:t xml:space="preserve"> que el Comité de Transparencia del </w:t>
      </w:r>
      <w:r w:rsidRPr="00FF05AC">
        <w:rPr>
          <w:rFonts w:ascii="Palatino Linotype" w:hAnsi="Palatino Linotype" w:cs="Arial"/>
          <w:b/>
        </w:rPr>
        <w:t>SUJETO OBLIGADO</w:t>
      </w:r>
      <w:r w:rsidRPr="00FF05AC">
        <w:rPr>
          <w:rFonts w:ascii="Palatino Linotype" w:hAnsi="Palatino Linotype" w:cs="Arial"/>
        </w:rPr>
        <w:t xml:space="preserve"> emita el Acuerdo de Clasificación correspondiente</w:t>
      </w:r>
      <w:r w:rsidRPr="00FF05AC">
        <w:rPr>
          <w:rFonts w:ascii="Palatino Linotype" w:hAnsi="Palatino Linotype" w:cs="Arial"/>
          <w:lang w:val="es-ES_tradnl"/>
        </w:rPr>
        <w:t xml:space="preserve"> debidamente fundado y motivado, en </w:t>
      </w:r>
      <w:r w:rsidRPr="00FF05AC">
        <w:rPr>
          <w:rFonts w:ascii="Palatino Linotype" w:hAnsi="Palatino Linotype" w:cs="Arial"/>
          <w:noProof/>
        </w:rPr>
        <w:t>términos</w:t>
      </w:r>
      <w:r w:rsidRPr="00FF05AC">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166274F9" w14:textId="77777777" w:rsidR="003B017D" w:rsidRPr="00FF05AC" w:rsidRDefault="003B017D" w:rsidP="003B017D">
      <w:pPr>
        <w:ind w:left="709" w:right="709"/>
        <w:jc w:val="center"/>
        <w:rPr>
          <w:rFonts w:ascii="Palatino Linotype" w:hAnsi="Palatino Linotype" w:cs="Arial"/>
          <w:b/>
          <w:i/>
          <w:sz w:val="22"/>
          <w:szCs w:val="22"/>
        </w:rPr>
      </w:pPr>
      <w:r w:rsidRPr="00FF05AC">
        <w:rPr>
          <w:rFonts w:ascii="Palatino Linotype" w:hAnsi="Palatino Linotype" w:cs="Arial"/>
          <w:b/>
          <w:i/>
          <w:sz w:val="22"/>
          <w:szCs w:val="22"/>
        </w:rPr>
        <w:t>Ley de Transparencia y Acceso a la Información Pública del Estado de México y Municipios</w:t>
      </w:r>
    </w:p>
    <w:p w14:paraId="166274FA" w14:textId="77777777" w:rsidR="003B017D" w:rsidRPr="00FF05AC" w:rsidRDefault="003B017D" w:rsidP="003B017D">
      <w:pPr>
        <w:autoSpaceDE w:val="0"/>
        <w:autoSpaceDN w:val="0"/>
        <w:adjustRightInd w:val="0"/>
        <w:ind w:left="709" w:right="709"/>
        <w:jc w:val="both"/>
        <w:rPr>
          <w:rFonts w:ascii="Palatino Linotype" w:hAnsi="Palatino Linotype" w:cs="Arial"/>
          <w:i/>
          <w:sz w:val="22"/>
          <w:szCs w:val="22"/>
        </w:rPr>
      </w:pPr>
      <w:r w:rsidRPr="00FF05AC">
        <w:rPr>
          <w:rFonts w:ascii="Palatino Linotype" w:hAnsi="Palatino Linotype" w:cs="Arial"/>
          <w:i/>
          <w:sz w:val="22"/>
          <w:szCs w:val="22"/>
        </w:rPr>
        <w:t>“</w:t>
      </w:r>
      <w:r w:rsidRPr="00FF05AC">
        <w:rPr>
          <w:rFonts w:ascii="Palatino Linotype" w:hAnsi="Palatino Linotype" w:cs="Arial"/>
          <w:b/>
          <w:i/>
          <w:sz w:val="22"/>
          <w:szCs w:val="22"/>
        </w:rPr>
        <w:t xml:space="preserve">Artículo 49. </w:t>
      </w:r>
      <w:r w:rsidRPr="00FF05AC">
        <w:rPr>
          <w:rFonts w:ascii="Palatino Linotype" w:hAnsi="Palatino Linotype" w:cs="Arial"/>
          <w:i/>
          <w:sz w:val="22"/>
          <w:szCs w:val="22"/>
        </w:rPr>
        <w:t xml:space="preserve">Los Comités de Transparencia </w:t>
      </w:r>
      <w:r w:rsidRPr="00FF05AC">
        <w:rPr>
          <w:rFonts w:ascii="Palatino Linotype" w:hAnsi="Palatino Linotype"/>
          <w:i/>
          <w:sz w:val="22"/>
          <w:szCs w:val="22"/>
        </w:rPr>
        <w:t>tendrán</w:t>
      </w:r>
      <w:r w:rsidRPr="00FF05AC">
        <w:rPr>
          <w:rFonts w:ascii="Palatino Linotype" w:hAnsi="Palatino Linotype" w:cs="Arial"/>
          <w:i/>
          <w:sz w:val="22"/>
          <w:szCs w:val="22"/>
        </w:rPr>
        <w:t xml:space="preserve"> las siguientes atribuciones:</w:t>
      </w:r>
    </w:p>
    <w:p w14:paraId="166274FB" w14:textId="77777777" w:rsidR="003B017D" w:rsidRPr="00FF05AC" w:rsidRDefault="003B017D" w:rsidP="003B017D">
      <w:pPr>
        <w:autoSpaceDE w:val="0"/>
        <w:autoSpaceDN w:val="0"/>
        <w:adjustRightInd w:val="0"/>
        <w:ind w:left="709" w:right="709"/>
        <w:jc w:val="both"/>
        <w:rPr>
          <w:rFonts w:ascii="Palatino Linotype" w:hAnsi="Palatino Linotype" w:cs="Arial"/>
          <w:i/>
          <w:sz w:val="22"/>
          <w:szCs w:val="22"/>
        </w:rPr>
      </w:pPr>
      <w:r w:rsidRPr="00FF05AC">
        <w:rPr>
          <w:rFonts w:ascii="Palatino Linotype" w:hAnsi="Palatino Linotype" w:cs="Arial"/>
          <w:b/>
          <w:i/>
          <w:sz w:val="22"/>
          <w:szCs w:val="22"/>
        </w:rPr>
        <w:t>VIII.</w:t>
      </w:r>
      <w:r w:rsidRPr="00FF05AC">
        <w:rPr>
          <w:rFonts w:ascii="Palatino Linotype" w:hAnsi="Palatino Linotype" w:cs="Arial"/>
          <w:i/>
          <w:sz w:val="22"/>
          <w:szCs w:val="22"/>
        </w:rPr>
        <w:t xml:space="preserve"> </w:t>
      </w:r>
      <w:r w:rsidRPr="00FF05AC">
        <w:rPr>
          <w:rFonts w:ascii="Palatino Linotype" w:hAnsi="Palatino Linotype" w:cs="Arial"/>
          <w:b/>
          <w:i/>
          <w:sz w:val="22"/>
          <w:szCs w:val="22"/>
          <w:u w:val="single"/>
        </w:rPr>
        <w:t>Aprobar</w:t>
      </w:r>
      <w:r w:rsidRPr="00FF05AC">
        <w:rPr>
          <w:rFonts w:ascii="Palatino Linotype" w:hAnsi="Palatino Linotype" w:cs="Arial"/>
          <w:i/>
          <w:sz w:val="22"/>
          <w:szCs w:val="22"/>
        </w:rPr>
        <w:t xml:space="preserve">, modificar o revocar </w:t>
      </w:r>
      <w:r w:rsidRPr="00FF05AC">
        <w:rPr>
          <w:rFonts w:ascii="Palatino Linotype" w:hAnsi="Palatino Linotype" w:cs="Arial"/>
          <w:b/>
          <w:i/>
          <w:sz w:val="22"/>
          <w:szCs w:val="22"/>
          <w:u w:val="single"/>
        </w:rPr>
        <w:t>la clasificación de la información</w:t>
      </w:r>
      <w:r w:rsidRPr="00FF05AC">
        <w:rPr>
          <w:rFonts w:ascii="Palatino Linotype" w:hAnsi="Palatino Linotype" w:cs="Arial"/>
          <w:i/>
          <w:sz w:val="22"/>
          <w:szCs w:val="22"/>
        </w:rPr>
        <w:t>;</w:t>
      </w:r>
    </w:p>
    <w:p w14:paraId="166274FC" w14:textId="77777777" w:rsidR="003B017D" w:rsidRPr="00FF05AC" w:rsidRDefault="003B017D" w:rsidP="003B017D">
      <w:pPr>
        <w:autoSpaceDE w:val="0"/>
        <w:autoSpaceDN w:val="0"/>
        <w:adjustRightInd w:val="0"/>
        <w:ind w:left="709" w:right="709"/>
        <w:jc w:val="both"/>
        <w:rPr>
          <w:rFonts w:ascii="Palatino Linotype" w:hAnsi="Palatino Linotype" w:cs="Arial"/>
          <w:i/>
          <w:sz w:val="22"/>
          <w:szCs w:val="22"/>
        </w:rPr>
      </w:pPr>
      <w:r w:rsidRPr="00FF05AC">
        <w:rPr>
          <w:rFonts w:ascii="Palatino Linotype" w:hAnsi="Palatino Linotype" w:cs="Arial"/>
          <w:b/>
          <w:i/>
          <w:sz w:val="22"/>
          <w:szCs w:val="22"/>
        </w:rPr>
        <w:t>Artículo 132.</w:t>
      </w:r>
      <w:r w:rsidRPr="00FF05AC">
        <w:rPr>
          <w:rFonts w:ascii="Palatino Linotype" w:hAnsi="Palatino Linotype" w:cs="Arial"/>
          <w:i/>
          <w:sz w:val="22"/>
          <w:szCs w:val="22"/>
        </w:rPr>
        <w:t xml:space="preserve"> La clasificación de la información se llevará a cabo en el momento en que:</w:t>
      </w:r>
    </w:p>
    <w:p w14:paraId="166274FD" w14:textId="77777777" w:rsidR="003B017D" w:rsidRPr="00FF05AC" w:rsidRDefault="003B017D" w:rsidP="003B017D">
      <w:pPr>
        <w:autoSpaceDE w:val="0"/>
        <w:autoSpaceDN w:val="0"/>
        <w:adjustRightInd w:val="0"/>
        <w:ind w:left="709" w:right="709"/>
        <w:jc w:val="both"/>
        <w:rPr>
          <w:rFonts w:ascii="Palatino Linotype" w:hAnsi="Palatino Linotype" w:cs="Arial"/>
          <w:i/>
          <w:sz w:val="22"/>
          <w:szCs w:val="22"/>
        </w:rPr>
      </w:pPr>
      <w:r w:rsidRPr="00FF05AC">
        <w:rPr>
          <w:rFonts w:ascii="Palatino Linotype" w:hAnsi="Palatino Linotype" w:cs="Arial"/>
          <w:i/>
          <w:sz w:val="22"/>
          <w:szCs w:val="22"/>
        </w:rPr>
        <w:t>[…]</w:t>
      </w:r>
    </w:p>
    <w:p w14:paraId="166274FE" w14:textId="77777777" w:rsidR="003B017D" w:rsidRPr="00FF05AC" w:rsidRDefault="003B017D" w:rsidP="003B017D">
      <w:pPr>
        <w:autoSpaceDE w:val="0"/>
        <w:autoSpaceDN w:val="0"/>
        <w:adjustRightInd w:val="0"/>
        <w:ind w:left="709" w:right="709"/>
        <w:jc w:val="both"/>
        <w:rPr>
          <w:rFonts w:ascii="Palatino Linotype" w:hAnsi="Palatino Linotype" w:cs="Arial"/>
          <w:i/>
          <w:sz w:val="22"/>
          <w:szCs w:val="22"/>
        </w:rPr>
      </w:pPr>
      <w:r w:rsidRPr="00FF05AC">
        <w:rPr>
          <w:rFonts w:ascii="Palatino Linotype" w:hAnsi="Palatino Linotype" w:cs="Arial"/>
          <w:b/>
          <w:i/>
          <w:sz w:val="22"/>
          <w:szCs w:val="22"/>
        </w:rPr>
        <w:t>II.</w:t>
      </w:r>
      <w:r w:rsidRPr="00FF05AC">
        <w:rPr>
          <w:rFonts w:ascii="Palatino Linotype" w:hAnsi="Palatino Linotype" w:cs="Arial"/>
          <w:i/>
          <w:sz w:val="22"/>
          <w:szCs w:val="22"/>
        </w:rPr>
        <w:t xml:space="preserve"> </w:t>
      </w:r>
      <w:r w:rsidRPr="00FF05AC">
        <w:rPr>
          <w:rFonts w:ascii="Palatino Linotype" w:hAnsi="Palatino Linotype" w:cs="Arial"/>
          <w:b/>
          <w:i/>
          <w:sz w:val="22"/>
          <w:szCs w:val="22"/>
          <w:u w:val="single"/>
        </w:rPr>
        <w:t>Se determine mediante resolución de autoridad competente</w:t>
      </w:r>
      <w:r w:rsidRPr="00FF05AC">
        <w:rPr>
          <w:rFonts w:ascii="Palatino Linotype" w:hAnsi="Palatino Linotype" w:cs="Arial"/>
          <w:i/>
          <w:sz w:val="22"/>
          <w:szCs w:val="22"/>
        </w:rPr>
        <w:t>; o</w:t>
      </w:r>
    </w:p>
    <w:p w14:paraId="166274FF" w14:textId="77777777" w:rsidR="003B017D" w:rsidRPr="00FF05AC" w:rsidRDefault="003B017D" w:rsidP="003B017D">
      <w:pPr>
        <w:ind w:left="709" w:right="709"/>
        <w:jc w:val="center"/>
        <w:rPr>
          <w:rFonts w:ascii="Palatino Linotype" w:hAnsi="Palatino Linotype" w:cs="Arial"/>
          <w:b/>
          <w:i/>
          <w:sz w:val="22"/>
          <w:szCs w:val="22"/>
        </w:rPr>
      </w:pPr>
      <w:r w:rsidRPr="00FF05AC">
        <w:rPr>
          <w:rFonts w:ascii="Palatino Linotype" w:hAnsi="Palatino Linotype" w:cs="Arial"/>
          <w:b/>
          <w:i/>
          <w:sz w:val="22"/>
          <w:szCs w:val="22"/>
        </w:rPr>
        <w:t>Lineamientos Generales en materia de Clasificación y Desclasificación de la Información, así como para la elaboración de Versiones Públicas</w:t>
      </w:r>
    </w:p>
    <w:p w14:paraId="16627500" w14:textId="77777777" w:rsidR="003B017D" w:rsidRPr="00FF05AC" w:rsidRDefault="003B017D" w:rsidP="003B017D">
      <w:pPr>
        <w:autoSpaceDE w:val="0"/>
        <w:autoSpaceDN w:val="0"/>
        <w:adjustRightInd w:val="0"/>
        <w:ind w:left="709" w:right="709"/>
        <w:jc w:val="both"/>
        <w:rPr>
          <w:rFonts w:ascii="Palatino Linotype" w:hAnsi="Palatino Linotype" w:cs="Arial"/>
          <w:i/>
          <w:sz w:val="22"/>
          <w:szCs w:val="22"/>
        </w:rPr>
      </w:pPr>
      <w:r w:rsidRPr="00FF05AC">
        <w:rPr>
          <w:rFonts w:ascii="Palatino Linotype" w:hAnsi="Palatino Linotype" w:cs="Arial"/>
          <w:i/>
          <w:sz w:val="22"/>
          <w:szCs w:val="22"/>
        </w:rPr>
        <w:t>“</w:t>
      </w:r>
      <w:r w:rsidRPr="00FF05AC">
        <w:rPr>
          <w:rFonts w:ascii="Palatino Linotype" w:hAnsi="Palatino Linotype" w:cs="Arial"/>
          <w:b/>
          <w:i/>
          <w:sz w:val="22"/>
          <w:szCs w:val="22"/>
        </w:rPr>
        <w:t>Cuarto.</w:t>
      </w:r>
      <w:r w:rsidRPr="00FF05AC">
        <w:rPr>
          <w:rFonts w:ascii="Palatino Linotype" w:hAnsi="Palatino Linotype" w:cs="Arial"/>
          <w:i/>
          <w:sz w:val="22"/>
          <w:szCs w:val="22"/>
        </w:rPr>
        <w:t xml:space="preserve"> </w:t>
      </w:r>
      <w:r w:rsidRPr="00FF05AC">
        <w:rPr>
          <w:rFonts w:ascii="Palatino Linotype" w:hAnsi="Palatino Linotype" w:cs="Arial"/>
          <w:b/>
          <w:i/>
          <w:sz w:val="22"/>
          <w:szCs w:val="22"/>
          <w:u w:val="single"/>
        </w:rPr>
        <w:t>Para clasificar la información como</w:t>
      </w:r>
      <w:r w:rsidRPr="00FF05AC">
        <w:rPr>
          <w:rFonts w:ascii="Palatino Linotype" w:hAnsi="Palatino Linotype" w:cs="Arial"/>
          <w:i/>
          <w:sz w:val="22"/>
          <w:szCs w:val="22"/>
        </w:rPr>
        <w:t xml:space="preserve"> reservada o </w:t>
      </w:r>
      <w:r w:rsidRPr="00FF05AC">
        <w:rPr>
          <w:rFonts w:ascii="Palatino Linotype" w:hAnsi="Palatino Linotype" w:cs="Arial"/>
          <w:b/>
          <w:i/>
          <w:sz w:val="22"/>
          <w:szCs w:val="22"/>
          <w:u w:val="single"/>
        </w:rPr>
        <w:t>confidencial, de manera total</w:t>
      </w:r>
      <w:r w:rsidRPr="00FF05AC">
        <w:rPr>
          <w:rFonts w:ascii="Palatino Linotype" w:hAnsi="Palatino Linotype" w:cs="Arial"/>
          <w:i/>
          <w:sz w:val="22"/>
          <w:szCs w:val="22"/>
        </w:rPr>
        <w:t xml:space="preserve"> o parcial, </w:t>
      </w:r>
      <w:r w:rsidRPr="00FF05AC">
        <w:rPr>
          <w:rFonts w:ascii="Palatino Linotype" w:hAnsi="Palatino Linotype" w:cs="Arial"/>
          <w:b/>
          <w:i/>
          <w:sz w:val="22"/>
          <w:szCs w:val="22"/>
          <w:u w:val="single"/>
        </w:rPr>
        <w:t xml:space="preserve">el titular del </w:t>
      </w:r>
      <w:r w:rsidRPr="00FF05AC">
        <w:rPr>
          <w:rFonts w:ascii="Palatino Linotype" w:hAnsi="Palatino Linotype" w:cs="Arial"/>
          <w:b/>
          <w:bCs/>
          <w:i/>
          <w:noProof/>
          <w:sz w:val="22"/>
          <w:szCs w:val="22"/>
          <w:u w:val="single"/>
        </w:rPr>
        <w:t>área</w:t>
      </w:r>
      <w:r w:rsidRPr="00FF05AC">
        <w:rPr>
          <w:rFonts w:ascii="Palatino Linotype" w:hAnsi="Palatino Linotype" w:cs="Arial"/>
          <w:b/>
          <w:i/>
          <w:sz w:val="22"/>
          <w:szCs w:val="22"/>
          <w:u w:val="single"/>
        </w:rPr>
        <w:t xml:space="preserve"> del sujeto obligado deberá atender lo dispuesto por el Título Sexto de la Ley General, en relación con las disposiciones contenidas en los presentes lineamientos</w:t>
      </w:r>
      <w:r w:rsidRPr="00FF05AC">
        <w:rPr>
          <w:rFonts w:ascii="Palatino Linotype" w:hAnsi="Palatino Linotype" w:cs="Arial"/>
          <w:i/>
          <w:sz w:val="22"/>
          <w:szCs w:val="22"/>
        </w:rPr>
        <w:t>, así como en aquellas disposiciones legales aplicables a la materia en el ámbito de sus respectivas competencias, en tanto estas últimas no contravengan lo dispuesto en la Ley General.</w:t>
      </w:r>
    </w:p>
    <w:p w14:paraId="16627501" w14:textId="77777777" w:rsidR="003B017D" w:rsidRPr="00FF05AC" w:rsidRDefault="003B017D" w:rsidP="003B017D">
      <w:pPr>
        <w:autoSpaceDE w:val="0"/>
        <w:autoSpaceDN w:val="0"/>
        <w:adjustRightInd w:val="0"/>
        <w:ind w:left="709" w:right="709"/>
        <w:jc w:val="both"/>
        <w:rPr>
          <w:rFonts w:ascii="Palatino Linotype" w:hAnsi="Palatino Linotype" w:cs="Arial"/>
          <w:i/>
          <w:sz w:val="22"/>
          <w:szCs w:val="22"/>
        </w:rPr>
      </w:pPr>
      <w:r w:rsidRPr="00FF05AC">
        <w:rPr>
          <w:rFonts w:ascii="Palatino Linotype" w:hAnsi="Palatino Linotype" w:cs="Arial"/>
          <w:i/>
          <w:sz w:val="22"/>
          <w:szCs w:val="22"/>
        </w:rPr>
        <w:t xml:space="preserve">Los sujetos obligados deberán aplicar, de manera estricta, las excepciones al derecho de acceso a la </w:t>
      </w:r>
      <w:r w:rsidRPr="00FF05AC">
        <w:rPr>
          <w:rFonts w:ascii="Palatino Linotype" w:hAnsi="Palatino Linotype" w:cs="Arial"/>
          <w:bCs/>
          <w:i/>
          <w:noProof/>
          <w:sz w:val="22"/>
          <w:szCs w:val="22"/>
        </w:rPr>
        <w:t>información</w:t>
      </w:r>
      <w:r w:rsidRPr="00FF05AC">
        <w:rPr>
          <w:rFonts w:ascii="Palatino Linotype" w:hAnsi="Palatino Linotype" w:cs="Arial"/>
          <w:i/>
          <w:sz w:val="22"/>
          <w:szCs w:val="22"/>
        </w:rPr>
        <w:t xml:space="preserve"> y sólo podrán invocarlas cuando acrediten su procedencia.</w:t>
      </w:r>
    </w:p>
    <w:p w14:paraId="16627502" w14:textId="77777777" w:rsidR="003B017D" w:rsidRPr="00FF05AC" w:rsidRDefault="003B017D" w:rsidP="003B017D">
      <w:pPr>
        <w:autoSpaceDE w:val="0"/>
        <w:autoSpaceDN w:val="0"/>
        <w:adjustRightInd w:val="0"/>
        <w:ind w:left="709" w:right="709"/>
        <w:jc w:val="both"/>
        <w:rPr>
          <w:rFonts w:ascii="Palatino Linotype" w:hAnsi="Palatino Linotype" w:cs="Arial"/>
          <w:i/>
          <w:sz w:val="22"/>
          <w:szCs w:val="22"/>
        </w:rPr>
      </w:pPr>
      <w:r w:rsidRPr="00FF05AC">
        <w:rPr>
          <w:rFonts w:ascii="Palatino Linotype" w:hAnsi="Palatino Linotype" w:cs="Arial"/>
          <w:b/>
          <w:i/>
          <w:sz w:val="22"/>
          <w:szCs w:val="22"/>
        </w:rPr>
        <w:t>Quinto.</w:t>
      </w:r>
      <w:r w:rsidRPr="00FF05AC">
        <w:rPr>
          <w:rFonts w:ascii="Palatino Linotype" w:hAnsi="Palatino Linotype" w:cs="Arial"/>
          <w:i/>
          <w:sz w:val="22"/>
          <w:szCs w:val="22"/>
        </w:rPr>
        <w:t xml:space="preserve"> </w:t>
      </w:r>
      <w:r w:rsidRPr="00FF05AC">
        <w:rPr>
          <w:rFonts w:ascii="Palatino Linotype" w:hAnsi="Palatino Linotype" w:cs="Arial"/>
          <w:b/>
          <w:i/>
          <w:sz w:val="22"/>
          <w:szCs w:val="22"/>
          <w:u w:val="single"/>
        </w:rPr>
        <w:t>La carga de la prueba para justificar toda negativa de acceso a la información, por actualizarse cualquiera de los supuestos de clasificación previstos en</w:t>
      </w:r>
      <w:r w:rsidRPr="00FF05AC">
        <w:rPr>
          <w:rFonts w:ascii="Palatino Linotype" w:hAnsi="Palatino Linotype" w:cs="Arial"/>
          <w:i/>
          <w:sz w:val="22"/>
          <w:szCs w:val="22"/>
        </w:rPr>
        <w:t xml:space="preserve"> la Ley General, la Ley Federal y </w:t>
      </w:r>
      <w:r w:rsidRPr="00FF05AC">
        <w:rPr>
          <w:rFonts w:ascii="Palatino Linotype" w:hAnsi="Palatino Linotype" w:cs="Arial"/>
          <w:b/>
          <w:i/>
          <w:sz w:val="22"/>
          <w:szCs w:val="22"/>
          <w:u w:val="single"/>
        </w:rPr>
        <w:t>leyes estatales, corresponderá a los sujetos obligados, por lo que deberán fundar y motivar debidamente la clasificación de la información ante una solicitud de acceso</w:t>
      </w:r>
      <w:r w:rsidRPr="00FF05AC">
        <w:rPr>
          <w:rFonts w:ascii="Palatino Linotype" w:hAnsi="Palatino Linotype" w:cs="Arial"/>
          <w:i/>
          <w:sz w:val="22"/>
          <w:szCs w:val="22"/>
        </w:rPr>
        <w:t xml:space="preserve"> o al momento en que generen versiones públicas para dar cumplimiento a las obligaciones de transparencia, observando lo dispuesto en la Ley General y las demás disposiciones aplicables en la materia.</w:t>
      </w:r>
    </w:p>
    <w:p w14:paraId="16627503" w14:textId="77777777" w:rsidR="003B017D" w:rsidRPr="00FF05AC" w:rsidRDefault="003B017D" w:rsidP="003B017D">
      <w:pPr>
        <w:autoSpaceDE w:val="0"/>
        <w:autoSpaceDN w:val="0"/>
        <w:adjustRightInd w:val="0"/>
        <w:ind w:left="709" w:right="709"/>
        <w:jc w:val="both"/>
        <w:rPr>
          <w:rFonts w:ascii="Palatino Linotype" w:hAnsi="Palatino Linotype" w:cs="Arial"/>
          <w:i/>
          <w:sz w:val="22"/>
          <w:szCs w:val="22"/>
        </w:rPr>
      </w:pPr>
      <w:r w:rsidRPr="00FF05AC">
        <w:rPr>
          <w:rFonts w:ascii="Palatino Linotype" w:hAnsi="Palatino Linotype" w:cs="Arial"/>
          <w:b/>
          <w:i/>
          <w:sz w:val="22"/>
          <w:szCs w:val="22"/>
        </w:rPr>
        <w:t>Sexto.</w:t>
      </w:r>
      <w:r w:rsidRPr="00FF05AC">
        <w:rPr>
          <w:rFonts w:ascii="Palatino Linotype" w:hAnsi="Palatino Linotype" w:cs="Arial"/>
          <w:i/>
          <w:sz w:val="22"/>
          <w:szCs w:val="22"/>
        </w:rPr>
        <w:t xml:space="preserve"> </w:t>
      </w:r>
      <w:r w:rsidRPr="00FF05AC">
        <w:rPr>
          <w:rFonts w:ascii="Palatino Linotype" w:hAnsi="Palatino Linotype" w:cs="Arial"/>
          <w:b/>
          <w:i/>
          <w:sz w:val="22"/>
          <w:szCs w:val="22"/>
          <w:u w:val="single"/>
        </w:rPr>
        <w:t>Los sujetos obligados no podrán emitir acuerdos de carácter general</w:t>
      </w:r>
      <w:r w:rsidRPr="00FF05AC">
        <w:rPr>
          <w:rFonts w:ascii="Palatino Linotype" w:hAnsi="Palatino Linotype" w:cs="Arial"/>
          <w:i/>
          <w:sz w:val="22"/>
          <w:szCs w:val="22"/>
        </w:rPr>
        <w:t xml:space="preserve"> ni particular que clasifiquen </w:t>
      </w:r>
      <w:r w:rsidRPr="00FF05AC">
        <w:rPr>
          <w:rFonts w:ascii="Palatino Linotype" w:hAnsi="Palatino Linotype" w:cs="Arial"/>
          <w:bCs/>
          <w:i/>
          <w:noProof/>
          <w:sz w:val="22"/>
          <w:szCs w:val="22"/>
        </w:rPr>
        <w:t>documentos</w:t>
      </w:r>
      <w:r w:rsidRPr="00FF05AC">
        <w:rPr>
          <w:rFonts w:ascii="Palatino Linotype" w:hAnsi="Palatino Linotype" w:cs="Arial"/>
          <w:i/>
          <w:sz w:val="22"/>
          <w:szCs w:val="22"/>
        </w:rPr>
        <w:t xml:space="preserve"> o expedientes como reservados, ni clasificar documentos antes de que se genere la información o cuando éstos no obren en sus archivos.</w:t>
      </w:r>
    </w:p>
    <w:p w14:paraId="16627504" w14:textId="77777777" w:rsidR="003B017D" w:rsidRPr="00FF05AC" w:rsidRDefault="003B017D" w:rsidP="003B017D">
      <w:pPr>
        <w:ind w:left="709" w:right="709"/>
        <w:jc w:val="both"/>
        <w:rPr>
          <w:rFonts w:ascii="Palatino Linotype" w:hAnsi="Palatino Linotype" w:cs="Arial"/>
          <w:i/>
          <w:sz w:val="22"/>
          <w:szCs w:val="22"/>
        </w:rPr>
      </w:pPr>
      <w:r w:rsidRPr="00FF05AC">
        <w:rPr>
          <w:rFonts w:ascii="Palatino Linotype" w:hAnsi="Palatino Linotype" w:cs="Arial"/>
          <w:b/>
          <w:i/>
          <w:sz w:val="22"/>
          <w:szCs w:val="22"/>
          <w:u w:val="single"/>
        </w:rPr>
        <w:t>La clasificación de información se realizará conforme a un análisis caso por caso</w:t>
      </w:r>
      <w:r w:rsidRPr="00FF05AC">
        <w:rPr>
          <w:rFonts w:ascii="Palatino Linotype" w:hAnsi="Palatino Linotype" w:cs="Arial"/>
          <w:i/>
          <w:sz w:val="22"/>
          <w:szCs w:val="22"/>
        </w:rPr>
        <w:t xml:space="preserve">, mediante la aplicación </w:t>
      </w:r>
      <w:r w:rsidRPr="00FF05AC">
        <w:rPr>
          <w:rFonts w:ascii="Palatino Linotype" w:hAnsi="Palatino Linotype" w:cs="Arial"/>
          <w:bCs/>
          <w:i/>
          <w:noProof/>
          <w:sz w:val="22"/>
          <w:szCs w:val="22"/>
        </w:rPr>
        <w:t>de</w:t>
      </w:r>
      <w:r w:rsidRPr="00FF05AC">
        <w:rPr>
          <w:rFonts w:ascii="Palatino Linotype" w:hAnsi="Palatino Linotype" w:cs="Arial"/>
          <w:i/>
          <w:sz w:val="22"/>
          <w:szCs w:val="22"/>
        </w:rPr>
        <w:t xml:space="preserve"> la prueba de daño y de interés público.</w:t>
      </w:r>
    </w:p>
    <w:p w14:paraId="16627505" w14:textId="77777777" w:rsidR="003B017D" w:rsidRPr="00FF05AC" w:rsidRDefault="003B017D" w:rsidP="003B017D">
      <w:pPr>
        <w:autoSpaceDE w:val="0"/>
        <w:autoSpaceDN w:val="0"/>
        <w:adjustRightInd w:val="0"/>
        <w:ind w:left="709" w:right="709"/>
        <w:jc w:val="both"/>
        <w:rPr>
          <w:rFonts w:ascii="Palatino Linotype" w:hAnsi="Palatino Linotype" w:cs="Arial"/>
          <w:i/>
          <w:sz w:val="22"/>
          <w:szCs w:val="22"/>
        </w:rPr>
      </w:pPr>
      <w:r w:rsidRPr="00FF05AC">
        <w:rPr>
          <w:rFonts w:ascii="Palatino Linotype" w:hAnsi="Palatino Linotype" w:cs="Arial"/>
          <w:b/>
          <w:i/>
          <w:sz w:val="22"/>
          <w:szCs w:val="22"/>
        </w:rPr>
        <w:t>Séptimo.</w:t>
      </w:r>
      <w:r w:rsidRPr="00FF05AC">
        <w:rPr>
          <w:rFonts w:ascii="Palatino Linotype" w:hAnsi="Palatino Linotype" w:cs="Arial"/>
          <w:i/>
          <w:sz w:val="22"/>
          <w:szCs w:val="22"/>
        </w:rPr>
        <w:t xml:space="preserve"> </w:t>
      </w:r>
      <w:r w:rsidRPr="00FF05AC">
        <w:rPr>
          <w:rFonts w:ascii="Palatino Linotype" w:hAnsi="Palatino Linotype" w:cs="Arial"/>
          <w:b/>
          <w:i/>
          <w:sz w:val="22"/>
          <w:szCs w:val="22"/>
          <w:u w:val="single"/>
        </w:rPr>
        <w:t xml:space="preserve">La clasificación </w:t>
      </w:r>
      <w:r w:rsidRPr="00FF05AC">
        <w:rPr>
          <w:rFonts w:ascii="Palatino Linotype" w:hAnsi="Palatino Linotype" w:cs="Arial"/>
          <w:b/>
          <w:bCs/>
          <w:i/>
          <w:noProof/>
          <w:sz w:val="22"/>
          <w:szCs w:val="22"/>
          <w:u w:val="single"/>
        </w:rPr>
        <w:t>de</w:t>
      </w:r>
      <w:r w:rsidRPr="00FF05AC">
        <w:rPr>
          <w:rFonts w:ascii="Palatino Linotype" w:hAnsi="Palatino Linotype" w:cs="Arial"/>
          <w:b/>
          <w:i/>
          <w:sz w:val="22"/>
          <w:szCs w:val="22"/>
          <w:u w:val="single"/>
        </w:rPr>
        <w:t xml:space="preserve"> la información se llevará a cabo en el momento en que</w:t>
      </w:r>
      <w:r w:rsidRPr="00FF05AC">
        <w:rPr>
          <w:rFonts w:ascii="Palatino Linotype" w:hAnsi="Palatino Linotype" w:cs="Arial"/>
          <w:i/>
          <w:sz w:val="22"/>
          <w:szCs w:val="22"/>
        </w:rPr>
        <w:t>:</w:t>
      </w:r>
    </w:p>
    <w:p w14:paraId="16627506" w14:textId="77777777" w:rsidR="003B017D" w:rsidRPr="00FF05AC" w:rsidRDefault="003B017D" w:rsidP="003B017D">
      <w:pPr>
        <w:autoSpaceDE w:val="0"/>
        <w:autoSpaceDN w:val="0"/>
        <w:adjustRightInd w:val="0"/>
        <w:ind w:left="709" w:right="709"/>
        <w:jc w:val="both"/>
        <w:rPr>
          <w:rFonts w:ascii="Palatino Linotype" w:hAnsi="Palatino Linotype" w:cs="Arial"/>
          <w:i/>
          <w:sz w:val="22"/>
          <w:szCs w:val="22"/>
        </w:rPr>
      </w:pPr>
      <w:r w:rsidRPr="00FF05AC">
        <w:rPr>
          <w:rFonts w:ascii="Palatino Linotype" w:hAnsi="Palatino Linotype" w:cs="Arial"/>
          <w:b/>
          <w:i/>
          <w:sz w:val="22"/>
          <w:szCs w:val="22"/>
        </w:rPr>
        <w:t>I.</w:t>
      </w:r>
      <w:r w:rsidRPr="00FF05AC">
        <w:rPr>
          <w:rFonts w:ascii="Palatino Linotype" w:hAnsi="Palatino Linotype" w:cs="Arial"/>
          <w:i/>
          <w:sz w:val="22"/>
          <w:szCs w:val="22"/>
        </w:rPr>
        <w:t xml:space="preserve"> Se reciba una solicitud de acceso a la información;</w:t>
      </w:r>
    </w:p>
    <w:p w14:paraId="16627507" w14:textId="77777777" w:rsidR="003B017D" w:rsidRPr="00FF05AC" w:rsidRDefault="003B017D" w:rsidP="003B017D">
      <w:pPr>
        <w:autoSpaceDE w:val="0"/>
        <w:autoSpaceDN w:val="0"/>
        <w:adjustRightInd w:val="0"/>
        <w:ind w:left="709" w:right="709"/>
        <w:jc w:val="both"/>
        <w:rPr>
          <w:rFonts w:ascii="Palatino Linotype" w:hAnsi="Palatino Linotype" w:cs="Arial"/>
          <w:i/>
          <w:sz w:val="22"/>
          <w:szCs w:val="22"/>
        </w:rPr>
      </w:pPr>
      <w:r w:rsidRPr="00FF05AC">
        <w:rPr>
          <w:rFonts w:ascii="Palatino Linotype" w:hAnsi="Palatino Linotype" w:cs="Arial"/>
          <w:b/>
          <w:i/>
          <w:sz w:val="22"/>
          <w:szCs w:val="22"/>
        </w:rPr>
        <w:t>II.</w:t>
      </w:r>
      <w:r w:rsidRPr="00FF05AC">
        <w:rPr>
          <w:rFonts w:ascii="Palatino Linotype" w:hAnsi="Palatino Linotype" w:cs="Arial"/>
          <w:i/>
          <w:sz w:val="22"/>
          <w:szCs w:val="22"/>
        </w:rPr>
        <w:t xml:space="preserve"> </w:t>
      </w:r>
      <w:r w:rsidRPr="00FF05AC">
        <w:rPr>
          <w:rFonts w:ascii="Palatino Linotype" w:hAnsi="Palatino Linotype" w:cs="Arial"/>
          <w:b/>
          <w:i/>
          <w:sz w:val="22"/>
          <w:szCs w:val="22"/>
          <w:u w:val="single"/>
        </w:rPr>
        <w:t xml:space="preserve">Se determine </w:t>
      </w:r>
      <w:r w:rsidRPr="00FF05AC">
        <w:rPr>
          <w:rFonts w:ascii="Palatino Linotype" w:hAnsi="Palatino Linotype" w:cs="Arial"/>
          <w:b/>
          <w:bCs/>
          <w:i/>
          <w:noProof/>
          <w:sz w:val="22"/>
          <w:szCs w:val="22"/>
          <w:u w:val="single"/>
        </w:rPr>
        <w:t>mediante</w:t>
      </w:r>
      <w:r w:rsidRPr="00FF05AC">
        <w:rPr>
          <w:rFonts w:ascii="Palatino Linotype" w:hAnsi="Palatino Linotype" w:cs="Arial"/>
          <w:b/>
          <w:i/>
          <w:sz w:val="22"/>
          <w:szCs w:val="22"/>
          <w:u w:val="single"/>
        </w:rPr>
        <w:t xml:space="preserve"> resolución de autoridad competente</w:t>
      </w:r>
      <w:r w:rsidRPr="00FF05AC">
        <w:rPr>
          <w:rFonts w:ascii="Palatino Linotype" w:hAnsi="Palatino Linotype" w:cs="Arial"/>
          <w:i/>
          <w:sz w:val="22"/>
          <w:szCs w:val="22"/>
        </w:rPr>
        <w:t>, o</w:t>
      </w:r>
    </w:p>
    <w:p w14:paraId="16627508" w14:textId="77777777" w:rsidR="003B017D" w:rsidRPr="00FF05AC" w:rsidRDefault="003B017D" w:rsidP="003B017D">
      <w:pPr>
        <w:autoSpaceDE w:val="0"/>
        <w:autoSpaceDN w:val="0"/>
        <w:adjustRightInd w:val="0"/>
        <w:ind w:left="709" w:right="709"/>
        <w:jc w:val="both"/>
        <w:rPr>
          <w:rFonts w:ascii="Palatino Linotype" w:hAnsi="Palatino Linotype" w:cs="Arial"/>
          <w:i/>
          <w:sz w:val="22"/>
          <w:szCs w:val="22"/>
        </w:rPr>
      </w:pPr>
      <w:r w:rsidRPr="00FF05AC">
        <w:rPr>
          <w:rFonts w:ascii="Palatino Linotype" w:hAnsi="Palatino Linotype" w:cs="Arial"/>
          <w:b/>
          <w:i/>
          <w:sz w:val="22"/>
          <w:szCs w:val="22"/>
        </w:rPr>
        <w:t>III.</w:t>
      </w:r>
      <w:r w:rsidRPr="00FF05AC">
        <w:rPr>
          <w:rFonts w:ascii="Palatino Linotype" w:hAnsi="Palatino Linotype" w:cs="Arial"/>
          <w:i/>
          <w:sz w:val="22"/>
          <w:szCs w:val="22"/>
        </w:rPr>
        <w:t xml:space="preserve"> Se generen </w:t>
      </w:r>
      <w:r w:rsidRPr="00FF05AC">
        <w:rPr>
          <w:rFonts w:ascii="Palatino Linotype" w:hAnsi="Palatino Linotype" w:cs="Arial"/>
          <w:bCs/>
          <w:i/>
          <w:noProof/>
          <w:sz w:val="22"/>
          <w:szCs w:val="22"/>
        </w:rPr>
        <w:t>versiones</w:t>
      </w:r>
      <w:r w:rsidRPr="00FF05AC">
        <w:rPr>
          <w:rFonts w:ascii="Palatino Linotype" w:hAnsi="Palatino Linotype" w:cs="Arial"/>
          <w:i/>
          <w:sz w:val="22"/>
          <w:szCs w:val="22"/>
        </w:rPr>
        <w:t xml:space="preserve"> públicas para dar cumplimiento a las obligaciones de transparencia previstas en la Ley General, la Ley Federal y las correspondientes de las entidades federativas.</w:t>
      </w:r>
    </w:p>
    <w:p w14:paraId="16627509" w14:textId="77777777" w:rsidR="003B017D" w:rsidRPr="00FF05AC" w:rsidRDefault="003B017D" w:rsidP="003B017D">
      <w:pPr>
        <w:autoSpaceDE w:val="0"/>
        <w:autoSpaceDN w:val="0"/>
        <w:adjustRightInd w:val="0"/>
        <w:ind w:left="709" w:right="709"/>
        <w:jc w:val="both"/>
        <w:rPr>
          <w:rFonts w:ascii="Palatino Linotype" w:hAnsi="Palatino Linotype" w:cs="Arial"/>
          <w:i/>
          <w:sz w:val="22"/>
          <w:szCs w:val="22"/>
        </w:rPr>
      </w:pPr>
      <w:r w:rsidRPr="00FF05AC">
        <w:rPr>
          <w:rFonts w:ascii="Palatino Linotype" w:hAnsi="Palatino Linotype" w:cs="Arial"/>
          <w:i/>
          <w:sz w:val="22"/>
          <w:szCs w:val="22"/>
        </w:rPr>
        <w:t xml:space="preserve">Los titulares de las áreas deberán revisar la clasificación al momento de la recepción de una solicitud de </w:t>
      </w:r>
      <w:r w:rsidRPr="00FF05AC">
        <w:rPr>
          <w:rFonts w:ascii="Palatino Linotype" w:hAnsi="Palatino Linotype" w:cs="Arial"/>
          <w:bCs/>
          <w:i/>
          <w:noProof/>
          <w:sz w:val="22"/>
          <w:szCs w:val="22"/>
        </w:rPr>
        <w:t>acceso</w:t>
      </w:r>
      <w:r w:rsidRPr="00FF05AC">
        <w:rPr>
          <w:rFonts w:ascii="Palatino Linotype" w:hAnsi="Palatino Linotype" w:cs="Arial"/>
          <w:i/>
          <w:sz w:val="22"/>
          <w:szCs w:val="22"/>
        </w:rPr>
        <w:t xml:space="preserve"> a la información, para verificar si encuadra en una causal de reserva o de confidencialidad.</w:t>
      </w:r>
    </w:p>
    <w:p w14:paraId="1662750A" w14:textId="77777777" w:rsidR="003B017D" w:rsidRPr="00FF05AC" w:rsidRDefault="003B017D" w:rsidP="003B017D">
      <w:pPr>
        <w:autoSpaceDE w:val="0"/>
        <w:autoSpaceDN w:val="0"/>
        <w:adjustRightInd w:val="0"/>
        <w:ind w:left="709" w:right="709"/>
        <w:jc w:val="both"/>
        <w:rPr>
          <w:rFonts w:ascii="Palatino Linotype" w:hAnsi="Palatino Linotype" w:cs="Arial"/>
          <w:i/>
          <w:sz w:val="22"/>
          <w:szCs w:val="22"/>
        </w:rPr>
      </w:pPr>
      <w:r w:rsidRPr="00FF05AC">
        <w:rPr>
          <w:rFonts w:ascii="Palatino Linotype" w:hAnsi="Palatino Linotype" w:cs="Arial"/>
          <w:b/>
          <w:i/>
          <w:sz w:val="22"/>
          <w:szCs w:val="22"/>
        </w:rPr>
        <w:t>Octavo.</w:t>
      </w:r>
      <w:r w:rsidRPr="00FF05AC">
        <w:rPr>
          <w:rFonts w:ascii="Palatino Linotype" w:hAnsi="Palatino Linotype" w:cs="Arial"/>
          <w:i/>
          <w:sz w:val="22"/>
          <w:szCs w:val="22"/>
        </w:rPr>
        <w:t xml:space="preserve"> </w:t>
      </w:r>
      <w:r w:rsidRPr="00FF05AC">
        <w:rPr>
          <w:rFonts w:ascii="Palatino Linotype" w:hAnsi="Palatino Linotype" w:cs="Arial"/>
          <w:b/>
          <w:i/>
          <w:sz w:val="22"/>
          <w:szCs w:val="22"/>
          <w:u w:val="single"/>
        </w:rPr>
        <w:t xml:space="preserve">Para fundar la clasificación de la información se debe señalar el artículo, fracción, inciso, párrafo o numeral de la ley o tratado internacional suscrito por el Estado mexicano que </w:t>
      </w:r>
      <w:r w:rsidRPr="00FF05AC">
        <w:rPr>
          <w:rFonts w:ascii="Palatino Linotype" w:hAnsi="Palatino Linotype" w:cs="Arial"/>
          <w:b/>
          <w:bCs/>
          <w:i/>
          <w:noProof/>
          <w:sz w:val="22"/>
          <w:szCs w:val="22"/>
          <w:u w:val="single"/>
        </w:rPr>
        <w:t>expresamente</w:t>
      </w:r>
      <w:r w:rsidRPr="00FF05AC">
        <w:rPr>
          <w:rFonts w:ascii="Palatino Linotype" w:hAnsi="Palatino Linotype" w:cs="Arial"/>
          <w:b/>
          <w:i/>
          <w:sz w:val="22"/>
          <w:szCs w:val="22"/>
          <w:u w:val="single"/>
        </w:rPr>
        <w:t xml:space="preserve"> le otorga el carácter de</w:t>
      </w:r>
      <w:r w:rsidRPr="00FF05AC">
        <w:rPr>
          <w:rFonts w:ascii="Palatino Linotype" w:hAnsi="Palatino Linotype" w:cs="Arial"/>
          <w:i/>
          <w:sz w:val="22"/>
          <w:szCs w:val="22"/>
        </w:rPr>
        <w:t xml:space="preserve"> reservada o </w:t>
      </w:r>
      <w:r w:rsidRPr="00FF05AC">
        <w:rPr>
          <w:rFonts w:ascii="Palatino Linotype" w:hAnsi="Palatino Linotype" w:cs="Arial"/>
          <w:b/>
          <w:i/>
          <w:sz w:val="22"/>
          <w:szCs w:val="22"/>
          <w:u w:val="single"/>
        </w:rPr>
        <w:t>confidencial</w:t>
      </w:r>
      <w:r w:rsidRPr="00FF05AC">
        <w:rPr>
          <w:rFonts w:ascii="Palatino Linotype" w:hAnsi="Palatino Linotype" w:cs="Arial"/>
          <w:i/>
          <w:sz w:val="22"/>
          <w:szCs w:val="22"/>
        </w:rPr>
        <w:t>.</w:t>
      </w:r>
    </w:p>
    <w:p w14:paraId="1662750B" w14:textId="77777777" w:rsidR="003B017D" w:rsidRPr="00FF05AC" w:rsidRDefault="003B017D" w:rsidP="003B017D">
      <w:pPr>
        <w:autoSpaceDE w:val="0"/>
        <w:autoSpaceDN w:val="0"/>
        <w:adjustRightInd w:val="0"/>
        <w:ind w:left="709" w:right="709"/>
        <w:jc w:val="both"/>
        <w:rPr>
          <w:rFonts w:ascii="Palatino Linotype" w:hAnsi="Palatino Linotype" w:cs="Arial"/>
          <w:bCs/>
          <w:i/>
          <w:noProof/>
          <w:sz w:val="22"/>
          <w:szCs w:val="22"/>
        </w:rPr>
      </w:pPr>
      <w:r w:rsidRPr="00FF05AC">
        <w:rPr>
          <w:rFonts w:ascii="Palatino Linotype" w:hAnsi="Palatino Linotype" w:cs="Arial"/>
          <w:b/>
          <w:i/>
          <w:sz w:val="22"/>
          <w:szCs w:val="22"/>
          <w:u w:val="single"/>
        </w:rPr>
        <w:t xml:space="preserve">Para </w:t>
      </w:r>
      <w:r w:rsidRPr="00FF05AC">
        <w:rPr>
          <w:rFonts w:ascii="Palatino Linotype" w:hAnsi="Palatino Linotype" w:cs="Arial"/>
          <w:b/>
          <w:bCs/>
          <w:i/>
          <w:noProof/>
          <w:sz w:val="22"/>
          <w:szCs w:val="22"/>
          <w:u w:val="single"/>
        </w:rPr>
        <w:t xml:space="preserve">motivar la clasificación se deberán señalar las razones o circunstancias especiales que lo </w:t>
      </w:r>
      <w:r w:rsidRPr="00FF05AC">
        <w:rPr>
          <w:rFonts w:ascii="Palatino Linotype" w:hAnsi="Palatino Linotype" w:cs="Arial"/>
          <w:b/>
          <w:i/>
          <w:sz w:val="22"/>
          <w:szCs w:val="22"/>
          <w:u w:val="single"/>
        </w:rPr>
        <w:t>llevaron</w:t>
      </w:r>
      <w:r w:rsidRPr="00FF05AC">
        <w:rPr>
          <w:rFonts w:ascii="Palatino Linotype" w:hAnsi="Palatino Linotype" w:cs="Arial"/>
          <w:b/>
          <w:bCs/>
          <w:i/>
          <w:noProof/>
          <w:sz w:val="22"/>
          <w:szCs w:val="22"/>
          <w:u w:val="single"/>
        </w:rPr>
        <w:t xml:space="preserve"> a concluir que el caso particular se ajusta al supuesto previsto por la norma legal invocada </w:t>
      </w:r>
      <w:r w:rsidRPr="00FF05AC">
        <w:rPr>
          <w:rFonts w:ascii="Palatino Linotype" w:hAnsi="Palatino Linotype" w:cs="Arial"/>
          <w:bCs/>
          <w:i/>
          <w:noProof/>
          <w:sz w:val="22"/>
          <w:szCs w:val="22"/>
        </w:rPr>
        <w:t>como fundamento.</w:t>
      </w:r>
    </w:p>
    <w:p w14:paraId="1662750C" w14:textId="77777777" w:rsidR="003B017D" w:rsidRPr="00FF05AC" w:rsidRDefault="003B017D" w:rsidP="003B017D">
      <w:pPr>
        <w:autoSpaceDE w:val="0"/>
        <w:autoSpaceDN w:val="0"/>
        <w:adjustRightInd w:val="0"/>
        <w:ind w:left="709" w:right="709"/>
        <w:jc w:val="both"/>
        <w:rPr>
          <w:rFonts w:ascii="Palatino Linotype" w:hAnsi="Palatino Linotype" w:cs="Arial"/>
          <w:bCs/>
          <w:i/>
          <w:noProof/>
          <w:sz w:val="22"/>
          <w:szCs w:val="22"/>
        </w:rPr>
      </w:pPr>
      <w:r w:rsidRPr="00FF05AC">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FF05AC">
        <w:rPr>
          <w:rFonts w:ascii="Palatino Linotype" w:hAnsi="Palatino Linotype" w:cs="Arial"/>
          <w:i/>
          <w:sz w:val="22"/>
          <w:szCs w:val="22"/>
        </w:rPr>
        <w:t>de</w:t>
      </w:r>
      <w:r w:rsidRPr="00FF05AC">
        <w:rPr>
          <w:rFonts w:ascii="Palatino Linotype" w:hAnsi="Palatino Linotype" w:cs="Arial"/>
          <w:bCs/>
          <w:i/>
          <w:noProof/>
          <w:sz w:val="22"/>
          <w:szCs w:val="22"/>
        </w:rPr>
        <w:t xml:space="preserve"> </w:t>
      </w:r>
      <w:r w:rsidRPr="00FF05AC">
        <w:rPr>
          <w:rFonts w:ascii="Palatino Linotype" w:hAnsi="Palatino Linotype" w:cs="Arial"/>
          <w:i/>
          <w:sz w:val="22"/>
          <w:szCs w:val="22"/>
        </w:rPr>
        <w:t>reserva</w:t>
      </w:r>
      <w:r w:rsidRPr="00FF05AC">
        <w:rPr>
          <w:rFonts w:ascii="Palatino Linotype" w:hAnsi="Palatino Linotype" w:cs="Arial"/>
          <w:bCs/>
          <w:i/>
          <w:noProof/>
          <w:sz w:val="22"/>
          <w:szCs w:val="22"/>
        </w:rPr>
        <w:t>.</w:t>
      </w:r>
    </w:p>
    <w:p w14:paraId="1662750D" w14:textId="77777777" w:rsidR="003B017D" w:rsidRPr="00FF05AC" w:rsidRDefault="003B017D" w:rsidP="003B017D">
      <w:pPr>
        <w:autoSpaceDE w:val="0"/>
        <w:autoSpaceDN w:val="0"/>
        <w:adjustRightInd w:val="0"/>
        <w:ind w:left="709" w:right="709"/>
        <w:jc w:val="both"/>
        <w:rPr>
          <w:rFonts w:ascii="Palatino Linotype" w:hAnsi="Palatino Linotype" w:cs="Arial"/>
          <w:bCs/>
          <w:i/>
          <w:noProof/>
          <w:sz w:val="22"/>
          <w:szCs w:val="22"/>
        </w:rPr>
      </w:pPr>
      <w:r w:rsidRPr="00FF05AC">
        <w:rPr>
          <w:rFonts w:ascii="Palatino Linotype" w:hAnsi="Palatino Linotype" w:cs="Arial"/>
          <w:i/>
          <w:sz w:val="22"/>
          <w:szCs w:val="22"/>
        </w:rPr>
        <w:t>Tratándose</w:t>
      </w:r>
      <w:r w:rsidRPr="00FF05AC">
        <w:rPr>
          <w:rFonts w:ascii="Palatino Linotype" w:hAnsi="Palatino Linotype" w:cs="Arial"/>
          <w:bCs/>
          <w:i/>
          <w:noProof/>
          <w:sz w:val="22"/>
          <w:szCs w:val="22"/>
        </w:rPr>
        <w:t xml:space="preserve"> de información clasificada como confidencial respecto de la cual se haya </w:t>
      </w:r>
      <w:r w:rsidRPr="00FF05AC">
        <w:rPr>
          <w:rFonts w:ascii="Palatino Linotype" w:hAnsi="Palatino Linotype" w:cs="Arial"/>
          <w:i/>
          <w:sz w:val="22"/>
          <w:szCs w:val="22"/>
        </w:rPr>
        <w:t>determinado</w:t>
      </w:r>
      <w:r w:rsidRPr="00FF05AC">
        <w:rPr>
          <w:rFonts w:ascii="Palatino Linotype" w:hAnsi="Palatino Linotype" w:cs="Arial"/>
          <w:bCs/>
          <w:i/>
          <w:noProof/>
          <w:sz w:val="22"/>
          <w:szCs w:val="22"/>
        </w:rPr>
        <w:t xml:space="preserve"> </w:t>
      </w:r>
      <w:r w:rsidRPr="00FF05AC">
        <w:rPr>
          <w:rFonts w:ascii="Palatino Linotype" w:hAnsi="Palatino Linotype" w:cs="Arial"/>
          <w:i/>
          <w:sz w:val="22"/>
          <w:szCs w:val="22"/>
        </w:rPr>
        <w:t>su</w:t>
      </w:r>
      <w:r w:rsidRPr="00FF05AC">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1662750E" w14:textId="77777777" w:rsidR="003B017D" w:rsidRPr="00FF05AC" w:rsidRDefault="003B017D" w:rsidP="003B017D">
      <w:pPr>
        <w:autoSpaceDE w:val="0"/>
        <w:autoSpaceDN w:val="0"/>
        <w:adjustRightInd w:val="0"/>
        <w:ind w:left="709" w:right="709"/>
        <w:jc w:val="both"/>
        <w:rPr>
          <w:rFonts w:ascii="Palatino Linotype" w:hAnsi="Palatino Linotype" w:cs="Arial"/>
          <w:i/>
          <w:sz w:val="22"/>
          <w:szCs w:val="22"/>
        </w:rPr>
      </w:pPr>
      <w:r w:rsidRPr="00FF05AC">
        <w:rPr>
          <w:rFonts w:ascii="Palatino Linotype" w:hAnsi="Palatino Linotype" w:cs="Arial"/>
          <w:bCs/>
          <w:i/>
          <w:noProof/>
          <w:sz w:val="22"/>
          <w:szCs w:val="22"/>
        </w:rPr>
        <w:t>Los documentos contenidos</w:t>
      </w:r>
      <w:r w:rsidRPr="00FF05AC">
        <w:rPr>
          <w:rFonts w:ascii="Palatino Linotype" w:hAnsi="Palatino Linotype" w:cs="Arial"/>
          <w:i/>
          <w:sz w:val="22"/>
          <w:szCs w:val="22"/>
        </w:rPr>
        <w:t xml:space="preserve"> en los archivos históricos y los identificados como históricos confidenciales no serán susceptibles de clasificación como reservados.</w:t>
      </w:r>
    </w:p>
    <w:p w14:paraId="1662750F" w14:textId="77777777" w:rsidR="003B017D" w:rsidRPr="00FF05AC" w:rsidRDefault="003B017D" w:rsidP="003B017D">
      <w:pPr>
        <w:autoSpaceDE w:val="0"/>
        <w:autoSpaceDN w:val="0"/>
        <w:adjustRightInd w:val="0"/>
        <w:ind w:left="709" w:right="709"/>
        <w:jc w:val="both"/>
        <w:rPr>
          <w:rFonts w:ascii="Palatino Linotype" w:hAnsi="Palatino Linotype" w:cs="Arial"/>
          <w:i/>
          <w:sz w:val="22"/>
          <w:szCs w:val="22"/>
        </w:rPr>
      </w:pPr>
      <w:r w:rsidRPr="00FF05AC">
        <w:rPr>
          <w:rFonts w:ascii="Palatino Linotype" w:hAnsi="Palatino Linotype" w:cs="Arial"/>
          <w:b/>
          <w:i/>
          <w:sz w:val="22"/>
          <w:szCs w:val="22"/>
        </w:rPr>
        <w:t>Décimo.</w:t>
      </w:r>
      <w:r w:rsidRPr="00FF05AC">
        <w:rPr>
          <w:rFonts w:ascii="Palatino Linotype" w:hAnsi="Palatino Linotype" w:cs="Arial"/>
          <w:i/>
          <w:sz w:val="22"/>
          <w:szCs w:val="22"/>
        </w:rPr>
        <w:t xml:space="preserve"> </w:t>
      </w:r>
      <w:r w:rsidRPr="00FF05AC">
        <w:rPr>
          <w:rFonts w:ascii="Palatino Linotype" w:hAnsi="Palatino Linotype" w:cs="Arial"/>
          <w:b/>
          <w:i/>
          <w:sz w:val="22"/>
          <w:szCs w:val="22"/>
          <w:u w:val="single"/>
        </w:rPr>
        <w:t>Los titulares de las áreas, deberán tener conocimiento y llevar un registro del personal que, por la naturaleza de sus atribuciones, tenga acceso a los documentos clasificados</w:t>
      </w:r>
      <w:r w:rsidRPr="00FF05AC">
        <w:rPr>
          <w:rFonts w:ascii="Palatino Linotype" w:hAnsi="Palatino Linotype" w:cs="Arial"/>
          <w:i/>
          <w:sz w:val="22"/>
          <w:szCs w:val="22"/>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16627510" w14:textId="77777777" w:rsidR="003B017D" w:rsidRPr="00FF05AC" w:rsidRDefault="003B017D" w:rsidP="003B017D">
      <w:pPr>
        <w:autoSpaceDE w:val="0"/>
        <w:autoSpaceDN w:val="0"/>
        <w:adjustRightInd w:val="0"/>
        <w:ind w:left="709" w:right="709"/>
        <w:jc w:val="both"/>
        <w:rPr>
          <w:rFonts w:ascii="Palatino Linotype" w:hAnsi="Palatino Linotype" w:cs="Arial"/>
          <w:i/>
          <w:sz w:val="22"/>
          <w:szCs w:val="22"/>
        </w:rPr>
      </w:pPr>
      <w:r w:rsidRPr="00FF05AC">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16627511" w14:textId="77777777" w:rsidR="003B017D" w:rsidRPr="00FF05AC" w:rsidRDefault="003B017D" w:rsidP="003B017D">
      <w:pPr>
        <w:autoSpaceDE w:val="0"/>
        <w:autoSpaceDN w:val="0"/>
        <w:adjustRightInd w:val="0"/>
        <w:ind w:left="709" w:right="709"/>
        <w:jc w:val="both"/>
        <w:rPr>
          <w:rFonts w:ascii="Palatino Linotype" w:hAnsi="Palatino Linotype" w:cs="Arial"/>
          <w:i/>
          <w:sz w:val="22"/>
          <w:szCs w:val="22"/>
        </w:rPr>
      </w:pPr>
      <w:r w:rsidRPr="00FF05AC">
        <w:rPr>
          <w:rFonts w:ascii="Palatino Linotype" w:hAnsi="Palatino Linotype" w:cs="Arial"/>
          <w:b/>
          <w:i/>
          <w:sz w:val="22"/>
          <w:szCs w:val="22"/>
        </w:rPr>
        <w:t>Décimo primero.</w:t>
      </w:r>
      <w:r w:rsidRPr="00FF05AC">
        <w:rPr>
          <w:rFonts w:ascii="Palatino Linotype" w:hAnsi="Palatino Linotype" w:cs="Arial"/>
          <w:i/>
          <w:sz w:val="22"/>
          <w:szCs w:val="22"/>
        </w:rPr>
        <w:t xml:space="preserve"> </w:t>
      </w:r>
      <w:r w:rsidRPr="00FF05AC">
        <w:rPr>
          <w:rFonts w:ascii="Palatino Linotype" w:hAnsi="Palatino Linotype" w:cs="Arial"/>
          <w:b/>
          <w:i/>
          <w:sz w:val="22"/>
          <w:szCs w:val="22"/>
          <w:u w:val="single"/>
        </w:rPr>
        <w:t>En el intercambio de información entre sujetos obligados para el ejercicio de sus atribuciones, los documentos que se encuentren clasificados deberán llevar la leyenda correspondiente</w:t>
      </w:r>
      <w:r w:rsidRPr="00FF05AC">
        <w:rPr>
          <w:rFonts w:ascii="Palatino Linotype" w:hAnsi="Palatino Linotype" w:cs="Arial"/>
          <w:i/>
          <w:sz w:val="22"/>
          <w:szCs w:val="22"/>
        </w:rPr>
        <w:t xml:space="preserve"> de conformidad con lo dispuesto en el Capítulo VIII de los presentes lineamientos.</w:t>
      </w:r>
    </w:p>
    <w:p w14:paraId="16627512" w14:textId="77777777" w:rsidR="003B017D" w:rsidRPr="00FF05AC" w:rsidRDefault="003B017D" w:rsidP="003B017D">
      <w:pPr>
        <w:autoSpaceDE w:val="0"/>
        <w:autoSpaceDN w:val="0"/>
        <w:adjustRightInd w:val="0"/>
        <w:ind w:left="709" w:right="709"/>
        <w:jc w:val="both"/>
        <w:rPr>
          <w:rFonts w:ascii="Palatino Linotype" w:hAnsi="Palatino Linotype" w:cs="Arial"/>
          <w:i/>
          <w:sz w:val="22"/>
          <w:szCs w:val="22"/>
        </w:rPr>
      </w:pPr>
      <w:r w:rsidRPr="00FF05AC">
        <w:rPr>
          <w:rFonts w:ascii="Palatino Linotype" w:hAnsi="Palatino Linotype" w:cs="Arial"/>
          <w:i/>
          <w:sz w:val="22"/>
          <w:szCs w:val="22"/>
        </w:rPr>
        <w:t>[…]</w:t>
      </w:r>
    </w:p>
    <w:p w14:paraId="16627513" w14:textId="77777777" w:rsidR="003B017D" w:rsidRPr="00FF05AC" w:rsidRDefault="003B017D" w:rsidP="003B017D">
      <w:pPr>
        <w:ind w:left="709" w:right="709"/>
        <w:jc w:val="center"/>
        <w:rPr>
          <w:rFonts w:ascii="Palatino Linotype" w:hAnsi="Palatino Linotype" w:cs="Arial"/>
          <w:b/>
          <w:i/>
          <w:sz w:val="22"/>
          <w:szCs w:val="22"/>
        </w:rPr>
      </w:pPr>
      <w:r w:rsidRPr="00FF05AC">
        <w:rPr>
          <w:rFonts w:ascii="Palatino Linotype" w:hAnsi="Palatino Linotype" w:cs="Arial"/>
          <w:b/>
          <w:i/>
          <w:sz w:val="22"/>
          <w:szCs w:val="22"/>
        </w:rPr>
        <w:t>CAPÍTULO VIII</w:t>
      </w:r>
    </w:p>
    <w:p w14:paraId="16627514" w14:textId="77777777" w:rsidR="003B017D" w:rsidRPr="00FF05AC" w:rsidRDefault="003B017D" w:rsidP="003B017D">
      <w:pPr>
        <w:ind w:left="709" w:right="709"/>
        <w:jc w:val="center"/>
        <w:rPr>
          <w:rFonts w:ascii="Palatino Linotype" w:hAnsi="Palatino Linotype" w:cs="Arial"/>
          <w:b/>
          <w:i/>
          <w:sz w:val="22"/>
          <w:szCs w:val="22"/>
        </w:rPr>
      </w:pPr>
      <w:r w:rsidRPr="00FF05AC">
        <w:rPr>
          <w:rFonts w:ascii="Palatino Linotype" w:hAnsi="Palatino Linotype" w:cs="Arial"/>
          <w:b/>
          <w:i/>
          <w:sz w:val="22"/>
          <w:szCs w:val="22"/>
        </w:rPr>
        <w:t>DE LA LEYENDA DE CLASIFICACIÓN</w:t>
      </w:r>
    </w:p>
    <w:p w14:paraId="16627515" w14:textId="77777777" w:rsidR="003B017D" w:rsidRPr="00FF05AC" w:rsidRDefault="003B017D" w:rsidP="003B017D">
      <w:pPr>
        <w:ind w:left="709" w:right="709"/>
        <w:jc w:val="both"/>
        <w:rPr>
          <w:rFonts w:ascii="Palatino Linotype" w:hAnsi="Palatino Linotype" w:cs="Arial"/>
          <w:i/>
          <w:sz w:val="22"/>
          <w:szCs w:val="22"/>
        </w:rPr>
      </w:pPr>
      <w:r w:rsidRPr="00FF05AC">
        <w:rPr>
          <w:rFonts w:ascii="Palatino Linotype" w:hAnsi="Palatino Linotype" w:cs="Arial"/>
          <w:b/>
          <w:i/>
          <w:sz w:val="22"/>
          <w:szCs w:val="22"/>
        </w:rPr>
        <w:t xml:space="preserve">Quincuagésimo. </w:t>
      </w:r>
      <w:r w:rsidRPr="00FF05AC">
        <w:rPr>
          <w:rFonts w:ascii="Palatino Linotype" w:hAnsi="Palatino Linotype" w:cs="Arial"/>
          <w:b/>
          <w:i/>
          <w:sz w:val="22"/>
          <w:szCs w:val="22"/>
          <w:u w:val="single"/>
        </w:rPr>
        <w:t>Los titulares de las áreas de los sujetos obligados podrán utilizar los formatos contenidos en el presente Capítulo como modelo</w:t>
      </w:r>
      <w:r w:rsidRPr="00FF05AC">
        <w:rPr>
          <w:rFonts w:ascii="Palatino Linotype" w:hAnsi="Palatino Linotype" w:cs="Arial"/>
          <w:i/>
          <w:sz w:val="22"/>
          <w:szCs w:val="22"/>
        </w:rPr>
        <w:t xml:space="preserve"> para señalar la clasificación de documentos o expedientes, sin perjuicio de que establezcan los propios.</w:t>
      </w:r>
    </w:p>
    <w:p w14:paraId="16627516" w14:textId="77777777" w:rsidR="003B017D" w:rsidRPr="00FF05AC" w:rsidRDefault="003B017D" w:rsidP="003B017D">
      <w:pPr>
        <w:ind w:left="709" w:right="709"/>
        <w:jc w:val="both"/>
        <w:rPr>
          <w:rFonts w:ascii="Palatino Linotype" w:hAnsi="Palatino Linotype" w:cs="Arial"/>
          <w:i/>
          <w:sz w:val="22"/>
          <w:szCs w:val="22"/>
        </w:rPr>
      </w:pPr>
      <w:r w:rsidRPr="00FF05AC">
        <w:rPr>
          <w:rFonts w:ascii="Palatino Linotype" w:hAnsi="Palatino Linotype" w:cs="Arial"/>
          <w:i/>
          <w:sz w:val="22"/>
          <w:szCs w:val="22"/>
        </w:rPr>
        <w:t>[…]</w:t>
      </w:r>
    </w:p>
    <w:p w14:paraId="16627517" w14:textId="77777777" w:rsidR="003B017D" w:rsidRPr="00FF05AC" w:rsidRDefault="003B017D" w:rsidP="003B017D">
      <w:pPr>
        <w:ind w:left="709" w:right="709"/>
        <w:jc w:val="both"/>
        <w:rPr>
          <w:rFonts w:ascii="Palatino Linotype" w:hAnsi="Palatino Linotype" w:cs="Arial"/>
          <w:i/>
          <w:sz w:val="22"/>
          <w:szCs w:val="22"/>
        </w:rPr>
      </w:pPr>
      <w:r w:rsidRPr="00FF05AC">
        <w:rPr>
          <w:rFonts w:ascii="Palatino Linotype" w:hAnsi="Palatino Linotype" w:cs="Arial"/>
          <w:b/>
          <w:i/>
          <w:sz w:val="22"/>
          <w:szCs w:val="22"/>
        </w:rPr>
        <w:t xml:space="preserve">Quincuagésimo tercero. </w:t>
      </w:r>
      <w:r w:rsidRPr="00FF05AC">
        <w:rPr>
          <w:rFonts w:ascii="Palatino Linotype" w:hAnsi="Palatino Linotype" w:cs="Arial"/>
          <w:b/>
          <w:i/>
          <w:sz w:val="22"/>
          <w:szCs w:val="22"/>
          <w:u w:val="single"/>
        </w:rPr>
        <w:t>El formato para señalar la clasificación parcial de un documento</w:t>
      </w:r>
      <w:r w:rsidRPr="00FF05AC">
        <w:rPr>
          <w:rFonts w:ascii="Palatino Linotype" w:hAnsi="Palatino Linotype" w:cs="Arial"/>
          <w:i/>
          <w:sz w:val="22"/>
          <w:szCs w:val="22"/>
        </w:rPr>
        <w:t>, es el siguiente:</w:t>
      </w:r>
    </w:p>
    <w:p w14:paraId="16627518" w14:textId="77777777" w:rsidR="003B017D" w:rsidRPr="00FF05AC" w:rsidRDefault="003B017D" w:rsidP="003B017D">
      <w:pPr>
        <w:ind w:left="709" w:right="709"/>
        <w:jc w:val="both"/>
        <w:rPr>
          <w:rFonts w:ascii="Palatino Linotype" w:hAnsi="Palatino Linotype" w:cs="Arial"/>
          <w:i/>
          <w:sz w:val="22"/>
          <w:szCs w:val="22"/>
        </w:rPr>
      </w:pPr>
    </w:p>
    <w:p w14:paraId="16627519" w14:textId="77777777" w:rsidR="003B017D" w:rsidRPr="00FF05AC" w:rsidRDefault="003B017D" w:rsidP="003B017D">
      <w:pPr>
        <w:ind w:left="709" w:right="709"/>
        <w:jc w:val="both"/>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990"/>
        <w:gridCol w:w="4531"/>
      </w:tblGrid>
      <w:tr w:rsidR="003B017D" w:rsidRPr="00FF05AC" w14:paraId="1662751D" w14:textId="77777777" w:rsidTr="00D2182E">
        <w:trPr>
          <w:jc w:val="center"/>
        </w:trPr>
        <w:tc>
          <w:tcPr>
            <w:tcW w:w="1129" w:type="dxa"/>
          </w:tcPr>
          <w:p w14:paraId="1662751A" w14:textId="77777777" w:rsidR="003B017D" w:rsidRPr="00FF05AC" w:rsidRDefault="003B017D" w:rsidP="00D2182E">
            <w:pPr>
              <w:jc w:val="both"/>
              <w:rPr>
                <w:rFonts w:ascii="Palatino Linotype" w:hAnsi="Palatino Linotype" w:cs="Arial"/>
                <w:i/>
              </w:rPr>
            </w:pPr>
          </w:p>
        </w:tc>
        <w:tc>
          <w:tcPr>
            <w:tcW w:w="1990" w:type="dxa"/>
          </w:tcPr>
          <w:p w14:paraId="1662751B" w14:textId="77777777" w:rsidR="003B017D" w:rsidRPr="00FF05AC" w:rsidRDefault="003B017D" w:rsidP="00D2182E">
            <w:pPr>
              <w:jc w:val="center"/>
              <w:rPr>
                <w:rFonts w:ascii="Palatino Linotype" w:hAnsi="Palatino Linotype"/>
                <w:b/>
                <w:i/>
              </w:rPr>
            </w:pPr>
            <w:r w:rsidRPr="00FF05AC">
              <w:rPr>
                <w:rFonts w:ascii="Palatino Linotype" w:hAnsi="Palatino Linotype"/>
                <w:b/>
                <w:i/>
              </w:rPr>
              <w:t>Concepto</w:t>
            </w:r>
          </w:p>
        </w:tc>
        <w:tc>
          <w:tcPr>
            <w:tcW w:w="4531" w:type="dxa"/>
          </w:tcPr>
          <w:p w14:paraId="1662751C" w14:textId="77777777" w:rsidR="003B017D" w:rsidRPr="00FF05AC" w:rsidRDefault="003B017D" w:rsidP="00D2182E">
            <w:pPr>
              <w:jc w:val="center"/>
              <w:rPr>
                <w:rFonts w:ascii="Palatino Linotype" w:hAnsi="Palatino Linotype"/>
                <w:b/>
                <w:i/>
              </w:rPr>
            </w:pPr>
            <w:r w:rsidRPr="00FF05AC">
              <w:rPr>
                <w:rFonts w:ascii="Palatino Linotype" w:hAnsi="Palatino Linotype"/>
                <w:b/>
                <w:i/>
              </w:rPr>
              <w:t>Dónde:</w:t>
            </w:r>
          </w:p>
        </w:tc>
      </w:tr>
      <w:tr w:rsidR="003B017D" w:rsidRPr="00FF05AC" w14:paraId="16627521" w14:textId="77777777" w:rsidTr="00D2182E">
        <w:trPr>
          <w:jc w:val="center"/>
        </w:trPr>
        <w:tc>
          <w:tcPr>
            <w:tcW w:w="1129" w:type="dxa"/>
            <w:vMerge w:val="restart"/>
            <w:vAlign w:val="center"/>
          </w:tcPr>
          <w:p w14:paraId="1662751E" w14:textId="77777777" w:rsidR="003B017D" w:rsidRPr="00FF05AC" w:rsidRDefault="003B017D" w:rsidP="00D2182E">
            <w:pPr>
              <w:jc w:val="center"/>
              <w:rPr>
                <w:rFonts w:ascii="Palatino Linotype" w:hAnsi="Palatino Linotype" w:cs="Arial"/>
                <w:b/>
                <w:i/>
              </w:rPr>
            </w:pPr>
            <w:r w:rsidRPr="00FF05AC">
              <w:rPr>
                <w:rFonts w:ascii="Palatino Linotype" w:hAnsi="Palatino Linotype" w:cs="Arial"/>
                <w:b/>
                <w:i/>
              </w:rPr>
              <w:t>Sello oficial o logotipo del sujeto obligado</w:t>
            </w:r>
          </w:p>
        </w:tc>
        <w:tc>
          <w:tcPr>
            <w:tcW w:w="1990" w:type="dxa"/>
          </w:tcPr>
          <w:p w14:paraId="1662751F" w14:textId="77777777" w:rsidR="003B017D" w:rsidRPr="00FF05AC" w:rsidRDefault="003B017D" w:rsidP="00D2182E">
            <w:pPr>
              <w:jc w:val="center"/>
              <w:rPr>
                <w:rFonts w:ascii="Palatino Linotype" w:hAnsi="Palatino Linotype" w:cs="Arial"/>
                <w:i/>
              </w:rPr>
            </w:pPr>
            <w:r w:rsidRPr="00FF05AC">
              <w:rPr>
                <w:rFonts w:ascii="Palatino Linotype" w:hAnsi="Palatino Linotype" w:cs="Arial"/>
                <w:i/>
              </w:rPr>
              <w:t>Fecha de clasificación</w:t>
            </w:r>
          </w:p>
        </w:tc>
        <w:tc>
          <w:tcPr>
            <w:tcW w:w="4531" w:type="dxa"/>
          </w:tcPr>
          <w:p w14:paraId="16627520" w14:textId="77777777" w:rsidR="003B017D" w:rsidRPr="00FF05AC" w:rsidRDefault="003B017D" w:rsidP="00D2182E">
            <w:pPr>
              <w:jc w:val="both"/>
              <w:rPr>
                <w:rFonts w:ascii="Palatino Linotype" w:hAnsi="Palatino Linotype" w:cs="Arial"/>
                <w:i/>
              </w:rPr>
            </w:pPr>
            <w:r w:rsidRPr="00FF05AC">
              <w:rPr>
                <w:rFonts w:ascii="Palatino Linotype" w:hAnsi="Palatino Linotype" w:cs="Arial"/>
                <w:i/>
              </w:rPr>
              <w:t>Se anotará la fecha en la que el Comité de Transparencia confirmó la clasificación del documento, en su caso.</w:t>
            </w:r>
          </w:p>
        </w:tc>
      </w:tr>
      <w:tr w:rsidR="003B017D" w:rsidRPr="00FF05AC" w14:paraId="16627525" w14:textId="77777777" w:rsidTr="00D2182E">
        <w:trPr>
          <w:jc w:val="center"/>
        </w:trPr>
        <w:tc>
          <w:tcPr>
            <w:tcW w:w="1129" w:type="dxa"/>
            <w:vMerge/>
          </w:tcPr>
          <w:p w14:paraId="16627522" w14:textId="77777777" w:rsidR="003B017D" w:rsidRPr="00FF05AC" w:rsidRDefault="003B017D" w:rsidP="00D2182E">
            <w:pPr>
              <w:jc w:val="both"/>
              <w:rPr>
                <w:rFonts w:ascii="Palatino Linotype" w:hAnsi="Palatino Linotype" w:cs="Arial"/>
                <w:i/>
              </w:rPr>
            </w:pPr>
          </w:p>
        </w:tc>
        <w:tc>
          <w:tcPr>
            <w:tcW w:w="1990" w:type="dxa"/>
          </w:tcPr>
          <w:p w14:paraId="16627523" w14:textId="77777777" w:rsidR="003B017D" w:rsidRPr="00FF05AC" w:rsidRDefault="003B017D" w:rsidP="00D2182E">
            <w:pPr>
              <w:jc w:val="center"/>
              <w:rPr>
                <w:rFonts w:ascii="Palatino Linotype" w:hAnsi="Palatino Linotype" w:cs="Arial"/>
                <w:i/>
              </w:rPr>
            </w:pPr>
            <w:r w:rsidRPr="00FF05AC">
              <w:rPr>
                <w:rFonts w:ascii="Palatino Linotype" w:hAnsi="Palatino Linotype" w:cs="Arial"/>
                <w:i/>
              </w:rPr>
              <w:t>Área</w:t>
            </w:r>
          </w:p>
        </w:tc>
        <w:tc>
          <w:tcPr>
            <w:tcW w:w="4531" w:type="dxa"/>
          </w:tcPr>
          <w:p w14:paraId="16627524" w14:textId="77777777" w:rsidR="003B017D" w:rsidRPr="00FF05AC" w:rsidRDefault="003B017D" w:rsidP="00D2182E">
            <w:pPr>
              <w:jc w:val="both"/>
              <w:rPr>
                <w:rFonts w:ascii="Palatino Linotype" w:hAnsi="Palatino Linotype" w:cs="Arial"/>
                <w:i/>
              </w:rPr>
            </w:pPr>
            <w:r w:rsidRPr="00FF05AC">
              <w:rPr>
                <w:rFonts w:ascii="Palatino Linotype" w:hAnsi="Palatino Linotype" w:cs="Arial"/>
                <w:i/>
              </w:rPr>
              <w:t>Se señalará el nombre del área del cual es titular quien clasifica.</w:t>
            </w:r>
          </w:p>
        </w:tc>
      </w:tr>
      <w:tr w:rsidR="003B017D" w:rsidRPr="00FF05AC" w14:paraId="16627529" w14:textId="77777777" w:rsidTr="00D2182E">
        <w:trPr>
          <w:jc w:val="center"/>
        </w:trPr>
        <w:tc>
          <w:tcPr>
            <w:tcW w:w="1129" w:type="dxa"/>
            <w:vMerge/>
          </w:tcPr>
          <w:p w14:paraId="16627526" w14:textId="77777777" w:rsidR="003B017D" w:rsidRPr="00FF05AC" w:rsidRDefault="003B017D" w:rsidP="00D2182E">
            <w:pPr>
              <w:jc w:val="both"/>
              <w:rPr>
                <w:rFonts w:ascii="Palatino Linotype" w:hAnsi="Palatino Linotype" w:cs="Arial"/>
                <w:i/>
              </w:rPr>
            </w:pPr>
          </w:p>
        </w:tc>
        <w:tc>
          <w:tcPr>
            <w:tcW w:w="1990" w:type="dxa"/>
          </w:tcPr>
          <w:p w14:paraId="16627527" w14:textId="77777777" w:rsidR="003B017D" w:rsidRPr="00FF05AC" w:rsidRDefault="003B017D" w:rsidP="00D2182E">
            <w:pPr>
              <w:jc w:val="center"/>
              <w:rPr>
                <w:rFonts w:ascii="Palatino Linotype" w:hAnsi="Palatino Linotype" w:cs="Arial"/>
                <w:i/>
              </w:rPr>
            </w:pPr>
            <w:r w:rsidRPr="00FF05AC">
              <w:rPr>
                <w:rFonts w:ascii="Palatino Linotype" w:hAnsi="Palatino Linotype" w:cs="Arial"/>
                <w:i/>
              </w:rPr>
              <w:t>Información reservada</w:t>
            </w:r>
          </w:p>
        </w:tc>
        <w:tc>
          <w:tcPr>
            <w:tcW w:w="4531" w:type="dxa"/>
          </w:tcPr>
          <w:p w14:paraId="16627528" w14:textId="77777777" w:rsidR="003B017D" w:rsidRPr="00FF05AC" w:rsidRDefault="003B017D" w:rsidP="00D2182E">
            <w:pPr>
              <w:jc w:val="both"/>
              <w:rPr>
                <w:rFonts w:ascii="Palatino Linotype" w:hAnsi="Palatino Linotype" w:cs="Arial"/>
                <w:i/>
              </w:rPr>
            </w:pPr>
            <w:r w:rsidRPr="00FF05AC">
              <w:rPr>
                <w:rFonts w:ascii="Palatino Linotype" w:hAnsi="Palatino Linotype" w:cs="Arial"/>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3B017D" w:rsidRPr="00FF05AC" w14:paraId="1662752D" w14:textId="77777777" w:rsidTr="00D2182E">
        <w:trPr>
          <w:jc w:val="center"/>
        </w:trPr>
        <w:tc>
          <w:tcPr>
            <w:tcW w:w="1129" w:type="dxa"/>
            <w:vMerge/>
          </w:tcPr>
          <w:p w14:paraId="1662752A" w14:textId="77777777" w:rsidR="003B017D" w:rsidRPr="00FF05AC" w:rsidRDefault="003B017D" w:rsidP="00D2182E">
            <w:pPr>
              <w:jc w:val="both"/>
              <w:rPr>
                <w:rFonts w:ascii="Palatino Linotype" w:hAnsi="Palatino Linotype" w:cs="Arial"/>
                <w:i/>
              </w:rPr>
            </w:pPr>
          </w:p>
        </w:tc>
        <w:tc>
          <w:tcPr>
            <w:tcW w:w="1990" w:type="dxa"/>
          </w:tcPr>
          <w:p w14:paraId="1662752B" w14:textId="77777777" w:rsidR="003B017D" w:rsidRPr="00FF05AC" w:rsidRDefault="003B017D" w:rsidP="00D2182E">
            <w:pPr>
              <w:jc w:val="center"/>
              <w:rPr>
                <w:rFonts w:ascii="Palatino Linotype" w:hAnsi="Palatino Linotype" w:cs="Arial"/>
                <w:i/>
              </w:rPr>
            </w:pPr>
            <w:r w:rsidRPr="00FF05AC">
              <w:rPr>
                <w:rFonts w:ascii="Palatino Linotype" w:hAnsi="Palatino Linotype" w:cs="Arial"/>
                <w:i/>
              </w:rPr>
              <w:t>Periodo de reserva</w:t>
            </w:r>
          </w:p>
        </w:tc>
        <w:tc>
          <w:tcPr>
            <w:tcW w:w="4531" w:type="dxa"/>
          </w:tcPr>
          <w:p w14:paraId="1662752C" w14:textId="77777777" w:rsidR="003B017D" w:rsidRPr="00FF05AC" w:rsidRDefault="003B017D" w:rsidP="00D2182E">
            <w:pPr>
              <w:jc w:val="both"/>
              <w:rPr>
                <w:rFonts w:ascii="Palatino Linotype" w:hAnsi="Palatino Linotype" w:cs="Arial"/>
                <w:i/>
              </w:rPr>
            </w:pPr>
            <w:r w:rsidRPr="00FF05AC">
              <w:rPr>
                <w:rFonts w:ascii="Palatino Linotype" w:hAnsi="Palatino Linotype" w:cs="Arial"/>
                <w:i/>
              </w:rPr>
              <w:t>Se anotará el número de años o meses por los que se mantendrá el documento o las partes del mismo como reservado.</w:t>
            </w:r>
          </w:p>
        </w:tc>
      </w:tr>
      <w:tr w:rsidR="003B017D" w:rsidRPr="00FF05AC" w14:paraId="16627531" w14:textId="77777777" w:rsidTr="00D2182E">
        <w:trPr>
          <w:jc w:val="center"/>
        </w:trPr>
        <w:tc>
          <w:tcPr>
            <w:tcW w:w="1129" w:type="dxa"/>
            <w:vMerge/>
          </w:tcPr>
          <w:p w14:paraId="1662752E" w14:textId="77777777" w:rsidR="003B017D" w:rsidRPr="00FF05AC" w:rsidRDefault="003B017D" w:rsidP="00D2182E">
            <w:pPr>
              <w:jc w:val="both"/>
              <w:rPr>
                <w:rFonts w:ascii="Palatino Linotype" w:hAnsi="Palatino Linotype" w:cs="Arial"/>
                <w:i/>
              </w:rPr>
            </w:pPr>
          </w:p>
        </w:tc>
        <w:tc>
          <w:tcPr>
            <w:tcW w:w="1990" w:type="dxa"/>
          </w:tcPr>
          <w:p w14:paraId="1662752F" w14:textId="77777777" w:rsidR="003B017D" w:rsidRPr="00FF05AC" w:rsidRDefault="003B017D" w:rsidP="00D2182E">
            <w:pPr>
              <w:jc w:val="center"/>
              <w:rPr>
                <w:rFonts w:ascii="Palatino Linotype" w:hAnsi="Palatino Linotype" w:cs="Arial"/>
                <w:i/>
              </w:rPr>
            </w:pPr>
            <w:r w:rsidRPr="00FF05AC">
              <w:rPr>
                <w:rFonts w:ascii="Palatino Linotype" w:hAnsi="Palatino Linotype" w:cs="Arial"/>
                <w:i/>
              </w:rPr>
              <w:t>Fundamento legal</w:t>
            </w:r>
          </w:p>
        </w:tc>
        <w:tc>
          <w:tcPr>
            <w:tcW w:w="4531" w:type="dxa"/>
          </w:tcPr>
          <w:p w14:paraId="16627530" w14:textId="77777777" w:rsidR="003B017D" w:rsidRPr="00FF05AC" w:rsidRDefault="003B017D" w:rsidP="00D2182E">
            <w:pPr>
              <w:jc w:val="both"/>
              <w:rPr>
                <w:rFonts w:ascii="Palatino Linotype" w:hAnsi="Palatino Linotype" w:cs="Arial"/>
                <w:i/>
              </w:rPr>
            </w:pPr>
            <w:r w:rsidRPr="00FF05AC">
              <w:rPr>
                <w:rFonts w:ascii="Palatino Linotype" w:hAnsi="Palatino Linotype" w:cs="Arial"/>
                <w:i/>
              </w:rPr>
              <w:t>Se señalará el nombre del ordenamiento, el o los artículos, fracción(es), párrafo(s) con base en los cuales se sustente la reserva.</w:t>
            </w:r>
          </w:p>
        </w:tc>
      </w:tr>
      <w:tr w:rsidR="003B017D" w:rsidRPr="00FF05AC" w14:paraId="16627535" w14:textId="77777777" w:rsidTr="00D2182E">
        <w:trPr>
          <w:jc w:val="center"/>
        </w:trPr>
        <w:tc>
          <w:tcPr>
            <w:tcW w:w="1129" w:type="dxa"/>
            <w:vMerge/>
          </w:tcPr>
          <w:p w14:paraId="16627532" w14:textId="77777777" w:rsidR="003B017D" w:rsidRPr="00FF05AC" w:rsidRDefault="003B017D" w:rsidP="00D2182E">
            <w:pPr>
              <w:jc w:val="both"/>
              <w:rPr>
                <w:rFonts w:ascii="Palatino Linotype" w:hAnsi="Palatino Linotype" w:cs="Arial"/>
                <w:i/>
              </w:rPr>
            </w:pPr>
          </w:p>
        </w:tc>
        <w:tc>
          <w:tcPr>
            <w:tcW w:w="1990" w:type="dxa"/>
          </w:tcPr>
          <w:p w14:paraId="16627533" w14:textId="77777777" w:rsidR="003B017D" w:rsidRPr="00FF05AC" w:rsidRDefault="003B017D" w:rsidP="00D2182E">
            <w:pPr>
              <w:jc w:val="center"/>
              <w:rPr>
                <w:rFonts w:ascii="Palatino Linotype" w:hAnsi="Palatino Linotype" w:cs="Arial"/>
                <w:i/>
              </w:rPr>
            </w:pPr>
            <w:r w:rsidRPr="00FF05AC">
              <w:rPr>
                <w:rFonts w:ascii="Palatino Linotype" w:hAnsi="Palatino Linotype" w:cs="Arial"/>
                <w:i/>
              </w:rPr>
              <w:t>Ampliación del periodo de reserva</w:t>
            </w:r>
          </w:p>
        </w:tc>
        <w:tc>
          <w:tcPr>
            <w:tcW w:w="4531" w:type="dxa"/>
          </w:tcPr>
          <w:p w14:paraId="16627534" w14:textId="77777777" w:rsidR="003B017D" w:rsidRPr="00FF05AC" w:rsidRDefault="003B017D" w:rsidP="00D2182E">
            <w:pPr>
              <w:jc w:val="both"/>
              <w:rPr>
                <w:rFonts w:ascii="Palatino Linotype" w:hAnsi="Palatino Linotype" w:cs="Arial"/>
                <w:i/>
              </w:rPr>
            </w:pPr>
            <w:r w:rsidRPr="00FF05AC">
              <w:rPr>
                <w:rFonts w:ascii="Palatino Linotype" w:hAnsi="Palatino Linotype" w:cs="Arial"/>
                <w:i/>
              </w:rPr>
              <w:t>En caso de haber solicitado la ampliación del periodo de reserva originalmente establecido, se deberá anotar el número de años o meses por los que se amplía la reserva.</w:t>
            </w:r>
          </w:p>
        </w:tc>
      </w:tr>
      <w:tr w:rsidR="003B017D" w:rsidRPr="00FF05AC" w14:paraId="16627539" w14:textId="77777777" w:rsidTr="00D2182E">
        <w:trPr>
          <w:jc w:val="center"/>
        </w:trPr>
        <w:tc>
          <w:tcPr>
            <w:tcW w:w="1129" w:type="dxa"/>
            <w:vMerge/>
          </w:tcPr>
          <w:p w14:paraId="16627536" w14:textId="77777777" w:rsidR="003B017D" w:rsidRPr="00FF05AC" w:rsidRDefault="003B017D" w:rsidP="00D2182E">
            <w:pPr>
              <w:jc w:val="both"/>
              <w:rPr>
                <w:rFonts w:ascii="Palatino Linotype" w:hAnsi="Palatino Linotype" w:cs="Arial"/>
                <w:i/>
              </w:rPr>
            </w:pPr>
          </w:p>
        </w:tc>
        <w:tc>
          <w:tcPr>
            <w:tcW w:w="1990" w:type="dxa"/>
          </w:tcPr>
          <w:p w14:paraId="16627537" w14:textId="77777777" w:rsidR="003B017D" w:rsidRPr="00FF05AC" w:rsidRDefault="003B017D" w:rsidP="00D2182E">
            <w:pPr>
              <w:jc w:val="center"/>
              <w:rPr>
                <w:rFonts w:ascii="Palatino Linotype" w:hAnsi="Palatino Linotype" w:cs="Arial"/>
                <w:b/>
                <w:i/>
                <w:u w:val="single"/>
              </w:rPr>
            </w:pPr>
            <w:r w:rsidRPr="00FF05AC">
              <w:rPr>
                <w:rFonts w:ascii="Palatino Linotype" w:hAnsi="Palatino Linotype" w:cs="Arial"/>
                <w:b/>
                <w:i/>
                <w:u w:val="single"/>
              </w:rPr>
              <w:t>Confidencial</w:t>
            </w:r>
          </w:p>
        </w:tc>
        <w:tc>
          <w:tcPr>
            <w:tcW w:w="4531" w:type="dxa"/>
          </w:tcPr>
          <w:p w14:paraId="16627538" w14:textId="77777777" w:rsidR="003B017D" w:rsidRPr="00FF05AC" w:rsidRDefault="003B017D" w:rsidP="00D2182E">
            <w:pPr>
              <w:jc w:val="both"/>
              <w:rPr>
                <w:rFonts w:ascii="Palatino Linotype" w:hAnsi="Palatino Linotype" w:cs="Arial"/>
                <w:i/>
              </w:rPr>
            </w:pPr>
            <w:r w:rsidRPr="00FF05AC">
              <w:rPr>
                <w:rFonts w:ascii="Palatino Linotype" w:hAnsi="Palatino Linotype" w:cs="Arial"/>
                <w:i/>
              </w:rPr>
              <w:t xml:space="preserve">Se indicarán, en su caso, </w:t>
            </w:r>
            <w:r w:rsidRPr="00FF05AC">
              <w:rPr>
                <w:rFonts w:ascii="Palatino Linotype" w:hAnsi="Palatino Linotype" w:cs="Arial"/>
                <w:b/>
                <w:i/>
                <w:u w:val="single"/>
              </w:rPr>
              <w:t>las partes o páginas del documento que se clasifica como confidencial</w:t>
            </w:r>
            <w:r w:rsidRPr="00FF05AC">
              <w:rPr>
                <w:rFonts w:ascii="Palatino Linotype" w:hAnsi="Palatino Linotype" w:cs="Arial"/>
                <w:i/>
              </w:rPr>
              <w:t xml:space="preserve">. </w:t>
            </w:r>
            <w:r w:rsidRPr="00FF05AC">
              <w:rPr>
                <w:rFonts w:ascii="Palatino Linotype" w:hAnsi="Palatino Linotype" w:cs="Arial"/>
                <w:b/>
                <w:i/>
                <w:u w:val="single"/>
              </w:rPr>
              <w:t>Si el documento fuera confidencial en su totalidad, se anotarán todas las páginas que lo conforman</w:t>
            </w:r>
            <w:r w:rsidRPr="00FF05AC">
              <w:rPr>
                <w:rFonts w:ascii="Palatino Linotype" w:hAnsi="Palatino Linotype" w:cs="Arial"/>
                <w:i/>
              </w:rPr>
              <w:t>. Si el documento no contiene información confidencial, se tachará este apartado.</w:t>
            </w:r>
          </w:p>
        </w:tc>
      </w:tr>
      <w:tr w:rsidR="003B017D" w:rsidRPr="00FF05AC" w14:paraId="1662753D" w14:textId="77777777" w:rsidTr="00D2182E">
        <w:trPr>
          <w:jc w:val="center"/>
        </w:trPr>
        <w:tc>
          <w:tcPr>
            <w:tcW w:w="1129" w:type="dxa"/>
            <w:vMerge/>
          </w:tcPr>
          <w:p w14:paraId="1662753A" w14:textId="77777777" w:rsidR="003B017D" w:rsidRPr="00FF05AC" w:rsidRDefault="003B017D" w:rsidP="00D2182E">
            <w:pPr>
              <w:jc w:val="both"/>
              <w:rPr>
                <w:rFonts w:ascii="Palatino Linotype" w:hAnsi="Palatino Linotype" w:cs="Arial"/>
                <w:i/>
              </w:rPr>
            </w:pPr>
          </w:p>
        </w:tc>
        <w:tc>
          <w:tcPr>
            <w:tcW w:w="1990" w:type="dxa"/>
          </w:tcPr>
          <w:p w14:paraId="1662753B" w14:textId="77777777" w:rsidR="003B017D" w:rsidRPr="00FF05AC" w:rsidRDefault="003B017D" w:rsidP="00D2182E">
            <w:pPr>
              <w:jc w:val="center"/>
              <w:rPr>
                <w:rFonts w:ascii="Palatino Linotype" w:hAnsi="Palatino Linotype" w:cs="Arial"/>
                <w:i/>
              </w:rPr>
            </w:pPr>
            <w:r w:rsidRPr="00FF05AC">
              <w:rPr>
                <w:rFonts w:ascii="Palatino Linotype" w:hAnsi="Palatino Linotype" w:cs="Arial"/>
                <w:i/>
              </w:rPr>
              <w:t>Fundamento legal</w:t>
            </w:r>
          </w:p>
        </w:tc>
        <w:tc>
          <w:tcPr>
            <w:tcW w:w="4531" w:type="dxa"/>
          </w:tcPr>
          <w:p w14:paraId="1662753C" w14:textId="77777777" w:rsidR="003B017D" w:rsidRPr="00FF05AC" w:rsidRDefault="003B017D" w:rsidP="00D2182E">
            <w:pPr>
              <w:jc w:val="both"/>
              <w:rPr>
                <w:rFonts w:ascii="Palatino Linotype" w:hAnsi="Palatino Linotype" w:cs="Arial"/>
                <w:i/>
              </w:rPr>
            </w:pPr>
            <w:r w:rsidRPr="00FF05AC">
              <w:rPr>
                <w:rFonts w:ascii="Palatino Linotype" w:hAnsi="Palatino Linotype" w:cs="Arial"/>
                <w:i/>
              </w:rPr>
              <w:t>Se señalará el nombre del ordenamiento, el o los artículos, fracción(es), párrafo(s) con base en los cuales se sustente la confidencialidad.</w:t>
            </w:r>
          </w:p>
        </w:tc>
      </w:tr>
      <w:tr w:rsidR="003B017D" w:rsidRPr="00FF05AC" w14:paraId="16627541" w14:textId="77777777" w:rsidTr="00D2182E">
        <w:trPr>
          <w:jc w:val="center"/>
        </w:trPr>
        <w:tc>
          <w:tcPr>
            <w:tcW w:w="1129" w:type="dxa"/>
            <w:vMerge/>
          </w:tcPr>
          <w:p w14:paraId="1662753E" w14:textId="77777777" w:rsidR="003B017D" w:rsidRPr="00FF05AC" w:rsidRDefault="003B017D" w:rsidP="00D2182E">
            <w:pPr>
              <w:jc w:val="both"/>
              <w:rPr>
                <w:rFonts w:ascii="Palatino Linotype" w:hAnsi="Palatino Linotype" w:cs="Arial"/>
                <w:i/>
              </w:rPr>
            </w:pPr>
          </w:p>
        </w:tc>
        <w:tc>
          <w:tcPr>
            <w:tcW w:w="1990" w:type="dxa"/>
          </w:tcPr>
          <w:p w14:paraId="1662753F" w14:textId="77777777" w:rsidR="003B017D" w:rsidRPr="00FF05AC" w:rsidRDefault="003B017D" w:rsidP="00D2182E">
            <w:pPr>
              <w:jc w:val="center"/>
              <w:rPr>
                <w:rFonts w:ascii="Palatino Linotype" w:hAnsi="Palatino Linotype" w:cs="Arial"/>
                <w:i/>
              </w:rPr>
            </w:pPr>
            <w:r w:rsidRPr="00FF05AC">
              <w:rPr>
                <w:rFonts w:ascii="Palatino Linotype" w:hAnsi="Palatino Linotype" w:cs="Arial"/>
                <w:i/>
              </w:rPr>
              <w:t>Rúbrica del titular del área</w:t>
            </w:r>
          </w:p>
        </w:tc>
        <w:tc>
          <w:tcPr>
            <w:tcW w:w="4531" w:type="dxa"/>
          </w:tcPr>
          <w:p w14:paraId="16627540" w14:textId="77777777" w:rsidR="003B017D" w:rsidRPr="00FF05AC" w:rsidRDefault="003B017D" w:rsidP="00D2182E">
            <w:pPr>
              <w:jc w:val="both"/>
              <w:rPr>
                <w:rFonts w:ascii="Palatino Linotype" w:hAnsi="Palatino Linotype" w:cs="Arial"/>
                <w:i/>
              </w:rPr>
            </w:pPr>
            <w:r w:rsidRPr="00FF05AC">
              <w:rPr>
                <w:rFonts w:ascii="Palatino Linotype" w:hAnsi="Palatino Linotype" w:cs="Arial"/>
                <w:i/>
              </w:rPr>
              <w:t>Rúbrica autógrafa de quien clasifica.</w:t>
            </w:r>
          </w:p>
        </w:tc>
      </w:tr>
      <w:tr w:rsidR="003B017D" w:rsidRPr="00FF05AC" w14:paraId="16627545" w14:textId="77777777" w:rsidTr="00D2182E">
        <w:trPr>
          <w:jc w:val="center"/>
        </w:trPr>
        <w:tc>
          <w:tcPr>
            <w:tcW w:w="1129" w:type="dxa"/>
            <w:vMerge/>
          </w:tcPr>
          <w:p w14:paraId="16627542" w14:textId="77777777" w:rsidR="003B017D" w:rsidRPr="00FF05AC" w:rsidRDefault="003B017D" w:rsidP="00D2182E">
            <w:pPr>
              <w:jc w:val="both"/>
              <w:rPr>
                <w:rFonts w:ascii="Palatino Linotype" w:hAnsi="Palatino Linotype" w:cs="Arial"/>
                <w:i/>
              </w:rPr>
            </w:pPr>
          </w:p>
        </w:tc>
        <w:tc>
          <w:tcPr>
            <w:tcW w:w="1990" w:type="dxa"/>
          </w:tcPr>
          <w:p w14:paraId="16627543" w14:textId="77777777" w:rsidR="003B017D" w:rsidRPr="00FF05AC" w:rsidRDefault="003B017D" w:rsidP="00D2182E">
            <w:pPr>
              <w:jc w:val="center"/>
              <w:rPr>
                <w:rFonts w:ascii="Palatino Linotype" w:hAnsi="Palatino Linotype" w:cs="Arial"/>
                <w:i/>
              </w:rPr>
            </w:pPr>
            <w:r w:rsidRPr="00FF05AC">
              <w:rPr>
                <w:rFonts w:ascii="Palatino Linotype" w:hAnsi="Palatino Linotype" w:cs="Arial"/>
                <w:i/>
              </w:rPr>
              <w:t>Fecha de desclasificación</w:t>
            </w:r>
          </w:p>
        </w:tc>
        <w:tc>
          <w:tcPr>
            <w:tcW w:w="4531" w:type="dxa"/>
          </w:tcPr>
          <w:p w14:paraId="16627544" w14:textId="77777777" w:rsidR="003B017D" w:rsidRPr="00FF05AC" w:rsidRDefault="003B017D" w:rsidP="00D2182E">
            <w:pPr>
              <w:jc w:val="both"/>
              <w:rPr>
                <w:rFonts w:ascii="Palatino Linotype" w:hAnsi="Palatino Linotype" w:cs="Arial"/>
                <w:i/>
              </w:rPr>
            </w:pPr>
            <w:r w:rsidRPr="00FF05AC">
              <w:rPr>
                <w:rFonts w:ascii="Palatino Linotype" w:hAnsi="Palatino Linotype" w:cs="Arial"/>
                <w:i/>
              </w:rPr>
              <w:t>Se anotará la fecha en que se desclasifica el documento.</w:t>
            </w:r>
          </w:p>
        </w:tc>
      </w:tr>
      <w:tr w:rsidR="003B017D" w:rsidRPr="00FF05AC" w14:paraId="16627549" w14:textId="77777777" w:rsidTr="00D2182E">
        <w:trPr>
          <w:jc w:val="center"/>
        </w:trPr>
        <w:tc>
          <w:tcPr>
            <w:tcW w:w="1129" w:type="dxa"/>
            <w:vMerge/>
          </w:tcPr>
          <w:p w14:paraId="16627546" w14:textId="77777777" w:rsidR="003B017D" w:rsidRPr="00FF05AC" w:rsidRDefault="003B017D" w:rsidP="00D2182E">
            <w:pPr>
              <w:jc w:val="both"/>
              <w:rPr>
                <w:rFonts w:ascii="Palatino Linotype" w:hAnsi="Palatino Linotype" w:cs="Arial"/>
                <w:i/>
              </w:rPr>
            </w:pPr>
          </w:p>
        </w:tc>
        <w:tc>
          <w:tcPr>
            <w:tcW w:w="1990" w:type="dxa"/>
          </w:tcPr>
          <w:p w14:paraId="16627547" w14:textId="77777777" w:rsidR="003B017D" w:rsidRPr="00FF05AC" w:rsidRDefault="003B017D" w:rsidP="00D2182E">
            <w:pPr>
              <w:jc w:val="center"/>
              <w:rPr>
                <w:rFonts w:ascii="Palatino Linotype" w:hAnsi="Palatino Linotype" w:cs="Arial"/>
                <w:i/>
              </w:rPr>
            </w:pPr>
            <w:r w:rsidRPr="00FF05AC">
              <w:rPr>
                <w:rFonts w:ascii="Palatino Linotype" w:hAnsi="Palatino Linotype" w:cs="Arial"/>
                <w:i/>
              </w:rPr>
              <w:t>Rúbrica y cargo del servidor público</w:t>
            </w:r>
          </w:p>
        </w:tc>
        <w:tc>
          <w:tcPr>
            <w:tcW w:w="4531" w:type="dxa"/>
            <w:vAlign w:val="center"/>
          </w:tcPr>
          <w:p w14:paraId="16627548" w14:textId="77777777" w:rsidR="003B017D" w:rsidRPr="00FF05AC" w:rsidRDefault="003B017D" w:rsidP="00D2182E">
            <w:pPr>
              <w:rPr>
                <w:rFonts w:ascii="Palatino Linotype" w:hAnsi="Palatino Linotype" w:cs="Arial"/>
                <w:i/>
              </w:rPr>
            </w:pPr>
            <w:r w:rsidRPr="00FF05AC">
              <w:rPr>
                <w:rFonts w:ascii="Palatino Linotype" w:hAnsi="Palatino Linotype" w:cs="Arial"/>
                <w:i/>
              </w:rPr>
              <w:t>Rúbrica autógrafa de quien desclasifica.</w:t>
            </w:r>
          </w:p>
        </w:tc>
      </w:tr>
    </w:tbl>
    <w:p w14:paraId="1662754A" w14:textId="77777777" w:rsidR="003B017D" w:rsidRPr="00FF05AC" w:rsidRDefault="003B017D" w:rsidP="003B017D">
      <w:pPr>
        <w:ind w:left="709" w:right="709"/>
        <w:jc w:val="both"/>
        <w:rPr>
          <w:rFonts w:ascii="Palatino Linotype" w:hAnsi="Palatino Linotype" w:cs="Arial"/>
          <w:sz w:val="22"/>
          <w:szCs w:val="22"/>
        </w:rPr>
      </w:pPr>
      <w:r w:rsidRPr="00FF05AC">
        <w:rPr>
          <w:rFonts w:ascii="Palatino Linotype" w:hAnsi="Palatino Linotype" w:cs="Arial"/>
          <w:sz w:val="22"/>
          <w:szCs w:val="22"/>
        </w:rPr>
        <w:t>(Énfasis Añadido)</w:t>
      </w:r>
    </w:p>
    <w:p w14:paraId="1662754B" w14:textId="77777777" w:rsidR="003B017D" w:rsidRPr="00FF05AC" w:rsidRDefault="003B017D" w:rsidP="003B017D">
      <w:pPr>
        <w:spacing w:before="100" w:beforeAutospacing="1" w:after="100" w:afterAutospacing="1" w:line="360" w:lineRule="auto"/>
        <w:jc w:val="both"/>
        <w:rPr>
          <w:rFonts w:ascii="Palatino Linotype" w:hAnsi="Palatino Linotype" w:cs="Arial"/>
        </w:rPr>
      </w:pPr>
      <w:r w:rsidRPr="00FF05AC">
        <w:rPr>
          <w:rFonts w:ascii="Palatino Linotype" w:hAnsi="Palatino Linotype" w:cs="Arial"/>
        </w:rPr>
        <w:t>Por lo tanto,</w:t>
      </w:r>
      <w:r w:rsidRPr="00FF05AC">
        <w:rPr>
          <w:rFonts w:ascii="Palatino Linotype" w:hAnsi="Palatino Linotype"/>
        </w:rPr>
        <w:t xml:space="preserve"> es importante referir que </w:t>
      </w:r>
      <w:r w:rsidRPr="00FF05AC">
        <w:rPr>
          <w:rFonts w:ascii="Palatino Linotype" w:hAnsi="Palatino Linotype"/>
          <w:b/>
        </w:rPr>
        <w:t>EL SUJETO OBLIGADO</w:t>
      </w:r>
      <w:r w:rsidRPr="00FF05AC">
        <w:rPr>
          <w:rFonts w:ascii="Palatino Linotype" w:hAnsi="Palatino Linotype"/>
        </w:rPr>
        <w:t xml:space="preserve"> deberá seguir el procedimiento legal establecido para su clasificación, esto es, que su Comité de</w:t>
      </w:r>
      <w:r w:rsidRPr="00FF05AC">
        <w:rPr>
          <w:rFonts w:ascii="Palatino Linotype" w:hAnsi="Palatino Linotype" w:cs="Arial"/>
        </w:rPr>
        <w:t xml:space="preserve"> Transparencia emita </w:t>
      </w:r>
      <w:r w:rsidRPr="00FF05AC">
        <w:rPr>
          <w:rFonts w:ascii="Palatino Linotype" w:hAnsi="Palatino Linotype" w:cs="Arial"/>
          <w:lang w:val="es-ES_tradnl"/>
        </w:rPr>
        <w:t>un</w:t>
      </w:r>
      <w:r w:rsidRPr="00FF05AC">
        <w:rPr>
          <w:rFonts w:ascii="Palatino Linotype" w:hAnsi="Palatino Linotype" w:cs="Arial"/>
        </w:rPr>
        <w:t xml:space="preserve"> Acuerdo de Clasificación que cumpla con las formalidades antes citadas</w:t>
      </w:r>
      <w:r w:rsidRPr="00FF05AC">
        <w:rPr>
          <w:rFonts w:ascii="Palatino Linotype" w:hAnsi="Palatino Linotype" w:cs="Arial"/>
          <w:b/>
        </w:rPr>
        <w:t xml:space="preserve"> </w:t>
      </w:r>
      <w:r w:rsidRPr="00FF05AC">
        <w:rPr>
          <w:rFonts w:ascii="Palatino Linotype" w:hAnsi="Palatino Linotype" w:cs="Arial"/>
        </w:rPr>
        <w:t>que la sustente, en el que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90D3A98" w14:textId="2C51AC7B" w:rsidR="00E602CC" w:rsidRPr="00FF05AC" w:rsidRDefault="00E602CC" w:rsidP="003B017D">
      <w:pPr>
        <w:spacing w:before="100" w:beforeAutospacing="1" w:after="100" w:afterAutospacing="1" w:line="360" w:lineRule="auto"/>
        <w:jc w:val="both"/>
        <w:rPr>
          <w:rFonts w:ascii="Palatino Linotype" w:hAnsi="Palatino Linotype"/>
        </w:rPr>
      </w:pPr>
      <w:r w:rsidRPr="00FF05AC">
        <w:rPr>
          <w:rFonts w:ascii="Palatino Linotype" w:hAnsi="Palatino Linotype"/>
        </w:rPr>
        <w:t xml:space="preserve">En el caso en concreto, el sujeto obligado señaló que los datos que actualizan la causal de confidencialidad y que obran en el expediente sobre el cual recae la solicitud, son respecto de personas físicas, las firmas de las partes, y por lo que hace a la persona moral demandante, el nombre, domicilios, ubicación, medidas y/o dimensiones, así como denominación del fraccionamiento. Por tal motivo, a continuación se procederá al estudio de cada uno de los datos mencionados. </w:t>
      </w:r>
      <w:r w:rsidRPr="00FF05AC">
        <w:rPr>
          <w:rFonts w:ascii="Segoe UI Symbol" w:hAnsi="Segoe UI Symbol" w:cs="Segoe UI Symbol"/>
        </w:rPr>
        <w:t>➢</w:t>
      </w:r>
      <w:r w:rsidRPr="00FF05AC">
        <w:rPr>
          <w:rFonts w:ascii="Palatino Linotype" w:hAnsi="Palatino Linotype"/>
        </w:rPr>
        <w:t xml:space="preserve"> Firma de las partes Ésta se define como “rasgo o conjunto de rasgos, realizados siempre de la misma manera, que identifican a una persona y sustituyen a su nombre y apellidos para aprobar a dar autenticidad a un documento”. Como se puede observar, el gráfico es una insignia de la personalidad; en virtud de que es una imagen que nos representa ante los demás y que posee el fin de identificar, asegurar o autentificar la identidad de su autor. En ese sentido, tal como se desprende del párrafo anterior, la firma es un rasgo a través del cual se puede identificar a una persona, razón por la cual, dicha información es susceptible de considerarse como confidencial, en términos de lo dispuesto por el artículo 143, fracción I de la Ley estatal de la materia. Lo anterior no resulta aplicable para el caso de las firmas de personas físicas que tienen el carácter de servidoras públicas, por lo que, en tal situación, no podrá testarse dicho dato. Por lo que se refiere a personas jurídicas colectivas, se trae a colación la tesis aislada P. II/2014, emitida en la décima época, por el pleno de la Suprema Corte de Justicia de la Nación, publicada en la Gaceta del Semanario Judicial de la Federación en febrero de 2014, cuyo texto refiere lo siguiente:</w:t>
      </w:r>
    </w:p>
    <w:p w14:paraId="5452A25B" w14:textId="505BE0B0" w:rsidR="00E602CC" w:rsidRPr="00FF05AC" w:rsidRDefault="00E602CC" w:rsidP="003B017D">
      <w:pPr>
        <w:spacing w:before="100" w:beforeAutospacing="1" w:after="100" w:afterAutospacing="1" w:line="360" w:lineRule="auto"/>
        <w:jc w:val="both"/>
        <w:rPr>
          <w:rFonts w:ascii="Palatino Linotype" w:hAnsi="Palatino Linotype"/>
        </w:rPr>
      </w:pPr>
      <w:r w:rsidRPr="00FF05AC">
        <w:rPr>
          <w:rFonts w:ascii="Palatino Linotype" w:hAnsi="Palatino Linotype"/>
        </w:rPr>
        <w:t>“… PERSONAS MORALES. TIENEN DERECHO A LA PROTECCIÓN DE LOS DATOS QUE PUEDAN EQUIPARARSE A LOS PERSONALES, AUN CUANDO DICHA INFORMACIÓN HAYA SIDO ENTREGADA A UNA AUTORIDAD. El artículo 16, párrafo segundo, de la Constitución Política de los Estados Unidos Mexicanos reconoce el derecho a la protección de datos personales, consistente en el control de cada individuo sobre el acceso y uso de la información personal en aras de preservar la vida privada de las personas. En ese sentido, el derecho a la protección de datos personales podría entenderse, en primera instancia, como una prerrogativa de las personas físicas, ante la imposibilidad de afirmar que las morales son titulares del derecho a la intimidad y/o a la vida privada; sin embargo, el contenido de este derecho puede extenderse a cierta información de las personas jurídicas colectivas, en tanto que también cuentan con determinados espacios de protección ante cualquier intromisión arbitraria por parte de terceros respecto de cierta información económica, comercial o relativa a su identidad que, de revelarse, pudiera anular o menoscabar su libre y buen desarrollo. Por tanto, los bienes protegidos por el derecho a la privacidad y de protección de datos de las personas morales, comprenden aquellos documentos e información que les son inherentes, que deben permanecer ajenos al conocimiento de terceros, independientemente de que, en materia de transparencia e información pública, opere el principio de máxima publicidad y disponibilidad, conforme al cual, toda información en posesión de las autoridades es pública, sin importar la fuente o la forma en que se haya obtenido, pues, acorde con el artículo 6o., en relación con el 16, párrafo segundo, constitucionales, la información entregada a las autoridades por parte de las personas morales, será confidencial cuando tenga el carácter de privada por contener datos que pudieran equipararse a los personales, o bien, reservada temporalmente, si se actualiza alguno de los supuestos previstos legalmente. …” Así, de la tesis expuesta, se colige que el derecho de protección de los datos puede extenderse a cierta información de las personas morales, lo anterior, considerando que también cuentan con determinados espacios de protección frente a cualquier intromisión arbitraria por parte de terceros respecto a su información económica, comercial o de identidad, que pudiera anual o menoscabar su libre y buen desarrollo. Bajo esa lógica, es necesario señalar, que el juicio administrativo sobre el cual recae la solicitud fue promovido por una persona moral, de acuerdo con lo manifestado por la parte solicitante, así como por el sujeto obligado.</w:t>
      </w:r>
    </w:p>
    <w:p w14:paraId="6FC7A7B6" w14:textId="184F8CF6" w:rsidR="00E602CC" w:rsidRPr="00FF05AC" w:rsidRDefault="00E602CC" w:rsidP="003B017D">
      <w:pPr>
        <w:spacing w:before="100" w:beforeAutospacing="1" w:after="100" w:afterAutospacing="1" w:line="360" w:lineRule="auto"/>
        <w:jc w:val="both"/>
        <w:rPr>
          <w:rFonts w:ascii="Palatino Linotype" w:hAnsi="Palatino Linotype"/>
        </w:rPr>
      </w:pPr>
      <w:r w:rsidRPr="00FF05AC">
        <w:rPr>
          <w:rFonts w:ascii="Segoe UI Symbol" w:hAnsi="Segoe UI Symbol" w:cs="Segoe UI Symbol"/>
        </w:rPr>
        <w:t>➢</w:t>
      </w:r>
      <w:r w:rsidRPr="00FF05AC">
        <w:rPr>
          <w:rFonts w:ascii="Palatino Linotype" w:hAnsi="Palatino Linotype"/>
        </w:rPr>
        <w:t xml:space="preserve"> Nombre de la persona moral En tal tesitura, es de señalarse que el nombre de la persona moral que promovió el juicio administrativo en contra de una determinación emitida por la Dirección de Desarrollo Urbano del Municipio de Atizapán de Zaragoza, Estado de México, identifica o hace identificable a una persona moral, por lo que se estima que debe protegerse bajo el supuesto de confidencial, puesto que podría influir de manera negativa en su prestigio o buen nombre, a efecto de que no generarle ningún perjuicio, pues al haber promovido el juicio administrativo pudo haberse visto afectada en sus derechos fundamentales. Sirve de refuerzo a lo anterior, lo señalado por la Suprema Corte de Justicia de la Nación al resolver el amparo en revisión 628/2008, en el sentido de que hay información que concierne al quehacer de una persona moral y que, guardadas todas las proporciones, es para esa persona, lo que el dato personal es para la persona física. En el mismo sentido, el Poder Judicial de la Federación ha pronunciado lo siguiente: “Registro: 2005522 Época: Décima Época Instancia: Pleno Tipo de Tesis: Aislada Fuente: Gaceta del Semanario Judicial de la Federación Libro 3, febrero de 2014, Tomo I Materia(s): Constitucional Tesis: P. II/2014 (10a.) Página: 274 PERSONAS MORALES. TIENEN DERECHO A LA PROTECCIÓN DE LOS DATOS QUE PUEDAN EQUIPARARSE A LOS PERSONALES, AUN CUANDO DICHA INFORMACIÓN HAYA SIDO ENTREGADA A UNA AUTORIDAD. El artículo 16, párrafo segundo, de la Constitución Política de los Estados Unidos Mexicanos reconoce el derecho a la protección de datos personales, consistente en el control de cada individuo sobre el acceso y uso de la información personal en aras de preservar la vida privada de las personas. En ese sentido, el derecho a la protección de datos personales podría entenderse, en primera instancia, como una prerrogativa de las personas físicas, ante la imposibilidad de afirmar que las morales son titulares del derecho a la intimidad y/o a la vida privada; sin embargo, el contenido de este derecho puede extenderse a cierta información de las personas jurídicas colectivas, en tanto que también cuentan con determinados espacios de protección ante cualquier intromisión arbitraria por parte de terceros respecto de cierta información económica, comercial o relativa a su identidad que, de revelarse, pudiera anular o menoscabar su libre y buen desarrollo. Por tanto, los bienes protegidos por el derecho a la privacidad y de protección de datos de las personas morales, comprenden aquellos documentos e información que les son inherentes, que deben permanecer ajenos al conocimiento de terceros, independientemente de que, en materia de transparencia e información pública, opere el principio de máxima publicidad y disponibilidad, conforme al cual, toda información en posesión de las autoridades es pública, sin importar la fuente o la forma en que se haya obtenido, pues, acorde con el artículo 6o., en relación con el 16, párrafo segundo, constitucionales, la información entregada a las autoridades por parte de las personas morales, será confidencial cuando tenga el carácter de privada por contener datos que pudieran equipararse a los personales, o bien, reservada temporalmente, si se actualiza alguno de los supuestos previstos legalmente. Contradicción de tesis 56/2011. Entre las sustentadas por la Primera y la Segunda Salas de la Suprema Corte de Justicia de la Nación. 30 de mayo de 2013. Mayoría de siete votos de los Ministros Margarita Beatriz Luna Ramos, José Fernando Franco González Salas, Arturo Zaldívar Lelo de Larrea, Jorge Mario Pardo Rebolledo, Sergio A. Valls Hernández, Olga Sánchez Cordero de García Villegas y Alberto Pérez Dayán; votaron en contra: Alfredo Gutiérrez Ortiz Mena, José Ramón Cossío Díaz, Luis María Aguilar Morales y Juan N. Silva Meza. Ponente: Sergio A. Valls Hernández. Secretarios: Laura García Velasco y José Álvaro Vargas Ornelas. El Tribunal Pleno, el veintitrés de enero en curso, aprobó, con el número II/2014 (10a.), la tesis aislada que antecede. México, Distrito Federal, a veintitrés de enero de dos mil catorce.” En ese sentido no debe pasar desapercibido que las personas morales también tienen cierta información que, como en el caso de los datos personales, se ubica en el ámbito de lo privado, y que también encuentra protección bajo la figura de la confidencialidad, como se desprende del artículo 143, fracción I de la Ley Transparencia y Acceso a la Información Pública del Estado de México y Municipios. En tales consideraciones, se concluye que en el presente asunto se actualiza el supuesto normativo previsto en el artículo 143, fracción I de la Ley Transparencia y Acceso a la Información Pública del Estado de México y Municipios, en la medida que se está en presencia de información inherente al ámbito privado de la persona moral que funge como parte actora en el juicio administrativo referido en la solicitud.</w:t>
      </w:r>
    </w:p>
    <w:p w14:paraId="3EDF8233" w14:textId="1F90659C" w:rsidR="00E602CC" w:rsidRPr="00FF05AC" w:rsidRDefault="00E602CC" w:rsidP="003B017D">
      <w:pPr>
        <w:spacing w:before="100" w:beforeAutospacing="1" w:after="100" w:afterAutospacing="1" w:line="360" w:lineRule="auto"/>
        <w:jc w:val="both"/>
        <w:rPr>
          <w:rFonts w:ascii="Palatino Linotype" w:hAnsi="Palatino Linotype"/>
        </w:rPr>
      </w:pPr>
      <w:r w:rsidRPr="00FF05AC">
        <w:rPr>
          <w:rFonts w:ascii="Palatino Linotype" w:hAnsi="Palatino Linotype"/>
        </w:rPr>
        <w:t>Domicilio de la persona moral</w:t>
      </w:r>
    </w:p>
    <w:p w14:paraId="58285D4E" w14:textId="2144254F" w:rsidR="00E602CC" w:rsidRPr="00FF05AC" w:rsidRDefault="00E602CC" w:rsidP="003B017D">
      <w:pPr>
        <w:spacing w:before="100" w:beforeAutospacing="1" w:after="100" w:afterAutospacing="1" w:line="360" w:lineRule="auto"/>
        <w:jc w:val="both"/>
        <w:rPr>
          <w:rFonts w:ascii="Palatino Linotype" w:hAnsi="Palatino Linotype"/>
        </w:rPr>
      </w:pPr>
      <w:r w:rsidRPr="00FF05AC">
        <w:rPr>
          <w:rFonts w:ascii="Palatino Linotype" w:hAnsi="Palatino Linotype"/>
        </w:rPr>
        <w:t xml:space="preserve">El domicilio es el lugar en donde reside habitualmente una persona física, sin embargo, tratándose de personas jurídico-colectivas, también constituye un centro principal de negocios por lo que se trata de un dato personal confidencial. Por consiguiente, dicha información, de tratarse del domicilio de un centro de negocios en dominio de una persona moral, es un dato confidencial en términos de lo dispuesto en el artículo 143, fracción I de la Ley Transparencia y Acceso a la Información Pública del Estado de México y Municipios y sólo podrá otorgarse mediante el consentimiento expreso del titular de dicho dato. </w:t>
      </w:r>
      <w:r w:rsidRPr="00FF05AC">
        <w:rPr>
          <w:rFonts w:ascii="Segoe UI Symbol" w:hAnsi="Segoe UI Symbol" w:cs="Segoe UI Symbol"/>
        </w:rPr>
        <w:t>➢</w:t>
      </w:r>
      <w:r w:rsidRPr="00FF05AC">
        <w:rPr>
          <w:rFonts w:ascii="Palatino Linotype" w:hAnsi="Palatino Linotype"/>
        </w:rPr>
        <w:t xml:space="preserve"> Ubicación, medidas y/o dimensiones, así como denominación del fraccionamiento Toda vez que la ubicación, medidas y/o dimensiones, así como denominación del fraccionamiento, son datos correspondientes a la parte actora en el juicio, derivado del trámite llevado a cabo ante la Dirección de Desarrollo Urbano del Municipio de Atizapán de Zaragoza, se estima que, de entregarse dicha información, haría identificable a la persona moral de la cual se está clasificando su nombre. En tal sentido, en el presente caso, se actualiza la confidencialidad de la ubicación, medidas y/o dimensiones, así como denominación del fraccionamiento, con fundamento en el artículo 143, fracción I de la Ley Transparencia y Acceso a la Información Pública del Estado de México y Municipios. En suma, el sujeto obligado, deberá entregar al particular, la versión pública de la información solicitada, en la que podrá testar firmas de particulares, el nombre, domicilio y la ubicación, medidas y/o dimensiones, así como denominación del fraccionamiento, relativos a la personal moral que promovió el juicio. De contener los documentos solicitados, cualquier otro dato, que actualice su confidencialidad en términos del numeral citado, el sujeto obligado deberá emitir una resolución a través de su Comité de Transparencia, en la que, de manera fundada y motivada, confirme su clasificación la cual deberá entregarla al particular.</w:t>
      </w:r>
    </w:p>
    <w:p w14:paraId="51FA838D" w14:textId="2BD461C6" w:rsidR="00E602CC" w:rsidRPr="00FF05AC" w:rsidRDefault="00E602CC" w:rsidP="003B017D">
      <w:pPr>
        <w:spacing w:before="100" w:beforeAutospacing="1" w:after="100" w:afterAutospacing="1" w:line="360" w:lineRule="auto"/>
        <w:jc w:val="both"/>
        <w:rPr>
          <w:rFonts w:ascii="Palatino Linotype" w:hAnsi="Palatino Linotype"/>
        </w:rPr>
      </w:pPr>
      <w:r w:rsidRPr="00FF05AC">
        <w:rPr>
          <w:rFonts w:ascii="Palatino Linotype" w:hAnsi="Palatino Linotype"/>
        </w:rPr>
        <w:t xml:space="preserve">Por otro lado, en cuanto a la modalidad de entrega se advierte que el particular eligió el Sistema de Acceso a la Información Mexiquense, no obstante, el sujeto obligado señaló en el desahogo al requerimiento de información adicional que, las documentales solicitadas obran en actuaciones del expediente de juicio administrativo </w:t>
      </w:r>
      <w:r w:rsidR="00CF5B5E">
        <w:rPr>
          <w:rFonts w:ascii="Palatino Linotype" w:hAnsi="Palatino Linotype"/>
        </w:rPr>
        <w:t>XXXXXXXX</w:t>
      </w:r>
      <w:r w:rsidRPr="00FF05AC">
        <w:rPr>
          <w:rFonts w:ascii="Palatino Linotype" w:hAnsi="Palatino Linotype"/>
        </w:rPr>
        <w:t xml:space="preserve"> de manera física. Al respecto, conviene traer a colación lo previsto por la Ley de Transparencia y Acceso a la Información Pública del Estado de México y Municipios, que establece en su artículo 92, fracción XL, que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de diversos </w:t>
      </w:r>
      <w:r w:rsidRPr="00FF05AC">
        <w:rPr>
          <w:rFonts w:ascii="Palatino Linotype" w:hAnsi="Palatino Linotype"/>
          <w:b/>
        </w:rPr>
        <w:t>temas y documentos, entre los que se encuentran las resoluciones y laudos que se emitan en procesos o procedimientos seguidos en forma de juicio</w:t>
      </w:r>
      <w:r w:rsidRPr="00FF05AC">
        <w:rPr>
          <w:rFonts w:ascii="Palatino Linotype" w:hAnsi="Palatino Linotype"/>
        </w:rPr>
        <w:t xml:space="preserve">. De lo previo, se colige que el sujeto obligado deberá entregar en medios electrónicos, al menos, la sentencia solicitada, de manera electrónica, al tratarse de una obligación común de transparencia. </w:t>
      </w:r>
    </w:p>
    <w:p w14:paraId="4E58012B" w14:textId="129597AF" w:rsidR="00E602CC" w:rsidRPr="00FF05AC" w:rsidRDefault="00E602CC" w:rsidP="003B017D">
      <w:pPr>
        <w:spacing w:before="100" w:beforeAutospacing="1" w:after="100" w:afterAutospacing="1" w:line="360" w:lineRule="auto"/>
        <w:jc w:val="both"/>
        <w:rPr>
          <w:rFonts w:ascii="Palatino Linotype" w:hAnsi="Palatino Linotype" w:cs="Arial"/>
        </w:rPr>
      </w:pPr>
      <w:r w:rsidRPr="00FF05AC">
        <w:rPr>
          <w:rFonts w:ascii="Palatino Linotype" w:hAnsi="Palatino Linotype"/>
        </w:rPr>
        <w:t>Por lo que se refiere al escrito inicial de demanda y los documentos anexos como prueba, el sujeto obligado deberá ponerlos a disposición del particular, en todas las modalidades en que sea posible su entregar, es decir, mediante consulta directa de manera gratuita o a través de la expedición de copias simples o certificadas, informando los costos de reproducción y envío, y sobre la gratuidad de las primeras veinte hojas, de conformidad con el artículo 174 de la Ley de Transparencia y Acceso a la Información Pública del Estado de México y Municipios.</w:t>
      </w:r>
    </w:p>
    <w:p w14:paraId="1662754C" w14:textId="77777777" w:rsidR="003B017D" w:rsidRPr="00FF05AC" w:rsidRDefault="003B017D" w:rsidP="00DD0F8C">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FF05AC">
        <w:rPr>
          <w:rFonts w:ascii="Palatino Linotype" w:hAnsi="Palatino Linotype" w:cs="Arial"/>
          <w:color w:val="000000" w:themeColor="text1"/>
        </w:rPr>
        <w:t xml:space="preserve">En razón de lo anteriormente expuesto, este Instituto estima que las razones o motivos de inconformidad hechos valer por </w:t>
      </w:r>
      <w:r w:rsidRPr="00FF05AC">
        <w:rPr>
          <w:rFonts w:ascii="Palatino Linotype" w:hAnsi="Palatino Linotype" w:cs="Arial"/>
          <w:b/>
          <w:color w:val="000000" w:themeColor="text1"/>
        </w:rPr>
        <w:t>EL RECURRENTE</w:t>
      </w:r>
      <w:r w:rsidRPr="00FF05AC">
        <w:rPr>
          <w:rFonts w:ascii="Palatino Linotype" w:hAnsi="Palatino Linotype" w:cs="Arial"/>
          <w:color w:val="000000" w:themeColor="text1"/>
        </w:rPr>
        <w:t xml:space="preserve"> </w:t>
      </w:r>
      <w:r w:rsidRPr="00FF05AC">
        <w:rPr>
          <w:rFonts w:ascii="Palatino Linotype" w:hAnsi="Palatino Linotype" w:cs="Arial"/>
          <w:b/>
          <w:color w:val="000000" w:themeColor="text1"/>
        </w:rPr>
        <w:t>devienen parcialmente</w:t>
      </w:r>
      <w:r w:rsidRPr="00FF05AC">
        <w:rPr>
          <w:rFonts w:ascii="Palatino Linotype" w:hAnsi="Palatino Linotype" w:cs="Arial"/>
          <w:color w:val="000000" w:themeColor="text1"/>
        </w:rPr>
        <w:t xml:space="preserve"> </w:t>
      </w:r>
      <w:r w:rsidRPr="00FF05AC">
        <w:rPr>
          <w:rFonts w:ascii="Palatino Linotype" w:hAnsi="Palatino Linotype" w:cs="Arial"/>
          <w:b/>
          <w:color w:val="000000" w:themeColor="text1"/>
        </w:rPr>
        <w:t>fundadas</w:t>
      </w:r>
      <w:r w:rsidRPr="00FF05AC">
        <w:rPr>
          <w:rFonts w:ascii="Palatino Linotype" w:hAnsi="Palatino Linotype" w:cs="Arial"/>
          <w:color w:val="000000" w:themeColor="text1"/>
        </w:rPr>
        <w:t xml:space="preserve"> y suficientes para </w:t>
      </w:r>
      <w:r w:rsidRPr="00FF05AC">
        <w:rPr>
          <w:rFonts w:ascii="Palatino Linotype" w:hAnsi="Palatino Linotype" w:cs="Arial"/>
          <w:b/>
          <w:color w:val="000000" w:themeColor="text1"/>
        </w:rPr>
        <w:t>REVOCAR</w:t>
      </w:r>
      <w:r w:rsidRPr="00FF05AC">
        <w:rPr>
          <w:rFonts w:ascii="Palatino Linotype" w:hAnsi="Palatino Linotype" w:cs="Arial"/>
          <w:color w:val="000000" w:themeColor="text1"/>
        </w:rPr>
        <w:t xml:space="preserve"> las respuestas del </w:t>
      </w:r>
      <w:r w:rsidRPr="00FF05AC">
        <w:rPr>
          <w:rFonts w:ascii="Palatino Linotype" w:hAnsi="Palatino Linotype" w:cs="Arial"/>
          <w:b/>
          <w:color w:val="000000" w:themeColor="text1"/>
        </w:rPr>
        <w:t>SUJETO OBLIGADO</w:t>
      </w:r>
      <w:r w:rsidRPr="00FF05AC">
        <w:rPr>
          <w:rFonts w:ascii="Palatino Linotype" w:hAnsi="Palatino Linotype" w:cs="Arial"/>
          <w:color w:val="000000" w:themeColor="text1"/>
        </w:rPr>
        <w:t xml:space="preserve"> y ordenarle haga entrega de la información descrita en el presente Considerando.</w:t>
      </w:r>
    </w:p>
    <w:p w14:paraId="1662754D" w14:textId="1C7392AC" w:rsidR="003B017D" w:rsidRPr="00FF05AC" w:rsidRDefault="00DD0F8C" w:rsidP="00DD0F8C">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FF05AC">
        <w:rPr>
          <w:rFonts w:ascii="Palatino Linotype" w:hAnsi="Palatino Linotype" w:cs="Arial"/>
          <w:color w:val="000000" w:themeColor="text1"/>
        </w:rPr>
        <w:t xml:space="preserve">Por último, no se omite referir que dada la situación originada de la emergencia sanitaria causada por el Covid-19, se estima que de conformidad con el ordinal 186 de la Ley de la materia, y tomando en consideración la publicación en el periódico oficial “Gaceta del Gobierno” de fecha doce de febrero de dos mil veintiuno, en la que se establecen  las medidas para la continuación de actividades económicas, sociales y gubernamentales con motivo del virus entes referido en el Estado de México, y dado el volumen de información que se ordena, mismos que se deben entregar en versión pública, se estima conducente otorgar </w:t>
      </w:r>
      <w:r w:rsidR="00D03FE4" w:rsidRPr="00FF05AC">
        <w:rPr>
          <w:rFonts w:ascii="Palatino Linotype" w:hAnsi="Palatino Linotype" w:cs="Arial"/>
          <w:color w:val="000000" w:themeColor="text1"/>
        </w:rPr>
        <w:t>quince</w:t>
      </w:r>
      <w:r w:rsidRPr="00FF05AC">
        <w:rPr>
          <w:rFonts w:ascii="Palatino Linotype" w:hAnsi="Palatino Linotype" w:cs="Arial"/>
          <w:color w:val="000000" w:themeColor="text1"/>
        </w:rPr>
        <w:t xml:space="preserve"> días para el cumplimiento de la presente resolución.</w:t>
      </w:r>
    </w:p>
    <w:p w14:paraId="1662754E" w14:textId="77777777" w:rsidR="003B017D" w:rsidRPr="00FF05AC" w:rsidRDefault="003B017D" w:rsidP="003B017D">
      <w:pPr>
        <w:widowControl w:val="0"/>
        <w:autoSpaceDE w:val="0"/>
        <w:autoSpaceDN w:val="0"/>
        <w:adjustRightInd w:val="0"/>
        <w:spacing w:line="360" w:lineRule="auto"/>
        <w:jc w:val="both"/>
        <w:rPr>
          <w:rFonts w:ascii="Palatino Linotype" w:eastAsia="Calibri" w:hAnsi="Palatino Linotype" w:cs="Arial"/>
        </w:rPr>
      </w:pPr>
      <w:r w:rsidRPr="00FF05AC">
        <w:rPr>
          <w:rFonts w:ascii="Palatino Linotype" w:eastAsia="Calibri" w:hAnsi="Palatino Linotype" w:cs="Arial"/>
        </w:rPr>
        <w:t xml:space="preserve">Así, con </w:t>
      </w:r>
      <w:r w:rsidRPr="00FF05AC">
        <w:rPr>
          <w:rFonts w:ascii="Palatino Linotype" w:hAnsi="Palatino Linotype" w:cs="Arial"/>
        </w:rPr>
        <w:t>fundamento</w:t>
      </w:r>
      <w:r w:rsidRPr="00FF05AC">
        <w:rPr>
          <w:rFonts w:ascii="Palatino Linotype" w:eastAsia="Calibri" w:hAnsi="Palatino Linotype" w:cs="Arial"/>
        </w:rPr>
        <w:t xml:space="preserve"> en lo prescrito en los artículos 5, párrafos </w:t>
      </w:r>
      <w:r w:rsidR="00091B0C" w:rsidRPr="00FF05AC">
        <w:rPr>
          <w:rFonts w:ascii="Palatino Linotype" w:hAnsi="Palatino Linotype"/>
          <w:lang w:val="es-ES"/>
        </w:rPr>
        <w:t>trigésimo,</w:t>
      </w:r>
      <w:r w:rsidRPr="00FF05AC">
        <w:rPr>
          <w:rFonts w:ascii="Palatino Linotype" w:hAnsi="Palatino Linotype"/>
          <w:lang w:val="es-ES"/>
        </w:rPr>
        <w:t xml:space="preserve"> trigésimo primero</w:t>
      </w:r>
      <w:r w:rsidR="00091B0C" w:rsidRPr="00FF05AC">
        <w:rPr>
          <w:rFonts w:ascii="Palatino Linotype" w:hAnsi="Palatino Linotype" w:cs="Arial"/>
        </w:rPr>
        <w:t xml:space="preserve"> y trigésimo segundo, </w:t>
      </w:r>
      <w:r w:rsidRPr="00FF05AC">
        <w:rPr>
          <w:rFonts w:ascii="Palatino Linotype" w:hAnsi="Palatino Linotype"/>
        </w:rPr>
        <w:t>fracciones IV y V,</w:t>
      </w:r>
      <w:r w:rsidRPr="00FF05AC">
        <w:rPr>
          <w:rFonts w:ascii="Palatino Linotype" w:eastAsia="Calibri" w:hAnsi="Palatino Linotype" w:cs="Arial"/>
        </w:rPr>
        <w:t xml:space="preserve"> de la Constitución Política del Estado Libre y Soberano de </w:t>
      </w:r>
      <w:r w:rsidRPr="00FF05AC">
        <w:rPr>
          <w:rFonts w:ascii="Palatino Linotype" w:hAnsi="Palatino Linotype" w:cs="Arial"/>
          <w:lang w:val="es-ES_tradnl"/>
        </w:rPr>
        <w:t>México</w:t>
      </w:r>
      <w:r w:rsidRPr="00FF05AC">
        <w:rPr>
          <w:rFonts w:ascii="Palatino Linotype" w:eastAsia="Calibri" w:hAnsi="Palatino Linotype" w:cs="Arial"/>
        </w:rPr>
        <w:t xml:space="preserve">, y los artículos </w:t>
      </w:r>
      <w:r w:rsidRPr="00FF05AC">
        <w:rPr>
          <w:rFonts w:ascii="Palatino Linotype" w:hAnsi="Palatino Linotype"/>
        </w:rPr>
        <w:t xml:space="preserve">2, </w:t>
      </w:r>
      <w:r w:rsidRPr="00FF05AC">
        <w:rPr>
          <w:rFonts w:ascii="Palatino Linotype" w:hAnsi="Palatino Linotype" w:cs="Arial"/>
        </w:rPr>
        <w:t>fracción</w:t>
      </w:r>
      <w:r w:rsidRPr="00FF05AC">
        <w:rPr>
          <w:rFonts w:ascii="Palatino Linotype" w:hAnsi="Palatino Linotype"/>
        </w:rPr>
        <w:t xml:space="preserve"> II, 9, </w:t>
      </w:r>
      <w:r w:rsidRPr="00FF05AC">
        <w:rPr>
          <w:rFonts w:ascii="Palatino Linotype" w:hAnsi="Palatino Linotype" w:cs="Arial"/>
          <w:lang w:val="es-ES_tradnl"/>
        </w:rPr>
        <w:t>29</w:t>
      </w:r>
      <w:r w:rsidRPr="00FF05AC">
        <w:rPr>
          <w:rFonts w:ascii="Palatino Linotype" w:hAnsi="Palatino Linotype"/>
        </w:rPr>
        <w:t>, 36, fracciones I y II, 176, 178, 179, 181, 185, fracción I, 186 y 188,</w:t>
      </w:r>
      <w:r w:rsidRPr="00FF05AC">
        <w:rPr>
          <w:rFonts w:ascii="Palatino Linotype" w:eastAsia="Calibri" w:hAnsi="Palatino Linotype" w:cs="Arial"/>
        </w:rPr>
        <w:t xml:space="preserve"> de la Ley de Transparencia y Acceso a la Información Pública del Estado de México y </w:t>
      </w:r>
      <w:r w:rsidRPr="00FF05AC">
        <w:rPr>
          <w:rFonts w:ascii="Palatino Linotype" w:hAnsi="Palatino Linotype" w:cs="Arial"/>
        </w:rPr>
        <w:t>Municipios</w:t>
      </w:r>
      <w:r w:rsidRPr="00FF05AC">
        <w:rPr>
          <w:rFonts w:ascii="Palatino Linotype" w:eastAsia="Calibri" w:hAnsi="Palatino Linotype" w:cs="Arial"/>
        </w:rPr>
        <w:t xml:space="preserve">, </w:t>
      </w:r>
      <w:r w:rsidRPr="00FF05AC">
        <w:rPr>
          <w:rFonts w:ascii="Palatino Linotype" w:hAnsi="Palatino Linotype"/>
        </w:rPr>
        <w:t>este</w:t>
      </w:r>
      <w:r w:rsidRPr="00FF05AC">
        <w:rPr>
          <w:rFonts w:ascii="Palatino Linotype" w:eastAsia="Calibri" w:hAnsi="Palatino Linotype" w:cs="Arial"/>
        </w:rPr>
        <w:t xml:space="preserve"> Pleno:</w:t>
      </w:r>
    </w:p>
    <w:p w14:paraId="1662754F" w14:textId="77777777" w:rsidR="003B017D" w:rsidRPr="00FF05AC" w:rsidRDefault="003B017D" w:rsidP="003B017D">
      <w:pPr>
        <w:widowControl w:val="0"/>
        <w:autoSpaceDE w:val="0"/>
        <w:autoSpaceDN w:val="0"/>
        <w:adjustRightInd w:val="0"/>
        <w:spacing w:line="360" w:lineRule="auto"/>
        <w:jc w:val="both"/>
        <w:rPr>
          <w:rFonts w:ascii="Palatino Linotype" w:eastAsia="Calibri" w:hAnsi="Palatino Linotype" w:cs="Arial"/>
          <w:color w:val="000000" w:themeColor="text1"/>
        </w:rPr>
      </w:pPr>
    </w:p>
    <w:p w14:paraId="16627550" w14:textId="77777777" w:rsidR="003B017D" w:rsidRPr="00FF05AC" w:rsidRDefault="003B017D" w:rsidP="003B017D">
      <w:pPr>
        <w:jc w:val="center"/>
        <w:rPr>
          <w:rFonts w:ascii="Palatino Linotype" w:hAnsi="Palatino Linotype"/>
          <w:b/>
          <w:bCs/>
          <w:color w:val="000000" w:themeColor="text1"/>
          <w:spacing w:val="40"/>
          <w:sz w:val="28"/>
        </w:rPr>
      </w:pPr>
      <w:r w:rsidRPr="00FF05AC">
        <w:rPr>
          <w:rFonts w:ascii="Palatino Linotype" w:hAnsi="Palatino Linotype"/>
          <w:b/>
          <w:bCs/>
          <w:color w:val="000000" w:themeColor="text1"/>
          <w:spacing w:val="40"/>
          <w:sz w:val="28"/>
        </w:rPr>
        <w:t>RESUELVE</w:t>
      </w:r>
    </w:p>
    <w:p w14:paraId="16627551" w14:textId="7792A119" w:rsidR="003B017D" w:rsidRPr="00FF05AC" w:rsidRDefault="003B017D" w:rsidP="009D1401">
      <w:pPr>
        <w:spacing w:before="100" w:beforeAutospacing="1" w:after="100" w:afterAutospacing="1" w:line="360" w:lineRule="auto"/>
        <w:ind w:right="49"/>
        <w:jc w:val="both"/>
        <w:rPr>
          <w:rFonts w:ascii="Palatino Linotype" w:hAnsi="Palatino Linotype" w:cs="Arial"/>
        </w:rPr>
      </w:pPr>
      <w:r w:rsidRPr="00FF05AC">
        <w:rPr>
          <w:rFonts w:ascii="Palatino Linotype" w:hAnsi="Palatino Linotype" w:cs="Arial"/>
          <w:b/>
          <w:sz w:val="28"/>
          <w:szCs w:val="28"/>
        </w:rPr>
        <w:t>PRIMERO.</w:t>
      </w:r>
      <w:r w:rsidRPr="00FF05AC">
        <w:rPr>
          <w:rFonts w:ascii="Palatino Linotype" w:hAnsi="Palatino Linotype" w:cs="Arial"/>
        </w:rPr>
        <w:t xml:space="preserve"> Se deja sin efectos la Resolución de fecha </w:t>
      </w:r>
      <w:r w:rsidR="00D03FE4" w:rsidRPr="00FF05AC">
        <w:rPr>
          <w:rFonts w:ascii="Palatino Linotype" w:hAnsi="Palatino Linotype" w:cs="Arial"/>
        </w:rPr>
        <w:t>diez de febrero</w:t>
      </w:r>
      <w:r w:rsidR="00091B0C" w:rsidRPr="00FF05AC">
        <w:rPr>
          <w:rFonts w:ascii="Palatino Linotype" w:hAnsi="Palatino Linotype" w:cs="Arial"/>
        </w:rPr>
        <w:t xml:space="preserve"> de dos mil veintiuno, </w:t>
      </w:r>
      <w:r w:rsidR="009D1401" w:rsidRPr="00FF05AC">
        <w:rPr>
          <w:rFonts w:ascii="Palatino Linotype" w:hAnsi="Palatino Linotype" w:cs="Arial"/>
        </w:rPr>
        <w:t xml:space="preserve">recaída a los recursos </w:t>
      </w:r>
      <w:r w:rsidR="00D03FE4" w:rsidRPr="00FF05AC">
        <w:rPr>
          <w:rFonts w:ascii="Palatino Linotype" w:hAnsi="Palatino Linotype" w:cs="Arial"/>
        </w:rPr>
        <w:t xml:space="preserve">de revisión </w:t>
      </w:r>
      <w:r w:rsidR="00D03FE4" w:rsidRPr="00FF05AC">
        <w:rPr>
          <w:rFonts w:ascii="Palatino Linotype" w:hAnsi="Palatino Linotype" w:cs="Arial"/>
          <w:b/>
        </w:rPr>
        <w:t>05902/INFOEM/IP/RR</w:t>
      </w:r>
      <w:r w:rsidR="009D1401" w:rsidRPr="00FF05AC">
        <w:rPr>
          <w:rFonts w:ascii="Palatino Linotype" w:hAnsi="Palatino Linotype" w:cs="Arial"/>
          <w:b/>
        </w:rPr>
        <w:t>/2020</w:t>
      </w:r>
      <w:r w:rsidR="009D1401" w:rsidRPr="00FF05AC">
        <w:rPr>
          <w:rFonts w:ascii="Palatino Linotype" w:hAnsi="Palatino Linotype" w:cs="Arial"/>
        </w:rPr>
        <w:t xml:space="preserve">, </w:t>
      </w:r>
      <w:r w:rsidRPr="00FF05AC">
        <w:rPr>
          <w:rFonts w:ascii="Palatino Linotype" w:hAnsi="Palatino Linotype" w:cs="Arial"/>
        </w:rPr>
        <w:t xml:space="preserve">aprobada por </w:t>
      </w:r>
      <w:r w:rsidR="00091B0C" w:rsidRPr="00FF05AC">
        <w:rPr>
          <w:rFonts w:ascii="Palatino Linotype" w:hAnsi="Palatino Linotype" w:cs="Arial"/>
        </w:rPr>
        <w:t xml:space="preserve">unanimidad </w:t>
      </w:r>
      <w:r w:rsidRPr="00FF05AC">
        <w:rPr>
          <w:rFonts w:ascii="Palatino Linotype" w:hAnsi="Palatino Linotype" w:cs="Arial"/>
        </w:rPr>
        <w:t>de los integrantes del Pleno de</w:t>
      </w:r>
      <w:r w:rsidR="00114804" w:rsidRPr="00FF05AC">
        <w:rPr>
          <w:rFonts w:ascii="Palatino Linotype" w:hAnsi="Palatino Linotype" w:cs="Arial"/>
        </w:rPr>
        <w:t xml:space="preserve"> e</w:t>
      </w:r>
      <w:r w:rsidRPr="00FF05AC">
        <w:rPr>
          <w:rFonts w:ascii="Palatino Linotype" w:hAnsi="Palatino Linotype" w:cs="Arial"/>
        </w:rPr>
        <w:t xml:space="preserve">ste Instituto, en la </w:t>
      </w:r>
      <w:r w:rsidR="00114804" w:rsidRPr="00FF05AC">
        <w:rPr>
          <w:rFonts w:ascii="Palatino Linotype" w:hAnsi="Palatino Linotype" w:cs="Arial"/>
        </w:rPr>
        <w:t>Cuart</w:t>
      </w:r>
      <w:r w:rsidRPr="00FF05AC">
        <w:rPr>
          <w:rFonts w:ascii="Palatino Linotype" w:hAnsi="Palatino Linotype" w:cs="Arial"/>
        </w:rPr>
        <w:t>a Sesión Ordinaria.</w:t>
      </w:r>
    </w:p>
    <w:p w14:paraId="16627552" w14:textId="09DF1515" w:rsidR="003B017D" w:rsidRPr="00FF05AC" w:rsidRDefault="003B017D" w:rsidP="003B017D">
      <w:pPr>
        <w:spacing w:line="360" w:lineRule="auto"/>
        <w:jc w:val="both"/>
        <w:rPr>
          <w:rFonts w:ascii="Palatino Linotype" w:hAnsi="Palatino Linotype" w:cs="Arial"/>
          <w:lang w:val="es-ES"/>
        </w:rPr>
      </w:pPr>
      <w:r w:rsidRPr="00FF05AC">
        <w:rPr>
          <w:rFonts w:ascii="Palatino Linotype" w:hAnsi="Palatino Linotype" w:cs="Arial"/>
          <w:b/>
          <w:sz w:val="28"/>
          <w:szCs w:val="28"/>
          <w:lang w:val="es-ES"/>
        </w:rPr>
        <w:t>SEGUNDO</w:t>
      </w:r>
      <w:r w:rsidRPr="00FF05AC">
        <w:rPr>
          <w:rFonts w:ascii="Palatino Linotype" w:hAnsi="Palatino Linotype" w:cs="Arial"/>
          <w:sz w:val="28"/>
          <w:szCs w:val="28"/>
          <w:lang w:val="es-ES"/>
        </w:rPr>
        <w:t>.</w:t>
      </w:r>
      <w:r w:rsidRPr="00FF05AC">
        <w:rPr>
          <w:rFonts w:ascii="Palatino Linotype" w:hAnsi="Palatino Linotype" w:cs="Arial"/>
          <w:lang w:val="es-ES"/>
        </w:rPr>
        <w:t xml:space="preserve"> Resultan </w:t>
      </w:r>
      <w:r w:rsidRPr="00FF05AC">
        <w:rPr>
          <w:rFonts w:ascii="Palatino Linotype" w:hAnsi="Palatino Linotype" w:cs="Arial"/>
          <w:b/>
          <w:lang w:val="es-ES"/>
        </w:rPr>
        <w:t>parcialmente fundadas</w:t>
      </w:r>
      <w:r w:rsidRPr="00FF05AC">
        <w:rPr>
          <w:rFonts w:ascii="Palatino Linotype" w:hAnsi="Palatino Linotype" w:cs="Arial"/>
          <w:lang w:val="es-ES"/>
        </w:rPr>
        <w:t xml:space="preserve"> las razones o motivos de inconformidad planteadas por </w:t>
      </w:r>
      <w:r w:rsidRPr="00FF05AC">
        <w:rPr>
          <w:rFonts w:ascii="Palatino Linotype" w:hAnsi="Palatino Linotype" w:cs="Arial"/>
          <w:b/>
          <w:lang w:val="es-ES"/>
        </w:rPr>
        <w:t>EL RECURRENTE</w:t>
      </w:r>
      <w:r w:rsidRPr="00FF05AC">
        <w:rPr>
          <w:rFonts w:ascii="Palatino Linotype" w:hAnsi="Palatino Linotype" w:cs="Arial"/>
          <w:lang w:val="es-ES"/>
        </w:rPr>
        <w:t xml:space="preserve">, en términos del Considerando </w:t>
      </w:r>
      <w:r w:rsidR="004A1BA9" w:rsidRPr="00FF05AC">
        <w:rPr>
          <w:rFonts w:ascii="Palatino Linotype" w:hAnsi="Palatino Linotype" w:cs="Arial"/>
          <w:b/>
          <w:color w:val="000000" w:themeColor="text1"/>
          <w:lang w:val="es-ES"/>
        </w:rPr>
        <w:t>QUINTO</w:t>
      </w:r>
      <w:r w:rsidR="004A1BA9" w:rsidRPr="00FF05AC">
        <w:rPr>
          <w:rFonts w:ascii="Palatino Linotype" w:hAnsi="Palatino Linotype" w:cs="Arial"/>
          <w:color w:val="FF0000"/>
          <w:lang w:val="es-ES"/>
        </w:rPr>
        <w:t xml:space="preserve"> </w:t>
      </w:r>
      <w:r w:rsidRPr="00FF05AC">
        <w:rPr>
          <w:rFonts w:ascii="Palatino Linotype" w:hAnsi="Palatino Linotype" w:cs="Arial"/>
          <w:lang w:val="es-ES"/>
        </w:rPr>
        <w:t>de la presente resolución.</w:t>
      </w:r>
    </w:p>
    <w:p w14:paraId="16627553" w14:textId="77777777" w:rsidR="003B017D" w:rsidRPr="00FF05AC" w:rsidRDefault="003B017D" w:rsidP="003B017D">
      <w:pPr>
        <w:spacing w:line="360" w:lineRule="auto"/>
        <w:jc w:val="both"/>
        <w:rPr>
          <w:rFonts w:ascii="Palatino Linotype" w:hAnsi="Palatino Linotype" w:cs="Arial"/>
          <w:lang w:val="es-ES"/>
        </w:rPr>
      </w:pPr>
    </w:p>
    <w:p w14:paraId="16627554" w14:textId="06E582EE" w:rsidR="003B017D" w:rsidRPr="00FF05AC" w:rsidRDefault="003B017D" w:rsidP="003B017D">
      <w:pPr>
        <w:pStyle w:val="Prrafodelista"/>
        <w:widowControl w:val="0"/>
        <w:tabs>
          <w:tab w:val="left" w:pos="1701"/>
        </w:tabs>
        <w:autoSpaceDE w:val="0"/>
        <w:autoSpaceDN w:val="0"/>
        <w:adjustRightInd w:val="0"/>
        <w:spacing w:line="360" w:lineRule="auto"/>
        <w:ind w:left="0"/>
        <w:jc w:val="both"/>
        <w:rPr>
          <w:rFonts w:ascii="Palatino Linotype" w:hAnsi="Palatino Linotype" w:cs="Arial"/>
          <w:lang w:val="es-ES"/>
        </w:rPr>
      </w:pPr>
      <w:r w:rsidRPr="00FF05AC">
        <w:rPr>
          <w:rFonts w:ascii="Palatino Linotype" w:hAnsi="Palatino Linotype" w:cs="Arial"/>
          <w:b/>
          <w:color w:val="000000" w:themeColor="text1"/>
          <w:sz w:val="28"/>
          <w:szCs w:val="28"/>
          <w:lang w:val="es-ES"/>
        </w:rPr>
        <w:t>TERCERO</w:t>
      </w:r>
      <w:r w:rsidRPr="00FF05AC">
        <w:rPr>
          <w:rFonts w:ascii="Palatino Linotype" w:hAnsi="Palatino Linotype" w:cs="Arial"/>
          <w:color w:val="000000" w:themeColor="text1"/>
          <w:sz w:val="28"/>
          <w:szCs w:val="28"/>
          <w:lang w:val="es-ES"/>
        </w:rPr>
        <w:t>.</w:t>
      </w:r>
      <w:r w:rsidRPr="00FF05AC">
        <w:rPr>
          <w:rFonts w:ascii="Palatino Linotype" w:hAnsi="Palatino Linotype" w:cs="Arial"/>
          <w:color w:val="000000" w:themeColor="text1"/>
          <w:lang w:val="es-ES"/>
        </w:rPr>
        <w:t xml:space="preserve"> </w:t>
      </w:r>
      <w:r w:rsidRPr="00FF05AC">
        <w:rPr>
          <w:rFonts w:ascii="Palatino Linotype" w:eastAsia="Calibri" w:hAnsi="Palatino Linotype" w:cs="Arial"/>
          <w:color w:val="000000" w:themeColor="text1"/>
        </w:rPr>
        <w:t xml:space="preserve">Se </w:t>
      </w:r>
      <w:r w:rsidR="00D03FE4" w:rsidRPr="00FF05AC">
        <w:rPr>
          <w:rFonts w:ascii="Palatino Linotype" w:eastAsia="Calibri" w:hAnsi="Palatino Linotype" w:cs="Arial"/>
          <w:b/>
          <w:color w:val="000000" w:themeColor="text1"/>
        </w:rPr>
        <w:t>REVOCA</w:t>
      </w:r>
      <w:r w:rsidR="009D1401" w:rsidRPr="00FF05AC">
        <w:rPr>
          <w:rFonts w:ascii="Palatino Linotype" w:eastAsia="Calibri" w:hAnsi="Palatino Linotype" w:cs="Arial"/>
          <w:b/>
          <w:color w:val="000000" w:themeColor="text1"/>
        </w:rPr>
        <w:t xml:space="preserve"> </w:t>
      </w:r>
      <w:r w:rsidR="00D03FE4" w:rsidRPr="00FF05AC">
        <w:rPr>
          <w:rFonts w:ascii="Palatino Linotype" w:eastAsia="Calibri" w:hAnsi="Palatino Linotype" w:cs="Arial"/>
          <w:color w:val="000000" w:themeColor="text1"/>
        </w:rPr>
        <w:t>la respuesta</w:t>
      </w:r>
      <w:r w:rsidRPr="00FF05AC">
        <w:rPr>
          <w:rFonts w:ascii="Palatino Linotype" w:eastAsia="Calibri" w:hAnsi="Palatino Linotype" w:cs="Arial"/>
          <w:color w:val="000000" w:themeColor="text1"/>
        </w:rPr>
        <w:t xml:space="preserve"> proporcionada por </w:t>
      </w:r>
      <w:r w:rsidRPr="00FF05AC">
        <w:rPr>
          <w:rFonts w:ascii="Palatino Linotype" w:eastAsia="Calibri" w:hAnsi="Palatino Linotype" w:cs="Arial"/>
          <w:b/>
          <w:color w:val="000000" w:themeColor="text1"/>
        </w:rPr>
        <w:t xml:space="preserve">EL SUJETO OBLIGADO </w:t>
      </w:r>
      <w:r w:rsidRPr="00FF05AC">
        <w:rPr>
          <w:rFonts w:ascii="Palatino Linotype" w:eastAsia="Calibri" w:hAnsi="Palatino Linotype" w:cs="Arial"/>
          <w:color w:val="000000" w:themeColor="text1"/>
        </w:rPr>
        <w:t xml:space="preserve">y se </w:t>
      </w:r>
      <w:r w:rsidRPr="00FF05AC">
        <w:rPr>
          <w:rFonts w:ascii="Palatino Linotype" w:eastAsia="Calibri" w:hAnsi="Palatino Linotype" w:cs="Arial"/>
          <w:b/>
          <w:color w:val="000000" w:themeColor="text1"/>
        </w:rPr>
        <w:t xml:space="preserve">ordena </w:t>
      </w:r>
      <w:r w:rsidR="00D03FE4" w:rsidRPr="00FF05AC">
        <w:rPr>
          <w:rFonts w:ascii="Palatino Linotype" w:eastAsia="Calibri" w:hAnsi="Palatino Linotype" w:cs="Arial"/>
          <w:color w:val="000000" w:themeColor="text1"/>
        </w:rPr>
        <w:t>atienda la solicitud</w:t>
      </w:r>
      <w:r w:rsidRPr="00FF05AC">
        <w:rPr>
          <w:rFonts w:ascii="Palatino Linotype" w:eastAsia="Calibri" w:hAnsi="Palatino Linotype" w:cs="Arial"/>
          <w:color w:val="000000" w:themeColor="text1"/>
        </w:rPr>
        <w:t xml:space="preserve"> de información </w:t>
      </w:r>
      <w:r w:rsidR="00D03FE4" w:rsidRPr="00FF05AC">
        <w:rPr>
          <w:rFonts w:ascii="Palatino Linotype" w:hAnsi="Palatino Linotype"/>
        </w:rPr>
        <w:t>recaída en el</w:t>
      </w:r>
      <w:r w:rsidRPr="00FF05AC">
        <w:rPr>
          <w:rFonts w:ascii="Palatino Linotype" w:hAnsi="Palatino Linotype"/>
        </w:rPr>
        <w:t xml:space="preserve"> recurso de revisión </w:t>
      </w:r>
      <w:r w:rsidR="00091B0C" w:rsidRPr="00FF05AC">
        <w:rPr>
          <w:rFonts w:ascii="Palatino Linotype" w:hAnsi="Palatino Linotype"/>
          <w:b/>
          <w:color w:val="000000" w:themeColor="text1"/>
        </w:rPr>
        <w:t>0</w:t>
      </w:r>
      <w:r w:rsidR="00C857CC" w:rsidRPr="00FF05AC">
        <w:rPr>
          <w:rFonts w:ascii="Palatino Linotype" w:hAnsi="Palatino Linotype"/>
          <w:b/>
          <w:color w:val="000000" w:themeColor="text1"/>
        </w:rPr>
        <w:t>5902</w:t>
      </w:r>
      <w:r w:rsidR="00D03FE4" w:rsidRPr="00FF05AC">
        <w:rPr>
          <w:rFonts w:ascii="Palatino Linotype" w:hAnsi="Palatino Linotype"/>
          <w:b/>
          <w:color w:val="000000" w:themeColor="text1"/>
        </w:rPr>
        <w:t>/INFOEM/IP/RR/</w:t>
      </w:r>
      <w:r w:rsidR="00091B0C" w:rsidRPr="00FF05AC">
        <w:rPr>
          <w:rFonts w:ascii="Palatino Linotype" w:hAnsi="Palatino Linotype"/>
          <w:b/>
          <w:color w:val="000000" w:themeColor="text1"/>
        </w:rPr>
        <w:t>2020</w:t>
      </w:r>
      <w:r w:rsidRPr="00FF05AC">
        <w:rPr>
          <w:rFonts w:ascii="Palatino Linotype" w:hAnsi="Palatino Linotype"/>
          <w:b/>
          <w:color w:val="000000" w:themeColor="text1"/>
        </w:rPr>
        <w:t xml:space="preserve">, </w:t>
      </w:r>
      <w:r w:rsidRPr="00FF05AC">
        <w:rPr>
          <w:rFonts w:ascii="Palatino Linotype" w:hAnsi="Palatino Linotype"/>
        </w:rPr>
        <w:t>en términos del Considerando</w:t>
      </w:r>
      <w:r w:rsidR="004A1BA9" w:rsidRPr="00FF05AC">
        <w:rPr>
          <w:rFonts w:ascii="Palatino Linotype" w:hAnsi="Palatino Linotype"/>
        </w:rPr>
        <w:t xml:space="preserve"> </w:t>
      </w:r>
      <w:r w:rsidR="004A1BA9" w:rsidRPr="00FF05AC">
        <w:rPr>
          <w:rFonts w:ascii="Palatino Linotype" w:hAnsi="Palatino Linotype"/>
          <w:b/>
        </w:rPr>
        <w:t>QUINTO</w:t>
      </w:r>
      <w:r w:rsidR="000A70FC" w:rsidRPr="00FF05AC">
        <w:rPr>
          <w:rFonts w:ascii="Palatino Linotype" w:hAnsi="Palatino Linotype"/>
          <w:b/>
        </w:rPr>
        <w:t xml:space="preserve"> </w:t>
      </w:r>
      <w:r w:rsidRPr="00FF05AC">
        <w:rPr>
          <w:rFonts w:ascii="Palatino Linotype" w:hAnsi="Palatino Linotype" w:cs="Arial"/>
          <w:color w:val="000000" w:themeColor="text1"/>
          <w:lang w:val="es-ES"/>
        </w:rPr>
        <w:t xml:space="preserve">de la presente resolución, </w:t>
      </w:r>
      <w:r w:rsidRPr="00FF05AC">
        <w:rPr>
          <w:rFonts w:ascii="Palatino Linotype" w:hAnsi="Palatino Linotype" w:cs="Arial"/>
          <w:lang w:val="es-ES"/>
        </w:rPr>
        <w:t xml:space="preserve">y haga entrega al </w:t>
      </w:r>
      <w:r w:rsidRPr="00FF05AC">
        <w:rPr>
          <w:rFonts w:ascii="Palatino Linotype" w:hAnsi="Palatino Linotype" w:cs="Arial"/>
          <w:b/>
          <w:lang w:val="es-ES"/>
        </w:rPr>
        <w:t>RECURRENTE</w:t>
      </w:r>
      <w:r w:rsidRPr="00FF05AC">
        <w:rPr>
          <w:rFonts w:ascii="Palatino Linotype" w:hAnsi="Palatino Linotype" w:cs="Arial"/>
          <w:lang w:val="es-ES"/>
        </w:rPr>
        <w:t xml:space="preserve">, </w:t>
      </w:r>
      <w:r w:rsidR="000A70FC" w:rsidRPr="00FF05AC">
        <w:rPr>
          <w:rFonts w:ascii="Palatino Linotype" w:hAnsi="Palatino Linotype" w:cs="Arial"/>
          <w:lang w:val="es-ES"/>
        </w:rPr>
        <w:t xml:space="preserve">respecto del Juicio contencioso administrativo </w:t>
      </w:r>
      <w:r w:rsidR="00CF5B5E">
        <w:rPr>
          <w:rFonts w:ascii="Palatino Linotype" w:hAnsi="Palatino Linotype" w:cs="Arial"/>
          <w:lang w:val="es-ES"/>
        </w:rPr>
        <w:t>XXXXXXXX</w:t>
      </w:r>
      <w:r w:rsidR="000A70FC" w:rsidRPr="00FF05AC">
        <w:rPr>
          <w:rFonts w:ascii="Palatino Linotype" w:hAnsi="Palatino Linotype" w:cs="Arial"/>
          <w:lang w:val="es-ES"/>
        </w:rPr>
        <w:t xml:space="preserve"> del índice de la Sexta Sala Regional del Tribunal de Justicia Administrativa del Estado de México, en </w:t>
      </w:r>
      <w:r w:rsidR="000A70FC" w:rsidRPr="00FF05AC">
        <w:rPr>
          <w:rFonts w:ascii="Palatino Linotype" w:hAnsi="Palatino Linotype" w:cs="Arial"/>
          <w:b/>
          <w:lang w:val="es-ES"/>
        </w:rPr>
        <w:t>versión pública</w:t>
      </w:r>
      <w:r w:rsidR="000A70FC" w:rsidRPr="00FF05AC">
        <w:rPr>
          <w:rFonts w:ascii="Palatino Linotype" w:hAnsi="Palatino Linotype" w:cs="Arial"/>
          <w:lang w:val="es-ES"/>
        </w:rPr>
        <w:t xml:space="preserve">, de </w:t>
      </w:r>
      <w:r w:rsidR="001207CB" w:rsidRPr="00FF05AC">
        <w:rPr>
          <w:rFonts w:ascii="Palatino Linotype" w:hAnsi="Palatino Linotype" w:cs="Arial"/>
          <w:lang w:val="es-ES"/>
        </w:rPr>
        <w:t xml:space="preserve">lo </w:t>
      </w:r>
      <w:r w:rsidRPr="00FF05AC">
        <w:rPr>
          <w:rFonts w:ascii="Palatino Linotype" w:hAnsi="Palatino Linotype" w:cs="Arial"/>
          <w:lang w:val="es-ES"/>
        </w:rPr>
        <w:t>siguiente:</w:t>
      </w:r>
    </w:p>
    <w:p w14:paraId="76A72F27" w14:textId="3DC5E40C" w:rsidR="001207CB" w:rsidRPr="00FF05AC" w:rsidRDefault="003B017D" w:rsidP="000A70FC">
      <w:pPr>
        <w:spacing w:before="100" w:beforeAutospacing="1" w:after="100" w:afterAutospacing="1"/>
        <w:ind w:left="851" w:right="902"/>
        <w:jc w:val="both"/>
        <w:rPr>
          <w:rFonts w:ascii="Palatino Linotype" w:hAnsi="Palatino Linotype"/>
          <w:i/>
          <w:iCs/>
          <w:color w:val="222222"/>
          <w:sz w:val="22"/>
          <w:szCs w:val="22"/>
        </w:rPr>
      </w:pPr>
      <w:r w:rsidRPr="00FF05AC">
        <w:rPr>
          <w:rFonts w:ascii="Palatino Linotype" w:hAnsi="Palatino Linotype"/>
          <w:i/>
          <w:iCs/>
          <w:color w:val="222222"/>
          <w:sz w:val="22"/>
          <w:szCs w:val="22"/>
        </w:rPr>
        <w:t>“</w:t>
      </w:r>
      <w:r w:rsidR="000A70FC" w:rsidRPr="00FF05AC">
        <w:rPr>
          <w:rFonts w:ascii="Palatino Linotype" w:hAnsi="Palatino Linotype"/>
          <w:i/>
          <w:iCs/>
          <w:color w:val="222222"/>
          <w:sz w:val="22"/>
          <w:szCs w:val="22"/>
        </w:rPr>
        <w:t xml:space="preserve">a) Ponga a su disposición la información </w:t>
      </w:r>
      <w:r w:rsidR="001207CB" w:rsidRPr="00FF05AC">
        <w:rPr>
          <w:rFonts w:ascii="Palatino Linotype" w:hAnsi="Palatino Linotype"/>
          <w:i/>
          <w:iCs/>
          <w:color w:val="222222"/>
          <w:sz w:val="22"/>
          <w:szCs w:val="22"/>
        </w:rPr>
        <w:t>mediante consulta directa de manera gratuita o a través de la expedición de copias simples o certificadas</w:t>
      </w:r>
      <w:r w:rsidR="000A70FC" w:rsidRPr="00FF05AC">
        <w:rPr>
          <w:rFonts w:ascii="Palatino Linotype" w:hAnsi="Palatino Linotype"/>
          <w:i/>
          <w:iCs/>
          <w:color w:val="222222"/>
          <w:sz w:val="22"/>
          <w:szCs w:val="22"/>
        </w:rPr>
        <w:t xml:space="preserve"> (previendo la gratuidad en las primeras veinte hojas) informando los costos de reproducción y, de envío en su caso,</w:t>
      </w:r>
      <w:r w:rsidR="001207CB" w:rsidRPr="00FF05AC">
        <w:rPr>
          <w:rFonts w:ascii="Palatino Linotype" w:hAnsi="Palatino Linotype"/>
          <w:i/>
          <w:iCs/>
          <w:color w:val="222222"/>
          <w:sz w:val="22"/>
          <w:szCs w:val="22"/>
        </w:rPr>
        <w:t xml:space="preserve"> en versión pública</w:t>
      </w:r>
      <w:r w:rsidR="000A70FC" w:rsidRPr="00FF05AC">
        <w:rPr>
          <w:rFonts w:ascii="Palatino Linotype" w:hAnsi="Palatino Linotype"/>
          <w:i/>
          <w:iCs/>
          <w:color w:val="222222"/>
          <w:sz w:val="22"/>
          <w:szCs w:val="22"/>
        </w:rPr>
        <w:t xml:space="preserve"> el escrito inicial de demanda y los documentos anexos como prueba.</w:t>
      </w:r>
    </w:p>
    <w:p w14:paraId="30C66E28" w14:textId="3A77548A" w:rsidR="009B4ED0" w:rsidRPr="00FF05AC" w:rsidRDefault="009B4ED0" w:rsidP="000A70FC">
      <w:pPr>
        <w:spacing w:before="100" w:beforeAutospacing="1" w:after="100" w:afterAutospacing="1"/>
        <w:ind w:left="851" w:right="902"/>
        <w:jc w:val="both"/>
        <w:rPr>
          <w:rFonts w:ascii="Palatino Linotype" w:hAnsi="Palatino Linotype"/>
          <w:i/>
          <w:iCs/>
          <w:color w:val="222222"/>
          <w:sz w:val="22"/>
          <w:szCs w:val="22"/>
        </w:rPr>
      </w:pPr>
      <w:r w:rsidRPr="00FF05AC">
        <w:rPr>
          <w:rFonts w:ascii="Palatino Linotype" w:hAnsi="Palatino Linotype"/>
          <w:i/>
          <w:iCs/>
          <w:color w:val="222222"/>
          <w:sz w:val="22"/>
          <w:szCs w:val="22"/>
        </w:rPr>
        <w:t xml:space="preserve">A efecto de dar cumplimiento respecto de la modalidad de entrega, </w:t>
      </w:r>
      <w:r w:rsidRPr="00FF05AC">
        <w:rPr>
          <w:rFonts w:ascii="Palatino Linotype" w:hAnsi="Palatino Linotype"/>
          <w:b/>
          <w:i/>
          <w:iCs/>
          <w:color w:val="222222"/>
          <w:sz w:val="22"/>
          <w:szCs w:val="22"/>
        </w:rPr>
        <w:t>EL SUJETO OBLIGADO</w:t>
      </w:r>
      <w:r w:rsidRPr="00FF05AC">
        <w:rPr>
          <w:rFonts w:ascii="Palatino Linotype" w:hAnsi="Palatino Linotype"/>
          <w:i/>
          <w:iCs/>
          <w:color w:val="222222"/>
          <w:sz w:val="22"/>
          <w:szCs w:val="22"/>
        </w:rPr>
        <w:t xml:space="preserve"> deberá indicar el lugar, fecha, hora y servidor público que </w:t>
      </w:r>
      <w:r w:rsidR="000A70FC" w:rsidRPr="00FF05AC">
        <w:rPr>
          <w:rFonts w:ascii="Palatino Linotype" w:hAnsi="Palatino Linotype"/>
          <w:i/>
          <w:iCs/>
          <w:color w:val="222222"/>
          <w:sz w:val="22"/>
          <w:szCs w:val="22"/>
        </w:rPr>
        <w:t>lo atenderá así como el procedimiento para acceder a la información.</w:t>
      </w:r>
    </w:p>
    <w:p w14:paraId="74123D1F" w14:textId="0ABF1E82" w:rsidR="000A70FC" w:rsidRPr="00FF05AC" w:rsidRDefault="000A70FC" w:rsidP="000A70FC">
      <w:pPr>
        <w:spacing w:before="100" w:beforeAutospacing="1" w:after="100" w:afterAutospacing="1"/>
        <w:ind w:left="851" w:right="902"/>
        <w:jc w:val="both"/>
        <w:rPr>
          <w:rFonts w:ascii="Palatino Linotype" w:hAnsi="Palatino Linotype"/>
          <w:i/>
          <w:iCs/>
          <w:color w:val="222222"/>
          <w:sz w:val="22"/>
          <w:szCs w:val="22"/>
        </w:rPr>
      </w:pPr>
      <w:r w:rsidRPr="00FF05AC">
        <w:rPr>
          <w:rFonts w:ascii="Palatino Linotype" w:hAnsi="Palatino Linotype"/>
          <w:i/>
          <w:iCs/>
          <w:color w:val="222222"/>
          <w:sz w:val="22"/>
          <w:szCs w:val="22"/>
        </w:rPr>
        <w:t>b) L</w:t>
      </w:r>
      <w:r w:rsidR="00D03FE4" w:rsidRPr="00FF05AC">
        <w:rPr>
          <w:rFonts w:ascii="Palatino Linotype" w:hAnsi="Palatino Linotype"/>
          <w:i/>
          <w:iCs/>
          <w:color w:val="222222"/>
          <w:sz w:val="22"/>
          <w:szCs w:val="22"/>
        </w:rPr>
        <w:t>a se</w:t>
      </w:r>
      <w:r w:rsidR="002F2839" w:rsidRPr="00FF05AC">
        <w:rPr>
          <w:rFonts w:ascii="Palatino Linotype" w:hAnsi="Palatino Linotype"/>
          <w:i/>
          <w:iCs/>
          <w:color w:val="222222"/>
          <w:sz w:val="22"/>
          <w:szCs w:val="22"/>
        </w:rPr>
        <w:t>ntencia de 28 de agosto de 2017</w:t>
      </w:r>
      <w:r w:rsidRPr="00FF05AC">
        <w:rPr>
          <w:rFonts w:ascii="Palatino Linotype" w:hAnsi="Palatino Linotype"/>
          <w:i/>
          <w:iCs/>
          <w:color w:val="222222"/>
          <w:sz w:val="22"/>
          <w:szCs w:val="22"/>
        </w:rPr>
        <w:t>,</w:t>
      </w:r>
      <w:r w:rsidR="002F2839" w:rsidRPr="00FF05AC">
        <w:rPr>
          <w:rFonts w:ascii="Palatino Linotype" w:hAnsi="Palatino Linotype"/>
          <w:i/>
          <w:iCs/>
          <w:color w:val="222222"/>
          <w:sz w:val="22"/>
          <w:szCs w:val="22"/>
        </w:rPr>
        <w:t xml:space="preserve"> </w:t>
      </w:r>
      <w:r w:rsidR="00D03FE4" w:rsidRPr="00FF05AC">
        <w:rPr>
          <w:rFonts w:ascii="Palatino Linotype" w:hAnsi="Palatino Linotype"/>
          <w:i/>
          <w:iCs/>
          <w:color w:val="222222"/>
          <w:sz w:val="22"/>
          <w:szCs w:val="22"/>
        </w:rPr>
        <w:t>que resolvió el asunto</w:t>
      </w:r>
      <w:r w:rsidRPr="00FF05AC">
        <w:rPr>
          <w:rFonts w:ascii="Palatino Linotype" w:hAnsi="Palatino Linotype"/>
          <w:i/>
          <w:iCs/>
          <w:color w:val="222222"/>
          <w:sz w:val="22"/>
          <w:szCs w:val="22"/>
        </w:rPr>
        <w:t>, vía el SAIMEX:</w:t>
      </w:r>
    </w:p>
    <w:p w14:paraId="16627559" w14:textId="6CB627B9" w:rsidR="003B017D" w:rsidRPr="00FF05AC" w:rsidRDefault="003B017D" w:rsidP="000A70FC">
      <w:pPr>
        <w:spacing w:before="100" w:beforeAutospacing="1" w:after="100" w:afterAutospacing="1"/>
        <w:ind w:left="851" w:right="902"/>
        <w:jc w:val="both"/>
        <w:rPr>
          <w:rFonts w:ascii="Palatino Linotype" w:hAnsi="Palatino Linotype"/>
          <w:i/>
          <w:iCs/>
          <w:color w:val="222222"/>
          <w:sz w:val="22"/>
          <w:szCs w:val="22"/>
        </w:rPr>
      </w:pPr>
      <w:r w:rsidRPr="00FF05AC">
        <w:rPr>
          <w:rFonts w:ascii="Palatino Linotype" w:hAnsi="Palatino Linotype"/>
          <w:i/>
          <w:iCs/>
          <w:color w:val="222222"/>
          <w:sz w:val="22"/>
          <w:szCs w:val="22"/>
        </w:rPr>
        <w:t xml:space="preserve">Debiendo notificar al </w:t>
      </w:r>
      <w:r w:rsidRPr="00FF05AC">
        <w:rPr>
          <w:rFonts w:ascii="Palatino Linotype" w:hAnsi="Palatino Linotype"/>
          <w:b/>
          <w:i/>
          <w:iCs/>
          <w:color w:val="222222"/>
          <w:sz w:val="22"/>
          <w:szCs w:val="22"/>
        </w:rPr>
        <w:t>RECURRENTE</w:t>
      </w:r>
      <w:r w:rsidRPr="00FF05AC">
        <w:rPr>
          <w:rFonts w:ascii="Palatino Linotype" w:hAnsi="Palatino Linotype"/>
          <w:i/>
          <w:iCs/>
          <w:color w:val="222222"/>
          <w:sz w:val="22"/>
          <w:szCs w:val="22"/>
        </w:rPr>
        <w:t xml:space="preserve"> el Acuerdo de Clasificación de la información que emita el Comité de Transparencia co</w:t>
      </w:r>
      <w:r w:rsidR="002F2839" w:rsidRPr="00FF05AC">
        <w:rPr>
          <w:rFonts w:ascii="Palatino Linotype" w:hAnsi="Palatino Linotype"/>
          <w:i/>
          <w:iCs/>
          <w:color w:val="222222"/>
          <w:sz w:val="22"/>
          <w:szCs w:val="22"/>
        </w:rPr>
        <w:t>n motivo de la versión pública</w:t>
      </w:r>
      <w:r w:rsidR="000A70FC" w:rsidRPr="00FF05AC">
        <w:rPr>
          <w:rFonts w:ascii="Palatino Linotype" w:hAnsi="Palatino Linotype"/>
          <w:i/>
          <w:iCs/>
          <w:color w:val="222222"/>
          <w:sz w:val="22"/>
          <w:szCs w:val="22"/>
        </w:rPr>
        <w:t>, en las que podrá testar firmas de particulares, el nombre, domicilio y la ubicación, medidas y/o dimensiones, así como denominación del fraccionamiento, relativos a la personal moral que promovió el juicio, con fundamento en el artículo 143, fracción I, de la Ley Transparencia y Acceso a la Información Pública del Estado de México y Municipios, así como cualquier otro dato, que actualice su confidencialidad en términos del numeral citado</w:t>
      </w:r>
      <w:r w:rsidRPr="00FF05AC">
        <w:rPr>
          <w:rFonts w:ascii="Palatino Linotype" w:hAnsi="Palatino Linotype"/>
          <w:i/>
          <w:sz w:val="22"/>
          <w:szCs w:val="22"/>
        </w:rPr>
        <w:t>.”</w:t>
      </w:r>
    </w:p>
    <w:p w14:paraId="1662755A" w14:textId="77777777" w:rsidR="003B017D" w:rsidRPr="00FF05AC" w:rsidRDefault="003B017D" w:rsidP="003B017D">
      <w:pPr>
        <w:jc w:val="both"/>
        <w:rPr>
          <w:rFonts w:ascii="Palatino Linotype" w:hAnsi="Palatino Linotype"/>
          <w:b/>
          <w:color w:val="222222"/>
          <w:sz w:val="28"/>
          <w:szCs w:val="28"/>
          <w:shd w:val="clear" w:color="auto" w:fill="FFFFFF"/>
        </w:rPr>
      </w:pPr>
    </w:p>
    <w:p w14:paraId="1662755B" w14:textId="0D7BBD17" w:rsidR="003B017D" w:rsidRPr="00FF05AC" w:rsidRDefault="003B017D" w:rsidP="003B017D">
      <w:pPr>
        <w:spacing w:line="360" w:lineRule="auto"/>
        <w:jc w:val="both"/>
        <w:rPr>
          <w:rFonts w:ascii="Palatino Linotype" w:hAnsi="Palatino Linotype"/>
          <w:color w:val="000000" w:themeColor="text1"/>
          <w:szCs w:val="17"/>
          <w:lang w:eastAsia="es-ES_tradnl"/>
        </w:rPr>
      </w:pPr>
      <w:r w:rsidRPr="00FF05AC">
        <w:rPr>
          <w:rFonts w:ascii="Palatino Linotype" w:hAnsi="Palatino Linotype"/>
          <w:b/>
          <w:color w:val="000000" w:themeColor="text1"/>
          <w:sz w:val="28"/>
          <w:szCs w:val="28"/>
          <w:shd w:val="clear" w:color="auto" w:fill="FFFFFF"/>
        </w:rPr>
        <w:t>CUARTO.</w:t>
      </w:r>
      <w:r w:rsidRPr="00FF05AC">
        <w:rPr>
          <w:rFonts w:ascii="Palatino Linotype" w:hAnsi="Palatino Linotype"/>
          <w:b/>
          <w:color w:val="000000" w:themeColor="text1"/>
          <w:shd w:val="clear" w:color="auto" w:fill="FFFFFF"/>
        </w:rPr>
        <w:t> </w:t>
      </w:r>
      <w:r w:rsidRPr="00FF05AC">
        <w:rPr>
          <w:rFonts w:ascii="Palatino Linotype" w:hAnsi="Palatino Linotype"/>
          <w:b/>
          <w:color w:val="000000" w:themeColor="text1"/>
          <w:lang w:eastAsia="es-ES_tradnl"/>
        </w:rPr>
        <w:t>Notifíquese</w:t>
      </w:r>
      <w:r w:rsidRPr="00FF05AC">
        <w:rPr>
          <w:rFonts w:ascii="Palatino Linotype" w:hAnsi="Palatino Linotype"/>
          <w:color w:val="000000" w:themeColor="text1"/>
          <w:lang w:eastAsia="es-ES_tradnl"/>
        </w:rPr>
        <w:t xml:space="preserve"> </w:t>
      </w:r>
      <w:r w:rsidRPr="00FF05AC">
        <w:rPr>
          <w:rFonts w:ascii="Palatino Linotype" w:hAnsi="Palatino Linotype"/>
          <w:color w:val="000000" w:themeColor="text1"/>
          <w:szCs w:val="17"/>
          <w:lang w:eastAsia="es-ES_tradnl"/>
        </w:rPr>
        <w:t>a</w:t>
      </w:r>
      <w:r w:rsidR="004A1BA9" w:rsidRPr="00FF05AC">
        <w:rPr>
          <w:rFonts w:ascii="Palatino Linotype" w:hAnsi="Palatino Linotype"/>
          <w:color w:val="000000" w:themeColor="text1"/>
          <w:szCs w:val="17"/>
          <w:lang w:eastAsia="es-ES_tradnl"/>
        </w:rPr>
        <w:t xml:space="preserve"> </w:t>
      </w:r>
      <w:r w:rsidRPr="00FF05AC">
        <w:rPr>
          <w:rFonts w:ascii="Palatino Linotype" w:hAnsi="Palatino Linotype"/>
          <w:color w:val="000000" w:themeColor="text1"/>
          <w:szCs w:val="17"/>
          <w:lang w:eastAsia="es-ES_tradnl"/>
        </w:rPr>
        <w:t>l</w:t>
      </w:r>
      <w:r w:rsidR="004A1BA9" w:rsidRPr="00FF05AC">
        <w:rPr>
          <w:rFonts w:ascii="Palatino Linotype" w:hAnsi="Palatino Linotype"/>
          <w:color w:val="000000" w:themeColor="text1"/>
          <w:szCs w:val="17"/>
          <w:lang w:eastAsia="es-ES_tradnl"/>
        </w:rPr>
        <w:t>a</w:t>
      </w:r>
      <w:r w:rsidRPr="00FF05AC">
        <w:rPr>
          <w:rFonts w:ascii="Palatino Linotype" w:hAnsi="Palatino Linotype"/>
          <w:color w:val="000000" w:themeColor="text1"/>
          <w:szCs w:val="17"/>
          <w:lang w:eastAsia="es-ES_tradnl"/>
        </w:rPr>
        <w:t xml:space="preserve"> Titular de la Unidad de Transparencia del </w:t>
      </w:r>
      <w:r w:rsidRPr="00FF05AC">
        <w:rPr>
          <w:rFonts w:ascii="Palatino Linotype" w:hAnsi="Palatino Linotype"/>
          <w:b/>
          <w:color w:val="000000" w:themeColor="text1"/>
          <w:szCs w:val="17"/>
          <w:lang w:eastAsia="es-ES_tradnl"/>
        </w:rPr>
        <w:t>SUJETO OBLIGADO</w:t>
      </w:r>
      <w:r w:rsidRPr="00FF05AC">
        <w:rPr>
          <w:rFonts w:ascii="Palatino Linotype" w:hAnsi="Palatino Linotype"/>
          <w:color w:val="000000" w:themeColor="text1"/>
          <w:szCs w:val="17"/>
          <w:lang w:eastAsia="es-ES_tradnl"/>
        </w:rPr>
        <w:t>, para que conforme a los artículos 186, último párrafo y 189, párrafo segundo de la Ley de Transparencia y Acceso a la Información Pública del Estado de México y Municipios, dé cumplimiento a lo ordenado dentro del plazo de</w:t>
      </w:r>
      <w:r w:rsidR="004A1BA9" w:rsidRPr="00FF05AC">
        <w:rPr>
          <w:rFonts w:ascii="Palatino Linotype" w:hAnsi="Palatino Linotype"/>
          <w:color w:val="000000" w:themeColor="text1"/>
          <w:szCs w:val="17"/>
          <w:lang w:eastAsia="es-ES_tradnl"/>
        </w:rPr>
        <w:t xml:space="preserve"> quince </w:t>
      </w:r>
      <w:r w:rsidRPr="00FF05AC">
        <w:rPr>
          <w:rFonts w:ascii="Palatino Linotype" w:hAnsi="Palatino Linotype"/>
          <w:color w:val="000000" w:themeColor="text1"/>
          <w:szCs w:val="17"/>
          <w:lang w:eastAsia="es-ES_tradnl"/>
        </w:rPr>
        <w:t>días hábiles, debiendo informar a este Instituto en un plazo de tres días hábiles siguientes sobre el cumplimiento dado a la presente resolución.</w:t>
      </w:r>
    </w:p>
    <w:p w14:paraId="1662755C" w14:textId="77777777" w:rsidR="003B017D" w:rsidRPr="00FF05AC" w:rsidRDefault="003B017D" w:rsidP="003B017D">
      <w:pPr>
        <w:spacing w:line="360" w:lineRule="auto"/>
        <w:ind w:right="49"/>
        <w:jc w:val="both"/>
        <w:rPr>
          <w:rFonts w:ascii="Palatino Linotype" w:hAnsi="Palatino Linotype"/>
          <w:b/>
          <w:color w:val="000000" w:themeColor="text1"/>
          <w:shd w:val="clear" w:color="auto" w:fill="FFFFFF"/>
        </w:rPr>
      </w:pPr>
    </w:p>
    <w:p w14:paraId="1662755D" w14:textId="77777777" w:rsidR="003B017D" w:rsidRPr="00FF05AC" w:rsidRDefault="003B017D" w:rsidP="003B017D">
      <w:pPr>
        <w:spacing w:line="360" w:lineRule="auto"/>
        <w:ind w:right="49"/>
        <w:jc w:val="both"/>
        <w:rPr>
          <w:rFonts w:ascii="Palatino Linotype" w:hAnsi="Palatino Linotype"/>
          <w:color w:val="000000" w:themeColor="text1"/>
          <w:szCs w:val="17"/>
          <w:lang w:eastAsia="es-ES_tradnl"/>
        </w:rPr>
      </w:pPr>
      <w:r w:rsidRPr="00FF05AC">
        <w:rPr>
          <w:rFonts w:ascii="Palatino Linotype" w:hAnsi="Palatino Linotype" w:cs="Arial"/>
          <w:b/>
          <w:bCs/>
          <w:color w:val="000000" w:themeColor="text1"/>
          <w:sz w:val="28"/>
          <w:lang w:eastAsia="es-MX"/>
        </w:rPr>
        <w:t xml:space="preserve">QUINTO. </w:t>
      </w:r>
      <w:r w:rsidRPr="00FF05AC">
        <w:rPr>
          <w:rFonts w:ascii="Palatino Linotype" w:hAnsi="Palatino Linotype"/>
          <w:color w:val="000000" w:themeColor="text1"/>
          <w:szCs w:val="17"/>
          <w:lang w:eastAsia="es-ES_tradnl"/>
        </w:rPr>
        <w:t xml:space="preserve">Con fundamento en el artículo 198 de la Ley de Transparencia y Acceso a la Información Pública del Estado de México y Municipios, se apercibe al </w:t>
      </w:r>
      <w:r w:rsidRPr="00FF05AC">
        <w:rPr>
          <w:rFonts w:ascii="Palatino Linotype" w:hAnsi="Palatino Linotype"/>
          <w:b/>
          <w:color w:val="000000" w:themeColor="text1"/>
          <w:szCs w:val="17"/>
          <w:lang w:eastAsia="es-ES_tradnl"/>
        </w:rPr>
        <w:t>SUJETO OBLIGADO</w:t>
      </w:r>
      <w:r w:rsidRPr="00FF05AC">
        <w:rPr>
          <w:rFonts w:ascii="Palatino Linotype" w:hAnsi="Palatino Linotype"/>
          <w:color w:val="000000" w:themeColor="text1"/>
          <w:szCs w:val="17"/>
          <w:lang w:eastAsia="es-ES_tradnl"/>
        </w:rPr>
        <w:t xml:space="preserve"> que, en caso de negarse a cumplir la presente resolución o hacerlo de manera parcial se actuará de conformidad con lo previsto en los artículos 213, 214, 216 y 217 de dicha Ley.</w:t>
      </w:r>
    </w:p>
    <w:p w14:paraId="1662755E" w14:textId="77777777" w:rsidR="003B017D" w:rsidRPr="00FF05AC" w:rsidRDefault="003B017D" w:rsidP="003B017D">
      <w:pPr>
        <w:spacing w:line="360" w:lineRule="auto"/>
        <w:ind w:right="49"/>
        <w:jc w:val="both"/>
        <w:rPr>
          <w:rFonts w:ascii="Palatino Linotype" w:hAnsi="Palatino Linotype"/>
          <w:color w:val="000000" w:themeColor="text1"/>
          <w:shd w:val="clear" w:color="auto" w:fill="FFFFFF"/>
          <w:lang w:eastAsia="es-MX"/>
        </w:rPr>
      </w:pPr>
    </w:p>
    <w:p w14:paraId="1662755F" w14:textId="77777777" w:rsidR="003B017D" w:rsidRPr="00FF05AC" w:rsidRDefault="003B017D" w:rsidP="003B017D">
      <w:pPr>
        <w:spacing w:line="360" w:lineRule="auto"/>
        <w:ind w:right="49"/>
        <w:jc w:val="both"/>
        <w:rPr>
          <w:rFonts w:ascii="Palatino Linotype" w:hAnsi="Palatino Linotype"/>
          <w:b/>
          <w:color w:val="000000" w:themeColor="text1"/>
          <w:szCs w:val="17"/>
          <w:lang w:eastAsia="es-ES_tradnl"/>
        </w:rPr>
      </w:pPr>
      <w:r w:rsidRPr="00FF05AC">
        <w:rPr>
          <w:rFonts w:ascii="Palatino Linotype" w:hAnsi="Palatino Linotype" w:cs="Arial"/>
          <w:b/>
          <w:bCs/>
          <w:color w:val="000000" w:themeColor="text1"/>
          <w:sz w:val="28"/>
          <w:lang w:eastAsia="es-MX"/>
        </w:rPr>
        <w:t>SEXTO.</w:t>
      </w:r>
      <w:r w:rsidRPr="00FF05AC">
        <w:rPr>
          <w:rFonts w:ascii="Palatino Linotype" w:hAnsi="Palatino Linotype"/>
          <w:color w:val="000000" w:themeColor="text1"/>
          <w:szCs w:val="17"/>
          <w:lang w:eastAsia="es-ES_tradnl"/>
        </w:rPr>
        <w:t xml:space="preserve"> </w:t>
      </w:r>
      <w:r w:rsidRPr="00FF05AC">
        <w:rPr>
          <w:rFonts w:ascii="Palatino Linotype" w:hAnsi="Palatino Linotype"/>
          <w:b/>
          <w:color w:val="000000" w:themeColor="text1"/>
          <w:szCs w:val="17"/>
          <w:lang w:eastAsia="es-ES_tradnl"/>
        </w:rPr>
        <w:t>Notifíquese</w:t>
      </w:r>
      <w:r w:rsidRPr="00FF05AC">
        <w:rPr>
          <w:rFonts w:ascii="Palatino Linotype" w:hAnsi="Palatino Linotype"/>
          <w:color w:val="000000" w:themeColor="text1"/>
          <w:szCs w:val="17"/>
          <w:lang w:eastAsia="es-ES_tradnl"/>
        </w:rPr>
        <w:t xml:space="preserve"> al </w:t>
      </w:r>
      <w:r w:rsidRPr="00FF05AC">
        <w:rPr>
          <w:rFonts w:ascii="Palatino Linotype" w:hAnsi="Palatino Linotype"/>
          <w:b/>
          <w:color w:val="000000" w:themeColor="text1"/>
          <w:szCs w:val="17"/>
          <w:lang w:eastAsia="es-ES_tradnl"/>
        </w:rPr>
        <w:t>RECURRENTE</w:t>
      </w:r>
      <w:r w:rsidRPr="00FF05AC">
        <w:rPr>
          <w:rFonts w:ascii="Palatino Linotype" w:hAnsi="Palatino Linotype"/>
          <w:color w:val="000000" w:themeColor="text1"/>
          <w:szCs w:val="17"/>
          <w:lang w:eastAsia="es-ES_tradnl"/>
        </w:rPr>
        <w:t xml:space="preserve"> la presente resolución</w:t>
      </w:r>
      <w:r w:rsidRPr="00FF05AC">
        <w:rPr>
          <w:rFonts w:ascii="Palatino Linotype" w:hAnsi="Palatino Linotype" w:cs="Arial"/>
          <w:color w:val="000000" w:themeColor="text1"/>
        </w:rPr>
        <w:t>.</w:t>
      </w:r>
    </w:p>
    <w:p w14:paraId="16627560" w14:textId="77777777" w:rsidR="003B017D" w:rsidRPr="00FF05AC" w:rsidRDefault="003B017D" w:rsidP="003B017D">
      <w:pPr>
        <w:spacing w:before="100" w:beforeAutospacing="1" w:after="100" w:afterAutospacing="1" w:line="360" w:lineRule="auto"/>
        <w:ind w:right="51"/>
        <w:jc w:val="both"/>
        <w:rPr>
          <w:rFonts w:ascii="Palatino Linotype" w:hAnsi="Palatino Linotype"/>
          <w:color w:val="000000" w:themeColor="text1"/>
          <w:szCs w:val="17"/>
          <w:lang w:eastAsia="es-ES_tradnl"/>
        </w:rPr>
      </w:pPr>
      <w:r w:rsidRPr="00FF05AC">
        <w:rPr>
          <w:rFonts w:ascii="Palatino Linotype" w:hAnsi="Palatino Linotype" w:cs="Arial"/>
          <w:b/>
          <w:bCs/>
          <w:color w:val="000000" w:themeColor="text1"/>
          <w:sz w:val="28"/>
          <w:lang w:eastAsia="es-MX"/>
        </w:rPr>
        <w:t>SÉPTIMO.</w:t>
      </w:r>
      <w:r w:rsidRPr="00FF05AC">
        <w:rPr>
          <w:rFonts w:ascii="Palatino Linotype" w:hAnsi="Palatino Linotype"/>
          <w:color w:val="000000" w:themeColor="text1"/>
          <w:szCs w:val="17"/>
          <w:lang w:eastAsia="es-ES_tradnl"/>
        </w:rPr>
        <w:t xml:space="preserve"> </w:t>
      </w:r>
      <w:r w:rsidRPr="00FF05AC">
        <w:rPr>
          <w:rFonts w:ascii="Palatino Linotype" w:hAnsi="Palatino Linotype"/>
          <w:b/>
          <w:color w:val="000000" w:themeColor="text1"/>
          <w:szCs w:val="17"/>
          <w:lang w:eastAsia="es-ES_tradnl"/>
        </w:rPr>
        <w:t>Hágase del conocimiento</w:t>
      </w:r>
      <w:r w:rsidRPr="00FF05AC">
        <w:rPr>
          <w:rFonts w:ascii="Palatino Linotype" w:hAnsi="Palatino Linotype"/>
          <w:color w:val="000000" w:themeColor="text1"/>
          <w:szCs w:val="17"/>
          <w:lang w:eastAsia="es-ES_tradnl"/>
        </w:rPr>
        <w:t xml:space="preserve"> al </w:t>
      </w:r>
      <w:r w:rsidRPr="00FF05AC">
        <w:rPr>
          <w:rFonts w:ascii="Palatino Linotype" w:hAnsi="Palatino Linotype"/>
          <w:b/>
          <w:color w:val="000000" w:themeColor="text1"/>
          <w:szCs w:val="17"/>
          <w:lang w:eastAsia="es-ES_tradnl"/>
        </w:rPr>
        <w:t>RECURRENTE</w:t>
      </w:r>
      <w:r w:rsidRPr="00FF05AC">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16627561" w14:textId="77777777" w:rsidR="003B017D" w:rsidRPr="00FF05AC" w:rsidRDefault="003B017D" w:rsidP="003B017D">
      <w:pPr>
        <w:spacing w:before="100" w:beforeAutospacing="1" w:after="100" w:afterAutospacing="1" w:line="360" w:lineRule="auto"/>
        <w:ind w:right="51"/>
        <w:jc w:val="both"/>
        <w:rPr>
          <w:rFonts w:ascii="Palatino Linotype" w:hAnsi="Palatino Linotype"/>
          <w:color w:val="000000" w:themeColor="text1"/>
          <w:szCs w:val="17"/>
          <w:lang w:eastAsia="es-ES_tradnl"/>
        </w:rPr>
      </w:pPr>
      <w:r w:rsidRPr="00FF05AC">
        <w:rPr>
          <w:rFonts w:ascii="Palatino Linotype" w:hAnsi="Palatino Linotype"/>
          <w:b/>
          <w:color w:val="000000" w:themeColor="text1"/>
          <w:sz w:val="28"/>
          <w:szCs w:val="28"/>
          <w:lang w:eastAsia="es-ES_tradnl"/>
        </w:rPr>
        <w:t>OCTAVO</w:t>
      </w:r>
      <w:r w:rsidRPr="00FF05AC">
        <w:rPr>
          <w:rFonts w:ascii="Palatino Linotype" w:hAnsi="Palatino Linotype"/>
          <w:color w:val="000000" w:themeColor="text1"/>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6627562" w14:textId="0877A437" w:rsidR="003B017D" w:rsidRPr="00FF05AC" w:rsidRDefault="003B017D" w:rsidP="003B017D">
      <w:pPr>
        <w:spacing w:before="100" w:beforeAutospacing="1" w:after="100" w:afterAutospacing="1" w:line="360" w:lineRule="auto"/>
        <w:ind w:right="49"/>
        <w:jc w:val="both"/>
        <w:rPr>
          <w:rFonts w:ascii="Palatino Linotype" w:hAnsi="Palatino Linotype"/>
          <w:color w:val="222222"/>
          <w:lang w:eastAsia="es-ES_tradnl"/>
        </w:rPr>
      </w:pPr>
      <w:r w:rsidRPr="00FF05AC">
        <w:rPr>
          <w:rFonts w:ascii="Palatino Linotype" w:hAnsi="Palatino Linotype"/>
          <w:b/>
          <w:color w:val="222222"/>
          <w:sz w:val="28"/>
          <w:szCs w:val="28"/>
          <w:lang w:eastAsia="es-ES_tradnl"/>
        </w:rPr>
        <w:t>NOVENO.</w:t>
      </w:r>
      <w:r w:rsidRPr="00FF05AC">
        <w:rPr>
          <w:rFonts w:ascii="Palatino Linotype" w:hAnsi="Palatino Linotype"/>
          <w:color w:val="222222"/>
          <w:lang w:eastAsia="es-ES_tradnl"/>
        </w:rPr>
        <w:t xml:space="preserve"> </w:t>
      </w:r>
      <w:r w:rsidRPr="00FF05AC">
        <w:rPr>
          <w:rFonts w:ascii="Palatino Linotype" w:hAnsi="Palatino Linotype"/>
          <w:b/>
          <w:color w:val="222222"/>
          <w:lang w:eastAsia="es-ES_tradnl"/>
        </w:rPr>
        <w:t>Notifíquese</w:t>
      </w:r>
      <w:r w:rsidRPr="00FF05AC">
        <w:rPr>
          <w:rFonts w:ascii="Palatino Linotype" w:hAnsi="Palatino Linotype"/>
          <w:color w:val="222222"/>
          <w:lang w:eastAsia="es-ES_tradnl"/>
        </w:rPr>
        <w:t xml:space="preserve"> al Instituto Nacional de Transparencia, Acceso a la Información y Protección de Datos Personales la presente resolución en cumplimiento a la resolución del r</w:t>
      </w:r>
      <w:r w:rsidR="00091B0C" w:rsidRPr="00FF05AC">
        <w:rPr>
          <w:rFonts w:ascii="Palatino Linotype" w:hAnsi="Palatino Linotype"/>
          <w:color w:val="222222"/>
          <w:lang w:eastAsia="es-ES_tradnl"/>
        </w:rPr>
        <w:t xml:space="preserve">ecurso de inconformidad RIA </w:t>
      </w:r>
      <w:r w:rsidR="00605C31" w:rsidRPr="00FF05AC">
        <w:rPr>
          <w:rFonts w:ascii="Palatino Linotype" w:hAnsi="Palatino Linotype"/>
          <w:color w:val="222222"/>
          <w:lang w:eastAsia="es-ES_tradnl"/>
        </w:rPr>
        <w:t>126</w:t>
      </w:r>
      <w:r w:rsidR="00091B0C" w:rsidRPr="00FF05AC">
        <w:rPr>
          <w:rFonts w:ascii="Palatino Linotype" w:hAnsi="Palatino Linotype"/>
          <w:color w:val="222222"/>
          <w:lang w:eastAsia="es-ES_tradnl"/>
        </w:rPr>
        <w:t>/21</w:t>
      </w:r>
      <w:r w:rsidRPr="00FF05AC">
        <w:rPr>
          <w:rFonts w:ascii="Palatino Linotype" w:hAnsi="Palatino Linotype"/>
          <w:color w:val="222222"/>
          <w:lang w:eastAsia="es-ES_tradnl"/>
        </w:rPr>
        <w:t>, en términos del artículo 173 de la Ley General de Transparencia y Acceso a la Información Pública.</w:t>
      </w:r>
    </w:p>
    <w:p w14:paraId="16627563" w14:textId="6FBEE588" w:rsidR="003B017D" w:rsidRPr="00FF05AC" w:rsidRDefault="003B017D" w:rsidP="003B017D">
      <w:pPr>
        <w:spacing w:line="360" w:lineRule="auto"/>
        <w:jc w:val="both"/>
        <w:rPr>
          <w:rFonts w:ascii="Palatino Linotype" w:hAnsi="Palatino Linotype" w:cs="Arial"/>
          <w:color w:val="000000" w:themeColor="text1"/>
          <w:lang w:val="es-ES"/>
        </w:rPr>
      </w:pPr>
      <w:r w:rsidRPr="00FF05AC">
        <w:rPr>
          <w:rFonts w:ascii="Palatino Linotype" w:hAnsi="Palatino Linotype" w:cs="Arial"/>
          <w:color w:val="000000" w:themeColor="text1"/>
          <w:lang w:val="es-ES"/>
        </w:rPr>
        <w:t>ASÍ LO RESUELVE, POR</w:t>
      </w:r>
      <w:r w:rsidR="00FF05AC" w:rsidRPr="00FF05AC">
        <w:rPr>
          <w:rFonts w:ascii="Palatino Linotype" w:hAnsi="Palatino Linotype" w:cs="Arial"/>
          <w:color w:val="000000" w:themeColor="text1"/>
          <w:lang w:val="es-ES"/>
        </w:rPr>
        <w:t xml:space="preserve"> UNANIMIDAD</w:t>
      </w:r>
      <w:r w:rsidRPr="00FF05AC">
        <w:rPr>
          <w:rFonts w:ascii="Palatino Linotype" w:hAnsi="Palatino Linotype" w:cs="Arial"/>
          <w:color w:val="000000" w:themeColor="text1"/>
          <w:lang w:val="es-ES"/>
        </w:rPr>
        <w:t xml:space="preserve"> DE VOTOS EL PLENO DEL</w:t>
      </w:r>
      <w:r w:rsidRPr="00FF05AC">
        <w:rPr>
          <w:rFonts w:ascii="Palatino Linotype" w:eastAsia="Arial Unicode MS" w:hAnsi="Palatino Linotype" w:cs="Arial"/>
          <w:color w:val="000000" w:themeColor="text1"/>
          <w:lang w:val="es-ES"/>
        </w:rPr>
        <w:t xml:space="preserve"> INSTITUTO DE </w:t>
      </w:r>
      <w:r w:rsidRPr="00FF05AC">
        <w:rPr>
          <w:rFonts w:ascii="Palatino Linotype" w:hAnsi="Palatino Linotype"/>
          <w:color w:val="000000" w:themeColor="text1"/>
          <w:lang w:val="es-ES" w:eastAsia="en-US"/>
        </w:rPr>
        <w:t>TRANSPARENCIA</w:t>
      </w:r>
      <w:r w:rsidRPr="00FF05AC">
        <w:rPr>
          <w:rFonts w:ascii="Palatino Linotype" w:eastAsia="Arial Unicode MS" w:hAnsi="Palatino Linotype" w:cs="Arial"/>
          <w:color w:val="000000" w:themeColor="text1"/>
          <w:lang w:val="es-ES"/>
        </w:rPr>
        <w:t>, ACCESO A LA INFORMACIÓN PÚBLICA Y PROTECCIÓN DE DATOS PERSONALES DEL ESTADO DE MÉXICO Y MUNICIPIOS</w:t>
      </w:r>
      <w:r w:rsidRPr="00FF05AC">
        <w:rPr>
          <w:rFonts w:ascii="Palatino Linotype" w:hAnsi="Palatino Linotype" w:cs="Arial"/>
          <w:color w:val="000000" w:themeColor="text1"/>
          <w:lang w:val="es-ES"/>
        </w:rPr>
        <w:t xml:space="preserve">, CONFORMADO POR LOS COMISIONADOS ZULEMA MARTÍNEZ SÁNCHEZ; EVA ABAID YAPUR; JOSÉ GUADALUPE LUNA HERNÁNDEZ, JAVIER MARTÍNEZ CRUZ </w:t>
      </w:r>
      <w:r w:rsidR="00181EE3">
        <w:rPr>
          <w:rFonts w:ascii="Palatino Linotype" w:hAnsi="Palatino Linotype" w:cs="Arial"/>
          <w:color w:val="000000" w:themeColor="text1"/>
          <w:lang w:val="es-ES"/>
        </w:rPr>
        <w:t xml:space="preserve">EMITIENDO VOTO PARTICULAR </w:t>
      </w:r>
      <w:r w:rsidRPr="00FF05AC">
        <w:rPr>
          <w:rFonts w:ascii="Palatino Linotype" w:hAnsi="Palatino Linotype" w:cs="Arial"/>
          <w:color w:val="000000" w:themeColor="text1"/>
          <w:lang w:val="es-ES"/>
        </w:rPr>
        <w:t xml:space="preserve">Y LUIS </w:t>
      </w:r>
      <w:r w:rsidRPr="00FF05AC">
        <w:rPr>
          <w:rFonts w:ascii="Palatino Linotype" w:hAnsi="Palatino Linotype"/>
          <w:color w:val="222222"/>
          <w:lang w:eastAsia="es-ES_tradnl"/>
        </w:rPr>
        <w:t xml:space="preserve">GUSTAVO PARRA NORIEGA; EN LA </w:t>
      </w:r>
      <w:r w:rsidR="00091B0C" w:rsidRPr="00FF05AC">
        <w:rPr>
          <w:rFonts w:ascii="Palatino Linotype" w:hAnsi="Palatino Linotype"/>
          <w:color w:val="222222"/>
          <w:lang w:eastAsia="es-ES_tradnl"/>
        </w:rPr>
        <w:t xml:space="preserve">DÉCIMA </w:t>
      </w:r>
      <w:r w:rsidR="001314E3" w:rsidRPr="00FF05AC">
        <w:rPr>
          <w:rFonts w:ascii="Palatino Linotype" w:hAnsi="Palatino Linotype"/>
          <w:color w:val="222222"/>
          <w:lang w:eastAsia="es-ES_tradnl"/>
        </w:rPr>
        <w:t>OCTAVA</w:t>
      </w:r>
      <w:r w:rsidR="00091B0C" w:rsidRPr="00FF05AC">
        <w:rPr>
          <w:rFonts w:ascii="Palatino Linotype" w:hAnsi="Palatino Linotype"/>
          <w:color w:val="222222"/>
          <w:lang w:eastAsia="es-ES_tradnl"/>
        </w:rPr>
        <w:t xml:space="preserve"> </w:t>
      </w:r>
      <w:r w:rsidRPr="00FF05AC">
        <w:rPr>
          <w:rFonts w:ascii="Palatino Linotype" w:hAnsi="Palatino Linotype"/>
          <w:color w:val="222222"/>
          <w:lang w:eastAsia="es-ES_tradnl"/>
        </w:rPr>
        <w:t xml:space="preserve">SESIÓN ORDINARIA CELEBRADA EL </w:t>
      </w:r>
      <w:r w:rsidR="001314E3" w:rsidRPr="00FF05AC">
        <w:rPr>
          <w:rFonts w:ascii="Palatino Linotype" w:hAnsi="Palatino Linotype"/>
          <w:color w:val="222222"/>
          <w:lang w:eastAsia="es-ES_tradnl"/>
        </w:rPr>
        <w:t>VEINTISÉIS</w:t>
      </w:r>
      <w:r w:rsidR="00091B0C" w:rsidRPr="00FF05AC">
        <w:rPr>
          <w:rFonts w:ascii="Palatino Linotype" w:hAnsi="Palatino Linotype"/>
          <w:color w:val="222222"/>
          <w:lang w:eastAsia="es-ES_tradnl"/>
        </w:rPr>
        <w:t xml:space="preserve"> DE MAYO DE DO</w:t>
      </w:r>
      <w:r w:rsidRPr="00FF05AC">
        <w:rPr>
          <w:rFonts w:ascii="Palatino Linotype" w:hAnsi="Palatino Linotype"/>
          <w:color w:val="222222"/>
          <w:lang w:eastAsia="es-ES_tradnl"/>
        </w:rPr>
        <w:t>S MIL VEINTIUNO, ANT</w:t>
      </w:r>
      <w:r w:rsidRPr="00FF05AC">
        <w:rPr>
          <w:rFonts w:ascii="Palatino Linotype" w:hAnsi="Palatino Linotype" w:cs="Arial"/>
          <w:color w:val="000000" w:themeColor="text1"/>
          <w:lang w:val="es-ES"/>
        </w:rPr>
        <w:t xml:space="preserve">E EL SECRETARIO TÉCNICO DEL PLENO, </w:t>
      </w:r>
      <w:r w:rsidRPr="00FF05AC">
        <w:rPr>
          <w:rFonts w:ascii="Palatino Linotype" w:eastAsia="Arial Unicode MS" w:hAnsi="Palatino Linotype" w:cs="Arial"/>
          <w:color w:val="000000" w:themeColor="text1"/>
          <w:lang w:val="es-ES"/>
        </w:rPr>
        <w:t>ALEXIS</w:t>
      </w:r>
      <w:r w:rsidRPr="00FF05AC">
        <w:rPr>
          <w:rFonts w:ascii="Palatino Linotype" w:hAnsi="Palatino Linotype" w:cs="Arial"/>
          <w:color w:val="000000" w:themeColor="text1"/>
          <w:lang w:val="es-ES"/>
        </w:rPr>
        <w:t xml:space="preserve"> TAPIA RAMÍREZ.</w:t>
      </w:r>
    </w:p>
    <w:p w14:paraId="16627566" w14:textId="3A63E9CA" w:rsidR="00FF05AC" w:rsidRDefault="009E06BC" w:rsidP="009E06BC">
      <w:pPr>
        <w:jc w:val="both"/>
        <w:rPr>
          <w:rFonts w:ascii="Palatino Linotype" w:hAnsi="Palatino Linotype" w:cs="Arial"/>
          <w:color w:val="000000" w:themeColor="text1"/>
          <w:sz w:val="20"/>
        </w:rPr>
      </w:pPr>
      <w:r w:rsidRPr="00FF05AC">
        <w:rPr>
          <w:rFonts w:ascii="Palatino Linotype" w:hAnsi="Palatino Linotype" w:cs="Arial"/>
          <w:color w:val="000000" w:themeColor="text1"/>
          <w:sz w:val="20"/>
        </w:rPr>
        <w:t>YSM/AMV</w:t>
      </w:r>
    </w:p>
    <w:p w14:paraId="260CC87F" w14:textId="77777777" w:rsidR="00FF05AC" w:rsidRDefault="00FF05AC">
      <w:pPr>
        <w:spacing w:after="160" w:line="259" w:lineRule="auto"/>
        <w:rPr>
          <w:rFonts w:ascii="Palatino Linotype" w:hAnsi="Palatino Linotype" w:cs="Arial"/>
          <w:color w:val="000000" w:themeColor="text1"/>
          <w:sz w:val="20"/>
        </w:rPr>
      </w:pPr>
      <w:r>
        <w:rPr>
          <w:rFonts w:ascii="Palatino Linotype" w:hAnsi="Palatino Linotype" w:cs="Arial"/>
          <w:color w:val="000000" w:themeColor="text1"/>
          <w:sz w:val="20"/>
        </w:rPr>
        <w:br w:type="page"/>
      </w:r>
    </w:p>
    <w:p w14:paraId="41DC4585" w14:textId="77777777" w:rsidR="0007650C" w:rsidRPr="00BE44A7" w:rsidRDefault="0007650C" w:rsidP="009E06BC">
      <w:pPr>
        <w:jc w:val="both"/>
        <w:rPr>
          <w:rFonts w:ascii="Palatino Linotype" w:hAnsi="Palatino Linotype"/>
        </w:rPr>
      </w:pPr>
    </w:p>
    <w:sectPr w:rsidR="0007650C" w:rsidRPr="00BE44A7" w:rsidSect="00D2182E">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FAAD3" w16cex:dateUtc="2021-05-19T20:18:00Z"/>
  <w16cex:commentExtensible w16cex:durableId="244FAC84" w16cex:dateUtc="2021-05-19T20:25:00Z"/>
  <w16cex:commentExtensible w16cex:durableId="244FB04C" w16cex:dateUtc="2021-05-19T20:42:00Z"/>
  <w16cex:commentExtensible w16cex:durableId="244FB061" w16cex:dateUtc="2021-05-19T20:42:00Z"/>
  <w16cex:commentExtensible w16cex:durableId="244FB075" w16cex:dateUtc="2021-05-19T20:42:00Z"/>
  <w16cex:commentExtensible w16cex:durableId="244FB09A" w16cex:dateUtc="2021-05-19T20: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480C47" w16cid:durableId="244FAAD3"/>
  <w16cid:commentId w16cid:paraId="75D2387E" w16cid:durableId="244FAC84"/>
  <w16cid:commentId w16cid:paraId="2DEFC373" w16cid:durableId="244FB04C"/>
  <w16cid:commentId w16cid:paraId="6BAD1EE8" w16cid:durableId="244FB061"/>
  <w16cid:commentId w16cid:paraId="0F4F5A88" w16cid:durableId="244FB075"/>
  <w16cid:commentId w16cid:paraId="41F4B61F" w16cid:durableId="244FB09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D23840" w14:textId="77777777" w:rsidR="005C3734" w:rsidRDefault="005C3734" w:rsidP="003B017D">
      <w:r>
        <w:separator/>
      </w:r>
    </w:p>
  </w:endnote>
  <w:endnote w:type="continuationSeparator" w:id="0">
    <w:p w14:paraId="708DB90B" w14:textId="77777777" w:rsidR="005C3734" w:rsidRDefault="005C3734" w:rsidP="003B0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27586" w14:textId="77777777" w:rsidR="00181EE3" w:rsidRPr="0010196A" w:rsidRDefault="00181EE3" w:rsidP="00D2182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75158">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75158">
      <w:rPr>
        <w:rFonts w:ascii="Palatino Linotype" w:hAnsi="Palatino Linotype" w:cs="Arial"/>
        <w:bCs/>
        <w:noProof/>
        <w:sz w:val="22"/>
        <w:szCs w:val="22"/>
      </w:rPr>
      <w:t>67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2759D" w14:textId="77777777" w:rsidR="00181EE3" w:rsidRPr="0010196A" w:rsidRDefault="00181EE3" w:rsidP="00D2182E">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7515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75158">
      <w:rPr>
        <w:rFonts w:ascii="Palatino Linotype" w:hAnsi="Palatino Linotype" w:cs="Arial"/>
        <w:bCs/>
        <w:noProof/>
        <w:sz w:val="22"/>
        <w:szCs w:val="22"/>
      </w:rPr>
      <w:t>67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BFEB29" w14:textId="77777777" w:rsidR="005C3734" w:rsidRDefault="005C3734" w:rsidP="003B017D">
      <w:r>
        <w:separator/>
      </w:r>
    </w:p>
  </w:footnote>
  <w:footnote w:type="continuationSeparator" w:id="0">
    <w:p w14:paraId="452F2950" w14:textId="77777777" w:rsidR="005C3734" w:rsidRDefault="005C3734" w:rsidP="003B01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27573" w14:textId="77777777" w:rsidR="00181EE3" w:rsidRDefault="00D10A39">
    <w:pPr>
      <w:pStyle w:val="Encabezado"/>
    </w:pPr>
    <w:r>
      <w:rPr>
        <w:noProof/>
        <w:lang w:val="es-MX" w:eastAsia="es-MX"/>
      </w:rPr>
      <w:pict w14:anchorId="166275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27574" w14:textId="77777777" w:rsidR="00181EE3" w:rsidRPr="0010196A" w:rsidRDefault="00D10A39" w:rsidP="00D2182E">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166275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923" w:type="dxa"/>
      <w:tblInd w:w="-142" w:type="dxa"/>
      <w:tblLayout w:type="fixed"/>
      <w:tblLook w:val="04A0" w:firstRow="1" w:lastRow="0" w:firstColumn="1" w:lastColumn="0" w:noHBand="0" w:noVBand="1"/>
    </w:tblPr>
    <w:tblGrid>
      <w:gridCol w:w="3828"/>
      <w:gridCol w:w="2977"/>
      <w:gridCol w:w="3118"/>
    </w:tblGrid>
    <w:tr w:rsidR="00181EE3" w:rsidRPr="008F2CCC" w14:paraId="16627578" w14:textId="77777777" w:rsidTr="003B017D">
      <w:tc>
        <w:tcPr>
          <w:tcW w:w="3828" w:type="dxa"/>
          <w:vMerge w:val="restart"/>
        </w:tcPr>
        <w:p w14:paraId="16627575" w14:textId="77777777" w:rsidR="00181EE3" w:rsidRPr="008F2CCC" w:rsidRDefault="00181EE3" w:rsidP="00D2182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66275A0" wp14:editId="166275A1">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977" w:type="dxa"/>
          <w:shd w:val="clear" w:color="auto" w:fill="auto"/>
        </w:tcPr>
        <w:p w14:paraId="16627576" w14:textId="77777777" w:rsidR="00181EE3" w:rsidRPr="00664658" w:rsidRDefault="00181EE3" w:rsidP="00D2182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8" w:type="dxa"/>
          <w:shd w:val="clear" w:color="auto" w:fill="auto"/>
          <w:vAlign w:val="center"/>
        </w:tcPr>
        <w:p w14:paraId="16627577" w14:textId="3080BCBA" w:rsidR="00181EE3" w:rsidRPr="00664658" w:rsidRDefault="00181EE3" w:rsidP="00A03ABB">
          <w:pPr>
            <w:jc w:val="both"/>
            <w:rPr>
              <w:rFonts w:ascii="Palatino Linotype" w:hAnsi="Palatino Linotype"/>
              <w:b/>
              <w:sz w:val="22"/>
              <w:szCs w:val="22"/>
              <w:lang w:val="es-ES_tradnl"/>
            </w:rPr>
          </w:pPr>
          <w:r>
            <w:rPr>
              <w:rFonts w:ascii="Palatino Linotype" w:hAnsi="Palatino Linotype"/>
              <w:b/>
              <w:sz w:val="22"/>
              <w:szCs w:val="22"/>
              <w:lang w:val="es-ES_tradnl"/>
            </w:rPr>
            <w:t>05902</w:t>
          </w:r>
          <w:r w:rsidRPr="005A5E02">
            <w:rPr>
              <w:rFonts w:ascii="Palatino Linotype" w:hAnsi="Palatino Linotype"/>
              <w:b/>
              <w:sz w:val="22"/>
              <w:szCs w:val="22"/>
              <w:lang w:val="es-ES_tradnl"/>
            </w:rPr>
            <w:t>/INFOEM/IP/RR</w:t>
          </w:r>
          <w:r>
            <w:rPr>
              <w:rFonts w:ascii="Palatino Linotype" w:hAnsi="Palatino Linotype"/>
              <w:b/>
              <w:sz w:val="22"/>
              <w:szCs w:val="22"/>
              <w:lang w:val="es-ES_tradnl"/>
            </w:rPr>
            <w:t xml:space="preserve">/2020 </w:t>
          </w:r>
        </w:p>
      </w:tc>
    </w:tr>
    <w:tr w:rsidR="00181EE3" w:rsidRPr="008F2CCC" w14:paraId="1662757C" w14:textId="77777777" w:rsidTr="003B017D">
      <w:tc>
        <w:tcPr>
          <w:tcW w:w="3828" w:type="dxa"/>
          <w:vMerge/>
        </w:tcPr>
        <w:p w14:paraId="16627579" w14:textId="77777777" w:rsidR="00181EE3" w:rsidRPr="008F2CCC" w:rsidRDefault="00181EE3" w:rsidP="00D2182E">
          <w:pPr>
            <w:rPr>
              <w:rFonts w:ascii="Palatino Linotype" w:hAnsi="Palatino Linotype"/>
              <w:b/>
              <w:sz w:val="22"/>
              <w:szCs w:val="22"/>
              <w:lang w:val="es-ES_tradnl"/>
            </w:rPr>
          </w:pPr>
        </w:p>
      </w:tc>
      <w:tc>
        <w:tcPr>
          <w:tcW w:w="2977" w:type="dxa"/>
          <w:shd w:val="clear" w:color="auto" w:fill="auto"/>
        </w:tcPr>
        <w:p w14:paraId="1662757A" w14:textId="77777777" w:rsidR="00181EE3" w:rsidRPr="00664658" w:rsidRDefault="00181EE3" w:rsidP="00D2182E">
          <w:pPr>
            <w:rPr>
              <w:rFonts w:ascii="Palatino Linotype" w:hAnsi="Palatino Linotype"/>
              <w:b/>
              <w:sz w:val="22"/>
              <w:szCs w:val="22"/>
              <w:lang w:val="es-ES_tradnl"/>
            </w:rPr>
          </w:pPr>
          <w:r>
            <w:rPr>
              <w:rFonts w:ascii="Palatino Linotype" w:hAnsi="Palatino Linotype"/>
              <w:b/>
              <w:sz w:val="22"/>
              <w:szCs w:val="22"/>
              <w:lang w:val="es-ES_tradnl"/>
            </w:rPr>
            <w:t>Recurso de Inconformidad</w:t>
          </w:r>
        </w:p>
      </w:tc>
      <w:tc>
        <w:tcPr>
          <w:tcW w:w="3118" w:type="dxa"/>
          <w:shd w:val="clear" w:color="auto" w:fill="auto"/>
          <w:vAlign w:val="center"/>
        </w:tcPr>
        <w:p w14:paraId="1662757B" w14:textId="52CF8E2B" w:rsidR="00181EE3" w:rsidRPr="00457BB8" w:rsidRDefault="00181EE3" w:rsidP="003B017D">
          <w:pPr>
            <w:jc w:val="both"/>
            <w:rPr>
              <w:rFonts w:ascii="Palatino Linotype" w:hAnsi="Palatino Linotype"/>
              <w:b/>
              <w:sz w:val="22"/>
              <w:szCs w:val="22"/>
              <w:lang w:val="es-ES_tradnl"/>
            </w:rPr>
          </w:pPr>
          <w:r>
            <w:rPr>
              <w:rFonts w:ascii="Palatino Linotype" w:hAnsi="Palatino Linotype"/>
              <w:b/>
              <w:sz w:val="22"/>
              <w:szCs w:val="22"/>
              <w:lang w:val="es-ES_tradnl"/>
            </w:rPr>
            <w:t>RIA 126/21</w:t>
          </w:r>
        </w:p>
      </w:tc>
    </w:tr>
    <w:tr w:rsidR="00181EE3" w:rsidRPr="008F2CCC" w14:paraId="16627580" w14:textId="77777777" w:rsidTr="003B017D">
      <w:tc>
        <w:tcPr>
          <w:tcW w:w="3828" w:type="dxa"/>
          <w:vMerge/>
        </w:tcPr>
        <w:p w14:paraId="1662757D" w14:textId="77777777" w:rsidR="00181EE3" w:rsidRPr="008F2CCC" w:rsidRDefault="00181EE3" w:rsidP="00D2182E">
          <w:pPr>
            <w:rPr>
              <w:rFonts w:ascii="Palatino Linotype" w:hAnsi="Palatino Linotype"/>
              <w:b/>
              <w:sz w:val="22"/>
              <w:szCs w:val="22"/>
              <w:lang w:val="es-ES_tradnl"/>
            </w:rPr>
          </w:pPr>
        </w:p>
      </w:tc>
      <w:tc>
        <w:tcPr>
          <w:tcW w:w="2977" w:type="dxa"/>
          <w:shd w:val="clear" w:color="auto" w:fill="auto"/>
        </w:tcPr>
        <w:p w14:paraId="1662757E" w14:textId="77777777" w:rsidR="00181EE3" w:rsidRPr="00664658" w:rsidRDefault="00181EE3" w:rsidP="00D2182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8" w:type="dxa"/>
          <w:shd w:val="clear" w:color="auto" w:fill="auto"/>
          <w:vAlign w:val="center"/>
        </w:tcPr>
        <w:p w14:paraId="1662757F" w14:textId="55351B5E" w:rsidR="00181EE3" w:rsidRPr="00D41D47" w:rsidRDefault="00181EE3" w:rsidP="00D2182E">
          <w:pPr>
            <w:jc w:val="both"/>
            <w:rPr>
              <w:rFonts w:ascii="Palatino Linotype" w:hAnsi="Palatino Linotype"/>
              <w:b/>
              <w:sz w:val="22"/>
              <w:szCs w:val="22"/>
              <w:lang w:val="es-ES_tradnl"/>
            </w:rPr>
          </w:pPr>
          <w:r>
            <w:rPr>
              <w:rFonts w:ascii="Palatino Linotype" w:hAnsi="Palatino Linotype"/>
              <w:b/>
              <w:sz w:val="22"/>
              <w:szCs w:val="22"/>
              <w:lang w:val="es-ES_tradnl"/>
            </w:rPr>
            <w:t>Tribunal de Justicia Administrativa del Estado de México</w:t>
          </w:r>
        </w:p>
      </w:tc>
    </w:tr>
    <w:tr w:rsidR="00181EE3" w:rsidRPr="008F2CCC" w14:paraId="16627584" w14:textId="77777777" w:rsidTr="003B017D">
      <w:trPr>
        <w:trHeight w:val="228"/>
      </w:trPr>
      <w:tc>
        <w:tcPr>
          <w:tcW w:w="3828" w:type="dxa"/>
          <w:vMerge/>
        </w:tcPr>
        <w:p w14:paraId="16627581" w14:textId="77777777" w:rsidR="00181EE3" w:rsidRPr="008F2CCC" w:rsidRDefault="00181EE3" w:rsidP="00D2182E">
          <w:pPr>
            <w:rPr>
              <w:rFonts w:ascii="Palatino Linotype" w:hAnsi="Palatino Linotype"/>
              <w:b/>
              <w:sz w:val="22"/>
              <w:szCs w:val="22"/>
              <w:lang w:val="es-ES_tradnl"/>
            </w:rPr>
          </w:pPr>
        </w:p>
      </w:tc>
      <w:tc>
        <w:tcPr>
          <w:tcW w:w="2977" w:type="dxa"/>
          <w:shd w:val="clear" w:color="auto" w:fill="auto"/>
        </w:tcPr>
        <w:p w14:paraId="16627582" w14:textId="77777777" w:rsidR="00181EE3" w:rsidRPr="00664658" w:rsidRDefault="00181EE3" w:rsidP="00D2182E">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8" w:type="dxa"/>
          <w:shd w:val="clear" w:color="auto" w:fill="auto"/>
        </w:tcPr>
        <w:p w14:paraId="16627583" w14:textId="77777777" w:rsidR="00181EE3" w:rsidRPr="00664658" w:rsidRDefault="00181EE3" w:rsidP="00D2182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16627585" w14:textId="77777777" w:rsidR="00181EE3" w:rsidRPr="0010196A" w:rsidRDefault="00181EE3" w:rsidP="00D2182E">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27587" w14:textId="77777777" w:rsidR="00181EE3" w:rsidRPr="0010196A" w:rsidRDefault="00181EE3">
    <w:pPr>
      <w:rPr>
        <w:rFonts w:ascii="Palatino Linotype" w:hAnsi="Palatino Linotype"/>
        <w:sz w:val="28"/>
        <w:szCs w:val="28"/>
      </w:rPr>
    </w:pPr>
  </w:p>
  <w:tbl>
    <w:tblPr>
      <w:tblW w:w="9781" w:type="dxa"/>
      <w:tblInd w:w="-142" w:type="dxa"/>
      <w:tblLayout w:type="fixed"/>
      <w:tblLook w:val="04A0" w:firstRow="1" w:lastRow="0" w:firstColumn="1" w:lastColumn="0" w:noHBand="0" w:noVBand="1"/>
    </w:tblPr>
    <w:tblGrid>
      <w:gridCol w:w="3828"/>
      <w:gridCol w:w="2977"/>
      <w:gridCol w:w="2976"/>
    </w:tblGrid>
    <w:tr w:rsidR="00181EE3" w:rsidRPr="008F2CCC" w14:paraId="1662758B" w14:textId="77777777" w:rsidTr="003B017D">
      <w:tc>
        <w:tcPr>
          <w:tcW w:w="3828" w:type="dxa"/>
          <w:vMerge w:val="restart"/>
          <w:shd w:val="clear" w:color="auto" w:fill="auto"/>
        </w:tcPr>
        <w:p w14:paraId="16627588" w14:textId="77777777" w:rsidR="00181EE3" w:rsidRPr="008F2CCC" w:rsidRDefault="00181EE3" w:rsidP="00D2182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66275A2" wp14:editId="166275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977" w:type="dxa"/>
          <w:shd w:val="clear" w:color="auto" w:fill="auto"/>
        </w:tcPr>
        <w:p w14:paraId="16627589" w14:textId="77777777" w:rsidR="00181EE3" w:rsidRPr="008F2CCC" w:rsidRDefault="00181EE3" w:rsidP="00D2182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shd w:val="clear" w:color="auto" w:fill="auto"/>
          <w:vAlign w:val="center"/>
        </w:tcPr>
        <w:p w14:paraId="1662758A" w14:textId="7DCE639A" w:rsidR="00181EE3" w:rsidRPr="008F2CCC" w:rsidRDefault="00181EE3" w:rsidP="006A6D18">
          <w:pPr>
            <w:jc w:val="both"/>
            <w:rPr>
              <w:rFonts w:ascii="Palatino Linotype" w:hAnsi="Palatino Linotype"/>
              <w:b/>
              <w:sz w:val="22"/>
              <w:szCs w:val="22"/>
              <w:lang w:val="es-ES_tradnl"/>
            </w:rPr>
          </w:pPr>
          <w:r>
            <w:rPr>
              <w:rFonts w:ascii="Palatino Linotype" w:hAnsi="Palatino Linotype"/>
              <w:b/>
              <w:sz w:val="22"/>
              <w:szCs w:val="22"/>
              <w:lang w:val="es-ES_tradnl"/>
            </w:rPr>
            <w:t>05902</w:t>
          </w:r>
          <w:r w:rsidRPr="005A5E02">
            <w:rPr>
              <w:rFonts w:ascii="Palatino Linotype" w:hAnsi="Palatino Linotype"/>
              <w:b/>
              <w:sz w:val="22"/>
              <w:szCs w:val="22"/>
              <w:lang w:val="es-ES_tradnl"/>
            </w:rPr>
            <w:t>/INFOEM/IP/RR</w:t>
          </w:r>
          <w:r>
            <w:rPr>
              <w:rFonts w:ascii="Palatino Linotype" w:hAnsi="Palatino Linotype"/>
              <w:b/>
              <w:sz w:val="22"/>
              <w:szCs w:val="22"/>
              <w:lang w:val="es-ES_tradnl"/>
            </w:rPr>
            <w:t>/2020</w:t>
          </w:r>
        </w:p>
      </w:tc>
    </w:tr>
    <w:tr w:rsidR="00181EE3" w:rsidRPr="008F2CCC" w14:paraId="1662758F" w14:textId="77777777" w:rsidTr="003B017D">
      <w:tc>
        <w:tcPr>
          <w:tcW w:w="3828" w:type="dxa"/>
          <w:vMerge/>
          <w:shd w:val="clear" w:color="auto" w:fill="auto"/>
        </w:tcPr>
        <w:p w14:paraId="1662758C" w14:textId="77777777" w:rsidR="00181EE3" w:rsidRPr="008F2CCC" w:rsidRDefault="00181EE3" w:rsidP="00D2182E">
          <w:pPr>
            <w:rPr>
              <w:rFonts w:ascii="Palatino Linotype" w:hAnsi="Palatino Linotype"/>
              <w:b/>
              <w:sz w:val="22"/>
              <w:szCs w:val="22"/>
              <w:lang w:val="es-ES_tradnl"/>
            </w:rPr>
          </w:pPr>
        </w:p>
      </w:tc>
      <w:tc>
        <w:tcPr>
          <w:tcW w:w="2977" w:type="dxa"/>
          <w:shd w:val="clear" w:color="auto" w:fill="auto"/>
        </w:tcPr>
        <w:p w14:paraId="1662758D" w14:textId="77777777" w:rsidR="00181EE3" w:rsidRPr="008F2CCC" w:rsidRDefault="00181EE3" w:rsidP="00D2182E">
          <w:pPr>
            <w:rPr>
              <w:rFonts w:ascii="Palatino Linotype" w:hAnsi="Palatino Linotype"/>
              <w:b/>
              <w:sz w:val="22"/>
              <w:szCs w:val="22"/>
              <w:lang w:val="es-ES_tradnl"/>
            </w:rPr>
          </w:pPr>
          <w:r>
            <w:rPr>
              <w:rFonts w:ascii="Palatino Linotype" w:hAnsi="Palatino Linotype"/>
              <w:b/>
              <w:sz w:val="22"/>
              <w:szCs w:val="22"/>
              <w:lang w:val="es-ES_tradnl"/>
            </w:rPr>
            <w:t>Recurso de Inconformidad</w:t>
          </w:r>
        </w:p>
      </w:tc>
      <w:tc>
        <w:tcPr>
          <w:tcW w:w="2976" w:type="dxa"/>
          <w:shd w:val="clear" w:color="auto" w:fill="auto"/>
          <w:vAlign w:val="center"/>
        </w:tcPr>
        <w:p w14:paraId="1662758E" w14:textId="642CF676" w:rsidR="00181EE3" w:rsidRDefault="00181EE3" w:rsidP="006A6D18">
          <w:pPr>
            <w:jc w:val="both"/>
            <w:rPr>
              <w:rFonts w:ascii="Palatino Linotype" w:hAnsi="Palatino Linotype"/>
              <w:b/>
              <w:sz w:val="22"/>
              <w:szCs w:val="22"/>
              <w:lang w:val="es-ES_tradnl"/>
            </w:rPr>
          </w:pPr>
          <w:r>
            <w:rPr>
              <w:rFonts w:ascii="Palatino Linotype" w:hAnsi="Palatino Linotype"/>
              <w:b/>
              <w:sz w:val="22"/>
              <w:szCs w:val="22"/>
              <w:lang w:val="es-ES_tradnl"/>
            </w:rPr>
            <w:t xml:space="preserve">RIA 126/21 </w:t>
          </w:r>
        </w:p>
      </w:tc>
    </w:tr>
    <w:tr w:rsidR="00181EE3" w:rsidRPr="008F2CCC" w14:paraId="16627593" w14:textId="77777777" w:rsidTr="003B017D">
      <w:tc>
        <w:tcPr>
          <w:tcW w:w="3828" w:type="dxa"/>
          <w:vMerge/>
          <w:shd w:val="clear" w:color="auto" w:fill="auto"/>
        </w:tcPr>
        <w:p w14:paraId="16627590" w14:textId="77777777" w:rsidR="00181EE3" w:rsidRPr="008F2CCC" w:rsidRDefault="00181EE3" w:rsidP="00D2182E">
          <w:pPr>
            <w:rPr>
              <w:rFonts w:ascii="Palatino Linotype" w:hAnsi="Palatino Linotype"/>
              <w:b/>
              <w:sz w:val="22"/>
              <w:szCs w:val="22"/>
              <w:lang w:val="es-ES_tradnl"/>
            </w:rPr>
          </w:pPr>
        </w:p>
      </w:tc>
      <w:tc>
        <w:tcPr>
          <w:tcW w:w="2977" w:type="dxa"/>
          <w:shd w:val="clear" w:color="auto" w:fill="auto"/>
        </w:tcPr>
        <w:p w14:paraId="16627591" w14:textId="77777777" w:rsidR="00181EE3" w:rsidRPr="008F2CCC" w:rsidRDefault="00181EE3" w:rsidP="00D2182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6" w:type="dxa"/>
          <w:shd w:val="clear" w:color="auto" w:fill="auto"/>
          <w:vAlign w:val="center"/>
        </w:tcPr>
        <w:p w14:paraId="16627592" w14:textId="1DA0BE5E" w:rsidR="00181EE3" w:rsidRPr="008F2CCC" w:rsidRDefault="00D75158" w:rsidP="00D2182E">
          <w:pPr>
            <w:jc w:val="both"/>
            <w:rPr>
              <w:rFonts w:ascii="Palatino Linotype" w:hAnsi="Palatino Linotype"/>
              <w:b/>
              <w:sz w:val="22"/>
              <w:szCs w:val="22"/>
              <w:lang w:val="es-ES_tradnl"/>
            </w:rPr>
          </w:pPr>
          <w:r>
            <w:rPr>
              <w:rFonts w:ascii="Palatino Linotype" w:hAnsi="Palatino Linotype"/>
              <w:b/>
              <w:sz w:val="22"/>
              <w:szCs w:val="22"/>
              <w:lang w:val="es-ES_tradnl"/>
            </w:rPr>
            <w:t>xxxxxxxxxxxxxxxxxxxxx</w:t>
          </w:r>
        </w:p>
      </w:tc>
    </w:tr>
    <w:tr w:rsidR="00181EE3" w:rsidRPr="008F2CCC" w14:paraId="16627597" w14:textId="77777777" w:rsidTr="003B017D">
      <w:trPr>
        <w:trHeight w:val="228"/>
      </w:trPr>
      <w:tc>
        <w:tcPr>
          <w:tcW w:w="3828" w:type="dxa"/>
          <w:vMerge/>
          <w:shd w:val="clear" w:color="auto" w:fill="auto"/>
        </w:tcPr>
        <w:p w14:paraId="16627594" w14:textId="77777777" w:rsidR="00181EE3" w:rsidRPr="008F2CCC" w:rsidRDefault="00181EE3" w:rsidP="00D2182E">
          <w:pPr>
            <w:rPr>
              <w:rFonts w:ascii="Palatino Linotype" w:hAnsi="Palatino Linotype"/>
              <w:b/>
              <w:sz w:val="22"/>
              <w:szCs w:val="22"/>
              <w:lang w:val="es-ES_tradnl"/>
            </w:rPr>
          </w:pPr>
        </w:p>
      </w:tc>
      <w:tc>
        <w:tcPr>
          <w:tcW w:w="2977" w:type="dxa"/>
          <w:shd w:val="clear" w:color="auto" w:fill="auto"/>
        </w:tcPr>
        <w:p w14:paraId="16627595" w14:textId="77777777" w:rsidR="00181EE3" w:rsidRPr="008F2CCC" w:rsidRDefault="00181EE3" w:rsidP="00D2182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shd w:val="clear" w:color="auto" w:fill="auto"/>
          <w:vAlign w:val="center"/>
        </w:tcPr>
        <w:p w14:paraId="16627596" w14:textId="273BCFA6" w:rsidR="00181EE3" w:rsidRPr="00DC41C8" w:rsidRDefault="00181EE3" w:rsidP="00D2182E">
          <w:pPr>
            <w:jc w:val="both"/>
            <w:rPr>
              <w:rFonts w:ascii="Palatino Linotype" w:hAnsi="Palatino Linotype"/>
              <w:b/>
              <w:sz w:val="22"/>
              <w:szCs w:val="22"/>
            </w:rPr>
          </w:pPr>
          <w:r>
            <w:rPr>
              <w:rFonts w:ascii="Palatino Linotype" w:hAnsi="Palatino Linotype"/>
              <w:b/>
              <w:sz w:val="22"/>
              <w:szCs w:val="22"/>
              <w:lang w:val="es-ES_tradnl"/>
            </w:rPr>
            <w:t>Tribunal de Justicia Administrativa del Estado de México</w:t>
          </w:r>
        </w:p>
      </w:tc>
    </w:tr>
    <w:tr w:rsidR="00181EE3" w:rsidRPr="008F2CCC" w14:paraId="1662759B" w14:textId="77777777" w:rsidTr="003B017D">
      <w:tc>
        <w:tcPr>
          <w:tcW w:w="3828" w:type="dxa"/>
          <w:vMerge/>
          <w:shd w:val="clear" w:color="auto" w:fill="auto"/>
        </w:tcPr>
        <w:p w14:paraId="16627598" w14:textId="77777777" w:rsidR="00181EE3" w:rsidRPr="008F2CCC" w:rsidRDefault="00181EE3" w:rsidP="00D2182E">
          <w:pPr>
            <w:rPr>
              <w:rFonts w:ascii="Palatino Linotype" w:hAnsi="Palatino Linotype"/>
              <w:b/>
              <w:sz w:val="22"/>
              <w:szCs w:val="22"/>
              <w:lang w:val="es-ES_tradnl"/>
            </w:rPr>
          </w:pPr>
        </w:p>
      </w:tc>
      <w:tc>
        <w:tcPr>
          <w:tcW w:w="2977" w:type="dxa"/>
          <w:shd w:val="clear" w:color="auto" w:fill="auto"/>
        </w:tcPr>
        <w:p w14:paraId="16627599" w14:textId="77777777" w:rsidR="00181EE3" w:rsidRPr="008F2CCC" w:rsidRDefault="00181EE3" w:rsidP="00D2182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6" w:type="dxa"/>
          <w:shd w:val="clear" w:color="auto" w:fill="auto"/>
        </w:tcPr>
        <w:p w14:paraId="1662759A" w14:textId="77777777" w:rsidR="00181EE3" w:rsidRPr="008F2CCC" w:rsidRDefault="00181EE3" w:rsidP="00D2182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1662759C" w14:textId="77777777" w:rsidR="00181EE3" w:rsidRPr="0010196A" w:rsidRDefault="00D10A39" w:rsidP="00D2182E">
    <w:pPr>
      <w:rPr>
        <w:rFonts w:ascii="Palatino Linotype" w:hAnsi="Palatino Linotype"/>
        <w:sz w:val="28"/>
        <w:szCs w:val="28"/>
      </w:rPr>
    </w:pPr>
    <w:r>
      <w:rPr>
        <w:rFonts w:ascii="Palatino Linotype" w:hAnsi="Palatino Linotype"/>
        <w:noProof/>
        <w:sz w:val="28"/>
        <w:szCs w:val="28"/>
        <w:lang w:eastAsia="es-MX"/>
      </w:rPr>
      <w:pict w14:anchorId="16627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19.4pt;margin-top:13.2pt;width:540pt;height:10in;z-index:-251655168;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805FF"/>
    <w:multiLevelType w:val="hybridMultilevel"/>
    <w:tmpl w:val="8126F0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nsid w:val="161C666E"/>
    <w:multiLevelType w:val="hybridMultilevel"/>
    <w:tmpl w:val="0576F2B4"/>
    <w:lvl w:ilvl="0" w:tplc="D4988C62">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3EF170AB"/>
    <w:multiLevelType w:val="hybridMultilevel"/>
    <w:tmpl w:val="1CDA5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5DA73C9"/>
    <w:multiLevelType w:val="hybridMultilevel"/>
    <w:tmpl w:val="E848BC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CA7DAE"/>
    <w:multiLevelType w:val="hybridMultilevel"/>
    <w:tmpl w:val="A7224740"/>
    <w:lvl w:ilvl="0" w:tplc="080A0011">
      <w:start w:val="1"/>
      <w:numFmt w:val="decimal"/>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nsid w:val="50342C2D"/>
    <w:multiLevelType w:val="hybridMultilevel"/>
    <w:tmpl w:val="CD688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CE37FE8"/>
    <w:multiLevelType w:val="hybridMultilevel"/>
    <w:tmpl w:val="D534E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94A69AF"/>
    <w:multiLevelType w:val="hybridMultilevel"/>
    <w:tmpl w:val="7EA27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B152F78"/>
    <w:multiLevelType w:val="hybridMultilevel"/>
    <w:tmpl w:val="73D2C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3"/>
  </w:num>
  <w:num w:numId="6">
    <w:abstractNumId w:val="7"/>
  </w:num>
  <w:num w:numId="7">
    <w:abstractNumId w:val="8"/>
  </w:num>
  <w:num w:numId="8">
    <w:abstractNumId w:val="9"/>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17D"/>
    <w:rsid w:val="000168E5"/>
    <w:rsid w:val="0007650C"/>
    <w:rsid w:val="00090E29"/>
    <w:rsid w:val="00091B0C"/>
    <w:rsid w:val="000A70FC"/>
    <w:rsid w:val="000D31D9"/>
    <w:rsid w:val="00114804"/>
    <w:rsid w:val="001207CB"/>
    <w:rsid w:val="001314E3"/>
    <w:rsid w:val="00145D40"/>
    <w:rsid w:val="00181EE3"/>
    <w:rsid w:val="001A0EE6"/>
    <w:rsid w:val="001A284F"/>
    <w:rsid w:val="001B580F"/>
    <w:rsid w:val="001D1393"/>
    <w:rsid w:val="001D1E4C"/>
    <w:rsid w:val="001E5F7B"/>
    <w:rsid w:val="002C41E3"/>
    <w:rsid w:val="002C4C72"/>
    <w:rsid w:val="002F2839"/>
    <w:rsid w:val="00325590"/>
    <w:rsid w:val="003702A4"/>
    <w:rsid w:val="003A5BD7"/>
    <w:rsid w:val="003B017D"/>
    <w:rsid w:val="004A1BA9"/>
    <w:rsid w:val="00512034"/>
    <w:rsid w:val="005160DE"/>
    <w:rsid w:val="005353EB"/>
    <w:rsid w:val="00594AED"/>
    <w:rsid w:val="005C3734"/>
    <w:rsid w:val="00605C31"/>
    <w:rsid w:val="006A6D18"/>
    <w:rsid w:val="007D0636"/>
    <w:rsid w:val="007E25B3"/>
    <w:rsid w:val="007E7979"/>
    <w:rsid w:val="007F445E"/>
    <w:rsid w:val="0081784A"/>
    <w:rsid w:val="00852097"/>
    <w:rsid w:val="00892C87"/>
    <w:rsid w:val="00893925"/>
    <w:rsid w:val="008B0CDA"/>
    <w:rsid w:val="008B69FC"/>
    <w:rsid w:val="009741B3"/>
    <w:rsid w:val="009B4ED0"/>
    <w:rsid w:val="009D1401"/>
    <w:rsid w:val="009E06BC"/>
    <w:rsid w:val="00A03ABB"/>
    <w:rsid w:val="00A727D5"/>
    <w:rsid w:val="00AA225C"/>
    <w:rsid w:val="00B5070F"/>
    <w:rsid w:val="00B83315"/>
    <w:rsid w:val="00BB1053"/>
    <w:rsid w:val="00BE44A7"/>
    <w:rsid w:val="00C8165E"/>
    <w:rsid w:val="00C857CC"/>
    <w:rsid w:val="00CB6CE2"/>
    <w:rsid w:val="00CF5B5E"/>
    <w:rsid w:val="00D01C20"/>
    <w:rsid w:val="00D03FE4"/>
    <w:rsid w:val="00D2182E"/>
    <w:rsid w:val="00D44DB0"/>
    <w:rsid w:val="00D44EB3"/>
    <w:rsid w:val="00D75158"/>
    <w:rsid w:val="00DD0F8C"/>
    <w:rsid w:val="00E602CC"/>
    <w:rsid w:val="00EF5FB0"/>
    <w:rsid w:val="00F27550"/>
    <w:rsid w:val="00F64C98"/>
    <w:rsid w:val="00FD6497"/>
    <w:rsid w:val="00FF05A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6627404"/>
  <w15:docId w15:val="{2FBB51EE-F4F8-4B5E-A75B-3818C2F2B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17D"/>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B017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3B017D"/>
    <w:rPr>
      <w:rFonts w:eastAsiaTheme="minorEastAsia"/>
      <w:sz w:val="24"/>
      <w:szCs w:val="24"/>
      <w:lang w:val="es-ES_tradnl" w:eastAsia="es-ES"/>
    </w:rPr>
  </w:style>
  <w:style w:type="paragraph" w:styleId="Piedepgina">
    <w:name w:val="footer"/>
    <w:basedOn w:val="Normal"/>
    <w:link w:val="PiedepginaCar"/>
    <w:uiPriority w:val="99"/>
    <w:unhideWhenUsed/>
    <w:rsid w:val="003B017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B017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B017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B017D"/>
    <w:rPr>
      <w:rFonts w:ascii="Times New Roman" w:eastAsia="Times New Roman" w:hAnsi="Times New Roman" w:cs="Times New Roman"/>
      <w:sz w:val="24"/>
      <w:szCs w:val="24"/>
      <w:lang w:eastAsia="es-ES"/>
    </w:rPr>
  </w:style>
  <w:style w:type="character" w:styleId="Hipervnculo">
    <w:name w:val="Hyperlink"/>
    <w:uiPriority w:val="99"/>
    <w:unhideWhenUsed/>
    <w:rsid w:val="003B017D"/>
    <w:rPr>
      <w:strike w:val="0"/>
      <w:dstrike w:val="0"/>
      <w:color w:val="035899"/>
      <w:u w:val="none"/>
      <w:effect w:val="none"/>
    </w:rPr>
  </w:style>
  <w:style w:type="paragraph" w:customStyle="1" w:styleId="Default">
    <w:name w:val="Default"/>
    <w:rsid w:val="003B017D"/>
    <w:pPr>
      <w:autoSpaceDE w:val="0"/>
      <w:autoSpaceDN w:val="0"/>
      <w:adjustRightInd w:val="0"/>
      <w:spacing w:after="0" w:line="240" w:lineRule="auto"/>
    </w:pPr>
    <w:rPr>
      <w:rFonts w:ascii="Arial" w:hAnsi="Arial" w:cs="Arial"/>
      <w:color w:val="000000"/>
      <w:sz w:val="24"/>
      <w:szCs w:val="24"/>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B017D"/>
    <w:rPr>
      <w:vertAlign w:val="superscript"/>
    </w:rPr>
  </w:style>
  <w:style w:type="character" w:customStyle="1" w:styleId="Ninguno">
    <w:name w:val="Ninguno"/>
    <w:rsid w:val="003B017D"/>
    <w:rPr>
      <w:lang w:val="es-ES_tradnl"/>
    </w:rPr>
  </w:style>
  <w:style w:type="table" w:styleId="Tablaconcuadrcula">
    <w:name w:val="Table Grid"/>
    <w:basedOn w:val="Tablanormal"/>
    <w:uiPriority w:val="59"/>
    <w:rsid w:val="003B01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
    <w:name w:val="Texto comentario Car"/>
    <w:basedOn w:val="Fuentedeprrafopredeter"/>
    <w:link w:val="Textocomentario"/>
    <w:uiPriority w:val="99"/>
    <w:semiHidden/>
    <w:rsid w:val="003B017D"/>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3B017D"/>
    <w:rPr>
      <w:sz w:val="20"/>
      <w:szCs w:val="20"/>
    </w:rPr>
  </w:style>
  <w:style w:type="character" w:customStyle="1" w:styleId="TextocomentarioCar1">
    <w:name w:val="Texto comentario Car1"/>
    <w:basedOn w:val="Fuentedeprrafopredeter"/>
    <w:uiPriority w:val="99"/>
    <w:semiHidden/>
    <w:rsid w:val="003B017D"/>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3B017D"/>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B017D"/>
    <w:rPr>
      <w:b/>
      <w:bCs/>
    </w:rPr>
  </w:style>
  <w:style w:type="character" w:customStyle="1" w:styleId="AsuntodelcomentarioCar1">
    <w:name w:val="Asunto del comentario Car1"/>
    <w:basedOn w:val="TextocomentarioCar1"/>
    <w:uiPriority w:val="99"/>
    <w:semiHidden/>
    <w:rsid w:val="003B017D"/>
    <w:rPr>
      <w:rFonts w:ascii="Times New Roman" w:eastAsia="Times New Roman" w:hAnsi="Times New Roman" w:cs="Times New Roman"/>
      <w:b/>
      <w:bCs/>
      <w:sz w:val="20"/>
      <w:szCs w:val="20"/>
      <w:lang w:eastAsia="es-ES"/>
    </w:rPr>
  </w:style>
  <w:style w:type="character" w:customStyle="1" w:styleId="TextodegloboCar">
    <w:name w:val="Texto de globo Car"/>
    <w:basedOn w:val="Fuentedeprrafopredeter"/>
    <w:link w:val="Textodeglobo"/>
    <w:uiPriority w:val="99"/>
    <w:semiHidden/>
    <w:rsid w:val="003B017D"/>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3B017D"/>
    <w:rPr>
      <w:rFonts w:ascii="Segoe UI" w:hAnsi="Segoe UI" w:cs="Segoe UI"/>
      <w:sz w:val="18"/>
      <w:szCs w:val="18"/>
    </w:rPr>
  </w:style>
  <w:style w:type="character" w:customStyle="1" w:styleId="TextodegloboCar1">
    <w:name w:val="Texto de globo Car1"/>
    <w:basedOn w:val="Fuentedeprrafopredeter"/>
    <w:uiPriority w:val="99"/>
    <w:semiHidden/>
    <w:rsid w:val="003B017D"/>
    <w:rPr>
      <w:rFonts w:ascii="Segoe UI" w:eastAsia="Times New Roman" w:hAnsi="Segoe UI" w:cs="Segoe UI"/>
      <w:sz w:val="18"/>
      <w:szCs w:val="18"/>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017D"/>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B017D"/>
    <w:rPr>
      <w:sz w:val="20"/>
      <w:szCs w:val="20"/>
    </w:rPr>
  </w:style>
  <w:style w:type="table" w:customStyle="1" w:styleId="Tablaconcuadrcula11112">
    <w:name w:val="Tabla con cuadrícula11112"/>
    <w:basedOn w:val="Tablanormal"/>
    <w:next w:val="Tablaconcuadrcula"/>
    <w:uiPriority w:val="39"/>
    <w:rsid w:val="003B01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892C87"/>
    <w:rPr>
      <w:sz w:val="16"/>
      <w:szCs w:val="16"/>
    </w:rPr>
  </w:style>
  <w:style w:type="paragraph" w:styleId="Revisin">
    <w:name w:val="Revision"/>
    <w:hidden/>
    <w:uiPriority w:val="99"/>
    <w:semiHidden/>
    <w:rsid w:val="00114804"/>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AD1A1-FC74-4DB1-8346-5973E1991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16418</Words>
  <Characters>90302</Characters>
  <Application>Microsoft Office Word</Application>
  <DocSecurity>0</DocSecurity>
  <Lines>752</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Rocío Popoca</cp:lastModifiedBy>
  <cp:revision>2</cp:revision>
  <cp:lastPrinted>2021-05-26T23:16:00Z</cp:lastPrinted>
  <dcterms:created xsi:type="dcterms:W3CDTF">2021-08-17T22:17:00Z</dcterms:created>
  <dcterms:modified xsi:type="dcterms:W3CDTF">2021-08-17T22:17:00Z</dcterms:modified>
</cp:coreProperties>
</file>