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989" w:rsidRDefault="00D6127C">
      <w:pPr>
        <w:spacing w:beforeAutospacing="1" w:afterAutospacing="1" w:line="360" w:lineRule="auto"/>
        <w:contextualSpacing/>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agosto de dos mil veinte.</w:t>
      </w:r>
    </w:p>
    <w:p w:rsidR="00517989" w:rsidRDefault="00517989">
      <w:pPr>
        <w:spacing w:beforeAutospacing="1" w:afterAutospacing="1" w:line="360" w:lineRule="auto"/>
        <w:contextualSpacing/>
        <w:jc w:val="both"/>
        <w:rPr>
          <w:rFonts w:ascii="Palatino Linotype" w:hAnsi="Palatino Linotype"/>
        </w:rPr>
      </w:pPr>
    </w:p>
    <w:p w:rsidR="00517989" w:rsidRDefault="00D6127C">
      <w:pPr>
        <w:spacing w:beforeAutospacing="1" w:afterAutospacing="1" w:line="360" w:lineRule="auto"/>
        <w:contextualSpacing/>
        <w:jc w:val="both"/>
        <w:rPr>
          <w:rFonts w:ascii="Palatino Linotype" w:hAnsi="Palatino Linotype"/>
          <w:b/>
        </w:rPr>
      </w:pPr>
      <w:r>
        <w:rPr>
          <w:rFonts w:ascii="Palatino Linotype" w:hAnsi="Palatino Linotype"/>
          <w:b/>
        </w:rPr>
        <w:t>VISTO</w:t>
      </w:r>
      <w:r>
        <w:rPr>
          <w:rFonts w:ascii="Palatino Linotype" w:hAnsi="Palatino Linotype"/>
        </w:rPr>
        <w:t xml:space="preserve"> el expediente formado con motivo de los recursos de revisión </w:t>
      </w:r>
      <w:r>
        <w:rPr>
          <w:rFonts w:ascii="Palatino Linotype" w:hAnsi="Palatino Linotype"/>
          <w:b/>
          <w:spacing w:val="-20"/>
        </w:rPr>
        <w:t>01727/INFOEM/IP/RR/2020</w:t>
      </w:r>
      <w:r>
        <w:rPr>
          <w:rFonts w:ascii="Palatino Linotype" w:hAnsi="Palatino Linotype"/>
          <w:spacing w:val="-20"/>
        </w:rPr>
        <w:t xml:space="preserve">, </w:t>
      </w:r>
      <w:r>
        <w:rPr>
          <w:rFonts w:ascii="Palatino Linotype" w:hAnsi="Palatino Linotype"/>
          <w:b/>
          <w:spacing w:val="-20"/>
        </w:rPr>
        <w:t xml:space="preserve">01730/INFOEM/IP/RR/2020 </w:t>
      </w:r>
      <w:r>
        <w:rPr>
          <w:rFonts w:ascii="Palatino Linotype" w:hAnsi="Palatino Linotype"/>
          <w:spacing w:val="-20"/>
        </w:rPr>
        <w:t>y</w:t>
      </w:r>
      <w:r>
        <w:rPr>
          <w:rFonts w:ascii="Palatino Linotype" w:hAnsi="Palatino Linotype"/>
          <w:b/>
          <w:spacing w:val="-20"/>
        </w:rPr>
        <w:t xml:space="preserve">  01731/INFOEM/IP/RR/2020</w:t>
      </w:r>
      <w:r>
        <w:rPr>
          <w:rFonts w:ascii="Palatino Linotype" w:hAnsi="Palatino Linotype"/>
          <w:b/>
        </w:rPr>
        <w:t xml:space="preserve"> acumulados</w:t>
      </w:r>
      <w:r>
        <w:rPr>
          <w:rFonts w:ascii="Palatino Linotype" w:hAnsi="Palatino Linotype"/>
        </w:rPr>
        <w:t xml:space="preserve"> promovidos por el </w:t>
      </w:r>
      <w:r>
        <w:rPr>
          <w:rFonts w:ascii="Palatino Linotype" w:hAnsi="Palatino Linotype"/>
          <w:b/>
        </w:rPr>
        <w:t>C.</w:t>
      </w:r>
      <w:r>
        <w:rPr>
          <w:rFonts w:ascii="Palatino Linotype" w:hAnsi="Palatino Linotype"/>
        </w:rPr>
        <w:t xml:space="preserve"> </w:t>
      </w:r>
      <w:r w:rsidR="008010B0">
        <w:rPr>
          <w:rFonts w:ascii="Palatino Linotype" w:hAnsi="Palatino Linotype"/>
          <w:b/>
          <w:sz w:val="22"/>
          <w:szCs w:val="22"/>
          <w:lang w:val="es-ES_tradnl"/>
        </w:rPr>
        <w:t>XXXXXX XXXXXXX XXXX</w:t>
      </w:r>
      <w:bookmarkStart w:id="0" w:name="_GoBack"/>
      <w:bookmarkEnd w:id="0"/>
      <w:r>
        <w:rPr>
          <w:rFonts w:ascii="Palatino Linotype" w:hAnsi="Palatino Linotype" w:cs="Arial"/>
          <w:b/>
        </w:rPr>
        <w:t xml:space="preserve">, </w:t>
      </w:r>
      <w:r>
        <w:rPr>
          <w:rFonts w:ascii="Palatino Linotype" w:hAnsi="Palatino Linotype" w:cs="Arial"/>
        </w:rPr>
        <w:t>en lo sucesivo</w:t>
      </w:r>
      <w:r>
        <w:rPr>
          <w:rFonts w:ascii="Palatino Linotype" w:hAnsi="Palatino Linotype" w:cs="Arial"/>
          <w:b/>
        </w:rPr>
        <w:t xml:space="preserve"> EL RECURRENTE,</w:t>
      </w:r>
      <w:r>
        <w:rPr>
          <w:rFonts w:ascii="Palatino Linotype" w:hAnsi="Palatino Linotype"/>
        </w:rPr>
        <w:t xml:space="preserve"> en contra de la respuestas emitidas por el </w:t>
      </w:r>
      <w:r>
        <w:rPr>
          <w:rFonts w:ascii="Palatino Linotype" w:hAnsi="Palatino Linotype"/>
          <w:b/>
        </w:rPr>
        <w:t xml:space="preserve">Ayuntamiento de </w:t>
      </w:r>
      <w:proofErr w:type="spellStart"/>
      <w:r>
        <w:rPr>
          <w:rFonts w:ascii="Palatino Linotype" w:hAnsi="Palatino Linotype"/>
          <w:b/>
        </w:rPr>
        <w:t>Chicoloapan</w:t>
      </w:r>
      <w:proofErr w:type="spellEnd"/>
      <w:r>
        <w:rPr>
          <w:rFonts w:ascii="Palatino Linotype" w:hAnsi="Palatino Linotype"/>
          <w:b/>
        </w:rPr>
        <w:t xml:space="preserve">, </w:t>
      </w:r>
      <w:r>
        <w:rPr>
          <w:rFonts w:ascii="Palatino Linotype" w:hAnsi="Palatino Linotype"/>
        </w:rPr>
        <w:t xml:space="preserve">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517989" w:rsidRDefault="00517989">
      <w:pPr>
        <w:spacing w:beforeAutospacing="1" w:afterAutospacing="1"/>
        <w:contextualSpacing/>
        <w:jc w:val="center"/>
        <w:rPr>
          <w:rFonts w:ascii="Palatino Linotype" w:hAnsi="Palatino Linotype"/>
        </w:rPr>
      </w:pPr>
    </w:p>
    <w:p w:rsidR="00517989" w:rsidRDefault="00D6127C">
      <w:pPr>
        <w:spacing w:beforeAutospacing="1" w:afterAutospacing="1"/>
        <w:contextualSpacing/>
        <w:jc w:val="center"/>
        <w:rPr>
          <w:rFonts w:ascii="Palatino Linotype" w:hAnsi="Palatino Linotype"/>
          <w:b/>
          <w:bCs/>
          <w:spacing w:val="40"/>
          <w:sz w:val="28"/>
        </w:rPr>
      </w:pPr>
      <w:r>
        <w:rPr>
          <w:rFonts w:ascii="Palatino Linotype" w:hAnsi="Palatino Linotype"/>
          <w:b/>
          <w:bCs/>
          <w:spacing w:val="40"/>
          <w:sz w:val="28"/>
        </w:rPr>
        <w:t>RESULTANDO</w:t>
      </w:r>
    </w:p>
    <w:p w:rsidR="00517989" w:rsidRDefault="00517989">
      <w:pPr>
        <w:spacing w:beforeAutospacing="1" w:afterAutospacing="1"/>
        <w:contextualSpacing/>
        <w:jc w:val="center"/>
        <w:rPr>
          <w:rFonts w:ascii="Palatino Linotype" w:hAnsi="Palatino Linotype"/>
          <w:b/>
          <w:bCs/>
          <w:spacing w:val="40"/>
        </w:rPr>
      </w:pPr>
    </w:p>
    <w:p w:rsidR="00517989" w:rsidRDefault="00D6127C">
      <w:pPr>
        <w:spacing w:beforeAutospacing="1" w:afterAutospacing="1" w:line="360" w:lineRule="auto"/>
        <w:contextualSpacing/>
        <w:jc w:val="both"/>
        <w:rPr>
          <w:rFonts w:ascii="Palatino Linotype" w:hAnsi="Palatino Linotype" w:cs="Arial"/>
          <w:b/>
          <w:bCs/>
          <w:lang w:val="es-ES"/>
        </w:rPr>
      </w:pPr>
      <w:r>
        <w:rPr>
          <w:rFonts w:ascii="Palatino Linotype" w:hAnsi="Palatino Linotype"/>
          <w:b/>
          <w:sz w:val="28"/>
          <w:szCs w:val="28"/>
        </w:rPr>
        <w:t xml:space="preserve">I. </w:t>
      </w:r>
      <w:r>
        <w:rPr>
          <w:rFonts w:ascii="Palatino Linotype" w:hAnsi="Palatino Linotype" w:cs="Arial"/>
        </w:rPr>
        <w:t xml:space="preserve">En </w:t>
      </w:r>
      <w:r>
        <w:rPr>
          <w:rFonts w:ascii="Palatino Linotype" w:hAnsi="Palatino Linotype" w:cs="Arial"/>
          <w:lang w:val="es-ES"/>
        </w:rPr>
        <w:t>fecha</w:t>
      </w:r>
      <w:r>
        <w:rPr>
          <w:rFonts w:ascii="Palatino Linotype" w:hAnsi="Palatino Linotype"/>
          <w:lang w:val="es-ES"/>
        </w:rPr>
        <w:t xml:space="preserve"> </w:t>
      </w:r>
      <w:r>
        <w:rPr>
          <w:rFonts w:ascii="Palatino Linotype" w:hAnsi="Palatino Linotype" w:cs="Arial"/>
          <w:lang w:val="es-ES"/>
        </w:rPr>
        <w:t>doce de marzo de dos mil veinte</w:t>
      </w:r>
      <w:r>
        <w:rPr>
          <w:rFonts w:ascii="Palatino Linotype" w:hAnsi="Palatino Linotype"/>
          <w:lang w:val="es-ES"/>
        </w:rPr>
        <w:t xml:space="preserve">, </w:t>
      </w:r>
      <w:r>
        <w:rPr>
          <w:rFonts w:ascii="Palatino Linotype" w:hAnsi="Palatino Linotype"/>
          <w:b/>
          <w:lang w:val="es-ES"/>
        </w:rPr>
        <w:t>EL RECURRENTE</w:t>
      </w:r>
      <w:r>
        <w:rPr>
          <w:rFonts w:ascii="Palatino Linotype" w:hAnsi="Palatino Linotype" w:cs="Arial"/>
          <w:lang w:val="es-ES"/>
        </w:rPr>
        <w:t xml:space="preserve"> </w:t>
      </w:r>
      <w:r>
        <w:rPr>
          <w:rFonts w:ascii="Palatino Linotype" w:hAnsi="Palatino Linotype" w:cs="Arial"/>
        </w:rPr>
        <w:t xml:space="preserve">presentó a través del Sistema de Acceso a la Información Mexiquense, en lo subsecuente </w:t>
      </w:r>
      <w:r>
        <w:rPr>
          <w:rFonts w:ascii="Palatino Linotype" w:hAnsi="Palatino Linotype" w:cs="Arial"/>
          <w:b/>
        </w:rPr>
        <w:t>EL 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lang w:val="es-ES"/>
        </w:rPr>
        <w:t xml:space="preserve">, la solicitud de acceso a la información pública, a la que se le asignó los números de expediente </w:t>
      </w:r>
      <w:r>
        <w:rPr>
          <w:rFonts w:ascii="Palatino Linotype" w:hAnsi="Palatino Linotype" w:cs="Arial"/>
          <w:b/>
        </w:rPr>
        <w:t xml:space="preserve">00427/CHICOLOA/IP/2020, 00424/CHICOLOA/IP/2020 </w:t>
      </w:r>
      <w:r>
        <w:rPr>
          <w:rFonts w:ascii="Palatino Linotype" w:hAnsi="Palatino Linotype" w:cs="Arial"/>
        </w:rPr>
        <w:t>y</w:t>
      </w:r>
      <w:r>
        <w:rPr>
          <w:rFonts w:ascii="Palatino Linotype" w:hAnsi="Palatino Linotype" w:cs="Arial"/>
          <w:b/>
        </w:rPr>
        <w:t xml:space="preserve"> 00422/CHICOLOA/IP/2020</w:t>
      </w:r>
      <w:r>
        <w:rPr>
          <w:rFonts w:ascii="Palatino Linotype" w:hAnsi="Palatino Linotype" w:cs="Arial"/>
          <w:lang w:val="es-ES"/>
        </w:rPr>
        <w:t>, mediante la cual solicitó:</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lang w:val="es-ES"/>
        </w:rPr>
      </w:pPr>
    </w:p>
    <w:p w:rsidR="00517989" w:rsidRDefault="00D6127C">
      <w:pPr>
        <w:tabs>
          <w:tab w:val="left" w:pos="851"/>
        </w:tabs>
        <w:spacing w:beforeAutospacing="1"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00427/CHICOLOA/IP/2020</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lang w:val="es-ES"/>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“Solicito la constancia de estudios universitarios del Coordinador de planeación y proyectos, porque me interesa saber la preparación que tiene para llevar a cabo sus comisiones.” (Sic)</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00424/CHICOLOA/IP/2020</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lastRenderedPageBreak/>
        <w:t>“Solicito la constancia de estudios universitarios del secretario del ayuntamiento, el servidor público Antonio Cervantes Enríquez, ya que me interesa saber con la preparación que cuenta.”</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00422/CHICOLOA/IP/2020</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“Solicito la constancia de estudios universitarios de la Presidenta Municipal Nancy Jazmín Gómez Vargas, ya que me interesa saber el nivel de preparación con que cuenta esta servidora pública.”</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spacing w:beforeAutospacing="1" w:afterAutospacing="1" w:line="360" w:lineRule="auto"/>
        <w:contextualSpacing/>
        <w:jc w:val="both"/>
        <w:rPr>
          <w:rFonts w:ascii="Palatino Linotype" w:hAnsi="Palatino Linotype" w:cs="Arial"/>
          <w:b/>
        </w:rPr>
      </w:pPr>
      <w:r>
        <w:rPr>
          <w:rFonts w:ascii="Palatino Linotype" w:hAnsi="Palatino Linotype" w:cs="Arial"/>
          <w:b/>
        </w:rPr>
        <w:t>MODALIDAD DE ENTREGA:</w:t>
      </w:r>
      <w:r>
        <w:rPr>
          <w:rFonts w:ascii="Palatino Linotype" w:hAnsi="Palatino Linotype" w:cs="Arial"/>
        </w:rPr>
        <w:t xml:space="preserve"> Vía </w:t>
      </w:r>
      <w:r>
        <w:rPr>
          <w:rFonts w:ascii="Palatino Linotype" w:hAnsi="Palatino Linotype" w:cs="Arial"/>
          <w:b/>
        </w:rPr>
        <w:t>SAIMEX.</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hAnsi="Palatino Linotype" w:cs="Arial"/>
          <w:lang w:val="es-ES_tradnl"/>
        </w:rPr>
      </w:pPr>
      <w:r>
        <w:rPr>
          <w:rFonts w:ascii="Palatino Linotype" w:hAnsi="Palatino Linotype"/>
          <w:b/>
          <w:sz w:val="28"/>
          <w:szCs w:val="28"/>
        </w:rPr>
        <w:t xml:space="preserve">II.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el trece de marzo de dos mil veinte, </w:t>
      </w:r>
      <w:r>
        <w:rPr>
          <w:rFonts w:ascii="Palatino Linotype" w:hAnsi="Palatino Linotype" w:cs="Arial"/>
          <w:lang w:val="es-ES_tradnl"/>
        </w:rPr>
        <w:t>el Responsable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respuestas a las solicitudes de información, en los siguientes términos:</w:t>
      </w:r>
    </w:p>
    <w:p w:rsidR="00517989" w:rsidRDefault="00517989">
      <w:pPr>
        <w:spacing w:beforeAutospacing="1" w:afterAutospacing="1" w:line="360" w:lineRule="auto"/>
        <w:contextualSpacing/>
        <w:jc w:val="both"/>
        <w:rPr>
          <w:rFonts w:ascii="Palatino Linotype" w:hAnsi="Palatino Linotype" w:cs="Arial"/>
          <w:lang w:val="es-ES_tradnl"/>
        </w:rPr>
      </w:pPr>
    </w:p>
    <w:p w:rsidR="00517989" w:rsidRDefault="00D6127C">
      <w:pPr>
        <w:tabs>
          <w:tab w:val="left" w:pos="851"/>
        </w:tabs>
        <w:spacing w:beforeAutospacing="1"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00427/CHICOLOA/IP/2020:</w:t>
      </w: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D6127C">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w:t>
      </w:r>
      <w:proofErr w:type="gramStart"/>
      <w:r>
        <w:rPr>
          <w:rFonts w:ascii="Palatino Linotype" w:hAnsi="Palatino Linotype" w:cs="Arial"/>
          <w:i/>
          <w:sz w:val="22"/>
          <w:szCs w:val="22"/>
        </w:rPr>
        <w:t>por</w:t>
      </w:r>
      <w:proofErr w:type="gramEnd"/>
      <w:r>
        <w:rPr>
          <w:rFonts w:ascii="Palatino Linotype" w:hAnsi="Palatino Linotype" w:cs="Arial"/>
          <w:i/>
          <w:sz w:val="22"/>
          <w:szCs w:val="22"/>
        </w:rPr>
        <w:t xml:space="preserve"> medio del presente, hago de su conocimiento que el cargo en el cual basa su solicitud " Coordinador de planeación y proyectos" no se encuentra acreditado en este ayuntamiento.</w:t>
      </w:r>
    </w:p>
    <w:p w:rsidR="00517989" w:rsidRDefault="00D6127C">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ATENTAMENTE</w:t>
      </w:r>
    </w:p>
    <w:p w:rsidR="00517989" w:rsidRDefault="00D6127C">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M. EN A.P. YANETT MARIBEL SOTO DÍAZ”</w:t>
      </w:r>
    </w:p>
    <w:p w:rsidR="00517989" w:rsidRDefault="00517989">
      <w:pPr>
        <w:tabs>
          <w:tab w:val="left" w:pos="851"/>
        </w:tabs>
        <w:spacing w:beforeAutospacing="1" w:afterAutospacing="1"/>
        <w:ind w:left="851" w:right="901"/>
        <w:contextualSpacing/>
        <w:jc w:val="both"/>
        <w:rPr>
          <w:rFonts w:ascii="Palatino Linotype" w:hAnsi="Palatino Linotype" w:cs="Arial"/>
          <w:b/>
          <w:i/>
          <w:sz w:val="22"/>
          <w:szCs w:val="22"/>
          <w:lang w:val="es-ES"/>
        </w:rPr>
      </w:pPr>
    </w:p>
    <w:p w:rsidR="00517989" w:rsidRDefault="00D6127C">
      <w:pPr>
        <w:tabs>
          <w:tab w:val="left" w:pos="851"/>
        </w:tabs>
        <w:spacing w:beforeAutospacing="1"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00424/CHICOLOA/IP/2020:</w:t>
      </w:r>
    </w:p>
    <w:p w:rsidR="00517989" w:rsidRDefault="00517989">
      <w:pPr>
        <w:tabs>
          <w:tab w:val="left" w:pos="851"/>
        </w:tabs>
        <w:spacing w:beforeAutospacing="1" w:afterAutospacing="1"/>
        <w:ind w:left="851" w:right="901"/>
        <w:contextualSpacing/>
        <w:jc w:val="both"/>
        <w:rPr>
          <w:rFonts w:ascii="Palatino Linotype" w:hAnsi="Palatino Linotype" w:cs="Arial"/>
          <w:b/>
          <w:i/>
          <w:sz w:val="22"/>
          <w:szCs w:val="22"/>
          <w:lang w:val="es-ES"/>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“Se anexa respuesta conforme a ley</w:t>
      </w: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ATENTAMENTE</w:t>
      </w: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M. EN A.P. YANETT MARIBEL SOTO DÍAZ” (sic)</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 xml:space="preserve">Asimismo, se advierte que adjuntó el archivo electrónico </w:t>
      </w:r>
      <w:proofErr w:type="spellStart"/>
      <w:r>
        <w:rPr>
          <w:rFonts w:ascii="Palatino Linotype" w:hAnsi="Palatino Linotype" w:cs="Arial"/>
          <w:b/>
          <w:i/>
          <w:sz w:val="22"/>
          <w:szCs w:val="22"/>
        </w:rPr>
        <w:t>curriculum</w:t>
      </w:r>
      <w:proofErr w:type="spellEnd"/>
      <w:r>
        <w:rPr>
          <w:rFonts w:ascii="Palatino Linotype" w:hAnsi="Palatino Linotype" w:cs="Arial"/>
          <w:b/>
          <w:i/>
          <w:sz w:val="22"/>
          <w:szCs w:val="22"/>
        </w:rPr>
        <w:t xml:space="preserve"> </w:t>
      </w:r>
      <w:proofErr w:type="spellStart"/>
      <w:r>
        <w:rPr>
          <w:rFonts w:ascii="Palatino Linotype" w:hAnsi="Palatino Linotype" w:cs="Arial"/>
          <w:b/>
          <w:i/>
          <w:sz w:val="22"/>
          <w:szCs w:val="22"/>
        </w:rPr>
        <w:t>antonio</w:t>
      </w:r>
      <w:proofErr w:type="spellEnd"/>
      <w:r>
        <w:rPr>
          <w:rFonts w:ascii="Palatino Linotype" w:hAnsi="Palatino Linotype" w:cs="Arial"/>
          <w:b/>
          <w:i/>
          <w:sz w:val="22"/>
          <w:szCs w:val="22"/>
        </w:rPr>
        <w:t xml:space="preserve"> secretario chicoloapan.pdf </w:t>
      </w:r>
      <w:r>
        <w:rPr>
          <w:rFonts w:ascii="Palatino Linotype" w:hAnsi="Palatino Linotype" w:cs="Arial"/>
          <w:i/>
          <w:sz w:val="22"/>
          <w:szCs w:val="22"/>
        </w:rPr>
        <w:t xml:space="preserve">del cual se advierte de manera digitalizada carta de </w:t>
      </w:r>
      <w:r>
        <w:rPr>
          <w:rFonts w:ascii="Palatino Linotype" w:hAnsi="Palatino Linotype" w:cs="Arial"/>
          <w:i/>
          <w:sz w:val="22"/>
          <w:szCs w:val="22"/>
        </w:rPr>
        <w:lastRenderedPageBreak/>
        <w:t xml:space="preserve">pasante, plan de estudios con calificaciones, diploma, credencial y constancia de calificaciones correspondientes al diplomado en Perito en documentos cuestionados </w:t>
      </w:r>
    </w:p>
    <w:p w:rsidR="00517989" w:rsidRDefault="00517989">
      <w:pPr>
        <w:tabs>
          <w:tab w:val="left" w:pos="851"/>
        </w:tabs>
        <w:spacing w:beforeAutospacing="1" w:afterAutospacing="1"/>
        <w:ind w:left="851" w:right="901"/>
        <w:contextualSpacing/>
        <w:jc w:val="both"/>
        <w:rPr>
          <w:rFonts w:ascii="Palatino Linotype" w:hAnsi="Palatino Linotype" w:cs="Arial"/>
          <w:b/>
          <w:i/>
          <w:sz w:val="22"/>
          <w:szCs w:val="22"/>
          <w:lang w:val="es-ES"/>
        </w:rPr>
      </w:pPr>
    </w:p>
    <w:p w:rsidR="00517989" w:rsidRDefault="00D6127C">
      <w:pPr>
        <w:tabs>
          <w:tab w:val="left" w:pos="851"/>
        </w:tabs>
        <w:spacing w:beforeAutospacing="1"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00422/CHICOLOA/IP/2020:</w:t>
      </w:r>
    </w:p>
    <w:p w:rsidR="00517989" w:rsidRDefault="00517989">
      <w:pPr>
        <w:tabs>
          <w:tab w:val="left" w:pos="851"/>
        </w:tabs>
        <w:spacing w:beforeAutospacing="1" w:afterAutospacing="1"/>
        <w:ind w:left="851" w:right="901"/>
        <w:contextualSpacing/>
        <w:jc w:val="both"/>
        <w:rPr>
          <w:rFonts w:ascii="Palatino Linotype" w:hAnsi="Palatino Linotype" w:cs="Arial"/>
          <w:b/>
          <w:i/>
          <w:sz w:val="22"/>
          <w:szCs w:val="22"/>
          <w:lang w:val="es-ES"/>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“Hago de su conocimiento que no es posible atender su solicitud debido a que la Presidenta Municipal actualmente no cuenta con un título universitario</w:t>
      </w: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ATENTAMENTE</w:t>
      </w: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M. EN A.P. YANETT MARIBEL SOTO DIAZ” (Sic)</w:t>
      </w: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b/>
          <w:sz w:val="28"/>
          <w:szCs w:val="28"/>
        </w:rPr>
        <w:t>III.</w:t>
      </w:r>
      <w:r>
        <w:rPr>
          <w:rFonts w:ascii="Palatino Linotype" w:hAnsi="Palatino Linotype"/>
          <w:b/>
        </w:rPr>
        <w:t xml:space="preserve"> </w:t>
      </w:r>
      <w:r>
        <w:rPr>
          <w:rFonts w:ascii="Palatino Linotype" w:hAnsi="Palatino Linotype"/>
        </w:rPr>
        <w:t xml:space="preserve">Inconforme con las </w:t>
      </w:r>
      <w:r>
        <w:rPr>
          <w:rFonts w:ascii="Palatino Linotype" w:hAnsi="Palatino Linotype" w:cs="Arial"/>
        </w:rPr>
        <w:t xml:space="preserve">respuestas, el veintitrés de marzo de dos mil veinte, </w:t>
      </w:r>
      <w:r>
        <w:rPr>
          <w:rFonts w:ascii="Palatino Linotype" w:hAnsi="Palatino Linotype"/>
          <w:b/>
        </w:rPr>
        <w:t>EL RECURRENTE</w:t>
      </w:r>
      <w:r>
        <w:rPr>
          <w:rFonts w:ascii="Palatino Linotype" w:hAnsi="Palatino Linotype"/>
        </w:rPr>
        <w:t xml:space="preserve"> interpuso los recursos de revisión objeto del presente estudio, a los que se les asignó los números al rubro citados</w:t>
      </w:r>
      <w:r>
        <w:rPr>
          <w:rFonts w:ascii="Palatino Linotype" w:hAnsi="Palatino Linotype" w:cs="Arial"/>
        </w:rPr>
        <w:t xml:space="preserve">, en el que señaló como actos impugnados lo siguiente: </w:t>
      </w: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D6127C">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“No me han brindado la información solicitada” (sic)</w:t>
      </w: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cs="Arial"/>
        </w:rPr>
        <w:t>Asimismo,</w:t>
      </w:r>
      <w:r>
        <w:t xml:space="preserve"> </w:t>
      </w:r>
      <w:r>
        <w:rPr>
          <w:b/>
        </w:rPr>
        <w:t>EL RECURRENTE</w:t>
      </w:r>
      <w:r>
        <w:rPr>
          <w:rFonts w:ascii="Palatino Linotype" w:hAnsi="Palatino Linotype" w:cs="Arial"/>
        </w:rPr>
        <w:t xml:space="preserve"> indicó análogamente como razones o motivos de inconformidad, lo siguiente: </w:t>
      </w: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D6127C">
      <w:pPr>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 xml:space="preserve">“No me han brindado la información solicitada” (sic) </w:t>
      </w:r>
    </w:p>
    <w:p w:rsidR="00517989" w:rsidRDefault="00517989">
      <w:pPr>
        <w:spacing w:beforeAutospacing="1" w:afterAutospacing="1"/>
        <w:ind w:left="851" w:right="899"/>
        <w:contextualSpacing/>
        <w:jc w:val="both"/>
        <w:rPr>
          <w:rFonts w:ascii="Palatino Linotype" w:hAnsi="Palatino Linotype" w:cs="Arial"/>
          <w:i/>
          <w:sz w:val="22"/>
          <w:szCs w:val="22"/>
        </w:rPr>
      </w:pPr>
    </w:p>
    <w:p w:rsidR="00517989" w:rsidRDefault="00D6127C">
      <w:pPr>
        <w:pStyle w:val="Prrafodelista"/>
        <w:widowControl w:val="0"/>
        <w:tabs>
          <w:tab w:val="left" w:pos="0"/>
        </w:tabs>
        <w:spacing w:beforeAutospacing="1" w:afterAutospacing="1" w:line="360" w:lineRule="auto"/>
        <w:ind w:left="0"/>
        <w:contextualSpacing/>
        <w:jc w:val="both"/>
        <w:rPr>
          <w:rFonts w:ascii="Palatino Linotype" w:hAnsi="Palatino Linotype" w:cs="Arial"/>
          <w:lang w:val="es-ES_tradnl"/>
        </w:rPr>
      </w:pPr>
      <w:r>
        <w:rPr>
          <w:rFonts w:ascii="Palatino Linotype" w:hAnsi="Palatino Linotype"/>
          <w:b/>
          <w:sz w:val="28"/>
          <w:szCs w:val="28"/>
        </w:rPr>
        <w:t xml:space="preserve">IV. </w:t>
      </w:r>
      <w:r>
        <w:rPr>
          <w:rFonts w:ascii="Palatino Linotype" w:hAnsi="Palatino Linotype" w:cs="Arial"/>
        </w:rPr>
        <w:t xml:space="preserve">En fecha </w:t>
      </w:r>
      <w:r>
        <w:rPr>
          <w:rFonts w:ascii="Palatino Linotype" w:hAnsi="Palatino Linotype"/>
        </w:rPr>
        <w:t>veintitrés de marzo de dos mil veinte</w:t>
      </w:r>
      <w:r>
        <w:rPr>
          <w:rFonts w:ascii="Palatino Linotype" w:hAnsi="Palatino Linotype" w:cs="Arial"/>
        </w:rPr>
        <w:t>, los recursos de revisión que se trata se enviaron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los cuales se turnaron de la siguiente manera:</w:t>
      </w:r>
    </w:p>
    <w:p w:rsidR="00517989" w:rsidRDefault="00517989">
      <w:pPr>
        <w:pStyle w:val="Prrafodelista"/>
        <w:widowControl w:val="0"/>
        <w:tabs>
          <w:tab w:val="left" w:pos="0"/>
        </w:tabs>
        <w:spacing w:beforeAutospacing="1" w:afterAutospacing="1" w:line="360" w:lineRule="auto"/>
        <w:ind w:left="0"/>
        <w:contextualSpacing/>
        <w:jc w:val="both"/>
        <w:rPr>
          <w:rFonts w:ascii="Palatino Linotype" w:hAnsi="Palatino Linotype" w:cs="Arial"/>
          <w:lang w:val="es-ES_tradnl"/>
        </w:rPr>
      </w:pPr>
    </w:p>
    <w:tbl>
      <w:tblPr>
        <w:tblStyle w:val="Tablaconcuadrcula"/>
        <w:tblW w:w="9111" w:type="dxa"/>
        <w:tblLook w:val="04A0" w:firstRow="1" w:lastRow="0" w:firstColumn="1" w:lastColumn="0" w:noHBand="0" w:noVBand="1"/>
      </w:tblPr>
      <w:tblGrid>
        <w:gridCol w:w="5099"/>
        <w:gridCol w:w="4012"/>
      </w:tblGrid>
      <w:tr w:rsidR="00517989">
        <w:tc>
          <w:tcPr>
            <w:tcW w:w="5098" w:type="dxa"/>
            <w:shd w:val="clear" w:color="auto" w:fill="000000" w:themeFill="text1"/>
            <w:vAlign w:val="center"/>
          </w:tcPr>
          <w:p w:rsidR="00517989" w:rsidRDefault="00D6127C">
            <w:pPr>
              <w:pStyle w:val="Prrafodelista"/>
              <w:widowControl w:val="0"/>
              <w:tabs>
                <w:tab w:val="left" w:pos="0"/>
              </w:tabs>
              <w:spacing w:beforeAutospacing="1"/>
              <w:ind w:left="0"/>
              <w:contextualSpacing/>
              <w:jc w:val="center"/>
              <w:rPr>
                <w:rFonts w:ascii="Palatino Linotype" w:hAnsi="Palatino Linotype" w:cs="Arial"/>
                <w:b/>
                <w:lang w:val="es-ES_tradnl"/>
              </w:rPr>
            </w:pPr>
            <w:r>
              <w:rPr>
                <w:rFonts w:ascii="Palatino Linotype" w:hAnsi="Palatino Linotype" w:cs="Arial"/>
                <w:b/>
                <w:sz w:val="22"/>
                <w:lang w:val="es-ES_tradnl"/>
              </w:rPr>
              <w:t>Recurso de Revisión</w:t>
            </w:r>
          </w:p>
        </w:tc>
        <w:tc>
          <w:tcPr>
            <w:tcW w:w="4012" w:type="dxa"/>
            <w:shd w:val="clear" w:color="auto" w:fill="000000" w:themeFill="text1"/>
            <w:vAlign w:val="center"/>
          </w:tcPr>
          <w:p w:rsidR="00517989" w:rsidRDefault="00D6127C">
            <w:pPr>
              <w:pStyle w:val="Prrafodelista"/>
              <w:widowControl w:val="0"/>
              <w:tabs>
                <w:tab w:val="left" w:pos="0"/>
              </w:tabs>
              <w:spacing w:beforeAutospacing="1"/>
              <w:ind w:left="0"/>
              <w:contextualSpacing/>
              <w:jc w:val="center"/>
              <w:rPr>
                <w:rFonts w:ascii="Palatino Linotype" w:hAnsi="Palatino Linotype" w:cs="Arial"/>
                <w:b/>
                <w:lang w:val="es-ES_tradnl"/>
              </w:rPr>
            </w:pPr>
            <w:r>
              <w:rPr>
                <w:rFonts w:ascii="Palatino Linotype" w:hAnsi="Palatino Linotype" w:cs="Arial"/>
                <w:b/>
                <w:sz w:val="22"/>
                <w:lang w:val="es-ES_tradnl"/>
              </w:rPr>
              <w:t>Comisionada o Comisionado</w:t>
            </w:r>
          </w:p>
        </w:tc>
      </w:tr>
      <w:tr w:rsidR="00517989">
        <w:tc>
          <w:tcPr>
            <w:tcW w:w="5098" w:type="dxa"/>
            <w:vAlign w:val="center"/>
          </w:tcPr>
          <w:p w:rsidR="00517989" w:rsidRDefault="00D6127C">
            <w:pPr>
              <w:spacing w:beforeAutospacing="1"/>
              <w:contextualSpacing/>
              <w:jc w:val="both"/>
              <w:rPr>
                <w:rFonts w:ascii="Palatino Linotype" w:hAnsi="Palatino Linotype" w:cs="Arial"/>
                <w:lang w:val="es-ES_tradnl"/>
              </w:rPr>
            </w:pPr>
            <w:r>
              <w:rPr>
                <w:rFonts w:ascii="Palatino Linotype" w:eastAsiaTheme="minorHAnsi" w:hAnsi="Palatino Linotype"/>
                <w:b/>
                <w:spacing w:val="-20"/>
                <w:sz w:val="22"/>
              </w:rPr>
              <w:t>01727/INFOEM/IP/RR/2020</w:t>
            </w:r>
            <w:r>
              <w:rPr>
                <w:rFonts w:ascii="Palatino Linotype" w:eastAsiaTheme="minorHAnsi" w:hAnsi="Palatino Linotype"/>
                <w:spacing w:val="-20"/>
                <w:sz w:val="22"/>
              </w:rPr>
              <w:t xml:space="preserve"> </w:t>
            </w:r>
          </w:p>
        </w:tc>
        <w:tc>
          <w:tcPr>
            <w:tcW w:w="4012" w:type="dxa"/>
            <w:vAlign w:val="center"/>
          </w:tcPr>
          <w:p w:rsidR="00517989" w:rsidRDefault="00D6127C">
            <w:pPr>
              <w:pStyle w:val="Prrafodelista"/>
              <w:widowControl w:val="0"/>
              <w:tabs>
                <w:tab w:val="left" w:pos="0"/>
              </w:tabs>
              <w:spacing w:beforeAutospacing="1"/>
              <w:ind w:left="0"/>
              <w:contextualSpacing/>
              <w:jc w:val="center"/>
              <w:rPr>
                <w:rFonts w:ascii="Palatino Linotype" w:hAnsi="Palatino Linotype" w:cs="Arial"/>
                <w:lang w:val="es-ES_tradnl"/>
              </w:rPr>
            </w:pPr>
            <w:r>
              <w:rPr>
                <w:rFonts w:ascii="Palatino Linotype" w:hAnsi="Palatino Linotype" w:cs="Arial"/>
                <w:sz w:val="22"/>
                <w:lang w:val="es-ES_tradnl"/>
              </w:rPr>
              <w:t xml:space="preserve">Eva </w:t>
            </w:r>
            <w:proofErr w:type="spellStart"/>
            <w:r>
              <w:rPr>
                <w:rFonts w:ascii="Palatino Linotype" w:hAnsi="Palatino Linotype" w:cs="Arial"/>
                <w:sz w:val="22"/>
                <w:lang w:val="es-ES_tradnl"/>
              </w:rPr>
              <w:t>Abaid</w:t>
            </w:r>
            <w:proofErr w:type="spellEnd"/>
            <w:r>
              <w:rPr>
                <w:rFonts w:ascii="Palatino Linotype" w:hAnsi="Palatino Linotype" w:cs="Arial"/>
                <w:sz w:val="22"/>
                <w:lang w:val="es-ES_tradnl"/>
              </w:rPr>
              <w:t xml:space="preserve"> </w:t>
            </w:r>
            <w:proofErr w:type="spellStart"/>
            <w:r>
              <w:rPr>
                <w:rFonts w:ascii="Palatino Linotype" w:hAnsi="Palatino Linotype" w:cs="Arial"/>
                <w:sz w:val="22"/>
                <w:lang w:val="es-ES_tradnl"/>
              </w:rPr>
              <w:t>Yapur</w:t>
            </w:r>
            <w:proofErr w:type="spellEnd"/>
          </w:p>
        </w:tc>
      </w:tr>
      <w:tr w:rsidR="00517989">
        <w:tc>
          <w:tcPr>
            <w:tcW w:w="5098" w:type="dxa"/>
            <w:vAlign w:val="center"/>
          </w:tcPr>
          <w:p w:rsidR="00517989" w:rsidRDefault="00D6127C">
            <w:pPr>
              <w:pStyle w:val="Prrafodelista"/>
              <w:widowControl w:val="0"/>
              <w:tabs>
                <w:tab w:val="left" w:pos="0"/>
              </w:tabs>
              <w:spacing w:beforeAutospacing="1"/>
              <w:ind w:left="0"/>
              <w:contextualSpacing/>
              <w:jc w:val="both"/>
              <w:rPr>
                <w:rFonts w:ascii="Palatino Linotype" w:hAnsi="Palatino Linotype" w:cs="Arial"/>
                <w:lang w:val="es-ES_tradnl"/>
              </w:rPr>
            </w:pPr>
            <w:r>
              <w:rPr>
                <w:rFonts w:ascii="Palatino Linotype" w:eastAsiaTheme="minorHAnsi" w:hAnsi="Palatino Linotype"/>
                <w:b/>
                <w:spacing w:val="-20"/>
                <w:sz w:val="22"/>
              </w:rPr>
              <w:t>01730/INFOEM/IP/RR/2020</w:t>
            </w:r>
          </w:p>
        </w:tc>
        <w:tc>
          <w:tcPr>
            <w:tcW w:w="4012" w:type="dxa"/>
            <w:vAlign w:val="center"/>
          </w:tcPr>
          <w:p w:rsidR="00517989" w:rsidRDefault="00D6127C">
            <w:pPr>
              <w:pStyle w:val="Prrafodelista"/>
              <w:widowControl w:val="0"/>
              <w:tabs>
                <w:tab w:val="left" w:pos="0"/>
              </w:tabs>
              <w:spacing w:beforeAutospacing="1"/>
              <w:ind w:left="0"/>
              <w:contextualSpacing/>
              <w:jc w:val="center"/>
              <w:rPr>
                <w:rFonts w:ascii="Palatino Linotype" w:hAnsi="Palatino Linotype" w:cs="Arial"/>
                <w:lang w:val="es-ES_tradnl"/>
              </w:rPr>
            </w:pPr>
            <w:r>
              <w:rPr>
                <w:rFonts w:ascii="Palatino Linotype" w:hAnsi="Palatino Linotype" w:cs="Arial"/>
                <w:sz w:val="22"/>
                <w:lang w:val="es-ES_tradnl"/>
              </w:rPr>
              <w:t>Zulema Martínez Sánchez</w:t>
            </w:r>
          </w:p>
        </w:tc>
      </w:tr>
      <w:tr w:rsidR="00517989">
        <w:trPr>
          <w:trHeight w:val="247"/>
        </w:trPr>
        <w:tc>
          <w:tcPr>
            <w:tcW w:w="5098" w:type="dxa"/>
            <w:vAlign w:val="center"/>
          </w:tcPr>
          <w:p w:rsidR="00517989" w:rsidRDefault="00D6127C">
            <w:pPr>
              <w:spacing w:beforeAutospacing="1"/>
              <w:contextualSpacing/>
              <w:jc w:val="both"/>
              <w:rPr>
                <w:rFonts w:ascii="Palatino Linotype" w:hAnsi="Palatino Linotype"/>
                <w:b/>
                <w:spacing w:val="-20"/>
              </w:rPr>
            </w:pPr>
            <w:r>
              <w:rPr>
                <w:rFonts w:ascii="Palatino Linotype" w:eastAsiaTheme="minorHAnsi" w:hAnsi="Palatino Linotype"/>
                <w:b/>
                <w:spacing w:val="-20"/>
                <w:sz w:val="22"/>
              </w:rPr>
              <w:t>11489/INFOEM/IP/RR/2020</w:t>
            </w:r>
          </w:p>
        </w:tc>
        <w:tc>
          <w:tcPr>
            <w:tcW w:w="4012" w:type="dxa"/>
            <w:vAlign w:val="center"/>
          </w:tcPr>
          <w:p w:rsidR="00517989" w:rsidRDefault="00D6127C">
            <w:pPr>
              <w:pStyle w:val="Prrafodelista"/>
              <w:widowControl w:val="0"/>
              <w:tabs>
                <w:tab w:val="left" w:pos="0"/>
              </w:tabs>
              <w:spacing w:beforeAutospacing="1"/>
              <w:ind w:left="0"/>
              <w:contextualSpacing/>
              <w:jc w:val="center"/>
              <w:rPr>
                <w:rFonts w:ascii="Palatino Linotype" w:hAnsi="Palatino Linotype" w:cs="Arial"/>
                <w:lang w:val="es-ES_tradnl"/>
              </w:rPr>
            </w:pPr>
            <w:r>
              <w:rPr>
                <w:rFonts w:ascii="Palatino Linotype" w:hAnsi="Palatino Linotype" w:cs="Arial"/>
                <w:sz w:val="22"/>
                <w:lang w:val="es-ES_tradnl"/>
              </w:rPr>
              <w:t>Luis Gustavo Parra Noriega</w:t>
            </w:r>
          </w:p>
        </w:tc>
      </w:tr>
    </w:tbl>
    <w:p w:rsidR="00517989" w:rsidRDefault="00D6127C">
      <w:pPr>
        <w:pStyle w:val="Prrafodelista"/>
        <w:widowControl w:val="0"/>
        <w:tabs>
          <w:tab w:val="left" w:pos="0"/>
        </w:tabs>
        <w:spacing w:beforeAutospacing="1" w:afterAutospacing="1" w:line="360" w:lineRule="auto"/>
        <w:ind w:left="0"/>
        <w:contextualSpacing/>
        <w:jc w:val="both"/>
        <w:rPr>
          <w:rFonts w:ascii="Palatino Linotype" w:hAnsi="Palatino Linotype" w:cs="Arial"/>
          <w:lang w:val="es-ES_tradnl"/>
        </w:rPr>
      </w:pPr>
      <w:r>
        <w:rPr>
          <w:rFonts w:ascii="Palatino Linotype" w:hAnsi="Palatino Linotype" w:cs="Arial"/>
          <w:lang w:val="es-ES_tradnl"/>
        </w:rPr>
        <w:t xml:space="preserve">Lo anterior, a efecto de que decretaran su admisión o </w:t>
      </w:r>
      <w:proofErr w:type="spellStart"/>
      <w:r>
        <w:rPr>
          <w:rFonts w:ascii="Palatino Linotype" w:hAnsi="Palatino Linotype" w:cs="Arial"/>
          <w:lang w:val="es-ES_tradnl"/>
        </w:rPr>
        <w:t>desechamiento</w:t>
      </w:r>
      <w:proofErr w:type="spellEnd"/>
      <w:r>
        <w:rPr>
          <w:rFonts w:ascii="Palatino Linotype" w:hAnsi="Palatino Linotype" w:cs="Arial"/>
          <w:lang w:val="es-ES_tradnl"/>
        </w:rPr>
        <w:t>.</w:t>
      </w:r>
    </w:p>
    <w:p w:rsidR="00517989" w:rsidRDefault="00517989">
      <w:pPr>
        <w:pStyle w:val="Prrafodelista"/>
        <w:widowControl w:val="0"/>
        <w:tabs>
          <w:tab w:val="left" w:pos="0"/>
        </w:tabs>
        <w:spacing w:beforeAutospacing="1" w:afterAutospacing="1" w:line="360" w:lineRule="auto"/>
        <w:ind w:left="0"/>
        <w:contextualSpacing/>
        <w:jc w:val="both"/>
        <w:rPr>
          <w:rFonts w:ascii="Palatino Linotype" w:hAnsi="Palatino Linotype" w:cs="Arial"/>
          <w:lang w:val="es-ES_tradnl"/>
        </w:rPr>
      </w:pPr>
    </w:p>
    <w:p w:rsidR="00517989" w:rsidRDefault="00D6127C">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r>
        <w:rPr>
          <w:rFonts w:ascii="Palatino Linotype" w:hAnsi="Palatino Linotype"/>
          <w:b/>
          <w:sz w:val="28"/>
          <w:szCs w:val="28"/>
        </w:rPr>
        <w:t xml:space="preserve">V. </w:t>
      </w:r>
      <w:r>
        <w:rPr>
          <w:rFonts w:ascii="Palatino Linotype" w:hAnsi="Palatino Linotype"/>
        </w:rPr>
        <w:t>El</w:t>
      </w:r>
      <w:r>
        <w:rPr>
          <w:rFonts w:ascii="Palatino Linotype" w:hAnsi="Palatino Linotype"/>
          <w:b/>
          <w:sz w:val="28"/>
          <w:szCs w:val="28"/>
        </w:rPr>
        <w:t xml:space="preserve"> </w:t>
      </w:r>
      <w:r>
        <w:rPr>
          <w:rFonts w:ascii="Palatino Linotype" w:hAnsi="Palatino Linotype"/>
        </w:rPr>
        <w:t xml:space="preserve">siete de agosto de dos mil veinte, </w:t>
      </w:r>
      <w:r>
        <w:rPr>
          <w:rFonts w:ascii="Palatino Linotype" w:hAnsi="Palatino Linotype" w:cs="Arial"/>
        </w:rPr>
        <w:t xml:space="preserve">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 los referidos recursos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 los expedientes respectivos, mismos que se pusieron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los Informes Justificados correspondientes.</w:t>
      </w:r>
    </w:p>
    <w:p w:rsidR="00517989" w:rsidRDefault="00517989">
      <w:pPr>
        <w:pStyle w:val="Prrafodelista"/>
        <w:widowControl w:val="0"/>
        <w:tabs>
          <w:tab w:val="left" w:pos="0"/>
        </w:tabs>
        <w:spacing w:beforeAutospacing="1" w:afterAutospacing="1" w:line="360" w:lineRule="auto"/>
        <w:ind w:left="0"/>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eastAsia="Arial Unicode MS" w:hAnsi="Palatino Linotype" w:cs="Arial"/>
          <w:b/>
          <w:sz w:val="28"/>
          <w:szCs w:val="28"/>
        </w:rPr>
        <w:t xml:space="preserve">VI. </w:t>
      </w:r>
      <w:r>
        <w:rPr>
          <w:rFonts w:ascii="Palatino Linotype" w:eastAsia="Arial Unicode MS" w:hAnsi="Palatino Linotype" w:cs="Arial"/>
        </w:rPr>
        <w:t xml:space="preserve">Conforme a las constancias del </w:t>
      </w:r>
      <w:r>
        <w:rPr>
          <w:rFonts w:ascii="Palatino Linotype" w:eastAsia="Arial Unicode MS" w:hAnsi="Palatino Linotype" w:cs="Arial"/>
          <w:b/>
        </w:rPr>
        <w:t>SAIMEX</w:t>
      </w:r>
      <w:r>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Pr>
          <w:rFonts w:ascii="Palatino Linotype" w:eastAsia="Arial Unicode MS" w:hAnsi="Palatino Linotype" w:cs="Arial"/>
          <w:b/>
        </w:rPr>
        <w:t>RECURRENTE</w:t>
      </w:r>
      <w:r>
        <w:rPr>
          <w:rFonts w:ascii="Palatino Linotype" w:eastAsia="Arial Unicode MS" w:hAnsi="Palatino Linotype" w:cs="Arial"/>
        </w:rPr>
        <w:t xml:space="preserve">, éste no realizó manifestaciones, ni presentó pruebas o alegatos, así como tampoco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rindió sus Informes Justificados, tal y como se aprecia en la siguiente imagen: </w:t>
      </w:r>
      <w:r>
        <w:rPr>
          <w:rFonts w:ascii="Palatino Linotype" w:hAnsi="Palatino Linotype" w:cs="Arial"/>
        </w:rPr>
        <w:t xml:space="preserve"> </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center"/>
        <w:rPr>
          <w:rFonts w:ascii="Palatino Linotype" w:hAnsi="Palatino Linotype" w:cs="Arial"/>
        </w:rPr>
      </w:pPr>
      <w:r>
        <w:rPr>
          <w:noProof/>
          <w:lang w:eastAsia="es-MX"/>
        </w:rPr>
        <w:lastRenderedPageBreak/>
        <w:drawing>
          <wp:inline distT="0" distB="0" distL="0" distR="0">
            <wp:extent cx="5753100" cy="1432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10524" t="41648" r="12246" b="27734"/>
                    <a:stretch>
                      <a:fillRect/>
                    </a:stretch>
                  </pic:blipFill>
                  <pic:spPr bwMode="auto">
                    <a:xfrm>
                      <a:off x="0" y="0"/>
                      <a:ext cx="5753100" cy="1432560"/>
                    </a:xfrm>
                    <a:prstGeom prst="rect">
                      <a:avLst/>
                    </a:prstGeom>
                  </pic:spPr>
                </pic:pic>
              </a:graphicData>
            </a:graphic>
          </wp:inline>
        </w:drawing>
      </w:r>
    </w:p>
    <w:p w:rsidR="00517989" w:rsidRDefault="00517989">
      <w:pPr>
        <w:spacing w:beforeAutospacing="1" w:afterAutospacing="1" w:line="360" w:lineRule="auto"/>
        <w:contextualSpacing/>
        <w:rPr>
          <w:rFonts w:ascii="Palatino Linotype" w:hAnsi="Palatino Linotype" w:cs="Arial"/>
        </w:rPr>
      </w:pPr>
    </w:p>
    <w:p w:rsidR="00517989" w:rsidRDefault="00D6127C">
      <w:pPr>
        <w:spacing w:beforeAutospacing="1" w:afterAutospacing="1" w:line="360" w:lineRule="auto"/>
        <w:contextualSpacing/>
        <w:rPr>
          <w:rFonts w:ascii="Palatino Linotype" w:hAnsi="Palatino Linotype" w:cs="Arial"/>
        </w:rPr>
      </w:pPr>
      <w:r>
        <w:rPr>
          <w:noProof/>
          <w:lang w:eastAsia="es-MX"/>
        </w:rPr>
        <w:drawing>
          <wp:inline distT="0" distB="0" distL="0" distR="0">
            <wp:extent cx="5684520" cy="160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rcRect l="10524" t="24567" r="12510" b="44591"/>
                    <a:stretch>
                      <a:fillRect/>
                    </a:stretch>
                  </pic:blipFill>
                  <pic:spPr bwMode="auto">
                    <a:xfrm>
                      <a:off x="0" y="0"/>
                      <a:ext cx="5684520" cy="1600200"/>
                    </a:xfrm>
                    <a:prstGeom prst="rect">
                      <a:avLst/>
                    </a:prstGeom>
                  </pic:spPr>
                </pic:pic>
              </a:graphicData>
            </a:graphic>
          </wp:inline>
        </w:drawing>
      </w:r>
    </w:p>
    <w:p w:rsidR="00517989" w:rsidRDefault="00517989">
      <w:pPr>
        <w:spacing w:beforeAutospacing="1" w:afterAutospacing="1" w:line="360" w:lineRule="auto"/>
        <w:contextualSpacing/>
        <w:rPr>
          <w:rFonts w:ascii="Palatino Linotype" w:hAnsi="Palatino Linotype" w:cs="Arial"/>
        </w:rPr>
      </w:pPr>
    </w:p>
    <w:p w:rsidR="00517989" w:rsidRDefault="00D6127C">
      <w:pPr>
        <w:spacing w:beforeAutospacing="1" w:afterAutospacing="1" w:line="360" w:lineRule="auto"/>
        <w:contextualSpacing/>
        <w:rPr>
          <w:rFonts w:ascii="Palatino Linotype" w:hAnsi="Palatino Linotype" w:cs="Arial"/>
        </w:rPr>
      </w:pPr>
      <w:r>
        <w:rPr>
          <w:noProof/>
          <w:lang w:eastAsia="es-MX"/>
        </w:rPr>
        <w:drawing>
          <wp:inline distT="0" distB="0" distL="0" distR="0">
            <wp:extent cx="5623560" cy="1280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rcRect l="11183" t="40945" r="12510" b="28203"/>
                    <a:stretch>
                      <a:fillRect/>
                    </a:stretch>
                  </pic:blipFill>
                  <pic:spPr bwMode="auto">
                    <a:xfrm>
                      <a:off x="0" y="0"/>
                      <a:ext cx="5623560" cy="1280160"/>
                    </a:xfrm>
                    <a:prstGeom prst="rect">
                      <a:avLst/>
                    </a:prstGeom>
                  </pic:spPr>
                </pic:pic>
              </a:graphicData>
            </a:graphic>
          </wp:inline>
        </w:drawing>
      </w:r>
    </w:p>
    <w:p w:rsidR="00517989" w:rsidRDefault="00D6127C">
      <w:pPr>
        <w:spacing w:beforeAutospacing="1" w:afterAutospacing="1" w:line="360" w:lineRule="auto"/>
        <w:contextualSpacing/>
        <w:jc w:val="both"/>
        <w:rPr>
          <w:rFonts w:ascii="Palatino Linotype" w:eastAsia="MS Mincho" w:hAnsi="Palatino Linotype"/>
        </w:rPr>
      </w:pPr>
      <w:r>
        <w:rPr>
          <w:rFonts w:ascii="Palatino Linotype" w:hAnsi="Palatino Linotype"/>
          <w:b/>
          <w:sz w:val="28"/>
          <w:szCs w:val="28"/>
        </w:rPr>
        <w:t>VII.</w:t>
      </w:r>
      <w:r>
        <w:rPr>
          <w:rFonts w:ascii="Palatino Linotype" w:hAnsi="Palatino Linotype" w:cs="Arial"/>
        </w:rPr>
        <w:t xml:space="preserve"> Por economía procesal y a fin de evitar la emisión de resoluciones contradictorias, el Pleno de este Instituto determinó la acumulación de los Recursos de Revisión </w:t>
      </w:r>
      <w:r>
        <w:rPr>
          <w:rFonts w:ascii="Palatino Linotype" w:hAnsi="Palatino Linotype"/>
          <w:b/>
          <w:bCs/>
          <w:spacing w:val="-20"/>
        </w:rPr>
        <w:t xml:space="preserve">01727/INFOEM/IP/RR/2020, 01730/INFOEM/IP/RR/2020 </w:t>
      </w:r>
      <w:r>
        <w:rPr>
          <w:rFonts w:ascii="Palatino Linotype" w:hAnsi="Palatino Linotype"/>
          <w:bCs/>
          <w:spacing w:val="-20"/>
        </w:rPr>
        <w:t>y</w:t>
      </w:r>
      <w:r>
        <w:rPr>
          <w:rFonts w:ascii="Palatino Linotype" w:hAnsi="Palatino Linotype"/>
          <w:b/>
          <w:bCs/>
          <w:spacing w:val="-20"/>
        </w:rPr>
        <w:t xml:space="preserve"> 01731/INFOEM/IP/RR/2020, </w:t>
      </w:r>
      <w:r>
        <w:rPr>
          <w:rFonts w:ascii="Palatino Linotype" w:eastAsia="MS Mincho" w:hAnsi="Palatino Linotype" w:cs="Arial"/>
        </w:rPr>
        <w:t xml:space="preserve">turnándose a la Comisionada </w:t>
      </w:r>
      <w:r>
        <w:rPr>
          <w:rFonts w:ascii="Palatino Linotype" w:eastAsia="MS Mincho" w:hAnsi="Palatino Linotype" w:cs="Arial"/>
          <w:b/>
        </w:rPr>
        <w:t xml:space="preserve">Eva </w:t>
      </w:r>
      <w:proofErr w:type="spellStart"/>
      <w:r>
        <w:rPr>
          <w:rFonts w:ascii="Palatino Linotype" w:eastAsia="MS Mincho" w:hAnsi="Palatino Linotype" w:cs="Arial"/>
          <w:b/>
        </w:rPr>
        <w:t>Abaid</w:t>
      </w:r>
      <w:proofErr w:type="spellEnd"/>
      <w:r>
        <w:rPr>
          <w:rFonts w:ascii="Palatino Linotype" w:eastAsia="MS Mincho" w:hAnsi="Palatino Linotype" w:cs="Arial"/>
          <w:b/>
        </w:rPr>
        <w:t xml:space="preserve"> </w:t>
      </w:r>
      <w:proofErr w:type="spellStart"/>
      <w:r>
        <w:rPr>
          <w:rFonts w:ascii="Palatino Linotype" w:eastAsia="MS Mincho" w:hAnsi="Palatino Linotype" w:cs="Arial"/>
          <w:b/>
        </w:rPr>
        <w:t>Yapur</w:t>
      </w:r>
      <w:proofErr w:type="spellEnd"/>
      <w:r>
        <w:rPr>
          <w:rFonts w:ascii="Palatino Linotype" w:eastAsia="MS Mincho" w:hAnsi="Palatino Linotype" w:cs="Arial"/>
        </w:rPr>
        <w:t xml:space="preserve"> para que formulara y presentara el proyecto de resolución correspondiente, de conformidad con lo dispuesto en el artículo 18 del </w:t>
      </w:r>
      <w:r>
        <w:rPr>
          <w:rFonts w:ascii="Palatino Linotype" w:eastAsia="MS Mincho" w:hAnsi="Palatino Linotype" w:cs="Arial"/>
          <w:lang w:val="es-ES"/>
        </w:rPr>
        <w:t xml:space="preserve">Código de Procedimientos Administrativos del Estado de México, de aplicación </w:t>
      </w:r>
      <w:r>
        <w:rPr>
          <w:rFonts w:ascii="Palatino Linotype" w:eastAsia="MS Mincho" w:hAnsi="Palatino Linotype" w:cs="Arial"/>
          <w:lang w:val="es-ES"/>
        </w:rPr>
        <w:lastRenderedPageBreak/>
        <w:t xml:space="preserve">supletoria, en términos del </w:t>
      </w:r>
      <w:r>
        <w:rPr>
          <w:rFonts w:ascii="Palatino Linotype" w:eastAsia="MS Mincho" w:hAnsi="Palatino Linotype" w:cs="Arial"/>
        </w:rPr>
        <w:t xml:space="preserve">artículo 195 de </w:t>
      </w:r>
      <w:r>
        <w:rPr>
          <w:rFonts w:ascii="Palatino Linotype" w:eastAsia="MS Mincho" w:hAnsi="Palatino Linotype"/>
        </w:rPr>
        <w:t>la Ley de Transparencia y Acceso a la Información Pública del Estado de México y Municipios en vigor.</w:t>
      </w:r>
    </w:p>
    <w:p w:rsidR="00517989" w:rsidRDefault="00517989">
      <w:pPr>
        <w:spacing w:beforeAutospacing="1" w:afterAutospacing="1" w:line="360" w:lineRule="auto"/>
        <w:contextualSpacing/>
        <w:jc w:val="both"/>
        <w:rPr>
          <w:rFonts w:ascii="Palatino Linotype" w:eastAsia="MS Mincho" w:hAnsi="Palatino Linotype"/>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b/>
          <w:sz w:val="28"/>
          <w:szCs w:val="28"/>
        </w:rPr>
        <w:t>VIII.</w:t>
      </w:r>
      <w:r>
        <w:rPr>
          <w:rFonts w:ascii="Palatino Linotype" w:hAnsi="Palatino Linotype" w:cs="Arial"/>
        </w:rPr>
        <w:t xml:space="preserve"> Una vez </w:t>
      </w:r>
      <w:r>
        <w:rPr>
          <w:rFonts w:ascii="Palatino Linotype" w:hAnsi="Palatino Linotype" w:cs="Arial"/>
          <w:color w:val="000000" w:themeColor="text1"/>
        </w:rPr>
        <w:t>analizado</w:t>
      </w:r>
      <w:r>
        <w:rPr>
          <w:rFonts w:ascii="Palatino Linotype" w:hAnsi="Palatino Linotype" w:cs="Arial"/>
        </w:rPr>
        <w:t xml:space="preserve"> el estado procesal que guardaban los expedientes, en fecha veintiuno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 los mismos a efecto </w:t>
      </w:r>
      <w:r>
        <w:rPr>
          <w:rFonts w:ascii="Palatino Linotype" w:hAnsi="Palatino Linotype" w:cs="Arial"/>
          <w:lang w:val="es-ES_tradnl"/>
        </w:rPr>
        <w:t>de</w:t>
      </w:r>
      <w:r>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517989" w:rsidRDefault="00517989">
      <w:pPr>
        <w:spacing w:beforeAutospacing="1" w:afterAutospacing="1"/>
        <w:contextualSpacing/>
        <w:jc w:val="both"/>
        <w:rPr>
          <w:rFonts w:ascii="Palatino Linotype" w:hAnsi="Palatino Linotype"/>
          <w:b/>
          <w:sz w:val="28"/>
          <w:szCs w:val="28"/>
        </w:rPr>
      </w:pPr>
    </w:p>
    <w:p w:rsidR="00517989" w:rsidRDefault="00D6127C">
      <w:pPr>
        <w:spacing w:beforeAutospacing="1" w:afterAutospacing="1"/>
        <w:contextualSpacing/>
        <w:jc w:val="center"/>
        <w:rPr>
          <w:rFonts w:ascii="Palatino Linotype" w:hAnsi="Palatino Linotype"/>
          <w:b/>
          <w:bCs/>
          <w:spacing w:val="40"/>
          <w:sz w:val="28"/>
        </w:rPr>
      </w:pPr>
      <w:r>
        <w:rPr>
          <w:rFonts w:ascii="Palatino Linotype" w:hAnsi="Palatino Linotype"/>
          <w:b/>
          <w:bCs/>
          <w:spacing w:val="40"/>
          <w:sz w:val="28"/>
        </w:rPr>
        <w:t>CONSIDERANDO</w:t>
      </w:r>
    </w:p>
    <w:p w:rsidR="00517989" w:rsidRDefault="00517989">
      <w:pPr>
        <w:spacing w:beforeAutospacing="1" w:afterAutospacing="1"/>
        <w:contextualSpacing/>
        <w:jc w:val="center"/>
        <w:rPr>
          <w:rFonts w:ascii="Palatino Linotype" w:hAnsi="Palatino Linotype"/>
          <w:b/>
          <w:bCs/>
          <w:spacing w:val="40"/>
          <w:sz w:val="28"/>
        </w:rPr>
      </w:pPr>
    </w:p>
    <w:p w:rsidR="00517989" w:rsidRDefault="00D6127C">
      <w:pPr>
        <w:spacing w:beforeAutospacing="1" w:afterAutospacing="1" w:line="360" w:lineRule="auto"/>
        <w:ind w:right="50"/>
        <w:contextualSpacing/>
        <w:jc w:val="both"/>
        <w:rPr>
          <w:rFonts w:ascii="Palatino Linotype" w:hAnsi="Palatino Linotype" w:cs="Arial"/>
        </w:rPr>
      </w:pPr>
      <w:r>
        <w:rPr>
          <w:rFonts w:ascii="Palatino Linotype" w:hAnsi="Palatino Linotype"/>
          <w:b/>
          <w:sz w:val="28"/>
          <w:szCs w:val="28"/>
        </w:rPr>
        <w:t>PRIMERO</w:t>
      </w:r>
      <w:r>
        <w:rPr>
          <w:rFonts w:ascii="Palatino Linotype" w:hAnsi="Palatino Linotype"/>
          <w:b/>
        </w:rPr>
        <w:t>.</w:t>
      </w:r>
      <w:r>
        <w:rPr>
          <w:rFonts w:ascii="Palatino Linotype" w:hAnsi="Palatino Linotype"/>
        </w:rPr>
        <w:t xml:space="preserve"> </w:t>
      </w: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Pr>
          <w:rFonts w:ascii="Palatino Linotype" w:eastAsia="Calibri" w:hAnsi="Palatino Linotype" w:cs="Arial"/>
        </w:rPr>
        <w:t xml:space="preserve">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517989" w:rsidRDefault="00517989">
      <w:pPr>
        <w:spacing w:beforeAutospacing="1" w:afterAutospacing="1" w:line="360" w:lineRule="auto"/>
        <w:ind w:right="50"/>
        <w:contextualSpacing/>
        <w:jc w:val="both"/>
        <w:rPr>
          <w:rFonts w:ascii="Palatino Linotype" w:hAnsi="Palatino Linotype" w:cs="Arial"/>
          <w:b/>
        </w:rPr>
      </w:pPr>
    </w:p>
    <w:p w:rsidR="00517989" w:rsidRDefault="00D6127C">
      <w:pPr>
        <w:spacing w:beforeAutospacing="1" w:afterAutospacing="1" w:line="360" w:lineRule="auto"/>
        <w:contextualSpacing/>
        <w:jc w:val="both"/>
        <w:rPr>
          <w:rFonts w:ascii="Palatino Linotype" w:hAnsi="Palatino Linotype" w:cs="Arial"/>
          <w:b/>
        </w:rPr>
      </w:pPr>
      <w:r>
        <w:rPr>
          <w:rFonts w:ascii="Palatino Linotype" w:hAnsi="Palatino Linotype" w:cs="Arial"/>
          <w:b/>
          <w:sz w:val="28"/>
        </w:rPr>
        <w:lastRenderedPageBreak/>
        <w:t>SEGUNDO</w:t>
      </w:r>
      <w:r>
        <w:rPr>
          <w:rFonts w:ascii="Palatino Linotype" w:hAnsi="Palatino Linotype" w:cs="Arial"/>
          <w:b/>
        </w:rPr>
        <w:t xml:space="preserve">. Interés. </w:t>
      </w:r>
      <w:r>
        <w:rPr>
          <w:rFonts w:ascii="Palatino Linotype" w:hAnsi="Palatino Linotype" w:cs="Arial"/>
          <w:bCs/>
        </w:rPr>
        <w:t xml:space="preserve">Los recursos de revisión fueron interpuestos por parte legítima, en atención a que se presentó por </w:t>
      </w:r>
      <w:r>
        <w:rPr>
          <w:rFonts w:ascii="Palatino Linotype" w:hAnsi="Palatino Linotype" w:cs="Arial"/>
          <w:b/>
          <w:bCs/>
        </w:rPr>
        <w:t>EL RECURRENTE,</w:t>
      </w:r>
      <w:r>
        <w:rPr>
          <w:rFonts w:ascii="Palatino Linotype" w:hAnsi="Palatino Linotype" w:cs="Arial"/>
          <w:bCs/>
        </w:rPr>
        <w:t xml:space="preserve"> quien es la misma persona que formuló las solicitudes de información pública.</w:t>
      </w:r>
    </w:p>
    <w:p w:rsidR="00517989" w:rsidRDefault="00517989">
      <w:pPr>
        <w:spacing w:beforeAutospacing="1" w:afterAutospacing="1" w:line="360" w:lineRule="auto"/>
        <w:contextualSpacing/>
        <w:jc w:val="both"/>
        <w:rPr>
          <w:rFonts w:ascii="Palatino Linotype" w:hAnsi="Palatino Linotype" w:cs="Arial"/>
          <w:b/>
          <w:szCs w:val="28"/>
        </w:rPr>
      </w:pPr>
    </w:p>
    <w:p w:rsidR="00517989" w:rsidRDefault="00D6127C">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lang w:val="es-ES_tradnl"/>
        </w:rPr>
      </w:pPr>
      <w:r>
        <w:rPr>
          <w:rFonts w:ascii="Palatino Linotype" w:hAnsi="Palatino Linotype" w:cs="Arial"/>
          <w:b/>
          <w:sz w:val="28"/>
          <w:szCs w:val="28"/>
        </w:rPr>
        <w:t xml:space="preserve">TERCERO. </w:t>
      </w:r>
      <w:r>
        <w:rPr>
          <w:rFonts w:ascii="Palatino Linotype" w:hAnsi="Palatino Linotype" w:cs="Arial"/>
          <w:b/>
        </w:rPr>
        <w:t>Justificación de la Acumulación de los recursos.</w:t>
      </w:r>
      <w:r>
        <w:rPr>
          <w:rFonts w:ascii="Palatino Linotype" w:hAnsi="Palatino Linotype" w:cs="Arial"/>
        </w:rPr>
        <w:t xml:space="preserve"> De las constancias que obran en los expedientes, se advierte que los recursos de revisión</w:t>
      </w:r>
      <w:r>
        <w:rPr>
          <w:rFonts w:ascii="Palatino Linotype" w:hAnsi="Palatino Linotype"/>
        </w:rPr>
        <w:t xml:space="preserve"> </w:t>
      </w:r>
      <w:r>
        <w:rPr>
          <w:rFonts w:ascii="Palatino Linotype" w:hAnsi="Palatino Linotype" w:cs="Arial"/>
        </w:rPr>
        <w:t xml:space="preserve">fueron presentados por el mismo </w:t>
      </w:r>
      <w:r>
        <w:rPr>
          <w:rFonts w:ascii="Palatino Linotype" w:hAnsi="Palatino Linotype" w:cs="Arial"/>
          <w:b/>
        </w:rPr>
        <w:t xml:space="preserve">RECURRENTE </w:t>
      </w:r>
      <w:r>
        <w:rPr>
          <w:rFonts w:ascii="Palatino Linotype" w:hAnsi="Palatino Linotype" w:cs="Arial"/>
        </w:rPr>
        <w:t xml:space="preserve">ante el mismo </w:t>
      </w:r>
      <w:r>
        <w:rPr>
          <w:rFonts w:ascii="Palatino Linotype" w:hAnsi="Palatino Linotype" w:cs="Arial"/>
          <w:b/>
        </w:rPr>
        <w:t>SUJETO OBLIGADO</w:t>
      </w:r>
      <w:r>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517989" w:rsidRDefault="00517989">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lang w:val="es-ES_tradnl"/>
        </w:rPr>
      </w:pPr>
    </w:p>
    <w:p w:rsidR="00517989" w:rsidRDefault="00D6127C">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s="Arial"/>
          <w:lang w:val="es-ES_tradnl"/>
        </w:rPr>
      </w:pPr>
      <w:r>
        <w:rPr>
          <w:rFonts w:ascii="Palatino Linotype" w:eastAsiaTheme="minorEastAsia" w:hAnsi="Palatino Linotype" w:cs="Arial"/>
          <w:sz w:val="22"/>
          <w:szCs w:val="22"/>
        </w:rPr>
        <w:t xml:space="preserve">De </w:t>
      </w:r>
      <w:r>
        <w:rPr>
          <w:rFonts w:ascii="Palatino Linotype" w:eastAsiaTheme="minorEastAsia" w:hAnsi="Palatino Linotype" w:cs="Arial"/>
        </w:rPr>
        <w:t>lo dispuesto en la normativa anterior, dicha acumulación procede cuando:</w:t>
      </w:r>
    </w:p>
    <w:p w:rsidR="00517989" w:rsidRDefault="00D6127C">
      <w:pPr>
        <w:numPr>
          <w:ilvl w:val="0"/>
          <w:numId w:val="1"/>
        </w:numPr>
        <w:tabs>
          <w:tab w:val="center" w:pos="4252"/>
          <w:tab w:val="right" w:pos="8504"/>
        </w:tabs>
        <w:spacing w:beforeAutospacing="1" w:line="360" w:lineRule="auto"/>
        <w:ind w:left="851" w:hanging="142"/>
        <w:contextualSpacing/>
        <w:jc w:val="both"/>
        <w:rPr>
          <w:rFonts w:ascii="Palatino Linotype" w:eastAsiaTheme="minorEastAsia" w:hAnsi="Palatino Linotype" w:cs="Arial"/>
        </w:rPr>
      </w:pPr>
      <w:r>
        <w:rPr>
          <w:rFonts w:ascii="Palatino Linotype" w:eastAsiaTheme="minorEastAsia" w:hAnsi="Palatino Linotype" w:cs="Arial"/>
        </w:rPr>
        <w:t>El solicitante y la información referida sean las mismas;</w:t>
      </w:r>
    </w:p>
    <w:p w:rsidR="00517989" w:rsidRDefault="00D6127C">
      <w:pPr>
        <w:numPr>
          <w:ilvl w:val="0"/>
          <w:numId w:val="1"/>
        </w:numPr>
        <w:tabs>
          <w:tab w:val="center" w:pos="4252"/>
          <w:tab w:val="right" w:pos="8504"/>
        </w:tabs>
        <w:spacing w:line="360" w:lineRule="auto"/>
        <w:ind w:left="851" w:hanging="142"/>
        <w:contextualSpacing/>
        <w:jc w:val="both"/>
        <w:rPr>
          <w:rFonts w:ascii="Palatino Linotype" w:eastAsiaTheme="minorEastAsia" w:hAnsi="Palatino Linotype" w:cs="Arial"/>
        </w:rPr>
      </w:pPr>
      <w:r>
        <w:rPr>
          <w:rFonts w:ascii="Palatino Linotype" w:eastAsiaTheme="minorEastAsia" w:hAnsi="Palatino Linotype" w:cs="Arial"/>
          <w:b/>
        </w:rPr>
        <w:t>Las partes o los actos impugnados sean iguales</w:t>
      </w:r>
      <w:r>
        <w:rPr>
          <w:rFonts w:ascii="Palatino Linotype" w:eastAsiaTheme="minorEastAsia" w:hAnsi="Palatino Linotype" w:cs="Arial"/>
        </w:rPr>
        <w:t>;</w:t>
      </w:r>
    </w:p>
    <w:p w:rsidR="00517989" w:rsidRDefault="00D6127C">
      <w:pPr>
        <w:numPr>
          <w:ilvl w:val="0"/>
          <w:numId w:val="1"/>
        </w:numPr>
        <w:tabs>
          <w:tab w:val="center" w:pos="4252"/>
          <w:tab w:val="right" w:pos="8504"/>
        </w:tabs>
        <w:spacing w:line="360" w:lineRule="auto"/>
        <w:ind w:left="851" w:hanging="142"/>
        <w:contextualSpacing/>
        <w:jc w:val="both"/>
        <w:rPr>
          <w:rFonts w:ascii="Palatino Linotype" w:eastAsiaTheme="minorEastAsia" w:hAnsi="Palatino Linotype" w:cs="Arial"/>
        </w:rPr>
      </w:pPr>
      <w:r>
        <w:rPr>
          <w:rFonts w:ascii="Palatino Linotype" w:eastAsiaTheme="minorEastAsia" w:hAnsi="Palatino Linotype" w:cs="Arial"/>
        </w:rPr>
        <w:t xml:space="preserve">Cuando se trate del mismo solicitante, el mismo Sujeto Obligado, </w:t>
      </w:r>
      <w:r>
        <w:rPr>
          <w:rFonts w:ascii="Palatino Linotype" w:eastAsiaTheme="minorEastAsia" w:hAnsi="Palatino Linotype" w:cs="Arial"/>
          <w:b/>
        </w:rPr>
        <w:t>aunque se trate de solicitudes diversas</w:t>
      </w:r>
      <w:r>
        <w:rPr>
          <w:rFonts w:ascii="Palatino Linotype" w:eastAsiaTheme="minorEastAsia" w:hAnsi="Palatino Linotype" w:cs="Arial"/>
        </w:rPr>
        <w:t>; y,</w:t>
      </w:r>
    </w:p>
    <w:p w:rsidR="00517989" w:rsidRDefault="00D6127C">
      <w:pPr>
        <w:numPr>
          <w:ilvl w:val="0"/>
          <w:numId w:val="1"/>
        </w:numPr>
        <w:tabs>
          <w:tab w:val="center" w:pos="4252"/>
          <w:tab w:val="right" w:pos="8504"/>
        </w:tabs>
        <w:spacing w:afterAutospacing="1" w:line="360" w:lineRule="auto"/>
        <w:ind w:left="851" w:hanging="142"/>
        <w:contextualSpacing/>
        <w:jc w:val="both"/>
        <w:rPr>
          <w:rFonts w:ascii="Palatino Linotype" w:eastAsiaTheme="minorEastAsia" w:hAnsi="Palatino Linotype" w:cs="Arial"/>
        </w:rPr>
      </w:pPr>
      <w:r>
        <w:rPr>
          <w:rFonts w:ascii="Palatino Linotype" w:eastAsiaTheme="minorEastAsia" w:hAnsi="Palatino Linotype" w:cs="Arial"/>
          <w:b/>
        </w:rPr>
        <w:lastRenderedPageBreak/>
        <w:t>Resulte conveniente la resolución unificada de los asuntos</w:t>
      </w:r>
      <w:r>
        <w:rPr>
          <w:rFonts w:ascii="Palatino Linotype" w:eastAsiaTheme="minorEastAsia" w:hAnsi="Palatino Linotype" w:cs="Arial"/>
          <w:i/>
        </w:rPr>
        <w:t>.</w:t>
      </w:r>
    </w:p>
    <w:p w:rsidR="00517989" w:rsidRDefault="00517989">
      <w:pPr>
        <w:tabs>
          <w:tab w:val="center" w:pos="4252"/>
          <w:tab w:val="right" w:pos="8504"/>
        </w:tabs>
        <w:spacing w:beforeAutospacing="1" w:afterAutospacing="1" w:line="360" w:lineRule="auto"/>
        <w:contextualSpacing/>
        <w:jc w:val="both"/>
        <w:rPr>
          <w:rFonts w:ascii="Palatino Linotype" w:eastAsiaTheme="minorEastAsia" w:hAnsi="Palatino Linotype" w:cs="Arial"/>
        </w:rPr>
      </w:pPr>
    </w:p>
    <w:p w:rsidR="00517989" w:rsidRDefault="00D6127C">
      <w:pPr>
        <w:tabs>
          <w:tab w:val="center" w:pos="4252"/>
          <w:tab w:val="right" w:pos="8504"/>
        </w:tabs>
        <w:spacing w:beforeAutospacing="1" w:afterAutospacing="1" w:line="360" w:lineRule="auto"/>
        <w:contextualSpacing/>
        <w:jc w:val="both"/>
        <w:rPr>
          <w:rFonts w:ascii="Palatino Linotype" w:eastAsiaTheme="minorEastAsia" w:hAnsi="Palatino Linotype" w:cs="Arial"/>
        </w:rPr>
      </w:pPr>
      <w:r>
        <w:rPr>
          <w:rFonts w:ascii="Palatino Linotype" w:eastAsiaTheme="minorEastAsia" w:hAnsi="Palatino Linotype" w:cs="Arial"/>
        </w:rPr>
        <w:t xml:space="preserve">Así, tal y como se mencionó anteriormente, los Recursos de Revisión que nos ocupan fueron interpuestos por el mismo </w:t>
      </w:r>
      <w:r>
        <w:rPr>
          <w:rFonts w:ascii="Palatino Linotype" w:eastAsiaTheme="minorEastAsia" w:hAnsi="Palatino Linotype" w:cs="Arial"/>
          <w:b/>
        </w:rPr>
        <w:t>RECURRENTE</w:t>
      </w:r>
      <w:r>
        <w:rPr>
          <w:rFonts w:ascii="Palatino Linotype" w:eastAsiaTheme="minorEastAsia" w:hAnsi="Palatino Linotype" w:cs="Arial"/>
        </w:rPr>
        <w:t xml:space="preserve"> ante el mismo </w:t>
      </w:r>
      <w:r>
        <w:rPr>
          <w:rFonts w:ascii="Palatino Linotype" w:eastAsiaTheme="minorEastAsia" w:hAnsi="Palatino Linotype" w:cs="Arial"/>
          <w:b/>
        </w:rPr>
        <w:t>SUJETO OBLIGADO</w:t>
      </w:r>
      <w:r>
        <w:rPr>
          <w:rFonts w:ascii="Palatino Linotype" w:eastAsiaTheme="minorEastAsia" w:hAnsi="Palatino Linotype" w:cs="Arial"/>
        </w:rPr>
        <w:t xml:space="preserve">; por lo que, resulta conveniente su resolución conjunta. </w:t>
      </w:r>
    </w:p>
    <w:p w:rsidR="00517989" w:rsidRDefault="00517989">
      <w:pPr>
        <w:tabs>
          <w:tab w:val="center" w:pos="4252"/>
          <w:tab w:val="right" w:pos="8504"/>
        </w:tabs>
        <w:spacing w:beforeAutospacing="1" w:afterAutospacing="1" w:line="360" w:lineRule="auto"/>
        <w:contextualSpacing/>
        <w:jc w:val="both"/>
        <w:rPr>
          <w:rFonts w:ascii="Palatino Linotype" w:eastAsiaTheme="minorEastAsia" w:hAnsi="Palatino Linotype" w:cs="Arial"/>
        </w:rPr>
      </w:pPr>
    </w:p>
    <w:p w:rsidR="00517989" w:rsidRDefault="00D6127C">
      <w:pPr>
        <w:tabs>
          <w:tab w:val="center" w:pos="4252"/>
          <w:tab w:val="right" w:pos="8504"/>
        </w:tabs>
        <w:spacing w:beforeAutospacing="1" w:afterAutospacing="1" w:line="360" w:lineRule="auto"/>
        <w:contextualSpacing/>
        <w:jc w:val="both"/>
        <w:rPr>
          <w:rFonts w:ascii="Palatino Linotype" w:eastAsiaTheme="minorEastAsia" w:hAnsi="Palatino Linotype" w:cs="Arial"/>
        </w:rPr>
      </w:pPr>
      <w:r>
        <w:rPr>
          <w:rFonts w:ascii="Palatino Linotype" w:hAnsi="Palatino Linotype" w:cs="Arial"/>
          <w:b/>
          <w:sz w:val="28"/>
          <w:szCs w:val="28"/>
        </w:rPr>
        <w:t>CUARTO. O</w:t>
      </w:r>
      <w:r>
        <w:rPr>
          <w:rFonts w:ascii="Palatino Linotype" w:hAnsi="Palatino Linotype" w:cs="Arial"/>
          <w:b/>
        </w:rPr>
        <w:t xml:space="preserve">portunidad. </w:t>
      </w:r>
      <w:r>
        <w:rPr>
          <w:rFonts w:ascii="Palatino Linotype" w:hAnsi="Palatino Linotype" w:cs="Arial"/>
        </w:rPr>
        <w:t xml:space="preserve">Los recursos de revisión fueron interpuestos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517989" w:rsidRDefault="00517989">
      <w:pPr>
        <w:spacing w:beforeAutospacing="1" w:afterAutospacing="1"/>
        <w:ind w:left="851" w:right="902"/>
        <w:contextualSpacing/>
        <w:jc w:val="both"/>
        <w:rPr>
          <w:rFonts w:ascii="Palatino Linotype" w:eastAsiaTheme="minorEastAsia" w:hAnsi="Palatino Linotype" w:cs="Arial"/>
          <w:szCs w:val="20"/>
          <w:lang w:val="es-ES_tradnl"/>
        </w:rPr>
      </w:pPr>
    </w:p>
    <w:p w:rsidR="00517989" w:rsidRDefault="00D6127C">
      <w:pPr>
        <w:tabs>
          <w:tab w:val="left" w:pos="851"/>
        </w:tabs>
        <w:spacing w:beforeAutospacing="1" w:afterAutospacing="1"/>
        <w:ind w:left="851" w:right="901"/>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17989" w:rsidRDefault="00D6127C">
      <w:pPr>
        <w:tabs>
          <w:tab w:val="left" w:pos="851"/>
        </w:tabs>
        <w:spacing w:beforeAutospacing="1" w:afterAutospacing="1"/>
        <w:ind w:left="851" w:right="901"/>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17989" w:rsidRDefault="00D6127C">
      <w:pPr>
        <w:tabs>
          <w:tab w:val="left" w:pos="851"/>
        </w:tabs>
        <w:spacing w:beforeAutospacing="1" w:afterAutospacing="1"/>
        <w:ind w:left="851" w:right="901"/>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517989" w:rsidRDefault="00517989">
      <w:pPr>
        <w:spacing w:beforeAutospacing="1" w:afterAutospacing="1"/>
        <w:ind w:left="851" w:right="902"/>
        <w:contextualSpacing/>
        <w:jc w:val="both"/>
        <w:rPr>
          <w:rFonts w:ascii="Palatino Linotype" w:eastAsiaTheme="minorEastAsia" w:hAnsi="Palatino Linotype" w:cs="Arial"/>
          <w:szCs w:val="20"/>
          <w:lang w:val="es-ES_tradnl"/>
        </w:rPr>
      </w:pPr>
    </w:p>
    <w:p w:rsidR="00517989" w:rsidRDefault="00D6127C">
      <w:pPr>
        <w:spacing w:beforeAutospacing="1" w:afterAutospacing="1" w:line="360" w:lineRule="auto"/>
        <w:contextualSpacing/>
        <w:jc w:val="both"/>
        <w:rPr>
          <w:rFonts w:ascii="Palatino Linotype" w:hAnsi="Palatino Linotype" w:cs="Arial"/>
          <w:color w:val="000000" w:themeColor="text1"/>
        </w:rPr>
      </w:pPr>
      <w:r>
        <w:rPr>
          <w:rFonts w:ascii="Palatino Linotype" w:eastAsiaTheme="minorEastAsia" w:hAnsi="Palatino Linotype" w:cs="Arial"/>
          <w:color w:val="000000" w:themeColor="text1"/>
          <w:lang w:val="es-ES_tradnl"/>
        </w:rPr>
        <w:t xml:space="preserve">En efecto, atendiendo a que </w:t>
      </w:r>
      <w:r>
        <w:rPr>
          <w:rFonts w:ascii="Palatino Linotype" w:eastAsiaTheme="minorEastAsia" w:hAnsi="Palatino Linotype" w:cs="Arial"/>
          <w:b/>
          <w:color w:val="000000" w:themeColor="text1"/>
          <w:lang w:val="es-ES_tradnl"/>
        </w:rPr>
        <w:t>EL SUJETO OBLIGADO</w:t>
      </w:r>
      <w:r>
        <w:rPr>
          <w:rFonts w:ascii="Palatino Linotype" w:eastAsiaTheme="minorEastAsia" w:hAnsi="Palatino Linotype" w:cs="Arial"/>
          <w:color w:val="000000" w:themeColor="text1"/>
          <w:lang w:val="es-ES_tradnl"/>
        </w:rPr>
        <w:t xml:space="preserve"> notificó la respuesta a la solicitud de información pública el </w:t>
      </w:r>
      <w:r>
        <w:rPr>
          <w:rFonts w:ascii="Palatino Linotype" w:eastAsiaTheme="minorEastAsia" w:hAnsi="Palatino Linotype" w:cs="Arial"/>
          <w:b/>
          <w:color w:val="000000" w:themeColor="text1"/>
          <w:lang w:val="es-ES_tradnl"/>
        </w:rPr>
        <w:t xml:space="preserve">trece de marzo de dos mil veinte; </w:t>
      </w:r>
      <w:r>
        <w:rPr>
          <w:rFonts w:ascii="Palatino Linotype" w:hAnsi="Palatino Linotype" w:cs="Arial"/>
          <w:color w:val="000000" w:themeColor="text1"/>
        </w:rPr>
        <w:t>en consecuencia, el plazo de quince días hábiles que el artículo 178 de la ley de la materia otorga al</w:t>
      </w:r>
      <w:r>
        <w:rPr>
          <w:rFonts w:ascii="Palatino Linotype" w:hAnsi="Palatino Linotype" w:cs="Arial"/>
          <w:b/>
          <w:color w:val="000000" w:themeColor="text1"/>
        </w:rPr>
        <w:t xml:space="preserve"> RECURRENTE</w:t>
      </w:r>
      <w:r>
        <w:rPr>
          <w:rFonts w:ascii="Palatino Linotype" w:hAnsi="Palatino Linotype" w:cs="Arial"/>
          <w:color w:val="000000" w:themeColor="text1"/>
        </w:rPr>
        <w:t xml:space="preserve"> para presentar el recurso de revisión, transcurrió del</w:t>
      </w:r>
      <w:r>
        <w:rPr>
          <w:rFonts w:ascii="Palatino Linotype" w:hAnsi="Palatino Linotype" w:cs="Arial"/>
          <w:b/>
          <w:color w:val="000000" w:themeColor="text1"/>
        </w:rPr>
        <w:t xml:space="preserve"> diecisiete de marzo al catorce de agosto de dos mil veinte</w:t>
      </w:r>
      <w:r>
        <w:rPr>
          <w:rFonts w:ascii="Palatino Linotype" w:hAnsi="Palatino Linotype" w:cs="Arial"/>
          <w:color w:val="000000" w:themeColor="text1"/>
        </w:rPr>
        <w:t xml:space="preserve">, sin contemplar en el cómputo los días </w:t>
      </w:r>
      <w:r>
        <w:rPr>
          <w:rFonts w:ascii="Palatino Linotype" w:hAnsi="Palatino Linotype" w:cs="Arial"/>
          <w:color w:val="000000" w:themeColor="text1"/>
        </w:rPr>
        <w:lastRenderedPageBreak/>
        <w:t xml:space="preserve">siete, ocho, catorce, quince, veintiuno y veintidós de marzo; dieciocho, diecinueve, veinticinco y veintiséis de julio; así como, uno y dos de agosto de dos mil veinte, por corresponder a sábados y domingos, considerados como días inhábiles, en términos del artículo 3, fracción X de la Ley de Transparencia y Acceso a la Información Pública del Estado de México y Municipios; así como, el dieciséis de marzo de dos mil veinte </w:t>
      </w:r>
      <w:r>
        <w:rPr>
          <w:rFonts w:ascii="Palatino Linotype" w:hAnsi="Palatino Linotype"/>
          <w:color w:val="000000" w:themeColor="text1"/>
        </w:rPr>
        <w:t xml:space="preserve">por ser considerados como día inhábil por suspensión de labores, y los días veinte, veintiuno, veintidós, veintitrés, veinticuatro, veintisiete, veintiocho, veintinueve, treinta y treinta y uno de julio por corresponder al primer periodo vacacional en términos del </w:t>
      </w:r>
      <w:r>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517989" w:rsidRDefault="00517989">
      <w:pPr>
        <w:spacing w:beforeAutospacing="1" w:afterAutospacing="1" w:line="360" w:lineRule="auto"/>
        <w:contextualSpacing/>
        <w:jc w:val="both"/>
        <w:rPr>
          <w:rFonts w:ascii="Palatino Linotype" w:eastAsiaTheme="minorEastAsia" w:hAnsi="Palatino Linotype" w:cs="Arial"/>
          <w:lang w:val="es-ES_tradnl"/>
        </w:rPr>
      </w:pPr>
    </w:p>
    <w:p w:rsidR="00517989" w:rsidRDefault="00D6127C">
      <w:pPr>
        <w:spacing w:beforeAutospacing="1" w:afterAutospacing="1" w:line="360" w:lineRule="auto"/>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veintitrés de marzo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517989" w:rsidRDefault="00517989">
      <w:pPr>
        <w:spacing w:beforeAutospacing="1" w:afterAutospacing="1" w:line="360" w:lineRule="auto"/>
        <w:contextualSpacing/>
        <w:jc w:val="both"/>
        <w:rPr>
          <w:rFonts w:ascii="Palatino Linotype" w:eastAsiaTheme="minorEastAsia" w:hAnsi="Palatino Linotype" w:cs="Arial"/>
          <w:lang w:val="es-ES_tradnl"/>
        </w:rPr>
      </w:pPr>
    </w:p>
    <w:p w:rsidR="00517989" w:rsidRDefault="00D6127C">
      <w:pPr>
        <w:spacing w:beforeAutospacing="1" w:afterAutospacing="1" w:line="360" w:lineRule="auto"/>
        <w:ind w:right="49"/>
        <w:contextualSpacing/>
        <w:jc w:val="both"/>
        <w:rPr>
          <w:rFonts w:ascii="Palatino Linotype" w:hAnsi="Palatino Linotype"/>
          <w:b/>
          <w:lang w:val="es-ES"/>
        </w:rPr>
      </w:pPr>
      <w:r>
        <w:rPr>
          <w:rFonts w:ascii="Palatino Linotype" w:hAnsi="Palatino Linotype"/>
          <w:b/>
          <w:sz w:val="28"/>
          <w:szCs w:val="20"/>
          <w:lang w:val="es-ES_tradnl"/>
        </w:rPr>
        <w:t xml:space="preserve">QUINTO. </w:t>
      </w:r>
      <w:proofErr w:type="spellStart"/>
      <w:r>
        <w:rPr>
          <w:rFonts w:ascii="Palatino Linotype" w:hAnsi="Palatino Linotype" w:cs="Arial"/>
          <w:b/>
          <w:szCs w:val="28"/>
        </w:rPr>
        <w:t>Procedibilidad</w:t>
      </w:r>
      <w:proofErr w:type="spellEnd"/>
      <w:r>
        <w:rPr>
          <w:rFonts w:ascii="Palatino Linotype" w:hAnsi="Palatino Linotype" w:cs="Arial"/>
          <w:b/>
          <w:szCs w:val="28"/>
        </w:rPr>
        <w:t xml:space="preserve">. </w:t>
      </w:r>
      <w:r>
        <w:rPr>
          <w:rFonts w:ascii="Palatino Linotype" w:hAnsi="Palatino Linotype" w:cs="Arial"/>
          <w:szCs w:val="28"/>
        </w:rPr>
        <w:t xml:space="preserve">Del análisis efectuado, se advierte la </w:t>
      </w:r>
      <w:proofErr w:type="spellStart"/>
      <w:r>
        <w:rPr>
          <w:rFonts w:ascii="Palatino Linotype" w:hAnsi="Palatino Linotype" w:cs="Arial"/>
          <w:szCs w:val="28"/>
        </w:rPr>
        <w:t>procedibilidad</w:t>
      </w:r>
      <w:proofErr w:type="spellEnd"/>
      <w:r>
        <w:rPr>
          <w:rFonts w:ascii="Palatino Linotype" w:hAnsi="Palatino Linotype" w:cs="Arial"/>
          <w:szCs w:val="28"/>
        </w:rPr>
        <w:t xml:space="preserve">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szCs w:val="28"/>
        </w:rPr>
        <w:t>SAIMEX.</w:t>
      </w:r>
    </w:p>
    <w:p w:rsidR="00517989" w:rsidRDefault="00517989">
      <w:pPr>
        <w:spacing w:beforeAutospacing="1" w:afterAutospacing="1" w:line="360" w:lineRule="auto"/>
        <w:ind w:right="49"/>
        <w:contextualSpacing/>
        <w:jc w:val="both"/>
        <w:rPr>
          <w:rFonts w:ascii="Palatino Linotype" w:eastAsiaTheme="minorEastAsia" w:hAnsi="Palatino Linotype" w:cs="Arial"/>
          <w:b/>
          <w:lang w:val="es-ES_tradnl"/>
        </w:rPr>
      </w:pPr>
    </w:p>
    <w:p w:rsidR="00517989" w:rsidRDefault="00D6127C">
      <w:pPr>
        <w:spacing w:beforeAutospacing="1" w:afterAutospacing="1" w:line="360" w:lineRule="auto"/>
        <w:contextualSpacing/>
        <w:jc w:val="both"/>
        <w:rPr>
          <w:rFonts w:ascii="Palatino Linotype" w:hAnsi="Palatino Linotype"/>
        </w:rPr>
      </w:pPr>
      <w:r>
        <w:rPr>
          <w:rFonts w:ascii="Palatino Linotype" w:hAnsi="Palatino Linotype" w:cs="Arial"/>
          <w:b/>
          <w:sz w:val="28"/>
          <w:szCs w:val="28"/>
        </w:rPr>
        <w:t>SEXTO</w:t>
      </w:r>
      <w:r>
        <w:rPr>
          <w:rFonts w:ascii="Palatino Linotype" w:hAnsi="Palatino Linotype" w:cs="Arial"/>
          <w:b/>
        </w:rPr>
        <w:t>. Estudio y resolución del asunto.</w:t>
      </w:r>
      <w:r>
        <w:rPr>
          <w:rFonts w:ascii="Palatino Linotype" w:hAnsi="Palatino Linotype" w:cs="Arial"/>
        </w:rPr>
        <w:t xml:space="preserve"> </w:t>
      </w:r>
      <w:r>
        <w:rPr>
          <w:rFonts w:ascii="Palatino Linotype" w:hAnsi="Palatino Linotype"/>
        </w:rPr>
        <w:t xml:space="preserve">Una vez determinada la vía sobre la que versarán los presentes recursos y previa revisión de los expedientes electrónicos formados en </w:t>
      </w:r>
      <w:r>
        <w:rPr>
          <w:rFonts w:ascii="Palatino Linotype" w:hAnsi="Palatino Linotype"/>
          <w:b/>
        </w:rPr>
        <w:t>EL SAIMEX</w:t>
      </w:r>
      <w:r>
        <w:rPr>
          <w:rFonts w:ascii="Palatino Linotype" w:hAnsi="Palatino Linotype"/>
        </w:rPr>
        <w:t xml:space="preserve"> motivo de la solicitud de información, se precisa que </w:t>
      </w:r>
      <w:r>
        <w:rPr>
          <w:rFonts w:ascii="Palatino Linotype" w:hAnsi="Palatino Linotype"/>
          <w:b/>
        </w:rPr>
        <w:t>EL RECURRENTE</w:t>
      </w:r>
      <w:r>
        <w:rPr>
          <w:rFonts w:ascii="Palatino Linotype" w:hAnsi="Palatino Linotype"/>
        </w:rPr>
        <w:t xml:space="preserve"> solicitó al </w:t>
      </w:r>
      <w:r>
        <w:rPr>
          <w:rFonts w:ascii="Palatino Linotype" w:hAnsi="Palatino Linotype" w:cs="Arial"/>
          <w:b/>
        </w:rPr>
        <w:t>SUJETO OBLIGADO</w:t>
      </w:r>
      <w:r>
        <w:rPr>
          <w:rFonts w:ascii="Palatino Linotype" w:hAnsi="Palatino Linotype"/>
        </w:rPr>
        <w:t xml:space="preserve"> le proporcionara la información que a continuación se desagrega</w:t>
      </w:r>
      <w:r>
        <w:rPr>
          <w:rStyle w:val="Ancladenotaalpie"/>
          <w:rFonts w:ascii="Palatino Linotype" w:hAnsi="Palatino Linotype"/>
        </w:rPr>
        <w:footnoteReference w:id="1"/>
      </w:r>
      <w:r>
        <w:rPr>
          <w:rFonts w:ascii="Palatino Linotype" w:hAnsi="Palatino Linotype"/>
        </w:rPr>
        <w:t>:</w:t>
      </w:r>
    </w:p>
    <w:p w:rsidR="00517989" w:rsidRDefault="00517989">
      <w:pPr>
        <w:spacing w:beforeAutospacing="1" w:afterAutospacing="1" w:line="360" w:lineRule="auto"/>
        <w:contextualSpacing/>
        <w:jc w:val="both"/>
        <w:rPr>
          <w:rFonts w:ascii="Palatino Linotype" w:hAnsi="Palatino Linotype"/>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I) Constancia de estudios universitarios del Coordinador de planeación y proyectos;</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II) Constancia de estudios universitarios del secretario del ayuntamiento, el servidor público Antonio Cervantes Enríquez; y,</w:t>
      </w:r>
    </w:p>
    <w:p w:rsidR="00517989" w:rsidRDefault="00517989">
      <w:pPr>
        <w:tabs>
          <w:tab w:val="left" w:pos="851"/>
        </w:tabs>
        <w:spacing w:beforeAutospacing="1" w:afterAutospacing="1"/>
        <w:ind w:left="851" w:right="901"/>
        <w:contextualSpacing/>
        <w:jc w:val="both"/>
        <w:rPr>
          <w:rFonts w:ascii="Palatino Linotype" w:hAnsi="Palatino Linotype" w:cs="Arial"/>
          <w:i/>
          <w:sz w:val="22"/>
          <w:szCs w:val="22"/>
        </w:rPr>
      </w:pPr>
    </w:p>
    <w:p w:rsidR="00517989" w:rsidRDefault="00D6127C">
      <w:pPr>
        <w:tabs>
          <w:tab w:val="left" w:pos="851"/>
        </w:tabs>
        <w:spacing w:beforeAutospacing="1"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III) Constancia de estudios universitarios de la Presidenta Municipal Nancy Jazmín Gómez Vargas</w:t>
      </w:r>
    </w:p>
    <w:p w:rsidR="00517989" w:rsidRDefault="00517989">
      <w:pPr>
        <w:spacing w:beforeAutospacing="1" w:afterAutospacing="1" w:line="360" w:lineRule="auto"/>
        <w:contextualSpacing/>
        <w:jc w:val="both"/>
        <w:rPr>
          <w:rFonts w:ascii="Palatino Linotype" w:hAnsi="Palatino Linotype" w:cs="Arial"/>
          <w:lang w:val="es-ES"/>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cs="Arial"/>
        </w:rPr>
        <w:t>Con base en lo anterior, se advierte que, por lo que respecta al numeral I se observa que el Titular de la Unidad de Transparencia del</w:t>
      </w:r>
      <w:r>
        <w:rPr>
          <w:rFonts w:ascii="Palatino Linotype" w:hAnsi="Palatino Linotype" w:cs="Arial"/>
          <w:b/>
        </w:rPr>
        <w:t xml:space="preserve"> SUJETO OBLIGADO </w:t>
      </w:r>
      <w:r>
        <w:rPr>
          <w:rFonts w:ascii="Palatino Linotype" w:hAnsi="Palatino Linotype" w:cs="Arial"/>
        </w:rPr>
        <w:t xml:space="preserve">manifestó </w:t>
      </w:r>
      <w:r>
        <w:rPr>
          <w:rFonts w:ascii="Palatino Linotype" w:hAnsi="Palatino Linotype" w:cs="Arial"/>
        </w:rPr>
        <w:lastRenderedPageBreak/>
        <w:t>como respuesta que no se cuenta en el ayuntamiento con el cargo de Planeación de Proyectos.</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eastAsia="MS Mincho" w:hAnsi="Palatino Linotype" w:cs="Tahoma"/>
        </w:rPr>
      </w:pPr>
      <w:r>
        <w:rPr>
          <w:rFonts w:ascii="Palatino Linotype" w:hAnsi="Palatino Linotype" w:cs="Arial"/>
          <w:lang w:val="es-ES_tradnl"/>
        </w:rPr>
        <w:t xml:space="preserve">Es sí que antes de entrar al estudio, </w:t>
      </w:r>
      <w:r>
        <w:rPr>
          <w:rFonts w:ascii="Palatino Linotype" w:hAnsi="Palatino Linotype" w:cs="Tahoma"/>
          <w:lang w:val="es-ES"/>
        </w:rPr>
        <w:t xml:space="preserve">es conveniente </w:t>
      </w:r>
      <w:r>
        <w:rPr>
          <w:rFonts w:ascii="Palatino Linotype" w:eastAsia="Calibri" w:hAnsi="Palatino Linotype" w:cs="Arial"/>
        </w:rPr>
        <w:t xml:space="preserve">señalar que </w:t>
      </w:r>
      <w:r>
        <w:rPr>
          <w:rFonts w:ascii="Palatino Linotype" w:eastAsia="MS Mincho" w:hAnsi="Palatino Linotype" w:cs="Tahoma"/>
        </w:rPr>
        <w:t>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517989" w:rsidRDefault="00517989">
      <w:pPr>
        <w:spacing w:beforeAutospacing="1" w:afterAutospacing="1" w:line="360" w:lineRule="auto"/>
        <w:ind w:right="49"/>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eastAsia="MS Mincho" w:hAnsi="Palatino Linotype" w:cs="Tahoma"/>
        </w:rPr>
      </w:pPr>
      <w:r>
        <w:rPr>
          <w:rFonts w:ascii="Palatino Linotype" w:eastAsia="MS Mincho" w:hAnsi="Palatino Linotype" w:cs="Tahoma"/>
        </w:rPr>
        <w:t xml:space="preserve">Bajo ese contexto, es importante señalar que si bien el particular requirió la constancia de estudios universitarios del Coordinador de Planeación y  Proyectos, lo cierto es que de una revisión por parte de esta Ponencia </w:t>
      </w:r>
      <w:proofErr w:type="spellStart"/>
      <w:r>
        <w:rPr>
          <w:rFonts w:ascii="Palatino Linotype" w:eastAsia="MS Mincho" w:hAnsi="Palatino Linotype" w:cs="Tahoma"/>
        </w:rPr>
        <w:t>Resolutora</w:t>
      </w:r>
      <w:proofErr w:type="spellEnd"/>
      <w:r>
        <w:rPr>
          <w:rFonts w:ascii="Palatino Linotype" w:eastAsia="MS Mincho" w:hAnsi="Palatino Linotype" w:cs="Tahoma"/>
        </w:rPr>
        <w:t xml:space="preserve"> al Bando Municipal del Ayuntamiento de </w:t>
      </w:r>
      <w:proofErr w:type="spellStart"/>
      <w:r>
        <w:rPr>
          <w:rFonts w:ascii="Palatino Linotype" w:eastAsia="MS Mincho" w:hAnsi="Palatino Linotype" w:cs="Tahoma"/>
        </w:rPr>
        <w:t>Chicoloapan</w:t>
      </w:r>
      <w:proofErr w:type="spellEnd"/>
      <w:r>
        <w:rPr>
          <w:rFonts w:ascii="Palatino Linotype" w:eastAsia="MS Mincho" w:hAnsi="Palatino Linotype" w:cs="Tahoma"/>
        </w:rPr>
        <w:t xml:space="preserve"> se advirtieron los puestos de Comisionado de Planeación para el Desarrollo y Director de Información, Planeación, Programación y Evaluación que son las áreas análogas a lo solicitado por </w:t>
      </w:r>
      <w:r>
        <w:rPr>
          <w:rFonts w:ascii="Palatino Linotype" w:eastAsia="MS Mincho" w:hAnsi="Palatino Linotype" w:cs="Tahoma"/>
          <w:b/>
        </w:rPr>
        <w:t>EL RECURRENTE</w:t>
      </w:r>
      <w:r>
        <w:rPr>
          <w:rFonts w:ascii="Palatino Linotype" w:eastAsia="MS Mincho" w:hAnsi="Palatino Linotype" w:cs="Tahoma"/>
        </w:rPr>
        <w:t xml:space="preserve">, </w:t>
      </w:r>
      <w:r>
        <w:rPr>
          <w:rFonts w:ascii="Palatino Linotype" w:eastAsia="Arial Unicode MS" w:hAnsi="Palatino Linotype" w:cs="Arial"/>
        </w:rPr>
        <w:t xml:space="preserve">en consecuencia, </w:t>
      </w:r>
      <w:r>
        <w:rPr>
          <w:rFonts w:ascii="Palatino Linotype" w:eastAsia="MS Mincho" w:hAnsi="Palatino Linotype" w:cs="Tahoma"/>
        </w:rPr>
        <w:t>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lo que requiere el particular es la constancia de estudios universitarios del Coordinador de Proyectos y/o área análoga con la que cuente el municipio, privilegiando el principio de máxima publicidad.</w:t>
      </w:r>
    </w:p>
    <w:p w:rsidR="00517989" w:rsidRDefault="00517989">
      <w:pPr>
        <w:spacing w:beforeAutospacing="1" w:afterAutospacing="1" w:line="360" w:lineRule="auto"/>
        <w:contextualSpacing/>
        <w:jc w:val="both"/>
        <w:rPr>
          <w:rFonts w:ascii="Palatino Linotype" w:eastAsia="MS Mincho" w:hAnsi="Palatino Linotype" w:cs="Tahoma"/>
        </w:rPr>
      </w:pPr>
    </w:p>
    <w:p w:rsidR="00517989" w:rsidRDefault="00D6127C">
      <w:pPr>
        <w:spacing w:beforeAutospacing="1" w:afterAutospacing="1" w:line="360" w:lineRule="auto"/>
        <w:contextualSpacing/>
        <w:jc w:val="both"/>
        <w:rPr>
          <w:rFonts w:ascii="Palatino Linotype" w:eastAsia="MS Mincho" w:hAnsi="Palatino Linotype" w:cs="Tahoma"/>
        </w:rPr>
      </w:pPr>
      <w:r>
        <w:rPr>
          <w:rFonts w:ascii="Palatino Linotype" w:hAnsi="Palatino Linotype" w:cs="Arial"/>
        </w:rPr>
        <w:lastRenderedPageBreak/>
        <w:t xml:space="preserve">Así, esta Ponencia </w:t>
      </w:r>
      <w:proofErr w:type="spellStart"/>
      <w:r>
        <w:rPr>
          <w:rFonts w:ascii="Palatino Linotype" w:hAnsi="Palatino Linotype" w:cs="Arial"/>
        </w:rPr>
        <w:t>Resolutora</w:t>
      </w:r>
      <w:proofErr w:type="spellEnd"/>
      <w:r>
        <w:rPr>
          <w:rFonts w:ascii="Palatino Linotype" w:hAnsi="Palatino Linotype" w:cs="Arial"/>
        </w:rPr>
        <w:t xml:space="preserve"> califica de </w:t>
      </w:r>
      <w:r>
        <w:rPr>
          <w:rFonts w:ascii="Palatino Linotype" w:hAnsi="Palatino Linotype" w:cs="Arial"/>
          <w:b/>
        </w:rPr>
        <w:t>fundadas</w:t>
      </w:r>
      <w:r>
        <w:rPr>
          <w:rFonts w:ascii="Palatino Linotype" w:hAnsi="Palatino Linotype" w:cs="Arial"/>
        </w:rPr>
        <w:t xml:space="preserve"> las razones o motivos de inconformidad señalados por el particular en el recurso de revisión </w:t>
      </w:r>
      <w:r>
        <w:rPr>
          <w:rFonts w:ascii="Palatino Linotype" w:hAnsi="Palatino Linotype" w:cs="Arial"/>
          <w:b/>
        </w:rPr>
        <w:t>01727/INFOEM/IP/RR/2020</w:t>
      </w:r>
      <w:r>
        <w:rPr>
          <w:rFonts w:ascii="Palatino Linotype" w:hAnsi="Palatino Linotype" w:cs="Arial"/>
        </w:rPr>
        <w:t xml:space="preserve">; toda vez que, </w:t>
      </w:r>
      <w:r>
        <w:rPr>
          <w:rFonts w:ascii="Palatino Linotype" w:hAnsi="Palatino Linotype" w:cs="Arial"/>
          <w:b/>
        </w:rPr>
        <w:t xml:space="preserve">EL SUJETO OBLIGADO </w:t>
      </w:r>
      <w:r>
        <w:rPr>
          <w:rFonts w:ascii="Palatino Linotype" w:hAnsi="Palatino Linotype" w:cs="Arial"/>
        </w:rPr>
        <w:t xml:space="preserve">si emitió un pronunciamiento en relación a la solicitud de información; por lo que, en términos del artículo 186, fracción III, en relación con el 179, fracción I de la Ley de </w:t>
      </w:r>
      <w:r>
        <w:rPr>
          <w:rFonts w:ascii="Palatino Linotype" w:hAnsi="Palatino Linotype"/>
          <w:bCs/>
        </w:rPr>
        <w:t>Transparencia</w:t>
      </w:r>
      <w:r>
        <w:rPr>
          <w:rFonts w:ascii="Palatino Linotype" w:hAnsi="Palatino Linotype" w:cs="Arial"/>
        </w:rPr>
        <w:t xml:space="preserve"> y Acceso a la Información Pública del Estado de México y Municipios, y se determina </w:t>
      </w:r>
      <w:r>
        <w:rPr>
          <w:rFonts w:ascii="Palatino Linotype" w:hAnsi="Palatino Linotype" w:cs="Arial"/>
          <w:b/>
        </w:rPr>
        <w:t xml:space="preserve">Revocar </w:t>
      </w:r>
      <w:r>
        <w:rPr>
          <w:rFonts w:ascii="Palatino Linotype" w:hAnsi="Palatino Linotype" w:cs="Arial"/>
        </w:rPr>
        <w:t xml:space="preserve">la respuesta </w:t>
      </w:r>
      <w:r>
        <w:rPr>
          <w:rFonts w:ascii="Palatino Linotype" w:hAnsi="Palatino Linotype" w:cs="Arial"/>
          <w:b/>
        </w:rPr>
        <w:t xml:space="preserve">00427/CHICOLOAPAN/IP/2020 </w:t>
      </w:r>
      <w:r>
        <w:rPr>
          <w:rFonts w:ascii="Palatino Linotype" w:hAnsi="Palatino Linotype" w:cs="Arial"/>
        </w:rPr>
        <w:t xml:space="preserve">del </w:t>
      </w:r>
      <w:r>
        <w:rPr>
          <w:rFonts w:ascii="Palatino Linotype" w:hAnsi="Palatino Linotype" w:cs="Arial"/>
          <w:b/>
        </w:rPr>
        <w:t>SUJETO OBLIGADO</w:t>
      </w:r>
      <w:r>
        <w:rPr>
          <w:rFonts w:ascii="Palatino Linotype" w:hAnsi="Palatino Linotype" w:cs="Arial"/>
        </w:rPr>
        <w:t xml:space="preserve"> y ordenar la entrega a la hoy</w:t>
      </w:r>
      <w:r>
        <w:rPr>
          <w:rFonts w:ascii="Palatino Linotype" w:hAnsi="Palatino Linotype" w:cs="Arial"/>
          <w:b/>
        </w:rPr>
        <w:t xml:space="preserve"> RECURRENTE</w:t>
      </w:r>
      <w:r>
        <w:rPr>
          <w:rFonts w:ascii="Palatino Linotype" w:hAnsi="Palatino Linotype" w:cs="Arial"/>
        </w:rPr>
        <w:t xml:space="preserve"> de la información que ha quedado precisada.</w:t>
      </w:r>
    </w:p>
    <w:p w:rsidR="00517989" w:rsidRDefault="00517989">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517989" w:rsidRDefault="00D6127C">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esta </w:t>
      </w:r>
      <w:r>
        <w:rPr>
          <w:rFonts w:ascii="Palatino Linotype" w:hAnsi="Palatino Linotype"/>
          <w:szCs w:val="21"/>
        </w:rPr>
        <w:t>Ponencia</w:t>
      </w:r>
      <w:r>
        <w:rPr>
          <w:rFonts w:ascii="Palatino Linotype" w:hAnsi="Palatino Linotype" w:cs="Arial"/>
        </w:rPr>
        <w:t xml:space="preserve"> </w:t>
      </w:r>
      <w:proofErr w:type="spellStart"/>
      <w:r>
        <w:rPr>
          <w:rFonts w:ascii="Palatino Linotype" w:hAnsi="Palatino Linotype"/>
        </w:rPr>
        <w:t>Resolutora</w:t>
      </w:r>
      <w:proofErr w:type="spellEnd"/>
      <w:r>
        <w:rPr>
          <w:rFonts w:ascii="Palatino Linotype" w:hAnsi="Palatino Linotype" w:cs="Arial"/>
        </w:rPr>
        <w:t xml:space="preserve"> considera pertinente analizar si </w:t>
      </w:r>
      <w:r>
        <w:rPr>
          <w:rFonts w:ascii="Palatino Linotype" w:hAnsi="Palatino Linotype" w:cs="Arial"/>
          <w:b/>
        </w:rPr>
        <w:t>EL SUJETO OBLIGADO</w:t>
      </w:r>
      <w:r>
        <w:rPr>
          <w:rFonts w:ascii="Palatino Linotype" w:hAnsi="Palatino Linotype" w:cs="Arial"/>
        </w:rPr>
        <w:t xml:space="preserve">, es la </w:t>
      </w:r>
      <w:r>
        <w:rPr>
          <w:rFonts w:ascii="Palatino Linotype" w:hAnsi="Palatino Linotype"/>
          <w:szCs w:val="21"/>
        </w:rPr>
        <w:t>autoridad</w:t>
      </w:r>
      <w:r>
        <w:rPr>
          <w:rFonts w:ascii="Palatino Linotype" w:hAnsi="Palatino Linotype" w:cs="Arial"/>
        </w:rPr>
        <w:t xml:space="preserve"> competente para generar, administrar o poseer la información requerida por </w:t>
      </w:r>
      <w:r>
        <w:rPr>
          <w:rFonts w:ascii="Palatino Linotype" w:hAnsi="Palatino Linotype" w:cs="Arial"/>
          <w:b/>
        </w:rPr>
        <w:t>EL RECURRENTE</w:t>
      </w:r>
      <w:r>
        <w:rPr>
          <w:rFonts w:ascii="Palatino Linotype" w:hAnsi="Palatino Linotype" w:cs="Arial"/>
        </w:rPr>
        <w:t>, en virtud del ámbito de sus atribuciones, funciones, facultades o competencias, y si la misma, se trata de información pública susceptible de ser entregada a los particulares.</w:t>
      </w:r>
    </w:p>
    <w:p w:rsidR="00517989" w:rsidRDefault="00517989">
      <w:pPr>
        <w:widowControl w:val="0"/>
        <w:tabs>
          <w:tab w:val="left" w:pos="1701"/>
          <w:tab w:val="left" w:pos="1843"/>
        </w:tabs>
        <w:spacing w:beforeAutospacing="1" w:afterAutospacing="1" w:line="360" w:lineRule="auto"/>
        <w:contextualSpacing/>
        <w:jc w:val="both"/>
        <w:rPr>
          <w:rFonts w:ascii="Palatino Linotype" w:hAnsi="Palatino Linotype"/>
          <w:szCs w:val="21"/>
        </w:rPr>
      </w:pPr>
    </w:p>
    <w:p w:rsidR="00517989" w:rsidRDefault="00D6127C">
      <w:pPr>
        <w:widowControl w:val="0"/>
        <w:tabs>
          <w:tab w:val="left" w:pos="1701"/>
          <w:tab w:val="left" w:pos="1843"/>
        </w:tabs>
        <w:spacing w:beforeAutospacing="1" w:afterAutospacing="1" w:line="360" w:lineRule="auto"/>
        <w:contextualSpacing/>
        <w:jc w:val="both"/>
        <w:rPr>
          <w:rFonts w:ascii="Palatino Linotype" w:hAnsi="Palatino Linotype"/>
          <w:szCs w:val="21"/>
        </w:rPr>
      </w:pPr>
      <w:r>
        <w:rPr>
          <w:rFonts w:ascii="Palatino Linotype" w:hAnsi="Palatino Linotype"/>
          <w:szCs w:val="21"/>
        </w:rPr>
        <w:t>Al respecto, resulta conveniente observar con relación a la información requerida, lo establecido en los artículos 32, fracción IV, de la Ley Orgánica Municipal del Estado de México:</w:t>
      </w:r>
    </w:p>
    <w:p w:rsidR="00517989" w:rsidRDefault="00D6127C">
      <w:pPr>
        <w:spacing w:beforeAutospacing="1" w:afterAutospacing="1"/>
        <w:ind w:left="709" w:right="709"/>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32</w:t>
      </w:r>
      <w:r>
        <w:rPr>
          <w:rFonts w:ascii="Palatino Linotype" w:hAnsi="Palatino Linotype"/>
          <w:i/>
          <w:sz w:val="22"/>
          <w:szCs w:val="22"/>
        </w:rPr>
        <w:t xml:space="preserve">. </w:t>
      </w:r>
      <w:r>
        <w:rPr>
          <w:rFonts w:ascii="Palatino Linotype" w:hAnsi="Palatino Linotype"/>
          <w:b/>
          <w:i/>
          <w:sz w:val="22"/>
          <w:szCs w:val="22"/>
          <w:u w:val="single"/>
        </w:rPr>
        <w:t>Para ocupar los cargos de</w:t>
      </w:r>
      <w:r>
        <w:rPr>
          <w:rFonts w:ascii="Palatino Linotype" w:hAnsi="Palatino Linotype"/>
          <w:i/>
          <w:sz w:val="22"/>
          <w:szCs w:val="22"/>
        </w:rPr>
        <w:t xml:space="preserv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517989" w:rsidRDefault="00D6127C">
      <w:pPr>
        <w:spacing w:beforeAutospacing="1" w:afterAutospacing="1"/>
        <w:ind w:left="709" w:right="709"/>
        <w:contextualSpacing/>
        <w:jc w:val="both"/>
        <w:rPr>
          <w:rFonts w:ascii="Palatino Linotype" w:hAnsi="Palatino Linotype"/>
          <w:i/>
          <w:sz w:val="22"/>
          <w:szCs w:val="22"/>
        </w:rPr>
      </w:pPr>
      <w:r>
        <w:rPr>
          <w:rFonts w:ascii="Palatino Linotype" w:hAnsi="Palatino Linotype"/>
          <w:i/>
          <w:sz w:val="22"/>
          <w:szCs w:val="22"/>
        </w:rPr>
        <w:t>[…]</w:t>
      </w:r>
    </w:p>
    <w:p w:rsidR="00517989" w:rsidRDefault="00D6127C">
      <w:pPr>
        <w:spacing w:beforeAutospacing="1" w:afterAutospacing="1"/>
        <w:ind w:left="709" w:right="709"/>
        <w:contextualSpacing/>
        <w:jc w:val="both"/>
        <w:rPr>
          <w:rFonts w:ascii="Palatino Linotype" w:hAnsi="Palatino Linotype"/>
          <w:b/>
          <w:i/>
          <w:sz w:val="22"/>
          <w:szCs w:val="22"/>
        </w:rPr>
      </w:pPr>
      <w:r>
        <w:rPr>
          <w:rFonts w:ascii="Palatino Linotype" w:hAnsi="Palatino Linotype"/>
          <w:b/>
          <w:i/>
          <w:sz w:val="22"/>
          <w:szCs w:val="22"/>
        </w:rPr>
        <w:t xml:space="preserve">IV. Contar con título profesional o acreditar experiencia mínima de un año en la materia, ante el Presidente o el Ayuntamiento, cuando sea el caso, para el </w:t>
      </w:r>
      <w:r>
        <w:rPr>
          <w:rFonts w:ascii="Palatino Linotype" w:hAnsi="Palatino Linotype"/>
          <w:b/>
          <w:i/>
          <w:sz w:val="22"/>
          <w:szCs w:val="22"/>
        </w:rPr>
        <w:lastRenderedPageBreak/>
        <w:t>desempeño de los cargos que así lo requieran; y</w:t>
      </w:r>
      <w:r>
        <w:rPr>
          <w:rFonts w:ascii="Palatino Linotype" w:hAnsi="Palatino Linotype"/>
          <w:b/>
          <w:i/>
          <w:sz w:val="22"/>
          <w:szCs w:val="22"/>
        </w:rPr>
        <w:br/>
        <w:t>…</w:t>
      </w:r>
    </w:p>
    <w:p w:rsidR="00517989" w:rsidRDefault="00517989">
      <w:pPr>
        <w:spacing w:beforeAutospacing="1" w:afterAutospacing="1" w:line="360" w:lineRule="auto"/>
        <w:contextualSpacing/>
        <w:jc w:val="both"/>
        <w:rPr>
          <w:rFonts w:ascii="Palatino Linotype" w:hAnsi="Palatino Linotype" w:cs="Arial"/>
          <w:lang w:val="es-ES"/>
        </w:rPr>
      </w:pPr>
    </w:p>
    <w:p w:rsidR="00517989" w:rsidRDefault="00D6127C">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En virtud de lo anterior, en caso que el Titular de la Coordinación de Planeación para el Desarrollo y el Director de la Unidad de Información, Planeación, programación y Evaluación no cuenten con estudios universitarios al cumplir con el año de experiencia que enmarca la Ley, bastará con hacerlo del conocimiento del particular, de manera fundada y motivada.</w:t>
      </w:r>
    </w:p>
    <w:p w:rsidR="00517989" w:rsidRDefault="00517989">
      <w:pPr>
        <w:spacing w:beforeAutospacing="1" w:afterAutospacing="1" w:line="360" w:lineRule="auto"/>
        <w:contextualSpacing/>
        <w:jc w:val="both"/>
        <w:rPr>
          <w:rFonts w:ascii="Palatino Linotype" w:hAnsi="Palatino Linotype" w:cs="Arial"/>
          <w:lang w:val="es-ES"/>
        </w:rPr>
      </w:pPr>
    </w:p>
    <w:p w:rsidR="00517989" w:rsidRDefault="00D6127C">
      <w:pPr>
        <w:spacing w:beforeAutospacing="1" w:afterAutospacing="1" w:line="360" w:lineRule="auto"/>
        <w:contextualSpacing/>
        <w:jc w:val="both"/>
        <w:rPr>
          <w:rFonts w:ascii="Palatino Linotype" w:hAnsi="Palatino Linotype" w:cs="Arial"/>
          <w:lang w:val="es-ES"/>
        </w:rPr>
      </w:pPr>
      <w:r>
        <w:rPr>
          <w:rFonts w:ascii="Palatino Linotype" w:eastAsia="Calibri" w:hAnsi="Palatino Linotype" w:cs="Tahoma"/>
          <w:iCs/>
          <w:lang w:val="es-ES" w:eastAsia="es-ES_tradnl"/>
        </w:rPr>
        <w:t xml:space="preserve">Ahora bien, por lo que respecta al numeral II correspondiente a la constancia de estudios universitarios del Secretario del Ayuntamiento si bien </w:t>
      </w:r>
      <w:r>
        <w:rPr>
          <w:rFonts w:ascii="Palatino Linotype" w:eastAsia="Calibri" w:hAnsi="Palatino Linotype" w:cs="Tahoma"/>
          <w:b/>
          <w:iCs/>
          <w:lang w:val="es-ES" w:eastAsia="es-ES_tradnl"/>
        </w:rPr>
        <w:t xml:space="preserve">EL SUJETO OBLIGADO </w:t>
      </w:r>
      <w:r>
        <w:rPr>
          <w:rFonts w:ascii="Palatino Linotype" w:eastAsia="Calibri" w:hAnsi="Palatino Linotype" w:cs="Tahoma"/>
          <w:iCs/>
          <w:lang w:val="es-ES" w:eastAsia="es-ES_tradnl"/>
        </w:rPr>
        <w:t>en su respuesta remitió la carta de pasante y una constancia de estudios de un diplomado; atento a lo anterior,</w:t>
      </w:r>
      <w:r>
        <w:rPr>
          <w:rFonts w:ascii="Palatino Linotype" w:hAnsi="Palatino Linotype"/>
          <w:szCs w:val="21"/>
        </w:rPr>
        <w:t xml:space="preserve"> conveniente observar con relación a la información requerida, lo establecido en los artículos 32, fracción IV, 92, fracción I, de la Ley Orgánica Municipal del Estado de México:</w:t>
      </w:r>
    </w:p>
    <w:p w:rsidR="00517989" w:rsidRDefault="00517989">
      <w:pPr>
        <w:spacing w:beforeAutospacing="1" w:afterAutospacing="1"/>
        <w:ind w:left="709" w:right="709"/>
        <w:contextualSpacing/>
        <w:jc w:val="both"/>
        <w:rPr>
          <w:rFonts w:ascii="Palatino Linotype" w:hAnsi="Palatino Linotype"/>
          <w:i/>
          <w:sz w:val="22"/>
          <w:szCs w:val="22"/>
        </w:rPr>
      </w:pPr>
    </w:p>
    <w:p w:rsidR="00517989" w:rsidRDefault="00D6127C">
      <w:pPr>
        <w:spacing w:beforeAutospacing="1" w:afterAutospacing="1"/>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32</w:t>
      </w:r>
      <w:r>
        <w:rPr>
          <w:rFonts w:ascii="Palatino Linotype" w:hAnsi="Palatino Linotype"/>
          <w:i/>
          <w:sz w:val="22"/>
          <w:szCs w:val="22"/>
        </w:rPr>
        <w:t xml:space="preserve">. </w:t>
      </w:r>
      <w:r>
        <w:rPr>
          <w:rFonts w:ascii="Palatino Linotype" w:hAnsi="Palatino Linotype"/>
          <w:b/>
          <w:i/>
          <w:sz w:val="22"/>
          <w:szCs w:val="22"/>
          <w:u w:val="single"/>
        </w:rPr>
        <w:t>Para ocupar los cargos de</w:t>
      </w:r>
      <w:r>
        <w:rPr>
          <w:rFonts w:ascii="Palatino Linotype" w:hAnsi="Palatino Linotype"/>
          <w:i/>
          <w:sz w:val="22"/>
          <w:szCs w:val="22"/>
        </w:rPr>
        <w:t xml:space="preserve"> </w:t>
      </w:r>
      <w:r>
        <w:rPr>
          <w:rFonts w:ascii="Palatino Linotype" w:hAnsi="Palatino Linotype"/>
          <w:b/>
          <w:i/>
          <w:sz w:val="22"/>
          <w:szCs w:val="22"/>
        </w:rPr>
        <w:t>Secretario</w:t>
      </w:r>
      <w:r>
        <w:rPr>
          <w:rFonts w:ascii="Palatino Linotype" w:hAnsi="Palatino Linotype"/>
          <w:i/>
          <w:sz w:val="22"/>
          <w:szCs w:val="22"/>
        </w:rPr>
        <w:t xml:space="preserve">,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517989" w:rsidRDefault="00D6127C">
      <w:pPr>
        <w:spacing w:beforeAutospacing="1" w:afterAutospacing="1"/>
        <w:ind w:left="851" w:right="902"/>
        <w:contextualSpacing/>
        <w:jc w:val="both"/>
        <w:rPr>
          <w:rFonts w:ascii="Palatino Linotype" w:hAnsi="Palatino Linotype"/>
          <w:i/>
          <w:sz w:val="22"/>
          <w:szCs w:val="22"/>
        </w:rPr>
      </w:pPr>
      <w:r>
        <w:rPr>
          <w:rFonts w:ascii="Palatino Linotype" w:hAnsi="Palatino Linotype"/>
          <w:i/>
          <w:sz w:val="22"/>
          <w:szCs w:val="22"/>
        </w:rPr>
        <w:t>[…]</w:t>
      </w:r>
    </w:p>
    <w:p w:rsidR="00517989" w:rsidRDefault="00D6127C">
      <w:pPr>
        <w:tabs>
          <w:tab w:val="left" w:pos="709"/>
        </w:tabs>
        <w:spacing w:beforeAutospacing="1" w:afterAutospacing="1"/>
        <w:ind w:left="851" w:right="902"/>
        <w:contextualSpacing/>
        <w:jc w:val="both"/>
        <w:rPr>
          <w:rFonts w:ascii="Palatino Linotype" w:hAnsi="Palatino Linotype"/>
          <w:b/>
          <w:i/>
          <w:sz w:val="22"/>
          <w:szCs w:val="22"/>
        </w:rPr>
      </w:pPr>
      <w:r>
        <w:rPr>
          <w:rFonts w:ascii="Palatino Linotype" w:hAnsi="Palatino Linotype"/>
          <w:b/>
          <w:i/>
          <w:sz w:val="22"/>
          <w:szCs w:val="22"/>
        </w:rPr>
        <w:t>IV. Contar con título profesional o acreditar experiencia mínima de un año en la materia, ante el Presidente o el Ayuntamiento, cuando sea el caso, para el desempeño de los cargos que así lo requieran; y</w:t>
      </w:r>
    </w:p>
    <w:p w:rsidR="00517989" w:rsidRDefault="00517989">
      <w:pPr>
        <w:tabs>
          <w:tab w:val="left" w:pos="709"/>
        </w:tabs>
        <w:spacing w:beforeAutospacing="1" w:afterAutospacing="1"/>
        <w:ind w:left="851" w:right="902"/>
        <w:contextualSpacing/>
        <w:jc w:val="both"/>
        <w:rPr>
          <w:rFonts w:ascii="Palatino Linotype" w:hAnsi="Palatino Linotype"/>
          <w:b/>
          <w:i/>
          <w:sz w:val="22"/>
          <w:szCs w:val="22"/>
        </w:rPr>
      </w:pPr>
    </w:p>
    <w:p w:rsidR="00517989" w:rsidRDefault="00D6127C">
      <w:pPr>
        <w:tabs>
          <w:tab w:val="left" w:pos="709"/>
        </w:tabs>
        <w:spacing w:beforeAutospacing="1" w:afterAutospacing="1"/>
        <w:ind w:left="851" w:right="902"/>
        <w:contextualSpacing/>
        <w:jc w:val="both"/>
        <w:rPr>
          <w:rFonts w:ascii="Palatino Linotype" w:hAnsi="Palatino Linotype"/>
          <w:b/>
          <w:i/>
          <w:sz w:val="22"/>
          <w:szCs w:val="22"/>
        </w:rPr>
      </w:pPr>
      <w:r>
        <w:rPr>
          <w:rFonts w:ascii="Palatino Linotype" w:hAnsi="Palatino Linotype"/>
          <w:b/>
          <w:i/>
          <w:sz w:val="22"/>
          <w:szCs w:val="22"/>
        </w:rPr>
        <w:t>…</w:t>
      </w:r>
    </w:p>
    <w:p w:rsidR="00517989" w:rsidRDefault="00D6127C">
      <w:pPr>
        <w:tabs>
          <w:tab w:val="left" w:pos="709"/>
        </w:tabs>
        <w:spacing w:beforeAutospacing="1" w:afterAutospacing="1"/>
        <w:ind w:left="851" w:right="902"/>
        <w:contextualSpacing/>
        <w:jc w:val="both"/>
        <w:rPr>
          <w:rFonts w:ascii="Palatino Linotype" w:eastAsia="Calibri" w:hAnsi="Palatino Linotype" w:cs="Tahoma"/>
          <w:i/>
          <w:iCs/>
          <w:sz w:val="22"/>
          <w:szCs w:val="22"/>
          <w:lang w:val="es-ES" w:eastAsia="es-ES_tradnl"/>
        </w:rPr>
      </w:pPr>
      <w:r>
        <w:rPr>
          <w:rFonts w:ascii="Palatino Linotype" w:eastAsia="Calibri" w:hAnsi="Palatino Linotype" w:cs="Tahoma"/>
          <w:b/>
          <w:iCs/>
          <w:sz w:val="22"/>
          <w:szCs w:val="22"/>
          <w:lang w:val="es-ES" w:eastAsia="es-ES_tradnl"/>
        </w:rPr>
        <w:t xml:space="preserve">Artículo 92.- </w:t>
      </w:r>
      <w:r>
        <w:rPr>
          <w:rFonts w:ascii="Palatino Linotype" w:eastAsia="Calibri" w:hAnsi="Palatino Linotype" w:cs="Tahoma"/>
          <w:b/>
          <w:i/>
          <w:iCs/>
          <w:sz w:val="22"/>
          <w:szCs w:val="22"/>
          <w:lang w:val="es-ES" w:eastAsia="es-ES_tradnl"/>
        </w:rPr>
        <w:t>Para ser secretario del ayuntamiento se requiere</w:t>
      </w:r>
      <w:r>
        <w:rPr>
          <w:rFonts w:ascii="Palatino Linotype" w:eastAsia="Calibri" w:hAnsi="Palatino Linotype" w:cs="Tahoma"/>
          <w:i/>
          <w:iCs/>
          <w:sz w:val="22"/>
          <w:szCs w:val="22"/>
          <w:lang w:val="es-ES" w:eastAsia="es-ES_tradnl"/>
        </w:rPr>
        <w:t>, además de los requisitos establecidos en el artículo 32 de esta Ley, los siguientes:</w:t>
      </w:r>
    </w:p>
    <w:p w:rsidR="00517989" w:rsidRDefault="00517989">
      <w:pPr>
        <w:tabs>
          <w:tab w:val="left" w:pos="709"/>
        </w:tabs>
        <w:spacing w:beforeAutospacing="1" w:afterAutospacing="1"/>
        <w:ind w:left="851" w:right="902"/>
        <w:contextualSpacing/>
        <w:jc w:val="both"/>
        <w:rPr>
          <w:rFonts w:ascii="Palatino Linotype" w:eastAsia="Calibri" w:hAnsi="Palatino Linotype" w:cs="Tahoma"/>
          <w:i/>
          <w:iCs/>
          <w:sz w:val="22"/>
          <w:szCs w:val="22"/>
          <w:lang w:val="es-ES" w:eastAsia="es-ES_tradnl"/>
        </w:rPr>
      </w:pPr>
    </w:p>
    <w:p w:rsidR="00517989" w:rsidRDefault="00D6127C">
      <w:pPr>
        <w:tabs>
          <w:tab w:val="left" w:pos="709"/>
        </w:tabs>
        <w:spacing w:beforeAutospacing="1" w:afterAutospacing="1"/>
        <w:ind w:left="851" w:right="902"/>
        <w:contextualSpacing/>
        <w:jc w:val="both"/>
        <w:rPr>
          <w:rFonts w:ascii="Palatino Linotype" w:eastAsia="Calibri" w:hAnsi="Palatino Linotype" w:cs="Tahoma"/>
          <w:b/>
          <w:i/>
          <w:iCs/>
          <w:sz w:val="22"/>
          <w:szCs w:val="22"/>
          <w:lang w:val="es-ES" w:eastAsia="es-ES_tradnl"/>
        </w:rPr>
      </w:pPr>
      <w:r>
        <w:rPr>
          <w:rFonts w:ascii="Palatino Linotype" w:eastAsia="Calibri" w:hAnsi="Palatino Linotype" w:cs="Tahoma"/>
          <w:i/>
          <w:iCs/>
          <w:sz w:val="22"/>
          <w:szCs w:val="22"/>
          <w:lang w:val="es-ES" w:eastAsia="es-ES_tradnl"/>
        </w:rPr>
        <w:lastRenderedPageBreak/>
        <w:t xml:space="preserve">I. En municipios que tengan una población de hasta 150 mil habitantes, podrán tener título profesional de educación superior; </w:t>
      </w:r>
      <w:r>
        <w:rPr>
          <w:rFonts w:ascii="Palatino Linotype" w:eastAsia="Calibri" w:hAnsi="Palatino Linotype" w:cs="Tahoma"/>
          <w:b/>
          <w:i/>
          <w:iCs/>
          <w:sz w:val="22"/>
          <w:szCs w:val="22"/>
          <w:lang w:val="es-ES" w:eastAsia="es-ES_tradnl"/>
        </w:rPr>
        <w:t>en los municipios que tengan más de 150 mil o que sean cabecera distrital, tener título profesional de educación superior;</w:t>
      </w:r>
    </w:p>
    <w:p w:rsidR="00517989" w:rsidRDefault="00D6127C">
      <w:pPr>
        <w:spacing w:beforeAutospacing="1" w:afterAutospacing="1"/>
        <w:ind w:left="851"/>
        <w:contextualSpacing/>
        <w:rPr>
          <w:rFonts w:ascii="Palatino Linotype" w:eastAsia="Calibri" w:hAnsi="Palatino Linotype"/>
          <w:sz w:val="22"/>
          <w:szCs w:val="22"/>
          <w:lang w:val="es-ES" w:eastAsia="es-ES_tradnl"/>
        </w:rPr>
      </w:pPr>
      <w:r>
        <w:rPr>
          <w:rFonts w:ascii="Palatino Linotype" w:eastAsia="Calibri" w:hAnsi="Palatino Linotype"/>
          <w:sz w:val="22"/>
          <w:szCs w:val="22"/>
          <w:lang w:val="es-ES" w:eastAsia="es-ES_tradnl"/>
        </w:rPr>
        <w:t>…” (Sic)</w:t>
      </w:r>
    </w:p>
    <w:p w:rsidR="00517989" w:rsidRDefault="00517989">
      <w:pPr>
        <w:tabs>
          <w:tab w:val="left" w:pos="709"/>
        </w:tabs>
        <w:spacing w:beforeAutospacing="1" w:afterAutospacing="1" w:line="360" w:lineRule="auto"/>
        <w:ind w:right="51"/>
        <w:contextualSpacing/>
        <w:jc w:val="both"/>
        <w:rPr>
          <w:rFonts w:ascii="Palatino Linotype" w:eastAsia="Calibri" w:hAnsi="Palatino Linotype" w:cs="Tahoma"/>
          <w:iCs/>
          <w:lang w:val="es-ES" w:eastAsia="es-ES_tradnl"/>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En ese contexto, de los preceptos en cita, se advierte que, en el caso particular del Secretario del Ayuntamiento, contar con título profesional, es un requisito necesario, para ocupar dicho cargo. Por lo tanto, existe fuente obligacional para que conste en los archivos del </w:t>
      </w:r>
      <w:r>
        <w:rPr>
          <w:rFonts w:ascii="Palatino Linotype" w:hAnsi="Palatino Linotype" w:cs="Arial"/>
          <w:b/>
        </w:rPr>
        <w:t xml:space="preserve">SUJETO OBLIGADO; </w:t>
      </w:r>
      <w:r>
        <w:rPr>
          <w:rFonts w:ascii="Palatino Linotype" w:hAnsi="Palatino Linotype" w:cs="Arial"/>
        </w:rPr>
        <w:t xml:space="preserve">lo anterior, en atención que el municipio de </w:t>
      </w:r>
      <w:proofErr w:type="spellStart"/>
      <w:r>
        <w:rPr>
          <w:rFonts w:ascii="Palatino Linotype" w:hAnsi="Palatino Linotype" w:cs="Arial"/>
        </w:rPr>
        <w:t>Chicoloapan</w:t>
      </w:r>
      <w:proofErr w:type="spellEnd"/>
      <w:r>
        <w:rPr>
          <w:rFonts w:ascii="Palatino Linotype" w:hAnsi="Palatino Linotype" w:cs="Arial"/>
        </w:rPr>
        <w:t xml:space="preserve"> cuenta con una población aproximada según las proyecciones de población de la CONAPO de aproximadamente 222,653, información que podrá ser consultada en la página de internet </w:t>
      </w:r>
      <w:hyperlink r:id="rId11">
        <w:r>
          <w:rPr>
            <w:rStyle w:val="EnlacedeInternet"/>
            <w:rFonts w:ascii="Palatino Linotype" w:hAnsi="Palatino Linotype"/>
            <w:b/>
            <w:i/>
            <w:spacing w:val="-20"/>
          </w:rPr>
          <w:t>http://coespo.edomex.gob.mx/informacion_municipal</w:t>
        </w:r>
      </w:hyperlink>
      <w:r>
        <w:rPr>
          <w:rFonts w:ascii="Palatino Linotype" w:hAnsi="Palatino Linotype" w:cs="Arial"/>
          <w:spacing w:val="-20"/>
        </w:rPr>
        <w:t>.</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En consecuencia, esta Ponencia </w:t>
      </w:r>
      <w:proofErr w:type="spellStart"/>
      <w:r>
        <w:rPr>
          <w:rFonts w:ascii="Palatino Linotype" w:hAnsi="Palatino Linotype" w:cs="Arial"/>
        </w:rPr>
        <w:t>Resolutora</w:t>
      </w:r>
      <w:proofErr w:type="spellEnd"/>
      <w:r>
        <w:rPr>
          <w:rFonts w:ascii="Palatino Linotype" w:hAnsi="Palatino Linotype" w:cs="Arial"/>
        </w:rPr>
        <w:t xml:space="preserve"> determina ordenar al </w:t>
      </w:r>
      <w:r>
        <w:rPr>
          <w:rFonts w:ascii="Palatino Linotype" w:hAnsi="Palatino Linotype" w:cs="Arial"/>
          <w:b/>
        </w:rPr>
        <w:t>SUJETO OBLIGADO</w:t>
      </w:r>
      <w:r>
        <w:rPr>
          <w:rFonts w:ascii="Palatino Linotype" w:hAnsi="Palatino Linotype" w:cs="Arial"/>
        </w:rPr>
        <w:t xml:space="preserve">, previa búsqueda razonable y exhaustiva, la entrega al </w:t>
      </w:r>
      <w:r>
        <w:rPr>
          <w:rFonts w:ascii="Palatino Linotype" w:hAnsi="Palatino Linotype" w:cs="Arial"/>
          <w:b/>
        </w:rPr>
        <w:t>RECURRENTE</w:t>
      </w:r>
      <w:r>
        <w:rPr>
          <w:rFonts w:ascii="Palatino Linotype" w:hAnsi="Palatino Linotype" w:cs="Arial"/>
        </w:rPr>
        <w:t xml:space="preserve">, en </w:t>
      </w:r>
      <w:r>
        <w:rPr>
          <w:rFonts w:ascii="Palatino Linotype" w:hAnsi="Palatino Linotype" w:cs="Arial"/>
          <w:b/>
        </w:rPr>
        <w:t>versión pública</w:t>
      </w:r>
      <w:r>
        <w:rPr>
          <w:rFonts w:ascii="Palatino Linotype" w:hAnsi="Palatino Linotype" w:cs="Arial"/>
        </w:rPr>
        <w:t>, en los términos antes precisados, del título profesional correspondientes al Secretario del Ayuntamiento, al encontrarse obligado a contar con el mismo, de acuerdo con la normatividad anteriormente referida.</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eastAsia="Calibri" w:hAnsi="Palatino Linotype" w:cs="Tahoma"/>
          <w:iCs/>
          <w:lang w:val="es-ES" w:eastAsia="es-ES_tradnl"/>
        </w:rPr>
        <w:t xml:space="preserve">Sin embargo, para el caso de que no cuente con dicho documento, </w:t>
      </w:r>
      <w:r>
        <w:rPr>
          <w:rFonts w:ascii="Palatino Linotype" w:hAnsi="Palatino Linotype"/>
          <w:b/>
          <w:bCs/>
          <w:lang w:val="es-ES"/>
        </w:rPr>
        <w:t>EL SUJETO OBLIGADO</w:t>
      </w:r>
      <w:r>
        <w:rPr>
          <w:rFonts w:ascii="Palatino Linotype" w:hAnsi="Palatino Linotype"/>
          <w:bCs/>
          <w:lang w:val="es-ES"/>
        </w:rPr>
        <w:t xml:space="preserve"> deberá emitir el </w:t>
      </w:r>
      <w:r>
        <w:rPr>
          <w:rFonts w:ascii="Palatino Linotype" w:eastAsia="Calibri" w:hAnsi="Palatino Linotype" w:cs="Arial"/>
          <w:bCs/>
          <w:lang w:eastAsia="es-MX"/>
        </w:rPr>
        <w:t>Acuerdo</w:t>
      </w:r>
      <w:r>
        <w:rPr>
          <w:rFonts w:ascii="Palatino Linotype" w:hAnsi="Palatino Linotype"/>
          <w:bCs/>
          <w:lang w:val="es-ES"/>
        </w:rPr>
        <w:t xml:space="preserve"> de Inexistencia conforme a </w:t>
      </w:r>
      <w:r>
        <w:rPr>
          <w:rFonts w:ascii="Palatino Linotype" w:hAnsi="Palatino Linotype"/>
          <w:lang w:val="es-ES"/>
        </w:rPr>
        <w:t>lo establecido en los artículos 19, 49, fracciones II y XIII, 169 y 170 de la Ley de Transparencia y Acceso a la Información Pública del Estado de México y Municipios, que literalmente establecen:</w:t>
      </w:r>
    </w:p>
    <w:p w:rsidR="00517989" w:rsidRDefault="00517989">
      <w:pPr>
        <w:tabs>
          <w:tab w:val="left" w:pos="709"/>
        </w:tabs>
        <w:spacing w:beforeAutospacing="1" w:afterAutospacing="1"/>
        <w:contextualSpacing/>
        <w:jc w:val="both"/>
        <w:rPr>
          <w:rFonts w:ascii="Palatino Linotype" w:hAnsi="Palatino Linotype"/>
          <w:lang w:val="es-ES"/>
        </w:rPr>
      </w:pP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bCs/>
          <w:i/>
          <w:iCs/>
          <w:sz w:val="22"/>
          <w:szCs w:val="22"/>
          <w:lang w:val="es-ES"/>
        </w:rPr>
        <w:lastRenderedPageBreak/>
        <w:t xml:space="preserve">“Artículo 19. </w:t>
      </w:r>
      <w:r>
        <w:rPr>
          <w:rFonts w:ascii="Palatino Linotype" w:hAnsi="Palatino Linotype"/>
          <w:i/>
          <w:iCs/>
          <w:sz w:val="22"/>
          <w:szCs w:val="22"/>
          <w:u w:val="single"/>
          <w:lang w:val="es-ES"/>
        </w:rPr>
        <w:t>Se presume que la información debe existir si se refiere a las facultades, competencias y funciones que los ordenamientos jurídicos aplicables otorgan a los sujetos obligados. </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iCs/>
          <w:sz w:val="22"/>
          <w:szCs w:val="22"/>
          <w:lang w:val="es-ES"/>
        </w:rPr>
        <w:t>…</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iCs/>
          <w:sz w:val="22"/>
          <w:szCs w:val="22"/>
          <w:lang w:val="es-ES"/>
        </w:rPr>
        <w:t xml:space="preserve">Si el sujeto obligado, en el ejercicio de sus atribuciones, debía generar, poseer o administrar la información, pero ésta no se encuentra, </w:t>
      </w:r>
      <w:r>
        <w:rPr>
          <w:rFonts w:ascii="Palatino Linotype" w:hAnsi="Palatino Linotype"/>
          <w:i/>
          <w:iCs/>
          <w:sz w:val="22"/>
          <w:szCs w:val="22"/>
          <w:u w:val="single"/>
          <w:lang w:val="es-ES"/>
        </w:rPr>
        <w:t>el Comité de transparencia deberá emitir un acuerdo de inexistencia, debidamente fundado y motivado, en el que detalle las razones del por qué no obra en sus archivos.</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bCs/>
          <w:i/>
          <w:iCs/>
          <w:sz w:val="22"/>
          <w:szCs w:val="22"/>
          <w:lang w:val="es-ES"/>
        </w:rPr>
        <w:t>Artículo 49.</w:t>
      </w:r>
      <w:r>
        <w:rPr>
          <w:rFonts w:ascii="Palatino Linotype" w:hAnsi="Palatino Linotype"/>
          <w:i/>
          <w:iCs/>
          <w:sz w:val="22"/>
          <w:szCs w:val="22"/>
          <w:lang w:val="es-ES"/>
        </w:rPr>
        <w:t xml:space="preserve"> Los </w:t>
      </w:r>
      <w:r>
        <w:rPr>
          <w:rFonts w:ascii="Palatino Linotype" w:hAnsi="Palatino Linotype"/>
          <w:i/>
          <w:iCs/>
          <w:sz w:val="22"/>
          <w:szCs w:val="22"/>
          <w:u w:val="single"/>
          <w:lang w:val="es-ES"/>
        </w:rPr>
        <w:t xml:space="preserve">Comités de Transparencia </w:t>
      </w:r>
      <w:r>
        <w:rPr>
          <w:rFonts w:ascii="Palatino Linotype" w:hAnsi="Palatino Linotype"/>
          <w:i/>
          <w:iCs/>
          <w:sz w:val="22"/>
          <w:szCs w:val="22"/>
          <w:lang w:val="es-ES"/>
        </w:rPr>
        <w:t>tendrán las siguientes atribuciones:</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sz w:val="22"/>
          <w:szCs w:val="22"/>
          <w:lang w:val="es-ES"/>
        </w:rPr>
        <w:t>II. Confirmar, modificar o revocar las determinaciones que en materia de ampliación del plazo de respuesta, clasificación de la información</w:t>
      </w:r>
      <w:r>
        <w:rPr>
          <w:rFonts w:ascii="Palatino Linotype" w:hAnsi="Palatino Linotype"/>
          <w:i/>
          <w:sz w:val="22"/>
          <w:szCs w:val="22"/>
          <w:u w:val="single"/>
          <w:lang w:val="es-ES"/>
        </w:rPr>
        <w:t xml:space="preserve"> y declaración de inexistencia </w:t>
      </w:r>
      <w:r>
        <w:rPr>
          <w:rFonts w:ascii="Palatino Linotype" w:hAnsi="Palatino Linotype"/>
          <w:i/>
          <w:sz w:val="22"/>
          <w:szCs w:val="22"/>
          <w:lang w:val="es-ES"/>
        </w:rPr>
        <w:t>o de incompetencia realicen los titulares de las áreas de los sujetos obligados;</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sz w:val="22"/>
          <w:szCs w:val="22"/>
          <w:lang w:val="es-ES"/>
        </w:rPr>
        <w:t xml:space="preserve">XIII. </w:t>
      </w:r>
      <w:r>
        <w:rPr>
          <w:rFonts w:ascii="Palatino Linotype" w:hAnsi="Palatino Linotype"/>
          <w:i/>
          <w:sz w:val="22"/>
          <w:szCs w:val="22"/>
          <w:u w:val="single"/>
          <w:lang w:val="es-ES"/>
        </w:rPr>
        <w:t>Dictaminar las declaratorias de inexistencia de la información que les remitan las unidades administrativas y resolver en consecuencia</w:t>
      </w:r>
      <w:r>
        <w:rPr>
          <w:rFonts w:ascii="Palatino Linotype" w:hAnsi="Palatino Linotype"/>
          <w:i/>
          <w:sz w:val="22"/>
          <w:szCs w:val="22"/>
          <w:lang w:val="es-ES"/>
        </w:rPr>
        <w:t>;</w:t>
      </w:r>
    </w:p>
    <w:p w:rsidR="00517989" w:rsidRDefault="00D6127C">
      <w:pPr>
        <w:tabs>
          <w:tab w:val="left" w:pos="709"/>
        </w:tabs>
        <w:spacing w:beforeAutospacing="1" w:afterAutospacing="1"/>
        <w:ind w:left="851" w:right="899"/>
        <w:contextualSpacing/>
        <w:jc w:val="both"/>
        <w:rPr>
          <w:rFonts w:ascii="Palatino Linotype" w:hAnsi="Palatino Linotype"/>
          <w:b/>
          <w:i/>
          <w:sz w:val="22"/>
          <w:szCs w:val="22"/>
          <w:lang w:val="es-ES"/>
        </w:rPr>
      </w:pPr>
      <w:r>
        <w:rPr>
          <w:rFonts w:ascii="Palatino Linotype" w:hAnsi="Palatino Linotype"/>
          <w:b/>
          <w:bCs/>
          <w:i/>
          <w:sz w:val="22"/>
          <w:szCs w:val="22"/>
          <w:lang w:val="es-ES"/>
        </w:rPr>
        <w:t xml:space="preserve">I. </w:t>
      </w:r>
      <w:r>
        <w:rPr>
          <w:rFonts w:ascii="Palatino Linotype" w:hAnsi="Palatino Linotype"/>
          <w:i/>
          <w:sz w:val="22"/>
          <w:szCs w:val="22"/>
          <w:u w:val="single"/>
          <w:lang w:val="es-ES"/>
        </w:rPr>
        <w:t>Analizará el caso y tomará las medidas necesarias para localizar la información;</w:t>
      </w:r>
    </w:p>
    <w:p w:rsidR="00517989" w:rsidRDefault="00D6127C">
      <w:pPr>
        <w:tabs>
          <w:tab w:val="left" w:pos="709"/>
        </w:tabs>
        <w:spacing w:beforeAutospacing="1" w:afterAutospacing="1"/>
        <w:ind w:left="851" w:right="899"/>
        <w:contextualSpacing/>
        <w:jc w:val="both"/>
        <w:rPr>
          <w:rFonts w:ascii="Palatino Linotype" w:hAnsi="Palatino Linotype"/>
          <w:b/>
          <w:i/>
          <w:sz w:val="22"/>
          <w:szCs w:val="22"/>
          <w:lang w:val="es-ES"/>
        </w:rPr>
      </w:pPr>
      <w:r>
        <w:rPr>
          <w:rFonts w:ascii="Palatino Linotype" w:hAnsi="Palatino Linotype"/>
          <w:b/>
          <w:bCs/>
          <w:i/>
          <w:sz w:val="22"/>
          <w:szCs w:val="22"/>
          <w:lang w:val="es-ES"/>
        </w:rPr>
        <w:t xml:space="preserve">II. </w:t>
      </w:r>
      <w:r>
        <w:rPr>
          <w:rFonts w:ascii="Palatino Linotype" w:hAnsi="Palatino Linotype"/>
          <w:i/>
          <w:sz w:val="22"/>
          <w:szCs w:val="22"/>
          <w:u w:val="single"/>
          <w:lang w:val="es-ES"/>
        </w:rPr>
        <w:t>Expedirá una resolución que confirme la inexistencia del documento;</w:t>
      </w:r>
    </w:p>
    <w:p w:rsidR="00517989" w:rsidRDefault="00D6127C">
      <w:pPr>
        <w:tabs>
          <w:tab w:val="left" w:pos="709"/>
        </w:tabs>
        <w:spacing w:beforeAutospacing="1" w:afterAutospacing="1"/>
        <w:ind w:left="851" w:right="899"/>
        <w:contextualSpacing/>
        <w:jc w:val="both"/>
        <w:rPr>
          <w:rFonts w:ascii="Palatino Linotype" w:hAnsi="Palatino Linotype"/>
          <w:b/>
          <w:i/>
          <w:sz w:val="22"/>
          <w:szCs w:val="22"/>
          <w:lang w:val="es-ES"/>
        </w:rPr>
      </w:pPr>
      <w:r>
        <w:rPr>
          <w:rFonts w:ascii="Palatino Linotype" w:hAnsi="Palatino Linotype"/>
          <w:b/>
          <w:bCs/>
          <w:i/>
          <w:sz w:val="22"/>
          <w:szCs w:val="22"/>
          <w:lang w:val="es-ES"/>
        </w:rPr>
        <w:t xml:space="preserve">III. </w:t>
      </w:r>
      <w:r>
        <w:rPr>
          <w:rFonts w:ascii="Palatino Linotype" w:hAnsi="Palatino Linotype"/>
          <w:i/>
          <w:sz w:val="22"/>
          <w:szCs w:val="22"/>
          <w:u w:val="single"/>
          <w:lang w:val="es-E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u w:val="single"/>
          <w:lang w:val="es-ES"/>
        </w:rPr>
      </w:pPr>
      <w:r>
        <w:rPr>
          <w:rFonts w:ascii="Palatino Linotype" w:hAnsi="Palatino Linotype"/>
          <w:b/>
          <w:bCs/>
          <w:i/>
          <w:sz w:val="22"/>
          <w:szCs w:val="22"/>
          <w:lang w:val="es-ES"/>
        </w:rPr>
        <w:t xml:space="preserve">IV. </w:t>
      </w:r>
      <w:r>
        <w:rPr>
          <w:rFonts w:ascii="Palatino Linotype" w:hAnsi="Palatino Linotype"/>
          <w:i/>
          <w:sz w:val="22"/>
          <w:szCs w:val="22"/>
          <w:u w:val="single"/>
          <w:lang w:val="es-ES"/>
        </w:rPr>
        <w:t>Notificará al órgano interno de control o equivalente del sujeto obligado quien, en su caso, deberá iniciar el procedimiento de responsabilidad administrativa que corresponda.</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u w:val="single"/>
          <w:lang w:val="es-ES"/>
        </w:rPr>
      </w:pPr>
      <w:r>
        <w:rPr>
          <w:rFonts w:ascii="Palatino Linotype" w:hAnsi="Palatino Linotype"/>
          <w:i/>
          <w:sz w:val="22"/>
          <w:szCs w:val="22"/>
          <w:u w:val="single"/>
          <w:lang w:val="es-ES"/>
        </w:rPr>
        <w:t>La Unidad de Transparencia deberá notificarlo al solicitante por escrito, en un plazo que no exceda de quince días hábiles contados a partir del día siguiente a la presentación de la solicitud.</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u w:val="single"/>
          <w:lang w:val="es-ES"/>
        </w:rPr>
      </w:pPr>
      <w:r>
        <w:rPr>
          <w:rFonts w:ascii="Palatino Linotype" w:hAnsi="Palatino Linotype"/>
          <w:i/>
          <w:sz w:val="22"/>
          <w:szCs w:val="22"/>
          <w:u w:val="single"/>
          <w:lang w:val="es-ES"/>
        </w:rPr>
        <w:t>Este plazo podrá ampliarse hasta por otros siete días hábiles, siempre que existan razones para ello, debiendo notificarse por escrito al solicitante.</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i/>
          <w:sz w:val="22"/>
          <w:szCs w:val="22"/>
          <w:lang w:val="es-ES"/>
        </w:rPr>
        <w:t>Artículo 169.</w:t>
      </w:r>
      <w:r>
        <w:rPr>
          <w:rFonts w:ascii="Palatino Linotype" w:hAnsi="Palatino Linotype"/>
          <w:i/>
          <w:sz w:val="22"/>
          <w:szCs w:val="22"/>
          <w:lang w:val="es-ES"/>
        </w:rPr>
        <w:t xml:space="preserve"> Cuando la información no se encuentre en los archivos del sujeto obligado, el Comité de Transparencia:</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i/>
          <w:sz w:val="22"/>
          <w:szCs w:val="22"/>
          <w:lang w:val="es-ES"/>
        </w:rPr>
        <w:t>I.</w:t>
      </w:r>
      <w:r>
        <w:rPr>
          <w:rFonts w:ascii="Palatino Linotype" w:hAnsi="Palatino Linotype"/>
          <w:i/>
          <w:sz w:val="22"/>
          <w:szCs w:val="22"/>
          <w:lang w:val="es-ES"/>
        </w:rPr>
        <w:t xml:space="preserve"> Analizará el caso y tomará las medidas necesarias para localizar la información;</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i/>
          <w:sz w:val="22"/>
          <w:szCs w:val="22"/>
          <w:lang w:val="es-ES"/>
        </w:rPr>
        <w:t>II.</w:t>
      </w:r>
      <w:r>
        <w:rPr>
          <w:rFonts w:ascii="Palatino Linotype" w:hAnsi="Palatino Linotype"/>
          <w:i/>
          <w:sz w:val="22"/>
          <w:szCs w:val="22"/>
          <w:lang w:val="es-ES"/>
        </w:rPr>
        <w:t xml:space="preserve"> Expedirá una resolución que confirme la inexistencia del documento;</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i/>
          <w:sz w:val="22"/>
          <w:szCs w:val="22"/>
          <w:lang w:val="es-ES"/>
        </w:rPr>
        <w:t>III.</w:t>
      </w:r>
      <w:r>
        <w:rPr>
          <w:rFonts w:ascii="Palatino Linotype" w:hAnsi="Palatino Linotype"/>
          <w:i/>
          <w:sz w:val="22"/>
          <w:szCs w:val="22"/>
          <w:lang w:val="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w:t>
      </w:r>
      <w:r>
        <w:rPr>
          <w:rFonts w:ascii="Palatino Linotype" w:hAnsi="Palatino Linotype"/>
          <w:i/>
          <w:sz w:val="22"/>
          <w:szCs w:val="22"/>
          <w:lang w:val="es-ES"/>
        </w:rPr>
        <w:lastRenderedPageBreak/>
        <w:t>por las cuales en el caso particular no ejerció dichas facultades, competencias o funciones, lo cual notificará al solicitante a través de la Unidad de Transparencia; y</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b/>
          <w:i/>
          <w:sz w:val="22"/>
          <w:szCs w:val="22"/>
          <w:lang w:val="es-ES"/>
        </w:rPr>
        <w:t>IV.</w:t>
      </w:r>
      <w:r>
        <w:rPr>
          <w:rFonts w:ascii="Palatino Linotype" w:hAnsi="Palatino Linotype"/>
          <w:i/>
          <w:sz w:val="22"/>
          <w:szCs w:val="22"/>
          <w:lang w:val="es-ES"/>
        </w:rPr>
        <w:t xml:space="preserve"> Notificará al órgano interno de control o equivalente del sujeto obligado quien, en su caso, deberá iniciar el procedimiento de responsabilidad administrativa que corresponda.</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sz w:val="22"/>
          <w:szCs w:val="22"/>
          <w:lang w:val="es-ES"/>
        </w:rPr>
        <w:t>La Unidad de Transparencia deberá notificarlo al solicitante por escrito, en un plazo que no exceda de quince días hábiles contados a partir del día siguiente a la presentación de la solicitud.</w:t>
      </w:r>
    </w:p>
    <w:p w:rsidR="00517989" w:rsidRDefault="00D6127C">
      <w:pPr>
        <w:tabs>
          <w:tab w:val="left" w:pos="709"/>
        </w:tabs>
        <w:spacing w:beforeAutospacing="1" w:afterAutospacing="1"/>
        <w:ind w:left="851" w:right="899"/>
        <w:contextualSpacing/>
        <w:jc w:val="both"/>
        <w:rPr>
          <w:rFonts w:ascii="Palatino Linotype" w:hAnsi="Palatino Linotype"/>
          <w:i/>
          <w:sz w:val="22"/>
          <w:szCs w:val="22"/>
          <w:lang w:val="es-ES"/>
        </w:rPr>
      </w:pPr>
      <w:r>
        <w:rPr>
          <w:rFonts w:ascii="Palatino Linotype" w:hAnsi="Palatino Linotype"/>
          <w:i/>
          <w:sz w:val="22"/>
          <w:szCs w:val="22"/>
          <w:lang w:val="es-ES"/>
        </w:rPr>
        <w:t>Este plazo podrá ampliarse hasta por otros siete días hábiles, siempre que existan razones para ello, debiendo notificarse por escrito al solicitante.</w:t>
      </w:r>
    </w:p>
    <w:p w:rsidR="00517989" w:rsidRDefault="00D6127C">
      <w:pPr>
        <w:tabs>
          <w:tab w:val="left" w:pos="709"/>
        </w:tabs>
        <w:spacing w:beforeAutospacing="1" w:afterAutospacing="1"/>
        <w:ind w:left="851" w:right="899"/>
        <w:contextualSpacing/>
        <w:jc w:val="both"/>
        <w:rPr>
          <w:rFonts w:ascii="Palatino Linotype" w:hAnsi="Palatino Linotype"/>
          <w:b/>
          <w:i/>
          <w:iCs/>
          <w:sz w:val="22"/>
          <w:szCs w:val="22"/>
          <w:lang w:val="es-ES"/>
        </w:rPr>
      </w:pPr>
      <w:r>
        <w:rPr>
          <w:rFonts w:ascii="Palatino Linotype" w:hAnsi="Palatino Linotype"/>
          <w:b/>
          <w:i/>
          <w:sz w:val="22"/>
          <w:szCs w:val="22"/>
          <w:u w:val="single"/>
          <w:lang w:val="es-ES"/>
        </w:rPr>
        <w:t>Artículo 170</w:t>
      </w:r>
      <w:r>
        <w:rPr>
          <w:rFonts w:ascii="Palatino Linotype" w:hAnsi="Palatino Linotype"/>
          <w:b/>
          <w:bCs/>
          <w:i/>
          <w:iCs/>
          <w:sz w:val="22"/>
          <w:szCs w:val="22"/>
          <w:u w:val="single"/>
          <w:lang w:val="es-ES"/>
        </w:rPr>
        <w:t>.</w:t>
      </w:r>
      <w:r>
        <w:rPr>
          <w:rFonts w:ascii="Palatino Linotype" w:hAnsi="Palatino Linotype"/>
          <w:i/>
          <w:iCs/>
          <w:sz w:val="22"/>
          <w:szCs w:val="22"/>
          <w:u w:val="single"/>
          <w:lang w:val="es-E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hAnsi="Palatino Linotype"/>
          <w:i/>
          <w:iCs/>
          <w:sz w:val="22"/>
          <w:szCs w:val="22"/>
          <w:lang w:val="es-ES"/>
        </w:rPr>
        <w:t>”(</w:t>
      </w:r>
      <w:proofErr w:type="gramStart"/>
      <w:r>
        <w:rPr>
          <w:rFonts w:ascii="Palatino Linotype" w:hAnsi="Palatino Linotype"/>
          <w:i/>
          <w:iCs/>
          <w:sz w:val="22"/>
          <w:szCs w:val="22"/>
          <w:lang w:val="es-ES"/>
        </w:rPr>
        <w:t>sic</w:t>
      </w:r>
      <w:proofErr w:type="gramEnd"/>
      <w:r>
        <w:rPr>
          <w:rFonts w:ascii="Palatino Linotype" w:hAnsi="Palatino Linotype"/>
          <w:i/>
          <w:iCs/>
          <w:sz w:val="22"/>
          <w:szCs w:val="22"/>
          <w:lang w:val="es-ES"/>
        </w:rPr>
        <w:t xml:space="preserve">) </w:t>
      </w:r>
    </w:p>
    <w:p w:rsidR="00517989" w:rsidRDefault="00517989">
      <w:pPr>
        <w:tabs>
          <w:tab w:val="left" w:pos="709"/>
        </w:tabs>
        <w:spacing w:beforeAutospacing="1" w:afterAutospacing="1"/>
        <w:ind w:left="851" w:right="851"/>
        <w:contextualSpacing/>
        <w:jc w:val="both"/>
        <w:rPr>
          <w:rFonts w:ascii="Palatino Linotype" w:hAnsi="Palatino Linotype"/>
          <w:b/>
          <w:i/>
          <w:iCs/>
          <w:lang w:val="es-ES"/>
        </w:rPr>
      </w:pPr>
    </w:p>
    <w:p w:rsidR="00517989" w:rsidRDefault="00D6127C">
      <w:pPr>
        <w:tabs>
          <w:tab w:val="left" w:pos="709"/>
        </w:tabs>
        <w:spacing w:beforeAutospacing="1" w:afterAutospacing="1" w:line="360" w:lineRule="auto"/>
        <w:ind w:right="51"/>
        <w:contextualSpacing/>
        <w:jc w:val="both"/>
        <w:rPr>
          <w:rFonts w:ascii="Palatino Linotype" w:eastAsia="Calibri" w:hAnsi="Palatino Linotype"/>
          <w:lang w:val="es-ES"/>
        </w:rPr>
      </w:pPr>
      <w:r>
        <w:rPr>
          <w:rFonts w:ascii="Palatino Linotype" w:eastAsia="Calibri" w:hAnsi="Palatino Linotype"/>
          <w:lang w:val="es-ES"/>
        </w:rPr>
        <w:t xml:space="preserve">De los preceptos legales señalados, se advierte que en los casos en que la información solicitada no se encuentre en los archivos del </w:t>
      </w:r>
      <w:r>
        <w:rPr>
          <w:rFonts w:ascii="Palatino Linotype" w:eastAsia="Calibri" w:hAnsi="Palatino Linotype"/>
          <w:b/>
          <w:lang w:val="es-ES"/>
        </w:rPr>
        <w:t>SUJETO OBLIGADO</w:t>
      </w:r>
      <w:r>
        <w:rPr>
          <w:rFonts w:ascii="Palatino Linotype" w:eastAsia="Calibri" w:hAnsi="Palatino Linotype"/>
          <w:lang w:val="es-ES"/>
        </w:rPr>
        <w:t xml:space="preserve">, es al Comité de Transparencia al que le corresponde analizar el caso y tomar las medidas necesarias para localización de la información requerida y en su caso </w:t>
      </w:r>
      <w:r>
        <w:rPr>
          <w:rFonts w:ascii="Palatino Linotype" w:eastAsia="Calibri" w:hAnsi="Palatino Linotype"/>
          <w:b/>
          <w:lang w:val="es-ES"/>
        </w:rPr>
        <w:t>ordenará</w:t>
      </w:r>
      <w:r>
        <w:rPr>
          <w:rFonts w:ascii="Palatino Linotype" w:hAnsi="Palatino Linotype" w:cs="Arial"/>
          <w:i/>
          <w:lang w:val="es-ES" w:eastAsia="es-MX"/>
        </w:rPr>
        <w:t xml:space="preserve">, </w:t>
      </w:r>
      <w:r>
        <w:rPr>
          <w:rFonts w:ascii="Palatino Linotype" w:eastAsia="Calibri" w:hAnsi="Palatino Linotype"/>
          <w:lang w:val="es-ES"/>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Pr>
          <w:rFonts w:ascii="Palatino Linotype" w:eastAsia="Calibri" w:hAnsi="Palatino Linotype"/>
          <w:b/>
          <w:lang w:val="es-ES"/>
        </w:rPr>
        <w:t>SUJETO OBLIGADO</w:t>
      </w:r>
      <w:r>
        <w:rPr>
          <w:rFonts w:ascii="Palatino Linotype" w:eastAsia="Calibri" w:hAnsi="Palatino Linotype"/>
          <w:lang w:val="es-ES"/>
        </w:rPr>
        <w:t>, a fin de que inicie el procedimiento de responsabilidad administrativa correspondiente.</w:t>
      </w:r>
    </w:p>
    <w:p w:rsidR="00517989" w:rsidRDefault="00517989">
      <w:pPr>
        <w:spacing w:beforeAutospacing="1" w:afterAutospacing="1" w:line="360" w:lineRule="auto"/>
        <w:ind w:right="-91"/>
        <w:contextualSpacing/>
        <w:jc w:val="both"/>
        <w:rPr>
          <w:rFonts w:ascii="Palatino Linotype" w:hAnsi="Palatino Linotype"/>
          <w:bCs/>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bCs/>
          <w:lang w:val="es-ES"/>
        </w:rPr>
      </w:pPr>
      <w:r>
        <w:rPr>
          <w:rFonts w:ascii="Palatino Linotype" w:hAnsi="Palatino Linotype"/>
          <w:bCs/>
          <w:lang w:val="es-ES"/>
        </w:rPr>
        <w:t xml:space="preserve">Asimismo, </w:t>
      </w:r>
      <w:r>
        <w:rPr>
          <w:rFonts w:ascii="Palatino Linotype" w:hAnsi="Palatino Linotype"/>
          <w:color w:val="000000" w:themeColor="text1"/>
          <w:lang w:val="es-ES"/>
        </w:rPr>
        <w:t xml:space="preserve">se establecerá de manera fundada y motivada </w:t>
      </w:r>
      <w:r>
        <w:rPr>
          <w:rFonts w:ascii="Palatino Linotype" w:hAnsi="Palatino Linotype" w:cs="Arial"/>
          <w:lang w:val="es-ES"/>
        </w:rPr>
        <w:t xml:space="preserve">las </w:t>
      </w:r>
      <w:r>
        <w:rPr>
          <w:rFonts w:ascii="Palatino Linotype" w:hAnsi="Palatino Linotype" w:cs="Arial"/>
          <w:bCs/>
          <w:lang w:val="es-ES"/>
        </w:rPr>
        <w:t>razones del por qué no obra en sus archivos; así como los cr</w:t>
      </w:r>
      <w:r>
        <w:rPr>
          <w:rFonts w:ascii="Palatino Linotype" w:eastAsia="Calibri" w:hAnsi="Palatino Linotype"/>
          <w:lang w:val="es-ES"/>
        </w:rPr>
        <w:t xml:space="preserve">iterios y los métodos de búsqueda de la información utilizados; así como todas aquéllas circunstancias de modo, tiempo y </w:t>
      </w:r>
      <w:r>
        <w:rPr>
          <w:rFonts w:ascii="Palatino Linotype" w:eastAsia="Calibri" w:hAnsi="Palatino Linotype"/>
          <w:lang w:val="es-ES"/>
        </w:rPr>
        <w:lastRenderedPageBreak/>
        <w:t>lugar que se tomaron en cuenta para llegar a determinar que no obra en los archivos la información requerida.</w:t>
      </w:r>
    </w:p>
    <w:p w:rsidR="00517989" w:rsidRDefault="00517989">
      <w:pPr>
        <w:spacing w:beforeAutospacing="1" w:afterAutospacing="1" w:line="360" w:lineRule="auto"/>
        <w:contextualSpacing/>
        <w:jc w:val="both"/>
        <w:rPr>
          <w:rFonts w:ascii="Palatino Linotype" w:eastAsia="Calibri" w:hAnsi="Palatino Linotype"/>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cs="Arial"/>
          <w:lang w:val="es-ES"/>
        </w:rPr>
      </w:pPr>
      <w:r>
        <w:rPr>
          <w:rFonts w:ascii="Palatino Linotype" w:hAnsi="Palatino Linotype" w:cs="Arial"/>
          <w:lang w:val="es-ES"/>
        </w:rPr>
        <w:t xml:space="preserve">De igual forma, en observancia a lo anterior tiene aplicación lo establecido en los Lineamientos para la Recepción, Trámite y Resolución de las solicitudes de Acceso a la Información </w:t>
      </w:r>
      <w:r>
        <w:rPr>
          <w:rFonts w:ascii="Palatino Linotype" w:eastAsia="Calibri" w:hAnsi="Palatino Linotype"/>
          <w:lang w:val="es-ES"/>
        </w:rPr>
        <w:t>Pública</w:t>
      </w:r>
      <w:r>
        <w:rPr>
          <w:rFonts w:ascii="Palatino Linotype" w:hAnsi="Palatino Linotype" w:cs="Arial"/>
          <w:lang w:val="es-ES"/>
        </w:rPr>
        <w:t>,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517989" w:rsidRDefault="00517989">
      <w:pPr>
        <w:tabs>
          <w:tab w:val="left" w:pos="709"/>
        </w:tabs>
        <w:spacing w:beforeAutospacing="1" w:afterAutospacing="1" w:line="360" w:lineRule="auto"/>
        <w:ind w:right="51"/>
        <w:contextualSpacing/>
        <w:jc w:val="both"/>
        <w:rPr>
          <w:rFonts w:ascii="Palatino Linotype" w:hAnsi="Palatino Linotype" w:cs="Arial"/>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color w:val="000000" w:themeColor="text1"/>
          <w:lang w:val="es-ES"/>
        </w:rPr>
      </w:pPr>
      <w:r>
        <w:rPr>
          <w:rFonts w:ascii="Palatino Linotype" w:hAnsi="Palatino Linotype"/>
          <w:color w:val="000000" w:themeColor="text1"/>
          <w:lang w:val="es-ES"/>
        </w:rPr>
        <w:t xml:space="preserve">Por ello, como se prevé en los criterios anteriores, es necesario que los </w:t>
      </w:r>
      <w:r>
        <w:rPr>
          <w:rFonts w:ascii="Palatino Linotype" w:hAnsi="Palatino Linotype"/>
          <w:b/>
          <w:color w:val="000000" w:themeColor="text1"/>
          <w:lang w:val="es-ES"/>
        </w:rPr>
        <w:t>SUJETOS OBLIGADOS</w:t>
      </w:r>
      <w:r>
        <w:rPr>
          <w:rFonts w:ascii="Palatino Linotype" w:hAnsi="Palatino Linotype"/>
          <w:color w:val="000000" w:themeColor="text1"/>
          <w:lang w:val="es-ES"/>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rsidR="00517989" w:rsidRDefault="00D6127C">
      <w:pPr>
        <w:tabs>
          <w:tab w:val="left" w:pos="709"/>
        </w:tabs>
        <w:spacing w:beforeAutospacing="1" w:afterAutospacing="1" w:line="360" w:lineRule="auto"/>
        <w:ind w:right="51"/>
        <w:contextualSpacing/>
        <w:jc w:val="both"/>
        <w:rPr>
          <w:rFonts w:ascii="Palatino Linotype" w:hAnsi="Palatino Linotype" w:cs="Arial"/>
          <w:lang w:val="es-ES"/>
        </w:rPr>
      </w:pPr>
      <w:r>
        <w:rPr>
          <w:rFonts w:ascii="Palatino Linotype" w:hAnsi="Palatino Linotype" w:cs="Arial"/>
          <w:lang w:val="es-ES"/>
        </w:rPr>
        <w:t xml:space="preserve">Lo anterior es así, pues no debe perderse de vista que, la fundamentación y motivación consiste en la obligación que tiene todo ente público de expresar los preceptos jurídicos aplicables al </w:t>
      </w:r>
      <w:r>
        <w:rPr>
          <w:rFonts w:ascii="Palatino Linotype" w:eastAsia="Calibri" w:hAnsi="Palatino Linotype"/>
          <w:lang w:val="es-ES"/>
        </w:rPr>
        <w:t>asunto</w:t>
      </w:r>
      <w:r>
        <w:rPr>
          <w:rFonts w:ascii="Palatino Linotype" w:hAnsi="Palatino Linotype" w:cs="Arial"/>
          <w:lang w:val="es-ES"/>
        </w:rPr>
        <w:t xml:space="preserve"> origen del acto y las razones o argumentos de su actuar, es así que al respecto, el máximo tribunal del país ha establecido jurisprudencia en relación a qué debe entenderse por fundamentación y motivación, en los siguientes términos:</w:t>
      </w:r>
    </w:p>
    <w:p w:rsidR="00517989" w:rsidRDefault="00517989">
      <w:pPr>
        <w:spacing w:beforeAutospacing="1" w:afterAutospacing="1"/>
        <w:contextualSpacing/>
        <w:jc w:val="both"/>
        <w:rPr>
          <w:rFonts w:ascii="Palatino Linotype" w:hAnsi="Palatino Linotype" w:cs="Arial"/>
          <w:sz w:val="22"/>
          <w:szCs w:val="22"/>
          <w:lang w:val="es-ES"/>
        </w:rPr>
      </w:pPr>
    </w:p>
    <w:p w:rsidR="00517989" w:rsidRDefault="00D6127C">
      <w:pPr>
        <w:spacing w:beforeAutospacing="1" w:afterAutospacing="1"/>
        <w:ind w:left="851" w:right="902"/>
        <w:contextualSpacing/>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b/>
          <w:i/>
          <w:sz w:val="22"/>
          <w:szCs w:val="22"/>
          <w:lang w:val="es-ES"/>
        </w:rPr>
        <w:t xml:space="preserve">FUNDAMENTACIÓN Y MOTIVACIÓN. </w:t>
      </w:r>
      <w:r>
        <w:rPr>
          <w:rFonts w:ascii="Palatino Linotype" w:hAnsi="Palatino Linotype" w:cs="Arial"/>
          <w:i/>
          <w:sz w:val="22"/>
          <w:szCs w:val="22"/>
          <w:lang w:val="es-ES"/>
        </w:rPr>
        <w:t xml:space="preserve">La debida fundamentación y motivación legal, deben entenderse, por lo primero, la cita del precepto legal aplicable al caso, y por lo segundo, las razones, motivos o circunstancias especiales que </w:t>
      </w:r>
      <w:r>
        <w:rPr>
          <w:rFonts w:ascii="Palatino Linotype" w:hAnsi="Palatino Linotype" w:cs="Arial"/>
          <w:i/>
          <w:sz w:val="22"/>
          <w:szCs w:val="22"/>
          <w:lang w:val="es-ES"/>
        </w:rPr>
        <w:lastRenderedPageBreak/>
        <w:t>llevaron a la autoridad a concluir que el caso particular encuadra en el supuesto previsto por la norma legal invocada como fundamento.”(Sic)</w:t>
      </w:r>
    </w:p>
    <w:p w:rsidR="00517989" w:rsidRDefault="00517989">
      <w:pPr>
        <w:spacing w:beforeAutospacing="1" w:afterAutospacing="1"/>
        <w:ind w:left="851" w:right="902"/>
        <w:contextualSpacing/>
        <w:jc w:val="both"/>
        <w:rPr>
          <w:rFonts w:ascii="Palatino Linotype" w:hAnsi="Palatino Linotype" w:cs="Arial"/>
          <w:i/>
          <w:sz w:val="22"/>
          <w:szCs w:val="22"/>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cs="Arial"/>
          <w:lang w:val="es-ES"/>
        </w:rPr>
      </w:pPr>
      <w:r>
        <w:rPr>
          <w:rFonts w:ascii="Palatino Linotype" w:hAnsi="Palatino Linotype" w:cs="Arial"/>
          <w:lang w:val="es-ES"/>
        </w:rPr>
        <w:t xml:space="preserve">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w:t>
      </w:r>
      <w:r>
        <w:rPr>
          <w:rFonts w:ascii="Palatino Linotype" w:eastAsia="Calibri" w:hAnsi="Palatino Linotype"/>
          <w:lang w:val="es-ES"/>
        </w:rPr>
        <w:t>derecho</w:t>
      </w:r>
      <w:r>
        <w:rPr>
          <w:rFonts w:ascii="Palatino Linotype" w:hAnsi="Palatino Linotype" w:cs="Arial"/>
          <w:lang w:val="es-ES"/>
        </w:rPr>
        <w:t>.</w:t>
      </w:r>
    </w:p>
    <w:p w:rsidR="00517989" w:rsidRDefault="00517989">
      <w:pPr>
        <w:spacing w:beforeAutospacing="1" w:afterAutospacing="1" w:line="360" w:lineRule="auto"/>
        <w:contextualSpacing/>
        <w:jc w:val="both"/>
        <w:rPr>
          <w:rFonts w:ascii="Palatino Linotype" w:hAnsi="Palatino Linotype" w:cs="Arial"/>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cs="Arial"/>
          <w:lang w:val="es-ES"/>
        </w:rPr>
      </w:pPr>
      <w:r>
        <w:rPr>
          <w:rFonts w:ascii="Palatino Linotype" w:hAnsi="Palatino Linotype" w:cs="Arial"/>
          <w:lang w:val="es-ES"/>
        </w:rPr>
        <w:t xml:space="preserve">Más aún, a través de diversa jurisprudencia dictada por el Poder Judicial de la Federación se </w:t>
      </w:r>
      <w:r>
        <w:rPr>
          <w:rFonts w:ascii="Palatino Linotype" w:eastAsia="Calibri" w:hAnsi="Palatino Linotype"/>
          <w:lang w:val="es-ES"/>
        </w:rPr>
        <w:t>sostiene</w:t>
      </w:r>
      <w:r>
        <w:rPr>
          <w:rFonts w:ascii="Palatino Linotype" w:hAnsi="Palatino Linotype" w:cs="Arial"/>
          <w:lang w:val="es-ES"/>
        </w:rPr>
        <w:t xml:space="preserve"> que la finalidad de la fundamentación o motivación es la de explicar, justificar, posibilitar la defensa y comunicar la decisión de la autoridad, sirviendo de sustento lo siguiente:</w:t>
      </w:r>
    </w:p>
    <w:p w:rsidR="00517989" w:rsidRDefault="00517989">
      <w:pPr>
        <w:spacing w:beforeAutospacing="1" w:afterAutospacing="1"/>
        <w:contextualSpacing/>
        <w:jc w:val="both"/>
        <w:rPr>
          <w:rFonts w:ascii="Palatino Linotype" w:hAnsi="Palatino Linotype" w:cs="Arial"/>
          <w:sz w:val="22"/>
          <w:szCs w:val="22"/>
          <w:lang w:val="es-ES"/>
        </w:rPr>
      </w:pPr>
    </w:p>
    <w:p w:rsidR="00517989" w:rsidRDefault="00D6127C">
      <w:pPr>
        <w:spacing w:beforeAutospacing="1" w:afterAutospacing="1"/>
        <w:ind w:left="851" w:right="902"/>
        <w:contextualSpacing/>
        <w:jc w:val="both"/>
        <w:rPr>
          <w:rFonts w:ascii="Palatino Linotype" w:hAnsi="Palatino Linotype" w:cs="Arial"/>
          <w:i/>
          <w:sz w:val="22"/>
          <w:szCs w:val="22"/>
          <w:lang w:val="es-ES"/>
        </w:rPr>
      </w:pPr>
      <w:r>
        <w:rPr>
          <w:rFonts w:ascii="Palatino Linotype" w:hAnsi="Palatino Linotype" w:cs="Arial"/>
          <w:b/>
          <w:i/>
          <w:sz w:val="22"/>
          <w:szCs w:val="22"/>
          <w:lang w:val="es-ES"/>
        </w:rPr>
        <w:t>“FUNDAMENTACIÓN Y MOTIVACIÓN. EL ASPECTO FORMAL DE LA GARANTÍA Y SU FINALIDAD SE TRADUCEN EN EXPLICAR, JUSTIFICAR, POSIBILITAR LA DEFENSA Y COMUNICAR LA DECISIÓN</w:t>
      </w:r>
      <w:r>
        <w:rPr>
          <w:rFonts w:ascii="Palatino Linotype" w:hAnsi="Palatino Linotype" w:cs="Arial"/>
          <w:i/>
          <w:sz w:val="22"/>
          <w:szCs w:val="22"/>
          <w:lang w:val="es-ES"/>
        </w:rPr>
        <w:t xml:space="preserve">. El contenido formal de la garantía de legalidad prevista en el artículo 16 constitucional relativa a la </w:t>
      </w:r>
      <w:r>
        <w:rPr>
          <w:rFonts w:ascii="Palatino Linotype" w:hAnsi="Palatino Linotype" w:cs="Arial"/>
          <w:b/>
          <w:i/>
          <w:sz w:val="22"/>
          <w:szCs w:val="22"/>
          <w:lang w:val="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lang w:val="es-ES"/>
        </w:rPr>
        <w:t xml:space="preserve">. Por tanto, </w:t>
      </w:r>
      <w:r>
        <w:rPr>
          <w:rFonts w:ascii="Palatino Linotype" w:hAnsi="Palatino Linotype" w:cs="Arial"/>
          <w:b/>
          <w:i/>
          <w:sz w:val="22"/>
          <w:szCs w:val="22"/>
          <w:lang w:val="es-ES"/>
        </w:rPr>
        <w:t>no basta que el acto de autoridad apenas observe una motivación pro forma pero de una manera incongruente, insuficiente o imprecisa</w:t>
      </w:r>
      <w:r>
        <w:rPr>
          <w:rFonts w:ascii="Palatino Linotype" w:hAnsi="Palatino Linotype" w:cs="Arial"/>
          <w:i/>
          <w:sz w:val="22"/>
          <w:szCs w:val="22"/>
          <w:lang w:val="es-ES"/>
        </w:rPr>
        <w:t>, que impida la finalidad del conocimiento, comprobación y defensa pertinente</w:t>
      </w:r>
      <w:r>
        <w:rPr>
          <w:rFonts w:ascii="Palatino Linotype" w:hAnsi="Palatino Linotype" w:cs="Arial"/>
          <w:b/>
          <w:i/>
          <w:sz w:val="22"/>
          <w:szCs w:val="22"/>
          <w:lang w:val="es-ES"/>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Pr>
          <w:rFonts w:ascii="Palatino Linotype" w:hAnsi="Palatino Linotype" w:cs="Arial"/>
          <w:b/>
          <w:i/>
          <w:sz w:val="22"/>
          <w:szCs w:val="22"/>
          <w:lang w:val="es-ES"/>
        </w:rPr>
        <w:lastRenderedPageBreak/>
        <w:t>razonamiento del que se deduzca la relación de pertenencia lógica de los hechos al derecho invocado, que es la subsunción</w:t>
      </w:r>
      <w:r>
        <w:rPr>
          <w:rFonts w:ascii="Palatino Linotype" w:hAnsi="Palatino Linotype" w:cs="Arial"/>
          <w:i/>
          <w:sz w:val="22"/>
          <w:szCs w:val="22"/>
          <w:lang w:val="es-ES"/>
        </w:rPr>
        <w:t>.” (Sic)</w:t>
      </w:r>
    </w:p>
    <w:p w:rsidR="00517989" w:rsidRDefault="00D6127C">
      <w:pPr>
        <w:spacing w:beforeAutospacing="1" w:afterAutospacing="1"/>
        <w:ind w:left="851" w:right="902"/>
        <w:contextualSpacing/>
        <w:jc w:val="both"/>
        <w:rPr>
          <w:rFonts w:ascii="Palatino Linotype" w:hAnsi="Palatino Linotype" w:cs="Arial"/>
          <w:i/>
          <w:sz w:val="22"/>
          <w:szCs w:val="22"/>
          <w:lang w:val="es-ES"/>
        </w:rPr>
      </w:pPr>
      <w:r>
        <w:rPr>
          <w:rFonts w:ascii="Palatino Linotype" w:hAnsi="Palatino Linotype" w:cs="Arial"/>
          <w:i/>
          <w:sz w:val="22"/>
          <w:szCs w:val="22"/>
          <w:lang w:val="es-ES"/>
        </w:rPr>
        <w:t>(Énfasis añadido)</w:t>
      </w:r>
    </w:p>
    <w:p w:rsidR="00517989" w:rsidRDefault="00517989">
      <w:pPr>
        <w:spacing w:beforeAutospacing="1" w:afterAutospacing="1"/>
        <w:ind w:left="851" w:right="902"/>
        <w:contextualSpacing/>
        <w:jc w:val="both"/>
        <w:rPr>
          <w:rFonts w:ascii="Palatino Linotype" w:hAnsi="Palatino Linotype" w:cs="Arial"/>
          <w:i/>
          <w:sz w:val="22"/>
          <w:szCs w:val="22"/>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cs="Arial"/>
          <w:lang w:val="es-ES"/>
        </w:rPr>
      </w:pPr>
      <w:r>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517989" w:rsidRDefault="00517989">
      <w:pPr>
        <w:tabs>
          <w:tab w:val="left" w:pos="709"/>
        </w:tabs>
        <w:spacing w:beforeAutospacing="1" w:afterAutospacing="1" w:line="360" w:lineRule="auto"/>
        <w:ind w:right="51"/>
        <w:contextualSpacing/>
        <w:jc w:val="both"/>
        <w:rPr>
          <w:rFonts w:ascii="Palatino Linotype" w:hAnsi="Palatino Linotype" w:cs="Arial"/>
          <w:lang w:val="es-ES"/>
        </w:rPr>
      </w:pPr>
    </w:p>
    <w:p w:rsidR="00517989" w:rsidRDefault="00D6127C">
      <w:pPr>
        <w:tabs>
          <w:tab w:val="left" w:pos="709"/>
        </w:tabs>
        <w:spacing w:beforeAutospacing="1" w:afterAutospacing="1" w:line="360" w:lineRule="auto"/>
        <w:ind w:right="51"/>
        <w:contextualSpacing/>
        <w:jc w:val="both"/>
        <w:rPr>
          <w:rFonts w:ascii="Palatino Linotype" w:hAnsi="Palatino Linotype" w:cs="Arial"/>
          <w:lang w:val="es-ES"/>
        </w:rPr>
      </w:pPr>
      <w:r>
        <w:rPr>
          <w:rFonts w:ascii="Palatino Linotype" w:eastAsia="Calibri" w:hAnsi="Palatino Linotype"/>
          <w:lang w:val="es-ES"/>
        </w:rPr>
        <w:t xml:space="preserve">Para mayor entendimiento y </w:t>
      </w:r>
      <w:r>
        <w:rPr>
          <w:rFonts w:ascii="Palatino Linotype" w:eastAsia="MS Mincho" w:hAnsi="Palatino Linotype" w:cs="Arial"/>
          <w:lang w:val="es-ES_tradnl"/>
        </w:rPr>
        <w:t xml:space="preserve">con el propósitos de cómo debe de acordarse la declaratoria </w:t>
      </w:r>
      <w:r>
        <w:rPr>
          <w:rFonts w:ascii="Palatino Linotype" w:hAnsi="Palatino Linotype" w:cs="Arial"/>
          <w:lang w:val="es-ES"/>
        </w:rPr>
        <w:t>de</w:t>
      </w:r>
      <w:r>
        <w:rPr>
          <w:rFonts w:ascii="Palatino Linotype" w:eastAsia="MS Mincho" w:hAnsi="Palatino Linotype"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rsidR="00517989" w:rsidRDefault="00517989">
      <w:pPr>
        <w:tabs>
          <w:tab w:val="left" w:pos="8647"/>
        </w:tabs>
        <w:spacing w:beforeAutospacing="1" w:afterAutospacing="1"/>
        <w:ind w:left="851" w:right="900"/>
        <w:contextualSpacing/>
        <w:rPr>
          <w:rFonts w:ascii="Palatino Linotype" w:eastAsia="MS Mincho" w:hAnsi="Palatino Linotype" w:cs="Arial"/>
          <w:i/>
          <w:sz w:val="22"/>
          <w:szCs w:val="22"/>
          <w:lang w:val="es-ES_tradnl"/>
        </w:rPr>
      </w:pPr>
    </w:p>
    <w:p w:rsidR="00517989" w:rsidRDefault="00D6127C">
      <w:pPr>
        <w:tabs>
          <w:tab w:val="left" w:pos="8647"/>
        </w:tabs>
        <w:spacing w:beforeAutospacing="1" w:afterAutospacing="1"/>
        <w:ind w:left="851" w:right="900"/>
        <w:contextualSpacing/>
        <w:rPr>
          <w:rFonts w:ascii="Palatino Linotype" w:eastAsia="MS Mincho" w:hAnsi="Palatino Linotype" w:cs="Arial"/>
          <w:b/>
          <w:i/>
          <w:sz w:val="22"/>
          <w:szCs w:val="22"/>
          <w:lang w:val="es-ES_tradnl"/>
        </w:rPr>
      </w:pPr>
      <w:r>
        <w:rPr>
          <w:rFonts w:ascii="Palatino Linotype" w:eastAsia="MS Mincho" w:hAnsi="Palatino Linotype" w:cs="Arial"/>
          <w:b/>
          <w:i/>
          <w:sz w:val="22"/>
          <w:szCs w:val="22"/>
          <w:lang w:val="es-ES_tradnl"/>
        </w:rPr>
        <w:t>CRITERIO 0003-11</w:t>
      </w:r>
    </w:p>
    <w:p w:rsidR="00517989" w:rsidRDefault="00D6127C">
      <w:pPr>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b/>
          <w:i/>
          <w:sz w:val="22"/>
          <w:szCs w:val="22"/>
          <w:lang w:val="es-ES_tradnl"/>
        </w:rPr>
        <w:t>INEXISTENCIA, CONCEPTO DE, EN MATERIA DE TRANSPARENCIA</w:t>
      </w:r>
      <w:r>
        <w:rPr>
          <w:rFonts w:ascii="Palatino Linotype" w:eastAsia="MS Mincho" w:hAnsi="Palatino Linotype" w:cs="Arial"/>
          <w:i/>
          <w:sz w:val="22"/>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b) En los casos en que por las atribuciones conferidas al Sujeto Obligado éste debió generar, administrar o poseer la información, pero en incumplimiento a la normatividad respectiva no llevó a cabo </w:t>
      </w:r>
      <w:proofErr w:type="gramStart"/>
      <w:r>
        <w:rPr>
          <w:rFonts w:ascii="Palatino Linotype" w:eastAsia="MS Mincho" w:hAnsi="Palatino Linotype" w:cs="Arial"/>
          <w:i/>
          <w:sz w:val="22"/>
          <w:szCs w:val="22"/>
          <w:lang w:val="es-ES_tradnl"/>
        </w:rPr>
        <w:t>ninguna</w:t>
      </w:r>
      <w:proofErr w:type="gramEnd"/>
      <w:r>
        <w:rPr>
          <w:rFonts w:ascii="Palatino Linotype" w:eastAsia="MS Mincho" w:hAnsi="Palatino Linotype" w:cs="Arial"/>
          <w:i/>
          <w:sz w:val="22"/>
          <w:szCs w:val="22"/>
          <w:lang w:val="es-ES_tradnl"/>
        </w:rPr>
        <w:t xml:space="preserve"> de esas acciones.</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En ambos casos, el Sujeto Obligado deberá hacer del conocimiento del solicitante las razones que explican la inexistencia, mediante el dictamen debidamente fundado y </w:t>
      </w:r>
      <w:r>
        <w:rPr>
          <w:rFonts w:ascii="Palatino Linotype" w:eastAsia="MS Mincho" w:hAnsi="Palatino Linotype" w:cs="Arial"/>
          <w:i/>
          <w:sz w:val="22"/>
          <w:szCs w:val="22"/>
          <w:lang w:val="es-ES_tradnl"/>
        </w:rPr>
        <w:lastRenderedPageBreak/>
        <w:t>motivado emitido por el Comité de Información y con las formalidades legales exigidas por la Ley de Transparencia.</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Precedentes:</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01287/INFOEM/IP/RR/2010. Ayuntamiento de  Huixquilucan. Sesión 20 de octubre de 2010. Por Unanimidad. Comisionado </w:t>
      </w:r>
      <w:proofErr w:type="spellStart"/>
      <w:r>
        <w:rPr>
          <w:rFonts w:ascii="Palatino Linotype" w:eastAsia="MS Mincho" w:hAnsi="Palatino Linotype" w:cs="Arial"/>
          <w:i/>
          <w:sz w:val="22"/>
          <w:szCs w:val="22"/>
          <w:lang w:val="es-ES_tradnl"/>
        </w:rPr>
        <w:t>Rosendoevgueni</w:t>
      </w:r>
      <w:proofErr w:type="spellEnd"/>
      <w:r>
        <w:rPr>
          <w:rFonts w:ascii="Palatino Linotype" w:eastAsia="MS Mincho" w:hAnsi="Palatino Linotype" w:cs="Arial"/>
          <w:i/>
          <w:sz w:val="22"/>
          <w:szCs w:val="22"/>
          <w:lang w:val="es-ES_tradnl"/>
        </w:rPr>
        <w:t xml:space="preserve"> Monterrey </w:t>
      </w:r>
      <w:proofErr w:type="spellStart"/>
      <w:r>
        <w:rPr>
          <w:rFonts w:ascii="Palatino Linotype" w:eastAsia="MS Mincho" w:hAnsi="Palatino Linotype" w:cs="Arial"/>
          <w:i/>
          <w:sz w:val="22"/>
          <w:szCs w:val="22"/>
          <w:lang w:val="es-ES_tradnl"/>
        </w:rPr>
        <w:t>Chepov</w:t>
      </w:r>
      <w:proofErr w:type="spellEnd"/>
      <w:r>
        <w:rPr>
          <w:rFonts w:ascii="Palatino Linotype" w:eastAsia="MS Mincho" w:hAnsi="Palatino Linotype" w:cs="Arial"/>
          <w:i/>
          <w:sz w:val="22"/>
          <w:szCs w:val="22"/>
          <w:lang w:val="es-ES_tradnl"/>
        </w:rPr>
        <w:t>.</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01379/INFOEM/IP/RR/A/2010. Ayuntamiento de Toluca. Sesión del 01 de diciembre de 201.0. Por Unanimidad. Comisionada </w:t>
      </w:r>
      <w:proofErr w:type="spellStart"/>
      <w:r>
        <w:rPr>
          <w:rFonts w:ascii="Palatino Linotype" w:eastAsia="MS Mincho" w:hAnsi="Palatino Linotype" w:cs="Arial"/>
          <w:i/>
          <w:sz w:val="22"/>
          <w:szCs w:val="22"/>
          <w:lang w:val="es-ES_tradnl"/>
        </w:rPr>
        <w:t>Miroslava</w:t>
      </w:r>
      <w:proofErr w:type="spellEnd"/>
      <w:r>
        <w:rPr>
          <w:rFonts w:ascii="Palatino Linotype" w:eastAsia="MS Mincho" w:hAnsi="Palatino Linotype" w:cs="Arial"/>
          <w:i/>
          <w:sz w:val="22"/>
          <w:szCs w:val="22"/>
          <w:lang w:val="es-ES_tradnl"/>
        </w:rPr>
        <w:t xml:space="preserve"> Carrillo Martínez.</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01679/INFOEM/IP/RR/A/2010. Ayuntamiento de Ecatepec de Morelos. Sesión 3 de febrero de 2011. Por Unanimidad. Comisionado Federico Guzmán Tamayo.</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01073/INFOEM/IP/RR/2011. Ayuntamiento de Huixquilucan. Sesión 12 de mayo de 2011. Por Unanimidad. Comisionada Myrna Araceli García Morón.</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01135/INFOEM/IP/RR/2011. Ayuntamiento de Nezahualcóyotl Sesión 24 de mayo de 2011. Por Unanimidad. Comisionado Arcadio A. Sánchez </w:t>
      </w:r>
      <w:proofErr w:type="spellStart"/>
      <w:r>
        <w:rPr>
          <w:rFonts w:ascii="Palatino Linotype" w:eastAsia="MS Mincho" w:hAnsi="Palatino Linotype" w:cs="Arial"/>
          <w:i/>
          <w:sz w:val="22"/>
          <w:szCs w:val="22"/>
          <w:lang w:val="es-ES_tradnl"/>
        </w:rPr>
        <w:t>Henkel</w:t>
      </w:r>
      <w:proofErr w:type="spellEnd"/>
      <w:r>
        <w:rPr>
          <w:rFonts w:ascii="Palatino Linotype" w:eastAsia="MS Mincho" w:hAnsi="Palatino Linotype" w:cs="Arial"/>
          <w:i/>
          <w:sz w:val="22"/>
          <w:szCs w:val="22"/>
          <w:lang w:val="es-ES_tradnl"/>
        </w:rPr>
        <w:t xml:space="preserve"> </w:t>
      </w:r>
      <w:proofErr w:type="spellStart"/>
      <w:r>
        <w:rPr>
          <w:rFonts w:ascii="Palatino Linotype" w:eastAsia="MS Mincho" w:hAnsi="Palatino Linotype" w:cs="Arial"/>
          <w:i/>
          <w:sz w:val="22"/>
          <w:szCs w:val="22"/>
          <w:lang w:val="es-ES_tradnl"/>
        </w:rPr>
        <w:t>Gómeztagle</w:t>
      </w:r>
      <w:proofErr w:type="spellEnd"/>
      <w:r>
        <w:rPr>
          <w:rFonts w:ascii="Palatino Linotype" w:eastAsia="MS Mincho" w:hAnsi="Palatino Linotype" w:cs="Arial"/>
          <w:i/>
          <w:sz w:val="22"/>
          <w:szCs w:val="22"/>
          <w:lang w:val="es-ES_tradnl"/>
        </w:rPr>
        <w:t>.</w:t>
      </w:r>
    </w:p>
    <w:p w:rsidR="00517989" w:rsidRDefault="00517989">
      <w:pPr>
        <w:tabs>
          <w:tab w:val="left" w:pos="8647"/>
        </w:tabs>
        <w:spacing w:beforeAutospacing="1" w:afterAutospacing="1"/>
        <w:ind w:left="851" w:right="900"/>
        <w:contextualSpacing/>
        <w:jc w:val="right"/>
        <w:rPr>
          <w:rFonts w:ascii="Palatino Linotype" w:eastAsia="MS Mincho" w:hAnsi="Palatino Linotype" w:cs="Arial"/>
          <w:i/>
          <w:sz w:val="22"/>
          <w:szCs w:val="22"/>
          <w:lang w:val="es-ES_tradnl"/>
        </w:rPr>
      </w:pPr>
    </w:p>
    <w:p w:rsidR="00517989" w:rsidRDefault="00D6127C">
      <w:pPr>
        <w:tabs>
          <w:tab w:val="left" w:pos="8647"/>
        </w:tabs>
        <w:spacing w:beforeAutospacing="1" w:afterAutospacing="1"/>
        <w:ind w:left="851" w:right="900"/>
        <w:contextualSpacing/>
        <w:rPr>
          <w:rFonts w:ascii="Palatino Linotype" w:eastAsia="MS Mincho" w:hAnsi="Palatino Linotype" w:cs="Arial"/>
          <w:b/>
          <w:i/>
          <w:sz w:val="22"/>
          <w:szCs w:val="22"/>
          <w:lang w:val="es-ES_tradnl"/>
        </w:rPr>
      </w:pPr>
      <w:r>
        <w:rPr>
          <w:rFonts w:ascii="Palatino Linotype" w:eastAsia="MS Mincho" w:hAnsi="Palatino Linotype" w:cs="Arial"/>
          <w:b/>
          <w:i/>
          <w:sz w:val="22"/>
          <w:szCs w:val="22"/>
          <w:lang w:val="es-ES_tradnl"/>
        </w:rPr>
        <w:t>CRITERIO 0004-11</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b/>
          <w:i/>
          <w:sz w:val="22"/>
          <w:szCs w:val="22"/>
          <w:lang w:val="es-ES_tradnl"/>
        </w:rPr>
        <w:t>INEXISTENCIA. DECLARATORIA DE LA. ALCANCES Y PROCEDIMIENTOS</w:t>
      </w:r>
      <w:r>
        <w:rPr>
          <w:rFonts w:ascii="Palatino Linotype" w:eastAsia="MS Mincho" w:hAnsi="Palatino Linotype" w:cs="Arial"/>
          <w:i/>
          <w:sz w:val="22"/>
          <w:szCs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Bajo el entendido de que dicha búsqueda exhaustiva permitirá dos determinaciones:</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1ª) Que se localice la documentación que contenga la información solicitada y de ser así la información pueda entregarse al solicitante en la forma en que se encuentra disponible, o</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Precedentes:</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00360/INFOEM/IP/RR/A/2010. Ayuntamiento de Texcoco. Sesión 14 de abril de 2010. Por Unanimidad. Comisionado Federico Guzmán Tamayo.</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00807/INFOEM/IP/RR/A/2010. Poder Legislativo. Sesión 16 de agosto de 2010. Por Unanimidad. Comisionado </w:t>
      </w:r>
      <w:proofErr w:type="spellStart"/>
      <w:r>
        <w:rPr>
          <w:rFonts w:ascii="Palatino Linotype" w:eastAsia="MS Mincho" w:hAnsi="Palatino Linotype" w:cs="Arial"/>
          <w:i/>
          <w:sz w:val="22"/>
          <w:szCs w:val="22"/>
          <w:lang w:val="es-ES_tradnl"/>
        </w:rPr>
        <w:t>Rosendoevgueni</w:t>
      </w:r>
      <w:proofErr w:type="spellEnd"/>
      <w:r>
        <w:rPr>
          <w:rFonts w:ascii="Palatino Linotype" w:eastAsia="MS Mincho" w:hAnsi="Palatino Linotype" w:cs="Arial"/>
          <w:i/>
          <w:sz w:val="22"/>
          <w:szCs w:val="22"/>
          <w:lang w:val="es-ES_tradnl"/>
        </w:rPr>
        <w:t xml:space="preserve"> Monterrey </w:t>
      </w:r>
      <w:proofErr w:type="spellStart"/>
      <w:r>
        <w:rPr>
          <w:rFonts w:ascii="Palatino Linotype" w:eastAsia="MS Mincho" w:hAnsi="Palatino Linotype" w:cs="Arial"/>
          <w:i/>
          <w:sz w:val="22"/>
          <w:szCs w:val="22"/>
          <w:lang w:val="es-ES_tradnl"/>
        </w:rPr>
        <w:t>Chepov</w:t>
      </w:r>
      <w:proofErr w:type="spellEnd"/>
      <w:r>
        <w:rPr>
          <w:rFonts w:ascii="Palatino Linotype" w:eastAsia="MS Mincho" w:hAnsi="Palatino Linotype" w:cs="Arial"/>
          <w:i/>
          <w:sz w:val="22"/>
          <w:szCs w:val="22"/>
          <w:lang w:val="es-ES_tradnl"/>
        </w:rPr>
        <w:t>.</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01410/INFOEM/IP/RR/2010, Ayuntamiento de La Paz. Sesión 1º de diciembre de 2010. Por Unanimidad. Comisionado Federico Guzmán.</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 xml:space="preserve">01010/INFOEM/IP/RR/2011, Junta de Caminos del Estado de México. Sesión 28 de abril de 2011. Por Unanimidad. Comisionado Arcadio A. Sánchez </w:t>
      </w:r>
      <w:proofErr w:type="spellStart"/>
      <w:r>
        <w:rPr>
          <w:rFonts w:ascii="Palatino Linotype" w:eastAsia="MS Mincho" w:hAnsi="Palatino Linotype" w:cs="Arial"/>
          <w:i/>
          <w:sz w:val="22"/>
          <w:szCs w:val="22"/>
          <w:lang w:val="es-ES_tradnl"/>
        </w:rPr>
        <w:t>Henkel</w:t>
      </w:r>
      <w:proofErr w:type="spellEnd"/>
      <w:r>
        <w:rPr>
          <w:rFonts w:ascii="Palatino Linotype" w:eastAsia="MS Mincho" w:hAnsi="Palatino Linotype" w:cs="Arial"/>
          <w:i/>
          <w:sz w:val="22"/>
          <w:szCs w:val="22"/>
          <w:lang w:val="es-ES_tradnl"/>
        </w:rPr>
        <w:t xml:space="preserve"> </w:t>
      </w:r>
      <w:proofErr w:type="spellStart"/>
      <w:r>
        <w:rPr>
          <w:rFonts w:ascii="Palatino Linotype" w:eastAsia="MS Mincho" w:hAnsi="Palatino Linotype" w:cs="Arial"/>
          <w:i/>
          <w:sz w:val="22"/>
          <w:szCs w:val="22"/>
          <w:lang w:val="es-ES_tradnl"/>
        </w:rPr>
        <w:t>Gómeztagle</w:t>
      </w:r>
      <w:proofErr w:type="spellEnd"/>
      <w:r>
        <w:rPr>
          <w:rFonts w:ascii="Palatino Linotype" w:eastAsia="MS Mincho" w:hAnsi="Palatino Linotype" w:cs="Arial"/>
          <w:i/>
          <w:sz w:val="22"/>
          <w:szCs w:val="22"/>
          <w:lang w:val="es-ES_tradnl"/>
        </w:rPr>
        <w:t>.</w:t>
      </w:r>
    </w:p>
    <w:p w:rsidR="00517989" w:rsidRDefault="00D6127C">
      <w:pPr>
        <w:tabs>
          <w:tab w:val="left" w:pos="8647"/>
        </w:tabs>
        <w:spacing w:beforeAutospacing="1" w:afterAutospacing="1"/>
        <w:ind w:left="851" w:right="900"/>
        <w:contextualSpacing/>
        <w:jc w:val="both"/>
        <w:rPr>
          <w:rFonts w:ascii="Palatino Linotype" w:eastAsia="MS Mincho" w:hAnsi="Palatino Linotype" w:cs="Arial"/>
          <w:i/>
          <w:sz w:val="22"/>
          <w:szCs w:val="22"/>
          <w:lang w:val="es-ES_tradnl"/>
        </w:rPr>
      </w:pPr>
      <w:r>
        <w:rPr>
          <w:rFonts w:ascii="Palatino Linotype" w:eastAsia="MS Mincho" w:hAnsi="Palatino Linotype" w:cs="Arial"/>
          <w:i/>
          <w:sz w:val="22"/>
          <w:szCs w:val="22"/>
          <w:lang w:val="es-ES_tradnl"/>
        </w:rPr>
        <w:t>01148/INFOEM/IP/RR/201. Ayuntamiento de Huixquilucan. Sesión 24 de mayo 2011. Por Unanimidad. Comisionado Myrna Araceli García Morón.”</w:t>
      </w:r>
    </w:p>
    <w:p w:rsidR="00517989" w:rsidRDefault="00517989">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lang w:val="es-ES"/>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Así, esta Ponencia </w:t>
      </w:r>
      <w:proofErr w:type="spellStart"/>
      <w:r>
        <w:rPr>
          <w:rFonts w:ascii="Palatino Linotype" w:hAnsi="Palatino Linotype" w:cs="Arial"/>
        </w:rPr>
        <w:t>Resolutora</w:t>
      </w:r>
      <w:proofErr w:type="spellEnd"/>
      <w:r>
        <w:rPr>
          <w:rFonts w:ascii="Palatino Linotype" w:hAnsi="Palatino Linotype" w:cs="Arial"/>
        </w:rPr>
        <w:t xml:space="preserve"> califica de </w:t>
      </w:r>
      <w:r>
        <w:rPr>
          <w:rFonts w:ascii="Palatino Linotype" w:hAnsi="Palatino Linotype" w:cs="Arial"/>
          <w:b/>
        </w:rPr>
        <w:t>fundadas</w:t>
      </w:r>
      <w:r>
        <w:rPr>
          <w:rFonts w:ascii="Palatino Linotype" w:hAnsi="Palatino Linotype" w:cs="Arial"/>
        </w:rPr>
        <w:t xml:space="preserve"> las razones o motivos de inconformidad señalados por el particular en el recurso de revisión </w:t>
      </w:r>
      <w:r>
        <w:rPr>
          <w:rFonts w:ascii="Palatino Linotype" w:hAnsi="Palatino Linotype" w:cs="Arial"/>
          <w:b/>
        </w:rPr>
        <w:t>01730INFOEM/IP/RR/2020</w:t>
      </w:r>
      <w:r>
        <w:rPr>
          <w:rFonts w:ascii="Palatino Linotype" w:hAnsi="Palatino Linotype" w:cs="Arial"/>
        </w:rPr>
        <w:t xml:space="preserve">; toda vez que, </w:t>
      </w:r>
      <w:r>
        <w:rPr>
          <w:rFonts w:ascii="Palatino Linotype" w:hAnsi="Palatino Linotype" w:cs="Arial"/>
          <w:b/>
        </w:rPr>
        <w:t xml:space="preserve">EL SUJETO OBLIGADO </w:t>
      </w:r>
      <w:r>
        <w:rPr>
          <w:rFonts w:ascii="Palatino Linotype" w:hAnsi="Palatino Linotype" w:cs="Arial"/>
        </w:rPr>
        <w:t xml:space="preserve">si emitió un pronunciamiento en relación a la solicitud de información; por lo que, en términos del artículo 186, fracción III, en relación con el 179, fracción V de la Ley de </w:t>
      </w:r>
      <w:r>
        <w:rPr>
          <w:rFonts w:ascii="Palatino Linotype" w:hAnsi="Palatino Linotype"/>
          <w:bCs/>
        </w:rPr>
        <w:t>Transparencia</w:t>
      </w:r>
      <w:r>
        <w:rPr>
          <w:rFonts w:ascii="Palatino Linotype" w:hAnsi="Palatino Linotype" w:cs="Arial"/>
        </w:rPr>
        <w:t xml:space="preserve"> y Acceso a la Información Pública del Estado de México y Municipios, y se determina </w:t>
      </w:r>
      <w:r>
        <w:rPr>
          <w:rFonts w:ascii="Palatino Linotype" w:hAnsi="Palatino Linotype" w:cs="Arial"/>
          <w:b/>
        </w:rPr>
        <w:t xml:space="preserve">Revocar </w:t>
      </w:r>
      <w:r>
        <w:rPr>
          <w:rFonts w:ascii="Palatino Linotype" w:hAnsi="Palatino Linotype" w:cs="Arial"/>
        </w:rPr>
        <w:t xml:space="preserve">la respuesta </w:t>
      </w:r>
      <w:r>
        <w:rPr>
          <w:rFonts w:ascii="Palatino Linotype" w:hAnsi="Palatino Linotype" w:cs="Arial"/>
          <w:b/>
        </w:rPr>
        <w:t xml:space="preserve">00424/CHICOLOAPAN/IP/2020 </w:t>
      </w:r>
      <w:r>
        <w:rPr>
          <w:rFonts w:ascii="Palatino Linotype" w:hAnsi="Palatino Linotype" w:cs="Arial"/>
        </w:rPr>
        <w:t xml:space="preserve">del </w:t>
      </w:r>
      <w:r>
        <w:rPr>
          <w:rFonts w:ascii="Palatino Linotype" w:hAnsi="Palatino Linotype" w:cs="Arial"/>
          <w:b/>
        </w:rPr>
        <w:t>SUJETO OBLIGADO</w:t>
      </w:r>
      <w:r>
        <w:rPr>
          <w:rFonts w:ascii="Palatino Linotype" w:hAnsi="Palatino Linotype" w:cs="Arial"/>
        </w:rPr>
        <w:t xml:space="preserve"> y </w:t>
      </w:r>
      <w:r>
        <w:rPr>
          <w:rFonts w:ascii="Palatino Linotype" w:hAnsi="Palatino Linotype" w:cs="Arial"/>
        </w:rPr>
        <w:lastRenderedPageBreak/>
        <w:t>ordenar la entrega a la hoy</w:t>
      </w:r>
      <w:r>
        <w:rPr>
          <w:rFonts w:ascii="Palatino Linotype" w:hAnsi="Palatino Linotype" w:cs="Arial"/>
          <w:b/>
        </w:rPr>
        <w:t xml:space="preserve"> RECURRENTE</w:t>
      </w:r>
      <w:r>
        <w:rPr>
          <w:rFonts w:ascii="Palatino Linotype" w:hAnsi="Palatino Linotype" w:cs="Arial"/>
        </w:rPr>
        <w:t xml:space="preserve"> de la información que ha quedado precisada.</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lang w:val="es-ES"/>
        </w:rPr>
        <w:t xml:space="preserve">Ahora bien, por lo que respecta al numeral III correspondiente la constancia de estudios universitarios de la Presidenta Municipal, no se advierte obligatoriedad en la ley para que este cuente con título universitario para ocupar el cargo, por lo que mediante  respuesta </w:t>
      </w:r>
      <w:r>
        <w:rPr>
          <w:rFonts w:ascii="Palatino Linotype" w:eastAsia="Calibri" w:hAnsi="Palatino Linotype" w:cs="Arial"/>
        </w:rPr>
        <w:t xml:space="preserve">informaron no contar con las documentales requeridas por el hoy </w:t>
      </w:r>
      <w:r>
        <w:rPr>
          <w:rFonts w:ascii="Palatino Linotype" w:eastAsia="Calibri" w:hAnsi="Palatino Linotype" w:cs="Arial"/>
          <w:b/>
        </w:rPr>
        <w:t>RECURRENTE,</w:t>
      </w:r>
      <w:r>
        <w:rPr>
          <w:rFonts w:ascii="Palatino Linotype" w:eastAsia="Calibri" w:hAnsi="Palatino Linotype" w:cs="Arial"/>
        </w:rPr>
        <w:t xml:space="preserve"> manifestaciones que </w:t>
      </w:r>
      <w:r>
        <w:rPr>
          <w:rFonts w:ascii="Palatino Linotype" w:hAnsi="Palatino Linotype" w:cs="Arial"/>
        </w:rPr>
        <w:t xml:space="preserve">constituyen una expresión en sentido negativo; pues, al haber un pronunciamiento en el que se refirió que la Presidenta Municipal no tiene estudios universitarios se instituye un hecho negativo como ya se refirió en líneas anteriores; por ello, si se considera el hecho negativo, es obvio que éste no puede fácticamente obrar en los archivos del </w:t>
      </w:r>
      <w:r>
        <w:rPr>
          <w:rFonts w:ascii="Palatino Linotype" w:hAnsi="Palatino Linotype" w:cs="Arial"/>
          <w:b/>
        </w:rPr>
        <w:t>SUJETO OBLIGADO</w:t>
      </w:r>
      <w:r>
        <w:rPr>
          <w:rFonts w:ascii="Palatino Linotype" w:hAnsi="Palatino Linotype" w:cs="Arial"/>
        </w:rPr>
        <w:t>, ya que no es objeto de probarse por ser lógica y materialmente imposible.</w:t>
      </w:r>
    </w:p>
    <w:p w:rsidR="00517989" w:rsidRDefault="00517989">
      <w:pPr>
        <w:spacing w:beforeAutospacing="1" w:afterAutospacing="1" w:line="360" w:lineRule="auto"/>
        <w:contextualSpacing/>
        <w:jc w:val="both"/>
        <w:rPr>
          <w:rFonts w:ascii="Palatino Linotype" w:hAnsi="Palatino Linotype" w:cs="Arial"/>
        </w:rPr>
      </w:pPr>
    </w:p>
    <w:p w:rsidR="00517989" w:rsidRDefault="00D6127C">
      <w:pPr>
        <w:spacing w:beforeAutospacing="1" w:afterAutospacing="1" w:line="360" w:lineRule="auto"/>
        <w:contextualSpacing/>
        <w:jc w:val="both"/>
        <w:rPr>
          <w:rFonts w:ascii="Palatino Linotype" w:hAnsi="Palatino Linotype" w:cs="Arial"/>
        </w:rPr>
      </w:pPr>
      <w:r>
        <w:rPr>
          <w:rFonts w:ascii="Palatino Linotype" w:hAnsi="Palatino Linotype" w:cs="Arial"/>
        </w:rPr>
        <w:t>Asimismo, no se trata de un caso por el cual la negación de los hechos implique la afirmación del mismo, simplemente se está ante una notoria y evidente inexistencia fáctica de la información solicitada.</w:t>
      </w:r>
    </w:p>
    <w:p w:rsidR="00517989" w:rsidRDefault="00D6127C">
      <w:pPr>
        <w:spacing w:beforeAutospacing="1" w:afterAutospacing="1" w:line="360" w:lineRule="auto"/>
        <w:contextualSpacing/>
        <w:jc w:val="both"/>
        <w:rPr>
          <w:rFonts w:ascii="Palatino Linotype" w:eastAsia="MS Mincho" w:hAnsi="Palatino Linotype" w:cs="Tahoma"/>
        </w:rPr>
      </w:pPr>
      <w:r>
        <w:rPr>
          <w:rFonts w:ascii="Palatino Linotype" w:hAnsi="Palatino Linotype" w:cs="Arial"/>
        </w:rPr>
        <w:t xml:space="preserve">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w:t>
      </w:r>
      <w:r>
        <w:rPr>
          <w:rFonts w:ascii="Palatino Linotype" w:hAnsi="Palatino Linotype" w:cs="Arial"/>
        </w:rPr>
        <w:lastRenderedPageBreak/>
        <w:t>169 y 170 de la Ley de Transparencia y Acceso a la Información Pública del Estado de México y Municipios, y ante un hecho negativo resulta aplicable la siguiente tesis</w:t>
      </w:r>
      <w:r>
        <w:rPr>
          <w:rFonts w:ascii="Palatino Linotype" w:hAnsi="Palatino Linotype" w:cs="Arial"/>
          <w:color w:val="222222"/>
        </w:rPr>
        <w:t>:</w:t>
      </w:r>
    </w:p>
    <w:p w:rsidR="00517989" w:rsidRDefault="00517989">
      <w:pPr>
        <w:shd w:val="clear" w:color="auto" w:fill="FFFFFF"/>
        <w:spacing w:beforeAutospacing="1" w:afterAutospacing="1"/>
        <w:ind w:left="851"/>
        <w:contextualSpacing/>
        <w:jc w:val="both"/>
        <w:rPr>
          <w:rFonts w:ascii="Palatino Linotype" w:hAnsi="Palatino Linotype" w:cs="Arial"/>
          <w:b/>
          <w:bCs/>
          <w:i/>
          <w:iCs/>
          <w:color w:val="222222"/>
        </w:rPr>
      </w:pPr>
    </w:p>
    <w:p w:rsidR="00517989" w:rsidRDefault="00D6127C">
      <w:pPr>
        <w:shd w:val="clear" w:color="auto" w:fill="FFFFFF"/>
        <w:spacing w:beforeAutospacing="1" w:afterAutospacing="1"/>
        <w:ind w:left="851"/>
        <w:contextualSpacing/>
        <w:jc w:val="both"/>
        <w:rPr>
          <w:rFonts w:ascii="Arial" w:hAnsi="Arial" w:cs="Arial"/>
          <w:color w:val="222222"/>
          <w:sz w:val="19"/>
          <w:szCs w:val="19"/>
        </w:rPr>
      </w:pPr>
      <w:r>
        <w:rPr>
          <w:rFonts w:ascii="Palatino Linotype" w:hAnsi="Palatino Linotype" w:cs="Arial"/>
          <w:b/>
          <w:bCs/>
          <w:i/>
          <w:iCs/>
          <w:color w:val="222222"/>
        </w:rPr>
        <w:t>“HECHOS NEGATIVOS, NO SON SUSCEPTIBLES DE DEMOSTRACION.</w:t>
      </w:r>
    </w:p>
    <w:p w:rsidR="00517989" w:rsidRDefault="00D6127C">
      <w:pPr>
        <w:shd w:val="clear" w:color="auto" w:fill="FFFFFF"/>
        <w:spacing w:beforeAutospacing="1" w:afterAutospacing="1"/>
        <w:ind w:left="851" w:right="899"/>
        <w:contextualSpacing/>
        <w:jc w:val="both"/>
        <w:rPr>
          <w:rFonts w:ascii="Arial" w:hAnsi="Arial" w:cs="Arial"/>
          <w:color w:val="222222"/>
          <w:sz w:val="19"/>
          <w:szCs w:val="19"/>
        </w:rPr>
      </w:pPr>
      <w:r>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517989" w:rsidRDefault="00D6127C">
      <w:pPr>
        <w:shd w:val="clear" w:color="auto" w:fill="FFFFFF"/>
        <w:spacing w:beforeAutospacing="1" w:afterAutospacing="1"/>
        <w:ind w:left="851" w:right="899"/>
        <w:contextualSpacing/>
        <w:jc w:val="both"/>
        <w:rPr>
          <w:rFonts w:ascii="Palatino Linotype" w:hAnsi="Palatino Linotype" w:cs="Arial"/>
          <w:i/>
          <w:iCs/>
          <w:color w:val="222222"/>
        </w:rPr>
      </w:pPr>
      <w:r>
        <w:rPr>
          <w:rFonts w:ascii="Palatino Linotype" w:hAnsi="Palatino Linotype" w:cs="Arial"/>
          <w:i/>
          <w:iCs/>
          <w:color w:val="222222"/>
        </w:rPr>
        <w:t>Amparo en revisión 2022/61. José García Florín (Menor). 9 de octubre de 1961. Cinco votos. Ponente: José Rivera Pérez Campos.”(Sic)</w:t>
      </w:r>
    </w:p>
    <w:p w:rsidR="00517989" w:rsidRDefault="00517989">
      <w:pPr>
        <w:widowControl w:val="0"/>
        <w:tabs>
          <w:tab w:val="left" w:pos="1701"/>
          <w:tab w:val="left" w:pos="1843"/>
        </w:tabs>
        <w:spacing w:beforeAutospacing="1" w:afterAutospacing="1" w:line="360" w:lineRule="auto"/>
        <w:contextualSpacing/>
        <w:jc w:val="both"/>
        <w:rPr>
          <w:rFonts w:ascii="Palatino Linotype" w:hAnsi="Palatino Linotype"/>
          <w:lang w:val="es-ES"/>
        </w:rPr>
      </w:pPr>
    </w:p>
    <w:p w:rsidR="00517989" w:rsidRDefault="00D6127C">
      <w:pPr>
        <w:spacing w:beforeAutospacing="1" w:afterAutospacing="1" w:line="360" w:lineRule="auto"/>
        <w:contextualSpacing/>
        <w:jc w:val="both"/>
        <w:rPr>
          <w:rFonts w:ascii="Palatino Linotype" w:hAnsi="Palatino Linotype"/>
        </w:rPr>
      </w:pPr>
      <w:r>
        <w:rPr>
          <w:rFonts w:ascii="Palatino Linotype" w:hAnsi="Palatino Linotype" w:cs="Arial"/>
        </w:rPr>
        <w:t xml:space="preserve">En consecuencia, se advierte que a través de la respuesta proporcionada a la solicitud de acceso a información </w:t>
      </w:r>
      <w:r>
        <w:rPr>
          <w:rFonts w:ascii="Palatino Linotype" w:hAnsi="Palatino Linotype" w:cs="Arial"/>
          <w:b/>
        </w:rPr>
        <w:t>00422/CHICOLOAPAN/IP/2020</w:t>
      </w:r>
      <w:r>
        <w:rPr>
          <w:rFonts w:ascii="Palatino Linotype" w:hAnsi="Palatino Linotype" w:cs="Arial"/>
        </w:rPr>
        <w:t xml:space="preserve"> por</w:t>
      </w:r>
      <w:r>
        <w:rPr>
          <w:rFonts w:ascii="Palatino Linotype" w:hAnsi="Palatino Linotype" w:cs="Arial"/>
          <w:b/>
        </w:rPr>
        <w:t xml:space="preserve"> 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se colmó el derecho de acceso a la información pública de la solicitante, toda vez que refirió que de conformidad con lo que marca la Ley Orgánica Municipal, no se desprende fuente obligacional con contar en sus archivos o de tener como requisito algún grado académico para ocupar el cargo de referencia; </w:t>
      </w:r>
      <w:r>
        <w:rPr>
          <w:rFonts w:ascii="Palatino Linotype" w:hAnsi="Palatino Linotype"/>
        </w:rPr>
        <w:t xml:space="preserve">por ende, es claro que las razones o motivos de inconformidad hechos valer por </w:t>
      </w:r>
      <w:r>
        <w:rPr>
          <w:rFonts w:ascii="Palatino Linotype" w:hAnsi="Palatino Linotype"/>
          <w:b/>
        </w:rPr>
        <w:t>EL RECURRENTE</w:t>
      </w:r>
      <w:r>
        <w:rPr>
          <w:rFonts w:ascii="Palatino Linotype" w:hAnsi="Palatino Linotype"/>
        </w:rPr>
        <w:t xml:space="preserve"> devienen </w:t>
      </w:r>
      <w:r>
        <w:rPr>
          <w:rFonts w:ascii="Palatino Linotype" w:hAnsi="Palatino Linotype"/>
          <w:b/>
        </w:rPr>
        <w:t>infundados</w:t>
      </w:r>
      <w:r>
        <w:rPr>
          <w:rFonts w:ascii="Palatino Linotype" w:hAnsi="Palatino Linotype"/>
        </w:rPr>
        <w:t xml:space="preserve">; por lo que, lo procedente es </w:t>
      </w:r>
      <w:r>
        <w:rPr>
          <w:rFonts w:ascii="Palatino Linotype" w:hAnsi="Palatino Linotype"/>
          <w:b/>
        </w:rPr>
        <w:t xml:space="preserve">CONFIRMAR </w:t>
      </w:r>
      <w:r>
        <w:rPr>
          <w:rFonts w:ascii="Palatino Linotype" w:hAnsi="Palatino Linotype"/>
        </w:rPr>
        <w:t xml:space="preserve">la respuesta del </w:t>
      </w:r>
      <w:r>
        <w:rPr>
          <w:rFonts w:ascii="Palatino Linotype" w:hAnsi="Palatino Linotype"/>
          <w:b/>
        </w:rPr>
        <w:t>SUJETO OBLIGADO</w:t>
      </w:r>
      <w:r>
        <w:rPr>
          <w:rFonts w:ascii="Palatino Linotype" w:hAnsi="Palatino Linotype"/>
        </w:rPr>
        <w:t>.</w:t>
      </w:r>
    </w:p>
    <w:p w:rsidR="00517989" w:rsidRDefault="00517989">
      <w:pPr>
        <w:spacing w:beforeAutospacing="1" w:afterAutospacing="1" w:line="360" w:lineRule="auto"/>
        <w:contextualSpacing/>
        <w:jc w:val="both"/>
        <w:rPr>
          <w:rFonts w:ascii="Palatino Linotype" w:hAnsi="Palatino Linotype"/>
        </w:rPr>
      </w:pPr>
    </w:p>
    <w:p w:rsidR="00517989" w:rsidRDefault="00D6127C">
      <w:pPr>
        <w:spacing w:beforeAutospacing="1" w:afterAutospacing="1" w:line="360" w:lineRule="auto"/>
        <w:contextualSpacing/>
        <w:jc w:val="both"/>
        <w:rPr>
          <w:rFonts w:ascii="Palatino Linotype" w:hAnsi="Palatino Linotype" w:cs="Arial"/>
          <w:lang w:val="es-ES_tradnl"/>
        </w:rPr>
      </w:pPr>
      <w:r>
        <w:rPr>
          <w:rFonts w:ascii="Palatino Linotype" w:hAnsi="Palatino Linotype"/>
          <w:color w:val="000000"/>
        </w:rPr>
        <w:t xml:space="preserve">Así, en relación a la información de la que se ordena en los párrafos previos, procede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estrictamente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w:t>
      </w:r>
      <w:r>
        <w:rPr>
          <w:rFonts w:ascii="Palatino Linotype" w:hAnsi="Palatino Linotype" w:cs="Arial"/>
          <w:lang w:val="es-ES_tradnl"/>
        </w:rPr>
        <w:lastRenderedPageBreak/>
        <w:t>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17989" w:rsidRDefault="00D6127C">
      <w:pPr>
        <w:spacing w:beforeAutospacing="1" w:afterAutospacing="1"/>
        <w:ind w:left="709" w:right="709"/>
        <w:contextualSpacing/>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517989" w:rsidRDefault="00D6127C">
      <w:pPr>
        <w:spacing w:beforeAutospacing="1" w:afterAutospacing="1"/>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rPr>
        <w:t>Comité</w:t>
      </w:r>
      <w:r>
        <w:rPr>
          <w:rFonts w:ascii="Palatino Linotype" w:hAnsi="Palatino Linotype" w:cs="Arial"/>
          <w:i/>
          <w:sz w:val="22"/>
          <w:szCs w:val="22"/>
          <w:lang w:eastAsia="es-MX"/>
        </w:rPr>
        <w:t xml:space="preserve"> de Transparencia.</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w:t>
      </w:r>
      <w:r>
        <w:rPr>
          <w:rFonts w:ascii="Palatino Linotype" w:hAnsi="Palatino Linotype" w:cs="Arial"/>
          <w:i/>
          <w:sz w:val="22"/>
          <w:szCs w:val="22"/>
          <w:lang w:eastAsia="es-MX"/>
        </w:rPr>
        <w:lastRenderedPageBreak/>
        <w:t xml:space="preserve">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rPr>
        <w:t>de</w:t>
      </w:r>
      <w:r>
        <w:rPr>
          <w:rFonts w:ascii="Palatino Linotype" w:hAnsi="Palatino Linotype" w:cs="Arial"/>
          <w:i/>
          <w:sz w:val="22"/>
          <w:szCs w:val="22"/>
          <w:lang w:eastAsia="es-MX"/>
        </w:rPr>
        <w:t xml:space="preserve"> la prueba de daño y de interés público.</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rPr>
        <w:t>mediante</w:t>
      </w:r>
      <w:r>
        <w:rPr>
          <w:rFonts w:ascii="Palatino Linotype" w:hAnsi="Palatino Linotype" w:cs="Arial"/>
          <w:i/>
          <w:sz w:val="22"/>
          <w:szCs w:val="22"/>
          <w:lang w:eastAsia="es-MX"/>
        </w:rPr>
        <w:t xml:space="preserve"> resolución de autoridad competente, o</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sz w:val="22"/>
        </w:rPr>
        <w:t>expresamente</w:t>
      </w:r>
      <w:r>
        <w:rPr>
          <w:rFonts w:ascii="Palatino Linotype" w:hAnsi="Palatino Linotype" w:cs="Arial"/>
          <w:i/>
          <w:sz w:val="22"/>
          <w:szCs w:val="22"/>
          <w:lang w:eastAsia="es-MX"/>
        </w:rPr>
        <w:t xml:space="preserve"> le otorga el carácter de reservada o confidencial.</w:t>
      </w:r>
    </w:p>
    <w:p w:rsidR="00517989" w:rsidRDefault="00D6127C">
      <w:pPr>
        <w:spacing w:beforeAutospacing="1" w:afterAutospacing="1"/>
        <w:ind w:left="709" w:right="709"/>
        <w:contextualSpacing/>
        <w:jc w:val="both"/>
        <w:rPr>
          <w:rFonts w:ascii="Palatino Linotype" w:hAnsi="Palatino Linotype" w:cs="Arial"/>
          <w:bCs/>
          <w:i/>
          <w:sz w:val="22"/>
        </w:rPr>
      </w:pPr>
      <w:r>
        <w:rPr>
          <w:rFonts w:ascii="Palatino Linotype" w:hAnsi="Palatino Linotype" w:cs="Arial"/>
          <w:i/>
          <w:sz w:val="22"/>
          <w:szCs w:val="22"/>
          <w:lang w:eastAsia="es-MX"/>
        </w:rPr>
        <w:t xml:space="preserve">Para </w:t>
      </w:r>
      <w:r>
        <w:rPr>
          <w:rFonts w:ascii="Palatino Linotype" w:hAnsi="Palatino Linotype" w:cs="Arial"/>
          <w:bCs/>
          <w:i/>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rPr>
        <w:t xml:space="preserve"> a concluir que el caso particular se ajusta al supuesto previsto por la norma legal invocada como fundamento.</w:t>
      </w:r>
    </w:p>
    <w:p w:rsidR="00517989" w:rsidRDefault="00D6127C">
      <w:pPr>
        <w:spacing w:beforeAutospacing="1" w:afterAutospacing="1"/>
        <w:ind w:left="709" w:right="709"/>
        <w:contextualSpacing/>
        <w:jc w:val="both"/>
        <w:rPr>
          <w:rFonts w:ascii="Palatino Linotype" w:hAnsi="Palatino Linotype" w:cs="Arial"/>
          <w:bCs/>
          <w:i/>
          <w:sz w:val="22"/>
        </w:rPr>
      </w:pPr>
      <w:r>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rPr>
        <w:t xml:space="preserve"> </w:t>
      </w:r>
      <w:r>
        <w:rPr>
          <w:rFonts w:ascii="Palatino Linotype" w:hAnsi="Palatino Linotype" w:cs="Arial"/>
          <w:i/>
          <w:sz w:val="22"/>
          <w:szCs w:val="22"/>
          <w:lang w:eastAsia="es-MX"/>
        </w:rPr>
        <w:t>reserva</w:t>
      </w:r>
      <w:r>
        <w:rPr>
          <w:rFonts w:ascii="Palatino Linotype" w:hAnsi="Palatino Linotype" w:cs="Arial"/>
          <w:bCs/>
          <w:i/>
          <w:sz w:val="22"/>
        </w:rPr>
        <w:t>.</w:t>
      </w:r>
    </w:p>
    <w:p w:rsidR="00517989" w:rsidRDefault="00D6127C">
      <w:pPr>
        <w:spacing w:beforeAutospacing="1" w:afterAutospacing="1"/>
        <w:ind w:left="709" w:right="709"/>
        <w:contextualSpacing/>
        <w:jc w:val="both"/>
        <w:rPr>
          <w:rFonts w:ascii="Palatino Linotype" w:hAnsi="Palatino Linotype" w:cs="Arial"/>
          <w:bCs/>
          <w:i/>
          <w:sz w:val="22"/>
        </w:rPr>
      </w:pPr>
      <w:r>
        <w:rPr>
          <w:rFonts w:ascii="Palatino Linotype" w:hAnsi="Palatino Linotype" w:cs="Arial"/>
          <w:i/>
          <w:sz w:val="22"/>
          <w:szCs w:val="22"/>
          <w:lang w:eastAsia="es-MX"/>
        </w:rPr>
        <w:t>Tratándose</w:t>
      </w:r>
      <w:r>
        <w:rPr>
          <w:rFonts w:ascii="Palatino Linotype" w:hAnsi="Palatino Linotype" w:cs="Arial"/>
          <w:bCs/>
          <w:i/>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sz w:val="22"/>
        </w:rPr>
        <w:t xml:space="preserve"> </w:t>
      </w:r>
      <w:r>
        <w:rPr>
          <w:rFonts w:ascii="Palatino Linotype" w:hAnsi="Palatino Linotype" w:cs="Arial"/>
          <w:i/>
          <w:sz w:val="22"/>
          <w:szCs w:val="22"/>
          <w:lang w:eastAsia="es-MX"/>
        </w:rPr>
        <w:t>su</w:t>
      </w:r>
      <w:r>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Cs/>
          <w:i/>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w:t>
      </w:r>
      <w:r>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517989" w:rsidRDefault="00D6127C">
      <w:pPr>
        <w:spacing w:beforeAutospacing="1" w:afterAutospacing="1"/>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517989" w:rsidRDefault="00D6127C">
      <w:pPr>
        <w:spacing w:beforeAutospacing="1" w:afterAutospacing="1"/>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W w:w="7796" w:type="dxa"/>
        <w:tblInd w:w="709" w:type="dxa"/>
        <w:tblLook w:val="04A0" w:firstRow="1" w:lastRow="0" w:firstColumn="1" w:lastColumn="0" w:noHBand="0" w:noVBand="1"/>
      </w:tblPr>
      <w:tblGrid>
        <w:gridCol w:w="1128"/>
        <w:gridCol w:w="1990"/>
        <w:gridCol w:w="4678"/>
      </w:tblGrid>
      <w:tr w:rsidR="00517989">
        <w:tc>
          <w:tcPr>
            <w:tcW w:w="1128" w:type="dxa"/>
            <w:tcBorders>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b/>
                <w:i/>
                <w:sz w:val="22"/>
                <w:szCs w:val="22"/>
              </w:rPr>
            </w:pPr>
            <w:r>
              <w:rPr>
                <w:rFonts w:ascii="Palatino Linotype" w:hAnsi="Palatino Linotype"/>
                <w:b/>
                <w:i/>
                <w:sz w:val="22"/>
                <w:szCs w:val="22"/>
              </w:rPr>
              <w:t>Concepto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b/>
                <w:i/>
                <w:sz w:val="22"/>
                <w:szCs w:val="22"/>
              </w:rPr>
            </w:pPr>
            <w:r>
              <w:rPr>
                <w:rFonts w:ascii="Palatino Linotype" w:hAnsi="Palatino Linotype"/>
                <w:b/>
                <w:i/>
                <w:sz w:val="22"/>
                <w:szCs w:val="22"/>
              </w:rPr>
              <w:t>Dónde:</w:t>
            </w:r>
          </w:p>
        </w:tc>
      </w:tr>
      <w:tr w:rsidR="00517989">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7989" w:rsidRDefault="00D6127C">
            <w:pPr>
              <w:spacing w:beforeAutospacing="1"/>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Fecha de clasificación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Área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área del cual es titular quien clasifica.</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Información reservada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sz w:val="22"/>
                <w:szCs w:val="22"/>
                <w:lang w:eastAsia="es-MX"/>
              </w:rPr>
              <w:t>anotarán</w:t>
            </w:r>
            <w:proofErr w:type="gramEnd"/>
            <w:r>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Periodo de reserva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Ampliación del periodo de reserva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Confidencial</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Rúbrica del titular del área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clasifica.</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Fecha de desclasificación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que se desclasifica el documento.</w:t>
            </w:r>
          </w:p>
        </w:tc>
      </w:tr>
      <w:tr w:rsidR="00517989">
        <w:tc>
          <w:tcPr>
            <w:tcW w:w="1128" w:type="dxa"/>
            <w:vMerge/>
            <w:tcBorders>
              <w:top w:val="single" w:sz="4" w:space="0" w:color="000000"/>
              <w:left w:val="single" w:sz="4" w:space="0" w:color="000000"/>
              <w:bottom w:val="single" w:sz="4" w:space="0" w:color="000000"/>
              <w:right w:val="single" w:sz="4" w:space="0" w:color="000000"/>
            </w:tcBorders>
            <w:shd w:val="clear" w:color="auto" w:fill="auto"/>
          </w:tcPr>
          <w:p w:rsidR="00517989" w:rsidRDefault="00517989">
            <w:pPr>
              <w:spacing w:beforeAutospacing="1"/>
              <w:contextualSpacing/>
              <w:jc w:val="both"/>
              <w:rPr>
                <w:rFonts w:ascii="Palatino Linotype" w:hAnsi="Palatino Linotype" w:cs="Arial"/>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17989" w:rsidRDefault="00D6127C">
            <w:pPr>
              <w:spacing w:beforeAutospacing="1"/>
              <w:contextualSpacing/>
              <w:jc w:val="center"/>
              <w:rPr>
                <w:rFonts w:ascii="Palatino Linotype" w:hAnsi="Palatino Linotype" w:cs="Arial"/>
                <w:i/>
                <w:sz w:val="22"/>
                <w:szCs w:val="22"/>
                <w:lang w:eastAsia="es-MX"/>
              </w:rPr>
            </w:pPr>
            <w:r>
              <w:rPr>
                <w:rFonts w:ascii="Palatino Linotype" w:hAnsi="Palatino Linotype" w:cs="Arial"/>
                <w:i/>
                <w:sz w:val="22"/>
                <w:szCs w:val="22"/>
                <w:lang w:eastAsia="es-MX"/>
              </w:rPr>
              <w:t>Rúbrica y cargo del servidor público</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989" w:rsidRDefault="00D6127C">
            <w:pPr>
              <w:spacing w:beforeAutospacing="1"/>
              <w:contextualSpacing/>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desclasifica.</w:t>
            </w:r>
          </w:p>
        </w:tc>
      </w:tr>
    </w:tbl>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517989" w:rsidRDefault="00D6127C">
      <w:pPr>
        <w:spacing w:beforeAutospacing="1" w:afterAutospacing="1"/>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(Énfasis Añadido)</w:t>
      </w:r>
    </w:p>
    <w:p w:rsidR="00517989" w:rsidRDefault="00D6127C">
      <w:pPr>
        <w:pStyle w:val="Prrafodelista"/>
        <w:widowControl w:val="0"/>
        <w:spacing w:beforeAutospacing="1" w:afterAutospacing="1" w:line="360" w:lineRule="auto"/>
        <w:ind w:left="0"/>
        <w:contextualSpacing/>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Pr>
          <w:rFonts w:ascii="Palatino Linotype" w:hAnsi="Palatino Linotype" w:cs="Aria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17989" w:rsidRDefault="00517989">
      <w:pPr>
        <w:pStyle w:val="Prrafodelista"/>
        <w:widowControl w:val="0"/>
        <w:spacing w:beforeAutospacing="1" w:afterAutospacing="1" w:line="360" w:lineRule="auto"/>
        <w:ind w:left="0"/>
        <w:contextualSpacing/>
        <w:jc w:val="both"/>
        <w:rPr>
          <w:rFonts w:ascii="Palatino Linotype" w:hAnsi="Palatino Linotype" w:cs="Arial"/>
        </w:rPr>
      </w:pPr>
    </w:p>
    <w:p w:rsidR="00517989" w:rsidRDefault="00D6127C">
      <w:pPr>
        <w:pStyle w:val="Prrafodelista"/>
        <w:widowControl w:val="0"/>
        <w:spacing w:beforeAutospacing="1" w:afterAutospacing="1" w:line="360" w:lineRule="auto"/>
        <w:ind w:left="0"/>
        <w:contextualSpacing/>
        <w:jc w:val="both"/>
        <w:rPr>
          <w:rFonts w:ascii="Palatino Linotype" w:hAnsi="Palatino Linotype" w:cs="Arial"/>
        </w:rPr>
      </w:pPr>
      <w:r>
        <w:rPr>
          <w:rFonts w:ascii="Palatino Linotype" w:eastAsia="Calibri" w:hAnsi="Palatino Linotype" w:cs="Arial"/>
          <w:color w:val="000000" w:themeColor="text1"/>
        </w:rPr>
        <w:t xml:space="preserve">Así, con </w:t>
      </w:r>
      <w:r>
        <w:rPr>
          <w:rFonts w:ascii="Palatino Linotype" w:hAnsi="Palatino Linotype" w:cs="Arial"/>
          <w:color w:val="000000" w:themeColor="text1"/>
        </w:rPr>
        <w:t>fundamento</w:t>
      </w:r>
      <w:r>
        <w:rPr>
          <w:rFonts w:ascii="Palatino Linotype" w:eastAsia="Calibri" w:hAnsi="Palatino Linotype" w:cs="Arial"/>
          <w:color w:val="000000" w:themeColor="text1"/>
        </w:rPr>
        <w:t xml:space="preserve"> en lo prescrito en los artículos 5, párrafos </w:t>
      </w:r>
      <w:r>
        <w:rPr>
          <w:rFonts w:ascii="Palatino Linotype" w:hAnsi="Palatino Linotype"/>
          <w:color w:val="000000" w:themeColor="text1"/>
        </w:rPr>
        <w:t xml:space="preserve">vigésimo </w:t>
      </w:r>
      <w:r>
        <w:rPr>
          <w:rFonts w:ascii="Palatino Linotype" w:hAnsi="Palatino Linotype" w:cs="Arial"/>
          <w:color w:val="000000" w:themeColor="text1"/>
        </w:rPr>
        <w:t>segundo,</w:t>
      </w:r>
      <w:r>
        <w:rPr>
          <w:rFonts w:ascii="Palatino Linotype" w:hAnsi="Palatino Linotype"/>
          <w:color w:val="000000" w:themeColor="text1"/>
        </w:rPr>
        <w:t xml:space="preserve"> vigésimo tercero y vigésimo cuarto</w:t>
      </w:r>
      <w:r>
        <w:rPr>
          <w:rFonts w:ascii="Palatino Linotype" w:hAnsi="Palatino Linotype" w:cs="Arial"/>
          <w:color w:val="000000" w:themeColor="text1"/>
        </w:rPr>
        <w:t>,</w:t>
      </w:r>
      <w:r>
        <w:rPr>
          <w:rFonts w:ascii="Palatino Linotype" w:hAnsi="Palatino Linotype"/>
          <w:color w:val="000000" w:themeColor="text1"/>
        </w:rPr>
        <w:t xml:space="preserve"> fracciones IV y V,</w:t>
      </w:r>
      <w:r>
        <w:rPr>
          <w:rFonts w:ascii="Palatino Linotype" w:eastAsia="Calibri" w:hAnsi="Palatino Linotype" w:cs="Arial"/>
          <w:color w:val="000000" w:themeColor="text1"/>
        </w:rPr>
        <w:t xml:space="preserve"> de la Constitución Política del Estado Libre y Soberano de </w:t>
      </w:r>
      <w:r>
        <w:rPr>
          <w:rFonts w:ascii="Palatino Linotype" w:hAnsi="Palatino Linotype" w:cs="Arial"/>
          <w:color w:val="000000" w:themeColor="text1"/>
          <w:lang w:val="es-ES_tradnl"/>
        </w:rPr>
        <w:t>México</w:t>
      </w:r>
      <w:r>
        <w:rPr>
          <w:rFonts w:ascii="Palatino Linotype" w:eastAsia="Calibri" w:hAnsi="Palatino Linotype" w:cs="Arial"/>
          <w:color w:val="000000" w:themeColor="text1"/>
        </w:rPr>
        <w:t xml:space="preserve">, y los artículos </w:t>
      </w:r>
      <w:r>
        <w:rPr>
          <w:rFonts w:ascii="Palatino Linotype" w:hAnsi="Palatino Linotype"/>
          <w:color w:val="000000" w:themeColor="text1"/>
        </w:rPr>
        <w:t xml:space="preserve">2, </w:t>
      </w:r>
      <w:r>
        <w:rPr>
          <w:rFonts w:ascii="Palatino Linotype" w:hAnsi="Palatino Linotype" w:cs="Arial"/>
          <w:color w:val="000000" w:themeColor="text1"/>
        </w:rPr>
        <w:t>fracción</w:t>
      </w:r>
      <w:r>
        <w:rPr>
          <w:rFonts w:ascii="Palatino Linotype" w:hAnsi="Palatino Linotype"/>
          <w:color w:val="000000" w:themeColor="text1"/>
        </w:rPr>
        <w:t xml:space="preserve"> II, 9, </w:t>
      </w:r>
      <w:r>
        <w:rPr>
          <w:rFonts w:ascii="Palatino Linotype" w:hAnsi="Palatino Linotype" w:cs="Arial"/>
          <w:color w:val="000000" w:themeColor="text1"/>
          <w:lang w:val="es-ES_tradnl"/>
        </w:rPr>
        <w:t>29</w:t>
      </w:r>
      <w:r>
        <w:rPr>
          <w:rFonts w:ascii="Palatino Linotype" w:hAnsi="Palatino Linotype"/>
          <w:color w:val="000000" w:themeColor="text1"/>
        </w:rPr>
        <w:t>, 36, fracciones I y II, 176, 178, 179, 181, 185, fracción I, 186 y 188,</w:t>
      </w:r>
      <w:r>
        <w:rPr>
          <w:rFonts w:ascii="Palatino Linotype" w:eastAsia="Calibri" w:hAnsi="Palatino Linotype" w:cs="Arial"/>
          <w:color w:val="000000" w:themeColor="text1"/>
        </w:rPr>
        <w:t xml:space="preserve"> de la Ley de Transparencia y Acceso a la Información Pública del Estado de México y </w:t>
      </w:r>
      <w:r>
        <w:rPr>
          <w:rFonts w:ascii="Palatino Linotype" w:hAnsi="Palatino Linotype" w:cs="Arial"/>
          <w:color w:val="000000" w:themeColor="text1"/>
        </w:rPr>
        <w:t>Municipios</w:t>
      </w:r>
      <w:r>
        <w:rPr>
          <w:rFonts w:ascii="Palatino Linotype" w:eastAsia="Calibri" w:hAnsi="Palatino Linotype" w:cs="Arial"/>
          <w:color w:val="000000" w:themeColor="text1"/>
        </w:rPr>
        <w:t xml:space="preserve">, </w:t>
      </w:r>
      <w:r>
        <w:rPr>
          <w:rFonts w:ascii="Palatino Linotype" w:hAnsi="Palatino Linotype"/>
          <w:color w:val="000000" w:themeColor="text1"/>
        </w:rPr>
        <w:t>este</w:t>
      </w:r>
      <w:r>
        <w:rPr>
          <w:rFonts w:ascii="Palatino Linotype" w:eastAsia="Calibri" w:hAnsi="Palatino Linotype" w:cs="Arial"/>
          <w:color w:val="000000" w:themeColor="text1"/>
        </w:rPr>
        <w:t xml:space="preserve"> Pleno:</w:t>
      </w:r>
    </w:p>
    <w:p w:rsidR="00517989" w:rsidRDefault="00517989">
      <w:pPr>
        <w:spacing w:beforeAutospacing="1" w:afterAutospacing="1"/>
        <w:contextualSpacing/>
        <w:jc w:val="center"/>
        <w:rPr>
          <w:rFonts w:ascii="Palatino Linotype" w:hAnsi="Palatino Linotype"/>
          <w:b/>
          <w:bCs/>
          <w:color w:val="000000" w:themeColor="text1"/>
          <w:spacing w:val="40"/>
          <w:sz w:val="28"/>
        </w:rPr>
      </w:pPr>
    </w:p>
    <w:p w:rsidR="00517989" w:rsidRDefault="00D6127C">
      <w:pPr>
        <w:spacing w:beforeAutospacing="1" w:afterAutospacing="1"/>
        <w:contextualSpacing/>
        <w:jc w:val="center"/>
        <w:rPr>
          <w:rFonts w:ascii="Palatino Linotype" w:hAnsi="Palatino Linotype"/>
          <w:b/>
          <w:bCs/>
          <w:color w:val="000000" w:themeColor="text1"/>
          <w:spacing w:val="40"/>
          <w:sz w:val="28"/>
        </w:rPr>
      </w:pPr>
      <w:r>
        <w:rPr>
          <w:rFonts w:ascii="Palatino Linotype" w:hAnsi="Palatino Linotype"/>
          <w:b/>
          <w:bCs/>
          <w:color w:val="000000" w:themeColor="text1"/>
          <w:spacing w:val="40"/>
          <w:sz w:val="28"/>
        </w:rPr>
        <w:t>RESUELVE</w:t>
      </w:r>
    </w:p>
    <w:p w:rsidR="00517989" w:rsidRDefault="00517989">
      <w:pPr>
        <w:spacing w:beforeAutospacing="1" w:afterAutospacing="1"/>
        <w:contextualSpacing/>
        <w:jc w:val="center"/>
        <w:rPr>
          <w:rFonts w:ascii="Palatino Linotype" w:hAnsi="Palatino Linotype"/>
          <w:b/>
          <w:bCs/>
          <w:color w:val="000000" w:themeColor="text1"/>
          <w:spacing w:val="40"/>
          <w:sz w:val="28"/>
        </w:rPr>
      </w:pPr>
    </w:p>
    <w:p w:rsidR="00517989" w:rsidRDefault="00D6127C">
      <w:pPr>
        <w:spacing w:beforeAutospacing="1" w:afterAutospacing="1" w:line="360" w:lineRule="auto"/>
        <w:contextualSpacing/>
        <w:jc w:val="both"/>
        <w:rPr>
          <w:rFonts w:ascii="Palatino Linotype" w:hAnsi="Palatino Linotype" w:cs="Arial"/>
          <w:color w:val="000000" w:themeColor="text1"/>
          <w:lang w:val="es-ES"/>
        </w:rPr>
      </w:pPr>
      <w:r>
        <w:rPr>
          <w:rFonts w:ascii="Palatino Linotype" w:hAnsi="Palatino Linotype" w:cs="Arial"/>
          <w:b/>
          <w:color w:val="000000" w:themeColor="text1"/>
          <w:sz w:val="28"/>
          <w:szCs w:val="28"/>
          <w:lang w:val="es-ES"/>
        </w:rPr>
        <w:t>PRIMERO</w:t>
      </w:r>
      <w:r>
        <w:rPr>
          <w:rFonts w:ascii="Palatino Linotype" w:hAnsi="Palatino Linotype" w:cs="Arial"/>
          <w:color w:val="000000" w:themeColor="text1"/>
          <w:sz w:val="28"/>
          <w:szCs w:val="28"/>
          <w:lang w:val="es-ES"/>
        </w:rPr>
        <w:t>.</w:t>
      </w:r>
      <w:r>
        <w:rPr>
          <w:rFonts w:ascii="Palatino Linotype" w:hAnsi="Palatino Linotype" w:cs="Arial"/>
          <w:color w:val="000000" w:themeColor="text1"/>
          <w:lang w:val="es-ES"/>
        </w:rPr>
        <w:t xml:space="preserve"> </w:t>
      </w:r>
      <w:r>
        <w:rPr>
          <w:rFonts w:ascii="Palatino Linotype" w:hAnsi="Palatino Linotype" w:cs="Arial"/>
        </w:rPr>
        <w:t xml:space="preserve">Resultan </w:t>
      </w:r>
      <w:r>
        <w:rPr>
          <w:rFonts w:ascii="Palatino Linotype" w:hAnsi="Palatino Linotype" w:cs="Arial"/>
          <w:b/>
        </w:rPr>
        <w:t>infundadas</w:t>
      </w:r>
      <w:r>
        <w:rPr>
          <w:rFonts w:ascii="Palatino Linotype" w:hAnsi="Palatino Linotype" w:cs="Arial"/>
        </w:rPr>
        <w:t xml:space="preserve"> las razones o motivos de inconformidad planteadas por </w:t>
      </w:r>
      <w:r>
        <w:rPr>
          <w:rFonts w:ascii="Palatino Linotype" w:hAnsi="Palatino Linotype" w:cs="Arial"/>
          <w:b/>
        </w:rPr>
        <w:t>EL RECURRENTE</w:t>
      </w:r>
      <w:r>
        <w:rPr>
          <w:rFonts w:ascii="Palatino Linotype" w:hAnsi="Palatino Linotype" w:cs="Arial"/>
        </w:rPr>
        <w:t xml:space="preserve">, en el recurso de revisión </w:t>
      </w:r>
      <w:r>
        <w:rPr>
          <w:rFonts w:ascii="Palatino Linotype" w:hAnsi="Palatino Linotype" w:cs="Arial"/>
          <w:b/>
        </w:rPr>
        <w:t xml:space="preserve">01731/INFOEM/IP/RR/2020; </w:t>
      </w:r>
      <w:r>
        <w:rPr>
          <w:rFonts w:ascii="Palatino Linotype" w:eastAsia="Calibri" w:hAnsi="Palatino Linotype" w:cs="Arial"/>
        </w:rPr>
        <w:t xml:space="preserve">por lo que se </w:t>
      </w:r>
      <w:r>
        <w:rPr>
          <w:rFonts w:ascii="Palatino Linotype" w:eastAsia="Calibri" w:hAnsi="Palatino Linotype" w:cs="Arial"/>
          <w:b/>
        </w:rPr>
        <w:t xml:space="preserve">CONFIRMA </w:t>
      </w:r>
      <w:r>
        <w:rPr>
          <w:rFonts w:ascii="Palatino Linotype" w:eastAsia="Calibri" w:hAnsi="Palatino Linotype" w:cs="Arial"/>
        </w:rPr>
        <w:t xml:space="preserve">la respuesta del </w:t>
      </w:r>
      <w:r>
        <w:rPr>
          <w:rFonts w:ascii="Palatino Linotype" w:eastAsia="Calibri" w:hAnsi="Palatino Linotype" w:cs="Arial"/>
          <w:b/>
        </w:rPr>
        <w:t xml:space="preserve">SUJETO OBLIGADO </w:t>
      </w:r>
      <w:r>
        <w:rPr>
          <w:rFonts w:ascii="Palatino Linotype" w:eastAsia="Calibri" w:hAnsi="Palatino Linotype" w:cs="Arial"/>
        </w:rPr>
        <w:t xml:space="preserve">otorgada a la solicitud de información número </w:t>
      </w:r>
      <w:r>
        <w:rPr>
          <w:rFonts w:ascii="Palatino Linotype" w:eastAsia="Calibri" w:hAnsi="Palatino Linotype" w:cs="Arial"/>
          <w:b/>
        </w:rPr>
        <w:t xml:space="preserve">00422/CALIMAYA/IP/2020, </w:t>
      </w:r>
      <w:r>
        <w:rPr>
          <w:rFonts w:ascii="Palatino Linotype" w:eastAsia="Calibri" w:hAnsi="Palatino Linotype" w:cs="Arial"/>
        </w:rPr>
        <w:t>en t</w:t>
      </w:r>
      <w:r>
        <w:rPr>
          <w:rFonts w:ascii="Palatino Linotype" w:hAnsi="Palatino Linotype" w:cs="Arial"/>
        </w:rPr>
        <w:t xml:space="preserve">érminos del Considerando </w:t>
      </w:r>
      <w:r>
        <w:rPr>
          <w:rFonts w:ascii="Palatino Linotype" w:hAnsi="Palatino Linotype" w:cs="Arial"/>
          <w:b/>
        </w:rPr>
        <w:t>SEXTO</w:t>
      </w:r>
      <w:r>
        <w:rPr>
          <w:rFonts w:ascii="Palatino Linotype" w:hAnsi="Palatino Linotype" w:cs="Arial"/>
        </w:rPr>
        <w:t xml:space="preserve"> de esta Resolución.</w:t>
      </w:r>
    </w:p>
    <w:p w:rsidR="00517989" w:rsidRDefault="00517989">
      <w:pPr>
        <w:spacing w:beforeAutospacing="1" w:afterAutospacing="1" w:line="360" w:lineRule="auto"/>
        <w:contextualSpacing/>
        <w:jc w:val="both"/>
        <w:rPr>
          <w:rFonts w:ascii="Palatino Linotype" w:hAnsi="Palatino Linotype" w:cs="Arial"/>
          <w:color w:val="000000" w:themeColor="text1"/>
          <w:lang w:val="es-ES"/>
        </w:rPr>
      </w:pPr>
    </w:p>
    <w:p w:rsidR="00517989" w:rsidRDefault="00517989">
      <w:pPr>
        <w:spacing w:beforeAutospacing="1" w:afterAutospacing="1" w:line="360" w:lineRule="auto"/>
        <w:contextualSpacing/>
        <w:jc w:val="both"/>
        <w:rPr>
          <w:rFonts w:ascii="Palatino Linotype" w:hAnsi="Palatino Linotype" w:cs="Arial"/>
          <w:color w:val="000000" w:themeColor="text1"/>
          <w:lang w:val="es-ES"/>
        </w:rPr>
      </w:pPr>
    </w:p>
    <w:p w:rsidR="00517989" w:rsidRDefault="00D6127C">
      <w:pPr>
        <w:spacing w:beforeAutospacing="1" w:afterAutospacing="1" w:line="360" w:lineRule="auto"/>
        <w:contextualSpacing/>
        <w:jc w:val="both"/>
        <w:rPr>
          <w:rFonts w:ascii="Palatino Linotype" w:hAnsi="Palatino Linotype"/>
          <w:highlight w:val="white"/>
        </w:rPr>
      </w:pPr>
      <w:r>
        <w:rPr>
          <w:rFonts w:ascii="Palatino Linotype" w:hAnsi="Palatino Linotype" w:cs="Arial"/>
          <w:b/>
          <w:color w:val="000000" w:themeColor="text1"/>
          <w:sz w:val="28"/>
          <w:szCs w:val="28"/>
          <w:lang w:val="es-ES"/>
        </w:rPr>
        <w:t xml:space="preserve">SEGUNDO. </w:t>
      </w:r>
      <w:r>
        <w:rPr>
          <w:rFonts w:ascii="Palatino Linotype" w:eastAsia="Calibri" w:hAnsi="Palatino Linotype" w:cs="Arial"/>
          <w:color w:val="000000" w:themeColor="text1"/>
        </w:rPr>
        <w:t xml:space="preserve">Se </w:t>
      </w:r>
      <w:r>
        <w:rPr>
          <w:rFonts w:ascii="Palatino Linotype" w:eastAsia="Calibri" w:hAnsi="Palatino Linotype" w:cs="Arial"/>
          <w:b/>
          <w:color w:val="000000" w:themeColor="text1"/>
        </w:rPr>
        <w:t xml:space="preserve">REVOCAN </w:t>
      </w:r>
      <w:r>
        <w:rPr>
          <w:rFonts w:ascii="Palatino Linotype" w:eastAsia="Calibri" w:hAnsi="Palatino Linotype" w:cs="Arial"/>
          <w:color w:val="000000" w:themeColor="text1"/>
        </w:rPr>
        <w:t xml:space="preserve">las respuestas proporcionadas por </w:t>
      </w:r>
      <w:r>
        <w:rPr>
          <w:rFonts w:ascii="Palatino Linotype" w:eastAsia="Calibri" w:hAnsi="Palatino Linotype" w:cs="Arial"/>
          <w:b/>
          <w:color w:val="000000" w:themeColor="text1"/>
        </w:rPr>
        <w:t xml:space="preserve">EL SUJETO OBLIGADO, </w:t>
      </w:r>
      <w:r>
        <w:rPr>
          <w:rFonts w:ascii="Palatino Linotype" w:eastAsia="Calibri" w:hAnsi="Palatino Linotype" w:cs="Arial"/>
          <w:color w:val="000000" w:themeColor="text1"/>
        </w:rPr>
        <w:t>al resultar fundadas las razones o motivos de inconformidad</w:t>
      </w:r>
      <w:r>
        <w:rPr>
          <w:rFonts w:ascii="Palatino Linotype" w:eastAsia="Calibri" w:hAnsi="Palatino Linotype" w:cs="Arial"/>
          <w:b/>
          <w:color w:val="000000" w:themeColor="text1"/>
        </w:rPr>
        <w:t xml:space="preserve"> </w:t>
      </w:r>
      <w:r>
        <w:rPr>
          <w:rFonts w:ascii="Palatino Linotype" w:eastAsia="Calibri" w:hAnsi="Palatino Linotype" w:cs="Arial"/>
          <w:color w:val="000000" w:themeColor="text1"/>
        </w:rPr>
        <w:t xml:space="preserve">y se </w:t>
      </w:r>
      <w:r>
        <w:rPr>
          <w:rFonts w:ascii="Palatino Linotype" w:eastAsia="Calibri" w:hAnsi="Palatino Linotype" w:cs="Arial"/>
          <w:b/>
          <w:color w:val="000000" w:themeColor="text1"/>
        </w:rPr>
        <w:t xml:space="preserve">ordena </w:t>
      </w:r>
      <w:r>
        <w:rPr>
          <w:rFonts w:ascii="Palatino Linotype" w:eastAsia="Calibri" w:hAnsi="Palatino Linotype" w:cs="Arial"/>
          <w:color w:val="000000" w:themeColor="text1"/>
        </w:rPr>
        <w:t xml:space="preserve">atienda las solicitudes de información </w:t>
      </w:r>
      <w:r>
        <w:rPr>
          <w:rFonts w:ascii="Palatino Linotype" w:hAnsi="Palatino Linotype" w:cs="Arial"/>
          <w:b/>
        </w:rPr>
        <w:t xml:space="preserve">00427/CHICOLOA/IP/2020 </w:t>
      </w:r>
      <w:r>
        <w:rPr>
          <w:rFonts w:ascii="Palatino Linotype" w:hAnsi="Palatino Linotype" w:cs="Arial"/>
        </w:rPr>
        <w:t xml:space="preserve">y </w:t>
      </w:r>
      <w:r>
        <w:rPr>
          <w:rFonts w:ascii="Palatino Linotype" w:hAnsi="Palatino Linotype" w:cs="Arial"/>
          <w:b/>
        </w:rPr>
        <w:t>00424/CHICOLOA/IP/2020</w:t>
      </w:r>
      <w:r>
        <w:rPr>
          <w:rFonts w:ascii="Palatino Linotype" w:hAnsi="Palatino Linotype" w:cs="Arial"/>
          <w:color w:val="000000" w:themeColor="text1"/>
        </w:rPr>
        <w:t xml:space="preserve">, en términos del Considerando </w:t>
      </w:r>
      <w:r>
        <w:rPr>
          <w:rFonts w:ascii="Palatino Linotype" w:hAnsi="Palatino Linotype" w:cs="Arial"/>
          <w:b/>
          <w:color w:val="000000" w:themeColor="text1"/>
        </w:rPr>
        <w:t>SEXTO</w:t>
      </w:r>
      <w:r>
        <w:rPr>
          <w:rFonts w:ascii="Palatino Linotype" w:hAnsi="Palatino Linotype" w:cs="Arial"/>
          <w:color w:val="000000" w:themeColor="text1"/>
        </w:rPr>
        <w:t xml:space="preserve"> </w:t>
      </w:r>
      <w:r>
        <w:rPr>
          <w:rFonts w:ascii="Palatino Linotype" w:hAnsi="Palatino Linotype" w:cs="Arial"/>
          <w:color w:val="000000" w:themeColor="text1"/>
          <w:lang w:val="es-ES"/>
        </w:rPr>
        <w:t xml:space="preserve">de la presente </w:t>
      </w:r>
      <w:r>
        <w:rPr>
          <w:rFonts w:ascii="Palatino Linotype" w:hAnsi="Palatino Linotype" w:cs="Arial"/>
          <w:color w:val="000000" w:themeColor="text1"/>
          <w:lang w:val="es-ES"/>
        </w:rPr>
        <w:lastRenderedPageBreak/>
        <w:t xml:space="preserve">resolución, </w:t>
      </w:r>
      <w:r>
        <w:rPr>
          <w:rFonts w:ascii="Palatino Linotype" w:hAnsi="Palatino Linotype" w:cs="Arial"/>
          <w:lang w:val="es-ES"/>
        </w:rPr>
        <w:t xml:space="preserve">y haga entrega al </w:t>
      </w:r>
      <w:r>
        <w:rPr>
          <w:rFonts w:ascii="Palatino Linotype" w:hAnsi="Palatino Linotype" w:cs="Arial"/>
          <w:b/>
          <w:lang w:val="es-ES"/>
        </w:rPr>
        <w:t>RECURRENTE</w:t>
      </w:r>
      <w:r>
        <w:rPr>
          <w:rFonts w:ascii="Palatino Linotype" w:hAnsi="Palatino Linotype" w:cs="Arial"/>
          <w:lang w:val="es-ES"/>
        </w:rPr>
        <w:t xml:space="preserve">, vía </w:t>
      </w:r>
      <w:r>
        <w:rPr>
          <w:rFonts w:ascii="Palatino Linotype" w:hAnsi="Palatino Linotype" w:cs="Arial"/>
          <w:b/>
          <w:lang w:val="es-ES"/>
        </w:rPr>
        <w:t>SAIMEX</w:t>
      </w:r>
      <w:r>
        <w:rPr>
          <w:rFonts w:ascii="Palatino Linotype" w:hAnsi="Palatino Linotype" w:cs="Arial"/>
          <w:lang w:val="es-ES"/>
        </w:rPr>
        <w:t xml:space="preserve">, previa </w:t>
      </w:r>
      <w:r>
        <w:rPr>
          <w:rFonts w:ascii="Palatino Linotype" w:hAnsi="Palatino Linotype" w:cs="Arial"/>
          <w:b/>
          <w:lang w:val="es-ES"/>
        </w:rPr>
        <w:t xml:space="preserve">búsqueda exhaustiva y razonable, </w:t>
      </w:r>
      <w:r>
        <w:rPr>
          <w:rFonts w:ascii="Palatino Linotype" w:hAnsi="Palatino Linotype" w:cs="Arial"/>
          <w:lang w:val="es-ES"/>
        </w:rPr>
        <w:t>de ser procedente</w:t>
      </w:r>
      <w:r>
        <w:rPr>
          <w:rFonts w:ascii="Palatino Linotype" w:hAnsi="Palatino Linotype" w:cs="Arial"/>
          <w:b/>
          <w:lang w:val="es-ES"/>
        </w:rPr>
        <w:t xml:space="preserve"> </w:t>
      </w:r>
      <w:r>
        <w:rPr>
          <w:rFonts w:ascii="Palatino Linotype" w:hAnsi="Palatino Linotype" w:cs="Arial"/>
          <w:lang w:val="es-ES"/>
        </w:rPr>
        <w:t>en</w:t>
      </w:r>
      <w:r>
        <w:rPr>
          <w:rFonts w:ascii="Palatino Linotype" w:hAnsi="Palatino Linotype" w:cs="Arial"/>
          <w:b/>
          <w:lang w:val="es-ES"/>
        </w:rPr>
        <w:t xml:space="preserve"> versión pública, </w:t>
      </w:r>
      <w:r>
        <w:rPr>
          <w:rFonts w:ascii="Palatino Linotype" w:hAnsi="Palatino Linotype" w:cs="Arial"/>
          <w:lang w:val="es-ES"/>
        </w:rPr>
        <w:t>de</w:t>
      </w:r>
      <w:r>
        <w:rPr>
          <w:rFonts w:ascii="Palatino Linotype" w:hAnsi="Palatino Linotype" w:cs="Arial"/>
          <w:b/>
          <w:lang w:val="es-ES"/>
        </w:rPr>
        <w:t xml:space="preserve"> </w:t>
      </w:r>
      <w:r>
        <w:rPr>
          <w:rFonts w:ascii="Palatino Linotype" w:hAnsi="Palatino Linotype" w:cs="Arial"/>
          <w:lang w:val="es-ES"/>
        </w:rPr>
        <w:t>lo siguiente:</w:t>
      </w:r>
    </w:p>
    <w:p w:rsidR="00517989" w:rsidRDefault="00517989">
      <w:pPr>
        <w:spacing w:beforeAutospacing="1" w:afterAutospacing="1" w:line="276" w:lineRule="auto"/>
        <w:contextualSpacing/>
        <w:jc w:val="both"/>
        <w:rPr>
          <w:rFonts w:ascii="Palatino Linotype" w:hAnsi="Palatino Linotype" w:cs="Arial"/>
          <w:color w:val="000000" w:themeColor="text1"/>
          <w:lang w:val="es-ES"/>
        </w:rPr>
      </w:pPr>
    </w:p>
    <w:p w:rsidR="00517989" w:rsidRDefault="00D6127C">
      <w:pPr>
        <w:spacing w:beforeAutospacing="1" w:afterAutospacing="1"/>
        <w:ind w:left="851" w:right="898" w:hanging="142"/>
        <w:contextualSpacing/>
        <w:jc w:val="both"/>
        <w:rPr>
          <w:rFonts w:ascii="Palatino Linotype" w:hAnsi="Palatino Linotype" w:cs="Bookman Old Style"/>
          <w:bCs/>
          <w:i/>
          <w:color w:val="000000" w:themeColor="text1"/>
          <w:sz w:val="22"/>
          <w:szCs w:val="22"/>
        </w:rPr>
      </w:pPr>
      <w:r>
        <w:rPr>
          <w:rFonts w:ascii="Palatino Linotype" w:hAnsi="Palatino Linotype" w:cs="Bookman Old Style"/>
          <w:bCs/>
          <w:i/>
          <w:color w:val="000000" w:themeColor="text1"/>
          <w:sz w:val="22"/>
          <w:szCs w:val="22"/>
        </w:rPr>
        <w:t xml:space="preserve">“a) El título y/o cédula profesional </w:t>
      </w:r>
      <w:r>
        <w:rPr>
          <w:rFonts w:ascii="Palatino Linotype" w:hAnsi="Palatino Linotype" w:cs="Arial"/>
          <w:i/>
          <w:sz w:val="22"/>
          <w:szCs w:val="22"/>
          <w:lang w:val="es-ES"/>
        </w:rPr>
        <w:t xml:space="preserve">del Coordinador de Planeación para el Desarrollo y del Director de la Unidad de Información, Planeación, Programación y Evaluación adscritos al 12 de marzo de 2020; y, </w:t>
      </w:r>
    </w:p>
    <w:p w:rsidR="00517989" w:rsidRDefault="00D6127C">
      <w:pPr>
        <w:spacing w:beforeAutospacing="1" w:afterAutospacing="1"/>
        <w:ind w:left="851" w:right="898"/>
        <w:contextualSpacing/>
        <w:jc w:val="both"/>
        <w:rPr>
          <w:rFonts w:ascii="Palatino Linotype" w:hAnsi="Palatino Linotype" w:cs="Bookman Old Style"/>
          <w:bCs/>
          <w:i/>
          <w:color w:val="000000" w:themeColor="text1"/>
          <w:sz w:val="22"/>
          <w:szCs w:val="22"/>
        </w:rPr>
      </w:pPr>
      <w:r>
        <w:rPr>
          <w:rFonts w:ascii="Palatino Linotype" w:hAnsi="Palatino Linotype" w:cs="Bookman Old Style"/>
          <w:bCs/>
          <w:i/>
          <w:color w:val="000000" w:themeColor="text1"/>
          <w:sz w:val="22"/>
          <w:szCs w:val="22"/>
        </w:rPr>
        <w:t xml:space="preserve">b) El título y/o cédula profesional del Secretario del Ayuntamiento </w:t>
      </w:r>
      <w:r>
        <w:rPr>
          <w:rFonts w:ascii="Palatino Linotype" w:hAnsi="Palatino Linotype" w:cs="Arial"/>
          <w:i/>
          <w:sz w:val="22"/>
          <w:szCs w:val="22"/>
          <w:lang w:val="es-ES"/>
        </w:rPr>
        <w:t xml:space="preserve">adscrito al 12 de marzo de 2020. </w:t>
      </w:r>
    </w:p>
    <w:p w:rsidR="00517989" w:rsidRDefault="00517989">
      <w:pPr>
        <w:spacing w:beforeAutospacing="1" w:afterAutospacing="1"/>
        <w:ind w:left="851" w:right="898"/>
        <w:contextualSpacing/>
        <w:jc w:val="both"/>
        <w:rPr>
          <w:rFonts w:ascii="Palatino Linotype" w:eastAsia="Arial Unicode MS" w:hAnsi="Palatino Linotype" w:cs="Arial"/>
          <w:i/>
          <w:sz w:val="22"/>
          <w:szCs w:val="22"/>
        </w:rPr>
      </w:pPr>
    </w:p>
    <w:p w:rsidR="00517989" w:rsidRDefault="00D6127C">
      <w:pPr>
        <w:spacing w:beforeAutospacing="1" w:afterAutospacing="1"/>
        <w:ind w:left="851" w:right="898"/>
        <w:contextualSpacing/>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 xml:space="preserve">Debiendo notificar al </w:t>
      </w:r>
      <w:r>
        <w:rPr>
          <w:rFonts w:ascii="Palatino Linotype" w:eastAsia="Arial Unicode MS" w:hAnsi="Palatino Linotype" w:cs="Arial"/>
          <w:b/>
          <w:i/>
          <w:sz w:val="22"/>
          <w:szCs w:val="22"/>
        </w:rPr>
        <w:t>RECURRENTE</w:t>
      </w:r>
      <w:r>
        <w:rPr>
          <w:rFonts w:ascii="Palatino Linotype" w:eastAsia="Arial Unicode MS" w:hAnsi="Palatino Linotype" w:cs="Arial"/>
          <w:i/>
          <w:sz w:val="22"/>
          <w:szCs w:val="22"/>
        </w:rPr>
        <w:t xml:space="preserve"> el Acuerdo de Clasificación de la información que apruebe su Comité de Transparencia con motivo de la versión pública.</w:t>
      </w:r>
    </w:p>
    <w:p w:rsidR="00517989" w:rsidRDefault="00517989">
      <w:pPr>
        <w:spacing w:beforeAutospacing="1" w:afterAutospacing="1"/>
        <w:ind w:left="851" w:right="898"/>
        <w:contextualSpacing/>
        <w:jc w:val="both"/>
        <w:rPr>
          <w:rFonts w:ascii="Palatino Linotype" w:hAnsi="Palatino Linotype"/>
          <w:i/>
          <w:sz w:val="22"/>
          <w:szCs w:val="22"/>
        </w:rPr>
      </w:pPr>
    </w:p>
    <w:p w:rsidR="00517989" w:rsidRDefault="00D6127C">
      <w:pPr>
        <w:spacing w:beforeAutospacing="1" w:afterAutospacing="1"/>
        <w:ind w:left="851" w:right="898"/>
        <w:contextualSpacing/>
        <w:jc w:val="both"/>
        <w:rPr>
          <w:rFonts w:ascii="Palatino Linotype" w:hAnsi="Palatino Linotype" w:cs="Bookman Old Style"/>
          <w:bCs/>
          <w:i/>
          <w:color w:val="000000" w:themeColor="text1"/>
          <w:sz w:val="22"/>
          <w:szCs w:val="22"/>
        </w:rPr>
      </w:pPr>
      <w:r>
        <w:rPr>
          <w:rFonts w:ascii="Palatino Linotype" w:hAnsi="Palatino Linotype"/>
          <w:i/>
          <w:sz w:val="22"/>
          <w:szCs w:val="22"/>
        </w:rPr>
        <w:t>En caso que derivado de la búsqueda exhaustiva no localiza la información que se ordena en el inciso a) bastará con hacerlo del conocimiento del particular de manera fundada y motivada; y para el caso de que no se cuente con la información solicita en el inciso b),</w:t>
      </w:r>
      <w:r>
        <w:rPr>
          <w:rFonts w:ascii="Palatino Linotype" w:hAnsi="Palatino Linotype" w:cs="Bookman Old Style"/>
          <w:bCs/>
          <w:i/>
          <w:color w:val="000000" w:themeColor="text1"/>
          <w:sz w:val="22"/>
          <w:szCs w:val="22"/>
        </w:rPr>
        <w:t xml:space="preserve"> </w:t>
      </w:r>
      <w:r>
        <w:rPr>
          <w:rFonts w:ascii="Palatino Linotype" w:hAnsi="Palatino Linotype" w:cs="Bookman Old Style"/>
          <w:b/>
          <w:bCs/>
          <w:i/>
          <w:color w:val="000000" w:themeColor="text1"/>
          <w:sz w:val="22"/>
          <w:szCs w:val="22"/>
        </w:rPr>
        <w:t>EL SUJETO OBLIGADO</w:t>
      </w:r>
      <w:r>
        <w:rPr>
          <w:rFonts w:ascii="Palatino Linotype" w:hAnsi="Palatino Linotype" w:cs="Bookman Old Style"/>
          <w:bCs/>
          <w:i/>
          <w:color w:val="000000" w:themeColor="text1"/>
          <w:sz w:val="22"/>
          <w:szCs w:val="22"/>
        </w:rPr>
        <w:t xml:space="preserve"> deberá emitir el Acuerdo de Inexistencia en términos de los artículos 49, fracciones II y XIII, 169 y 170 de la Ley de Transparencia y Acceso a la Información Pública del Estado de México y Municipios.”</w:t>
      </w:r>
    </w:p>
    <w:p w:rsidR="00517989" w:rsidRDefault="00517989">
      <w:pPr>
        <w:spacing w:beforeAutospacing="1" w:afterAutospacing="1" w:line="276" w:lineRule="auto"/>
        <w:ind w:right="899"/>
        <w:contextualSpacing/>
        <w:jc w:val="both"/>
        <w:rPr>
          <w:rFonts w:ascii="Palatino Linotype" w:eastAsia="Arial Unicode MS" w:hAnsi="Palatino Linotype" w:cs="Arial"/>
          <w:i/>
          <w:color w:val="000000" w:themeColor="text1"/>
          <w:sz w:val="22"/>
          <w:szCs w:val="22"/>
        </w:rPr>
      </w:pPr>
    </w:p>
    <w:p w:rsidR="00517989" w:rsidRDefault="00D6127C">
      <w:pPr>
        <w:spacing w:beforeAutospacing="1" w:afterAutospacing="1" w:line="360" w:lineRule="auto"/>
        <w:contextualSpacing/>
        <w:jc w:val="both"/>
        <w:rPr>
          <w:rFonts w:ascii="Palatino Linotype" w:hAnsi="Palatino Linotype"/>
          <w:color w:val="000000" w:themeColor="text1"/>
          <w:highlight w:val="white"/>
        </w:rPr>
      </w:pPr>
      <w:r>
        <w:rPr>
          <w:rFonts w:ascii="Palatino Linotype" w:hAnsi="Palatino Linotype"/>
          <w:b/>
          <w:color w:val="000000" w:themeColor="text1"/>
          <w:sz w:val="28"/>
          <w:szCs w:val="28"/>
          <w:shd w:val="clear" w:color="auto" w:fill="FFFFFF"/>
        </w:rPr>
        <w:t>TERCERO.</w:t>
      </w:r>
      <w:r>
        <w:rPr>
          <w:rFonts w:ascii="Palatino Linotype" w:hAnsi="Palatino Linotype"/>
          <w:b/>
          <w:color w:val="000000" w:themeColor="text1"/>
          <w:shd w:val="clear" w:color="auto" w:fill="FFFFFF"/>
        </w:rPr>
        <w:t> </w:t>
      </w:r>
      <w:r>
        <w:rPr>
          <w:rFonts w:ascii="Palatino Linotype" w:hAnsi="Palatino Linotype"/>
          <w:b/>
          <w:color w:val="000000" w:themeColor="text1"/>
          <w:lang w:eastAsia="es-ES_tradnl"/>
        </w:rPr>
        <w:t>Notifíquese</w:t>
      </w:r>
      <w:r>
        <w:rPr>
          <w:rFonts w:ascii="Palatino Linotype" w:hAnsi="Palatino Linotype"/>
          <w:color w:val="000000" w:themeColor="text1"/>
          <w:lang w:eastAsia="es-ES_tradnl"/>
        </w:rPr>
        <w:t xml:space="preserve"> </w:t>
      </w:r>
      <w:r>
        <w:rPr>
          <w:rFonts w:ascii="Palatino Linotype" w:hAnsi="Palatino Linotype"/>
          <w:color w:val="000000" w:themeColor="text1"/>
          <w:shd w:val="clear" w:color="auto" w:fill="FFFFFF"/>
        </w:rPr>
        <w:t>al Titular de la Unidad de Transparencia del</w:t>
      </w:r>
      <w:r>
        <w:rPr>
          <w:rFonts w:ascii="Palatino Linotype" w:hAnsi="Palatino Linotype"/>
          <w:b/>
          <w:color w:val="000000" w:themeColor="text1"/>
          <w:shd w:val="clear" w:color="auto" w:fill="FFFFFF"/>
        </w:rPr>
        <w:t> SUJETO OBLIGADO</w:t>
      </w:r>
      <w:r>
        <w:rPr>
          <w:rFonts w:ascii="Palatino Linotype" w:hAnsi="Palatino Linotype"/>
          <w:color w:val="000000" w:themeColor="text1"/>
          <w:shd w:val="clear" w:color="auto" w:fill="FFFFFF"/>
        </w:rPr>
        <w:t xml:space="preserve">, para que conforme a los artículos 186, último párrafo y 189, párrafo segundo de la Ley de </w:t>
      </w:r>
      <w:r>
        <w:rPr>
          <w:rFonts w:ascii="Palatino Linotype" w:hAnsi="Palatino Linotype" w:cs="Arial"/>
          <w:color w:val="000000" w:themeColor="text1"/>
        </w:rPr>
        <w:t>Transparencia</w:t>
      </w:r>
      <w:r>
        <w:rPr>
          <w:rFonts w:ascii="Palatino Linotype" w:hAnsi="Palatino Linotype"/>
          <w:color w:val="000000" w:themeColor="text1"/>
          <w:shd w:val="clear" w:color="auto" w:fill="FFFFFF"/>
        </w:rPr>
        <w:t xml:space="preserve"> y Acceso a la Información Pública del Estado de México y Municipios, dé </w:t>
      </w:r>
      <w:r>
        <w:rPr>
          <w:rFonts w:ascii="Palatino Linotype" w:hAnsi="Palatino Linotype" w:cs="Arial"/>
          <w:color w:val="000000" w:themeColor="text1"/>
        </w:rPr>
        <w:t>cumplimiento</w:t>
      </w:r>
      <w:r>
        <w:rPr>
          <w:rFonts w:ascii="Palatino Linotype" w:hAnsi="Palatino Linotype"/>
          <w:color w:val="000000" w:themeColor="text1"/>
          <w:shd w:val="clear" w:color="auto" w:fill="FFFFFF"/>
        </w:rPr>
        <w:t xml:space="preserve"> a lo ordenado dentro del plazo de diez días hábiles, debiendo </w:t>
      </w:r>
      <w:r>
        <w:rPr>
          <w:rFonts w:ascii="Palatino Linotype" w:hAnsi="Palatino Linotype" w:cs="Arial"/>
          <w:color w:val="000000" w:themeColor="text1"/>
        </w:rPr>
        <w:t>informar</w:t>
      </w:r>
      <w:r>
        <w:rPr>
          <w:rFonts w:ascii="Palatino Linotype" w:hAnsi="Palatino Linotype"/>
          <w:color w:val="000000" w:themeColor="text1"/>
          <w:shd w:val="clear" w:color="auto" w:fill="FFFFFF"/>
        </w:rPr>
        <w:t xml:space="preserve"> a este Instituto en un plazo </w:t>
      </w:r>
      <w:r>
        <w:rPr>
          <w:rFonts w:ascii="Palatino Linotype" w:hAnsi="Palatino Linotype"/>
          <w:color w:val="000000" w:themeColor="text1"/>
          <w:lang w:eastAsia="es-ES_tradnl"/>
        </w:rPr>
        <w:t>de</w:t>
      </w:r>
      <w:r>
        <w:rPr>
          <w:rFonts w:ascii="Palatino Linotype" w:hAnsi="Palatino Linotype"/>
          <w:color w:val="000000" w:themeColor="text1"/>
          <w:shd w:val="clear" w:color="auto" w:fill="FFFFFF"/>
        </w:rPr>
        <w:t xml:space="preserve"> tres días hábiles siguientes sobre el cumplimiento dado a la presente resolución.</w:t>
      </w:r>
    </w:p>
    <w:p w:rsidR="00517989" w:rsidRDefault="00517989">
      <w:pPr>
        <w:spacing w:beforeAutospacing="1" w:afterAutospacing="1" w:line="360" w:lineRule="auto"/>
        <w:ind w:right="49"/>
        <w:contextualSpacing/>
        <w:jc w:val="both"/>
        <w:rPr>
          <w:rFonts w:ascii="Palatino Linotype" w:hAnsi="Palatino Linotype"/>
          <w:b/>
          <w:color w:val="000000" w:themeColor="text1"/>
          <w:highlight w:val="white"/>
        </w:rPr>
      </w:pPr>
    </w:p>
    <w:p w:rsidR="00517989" w:rsidRDefault="00D6127C">
      <w:pPr>
        <w:spacing w:beforeAutospacing="1" w:afterAutospacing="1" w:line="360" w:lineRule="auto"/>
        <w:ind w:right="49"/>
        <w:contextualSpacing/>
        <w:jc w:val="both"/>
        <w:rPr>
          <w:rFonts w:ascii="Palatino Linotype" w:hAnsi="Palatino Linotype"/>
          <w:color w:val="000000" w:themeColor="text1"/>
          <w:highlight w:val="white"/>
          <w:lang w:eastAsia="es-MX"/>
        </w:rPr>
      </w:pPr>
      <w:r>
        <w:rPr>
          <w:rFonts w:ascii="Palatino Linotype" w:hAnsi="Palatino Linotype" w:cs="Arial"/>
          <w:b/>
          <w:bCs/>
          <w:color w:val="000000" w:themeColor="text1"/>
          <w:sz w:val="28"/>
          <w:lang w:eastAsia="es-MX"/>
        </w:rPr>
        <w:t xml:space="preserve">CUARTO. </w:t>
      </w:r>
      <w:r>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Pr>
          <w:rFonts w:ascii="Palatino Linotype" w:hAnsi="Palatino Linotype"/>
          <w:b/>
          <w:color w:val="000000" w:themeColor="text1"/>
          <w:shd w:val="clear" w:color="auto" w:fill="FFFFFF"/>
          <w:lang w:eastAsia="es-MX"/>
        </w:rPr>
        <w:t>SUJETO OBLIGADO</w:t>
      </w:r>
      <w:r>
        <w:rPr>
          <w:rFonts w:ascii="Palatino Linotype" w:hAnsi="Palatino Linotype"/>
          <w:color w:val="000000" w:themeColor="text1"/>
          <w:shd w:val="clear" w:color="auto" w:fill="FFFFFF"/>
          <w:lang w:eastAsia="es-MX"/>
        </w:rPr>
        <w:t xml:space="preserve"> que, en caso de negarse a cumplir la presente resolución o hacerlo de </w:t>
      </w:r>
      <w:r>
        <w:rPr>
          <w:rFonts w:ascii="Palatino Linotype" w:hAnsi="Palatino Linotype"/>
          <w:color w:val="000000" w:themeColor="text1"/>
          <w:shd w:val="clear" w:color="auto" w:fill="FFFFFF"/>
          <w:lang w:eastAsia="es-MX"/>
        </w:rPr>
        <w:lastRenderedPageBreak/>
        <w:t>manera parcial se actuará de conformidad con lo previsto en los artículos 213, 214, 216 y 217 de dicha Ley.</w:t>
      </w:r>
    </w:p>
    <w:p w:rsidR="00517989" w:rsidRDefault="00517989">
      <w:pPr>
        <w:spacing w:beforeAutospacing="1" w:afterAutospacing="1" w:line="360" w:lineRule="auto"/>
        <w:ind w:right="49"/>
        <w:contextualSpacing/>
        <w:jc w:val="both"/>
        <w:rPr>
          <w:rFonts w:ascii="Palatino Linotype" w:hAnsi="Palatino Linotype"/>
          <w:color w:val="000000" w:themeColor="text1"/>
          <w:highlight w:val="white"/>
          <w:lang w:eastAsia="es-MX"/>
        </w:rPr>
      </w:pPr>
    </w:p>
    <w:p w:rsidR="00517989" w:rsidRDefault="00D6127C">
      <w:pPr>
        <w:spacing w:beforeAutospacing="1" w:afterAutospacing="1" w:line="360" w:lineRule="auto"/>
        <w:ind w:right="49"/>
        <w:contextualSpacing/>
        <w:jc w:val="both"/>
        <w:rPr>
          <w:rFonts w:ascii="Palatino Linotype" w:hAnsi="Palatino Linotype"/>
          <w:b/>
          <w:color w:val="000000" w:themeColor="text1"/>
          <w:szCs w:val="17"/>
          <w:lang w:eastAsia="es-ES_tradnl"/>
        </w:rPr>
      </w:pPr>
      <w:r>
        <w:rPr>
          <w:rFonts w:ascii="Palatino Linotype" w:hAnsi="Palatino Linotype" w:cs="Arial"/>
          <w:b/>
          <w:bCs/>
          <w:color w:val="000000" w:themeColor="text1"/>
          <w:sz w:val="28"/>
          <w:lang w:eastAsia="es-MX"/>
        </w:rPr>
        <w:t>QUINTO.</w:t>
      </w:r>
      <w:r>
        <w:rPr>
          <w:rFonts w:ascii="Palatino Linotype" w:hAnsi="Palatino Linotype"/>
          <w:color w:val="000000" w:themeColor="text1"/>
          <w:szCs w:val="17"/>
          <w:lang w:eastAsia="es-ES_tradnl"/>
        </w:rPr>
        <w:t xml:space="preserve"> </w:t>
      </w:r>
      <w:r>
        <w:rPr>
          <w:rFonts w:ascii="Palatino Linotype" w:hAnsi="Palatino Linotype"/>
          <w:b/>
          <w:color w:val="000000" w:themeColor="text1"/>
          <w:szCs w:val="17"/>
          <w:lang w:eastAsia="es-ES_tradnl"/>
        </w:rPr>
        <w:t>Notifíquese</w:t>
      </w:r>
      <w:r>
        <w:rPr>
          <w:rFonts w:ascii="Palatino Linotype" w:hAnsi="Palatino Linotype"/>
          <w:color w:val="000000" w:themeColor="text1"/>
          <w:szCs w:val="17"/>
          <w:lang w:eastAsia="es-ES_tradnl"/>
        </w:rPr>
        <w:t xml:space="preserve"> al </w:t>
      </w:r>
      <w:r>
        <w:rPr>
          <w:rFonts w:ascii="Palatino Linotype" w:hAnsi="Palatino Linotype"/>
          <w:b/>
          <w:color w:val="000000" w:themeColor="text1"/>
          <w:szCs w:val="17"/>
          <w:lang w:eastAsia="es-ES_tradnl"/>
        </w:rPr>
        <w:t>RECURRENTE</w:t>
      </w:r>
      <w:r>
        <w:rPr>
          <w:rFonts w:ascii="Palatino Linotype" w:hAnsi="Palatino Linotype"/>
          <w:color w:val="000000" w:themeColor="text1"/>
          <w:szCs w:val="17"/>
          <w:lang w:eastAsia="es-ES_tradnl"/>
        </w:rPr>
        <w:t xml:space="preserve"> la presente resolución</w:t>
      </w:r>
      <w:r>
        <w:rPr>
          <w:rFonts w:ascii="Palatino Linotype" w:hAnsi="Palatino Linotype" w:cs="Arial"/>
          <w:color w:val="000000" w:themeColor="text1"/>
        </w:rPr>
        <w:t>.</w:t>
      </w:r>
    </w:p>
    <w:p w:rsidR="00517989" w:rsidRDefault="00517989">
      <w:pPr>
        <w:widowControl w:val="0"/>
        <w:spacing w:beforeAutospacing="1" w:afterAutospacing="1" w:line="360" w:lineRule="auto"/>
        <w:contextualSpacing/>
        <w:jc w:val="both"/>
        <w:rPr>
          <w:rFonts w:ascii="Palatino Linotype" w:eastAsiaTheme="minorEastAsia" w:hAnsi="Palatino Linotype"/>
          <w:color w:val="000000" w:themeColor="text1"/>
          <w:szCs w:val="17"/>
          <w:lang w:eastAsia="es-ES_tradnl"/>
        </w:rPr>
      </w:pPr>
    </w:p>
    <w:p w:rsidR="00517989" w:rsidRDefault="00D6127C">
      <w:pPr>
        <w:spacing w:beforeAutospacing="1" w:afterAutospacing="1" w:line="360" w:lineRule="auto"/>
        <w:ind w:right="49"/>
        <w:contextualSpacing/>
        <w:jc w:val="both"/>
        <w:rPr>
          <w:rFonts w:ascii="Palatino Linotype" w:hAnsi="Palatino Linotype"/>
          <w:color w:val="000000" w:themeColor="text1"/>
          <w:szCs w:val="17"/>
          <w:lang w:eastAsia="es-ES_tradnl"/>
        </w:rPr>
      </w:pPr>
      <w:r>
        <w:rPr>
          <w:rFonts w:ascii="Palatino Linotype" w:hAnsi="Palatino Linotype" w:cs="Arial"/>
          <w:b/>
          <w:bCs/>
          <w:color w:val="000000" w:themeColor="text1"/>
          <w:sz w:val="28"/>
          <w:lang w:eastAsia="es-MX"/>
        </w:rPr>
        <w:t>SEXTO.</w:t>
      </w:r>
      <w:r>
        <w:rPr>
          <w:rFonts w:ascii="Palatino Linotype" w:hAnsi="Palatino Linotype"/>
          <w:color w:val="000000" w:themeColor="text1"/>
          <w:szCs w:val="17"/>
          <w:lang w:eastAsia="es-ES_tradnl"/>
        </w:rPr>
        <w:t xml:space="preserve"> </w:t>
      </w:r>
      <w:r>
        <w:rPr>
          <w:rFonts w:ascii="Palatino Linotype" w:hAnsi="Palatino Linotype"/>
          <w:b/>
          <w:color w:val="000000" w:themeColor="text1"/>
          <w:szCs w:val="17"/>
          <w:lang w:eastAsia="es-ES_tradnl"/>
        </w:rPr>
        <w:t>Hágase del conocimiento</w:t>
      </w:r>
      <w:r>
        <w:rPr>
          <w:rFonts w:ascii="Palatino Linotype" w:hAnsi="Palatino Linotype"/>
          <w:color w:val="000000" w:themeColor="text1"/>
          <w:szCs w:val="17"/>
          <w:lang w:eastAsia="es-ES_tradnl"/>
        </w:rPr>
        <w:t xml:space="preserve"> al </w:t>
      </w:r>
      <w:r>
        <w:rPr>
          <w:rFonts w:ascii="Palatino Linotype" w:hAnsi="Palatino Linotype"/>
          <w:b/>
          <w:color w:val="000000" w:themeColor="text1"/>
          <w:szCs w:val="17"/>
          <w:lang w:eastAsia="es-ES_tradnl"/>
        </w:rPr>
        <w:t>RECURRENTE</w:t>
      </w:r>
      <w:r>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17989" w:rsidRDefault="00517989">
      <w:pPr>
        <w:spacing w:beforeAutospacing="1" w:afterAutospacing="1" w:line="360" w:lineRule="auto"/>
        <w:ind w:right="49"/>
        <w:contextualSpacing/>
        <w:jc w:val="both"/>
        <w:rPr>
          <w:rFonts w:ascii="Palatino Linotype" w:hAnsi="Palatino Linotype"/>
          <w:color w:val="000000" w:themeColor="text1"/>
          <w:szCs w:val="17"/>
          <w:lang w:eastAsia="es-ES_tradnl"/>
        </w:rPr>
      </w:pPr>
    </w:p>
    <w:p w:rsidR="00517989" w:rsidRDefault="00D6127C">
      <w:pPr>
        <w:widowControl w:val="0"/>
        <w:tabs>
          <w:tab w:val="left" w:pos="1701"/>
        </w:tabs>
        <w:spacing w:before="240" w:after="240" w:line="360" w:lineRule="auto"/>
        <w:ind w:right="49"/>
        <w:jc w:val="both"/>
        <w:rPr>
          <w:rFonts w:ascii="Palatino Linotype" w:hAnsi="Palatino Linotype"/>
          <w:color w:val="222222"/>
          <w:szCs w:val="17"/>
          <w:lang w:eastAsia="es-ES_tradnl"/>
        </w:rPr>
      </w:pPr>
      <w:r>
        <w:rPr>
          <w:rFonts w:ascii="Palatino Linotype" w:hAnsi="Palatino Linotype"/>
          <w:b/>
          <w:color w:val="000000" w:themeColor="text1"/>
          <w:sz w:val="28"/>
          <w:szCs w:val="28"/>
          <w:lang w:eastAsia="es-ES_tradnl"/>
        </w:rPr>
        <w:t>SÉPTIMO</w:t>
      </w:r>
      <w:r>
        <w:rPr>
          <w:rFonts w:ascii="Palatino Linotype" w:hAnsi="Palatino Linotype"/>
          <w:color w:val="000000" w:themeColor="text1"/>
          <w:szCs w:val="17"/>
          <w:lang w:eastAsia="es-ES_tradnl"/>
        </w:rPr>
        <w:t xml:space="preserve">. </w:t>
      </w:r>
      <w:r>
        <w:rPr>
          <w:rFonts w:ascii="Palatino Linotype" w:hAnsi="Palatino Linotype"/>
          <w:b/>
          <w:color w:val="222222"/>
          <w:szCs w:val="17"/>
          <w:lang w:eastAsia="es-ES_tradnl"/>
        </w:rPr>
        <w:t xml:space="preserve">Gírese oficio </w:t>
      </w:r>
      <w:r>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Pr>
          <w:rFonts w:ascii="Palatino Linotype" w:eastAsia="Calibri" w:hAnsi="Palatino Linotype"/>
          <w:lang w:eastAsia="es-ES_tradnl"/>
        </w:rPr>
        <w:t>, así como al Titular de la Dirección de Protección de Datos Personales en atención al artículo 82, fracción XXVII de la Ley de Protección de Datos Personales del Estado de México y Municipios,</w:t>
      </w:r>
      <w:r>
        <w:rPr>
          <w:rFonts w:ascii="Palatino Linotype" w:hAnsi="Palatino Linotype"/>
          <w:color w:val="222222"/>
          <w:szCs w:val="17"/>
          <w:lang w:eastAsia="es-ES_tradnl"/>
        </w:rPr>
        <w:t xml:space="preserve"> a fin de que determine lo conducente en términos del Considerando </w:t>
      </w:r>
      <w:r>
        <w:rPr>
          <w:rFonts w:ascii="Palatino Linotype" w:hAnsi="Palatino Linotype"/>
          <w:b/>
          <w:color w:val="222222"/>
          <w:szCs w:val="17"/>
          <w:lang w:eastAsia="es-ES_tradnl"/>
        </w:rPr>
        <w:t xml:space="preserve">SEXTO </w:t>
      </w:r>
      <w:r>
        <w:rPr>
          <w:rFonts w:ascii="Palatino Linotype" w:hAnsi="Palatino Linotype"/>
          <w:color w:val="222222"/>
          <w:szCs w:val="17"/>
          <w:lang w:eastAsia="es-ES_tradnl"/>
        </w:rPr>
        <w:t>de la presente resolución.</w:t>
      </w:r>
    </w:p>
    <w:p w:rsidR="00517989" w:rsidRDefault="00D6127C">
      <w:pPr>
        <w:spacing w:beforeAutospacing="1" w:afterAutospacing="1" w:line="360" w:lineRule="auto"/>
        <w:contextualSpacing/>
        <w:jc w:val="both"/>
        <w:rPr>
          <w:rFonts w:ascii="Palatino Linotype" w:hAnsi="Palatino Linotype" w:cs="Arial"/>
          <w:color w:val="000000" w:themeColor="text1"/>
          <w:lang w:val="es-ES"/>
        </w:rPr>
      </w:pPr>
      <w:r>
        <w:rPr>
          <w:rFonts w:ascii="Palatino Linotype" w:hAnsi="Palatino Linotype" w:cs="Arial"/>
          <w:color w:val="000000" w:themeColor="text1"/>
          <w:lang w:val="es-ES"/>
        </w:rPr>
        <w:t>ASÍ LO RESUELVE, POR UNANIMIDAD DE VOTOS EL PLENO DEL</w:t>
      </w:r>
      <w:r>
        <w:rPr>
          <w:rFonts w:ascii="Palatino Linotype" w:eastAsia="Arial Unicode MS" w:hAnsi="Palatino Linotype" w:cs="Arial"/>
          <w:color w:val="000000" w:themeColor="text1"/>
          <w:lang w:val="es-ES"/>
        </w:rPr>
        <w:t xml:space="preserve"> INSTITUTO DE </w:t>
      </w:r>
      <w:r>
        <w:rPr>
          <w:rFonts w:ascii="Palatino Linotype" w:hAnsi="Palatino Linotype"/>
          <w:color w:val="000000" w:themeColor="text1"/>
          <w:lang w:val="es-ES" w:eastAsia="en-US"/>
        </w:rPr>
        <w:t>TRANSPARENCIA</w:t>
      </w:r>
      <w:r>
        <w:rPr>
          <w:rFonts w:ascii="Palatino Linotype" w:eastAsia="Arial Unicode MS" w:hAnsi="Palatino Linotype" w:cs="Arial"/>
          <w:color w:val="000000" w:themeColor="text1"/>
          <w:lang w:val="es-ES"/>
        </w:rPr>
        <w:t>, ACCESO A LA INFORMACIÓN PÚBLICA Y PROTECCIÓN DE DATOS PERSONALES DEL ESTADO DE MÉXICO Y MUNICIPIOS</w:t>
      </w:r>
      <w:r>
        <w:rPr>
          <w:rFonts w:ascii="Palatino Linotype" w:hAnsi="Palatino Linotype" w:cs="Arial"/>
          <w:color w:val="000000" w:themeColor="text1"/>
          <w:lang w:val="es-ES"/>
        </w:rPr>
        <w:t xml:space="preserve">, CONFORMADO POR LOS COMISIONADOS ZULEMA MARTÍNEZ SÁNCHEZ; EVA ABAID YAPUR; JOSÉ GUADALUPE LUNA HERNÁNDEZ, JAVIER MARTÍNEZ CRUZ EMITIENDO VOTO PARTICULAR Y LUIS GUSTAVO PARRA </w:t>
      </w:r>
      <w:r>
        <w:rPr>
          <w:rFonts w:ascii="Palatino Linotype" w:hAnsi="Palatino Linotype" w:cs="Arial"/>
          <w:color w:val="000000" w:themeColor="text1"/>
          <w:lang w:val="es-ES"/>
        </w:rPr>
        <w:lastRenderedPageBreak/>
        <w:t xml:space="preserve">NORIEGA; EN LA DÉCIMA QUINTA SESIÓN ORDINARIA CELEBRADA EL VEINTISÉIS DE AGOSTO DE DOS MIL VEINTE, ANTE EL SECRETARIO TÉCNICO DEL PLENO, </w:t>
      </w:r>
      <w:r>
        <w:rPr>
          <w:rFonts w:ascii="Palatino Linotype" w:eastAsia="Arial Unicode MS" w:hAnsi="Palatino Linotype" w:cs="Arial"/>
          <w:color w:val="000000" w:themeColor="text1"/>
          <w:lang w:val="es-ES"/>
        </w:rPr>
        <w:t>ALEXIS</w:t>
      </w:r>
      <w:r>
        <w:rPr>
          <w:rFonts w:ascii="Palatino Linotype" w:hAnsi="Palatino Linotype" w:cs="Arial"/>
          <w:color w:val="000000" w:themeColor="text1"/>
          <w:lang w:val="es-ES"/>
        </w:rPr>
        <w:t xml:space="preserve"> TAPIA RAMÍREZ.</w:t>
      </w:r>
    </w:p>
    <w:tbl>
      <w:tblPr>
        <w:tblW w:w="10368" w:type="dxa"/>
        <w:jc w:val="center"/>
        <w:tblLook w:val="04A0" w:firstRow="1" w:lastRow="0" w:firstColumn="1" w:lastColumn="0" w:noHBand="0" w:noVBand="1"/>
      </w:tblPr>
      <w:tblGrid>
        <w:gridCol w:w="10581"/>
      </w:tblGrid>
      <w:tr w:rsidR="00517989">
        <w:trPr>
          <w:jc w:val="center"/>
        </w:trPr>
        <w:tc>
          <w:tcPr>
            <w:tcW w:w="10368" w:type="dxa"/>
          </w:tcPr>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ook w:val="04A0" w:firstRow="1" w:lastRow="0" w:firstColumn="1" w:lastColumn="0" w:noHBand="0" w:noVBand="1"/>
            </w:tblPr>
            <w:tblGrid>
              <w:gridCol w:w="5182"/>
              <w:gridCol w:w="5183"/>
            </w:tblGrid>
            <w:tr w:rsidR="00517989">
              <w:trPr>
                <w:jc w:val="center"/>
              </w:trPr>
              <w:tc>
                <w:tcPr>
                  <w:tcW w:w="10364" w:type="dxa"/>
                  <w:gridSpan w:val="2"/>
                  <w:shd w:val="clear" w:color="auto" w:fill="auto"/>
                </w:tcPr>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Zulema Martínez Sánchez</w:t>
                  </w: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color w:val="000000" w:themeColor="text1"/>
                      <w:lang w:val="es-ES_tradnl"/>
                    </w:rPr>
                    <w:t>Comisionada Presidenta</w:t>
                  </w:r>
                </w:p>
                <w:p w:rsidR="00517989" w:rsidRDefault="00D6127C">
                  <w:pPr>
                    <w:spacing w:before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 xml:space="preserve">(RÚBRICA) </w:t>
                  </w:r>
                </w:p>
              </w:tc>
            </w:tr>
            <w:tr w:rsidR="00517989">
              <w:trPr>
                <w:jc w:val="center"/>
              </w:trPr>
              <w:tc>
                <w:tcPr>
                  <w:tcW w:w="5182" w:type="dxa"/>
                  <w:shd w:val="clear" w:color="auto" w:fill="auto"/>
                </w:tcPr>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 xml:space="preserve">Eva </w:t>
                  </w:r>
                  <w:proofErr w:type="spellStart"/>
                  <w:r>
                    <w:rPr>
                      <w:rFonts w:ascii="Palatino Linotype" w:eastAsiaTheme="minorEastAsia" w:hAnsi="Palatino Linotype" w:cs="Arial"/>
                      <w:b/>
                      <w:color w:val="000000" w:themeColor="text1"/>
                      <w:lang w:val="es-ES_tradnl"/>
                    </w:rPr>
                    <w:t>Abaid</w:t>
                  </w:r>
                  <w:proofErr w:type="spellEnd"/>
                  <w:r>
                    <w:rPr>
                      <w:rFonts w:ascii="Palatino Linotype" w:eastAsiaTheme="minorEastAsia" w:hAnsi="Palatino Linotype" w:cs="Arial"/>
                      <w:b/>
                      <w:color w:val="000000" w:themeColor="text1"/>
                      <w:lang w:val="es-ES_tradnl"/>
                    </w:rPr>
                    <w:t xml:space="preserve"> </w:t>
                  </w:r>
                  <w:proofErr w:type="spellStart"/>
                  <w:r>
                    <w:rPr>
                      <w:rFonts w:ascii="Palatino Linotype" w:eastAsiaTheme="minorEastAsia" w:hAnsi="Palatino Linotype" w:cs="Arial"/>
                      <w:b/>
                      <w:color w:val="000000" w:themeColor="text1"/>
                      <w:lang w:val="es-ES_tradnl"/>
                    </w:rPr>
                    <w:t>Yapur</w:t>
                  </w:r>
                  <w:proofErr w:type="spellEnd"/>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color w:val="000000" w:themeColor="text1"/>
                      <w:lang w:val="es-ES_tradnl"/>
                    </w:rPr>
                    <w:t>Comisionada</w:t>
                  </w:r>
                </w:p>
                <w:p w:rsidR="00517989" w:rsidRDefault="00D6127C">
                  <w:pPr>
                    <w:spacing w:before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(RÚBRICA)</w:t>
                  </w:r>
                </w:p>
              </w:tc>
              <w:tc>
                <w:tcPr>
                  <w:tcW w:w="5182" w:type="dxa"/>
                  <w:shd w:val="clear" w:color="auto" w:fill="auto"/>
                </w:tcPr>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José Guadalupe Luna Hernández</w:t>
                  </w: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color w:val="000000" w:themeColor="text1"/>
                      <w:lang w:val="es-ES_tradnl"/>
                    </w:rPr>
                    <w:t>Comisionado</w:t>
                  </w:r>
                </w:p>
                <w:p w:rsidR="00517989" w:rsidRDefault="00D6127C">
                  <w:pPr>
                    <w:spacing w:before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(RÚBRICA)</w:t>
                  </w:r>
                </w:p>
              </w:tc>
            </w:tr>
            <w:tr w:rsidR="00517989">
              <w:trPr>
                <w:jc w:val="center"/>
              </w:trPr>
              <w:tc>
                <w:tcPr>
                  <w:tcW w:w="5182" w:type="dxa"/>
                  <w:shd w:val="clear" w:color="auto" w:fill="auto"/>
                </w:tcPr>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Javier Martínez Cruz</w:t>
                  </w: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color w:val="000000" w:themeColor="text1"/>
                      <w:lang w:val="es-ES_tradnl"/>
                    </w:rPr>
                    <w:t>Comisionado</w:t>
                  </w:r>
                </w:p>
                <w:p w:rsidR="00517989" w:rsidRDefault="00D6127C">
                  <w:pPr>
                    <w:spacing w:before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(RÚBRICA)</w:t>
                  </w:r>
                </w:p>
              </w:tc>
              <w:tc>
                <w:tcPr>
                  <w:tcW w:w="5182" w:type="dxa"/>
                  <w:shd w:val="clear" w:color="auto" w:fill="auto"/>
                </w:tcPr>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Luis Gustavo Parra Noriega</w:t>
                  </w: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color w:val="000000" w:themeColor="text1"/>
                      <w:lang w:val="es-ES_tradnl"/>
                    </w:rPr>
                    <w:t>Comisionado</w:t>
                  </w:r>
                </w:p>
                <w:p w:rsidR="00517989" w:rsidRDefault="00D6127C">
                  <w:pPr>
                    <w:spacing w:before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(RÚBRICA)</w:t>
                  </w:r>
                </w:p>
              </w:tc>
            </w:tr>
            <w:tr w:rsidR="00517989">
              <w:trPr>
                <w:jc w:val="center"/>
              </w:trPr>
              <w:tc>
                <w:tcPr>
                  <w:tcW w:w="10364" w:type="dxa"/>
                  <w:gridSpan w:val="2"/>
                  <w:shd w:val="clear" w:color="auto" w:fill="auto"/>
                </w:tcPr>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Alexis Tapia Ramírez</w:t>
                  </w: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color w:val="000000" w:themeColor="text1"/>
                      <w:lang w:val="es-ES_tradnl"/>
                    </w:rPr>
                    <w:t>Secretario Técnico del Pleno</w:t>
                  </w:r>
                </w:p>
                <w:p w:rsidR="00517989" w:rsidRDefault="00D6127C">
                  <w:pPr>
                    <w:spacing w:beforeAutospacing="1" w:afterAutospacing="1"/>
                    <w:contextualSpacing/>
                    <w:jc w:val="center"/>
                    <w:rPr>
                      <w:rFonts w:ascii="Palatino Linotype" w:eastAsiaTheme="minorEastAsia" w:hAnsi="Palatino Linotype" w:cs="Arial"/>
                      <w:b/>
                      <w:color w:val="000000" w:themeColor="text1"/>
                      <w:lang w:val="es-ES_tradnl"/>
                    </w:rPr>
                  </w:pPr>
                  <w:r>
                    <w:rPr>
                      <w:rFonts w:ascii="Palatino Linotype" w:eastAsiaTheme="minorEastAsia" w:hAnsi="Palatino Linotype" w:cs="Arial"/>
                      <w:b/>
                      <w:color w:val="000000" w:themeColor="text1"/>
                      <w:lang w:val="es-ES_tradnl"/>
                    </w:rPr>
                    <w:t xml:space="preserve">(RÚBRICA) </w:t>
                  </w:r>
                </w:p>
                <w:p w:rsidR="00517989" w:rsidRDefault="00517989">
                  <w:pPr>
                    <w:spacing w:beforeAutospacing="1" w:afterAutospacing="1"/>
                    <w:contextualSpacing/>
                    <w:jc w:val="center"/>
                    <w:rPr>
                      <w:rFonts w:ascii="Palatino Linotype" w:eastAsiaTheme="minorEastAsia" w:hAnsi="Palatino Linotype" w:cs="Arial"/>
                      <w:b/>
                      <w:color w:val="000000" w:themeColor="text1"/>
                      <w:lang w:val="es-ES_tradnl"/>
                    </w:rPr>
                  </w:pPr>
                </w:p>
                <w:p w:rsidR="00517989" w:rsidRDefault="00517989">
                  <w:pPr>
                    <w:spacing w:beforeAutospacing="1"/>
                    <w:contextualSpacing/>
                    <w:jc w:val="center"/>
                    <w:rPr>
                      <w:rFonts w:ascii="Palatino Linotype" w:eastAsiaTheme="minorEastAsia" w:hAnsi="Palatino Linotype" w:cs="Arial"/>
                      <w:b/>
                      <w:color w:val="000000" w:themeColor="text1"/>
                      <w:lang w:val="es-ES_tradnl"/>
                    </w:rPr>
                  </w:pPr>
                </w:p>
              </w:tc>
            </w:tr>
          </w:tbl>
          <w:p w:rsidR="00517989" w:rsidRDefault="00517989">
            <w:pPr>
              <w:spacing w:beforeAutospacing="1"/>
              <w:contextualSpacing/>
              <w:jc w:val="center"/>
              <w:rPr>
                <w:rFonts w:ascii="Palatino Linotype" w:eastAsiaTheme="minorEastAsia" w:hAnsi="Palatino Linotype" w:cs="Arial"/>
                <w:b/>
                <w:color w:val="000000" w:themeColor="text1"/>
                <w:lang w:val="es-ES_tradnl"/>
              </w:rPr>
            </w:pPr>
          </w:p>
        </w:tc>
      </w:tr>
    </w:tbl>
    <w:p w:rsidR="00517989" w:rsidRDefault="00D6127C">
      <w:pPr>
        <w:spacing w:beforeAutospacing="1" w:afterAutospacing="1"/>
        <w:contextualSpacing/>
        <w:jc w:val="both"/>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lastRenderedPageBreak/>
        <w:t>Esta hoja corresponde a la resolución de veintiséis de agosto de dos mil veinte, emitida en los recursos de revisión 01727/INFOEM/IP/RR/2020 y acumulados.</w:t>
      </w:r>
    </w:p>
    <w:p w:rsidR="00517989" w:rsidRDefault="00D6127C">
      <w:pPr>
        <w:spacing w:beforeAutospacing="1" w:afterAutospacing="1"/>
        <w:contextualSpacing/>
        <w:jc w:val="both"/>
        <w:rPr>
          <w:rFonts w:ascii="Palatino Linotype" w:hAnsi="Palatino Linotype"/>
        </w:rPr>
      </w:pPr>
      <w:r>
        <w:rPr>
          <w:rFonts w:ascii="Palatino Linotype" w:eastAsiaTheme="minorEastAsia" w:hAnsi="Palatino Linotype" w:cs="Arial"/>
          <w:color w:val="000000" w:themeColor="text1"/>
          <w:sz w:val="20"/>
          <w:szCs w:val="20"/>
          <w:lang w:val="es-ES_tradnl"/>
        </w:rPr>
        <w:t>YSM/LGMJ</w:t>
      </w:r>
    </w:p>
    <w:sectPr w:rsidR="00517989">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27C" w:rsidRDefault="00D6127C">
      <w:r>
        <w:separator/>
      </w:r>
    </w:p>
  </w:endnote>
  <w:endnote w:type="continuationSeparator" w:id="0">
    <w:p w:rsidR="00D6127C" w:rsidRDefault="00D6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1"/>
    <w:family w:val="roman"/>
    <w:pitch w:val="variable"/>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989" w:rsidRDefault="00D6127C">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010B0">
      <w:rPr>
        <w:rFonts w:ascii="Palatino Linotype" w:hAnsi="Palatino Linotype" w:cs="Arial"/>
        <w:bCs/>
        <w:noProof/>
        <w:sz w:val="22"/>
        <w:szCs w:val="22"/>
      </w:rPr>
      <w:t>25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010B0">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989" w:rsidRDefault="00D6127C">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010B0">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010B0">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27C" w:rsidRDefault="00D6127C">
      <w:pPr>
        <w:rPr>
          <w:sz w:val="12"/>
        </w:rPr>
      </w:pPr>
      <w:r>
        <w:separator/>
      </w:r>
    </w:p>
  </w:footnote>
  <w:footnote w:type="continuationSeparator" w:id="0">
    <w:p w:rsidR="00D6127C" w:rsidRDefault="00D6127C">
      <w:pPr>
        <w:rPr>
          <w:sz w:val="12"/>
        </w:rPr>
      </w:pPr>
      <w:r>
        <w:continuationSeparator/>
      </w:r>
    </w:p>
  </w:footnote>
  <w:footnote w:id="1">
    <w:p w:rsidR="00517989" w:rsidRDefault="00D6127C">
      <w:pPr>
        <w:pStyle w:val="Textonotapie"/>
      </w:pPr>
      <w:r>
        <w:rPr>
          <w:rStyle w:val="Caracteresdenotaalpie"/>
        </w:rPr>
        <w:footnoteRef/>
      </w:r>
      <w:r>
        <w:t xml:space="preserve"> </w:t>
      </w:r>
      <w:r>
        <w:rPr>
          <w:rFonts w:ascii="Palatino Linotype" w:hAnsi="Palatino Linotype"/>
          <w:sz w:val="16"/>
          <w:szCs w:val="16"/>
        </w:rPr>
        <w:t>Es de destacar que el particular no preciso temporalidad en específico; por lo que, de conformidad con lo establecido en los artículo 13 y 181, párrafo cuarto de la Ley de la materia, se entenderá que del servidor público del cual solicita la información es del actual Comisario de Seguridad Pública, es decir del servidor público que al diez de julio del presente año, fecha de presentación de la solicitud de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989" w:rsidRDefault="00D6127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9" behindDoc="1" locked="0" layoutInCell="1" allowOverlap="1">
          <wp:simplePos x="0" y="0"/>
          <wp:positionH relativeFrom="column">
            <wp:align>center</wp:align>
          </wp:positionH>
          <wp:positionV relativeFrom="margin">
            <wp:align>center</wp:align>
          </wp:positionV>
          <wp:extent cx="6858635" cy="9144635"/>
          <wp:effectExtent l="0" t="0" r="0" b="0"/>
          <wp:wrapNone/>
          <wp:docPr id="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r>
      <w:rPr>
        <w:rFonts w:ascii="Palatino Linotype" w:hAnsi="Palatino Linotype"/>
        <w:noProof/>
        <w:sz w:val="28"/>
        <w:szCs w:val="28"/>
        <w:lang w:val="es-MX" w:eastAsia="es-MX"/>
      </w:rPr>
      <w:drawing>
        <wp:anchor distT="0" distB="0" distL="0" distR="0" simplePos="0" relativeHeight="56" behindDoc="1" locked="0" layoutInCell="1" allowOverlap="1">
          <wp:simplePos x="0" y="0"/>
          <wp:positionH relativeFrom="column">
            <wp:posOffset>-166370</wp:posOffset>
          </wp:positionH>
          <wp:positionV relativeFrom="paragraph">
            <wp:posOffset>-450215</wp:posOffset>
          </wp:positionV>
          <wp:extent cx="6858635" cy="9144635"/>
          <wp:effectExtent l="0" t="0" r="0" b="0"/>
          <wp:wrapNone/>
          <wp:docPr id="5" name="WordPictureWatermark209593279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95932798_0"/>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8"/>
      <w:gridCol w:w="2552"/>
      <w:gridCol w:w="3724"/>
    </w:tblGrid>
    <w:tr w:rsidR="00517989">
      <w:tc>
        <w:tcPr>
          <w:tcW w:w="3258" w:type="dxa"/>
          <w:vMerge w:val="restart"/>
        </w:tcPr>
        <w:p w:rsidR="00517989" w:rsidRDefault="00D6127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517989" w:rsidRDefault="00D6127C">
          <w:pPr>
            <w:jc w:val="both"/>
            <w:rPr>
              <w:rFonts w:ascii="Palatino Linotype" w:hAnsi="Palatino Linotype"/>
              <w:b/>
              <w:sz w:val="22"/>
              <w:szCs w:val="22"/>
              <w:lang w:val="es-ES_tradnl"/>
            </w:rPr>
          </w:pPr>
          <w:r>
            <w:rPr>
              <w:rFonts w:ascii="Palatino Linotype" w:hAnsi="Palatino Linotype"/>
              <w:b/>
              <w:sz w:val="22"/>
              <w:szCs w:val="22"/>
              <w:lang w:val="es-ES_tradnl"/>
            </w:rPr>
            <w:t>01727/INFOEM/IP/RR/2020</w:t>
          </w:r>
        </w:p>
      </w:tc>
    </w:tr>
    <w:tr w:rsidR="00517989">
      <w:tc>
        <w:tcPr>
          <w:tcW w:w="3258" w:type="dxa"/>
          <w:vMerge/>
        </w:tcPr>
        <w:p w:rsidR="00517989" w:rsidRDefault="00517989">
          <w:pPr>
            <w:rPr>
              <w:rFonts w:ascii="Palatino Linotype" w:hAnsi="Palatino Linotype"/>
              <w:b/>
              <w:sz w:val="22"/>
              <w:szCs w:val="22"/>
              <w:lang w:val="es-ES_tradnl"/>
            </w:rPr>
          </w:pPr>
        </w:p>
      </w:tc>
      <w:tc>
        <w:tcPr>
          <w:tcW w:w="2552"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517989" w:rsidRDefault="00D6127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Chicoloapan</w:t>
          </w:r>
          <w:proofErr w:type="spellEnd"/>
        </w:p>
      </w:tc>
    </w:tr>
    <w:tr w:rsidR="00517989">
      <w:trPr>
        <w:trHeight w:val="228"/>
      </w:trPr>
      <w:tc>
        <w:tcPr>
          <w:tcW w:w="3258" w:type="dxa"/>
          <w:vMerge/>
        </w:tcPr>
        <w:p w:rsidR="00517989" w:rsidRDefault="00517989">
          <w:pPr>
            <w:rPr>
              <w:rFonts w:ascii="Palatino Linotype" w:hAnsi="Palatino Linotype"/>
              <w:b/>
              <w:sz w:val="22"/>
              <w:szCs w:val="22"/>
              <w:lang w:val="es-ES_tradnl"/>
            </w:rPr>
          </w:pPr>
        </w:p>
      </w:tc>
      <w:tc>
        <w:tcPr>
          <w:tcW w:w="2552"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517989" w:rsidRDefault="00D6127C">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517989" w:rsidRDefault="0051798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989" w:rsidRDefault="00517989">
    <w:pPr>
      <w:rPr>
        <w:rFonts w:ascii="Palatino Linotype" w:hAnsi="Palatino Linotype"/>
        <w:sz w:val="28"/>
        <w:szCs w:val="28"/>
      </w:rPr>
    </w:pPr>
  </w:p>
  <w:tbl>
    <w:tblPr>
      <w:tblW w:w="10490" w:type="dxa"/>
      <w:tblInd w:w="-1276" w:type="dxa"/>
      <w:tblLook w:val="04A0" w:firstRow="1" w:lastRow="0" w:firstColumn="1" w:lastColumn="0" w:noHBand="0" w:noVBand="1"/>
    </w:tblPr>
    <w:tblGrid>
      <w:gridCol w:w="4251"/>
      <w:gridCol w:w="2551"/>
      <w:gridCol w:w="3688"/>
    </w:tblGrid>
    <w:tr w:rsidR="00517989">
      <w:tc>
        <w:tcPr>
          <w:tcW w:w="4251" w:type="dxa"/>
          <w:vMerge w:val="restart"/>
          <w:shd w:val="clear" w:color="auto" w:fill="auto"/>
        </w:tcPr>
        <w:p w:rsidR="00517989" w:rsidRDefault="00D6127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8" w:type="dxa"/>
          <w:shd w:val="clear" w:color="auto" w:fill="auto"/>
          <w:vAlign w:val="center"/>
        </w:tcPr>
        <w:p w:rsidR="00517989" w:rsidRDefault="00D6127C">
          <w:pPr>
            <w:jc w:val="both"/>
            <w:rPr>
              <w:rFonts w:ascii="Palatino Linotype" w:hAnsi="Palatino Linotype"/>
              <w:b/>
              <w:sz w:val="22"/>
              <w:szCs w:val="22"/>
              <w:lang w:val="es-ES_tradnl"/>
            </w:rPr>
          </w:pPr>
          <w:r>
            <w:rPr>
              <w:rFonts w:ascii="Palatino Linotype" w:hAnsi="Palatino Linotype"/>
              <w:b/>
              <w:sz w:val="22"/>
              <w:szCs w:val="22"/>
              <w:lang w:val="es-ES_tradnl"/>
            </w:rPr>
            <w:t>01727/INFOEM/IP/RR/2020 y acumulados</w:t>
          </w:r>
        </w:p>
      </w:tc>
    </w:tr>
    <w:tr w:rsidR="00517989">
      <w:tc>
        <w:tcPr>
          <w:tcW w:w="4251" w:type="dxa"/>
          <w:vMerge/>
          <w:shd w:val="clear" w:color="auto" w:fill="auto"/>
        </w:tcPr>
        <w:p w:rsidR="00517989" w:rsidRDefault="00517989">
          <w:pPr>
            <w:rPr>
              <w:rFonts w:ascii="Palatino Linotype" w:hAnsi="Palatino Linotype"/>
              <w:b/>
              <w:sz w:val="22"/>
              <w:szCs w:val="22"/>
              <w:lang w:val="es-ES_tradnl"/>
            </w:rPr>
          </w:pPr>
        </w:p>
      </w:tc>
      <w:tc>
        <w:tcPr>
          <w:tcW w:w="2551"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8" w:type="dxa"/>
          <w:shd w:val="clear" w:color="auto" w:fill="auto"/>
          <w:vAlign w:val="center"/>
        </w:tcPr>
        <w:p w:rsidR="00517989" w:rsidRDefault="008010B0" w:rsidP="008010B0">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D6127C">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D6127C">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517989">
      <w:trPr>
        <w:trHeight w:val="228"/>
      </w:trPr>
      <w:tc>
        <w:tcPr>
          <w:tcW w:w="4251" w:type="dxa"/>
          <w:vMerge/>
          <w:shd w:val="clear" w:color="auto" w:fill="auto"/>
        </w:tcPr>
        <w:p w:rsidR="00517989" w:rsidRDefault="00517989">
          <w:pPr>
            <w:rPr>
              <w:rFonts w:ascii="Palatino Linotype" w:hAnsi="Palatino Linotype"/>
              <w:b/>
              <w:sz w:val="22"/>
              <w:szCs w:val="22"/>
              <w:lang w:val="es-ES_tradnl"/>
            </w:rPr>
          </w:pPr>
        </w:p>
      </w:tc>
      <w:tc>
        <w:tcPr>
          <w:tcW w:w="2551"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8" w:type="dxa"/>
          <w:shd w:val="clear" w:color="auto" w:fill="auto"/>
          <w:vAlign w:val="center"/>
        </w:tcPr>
        <w:p w:rsidR="00517989" w:rsidRDefault="00D6127C">
          <w:pPr>
            <w:jc w:val="both"/>
            <w:rPr>
              <w:rFonts w:ascii="Palatino Linotype" w:hAnsi="Palatino Linotype"/>
              <w:b/>
              <w:sz w:val="22"/>
              <w:szCs w:val="22"/>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Chicoloapan</w:t>
          </w:r>
          <w:proofErr w:type="spellEnd"/>
        </w:p>
      </w:tc>
    </w:tr>
    <w:tr w:rsidR="00517989">
      <w:tc>
        <w:tcPr>
          <w:tcW w:w="4251" w:type="dxa"/>
          <w:vMerge/>
          <w:shd w:val="clear" w:color="auto" w:fill="auto"/>
        </w:tcPr>
        <w:p w:rsidR="00517989" w:rsidRDefault="00517989">
          <w:pPr>
            <w:rPr>
              <w:rFonts w:ascii="Palatino Linotype" w:hAnsi="Palatino Linotype"/>
              <w:b/>
              <w:sz w:val="22"/>
              <w:szCs w:val="22"/>
              <w:lang w:val="es-ES_tradnl"/>
            </w:rPr>
          </w:pPr>
        </w:p>
      </w:tc>
      <w:tc>
        <w:tcPr>
          <w:tcW w:w="2551" w:type="dxa"/>
          <w:shd w:val="clear" w:color="auto" w:fill="auto"/>
        </w:tcPr>
        <w:p w:rsidR="00517989" w:rsidRDefault="00D6127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8" w:type="dxa"/>
          <w:shd w:val="clear" w:color="auto" w:fill="auto"/>
        </w:tcPr>
        <w:p w:rsidR="00517989" w:rsidRDefault="00D6127C">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517989" w:rsidRDefault="00D6127C">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posOffset>246380</wp:posOffset>
          </wp:positionH>
          <wp:positionV relativeFrom="margin">
            <wp:posOffset>167640</wp:posOffset>
          </wp:positionV>
          <wp:extent cx="6858635" cy="9144635"/>
          <wp:effectExtent l="0" t="0" r="0" b="0"/>
          <wp:wrapNone/>
          <wp:docPr id="8"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095932796"/>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3D6FDD"/>
    <w:multiLevelType w:val="multilevel"/>
    <w:tmpl w:val="5D38B0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9AA3867"/>
    <w:multiLevelType w:val="multilevel"/>
    <w:tmpl w:val="1974E9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989"/>
    <w:rsid w:val="002B780B"/>
    <w:rsid w:val="00517989"/>
    <w:rsid w:val="008010B0"/>
    <w:rsid w:val="00D6127C"/>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3EAAF7-3F40-428A-8C16-232372A30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espo.edomex.gob.mx/informacion_municipa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7D655-DD10-4C83-85EC-6F310D89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8068</Words>
  <Characters>44380</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Rocío Popoca</cp:lastModifiedBy>
  <cp:revision>3</cp:revision>
  <cp:lastPrinted>2020-01-22T19:55:00Z</cp:lastPrinted>
  <dcterms:created xsi:type="dcterms:W3CDTF">2020-09-07T19:47:00Z</dcterms:created>
  <dcterms:modified xsi:type="dcterms:W3CDTF">2020-09-25T14:28:00Z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