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A41BD30"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0B4295">
        <w:rPr>
          <w:rFonts w:ascii="Palatino Linotype" w:eastAsia="Times New Roman" w:hAnsi="Palatino Linotype" w:cs="Arial"/>
          <w:color w:val="000000"/>
          <w:sz w:val="24"/>
          <w:szCs w:val="24"/>
          <w:lang w:eastAsia="es-MX"/>
        </w:rPr>
        <w:t>nueve de septiembre</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D546F91"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bookmarkStart w:id="1" w:name="_Hlk50568857"/>
      <w:r w:rsidR="000B4295" w:rsidRPr="000B4295">
        <w:rPr>
          <w:rFonts w:ascii="Palatino Linotype" w:hAnsi="Palatino Linotype" w:cs="Arial"/>
          <w:b/>
          <w:bCs/>
          <w:sz w:val="23"/>
          <w:szCs w:val="23"/>
          <w:lang w:eastAsia="es-MX"/>
        </w:rPr>
        <w:t>02135/INFOEM/IP/RR/2020</w:t>
      </w:r>
      <w:bookmarkEnd w:id="1"/>
      <w:r w:rsidR="00E52583" w:rsidRPr="00E52583">
        <w:rPr>
          <w:rFonts w:ascii="Palatino Linotype" w:hAnsi="Palatino Linotype" w:cs="Arial"/>
          <w:b/>
          <w:bCs/>
          <w:sz w:val="23"/>
          <w:szCs w:val="23"/>
          <w:lang w:eastAsia="es-MX"/>
        </w:rPr>
        <w:t xml:space="preserve"> y </w:t>
      </w:r>
      <w:r w:rsidR="000B4295" w:rsidRPr="000B4295">
        <w:rPr>
          <w:rFonts w:ascii="Palatino Linotype" w:hAnsi="Palatino Linotype" w:cs="Arial"/>
          <w:b/>
          <w:bCs/>
          <w:sz w:val="23"/>
          <w:szCs w:val="23"/>
          <w:lang w:eastAsia="es-MX"/>
        </w:rPr>
        <w:t>02136/INFOEM/IP/RR/2020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880128">
        <w:rPr>
          <w:rFonts w:ascii="Palatino Linotype" w:hAnsi="Palatino Linotype" w:cs="Arial"/>
          <w:sz w:val="24"/>
          <w:szCs w:val="24"/>
        </w:rPr>
        <w:t xml:space="preserve"> el </w:t>
      </w:r>
      <w:r w:rsidR="00880128" w:rsidRPr="00880128">
        <w:rPr>
          <w:rFonts w:ascii="Palatino Linotype" w:hAnsi="Palatino Linotype" w:cs="Arial"/>
          <w:b/>
          <w:bCs/>
          <w:sz w:val="24"/>
          <w:szCs w:val="24"/>
        </w:rPr>
        <w:t xml:space="preserve">C. </w:t>
      </w:r>
      <w:r w:rsidR="00AE2782">
        <w:rPr>
          <w:rFonts w:ascii="Palatino Linotype" w:hAnsi="Palatino Linotype" w:cs="Arial"/>
          <w:b/>
          <w:bCs/>
          <w:sz w:val="24"/>
          <w:szCs w:val="24"/>
        </w:rPr>
        <w:t>XXXXXXXX</w:t>
      </w:r>
      <w:r w:rsidR="00880128">
        <w:rPr>
          <w:rFonts w:ascii="Palatino Linotype" w:hAnsi="Palatino Linotype" w:cs="Arial"/>
          <w:b/>
          <w:bCs/>
          <w:sz w:val="24"/>
          <w:szCs w:val="24"/>
        </w:rPr>
        <w:t>,</w:t>
      </w:r>
      <w:r w:rsidR="00035DB8">
        <w:rPr>
          <w:rFonts w:ascii="Palatino Linotype" w:hAnsi="Palatino Linotype" w:cs="Arial"/>
          <w:sz w:val="24"/>
          <w:szCs w:val="24"/>
        </w:rPr>
        <w:t xml:space="preserve">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B4295" w:rsidRPr="000B4295">
        <w:rPr>
          <w:rFonts w:ascii="Palatino Linotype" w:hAnsi="Palatino Linotype" w:cs="Arial"/>
          <w:b/>
          <w:sz w:val="24"/>
          <w:szCs w:val="24"/>
        </w:rPr>
        <w:t>Ayuntamiento de Naucalpan de Juárez</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43D61A6B" w14:textId="54A714DD" w:rsidR="003A2E5E"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995DED">
        <w:rPr>
          <w:rFonts w:ascii="Palatino Linotype" w:hAnsi="Palatino Linotype" w:cs="Arial"/>
          <w:sz w:val="24"/>
          <w:szCs w:val="24"/>
        </w:rPr>
        <w:t>s</w:t>
      </w:r>
      <w:r w:rsidRPr="00AD2A55">
        <w:rPr>
          <w:rFonts w:ascii="Palatino Linotype" w:hAnsi="Palatino Linotype" w:cs="Arial"/>
          <w:sz w:val="24"/>
          <w:szCs w:val="24"/>
        </w:rPr>
        <w:t xml:space="preserve"> </w:t>
      </w:r>
      <w:r w:rsidR="000B4295">
        <w:rPr>
          <w:rFonts w:ascii="Palatino Linotype" w:hAnsi="Palatino Linotype" w:cs="Arial"/>
          <w:sz w:val="24"/>
          <w:szCs w:val="24"/>
        </w:rPr>
        <w:t>veinticinco y veintiséis de febrero</w:t>
      </w:r>
      <w:r w:rsidR="00995DED">
        <w:rPr>
          <w:rFonts w:ascii="Palatino Linotype" w:hAnsi="Palatino Linotype" w:cs="Arial"/>
          <w:sz w:val="24"/>
          <w:szCs w:val="24"/>
        </w:rPr>
        <w:t xml:space="preserv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bookmarkStart w:id="2" w:name="_Hlk33631004"/>
      <w:r w:rsidR="000B4295" w:rsidRPr="000B4295">
        <w:rPr>
          <w:rFonts w:ascii="Palatino Linotype" w:hAnsi="Palatino Linotype"/>
          <w:b/>
          <w:sz w:val="24"/>
          <w:szCs w:val="24"/>
        </w:rPr>
        <w:t>00226/NAUCALPA/IP/2020</w:t>
      </w:r>
      <w:r w:rsidR="00120820" w:rsidRPr="001135C7">
        <w:rPr>
          <w:rFonts w:ascii="Palatino Linotype" w:hAnsi="Palatino Linotype"/>
          <w:b/>
          <w:sz w:val="24"/>
          <w:szCs w:val="24"/>
        </w:rPr>
        <w:t xml:space="preserve"> y</w:t>
      </w:r>
      <w:r w:rsidR="003A2E5E" w:rsidRPr="003A2E5E">
        <w:rPr>
          <w:rFonts w:ascii="Palatino Linotype" w:hAnsi="Palatino Linotype"/>
          <w:b/>
          <w:sz w:val="24"/>
          <w:szCs w:val="24"/>
        </w:rPr>
        <w:t xml:space="preserve"> </w:t>
      </w:r>
      <w:bookmarkEnd w:id="2"/>
      <w:r w:rsidR="000B4295" w:rsidRPr="000B4295">
        <w:rPr>
          <w:rFonts w:ascii="Palatino Linotype" w:hAnsi="Palatino Linotype"/>
          <w:b/>
          <w:sz w:val="24"/>
          <w:szCs w:val="24"/>
        </w:rPr>
        <w:t>00234/NAUCALPA/IP/2020</w:t>
      </w:r>
      <w:r w:rsidR="00120820" w:rsidRPr="003A2E5E">
        <w:rPr>
          <w:rFonts w:ascii="Palatino Linotype" w:hAnsi="Palatino Linotype"/>
          <w:b/>
          <w:sz w:val="24"/>
          <w:szCs w:val="24"/>
        </w:rPr>
        <w:t>,</w:t>
      </w:r>
      <w:r w:rsidR="00995DED">
        <w:rPr>
          <w:rFonts w:ascii="Palatino Linotype" w:hAnsi="Palatino Linotype"/>
          <w:b/>
          <w:sz w:val="24"/>
          <w:szCs w:val="24"/>
        </w:rPr>
        <w:t xml:space="preserve"> </w:t>
      </w:r>
      <w:r w:rsidR="00995DED" w:rsidRPr="00995DED">
        <w:rPr>
          <w:rFonts w:ascii="Palatino Linotype" w:hAnsi="Palatino Linotype"/>
          <w:bCs/>
          <w:sz w:val="24"/>
          <w:szCs w:val="24"/>
        </w:rPr>
        <w:t>respectivamente,</w:t>
      </w:r>
      <w:r w:rsidR="00120820" w:rsidRPr="003A2E5E">
        <w:rPr>
          <w:rFonts w:ascii="Palatino Linotype" w:hAnsi="Palatino Linotype"/>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3745D1F2"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3A2E5E">
        <w:rPr>
          <w:rFonts w:ascii="Palatino Linotype" w:hAnsi="Palatino Linotype" w:cs="Arial"/>
          <w:b/>
          <w:sz w:val="24"/>
          <w:szCs w:val="24"/>
        </w:rPr>
        <w:t xml:space="preserve"> </w:t>
      </w:r>
      <w:r w:rsidR="00C9478E" w:rsidRPr="00C9478E">
        <w:rPr>
          <w:rFonts w:ascii="Palatino Linotype" w:hAnsi="Palatino Linotype" w:cs="Arial"/>
          <w:b/>
          <w:sz w:val="24"/>
          <w:szCs w:val="24"/>
        </w:rPr>
        <w:t>00226/NAUCALPA/IP/2020</w:t>
      </w:r>
      <w:r w:rsidR="0074157F">
        <w:rPr>
          <w:rFonts w:ascii="Palatino Linotype" w:hAnsi="Palatino Linotype" w:cs="Arial"/>
          <w:b/>
          <w:sz w:val="24"/>
          <w:szCs w:val="24"/>
        </w:rPr>
        <w:t>.</w:t>
      </w:r>
    </w:p>
    <w:p w14:paraId="309698B8" w14:textId="000887F6"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00C9478E" w:rsidRPr="00C9478E">
        <w:rPr>
          <w:rFonts w:ascii="Palatino Linotype" w:hAnsi="Palatino Linotype"/>
          <w:i/>
          <w:color w:val="000000"/>
        </w:rPr>
        <w:t>SOLICITO UNA RELACION DE TODOS LOS CORREOS INSTITUCIONALES DEL H. AYUNTAMIENTO DE NAUCALPAN QUE ESTÁN DADOS DE ALTA A PARTIR DE ENERO DE 2019</w:t>
      </w:r>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7A3CC7B5"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C9478E" w:rsidRPr="00C9478E">
        <w:rPr>
          <w:rFonts w:ascii="Palatino Linotype" w:hAnsi="Palatino Linotype" w:cs="Arial"/>
          <w:b/>
          <w:sz w:val="24"/>
          <w:szCs w:val="24"/>
        </w:rPr>
        <w:t>00234/NAUCALPA/IP/2020</w:t>
      </w:r>
    </w:p>
    <w:p w14:paraId="57F6C99F" w14:textId="188E5504" w:rsidR="0074157F" w:rsidRPr="00AF1E39" w:rsidRDefault="0074157F"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C9478E" w:rsidRPr="00C9478E">
        <w:rPr>
          <w:rFonts w:ascii="Palatino Linotype" w:hAnsi="Palatino Linotype"/>
          <w:i/>
          <w:color w:val="000000"/>
        </w:rPr>
        <w:t>Soliicito todos los correos electronicos que se hayan enviado a traves de la cuenta de correo naaucalpan@itaipem.org.mx del 1ero de enero de 2019 al 24 de febrero del 2020</w:t>
      </w:r>
      <w:r w:rsidRPr="00AF1E39">
        <w:rPr>
          <w:rFonts w:ascii="Palatino Linotype" w:hAnsi="Palatino Linotype"/>
          <w:i/>
          <w:color w:val="000000"/>
        </w:rPr>
        <w:t>”(Sic).</w:t>
      </w:r>
    </w:p>
    <w:p w14:paraId="78AA68E2" w14:textId="77777777" w:rsidR="008C1A91" w:rsidRPr="00AF1E39" w:rsidRDefault="008C1A91" w:rsidP="00A92598">
      <w:pPr>
        <w:spacing w:after="0" w:line="360" w:lineRule="auto"/>
        <w:ind w:right="850"/>
        <w:jc w:val="both"/>
        <w:rPr>
          <w:rFonts w:ascii="Palatino Linotype" w:hAnsi="Palatino Linotype" w:cs="Arial"/>
          <w:b/>
          <w:sz w:val="20"/>
          <w:szCs w:val="24"/>
        </w:rPr>
      </w:pPr>
    </w:p>
    <w:p w14:paraId="1531D07A" w14:textId="07C062A7" w:rsidR="006A66D1"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29A1E364" w14:textId="429D49B8" w:rsidR="00AE2782"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354E4BF9" w14:textId="42616DEF" w:rsidR="00712701" w:rsidRDefault="00AE2782" w:rsidP="00AE2782">
      <w:pPr>
        <w:spacing w:after="0" w:line="360" w:lineRule="auto"/>
        <w:jc w:val="both"/>
        <w:rPr>
          <w:rFonts w:ascii="Palatino Linotype" w:hAnsi="Palatino Linotype"/>
          <w:sz w:val="24"/>
          <w:szCs w:val="24"/>
        </w:rPr>
      </w:pPr>
      <w:r w:rsidRPr="00AE2782">
        <w:rPr>
          <w:rFonts w:ascii="Palatino Linotype" w:hAnsi="Palatino Linotype"/>
          <w:noProof/>
          <w:sz w:val="24"/>
          <w:szCs w:val="24"/>
          <w:lang w:eastAsia="es-MX"/>
        </w:rPr>
        <w:drawing>
          <wp:inline distT="0" distB="0" distL="0" distR="0" wp14:anchorId="5BD5BDC4" wp14:editId="3BF13FAE">
            <wp:extent cx="5760720" cy="24663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466340"/>
                    </a:xfrm>
                    <a:prstGeom prst="rect">
                      <a:avLst/>
                    </a:prstGeom>
                  </pic:spPr>
                </pic:pic>
              </a:graphicData>
            </a:graphic>
          </wp:inline>
        </w:drawing>
      </w:r>
    </w:p>
    <w:p w14:paraId="3846B080" w14:textId="35F01824" w:rsidR="00712701" w:rsidRDefault="00AE2782" w:rsidP="0050081B">
      <w:pPr>
        <w:spacing w:after="0" w:line="360" w:lineRule="auto"/>
        <w:jc w:val="center"/>
        <w:rPr>
          <w:rFonts w:ascii="Palatino Linotype" w:hAnsi="Palatino Linotype"/>
          <w:sz w:val="24"/>
          <w:szCs w:val="24"/>
        </w:rPr>
      </w:pPr>
      <w:r w:rsidRPr="00AE2782">
        <w:rPr>
          <w:rFonts w:ascii="Palatino Linotype" w:hAnsi="Palatino Linotype"/>
          <w:noProof/>
          <w:sz w:val="24"/>
          <w:szCs w:val="24"/>
          <w:lang w:eastAsia="es-MX"/>
        </w:rPr>
        <w:lastRenderedPageBreak/>
        <w:drawing>
          <wp:inline distT="0" distB="0" distL="0" distR="0" wp14:anchorId="56DAF5F1" wp14:editId="272581C2">
            <wp:extent cx="5760720" cy="26898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689860"/>
                    </a:xfrm>
                    <a:prstGeom prst="rect">
                      <a:avLst/>
                    </a:prstGeom>
                  </pic:spPr>
                </pic:pic>
              </a:graphicData>
            </a:graphic>
          </wp:inline>
        </w:drawing>
      </w:r>
    </w:p>
    <w:p w14:paraId="3630645B" w14:textId="7B80F127" w:rsidR="00D31527" w:rsidRDefault="00D31527" w:rsidP="00712701">
      <w:pPr>
        <w:spacing w:after="0" w:line="360" w:lineRule="auto"/>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77542B5F"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50081B">
        <w:rPr>
          <w:rFonts w:ascii="Palatino Linotype" w:hAnsi="Palatino Linotype" w:cs="Arial"/>
          <w:sz w:val="24"/>
          <w:szCs w:val="24"/>
        </w:rPr>
        <w:t>cuatro de agosto</w:t>
      </w:r>
      <w:r w:rsidR="00B82414">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w:t>
      </w:r>
      <w:r w:rsidR="005F5D4B">
        <w:rPr>
          <w:rFonts w:ascii="Palatino Linotype" w:hAnsi="Palatino Linotype" w:cs="Arial"/>
          <w:sz w:val="24"/>
          <w:szCs w:val="24"/>
        </w:rPr>
        <w:t>uso</w:t>
      </w:r>
      <w:r w:rsidR="00DD5650">
        <w:rPr>
          <w:rFonts w:ascii="Palatino Linotype" w:hAnsi="Palatino Linotype" w:cs="Arial"/>
          <w:sz w:val="24"/>
          <w:szCs w:val="24"/>
        </w:rPr>
        <w:t xml:space="preserv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w:t>
      </w:r>
      <w:r w:rsidR="00B82414">
        <w:rPr>
          <w:rFonts w:ascii="Palatino Linotype" w:hAnsi="Palatino Linotype" w:cs="Arial"/>
          <w:sz w:val="24"/>
          <w:szCs w:val="24"/>
        </w:rPr>
        <w:t>los</w:t>
      </w:r>
      <w:r w:rsidR="00DD5650" w:rsidRPr="00AD2A55">
        <w:rPr>
          <w:rFonts w:ascii="Palatino Linotype" w:hAnsi="Palatino Linotype" w:cs="Arial"/>
          <w:sz w:val="24"/>
          <w:szCs w:val="24"/>
        </w:rPr>
        <w:t xml:space="preserve"> expediente</w:t>
      </w:r>
      <w:r w:rsidR="00B82414">
        <w:rPr>
          <w:rFonts w:ascii="Palatino Linotype" w:hAnsi="Palatino Linotype" w:cs="Arial"/>
          <w:sz w:val="24"/>
          <w:szCs w:val="24"/>
        </w:rPr>
        <w:t>s</w:t>
      </w:r>
      <w:r w:rsidR="00DD5650" w:rsidRPr="00AD2A55">
        <w:rPr>
          <w:rFonts w:ascii="Palatino Linotype" w:hAnsi="Palatino Linotype" w:cs="Arial"/>
          <w:sz w:val="24"/>
          <w:szCs w:val="24"/>
        </w:rPr>
        <w:t xml:space="preserve"> número </w:t>
      </w:r>
      <w:r w:rsidR="0050081B" w:rsidRPr="0050081B">
        <w:rPr>
          <w:rFonts w:ascii="Palatino Linotype" w:hAnsi="Palatino Linotype" w:cs="Arial"/>
          <w:b/>
          <w:bCs/>
          <w:sz w:val="23"/>
          <w:szCs w:val="23"/>
          <w:lang w:eastAsia="es-MX"/>
        </w:rPr>
        <w:t>00226/NAUCALPA/IP/2020 y 00234/NAUCALPA/IP/2020</w:t>
      </w:r>
      <w:r w:rsidR="00D31527">
        <w:rPr>
          <w:rFonts w:ascii="Palatino Linotype" w:hAnsi="Palatino Linotype" w:cs="Arial"/>
          <w:b/>
          <w:bCs/>
          <w:sz w:val="24"/>
          <w:szCs w:val="24"/>
          <w:lang w:eastAsia="es-MX"/>
        </w:rPr>
        <w:t>,</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5FB9993B" w14:textId="77777777" w:rsidR="0093292E" w:rsidRPr="005B1141" w:rsidRDefault="0093292E" w:rsidP="00100ADC">
      <w:pPr>
        <w:numPr>
          <w:ilvl w:val="0"/>
          <w:numId w:val="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6E384C91" w14:textId="1FCCD4D2" w:rsidR="0093292E" w:rsidRPr="005B1141" w:rsidRDefault="0093292E" w:rsidP="0093292E">
      <w:pPr>
        <w:spacing w:before="240" w:line="360" w:lineRule="auto"/>
        <w:jc w:val="both"/>
        <w:rPr>
          <w:rFonts w:ascii="Palatino Linotype" w:hAnsi="Palatino Linotype" w:cs="Arial"/>
          <w:b/>
          <w:sz w:val="24"/>
        </w:rPr>
      </w:pPr>
      <w:bookmarkStart w:id="3" w:name="_Hlk34041044"/>
      <w:r w:rsidRPr="005B1141">
        <w:rPr>
          <w:rFonts w:ascii="Palatino Linotype" w:hAnsi="Palatino Linotype" w:cs="Arial"/>
          <w:b/>
          <w:bCs/>
          <w:sz w:val="24"/>
          <w:szCs w:val="24"/>
          <w:lang w:eastAsia="es-MX"/>
        </w:rPr>
        <w:t>Recurso de Revisión No.</w:t>
      </w:r>
      <w:r w:rsidRPr="00B82952">
        <w:rPr>
          <w:rFonts w:ascii="Palatino Linotype" w:hAnsi="Palatino Linotype" w:cs="Arial"/>
          <w:b/>
          <w:bCs/>
          <w:sz w:val="24"/>
          <w:szCs w:val="24"/>
          <w:lang w:eastAsia="es-MX"/>
        </w:rPr>
        <w:tab/>
      </w:r>
      <w:r w:rsidR="0050081B" w:rsidRPr="0050081B">
        <w:rPr>
          <w:rFonts w:ascii="Palatino Linotype" w:hAnsi="Palatino Linotype" w:cs="Arial"/>
          <w:b/>
          <w:bCs/>
          <w:sz w:val="24"/>
          <w:szCs w:val="24"/>
          <w:lang w:eastAsia="es-MX"/>
        </w:rPr>
        <w:t>02135/INFOEM/IP/RR/2020</w:t>
      </w:r>
    </w:p>
    <w:p w14:paraId="00DE3FE1" w14:textId="0A3D8668" w:rsidR="0093292E" w:rsidRPr="005B1141" w:rsidRDefault="0093292E" w:rsidP="0093292E">
      <w:pPr>
        <w:spacing w:line="360" w:lineRule="auto"/>
        <w:ind w:left="851" w:right="851"/>
        <w:jc w:val="both"/>
        <w:rPr>
          <w:rFonts w:ascii="Palatino Linotype" w:hAnsi="Palatino Linotype" w:cs="Arial"/>
          <w:i/>
        </w:rPr>
      </w:pPr>
      <w:r w:rsidRPr="005B1141">
        <w:rPr>
          <w:rFonts w:ascii="Palatino Linotype" w:hAnsi="Palatino Linotype" w:cs="Arial"/>
          <w:i/>
        </w:rPr>
        <w:t>“</w:t>
      </w:r>
      <w:r w:rsidR="0050081B" w:rsidRPr="0050081B">
        <w:rPr>
          <w:rFonts w:ascii="Palatino Linotype" w:hAnsi="Palatino Linotype" w:cs="Arial"/>
          <w:i/>
        </w:rPr>
        <w:t>la falta de entrega de la información solicitada</w:t>
      </w:r>
      <w:r w:rsidRPr="005B1141">
        <w:rPr>
          <w:rFonts w:ascii="Palatino Linotype" w:hAnsi="Palatino Linotype" w:cs="Arial"/>
          <w:i/>
        </w:rPr>
        <w:t>” [sic]</w:t>
      </w:r>
    </w:p>
    <w:p w14:paraId="69454F1C" w14:textId="7E6F5008" w:rsidR="0093292E" w:rsidRPr="005B1141" w:rsidRDefault="0093292E" w:rsidP="0093292E">
      <w:pPr>
        <w:spacing w:before="240" w:line="360" w:lineRule="auto"/>
        <w:jc w:val="both"/>
        <w:rPr>
          <w:rFonts w:ascii="Palatino Linotype" w:hAnsi="Palatino Linotype" w:cs="Arial"/>
          <w:b/>
          <w:sz w:val="24"/>
        </w:rPr>
      </w:pPr>
      <w:bookmarkStart w:id="4" w:name="_Hlk34040941"/>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0050081B" w:rsidRPr="0050081B">
        <w:rPr>
          <w:rFonts w:ascii="Palatino Linotype" w:hAnsi="Palatino Linotype" w:cs="Arial"/>
          <w:b/>
          <w:bCs/>
          <w:sz w:val="24"/>
          <w:lang w:eastAsia="es-MX"/>
        </w:rPr>
        <w:t>2136/INFOEM/IP/RR/2020</w:t>
      </w:r>
    </w:p>
    <w:p w14:paraId="2AFF6613" w14:textId="7AC20E73" w:rsidR="0093292E" w:rsidRDefault="0093292E" w:rsidP="0050081B">
      <w:pPr>
        <w:spacing w:line="360" w:lineRule="auto"/>
        <w:ind w:left="851" w:right="851"/>
        <w:jc w:val="both"/>
        <w:rPr>
          <w:rFonts w:ascii="Palatino Linotype" w:hAnsi="Palatino Linotype" w:cs="Arial"/>
          <w:i/>
        </w:rPr>
      </w:pPr>
      <w:r>
        <w:rPr>
          <w:rFonts w:ascii="Palatino Linotype" w:hAnsi="Palatino Linotype" w:cs="Arial"/>
          <w:i/>
        </w:rPr>
        <w:lastRenderedPageBreak/>
        <w:t>“</w:t>
      </w:r>
      <w:r w:rsidR="0050081B" w:rsidRPr="0050081B">
        <w:rPr>
          <w:rFonts w:ascii="Palatino Linotype" w:hAnsi="Palatino Linotype" w:cs="Arial"/>
          <w:i/>
        </w:rPr>
        <w:t>La falta de respuesta</w:t>
      </w:r>
      <w:r w:rsidRPr="005B1141">
        <w:rPr>
          <w:rFonts w:ascii="Palatino Linotype" w:hAnsi="Palatino Linotype" w:cs="Arial"/>
          <w:i/>
        </w:rPr>
        <w:t>” [sic]</w:t>
      </w:r>
      <w:bookmarkEnd w:id="4"/>
    </w:p>
    <w:bookmarkEnd w:id="3"/>
    <w:p w14:paraId="74D114EC" w14:textId="77777777" w:rsidR="0093292E" w:rsidRPr="005B1141" w:rsidRDefault="0093292E" w:rsidP="0093292E">
      <w:pPr>
        <w:spacing w:line="360" w:lineRule="auto"/>
        <w:ind w:left="851" w:right="851"/>
        <w:jc w:val="both"/>
        <w:rPr>
          <w:rFonts w:ascii="Palatino Linotype" w:hAnsi="Palatino Linotype" w:cs="Arial"/>
          <w:i/>
        </w:rPr>
      </w:pPr>
    </w:p>
    <w:p w14:paraId="141CA8AF" w14:textId="77777777" w:rsidR="0093292E" w:rsidRPr="005B1141" w:rsidRDefault="0093292E" w:rsidP="00100ADC">
      <w:pPr>
        <w:numPr>
          <w:ilvl w:val="0"/>
          <w:numId w:val="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09DC3CCA" w14:textId="77777777" w:rsidR="0093292E" w:rsidRDefault="0093292E" w:rsidP="0093292E">
      <w:pPr>
        <w:spacing w:line="360" w:lineRule="auto"/>
        <w:ind w:left="851" w:right="851"/>
        <w:jc w:val="both"/>
        <w:rPr>
          <w:rFonts w:ascii="Palatino Linotype" w:hAnsi="Palatino Linotype" w:cs="Arial"/>
          <w:i/>
        </w:rPr>
      </w:pPr>
    </w:p>
    <w:p w14:paraId="0F8FB92E" w14:textId="77777777" w:rsidR="0050081B" w:rsidRPr="005B1141" w:rsidRDefault="0050081B" w:rsidP="0050081B">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50081B">
        <w:rPr>
          <w:rFonts w:ascii="Palatino Linotype" w:hAnsi="Palatino Linotype" w:cs="Arial"/>
          <w:b/>
          <w:bCs/>
          <w:sz w:val="24"/>
          <w:lang w:eastAsia="es-MX"/>
        </w:rPr>
        <w:t>02135/INFOEM/IP/RR/2020</w:t>
      </w:r>
    </w:p>
    <w:p w14:paraId="17BFC7CB" w14:textId="58977951" w:rsidR="0050081B" w:rsidRDefault="0050081B" w:rsidP="0050081B">
      <w:pPr>
        <w:spacing w:line="360" w:lineRule="auto"/>
        <w:ind w:left="851" w:right="851"/>
        <w:jc w:val="both"/>
        <w:rPr>
          <w:rFonts w:ascii="Palatino Linotype" w:hAnsi="Palatino Linotype" w:cs="Arial"/>
          <w:i/>
        </w:rPr>
      </w:pPr>
      <w:r>
        <w:rPr>
          <w:rFonts w:ascii="Palatino Linotype" w:hAnsi="Palatino Linotype" w:cs="Arial"/>
          <w:i/>
        </w:rPr>
        <w:t>“</w:t>
      </w:r>
      <w:r w:rsidRPr="0050081B">
        <w:rPr>
          <w:rFonts w:ascii="Palatino Linotype" w:hAnsi="Palatino Linotype" w:cs="Arial"/>
          <w:i/>
        </w:rPr>
        <w:t>Tuvieron el tiempo suficiente para dar cumplimiento a la solicitud, a pesar de la pandemia</w:t>
      </w:r>
      <w:r w:rsidRPr="005B1141">
        <w:rPr>
          <w:rFonts w:ascii="Palatino Linotype" w:hAnsi="Palatino Linotype" w:cs="Arial"/>
          <w:i/>
        </w:rPr>
        <w:t>” [sic]</w:t>
      </w:r>
    </w:p>
    <w:p w14:paraId="3360856C" w14:textId="77777777" w:rsidR="0050081B" w:rsidRPr="005B1141" w:rsidRDefault="0050081B" w:rsidP="0050081B">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50081B">
        <w:rPr>
          <w:rFonts w:ascii="Palatino Linotype" w:hAnsi="Palatino Linotype" w:cs="Arial"/>
          <w:b/>
          <w:bCs/>
          <w:sz w:val="24"/>
          <w:lang w:eastAsia="es-MX"/>
        </w:rPr>
        <w:t>2136/INFOEM/IP/RR/2020</w:t>
      </w:r>
    </w:p>
    <w:p w14:paraId="18EB4F70" w14:textId="226D1FC3" w:rsidR="0050081B" w:rsidRDefault="0050081B" w:rsidP="0050081B">
      <w:pPr>
        <w:spacing w:line="360" w:lineRule="auto"/>
        <w:ind w:left="851" w:right="851"/>
        <w:jc w:val="both"/>
        <w:rPr>
          <w:rFonts w:ascii="Palatino Linotype" w:hAnsi="Palatino Linotype" w:cs="Arial"/>
          <w:i/>
        </w:rPr>
      </w:pPr>
      <w:r>
        <w:rPr>
          <w:rFonts w:ascii="Palatino Linotype" w:hAnsi="Palatino Linotype" w:cs="Arial"/>
          <w:i/>
        </w:rPr>
        <w:t>“</w:t>
      </w:r>
      <w:r w:rsidRPr="0050081B">
        <w:rPr>
          <w:rFonts w:ascii="Palatino Linotype" w:hAnsi="Palatino Linotype" w:cs="Arial"/>
          <w:i/>
        </w:rPr>
        <w:t>No tuvieron la atención de dar respuesta a mi solicitud.</w:t>
      </w:r>
      <w:r w:rsidRPr="005B1141">
        <w:rPr>
          <w:rFonts w:ascii="Palatino Linotype" w:hAnsi="Palatino Linotype" w:cs="Arial"/>
          <w:i/>
        </w:rPr>
        <w:t>” [sic]</w:t>
      </w:r>
    </w:p>
    <w:p w14:paraId="103C9052" w14:textId="77777777" w:rsidR="0050081B" w:rsidRDefault="0050081B" w:rsidP="00AD2A55">
      <w:pPr>
        <w:spacing w:after="0" w:line="360" w:lineRule="auto"/>
        <w:jc w:val="both"/>
        <w:rPr>
          <w:rFonts w:ascii="Palatino Linotype" w:hAnsi="Palatino Linotype" w:cs="Arial"/>
          <w:b/>
          <w:sz w:val="24"/>
          <w:szCs w:val="24"/>
        </w:rPr>
      </w:pPr>
    </w:p>
    <w:p w14:paraId="3A29AB1E" w14:textId="16532EF1"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670C4044" w:rsidR="00F80D24" w:rsidRPr="00AB6CE7" w:rsidRDefault="000D2A43"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El</w:t>
      </w:r>
      <w:r w:rsidR="006A3E42">
        <w:rPr>
          <w:rFonts w:ascii="Palatino Linotype" w:hAnsi="Palatino Linotype" w:cs="Arial"/>
          <w:sz w:val="24"/>
          <w:szCs w:val="24"/>
        </w:rPr>
        <w:t xml:space="preserve"> medio de impugnación presenta</w:t>
      </w:r>
      <w:r w:rsidR="006A3E42" w:rsidRPr="005E39B9">
        <w:rPr>
          <w:rFonts w:ascii="Palatino Linotype" w:hAnsi="Palatino Linotype" w:cs="Arial"/>
          <w:sz w:val="24"/>
          <w:szCs w:val="24"/>
        </w:rPr>
        <w:t xml:space="preserve">do mediante </w:t>
      </w:r>
      <w:r>
        <w:rPr>
          <w:rFonts w:ascii="Palatino Linotype" w:hAnsi="Palatino Linotype" w:cs="Arial"/>
          <w:sz w:val="24"/>
          <w:szCs w:val="24"/>
        </w:rPr>
        <w:t>el</w:t>
      </w:r>
      <w:r w:rsidR="00C247A2">
        <w:rPr>
          <w:rFonts w:ascii="Palatino Linotype" w:hAnsi="Palatino Linotype" w:cs="Arial"/>
          <w:sz w:val="24"/>
          <w:szCs w:val="24"/>
        </w:rPr>
        <w:t xml:space="preserve"> </w:t>
      </w:r>
      <w:r w:rsidR="006A3E42" w:rsidRPr="005E39B9">
        <w:rPr>
          <w:rFonts w:ascii="Palatino Linotype" w:hAnsi="Palatino Linotype" w:cs="Arial"/>
          <w:sz w:val="24"/>
          <w:szCs w:val="24"/>
        </w:rPr>
        <w:t xml:space="preserve">recurso de revisión con número </w:t>
      </w:r>
      <w:r w:rsidR="009F6F4A" w:rsidRPr="009F6F4A">
        <w:rPr>
          <w:rFonts w:ascii="Palatino Linotype" w:hAnsi="Palatino Linotype" w:cs="Arial"/>
          <w:b/>
          <w:sz w:val="24"/>
          <w:szCs w:val="24"/>
        </w:rPr>
        <w:t>02135/INFOEM/IP/RR/2020</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006A3E42" w:rsidRPr="005E39B9">
        <w:rPr>
          <w:rFonts w:ascii="Palatino Linotype" w:hAnsi="Palatino Linotype" w:cs="Arial"/>
          <w:b/>
          <w:sz w:val="24"/>
          <w:szCs w:val="24"/>
        </w:rPr>
        <w:t xml:space="preserve"> </w:t>
      </w:r>
      <w:r w:rsidR="006A3E42"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006A3E42" w:rsidRPr="005E39B9">
        <w:rPr>
          <w:rFonts w:ascii="Palatino Linotype" w:hAnsi="Palatino Linotype" w:cs="Arial"/>
          <w:sz w:val="24"/>
          <w:szCs w:val="24"/>
        </w:rPr>
        <w:t xml:space="preserve"> turnado a la Comisionada </w:t>
      </w:r>
      <w:r w:rsidR="006A3E42" w:rsidRPr="005E39B9">
        <w:rPr>
          <w:rFonts w:ascii="Palatino Linotype" w:hAnsi="Palatino Linotype" w:cs="Arial"/>
          <w:b/>
          <w:sz w:val="24"/>
          <w:szCs w:val="24"/>
        </w:rPr>
        <w:t>Zulema Martínez Sánchez</w:t>
      </w:r>
      <w:r w:rsidR="00C247A2">
        <w:rPr>
          <w:rFonts w:ascii="Palatino Linotype" w:hAnsi="Palatino Linotype" w:cs="Arial"/>
          <w:b/>
          <w:sz w:val="24"/>
          <w:szCs w:val="24"/>
        </w:rPr>
        <w:t xml:space="preserve">; </w:t>
      </w:r>
      <w:r w:rsidR="00C247A2" w:rsidRPr="00C247A2">
        <w:rPr>
          <w:rFonts w:ascii="Palatino Linotype" w:hAnsi="Palatino Linotype" w:cs="Arial"/>
          <w:bCs/>
          <w:sz w:val="24"/>
          <w:szCs w:val="24"/>
        </w:rPr>
        <w:t>mientras que</w:t>
      </w:r>
      <w:r w:rsidR="006A3E42" w:rsidRPr="005E39B9">
        <w:rPr>
          <w:rFonts w:ascii="Palatino Linotype" w:hAnsi="Palatino Linotype" w:cs="Arial"/>
          <w:b/>
          <w:sz w:val="24"/>
          <w:szCs w:val="24"/>
        </w:rPr>
        <w:t xml:space="preserve"> </w:t>
      </w:r>
      <w:r w:rsidR="00C247A2">
        <w:rPr>
          <w:rFonts w:ascii="Palatino Linotype" w:hAnsi="Palatino Linotype" w:cs="Arial"/>
          <w:sz w:val="24"/>
          <w:szCs w:val="24"/>
        </w:rPr>
        <w:t>el</w:t>
      </w:r>
      <w:r w:rsidR="006A3E42" w:rsidRPr="005E39B9">
        <w:rPr>
          <w:rFonts w:ascii="Palatino Linotype" w:hAnsi="Palatino Linotype" w:cs="Arial"/>
          <w:sz w:val="24"/>
          <w:szCs w:val="24"/>
        </w:rPr>
        <w:t xml:space="preserve"> recurso de revisión </w:t>
      </w:r>
      <w:r w:rsidR="009F6F4A" w:rsidRPr="009F6F4A">
        <w:rPr>
          <w:rFonts w:ascii="Palatino Linotype" w:hAnsi="Palatino Linotype" w:cs="Arial"/>
          <w:b/>
          <w:sz w:val="24"/>
          <w:szCs w:val="24"/>
        </w:rPr>
        <w:t>2136/INFOEM/IP/RR/2020</w:t>
      </w:r>
      <w:r w:rsidR="00D31527" w:rsidRPr="005E39B9">
        <w:rPr>
          <w:rFonts w:ascii="Palatino Linotype" w:hAnsi="Palatino Linotype" w:cs="Arial"/>
          <w:b/>
          <w:sz w:val="24"/>
          <w:szCs w:val="24"/>
        </w:rPr>
        <w:t xml:space="preserve">, </w:t>
      </w:r>
      <w:r w:rsidR="00C247A2" w:rsidRPr="00C247A2">
        <w:rPr>
          <w:rFonts w:ascii="Palatino Linotype" w:hAnsi="Palatino Linotype" w:cs="Arial"/>
          <w:bCs/>
          <w:sz w:val="24"/>
          <w:szCs w:val="24"/>
        </w:rPr>
        <w:t>le</w:t>
      </w:r>
      <w:r w:rsidR="00C247A2">
        <w:rPr>
          <w:rFonts w:ascii="Palatino Linotype" w:hAnsi="Palatino Linotype" w:cs="Arial"/>
          <w:b/>
          <w:sz w:val="24"/>
          <w:szCs w:val="24"/>
        </w:rPr>
        <w:t xml:space="preserve"> </w:t>
      </w:r>
      <w:r w:rsidR="006A3E42" w:rsidRPr="005E39B9">
        <w:rPr>
          <w:rFonts w:ascii="Palatino Linotype" w:hAnsi="Palatino Linotype" w:cs="Arial"/>
          <w:sz w:val="24"/>
          <w:szCs w:val="24"/>
        </w:rPr>
        <w:t>fue turnado al Comisionad</w:t>
      </w:r>
      <w:r w:rsidR="00F32FBF" w:rsidRPr="005E39B9">
        <w:rPr>
          <w:rFonts w:ascii="Palatino Linotype" w:hAnsi="Palatino Linotype" w:cs="Arial"/>
          <w:sz w:val="24"/>
          <w:szCs w:val="24"/>
        </w:rPr>
        <w:t>o</w:t>
      </w:r>
      <w:r w:rsidR="006A3E42"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 xml:space="preserve"> </w:t>
      </w:r>
      <w:r w:rsidR="009F6F4A">
        <w:rPr>
          <w:rFonts w:ascii="Palatino Linotype" w:hAnsi="Palatino Linotype" w:cs="Arial"/>
          <w:sz w:val="24"/>
          <w:szCs w:val="24"/>
        </w:rPr>
        <w:t>diez de agosto</w:t>
      </w:r>
      <w:r w:rsidR="005E39B9">
        <w:rPr>
          <w:rFonts w:ascii="Palatino Linotype" w:hAnsi="Palatino Linotype" w:cs="Arial"/>
          <w:sz w:val="24"/>
          <w:szCs w:val="24"/>
        </w:rPr>
        <w:t xml:space="preserve">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3307777F"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lastRenderedPageBreak/>
        <w:t xml:space="preserve">No obstante, en la </w:t>
      </w:r>
      <w:r w:rsidR="009F6F4A" w:rsidRPr="009F6F4A">
        <w:rPr>
          <w:rFonts w:ascii="Palatino Linotype" w:hAnsi="Palatino Linotype" w:cs="Arial"/>
        </w:rPr>
        <w:t>Décima Quinta Sesión Ordinaria celebrada el veintiséis de agosto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36C938C9" w14:textId="4040E0AA" w:rsidR="00AC3BD3" w:rsidRDefault="00D9651B" w:rsidP="009F6F4A">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w:t>
      </w:r>
      <w:r w:rsidR="009F6F4A">
        <w:rPr>
          <w:rFonts w:ascii="Palatino Linotype" w:hAnsi="Palatino Linotype" w:cs="Arial"/>
          <w:sz w:val="24"/>
          <w:szCs w:val="24"/>
        </w:rPr>
        <w:t xml:space="preserve"> respecto de recurso de revisión con número de folio</w:t>
      </w:r>
      <w:r w:rsidRPr="00997342">
        <w:rPr>
          <w:rFonts w:ascii="Palatino Linotype" w:hAnsi="Palatino Linotype" w:cs="Arial"/>
          <w:sz w:val="24"/>
          <w:szCs w:val="24"/>
        </w:rPr>
        <w:t xml:space="preserve"> </w:t>
      </w:r>
      <w:r w:rsidR="009F6F4A" w:rsidRPr="009F6F4A">
        <w:rPr>
          <w:rFonts w:ascii="Palatino Linotype" w:hAnsi="Palatino Linotype" w:cs="Arial"/>
          <w:b/>
          <w:bCs/>
          <w:sz w:val="24"/>
          <w:szCs w:val="24"/>
        </w:rPr>
        <w:t>02135/INFOEM/IP/RR/2020</w:t>
      </w:r>
      <w:r w:rsidR="009F6F4A" w:rsidRPr="009F6F4A">
        <w:rPr>
          <w:rFonts w:ascii="Palatino Linotype" w:hAnsi="Palatino Linotype" w:cs="Arial"/>
          <w:sz w:val="24"/>
          <w:szCs w:val="24"/>
        </w:rPr>
        <w:t xml:space="preserv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 xml:space="preserve">o remitieron información alguna, </w:t>
      </w:r>
      <w:r w:rsidR="009F6F4A">
        <w:rPr>
          <w:rFonts w:ascii="Palatino Linotype" w:hAnsi="Palatino Linotype" w:cs="Arial"/>
          <w:sz w:val="24"/>
          <w:szCs w:val="24"/>
        </w:rPr>
        <w:t xml:space="preserve">asimismo respecto del recurso de revisión </w:t>
      </w:r>
      <w:r w:rsidR="009F6F4A" w:rsidRPr="009F6F4A">
        <w:rPr>
          <w:rFonts w:ascii="Palatino Linotype" w:hAnsi="Palatino Linotype" w:cs="Arial"/>
          <w:b/>
          <w:bCs/>
          <w:sz w:val="24"/>
          <w:szCs w:val="24"/>
        </w:rPr>
        <w:lastRenderedPageBreak/>
        <w:t>02136/INFOEM/IP/RR/2020</w:t>
      </w:r>
      <w:r w:rsidR="009F6F4A">
        <w:rPr>
          <w:rFonts w:ascii="Palatino Linotype" w:hAnsi="Palatino Linotype" w:cs="Arial"/>
          <w:b/>
          <w:bCs/>
          <w:sz w:val="24"/>
          <w:szCs w:val="24"/>
        </w:rPr>
        <w:t xml:space="preserve"> </w:t>
      </w:r>
      <w:r w:rsidR="009F6F4A" w:rsidRPr="009F6F4A">
        <w:rPr>
          <w:rFonts w:ascii="Palatino Linotype" w:hAnsi="Palatino Linotype" w:cs="Arial"/>
          <w:sz w:val="24"/>
          <w:szCs w:val="24"/>
        </w:rPr>
        <w:t xml:space="preserve">el Sujeto Obligado en fecha </w:t>
      </w:r>
      <w:r w:rsidR="009F6F4A">
        <w:rPr>
          <w:rFonts w:ascii="Palatino Linotype" w:hAnsi="Palatino Linotype" w:cs="Arial"/>
          <w:sz w:val="24"/>
          <w:szCs w:val="24"/>
        </w:rPr>
        <w:t>diecinueve de agosto</w:t>
      </w:r>
      <w:r w:rsidR="009F6F4A" w:rsidRPr="009F6F4A">
        <w:rPr>
          <w:rFonts w:ascii="Palatino Linotype" w:hAnsi="Palatino Linotype" w:cs="Arial"/>
          <w:sz w:val="24"/>
          <w:szCs w:val="24"/>
        </w:rPr>
        <w:t xml:space="preserve"> del presente año remitió manifestaciones, mismas que fueron puestas a la vista en fecha </w:t>
      </w:r>
      <w:r w:rsidR="009F6F4A">
        <w:rPr>
          <w:rFonts w:ascii="Palatino Linotype" w:hAnsi="Palatino Linotype" w:cs="Arial"/>
          <w:sz w:val="24"/>
          <w:szCs w:val="24"/>
        </w:rPr>
        <w:t>veintiocho</w:t>
      </w:r>
      <w:r w:rsidR="009F6F4A" w:rsidRPr="009F6F4A">
        <w:rPr>
          <w:rFonts w:ascii="Palatino Linotype" w:hAnsi="Palatino Linotype" w:cs="Arial"/>
          <w:sz w:val="24"/>
          <w:szCs w:val="24"/>
        </w:rPr>
        <w:t xml:space="preserve"> de mismo mes y año, así mismo se advierte que el Recurrente, fue omiso en presentar sus manifestaciones y ofrecer sus medios de prueba</w:t>
      </w:r>
      <w:r w:rsidR="009F6F4A">
        <w:rPr>
          <w:rFonts w:ascii="Palatino Linotype" w:hAnsi="Palatino Linotype" w:cs="Arial"/>
          <w:sz w:val="24"/>
          <w:szCs w:val="24"/>
        </w:rPr>
        <w:t>.</w:t>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BCE7EB" w14:textId="5F653A57" w:rsidR="00E80DF7"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9F6F4A">
        <w:rPr>
          <w:rFonts w:ascii="Palatino Linotype" w:hAnsi="Palatino Linotype" w:cs="Arial"/>
          <w:sz w:val="24"/>
          <w:szCs w:val="24"/>
        </w:rPr>
        <w:t>s</w:t>
      </w:r>
      <w:r w:rsidR="00E80DF7">
        <w:rPr>
          <w:rFonts w:ascii="Palatino Linotype" w:hAnsi="Palatino Linotype" w:cs="Arial"/>
          <w:sz w:val="24"/>
          <w:szCs w:val="24"/>
        </w:rPr>
        <w:t xml:space="preserve"> </w:t>
      </w:r>
      <w:r w:rsidR="009F6F4A">
        <w:rPr>
          <w:rFonts w:ascii="Palatino Linotype" w:hAnsi="Palatino Linotype" w:cs="Arial"/>
          <w:sz w:val="24"/>
          <w:szCs w:val="24"/>
        </w:rPr>
        <w:t>veinticuatro de agosto y tres de septiembre</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E4D1175" w14:textId="497BF60B" w:rsidR="002C3D59" w:rsidRDefault="002C3D59" w:rsidP="00AD2A55">
      <w:pPr>
        <w:spacing w:after="0" w:line="360" w:lineRule="auto"/>
        <w:jc w:val="both"/>
        <w:rPr>
          <w:rFonts w:ascii="Palatino Linotype" w:hAnsi="Palatino Linotype" w:cs="Arial"/>
          <w:sz w:val="24"/>
          <w:szCs w:val="24"/>
        </w:rPr>
      </w:pPr>
    </w:p>
    <w:p w14:paraId="339AE70D" w14:textId="77777777" w:rsidR="009F6F4A" w:rsidRDefault="009F6F4A"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w:t>
      </w:r>
      <w:r w:rsidRPr="00A80539">
        <w:rPr>
          <w:rFonts w:ascii="Palatino Linotype" w:hAnsi="Palatino Linotype" w:cs="Arial"/>
          <w:sz w:val="24"/>
          <w:szCs w:val="24"/>
        </w:rPr>
        <w:lastRenderedPageBreak/>
        <w:t>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4E1FD6">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C27225">
        <w:rPr>
          <w:rFonts w:ascii="Palatino Linotype" w:hAnsi="Palatino Linotype" w:cs="Arial"/>
          <w:sz w:val="24"/>
          <w:szCs w:val="24"/>
        </w:rPr>
        <w:lastRenderedPageBreak/>
        <w:t>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5E4683A4" w14:textId="0A6A2B37" w:rsidR="00F80D24" w:rsidRPr="00B460B4" w:rsidRDefault="00F80D24" w:rsidP="00B460B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B460B4">
        <w:rPr>
          <w:rFonts w:ascii="Palatino Linotype" w:hAnsi="Palatino Linotype" w:cs="Arial"/>
          <w:sz w:val="24"/>
          <w:szCs w:val="24"/>
        </w:rPr>
        <w:t xml:space="preserve"> </w:t>
      </w:r>
      <w:r w:rsidRPr="00B460B4">
        <w:rPr>
          <w:rFonts w:ascii="Palatino Linotype" w:hAnsi="Palatino Linotype" w:cs="Arial"/>
          <w:sz w:val="24"/>
          <w:szCs w:val="24"/>
        </w:rPr>
        <w:t>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2D20F7AF" w14:textId="4252754F"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9521834" w14:textId="77777777" w:rsidR="005C0F06" w:rsidRDefault="005C0F06" w:rsidP="003D68B6">
      <w:pPr>
        <w:spacing w:after="0" w:line="360" w:lineRule="auto"/>
        <w:jc w:val="both"/>
        <w:rPr>
          <w:rFonts w:ascii="Palatino Linotype" w:eastAsia="Times New Roman" w:hAnsi="Palatino Linotype" w:cs="Times New Roman"/>
          <w:sz w:val="24"/>
          <w:szCs w:val="24"/>
          <w:lang w:eastAsia="es-ES"/>
        </w:rPr>
      </w:pPr>
    </w:p>
    <w:p w14:paraId="64CAC8CB" w14:textId="2CFBF77C"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84718">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02E87D03" w14:textId="019533DD" w:rsidR="00635F14" w:rsidRDefault="00635F14" w:rsidP="00635F14">
      <w:pPr>
        <w:spacing w:after="240" w:line="360" w:lineRule="auto"/>
        <w:jc w:val="both"/>
        <w:rPr>
          <w:rFonts w:ascii="Palatino Linotype" w:eastAsia="Times New Roman" w:hAnsi="Palatino Linotype" w:cs="Times New Roman"/>
          <w:sz w:val="24"/>
          <w:szCs w:val="24"/>
          <w:lang w:eastAsia="es-ES"/>
        </w:rPr>
      </w:pPr>
      <w:r w:rsidRPr="00635F14">
        <w:rPr>
          <w:rFonts w:ascii="Palatino Linotype" w:eastAsia="Times New Roman" w:hAnsi="Palatino Linotype" w:cs="Times New Roman"/>
          <w:sz w:val="24"/>
          <w:szCs w:val="24"/>
          <w:lang w:eastAsia="es-ES"/>
        </w:rPr>
        <w:t xml:space="preserve">Señalado lo anterior, una vez analizadas las solicitudes de información, podemos determinar que el Recurrente, peticiona en la solicitud número </w:t>
      </w:r>
      <w:r w:rsidRPr="00635F14">
        <w:rPr>
          <w:rFonts w:ascii="Palatino Linotype" w:eastAsia="Times New Roman" w:hAnsi="Palatino Linotype" w:cs="Times New Roman"/>
          <w:b/>
          <w:sz w:val="24"/>
          <w:szCs w:val="24"/>
          <w:lang w:eastAsia="es-ES"/>
        </w:rPr>
        <w:t>00226/NAUCALPA/IP/2020,</w:t>
      </w:r>
      <w:r w:rsidRPr="00635F14">
        <w:rPr>
          <w:rFonts w:ascii="Palatino Linotype" w:eastAsia="Times New Roman" w:hAnsi="Palatino Linotype" w:cs="Times New Roman"/>
          <w:sz w:val="24"/>
          <w:szCs w:val="24"/>
          <w:lang w:eastAsia="es-ES"/>
        </w:rPr>
        <w:t xml:space="preserve"> el o los documentos en donde conste lo siguiente:</w:t>
      </w:r>
    </w:p>
    <w:p w14:paraId="3AC63552" w14:textId="129CCFB9" w:rsidR="00635F14" w:rsidRPr="00635F14" w:rsidRDefault="00635F14"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bookmarkStart w:id="5" w:name="_Hlk49523963"/>
      <w:r>
        <w:rPr>
          <w:rFonts w:ascii="Palatino Linotype" w:eastAsia="Times New Roman" w:hAnsi="Palatino Linotype" w:cs="Times New Roman"/>
          <w:iCs/>
          <w:sz w:val="24"/>
          <w:szCs w:val="24"/>
          <w:lang w:val="es-ES_tradnl" w:eastAsia="es-ES"/>
        </w:rPr>
        <w:t xml:space="preserve">La </w:t>
      </w:r>
      <w:r w:rsidRPr="00635F14">
        <w:rPr>
          <w:rFonts w:ascii="Palatino Linotype" w:eastAsia="Times New Roman" w:hAnsi="Palatino Linotype" w:cs="Times New Roman"/>
          <w:iCs/>
          <w:sz w:val="24"/>
          <w:szCs w:val="24"/>
          <w:lang w:val="es-ES_tradnl" w:eastAsia="es-ES"/>
        </w:rPr>
        <w:t>relación de todos los correos institucionales del</w:t>
      </w:r>
      <w:r w:rsidR="004F4510">
        <w:rPr>
          <w:rFonts w:ascii="Palatino Linotype" w:eastAsia="Times New Roman" w:hAnsi="Palatino Linotype" w:cs="Times New Roman"/>
          <w:iCs/>
          <w:sz w:val="24"/>
          <w:szCs w:val="24"/>
          <w:lang w:val="es-ES_tradnl" w:eastAsia="es-ES"/>
        </w:rPr>
        <w:t xml:space="preserve"> A</w:t>
      </w:r>
      <w:r w:rsidRPr="00635F14">
        <w:rPr>
          <w:rFonts w:ascii="Palatino Linotype" w:eastAsia="Times New Roman" w:hAnsi="Palatino Linotype" w:cs="Times New Roman"/>
          <w:iCs/>
          <w:sz w:val="24"/>
          <w:szCs w:val="24"/>
          <w:lang w:val="es-ES_tradnl" w:eastAsia="es-ES"/>
        </w:rPr>
        <w:t xml:space="preserve">yuntamiento de </w:t>
      </w:r>
      <w:r w:rsidR="004F4510" w:rsidRPr="00635F14">
        <w:rPr>
          <w:rFonts w:ascii="Palatino Linotype" w:eastAsia="Times New Roman" w:hAnsi="Palatino Linotype" w:cs="Times New Roman"/>
          <w:iCs/>
          <w:sz w:val="24"/>
          <w:szCs w:val="24"/>
          <w:lang w:val="es-ES_tradnl" w:eastAsia="es-ES"/>
        </w:rPr>
        <w:t>Naucalpan</w:t>
      </w:r>
      <w:r w:rsidRPr="00635F14">
        <w:rPr>
          <w:rFonts w:ascii="Palatino Linotype" w:eastAsia="Times New Roman" w:hAnsi="Palatino Linotype" w:cs="Times New Roman"/>
          <w:iCs/>
          <w:sz w:val="24"/>
          <w:szCs w:val="24"/>
          <w:lang w:val="es-ES_tradnl" w:eastAsia="es-ES"/>
        </w:rPr>
        <w:t xml:space="preserve"> que están dados de alta a partir de enero de 2019.</w:t>
      </w:r>
    </w:p>
    <w:bookmarkEnd w:id="5"/>
    <w:p w14:paraId="2D3ABF5A" w14:textId="77777777" w:rsidR="004F4510" w:rsidRDefault="004F4510" w:rsidP="004F4510">
      <w:pPr>
        <w:spacing w:after="240" w:line="360" w:lineRule="auto"/>
        <w:jc w:val="both"/>
        <w:rPr>
          <w:rFonts w:ascii="Palatino Linotype" w:eastAsia="Times New Roman" w:hAnsi="Palatino Linotype" w:cs="Times New Roman"/>
          <w:sz w:val="24"/>
          <w:szCs w:val="24"/>
          <w:lang w:eastAsia="es-ES"/>
        </w:rPr>
      </w:pPr>
    </w:p>
    <w:p w14:paraId="7EFCD11F" w14:textId="41CBA8E7" w:rsidR="004F4510" w:rsidRPr="004F4510" w:rsidRDefault="004F4510" w:rsidP="004F4510">
      <w:pPr>
        <w:spacing w:after="240" w:line="360" w:lineRule="auto"/>
        <w:jc w:val="both"/>
        <w:rPr>
          <w:rFonts w:ascii="Palatino Linotype" w:eastAsia="Times New Roman" w:hAnsi="Palatino Linotype" w:cs="Times New Roman"/>
          <w:sz w:val="24"/>
          <w:szCs w:val="24"/>
          <w:lang w:eastAsia="es-ES"/>
        </w:rPr>
      </w:pPr>
      <w:r w:rsidRPr="004F4510">
        <w:rPr>
          <w:rFonts w:ascii="Palatino Linotype" w:eastAsia="Times New Roman" w:hAnsi="Palatino Linotype" w:cs="Times New Roman"/>
          <w:sz w:val="24"/>
          <w:szCs w:val="24"/>
          <w:lang w:eastAsia="es-ES"/>
        </w:rPr>
        <w:t xml:space="preserve">Asimismo, de la solicitud de información número </w:t>
      </w:r>
      <w:r w:rsidRPr="004F4510">
        <w:rPr>
          <w:rFonts w:ascii="Palatino Linotype" w:eastAsia="Times New Roman" w:hAnsi="Palatino Linotype" w:cs="Times New Roman"/>
          <w:b/>
          <w:bCs/>
          <w:sz w:val="24"/>
          <w:szCs w:val="24"/>
          <w:lang w:eastAsia="es-ES"/>
        </w:rPr>
        <w:t>00234/NAUCALPA/IP/2020</w:t>
      </w:r>
      <w:r>
        <w:rPr>
          <w:rFonts w:ascii="Palatino Linotype" w:eastAsia="Times New Roman" w:hAnsi="Palatino Linotype" w:cs="Times New Roman"/>
          <w:sz w:val="24"/>
          <w:szCs w:val="24"/>
          <w:lang w:eastAsia="es-ES"/>
        </w:rPr>
        <w:t xml:space="preserve"> </w:t>
      </w:r>
      <w:r w:rsidRPr="004F4510">
        <w:rPr>
          <w:rFonts w:ascii="Palatino Linotype" w:eastAsia="Times New Roman" w:hAnsi="Palatino Linotype" w:cs="Times New Roman"/>
          <w:sz w:val="24"/>
          <w:szCs w:val="24"/>
          <w:lang w:eastAsia="es-ES"/>
        </w:rPr>
        <w:t>requiere:</w:t>
      </w:r>
    </w:p>
    <w:p w14:paraId="09794C9E" w14:textId="01C62944" w:rsidR="004F4510" w:rsidRPr="00635F14" w:rsidRDefault="004F4510" w:rsidP="00100ADC">
      <w:pPr>
        <w:numPr>
          <w:ilvl w:val="0"/>
          <w:numId w:val="4"/>
        </w:numPr>
        <w:spacing w:after="240" w:line="360" w:lineRule="auto"/>
        <w:jc w:val="both"/>
        <w:rPr>
          <w:rFonts w:ascii="Palatino Linotype" w:eastAsia="Times New Roman" w:hAnsi="Palatino Linotype" w:cs="Times New Roman"/>
          <w:iCs/>
          <w:sz w:val="24"/>
          <w:szCs w:val="24"/>
          <w:lang w:val="es-ES" w:eastAsia="es-ES"/>
        </w:rPr>
      </w:pPr>
      <w:r>
        <w:rPr>
          <w:rFonts w:ascii="Palatino Linotype" w:eastAsia="Times New Roman" w:hAnsi="Palatino Linotype" w:cs="Times New Roman"/>
          <w:iCs/>
          <w:sz w:val="24"/>
          <w:szCs w:val="24"/>
          <w:lang w:eastAsia="es-ES"/>
        </w:rPr>
        <w:t>L</w:t>
      </w:r>
      <w:r w:rsidRPr="004F4510">
        <w:rPr>
          <w:rFonts w:ascii="Palatino Linotype" w:eastAsia="Times New Roman" w:hAnsi="Palatino Linotype" w:cs="Times New Roman"/>
          <w:iCs/>
          <w:sz w:val="24"/>
          <w:szCs w:val="24"/>
          <w:lang w:eastAsia="es-ES"/>
        </w:rPr>
        <w:t xml:space="preserve">os correos electrónicos que se hayan enviado a través de la cuenta de correo naaucalpan@itaipem.org.mx del </w:t>
      </w:r>
      <w:r w:rsidR="002A39F6">
        <w:rPr>
          <w:rFonts w:ascii="Palatino Linotype" w:eastAsia="Times New Roman" w:hAnsi="Palatino Linotype" w:cs="Times New Roman"/>
          <w:iCs/>
          <w:sz w:val="24"/>
          <w:szCs w:val="24"/>
          <w:lang w:eastAsia="es-ES"/>
        </w:rPr>
        <w:t>01</w:t>
      </w:r>
      <w:r w:rsidRPr="004F4510">
        <w:rPr>
          <w:rFonts w:ascii="Palatino Linotype" w:eastAsia="Times New Roman" w:hAnsi="Palatino Linotype" w:cs="Times New Roman"/>
          <w:iCs/>
          <w:sz w:val="24"/>
          <w:szCs w:val="24"/>
          <w:lang w:eastAsia="es-ES"/>
        </w:rPr>
        <w:t xml:space="preserve"> de enero de 2019 al 24 de febrero del 2020</w:t>
      </w:r>
      <w:r w:rsidRPr="00635F14">
        <w:rPr>
          <w:rFonts w:ascii="Palatino Linotype" w:eastAsia="Times New Roman" w:hAnsi="Palatino Linotype" w:cs="Times New Roman"/>
          <w:iCs/>
          <w:sz w:val="24"/>
          <w:szCs w:val="24"/>
          <w:lang w:val="es-ES_tradnl" w:eastAsia="es-ES"/>
        </w:rPr>
        <w:t>.</w:t>
      </w: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584718">
        <w:rPr>
          <w:rFonts w:ascii="Palatino Linotype" w:hAnsi="Palatino Linotype" w:cs="Arial"/>
        </w:rPr>
        <w:lastRenderedPageBreak/>
        <w:t>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2A29BEEA" w:rsidR="003D68B6" w:rsidRDefault="003D68B6" w:rsidP="003D68B6">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E8DED1B" w14:textId="45CDE3F9" w:rsidR="002A39F6" w:rsidRDefault="002A39F6" w:rsidP="003D68B6">
      <w:pPr>
        <w:pStyle w:val="Prrafodelista"/>
        <w:autoSpaceDE w:val="0"/>
        <w:autoSpaceDN w:val="0"/>
        <w:adjustRightInd w:val="0"/>
        <w:spacing w:line="360" w:lineRule="auto"/>
        <w:ind w:left="0"/>
        <w:jc w:val="both"/>
        <w:rPr>
          <w:rFonts w:ascii="Palatino Linotype" w:hAnsi="Palatino Linotype"/>
        </w:rPr>
      </w:pPr>
    </w:p>
    <w:p w14:paraId="06AFA605" w14:textId="67EF0765" w:rsidR="002A39F6" w:rsidRDefault="00F96D08"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Señalado lo anterior, debemos destacar que, en lo que respecta a la solicitud de información con número de folio</w:t>
      </w:r>
      <w:r w:rsidRPr="00F96D08">
        <w:t xml:space="preserve"> </w:t>
      </w:r>
      <w:r w:rsidRPr="00F96D08">
        <w:rPr>
          <w:rFonts w:ascii="Palatino Linotype" w:hAnsi="Palatino Linotype"/>
          <w:b/>
          <w:bCs/>
        </w:rPr>
        <w:t>00234/NAUCALPA/IP/2020</w:t>
      </w:r>
      <w:r w:rsidR="00B729C9">
        <w:rPr>
          <w:rFonts w:ascii="Palatino Linotype" w:hAnsi="Palatino Linotype"/>
          <w:b/>
          <w:bCs/>
        </w:rPr>
        <w:t xml:space="preserve"> r</w:t>
      </w:r>
      <w:r w:rsidR="00B729C9">
        <w:rPr>
          <w:rFonts w:ascii="Palatino Linotype" w:hAnsi="Palatino Linotype"/>
        </w:rPr>
        <w:t xml:space="preserve">eferente a </w:t>
      </w:r>
      <w:bookmarkStart w:id="6" w:name="_Hlk50032080"/>
      <w:r w:rsidR="00B729C9" w:rsidRPr="00B729C9">
        <w:rPr>
          <w:rFonts w:ascii="Palatino Linotype" w:hAnsi="Palatino Linotype"/>
        </w:rPr>
        <w:t xml:space="preserve">los correos electrónicos </w:t>
      </w:r>
      <w:r w:rsidR="00B729C9">
        <w:rPr>
          <w:rFonts w:ascii="Palatino Linotype" w:hAnsi="Palatino Linotype"/>
        </w:rPr>
        <w:t xml:space="preserve">enviados </w:t>
      </w:r>
      <w:r w:rsidR="00B729C9" w:rsidRPr="00B729C9">
        <w:rPr>
          <w:rFonts w:ascii="Palatino Linotype" w:hAnsi="Palatino Linotype"/>
        </w:rPr>
        <w:t xml:space="preserve">de la cuenta de correo naaucalpan@itaipem.org.mx del </w:t>
      </w:r>
      <w:r w:rsidR="00B729C9">
        <w:rPr>
          <w:rFonts w:ascii="Palatino Linotype" w:hAnsi="Palatino Linotype"/>
        </w:rPr>
        <w:t xml:space="preserve">periodo que comprende del 01 de enero </w:t>
      </w:r>
      <w:r w:rsidR="00B729C9" w:rsidRPr="00B729C9">
        <w:rPr>
          <w:rFonts w:ascii="Palatino Linotype" w:hAnsi="Palatino Linotype"/>
        </w:rPr>
        <w:t>de 2019 al 24 de febrero de 2020</w:t>
      </w:r>
      <w:bookmarkEnd w:id="6"/>
      <w:r>
        <w:rPr>
          <w:rFonts w:ascii="Palatino Linotype" w:hAnsi="Palatino Linotype"/>
          <w:b/>
          <w:bCs/>
        </w:rPr>
        <w:t xml:space="preserve">, el Sujeto Obligado </w:t>
      </w:r>
      <w:r w:rsidRPr="00F96D08">
        <w:rPr>
          <w:rFonts w:ascii="Palatino Linotype" w:hAnsi="Palatino Linotype"/>
        </w:rPr>
        <w:t>rindió manifestaciones en la etapa procesal oportuna</w:t>
      </w:r>
      <w:r>
        <w:rPr>
          <w:rFonts w:ascii="Palatino Linotype" w:hAnsi="Palatino Linotype"/>
        </w:rPr>
        <w:t>, remitiendo para tal efecto el archivo electrónico denominado “</w:t>
      </w:r>
      <w:r w:rsidRPr="00F96D08">
        <w:rPr>
          <w:rFonts w:ascii="Palatino Linotype" w:hAnsi="Palatino Linotype"/>
          <w:b/>
          <w:bCs/>
        </w:rPr>
        <w:t>UTAIP02182020.pdf</w:t>
      </w:r>
      <w:r>
        <w:rPr>
          <w:rFonts w:ascii="Palatino Linotype" w:hAnsi="Palatino Linotype"/>
        </w:rPr>
        <w:t>”</w:t>
      </w:r>
      <w:r w:rsidR="00B729C9">
        <w:rPr>
          <w:rFonts w:ascii="Palatino Linotype" w:hAnsi="Palatino Linotype" w:cs="Arial"/>
        </w:rPr>
        <w:t xml:space="preserve"> del cual se desprende lo siguiente:</w:t>
      </w:r>
    </w:p>
    <w:p w14:paraId="2AC681EE" w14:textId="660CC178" w:rsidR="003D68B6" w:rsidRDefault="00B729C9" w:rsidP="00B729C9">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noProof/>
          <w:lang w:val="es-MX" w:eastAsia="es-MX"/>
        </w:rPr>
        <w:lastRenderedPageBreak/>
        <mc:AlternateContent>
          <mc:Choice Requires="wps">
            <w:drawing>
              <wp:anchor distT="0" distB="0" distL="114300" distR="114300" simplePos="0" relativeHeight="251677696" behindDoc="0" locked="0" layoutInCell="1" allowOverlap="1" wp14:anchorId="43607E54" wp14:editId="62515A94">
                <wp:simplePos x="0" y="0"/>
                <wp:positionH relativeFrom="page">
                  <wp:posOffset>2257501</wp:posOffset>
                </wp:positionH>
                <wp:positionV relativeFrom="paragraph">
                  <wp:posOffset>1791259</wp:posOffset>
                </wp:positionV>
                <wp:extent cx="3490798" cy="509371"/>
                <wp:effectExtent l="19050" t="19050" r="14605" b="24130"/>
                <wp:wrapNone/>
                <wp:docPr id="11" name="Rectángulo 11"/>
                <wp:cNvGraphicFramePr/>
                <a:graphic xmlns:a="http://schemas.openxmlformats.org/drawingml/2006/main">
                  <a:graphicData uri="http://schemas.microsoft.com/office/word/2010/wordprocessingShape">
                    <wps:wsp>
                      <wps:cNvSpPr/>
                      <wps:spPr>
                        <a:xfrm>
                          <a:off x="0" y="0"/>
                          <a:ext cx="3490798" cy="509371"/>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1DF88" id="Rectángulo 11" o:spid="_x0000_s1026" style="position:absolute;margin-left:177.75pt;margin-top:141.05pt;width:274.85pt;height:40.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" filled="f" strokecolor="#c00000" strokeweight="2.25pt">
                <w10:wrap anchorx="page"/>
              </v:rect>
            </w:pict>
          </mc:Fallback>
        </mc:AlternateContent>
      </w:r>
      <w:r w:rsidRPr="00B729C9">
        <w:rPr>
          <w:rFonts w:ascii="Palatino Linotype" w:hAnsi="Palatino Linotype" w:cs="Arial"/>
          <w:noProof/>
          <w:lang w:val="es-MX" w:eastAsia="es-MX"/>
        </w:rPr>
        <w:drawing>
          <wp:inline distT="0" distB="0" distL="0" distR="0" wp14:anchorId="01D5732C" wp14:editId="1781C1A8">
            <wp:extent cx="3576060" cy="2298896"/>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8585" cy="2306948"/>
                    </a:xfrm>
                    <a:prstGeom prst="rect">
                      <a:avLst/>
                    </a:prstGeom>
                  </pic:spPr>
                </pic:pic>
              </a:graphicData>
            </a:graphic>
          </wp:inline>
        </w:drawing>
      </w:r>
    </w:p>
    <w:p w14:paraId="1D865A6C" w14:textId="77777777" w:rsidR="005B47EA" w:rsidRDefault="005B47EA" w:rsidP="00B729C9">
      <w:pPr>
        <w:spacing w:after="0" w:line="360" w:lineRule="auto"/>
        <w:jc w:val="both"/>
        <w:rPr>
          <w:rFonts w:ascii="Palatino Linotype" w:eastAsia="Calibri" w:hAnsi="Palatino Linotype" w:cs="Times New Roman"/>
          <w:sz w:val="24"/>
          <w:szCs w:val="24"/>
          <w:lang w:eastAsia="es-MX"/>
        </w:rPr>
      </w:pPr>
    </w:p>
    <w:p w14:paraId="4CEE1F70" w14:textId="73D196F5" w:rsidR="00B729C9" w:rsidRDefault="00B729C9" w:rsidP="00B729C9">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lang w:eastAsia="es-MX"/>
        </w:rPr>
        <w:t>De la información remitida por el Sujeto Obligado mediante informe justificado</w:t>
      </w:r>
      <w:r w:rsidRPr="00B729C9">
        <w:rPr>
          <w:rFonts w:ascii="Palatino Linotype" w:eastAsia="Calibri" w:hAnsi="Palatino Linotype" w:cs="Times New Roman"/>
          <w:sz w:val="24"/>
          <w:szCs w:val="24"/>
          <w:lang w:eastAsia="es-MX"/>
        </w:rPr>
        <w:t xml:space="preserve">, </w:t>
      </w:r>
      <w:r w:rsidR="005B47EA">
        <w:rPr>
          <w:rFonts w:ascii="Palatino Linotype" w:eastAsia="Calibri" w:hAnsi="Palatino Linotype" w:cs="Times New Roman"/>
          <w:sz w:val="24"/>
          <w:szCs w:val="24"/>
          <w:lang w:eastAsia="es-MX"/>
        </w:rPr>
        <w:t>con la cual pretende colmar</w:t>
      </w:r>
      <w:r w:rsidRPr="00B729C9">
        <w:rPr>
          <w:rFonts w:ascii="Palatino Linotype" w:eastAsia="Calibri" w:hAnsi="Palatino Linotype" w:cs="Times New Roman"/>
          <w:sz w:val="24"/>
          <w:szCs w:val="24"/>
          <w:lang w:eastAsia="es-MX"/>
        </w:rPr>
        <w:t xml:space="preserve"> </w:t>
      </w:r>
      <w:r w:rsidR="00B5724B">
        <w:rPr>
          <w:rFonts w:ascii="Palatino Linotype" w:eastAsia="Calibri" w:hAnsi="Palatino Linotype" w:cs="Times New Roman"/>
          <w:sz w:val="24"/>
          <w:szCs w:val="24"/>
          <w:lang w:eastAsia="es-MX"/>
        </w:rPr>
        <w:t>el requerimiento de la</w:t>
      </w:r>
      <w:r w:rsidRPr="00B729C9">
        <w:rPr>
          <w:rFonts w:ascii="Palatino Linotype" w:eastAsia="Calibri" w:hAnsi="Palatino Linotype" w:cs="Times New Roman"/>
          <w:sz w:val="24"/>
          <w:szCs w:val="24"/>
          <w:lang w:eastAsia="es-MX"/>
        </w:rPr>
        <w:t xml:space="preserve"> solicitud de información</w:t>
      </w:r>
      <w:r w:rsidRPr="00B729C9">
        <w:rPr>
          <w:rFonts w:ascii="Palatino Linotype" w:eastAsia="Calibri" w:hAnsi="Palatino Linotype" w:cs="Times New Roman"/>
          <w:b/>
          <w:sz w:val="24"/>
          <w:szCs w:val="24"/>
          <w:lang w:eastAsia="es-MX"/>
        </w:rPr>
        <w:t xml:space="preserve">, </w:t>
      </w:r>
      <w:r w:rsidRPr="00B729C9">
        <w:rPr>
          <w:rFonts w:ascii="Palatino Linotype" w:eastAsia="Calibri" w:hAnsi="Palatino Linotype" w:cs="Times New Roman"/>
          <w:bCs/>
          <w:sz w:val="24"/>
          <w:szCs w:val="24"/>
          <w:lang w:eastAsia="es-MX"/>
        </w:rPr>
        <w:t xml:space="preserve">correspondiente a </w:t>
      </w:r>
      <w:r w:rsidR="00B5724B" w:rsidRPr="00B5724B">
        <w:rPr>
          <w:rFonts w:ascii="Palatino Linotype" w:eastAsia="Calibri" w:hAnsi="Palatino Linotype" w:cs="Times New Roman"/>
          <w:bCs/>
          <w:sz w:val="24"/>
          <w:szCs w:val="24"/>
          <w:lang w:eastAsia="es-MX"/>
        </w:rPr>
        <w:t xml:space="preserve">los correos electrónicos enviados de la cuenta </w:t>
      </w:r>
      <w:hyperlink r:id="rId13" w:history="1">
        <w:r w:rsidR="00B5724B" w:rsidRPr="00A3799F">
          <w:rPr>
            <w:rStyle w:val="Hipervnculo"/>
            <w:rFonts w:ascii="Palatino Linotype" w:eastAsia="Calibri" w:hAnsi="Palatino Linotype" w:cs="Times New Roman"/>
            <w:bCs/>
            <w:sz w:val="24"/>
            <w:szCs w:val="24"/>
            <w:lang w:eastAsia="es-MX"/>
          </w:rPr>
          <w:t>naaucalpan@itaipem.org.mx</w:t>
        </w:r>
      </w:hyperlink>
      <w:r w:rsidR="00B5724B">
        <w:rPr>
          <w:rFonts w:ascii="Palatino Linotype" w:eastAsia="Calibri" w:hAnsi="Palatino Linotype" w:cs="Times New Roman"/>
          <w:bCs/>
          <w:sz w:val="24"/>
          <w:szCs w:val="24"/>
          <w:lang w:eastAsia="es-MX"/>
        </w:rPr>
        <w:t xml:space="preserve"> por el periodo señalado</w:t>
      </w:r>
      <w:r w:rsidRPr="00B729C9">
        <w:rPr>
          <w:rFonts w:ascii="Palatino Linotype" w:eastAsia="Calibri" w:hAnsi="Palatino Linotype" w:cs="Times New Roman"/>
          <w:sz w:val="24"/>
          <w:szCs w:val="24"/>
          <w:lang w:eastAsia="es-MX"/>
        </w:rPr>
        <w:t xml:space="preserve">, </w:t>
      </w:r>
      <w:r w:rsidR="005B47EA">
        <w:rPr>
          <w:rFonts w:ascii="Palatino Linotype" w:eastAsia="Calibri" w:hAnsi="Palatino Linotype" w:cs="Times New Roman"/>
          <w:sz w:val="24"/>
          <w:szCs w:val="24"/>
          <w:lang w:eastAsia="es-MX"/>
        </w:rPr>
        <w:t>informando que</w:t>
      </w:r>
      <w:r w:rsidR="00B5724B">
        <w:rPr>
          <w:rFonts w:ascii="Palatino Linotype" w:eastAsia="Calibri" w:hAnsi="Palatino Linotype" w:cs="Times New Roman"/>
          <w:sz w:val="24"/>
          <w:szCs w:val="24"/>
          <w:lang w:eastAsia="es-MX"/>
        </w:rPr>
        <w:t xml:space="preserve"> la cuenta proporcionada, no es administrada por el Sujeto Obligado, y por ello</w:t>
      </w:r>
      <w:r w:rsidRPr="00B729C9">
        <w:rPr>
          <w:rFonts w:ascii="Palatino Linotype" w:eastAsia="Calibri" w:hAnsi="Palatino Linotype" w:cs="Times New Roman"/>
          <w:sz w:val="24"/>
          <w:szCs w:val="24"/>
          <w:lang w:eastAsia="es-MX"/>
        </w:rPr>
        <w:t xml:space="preserve"> </w:t>
      </w:r>
      <w:r w:rsidR="00B5724B" w:rsidRPr="00B5724B">
        <w:rPr>
          <w:rFonts w:ascii="Palatino Linotype" w:eastAsia="Calibri" w:hAnsi="Palatino Linotype" w:cs="Times New Roman"/>
          <w:sz w:val="24"/>
          <w:szCs w:val="24"/>
          <w:lang w:eastAsia="es-MX"/>
        </w:rPr>
        <w:t xml:space="preserve">se encuentran imposibilitados para atender la petición del </w:t>
      </w:r>
      <w:r w:rsidR="00B5724B">
        <w:rPr>
          <w:rFonts w:ascii="Palatino Linotype" w:eastAsia="Calibri" w:hAnsi="Palatino Linotype" w:cs="Times New Roman"/>
          <w:sz w:val="24"/>
          <w:szCs w:val="24"/>
          <w:lang w:eastAsia="es-MX"/>
        </w:rPr>
        <w:t>R</w:t>
      </w:r>
      <w:r w:rsidR="00B5724B" w:rsidRPr="00B5724B">
        <w:rPr>
          <w:rFonts w:ascii="Palatino Linotype" w:eastAsia="Calibri" w:hAnsi="Palatino Linotype" w:cs="Times New Roman"/>
          <w:sz w:val="24"/>
          <w:szCs w:val="24"/>
          <w:lang w:eastAsia="es-MX"/>
        </w:rPr>
        <w:t>ecurrente</w:t>
      </w:r>
      <w:r w:rsidRPr="00B729C9">
        <w:rPr>
          <w:rFonts w:ascii="Palatino Linotype" w:eastAsia="Times New Roman" w:hAnsi="Palatino Linotype" w:cs="Arial"/>
          <w:sz w:val="24"/>
          <w:szCs w:val="24"/>
          <w:lang w:eastAsia="es-ES"/>
        </w:rPr>
        <w:t xml:space="preserve">, por lo cual, </w:t>
      </w:r>
      <w:r w:rsidR="005B47EA">
        <w:rPr>
          <w:rFonts w:ascii="Palatino Linotype" w:eastAsia="Times New Roman" w:hAnsi="Palatino Linotype" w:cs="Arial"/>
          <w:sz w:val="24"/>
          <w:szCs w:val="24"/>
          <w:lang w:eastAsia="es-ES"/>
        </w:rPr>
        <w:t xml:space="preserve">si bien, </w:t>
      </w:r>
      <w:r w:rsidRPr="00B729C9">
        <w:rPr>
          <w:rFonts w:ascii="Palatino Linotype" w:eastAsia="Times New Roman" w:hAnsi="Palatino Linotype" w:cs="Arial"/>
          <w:sz w:val="24"/>
          <w:szCs w:val="24"/>
          <w:lang w:eastAsia="es-ES"/>
        </w:rPr>
        <w:t xml:space="preserve">debe señalarse que la manifestación vertida por </w:t>
      </w:r>
      <w:r w:rsidRPr="00B729C9">
        <w:rPr>
          <w:rFonts w:ascii="Palatino Linotype" w:eastAsia="Times New Roman" w:hAnsi="Palatino Linotype" w:cs="Arial"/>
          <w:b/>
          <w:sz w:val="24"/>
          <w:szCs w:val="24"/>
          <w:lang w:eastAsia="es-ES"/>
        </w:rPr>
        <w:t>el Sujeto Obligado</w:t>
      </w:r>
      <w:r w:rsidRPr="00B729C9">
        <w:rPr>
          <w:rFonts w:ascii="Palatino Linotype" w:eastAsia="Times New Roman" w:hAnsi="Palatino Linotype" w:cs="Times New Roman"/>
          <w:b/>
          <w:sz w:val="24"/>
          <w:szCs w:val="24"/>
          <w:lang w:eastAsia="es-ES"/>
        </w:rPr>
        <w:t xml:space="preserve"> </w:t>
      </w:r>
      <w:r w:rsidRPr="00B729C9">
        <w:rPr>
          <w:rFonts w:ascii="Palatino Linotype" w:eastAsia="Times New Roman" w:hAnsi="Palatino Linotype" w:cs="Times New Roman"/>
          <w:sz w:val="24"/>
          <w:szCs w:val="24"/>
          <w:lang w:eastAsia="es-ES"/>
        </w:rPr>
        <w:t xml:space="preserve">en su respuesta primigenia, constituye una expresión en sentido negativo, en virtud de referir que no </w:t>
      </w:r>
      <w:r w:rsidR="005B47EA">
        <w:rPr>
          <w:rFonts w:ascii="Palatino Linotype" w:eastAsia="Times New Roman" w:hAnsi="Palatino Linotype" w:cs="Times New Roman"/>
          <w:sz w:val="24"/>
          <w:szCs w:val="24"/>
          <w:lang w:eastAsia="es-ES"/>
        </w:rPr>
        <w:t>se</w:t>
      </w:r>
      <w:r w:rsidRPr="00B729C9">
        <w:rPr>
          <w:rFonts w:ascii="Palatino Linotype" w:eastAsia="Times New Roman" w:hAnsi="Palatino Linotype" w:cs="Times New Roman"/>
          <w:sz w:val="24"/>
          <w:szCs w:val="24"/>
          <w:lang w:eastAsia="es-ES"/>
        </w:rPr>
        <w:t xml:space="preserve"> </w:t>
      </w:r>
      <w:r w:rsidR="00B5724B">
        <w:rPr>
          <w:rFonts w:ascii="Palatino Linotype" w:eastAsia="Times New Roman" w:hAnsi="Palatino Linotype" w:cs="Times New Roman"/>
          <w:sz w:val="24"/>
          <w:szCs w:val="24"/>
          <w:lang w:eastAsia="es-ES"/>
        </w:rPr>
        <w:t>administra la cuenta de correo electrónico de la cual el particular requiere la información</w:t>
      </w:r>
      <w:r w:rsidR="005B47EA">
        <w:rPr>
          <w:rFonts w:ascii="Palatino Linotype" w:eastAsia="Times New Roman" w:hAnsi="Palatino Linotype" w:cs="Times New Roman"/>
          <w:sz w:val="24"/>
          <w:szCs w:val="24"/>
          <w:lang w:eastAsia="es-ES"/>
        </w:rPr>
        <w:t xml:space="preserve">, </w:t>
      </w:r>
      <w:r w:rsidR="005B47EA" w:rsidRPr="005B47EA">
        <w:rPr>
          <w:rFonts w:ascii="Palatino Linotype" w:eastAsia="Times New Roman" w:hAnsi="Palatino Linotype" w:cs="Times New Roman"/>
          <w:sz w:val="24"/>
          <w:szCs w:val="24"/>
          <w:lang w:eastAsia="es-ES"/>
        </w:rPr>
        <w:t xml:space="preserve">esta Ponencia se dio a la tarea de investigar en la página de Información Pública de Oficio Mexiquense (IPOMEX) del Ayuntamiento de </w:t>
      </w:r>
      <w:r w:rsidR="005B47EA">
        <w:rPr>
          <w:rFonts w:ascii="Palatino Linotype" w:eastAsia="Times New Roman" w:hAnsi="Palatino Linotype" w:cs="Times New Roman"/>
          <w:sz w:val="24"/>
          <w:szCs w:val="24"/>
          <w:lang w:eastAsia="es-ES"/>
        </w:rPr>
        <w:t>Naucalpan de Juárez</w:t>
      </w:r>
      <w:r w:rsidR="005B47EA" w:rsidRPr="005B47EA">
        <w:rPr>
          <w:rFonts w:ascii="Palatino Linotype" w:eastAsia="Times New Roman" w:hAnsi="Palatino Linotype" w:cs="Times New Roman"/>
          <w:sz w:val="24"/>
          <w:szCs w:val="24"/>
          <w:lang w:eastAsia="es-ES"/>
        </w:rPr>
        <w:t xml:space="preserve">, lo relativo al </w:t>
      </w:r>
      <w:r w:rsidR="005B47EA">
        <w:rPr>
          <w:rFonts w:ascii="Palatino Linotype" w:eastAsia="Times New Roman" w:hAnsi="Palatino Linotype" w:cs="Times New Roman"/>
          <w:sz w:val="24"/>
          <w:szCs w:val="24"/>
          <w:lang w:eastAsia="es-ES"/>
        </w:rPr>
        <w:t xml:space="preserve">correo electrónico institucional publicado </w:t>
      </w:r>
      <w:r w:rsidR="00C67267">
        <w:rPr>
          <w:rFonts w:ascii="Palatino Linotype" w:eastAsia="Times New Roman" w:hAnsi="Palatino Linotype" w:cs="Times New Roman"/>
          <w:sz w:val="24"/>
          <w:szCs w:val="24"/>
          <w:lang w:eastAsia="es-ES"/>
        </w:rPr>
        <w:t>en los datos de contacto d</w:t>
      </w:r>
      <w:r w:rsidR="005B47EA">
        <w:rPr>
          <w:rFonts w:ascii="Palatino Linotype" w:eastAsia="Times New Roman" w:hAnsi="Palatino Linotype" w:cs="Times New Roman"/>
          <w:sz w:val="24"/>
          <w:szCs w:val="24"/>
          <w:lang w:eastAsia="es-ES"/>
        </w:rPr>
        <w:t>el área de la Unidad de Transparencia</w:t>
      </w:r>
      <w:r w:rsidR="005B47EA" w:rsidRPr="005B47EA">
        <w:rPr>
          <w:rFonts w:ascii="Palatino Linotype" w:eastAsia="Times New Roman" w:hAnsi="Palatino Linotype" w:cs="Times New Roman"/>
          <w:sz w:val="24"/>
          <w:szCs w:val="24"/>
          <w:lang w:eastAsia="es-ES"/>
        </w:rPr>
        <w:t>, de conformidad con la siguiente captura de pantalla</w:t>
      </w:r>
      <w:r w:rsidR="00C67267">
        <w:rPr>
          <w:rFonts w:ascii="Palatino Linotype" w:eastAsia="Times New Roman" w:hAnsi="Palatino Linotype" w:cs="Times New Roman"/>
          <w:sz w:val="24"/>
          <w:szCs w:val="24"/>
          <w:lang w:eastAsia="es-ES"/>
        </w:rPr>
        <w:t>:</w:t>
      </w:r>
    </w:p>
    <w:p w14:paraId="4E235AF2" w14:textId="3D64D406" w:rsidR="00C67267" w:rsidRDefault="00C67267" w:rsidP="00B729C9">
      <w:pPr>
        <w:spacing w:after="0" w:line="360" w:lineRule="auto"/>
        <w:jc w:val="both"/>
        <w:rPr>
          <w:rFonts w:ascii="Palatino Linotype" w:eastAsia="Times New Roman" w:hAnsi="Palatino Linotype" w:cs="Times New Roman"/>
          <w:sz w:val="24"/>
          <w:szCs w:val="24"/>
          <w:lang w:eastAsia="es-ES"/>
        </w:rPr>
      </w:pPr>
    </w:p>
    <w:p w14:paraId="6026C969" w14:textId="6FC6A497" w:rsidR="00C67267" w:rsidRPr="00B729C9" w:rsidRDefault="00C67267" w:rsidP="00C67267">
      <w:pPr>
        <w:spacing w:after="0" w:line="360" w:lineRule="auto"/>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lastRenderedPageBreak/>
        <mc:AlternateContent>
          <mc:Choice Requires="wps">
            <w:drawing>
              <wp:anchor distT="0" distB="0" distL="114300" distR="114300" simplePos="0" relativeHeight="251678720" behindDoc="0" locked="0" layoutInCell="1" allowOverlap="1" wp14:anchorId="32A517E9" wp14:editId="6E5EA979">
                <wp:simplePos x="0" y="0"/>
                <wp:positionH relativeFrom="column">
                  <wp:posOffset>265862</wp:posOffset>
                </wp:positionH>
                <wp:positionV relativeFrom="paragraph">
                  <wp:posOffset>5156886</wp:posOffset>
                </wp:positionV>
                <wp:extent cx="2962046" cy="197510"/>
                <wp:effectExtent l="0" t="0" r="10160" b="12065"/>
                <wp:wrapNone/>
                <wp:docPr id="6" name="Rectángulo 6"/>
                <wp:cNvGraphicFramePr/>
                <a:graphic xmlns:a="http://schemas.openxmlformats.org/drawingml/2006/main">
                  <a:graphicData uri="http://schemas.microsoft.com/office/word/2010/wordprocessingShape">
                    <wps:wsp>
                      <wps:cNvSpPr/>
                      <wps:spPr>
                        <a:xfrm>
                          <a:off x="0" y="0"/>
                          <a:ext cx="2962046" cy="197510"/>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7A8757" id="Rectángulo 6" o:spid="_x0000_s1026" style="position:absolute;margin-left:20.95pt;margin-top:406.05pt;width:233.25pt;height:15.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" filled="f" strokecolor="#c00000" strokeweight="1.5pt"/>
            </w:pict>
          </mc:Fallback>
        </mc:AlternateContent>
      </w:r>
      <w:r w:rsidRPr="00C67267">
        <w:rPr>
          <w:rFonts w:ascii="Palatino Linotype" w:eastAsia="Times New Roman" w:hAnsi="Palatino Linotype" w:cs="Times New Roman"/>
          <w:noProof/>
          <w:sz w:val="24"/>
          <w:szCs w:val="24"/>
          <w:lang w:eastAsia="es-MX"/>
        </w:rPr>
        <w:drawing>
          <wp:inline distT="0" distB="0" distL="0" distR="0" wp14:anchorId="36ADE503" wp14:editId="59636012">
            <wp:extent cx="5508345" cy="5835615"/>
            <wp:effectExtent l="190500" t="190500" r="187960" b="1847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5460" cy="5843153"/>
                    </a:xfrm>
                    <a:prstGeom prst="rect">
                      <a:avLst/>
                    </a:prstGeom>
                    <a:effectLst>
                      <a:outerShdw blurRad="190500" algn="ctr" rotWithShape="0">
                        <a:prstClr val="black">
                          <a:alpha val="70000"/>
                        </a:prstClr>
                      </a:outerShdw>
                    </a:effectLst>
                  </pic:spPr>
                </pic:pic>
              </a:graphicData>
            </a:graphic>
          </wp:inline>
        </w:drawing>
      </w:r>
    </w:p>
    <w:p w14:paraId="6638FC61" w14:textId="77777777" w:rsidR="00B729C9" w:rsidRPr="00B729C9" w:rsidRDefault="00B729C9" w:rsidP="00B729C9">
      <w:pPr>
        <w:spacing w:after="0" w:line="360" w:lineRule="auto"/>
        <w:jc w:val="both"/>
        <w:rPr>
          <w:rFonts w:ascii="Palatino Linotype" w:eastAsia="Calibri" w:hAnsi="Palatino Linotype" w:cs="Times New Roman"/>
          <w:sz w:val="24"/>
          <w:szCs w:val="24"/>
          <w:lang w:eastAsia="es-MX"/>
        </w:rPr>
      </w:pPr>
    </w:p>
    <w:p w14:paraId="0A3BCAEF" w14:textId="0FA77C4D" w:rsidR="00B47F50" w:rsidRDefault="00B47F50" w:rsidP="00B47F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la imagen referida con anterioridad, podemos adv</w:t>
      </w:r>
      <w:r w:rsidR="00C25ED8">
        <w:rPr>
          <w:rFonts w:ascii="Palatino Linotype" w:eastAsia="Times New Roman" w:hAnsi="Palatino Linotype" w:cs="Arial"/>
          <w:sz w:val="24"/>
          <w:szCs w:val="24"/>
          <w:lang w:val="es-ES" w:eastAsia="es-ES"/>
        </w:rPr>
        <w:t xml:space="preserve">ertir que, dentro de la información publicada de la Unidad de Transparencia del Municipio de Naucalpan de </w:t>
      </w:r>
      <w:r w:rsidR="00C25ED8">
        <w:rPr>
          <w:rFonts w:ascii="Palatino Linotype" w:eastAsia="Times New Roman" w:hAnsi="Palatino Linotype" w:cs="Arial"/>
          <w:sz w:val="24"/>
          <w:szCs w:val="24"/>
          <w:lang w:val="es-ES" w:eastAsia="es-ES"/>
        </w:rPr>
        <w:lastRenderedPageBreak/>
        <w:t xml:space="preserve">Juárez, encontramos el correo electrónico oficial de dicha unidad administrativa, que corresponde a la dirección: </w:t>
      </w:r>
      <w:hyperlink r:id="rId15" w:history="1">
        <w:r w:rsidR="00C25ED8" w:rsidRPr="00266A3A">
          <w:rPr>
            <w:rStyle w:val="Hipervnculo"/>
            <w:rFonts w:ascii="Palatino Linotype" w:eastAsia="Times New Roman" w:hAnsi="Palatino Linotype" w:cs="Arial"/>
            <w:sz w:val="24"/>
            <w:szCs w:val="24"/>
            <w:lang w:val="es-ES" w:eastAsia="es-ES"/>
          </w:rPr>
          <w:t>naucalpan@itaipem.org.mx</w:t>
        </w:r>
      </w:hyperlink>
      <w:r w:rsidR="00C25ED8">
        <w:rPr>
          <w:rFonts w:ascii="Palatino Linotype" w:eastAsia="Times New Roman" w:hAnsi="Palatino Linotype" w:cs="Arial"/>
          <w:sz w:val="24"/>
          <w:szCs w:val="24"/>
          <w:lang w:val="es-ES" w:eastAsia="es-ES"/>
        </w:rPr>
        <w:t>, en virtud de ello, debemos precisar que si bien el Recurrente</w:t>
      </w:r>
      <w:r w:rsidR="001979B9">
        <w:rPr>
          <w:rFonts w:ascii="Palatino Linotype" w:eastAsia="Times New Roman" w:hAnsi="Palatino Linotype" w:cs="Arial"/>
          <w:sz w:val="24"/>
          <w:szCs w:val="24"/>
          <w:lang w:val="es-ES" w:eastAsia="es-ES"/>
        </w:rPr>
        <w:t xml:space="preserve"> señaló</w:t>
      </w:r>
      <w:r w:rsidR="00C25ED8">
        <w:rPr>
          <w:rFonts w:ascii="Palatino Linotype" w:eastAsia="Times New Roman" w:hAnsi="Palatino Linotype" w:cs="Arial"/>
          <w:sz w:val="24"/>
          <w:szCs w:val="24"/>
          <w:lang w:val="es-ES" w:eastAsia="es-ES"/>
        </w:rPr>
        <w:t xml:space="preserve"> en su solicitud de información la cuenta </w:t>
      </w:r>
      <w:hyperlink r:id="rId16" w:history="1">
        <w:r w:rsidR="00C25ED8" w:rsidRPr="00266A3A">
          <w:rPr>
            <w:rStyle w:val="Hipervnculo"/>
            <w:rFonts w:ascii="Palatino Linotype" w:eastAsia="Times New Roman" w:hAnsi="Palatino Linotype" w:cs="Arial"/>
            <w:sz w:val="24"/>
            <w:szCs w:val="24"/>
            <w:lang w:val="es-ES" w:eastAsia="es-ES"/>
          </w:rPr>
          <w:t>naaucalpan@itaipem.org.mx</w:t>
        </w:r>
      </w:hyperlink>
      <w:r w:rsidR="00C25ED8">
        <w:rPr>
          <w:rFonts w:ascii="Palatino Linotype" w:eastAsia="Times New Roman" w:hAnsi="Palatino Linotype" w:cs="Arial"/>
          <w:sz w:val="24"/>
          <w:szCs w:val="24"/>
          <w:lang w:val="es-ES" w:eastAsia="es-ES"/>
        </w:rPr>
        <w:t>, existe la posibilidad que por un erro</w:t>
      </w:r>
      <w:r w:rsidR="001979B9">
        <w:rPr>
          <w:rFonts w:ascii="Palatino Linotype" w:eastAsia="Times New Roman" w:hAnsi="Palatino Linotype" w:cs="Arial"/>
          <w:sz w:val="24"/>
          <w:szCs w:val="24"/>
          <w:lang w:val="es-ES" w:eastAsia="es-ES"/>
        </w:rPr>
        <w:t>r</w:t>
      </w:r>
      <w:r w:rsidR="00C25ED8">
        <w:rPr>
          <w:rFonts w:ascii="Palatino Linotype" w:eastAsia="Times New Roman" w:hAnsi="Palatino Linotype" w:cs="Arial"/>
          <w:sz w:val="24"/>
          <w:szCs w:val="24"/>
          <w:lang w:val="es-ES" w:eastAsia="es-ES"/>
        </w:rPr>
        <w:t xml:space="preserve"> involuntario</w:t>
      </w:r>
      <w:r w:rsidR="001979B9">
        <w:rPr>
          <w:rFonts w:ascii="Palatino Linotype" w:eastAsia="Times New Roman" w:hAnsi="Palatino Linotype" w:cs="Arial"/>
          <w:sz w:val="24"/>
          <w:szCs w:val="24"/>
          <w:lang w:val="es-ES" w:eastAsia="es-ES"/>
        </w:rPr>
        <w:t>, este plasmó dicha dirección repitiendo una letra,</w:t>
      </w:r>
      <w:r w:rsidR="00C25ED8">
        <w:rPr>
          <w:rFonts w:ascii="Palatino Linotype" w:eastAsia="Times New Roman" w:hAnsi="Palatino Linotype" w:cs="Arial"/>
          <w:sz w:val="24"/>
          <w:szCs w:val="24"/>
          <w:lang w:val="es-ES" w:eastAsia="es-ES"/>
        </w:rPr>
        <w:t xml:space="preserve"> </w:t>
      </w:r>
      <w:r w:rsidR="001979B9">
        <w:rPr>
          <w:rFonts w:ascii="Palatino Linotype" w:eastAsia="Times New Roman" w:hAnsi="Palatino Linotype" w:cs="Arial"/>
          <w:sz w:val="24"/>
          <w:szCs w:val="24"/>
          <w:lang w:val="es-ES" w:eastAsia="es-ES"/>
        </w:rPr>
        <w:t xml:space="preserve">ante ello, </w:t>
      </w:r>
      <w:r w:rsidRPr="005464DA">
        <w:rPr>
          <w:rFonts w:ascii="Palatino Linotype" w:eastAsia="Times New Roman" w:hAnsi="Palatino Linotype" w:cs="Arial"/>
          <w:sz w:val="24"/>
          <w:szCs w:val="24"/>
          <w:lang w:val="es-ES" w:eastAsia="es-ES"/>
        </w:rPr>
        <w:t xml:space="preserve">se puede interpretar que solicita </w:t>
      </w:r>
      <w:r w:rsidR="001979B9" w:rsidRPr="001979B9">
        <w:rPr>
          <w:rFonts w:ascii="Palatino Linotype" w:eastAsia="Times New Roman" w:hAnsi="Palatino Linotype" w:cs="Arial"/>
          <w:sz w:val="24"/>
          <w:szCs w:val="24"/>
          <w:lang w:val="es-ES" w:eastAsia="es-ES"/>
        </w:rPr>
        <w:t xml:space="preserve">los correos electrónicos enviados de la cuenta de correo </w:t>
      </w:r>
      <w:hyperlink r:id="rId17" w:history="1">
        <w:r w:rsidR="001979B9" w:rsidRPr="00266A3A">
          <w:rPr>
            <w:rStyle w:val="Hipervnculo"/>
            <w:rFonts w:ascii="Palatino Linotype" w:eastAsia="Times New Roman" w:hAnsi="Palatino Linotype" w:cs="Arial"/>
            <w:sz w:val="24"/>
            <w:szCs w:val="24"/>
            <w:lang w:val="es-ES" w:eastAsia="es-ES"/>
          </w:rPr>
          <w:t>naucalpan@itaipem.org.mx</w:t>
        </w:r>
      </w:hyperlink>
      <w:r w:rsidR="001979B9">
        <w:rPr>
          <w:rFonts w:ascii="Palatino Linotype" w:eastAsia="Times New Roman" w:hAnsi="Palatino Linotype" w:cs="Arial"/>
          <w:sz w:val="24"/>
          <w:szCs w:val="24"/>
          <w:lang w:val="es-ES" w:eastAsia="es-ES"/>
        </w:rPr>
        <w:t xml:space="preserve"> </w:t>
      </w:r>
      <w:r w:rsidR="001979B9" w:rsidRPr="001979B9">
        <w:rPr>
          <w:rFonts w:ascii="Palatino Linotype" w:eastAsia="Times New Roman" w:hAnsi="Palatino Linotype" w:cs="Arial"/>
          <w:sz w:val="24"/>
          <w:szCs w:val="24"/>
          <w:lang w:val="es-ES" w:eastAsia="es-ES"/>
        </w:rPr>
        <w:t>del periodo que comprende del 01 de enero de 2019 al 24 de febrero de 2020</w:t>
      </w:r>
      <w:r w:rsidR="001979B9">
        <w:rPr>
          <w:rFonts w:ascii="Palatino Linotype" w:eastAsia="Times New Roman" w:hAnsi="Palatino Linotype" w:cs="Arial"/>
          <w:sz w:val="24"/>
          <w:szCs w:val="24"/>
          <w:lang w:val="es-ES" w:eastAsia="es-ES"/>
        </w:rPr>
        <w:t>.</w:t>
      </w:r>
    </w:p>
    <w:p w14:paraId="32E4EF84" w14:textId="77777777" w:rsidR="00B47F50" w:rsidRDefault="00B47F50" w:rsidP="00B47F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46EE97" w14:textId="546BA751" w:rsidR="00B47F50" w:rsidRPr="005814D3" w:rsidRDefault="00B47F50" w:rsidP="005814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lo anteriormente señalado</w:t>
      </w:r>
      <w:r w:rsidRPr="005464DA">
        <w:rPr>
          <w:rFonts w:ascii="Palatino Linotype" w:eastAsia="Times New Roman" w:hAnsi="Palatino Linotype" w:cs="Arial"/>
          <w:sz w:val="24"/>
          <w:szCs w:val="24"/>
          <w:lang w:val="es-ES" w:eastAsia="es-ES"/>
        </w:rPr>
        <w:t xml:space="preserve">,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el recurrente, solicita </w:t>
      </w:r>
      <w:r w:rsidR="001979B9" w:rsidRPr="001979B9">
        <w:rPr>
          <w:rFonts w:ascii="Palatino Linotype" w:eastAsia="Times New Roman" w:hAnsi="Palatino Linotype" w:cs="Arial"/>
          <w:sz w:val="24"/>
          <w:szCs w:val="24"/>
          <w:lang w:val="es-ES" w:eastAsia="es-ES"/>
        </w:rPr>
        <w:t>los correos electrónicos enviados de la cuenta de correo</w:t>
      </w:r>
      <w:r w:rsidR="001979B9">
        <w:rPr>
          <w:rFonts w:ascii="Palatino Linotype" w:eastAsia="Times New Roman" w:hAnsi="Palatino Linotype" w:cs="Arial"/>
          <w:sz w:val="24"/>
          <w:szCs w:val="24"/>
          <w:lang w:val="es-ES" w:eastAsia="es-ES"/>
        </w:rPr>
        <w:t xml:space="preserve"> electrónico</w:t>
      </w:r>
      <w:r w:rsidR="001979B9" w:rsidRPr="001979B9">
        <w:rPr>
          <w:rFonts w:ascii="Palatino Linotype" w:eastAsia="Times New Roman" w:hAnsi="Palatino Linotype" w:cs="Arial"/>
          <w:sz w:val="24"/>
          <w:szCs w:val="24"/>
          <w:lang w:val="es-ES" w:eastAsia="es-ES"/>
        </w:rPr>
        <w:t xml:space="preserve"> </w:t>
      </w:r>
      <w:hyperlink r:id="rId18" w:history="1">
        <w:r w:rsidR="001979B9" w:rsidRPr="00266A3A">
          <w:rPr>
            <w:rStyle w:val="Hipervnculo"/>
            <w:rFonts w:ascii="Palatino Linotype" w:eastAsia="Times New Roman" w:hAnsi="Palatino Linotype" w:cs="Arial"/>
            <w:sz w:val="24"/>
            <w:szCs w:val="24"/>
            <w:lang w:val="es-ES" w:eastAsia="es-ES"/>
          </w:rPr>
          <w:t>naucalpan@itaipem.org.mx</w:t>
        </w:r>
      </w:hyperlink>
      <w:r w:rsidR="001979B9">
        <w:rPr>
          <w:rFonts w:ascii="Palatino Linotype" w:eastAsia="Times New Roman" w:hAnsi="Palatino Linotype" w:cs="Arial"/>
          <w:sz w:val="24"/>
          <w:szCs w:val="24"/>
          <w:lang w:val="es-ES" w:eastAsia="es-ES"/>
        </w:rPr>
        <w:t xml:space="preserve"> </w:t>
      </w:r>
      <w:r w:rsidR="001979B9" w:rsidRPr="001979B9">
        <w:rPr>
          <w:rFonts w:ascii="Palatino Linotype" w:eastAsia="Times New Roman" w:hAnsi="Palatino Linotype" w:cs="Arial"/>
          <w:sz w:val="24"/>
          <w:szCs w:val="24"/>
          <w:lang w:val="es-ES" w:eastAsia="es-ES"/>
        </w:rPr>
        <w:t>del periodo que comprende del 01 de enero de 2019 al 24 de febrero de 2020</w:t>
      </w:r>
      <w:r>
        <w:rPr>
          <w:rFonts w:ascii="Palatino Linotype" w:eastAsia="Times New Roman" w:hAnsi="Palatino Linotype" w:cs="Arial"/>
          <w:sz w:val="24"/>
          <w:szCs w:val="24"/>
          <w:lang w:val="es-ES" w:eastAsia="es-ES"/>
        </w:rPr>
        <w:t>.</w:t>
      </w:r>
    </w:p>
    <w:p w14:paraId="0D147EE4" w14:textId="15E48045" w:rsidR="001979B9" w:rsidRDefault="00B729C9" w:rsidP="001979B9">
      <w:pPr>
        <w:spacing w:after="0" w:line="360" w:lineRule="auto"/>
        <w:jc w:val="both"/>
        <w:rPr>
          <w:rFonts w:ascii="Palatino Linotype" w:eastAsia="Calibri" w:hAnsi="Palatino Linotype" w:cs="Times New Roman"/>
          <w:sz w:val="24"/>
          <w:szCs w:val="24"/>
          <w:lang w:val="es-ES"/>
        </w:rPr>
      </w:pPr>
      <w:r w:rsidRPr="00B729C9">
        <w:rPr>
          <w:rFonts w:ascii="Palatino Linotype" w:eastAsia="Calibri" w:hAnsi="Palatino Linotype" w:cs="Times New Roman"/>
          <w:sz w:val="24"/>
          <w:szCs w:val="24"/>
        </w:rPr>
        <w:lastRenderedPageBreak/>
        <w:t xml:space="preserve">En ese tenor, </w:t>
      </w:r>
      <w:r w:rsidR="001979B9" w:rsidRPr="001979B9">
        <w:rPr>
          <w:rFonts w:ascii="Palatino Linotype" w:eastAsia="Calibri" w:hAnsi="Palatino Linotype" w:cs="Times New Roman"/>
          <w:sz w:val="24"/>
          <w:szCs w:val="24"/>
          <w:lang w:val="es-ES"/>
        </w:rPr>
        <w:t xml:space="preserve">debe precisarse que los correos electrónicos, </w:t>
      </w:r>
      <w:r w:rsidR="005814D3">
        <w:rPr>
          <w:rFonts w:ascii="Palatino Linotype" w:eastAsia="Calibri" w:hAnsi="Palatino Linotype" w:cs="Times New Roman"/>
          <w:sz w:val="24"/>
          <w:szCs w:val="24"/>
          <w:lang w:val="es-ES"/>
        </w:rPr>
        <w:t xml:space="preserve">se </w:t>
      </w:r>
      <w:r w:rsidR="001979B9" w:rsidRPr="001979B9">
        <w:rPr>
          <w:rFonts w:ascii="Palatino Linotype" w:eastAsia="Calibri" w:hAnsi="Palatino Linotype" w:cs="Times New Roman"/>
          <w:sz w:val="24"/>
          <w:szCs w:val="24"/>
          <w:lang w:val="es-ES"/>
        </w:rPr>
        <w:t>constituyen como el medio por el cual se envían comunicaciones</w:t>
      </w:r>
      <w:r w:rsidR="005814D3">
        <w:rPr>
          <w:rFonts w:ascii="Palatino Linotype" w:eastAsia="Calibri" w:hAnsi="Palatino Linotype" w:cs="Times New Roman"/>
          <w:sz w:val="24"/>
          <w:szCs w:val="24"/>
          <w:lang w:val="es-ES"/>
        </w:rPr>
        <w:t xml:space="preserve"> tanto internas como externas</w:t>
      </w:r>
      <w:r w:rsidR="001979B9" w:rsidRPr="001979B9">
        <w:rPr>
          <w:rFonts w:ascii="Palatino Linotype" w:eastAsia="Calibri" w:hAnsi="Palatino Linotype" w:cs="Times New Roman"/>
          <w:sz w:val="24"/>
          <w:szCs w:val="24"/>
          <w:lang w:val="es-ES"/>
        </w:rPr>
        <w:t xml:space="preserve"> de todo tipo, </w:t>
      </w:r>
      <w:r w:rsidR="005814D3">
        <w:rPr>
          <w:rFonts w:ascii="Palatino Linotype" w:eastAsia="Calibri" w:hAnsi="Palatino Linotype" w:cs="Times New Roman"/>
          <w:sz w:val="24"/>
          <w:szCs w:val="24"/>
          <w:lang w:val="es-ES"/>
        </w:rPr>
        <w:t>ante ello, se destaca</w:t>
      </w:r>
      <w:r w:rsidR="001979B9" w:rsidRPr="001979B9">
        <w:rPr>
          <w:rFonts w:ascii="Palatino Linotype" w:eastAsia="Calibri" w:hAnsi="Palatino Linotype" w:cs="Times New Roman"/>
          <w:sz w:val="24"/>
          <w:szCs w:val="24"/>
          <w:lang w:val="es-ES"/>
        </w:rPr>
        <w:t xml:space="preserve"> </w:t>
      </w:r>
      <w:r w:rsidR="00CC426F">
        <w:rPr>
          <w:rFonts w:ascii="Palatino Linotype" w:eastAsia="Calibri" w:hAnsi="Palatino Linotype" w:cs="Times New Roman"/>
          <w:sz w:val="24"/>
          <w:szCs w:val="24"/>
        </w:rPr>
        <w:t>que t</w:t>
      </w:r>
      <w:r w:rsidR="005814D3" w:rsidRPr="005814D3">
        <w:rPr>
          <w:rFonts w:ascii="Palatino Linotype" w:eastAsia="Calibri" w:hAnsi="Palatino Linotype" w:cs="Times New Roman"/>
          <w:sz w:val="24"/>
          <w:szCs w:val="24"/>
        </w:rPr>
        <w:t>oda la información generada, obtenida, adquirida, transformada, administrada o en posesión de los sujetos obligados es pública y accesible de manera permanente a cualquier persona</w:t>
      </w:r>
      <w:r w:rsidR="005814D3">
        <w:rPr>
          <w:rFonts w:ascii="Palatino Linotype" w:eastAsia="Calibri" w:hAnsi="Palatino Linotype" w:cs="Times New Roman"/>
          <w:sz w:val="24"/>
          <w:szCs w:val="24"/>
          <w:lang w:val="es-ES"/>
        </w:rPr>
        <w:t>,</w:t>
      </w:r>
      <w:r w:rsidR="005814D3" w:rsidRPr="005814D3">
        <w:rPr>
          <w:rFonts w:ascii="Palatino Linotype" w:eastAsia="Calibri" w:hAnsi="Palatino Linotype" w:cs="Times New Roman"/>
          <w:sz w:val="24"/>
          <w:szCs w:val="24"/>
          <w:lang w:val="es-ES"/>
        </w:rPr>
        <w:t xml:space="preserve"> </w:t>
      </w:r>
      <w:r w:rsidR="001979B9" w:rsidRPr="001979B9">
        <w:rPr>
          <w:rFonts w:ascii="Palatino Linotype" w:eastAsia="Calibri" w:hAnsi="Palatino Linotype" w:cs="Times New Roman"/>
          <w:sz w:val="24"/>
          <w:szCs w:val="24"/>
          <w:lang w:val="es-ES"/>
        </w:rPr>
        <w:t>en términos de</w:t>
      </w:r>
      <w:r w:rsidR="005814D3">
        <w:rPr>
          <w:rFonts w:ascii="Palatino Linotype" w:eastAsia="Calibri" w:hAnsi="Palatino Linotype" w:cs="Times New Roman"/>
          <w:sz w:val="24"/>
          <w:szCs w:val="24"/>
          <w:lang w:val="es-ES"/>
        </w:rPr>
        <w:t>l</w:t>
      </w:r>
      <w:r w:rsidR="001979B9" w:rsidRPr="001979B9">
        <w:rPr>
          <w:rFonts w:ascii="Palatino Linotype" w:eastAsia="Calibri" w:hAnsi="Palatino Linotype" w:cs="Times New Roman"/>
          <w:sz w:val="24"/>
          <w:szCs w:val="24"/>
          <w:lang w:val="es-ES"/>
        </w:rPr>
        <w:t xml:space="preserve"> artículo 4 párrafo segundo</w:t>
      </w:r>
      <w:r w:rsidR="005814D3">
        <w:rPr>
          <w:rFonts w:ascii="Palatino Linotype" w:eastAsia="Calibri" w:hAnsi="Palatino Linotype" w:cs="Times New Roman"/>
          <w:sz w:val="24"/>
          <w:szCs w:val="24"/>
          <w:lang w:val="es-ES"/>
        </w:rPr>
        <w:t xml:space="preserve"> de la Ley de Transparencia Local</w:t>
      </w:r>
      <w:r w:rsidR="00CC426F">
        <w:rPr>
          <w:rFonts w:ascii="Palatino Linotype" w:eastAsia="Calibri" w:hAnsi="Palatino Linotype" w:cs="Times New Roman"/>
          <w:sz w:val="24"/>
          <w:szCs w:val="24"/>
          <w:lang w:val="es-ES"/>
        </w:rPr>
        <w:t>,</w:t>
      </w:r>
      <w:r w:rsidR="001979B9" w:rsidRPr="001979B9">
        <w:rPr>
          <w:rFonts w:ascii="Palatino Linotype" w:eastAsia="Calibri" w:hAnsi="Palatino Linotype" w:cs="Times New Roman"/>
          <w:sz w:val="24"/>
          <w:szCs w:val="24"/>
          <w:lang w:val="es-ES"/>
        </w:rPr>
        <w:t xml:space="preserve"> deduciéndose que los documentos en posesión de los sujetos obligados pueden ser objeto de solicitudes de acceso a información pública</w:t>
      </w:r>
      <w:r w:rsidR="005814D3">
        <w:rPr>
          <w:rFonts w:ascii="Palatino Linotype" w:eastAsia="Calibri" w:hAnsi="Palatino Linotype" w:cs="Times New Roman"/>
          <w:sz w:val="24"/>
          <w:szCs w:val="24"/>
          <w:lang w:val="es-ES"/>
        </w:rPr>
        <w:t>.</w:t>
      </w:r>
    </w:p>
    <w:p w14:paraId="7D1676F6" w14:textId="77777777" w:rsidR="005814D3" w:rsidRPr="001979B9" w:rsidRDefault="005814D3" w:rsidP="001979B9">
      <w:pPr>
        <w:spacing w:after="0" w:line="360" w:lineRule="auto"/>
        <w:jc w:val="both"/>
        <w:rPr>
          <w:rFonts w:ascii="Palatino Linotype" w:eastAsia="Calibri" w:hAnsi="Palatino Linotype" w:cs="Times New Roman"/>
          <w:sz w:val="24"/>
          <w:szCs w:val="24"/>
          <w:lang w:val="es-ES"/>
        </w:rPr>
      </w:pPr>
    </w:p>
    <w:p w14:paraId="5B5D9168" w14:textId="3806D3D4" w:rsidR="001979B9" w:rsidRDefault="001979B9" w:rsidP="001979B9">
      <w:pPr>
        <w:spacing w:after="0" w:line="360" w:lineRule="auto"/>
        <w:jc w:val="both"/>
        <w:rPr>
          <w:rFonts w:ascii="Palatino Linotype" w:eastAsia="Calibri" w:hAnsi="Palatino Linotype" w:cs="Times New Roman"/>
          <w:sz w:val="24"/>
          <w:szCs w:val="24"/>
          <w:lang w:val="es-ES"/>
        </w:rPr>
      </w:pPr>
      <w:r w:rsidRPr="001979B9">
        <w:rPr>
          <w:rFonts w:ascii="Palatino Linotype" w:eastAsia="Calibri" w:hAnsi="Palatino Linotype" w:cs="Times New Roman"/>
          <w:sz w:val="24"/>
          <w:szCs w:val="24"/>
          <w:lang w:val="es-ES"/>
        </w:rPr>
        <w:t xml:space="preserve">Lo anterior se robustece con lo plasmado en el criterio 8-10 emitido por el entonces Instituto Federal de Acceso a la Información y Protección de Datos (IFAI) ahora Instituto Nacional de Transparencia, Acceso a la Información, y Protección de Datos Personales (INAI), que lleva por rubro y texto los siguientes: </w:t>
      </w:r>
    </w:p>
    <w:p w14:paraId="78F94793" w14:textId="77777777" w:rsidR="00CC426F" w:rsidRPr="001979B9" w:rsidRDefault="00CC426F" w:rsidP="001979B9">
      <w:pPr>
        <w:spacing w:after="0" w:line="360" w:lineRule="auto"/>
        <w:jc w:val="both"/>
        <w:rPr>
          <w:rFonts w:ascii="Palatino Linotype" w:eastAsia="Calibri" w:hAnsi="Palatino Linotype" w:cs="Times New Roman"/>
          <w:sz w:val="24"/>
          <w:szCs w:val="24"/>
          <w:lang w:val="es-ES"/>
        </w:rPr>
      </w:pPr>
    </w:p>
    <w:p w14:paraId="2FA0332D" w14:textId="77777777" w:rsidR="001979B9" w:rsidRPr="001979B9" w:rsidRDefault="001979B9" w:rsidP="00CC426F">
      <w:pPr>
        <w:spacing w:after="0" w:line="240" w:lineRule="auto"/>
        <w:ind w:left="567" w:right="567"/>
        <w:jc w:val="both"/>
        <w:rPr>
          <w:rFonts w:ascii="Palatino Linotype" w:eastAsia="Calibri" w:hAnsi="Palatino Linotype" w:cs="Times New Roman"/>
          <w:i/>
          <w:sz w:val="24"/>
          <w:szCs w:val="24"/>
          <w:lang w:val="es-ES"/>
        </w:rPr>
      </w:pPr>
      <w:r w:rsidRPr="001979B9">
        <w:rPr>
          <w:rFonts w:ascii="Palatino Linotype" w:eastAsia="Calibri" w:hAnsi="Palatino Linotype" w:cs="Times New Roman"/>
          <w:i/>
          <w:sz w:val="24"/>
          <w:szCs w:val="24"/>
          <w:lang w:val="es-ES"/>
        </w:rPr>
        <w:t>“</w:t>
      </w:r>
      <w:r w:rsidRPr="001979B9">
        <w:rPr>
          <w:rFonts w:ascii="Palatino Linotype" w:eastAsia="Calibri" w:hAnsi="Palatino Linotype" w:cs="Times New Roman"/>
          <w:b/>
          <w:i/>
          <w:sz w:val="24"/>
          <w:szCs w:val="24"/>
          <w:lang w:val="es-ES"/>
        </w:rPr>
        <w:t xml:space="preserve">Correos electrónicos que constituyen documentos susceptibles de acceso a la información. </w:t>
      </w:r>
      <w:r w:rsidRPr="001979B9">
        <w:rPr>
          <w:rFonts w:ascii="Palatino Linotype" w:eastAsia="Calibri" w:hAnsi="Palatino Linotype" w:cs="Times New Roman"/>
          <w:i/>
          <w:sz w:val="24"/>
          <w:szCs w:val="24"/>
          <w:lang w:val="es-ES"/>
        </w:rPr>
        <w:t>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2FD80A82" w14:textId="77777777" w:rsidR="001979B9" w:rsidRPr="001979B9" w:rsidRDefault="001979B9" w:rsidP="00CC426F">
      <w:pPr>
        <w:spacing w:after="0" w:line="360" w:lineRule="auto"/>
        <w:ind w:left="567" w:right="567"/>
        <w:jc w:val="both"/>
        <w:rPr>
          <w:rFonts w:ascii="Palatino Linotype" w:eastAsia="Calibri" w:hAnsi="Palatino Linotype" w:cs="Times New Roman"/>
          <w:i/>
          <w:sz w:val="24"/>
          <w:szCs w:val="24"/>
          <w:lang w:val="es-ES"/>
        </w:rPr>
      </w:pPr>
      <w:r w:rsidRPr="001979B9">
        <w:rPr>
          <w:rFonts w:ascii="Palatino Linotype" w:eastAsia="Calibri" w:hAnsi="Palatino Linotype" w:cs="Times New Roman"/>
          <w:i/>
          <w:sz w:val="24"/>
          <w:szCs w:val="24"/>
          <w:lang w:val="es-ES"/>
        </w:rPr>
        <w:t>Énfasis añadido.</w:t>
      </w:r>
    </w:p>
    <w:p w14:paraId="0E17E9CF" w14:textId="1102F201" w:rsidR="001979B9" w:rsidRDefault="00CC426F" w:rsidP="001979B9">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lang w:val="es-ES"/>
        </w:rPr>
        <w:lastRenderedPageBreak/>
        <w:t>Aunado a lo antes expuesto, resulta oportuno señalar que los</w:t>
      </w:r>
      <w:r w:rsidR="001979B9" w:rsidRPr="001979B9">
        <w:rPr>
          <w:rFonts w:ascii="Palatino Linotype" w:eastAsia="Calibri" w:hAnsi="Palatino Linotype" w:cs="Times New Roman"/>
          <w:sz w:val="24"/>
          <w:szCs w:val="24"/>
          <w:lang w:val="es-ES"/>
        </w:rPr>
        <w:t xml:space="preserve"> </w:t>
      </w:r>
      <w:r w:rsidR="001979B9" w:rsidRPr="001979B9">
        <w:rPr>
          <w:rFonts w:ascii="Palatino Linotype" w:eastAsia="Calibri" w:hAnsi="Palatino Linotype" w:cs="Times New Roman"/>
          <w:bCs/>
          <w:sz w:val="24"/>
          <w:szCs w:val="24"/>
          <w:lang w:val="es-ES"/>
        </w:rPr>
        <w:t xml:space="preserve">Lineamientos para la Organización y Conservación de Archivos, </w:t>
      </w:r>
      <w:r>
        <w:rPr>
          <w:rFonts w:ascii="Palatino Linotype" w:eastAsia="Calibri" w:hAnsi="Palatino Linotype" w:cs="Times New Roman"/>
          <w:bCs/>
          <w:sz w:val="24"/>
          <w:szCs w:val="24"/>
          <w:lang w:val="es-ES"/>
        </w:rPr>
        <w:t xml:space="preserve"> en sus numerales</w:t>
      </w:r>
      <w:r w:rsidR="001979B9" w:rsidRPr="001979B9">
        <w:rPr>
          <w:rFonts w:ascii="Palatino Linotype" w:eastAsia="Calibri" w:hAnsi="Palatino Linotype" w:cs="Times New Roman"/>
          <w:bCs/>
          <w:sz w:val="24"/>
          <w:szCs w:val="24"/>
          <w:lang w:val="es-ES"/>
        </w:rPr>
        <w:t xml:space="preserve"> Primero, Trigésimo sexto y</w:t>
      </w:r>
      <w:r w:rsidR="001979B9" w:rsidRPr="001979B9">
        <w:rPr>
          <w:rFonts w:ascii="Palatino Linotype" w:eastAsia="Calibri" w:hAnsi="Palatino Linotype" w:cs="Times New Roman"/>
          <w:sz w:val="24"/>
          <w:szCs w:val="24"/>
        </w:rPr>
        <w:t xml:space="preserve"> </w:t>
      </w:r>
      <w:r w:rsidR="001979B9" w:rsidRPr="001979B9">
        <w:rPr>
          <w:rFonts w:ascii="Palatino Linotype" w:eastAsia="Calibri" w:hAnsi="Palatino Linotype" w:cs="Times New Roman"/>
          <w:bCs/>
          <w:sz w:val="24"/>
          <w:szCs w:val="24"/>
        </w:rPr>
        <w:t>Quincuagésimo sexto</w:t>
      </w:r>
      <w:r w:rsidR="001979B9" w:rsidRPr="001979B9">
        <w:rPr>
          <w:rFonts w:ascii="Palatino Linotype" w:eastAsia="Calibri" w:hAnsi="Palatino Linotype" w:cs="Times New Roman"/>
          <w:bCs/>
          <w:sz w:val="24"/>
          <w:szCs w:val="24"/>
          <w:lang w:val="es-ES"/>
        </w:rPr>
        <w:t xml:space="preserve"> establecen que los referidos lineamientos</w:t>
      </w:r>
      <w:r w:rsidR="001979B9" w:rsidRPr="001979B9">
        <w:rPr>
          <w:rFonts w:ascii="Palatino Linotype" w:eastAsia="Calibri" w:hAnsi="Palatino Linotype" w:cs="Times New Roman"/>
          <w:sz w:val="24"/>
          <w:szCs w:val="24"/>
        </w:rPr>
        <w:t xml:space="preserve"> </w:t>
      </w:r>
      <w:r w:rsidR="001979B9" w:rsidRPr="001979B9">
        <w:rPr>
          <w:rFonts w:ascii="Palatino Linotype" w:eastAsia="Calibri" w:hAnsi="Palatino Linotype" w:cs="Times New Roman"/>
          <w:bCs/>
          <w:sz w:val="24"/>
          <w:szCs w:val="24"/>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del mismo modo refieren que l</w:t>
      </w:r>
      <w:r w:rsidR="001979B9" w:rsidRPr="001979B9">
        <w:rPr>
          <w:rFonts w:ascii="Palatino Linotype" w:eastAsia="Calibri" w:hAnsi="Palatino Linotype" w:cs="Times New Roman"/>
          <w:sz w:val="24"/>
          <w:szCs w:val="24"/>
        </w:rPr>
        <w:t>os Sujetos obligados deberán adoptar las medidas organizativas, técnicas y tecnológicas</w:t>
      </w:r>
      <w:r w:rsidR="001979B9" w:rsidRPr="001979B9">
        <w:rPr>
          <w:rFonts w:ascii="Palatino Linotype" w:eastAsia="Calibri" w:hAnsi="Palatino Linotype" w:cs="Times New Roman"/>
          <w:bCs/>
          <w:sz w:val="24"/>
          <w:szCs w:val="24"/>
        </w:rPr>
        <w:t xml:space="preserve"> </w:t>
      </w:r>
      <w:r w:rsidR="001979B9" w:rsidRPr="001979B9">
        <w:rPr>
          <w:rFonts w:ascii="Palatino Linotype" w:eastAsia="Calibri" w:hAnsi="Palatino Linotype" w:cs="Times New Roman"/>
          <w:sz w:val="24"/>
          <w:szCs w:val="24"/>
        </w:rPr>
        <w:t>necesarias para garantizar la recuperación y conservación de los documentos electrónicos producidos y recibidos que se encuentren en el sistema de administración y gestión documental, bases de datos y correos electrónicos a lo largo de su ciclo de vida, y en el caso específico de los correos electrónicos que deriven del ejercicio de las facultades, competencias</w:t>
      </w:r>
      <w:r w:rsidR="001979B9" w:rsidRPr="001979B9">
        <w:rPr>
          <w:rFonts w:ascii="Palatino Linotype" w:eastAsia="Calibri" w:hAnsi="Palatino Linotype" w:cs="Times New Roman"/>
          <w:bCs/>
          <w:sz w:val="24"/>
          <w:szCs w:val="24"/>
        </w:rPr>
        <w:t xml:space="preserve"> </w:t>
      </w:r>
      <w:r w:rsidR="001979B9" w:rsidRPr="001979B9">
        <w:rPr>
          <w:rFonts w:ascii="Palatino Linotype" w:eastAsia="Calibri" w:hAnsi="Palatino Linotype" w:cs="Times New Roman"/>
          <w:sz w:val="24"/>
          <w:szCs w:val="24"/>
        </w:rPr>
        <w:t>o funciones de los Sujetos obligados deberán organizarlos y conservarlos de acuerdo con las series</w:t>
      </w:r>
      <w:r w:rsidR="001979B9" w:rsidRPr="001979B9">
        <w:rPr>
          <w:rFonts w:ascii="Palatino Linotype" w:eastAsia="Calibri" w:hAnsi="Palatino Linotype" w:cs="Times New Roman"/>
          <w:bCs/>
          <w:sz w:val="24"/>
          <w:szCs w:val="24"/>
        </w:rPr>
        <w:t xml:space="preserve"> </w:t>
      </w:r>
      <w:r w:rsidR="001979B9" w:rsidRPr="001979B9">
        <w:rPr>
          <w:rFonts w:ascii="Palatino Linotype" w:eastAsia="Calibri" w:hAnsi="Palatino Linotype" w:cs="Times New Roman"/>
          <w:sz w:val="24"/>
          <w:szCs w:val="24"/>
        </w:rPr>
        <w:t>documentales establecidas en el Cuadro general de clasificación archivística, y a los plazos de conservación</w:t>
      </w:r>
      <w:r w:rsidR="001979B9" w:rsidRPr="001979B9">
        <w:rPr>
          <w:rFonts w:ascii="Palatino Linotype" w:eastAsia="Calibri" w:hAnsi="Palatino Linotype" w:cs="Times New Roman"/>
          <w:bCs/>
          <w:sz w:val="24"/>
          <w:szCs w:val="24"/>
        </w:rPr>
        <w:t xml:space="preserve"> </w:t>
      </w:r>
      <w:r w:rsidR="001979B9" w:rsidRPr="001979B9">
        <w:rPr>
          <w:rFonts w:ascii="Palatino Linotype" w:eastAsia="Calibri" w:hAnsi="Palatino Linotype" w:cs="Times New Roman"/>
          <w:sz w:val="24"/>
          <w:szCs w:val="24"/>
        </w:rPr>
        <w:t>señalados en el Catálogo de disposición documental.</w:t>
      </w:r>
    </w:p>
    <w:p w14:paraId="452981B3" w14:textId="77777777" w:rsidR="00CC426F" w:rsidRPr="001979B9" w:rsidRDefault="00CC426F" w:rsidP="001979B9">
      <w:pPr>
        <w:spacing w:after="0" w:line="360" w:lineRule="auto"/>
        <w:jc w:val="both"/>
        <w:rPr>
          <w:rFonts w:ascii="Palatino Linotype" w:eastAsia="Calibri" w:hAnsi="Palatino Linotype" w:cs="Times New Roman"/>
          <w:sz w:val="24"/>
          <w:szCs w:val="24"/>
        </w:rPr>
      </w:pPr>
    </w:p>
    <w:p w14:paraId="46714FBD" w14:textId="40938E50" w:rsidR="001979B9" w:rsidRDefault="001979B9" w:rsidP="001979B9">
      <w:pPr>
        <w:spacing w:after="0" w:line="360" w:lineRule="auto"/>
        <w:jc w:val="both"/>
        <w:rPr>
          <w:rFonts w:ascii="Palatino Linotype" w:eastAsia="Calibri" w:hAnsi="Palatino Linotype" w:cs="Times New Roman"/>
          <w:sz w:val="24"/>
          <w:szCs w:val="24"/>
          <w:lang w:val="es-ES"/>
        </w:rPr>
      </w:pPr>
      <w:r w:rsidRPr="001979B9">
        <w:rPr>
          <w:rFonts w:ascii="Palatino Linotype" w:eastAsia="Calibri" w:hAnsi="Palatino Linotype" w:cs="Times New Roman"/>
          <w:sz w:val="24"/>
          <w:szCs w:val="24"/>
        </w:rPr>
        <w:t>Cabe agregar que los Lineamientos para la Administración de Documentos en el Estado de México publicado en el Periódico Oficial “Gaceta del Gobierno” de fecha veintinueve de mayo de dos mil quince, tienen por objeto establecer las políticas y criterios generales para la administración de los documentos existentes en las unidades administrativas y en las unidades documentales de los Sujetos Obligados</w:t>
      </w:r>
      <w:r w:rsidRPr="001979B9">
        <w:rPr>
          <w:rFonts w:ascii="Palatino Linotype" w:eastAsia="Calibri" w:hAnsi="Palatino Linotype" w:cs="Times New Roman"/>
          <w:sz w:val="24"/>
          <w:szCs w:val="24"/>
          <w:lang w:val="es-ES"/>
        </w:rPr>
        <w:t xml:space="preserve">, siendo de </w:t>
      </w:r>
      <w:r w:rsidR="00CC426F">
        <w:rPr>
          <w:rFonts w:ascii="Palatino Linotype" w:eastAsia="Calibri" w:hAnsi="Palatino Linotype" w:cs="Times New Roman"/>
          <w:sz w:val="24"/>
          <w:szCs w:val="24"/>
          <w:lang w:val="es-ES"/>
        </w:rPr>
        <w:t xml:space="preserve">nuestro interés </w:t>
      </w:r>
      <w:r w:rsidRPr="001979B9">
        <w:rPr>
          <w:rFonts w:ascii="Palatino Linotype" w:eastAsia="Calibri" w:hAnsi="Palatino Linotype" w:cs="Times New Roman"/>
          <w:sz w:val="24"/>
          <w:szCs w:val="24"/>
          <w:lang w:val="es-ES"/>
        </w:rPr>
        <w:t xml:space="preserve">los artículos 23 y 90 </w:t>
      </w:r>
      <w:r w:rsidR="00CC426F">
        <w:rPr>
          <w:rFonts w:ascii="Palatino Linotype" w:eastAsia="Calibri" w:hAnsi="Palatino Linotype" w:cs="Times New Roman"/>
          <w:sz w:val="24"/>
          <w:szCs w:val="24"/>
          <w:lang w:val="es-ES"/>
        </w:rPr>
        <w:t>que</w:t>
      </w:r>
      <w:r w:rsidRPr="001979B9">
        <w:rPr>
          <w:rFonts w:ascii="Palatino Linotype" w:eastAsia="Calibri" w:hAnsi="Palatino Linotype" w:cs="Times New Roman"/>
          <w:sz w:val="24"/>
          <w:szCs w:val="24"/>
          <w:lang w:val="es-ES"/>
        </w:rPr>
        <w:t xml:space="preserve"> establecen lo siguiente:</w:t>
      </w:r>
    </w:p>
    <w:p w14:paraId="6EF68BA0" w14:textId="77777777" w:rsidR="00CC426F" w:rsidRPr="001979B9" w:rsidRDefault="00CC426F" w:rsidP="001979B9">
      <w:pPr>
        <w:spacing w:after="0" w:line="360" w:lineRule="auto"/>
        <w:jc w:val="both"/>
        <w:rPr>
          <w:rFonts w:ascii="Palatino Linotype" w:eastAsia="Calibri" w:hAnsi="Palatino Linotype" w:cs="Times New Roman"/>
          <w:sz w:val="24"/>
          <w:szCs w:val="24"/>
        </w:rPr>
      </w:pPr>
    </w:p>
    <w:p w14:paraId="32D5E974" w14:textId="77777777" w:rsidR="001979B9" w:rsidRPr="001979B9" w:rsidRDefault="001979B9" w:rsidP="00CC426F">
      <w:pPr>
        <w:spacing w:after="0" w:line="240" w:lineRule="auto"/>
        <w:ind w:left="851" w:right="851"/>
        <w:jc w:val="both"/>
        <w:rPr>
          <w:rFonts w:ascii="Palatino Linotype" w:eastAsia="Calibri" w:hAnsi="Palatino Linotype" w:cs="Times New Roman"/>
          <w:b/>
          <w:i/>
          <w:sz w:val="24"/>
          <w:szCs w:val="24"/>
        </w:rPr>
      </w:pPr>
      <w:r w:rsidRPr="001979B9">
        <w:rPr>
          <w:rFonts w:ascii="Palatino Linotype" w:eastAsia="Calibri" w:hAnsi="Palatino Linotype" w:cs="Times New Roman"/>
          <w:b/>
          <w:i/>
          <w:sz w:val="24"/>
          <w:szCs w:val="24"/>
          <w:lang w:val="es-ES"/>
        </w:rPr>
        <w:lastRenderedPageBreak/>
        <w:t xml:space="preserve">Artículo 23. </w:t>
      </w:r>
      <w:r w:rsidRPr="001979B9">
        <w:rPr>
          <w:rFonts w:ascii="Palatino Linotype" w:eastAsia="Calibri" w:hAnsi="Palatino Linotype" w:cs="Times New Roman"/>
          <w:i/>
          <w:sz w:val="24"/>
          <w:szCs w:val="24"/>
          <w:lang w:val="es-ES"/>
        </w:rPr>
        <w:t>Los Sujetos Obligados deberán establecer Unidades Documentales y Unidades Auxiliares de la Documentación, con base en los requerimientos del servicio, a fin de permitir el trámite, organización, conservación y acceso de los documentos generados y recibidos por las Unidades Administrativas, de conformidad con lo que al respecto establecen la Ley de Documentos, los presentes Lineamientos y la normatividad en la materia que al efecto se emita, así como atendiendo las disposiciones de transparencia y acceso a la información pública y protección de datos personales.</w:t>
      </w:r>
      <w:r w:rsidRPr="001979B9">
        <w:rPr>
          <w:rFonts w:ascii="Palatino Linotype" w:eastAsia="Calibri" w:hAnsi="Palatino Linotype" w:cs="Times New Roman"/>
          <w:b/>
          <w:i/>
          <w:sz w:val="24"/>
          <w:szCs w:val="24"/>
          <w:lang w:val="es-ES"/>
        </w:rPr>
        <w:t xml:space="preserve"> </w:t>
      </w:r>
    </w:p>
    <w:p w14:paraId="1A486BEE" w14:textId="77777777" w:rsidR="00CC426F" w:rsidRDefault="00CC426F" w:rsidP="00CC426F">
      <w:pPr>
        <w:spacing w:after="0" w:line="240" w:lineRule="auto"/>
        <w:ind w:left="851" w:right="851"/>
        <w:jc w:val="both"/>
        <w:rPr>
          <w:rFonts w:ascii="Palatino Linotype" w:eastAsia="Calibri" w:hAnsi="Palatino Linotype" w:cs="Times New Roman"/>
          <w:b/>
          <w:i/>
          <w:sz w:val="24"/>
          <w:szCs w:val="24"/>
          <w:lang w:val="es-ES"/>
        </w:rPr>
      </w:pPr>
    </w:p>
    <w:p w14:paraId="5369DD4F" w14:textId="3C5815C8" w:rsidR="001979B9" w:rsidRPr="001979B9" w:rsidRDefault="001979B9" w:rsidP="00CC426F">
      <w:pPr>
        <w:spacing w:after="0" w:line="240" w:lineRule="auto"/>
        <w:ind w:left="851" w:right="851"/>
        <w:jc w:val="both"/>
        <w:rPr>
          <w:rFonts w:ascii="Palatino Linotype" w:eastAsia="Calibri" w:hAnsi="Palatino Linotype" w:cs="Times New Roman"/>
          <w:i/>
          <w:sz w:val="24"/>
          <w:szCs w:val="24"/>
          <w:lang w:val="es-ES"/>
        </w:rPr>
      </w:pPr>
      <w:r w:rsidRPr="001979B9">
        <w:rPr>
          <w:rFonts w:ascii="Palatino Linotype" w:eastAsia="Calibri" w:hAnsi="Palatino Linotype" w:cs="Times New Roman"/>
          <w:b/>
          <w:i/>
          <w:sz w:val="24"/>
          <w:szCs w:val="24"/>
          <w:lang w:val="es-ES"/>
        </w:rPr>
        <w:t>Artículo 90.</w:t>
      </w:r>
      <w:r w:rsidRPr="001979B9">
        <w:rPr>
          <w:rFonts w:ascii="Palatino Linotype" w:eastAsia="Calibri" w:hAnsi="Palatino Linotype" w:cs="Times New Roman"/>
          <w:i/>
          <w:sz w:val="24"/>
          <w:szCs w:val="24"/>
          <w:lang w:val="es-ES"/>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w:t>
      </w:r>
      <w:r w:rsidRPr="001979B9">
        <w:rPr>
          <w:rFonts w:ascii="Palatino Linotype" w:eastAsia="Calibri" w:hAnsi="Palatino Linotype" w:cs="Times New Roman"/>
          <w:b/>
          <w:i/>
          <w:sz w:val="24"/>
          <w:szCs w:val="24"/>
          <w:lang w:val="es-ES"/>
        </w:rPr>
        <w:t>:</w:t>
      </w:r>
    </w:p>
    <w:p w14:paraId="1F5BF532" w14:textId="20B0F485" w:rsidR="001979B9" w:rsidRPr="001979B9" w:rsidRDefault="00BA2024" w:rsidP="00CC426F">
      <w:pPr>
        <w:spacing w:after="0" w:line="240" w:lineRule="auto"/>
        <w:ind w:left="907" w:right="851"/>
        <w:jc w:val="both"/>
        <w:rPr>
          <w:rFonts w:ascii="Palatino Linotype" w:eastAsia="Calibri" w:hAnsi="Palatino Linotype" w:cs="Times New Roman"/>
          <w:i/>
          <w:sz w:val="24"/>
          <w:szCs w:val="24"/>
        </w:rPr>
      </w:pPr>
      <w:r>
        <w:rPr>
          <w:rFonts w:ascii="Palatino Linotype" w:eastAsia="Calibri" w:hAnsi="Palatino Linotype" w:cs="Times New Roman"/>
          <w:i/>
          <w:sz w:val="24"/>
          <w:szCs w:val="24"/>
        </w:rPr>
        <w:t xml:space="preserve">I. </w:t>
      </w:r>
      <w:r w:rsidR="001979B9" w:rsidRPr="00BA2024">
        <w:rPr>
          <w:rFonts w:ascii="Palatino Linotype" w:eastAsia="Calibri" w:hAnsi="Palatino Linotype" w:cs="Times New Roman"/>
          <w:b/>
          <w:bCs/>
          <w:i/>
          <w:sz w:val="24"/>
          <w:szCs w:val="24"/>
        </w:rPr>
        <w:t>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w:t>
      </w:r>
      <w:r w:rsidR="001979B9" w:rsidRPr="001979B9">
        <w:rPr>
          <w:rFonts w:ascii="Palatino Linotype" w:eastAsia="Calibri" w:hAnsi="Palatino Linotype" w:cs="Times New Roman"/>
          <w:i/>
          <w:sz w:val="24"/>
          <w:szCs w:val="24"/>
        </w:rPr>
        <w:t>;</w:t>
      </w:r>
    </w:p>
    <w:p w14:paraId="25DA3C4F" w14:textId="577B3C7D" w:rsidR="001979B9" w:rsidRPr="00BA2024" w:rsidRDefault="001979B9" w:rsidP="00CC426F">
      <w:pPr>
        <w:spacing w:after="0" w:line="240" w:lineRule="auto"/>
        <w:ind w:left="851" w:right="851"/>
        <w:jc w:val="both"/>
        <w:rPr>
          <w:rFonts w:ascii="Palatino Linotype" w:eastAsia="Calibri" w:hAnsi="Palatino Linotype" w:cs="Times New Roman"/>
          <w:b/>
          <w:bCs/>
          <w:i/>
          <w:sz w:val="24"/>
          <w:szCs w:val="24"/>
          <w:lang w:val="es-ES"/>
        </w:rPr>
      </w:pPr>
      <w:r w:rsidRPr="001979B9">
        <w:rPr>
          <w:rFonts w:ascii="Palatino Linotype" w:eastAsia="Calibri" w:hAnsi="Palatino Linotype" w:cs="Times New Roman"/>
          <w:b/>
          <w:i/>
          <w:sz w:val="24"/>
          <w:szCs w:val="24"/>
          <w:lang w:val="es-ES"/>
        </w:rPr>
        <w:t xml:space="preserve">II. </w:t>
      </w:r>
      <w:r w:rsidR="00BA2024" w:rsidRPr="00BA2024">
        <w:rPr>
          <w:rFonts w:ascii="Palatino Linotype" w:eastAsia="Calibri" w:hAnsi="Palatino Linotype" w:cs="Times New Roman"/>
          <w:b/>
          <w:bCs/>
          <w:i/>
          <w:sz w:val="24"/>
          <w:szCs w:val="24"/>
          <w:lang w:val="es-ES"/>
        </w:rPr>
        <w:t>L</w:t>
      </w:r>
      <w:r w:rsidRPr="00BA2024">
        <w:rPr>
          <w:rFonts w:ascii="Palatino Linotype" w:eastAsia="Calibri" w:hAnsi="Palatino Linotype" w:cs="Times New Roman"/>
          <w:b/>
          <w:bCs/>
          <w:i/>
          <w:sz w:val="24"/>
          <w:szCs w:val="24"/>
          <w:lang w:val="es-ES"/>
        </w:rPr>
        <w:t>os correos electrónicos de archivo y sus documentos adjuntos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w:t>
      </w:r>
    </w:p>
    <w:p w14:paraId="40485E91" w14:textId="0A060D66" w:rsidR="001979B9" w:rsidRPr="00BA2024" w:rsidRDefault="00BA2024" w:rsidP="00BA2024">
      <w:pPr>
        <w:spacing w:after="0" w:line="240" w:lineRule="auto"/>
        <w:ind w:left="907" w:right="851"/>
        <w:jc w:val="both"/>
        <w:rPr>
          <w:rFonts w:ascii="Palatino Linotype" w:eastAsia="Calibri" w:hAnsi="Palatino Linotype" w:cs="Times New Roman"/>
          <w:b/>
          <w:bCs/>
          <w:i/>
          <w:sz w:val="24"/>
          <w:szCs w:val="24"/>
        </w:rPr>
      </w:pPr>
      <w:r w:rsidRPr="00BA2024">
        <w:rPr>
          <w:rFonts w:ascii="Palatino Linotype" w:eastAsia="Calibri" w:hAnsi="Palatino Linotype" w:cs="Times New Roman"/>
          <w:b/>
          <w:bCs/>
          <w:i/>
          <w:sz w:val="24"/>
          <w:szCs w:val="24"/>
        </w:rPr>
        <w:t xml:space="preserve">III. </w:t>
      </w:r>
      <w:r w:rsidR="001979B9" w:rsidRPr="00BA2024">
        <w:rPr>
          <w:rFonts w:ascii="Palatino Linotype" w:eastAsia="Calibri" w:hAnsi="Palatino Linotype" w:cs="Times New Roman"/>
          <w:b/>
          <w:bCs/>
          <w:i/>
          <w:sz w:val="24"/>
          <w:szCs w:val="24"/>
        </w:rPr>
        <w:t>Los correos electrónicos de archivo y sus documentos adjuntos se conservarán en los términos y por el plazo establecido por la Comisión Dictaminadora en el Catálogo de Disposición Documental.”</w:t>
      </w:r>
    </w:p>
    <w:p w14:paraId="78D220EF" w14:textId="77777777" w:rsidR="00BA2024" w:rsidRDefault="00BA2024" w:rsidP="00BA2024">
      <w:pPr>
        <w:spacing w:after="0" w:line="360" w:lineRule="auto"/>
        <w:jc w:val="both"/>
        <w:rPr>
          <w:rFonts w:ascii="Palatino Linotype" w:eastAsia="Calibri" w:hAnsi="Palatino Linotype" w:cs="Times New Roman"/>
          <w:sz w:val="24"/>
          <w:szCs w:val="24"/>
        </w:rPr>
      </w:pPr>
    </w:p>
    <w:p w14:paraId="1A56A0B0" w14:textId="77777777" w:rsidR="00BA2024" w:rsidRDefault="00BA2024" w:rsidP="00BA2024">
      <w:pPr>
        <w:spacing w:after="0" w:line="360" w:lineRule="auto"/>
        <w:jc w:val="both"/>
        <w:rPr>
          <w:rFonts w:ascii="Palatino Linotype" w:eastAsia="Calibri" w:hAnsi="Palatino Linotype" w:cs="Times New Roman"/>
          <w:sz w:val="24"/>
          <w:szCs w:val="24"/>
        </w:rPr>
      </w:pPr>
    </w:p>
    <w:p w14:paraId="335D13F1" w14:textId="13D4320B" w:rsidR="001979B9" w:rsidRDefault="00BA2024" w:rsidP="00BA2024">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 xml:space="preserve">De los preceptos referidos con anterioridad, advertimos que </w:t>
      </w:r>
      <w:r w:rsidR="001979B9" w:rsidRPr="001979B9">
        <w:rPr>
          <w:rFonts w:ascii="Palatino Linotype" w:eastAsia="Calibri" w:hAnsi="Palatino Linotype" w:cs="Times New Roman"/>
          <w:sz w:val="24"/>
          <w:szCs w:val="24"/>
          <w:lang w:val="es-ES"/>
        </w:rPr>
        <w:t>los Sujetos Obligados implementarán acciones que permitan llevar a cabo la correcta y debida organización de los correos electrónicos de Archivo</w:t>
      </w:r>
      <w:r>
        <w:rPr>
          <w:rFonts w:ascii="Palatino Linotype" w:eastAsia="Calibri" w:hAnsi="Palatino Linotype" w:cs="Times New Roman"/>
          <w:sz w:val="24"/>
          <w:szCs w:val="24"/>
          <w:lang w:val="es-ES"/>
        </w:rPr>
        <w:t xml:space="preserve"> entendiéndose por estos los</w:t>
      </w:r>
      <w:r w:rsidR="001979B9" w:rsidRPr="00BA2024">
        <w:rPr>
          <w:rFonts w:ascii="Palatino Linotype" w:eastAsia="Calibri" w:hAnsi="Palatino Linotype" w:cs="Times New Roman"/>
          <w:sz w:val="24"/>
          <w:szCs w:val="24"/>
          <w:lang w:val="es-ES"/>
        </w:rPr>
        <w:t xml:space="preserve">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w:t>
      </w:r>
      <w:r w:rsidR="001979B9" w:rsidRPr="001979B9">
        <w:rPr>
          <w:rFonts w:ascii="Palatino Linotype" w:eastAsia="Calibri" w:hAnsi="Palatino Linotype" w:cs="Times New Roman"/>
          <w:sz w:val="24"/>
          <w:szCs w:val="24"/>
          <w:lang w:val="es-ES"/>
        </w:rPr>
        <w:t xml:space="preserve"> para garantizar el debido cumplimiento de la normatividad jurídica y administrativa aplicable en materia archivística organizándose en archivos electrónicos con plena equivalencia a los expedientes con documentos en soporte de papel de conformidad con el Cuadro General de Clasificación Archivística, conservándose en los términos y por el plazo establecido por la Comisión Dictaminadora en el Catálogo de Disposición Documental</w:t>
      </w:r>
      <w:r w:rsidR="001979B9" w:rsidRPr="001979B9">
        <w:rPr>
          <w:rFonts w:ascii="Palatino Linotype" w:eastAsia="Calibri" w:hAnsi="Palatino Linotype" w:cs="Times New Roman"/>
          <w:sz w:val="24"/>
          <w:szCs w:val="24"/>
        </w:rPr>
        <w:t>.</w:t>
      </w:r>
    </w:p>
    <w:p w14:paraId="4E908186" w14:textId="77777777" w:rsidR="00BA2024" w:rsidRPr="001979B9" w:rsidRDefault="00BA2024" w:rsidP="00BA2024">
      <w:pPr>
        <w:spacing w:after="0" w:line="360" w:lineRule="auto"/>
        <w:jc w:val="both"/>
        <w:rPr>
          <w:rFonts w:ascii="Palatino Linotype" w:eastAsia="Calibri" w:hAnsi="Palatino Linotype" w:cs="Times New Roman"/>
          <w:sz w:val="24"/>
          <w:szCs w:val="24"/>
          <w:lang w:val="es-ES"/>
        </w:rPr>
      </w:pPr>
    </w:p>
    <w:p w14:paraId="7DD3E428" w14:textId="61D31D80" w:rsidR="001979B9" w:rsidRDefault="001979B9" w:rsidP="001979B9">
      <w:pPr>
        <w:spacing w:after="0" w:line="360" w:lineRule="auto"/>
        <w:jc w:val="both"/>
        <w:rPr>
          <w:rFonts w:ascii="Palatino Linotype" w:eastAsia="Calibri" w:hAnsi="Palatino Linotype" w:cs="Times New Roman"/>
          <w:sz w:val="24"/>
          <w:szCs w:val="24"/>
          <w:lang w:val="es-ES"/>
        </w:rPr>
      </w:pPr>
      <w:r w:rsidRPr="001979B9">
        <w:rPr>
          <w:rFonts w:ascii="Palatino Linotype" w:eastAsia="Calibri" w:hAnsi="Palatino Linotype" w:cs="Times New Roman"/>
          <w:sz w:val="24"/>
          <w:szCs w:val="24"/>
          <w:lang w:val="es-ES"/>
        </w:rPr>
        <w:t xml:space="preserve">En esta tesitura y con la finalidad de garantizar el pleno ejercicio del derecho de acceso a la información pública, con fundamento en los artículos 13 y 181 párrafo cuarto de la Ley de Transparencia vigente en la entidad, </w:t>
      </w:r>
      <w:r w:rsidR="00BA2024">
        <w:rPr>
          <w:rFonts w:ascii="Palatino Linotype" w:eastAsia="Calibri" w:hAnsi="Palatino Linotype" w:cs="Times New Roman"/>
          <w:sz w:val="24"/>
          <w:szCs w:val="24"/>
          <w:lang w:val="es-ES"/>
        </w:rPr>
        <w:t>resulta dable ordenar al</w:t>
      </w:r>
      <w:r w:rsidRPr="001979B9">
        <w:rPr>
          <w:rFonts w:ascii="Palatino Linotype" w:eastAsia="Calibri" w:hAnsi="Palatino Linotype" w:cs="Times New Roman"/>
          <w:sz w:val="24"/>
          <w:szCs w:val="24"/>
        </w:rPr>
        <w:t xml:space="preserve"> Sujeto Obligado </w:t>
      </w:r>
      <w:r w:rsidR="00BA2024" w:rsidRPr="001979B9">
        <w:rPr>
          <w:rFonts w:ascii="Palatino Linotype" w:eastAsia="Calibri" w:hAnsi="Palatino Linotype" w:cs="Times New Roman"/>
          <w:sz w:val="24"/>
          <w:szCs w:val="24"/>
          <w:lang w:val="es-ES"/>
        </w:rPr>
        <w:t>h</w:t>
      </w:r>
      <w:r w:rsidR="00BA2024">
        <w:rPr>
          <w:rFonts w:ascii="Palatino Linotype" w:eastAsia="Calibri" w:hAnsi="Palatino Linotype" w:cs="Times New Roman"/>
          <w:sz w:val="24"/>
          <w:szCs w:val="24"/>
          <w:lang w:val="es-ES"/>
        </w:rPr>
        <w:t>acer</w:t>
      </w:r>
      <w:r w:rsidRPr="001979B9">
        <w:rPr>
          <w:rFonts w:ascii="Palatino Linotype" w:eastAsia="Calibri" w:hAnsi="Palatino Linotype" w:cs="Times New Roman"/>
          <w:sz w:val="24"/>
          <w:szCs w:val="24"/>
          <w:lang w:val="es-ES"/>
        </w:rPr>
        <w:t xml:space="preserve"> entrega de la información materia del presente requerimiento, en versión pública</w:t>
      </w:r>
      <w:r w:rsidR="00BA2024">
        <w:rPr>
          <w:rFonts w:ascii="Palatino Linotype" w:eastAsia="Calibri" w:hAnsi="Palatino Linotype" w:cs="Times New Roman"/>
          <w:sz w:val="24"/>
          <w:szCs w:val="24"/>
          <w:lang w:val="es-ES"/>
        </w:rPr>
        <w:t xml:space="preserve">, de acuerdo a </w:t>
      </w:r>
      <w:r w:rsidR="005D4AEE">
        <w:rPr>
          <w:rFonts w:ascii="Palatino Linotype" w:eastAsia="Calibri" w:hAnsi="Palatino Linotype" w:cs="Times New Roman"/>
          <w:sz w:val="24"/>
          <w:szCs w:val="24"/>
          <w:lang w:val="es-ES"/>
        </w:rPr>
        <w:t>las formalidades</w:t>
      </w:r>
      <w:r w:rsidR="00BA2024">
        <w:rPr>
          <w:rFonts w:ascii="Palatino Linotype" w:eastAsia="Calibri" w:hAnsi="Palatino Linotype" w:cs="Times New Roman"/>
          <w:sz w:val="24"/>
          <w:szCs w:val="24"/>
          <w:lang w:val="es-ES"/>
        </w:rPr>
        <w:t xml:space="preserve"> que serán precisadas en párrafos posteriores.</w:t>
      </w:r>
    </w:p>
    <w:p w14:paraId="7B1FAF9B" w14:textId="09A0D409" w:rsidR="00647FB6" w:rsidRDefault="00647FB6" w:rsidP="001979B9">
      <w:pPr>
        <w:spacing w:after="0" w:line="360" w:lineRule="auto"/>
        <w:jc w:val="both"/>
        <w:rPr>
          <w:rFonts w:ascii="Palatino Linotype" w:eastAsia="Calibri" w:hAnsi="Palatino Linotype" w:cs="Times New Roman"/>
          <w:sz w:val="24"/>
          <w:szCs w:val="24"/>
          <w:lang w:val="es-ES"/>
        </w:rPr>
      </w:pPr>
    </w:p>
    <w:p w14:paraId="79F30128" w14:textId="5E6B260D" w:rsidR="00647FB6" w:rsidRPr="00C93261" w:rsidRDefault="00647FB6" w:rsidP="00C93261">
      <w:pPr>
        <w:tabs>
          <w:tab w:val="left" w:pos="709"/>
        </w:tabs>
        <w:spacing w:after="0" w:line="360" w:lineRule="auto"/>
        <w:ind w:right="51"/>
        <w:jc w:val="both"/>
        <w:rPr>
          <w:rFonts w:ascii="Palatino Linotype" w:eastAsia="Calibri" w:hAnsi="Palatino Linotype" w:cs="Times New Roman"/>
          <w:sz w:val="24"/>
          <w:szCs w:val="24"/>
        </w:rPr>
      </w:pPr>
      <w:r w:rsidRPr="00647FB6">
        <w:rPr>
          <w:rFonts w:ascii="Palatino Linotype" w:eastAsia="Calibri" w:hAnsi="Palatino Linotype" w:cs="Times New Roman"/>
          <w:sz w:val="24"/>
          <w:szCs w:val="24"/>
        </w:rPr>
        <w:t>En virtud de lo anteriormente señalado, si bien procede la entrega</w:t>
      </w:r>
      <w:r>
        <w:rPr>
          <w:rFonts w:ascii="Palatino Linotype" w:eastAsia="Calibri" w:hAnsi="Palatino Linotype" w:cs="Times New Roman"/>
          <w:sz w:val="24"/>
          <w:szCs w:val="24"/>
        </w:rPr>
        <w:t xml:space="preserve"> en versión pública</w:t>
      </w:r>
      <w:r w:rsidRPr="00647FB6">
        <w:rPr>
          <w:rFonts w:ascii="Palatino Linotype" w:eastAsia="Calibri" w:hAnsi="Palatino Linotype" w:cs="Times New Roman"/>
          <w:sz w:val="24"/>
          <w:szCs w:val="24"/>
        </w:rPr>
        <w:t xml:space="preserve"> de las documentales que conforman </w:t>
      </w:r>
      <w:r>
        <w:rPr>
          <w:rFonts w:ascii="Palatino Linotype" w:eastAsia="Calibri" w:hAnsi="Palatino Linotype" w:cs="Times New Roman"/>
          <w:sz w:val="24"/>
          <w:szCs w:val="24"/>
        </w:rPr>
        <w:t>el correo electrónico referido en la solicitud</w:t>
      </w:r>
      <w:r w:rsidRPr="00647FB6">
        <w:rPr>
          <w:rFonts w:ascii="Palatino Linotype" w:eastAsia="Calibri" w:hAnsi="Palatino Linotype" w:cs="Times New Roman"/>
          <w:sz w:val="24"/>
          <w:szCs w:val="24"/>
        </w:rPr>
        <w:t xml:space="preserve"> de información de mérito, </w:t>
      </w:r>
      <w:r>
        <w:rPr>
          <w:rFonts w:ascii="Palatino Linotype" w:eastAsia="Calibri" w:hAnsi="Palatino Linotype" w:cs="Times New Roman"/>
          <w:sz w:val="24"/>
          <w:szCs w:val="24"/>
        </w:rPr>
        <w:t>toda vez que no se tiene certeza del contenido de éstas</w:t>
      </w:r>
      <w:r w:rsidRPr="00647FB6">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para el caso que contenga información considerada </w:t>
      </w:r>
      <w:r w:rsidRPr="00647FB6">
        <w:rPr>
          <w:rFonts w:ascii="Palatino Linotype" w:eastAsia="Calibri" w:hAnsi="Palatino Linotype" w:cs="Times New Roman"/>
          <w:sz w:val="24"/>
          <w:szCs w:val="24"/>
        </w:rPr>
        <w:t>en su totalidad como confidenciales</w:t>
      </w:r>
      <w:r>
        <w:rPr>
          <w:rFonts w:ascii="Palatino Linotype" w:eastAsia="Calibri" w:hAnsi="Palatino Linotype" w:cs="Times New Roman"/>
          <w:sz w:val="24"/>
          <w:szCs w:val="24"/>
        </w:rPr>
        <w:t xml:space="preserve">, se deberá </w:t>
      </w:r>
      <w:r w:rsidRPr="00647FB6">
        <w:rPr>
          <w:rFonts w:ascii="Palatino Linotype" w:eastAsia="Calibri" w:hAnsi="Palatino Linotype" w:cs="Times New Roman"/>
          <w:sz w:val="24"/>
          <w:szCs w:val="24"/>
        </w:rPr>
        <w:t xml:space="preserve">emitir y entregar al recurrente el Acuerdo del Comité de Transparencia en, en </w:t>
      </w:r>
      <w:r w:rsidRPr="00647FB6">
        <w:rPr>
          <w:rFonts w:ascii="Palatino Linotype" w:eastAsia="Calibri" w:hAnsi="Palatino Linotype" w:cs="Times New Roman"/>
          <w:sz w:val="24"/>
          <w:szCs w:val="24"/>
        </w:rPr>
        <w:lastRenderedPageBreak/>
        <w:t>donde, de manera fundada y motivada, confirme dicha clasificación</w:t>
      </w:r>
      <w:r>
        <w:rPr>
          <w:rFonts w:ascii="Palatino Linotype" w:eastAsia="Calibri" w:hAnsi="Palatino Linotype" w:cs="Times New Roman"/>
          <w:sz w:val="24"/>
          <w:szCs w:val="24"/>
        </w:rPr>
        <w:t>, con las formalidades especificadas en el apartado respectivo.</w:t>
      </w:r>
    </w:p>
    <w:p w14:paraId="59F952E6" w14:textId="77777777" w:rsidR="00B729C9" w:rsidRDefault="00B729C9" w:rsidP="003D68B6">
      <w:pPr>
        <w:pStyle w:val="Prrafodelista"/>
        <w:autoSpaceDE w:val="0"/>
        <w:autoSpaceDN w:val="0"/>
        <w:adjustRightInd w:val="0"/>
        <w:spacing w:line="360" w:lineRule="auto"/>
        <w:ind w:left="0"/>
        <w:jc w:val="both"/>
        <w:rPr>
          <w:rFonts w:ascii="Palatino Linotype" w:hAnsi="Palatino Linotype" w:cs="Arial"/>
        </w:rPr>
      </w:pPr>
    </w:p>
    <w:p w14:paraId="1C735337" w14:textId="60DF80D2" w:rsidR="003D68B6" w:rsidRPr="004D3D74" w:rsidRDefault="00461926" w:rsidP="003D68B6">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 xml:space="preserve">Ahora bien, en lo que respecta al recurso de revisión con número de folio </w:t>
      </w:r>
      <w:r w:rsidRPr="00461926">
        <w:rPr>
          <w:rFonts w:ascii="Palatino Linotype" w:hAnsi="Palatino Linotype" w:cs="Arial"/>
        </w:rPr>
        <w:t>02135/INFOEM/IP/RR/2020</w:t>
      </w:r>
      <w:r w:rsidR="003D68B6" w:rsidRPr="00584718">
        <w:rPr>
          <w:rFonts w:ascii="Palatino Linotype" w:hAnsi="Palatino Linotype" w:cs="Arial"/>
        </w:rPr>
        <w:t>,</w:t>
      </w:r>
      <w:r>
        <w:rPr>
          <w:rFonts w:ascii="Palatino Linotype" w:hAnsi="Palatino Linotype" w:cs="Arial"/>
        </w:rPr>
        <w:t xml:space="preserve"> atendiendo</w:t>
      </w:r>
      <w:r w:rsidR="003D68B6" w:rsidRPr="00584718">
        <w:rPr>
          <w:rFonts w:ascii="Palatino Linotype" w:hAnsi="Palatino Linotype" w:cs="Arial"/>
        </w:rPr>
        <w:t xml:space="preserve"> a </w:t>
      </w:r>
      <w:r w:rsidR="003D68B6" w:rsidRPr="00584718">
        <w:rPr>
          <w:rFonts w:ascii="Palatino Linotype" w:hAnsi="Palatino Linotype"/>
          <w:lang w:eastAsia="es-MX"/>
        </w:rPr>
        <w:t>la falta de respuesta</w:t>
      </w:r>
      <w:r w:rsidR="00D24EF9">
        <w:rPr>
          <w:rFonts w:ascii="Palatino Linotype" w:hAnsi="Palatino Linotype"/>
          <w:lang w:eastAsia="es-MX"/>
        </w:rPr>
        <w:t>s</w:t>
      </w:r>
      <w:r w:rsidR="003D68B6" w:rsidRPr="00584718">
        <w:rPr>
          <w:rFonts w:ascii="Palatino Linotype" w:hAnsi="Palatino Linotype"/>
          <w:lang w:eastAsia="es-MX"/>
        </w:rPr>
        <w:t xml:space="preserve"> del </w:t>
      </w:r>
      <w:r w:rsidR="003D68B6" w:rsidRPr="00584718">
        <w:rPr>
          <w:rFonts w:ascii="Palatino Linotype" w:hAnsi="Palatino Linotype"/>
          <w:b/>
          <w:lang w:eastAsia="es-MX"/>
        </w:rPr>
        <w:t>Sujeto Obligado</w:t>
      </w:r>
      <w:r w:rsidR="003D68B6" w:rsidRPr="00584718">
        <w:rPr>
          <w:rFonts w:ascii="Palatino Linotype" w:hAnsi="Palatino Linotype"/>
          <w:lang w:eastAsia="es-MX"/>
        </w:rPr>
        <w:t xml:space="preserve"> a la solicitud de información</w:t>
      </w:r>
      <w:r>
        <w:rPr>
          <w:rFonts w:ascii="Palatino Linotype" w:hAnsi="Palatino Linotype"/>
          <w:lang w:eastAsia="es-MX"/>
        </w:rPr>
        <w:t xml:space="preserve"> de mérito</w:t>
      </w:r>
      <w:r w:rsidR="003D68B6" w:rsidRPr="00584718">
        <w:rPr>
          <w:rFonts w:ascii="Palatino Linotype" w:hAnsi="Palatino Linotype"/>
          <w:lang w:eastAsia="es-MX"/>
        </w:rPr>
        <w:t xml:space="preserve">, la cual se traduce en el hecho de ser omiso en dar atención a la petición en términos de la Ley de la materia, es decir, incumplir con las obligaciones que dicho cuerpo legal le impone como </w:t>
      </w:r>
      <w:r w:rsidR="003D68B6" w:rsidRPr="00584718">
        <w:rPr>
          <w:rFonts w:ascii="Palatino Linotype" w:hAnsi="Palatino Linotype"/>
          <w:b/>
          <w:lang w:eastAsia="es-MX"/>
        </w:rPr>
        <w:t>Sujeto Obligado</w:t>
      </w:r>
      <w:r w:rsidR="003D68B6" w:rsidRPr="00584718">
        <w:rPr>
          <w:rFonts w:ascii="Palatino Linotype" w:hAnsi="Palatino Linotype"/>
          <w:lang w:eastAsia="es-MX"/>
        </w:rPr>
        <w:t xml:space="preserve"> de la misma, tal y como lo constituyen </w:t>
      </w:r>
      <w:r w:rsidR="003D68B6"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CE48BA">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CE48BA">
        <w:rPr>
          <w:rFonts w:ascii="Palatino Linotype" w:eastAsia="MS Mincho" w:hAnsi="Palatino Linotype"/>
          <w:lang w:val="es-ES_tradnl"/>
        </w:rPr>
        <w:lastRenderedPageBreak/>
        <w:t>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32DD9F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6157BF41" w14:textId="5071ADF1"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E511C51" w14:textId="77777777" w:rsidR="003D68B6" w:rsidRDefault="003D68B6" w:rsidP="003D68B6">
      <w:pPr>
        <w:pStyle w:val="Sinespaciado"/>
        <w:rPr>
          <w:rFonts w:eastAsia="Calibri"/>
        </w:rPr>
      </w:pPr>
    </w:p>
    <w:p w14:paraId="08B84B5C" w14:textId="77777777" w:rsidR="003D68B6" w:rsidRPr="00893282" w:rsidRDefault="003D68B6" w:rsidP="003D68B6">
      <w:pPr>
        <w:pStyle w:val="Sinespaciado"/>
        <w:rPr>
          <w:rFonts w:eastAsia="Calibri"/>
        </w:rPr>
      </w:pPr>
    </w:p>
    <w:p w14:paraId="212FCCAF" w14:textId="77777777" w:rsidR="003D68B6" w:rsidRPr="001D2FCC" w:rsidRDefault="003D68B6" w:rsidP="003D68B6">
      <w:pPr>
        <w:pStyle w:val="Sinespaciado"/>
        <w:rPr>
          <w:sz w:val="8"/>
        </w:rPr>
      </w:pPr>
    </w:p>
    <w:p w14:paraId="2C7CF955" w14:textId="77777777" w:rsidR="00DA57E0" w:rsidRPr="00DA57E0" w:rsidRDefault="00DA57E0" w:rsidP="00DA57E0">
      <w:pPr>
        <w:numPr>
          <w:ilvl w:val="0"/>
          <w:numId w:val="10"/>
        </w:numPr>
        <w:spacing w:after="240" w:line="360" w:lineRule="auto"/>
        <w:ind w:left="709" w:right="49"/>
        <w:contextualSpacing/>
        <w:jc w:val="both"/>
        <w:rPr>
          <w:rFonts w:ascii="Palatino Linotype" w:eastAsia="Times New Roman" w:hAnsi="Palatino Linotype" w:cs="Times New Roman"/>
          <w:b/>
          <w:color w:val="000000"/>
          <w:sz w:val="24"/>
          <w:szCs w:val="24"/>
          <w:u w:val="single"/>
          <w:lang w:val="es-ES" w:eastAsia="es-ES"/>
        </w:rPr>
      </w:pPr>
      <w:r w:rsidRPr="00DA57E0">
        <w:rPr>
          <w:rFonts w:ascii="Palatino Linotype" w:eastAsia="Times New Roman" w:hAnsi="Palatino Linotype" w:cs="Times New Roman"/>
          <w:b/>
          <w:i/>
          <w:sz w:val="24"/>
          <w:szCs w:val="24"/>
          <w:lang w:val="es-ES" w:eastAsia="es-ES"/>
        </w:rPr>
        <w:t>DEL ACUERDO DE CLASIFICACIÓN.</w:t>
      </w:r>
      <w:bookmarkStart w:id="7" w:name="_Toc514868040"/>
      <w:bookmarkStart w:id="8" w:name="_Toc496643629"/>
      <w:bookmarkStart w:id="9" w:name="_Toc485631704"/>
      <w:r w:rsidRPr="00DA57E0">
        <w:rPr>
          <w:rFonts w:ascii="Palatino Linotype" w:eastAsia="Times New Roman" w:hAnsi="Palatino Linotype" w:cs="Times New Roman"/>
          <w:b/>
          <w:i/>
          <w:sz w:val="24"/>
          <w:szCs w:val="24"/>
          <w:lang w:val="es-ES" w:eastAsia="es-ES"/>
        </w:rPr>
        <w:t xml:space="preserve"> FORMALIDADES PARA EMITIR EL ACUERDO DE CLASIFICACIÓN.</w:t>
      </w:r>
      <w:bookmarkEnd w:id="7"/>
      <w:bookmarkEnd w:id="8"/>
      <w:bookmarkEnd w:id="9"/>
    </w:p>
    <w:p w14:paraId="51760CD7" w14:textId="77777777" w:rsidR="00DA57E0" w:rsidRPr="00DA57E0" w:rsidRDefault="00DA57E0" w:rsidP="00DA57E0">
      <w:pPr>
        <w:tabs>
          <w:tab w:val="left" w:pos="7770"/>
        </w:tabs>
        <w:spacing w:after="0" w:line="360" w:lineRule="auto"/>
        <w:jc w:val="both"/>
        <w:rPr>
          <w:rFonts w:ascii="Palatino Linotype" w:eastAsia="Times New Roman" w:hAnsi="Palatino Linotype" w:cs="Arial"/>
          <w:color w:val="000000"/>
          <w:sz w:val="2"/>
          <w:szCs w:val="24"/>
          <w:lang w:val="es-ES" w:eastAsia="es-ES"/>
        </w:rPr>
      </w:pPr>
    </w:p>
    <w:p w14:paraId="38D78194" w14:textId="77777777" w:rsidR="00DA57E0" w:rsidRPr="00DA57E0" w:rsidRDefault="00DA57E0" w:rsidP="00DA57E0">
      <w:pPr>
        <w:spacing w:line="360" w:lineRule="auto"/>
        <w:jc w:val="both"/>
        <w:rPr>
          <w:rFonts w:ascii="Palatino Linotype" w:eastAsia="Calibri" w:hAnsi="Palatino Linotype" w:cs="Arial"/>
          <w:color w:val="000000"/>
          <w:sz w:val="24"/>
        </w:rPr>
      </w:pPr>
      <w:r w:rsidRPr="00DA57E0">
        <w:rPr>
          <w:rFonts w:ascii="Palatino Linotype" w:eastAsia="Calibri" w:hAnsi="Palatino Linotype" w:cs="Arial"/>
          <w:color w:val="000000"/>
          <w:sz w:val="24"/>
        </w:rPr>
        <w:t xml:space="preserve">Los </w:t>
      </w:r>
      <w:r w:rsidRPr="00DA57E0">
        <w:rPr>
          <w:rFonts w:ascii="Palatino Linotype" w:eastAsia="Calibri" w:hAnsi="Palatino Linotype" w:cs="Times New Roman"/>
          <w:color w:val="000000"/>
          <w:sz w:val="24"/>
        </w:rPr>
        <w:t>artículos</w:t>
      </w:r>
      <w:r w:rsidRPr="00DA57E0">
        <w:rPr>
          <w:rFonts w:ascii="Palatino Linotype" w:eastAsia="Calibri" w:hAnsi="Palatino Linotype" w:cs="Arial"/>
          <w:color w:val="000000"/>
          <w:sz w:val="24"/>
        </w:rPr>
        <w:t xml:space="preserve"> 122 y 100 de la </w:t>
      </w:r>
      <w:r w:rsidRPr="00DA57E0">
        <w:rPr>
          <w:rFonts w:ascii="Palatino Linotype" w:eastAsia="Calibri" w:hAnsi="Palatino Linotype" w:cs="Arial"/>
          <w:b/>
          <w:color w:val="000000"/>
          <w:sz w:val="24"/>
        </w:rPr>
        <w:t>Ley de Transparencia y Acceso a la Información Pública del Estado de México y Municipios</w:t>
      </w:r>
      <w:r w:rsidRPr="00DA57E0">
        <w:rPr>
          <w:rFonts w:ascii="Palatino Linotype" w:eastAsia="Calibri" w:hAnsi="Palatino Linotype" w:cs="Arial"/>
          <w:color w:val="000000"/>
          <w:sz w:val="24"/>
        </w:rPr>
        <w:t xml:space="preserve"> y de la </w:t>
      </w:r>
      <w:r w:rsidRPr="00DA57E0">
        <w:rPr>
          <w:rFonts w:ascii="Palatino Linotype" w:eastAsia="Calibri" w:hAnsi="Palatino Linotype" w:cs="Times New Roman"/>
          <w:b/>
          <w:color w:val="000000"/>
          <w:sz w:val="24"/>
        </w:rPr>
        <w:t xml:space="preserve">Ley General de Transparencia y Acceso </w:t>
      </w:r>
      <w:r w:rsidRPr="00DA57E0">
        <w:rPr>
          <w:rFonts w:ascii="Palatino Linotype" w:eastAsia="Calibri" w:hAnsi="Palatino Linotype" w:cs="Times New Roman"/>
          <w:b/>
          <w:color w:val="000000"/>
          <w:sz w:val="24"/>
        </w:rPr>
        <w:lastRenderedPageBreak/>
        <w:t>a la Información Pública</w:t>
      </w:r>
      <w:r w:rsidRPr="00DA57E0">
        <w:rPr>
          <w:rFonts w:ascii="Palatino Linotype" w:eastAsia="Calibri" w:hAnsi="Palatino Linotype" w:cs="Arial"/>
          <w:color w:val="000000"/>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3E92CCB4" w14:textId="77777777" w:rsidR="00DA57E0" w:rsidRPr="00DA57E0" w:rsidRDefault="00DA57E0" w:rsidP="00DA57E0">
      <w:pPr>
        <w:spacing w:line="360" w:lineRule="auto"/>
        <w:contextualSpacing/>
        <w:jc w:val="both"/>
        <w:rPr>
          <w:rFonts w:ascii="Palatino Linotype" w:eastAsia="Times New Roman" w:hAnsi="Palatino Linotype" w:cs="Arial"/>
          <w:color w:val="000000"/>
          <w:sz w:val="24"/>
          <w:szCs w:val="24"/>
          <w:lang w:val="es-ES" w:eastAsia="es-ES"/>
        </w:rPr>
      </w:pPr>
    </w:p>
    <w:p w14:paraId="20C3E93D" w14:textId="77777777" w:rsidR="00DA57E0" w:rsidRPr="00DA57E0" w:rsidRDefault="00DA57E0" w:rsidP="00DA57E0">
      <w:pPr>
        <w:spacing w:line="360" w:lineRule="auto"/>
        <w:contextualSpacing/>
        <w:jc w:val="both"/>
        <w:rPr>
          <w:rFonts w:ascii="Palatino Linotype" w:eastAsia="Calibri" w:hAnsi="Palatino Linotype" w:cs="Arial"/>
          <w:color w:val="000000"/>
          <w:sz w:val="24"/>
        </w:rPr>
      </w:pPr>
      <w:r w:rsidRPr="00DA57E0">
        <w:rPr>
          <w:rFonts w:ascii="Palatino Linotype" w:eastAsia="Calibri" w:hAnsi="Palatino Linotype" w:cs="Arial"/>
          <w:color w:val="000000"/>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6D78674" w14:textId="77777777" w:rsidR="00DA57E0" w:rsidRPr="00DA57E0" w:rsidRDefault="00DA57E0" w:rsidP="00DA57E0">
      <w:pPr>
        <w:spacing w:line="360" w:lineRule="auto"/>
        <w:contextualSpacing/>
        <w:jc w:val="both"/>
        <w:rPr>
          <w:rFonts w:ascii="Palatino Linotype" w:eastAsia="Calibri" w:hAnsi="Palatino Linotype" w:cs="Arial"/>
          <w:color w:val="000000"/>
          <w:sz w:val="24"/>
        </w:rPr>
      </w:pPr>
    </w:p>
    <w:p w14:paraId="654DD9F1" w14:textId="77777777" w:rsidR="00DA57E0" w:rsidRPr="00DA57E0" w:rsidRDefault="00DA57E0" w:rsidP="00DA57E0">
      <w:pPr>
        <w:spacing w:line="360" w:lineRule="auto"/>
        <w:contextualSpacing/>
        <w:jc w:val="both"/>
        <w:rPr>
          <w:rFonts w:ascii="Palatino Linotype" w:eastAsia="Calibri" w:hAnsi="Palatino Linotype" w:cs="Arial"/>
          <w:color w:val="000000"/>
          <w:sz w:val="24"/>
        </w:rPr>
      </w:pPr>
      <w:r w:rsidRPr="00DA57E0">
        <w:rPr>
          <w:rFonts w:ascii="Palatino Linotype" w:eastAsia="Calibri" w:hAnsi="Palatino Linotype" w:cs="Arial"/>
          <w:color w:val="000000"/>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AEEF87" w14:textId="77777777" w:rsidR="00DA57E0" w:rsidRPr="00DA57E0" w:rsidRDefault="00DA57E0" w:rsidP="00DA57E0">
      <w:pPr>
        <w:spacing w:line="360" w:lineRule="auto"/>
        <w:contextualSpacing/>
        <w:jc w:val="both"/>
        <w:rPr>
          <w:rFonts w:ascii="Palatino Linotype" w:eastAsia="Calibri" w:hAnsi="Palatino Linotype" w:cs="Arial"/>
          <w:color w:val="000000"/>
          <w:sz w:val="24"/>
        </w:rPr>
      </w:pPr>
    </w:p>
    <w:p w14:paraId="30280D59" w14:textId="77777777" w:rsidR="00DA57E0" w:rsidRPr="00DA57E0" w:rsidRDefault="00DA57E0" w:rsidP="00DA57E0">
      <w:pPr>
        <w:spacing w:line="360" w:lineRule="auto"/>
        <w:contextualSpacing/>
        <w:jc w:val="both"/>
        <w:rPr>
          <w:rFonts w:ascii="Palatino Linotype" w:eastAsia="Calibri" w:hAnsi="Palatino Linotype" w:cs="Arial"/>
          <w:color w:val="000000"/>
          <w:sz w:val="28"/>
        </w:rPr>
      </w:pPr>
      <w:r w:rsidRPr="00DA57E0">
        <w:rPr>
          <w:rFonts w:ascii="Palatino Linotype" w:eastAsia="Calibri" w:hAnsi="Palatino Linotype" w:cs="Arial"/>
          <w:color w:val="000000"/>
          <w:sz w:val="24"/>
        </w:rPr>
        <w:lastRenderedPageBreak/>
        <w:t xml:space="preserve">Por lo tanto el Comité de Transparencia, según lo dispuesto en los artículos 128 y 103 de la </w:t>
      </w:r>
      <w:r w:rsidRPr="00DA57E0">
        <w:rPr>
          <w:rFonts w:ascii="Palatino Linotype" w:eastAsia="Calibri" w:hAnsi="Palatino Linotype" w:cs="Arial"/>
          <w:b/>
          <w:color w:val="000000"/>
          <w:sz w:val="24"/>
        </w:rPr>
        <w:t>Ley de Transparencia y Acceso a la Información Pública del Estado de México y Municipios</w:t>
      </w:r>
      <w:r w:rsidRPr="00DA57E0">
        <w:rPr>
          <w:rFonts w:ascii="Palatino Linotype" w:eastAsia="Calibri" w:hAnsi="Palatino Linotype" w:cs="Arial"/>
          <w:color w:val="000000"/>
          <w:sz w:val="24"/>
        </w:rPr>
        <w:t xml:space="preserve"> y de la </w:t>
      </w:r>
      <w:r w:rsidRPr="00DA57E0">
        <w:rPr>
          <w:rFonts w:ascii="Palatino Linotype" w:eastAsia="Calibri" w:hAnsi="Palatino Linotype" w:cs="Times New Roman"/>
          <w:b/>
          <w:color w:val="000000"/>
          <w:sz w:val="24"/>
        </w:rPr>
        <w:t>Ley General de Transparencia y Acceso a la Información Pública</w:t>
      </w:r>
      <w:r w:rsidRPr="00DA57E0">
        <w:rPr>
          <w:rFonts w:ascii="Palatino Linotype" w:eastAsia="Calibri" w:hAnsi="Palatino Linotype" w:cs="Times New Roman"/>
          <w:color w:val="000000"/>
          <w:sz w:val="24"/>
        </w:rPr>
        <w:t>,</w:t>
      </w:r>
      <w:r w:rsidRPr="00DA57E0">
        <w:rPr>
          <w:rFonts w:ascii="Palatino Linotype" w:eastAsia="Calibri" w:hAnsi="Palatino Linotype" w:cs="Arial"/>
          <w:color w:val="000000"/>
          <w:sz w:val="24"/>
        </w:rPr>
        <w:t xml:space="preserve"> respectivamente, y </w:t>
      </w:r>
      <w:r w:rsidRPr="00DA57E0">
        <w:rPr>
          <w:rFonts w:ascii="Palatino Linotype" w:eastAsia="Calibri" w:hAnsi="Palatino Linotype" w:cs="Times New Roman"/>
          <w:color w:val="000000"/>
          <w:sz w:val="24"/>
        </w:rPr>
        <w:t xml:space="preserve">la fracción III del numeral Segundo de los </w:t>
      </w:r>
      <w:r w:rsidRPr="00DA57E0">
        <w:rPr>
          <w:rFonts w:ascii="Palatino Linotype" w:eastAsia="Calibri" w:hAnsi="Palatino Linotype" w:cs="Arial"/>
          <w:b/>
          <w:color w:val="000000"/>
          <w:sz w:val="24"/>
        </w:rPr>
        <w:t>Lineamientos generales en materia de clasificación y desclasificación de la información, así como para la elaboración de versiones públicas</w:t>
      </w:r>
      <w:r w:rsidRPr="00DA57E0">
        <w:rPr>
          <w:rFonts w:ascii="Palatino Linotype" w:eastAsia="Calibri" w:hAnsi="Palatino Linotype" w:cs="Arial"/>
          <w:color w:val="000000"/>
          <w:sz w:val="24"/>
        </w:rPr>
        <w:t>, en adelante los Lineamientos Generales,</w:t>
      </w:r>
      <w:r w:rsidRPr="00DA57E0">
        <w:rPr>
          <w:rFonts w:ascii="Palatino Linotype" w:eastAsia="Calibri" w:hAnsi="Palatino Linotype" w:cs="Times New Roman"/>
          <w:color w:val="000000"/>
          <w:sz w:val="24"/>
        </w:rPr>
        <w:t xml:space="preserve"> </w:t>
      </w:r>
      <w:r w:rsidRPr="00DA57E0">
        <w:rPr>
          <w:rFonts w:ascii="Palatino Linotype" w:eastAsia="Calibri" w:hAnsi="Palatino Linotype" w:cs="Arial"/>
          <w:color w:val="000000"/>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B94DA30" w14:textId="77777777" w:rsidR="00DA57E0" w:rsidRPr="00DA57E0" w:rsidRDefault="00DA57E0" w:rsidP="00DA57E0">
      <w:pPr>
        <w:spacing w:line="360" w:lineRule="auto"/>
        <w:contextualSpacing/>
        <w:jc w:val="both"/>
        <w:rPr>
          <w:rFonts w:ascii="Times New Roman" w:eastAsia="Times New Roman" w:hAnsi="Times New Roman" w:cs="Times New Roman"/>
          <w:sz w:val="24"/>
          <w:szCs w:val="24"/>
          <w:lang w:eastAsia="es-ES"/>
        </w:rPr>
      </w:pPr>
    </w:p>
    <w:p w14:paraId="68832885" w14:textId="77777777" w:rsidR="00DA57E0" w:rsidRPr="00DA57E0" w:rsidRDefault="00DA57E0" w:rsidP="00DA57E0">
      <w:pPr>
        <w:spacing w:line="360" w:lineRule="auto"/>
        <w:jc w:val="both"/>
        <w:rPr>
          <w:rFonts w:ascii="Palatino Linotype" w:eastAsia="Calibri" w:hAnsi="Palatino Linotype" w:cs="Arial"/>
          <w:color w:val="000000"/>
          <w:sz w:val="32"/>
        </w:rPr>
      </w:pPr>
      <w:r w:rsidRPr="00DA57E0">
        <w:rPr>
          <w:rFonts w:ascii="Palatino Linotype" w:eastAsia="Calibri" w:hAnsi="Palatino Linotype" w:cs="Arial"/>
          <w:color w:val="000000"/>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DA57E0">
        <w:rPr>
          <w:rFonts w:ascii="Palatino Linotype" w:eastAsia="Calibri" w:hAnsi="Palatino Linotype" w:cs="Arial"/>
          <w:b/>
          <w:color w:val="000000"/>
          <w:sz w:val="24"/>
        </w:rPr>
        <w:t>Ley de Transparencia y Acceso a la Información Pública del Estado de México y Municipios</w:t>
      </w:r>
      <w:r w:rsidRPr="00DA57E0">
        <w:rPr>
          <w:rFonts w:ascii="Palatino Linotype" w:eastAsia="Calibri" w:hAnsi="Palatino Linotype" w:cs="Arial"/>
          <w:color w:val="000000"/>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AB6624B" w14:textId="77777777" w:rsidR="00DA57E0" w:rsidRPr="00DA57E0" w:rsidRDefault="00DA57E0" w:rsidP="00DA57E0">
      <w:pPr>
        <w:spacing w:line="360" w:lineRule="auto"/>
        <w:contextualSpacing/>
        <w:jc w:val="both"/>
        <w:rPr>
          <w:rFonts w:ascii="Palatino Linotype" w:eastAsia="Calibri" w:hAnsi="Palatino Linotype" w:cs="Arial"/>
          <w:color w:val="000000"/>
          <w:sz w:val="20"/>
        </w:rPr>
      </w:pPr>
    </w:p>
    <w:p w14:paraId="11E580E9" w14:textId="77777777" w:rsidR="00DA57E0" w:rsidRPr="00DA57E0" w:rsidRDefault="00DA57E0" w:rsidP="00DA57E0">
      <w:pPr>
        <w:spacing w:line="360" w:lineRule="auto"/>
        <w:contextualSpacing/>
        <w:jc w:val="both"/>
        <w:rPr>
          <w:rFonts w:ascii="Palatino Linotype" w:eastAsia="Calibri" w:hAnsi="Palatino Linotype" w:cs="Times New Roman"/>
          <w:color w:val="000000"/>
          <w:sz w:val="24"/>
        </w:rPr>
      </w:pPr>
      <w:r w:rsidRPr="00DA57E0">
        <w:rPr>
          <w:rFonts w:ascii="Palatino Linotype" w:eastAsia="Calibri" w:hAnsi="Palatino Linotype" w:cs="Times New Roman"/>
          <w:color w:val="000000"/>
          <w:sz w:val="24"/>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10" w:name="_Toc516161530"/>
      <w:bookmarkStart w:id="11" w:name="_Toc514868041"/>
      <w:bookmarkStart w:id="12" w:name="_Toc496643630"/>
      <w:bookmarkStart w:id="13" w:name="_Toc485631705"/>
    </w:p>
    <w:p w14:paraId="2C8F1DD2" w14:textId="77777777" w:rsidR="00DA57E0" w:rsidRPr="00DA57E0" w:rsidRDefault="00DA57E0" w:rsidP="00DA57E0">
      <w:pPr>
        <w:spacing w:line="360" w:lineRule="auto"/>
        <w:contextualSpacing/>
        <w:jc w:val="both"/>
        <w:rPr>
          <w:rFonts w:ascii="Palatino Linotype" w:eastAsia="Calibri" w:hAnsi="Palatino Linotype" w:cs="Times New Roman"/>
          <w:color w:val="000000"/>
          <w:sz w:val="20"/>
        </w:rPr>
      </w:pPr>
    </w:p>
    <w:p w14:paraId="0977DD74" w14:textId="77777777" w:rsidR="00DA57E0" w:rsidRPr="00DA57E0" w:rsidRDefault="00DA57E0" w:rsidP="00DA57E0">
      <w:pPr>
        <w:numPr>
          <w:ilvl w:val="0"/>
          <w:numId w:val="11"/>
        </w:numPr>
        <w:spacing w:after="0" w:line="360" w:lineRule="auto"/>
        <w:contextualSpacing/>
        <w:jc w:val="both"/>
        <w:rPr>
          <w:rFonts w:ascii="Palatino Linotype" w:eastAsia="Times New Roman" w:hAnsi="Palatino Linotype" w:cs="Arial"/>
          <w:b/>
          <w:i/>
          <w:color w:val="000000"/>
          <w:sz w:val="36"/>
          <w:szCs w:val="24"/>
          <w:lang w:val="es-ES" w:eastAsia="es-ES"/>
        </w:rPr>
      </w:pPr>
      <w:r w:rsidRPr="00DA57E0">
        <w:rPr>
          <w:rFonts w:ascii="Palatino Linotype" w:eastAsia="Times New Roman" w:hAnsi="Palatino Linotype" w:cs="Times New Roman"/>
          <w:b/>
          <w:i/>
          <w:sz w:val="24"/>
          <w:szCs w:val="24"/>
          <w:lang w:val="es-ES" w:eastAsia="es-ES"/>
        </w:rPr>
        <w:t>Requisitos de fondo del acuerdo de clasificación.</w:t>
      </w:r>
      <w:bookmarkEnd w:id="10"/>
      <w:bookmarkEnd w:id="11"/>
      <w:bookmarkEnd w:id="12"/>
      <w:bookmarkEnd w:id="13"/>
    </w:p>
    <w:p w14:paraId="56776EA6" w14:textId="77777777" w:rsidR="00DA57E0" w:rsidRPr="00DA57E0" w:rsidRDefault="00DA57E0" w:rsidP="00DA57E0">
      <w:pPr>
        <w:spacing w:line="360" w:lineRule="auto"/>
        <w:jc w:val="both"/>
        <w:rPr>
          <w:rFonts w:ascii="Palatino Linotype" w:eastAsia="Calibri" w:hAnsi="Palatino Linotype" w:cs="Arial"/>
          <w:color w:val="000000"/>
          <w:sz w:val="18"/>
        </w:rPr>
      </w:pPr>
      <w:r w:rsidRPr="00DA57E0">
        <w:rPr>
          <w:rFonts w:ascii="Palatino Linotype" w:eastAsia="Calibri" w:hAnsi="Palatino Linotype" w:cs="Arial"/>
          <w:color w:val="000000"/>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EDCC965" w14:textId="77777777" w:rsidR="00DA57E0" w:rsidRPr="00DA57E0" w:rsidRDefault="00DA57E0" w:rsidP="00DA57E0">
      <w:pPr>
        <w:spacing w:after="0" w:line="240" w:lineRule="auto"/>
        <w:rPr>
          <w:rFonts w:ascii="Times New Roman" w:eastAsia="Times New Roman" w:hAnsi="Times New Roman" w:cs="Times New Roman"/>
          <w:sz w:val="18"/>
          <w:szCs w:val="24"/>
          <w:lang w:eastAsia="es-ES"/>
        </w:rPr>
      </w:pPr>
    </w:p>
    <w:p w14:paraId="37270188" w14:textId="77777777" w:rsidR="00DA57E0" w:rsidRPr="00DA57E0" w:rsidRDefault="00DA57E0" w:rsidP="00DA57E0">
      <w:pPr>
        <w:spacing w:line="360" w:lineRule="auto"/>
        <w:jc w:val="both"/>
        <w:rPr>
          <w:rFonts w:ascii="Palatino Linotype" w:eastAsia="Calibri" w:hAnsi="Palatino Linotype" w:cs="Arial"/>
          <w:color w:val="000000"/>
          <w:sz w:val="44"/>
        </w:rPr>
      </w:pPr>
      <w:r w:rsidRPr="00DA57E0">
        <w:rPr>
          <w:rFonts w:ascii="Palatino Linotype" w:eastAsia="Calibri" w:hAnsi="Palatino Linotype" w:cs="Times New Roman"/>
          <w:color w:val="000000"/>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E729013" w14:textId="77777777" w:rsidR="00DA57E0" w:rsidRPr="00DA57E0" w:rsidRDefault="00DA57E0" w:rsidP="00DA57E0">
      <w:pPr>
        <w:spacing w:line="360" w:lineRule="auto"/>
        <w:contextualSpacing/>
        <w:jc w:val="both"/>
        <w:rPr>
          <w:rFonts w:ascii="Palatino Linotype" w:eastAsia="Calibri" w:hAnsi="Palatino Linotype" w:cs="Arial"/>
          <w:color w:val="000000"/>
          <w:sz w:val="20"/>
        </w:rPr>
      </w:pPr>
    </w:p>
    <w:p w14:paraId="3C0E28A8" w14:textId="77777777" w:rsidR="00DA57E0" w:rsidRPr="00DA57E0" w:rsidRDefault="00DA57E0" w:rsidP="00DA57E0">
      <w:pPr>
        <w:spacing w:line="360" w:lineRule="auto"/>
        <w:contextualSpacing/>
        <w:jc w:val="both"/>
        <w:rPr>
          <w:rFonts w:ascii="Palatino Linotype" w:eastAsia="Calibri" w:hAnsi="Palatino Linotype" w:cs="Arial"/>
          <w:color w:val="000000"/>
          <w:sz w:val="44"/>
        </w:rPr>
      </w:pPr>
      <w:r w:rsidRPr="00DA57E0">
        <w:rPr>
          <w:rFonts w:ascii="Palatino Linotype" w:eastAsia="Calibri" w:hAnsi="Palatino Linotype" w:cs="Arial"/>
          <w:color w:val="000000"/>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57E0">
        <w:rPr>
          <w:rFonts w:ascii="Palatino Linotype" w:eastAsia="Calibri" w:hAnsi="Palatino Linotype" w:cs="Arial"/>
          <w:color w:val="000000"/>
          <w:vertAlign w:val="superscript"/>
          <w:lang w:eastAsia="es-MX"/>
        </w:rPr>
        <w:footnoteReference w:id="1"/>
      </w:r>
    </w:p>
    <w:p w14:paraId="063A8356" w14:textId="77777777" w:rsidR="00DA57E0" w:rsidRPr="00DA57E0" w:rsidRDefault="00DA57E0" w:rsidP="00DA57E0">
      <w:pPr>
        <w:spacing w:line="360" w:lineRule="auto"/>
        <w:contextualSpacing/>
        <w:jc w:val="both"/>
        <w:rPr>
          <w:rFonts w:ascii="Palatino Linotype" w:eastAsia="Calibri" w:hAnsi="Palatino Linotype" w:cs="Arial"/>
          <w:color w:val="000000"/>
          <w:sz w:val="18"/>
        </w:rPr>
      </w:pPr>
    </w:p>
    <w:p w14:paraId="0DCD269A" w14:textId="77777777" w:rsidR="00DA57E0" w:rsidRPr="00DA57E0" w:rsidRDefault="00DA57E0" w:rsidP="00DA57E0">
      <w:pPr>
        <w:spacing w:line="360" w:lineRule="auto"/>
        <w:contextualSpacing/>
        <w:jc w:val="both"/>
        <w:rPr>
          <w:rFonts w:ascii="Palatino Linotype" w:eastAsia="Calibri" w:hAnsi="Palatino Linotype" w:cs="Arial"/>
          <w:color w:val="000000"/>
          <w:sz w:val="48"/>
        </w:rPr>
      </w:pPr>
      <w:r w:rsidRPr="00DA57E0">
        <w:rPr>
          <w:rFonts w:ascii="Palatino Linotype" w:eastAsia="Calibri" w:hAnsi="Palatino Linotype" w:cs="Arial"/>
          <w:color w:val="000000"/>
          <w:sz w:val="24"/>
          <w:lang w:eastAsia="es-MX"/>
        </w:rPr>
        <w:t>Por su parte, el intérprete judicial del país ha establecido una jurisprudencia respecto a qué debe entenderse por fundamentación y motivación, en los siguientes términos:</w:t>
      </w:r>
    </w:p>
    <w:p w14:paraId="124EA9CE" w14:textId="77777777" w:rsidR="00DA57E0" w:rsidRPr="00DA57E0" w:rsidRDefault="00DA57E0" w:rsidP="00DA57E0">
      <w:pPr>
        <w:spacing w:after="0" w:line="360" w:lineRule="auto"/>
        <w:ind w:right="618"/>
        <w:contextualSpacing/>
        <w:jc w:val="both"/>
        <w:rPr>
          <w:rFonts w:ascii="Palatino Linotype" w:eastAsia="Calibri" w:hAnsi="Palatino Linotype" w:cs="Arial"/>
          <w:color w:val="000000"/>
          <w:sz w:val="18"/>
        </w:rPr>
      </w:pPr>
    </w:p>
    <w:p w14:paraId="6ED4FEBA"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rPr>
      </w:pPr>
      <w:r w:rsidRPr="00DA57E0">
        <w:rPr>
          <w:rFonts w:ascii="Palatino Linotype" w:eastAsia="Calibri" w:hAnsi="Palatino Linotype" w:cs="Arial"/>
          <w:b/>
          <w:i/>
          <w:color w:val="000000"/>
        </w:rPr>
        <w:t>FUNDAMENTACIÓN Y MOTIVACIÓN.</w:t>
      </w:r>
      <w:r w:rsidRPr="00DA57E0">
        <w:rPr>
          <w:rFonts w:ascii="Palatino Linotype" w:eastAsia="Calibri" w:hAnsi="Palatino Linotype" w:cs="Arial"/>
          <w:i/>
          <w:color w:val="000000"/>
        </w:rPr>
        <w:t xml:space="preserve"> La </w:t>
      </w:r>
      <w:r w:rsidRPr="00DA57E0">
        <w:rPr>
          <w:rFonts w:ascii="Palatino Linotype" w:eastAsia="Calibri"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57E0">
        <w:rPr>
          <w:rFonts w:ascii="Palatino Linotype" w:eastAsia="Calibri" w:hAnsi="Palatino Linotype" w:cs="Arial"/>
          <w:i/>
          <w:color w:val="000000"/>
        </w:rPr>
        <w:t>.</w:t>
      </w:r>
    </w:p>
    <w:p w14:paraId="7C3D1CEE"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rPr>
      </w:pPr>
    </w:p>
    <w:p w14:paraId="4F8BBDF0"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sz w:val="20"/>
        </w:rPr>
      </w:pPr>
      <w:r w:rsidRPr="00DA57E0">
        <w:rPr>
          <w:rFonts w:ascii="Palatino Linotype" w:eastAsia="Calibri" w:hAnsi="Palatino Linotype" w:cs="Arial"/>
          <w:i/>
          <w:color w:val="000000"/>
          <w:sz w:val="20"/>
        </w:rPr>
        <w:t>SEGUNDO TRIBUNAL COLEGIADO DEL SEXTO CIRCUITO.</w:t>
      </w:r>
    </w:p>
    <w:p w14:paraId="3F02742F"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sz w:val="20"/>
        </w:rPr>
      </w:pPr>
      <w:r w:rsidRPr="00DA57E0">
        <w:rPr>
          <w:rFonts w:ascii="Palatino Linotype" w:eastAsia="Calibri" w:hAnsi="Palatino Linotype" w:cs="Arial"/>
          <w:i/>
          <w:color w:val="000000"/>
          <w:sz w:val="20"/>
        </w:rPr>
        <w:t>Amparo directo 194/88. Bufete Industrial Construcciones, S.A. de C.V. 28 de junio de 1988. Unanimidad de votos. Ponente: Gustavo Calvillo Rangel. Secretario: Jorge Alberto González Álvarez.</w:t>
      </w:r>
    </w:p>
    <w:p w14:paraId="5C2FFA4D"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sz w:val="20"/>
        </w:rPr>
      </w:pPr>
      <w:r w:rsidRPr="00DA57E0">
        <w:rPr>
          <w:rFonts w:ascii="Palatino Linotype" w:eastAsia="Calibri" w:hAnsi="Palatino Linotype" w:cs="Arial"/>
          <w:i/>
          <w:color w:val="000000"/>
          <w:sz w:val="20"/>
        </w:rPr>
        <w:lastRenderedPageBreak/>
        <w:t>Revisión fiscal 103/88. Instituto Mexicano del Seguro Social. 18 de octubre de 1988. Unanimidad de votos. Ponente: Arnoldo Nájera Virgen. Secretario: Alejandro Esponda Rincón.</w:t>
      </w:r>
    </w:p>
    <w:p w14:paraId="37A243E6"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sz w:val="20"/>
        </w:rPr>
      </w:pPr>
      <w:r w:rsidRPr="00DA57E0">
        <w:rPr>
          <w:rFonts w:ascii="Palatino Linotype" w:eastAsia="Calibri" w:hAnsi="Palatino Linotype" w:cs="Arial"/>
          <w:i/>
          <w:color w:val="000000"/>
          <w:sz w:val="20"/>
        </w:rPr>
        <w:t>Amparo en revisión 333/88. Adilia Romero. 26 de octubre de 1988. Unanimidad de votos. Ponente: Arnoldo Nájera Virgen. Secretario: Enrique Crispín Campos Ramírez.</w:t>
      </w:r>
    </w:p>
    <w:p w14:paraId="6713A5EB"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sz w:val="20"/>
        </w:rPr>
      </w:pPr>
      <w:r w:rsidRPr="00DA57E0">
        <w:rPr>
          <w:rFonts w:ascii="Palatino Linotype" w:eastAsia="Calibri" w:hAnsi="Palatino Linotype" w:cs="Arial"/>
          <w:i/>
          <w:color w:val="000000"/>
          <w:sz w:val="20"/>
        </w:rPr>
        <w:t>Amparo en revisión 597/95. Emilio Maurer Bretón. 15 de noviembre de 1995. Unanimidad de votos. Ponente: Clementina Ramírez Moguel Goyzueta. Secretario: Gonzalo Carrera Molina.</w:t>
      </w:r>
    </w:p>
    <w:p w14:paraId="77D120A1" w14:textId="77777777" w:rsidR="00DA57E0" w:rsidRPr="00DA57E0" w:rsidRDefault="00DA57E0" w:rsidP="00DA57E0">
      <w:pPr>
        <w:spacing w:after="0" w:line="240" w:lineRule="auto"/>
        <w:ind w:left="567" w:right="618"/>
        <w:contextualSpacing/>
        <w:jc w:val="both"/>
        <w:rPr>
          <w:rFonts w:ascii="Palatino Linotype" w:eastAsia="Calibri" w:hAnsi="Palatino Linotype" w:cs="Arial"/>
          <w:i/>
          <w:color w:val="000000"/>
          <w:sz w:val="20"/>
        </w:rPr>
      </w:pPr>
      <w:r w:rsidRPr="00DA57E0">
        <w:rPr>
          <w:rFonts w:ascii="Palatino Linotype" w:eastAsia="Calibri" w:hAnsi="Palatino Linotype" w:cs="Arial"/>
          <w:i/>
          <w:color w:val="000000"/>
          <w:sz w:val="20"/>
        </w:rPr>
        <w:t>Amparo directo 7/96. Pedro Vicente López Miro. 21 de febrero de 1996. Unanimidad de votos. Ponente: María Eugenia Estela Martínez Cardiel. Secretario: Enrique Baigts Muñoz.</w:t>
      </w:r>
      <w:r w:rsidRPr="00DA57E0">
        <w:rPr>
          <w:rFonts w:ascii="Palatino Linotype" w:eastAsia="Calibri" w:hAnsi="Palatino Linotype" w:cs="Arial"/>
          <w:i/>
          <w:color w:val="000000"/>
          <w:sz w:val="20"/>
          <w:vertAlign w:val="superscript"/>
        </w:rPr>
        <w:footnoteReference w:id="2"/>
      </w:r>
    </w:p>
    <w:p w14:paraId="2CDDAEC9" w14:textId="77777777" w:rsidR="00DA57E0" w:rsidRPr="00DA57E0" w:rsidRDefault="00DA57E0" w:rsidP="00DA57E0">
      <w:pPr>
        <w:spacing w:after="0" w:line="360" w:lineRule="auto"/>
        <w:ind w:left="567"/>
        <w:contextualSpacing/>
        <w:jc w:val="both"/>
        <w:rPr>
          <w:rFonts w:ascii="Palatino Linotype" w:eastAsia="Calibri" w:hAnsi="Palatino Linotype" w:cs="Arial"/>
          <w:i/>
          <w:color w:val="000000"/>
          <w:sz w:val="20"/>
          <w:lang w:val="es-ES"/>
        </w:rPr>
      </w:pPr>
    </w:p>
    <w:p w14:paraId="4F8716E2" w14:textId="77777777" w:rsidR="00DA57E0" w:rsidRPr="00DA57E0" w:rsidRDefault="00DA57E0" w:rsidP="00DA57E0">
      <w:pPr>
        <w:shd w:val="clear" w:color="auto" w:fill="FFFFFF"/>
        <w:spacing w:line="360" w:lineRule="auto"/>
        <w:contextualSpacing/>
        <w:jc w:val="both"/>
        <w:rPr>
          <w:rFonts w:ascii="Palatino Linotype" w:eastAsia="Calibri" w:hAnsi="Palatino Linotype" w:cs="Arial"/>
          <w:color w:val="000000"/>
          <w:sz w:val="24"/>
          <w:szCs w:val="24"/>
          <w:lang w:eastAsia="es-MX"/>
        </w:rPr>
      </w:pPr>
      <w:r w:rsidRPr="00DA57E0">
        <w:rPr>
          <w:rFonts w:ascii="Palatino Linotype" w:eastAsia="Calibri" w:hAnsi="Palatino Linotype" w:cs="Arial"/>
          <w:color w:val="000000"/>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85A8FB" w14:textId="77777777" w:rsidR="00DA57E0" w:rsidRPr="00DA57E0" w:rsidRDefault="00DA57E0" w:rsidP="00DA57E0">
      <w:pPr>
        <w:shd w:val="clear" w:color="auto" w:fill="FFFFFF"/>
        <w:spacing w:line="360" w:lineRule="auto"/>
        <w:contextualSpacing/>
        <w:jc w:val="both"/>
        <w:rPr>
          <w:rFonts w:ascii="Palatino Linotype" w:eastAsia="Calibri" w:hAnsi="Palatino Linotype" w:cs="Arial"/>
          <w:color w:val="000000"/>
          <w:sz w:val="20"/>
          <w:szCs w:val="24"/>
          <w:lang w:eastAsia="es-MX"/>
        </w:rPr>
      </w:pPr>
    </w:p>
    <w:p w14:paraId="7EB06698" w14:textId="77777777" w:rsidR="00DA57E0" w:rsidRPr="00DA57E0" w:rsidRDefault="00DA57E0" w:rsidP="00DA57E0">
      <w:pPr>
        <w:shd w:val="clear" w:color="auto" w:fill="FFFFFF"/>
        <w:spacing w:line="360" w:lineRule="auto"/>
        <w:contextualSpacing/>
        <w:jc w:val="both"/>
        <w:rPr>
          <w:rFonts w:ascii="Palatino Linotype" w:eastAsia="Calibri" w:hAnsi="Palatino Linotype" w:cs="Arial"/>
          <w:color w:val="000000"/>
          <w:sz w:val="28"/>
          <w:szCs w:val="24"/>
          <w:lang w:eastAsia="es-MX"/>
        </w:rPr>
      </w:pPr>
      <w:r w:rsidRPr="00DA57E0">
        <w:rPr>
          <w:rFonts w:ascii="Palatino Linotype" w:eastAsia="Calibri" w:hAnsi="Palatino Linotype" w:cs="Arial"/>
          <w:color w:val="000000"/>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5CC503" w14:textId="77777777" w:rsidR="00DA57E0" w:rsidRPr="00DA57E0" w:rsidRDefault="00DA57E0" w:rsidP="00DA57E0">
      <w:pPr>
        <w:shd w:val="clear" w:color="auto" w:fill="FFFFFF"/>
        <w:spacing w:line="360" w:lineRule="auto"/>
        <w:contextualSpacing/>
        <w:jc w:val="both"/>
        <w:rPr>
          <w:rFonts w:ascii="Palatino Linotype" w:eastAsia="Calibri" w:hAnsi="Palatino Linotype" w:cs="Times New Roman"/>
          <w:color w:val="000000"/>
          <w:sz w:val="24"/>
        </w:rPr>
      </w:pPr>
      <w:r w:rsidRPr="00DA57E0">
        <w:rPr>
          <w:rFonts w:ascii="Palatino Linotype" w:eastAsia="Calibri" w:hAnsi="Palatino Linotype" w:cs="Arial"/>
          <w:color w:val="000000"/>
          <w:sz w:val="24"/>
          <w:lang w:eastAsia="es-MX"/>
        </w:rPr>
        <w:t xml:space="preserve">En otras palabras, </w:t>
      </w:r>
      <w:r w:rsidRPr="00DA57E0">
        <w:rPr>
          <w:rFonts w:ascii="Palatino Linotype" w:eastAsia="Calibri" w:hAnsi="Palatino Linotype" w:cs="Times New Roman"/>
          <w:color w:val="000000"/>
          <w:sz w:val="24"/>
        </w:rPr>
        <w:t xml:space="preserve">la clasificación de la información, en cualquiera de sus modalidades, deberá de justificarse en un Acuerdo de Clasificación de Información emitido por el Comité del Transparencia del </w:t>
      </w:r>
      <w:r w:rsidRPr="00DA57E0">
        <w:rPr>
          <w:rFonts w:ascii="Palatino Linotype" w:eastAsia="Calibri" w:hAnsi="Palatino Linotype" w:cs="Times New Roman"/>
          <w:b/>
          <w:color w:val="000000"/>
          <w:sz w:val="24"/>
        </w:rPr>
        <w:t>Sujeto Obligado</w:t>
      </w:r>
      <w:r w:rsidRPr="00DA57E0">
        <w:rPr>
          <w:rFonts w:ascii="Palatino Linotype" w:eastAsia="Calibri" w:hAnsi="Palatino Linotype" w:cs="Times New Roman"/>
          <w:color w:val="000000"/>
          <w:sz w:val="24"/>
        </w:rPr>
        <w:t xml:space="preserve">. Dicho acuerdo deberá de contener los </w:t>
      </w:r>
      <w:r w:rsidRPr="00DA57E0">
        <w:rPr>
          <w:rFonts w:ascii="Palatino Linotype" w:eastAsia="Calibri" w:hAnsi="Palatino Linotype" w:cs="Times New Roman"/>
          <w:b/>
          <w:color w:val="000000"/>
          <w:sz w:val="24"/>
        </w:rPr>
        <w:t>razonamientos lógicos</w:t>
      </w:r>
      <w:r w:rsidRPr="00DA57E0">
        <w:rPr>
          <w:rFonts w:ascii="Palatino Linotype" w:eastAsia="Calibri" w:hAnsi="Palatino Linotype" w:cs="Times New Roman"/>
          <w:color w:val="000000"/>
          <w:sz w:val="24"/>
        </w:rPr>
        <w:t xml:space="preserve"> mediante los cuales se </w:t>
      </w:r>
      <w:r w:rsidRPr="00DA57E0">
        <w:rPr>
          <w:rFonts w:ascii="Palatino Linotype" w:eastAsia="Calibri" w:hAnsi="Palatino Linotype" w:cs="Times New Roman"/>
          <w:b/>
          <w:color w:val="000000"/>
          <w:sz w:val="24"/>
        </w:rPr>
        <w:t xml:space="preserve">demuestre </w:t>
      </w:r>
      <w:r w:rsidRPr="00DA57E0">
        <w:rPr>
          <w:rFonts w:ascii="Palatino Linotype" w:eastAsia="Calibri" w:hAnsi="Palatino Linotype" w:cs="Times New Roman"/>
          <w:color w:val="000000"/>
          <w:sz w:val="24"/>
        </w:rPr>
        <w:t xml:space="preserve">que la información corresponde a algunas de las hipótesis jurídicas previstas en los artículos 122 y 143 de </w:t>
      </w:r>
      <w:r w:rsidRPr="00DA57E0">
        <w:rPr>
          <w:rFonts w:ascii="Palatino Linotype" w:eastAsia="Calibri" w:hAnsi="Palatino Linotype" w:cs="Times New Roman"/>
          <w:color w:val="000000"/>
          <w:sz w:val="24"/>
        </w:rPr>
        <w:lastRenderedPageBreak/>
        <w:t>la ley, explicando claramente las causas excepcionales que justifican la restricción al derecho.</w:t>
      </w:r>
    </w:p>
    <w:p w14:paraId="11FEDE3B" w14:textId="77777777" w:rsidR="00DA57E0" w:rsidRPr="00DA57E0" w:rsidRDefault="00DA57E0" w:rsidP="00DA57E0">
      <w:pPr>
        <w:shd w:val="clear" w:color="auto" w:fill="FFFFFF"/>
        <w:spacing w:line="360" w:lineRule="auto"/>
        <w:contextualSpacing/>
        <w:jc w:val="both"/>
        <w:rPr>
          <w:rFonts w:ascii="Palatino Linotype" w:eastAsia="Calibri" w:hAnsi="Palatino Linotype" w:cs="Arial"/>
          <w:color w:val="000000"/>
          <w:sz w:val="32"/>
          <w:szCs w:val="24"/>
          <w:lang w:eastAsia="es-MX"/>
        </w:rPr>
      </w:pPr>
    </w:p>
    <w:p w14:paraId="6DE4C222" w14:textId="329A21A1" w:rsidR="00DA57E0" w:rsidRPr="00DA57E0" w:rsidRDefault="00DA57E0" w:rsidP="00DA57E0">
      <w:pPr>
        <w:shd w:val="clear" w:color="auto" w:fill="FFFFFF"/>
        <w:spacing w:line="360" w:lineRule="auto"/>
        <w:contextualSpacing/>
        <w:jc w:val="both"/>
        <w:rPr>
          <w:rFonts w:ascii="Palatino Linotype" w:eastAsia="Calibri" w:hAnsi="Palatino Linotype" w:cs="Arial"/>
          <w:color w:val="000000"/>
          <w:sz w:val="24"/>
          <w:lang w:eastAsia="es-MX"/>
        </w:rPr>
      </w:pPr>
      <w:r w:rsidRPr="00DA57E0">
        <w:rPr>
          <w:rFonts w:ascii="Palatino Linotype" w:eastAsia="Calibri" w:hAnsi="Palatino Linotype" w:cs="Times New Roman"/>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BF87D59" w14:textId="77777777" w:rsidR="00DA57E0" w:rsidRPr="00DA57E0" w:rsidRDefault="00DA57E0" w:rsidP="00DA57E0">
      <w:pPr>
        <w:autoSpaceDE w:val="0"/>
        <w:autoSpaceDN w:val="0"/>
        <w:adjustRightInd w:val="0"/>
        <w:spacing w:after="0" w:line="360" w:lineRule="auto"/>
        <w:jc w:val="both"/>
        <w:rPr>
          <w:rFonts w:ascii="Palatino Linotype" w:eastAsia="Calibri" w:hAnsi="Palatino Linotype" w:cs="Times New Roman"/>
          <w:sz w:val="24"/>
          <w:szCs w:val="24"/>
        </w:rPr>
      </w:pPr>
    </w:p>
    <w:p w14:paraId="06EDA7DC" w14:textId="77777777" w:rsidR="00DA57E0" w:rsidRPr="00DA57E0" w:rsidRDefault="00DA57E0" w:rsidP="00DA57E0">
      <w:pPr>
        <w:numPr>
          <w:ilvl w:val="0"/>
          <w:numId w:val="10"/>
        </w:numPr>
        <w:spacing w:after="240" w:line="360" w:lineRule="auto"/>
        <w:jc w:val="both"/>
        <w:rPr>
          <w:rFonts w:ascii="Palatino Linotype" w:eastAsia="Calibri" w:hAnsi="Palatino Linotype" w:cs="Times New Roman"/>
          <w:b/>
          <w:i/>
          <w:sz w:val="26"/>
          <w:szCs w:val="26"/>
          <w:lang w:val="es-ES" w:eastAsia="es-ES"/>
        </w:rPr>
      </w:pPr>
      <w:r w:rsidRPr="00DA57E0">
        <w:rPr>
          <w:rFonts w:ascii="Palatino Linotype" w:eastAsia="Calibri" w:hAnsi="Palatino Linotype" w:cs="Times New Roman"/>
          <w:b/>
          <w:i/>
          <w:sz w:val="26"/>
          <w:szCs w:val="26"/>
          <w:lang w:val="es-ES" w:eastAsia="es-ES"/>
        </w:rPr>
        <w:t>DE LA VERSIÓN PÚBLICA</w:t>
      </w:r>
    </w:p>
    <w:p w14:paraId="664D6562" w14:textId="77777777" w:rsidR="00DA57E0" w:rsidRPr="00DA57E0" w:rsidRDefault="00DA57E0" w:rsidP="00DA57E0">
      <w:pPr>
        <w:spacing w:before="240"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42373EDD" w14:textId="77777777" w:rsidR="00DA57E0" w:rsidRPr="00DA57E0" w:rsidRDefault="00DA57E0" w:rsidP="00DA57E0">
      <w:pPr>
        <w:spacing w:after="0" w:line="360" w:lineRule="auto"/>
        <w:jc w:val="both"/>
        <w:rPr>
          <w:rFonts w:ascii="Palatino Linotype" w:eastAsia="Calibri" w:hAnsi="Palatino Linotype" w:cs="Times New Roman"/>
          <w:sz w:val="24"/>
          <w:szCs w:val="24"/>
        </w:rPr>
      </w:pPr>
    </w:p>
    <w:p w14:paraId="5C736B17" w14:textId="77777777" w:rsidR="00DA57E0" w:rsidRPr="00DA57E0" w:rsidRDefault="00DA57E0" w:rsidP="00DA57E0">
      <w:pPr>
        <w:spacing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52E04425" w14:textId="77777777" w:rsidR="00DA57E0" w:rsidRPr="00DA57E0" w:rsidRDefault="00DA57E0" w:rsidP="00DA57E0">
      <w:pPr>
        <w:spacing w:before="240" w:after="240" w:line="360" w:lineRule="auto"/>
        <w:jc w:val="both"/>
        <w:rPr>
          <w:rFonts w:ascii="Palatino Linotype" w:eastAsia="Calibri" w:hAnsi="Palatino Linotype" w:cs="Times New Roman"/>
          <w:sz w:val="24"/>
          <w:szCs w:val="24"/>
        </w:rPr>
      </w:pPr>
    </w:p>
    <w:p w14:paraId="00A323C6"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3.</w:t>
      </w:r>
      <w:r w:rsidRPr="00DA57E0">
        <w:rPr>
          <w:rFonts w:ascii="Palatino Linotype" w:eastAsia="Calibri" w:hAnsi="Palatino Linotype" w:cs="Times New Roman"/>
          <w:i/>
        </w:rPr>
        <w:t xml:space="preserve"> Para los efectos de la presente Ley se entenderá por:</w:t>
      </w:r>
    </w:p>
    <w:p w14:paraId="0DA01EBA"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52C77719"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w:t>
      </w:r>
    </w:p>
    <w:p w14:paraId="4930E1E5"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7356EE3F"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IX. Datos personales:</w:t>
      </w:r>
      <w:r w:rsidRPr="00DA57E0">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68FEE1D8"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XX. Información clasificada:</w:t>
      </w:r>
      <w:r w:rsidRPr="00DA57E0">
        <w:rPr>
          <w:rFonts w:ascii="Palatino Linotype" w:eastAsia="Calibri" w:hAnsi="Palatino Linotype" w:cs="Times New Roman"/>
          <w:i/>
        </w:rPr>
        <w:t xml:space="preserve"> Aquella considerada por la presente Ley como reservada o confidencial;</w:t>
      </w:r>
    </w:p>
    <w:p w14:paraId="152AF828"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XXI. Información confidencial:</w:t>
      </w:r>
      <w:r w:rsidRPr="00DA57E0">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7EE475"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XLV. Versión pública:</w:t>
      </w:r>
      <w:r w:rsidRPr="00DA57E0">
        <w:rPr>
          <w:rFonts w:ascii="Palatino Linotype" w:eastAsia="Calibri" w:hAnsi="Palatino Linotype" w:cs="Times New Roman"/>
          <w:i/>
        </w:rPr>
        <w:t xml:space="preserve"> Documento en el que se elimine, suprime o borra la información clasificada como reservada o confidencial para permitir su acceso.</w:t>
      </w:r>
    </w:p>
    <w:p w14:paraId="1B0F32C0"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w:t>
      </w:r>
    </w:p>
    <w:p w14:paraId="311AA5D9"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91.</w:t>
      </w:r>
      <w:r w:rsidRPr="00DA57E0">
        <w:rPr>
          <w:rFonts w:ascii="Palatino Linotype" w:eastAsia="Calibri" w:hAnsi="Palatino Linotype" w:cs="Times New Roman"/>
          <w:i/>
        </w:rPr>
        <w:t xml:space="preserve"> El acceso a la información pública será restringido excepcionalmente, cuando ésta sea clasificada como reservada o confidencial.</w:t>
      </w:r>
    </w:p>
    <w:p w14:paraId="66595537"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0C270197"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132.</w:t>
      </w:r>
      <w:r w:rsidRPr="00DA57E0">
        <w:rPr>
          <w:rFonts w:ascii="Palatino Linotype" w:eastAsia="Calibri" w:hAnsi="Palatino Linotype" w:cs="Times New Roman"/>
          <w:i/>
        </w:rPr>
        <w:t xml:space="preserve"> La clasificación de la información se llevará a cabo en el momento en que:</w:t>
      </w:r>
    </w:p>
    <w:p w14:paraId="4F74B2D4"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w:t>
      </w:r>
      <w:r w:rsidRPr="00DA57E0">
        <w:rPr>
          <w:rFonts w:ascii="Palatino Linotype" w:eastAsia="Calibri" w:hAnsi="Palatino Linotype" w:cs="Times New Roman"/>
          <w:i/>
        </w:rPr>
        <w:t>. Se reciba una solicitud de acceso a la información;</w:t>
      </w:r>
    </w:p>
    <w:p w14:paraId="4AFD58F7"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w:t>
      </w:r>
      <w:r w:rsidRPr="00DA57E0">
        <w:rPr>
          <w:rFonts w:ascii="Palatino Linotype" w:eastAsia="Calibri" w:hAnsi="Palatino Linotype" w:cs="Times New Roman"/>
          <w:i/>
        </w:rPr>
        <w:t xml:space="preserve"> Se determine mediante resolución de autoridad competente; o</w:t>
      </w:r>
    </w:p>
    <w:p w14:paraId="744ACF6C"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III.</w:t>
      </w:r>
      <w:r w:rsidRPr="00DA57E0">
        <w:rPr>
          <w:rFonts w:ascii="Palatino Linotype" w:eastAsia="Calibri" w:hAnsi="Palatino Linotype" w:cs="Times New Roman"/>
          <w:i/>
        </w:rPr>
        <w:t xml:space="preserve"> Se generen versiones públicas para dar cumplimiento a las obligaciones de transparencia previstas en esta Ley.</w:t>
      </w:r>
    </w:p>
    <w:p w14:paraId="75045E50"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p>
    <w:p w14:paraId="43A31B79"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w:t>
      </w:r>
    </w:p>
    <w:p w14:paraId="6361C6E6"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39184C82"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143.</w:t>
      </w:r>
      <w:r w:rsidRPr="00DA57E0">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743BE0BA"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w:t>
      </w:r>
      <w:r w:rsidRPr="00DA57E0">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3829470B"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lastRenderedPageBreak/>
        <w:t>II.</w:t>
      </w:r>
      <w:r w:rsidRPr="00DA57E0">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297340F"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III.</w:t>
      </w:r>
      <w:r w:rsidRPr="00DA57E0">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DB4ECBB"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40EA8E23" w14:textId="77777777" w:rsidR="00DA57E0" w:rsidRPr="00DA57E0" w:rsidRDefault="00DA57E0" w:rsidP="00DA57E0">
      <w:pPr>
        <w:spacing w:after="240" w:line="240" w:lineRule="auto"/>
        <w:ind w:left="794" w:right="851"/>
        <w:jc w:val="both"/>
        <w:rPr>
          <w:rFonts w:ascii="Palatino Linotype" w:eastAsia="Calibri" w:hAnsi="Palatino Linotype" w:cs="Times New Roman"/>
          <w:sz w:val="24"/>
          <w:szCs w:val="24"/>
        </w:rPr>
      </w:pPr>
      <w:r w:rsidRPr="00DA57E0">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015BA425" w14:textId="77777777" w:rsidR="00DA57E0" w:rsidRPr="00DA57E0" w:rsidRDefault="00DA57E0" w:rsidP="00DA57E0">
      <w:pPr>
        <w:spacing w:after="240" w:line="360" w:lineRule="auto"/>
        <w:jc w:val="both"/>
        <w:rPr>
          <w:rFonts w:ascii="Palatino Linotype" w:eastAsia="Calibri" w:hAnsi="Palatino Linotype" w:cs="Times New Roman"/>
          <w:sz w:val="24"/>
          <w:szCs w:val="24"/>
        </w:rPr>
      </w:pPr>
    </w:p>
    <w:p w14:paraId="33B4C13C" w14:textId="77777777" w:rsidR="00DA57E0" w:rsidRPr="00DA57E0" w:rsidRDefault="00DA57E0" w:rsidP="00DA57E0">
      <w:pPr>
        <w:spacing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65F191" w14:textId="77777777" w:rsidR="00DA57E0" w:rsidRPr="00DA57E0" w:rsidRDefault="00DA57E0" w:rsidP="00DA57E0">
      <w:pPr>
        <w:spacing w:after="120" w:line="360" w:lineRule="auto"/>
        <w:jc w:val="both"/>
        <w:rPr>
          <w:rFonts w:ascii="Palatino Linotype" w:eastAsia="Calibri" w:hAnsi="Palatino Linotype" w:cs="Times New Roman"/>
          <w:sz w:val="24"/>
          <w:szCs w:val="24"/>
        </w:rPr>
      </w:pPr>
    </w:p>
    <w:p w14:paraId="39F113B1" w14:textId="5E08E8A4" w:rsidR="00DA57E0" w:rsidRDefault="00DA57E0" w:rsidP="00DA57E0">
      <w:pPr>
        <w:spacing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DA57E0">
        <w:rPr>
          <w:rFonts w:ascii="Palatino Linotype" w:eastAsia="Calibri" w:hAnsi="Palatino Linotype" w:cs="Times New Roman"/>
          <w:sz w:val="24"/>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6D1BC8A" w14:textId="77777777" w:rsidR="00DA57E0" w:rsidRPr="00DA57E0" w:rsidRDefault="00DA57E0" w:rsidP="00DA57E0">
      <w:pPr>
        <w:spacing w:after="0" w:line="360" w:lineRule="auto"/>
        <w:jc w:val="both"/>
        <w:rPr>
          <w:rFonts w:ascii="Palatino Linotype" w:eastAsia="Calibri" w:hAnsi="Palatino Linotype" w:cs="Times New Roman"/>
          <w:sz w:val="24"/>
          <w:szCs w:val="24"/>
        </w:rPr>
      </w:pPr>
    </w:p>
    <w:p w14:paraId="326589D3" w14:textId="77777777" w:rsidR="003D68B6" w:rsidRPr="00584718" w:rsidRDefault="003D68B6" w:rsidP="00DA57E0">
      <w:pPr>
        <w:pStyle w:val="Prrafodelista"/>
        <w:numPr>
          <w:ilvl w:val="0"/>
          <w:numId w:val="10"/>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561A0998" w:rsidR="003D68B6"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EEE443" w14:textId="4AB7A239" w:rsidR="003151AF" w:rsidRDefault="003151AF" w:rsidP="003D68B6">
      <w:pPr>
        <w:spacing w:after="0" w:line="360" w:lineRule="auto"/>
        <w:contextualSpacing/>
        <w:jc w:val="both"/>
        <w:rPr>
          <w:rFonts w:ascii="Palatino Linotype" w:hAnsi="Palatino Linotype" w:cs="Arial"/>
          <w:color w:val="222222"/>
          <w:sz w:val="24"/>
          <w:lang w:eastAsia="es-MX"/>
        </w:rPr>
      </w:pPr>
    </w:p>
    <w:p w14:paraId="4318110D" w14:textId="6B5DACA3" w:rsidR="005C5A31" w:rsidRDefault="003151AF" w:rsidP="00D117F9">
      <w:pPr>
        <w:spacing w:after="0" w:line="360" w:lineRule="auto"/>
        <w:jc w:val="both"/>
        <w:rPr>
          <w:rFonts w:ascii="Palatino Linotype" w:hAnsi="Palatino Linotype"/>
          <w:sz w:val="24"/>
          <w:szCs w:val="24"/>
        </w:rPr>
      </w:pPr>
      <w:r w:rsidRPr="003151AF">
        <w:rPr>
          <w:rFonts w:ascii="Palatino Linotype" w:hAnsi="Palatino Linotype" w:cs="Arial"/>
          <w:sz w:val="24"/>
          <w:szCs w:val="24"/>
          <w:lang w:eastAsia="es-MX"/>
        </w:rPr>
        <w:t>Final</w:t>
      </w:r>
      <w:r w:rsidRPr="003151AF">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IV de la Ley de Transparencia y Acceso a la Información Pública del Estado de México y Municipios, se ORDENA atienda las solicitudes de información </w:t>
      </w:r>
      <w:r w:rsidRPr="003151AF">
        <w:rPr>
          <w:rFonts w:ascii="Palatino Linotype" w:hAnsi="Palatino Linotype" w:cs="Arial"/>
          <w:sz w:val="24"/>
          <w:szCs w:val="24"/>
        </w:rPr>
        <w:t>expedientes</w:t>
      </w:r>
      <w:r w:rsidRPr="003151AF">
        <w:rPr>
          <w:rFonts w:ascii="Palatino Linotype" w:hAnsi="Palatino Linotype" w:cs="Arial"/>
          <w:b/>
          <w:sz w:val="24"/>
          <w:szCs w:val="24"/>
        </w:rPr>
        <w:t xml:space="preserve"> </w:t>
      </w:r>
      <w:r w:rsidRPr="003151AF">
        <w:rPr>
          <w:rFonts w:ascii="Palatino Linotype" w:hAnsi="Palatino Linotype"/>
          <w:b/>
          <w:sz w:val="24"/>
          <w:szCs w:val="24"/>
        </w:rPr>
        <w:t>00226/NAUCALPA/IP/2020 y 00234/NAUCALPA/IP/2020</w:t>
      </w:r>
      <w:r w:rsidRPr="003151AF">
        <w:rPr>
          <w:rFonts w:ascii="Palatino Linotype" w:hAnsi="Palatino Linotype" w:cs="Arial"/>
          <w:b/>
          <w:sz w:val="24"/>
          <w:szCs w:val="24"/>
        </w:rPr>
        <w:t xml:space="preserve">, </w:t>
      </w:r>
      <w:r w:rsidRPr="003151AF">
        <w:rPr>
          <w:rFonts w:ascii="Palatino Linotype" w:hAnsi="Palatino Linotype"/>
          <w:sz w:val="24"/>
          <w:szCs w:val="24"/>
        </w:rPr>
        <w:t>que han sido materia del presente fallo.</w:t>
      </w:r>
    </w:p>
    <w:p w14:paraId="03B4D4F7" w14:textId="77777777" w:rsidR="003151AF" w:rsidRDefault="003151AF" w:rsidP="00D117F9">
      <w:pPr>
        <w:spacing w:after="0" w:line="360" w:lineRule="auto"/>
        <w:jc w:val="both"/>
        <w:rPr>
          <w:rFonts w:ascii="Palatino Linotype" w:hAnsi="Palatino Linotype"/>
          <w:sz w:val="24"/>
          <w:szCs w:val="24"/>
        </w:rPr>
      </w:pP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122AAA2D"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5C5A31">
        <w:rPr>
          <w:rFonts w:ascii="Palatino Linotype" w:hAnsi="Palatino Linotype"/>
          <w:sz w:val="24"/>
          <w:szCs w:val="24"/>
        </w:rPr>
        <w:t xml:space="preserve"> y</w:t>
      </w:r>
      <w:r>
        <w:rPr>
          <w:rFonts w:ascii="Palatino Linotype" w:hAnsi="Palatino Linotype"/>
          <w:sz w:val="24"/>
          <w:szCs w:val="24"/>
        </w:rPr>
        <w:t xml:space="preserve">. </w:t>
      </w:r>
    </w:p>
    <w:p w14:paraId="59A35E18" w14:textId="77777777" w:rsidR="003151AF" w:rsidRDefault="003151AF" w:rsidP="00D117F9">
      <w:pPr>
        <w:spacing w:after="0" w:line="360" w:lineRule="auto"/>
        <w:jc w:val="both"/>
        <w:rPr>
          <w:rFonts w:ascii="Palatino Linotype" w:hAnsi="Palatino Linotype"/>
          <w:sz w:val="24"/>
          <w:szCs w:val="24"/>
        </w:rPr>
      </w:pPr>
    </w:p>
    <w:p w14:paraId="440DEF26" w14:textId="092D5BCB"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2C272109" w14:textId="742B2923"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36D61FDF" w14:textId="77777777"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Pr="00D24EF9" w:rsidRDefault="00D117F9" w:rsidP="00D117F9">
      <w:pPr>
        <w:spacing w:after="0" w:line="360" w:lineRule="auto"/>
        <w:jc w:val="center"/>
        <w:rPr>
          <w:rFonts w:ascii="Palatino Linotype" w:eastAsia="Times New Roman" w:hAnsi="Palatino Linotype"/>
          <w:b/>
          <w:bCs/>
          <w:spacing w:val="60"/>
          <w:sz w:val="28"/>
          <w:szCs w:val="28"/>
          <w:lang w:val="es-ES_tradnl"/>
        </w:rPr>
      </w:pPr>
      <w:r w:rsidRPr="00D24EF9">
        <w:rPr>
          <w:rFonts w:ascii="Palatino Linotype" w:eastAsia="Times New Roman" w:hAnsi="Palatino Linotype"/>
          <w:b/>
          <w:bCs/>
          <w:spacing w:val="60"/>
          <w:sz w:val="28"/>
          <w:szCs w:val="28"/>
          <w:lang w:val="es-ES_tradnl"/>
        </w:rPr>
        <w:lastRenderedPageBreak/>
        <w:t>SE    RESUELVE</w:t>
      </w:r>
    </w:p>
    <w:p w14:paraId="1E9DD1BF" w14:textId="77777777" w:rsidR="00100ADC" w:rsidRDefault="00100ADC" w:rsidP="00D117F9">
      <w:pPr>
        <w:spacing w:after="0" w:line="360" w:lineRule="auto"/>
        <w:jc w:val="both"/>
        <w:rPr>
          <w:rFonts w:ascii="Palatino Linotype" w:hAnsi="Palatino Linotype" w:cs="Arial"/>
          <w:b/>
          <w:sz w:val="28"/>
          <w:szCs w:val="28"/>
        </w:rPr>
      </w:pPr>
    </w:p>
    <w:p w14:paraId="13F187B9" w14:textId="6192B369"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bookmarkStart w:id="14" w:name="_Hlk49529535"/>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 xml:space="preserve">l Recurrente </w:t>
      </w:r>
      <w:r w:rsidR="0059483D" w:rsidRPr="0059483D">
        <w:rPr>
          <w:rFonts w:ascii="Palatino Linotype" w:eastAsia="Times New Roman" w:hAnsi="Palatino Linotype" w:cs="Arial"/>
          <w:sz w:val="24"/>
          <w:szCs w:val="24"/>
        </w:rPr>
        <w:t xml:space="preserve">en el recurso de revisión número </w:t>
      </w:r>
      <w:r w:rsidR="0059483D" w:rsidRPr="0059483D">
        <w:rPr>
          <w:rFonts w:ascii="Palatino Linotype" w:eastAsia="Times New Roman" w:hAnsi="Palatino Linotype" w:cs="Arial"/>
          <w:b/>
          <w:bCs/>
          <w:sz w:val="24"/>
          <w:szCs w:val="24"/>
        </w:rPr>
        <w:t>02135/INFOEM/IP/RR/2020</w:t>
      </w:r>
      <w:r w:rsidR="0059483D">
        <w:rPr>
          <w:rFonts w:ascii="Palatino Linotype" w:eastAsia="Times New Roman" w:hAnsi="Palatino Linotype" w:cs="Arial"/>
          <w:sz w:val="24"/>
          <w:szCs w:val="24"/>
        </w:rPr>
        <w:t xml:space="preserve">, </w:t>
      </w:r>
      <w:r w:rsidRPr="00FD4336">
        <w:rPr>
          <w:rFonts w:ascii="Palatino Linotype" w:eastAsia="Times New Roman" w:hAnsi="Palatino Linotype" w:cs="Arial"/>
          <w:sz w:val="24"/>
          <w:szCs w:val="24"/>
        </w:rPr>
        <w:t>e</w:t>
      </w:r>
      <w:r>
        <w:rPr>
          <w:rFonts w:ascii="Palatino Linotype" w:eastAsia="Times New Roman" w:hAnsi="Palatino Linotype" w:cs="Arial"/>
          <w:sz w:val="24"/>
          <w:szCs w:val="24"/>
        </w:rPr>
        <w:t xml:space="preserve">n términos del considerando </w:t>
      </w:r>
      <w:r w:rsidR="00D24EF9"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bookmarkEnd w:id="14"/>
      <w:r>
        <w:rPr>
          <w:rFonts w:ascii="Palatino Linotype" w:eastAsia="Times New Roman" w:hAnsi="Palatino Linotype" w:cs="Arial"/>
          <w:sz w:val="24"/>
          <w:szCs w:val="24"/>
        </w:rPr>
        <w:t>.</w:t>
      </w:r>
    </w:p>
    <w:p w14:paraId="02658E01" w14:textId="0D056F9E" w:rsidR="0059483D" w:rsidRDefault="0059483D" w:rsidP="00D117F9">
      <w:pPr>
        <w:spacing w:after="0" w:line="360" w:lineRule="auto"/>
        <w:jc w:val="both"/>
        <w:rPr>
          <w:rFonts w:ascii="Palatino Linotype" w:eastAsia="Times New Roman" w:hAnsi="Palatino Linotype" w:cs="Arial"/>
          <w:sz w:val="24"/>
          <w:szCs w:val="24"/>
        </w:rPr>
      </w:pPr>
    </w:p>
    <w:p w14:paraId="2497BD2B" w14:textId="41DB98A4" w:rsidR="0059483D" w:rsidRPr="0059483D" w:rsidRDefault="0059483D" w:rsidP="00D117F9">
      <w:pPr>
        <w:spacing w:after="0" w:line="360" w:lineRule="auto"/>
        <w:jc w:val="both"/>
        <w:rPr>
          <w:rFonts w:ascii="Palatino Linotype" w:hAnsi="Palatino Linotype" w:cs="Arial"/>
          <w:sz w:val="24"/>
          <w:szCs w:val="24"/>
        </w:rPr>
      </w:pPr>
      <w:r w:rsidRPr="0059483D">
        <w:rPr>
          <w:rFonts w:ascii="Palatino Linotype" w:hAnsi="Palatino Linotype" w:cs="Arial"/>
          <w:b/>
          <w:sz w:val="28"/>
        </w:rPr>
        <w:t xml:space="preserve">SEGUNDO. </w:t>
      </w:r>
      <w:r w:rsidRPr="0059483D">
        <w:rPr>
          <w:rFonts w:ascii="Palatino Linotype" w:hAnsi="Palatino Linotype" w:cs="Arial"/>
          <w:sz w:val="24"/>
          <w:szCs w:val="24"/>
        </w:rPr>
        <w:t>Se</w:t>
      </w:r>
      <w:r w:rsidRPr="0059483D">
        <w:rPr>
          <w:rFonts w:ascii="Palatino Linotype" w:hAnsi="Palatino Linotype" w:cs="Arial"/>
          <w:b/>
          <w:sz w:val="24"/>
          <w:szCs w:val="24"/>
        </w:rPr>
        <w:t xml:space="preserve"> ORDENA </w:t>
      </w:r>
      <w:r w:rsidRPr="0059483D">
        <w:rPr>
          <w:rFonts w:ascii="Palatino Linotype" w:hAnsi="Palatino Linotype" w:cs="Arial"/>
          <w:sz w:val="24"/>
          <w:szCs w:val="24"/>
        </w:rPr>
        <w:t xml:space="preserve">al </w:t>
      </w:r>
      <w:r w:rsidRPr="0059483D">
        <w:rPr>
          <w:rFonts w:ascii="Palatino Linotype" w:hAnsi="Palatino Linotype" w:cs="Arial"/>
          <w:b/>
          <w:sz w:val="24"/>
          <w:szCs w:val="24"/>
        </w:rPr>
        <w:t>Sujeto Obligado</w:t>
      </w:r>
      <w:r w:rsidRPr="0059483D">
        <w:rPr>
          <w:rFonts w:ascii="Palatino Linotype" w:eastAsia="Times New Roman" w:hAnsi="Palatino Linotype" w:cs="Arial"/>
          <w:sz w:val="24"/>
          <w:szCs w:val="24"/>
        </w:rPr>
        <w:t>, atienda la solicitud de información número</w:t>
      </w:r>
      <w:r w:rsidRPr="0059483D">
        <w:rPr>
          <w:rFonts w:ascii="Palatino Linotype" w:hAnsi="Palatino Linotype" w:cs="Arial"/>
          <w:b/>
          <w:sz w:val="24"/>
          <w:szCs w:val="24"/>
        </w:rPr>
        <w:t xml:space="preserve"> 00226/NAUCALPA/IP/2020</w:t>
      </w:r>
      <w:r w:rsidRPr="0059483D">
        <w:rPr>
          <w:rFonts w:ascii="Palatino Linotype" w:hAnsi="Palatino Linotype" w:cs="Arial"/>
          <w:sz w:val="24"/>
          <w:szCs w:val="24"/>
        </w:rPr>
        <w:t xml:space="preserve">, </w:t>
      </w:r>
      <w:r w:rsidRPr="0059483D">
        <w:rPr>
          <w:rFonts w:ascii="Palatino Linotype" w:eastAsia="Times New Roman" w:hAnsi="Palatino Linotype" w:cs="Arial"/>
          <w:sz w:val="24"/>
          <w:szCs w:val="24"/>
        </w:rPr>
        <w:t xml:space="preserve">en términos del Considerando </w:t>
      </w:r>
      <w:r w:rsidRPr="0059483D">
        <w:rPr>
          <w:rFonts w:ascii="Palatino Linotype" w:eastAsia="Times New Roman" w:hAnsi="Palatino Linotype" w:cs="Arial"/>
          <w:b/>
          <w:sz w:val="24"/>
          <w:szCs w:val="24"/>
        </w:rPr>
        <w:t xml:space="preserve">CUARTO </w:t>
      </w:r>
      <w:r w:rsidRPr="0059483D">
        <w:rPr>
          <w:rFonts w:ascii="Palatino Linotype" w:eastAsia="Times New Roman" w:hAnsi="Palatino Linotype" w:cs="Arial"/>
          <w:bCs/>
          <w:sz w:val="24"/>
          <w:szCs w:val="24"/>
        </w:rPr>
        <w:t>de esta Resolución</w:t>
      </w:r>
      <w:r w:rsidRPr="0059483D">
        <w:rPr>
          <w:rFonts w:ascii="Palatino Linotype" w:eastAsia="Times New Roman" w:hAnsi="Palatino Linotype" w:cs="Arial"/>
          <w:sz w:val="24"/>
          <w:szCs w:val="24"/>
        </w:rPr>
        <w:t xml:space="preserve">, vía </w:t>
      </w:r>
      <w:r w:rsidRPr="0059483D">
        <w:rPr>
          <w:rFonts w:ascii="Palatino Linotype" w:hAnsi="Palatino Linotype" w:cs="Arial"/>
          <w:sz w:val="24"/>
          <w:szCs w:val="24"/>
        </w:rPr>
        <w:t xml:space="preserve">Sistema de Acceso a la Información Mexiquense </w:t>
      </w:r>
      <w:r w:rsidRPr="0059483D">
        <w:rPr>
          <w:rFonts w:ascii="Palatino Linotype" w:hAnsi="Palatino Linotype" w:cs="Arial"/>
          <w:b/>
          <w:sz w:val="24"/>
          <w:szCs w:val="24"/>
        </w:rPr>
        <w:t>(SAIMEX)</w:t>
      </w:r>
      <w:r w:rsidRPr="0059483D">
        <w:rPr>
          <w:rFonts w:ascii="Palatino Linotype" w:hAnsi="Palatino Linotype" w:cs="Arial"/>
          <w:sz w:val="24"/>
          <w:szCs w:val="24"/>
        </w:rPr>
        <w:t>.</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4ABC35C" w14:textId="7DE8235D" w:rsidR="00916CC5" w:rsidRDefault="0059483D" w:rsidP="0059483D">
      <w:pPr>
        <w:spacing w:after="0" w:line="360" w:lineRule="auto"/>
        <w:jc w:val="both"/>
        <w:rPr>
          <w:rFonts w:ascii="Palatino Linotype" w:eastAsia="Times New Roman" w:hAnsi="Palatino Linotype" w:cs="Arial"/>
          <w:sz w:val="24"/>
          <w:szCs w:val="24"/>
          <w:lang w:val="es-ES_tradnl"/>
        </w:rPr>
      </w:pPr>
      <w:r>
        <w:rPr>
          <w:rFonts w:ascii="Palatino Linotype" w:hAnsi="Palatino Linotype" w:cs="Arial"/>
          <w:b/>
          <w:sz w:val="28"/>
        </w:rPr>
        <w:t>TERCERO</w:t>
      </w:r>
      <w:r w:rsidR="00D117F9">
        <w:rPr>
          <w:rFonts w:ascii="Palatino Linotype" w:hAnsi="Palatino Linotype" w:cs="Arial"/>
          <w:b/>
          <w:sz w:val="28"/>
        </w:rPr>
        <w:t xml:space="preserve">. </w:t>
      </w:r>
      <w:r w:rsidR="00100ADC" w:rsidRPr="00100ADC">
        <w:rPr>
          <w:rFonts w:ascii="Palatino Linotype" w:hAnsi="Palatino Linotype" w:cs="Arial"/>
          <w:bCs/>
          <w:sz w:val="24"/>
          <w:szCs w:val="24"/>
        </w:rPr>
        <w:t xml:space="preserve">Resultan fundadas las razones o motivos de inconformidad hechos valer por el Recurrente en el recurso de revisión número </w:t>
      </w:r>
      <w:r w:rsidR="00100ADC" w:rsidRPr="00100ADC">
        <w:rPr>
          <w:rFonts w:ascii="Palatino Linotype" w:hAnsi="Palatino Linotype" w:cs="Arial"/>
          <w:b/>
          <w:sz w:val="24"/>
          <w:szCs w:val="24"/>
        </w:rPr>
        <w:t>02136/INFOEM/IP/RR/2020</w:t>
      </w:r>
      <w:r w:rsidR="00100ADC" w:rsidRPr="00100ADC">
        <w:rPr>
          <w:rFonts w:ascii="Palatino Linotype" w:hAnsi="Palatino Linotype" w:cs="Arial"/>
          <w:bCs/>
          <w:sz w:val="24"/>
          <w:szCs w:val="24"/>
        </w:rPr>
        <w:t>, por lo que se</w:t>
      </w:r>
      <w:r w:rsidR="00D117F9" w:rsidRPr="00100ADC">
        <w:rPr>
          <w:rFonts w:ascii="Palatino Linotype" w:hAnsi="Palatino Linotype" w:cs="Arial"/>
          <w:bCs/>
          <w:sz w:val="24"/>
          <w:szCs w:val="24"/>
        </w:rPr>
        <w:t xml:space="preserve"> </w:t>
      </w:r>
      <w:r w:rsidR="00D24EF9" w:rsidRPr="00100ADC">
        <w:rPr>
          <w:rFonts w:ascii="Palatino Linotype" w:hAnsi="Palatino Linotype" w:cs="Arial"/>
          <w:bCs/>
          <w:sz w:val="24"/>
          <w:szCs w:val="24"/>
        </w:rPr>
        <w:t>ORDENA</w:t>
      </w:r>
      <w:r w:rsidR="00D117F9" w:rsidRPr="00100ADC">
        <w:rPr>
          <w:rFonts w:ascii="Palatino Linotype" w:hAnsi="Palatino Linotype" w:cs="Arial"/>
          <w:b/>
          <w:sz w:val="24"/>
          <w:szCs w:val="24"/>
        </w:rPr>
        <w:t xml:space="preserve"> </w:t>
      </w:r>
      <w:r w:rsidR="00D117F9" w:rsidRPr="00100ADC">
        <w:rPr>
          <w:rFonts w:ascii="Palatino Linotype" w:hAnsi="Palatino Linotype" w:cs="Arial"/>
          <w:sz w:val="24"/>
          <w:szCs w:val="24"/>
        </w:rPr>
        <w:t>al Sujeto Obligado</w:t>
      </w:r>
      <w:r>
        <w:rPr>
          <w:rFonts w:ascii="Palatino Linotype" w:eastAsia="Times New Roman" w:hAnsi="Palatino Linotype" w:cs="Arial"/>
          <w:sz w:val="24"/>
          <w:szCs w:val="24"/>
        </w:rPr>
        <w:t xml:space="preserve"> que</w:t>
      </w:r>
      <w:r w:rsidR="00D117F9" w:rsidRPr="00100ADC">
        <w:rPr>
          <w:rFonts w:ascii="Palatino Linotype" w:eastAsia="Times New Roman" w:hAnsi="Palatino Linotype" w:cs="Arial"/>
          <w:sz w:val="24"/>
          <w:szCs w:val="24"/>
        </w:rPr>
        <w:t xml:space="preserve"> atienda la solicitud de información número</w:t>
      </w:r>
      <w:r w:rsidR="00D24EF9" w:rsidRPr="00100ADC">
        <w:rPr>
          <w:rFonts w:ascii="Palatino Linotype" w:hAnsi="Palatino Linotype" w:cs="Arial"/>
          <w:b/>
          <w:sz w:val="24"/>
          <w:szCs w:val="24"/>
        </w:rPr>
        <w:t xml:space="preserve"> </w:t>
      </w:r>
      <w:r w:rsidRPr="0059483D">
        <w:rPr>
          <w:rFonts w:ascii="Palatino Linotype" w:hAnsi="Palatino Linotype"/>
          <w:b/>
          <w:sz w:val="24"/>
          <w:szCs w:val="24"/>
        </w:rPr>
        <w:t>00234/NAUCALPA/IP/2020</w:t>
      </w:r>
      <w:r w:rsidR="001D3E82" w:rsidRPr="00100ADC">
        <w:rPr>
          <w:rFonts w:ascii="Palatino Linotype" w:hAnsi="Palatino Linotype" w:cs="Arial"/>
          <w:b/>
          <w:sz w:val="24"/>
          <w:szCs w:val="24"/>
        </w:rPr>
        <w:t>,</w:t>
      </w:r>
      <w:r w:rsidR="00D117F9" w:rsidRPr="00100ADC">
        <w:rPr>
          <w:rFonts w:ascii="Palatino Linotype" w:eastAsia="Times New Roman" w:hAnsi="Palatino Linotype" w:cs="Arial"/>
          <w:sz w:val="24"/>
          <w:szCs w:val="24"/>
        </w:rPr>
        <w:t xml:space="preserve"> </w:t>
      </w:r>
      <w:r w:rsidRPr="0059483D">
        <w:rPr>
          <w:rFonts w:ascii="Palatino Linotype" w:eastAsia="Times New Roman" w:hAnsi="Palatino Linotype" w:cs="Arial"/>
          <w:sz w:val="24"/>
          <w:szCs w:val="24"/>
          <w:lang w:val="es-ES_tradnl"/>
        </w:rPr>
        <w:t xml:space="preserve">y haga entrega al </w:t>
      </w:r>
      <w:r w:rsidRPr="0059483D">
        <w:rPr>
          <w:rFonts w:ascii="Palatino Linotype" w:eastAsia="Times New Roman" w:hAnsi="Palatino Linotype" w:cs="Arial"/>
          <w:b/>
          <w:bCs/>
          <w:sz w:val="24"/>
          <w:szCs w:val="24"/>
          <w:lang w:val="es-ES_tradnl"/>
        </w:rPr>
        <w:t>Recurrente</w:t>
      </w:r>
      <w:r w:rsidRPr="0059483D">
        <w:rPr>
          <w:rFonts w:ascii="Palatino Linotype" w:eastAsia="Times New Roman" w:hAnsi="Palatino Linotype" w:cs="Arial"/>
          <w:sz w:val="24"/>
          <w:szCs w:val="24"/>
          <w:lang w:val="es-ES_tradnl"/>
        </w:rPr>
        <w:t xml:space="preserve">, vía </w:t>
      </w:r>
      <w:r w:rsidRPr="0059483D">
        <w:rPr>
          <w:rFonts w:ascii="Palatino Linotype" w:eastAsia="Times New Roman" w:hAnsi="Palatino Linotype" w:cs="Arial"/>
          <w:b/>
          <w:bCs/>
          <w:sz w:val="24"/>
          <w:szCs w:val="24"/>
          <w:lang w:val="es-ES_tradnl"/>
        </w:rPr>
        <w:t>SAIMEX</w:t>
      </w:r>
      <w:r w:rsidRPr="0059483D">
        <w:rPr>
          <w:rFonts w:ascii="Palatino Linotype" w:eastAsia="Times New Roman" w:hAnsi="Palatino Linotype" w:cs="Arial"/>
          <w:sz w:val="24"/>
          <w:szCs w:val="24"/>
          <w:lang w:val="es-ES_tradnl"/>
        </w:rPr>
        <w:t xml:space="preserve">, en términos del </w:t>
      </w:r>
      <w:r w:rsidRPr="0059483D">
        <w:rPr>
          <w:rFonts w:ascii="Palatino Linotype" w:eastAsia="Times New Roman" w:hAnsi="Palatino Linotype" w:cs="Arial"/>
          <w:b/>
          <w:sz w:val="24"/>
          <w:szCs w:val="24"/>
          <w:lang w:val="es-ES_tradnl"/>
        </w:rPr>
        <w:t>Considerando CUARTO</w:t>
      </w:r>
      <w:r w:rsidRPr="0059483D">
        <w:rPr>
          <w:rFonts w:ascii="Palatino Linotype" w:eastAsia="Times New Roman" w:hAnsi="Palatino Linotype" w:cs="Arial"/>
          <w:sz w:val="24"/>
          <w:szCs w:val="24"/>
        </w:rPr>
        <w:t xml:space="preserve"> de la presente resolución</w:t>
      </w:r>
      <w:r w:rsidRPr="0059483D">
        <w:rPr>
          <w:rFonts w:ascii="Palatino Linotype" w:eastAsia="Times New Roman" w:hAnsi="Palatino Linotype" w:cs="Arial"/>
          <w:sz w:val="24"/>
          <w:szCs w:val="24"/>
          <w:lang w:val="es-ES_tradnl"/>
        </w:rPr>
        <w:t>, en versión pública, del documento o documentos en donde conste lo siguiente:</w:t>
      </w:r>
    </w:p>
    <w:p w14:paraId="4DA193CE" w14:textId="4AB02AC4" w:rsidR="0059483D" w:rsidRDefault="0059483D" w:rsidP="0059483D">
      <w:pPr>
        <w:spacing w:after="0" w:line="360" w:lineRule="auto"/>
        <w:jc w:val="both"/>
        <w:rPr>
          <w:rFonts w:ascii="Palatino Linotype" w:eastAsia="Times New Roman" w:hAnsi="Palatino Linotype" w:cs="Arial"/>
          <w:sz w:val="24"/>
          <w:szCs w:val="24"/>
          <w:lang w:val="es-ES_tradnl"/>
        </w:rPr>
      </w:pPr>
    </w:p>
    <w:p w14:paraId="04125FFE" w14:textId="5A096183" w:rsidR="0059483D" w:rsidRPr="0059483D" w:rsidRDefault="0059483D" w:rsidP="0059483D">
      <w:pPr>
        <w:numPr>
          <w:ilvl w:val="0"/>
          <w:numId w:val="12"/>
        </w:numPr>
        <w:spacing w:after="0" w:line="360" w:lineRule="auto"/>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L</w:t>
      </w:r>
      <w:r w:rsidRPr="0059483D">
        <w:rPr>
          <w:rFonts w:ascii="Palatino Linotype" w:eastAsia="Times New Roman" w:hAnsi="Palatino Linotype" w:cs="Times New Roman"/>
          <w:i/>
          <w:sz w:val="24"/>
          <w:szCs w:val="24"/>
          <w:lang w:eastAsia="es-MX"/>
        </w:rPr>
        <w:t xml:space="preserve">os correos electrónicos </w:t>
      </w:r>
      <w:r>
        <w:rPr>
          <w:rFonts w:ascii="Palatino Linotype" w:eastAsia="Times New Roman" w:hAnsi="Palatino Linotype" w:cs="Times New Roman"/>
          <w:i/>
          <w:sz w:val="24"/>
          <w:szCs w:val="24"/>
          <w:lang w:eastAsia="es-MX"/>
        </w:rPr>
        <w:t>enviados</w:t>
      </w:r>
      <w:r w:rsidRPr="0059483D">
        <w:rPr>
          <w:rFonts w:ascii="Palatino Linotype" w:eastAsia="Times New Roman" w:hAnsi="Palatino Linotype" w:cs="Times New Roman"/>
          <w:i/>
          <w:sz w:val="24"/>
          <w:szCs w:val="24"/>
          <w:lang w:eastAsia="es-MX"/>
        </w:rPr>
        <w:t xml:space="preserve"> a través de la cuenta</w:t>
      </w:r>
      <w:r w:rsidR="00B62153">
        <w:rPr>
          <w:rFonts w:ascii="Palatino Linotype" w:eastAsia="Times New Roman" w:hAnsi="Palatino Linotype" w:cs="Times New Roman"/>
          <w:i/>
          <w:sz w:val="24"/>
          <w:szCs w:val="24"/>
          <w:lang w:eastAsia="es-MX"/>
        </w:rPr>
        <w:t xml:space="preserve"> </w:t>
      </w:r>
      <w:r w:rsidRPr="0059483D">
        <w:rPr>
          <w:rFonts w:ascii="Palatino Linotype" w:eastAsia="Times New Roman" w:hAnsi="Palatino Linotype" w:cs="Times New Roman"/>
          <w:i/>
          <w:sz w:val="24"/>
          <w:szCs w:val="24"/>
          <w:lang w:eastAsia="es-MX"/>
        </w:rPr>
        <w:t xml:space="preserve">naucalpan@itaipem.org.mx del </w:t>
      </w:r>
      <w:r>
        <w:rPr>
          <w:rFonts w:ascii="Palatino Linotype" w:eastAsia="Times New Roman" w:hAnsi="Palatino Linotype" w:cs="Times New Roman"/>
          <w:i/>
          <w:sz w:val="24"/>
          <w:szCs w:val="24"/>
          <w:lang w:eastAsia="es-MX"/>
        </w:rPr>
        <w:t>01</w:t>
      </w:r>
      <w:r w:rsidRPr="0059483D">
        <w:rPr>
          <w:rFonts w:ascii="Palatino Linotype" w:eastAsia="Times New Roman" w:hAnsi="Palatino Linotype" w:cs="Times New Roman"/>
          <w:i/>
          <w:sz w:val="24"/>
          <w:szCs w:val="24"/>
          <w:lang w:eastAsia="es-MX"/>
        </w:rPr>
        <w:t xml:space="preserve"> de enero de 2019 al 24 de febrero del 2020.</w:t>
      </w:r>
    </w:p>
    <w:p w14:paraId="4FF9488C" w14:textId="77777777" w:rsidR="0059483D" w:rsidRPr="0059483D" w:rsidRDefault="0059483D" w:rsidP="0059483D">
      <w:pPr>
        <w:spacing w:before="240" w:after="0" w:line="360" w:lineRule="auto"/>
        <w:ind w:left="720"/>
        <w:jc w:val="both"/>
        <w:rPr>
          <w:rFonts w:ascii="Palatino Linotype" w:eastAsia="Times New Roman" w:hAnsi="Palatino Linotype" w:cs="Arial"/>
          <w:iCs/>
          <w:sz w:val="24"/>
          <w:szCs w:val="24"/>
          <w:lang w:val="es-ES" w:eastAsia="es-ES"/>
        </w:rPr>
      </w:pPr>
      <w:r w:rsidRPr="0059483D">
        <w:rPr>
          <w:rFonts w:ascii="Palatino Linotype" w:eastAsia="Times New Roman" w:hAnsi="Palatino Linotype" w:cs="Arial"/>
          <w:iCs/>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w:t>
      </w:r>
      <w:r w:rsidRPr="0059483D">
        <w:rPr>
          <w:rFonts w:ascii="Palatino Linotype" w:eastAsia="Times New Roman" w:hAnsi="Palatino Linotype" w:cs="Arial"/>
          <w:iCs/>
          <w:sz w:val="24"/>
          <w:szCs w:val="24"/>
          <w:lang w:val="es-ES" w:eastAsia="es-ES"/>
        </w:rPr>
        <w:lastRenderedPageBreak/>
        <w:t xml:space="preserve">y Municipios, en el que funde y motive las razones sobre los datos que se supriman o eliminen y se ponga a disposición del Recurrente. </w:t>
      </w:r>
    </w:p>
    <w:p w14:paraId="29610252" w14:textId="77777777" w:rsidR="0059483D" w:rsidRPr="0059483D" w:rsidRDefault="0059483D" w:rsidP="0059483D">
      <w:pPr>
        <w:spacing w:before="240" w:after="0" w:line="360" w:lineRule="auto"/>
        <w:ind w:left="720"/>
        <w:jc w:val="both"/>
        <w:rPr>
          <w:rFonts w:ascii="Palatino Linotype" w:eastAsia="Times New Roman" w:hAnsi="Palatino Linotype" w:cs="Arial"/>
          <w:iCs/>
          <w:sz w:val="24"/>
          <w:szCs w:val="24"/>
          <w:lang w:val="es-ES" w:eastAsia="es-ES"/>
        </w:rPr>
      </w:pPr>
      <w:r w:rsidRPr="0059483D">
        <w:rPr>
          <w:rFonts w:ascii="Palatino Linotype" w:eastAsia="Times New Roman" w:hAnsi="Palatino Linotype" w:cs="Arial"/>
          <w:iCs/>
          <w:sz w:val="24"/>
          <w:szCs w:val="24"/>
          <w:lang w:val="es-ES" w:eastAsia="es-ES"/>
        </w:rPr>
        <w:t xml:space="preserve">En el caso de la información que se ordena su entrega en el punto 1 del presente Resolutivo, contenga documentos susceptibles de ser clasificados en su totalidad como confidenciales, </w:t>
      </w:r>
      <w:bookmarkStart w:id="15" w:name="_Hlk50035597"/>
      <w:r w:rsidRPr="0059483D">
        <w:rPr>
          <w:rFonts w:ascii="Palatino Linotype" w:eastAsia="Times New Roman" w:hAnsi="Palatino Linotype" w:cs="Arial"/>
          <w:iCs/>
          <w:sz w:val="24"/>
          <w:szCs w:val="24"/>
          <w:lang w:val="es-ES" w:eastAsia="es-ES"/>
        </w:rPr>
        <w:t>deberá emitir y entregar al recurrente el Acuerdo del Comité de Transparencia en términos de lo señalado en el Considerando CUARTO y en el artículo 49 fracción VIII, 122, 143 fracción I y 149 de la Ley de Transparencia y Acceso a la Información Pública del Estado de México y Municipios, en donde, de manera fundada y motivada, confirme dicha clasificación.</w:t>
      </w:r>
    </w:p>
    <w:bookmarkEnd w:id="15"/>
    <w:p w14:paraId="63656E61" w14:textId="77777777" w:rsidR="0059483D" w:rsidRDefault="0059483D" w:rsidP="0059483D">
      <w:pPr>
        <w:spacing w:after="0" w:line="360" w:lineRule="auto"/>
        <w:jc w:val="both"/>
        <w:rPr>
          <w:rFonts w:ascii="Palatino Linotype" w:hAnsi="Palatino Linotype" w:cs="Arial"/>
          <w:sz w:val="24"/>
          <w:szCs w:val="24"/>
        </w:rPr>
      </w:pP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3DE99587" w14:textId="0EB37D0B" w:rsidR="00D24EF9" w:rsidRPr="0058435B" w:rsidRDefault="00AB33E5" w:rsidP="00D24EF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sz w:val="28"/>
          <w:szCs w:val="28"/>
          <w:lang w:eastAsia="es-ES"/>
        </w:rPr>
        <w:t>CUARTO</w:t>
      </w:r>
      <w:r w:rsidR="00D24EF9" w:rsidRPr="0058435B">
        <w:rPr>
          <w:rFonts w:ascii="Palatino Linotype" w:eastAsia="Times New Roman" w:hAnsi="Palatino Linotype" w:cs="Times New Roman"/>
          <w:b/>
          <w:sz w:val="28"/>
          <w:szCs w:val="28"/>
          <w:lang w:eastAsia="es-ES"/>
        </w:rPr>
        <w:t>.</w:t>
      </w:r>
      <w:r w:rsidR="00D24EF9" w:rsidRPr="0058435B">
        <w:rPr>
          <w:rFonts w:ascii="Palatino Linotype" w:eastAsia="Times New Roman" w:hAnsi="Palatino Linotype" w:cs="Times New Roman"/>
          <w:b/>
          <w:sz w:val="24"/>
          <w:szCs w:val="24"/>
          <w:lang w:eastAsia="es-ES"/>
        </w:rPr>
        <w:t xml:space="preserve"> NOTIFÍQUESE</w:t>
      </w:r>
      <w:r w:rsidR="00D24EF9" w:rsidRPr="0058435B">
        <w:rPr>
          <w:rFonts w:ascii="Palatino Linotype" w:eastAsia="Times New Roman" w:hAnsi="Palatino Linotype" w:cs="Times New Roman"/>
          <w:b/>
          <w:i/>
          <w:sz w:val="24"/>
          <w:szCs w:val="24"/>
          <w:lang w:eastAsia="es-ES"/>
        </w:rPr>
        <w:t xml:space="preserve"> </w:t>
      </w:r>
      <w:r w:rsidR="00D24EF9"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A2459"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16F14F0A" w14:textId="51F25F54" w:rsidR="00D24EF9" w:rsidRDefault="00AB33E5" w:rsidP="00D24EF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D24EF9" w:rsidRPr="00584718">
        <w:rPr>
          <w:rFonts w:ascii="Palatino Linotype" w:hAnsi="Palatino Linotype" w:cs="Arial"/>
          <w:b/>
          <w:sz w:val="28"/>
          <w:szCs w:val="24"/>
        </w:rPr>
        <w:t xml:space="preserve">. </w:t>
      </w:r>
      <w:r w:rsidR="00D24EF9" w:rsidRPr="00584718">
        <w:rPr>
          <w:rFonts w:ascii="Palatino Linotype" w:hAnsi="Palatino Linotype" w:cs="Arial"/>
          <w:b/>
          <w:sz w:val="24"/>
          <w:szCs w:val="24"/>
        </w:rPr>
        <w:t xml:space="preserve">NOTIFÍQUESE </w:t>
      </w:r>
      <w:r w:rsidR="00D24EF9" w:rsidRPr="00584718">
        <w:rPr>
          <w:rFonts w:ascii="Palatino Linotype" w:hAnsi="Palatino Linotype" w:cs="Arial"/>
          <w:sz w:val="24"/>
          <w:szCs w:val="24"/>
        </w:rPr>
        <w:t>a</w:t>
      </w:r>
      <w:r w:rsidR="00D24EF9">
        <w:rPr>
          <w:rFonts w:ascii="Palatino Linotype" w:hAnsi="Palatino Linotype" w:cs="Arial"/>
          <w:sz w:val="24"/>
          <w:szCs w:val="24"/>
        </w:rPr>
        <w:t>l</w:t>
      </w:r>
      <w:r w:rsidR="00D24EF9" w:rsidRPr="00584718">
        <w:rPr>
          <w:rFonts w:ascii="Palatino Linotype" w:hAnsi="Palatino Linotype" w:cs="Arial"/>
          <w:sz w:val="24"/>
          <w:szCs w:val="24"/>
        </w:rPr>
        <w:t xml:space="preserve"> </w:t>
      </w:r>
      <w:r w:rsidR="00D24EF9" w:rsidRPr="00584718">
        <w:rPr>
          <w:rFonts w:ascii="Palatino Linotype" w:hAnsi="Palatino Linotype" w:cs="Arial"/>
          <w:b/>
          <w:sz w:val="24"/>
          <w:szCs w:val="24"/>
        </w:rPr>
        <w:t xml:space="preserve">Recurrente </w:t>
      </w:r>
      <w:r w:rsidR="00D24EF9" w:rsidRPr="00584718">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de acuerdo a lo estipulado </w:t>
      </w:r>
      <w:r w:rsidR="00D24EF9" w:rsidRPr="00584718">
        <w:rPr>
          <w:rFonts w:ascii="Palatino Linotype" w:hAnsi="Palatino Linotype" w:cs="Arial"/>
          <w:sz w:val="24"/>
          <w:szCs w:val="24"/>
        </w:rPr>
        <w:lastRenderedPageBreak/>
        <w:t>por el artículo 196, de la Ley de Transparencia y Acceso a la Información Pública del</w:t>
      </w:r>
      <w:r w:rsidR="00D24EF9">
        <w:rPr>
          <w:rFonts w:ascii="Palatino Linotype" w:hAnsi="Palatino Linotype" w:cs="Arial"/>
          <w:sz w:val="24"/>
          <w:szCs w:val="24"/>
        </w:rPr>
        <w:t xml:space="preserve"> Estado de México y Municipios.</w:t>
      </w:r>
    </w:p>
    <w:p w14:paraId="4271EAE7"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274D8992" w14:textId="0E0A33D1" w:rsidR="00D24EF9" w:rsidRDefault="00AB33E5" w:rsidP="00D24EF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00D24EF9" w:rsidRPr="00584718">
        <w:rPr>
          <w:rFonts w:ascii="Palatino Linotype" w:eastAsia="Times New Roman" w:hAnsi="Palatino Linotype" w:cs="Arial"/>
          <w:b/>
          <w:sz w:val="28"/>
          <w:szCs w:val="24"/>
          <w:lang w:val="es-ES" w:eastAsia="es-ES"/>
        </w:rPr>
        <w:t xml:space="preserve">. </w:t>
      </w:r>
      <w:r w:rsidR="00D24EF9" w:rsidRPr="00584718">
        <w:rPr>
          <w:rFonts w:ascii="Palatino Linotype" w:eastAsia="Times New Roman" w:hAnsi="Palatino Linotype" w:cs="Arial"/>
          <w:b/>
          <w:sz w:val="24"/>
          <w:szCs w:val="24"/>
          <w:lang w:val="es-ES" w:eastAsia="es-ES"/>
        </w:rPr>
        <w:t>GÍRESE</w:t>
      </w:r>
      <w:r w:rsidR="00D24EF9"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w:t>
      </w:r>
      <w:r w:rsidR="00D24EF9">
        <w:rPr>
          <w:rFonts w:ascii="Palatino Linotype" w:eastAsia="MS Mincho" w:hAnsi="Palatino Linotype" w:cs="Times New Roman"/>
          <w:sz w:val="24"/>
        </w:rPr>
        <w:t xml:space="preserve"> </w:t>
      </w:r>
      <w:r w:rsidR="00D24EF9" w:rsidRPr="00D24EF9">
        <w:rPr>
          <w:rFonts w:ascii="Palatino Linotype" w:eastAsia="MS Mincho" w:hAnsi="Palatino Linotype" w:cs="Times New Roman"/>
          <w:b/>
          <w:bCs/>
          <w:sz w:val="24"/>
        </w:rPr>
        <w:t>CUARTO</w:t>
      </w:r>
      <w:r w:rsidR="00D24EF9" w:rsidRPr="00584718">
        <w:rPr>
          <w:rFonts w:ascii="Palatino Linotype" w:eastAsia="MS Mincho" w:hAnsi="Palatino Linotype" w:cs="Times New Roman"/>
          <w:sz w:val="24"/>
        </w:rPr>
        <w:t xml:space="preserve"> de la presente resolución. </w:t>
      </w:r>
    </w:p>
    <w:p w14:paraId="64A35DDC" w14:textId="77777777"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p>
    <w:p w14:paraId="6A54A71F" w14:textId="39EBC2D8" w:rsidR="00D24EF9" w:rsidRDefault="00AB33E5" w:rsidP="00D24EF9">
      <w:pPr>
        <w:spacing w:after="0" w:line="360" w:lineRule="auto"/>
        <w:jc w:val="both"/>
        <w:rPr>
          <w:rFonts w:ascii="Palatino Linotype" w:eastAsia="Calibri" w:hAnsi="Palatino Linotype" w:cs="Times New Roman"/>
          <w:sz w:val="24"/>
          <w:szCs w:val="24"/>
          <w:lang w:eastAsia="es-ES_tradnl"/>
        </w:rPr>
      </w:pPr>
      <w:bookmarkStart w:id="16" w:name="_Hlk33119190"/>
      <w:r w:rsidRPr="00AB33E5">
        <w:rPr>
          <w:rFonts w:ascii="Palatino Linotype" w:eastAsia="Calibri" w:hAnsi="Palatino Linotype" w:cs="Times New Roman"/>
          <w:b/>
          <w:sz w:val="28"/>
          <w:szCs w:val="24"/>
          <w:lang w:eastAsia="es-ES_tradnl"/>
        </w:rPr>
        <w:t>SÉPTIMO</w:t>
      </w:r>
      <w:r w:rsidR="00D24EF9" w:rsidRPr="00A87BAA">
        <w:rPr>
          <w:rFonts w:ascii="Palatino Linotype" w:eastAsia="Calibri" w:hAnsi="Palatino Linotype" w:cs="Times New Roman"/>
          <w:b/>
          <w:sz w:val="24"/>
          <w:szCs w:val="24"/>
          <w:lang w:eastAsia="es-ES_tradnl"/>
        </w:rPr>
        <w:t>.</w:t>
      </w:r>
      <w:r w:rsidR="00D24EF9" w:rsidRPr="00A87BAA">
        <w:rPr>
          <w:rFonts w:ascii="Palatino Linotype" w:eastAsia="Calibri" w:hAnsi="Palatino Linotype" w:cs="Times New Roman"/>
          <w:sz w:val="24"/>
          <w:szCs w:val="24"/>
          <w:lang w:eastAsia="es-ES_tradnl"/>
        </w:rPr>
        <w:t xml:space="preserve"> Se hace del conocimiento del </w:t>
      </w:r>
      <w:r w:rsidR="00D24EF9">
        <w:rPr>
          <w:rFonts w:ascii="Palatino Linotype" w:eastAsia="Calibri" w:hAnsi="Palatino Linotype" w:cs="Times New Roman"/>
          <w:b/>
          <w:sz w:val="24"/>
          <w:szCs w:val="24"/>
          <w:lang w:eastAsia="es-ES_tradnl"/>
        </w:rPr>
        <w:t>R</w:t>
      </w:r>
      <w:r w:rsidR="00D24EF9" w:rsidRPr="00A87BAA">
        <w:rPr>
          <w:rFonts w:ascii="Palatino Linotype" w:eastAsia="Calibri" w:hAnsi="Palatino Linotype" w:cs="Times New Roman"/>
          <w:b/>
          <w:sz w:val="24"/>
          <w:szCs w:val="24"/>
          <w:lang w:eastAsia="es-ES_tradnl"/>
        </w:rPr>
        <w:t>ecurrente</w:t>
      </w:r>
      <w:r w:rsidR="00D24EF9"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D24EF9">
        <w:rPr>
          <w:rFonts w:ascii="Palatino Linotype" w:eastAsia="Calibri" w:hAnsi="Palatino Linotype" w:cs="Times New Roman"/>
          <w:b/>
          <w:sz w:val="24"/>
          <w:szCs w:val="24"/>
          <w:lang w:eastAsia="es-ES_tradnl"/>
        </w:rPr>
        <w:t>S</w:t>
      </w:r>
      <w:r w:rsidR="00D24EF9" w:rsidRPr="00A87BAA">
        <w:rPr>
          <w:rFonts w:ascii="Palatino Linotype" w:eastAsia="Calibri" w:hAnsi="Palatino Linotype" w:cs="Times New Roman"/>
          <w:b/>
          <w:sz w:val="24"/>
          <w:szCs w:val="24"/>
          <w:lang w:eastAsia="es-ES_tradnl"/>
        </w:rPr>
        <w:t xml:space="preserve">ujeto </w:t>
      </w:r>
      <w:r w:rsidR="00D24EF9">
        <w:rPr>
          <w:rFonts w:ascii="Palatino Linotype" w:eastAsia="Calibri" w:hAnsi="Palatino Linotype" w:cs="Times New Roman"/>
          <w:b/>
          <w:sz w:val="24"/>
          <w:szCs w:val="24"/>
          <w:lang w:eastAsia="es-ES_tradnl"/>
        </w:rPr>
        <w:t>O</w:t>
      </w:r>
      <w:r w:rsidR="00D24EF9" w:rsidRPr="00A87BAA">
        <w:rPr>
          <w:rFonts w:ascii="Palatino Linotype" w:eastAsia="Calibri" w:hAnsi="Palatino Linotype" w:cs="Times New Roman"/>
          <w:b/>
          <w:sz w:val="24"/>
          <w:szCs w:val="24"/>
          <w:lang w:eastAsia="es-ES_tradnl"/>
        </w:rPr>
        <w:t>bligado</w:t>
      </w:r>
      <w:r w:rsidR="00D24EF9" w:rsidRPr="00A87BAA">
        <w:rPr>
          <w:rFonts w:ascii="Palatino Linotype" w:eastAsia="Calibri" w:hAnsi="Palatino Linotype" w:cs="Times New Roman"/>
          <w:sz w:val="24"/>
          <w:szCs w:val="24"/>
          <w:lang w:eastAsia="es-ES_tradnl"/>
        </w:rPr>
        <w:t>, en cumplimiento a esta Resolución.</w:t>
      </w:r>
    </w:p>
    <w:p w14:paraId="1C08976D" w14:textId="2703D76C" w:rsidR="00100ADC" w:rsidRDefault="00100ADC" w:rsidP="00D24EF9">
      <w:pPr>
        <w:spacing w:after="0" w:line="360" w:lineRule="auto"/>
        <w:jc w:val="both"/>
        <w:rPr>
          <w:rFonts w:ascii="Palatino Linotype" w:eastAsia="Calibri" w:hAnsi="Palatino Linotype" w:cs="Times New Roman"/>
          <w:sz w:val="24"/>
          <w:szCs w:val="24"/>
          <w:lang w:eastAsia="es-ES_tradnl"/>
        </w:rPr>
      </w:pPr>
    </w:p>
    <w:p w14:paraId="19C1CFF9" w14:textId="357ACAEA" w:rsidR="00100ADC" w:rsidRPr="00DE06AB" w:rsidRDefault="00AB33E5" w:rsidP="00100AD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OCTAVO</w:t>
      </w:r>
      <w:r w:rsidR="00100ADC" w:rsidRPr="00DE06AB">
        <w:rPr>
          <w:rFonts w:ascii="Palatino Linotype" w:eastAsia="Calibri" w:hAnsi="Palatino Linotype" w:cs="Tahoma"/>
          <w:b/>
          <w:bCs/>
          <w:iCs/>
          <w:sz w:val="28"/>
          <w:szCs w:val="24"/>
          <w:lang w:val="es-ES" w:eastAsia="es-ES_tradnl"/>
        </w:rPr>
        <w:t>.</w:t>
      </w:r>
      <w:r w:rsidR="00100ADC"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100ADC" w:rsidRPr="00DE06AB">
        <w:rPr>
          <w:rFonts w:ascii="Palatino Linotype" w:eastAsia="Calibri" w:hAnsi="Palatino Linotype" w:cs="Tahoma"/>
          <w:b/>
          <w:bCs/>
          <w:iCs/>
          <w:sz w:val="24"/>
          <w:szCs w:val="24"/>
          <w:lang w:val="es-ES" w:eastAsia="es-ES_tradnl"/>
        </w:rPr>
        <w:t>Sujeto Obligado</w:t>
      </w:r>
      <w:r w:rsidR="00100ADC"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bookmarkEnd w:id="16"/>
    <w:p w14:paraId="66C0EDFF" w14:textId="71E90D23" w:rsidR="00271D0C" w:rsidRDefault="00271D0C" w:rsidP="004209CE">
      <w:pPr>
        <w:spacing w:after="0" w:line="360" w:lineRule="auto"/>
        <w:jc w:val="both"/>
        <w:rPr>
          <w:rFonts w:ascii="Palatino Linotype" w:eastAsia="Calibri" w:hAnsi="Palatino Linotype" w:cs="Times New Roman"/>
          <w:b/>
          <w:sz w:val="24"/>
          <w:szCs w:val="24"/>
          <w:lang w:eastAsia="es-ES_tradnl"/>
        </w:rPr>
      </w:pPr>
    </w:p>
    <w:p w14:paraId="14A9F466" w14:textId="77777777" w:rsidR="00100ADC" w:rsidRPr="004209CE" w:rsidRDefault="00100ADC" w:rsidP="004209CE">
      <w:pPr>
        <w:spacing w:after="0" w:line="360" w:lineRule="auto"/>
        <w:jc w:val="both"/>
        <w:rPr>
          <w:rFonts w:ascii="Palatino Linotype" w:hAnsi="Palatino Linotype" w:cs="Arial"/>
          <w:sz w:val="24"/>
          <w:szCs w:val="24"/>
        </w:rPr>
      </w:pPr>
    </w:p>
    <w:p w14:paraId="3B8C7E4F" w14:textId="2F61631A"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lastRenderedPageBreak/>
        <w:t xml:space="preserve">ASÍ LO RESUELVE, </w:t>
      </w:r>
      <w:r w:rsidR="00424312" w:rsidRPr="00424312">
        <w:rPr>
          <w:rFonts w:ascii="Palatino Linotype" w:hAnsi="Palatino Linotype" w:cs="Arial"/>
          <w:sz w:val="24"/>
          <w:szCs w:val="24"/>
        </w:rPr>
        <w:t>POR MAYORIA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493728">
        <w:rPr>
          <w:rFonts w:ascii="Palatino Linotype" w:hAnsi="Palatino Linotype" w:cs="Arial"/>
          <w:sz w:val="24"/>
          <w:szCs w:val="24"/>
        </w:rPr>
        <w:t xml:space="preserve"> (VOTO PARTICULAR)</w:t>
      </w:r>
      <w:r w:rsidRPr="00AD2A55">
        <w:rPr>
          <w:rFonts w:ascii="Palatino Linotype" w:hAnsi="Palatino Linotype" w:cs="Arial"/>
          <w:sz w:val="24"/>
          <w:szCs w:val="24"/>
        </w:rPr>
        <w:t>,</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52913">
        <w:rPr>
          <w:rFonts w:ascii="Palatino Linotype" w:hAnsi="Palatino Linotype" w:cs="Arial"/>
          <w:sz w:val="24"/>
          <w:szCs w:val="24"/>
        </w:rPr>
        <w:t xml:space="preserve"> (</w:t>
      </w:r>
      <w:r w:rsidR="00952913" w:rsidRPr="00952913">
        <w:rPr>
          <w:rFonts w:ascii="Palatino Linotype" w:hAnsi="Palatino Linotype" w:cs="Arial"/>
          <w:sz w:val="24"/>
          <w:szCs w:val="24"/>
        </w:rPr>
        <w:t>VOTO EN CONTRA CON VOTO DISIDENTE</w:t>
      </w:r>
      <w:r w:rsidR="00493728">
        <w:rPr>
          <w:rFonts w:ascii="Palatino Linotype" w:hAnsi="Palatino Linotype" w:cs="Arial"/>
          <w:sz w:val="24"/>
          <w:szCs w:val="24"/>
        </w:rPr>
        <w:t xml:space="preserve"> EN EL RECURSO DE REVISIÓN </w:t>
      </w:r>
      <w:r w:rsidR="00493728" w:rsidRPr="00493728">
        <w:rPr>
          <w:rFonts w:ascii="Palatino Linotype" w:hAnsi="Palatino Linotype" w:cs="Arial"/>
          <w:sz w:val="24"/>
          <w:szCs w:val="24"/>
        </w:rPr>
        <w:t>02135/INFOEM/IP/RR/2020</w:t>
      </w:r>
      <w:r w:rsidR="00952913">
        <w:rPr>
          <w:rFonts w:ascii="Palatino Linotype" w:hAnsi="Palatino Linotype" w:cs="Arial"/>
          <w:sz w:val="24"/>
          <w:szCs w:val="24"/>
        </w:rPr>
        <w:t>)</w:t>
      </w:r>
      <w:r w:rsidR="00B6216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603729">
        <w:rPr>
          <w:rFonts w:ascii="Palatino Linotype" w:hAnsi="Palatino Linotype" w:cs="Arial"/>
          <w:sz w:val="24"/>
          <w:szCs w:val="24"/>
        </w:rPr>
        <w:t xml:space="preserve">DÉCIMA </w:t>
      </w:r>
      <w:r w:rsidR="00493728">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493728">
        <w:rPr>
          <w:rFonts w:ascii="Palatino Linotype" w:eastAsia="Times New Roman" w:hAnsi="Palatino Linotype" w:cs="Arial"/>
          <w:color w:val="000000"/>
          <w:sz w:val="24"/>
          <w:szCs w:val="24"/>
          <w:lang w:eastAsia="es-MX"/>
        </w:rPr>
        <w:t>NUEVE DE SEPTIEMBRE</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D24EF9">
        <w:rPr>
          <w:rFonts w:ascii="Palatino Linotype" w:hAnsi="Palatino Linotype" w:cs="Arial"/>
          <w:sz w:val="24"/>
          <w:szCs w:val="24"/>
        </w:rPr>
        <w:t>----------------------------------------------------------------------------------------------</w:t>
      </w:r>
      <w:r w:rsidR="00B62165">
        <w:rPr>
          <w:rFonts w:ascii="Palatino Linotype" w:hAnsi="Palatino Linotype" w:cs="Arial"/>
          <w:sz w:val="24"/>
          <w:szCs w:val="24"/>
        </w:rPr>
        <w:t>----------------------------------------------------</w:t>
      </w:r>
      <w:r w:rsidR="00603729">
        <w:rPr>
          <w:rFonts w:ascii="Palatino Linotype" w:hAnsi="Palatino Linotype" w:cs="Arial"/>
          <w:sz w:val="24"/>
          <w:szCs w:val="24"/>
        </w:rPr>
        <w:t>----------------------------------------------------------------------------------------------------------------------------------------------------------------------------------------------------------------------------------</w:t>
      </w:r>
      <w:r w:rsidR="00100ADC">
        <w:rPr>
          <w:rFonts w:ascii="Palatino Linotype" w:hAnsi="Palatino Linotype" w:cs="Arial"/>
          <w:sz w:val="24"/>
          <w:szCs w:val="24"/>
        </w:rPr>
        <w:t>--------------------------------------------------------------------------------------------------------------------------------------------------------------------------------------------------------------------------------------------------------------------------------------------------------------------------------------------------------------------------------------------------------------------------------------------------------------------------------------------------------------------------------------------------------------------------------------------------------------------------------------------------------------------------------------------------------------------------------------------------------------------------------------------------------------------------------------------------------------------------------------------------------------------------------------------------------------------------------------------------------------------------------------------------------------------------------------------------------------------------------------------------------------------------------------------------------------------------------------------------------------------------------</w:t>
      </w:r>
    </w:p>
    <w:p w14:paraId="09FC4DAC" w14:textId="77777777" w:rsidR="006E5475" w:rsidRDefault="006E54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1979B9" w:rsidRPr="00EF2FC0" w:rsidRDefault="001979B9"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979B9" w:rsidRDefault="001979B9"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979B9" w:rsidRDefault="001979B9"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979B9" w:rsidRPr="00016AF3" w:rsidRDefault="001979B9"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1979B9" w:rsidRPr="00EF2FC0" w:rsidRDefault="001979B9"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979B9" w:rsidRDefault="001979B9"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979B9" w:rsidRDefault="001979B9"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979B9" w:rsidRPr="00016AF3" w:rsidRDefault="001979B9"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2F3C8159" w:rsidR="004B1036" w:rsidRDefault="004B1036" w:rsidP="00AD2A55">
      <w:pPr>
        <w:spacing w:after="0" w:line="360" w:lineRule="auto"/>
        <w:rPr>
          <w:rFonts w:ascii="Palatino Linotype" w:hAnsi="Palatino Linotype"/>
          <w:b/>
          <w:sz w:val="18"/>
          <w:szCs w:val="24"/>
        </w:rPr>
      </w:pPr>
    </w:p>
    <w:p w14:paraId="3F3B0035" w14:textId="77777777" w:rsidR="006E5475" w:rsidRPr="00D701CA" w:rsidRDefault="006E5475"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1979B9" w:rsidRPr="00EF2FC0" w:rsidRDefault="001979B9"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979B9" w:rsidRDefault="001979B9"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979B9" w:rsidRDefault="001979B9"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979B9" w:rsidRPr="00797B31" w:rsidRDefault="001979B9"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1979B9" w:rsidRPr="00EF2FC0" w:rsidRDefault="001979B9"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979B9" w:rsidRDefault="001979B9"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979B9" w:rsidRDefault="001979B9"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979B9" w:rsidRPr="00797B31" w:rsidRDefault="001979B9"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1979B9" w:rsidRPr="00EF2FC0" w:rsidRDefault="001979B9"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1979B9" w:rsidRPr="00EF2FC0" w:rsidRDefault="001979B9"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979B9" w:rsidRDefault="001979B9"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979B9" w:rsidRDefault="001979B9"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1979B9" w:rsidRPr="00EF2FC0" w:rsidRDefault="001979B9"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1979B9" w:rsidRPr="00EF2FC0" w:rsidRDefault="001979B9"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979B9" w:rsidRDefault="001979B9"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979B9" w:rsidRDefault="001979B9"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5583D907" w:rsidR="00BF3214" w:rsidRDefault="00BF3214" w:rsidP="00AD2A55">
      <w:pPr>
        <w:spacing w:after="0" w:line="360" w:lineRule="auto"/>
        <w:rPr>
          <w:rFonts w:ascii="Palatino Linotype" w:hAnsi="Palatino Linotype"/>
          <w:b/>
          <w:sz w:val="24"/>
          <w:szCs w:val="24"/>
        </w:rPr>
      </w:pPr>
    </w:p>
    <w:p w14:paraId="3E29D156" w14:textId="77777777" w:rsidR="006E5475" w:rsidRPr="00AD2A55" w:rsidRDefault="006E5475"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1979B9" w:rsidRPr="00EF2FC0" w:rsidRDefault="001979B9"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979B9" w:rsidRPr="00EF2FC0" w:rsidRDefault="001979B9"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979B9" w:rsidRDefault="001979B9"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979B9" w:rsidRDefault="001979B9"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1979B9" w:rsidRPr="00EF2FC0" w:rsidRDefault="001979B9"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979B9" w:rsidRPr="00EF2FC0" w:rsidRDefault="001979B9"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979B9" w:rsidRDefault="001979B9"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979B9" w:rsidRDefault="001979B9"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1979B9" w:rsidRPr="00EF2FC0" w:rsidRDefault="001979B9"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979B9" w:rsidRPr="00EF2FC0" w:rsidRDefault="001979B9"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485EF9C2" w:rsidR="001979B9" w:rsidRDefault="001979B9" w:rsidP="00813C38">
                            <w:pPr>
                              <w:spacing w:after="0" w:line="240" w:lineRule="auto"/>
                              <w:jc w:val="center"/>
                              <w:rPr>
                                <w:rFonts w:ascii="Palatino Linotype" w:hAnsi="Palatino Linotype"/>
                                <w:b/>
                                <w:sz w:val="24"/>
                                <w:szCs w:val="24"/>
                              </w:rPr>
                            </w:pPr>
                            <w:r w:rsidRPr="00306CD1">
                              <w:rPr>
                                <w:rFonts w:ascii="Palatino Linotype" w:hAnsi="Palatino Linotype"/>
                                <w:b/>
                                <w:sz w:val="24"/>
                                <w:szCs w:val="24"/>
                              </w:rPr>
                              <w:t>(Rúbrica).</w:t>
                            </w:r>
                          </w:p>
                          <w:p w14:paraId="7F2D8609" w14:textId="77777777" w:rsidR="001979B9" w:rsidRDefault="001979B9"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1979B9" w:rsidRPr="00EF2FC0" w:rsidRDefault="001979B9"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979B9" w:rsidRPr="00EF2FC0" w:rsidRDefault="001979B9"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485EF9C2" w:rsidR="001979B9" w:rsidRDefault="001979B9" w:rsidP="00813C38">
                      <w:pPr>
                        <w:spacing w:after="0" w:line="240" w:lineRule="auto"/>
                        <w:jc w:val="center"/>
                        <w:rPr>
                          <w:rFonts w:ascii="Palatino Linotype" w:hAnsi="Palatino Linotype"/>
                          <w:b/>
                          <w:sz w:val="24"/>
                          <w:szCs w:val="24"/>
                        </w:rPr>
                      </w:pPr>
                      <w:r w:rsidRPr="00306CD1">
                        <w:rPr>
                          <w:rFonts w:ascii="Palatino Linotype" w:hAnsi="Palatino Linotype"/>
                          <w:b/>
                          <w:sz w:val="24"/>
                          <w:szCs w:val="24"/>
                        </w:rPr>
                        <w:t>(Rúbrica).</w:t>
                      </w:r>
                    </w:p>
                    <w:p w14:paraId="7F2D8609" w14:textId="77777777" w:rsidR="001979B9" w:rsidRDefault="001979B9"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1979B9" w:rsidRPr="007F6133" w:rsidRDefault="001979B9"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979B9" w:rsidRDefault="001979B9"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1979B9" w:rsidRDefault="001979B9"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1979B9" w:rsidRDefault="001979B9" w:rsidP="00BF3214">
                            <w:pPr>
                              <w:jc w:val="center"/>
                              <w:rPr>
                                <w:rFonts w:ascii="Palatino Linotype" w:hAnsi="Palatino Linotype"/>
                                <w:sz w:val="24"/>
                                <w:szCs w:val="24"/>
                              </w:rPr>
                            </w:pPr>
                          </w:p>
                          <w:p w14:paraId="01412AD8" w14:textId="77777777" w:rsidR="001979B9" w:rsidRPr="00EF2FC0" w:rsidRDefault="001979B9" w:rsidP="00BF3214">
                            <w:pPr>
                              <w:jc w:val="center"/>
                              <w:rPr>
                                <w:rFonts w:ascii="Palatino Linotype" w:hAnsi="Palatino Linotype"/>
                                <w:sz w:val="24"/>
                                <w:szCs w:val="24"/>
                              </w:rPr>
                            </w:pPr>
                          </w:p>
                          <w:p w14:paraId="3C1552D2" w14:textId="77777777" w:rsidR="001979B9" w:rsidRDefault="001979B9"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1979B9" w:rsidRPr="007F6133" w:rsidRDefault="001979B9"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979B9" w:rsidRDefault="001979B9"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1979B9" w:rsidRDefault="001979B9"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1979B9" w:rsidRDefault="001979B9" w:rsidP="00BF3214">
                      <w:pPr>
                        <w:jc w:val="center"/>
                        <w:rPr>
                          <w:rFonts w:ascii="Palatino Linotype" w:hAnsi="Palatino Linotype"/>
                          <w:sz w:val="24"/>
                          <w:szCs w:val="24"/>
                        </w:rPr>
                      </w:pPr>
                    </w:p>
                    <w:p w14:paraId="01412AD8" w14:textId="77777777" w:rsidR="001979B9" w:rsidRPr="00EF2FC0" w:rsidRDefault="001979B9" w:rsidP="00BF3214">
                      <w:pPr>
                        <w:jc w:val="center"/>
                        <w:rPr>
                          <w:rFonts w:ascii="Palatino Linotype" w:hAnsi="Palatino Linotype"/>
                          <w:sz w:val="24"/>
                          <w:szCs w:val="24"/>
                        </w:rPr>
                      </w:pPr>
                    </w:p>
                    <w:p w14:paraId="3C1552D2" w14:textId="77777777" w:rsidR="001979B9" w:rsidRDefault="001979B9"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4603544B"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1EFB36C1"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02D5A41D" w14:textId="7D767C4F" w:rsidR="006E5475" w:rsidRPr="00584718" w:rsidRDefault="006E5475" w:rsidP="006E5475">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100ADC">
        <w:rPr>
          <w:rFonts w:ascii="Palatino Linotype" w:hAnsi="Palatino Linotype" w:cs="Arial"/>
          <w:sz w:val="16"/>
          <w:szCs w:val="16"/>
        </w:rPr>
        <w:t>nueve de septiembre</w:t>
      </w:r>
      <w:r w:rsidRPr="00584718">
        <w:rPr>
          <w:rFonts w:ascii="Palatino Linotype" w:hAnsi="Palatino Linotype" w:cs="Arial"/>
          <w:sz w:val="16"/>
          <w:szCs w:val="16"/>
        </w:rPr>
        <w:t xml:space="preserve"> de dos mil </w:t>
      </w:r>
      <w:r>
        <w:rPr>
          <w:rFonts w:ascii="Palatino Linotype" w:hAnsi="Palatino Linotype" w:cs="Arial"/>
          <w:sz w:val="16"/>
          <w:szCs w:val="16"/>
        </w:rPr>
        <w:t>veinte, emitida en el Recurso de R</w:t>
      </w:r>
      <w:r w:rsidRPr="00584718">
        <w:rPr>
          <w:rFonts w:ascii="Palatino Linotype" w:hAnsi="Palatino Linotype" w:cs="Arial"/>
          <w:sz w:val="16"/>
          <w:szCs w:val="16"/>
        </w:rPr>
        <w:t xml:space="preserve">evisión </w:t>
      </w:r>
      <w:r w:rsidR="00100ADC" w:rsidRPr="00100ADC">
        <w:rPr>
          <w:rFonts w:ascii="Palatino Linotype" w:hAnsi="Palatino Linotype" w:cs="Arial"/>
          <w:b/>
          <w:bCs/>
          <w:sz w:val="16"/>
          <w:szCs w:val="16"/>
          <w:lang w:eastAsia="es-MX"/>
        </w:rPr>
        <w:t>02135/INFOEM/IP/RR/2020 y acumulado</w:t>
      </w:r>
      <w:r w:rsidRPr="000510FC">
        <w:rPr>
          <w:rFonts w:ascii="Palatino Linotype" w:hAnsi="Palatino Linotype" w:cs="Arial"/>
          <w:bCs/>
          <w:sz w:val="16"/>
          <w:szCs w:val="16"/>
          <w:lang w:eastAsia="es-MX"/>
        </w:rPr>
        <w:t>.</w:t>
      </w:r>
    </w:p>
    <w:p w14:paraId="59059871" w14:textId="77777777" w:rsidR="006E5475" w:rsidRPr="005A797B" w:rsidRDefault="006E5475" w:rsidP="006E5475">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24DF0" w14:textId="77777777" w:rsidR="004F3533" w:rsidRDefault="004F3533" w:rsidP="00BF3214">
      <w:pPr>
        <w:spacing w:after="0" w:line="240" w:lineRule="auto"/>
      </w:pPr>
      <w:r>
        <w:separator/>
      </w:r>
    </w:p>
  </w:endnote>
  <w:endnote w:type="continuationSeparator" w:id="0">
    <w:p w14:paraId="264C51EB" w14:textId="77777777" w:rsidR="004F3533" w:rsidRDefault="004F353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979B9" w:rsidRPr="002D6DD8" w:rsidRDefault="001979B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258">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4258">
              <w:rPr>
                <w:rFonts w:ascii="Palatino Linotype" w:hAnsi="Palatino Linotype"/>
                <w:bCs/>
                <w:noProof/>
                <w:sz w:val="20"/>
              </w:rPr>
              <w:t>42</w:t>
            </w:r>
            <w:r>
              <w:rPr>
                <w:rFonts w:ascii="Palatino Linotype" w:hAnsi="Palatino Linotype"/>
                <w:bCs/>
                <w:noProof/>
                <w:sz w:val="20"/>
              </w:rPr>
              <w:fldChar w:fldCharType="end"/>
            </w:r>
          </w:p>
        </w:sdtContent>
      </w:sdt>
    </w:sdtContent>
  </w:sdt>
  <w:p w14:paraId="1002C619" w14:textId="77777777" w:rsidR="001979B9" w:rsidRDefault="001979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979B9" w:rsidRPr="000B69FA" w:rsidRDefault="001979B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42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4258">
      <w:rPr>
        <w:rFonts w:ascii="Palatino Linotype" w:hAnsi="Palatino Linotype"/>
        <w:bCs/>
        <w:noProof/>
        <w:sz w:val="20"/>
      </w:rPr>
      <w:t>42</w:t>
    </w:r>
    <w:r>
      <w:rPr>
        <w:rFonts w:ascii="Palatino Linotype" w:hAnsi="Palatino Linotype"/>
        <w:bCs/>
        <w:noProof/>
        <w:sz w:val="20"/>
      </w:rPr>
      <w:fldChar w:fldCharType="end"/>
    </w:r>
  </w:p>
  <w:p w14:paraId="1DC90981" w14:textId="77777777" w:rsidR="001979B9" w:rsidRDefault="00197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A2C49" w14:textId="77777777" w:rsidR="004F3533" w:rsidRDefault="004F3533" w:rsidP="00BF3214">
      <w:pPr>
        <w:spacing w:after="0" w:line="240" w:lineRule="auto"/>
      </w:pPr>
      <w:r>
        <w:separator/>
      </w:r>
    </w:p>
  </w:footnote>
  <w:footnote w:type="continuationSeparator" w:id="0">
    <w:p w14:paraId="0F897A80" w14:textId="77777777" w:rsidR="004F3533" w:rsidRDefault="004F3533" w:rsidP="00BF3214">
      <w:pPr>
        <w:spacing w:after="0" w:line="240" w:lineRule="auto"/>
      </w:pPr>
      <w:r>
        <w:continuationSeparator/>
      </w:r>
    </w:p>
  </w:footnote>
  <w:footnote w:id="1">
    <w:p w14:paraId="708D3E85" w14:textId="77777777" w:rsidR="00DA57E0" w:rsidRPr="00416283" w:rsidRDefault="00DA57E0" w:rsidP="00DA57E0">
      <w:pPr>
        <w:pStyle w:val="Textonotapie"/>
        <w:rPr>
          <w:rFonts w:ascii="Calibri" w:hAnsi="Calibri" w:cs="Times New Roman"/>
          <w:color w:val="000000"/>
        </w:rPr>
      </w:pPr>
      <w:r>
        <w:rPr>
          <w:rStyle w:val="Refdenotaalpie"/>
        </w:rPr>
        <w:footnoteRef/>
      </w:r>
      <w:r>
        <w:t xml:space="preserve"> </w:t>
      </w:r>
      <w:r w:rsidRPr="00416283">
        <w:rPr>
          <w:bCs/>
          <w:color w:val="000000"/>
          <w:bdr w:val="none" w:sz="0" w:space="0" w:color="auto" w:frame="1"/>
          <w:shd w:val="clear" w:color="auto" w:fill="FFFFFF"/>
        </w:rPr>
        <w:t>OVALLE FAVELA, José,</w:t>
      </w:r>
      <w:r w:rsidRPr="00416283">
        <w:rPr>
          <w:rStyle w:val="apple-converted-space"/>
          <w:bCs/>
          <w:color w:val="000000"/>
          <w:bdr w:val="none" w:sz="0" w:space="0" w:color="auto" w:frame="1"/>
          <w:shd w:val="clear" w:color="auto" w:fill="FFFFFF"/>
        </w:rPr>
        <w:t xml:space="preserve"> “</w:t>
      </w:r>
      <w:r w:rsidRPr="00416283">
        <w:rPr>
          <w:bCs/>
          <w:i/>
          <w:iCs/>
          <w:color w:val="000000"/>
          <w:bdr w:val="none" w:sz="0" w:space="0" w:color="auto" w:frame="1"/>
          <w:shd w:val="clear" w:color="auto" w:fill="FFFFFF"/>
        </w:rPr>
        <w:t>Garantías constitucionales del proceso”</w:t>
      </w:r>
      <w:r w:rsidRPr="00416283">
        <w:rPr>
          <w:bCs/>
          <w:color w:val="000000"/>
          <w:bdr w:val="none" w:sz="0" w:space="0" w:color="auto" w:frame="1"/>
          <w:shd w:val="clear" w:color="auto" w:fill="FFFFFF"/>
        </w:rPr>
        <w:t>, 2a. ed., México, Oxford University Press, 2002, 474 pp.</w:t>
      </w:r>
    </w:p>
  </w:footnote>
  <w:footnote w:id="2">
    <w:p w14:paraId="75A4709F" w14:textId="77777777" w:rsidR="00DA57E0" w:rsidRDefault="00DA57E0" w:rsidP="00DA57E0">
      <w:pPr>
        <w:pStyle w:val="Textonotapie"/>
        <w:jc w:val="both"/>
        <w:rPr>
          <w:rFonts w:ascii="Calibri Light" w:hAnsi="Calibri Light"/>
          <w:lang w:val="es-ES"/>
        </w:rPr>
      </w:pPr>
      <w:r>
        <w:rPr>
          <w:rStyle w:val="Refdenotaalpie"/>
        </w:rPr>
        <w:footnoteRef/>
      </w:r>
      <w:r>
        <w:t xml:space="preserve"> </w:t>
      </w:r>
      <w:r>
        <w:rPr>
          <w:rFonts w:ascii="Calibri Light" w:hAnsi="Calibri Light"/>
          <w:lang w:val="es-ES"/>
        </w:rPr>
        <w:t>Tribunales Colegiados de Circuito. Novena Epoca. Semanario Judicial de la Federación y su Gaceta. Tomo III, marzo de 1996. Pág 769. Consultado en http://sjf.scjn.gob.mx/sjfsist/Documentos/Tesis/203/203143.pdf  el viernes 16 de junio de 2017.</w:t>
      </w:r>
    </w:p>
    <w:p w14:paraId="40816ACA" w14:textId="77777777" w:rsidR="00DA57E0" w:rsidRDefault="00DA57E0" w:rsidP="00DA57E0">
      <w:pPr>
        <w:pStyle w:val="Textonotapie"/>
        <w:rPr>
          <w:rFonts w:ascii="Calibri Light" w:hAnsi="Calibri Ligh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1979B9" w14:paraId="35E5EC0A" w14:textId="77777777" w:rsidTr="00035DB8">
      <w:trPr>
        <w:trHeight w:val="227"/>
      </w:trPr>
      <w:tc>
        <w:tcPr>
          <w:tcW w:w="6233" w:type="dxa"/>
          <w:hideMark/>
        </w:tcPr>
        <w:p w14:paraId="7BC472F9" w14:textId="77777777" w:rsidR="001979B9" w:rsidRDefault="001979B9"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86907DD" w:rsidR="001979B9" w:rsidRDefault="001979B9" w:rsidP="00100ADC">
          <w:pPr>
            <w:spacing w:after="120" w:line="256" w:lineRule="auto"/>
            <w:ind w:left="-486" w:right="214" w:firstLine="141"/>
            <w:jc w:val="right"/>
            <w:rPr>
              <w:rFonts w:ascii="Palatino Linotype" w:hAnsi="Palatino Linotype" w:cs="Arial"/>
              <w:szCs w:val="20"/>
            </w:rPr>
          </w:pPr>
          <w:r w:rsidRPr="000B4295">
            <w:rPr>
              <w:rFonts w:ascii="Palatino Linotype" w:hAnsi="Palatino Linotype" w:cs="Arial"/>
              <w:b/>
              <w:bCs/>
              <w:sz w:val="21"/>
              <w:szCs w:val="21"/>
              <w:lang w:eastAsia="es-MX"/>
            </w:rPr>
            <w:t>02135/INFOEM/IP/RR/2020</w:t>
          </w:r>
          <w:r>
            <w:rPr>
              <w:rFonts w:ascii="Palatino Linotype" w:hAnsi="Palatino Linotype" w:cs="Arial"/>
              <w:b/>
              <w:bCs/>
              <w:sz w:val="21"/>
              <w:szCs w:val="21"/>
              <w:lang w:eastAsia="es-MX"/>
            </w:rPr>
            <w:t xml:space="preserve"> y acumulado.</w:t>
          </w:r>
        </w:p>
      </w:tc>
    </w:tr>
    <w:tr w:rsidR="001979B9" w14:paraId="0482DFAC" w14:textId="77777777" w:rsidTr="00035DB8">
      <w:trPr>
        <w:trHeight w:val="242"/>
      </w:trPr>
      <w:tc>
        <w:tcPr>
          <w:tcW w:w="6233" w:type="dxa"/>
          <w:hideMark/>
        </w:tcPr>
        <w:p w14:paraId="509D07E9" w14:textId="77777777" w:rsidR="001979B9" w:rsidRDefault="001979B9"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4743B9E" w:rsidR="001979B9" w:rsidRDefault="001979B9" w:rsidP="00956E95">
          <w:pPr>
            <w:spacing w:after="120" w:line="256" w:lineRule="auto"/>
            <w:ind w:left="-486" w:right="214" w:firstLine="284"/>
            <w:jc w:val="right"/>
            <w:rPr>
              <w:rFonts w:ascii="Palatino Linotype" w:hAnsi="Palatino Linotype" w:cs="Arial"/>
              <w:szCs w:val="20"/>
            </w:rPr>
          </w:pPr>
          <w:r w:rsidRPr="000B4295">
            <w:rPr>
              <w:rFonts w:ascii="Palatino Linotype" w:hAnsi="Palatino Linotype" w:cs="Arial"/>
              <w:b/>
              <w:sz w:val="21"/>
              <w:szCs w:val="21"/>
            </w:rPr>
            <w:t>Ayuntamiento de Naucalpan de Juárez</w:t>
          </w:r>
        </w:p>
      </w:tc>
    </w:tr>
    <w:tr w:rsidR="001979B9" w14:paraId="7B7E63F5" w14:textId="77777777" w:rsidTr="00035DB8">
      <w:trPr>
        <w:trHeight w:val="342"/>
      </w:trPr>
      <w:tc>
        <w:tcPr>
          <w:tcW w:w="6233" w:type="dxa"/>
          <w:hideMark/>
        </w:tcPr>
        <w:p w14:paraId="2BCB7A44" w14:textId="77777777" w:rsidR="001979B9" w:rsidRDefault="001979B9"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979B9" w:rsidRPr="00035DB8" w:rsidRDefault="001979B9"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1979B9" w:rsidRDefault="001979B9"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1979B9" w:rsidRPr="00D26364" w14:paraId="25A37BB4" w14:textId="77777777" w:rsidTr="00035DB8">
      <w:trPr>
        <w:trHeight w:val="227"/>
      </w:trPr>
      <w:tc>
        <w:tcPr>
          <w:tcW w:w="6233" w:type="dxa"/>
          <w:hideMark/>
        </w:tcPr>
        <w:p w14:paraId="3B7407D3" w14:textId="77777777" w:rsidR="001979B9" w:rsidRPr="00D26364" w:rsidRDefault="001979B9"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526D025" w:rsidR="001979B9" w:rsidRPr="00D26364" w:rsidRDefault="001979B9" w:rsidP="00A32108">
          <w:pPr>
            <w:spacing w:after="120" w:line="256" w:lineRule="auto"/>
            <w:ind w:left="-486" w:right="72" w:firstLine="1416"/>
            <w:jc w:val="right"/>
            <w:rPr>
              <w:rFonts w:ascii="Palatino Linotype" w:hAnsi="Palatino Linotype" w:cs="Arial"/>
              <w:b/>
              <w:sz w:val="21"/>
              <w:szCs w:val="21"/>
            </w:rPr>
          </w:pPr>
          <w:r w:rsidRPr="000B4295">
            <w:rPr>
              <w:rFonts w:ascii="Palatino Linotype" w:hAnsi="Palatino Linotype" w:cs="Arial"/>
              <w:b/>
              <w:bCs/>
              <w:sz w:val="21"/>
              <w:szCs w:val="21"/>
              <w:lang w:eastAsia="es-MX"/>
            </w:rPr>
            <w:t>02135/INFOEM/IP/RR/2020</w:t>
          </w:r>
          <w:r>
            <w:rPr>
              <w:rFonts w:ascii="Palatino Linotype" w:hAnsi="Palatino Linotype" w:cs="Arial"/>
              <w:b/>
              <w:bCs/>
              <w:sz w:val="21"/>
              <w:szCs w:val="21"/>
              <w:lang w:eastAsia="es-MX"/>
            </w:rPr>
            <w:t xml:space="preserve"> y acumulado.</w:t>
          </w:r>
        </w:p>
      </w:tc>
    </w:tr>
    <w:tr w:rsidR="001979B9" w:rsidRPr="00D26364" w14:paraId="480BC2A1" w14:textId="77777777" w:rsidTr="00035DB8">
      <w:trPr>
        <w:trHeight w:val="242"/>
      </w:trPr>
      <w:tc>
        <w:tcPr>
          <w:tcW w:w="6233" w:type="dxa"/>
          <w:hideMark/>
        </w:tcPr>
        <w:p w14:paraId="0BCD7858" w14:textId="77777777" w:rsidR="001979B9" w:rsidRPr="00D26364" w:rsidRDefault="001979B9"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6DB2EE29" w:rsidR="001979B9" w:rsidRPr="00D26364" w:rsidRDefault="001979B9" w:rsidP="001067A3">
          <w:pPr>
            <w:spacing w:after="120" w:line="256" w:lineRule="auto"/>
            <w:ind w:left="-486" w:right="72" w:firstLine="284"/>
            <w:jc w:val="right"/>
            <w:rPr>
              <w:rFonts w:ascii="Palatino Linotype" w:hAnsi="Palatino Linotype" w:cs="Arial"/>
              <w:b/>
              <w:sz w:val="21"/>
              <w:szCs w:val="21"/>
            </w:rPr>
          </w:pPr>
          <w:r w:rsidRPr="000B4295">
            <w:rPr>
              <w:rFonts w:ascii="Palatino Linotype" w:hAnsi="Palatino Linotype" w:cs="Arial"/>
              <w:b/>
              <w:sz w:val="21"/>
              <w:szCs w:val="21"/>
            </w:rPr>
            <w:t>Ayuntamiento de Naucalpan de Juárez</w:t>
          </w:r>
        </w:p>
      </w:tc>
    </w:tr>
    <w:tr w:rsidR="001979B9" w:rsidRPr="00D26364" w14:paraId="60A059F9" w14:textId="77777777" w:rsidTr="00035DB8">
      <w:trPr>
        <w:trHeight w:val="342"/>
      </w:trPr>
      <w:tc>
        <w:tcPr>
          <w:tcW w:w="6233" w:type="dxa"/>
        </w:tcPr>
        <w:p w14:paraId="063683FE" w14:textId="77777777" w:rsidR="001979B9" w:rsidRPr="00D26364" w:rsidRDefault="001979B9"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338C9569" w:rsidR="001979B9" w:rsidRPr="00D26364" w:rsidRDefault="00AE2782"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XXXXXXXXXXX</w:t>
          </w:r>
        </w:p>
      </w:tc>
    </w:tr>
    <w:tr w:rsidR="001979B9" w:rsidRPr="00D26364" w14:paraId="7854C9FF" w14:textId="77777777" w:rsidTr="00035DB8">
      <w:trPr>
        <w:trHeight w:val="342"/>
      </w:trPr>
      <w:tc>
        <w:tcPr>
          <w:tcW w:w="6233" w:type="dxa"/>
        </w:tcPr>
        <w:p w14:paraId="02A89BC6" w14:textId="77777777" w:rsidR="001979B9" w:rsidRPr="00D26364" w:rsidRDefault="001979B9"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1979B9" w:rsidRPr="00D26364" w:rsidRDefault="001979B9"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1979B9" w:rsidRDefault="001979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408"/>
    <w:multiLevelType w:val="hybridMultilevel"/>
    <w:tmpl w:val="C69C09B4"/>
    <w:lvl w:ilvl="0" w:tplc="77B61596">
      <w:start w:val="1"/>
      <w:numFmt w:val="decimal"/>
      <w:lvlText w:val="%1."/>
      <w:lvlJc w:val="left"/>
      <w:pPr>
        <w:ind w:left="1211" w:hanging="360"/>
      </w:pPr>
      <w:rPr>
        <w:b w:val="0"/>
        <w:bCs w:val="0"/>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F237127"/>
    <w:multiLevelType w:val="hybridMultilevel"/>
    <w:tmpl w:val="0E74E2C2"/>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14B133B"/>
    <w:multiLevelType w:val="hybridMultilevel"/>
    <w:tmpl w:val="C69C09B4"/>
    <w:lvl w:ilvl="0" w:tplc="77B61596">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E6E11B7"/>
    <w:multiLevelType w:val="hybridMultilevel"/>
    <w:tmpl w:val="74928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F92378E"/>
    <w:multiLevelType w:val="hybridMultilevel"/>
    <w:tmpl w:val="D7C8C6DC"/>
    <w:lvl w:ilvl="0" w:tplc="080A0001">
      <w:start w:val="1"/>
      <w:numFmt w:val="bullet"/>
      <w:lvlText w:val=""/>
      <w:lvlJc w:val="left"/>
      <w:pPr>
        <w:ind w:left="783" w:hanging="360"/>
      </w:pPr>
      <w:rPr>
        <w:rFonts w:ascii="Symbol" w:hAnsi="Symbol"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0" w15:restartNumberingAfterBreak="0">
    <w:nsid w:val="687F14CE"/>
    <w:multiLevelType w:val="hybridMultilevel"/>
    <w:tmpl w:val="16F2B008"/>
    <w:lvl w:ilvl="0" w:tplc="AC907DD6">
      <w:start w:val="1"/>
      <w:numFmt w:val="upperRoman"/>
      <w:lvlText w:val="%1."/>
      <w:lvlJc w:val="left"/>
      <w:pPr>
        <w:ind w:left="1571" w:hanging="664"/>
      </w:pPr>
      <w:rPr>
        <w:rFonts w:hint="default"/>
      </w:rPr>
    </w:lvl>
    <w:lvl w:ilvl="1" w:tplc="080A0019">
      <w:start w:val="1"/>
      <w:numFmt w:val="lowerLetter"/>
      <w:lvlText w:val="%2."/>
      <w:lvlJc w:val="left"/>
      <w:pPr>
        <w:ind w:left="3752" w:hanging="360"/>
      </w:pPr>
    </w:lvl>
    <w:lvl w:ilvl="2" w:tplc="080A001B" w:tentative="1">
      <w:start w:val="1"/>
      <w:numFmt w:val="lowerRoman"/>
      <w:lvlText w:val="%3."/>
      <w:lvlJc w:val="right"/>
      <w:pPr>
        <w:ind w:left="4472" w:hanging="180"/>
      </w:pPr>
    </w:lvl>
    <w:lvl w:ilvl="3" w:tplc="080A000F" w:tentative="1">
      <w:start w:val="1"/>
      <w:numFmt w:val="decimal"/>
      <w:lvlText w:val="%4."/>
      <w:lvlJc w:val="left"/>
      <w:pPr>
        <w:ind w:left="5192" w:hanging="360"/>
      </w:pPr>
    </w:lvl>
    <w:lvl w:ilvl="4" w:tplc="080A0019" w:tentative="1">
      <w:start w:val="1"/>
      <w:numFmt w:val="lowerLetter"/>
      <w:lvlText w:val="%5."/>
      <w:lvlJc w:val="left"/>
      <w:pPr>
        <w:ind w:left="5912" w:hanging="360"/>
      </w:pPr>
    </w:lvl>
    <w:lvl w:ilvl="5" w:tplc="080A001B" w:tentative="1">
      <w:start w:val="1"/>
      <w:numFmt w:val="lowerRoman"/>
      <w:lvlText w:val="%6."/>
      <w:lvlJc w:val="right"/>
      <w:pPr>
        <w:ind w:left="6632" w:hanging="180"/>
      </w:pPr>
    </w:lvl>
    <w:lvl w:ilvl="6" w:tplc="080A000F" w:tentative="1">
      <w:start w:val="1"/>
      <w:numFmt w:val="decimal"/>
      <w:lvlText w:val="%7."/>
      <w:lvlJc w:val="left"/>
      <w:pPr>
        <w:ind w:left="7352" w:hanging="360"/>
      </w:pPr>
    </w:lvl>
    <w:lvl w:ilvl="7" w:tplc="080A0019" w:tentative="1">
      <w:start w:val="1"/>
      <w:numFmt w:val="lowerLetter"/>
      <w:lvlText w:val="%8."/>
      <w:lvlJc w:val="left"/>
      <w:pPr>
        <w:ind w:left="8072" w:hanging="360"/>
      </w:pPr>
    </w:lvl>
    <w:lvl w:ilvl="8" w:tplc="080A001B" w:tentative="1">
      <w:start w:val="1"/>
      <w:numFmt w:val="lowerRoman"/>
      <w:lvlText w:val="%9."/>
      <w:lvlJc w:val="right"/>
      <w:pPr>
        <w:ind w:left="8792" w:hanging="180"/>
      </w:pPr>
    </w:lvl>
  </w:abstractNum>
  <w:abstractNum w:abstractNumId="1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9"/>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4E9"/>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539"/>
    <w:rsid w:val="000B0794"/>
    <w:rsid w:val="000B14EB"/>
    <w:rsid w:val="000B1C70"/>
    <w:rsid w:val="000B249F"/>
    <w:rsid w:val="000B2630"/>
    <w:rsid w:val="000B2F5E"/>
    <w:rsid w:val="000B3967"/>
    <w:rsid w:val="000B4295"/>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A43"/>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AD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979B9"/>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27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258"/>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0DB1"/>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9C2"/>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9F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CD1"/>
    <w:rsid w:val="00306EFF"/>
    <w:rsid w:val="00307BC8"/>
    <w:rsid w:val="003106C2"/>
    <w:rsid w:val="003116CC"/>
    <w:rsid w:val="00311872"/>
    <w:rsid w:val="0031263C"/>
    <w:rsid w:val="00312C62"/>
    <w:rsid w:val="00313006"/>
    <w:rsid w:val="00313B2B"/>
    <w:rsid w:val="003147C8"/>
    <w:rsid w:val="003151AF"/>
    <w:rsid w:val="00315252"/>
    <w:rsid w:val="00315ED6"/>
    <w:rsid w:val="00321127"/>
    <w:rsid w:val="00321885"/>
    <w:rsid w:val="003226D7"/>
    <w:rsid w:val="003227E2"/>
    <w:rsid w:val="00323542"/>
    <w:rsid w:val="00323967"/>
    <w:rsid w:val="00323A1D"/>
    <w:rsid w:val="00323AC6"/>
    <w:rsid w:val="0032429F"/>
    <w:rsid w:val="003249B7"/>
    <w:rsid w:val="003260D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2E5E"/>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312"/>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3B89"/>
    <w:rsid w:val="00454560"/>
    <w:rsid w:val="004547AB"/>
    <w:rsid w:val="004568B2"/>
    <w:rsid w:val="00457643"/>
    <w:rsid w:val="0045764C"/>
    <w:rsid w:val="00461648"/>
    <w:rsid w:val="00461926"/>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728"/>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B6E"/>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1FD6"/>
    <w:rsid w:val="004E2207"/>
    <w:rsid w:val="004E26BE"/>
    <w:rsid w:val="004E33F1"/>
    <w:rsid w:val="004E3C70"/>
    <w:rsid w:val="004E47A4"/>
    <w:rsid w:val="004E53F0"/>
    <w:rsid w:val="004E608C"/>
    <w:rsid w:val="004E76C2"/>
    <w:rsid w:val="004F15DB"/>
    <w:rsid w:val="004F1AF6"/>
    <w:rsid w:val="004F2094"/>
    <w:rsid w:val="004F28A7"/>
    <w:rsid w:val="004F3533"/>
    <w:rsid w:val="004F3C5E"/>
    <w:rsid w:val="004F4510"/>
    <w:rsid w:val="004F4BE0"/>
    <w:rsid w:val="004F4C0A"/>
    <w:rsid w:val="004F532B"/>
    <w:rsid w:val="004F5D2C"/>
    <w:rsid w:val="00500108"/>
    <w:rsid w:val="0050081B"/>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14D3"/>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83D"/>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47EA"/>
    <w:rsid w:val="005B5E92"/>
    <w:rsid w:val="005B71C4"/>
    <w:rsid w:val="005B7211"/>
    <w:rsid w:val="005B7871"/>
    <w:rsid w:val="005C02D1"/>
    <w:rsid w:val="005C0603"/>
    <w:rsid w:val="005C0975"/>
    <w:rsid w:val="005C0F06"/>
    <w:rsid w:val="005C18E5"/>
    <w:rsid w:val="005C1D57"/>
    <w:rsid w:val="005C271B"/>
    <w:rsid w:val="005C3B32"/>
    <w:rsid w:val="005C44D9"/>
    <w:rsid w:val="005C5A31"/>
    <w:rsid w:val="005C5EDB"/>
    <w:rsid w:val="005C6575"/>
    <w:rsid w:val="005D2099"/>
    <w:rsid w:val="005D3C05"/>
    <w:rsid w:val="005D4036"/>
    <w:rsid w:val="005D4572"/>
    <w:rsid w:val="005D4AEE"/>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4B"/>
    <w:rsid w:val="005F5DEB"/>
    <w:rsid w:val="005F69E6"/>
    <w:rsid w:val="005F6F7A"/>
    <w:rsid w:val="005F7291"/>
    <w:rsid w:val="006000D9"/>
    <w:rsid w:val="0060098A"/>
    <w:rsid w:val="00601109"/>
    <w:rsid w:val="00601BA5"/>
    <w:rsid w:val="00602AB7"/>
    <w:rsid w:val="00602B1D"/>
    <w:rsid w:val="00602C7F"/>
    <w:rsid w:val="00603729"/>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14"/>
    <w:rsid w:val="00635FC9"/>
    <w:rsid w:val="00636B1C"/>
    <w:rsid w:val="00640AF3"/>
    <w:rsid w:val="0064293B"/>
    <w:rsid w:val="00642AEF"/>
    <w:rsid w:val="006433DC"/>
    <w:rsid w:val="00643626"/>
    <w:rsid w:val="0064489E"/>
    <w:rsid w:val="00646D4B"/>
    <w:rsid w:val="00646E52"/>
    <w:rsid w:val="006471E2"/>
    <w:rsid w:val="00647FB6"/>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018"/>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2701"/>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2E76"/>
    <w:rsid w:val="00753154"/>
    <w:rsid w:val="007533CF"/>
    <w:rsid w:val="00754C5F"/>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5FF8"/>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33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3A"/>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1AC3"/>
    <w:rsid w:val="008730CC"/>
    <w:rsid w:val="00873164"/>
    <w:rsid w:val="0087406C"/>
    <w:rsid w:val="00875C70"/>
    <w:rsid w:val="008765A9"/>
    <w:rsid w:val="0087680D"/>
    <w:rsid w:val="00876F59"/>
    <w:rsid w:val="00877602"/>
    <w:rsid w:val="0087774D"/>
    <w:rsid w:val="00880128"/>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92E"/>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2913"/>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29C"/>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DED"/>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4A"/>
    <w:rsid w:val="009F6F65"/>
    <w:rsid w:val="00A00432"/>
    <w:rsid w:val="00A02747"/>
    <w:rsid w:val="00A02C90"/>
    <w:rsid w:val="00A035A1"/>
    <w:rsid w:val="00A038B8"/>
    <w:rsid w:val="00A04DD8"/>
    <w:rsid w:val="00A05CFB"/>
    <w:rsid w:val="00A074B7"/>
    <w:rsid w:val="00A12093"/>
    <w:rsid w:val="00A1299F"/>
    <w:rsid w:val="00A1327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2598"/>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3E5"/>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2782"/>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4ACD"/>
    <w:rsid w:val="00B45895"/>
    <w:rsid w:val="00B460B4"/>
    <w:rsid w:val="00B46138"/>
    <w:rsid w:val="00B47BE3"/>
    <w:rsid w:val="00B47F50"/>
    <w:rsid w:val="00B5065D"/>
    <w:rsid w:val="00B52358"/>
    <w:rsid w:val="00B526FC"/>
    <w:rsid w:val="00B52C58"/>
    <w:rsid w:val="00B545DC"/>
    <w:rsid w:val="00B546AA"/>
    <w:rsid w:val="00B56931"/>
    <w:rsid w:val="00B5724B"/>
    <w:rsid w:val="00B57D5C"/>
    <w:rsid w:val="00B60EB7"/>
    <w:rsid w:val="00B61F63"/>
    <w:rsid w:val="00B62153"/>
    <w:rsid w:val="00B62165"/>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9C9"/>
    <w:rsid w:val="00B72CD9"/>
    <w:rsid w:val="00B74ED9"/>
    <w:rsid w:val="00B75470"/>
    <w:rsid w:val="00B7625A"/>
    <w:rsid w:val="00B76C08"/>
    <w:rsid w:val="00B76FDE"/>
    <w:rsid w:val="00B77ACE"/>
    <w:rsid w:val="00B81C88"/>
    <w:rsid w:val="00B8231A"/>
    <w:rsid w:val="00B82414"/>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024"/>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87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7A2"/>
    <w:rsid w:val="00C24DBB"/>
    <w:rsid w:val="00C25019"/>
    <w:rsid w:val="00C25ED8"/>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67"/>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261"/>
    <w:rsid w:val="00C934AF"/>
    <w:rsid w:val="00C9394F"/>
    <w:rsid w:val="00C93AC5"/>
    <w:rsid w:val="00C94112"/>
    <w:rsid w:val="00C9478E"/>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3AA"/>
    <w:rsid w:val="00CB468C"/>
    <w:rsid w:val="00CB7299"/>
    <w:rsid w:val="00CB799A"/>
    <w:rsid w:val="00CC1CAB"/>
    <w:rsid w:val="00CC22E9"/>
    <w:rsid w:val="00CC237B"/>
    <w:rsid w:val="00CC2623"/>
    <w:rsid w:val="00CC3135"/>
    <w:rsid w:val="00CC3DA4"/>
    <w:rsid w:val="00CC426F"/>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4EF9"/>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57E0"/>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71B"/>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DF7"/>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96D08"/>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UnresolvedMention">
    <w:name w:val="Unresolved Mention"/>
    <w:basedOn w:val="Fuentedeprrafopredeter"/>
    <w:uiPriority w:val="99"/>
    <w:semiHidden/>
    <w:unhideWhenUsed/>
    <w:rsid w:val="00B57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aucalpan@itaipem.org.mx" TargetMode="External"/><Relationship Id="rId18" Type="http://schemas.openxmlformats.org/officeDocument/2006/relationships/hyperlink" Target="mailto:naucalpan@itaipem.org.m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naucalpan@itaipem.org.mx" TargetMode="External"/><Relationship Id="rId2" Type="http://schemas.openxmlformats.org/officeDocument/2006/relationships/numbering" Target="numbering.xml"/><Relationship Id="rId16" Type="http://schemas.openxmlformats.org/officeDocument/2006/relationships/hyperlink" Target="mailto:naaucalpan@itaipem.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aucalpan@itaipem.org.mx" TargetMode="External"/><Relationship Id="rId23" Type="http://schemas.openxmlformats.org/officeDocument/2006/relationships/fontTable" Target="fontTable.xml"/><Relationship Id="rId10" Type="http://schemas.openxmlformats.org/officeDocument/2006/relationships/hyperlink" Target="javascript:AbrirModal(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1FB2-CF73-4B46-8BA7-DC8A5DEF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9792</Words>
  <Characters>53861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2019-08-29T15:35:00Z</cp:lastPrinted>
  <dcterms:created xsi:type="dcterms:W3CDTF">2020-09-30T21:32:00Z</dcterms:created>
  <dcterms:modified xsi:type="dcterms:W3CDTF">2020-09-30T21:32:00Z</dcterms:modified>
</cp:coreProperties>
</file>