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5F1" w:rsidRPr="00873442" w:rsidRDefault="00BF1C6A">
      <w:pPr>
        <w:spacing w:beforeAutospacing="1" w:afterAutospacing="1" w:line="360" w:lineRule="auto"/>
        <w:jc w:val="both"/>
        <w:rPr>
          <w:rFonts w:ascii="Palatino Linotype" w:hAnsi="Palatino Linotype"/>
        </w:rPr>
      </w:pPr>
      <w:r>
        <w:rPr>
          <w:rFonts w:ascii="Palatino Linotype" w:hAnsi="Palatino Linotype"/>
        </w:rPr>
        <w:t xml:space="preserve">Resolución del Pleno del Instituto de Transparencia, Acceso a la Información Pública y Protección de Datos Personales del Estado de México y Municipios, con domicilio en </w:t>
      </w:r>
      <w:r w:rsidRPr="00873442">
        <w:rPr>
          <w:rFonts w:ascii="Palatino Linotype" w:hAnsi="Palatino Linotype"/>
        </w:rPr>
        <w:t>Metepec, Estado de México, de fecha veintiséis de agosto de dos mil veinte.</w:t>
      </w:r>
    </w:p>
    <w:p w:rsidR="00D935F1" w:rsidRPr="00873442" w:rsidRDefault="00BF1C6A">
      <w:pPr>
        <w:spacing w:beforeAutospacing="1" w:afterAutospacing="1" w:line="360" w:lineRule="auto"/>
        <w:jc w:val="both"/>
        <w:rPr>
          <w:rFonts w:ascii="Palatino Linotype" w:hAnsi="Palatino Linotype"/>
        </w:rPr>
      </w:pPr>
      <w:r w:rsidRPr="00873442">
        <w:rPr>
          <w:rFonts w:ascii="Palatino Linotype" w:hAnsi="Palatino Linotype"/>
          <w:b/>
        </w:rPr>
        <w:t>VISTOS</w:t>
      </w:r>
      <w:r w:rsidRPr="00873442">
        <w:rPr>
          <w:rFonts w:ascii="Palatino Linotype" w:hAnsi="Palatino Linotype"/>
        </w:rPr>
        <w:t xml:space="preserve"> los expedientes formados con motivo de los recursos de revisión</w:t>
      </w:r>
      <w:r w:rsidRPr="00873442">
        <w:rPr>
          <w:rFonts w:ascii="Verdana" w:hAnsi="Verdana"/>
          <w:b/>
          <w:bCs/>
          <w:color w:val="FF0000"/>
        </w:rPr>
        <w:t xml:space="preserve"> </w:t>
      </w:r>
      <w:r w:rsidRPr="00873442">
        <w:rPr>
          <w:rFonts w:ascii="Palatino Linotype" w:hAnsi="Palatino Linotype"/>
          <w:b/>
          <w:bCs/>
        </w:rPr>
        <w:t xml:space="preserve">01312/INFOEM/IP/RR/2020 </w:t>
      </w:r>
      <w:r w:rsidRPr="00873442">
        <w:rPr>
          <w:rFonts w:ascii="Palatino Linotype" w:hAnsi="Palatino Linotype"/>
          <w:bCs/>
        </w:rPr>
        <w:t xml:space="preserve">y </w:t>
      </w:r>
      <w:r w:rsidRPr="00873442">
        <w:rPr>
          <w:rFonts w:ascii="Palatino Linotype" w:hAnsi="Palatino Linotype"/>
          <w:b/>
          <w:bCs/>
        </w:rPr>
        <w:t>01607/INFOEM/IP/RR/2020 acumulados</w:t>
      </w:r>
      <w:r w:rsidRPr="00873442">
        <w:rPr>
          <w:rFonts w:ascii="Palatino Linotype" w:hAnsi="Palatino Linotype"/>
        </w:rPr>
        <w:t>, promovido por el C.</w:t>
      </w:r>
      <w:r w:rsidR="00873442" w:rsidRPr="00873442">
        <w:rPr>
          <w:rFonts w:ascii="Palatino Linotype" w:hAnsi="Palatino Linotype"/>
          <w:b/>
          <w:lang w:val="es-ES_tradnl"/>
        </w:rPr>
        <w:t xml:space="preserve"> </w:t>
      </w:r>
      <w:r w:rsidR="00873442" w:rsidRPr="00873442">
        <w:rPr>
          <w:rFonts w:ascii="Palatino Linotype" w:hAnsi="Palatino Linotype"/>
          <w:b/>
          <w:lang w:val="es-ES_tradnl"/>
        </w:rPr>
        <w:t>Xxxxx Xxxx Xx</w:t>
      </w:r>
      <w:r w:rsidRPr="00873442">
        <w:rPr>
          <w:rFonts w:ascii="Palatino Linotype" w:hAnsi="Palatino Linotype"/>
        </w:rPr>
        <w:t>,</w:t>
      </w:r>
      <w:r w:rsidRPr="00873442">
        <w:rPr>
          <w:rFonts w:ascii="Palatino Linotype" w:hAnsi="Palatino Linotype" w:cs="Arial"/>
        </w:rPr>
        <w:t xml:space="preserve"> en lo sucesivo</w:t>
      </w:r>
      <w:r w:rsidRPr="00873442">
        <w:rPr>
          <w:rFonts w:ascii="Palatino Linotype" w:hAnsi="Palatino Linotype" w:cs="Arial"/>
          <w:b/>
        </w:rPr>
        <w:t xml:space="preserve"> EL RECURRENTE</w:t>
      </w:r>
      <w:r w:rsidRPr="00873442">
        <w:rPr>
          <w:rFonts w:ascii="Palatino Linotype" w:hAnsi="Palatino Linotype"/>
        </w:rPr>
        <w:t>, en contra de las respuestas emitidas por el</w:t>
      </w:r>
      <w:r w:rsidRPr="00873442">
        <w:rPr>
          <w:rFonts w:ascii="Palatino Linotype" w:hAnsi="Palatino Linotype"/>
          <w:b/>
        </w:rPr>
        <w:t xml:space="preserve"> Ayuntamiento de Ocoyoacac</w:t>
      </w:r>
      <w:r w:rsidRPr="00873442">
        <w:rPr>
          <w:rFonts w:ascii="Palatino Linotype" w:hAnsi="Palatino Linotype"/>
        </w:rPr>
        <w:t xml:space="preserve">, en lo sucesivo </w:t>
      </w:r>
      <w:r w:rsidRPr="00873442">
        <w:rPr>
          <w:rFonts w:ascii="Palatino Linotype" w:hAnsi="Palatino Linotype"/>
          <w:b/>
        </w:rPr>
        <w:t>EL SUJETO OBLIGADO</w:t>
      </w:r>
      <w:r w:rsidRPr="00873442">
        <w:rPr>
          <w:rFonts w:ascii="Palatino Linotype" w:hAnsi="Palatino Linotype"/>
        </w:rPr>
        <w:t xml:space="preserve">, se procede a dictar la presente resolución con base en lo siguiente: </w:t>
      </w:r>
    </w:p>
    <w:p w:rsidR="00D935F1" w:rsidRDefault="00BF1C6A">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D935F1" w:rsidRDefault="00BF1C6A">
      <w:pPr>
        <w:numPr>
          <w:ilvl w:val="0"/>
          <w:numId w:val="1"/>
        </w:numPr>
        <w:tabs>
          <w:tab w:val="left" w:pos="284"/>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fechas</w:t>
      </w:r>
      <w:r>
        <w:rPr>
          <w:rFonts w:ascii="Palatino Linotype" w:hAnsi="Palatino Linotype"/>
        </w:rPr>
        <w:t xml:space="preserve"> treinta de enero y diez de febrero de dos mil veinte, </w:t>
      </w:r>
      <w:r>
        <w:rPr>
          <w:rFonts w:ascii="Palatino Linotype" w:hAnsi="Palatino Linotype" w:cs="Arial"/>
          <w:b/>
        </w:rPr>
        <w:t>EL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las solicitudes de acceso a la información pública, a las que se le asignó los números</w:t>
      </w:r>
      <w:r>
        <w:rPr>
          <w:rFonts w:ascii="Palatino Linotype" w:hAnsi="Palatino Linotype"/>
          <w:b/>
          <w:bCs/>
        </w:rPr>
        <w:t xml:space="preserve"> 00030/OCOYOAC/IP/2020 </w:t>
      </w:r>
      <w:r>
        <w:rPr>
          <w:rFonts w:ascii="Palatino Linotype" w:hAnsi="Palatino Linotype"/>
          <w:bCs/>
        </w:rPr>
        <w:t>y</w:t>
      </w:r>
      <w:r>
        <w:rPr>
          <w:rFonts w:ascii="Palatino Linotype" w:hAnsi="Palatino Linotype"/>
          <w:b/>
          <w:bCs/>
        </w:rPr>
        <w:t xml:space="preserve"> 00054/OCOYOAC/IP/2020</w:t>
      </w:r>
      <w:r>
        <w:rPr>
          <w:rFonts w:ascii="Palatino Linotype" w:hAnsi="Palatino Linotype"/>
        </w:rPr>
        <w:t>, mediante la cual requirió lo siguiente:</w:t>
      </w:r>
    </w:p>
    <w:p w:rsidR="00D935F1" w:rsidRDefault="00BF1C6A">
      <w:pPr>
        <w:tabs>
          <w:tab w:val="left" w:pos="284"/>
        </w:tabs>
        <w:spacing w:beforeAutospacing="1" w:afterAutospacing="1" w:line="360" w:lineRule="auto"/>
        <w:jc w:val="both"/>
        <w:rPr>
          <w:rFonts w:ascii="Palatino Linotype" w:hAnsi="Palatino Linotype" w:cs="Arial"/>
        </w:rPr>
      </w:pPr>
      <w:r>
        <w:rPr>
          <w:rFonts w:ascii="Palatino Linotype" w:hAnsi="Palatino Linotype"/>
          <w:b/>
          <w:bCs/>
        </w:rPr>
        <w:t>00030/OCOYOAC/IP/2020</w:t>
      </w:r>
    </w:p>
    <w:p w:rsidR="00D935F1" w:rsidRDefault="00BF1C6A">
      <w:pPr>
        <w:spacing w:beforeAutospacing="1" w:afterAutospacing="1"/>
        <w:ind w:left="709" w:right="709"/>
        <w:jc w:val="both"/>
        <w:rPr>
          <w:rFonts w:ascii="Palatino Linotype" w:hAnsi="Palatino Linotype"/>
          <w:sz w:val="22"/>
          <w:szCs w:val="22"/>
        </w:rPr>
      </w:pPr>
      <w:r>
        <w:rPr>
          <w:rFonts w:ascii="Palatino Linotype" w:hAnsi="Palatino Linotype" w:cs="Arial"/>
          <w:i/>
          <w:sz w:val="22"/>
          <w:szCs w:val="22"/>
        </w:rPr>
        <w:t xml:space="preserve">“TODAS LAS ACTAS DE ENTREGA RECEPCIÓN CELEBRADAS POR EL AYUNTAMIENTO EN EL AÑO 2018, 2019 Y 2020.” </w:t>
      </w:r>
      <w:r>
        <w:rPr>
          <w:rFonts w:ascii="Palatino Linotype" w:hAnsi="Palatino Linotype"/>
          <w:sz w:val="22"/>
          <w:szCs w:val="22"/>
        </w:rPr>
        <w:t>(Sic)</w:t>
      </w:r>
      <w:bookmarkStart w:id="0" w:name="_Ref516764469"/>
      <w:bookmarkStart w:id="1" w:name="_Ref531692384"/>
    </w:p>
    <w:p w:rsidR="00D935F1" w:rsidRDefault="00BF1C6A">
      <w:pPr>
        <w:spacing w:beforeAutospacing="1" w:afterAutospacing="1"/>
        <w:ind w:right="709"/>
        <w:jc w:val="both"/>
        <w:rPr>
          <w:rFonts w:ascii="Palatino Linotype" w:hAnsi="Palatino Linotype"/>
          <w:sz w:val="22"/>
          <w:szCs w:val="22"/>
        </w:rPr>
      </w:pPr>
      <w:r>
        <w:rPr>
          <w:rFonts w:ascii="Palatino Linotype" w:hAnsi="Palatino Linotype"/>
          <w:b/>
          <w:bCs/>
        </w:rPr>
        <w:t>00054/OCOYOAC/IP/2020</w:t>
      </w:r>
    </w:p>
    <w:p w:rsidR="00D935F1" w:rsidRDefault="00BF1C6A">
      <w:pPr>
        <w:spacing w:beforeAutospacing="1" w:afterAutospacing="1"/>
        <w:ind w:left="709" w:right="709"/>
        <w:jc w:val="both"/>
        <w:rPr>
          <w:rFonts w:ascii="Palatino Linotype" w:hAnsi="Palatino Linotype"/>
          <w:sz w:val="22"/>
          <w:szCs w:val="22"/>
        </w:rPr>
      </w:pPr>
      <w:r>
        <w:rPr>
          <w:rFonts w:ascii="Palatino Linotype" w:hAnsi="Palatino Linotype"/>
          <w:i/>
          <w:sz w:val="22"/>
          <w:szCs w:val="22"/>
        </w:rPr>
        <w:lastRenderedPageBreak/>
        <w:t>“SOLICITO TODAS LAS ACTAS ENTREGA RECEPCIÓN QUE REALIZO EL AYUNTAMIENTO EN LOS AÑOS 2014, 2015, 2016, 2017, 2018 Y 2019. RESPETUOSAMENTE</w:t>
      </w:r>
      <w:r>
        <w:rPr>
          <w:rFonts w:ascii="Palatino Linotype" w:hAnsi="Palatino Linotype"/>
          <w:sz w:val="22"/>
          <w:szCs w:val="22"/>
        </w:rPr>
        <w:t>” (Sic)</w:t>
      </w:r>
    </w:p>
    <w:p w:rsidR="00D935F1" w:rsidRDefault="00BF1C6A">
      <w:pPr>
        <w:spacing w:before="160" w:after="160"/>
        <w:ind w:right="709"/>
        <w:jc w:val="both"/>
        <w:rPr>
          <w:rFonts w:ascii="Palatino Linotype" w:hAnsi="Palatino Linotype"/>
        </w:rPr>
      </w:pPr>
      <w:r>
        <w:rPr>
          <w:rFonts w:ascii="Palatino Linotype" w:hAnsi="Palatino Linotype"/>
          <w:b/>
        </w:rPr>
        <w:t>Modalidad de entrega:</w:t>
      </w:r>
      <w:r>
        <w:rPr>
          <w:rFonts w:ascii="Palatino Linotype" w:hAnsi="Palatino Linotype"/>
          <w:sz w:val="22"/>
          <w:szCs w:val="22"/>
        </w:rPr>
        <w:t xml:space="preserve"> </w:t>
      </w:r>
      <w:r>
        <w:rPr>
          <w:rFonts w:ascii="Palatino Linotype" w:hAnsi="Palatino Linotype"/>
        </w:rPr>
        <w:t xml:space="preserve">Vía </w:t>
      </w:r>
      <w:bookmarkEnd w:id="0"/>
      <w:bookmarkEnd w:id="1"/>
      <w:r>
        <w:rPr>
          <w:rFonts w:ascii="Palatino Linotype" w:hAnsi="Palatino Linotype"/>
        </w:rPr>
        <w:t>SAIMEX</w:t>
      </w:r>
    </w:p>
    <w:p w:rsidR="00D935F1" w:rsidRDefault="00D935F1">
      <w:pPr>
        <w:tabs>
          <w:tab w:val="left" w:pos="709"/>
        </w:tabs>
        <w:spacing w:line="360" w:lineRule="auto"/>
        <w:jc w:val="both"/>
        <w:rPr>
          <w:rFonts w:ascii="Palatino Linotype" w:hAnsi="Palatino Linotype" w:cs="Arial"/>
        </w:rPr>
      </w:pPr>
    </w:p>
    <w:p w:rsidR="00D935F1" w:rsidRDefault="00BF1C6A">
      <w:pPr>
        <w:numPr>
          <w:ilvl w:val="0"/>
          <w:numId w:val="1"/>
        </w:numPr>
        <w:tabs>
          <w:tab w:val="left" w:pos="0"/>
          <w:tab w:val="left" w:pos="426"/>
        </w:tabs>
        <w:spacing w:line="360" w:lineRule="auto"/>
        <w:ind w:left="0" w:firstLine="0"/>
        <w:jc w:val="both"/>
        <w:rPr>
          <w:rFonts w:ascii="Palatino Linotype" w:hAnsi="Palatino Linotype" w:cs="Arial"/>
        </w:rPr>
      </w:pPr>
      <w:r>
        <w:rPr>
          <w:rFonts w:ascii="Palatino Linotype" w:hAnsi="Palatino Linotype" w:cs="Arial"/>
        </w:rPr>
        <w:t xml:space="preserve">En cumplimiento al artículo 162 de la Ley de Transparencia y Acceso a la Información Pública del Estado de México y Municipios, en fechas treinta de enero y dieciséis de febrero de dos mil veinte, el Titular de la Unidad de Transparencia del </w:t>
      </w:r>
      <w:r>
        <w:rPr>
          <w:rFonts w:ascii="Palatino Linotype" w:hAnsi="Palatino Linotype" w:cs="Arial"/>
          <w:b/>
        </w:rPr>
        <w:t>SUJETO OBLIGADO</w:t>
      </w:r>
      <w:r>
        <w:rPr>
          <w:rFonts w:ascii="Palatino Linotype" w:hAnsi="Palatino Linotype" w:cs="Arial"/>
        </w:rPr>
        <w:t>, mediantes los folios números</w:t>
      </w:r>
      <w:r>
        <w:rPr>
          <w:rFonts w:ascii="Arial" w:hAnsi="Arial" w:cs="Arial"/>
          <w:b/>
          <w:bCs/>
          <w:color w:val="333333"/>
          <w:sz w:val="12"/>
          <w:szCs w:val="12"/>
          <w:shd w:val="clear" w:color="auto" w:fill="F7F7F8"/>
        </w:rPr>
        <w:t xml:space="preserve"> </w:t>
      </w:r>
      <w:r>
        <w:rPr>
          <w:rFonts w:ascii="Palatino Linotype" w:hAnsi="Palatino Linotype" w:cs="Arial"/>
          <w:b/>
          <w:bCs/>
        </w:rPr>
        <w:t xml:space="preserve">00030/OCOYOAC/IP/2020/TSP/0001 </w:t>
      </w:r>
      <w:r>
        <w:rPr>
          <w:rFonts w:ascii="Palatino Linotype" w:hAnsi="Palatino Linotype" w:cs="Arial"/>
          <w:bCs/>
        </w:rPr>
        <w:t xml:space="preserve">y </w:t>
      </w:r>
      <w:r>
        <w:rPr>
          <w:rFonts w:ascii="Palatino Linotype" w:hAnsi="Palatino Linotype" w:cs="Arial"/>
          <w:b/>
          <w:bCs/>
        </w:rPr>
        <w:t xml:space="preserve">00054/OCOYOAC/IP/2020/TSP/0001, </w:t>
      </w:r>
      <w:r>
        <w:rPr>
          <w:rFonts w:ascii="Palatino Linotype" w:hAnsi="Palatino Linotype"/>
          <w:bCs/>
        </w:rPr>
        <w:t>turnó los requerimientos de información a la Servidora Pública Habilitada de la Contraloría Interna Municipal, a fin de colmar las solicitudes de acceso a la información, sin embargo no dio respuestas a dichos turnos en los expediente electrónicos del SAIMEX; tal y como, se aprecia en las imágenes siguientes:</w:t>
      </w:r>
    </w:p>
    <w:p w:rsidR="00D935F1" w:rsidRDefault="00BF1C6A">
      <w:pPr>
        <w:tabs>
          <w:tab w:val="left" w:pos="709"/>
        </w:tabs>
        <w:spacing w:line="360" w:lineRule="auto"/>
        <w:jc w:val="both"/>
        <w:rPr>
          <w:rFonts w:ascii="Palatino Linotype" w:hAnsi="Palatino Linotype" w:cs="Arial"/>
        </w:rPr>
      </w:pPr>
      <w:r>
        <w:rPr>
          <w:noProof/>
          <w:lang w:eastAsia="es-MX"/>
        </w:rPr>
        <w:drawing>
          <wp:inline distT="0" distB="0" distL="0" distR="0">
            <wp:extent cx="5895975" cy="8070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8"/>
                    <a:srcRect l="3189" t="31708" r="7013" b="60182"/>
                    <a:stretch>
                      <a:fillRect/>
                    </a:stretch>
                  </pic:blipFill>
                  <pic:spPr bwMode="auto">
                    <a:xfrm>
                      <a:off x="0" y="0"/>
                      <a:ext cx="5895975" cy="807085"/>
                    </a:xfrm>
                    <a:prstGeom prst="rect">
                      <a:avLst/>
                    </a:prstGeom>
                  </pic:spPr>
                </pic:pic>
              </a:graphicData>
            </a:graphic>
          </wp:inline>
        </w:drawing>
      </w:r>
    </w:p>
    <w:p w:rsidR="00D935F1" w:rsidRDefault="00BF1C6A">
      <w:pPr>
        <w:tabs>
          <w:tab w:val="left" w:pos="709"/>
        </w:tabs>
        <w:spacing w:line="360" w:lineRule="auto"/>
        <w:jc w:val="both"/>
        <w:rPr>
          <w:rFonts w:ascii="Palatino Linotype" w:hAnsi="Palatino Linotype" w:cs="Arial"/>
        </w:rPr>
      </w:pPr>
      <w:r>
        <w:rPr>
          <w:noProof/>
          <w:lang w:eastAsia="es-MX"/>
        </w:rPr>
        <w:drawing>
          <wp:inline distT="0" distB="0" distL="0" distR="0">
            <wp:extent cx="5876925" cy="904875"/>
            <wp:effectExtent l="0" t="0" r="0" b="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5"/>
                    <pic:cNvPicPr>
                      <a:picLocks noChangeAspect="1" noChangeArrowheads="1"/>
                    </pic:cNvPicPr>
                  </pic:nvPicPr>
                  <pic:blipFill>
                    <a:blip r:embed="rId9"/>
                    <a:srcRect l="7899" t="31590" r="6264" b="58578"/>
                    <a:stretch>
                      <a:fillRect/>
                    </a:stretch>
                  </pic:blipFill>
                  <pic:spPr bwMode="auto">
                    <a:xfrm>
                      <a:off x="0" y="0"/>
                      <a:ext cx="5876925" cy="904875"/>
                    </a:xfrm>
                    <a:prstGeom prst="rect">
                      <a:avLst/>
                    </a:prstGeom>
                  </pic:spPr>
                </pic:pic>
              </a:graphicData>
            </a:graphic>
          </wp:inline>
        </w:drawing>
      </w:r>
    </w:p>
    <w:p w:rsidR="00D935F1" w:rsidRDefault="00BF1C6A">
      <w:pPr>
        <w:numPr>
          <w:ilvl w:val="0"/>
          <w:numId w:val="1"/>
        </w:numPr>
        <w:tabs>
          <w:tab w:val="left" w:pos="567"/>
        </w:tabs>
        <w:spacing w:line="360" w:lineRule="auto"/>
        <w:ind w:left="0" w:firstLine="0"/>
        <w:jc w:val="both"/>
        <w:rPr>
          <w:rFonts w:ascii="Palatino Linotype" w:hAnsi="Palatino Linotype" w:cs="Arial"/>
        </w:rPr>
      </w:pP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fechas veintiuno de febrero y cuatro de marzo de dos mil veinte, </w:t>
      </w:r>
      <w:r>
        <w:rPr>
          <w:rFonts w:ascii="Palatino Linotype" w:hAnsi="Palatino Linotype" w:cs="Arial"/>
          <w:lang w:val="es-ES_tradnl"/>
        </w:rPr>
        <w:t>el Titular de la Unidad de Transparencia del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respuestas a la solicitudes de información, en los siguientes términos:</w:t>
      </w:r>
    </w:p>
    <w:p w:rsidR="00D935F1" w:rsidRDefault="00BF1C6A">
      <w:pPr>
        <w:tabs>
          <w:tab w:val="left" w:pos="567"/>
        </w:tabs>
        <w:spacing w:line="360" w:lineRule="auto"/>
        <w:jc w:val="both"/>
        <w:rPr>
          <w:rFonts w:ascii="Palatino Linotype" w:hAnsi="Palatino Linotype" w:cs="Arial"/>
        </w:rPr>
      </w:pPr>
      <w:r>
        <w:rPr>
          <w:rFonts w:ascii="Palatino Linotype" w:hAnsi="Palatino Linotype"/>
          <w:b/>
          <w:bCs/>
        </w:rPr>
        <w:lastRenderedPageBreak/>
        <w:t xml:space="preserve">00030/OCOYOAC/IP/2020 </w:t>
      </w:r>
    </w:p>
    <w:p w:rsidR="00D935F1" w:rsidRDefault="00D935F1">
      <w:pPr>
        <w:ind w:left="851" w:right="899"/>
        <w:jc w:val="both"/>
        <w:rPr>
          <w:rFonts w:ascii="Palatino Linotype" w:hAnsi="Palatino Linotype" w:cs="Arial"/>
          <w:i/>
          <w:sz w:val="22"/>
          <w:szCs w:val="22"/>
        </w:rPr>
      </w:pPr>
    </w:p>
    <w:p w:rsidR="00D935F1" w:rsidRDefault="00BF1C6A">
      <w:pPr>
        <w:ind w:left="851" w:right="899"/>
        <w:jc w:val="both"/>
        <w:rPr>
          <w:rFonts w:ascii="Palatino Linotype" w:hAnsi="Palatino Linotype" w:cs="Arial"/>
          <w:i/>
          <w:sz w:val="22"/>
          <w:szCs w:val="22"/>
        </w:rPr>
      </w:pPr>
      <w:r>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935F1" w:rsidRDefault="00D935F1">
      <w:pPr>
        <w:ind w:left="851" w:right="899"/>
        <w:jc w:val="both"/>
        <w:rPr>
          <w:rFonts w:ascii="Palatino Linotype" w:hAnsi="Palatino Linotype" w:cs="Arial"/>
          <w:i/>
          <w:sz w:val="22"/>
          <w:szCs w:val="22"/>
        </w:rPr>
      </w:pPr>
    </w:p>
    <w:p w:rsidR="00D935F1" w:rsidRDefault="00BF1C6A">
      <w:pPr>
        <w:ind w:left="851" w:right="899"/>
        <w:jc w:val="both"/>
        <w:rPr>
          <w:rFonts w:ascii="Palatino Linotype" w:hAnsi="Palatino Linotype" w:cs="Arial"/>
          <w:i/>
          <w:sz w:val="22"/>
          <w:szCs w:val="22"/>
        </w:rPr>
      </w:pPr>
      <w:r>
        <w:rPr>
          <w:rFonts w:ascii="Palatino Linotype" w:hAnsi="Palatino Linotype" w:cs="Arial"/>
          <w:i/>
          <w:sz w:val="22"/>
          <w:szCs w:val="22"/>
        </w:rPr>
        <w:t>Se adjunta oficio de respuesta” (Sic)</w:t>
      </w:r>
    </w:p>
    <w:p w:rsidR="00D935F1" w:rsidRDefault="00D935F1">
      <w:pPr>
        <w:tabs>
          <w:tab w:val="left" w:pos="709"/>
        </w:tabs>
        <w:spacing w:line="360" w:lineRule="auto"/>
        <w:jc w:val="both"/>
        <w:rPr>
          <w:rFonts w:ascii="Palatino Linotype" w:hAnsi="Palatino Linotype" w:cs="Arial"/>
          <w:b/>
          <w:sz w:val="22"/>
          <w:szCs w:val="22"/>
        </w:rPr>
      </w:pPr>
    </w:p>
    <w:p w:rsidR="00D935F1" w:rsidRDefault="00BF1C6A">
      <w:pPr>
        <w:tabs>
          <w:tab w:val="left" w:pos="709"/>
        </w:tabs>
        <w:spacing w:line="360" w:lineRule="auto"/>
        <w:jc w:val="both"/>
        <w:rPr>
          <w:rFonts w:ascii="Palatino Linotype" w:hAnsi="Palatino Linotype" w:cs="Arial"/>
        </w:rPr>
      </w:pPr>
      <w:r>
        <w:rPr>
          <w:rFonts w:ascii="Palatino Linotype" w:hAnsi="Palatino Linotype" w:cs="Arial"/>
        </w:rPr>
        <w:t>Así mismo, adjuntó a la respuesta, los siguientes archivos electrónicos:</w:t>
      </w:r>
    </w:p>
    <w:p w:rsidR="00D935F1" w:rsidRDefault="00D935F1">
      <w:pPr>
        <w:tabs>
          <w:tab w:val="left" w:pos="709"/>
        </w:tabs>
        <w:spacing w:line="360" w:lineRule="auto"/>
        <w:jc w:val="both"/>
        <w:rPr>
          <w:rFonts w:ascii="Palatino Linotype" w:hAnsi="Palatino Linotype" w:cs="Arial"/>
        </w:rPr>
      </w:pPr>
    </w:p>
    <w:p w:rsidR="00D935F1" w:rsidRDefault="00BF1C6A">
      <w:pPr>
        <w:numPr>
          <w:ilvl w:val="0"/>
          <w:numId w:val="4"/>
        </w:numPr>
        <w:tabs>
          <w:tab w:val="left" w:pos="709"/>
        </w:tabs>
        <w:spacing w:line="360" w:lineRule="auto"/>
        <w:jc w:val="both"/>
        <w:rPr>
          <w:rFonts w:ascii="Palatino Linotype" w:hAnsi="Palatino Linotype" w:cs="Arial"/>
        </w:rPr>
      </w:pPr>
      <w:r>
        <w:rPr>
          <w:rFonts w:ascii="Palatino Linotype" w:hAnsi="Palatino Linotype" w:cs="Arial"/>
          <w:b/>
        </w:rPr>
        <w:t xml:space="preserve">ACTAS E-R 2018 2019 2020.pdf, </w:t>
      </w:r>
      <w:r>
        <w:rPr>
          <w:rFonts w:ascii="Palatino Linotype" w:hAnsi="Palatino Linotype" w:cs="Arial"/>
        </w:rPr>
        <w:t xml:space="preserve">consistente en las actas de entrega-recepción de los años 2018, 2019 y 2020 y sus anexos, constantes de dos mil doscientos noventa y dos fojas, en supuesta versión </w:t>
      </w:r>
      <w:r w:rsidR="00873442">
        <w:rPr>
          <w:rFonts w:ascii="Palatino Linotype" w:hAnsi="Palatino Linotype" w:cs="Arial"/>
        </w:rPr>
        <w:t>pública</w:t>
      </w:r>
      <w:r>
        <w:rPr>
          <w:rFonts w:ascii="Palatino Linotype" w:hAnsi="Palatino Linotype" w:cs="Arial"/>
        </w:rPr>
        <w:t xml:space="preserve">, de los cuales, se observa que </w:t>
      </w:r>
      <w:r>
        <w:rPr>
          <w:rFonts w:ascii="Palatino Linotype" w:hAnsi="Palatino Linotype" w:cs="Arial"/>
          <w:b/>
        </w:rPr>
        <w:t>EL SUJETO OBLIGADO</w:t>
      </w:r>
      <w:r>
        <w:rPr>
          <w:rFonts w:ascii="Palatino Linotype" w:hAnsi="Palatino Linotype" w:cs="Arial"/>
        </w:rPr>
        <w:t xml:space="preserve"> dejó a la vista datos personales susceptibles de ser considerados confidenciales, tales como el folio y código de identificación de la credencial de elector, domicilio particular, teléfono particular, RFC, CURP, huella dactilar, código postal, número de pasaporte, nombres de particulares, firma de particulares, fotografía de los testigos, números de pasaporte, número de serie de vehículos, numero de servicio y de medidor del servicio de energía eléctrica, datos de registro de acta de nacimiento, nacionalidad</w:t>
      </w:r>
      <w:r w:rsidR="00407EC3">
        <w:rPr>
          <w:rFonts w:ascii="Palatino Linotype" w:hAnsi="Palatino Linotype" w:cs="Arial"/>
        </w:rPr>
        <w:t xml:space="preserve"> de particulares</w:t>
      </w:r>
      <w:r>
        <w:rPr>
          <w:rFonts w:ascii="Palatino Linotype" w:hAnsi="Palatino Linotype" w:cs="Arial"/>
        </w:rPr>
        <w:t>, fecha de nacimiento, lugar de nacimiento y correos electrónicos.</w:t>
      </w:r>
    </w:p>
    <w:p w:rsidR="00D935F1" w:rsidRDefault="00D935F1">
      <w:pPr>
        <w:tabs>
          <w:tab w:val="left" w:pos="709"/>
        </w:tabs>
        <w:spacing w:line="360" w:lineRule="auto"/>
        <w:ind w:left="720"/>
        <w:jc w:val="both"/>
        <w:rPr>
          <w:rFonts w:ascii="Palatino Linotype" w:hAnsi="Palatino Linotype" w:cs="Arial"/>
          <w:sz w:val="22"/>
          <w:szCs w:val="22"/>
        </w:rPr>
      </w:pPr>
    </w:p>
    <w:p w:rsidR="00D935F1" w:rsidRDefault="00BF1C6A">
      <w:pPr>
        <w:numPr>
          <w:ilvl w:val="0"/>
          <w:numId w:val="4"/>
        </w:numPr>
        <w:tabs>
          <w:tab w:val="left" w:pos="709"/>
        </w:tabs>
        <w:spacing w:line="360" w:lineRule="auto"/>
        <w:jc w:val="both"/>
        <w:rPr>
          <w:rFonts w:ascii="Palatino Linotype" w:hAnsi="Palatino Linotype" w:cs="Arial"/>
          <w:b/>
        </w:rPr>
      </w:pPr>
      <w:r>
        <w:rPr>
          <w:rFonts w:ascii="Palatino Linotype" w:hAnsi="Palatino Linotype" w:cs="Arial"/>
          <w:b/>
        </w:rPr>
        <w:t>RESP_UTAI_00030.pdf</w:t>
      </w:r>
      <w:r>
        <w:rPr>
          <w:rFonts w:ascii="Palatino Linotype" w:hAnsi="Palatino Linotype" w:cs="Arial"/>
        </w:rPr>
        <w:t>,</w:t>
      </w:r>
      <w:r>
        <w:rPr>
          <w:rFonts w:ascii="Palatino Linotype" w:hAnsi="Palatino Linotype" w:cs="Arial"/>
          <w:sz w:val="22"/>
          <w:szCs w:val="22"/>
        </w:rPr>
        <w:t xml:space="preserve"> </w:t>
      </w:r>
      <w:r>
        <w:rPr>
          <w:rFonts w:ascii="Palatino Linotype" w:hAnsi="Palatino Linotype" w:cs="Arial"/>
        </w:rPr>
        <w:t xml:space="preserve">consistente en el oficio número </w:t>
      </w:r>
      <w:r>
        <w:rPr>
          <w:rFonts w:ascii="Palatino Linotype" w:hAnsi="Palatino Linotype" w:cs="Arial"/>
          <w:b/>
        </w:rPr>
        <w:t xml:space="preserve">OCO/UTAI/00l70/2020 </w:t>
      </w:r>
      <w:r>
        <w:rPr>
          <w:rFonts w:ascii="Palatino Linotype" w:hAnsi="Palatino Linotype" w:cs="Arial"/>
        </w:rPr>
        <w:t>de fecha veinte de febrero de dos mil veinte, signado por el Titular de la Unidad de Transparencia, mediante el cual informó que</w:t>
      </w:r>
      <w:r>
        <w:rPr>
          <w:rFonts w:ascii="Palatino Linotype" w:hAnsi="Palatino Linotype"/>
        </w:rPr>
        <w:t xml:space="preserve"> la información solicitada, contenía información privada, de la cual no se apreciaba meramente el ejercicio </w:t>
      </w:r>
      <w:r>
        <w:rPr>
          <w:rFonts w:ascii="Palatino Linotype" w:hAnsi="Palatino Linotype"/>
        </w:rPr>
        <w:lastRenderedPageBreak/>
        <w:t>de la función pública, refieren a información que atañen exclusivamente a una persona identificada o identificable, entre otros, por lo que, el Comité de Transparencia había confirmado la clasificación parcial de la información solicitada y la emisión de la versión pública, mismas que se adjuntaron a la respuesta; lo anterior, con fundamento en los artículos 52, 122, 132 fracción I, 133 y 137 de la Ley de Transparencia y Acceso a la Información Pública del Estado de México y Municipios y demás relativos y aplicables.</w:t>
      </w:r>
    </w:p>
    <w:p w:rsidR="00D935F1" w:rsidRDefault="00D935F1">
      <w:pPr>
        <w:pStyle w:val="Prrafodelista"/>
        <w:rPr>
          <w:rFonts w:ascii="Palatino Linotype" w:hAnsi="Palatino Linotype" w:cs="Arial"/>
          <w:b/>
        </w:rPr>
      </w:pPr>
    </w:p>
    <w:p w:rsidR="00D935F1" w:rsidRDefault="00BF1C6A">
      <w:pPr>
        <w:tabs>
          <w:tab w:val="left" w:pos="709"/>
        </w:tabs>
        <w:spacing w:line="360" w:lineRule="auto"/>
        <w:jc w:val="both"/>
        <w:rPr>
          <w:rFonts w:ascii="Palatino Linotype" w:hAnsi="Palatino Linotype"/>
          <w:b/>
          <w:bCs/>
        </w:rPr>
      </w:pPr>
      <w:r>
        <w:rPr>
          <w:rFonts w:ascii="Palatino Linotype" w:hAnsi="Palatino Linotype"/>
          <w:b/>
          <w:bCs/>
        </w:rPr>
        <w:t>00054/OCOYOAC/IP/2020</w:t>
      </w:r>
    </w:p>
    <w:p w:rsidR="00D935F1" w:rsidRDefault="00BF1C6A">
      <w:pPr>
        <w:ind w:left="851" w:right="899"/>
        <w:jc w:val="both"/>
        <w:rPr>
          <w:rFonts w:ascii="Palatino Linotype" w:hAnsi="Palatino Linotype" w:cs="Arial"/>
          <w:i/>
          <w:sz w:val="22"/>
          <w:szCs w:val="22"/>
        </w:rPr>
      </w:pPr>
      <w:r>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935F1" w:rsidRDefault="00D935F1">
      <w:pPr>
        <w:ind w:left="851" w:right="899"/>
        <w:jc w:val="both"/>
        <w:rPr>
          <w:rFonts w:ascii="Palatino Linotype" w:hAnsi="Palatino Linotype" w:cs="Arial"/>
          <w:i/>
          <w:sz w:val="22"/>
          <w:szCs w:val="22"/>
        </w:rPr>
      </w:pPr>
    </w:p>
    <w:p w:rsidR="00D935F1" w:rsidRDefault="00BF1C6A">
      <w:pPr>
        <w:ind w:left="851" w:right="899"/>
        <w:jc w:val="both"/>
        <w:rPr>
          <w:rFonts w:ascii="Palatino Linotype" w:hAnsi="Palatino Linotype" w:cs="Arial"/>
          <w:i/>
          <w:sz w:val="22"/>
          <w:szCs w:val="22"/>
        </w:rPr>
      </w:pPr>
      <w:r>
        <w:rPr>
          <w:rFonts w:ascii="Palatino Linotype" w:hAnsi="Palatino Linotype" w:cs="Arial"/>
          <w:i/>
          <w:sz w:val="22"/>
          <w:szCs w:val="22"/>
        </w:rPr>
        <w:t>Se adjunta información y oficio de respuesta.” (Sic)</w:t>
      </w:r>
    </w:p>
    <w:p w:rsidR="00D935F1" w:rsidRDefault="00D935F1">
      <w:pPr>
        <w:tabs>
          <w:tab w:val="left" w:pos="709"/>
        </w:tabs>
        <w:spacing w:line="360" w:lineRule="auto"/>
        <w:jc w:val="both"/>
        <w:rPr>
          <w:rFonts w:ascii="Palatino Linotype" w:hAnsi="Palatino Linotype"/>
          <w:bCs/>
        </w:rPr>
      </w:pPr>
    </w:p>
    <w:p w:rsidR="00D935F1" w:rsidRDefault="00BF1C6A">
      <w:pPr>
        <w:tabs>
          <w:tab w:val="left" w:pos="709"/>
        </w:tabs>
        <w:spacing w:line="360" w:lineRule="auto"/>
        <w:jc w:val="both"/>
        <w:rPr>
          <w:rFonts w:ascii="Palatino Linotype" w:hAnsi="Palatino Linotype"/>
          <w:bCs/>
        </w:rPr>
      </w:pPr>
      <w:r>
        <w:rPr>
          <w:rFonts w:ascii="Palatino Linotype" w:hAnsi="Palatino Linotype"/>
          <w:bCs/>
        </w:rPr>
        <w:t xml:space="preserve">De igual manera adjuntó a su respuesta los archivos electrónicos </w:t>
      </w:r>
    </w:p>
    <w:p w:rsidR="00D935F1" w:rsidRDefault="00D935F1">
      <w:pPr>
        <w:tabs>
          <w:tab w:val="left" w:pos="709"/>
        </w:tabs>
        <w:spacing w:line="360" w:lineRule="auto"/>
        <w:jc w:val="both"/>
        <w:rPr>
          <w:rFonts w:ascii="Palatino Linotype" w:hAnsi="Palatino Linotype"/>
          <w:bCs/>
        </w:rPr>
      </w:pPr>
    </w:p>
    <w:p w:rsidR="00D935F1" w:rsidRDefault="00BF1C6A">
      <w:pPr>
        <w:numPr>
          <w:ilvl w:val="0"/>
          <w:numId w:val="4"/>
        </w:numPr>
        <w:tabs>
          <w:tab w:val="left" w:pos="709"/>
        </w:tabs>
        <w:spacing w:line="360" w:lineRule="auto"/>
        <w:jc w:val="both"/>
        <w:rPr>
          <w:rFonts w:ascii="Palatino Linotype" w:hAnsi="Palatino Linotype" w:cs="Arial"/>
          <w:b/>
        </w:rPr>
      </w:pPr>
      <w:r>
        <w:rPr>
          <w:rFonts w:ascii="Palatino Linotype" w:hAnsi="Palatino Linotype" w:cs="Arial"/>
          <w:b/>
        </w:rPr>
        <w:t>RESP_UTAI_00054.pdf</w:t>
      </w:r>
      <w:r>
        <w:rPr>
          <w:rFonts w:ascii="Palatino Linotype" w:hAnsi="Palatino Linotype" w:cs="Arial"/>
        </w:rPr>
        <w:t xml:space="preserve"> consistente en el oficio número </w:t>
      </w:r>
      <w:r>
        <w:rPr>
          <w:rFonts w:ascii="Palatino Linotype" w:hAnsi="Palatino Linotype" w:cs="Arial"/>
          <w:b/>
        </w:rPr>
        <w:t xml:space="preserve">OCO/UTAI/00210/2020 </w:t>
      </w:r>
      <w:r>
        <w:rPr>
          <w:rFonts w:ascii="Palatino Linotype" w:hAnsi="Palatino Linotype" w:cs="Arial"/>
        </w:rPr>
        <w:t>de fecha tres de marzo de dos mil veinte signado por el Titular de la Unidad de Transparencia, mediante el cual informó que</w:t>
      </w:r>
      <w:r>
        <w:rPr>
          <w:rFonts w:ascii="Palatino Linotype" w:hAnsi="Palatino Linotype"/>
        </w:rPr>
        <w:t xml:space="preserve"> la información solicitada, contenía información privada, de la cual no se apreciaba meramente el ejercicio de la función pública, referían a información que atañen exclusivamente a una persona identificada o identificable, entre otros, por lo que, el Comité de Transparencia había confirmado la clasificación parcial de la información solicitada y la emisión de la versión pública, mismas que se adjuntaron a la </w:t>
      </w:r>
      <w:r>
        <w:rPr>
          <w:rFonts w:ascii="Palatino Linotype" w:hAnsi="Palatino Linotype"/>
        </w:rPr>
        <w:lastRenderedPageBreak/>
        <w:t>respuesta; lo anterior, con fundamento en los artículos 52, 122, 132 fracción I, 133 y 137 de la Ley de Transparencia y Acceso a la Información Pública del Estado de México y Municipios y demás relativos y aplicables.</w:t>
      </w:r>
    </w:p>
    <w:p w:rsidR="00D935F1" w:rsidRDefault="00BF1C6A">
      <w:pPr>
        <w:pStyle w:val="Prrafodelista"/>
        <w:numPr>
          <w:ilvl w:val="0"/>
          <w:numId w:val="5"/>
        </w:numPr>
        <w:tabs>
          <w:tab w:val="left" w:pos="709"/>
        </w:tabs>
        <w:spacing w:line="360" w:lineRule="auto"/>
        <w:jc w:val="both"/>
        <w:rPr>
          <w:rFonts w:ascii="Palatino Linotype" w:hAnsi="Palatino Linotype" w:cs="Arial"/>
          <w:b/>
        </w:rPr>
      </w:pPr>
      <w:r>
        <w:rPr>
          <w:rFonts w:ascii="Palatino Linotype" w:hAnsi="Palatino Linotype" w:cs="Arial"/>
          <w:b/>
        </w:rPr>
        <w:t xml:space="preserve">ACTAS E-R.pdf, </w:t>
      </w:r>
      <w:r>
        <w:rPr>
          <w:rFonts w:ascii="Palatino Linotype" w:hAnsi="Palatino Linotype" w:cs="Arial"/>
        </w:rPr>
        <w:t xml:space="preserve">consistente en las actas de entrega-recepción de los años 2018, 2019 y 2020 y sus anexos, constantes de dos mil doscientos noventa y dos fojas, en supuesta versión </w:t>
      </w:r>
      <w:r w:rsidR="00873442">
        <w:rPr>
          <w:rFonts w:ascii="Palatino Linotype" w:hAnsi="Palatino Linotype" w:cs="Arial"/>
        </w:rPr>
        <w:t>pública</w:t>
      </w:r>
      <w:r>
        <w:rPr>
          <w:rFonts w:ascii="Palatino Linotype" w:hAnsi="Palatino Linotype" w:cs="Arial"/>
        </w:rPr>
        <w:t xml:space="preserve">, de los cuales, se observa que </w:t>
      </w:r>
      <w:r>
        <w:rPr>
          <w:rFonts w:ascii="Palatino Linotype" w:hAnsi="Palatino Linotype" w:cs="Arial"/>
          <w:b/>
        </w:rPr>
        <w:t>EL SUJETO OBLIGADO</w:t>
      </w:r>
      <w:r>
        <w:rPr>
          <w:rFonts w:ascii="Palatino Linotype" w:hAnsi="Palatino Linotype" w:cs="Arial"/>
        </w:rPr>
        <w:t xml:space="preserve"> dejó a la vista datos personales susceptibles de ser considerados confidenciales, tales como el folio y código de identificación de la credencial de elector, domicilio particular, teléfono particular, RFC, CURP, huella dactilar, código postal, número de pasaporte, nombres de particulares, firma de particulares, fotografía de los testigos, números de pasaporte, número de serie de vehículos, numero de servicio y de medidor del servicio de energía eléctrica, datos de registro de acta de nacimiento, nacionalidad</w:t>
      </w:r>
      <w:r w:rsidR="00407EC3">
        <w:rPr>
          <w:rFonts w:ascii="Palatino Linotype" w:hAnsi="Palatino Linotype" w:cs="Arial"/>
        </w:rPr>
        <w:t xml:space="preserve"> de particulares</w:t>
      </w:r>
      <w:r>
        <w:rPr>
          <w:rFonts w:ascii="Palatino Linotype" w:hAnsi="Palatino Linotype" w:cs="Arial"/>
        </w:rPr>
        <w:t>, fecha de nacimiento, lugar de nacimiento y correos electrónicos, sin que se pueda observar las actas de entrega recepción de los años 2014, 2015, 2016, 2017 que también requirió el particular.</w:t>
      </w:r>
    </w:p>
    <w:p w:rsidR="00D935F1" w:rsidRDefault="00D935F1">
      <w:pPr>
        <w:tabs>
          <w:tab w:val="left" w:pos="709"/>
        </w:tabs>
        <w:spacing w:line="360" w:lineRule="auto"/>
        <w:jc w:val="both"/>
        <w:rPr>
          <w:rFonts w:ascii="Palatino Linotype" w:hAnsi="Palatino Linotype" w:cs="Arial"/>
        </w:rPr>
      </w:pPr>
    </w:p>
    <w:p w:rsidR="00D935F1" w:rsidRDefault="00BF1C6A">
      <w:pPr>
        <w:numPr>
          <w:ilvl w:val="0"/>
          <w:numId w:val="1"/>
        </w:numPr>
        <w:tabs>
          <w:tab w:val="left" w:pos="709"/>
        </w:tabs>
        <w:spacing w:line="360" w:lineRule="auto"/>
        <w:ind w:left="0" w:firstLine="0"/>
        <w:jc w:val="both"/>
        <w:rPr>
          <w:rFonts w:ascii="Palatino Linotype" w:hAnsi="Palatino Linotype" w:cs="Arial"/>
        </w:rPr>
      </w:pPr>
      <w:r>
        <w:rPr>
          <w:rFonts w:ascii="Palatino Linotype" w:hAnsi="Palatino Linotype"/>
        </w:rPr>
        <w:t xml:space="preserve">Inconformes </w:t>
      </w:r>
      <w:r>
        <w:rPr>
          <w:rFonts w:ascii="Palatino Linotype" w:hAnsi="Palatino Linotype" w:cs="Arial"/>
        </w:rPr>
        <w:t>con</w:t>
      </w:r>
      <w:r>
        <w:rPr>
          <w:rFonts w:ascii="Palatino Linotype" w:hAnsi="Palatino Linotype"/>
        </w:rPr>
        <w:t xml:space="preserve"> las respuestas proporcionadas por el </w:t>
      </w:r>
      <w:r>
        <w:rPr>
          <w:rFonts w:ascii="Palatino Linotype" w:hAnsi="Palatino Linotype"/>
          <w:b/>
        </w:rPr>
        <w:t>SUJETO OBLIGADO</w:t>
      </w:r>
      <w:r>
        <w:rPr>
          <w:rFonts w:ascii="Palatino Linotype" w:hAnsi="Palatino Linotype"/>
        </w:rPr>
        <w:t xml:space="preserve">, en fechas dos  y diecisiete de marzo de dos mil veinte, </w:t>
      </w:r>
      <w:r>
        <w:rPr>
          <w:rFonts w:ascii="Palatino Linotype" w:hAnsi="Palatino Linotype"/>
          <w:b/>
        </w:rPr>
        <w:t>EL RECURRENTE</w:t>
      </w:r>
      <w:r>
        <w:rPr>
          <w:rFonts w:ascii="Palatino Linotype" w:hAnsi="Palatino Linotype"/>
        </w:rPr>
        <w:t xml:space="preserve"> a través del</w:t>
      </w:r>
      <w:r>
        <w:rPr>
          <w:rFonts w:ascii="Palatino Linotype" w:hAnsi="Palatino Linotype"/>
          <w:b/>
        </w:rPr>
        <w:t xml:space="preserve"> SAIMEX, </w:t>
      </w:r>
      <w:r>
        <w:rPr>
          <w:rFonts w:ascii="Palatino Linotype" w:hAnsi="Palatino Linotype"/>
        </w:rPr>
        <w:t xml:space="preserve">interpuso los recursos de revisión objeto del </w:t>
      </w:r>
      <w:r>
        <w:rPr>
          <w:rFonts w:ascii="Palatino Linotype" w:hAnsi="Palatino Linotype" w:cs="Arial"/>
        </w:rPr>
        <w:t>presente</w:t>
      </w:r>
      <w:r>
        <w:rPr>
          <w:rFonts w:ascii="Palatino Linotype" w:hAnsi="Palatino Linotype"/>
        </w:rPr>
        <w:t xml:space="preserve"> estudio, a los que se le asignó los </w:t>
      </w:r>
      <w:r>
        <w:rPr>
          <w:rFonts w:ascii="Palatino Linotype" w:hAnsi="Palatino Linotype" w:cs="Arial"/>
        </w:rPr>
        <w:t xml:space="preserve">números </w:t>
      </w:r>
      <w:r>
        <w:rPr>
          <w:rFonts w:ascii="Palatino Linotype" w:hAnsi="Palatino Linotype" w:cs="Arial"/>
          <w:b/>
        </w:rPr>
        <w:t xml:space="preserve">01312/INFOEM/IP/RR/2020 </w:t>
      </w:r>
      <w:r>
        <w:rPr>
          <w:rFonts w:ascii="Palatino Linotype" w:hAnsi="Palatino Linotype" w:cs="Arial"/>
        </w:rPr>
        <w:t>y</w:t>
      </w:r>
      <w:r>
        <w:rPr>
          <w:rFonts w:ascii="Palatino Linotype" w:hAnsi="Palatino Linotype" w:cs="Arial"/>
          <w:b/>
        </w:rPr>
        <w:t xml:space="preserve"> 01607/INFOEM/IP/RR/2020</w:t>
      </w:r>
      <w:r>
        <w:rPr>
          <w:rFonts w:ascii="Palatino Linotype" w:hAnsi="Palatino Linotype" w:cs="Arial"/>
        </w:rPr>
        <w:t>, en el que señaló como acto impugnado y razones y motivos de inconformidad,  lo siguiente:</w:t>
      </w:r>
    </w:p>
    <w:p w:rsidR="00D935F1" w:rsidRDefault="00D935F1">
      <w:pPr>
        <w:tabs>
          <w:tab w:val="left" w:pos="709"/>
        </w:tabs>
        <w:spacing w:line="360" w:lineRule="auto"/>
        <w:jc w:val="both"/>
        <w:rPr>
          <w:rFonts w:ascii="Palatino Linotype" w:hAnsi="Palatino Linotype" w:cs="Arial"/>
        </w:rPr>
      </w:pPr>
    </w:p>
    <w:p w:rsidR="00D935F1" w:rsidRDefault="00BF1C6A">
      <w:pPr>
        <w:spacing w:beforeAutospacing="1" w:afterAutospacing="1"/>
        <w:ind w:left="720" w:right="709"/>
        <w:jc w:val="both"/>
        <w:rPr>
          <w:rFonts w:ascii="Palatino Linotype" w:hAnsi="Palatino Linotype" w:cs="Arial"/>
          <w:b/>
        </w:rPr>
      </w:pPr>
      <w:r>
        <w:rPr>
          <w:rFonts w:ascii="Palatino Linotype" w:hAnsi="Palatino Linotype" w:cs="Arial"/>
          <w:b/>
        </w:rPr>
        <w:lastRenderedPageBreak/>
        <w:t>01312/INFOEM/IP/RR/2020</w:t>
      </w:r>
    </w:p>
    <w:p w:rsidR="00D935F1" w:rsidRDefault="00BF1C6A">
      <w:pPr>
        <w:spacing w:beforeAutospacing="1" w:afterAutospacing="1"/>
        <w:ind w:right="709"/>
        <w:jc w:val="both"/>
        <w:rPr>
          <w:rFonts w:ascii="Palatino Linotype" w:hAnsi="Palatino Linotype" w:cs="Arial"/>
          <w:i/>
          <w:sz w:val="22"/>
          <w:szCs w:val="22"/>
          <w:lang w:eastAsia="es-MX"/>
        </w:rPr>
      </w:pPr>
      <w:r>
        <w:rPr>
          <w:rFonts w:ascii="Palatino Linotype" w:hAnsi="Palatino Linotype" w:cs="Arial"/>
        </w:rPr>
        <w:t>Acto impugnado</w:t>
      </w:r>
    </w:p>
    <w:p w:rsidR="00D935F1" w:rsidRDefault="00BF1C6A">
      <w:pPr>
        <w:spacing w:beforeAutospacing="1" w:afterAutospacing="1"/>
        <w:ind w:left="720" w:right="709"/>
        <w:jc w:val="both"/>
        <w:rPr>
          <w:rFonts w:ascii="Palatino Linotype" w:hAnsi="Palatino Linotype" w:cs="Arial"/>
          <w:i/>
          <w:sz w:val="22"/>
          <w:szCs w:val="22"/>
          <w:lang w:eastAsia="es-MX"/>
        </w:rPr>
      </w:pPr>
      <w:r>
        <w:rPr>
          <w:rFonts w:ascii="Palatino Linotype" w:hAnsi="Palatino Linotype" w:cs="Arial"/>
          <w:i/>
          <w:sz w:val="22"/>
          <w:szCs w:val="22"/>
          <w:lang w:eastAsia="es-MX"/>
        </w:rPr>
        <w:t>“SOLICITUD DE INFORMACIÓN”(Sic)</w:t>
      </w:r>
    </w:p>
    <w:p w:rsidR="00D935F1" w:rsidRDefault="00BF1C6A">
      <w:pPr>
        <w:tabs>
          <w:tab w:val="left" w:pos="709"/>
        </w:tabs>
        <w:spacing w:line="360" w:lineRule="auto"/>
        <w:jc w:val="both"/>
        <w:rPr>
          <w:rFonts w:ascii="Palatino Linotype" w:hAnsi="Palatino Linotype" w:cs="Arial"/>
        </w:rPr>
      </w:pPr>
      <w:r>
        <w:rPr>
          <w:rFonts w:ascii="Palatino Linotype" w:hAnsi="Palatino Linotype"/>
        </w:rPr>
        <w:t>Razones o motivos de inconformidad</w:t>
      </w:r>
      <w:r>
        <w:rPr>
          <w:rFonts w:ascii="Palatino Linotype" w:hAnsi="Palatino Linotype" w:cs="Arial"/>
        </w:rPr>
        <w:t>:</w:t>
      </w:r>
    </w:p>
    <w:p w:rsidR="00D935F1" w:rsidRDefault="00BF1C6A">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“LA INFORMACIÓN QUE ME ENTREGAN SE ENCUENTRA RAYADA, NO ME DICEN QUE ESTÁN CUBRIENDO, VULNERAN MI DERECHO AL ACCESO A LA INFORMACIÓN PUBLICA.”</w:t>
      </w:r>
      <w:r>
        <w:rPr>
          <w:rFonts w:ascii="Palatino Linotype" w:hAnsi="Palatino Linotype" w:cs="Arial"/>
          <w:sz w:val="22"/>
          <w:szCs w:val="22"/>
          <w:lang w:eastAsia="es-MX"/>
        </w:rPr>
        <w:t xml:space="preserve"> (Sic)</w:t>
      </w:r>
    </w:p>
    <w:p w:rsidR="00D935F1" w:rsidRDefault="00BF1C6A">
      <w:pPr>
        <w:spacing w:beforeAutospacing="1" w:afterAutospacing="1"/>
        <w:ind w:right="709"/>
        <w:jc w:val="both"/>
        <w:rPr>
          <w:rFonts w:ascii="Palatino Linotype" w:hAnsi="Palatino Linotype" w:cs="Arial"/>
          <w:sz w:val="22"/>
          <w:szCs w:val="22"/>
          <w:lang w:eastAsia="es-MX"/>
        </w:rPr>
      </w:pPr>
      <w:r>
        <w:rPr>
          <w:rFonts w:ascii="Palatino Linotype" w:hAnsi="Palatino Linotype" w:cs="Arial"/>
          <w:b/>
        </w:rPr>
        <w:t>01607/INFOEM/IP/RR/2020</w:t>
      </w:r>
    </w:p>
    <w:p w:rsidR="00D935F1" w:rsidRDefault="00BF1C6A">
      <w:pPr>
        <w:spacing w:beforeAutospacing="1" w:afterAutospacing="1"/>
        <w:ind w:right="709"/>
        <w:jc w:val="both"/>
        <w:rPr>
          <w:rFonts w:ascii="Palatino Linotype" w:hAnsi="Palatino Linotype" w:cs="Arial"/>
          <w:i/>
          <w:sz w:val="22"/>
          <w:szCs w:val="22"/>
          <w:lang w:eastAsia="es-MX"/>
        </w:rPr>
      </w:pPr>
      <w:r>
        <w:rPr>
          <w:rFonts w:ascii="Palatino Linotype" w:hAnsi="Palatino Linotype" w:cs="Arial"/>
        </w:rPr>
        <w:t>Acto impugnado</w:t>
      </w:r>
    </w:p>
    <w:p w:rsidR="00D935F1" w:rsidRDefault="00BF1C6A">
      <w:pPr>
        <w:spacing w:beforeAutospacing="1" w:afterAutospacing="1"/>
        <w:ind w:left="720" w:right="709"/>
        <w:jc w:val="both"/>
        <w:rPr>
          <w:rFonts w:ascii="Palatino Linotype" w:hAnsi="Palatino Linotype" w:cs="Arial"/>
          <w:i/>
          <w:sz w:val="22"/>
          <w:szCs w:val="22"/>
          <w:lang w:eastAsia="es-MX"/>
        </w:rPr>
      </w:pPr>
      <w:r>
        <w:rPr>
          <w:rFonts w:ascii="Palatino Linotype" w:hAnsi="Palatino Linotype" w:cs="Arial"/>
          <w:i/>
          <w:sz w:val="22"/>
          <w:szCs w:val="22"/>
          <w:lang w:eastAsia="es-MX"/>
        </w:rPr>
        <w:t>“las actas se encuentran tachadas” (Sic)</w:t>
      </w:r>
    </w:p>
    <w:p w:rsidR="00D935F1" w:rsidRDefault="00BF1C6A">
      <w:pPr>
        <w:tabs>
          <w:tab w:val="left" w:pos="709"/>
        </w:tabs>
        <w:spacing w:line="360" w:lineRule="auto"/>
        <w:jc w:val="both"/>
        <w:rPr>
          <w:rFonts w:ascii="Palatino Linotype" w:hAnsi="Palatino Linotype" w:cs="Arial"/>
        </w:rPr>
      </w:pPr>
      <w:r>
        <w:rPr>
          <w:rFonts w:ascii="Palatino Linotype" w:hAnsi="Palatino Linotype"/>
        </w:rPr>
        <w:t>Razones o motivos de inconformidad</w:t>
      </w:r>
      <w:r>
        <w:rPr>
          <w:rFonts w:ascii="Palatino Linotype" w:hAnsi="Palatino Linotype" w:cs="Arial"/>
        </w:rPr>
        <w:t>:</w:t>
      </w:r>
    </w:p>
    <w:p w:rsidR="00D935F1" w:rsidRDefault="00BF1C6A">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“mala respuesta.”</w:t>
      </w:r>
      <w:r>
        <w:rPr>
          <w:rFonts w:ascii="Palatino Linotype" w:hAnsi="Palatino Linotype" w:cs="Arial"/>
          <w:sz w:val="22"/>
          <w:szCs w:val="22"/>
          <w:lang w:eastAsia="es-MX"/>
        </w:rPr>
        <w:t xml:space="preserve"> (Sic)</w:t>
      </w:r>
    </w:p>
    <w:p w:rsidR="00D935F1" w:rsidRDefault="00D935F1">
      <w:pPr>
        <w:spacing w:line="360" w:lineRule="auto"/>
        <w:ind w:right="49"/>
        <w:jc w:val="both"/>
        <w:rPr>
          <w:rFonts w:ascii="Palatino Linotype" w:hAnsi="Palatino Linotype"/>
        </w:rPr>
      </w:pPr>
    </w:p>
    <w:p w:rsidR="00D935F1" w:rsidRDefault="00BF1C6A">
      <w:pPr>
        <w:pStyle w:val="Prrafodelista"/>
        <w:numPr>
          <w:ilvl w:val="0"/>
          <w:numId w:val="10"/>
        </w:numPr>
        <w:tabs>
          <w:tab w:val="left" w:pos="567"/>
        </w:tabs>
        <w:spacing w:line="360" w:lineRule="auto"/>
        <w:ind w:left="0" w:firstLine="0"/>
        <w:jc w:val="both"/>
        <w:rPr>
          <w:rFonts w:ascii="Palatino Linotype" w:hAnsi="Palatino Linotype" w:cs="Arial"/>
          <w:b/>
        </w:rPr>
      </w:pPr>
      <w:r>
        <w:rPr>
          <w:rFonts w:ascii="Palatino Linotype" w:hAnsi="Palatino Linotype" w:cs="Arial"/>
        </w:rPr>
        <w:t>En fechas</w:t>
      </w:r>
      <w:r>
        <w:rPr>
          <w:rFonts w:ascii="Palatino Linotype" w:hAnsi="Palatino Linotype"/>
        </w:rPr>
        <w:t xml:space="preserve"> dos  y diecisiete de marzo de dos mil veinte</w:t>
      </w:r>
      <w:r>
        <w:rPr>
          <w:rFonts w:ascii="Palatino Linotype" w:hAnsi="Palatino Linotype" w:cs="Arial"/>
        </w:rPr>
        <w:t xml:space="preserve">, </w:t>
      </w:r>
      <w:r>
        <w:rPr>
          <w:rFonts w:ascii="Palatino Linotype" w:hAnsi="Palatino Linotype"/>
        </w:rPr>
        <w:t>los</w:t>
      </w:r>
      <w:r>
        <w:rPr>
          <w:rFonts w:ascii="Palatino Linotype" w:hAnsi="Palatino Linotype" w:cs="Arial"/>
        </w:rPr>
        <w:t xml:space="preserve"> </w:t>
      </w:r>
      <w:r>
        <w:rPr>
          <w:rFonts w:ascii="Palatino Linotype" w:hAnsi="Palatino Linotype" w:cs="Arial"/>
          <w:lang w:val="es-ES_tradnl"/>
        </w:rPr>
        <w:t>recursos de revisión de que</w:t>
      </w:r>
      <w:r>
        <w:rPr>
          <w:rFonts w:ascii="Palatino Linotype" w:hAnsi="Palatino Linotype" w:cs="Arial"/>
        </w:rPr>
        <w:t xml:space="preserve"> se tratan</w:t>
      </w:r>
      <w:r>
        <w:rPr>
          <w:rFonts w:ascii="Palatino Linotype" w:hAnsi="Palatino Linotype" w:cs="Arial"/>
          <w:lang w:val="es-ES_tradnl"/>
        </w:rPr>
        <w:t xml:space="preserve"> se enviaron electrónicamente al Instituto de </w:t>
      </w:r>
      <w:r>
        <w:rPr>
          <w:rFonts w:ascii="Palatino Linotype" w:eastAsia="Arial Unicode MS" w:hAnsi="Palatino Linotype" w:cs="Arial"/>
        </w:rPr>
        <w:t>Transparencia</w:t>
      </w:r>
      <w:r>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se turnaron,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b/>
        </w:rPr>
        <w:t xml:space="preserve">, </w:t>
      </w:r>
      <w:r>
        <w:rPr>
          <w:rFonts w:ascii="Palatino Linotype" w:hAnsi="Palatino Linotype" w:cs="Arial"/>
          <w:lang w:val="es-ES_tradnl"/>
        </w:rPr>
        <w:t>a efecto de que decretaran su admisión o desechamiento.</w:t>
      </w:r>
    </w:p>
    <w:p w:rsidR="00D935F1" w:rsidRDefault="00BF1C6A">
      <w:pPr>
        <w:widowControl w:val="0"/>
        <w:numPr>
          <w:ilvl w:val="0"/>
          <w:numId w:val="10"/>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En fechas</w:t>
      </w:r>
      <w:r>
        <w:rPr>
          <w:rFonts w:ascii="Palatino Linotype" w:hAnsi="Palatino Linotype"/>
        </w:rPr>
        <w:t xml:space="preserve"> diez de marzo y tres de agosto dos mil veinte</w:t>
      </w:r>
      <w:r>
        <w:rPr>
          <w:rFonts w:ascii="Palatino Linotype" w:hAnsi="Palatino Linotype" w:cs="Arial"/>
        </w:rPr>
        <w:t xml:space="preserve">, atento a lo dispuesto en </w:t>
      </w:r>
      <w:r>
        <w:rPr>
          <w:rFonts w:ascii="Palatino Linotype" w:hAnsi="Palatino Linotype" w:cs="Arial"/>
        </w:rPr>
        <w:lastRenderedPageBreak/>
        <w:t xml:space="preserve">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 los referidos recursos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 los expedientes respectivos, mismos que se pusieron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D935F1" w:rsidRDefault="00BF1C6A">
      <w:pPr>
        <w:widowControl w:val="0"/>
        <w:numPr>
          <w:ilvl w:val="0"/>
          <w:numId w:val="10"/>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lang w:val="es-ES_tradnl"/>
        </w:rPr>
        <w:t xml:space="preserve">Por economía procesal y </w:t>
      </w:r>
      <w:r>
        <w:rPr>
          <w:rFonts w:ascii="Palatino Linotype" w:hAnsi="Palatino Linotype" w:cs="Arial"/>
        </w:rPr>
        <w:t xml:space="preserve">con la finalidad de evitar resoluciones contradictorias, en </w:t>
      </w:r>
      <w:r>
        <w:rPr>
          <w:rFonts w:ascii="Palatino Linotype" w:hAnsi="Palatino Linotype"/>
        </w:rPr>
        <w:t xml:space="preserve">la </w:t>
      </w:r>
      <w:r w:rsidR="00873442">
        <w:rPr>
          <w:rFonts w:ascii="Palatino Linotype" w:hAnsi="Palatino Linotype"/>
        </w:rPr>
        <w:t>Décima</w:t>
      </w:r>
      <w:r>
        <w:rPr>
          <w:rFonts w:ascii="Palatino Linotype" w:hAnsi="Palatino Linotype"/>
        </w:rPr>
        <w:t xml:space="preserve"> Primera Sesión Ordinaria celebrada el veinticinco de marzo de dos mil veinte</w:t>
      </w:r>
      <w:r>
        <w:rPr>
          <w:rFonts w:ascii="Palatino Linotype" w:hAnsi="Palatino Linotype" w:cs="Arial"/>
        </w:rPr>
        <w:t>,</w:t>
      </w:r>
      <w:r>
        <w:rPr>
          <w:rFonts w:ascii="Palatino Linotype" w:hAnsi="Palatino Linotype"/>
        </w:rPr>
        <w:t xml:space="preserve"> el Pleno de este Instituto </w:t>
      </w:r>
      <w:r>
        <w:rPr>
          <w:rFonts w:ascii="Palatino Linotype" w:hAnsi="Palatino Linotype" w:cs="Arial"/>
        </w:rPr>
        <w:t xml:space="preserve">determinó </w:t>
      </w:r>
      <w:r>
        <w:rPr>
          <w:rFonts w:ascii="Palatino Linotype" w:hAnsi="Palatino Linotype"/>
        </w:rPr>
        <w:t xml:space="preserve">acumular los recursos de revisión </w:t>
      </w:r>
      <w:r>
        <w:rPr>
          <w:rFonts w:ascii="Palatino Linotype" w:hAnsi="Palatino Linotype"/>
          <w:b/>
          <w:lang w:val="es-ES_tradnl"/>
        </w:rPr>
        <w:t xml:space="preserve">01312/INFOEM/IP/RR/2020 </w:t>
      </w:r>
      <w:r>
        <w:rPr>
          <w:rFonts w:ascii="Palatino Linotype" w:hAnsi="Palatino Linotype"/>
          <w:lang w:val="es-ES_tradnl"/>
        </w:rPr>
        <w:t xml:space="preserve">y </w:t>
      </w:r>
      <w:r>
        <w:rPr>
          <w:rFonts w:ascii="Palatino Linotype" w:hAnsi="Palatino Linotype"/>
          <w:b/>
          <w:lang w:val="es-ES_tradnl"/>
        </w:rPr>
        <w:t>01607/INFOEM/IP/RR/2020</w:t>
      </w:r>
      <w:r>
        <w:rPr>
          <w:rFonts w:ascii="Palatino Linotype" w:hAnsi="Palatino Linotype" w:cs="Arial"/>
        </w:rPr>
        <w:t>,</w:t>
      </w:r>
      <w:r>
        <w:rPr>
          <w:rFonts w:ascii="Palatino Linotype" w:hAnsi="Palatino Linotype"/>
        </w:rPr>
        <w:t xml:space="preserve"> acordando la elaboración del proyecto de resolución por parte de la Comisionada </w:t>
      </w:r>
      <w:r>
        <w:rPr>
          <w:rFonts w:ascii="Palatino Linotype" w:hAnsi="Palatino Linotype"/>
          <w:b/>
        </w:rPr>
        <w:t>EVA ABAID YAPUR</w:t>
      </w:r>
      <w:r>
        <w:rPr>
          <w:rFonts w:ascii="Palatino Linotype" w:hAnsi="Palatino Linotype" w:cs="Arial"/>
        </w:rPr>
        <w:t>.</w:t>
      </w:r>
    </w:p>
    <w:p w:rsidR="00D935F1" w:rsidRDefault="00BF1C6A">
      <w:pPr>
        <w:widowControl w:val="0"/>
        <w:numPr>
          <w:ilvl w:val="0"/>
          <w:numId w:val="10"/>
        </w:numPr>
        <w:tabs>
          <w:tab w:val="left" w:pos="0"/>
          <w:tab w:val="left" w:pos="360"/>
        </w:tabs>
        <w:spacing w:before="240" w:after="240" w:line="360" w:lineRule="auto"/>
        <w:ind w:left="0" w:firstLine="0"/>
        <w:jc w:val="both"/>
        <w:rPr>
          <w:rFonts w:ascii="Palatino Linotype" w:hAnsi="Palatino Linotype" w:cs="Arial"/>
        </w:rPr>
      </w:pPr>
      <w:r>
        <w:rPr>
          <w:rFonts w:ascii="Palatino Linotype" w:hAnsi="Palatino Linotype" w:cs="Arial"/>
        </w:rPr>
        <w:t xml:space="preserve">De las constancias que obran en 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 xml:space="preserve">EL RECURRENTE </w:t>
      </w:r>
      <w:r>
        <w:rPr>
          <w:rFonts w:ascii="Palatino Linotype" w:hAnsi="Palatino Linotype" w:cs="Arial"/>
        </w:rPr>
        <w:t xml:space="preserve">no presentó manifestaciones y alegatos, ni ofreció los medios de prueba que a su derecho convinieran en ambos recursos. Por su parte, </w:t>
      </w:r>
      <w:r>
        <w:rPr>
          <w:rFonts w:ascii="Palatino Linotype" w:hAnsi="Palatino Linotype" w:cs="Arial"/>
          <w:b/>
        </w:rPr>
        <w:t>EL SUJETO OBLIGADO</w:t>
      </w:r>
      <w:r>
        <w:rPr>
          <w:rFonts w:ascii="Palatino Linotype" w:hAnsi="Palatino Linotype" w:cs="Arial"/>
        </w:rPr>
        <w:t xml:space="preserve"> no rindió el Informe Justificado correspondientes a los recursos de revisión, como se advierte en las siguientes imágenes:</w:t>
      </w:r>
    </w:p>
    <w:p w:rsidR="00D935F1" w:rsidRDefault="00BF1C6A">
      <w:pPr>
        <w:spacing w:before="240" w:after="240" w:line="360" w:lineRule="auto"/>
        <w:jc w:val="both"/>
        <w:rPr>
          <w:rFonts w:ascii="Palatino Linotype" w:hAnsi="Palatino Linotype"/>
        </w:rPr>
      </w:pPr>
      <w:r>
        <w:rPr>
          <w:noProof/>
          <w:lang w:eastAsia="es-MX"/>
        </w:rPr>
        <w:drawing>
          <wp:inline distT="0" distB="0" distL="0" distR="0">
            <wp:extent cx="5709920" cy="136144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10"/>
                    <a:srcRect l="11926" t="35251" r="11789" b="42116"/>
                    <a:stretch>
                      <a:fillRect/>
                    </a:stretch>
                  </pic:blipFill>
                  <pic:spPr bwMode="auto">
                    <a:xfrm>
                      <a:off x="0" y="0"/>
                      <a:ext cx="5709920" cy="1361440"/>
                    </a:xfrm>
                    <a:prstGeom prst="rect">
                      <a:avLst/>
                    </a:prstGeom>
                  </pic:spPr>
                </pic:pic>
              </a:graphicData>
            </a:graphic>
          </wp:inline>
        </w:drawing>
      </w:r>
    </w:p>
    <w:p w:rsidR="00D935F1" w:rsidRDefault="00BF1C6A">
      <w:pPr>
        <w:spacing w:before="240" w:after="240" w:line="360" w:lineRule="auto"/>
        <w:jc w:val="both"/>
        <w:rPr>
          <w:rFonts w:ascii="Palatino Linotype" w:hAnsi="Palatino Linotype"/>
        </w:rPr>
      </w:pPr>
      <w:r>
        <w:rPr>
          <w:noProof/>
          <w:lang w:eastAsia="es-MX"/>
        </w:rPr>
        <w:lastRenderedPageBreak/>
        <w:drawing>
          <wp:inline distT="0" distB="0" distL="0" distR="0">
            <wp:extent cx="5619750" cy="1514475"/>
            <wp:effectExtent l="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pic:cNvPicPr>
                      <a:picLocks noChangeAspect="1" noChangeArrowheads="1"/>
                    </pic:cNvPicPr>
                  </pic:nvPicPr>
                  <pic:blipFill>
                    <a:blip r:embed="rId11"/>
                    <a:srcRect l="15646" t="31747" r="15314" b="47603"/>
                    <a:stretch>
                      <a:fillRect/>
                    </a:stretch>
                  </pic:blipFill>
                  <pic:spPr bwMode="auto">
                    <a:xfrm>
                      <a:off x="0" y="0"/>
                      <a:ext cx="5619750" cy="1514475"/>
                    </a:xfrm>
                    <a:prstGeom prst="rect">
                      <a:avLst/>
                    </a:prstGeom>
                  </pic:spPr>
                </pic:pic>
              </a:graphicData>
            </a:graphic>
          </wp:inline>
        </w:drawing>
      </w:r>
    </w:p>
    <w:p w:rsidR="00D935F1" w:rsidRDefault="00BF1C6A">
      <w:pPr>
        <w:numPr>
          <w:ilvl w:val="0"/>
          <w:numId w:val="1"/>
        </w:numPr>
        <w:spacing w:line="360" w:lineRule="auto"/>
        <w:ind w:left="0" w:firstLine="0"/>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guardaban los expedientes, en fecha trece de agosto de dos ml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 los mismos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bookmarkStart w:id="2" w:name="_Ref507070922"/>
      <w:bookmarkEnd w:id="2"/>
    </w:p>
    <w:p w:rsidR="00D935F1" w:rsidRDefault="00BF1C6A">
      <w:pPr>
        <w:tabs>
          <w:tab w:val="left" w:pos="709"/>
        </w:tabs>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CONSIDERANDO</w:t>
      </w:r>
    </w:p>
    <w:p w:rsidR="00D935F1" w:rsidRDefault="00BF1C6A">
      <w:pPr>
        <w:widowControl w:val="0"/>
        <w:numPr>
          <w:ilvl w:val="0"/>
          <w:numId w:val="3"/>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w:t>
      </w:r>
      <w:r>
        <w:rPr>
          <w:rFonts w:ascii="Palatino Linotype" w:hAnsi="Palatino Linotype"/>
        </w:rPr>
        <w:lastRenderedPageBreak/>
        <w:t>Personales del Estado de México y Municipios</w:t>
      </w:r>
      <w:r>
        <w:rPr>
          <w:rFonts w:ascii="Palatino Linotype" w:hAnsi="Palatino Linotype" w:cs="Arial"/>
        </w:rPr>
        <w:t>.</w:t>
      </w:r>
    </w:p>
    <w:p w:rsidR="00D935F1" w:rsidRDefault="00BF1C6A">
      <w:pPr>
        <w:widowControl w:val="0"/>
        <w:numPr>
          <w:ilvl w:val="0"/>
          <w:numId w:val="3"/>
        </w:numPr>
        <w:tabs>
          <w:tab w:val="left" w:pos="1701"/>
          <w:tab w:val="left" w:pos="1843"/>
        </w:tabs>
        <w:spacing w:before="240" w:afterAutospacing="1" w:line="360" w:lineRule="auto"/>
        <w:ind w:left="0" w:firstLine="0"/>
        <w:jc w:val="both"/>
        <w:rPr>
          <w:rFonts w:ascii="Palatino Linotype" w:hAnsi="Palatino Linotype" w:cs="Arial"/>
          <w:b/>
          <w:bCs/>
          <w:lang w:val="es-ES"/>
        </w:rPr>
      </w:pPr>
      <w:r>
        <w:rPr>
          <w:rFonts w:ascii="Palatino Linotype" w:hAnsi="Palatino Linotype" w:cs="Arial"/>
          <w:b/>
        </w:rPr>
        <w:t xml:space="preserve"> Interés.</w:t>
      </w:r>
      <w:r>
        <w:rPr>
          <w:rFonts w:ascii="Palatino Linotype" w:hAnsi="Palatino Linotype" w:cs="Arial"/>
        </w:rPr>
        <w:t xml:space="preserve"> </w:t>
      </w:r>
      <w:r>
        <w:rPr>
          <w:rFonts w:ascii="Palatino Linotype" w:hAnsi="Palatino Linotype" w:cs="Arial"/>
          <w:lang w:val="es-ES"/>
        </w:rPr>
        <w:t xml:space="preserve">Los recursos de revisión fueron interpuestos por parte legítima, en atención a que fueron presentados por </w:t>
      </w:r>
      <w:r>
        <w:rPr>
          <w:rFonts w:ascii="Palatino Linotype" w:hAnsi="Palatino Linotype" w:cs="Arial"/>
          <w:b/>
          <w:lang w:val="es-ES"/>
        </w:rPr>
        <w:t>EL RECURRENTE</w:t>
      </w:r>
      <w:r>
        <w:rPr>
          <w:rFonts w:ascii="Palatino Linotype" w:hAnsi="Palatino Linotype" w:cs="Arial"/>
          <w:lang w:val="es-ES"/>
        </w:rPr>
        <w:t xml:space="preserve">, quien es la misma persona que formuló las solicitudes de acceso a la información pública </w:t>
      </w:r>
      <w:r>
        <w:rPr>
          <w:rFonts w:ascii="Palatino Linotype" w:hAnsi="Palatino Linotype" w:cs="Arial"/>
          <w:bCs/>
          <w:lang w:val="es-ES"/>
        </w:rPr>
        <w:t xml:space="preserve">al </w:t>
      </w:r>
      <w:r>
        <w:rPr>
          <w:rFonts w:ascii="Palatino Linotype" w:hAnsi="Palatino Linotype" w:cs="Arial"/>
          <w:b/>
          <w:bCs/>
          <w:lang w:val="es-ES"/>
        </w:rPr>
        <w:t>SUJETO OBLIGADO.</w:t>
      </w:r>
    </w:p>
    <w:p w:rsidR="00D935F1" w:rsidRDefault="00BF1C6A">
      <w:pPr>
        <w:pStyle w:val="Encabezado"/>
        <w:spacing w:line="360" w:lineRule="auto"/>
        <w:jc w:val="both"/>
        <w:rPr>
          <w:rFonts w:ascii="Palatino Linotype" w:hAnsi="Palatino Linotype"/>
        </w:rPr>
      </w:pPr>
      <w:r>
        <w:rPr>
          <w:rFonts w:ascii="Palatino Linotype" w:eastAsia="Times New Roman" w:hAnsi="Palatino Linotype" w:cs="Arial"/>
          <w:b/>
          <w:sz w:val="28"/>
          <w:szCs w:val="28"/>
          <w:lang w:val="es-ES"/>
        </w:rPr>
        <w:t>TERCERO.</w:t>
      </w:r>
      <w:r>
        <w:rPr>
          <w:rFonts w:ascii="Palatino Linotype" w:hAnsi="Palatino Linotype" w:cs="Arial"/>
        </w:rPr>
        <w:t xml:space="preserve"> </w:t>
      </w:r>
      <w:r>
        <w:rPr>
          <w:rFonts w:ascii="Palatino Linotype" w:hAnsi="Palatino Linotype" w:cs="Arial"/>
          <w:b/>
        </w:rPr>
        <w:t>Justificación de la Acumulación de los recursos.</w:t>
      </w:r>
      <w:r>
        <w:rPr>
          <w:rFonts w:ascii="Palatino Linotype" w:hAnsi="Palatino Linotype" w:cs="Arial"/>
        </w:rPr>
        <w:t xml:space="preserve"> De las constancias que obran en los expedientes acumulados, se advierte que en los recursos de revisión </w:t>
      </w:r>
      <w:r>
        <w:rPr>
          <w:rFonts w:ascii="Palatino Linotype" w:hAnsi="Palatino Linotype"/>
          <w:b/>
        </w:rPr>
        <w:t xml:space="preserve">01312/INFOEM/IP/RR/2020 </w:t>
      </w:r>
      <w:r>
        <w:rPr>
          <w:rFonts w:ascii="Palatino Linotype" w:hAnsi="Palatino Linotype"/>
        </w:rPr>
        <w:t xml:space="preserve">y </w:t>
      </w:r>
      <w:r>
        <w:rPr>
          <w:rFonts w:ascii="Palatino Linotype" w:hAnsi="Palatino Linotype"/>
          <w:b/>
        </w:rPr>
        <w:t>01607/INFOEM/IP/RR/2020</w:t>
      </w:r>
      <w:r>
        <w:rPr>
          <w:rFonts w:ascii="Palatino Linotype" w:hAnsi="Palatino Linotype" w:cs="Arial"/>
          <w:b/>
          <w:bCs/>
        </w:rPr>
        <w:t xml:space="preserve">, </w:t>
      </w:r>
      <w:r>
        <w:rPr>
          <w:rFonts w:ascii="Palatino Linotype" w:hAnsi="Palatino Linotype" w:cs="Arial"/>
        </w:rPr>
        <w:t xml:space="preserve">fueron presentados por el mismo </w:t>
      </w:r>
      <w:r>
        <w:rPr>
          <w:rFonts w:ascii="Palatino Linotype" w:hAnsi="Palatino Linotype" w:cs="Arial"/>
          <w:b/>
        </w:rPr>
        <w:t>RECURRENTE</w:t>
      </w:r>
      <w:r>
        <w:rPr>
          <w:rFonts w:ascii="Palatino Linotype" w:hAnsi="Palatino Linotype" w:cs="Arial"/>
        </w:rPr>
        <w:t xml:space="preserve"> respecto de los actos u omisiones del mismo </w:t>
      </w:r>
      <w:r>
        <w:rPr>
          <w:rFonts w:ascii="Palatino Linotype" w:hAnsi="Palatino Linotype" w:cs="Arial"/>
          <w:b/>
        </w:rPr>
        <w:t>SUJETO OBLIGADO</w:t>
      </w:r>
      <w:r>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Pr>
          <w:rFonts w:ascii="Palatino Linotype" w:hAnsi="Palatino Linotype" w:cs="Arial"/>
          <w:lang w:val="es-ES"/>
        </w:rPr>
        <w:t xml:space="preserve">Código de Procedimientos Administrativos del Estado de México, de aplicación supletoria en términos del </w:t>
      </w:r>
      <w:r>
        <w:rPr>
          <w:rFonts w:ascii="Palatino Linotype" w:hAnsi="Palatino Linotype" w:cs="Arial"/>
        </w:rPr>
        <w:t xml:space="preserve">artículo 195 de </w:t>
      </w:r>
      <w:r>
        <w:rPr>
          <w:rFonts w:ascii="Palatino Linotype" w:hAnsi="Palatino Linotype"/>
        </w:rPr>
        <w:t>la Ley de Transparencia y Acceso a la Información Pública del Estado de México y Municipios en vigor, que a la letra señalan:</w:t>
      </w:r>
    </w:p>
    <w:p w:rsidR="00D935F1" w:rsidRDefault="00D935F1">
      <w:pPr>
        <w:pStyle w:val="Encabezado"/>
        <w:jc w:val="both"/>
        <w:rPr>
          <w:rFonts w:ascii="Palatino Linotype" w:hAnsi="Palatino Linotype"/>
        </w:rPr>
      </w:pPr>
    </w:p>
    <w:p w:rsidR="00D935F1" w:rsidRDefault="00BF1C6A">
      <w:pPr>
        <w:tabs>
          <w:tab w:val="left" w:pos="8222"/>
        </w:tabs>
        <w:ind w:left="851" w:right="1134"/>
        <w:jc w:val="center"/>
        <w:rPr>
          <w:rFonts w:ascii="Palatino Linotype" w:hAnsi="Palatino Linotype" w:cs="Arial"/>
          <w:b/>
          <w:i/>
          <w:sz w:val="22"/>
          <w:szCs w:val="22"/>
        </w:rPr>
      </w:pPr>
      <w:r>
        <w:rPr>
          <w:rFonts w:ascii="Palatino Linotype" w:hAnsi="Palatino Linotype" w:cs="Arial"/>
          <w:b/>
          <w:i/>
          <w:sz w:val="22"/>
          <w:szCs w:val="22"/>
        </w:rPr>
        <w:t xml:space="preserve">Código de Procedimientos </w:t>
      </w:r>
      <w:r>
        <w:rPr>
          <w:rFonts w:ascii="Palatino Linotype" w:hAnsi="Palatino Linotype" w:cs="Arial"/>
          <w:b/>
          <w:i/>
          <w:sz w:val="22"/>
          <w:szCs w:val="22"/>
          <w:lang w:eastAsia="es-MX"/>
        </w:rPr>
        <w:t>Administrativos</w:t>
      </w:r>
      <w:r>
        <w:rPr>
          <w:rFonts w:ascii="Palatino Linotype" w:hAnsi="Palatino Linotype" w:cs="Arial"/>
          <w:b/>
          <w:i/>
          <w:sz w:val="22"/>
          <w:szCs w:val="22"/>
        </w:rPr>
        <w:t xml:space="preserve"> del Estado de México</w:t>
      </w:r>
    </w:p>
    <w:p w:rsidR="00D935F1" w:rsidRDefault="00D935F1">
      <w:pPr>
        <w:ind w:left="851" w:right="992"/>
        <w:jc w:val="center"/>
        <w:rPr>
          <w:rFonts w:ascii="Palatino Linotype" w:hAnsi="Palatino Linotype" w:cs="Arial"/>
          <w:b/>
          <w:i/>
          <w:szCs w:val="22"/>
        </w:rPr>
      </w:pPr>
    </w:p>
    <w:p w:rsidR="00D935F1" w:rsidRDefault="00BF1C6A">
      <w:pPr>
        <w:tabs>
          <w:tab w:val="left" w:pos="8222"/>
        </w:tabs>
        <w:ind w:left="851" w:right="1134"/>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18</w:t>
      </w:r>
      <w:r>
        <w:rPr>
          <w:rFonts w:ascii="Palatino Linotype" w:hAnsi="Palatino Linotype" w:cs="Arial"/>
          <w:i/>
          <w:sz w:val="22"/>
          <w:szCs w:val="22"/>
        </w:rPr>
        <w:t xml:space="preserve">.- </w:t>
      </w:r>
      <w:r>
        <w:rPr>
          <w:rFonts w:ascii="Palatino Linotype" w:hAnsi="Palatino Linotype" w:cs="Arial"/>
          <w:b/>
          <w:i/>
          <w:sz w:val="22"/>
          <w:szCs w:val="22"/>
        </w:rPr>
        <w:t xml:space="preserve">La autoridad administrativa o el Tribunal </w:t>
      </w:r>
      <w:r>
        <w:rPr>
          <w:rFonts w:ascii="Palatino Linotype" w:hAnsi="Palatino Linotype" w:cs="Arial"/>
          <w:b/>
          <w:i/>
          <w:sz w:val="22"/>
          <w:szCs w:val="22"/>
          <w:u w:val="single"/>
        </w:rPr>
        <w:t>acordarán la acumulación de los expedientes</w:t>
      </w:r>
      <w:r>
        <w:rPr>
          <w:rFonts w:ascii="Palatino Linotype" w:hAnsi="Palatino Linotype" w:cs="Arial"/>
          <w:b/>
          <w:i/>
          <w:sz w:val="22"/>
          <w:szCs w:val="22"/>
        </w:rPr>
        <w:t xml:space="preserve"> del procedimiento y proceso administrativo que ante ellos se sigan, de oficio</w:t>
      </w:r>
      <w:r>
        <w:rPr>
          <w:rFonts w:ascii="Palatino Linotype" w:hAnsi="Palatino Linotype" w:cs="Arial"/>
          <w:i/>
          <w:sz w:val="22"/>
          <w:szCs w:val="22"/>
        </w:rPr>
        <w:t xml:space="preserve"> o a petición de parte, </w:t>
      </w:r>
      <w:r>
        <w:rPr>
          <w:rFonts w:ascii="Palatino Linotype" w:hAnsi="Palatino Linotype" w:cs="Arial"/>
          <w:b/>
          <w:i/>
          <w:sz w:val="22"/>
          <w:szCs w:val="22"/>
          <w:u w:val="single"/>
        </w:rPr>
        <w:t>cuando las partes</w:t>
      </w:r>
      <w:r>
        <w:rPr>
          <w:rFonts w:ascii="Palatino Linotype" w:hAnsi="Palatino Linotype" w:cs="Arial"/>
          <w:i/>
          <w:sz w:val="22"/>
          <w:szCs w:val="22"/>
        </w:rPr>
        <w:t xml:space="preserve"> o los actos administrativos </w:t>
      </w:r>
      <w:r>
        <w:rPr>
          <w:rFonts w:ascii="Palatino Linotype" w:hAnsi="Palatino Linotype" w:cs="Arial"/>
          <w:b/>
          <w:i/>
          <w:sz w:val="22"/>
          <w:szCs w:val="22"/>
          <w:u w:val="single"/>
        </w:rPr>
        <w:t>sean iguales</w:t>
      </w:r>
      <w:r>
        <w:rPr>
          <w:rFonts w:ascii="Palatino Linotype" w:hAnsi="Palatino Linotype" w:cs="Arial"/>
          <w:i/>
          <w:sz w:val="22"/>
          <w:szCs w:val="22"/>
        </w:rPr>
        <w:t xml:space="preserve">, se trate de actos conexos o </w:t>
      </w:r>
      <w:r>
        <w:rPr>
          <w:rFonts w:ascii="Palatino Linotype" w:hAnsi="Palatino Linotype" w:cs="Arial"/>
          <w:b/>
          <w:i/>
          <w:sz w:val="22"/>
          <w:szCs w:val="22"/>
          <w:u w:val="single"/>
        </w:rPr>
        <w:t>resulte conveniente el trámite unificado de los asuntos, para evitar la emisión de resoluciones contradictorias</w:t>
      </w:r>
      <w:r>
        <w:rPr>
          <w:rFonts w:ascii="Palatino Linotype" w:hAnsi="Palatino Linotype" w:cs="Arial"/>
          <w:i/>
          <w:sz w:val="22"/>
          <w:szCs w:val="22"/>
        </w:rPr>
        <w:t>. La misma regla se aplicará, en lo conducente, para la separación de los expedientes.”</w:t>
      </w:r>
    </w:p>
    <w:p w:rsidR="00D935F1" w:rsidRDefault="00D935F1">
      <w:pPr>
        <w:ind w:left="851" w:right="992"/>
        <w:jc w:val="both"/>
        <w:rPr>
          <w:rFonts w:ascii="Palatino Linotype" w:hAnsi="Palatino Linotype" w:cs="Arial"/>
          <w:i/>
          <w:szCs w:val="22"/>
        </w:rPr>
      </w:pPr>
    </w:p>
    <w:p w:rsidR="00D935F1" w:rsidRDefault="00BF1C6A">
      <w:pPr>
        <w:tabs>
          <w:tab w:val="left" w:pos="8222"/>
        </w:tabs>
        <w:ind w:left="851" w:right="1134"/>
        <w:jc w:val="center"/>
        <w:rPr>
          <w:rFonts w:ascii="Palatino Linotype" w:hAnsi="Palatino Linotype" w:cs="Arial"/>
          <w:b/>
          <w:i/>
          <w:sz w:val="22"/>
          <w:szCs w:val="22"/>
        </w:rPr>
      </w:pPr>
      <w:r>
        <w:rPr>
          <w:rFonts w:ascii="Palatino Linotype" w:hAnsi="Palatino Linotype" w:cs="Arial"/>
          <w:b/>
          <w:i/>
          <w:sz w:val="22"/>
          <w:szCs w:val="22"/>
        </w:rPr>
        <w:t xml:space="preserve">Ley de Transparencia y Acceso a la Información Pública del </w:t>
      </w:r>
      <w:r>
        <w:rPr>
          <w:rFonts w:ascii="Palatino Linotype" w:hAnsi="Palatino Linotype" w:cs="Arial"/>
          <w:b/>
          <w:i/>
          <w:sz w:val="22"/>
          <w:szCs w:val="22"/>
          <w:lang w:eastAsia="es-MX"/>
        </w:rPr>
        <w:t>Estado</w:t>
      </w:r>
      <w:r>
        <w:rPr>
          <w:rFonts w:ascii="Palatino Linotype" w:hAnsi="Palatino Linotype" w:cs="Arial"/>
          <w:b/>
          <w:i/>
          <w:sz w:val="22"/>
          <w:szCs w:val="22"/>
        </w:rPr>
        <w:t xml:space="preserve"> de México y Municipios </w:t>
      </w:r>
    </w:p>
    <w:p w:rsidR="00D935F1" w:rsidRDefault="00BF1C6A">
      <w:pPr>
        <w:tabs>
          <w:tab w:val="left" w:pos="8222"/>
        </w:tabs>
        <w:ind w:left="851" w:right="1134"/>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195. </w:t>
      </w:r>
      <w:r>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D935F1" w:rsidRDefault="00BF1C6A">
      <w:pPr>
        <w:tabs>
          <w:tab w:val="left" w:pos="8222"/>
        </w:tabs>
        <w:ind w:left="851" w:right="1134"/>
        <w:jc w:val="both"/>
        <w:rPr>
          <w:rFonts w:ascii="Palatino Linotype" w:hAnsi="Palatino Linotype" w:cs="Arial"/>
          <w:sz w:val="22"/>
          <w:szCs w:val="22"/>
        </w:rPr>
      </w:pPr>
      <w:r>
        <w:rPr>
          <w:rFonts w:ascii="Palatino Linotype" w:hAnsi="Palatino Linotype" w:cs="Arial"/>
          <w:sz w:val="22"/>
          <w:szCs w:val="22"/>
        </w:rPr>
        <w:t>(Énfasis añadido)</w:t>
      </w:r>
    </w:p>
    <w:p w:rsidR="00D935F1" w:rsidRDefault="00D935F1">
      <w:pPr>
        <w:jc w:val="both"/>
        <w:rPr>
          <w:rFonts w:ascii="Palatino Linotype" w:hAnsi="Palatino Linotype" w:cs="Arial"/>
          <w:b/>
          <w:szCs w:val="28"/>
        </w:rPr>
      </w:pPr>
    </w:p>
    <w:p w:rsidR="00D935F1" w:rsidRDefault="00BF1C6A">
      <w:pPr>
        <w:pStyle w:val="Encabezado"/>
        <w:spacing w:line="360" w:lineRule="auto"/>
        <w:jc w:val="both"/>
        <w:rPr>
          <w:rFonts w:ascii="Palatino Linotype" w:hAnsi="Palatino Linotype" w:cs="Arial"/>
        </w:rPr>
      </w:pPr>
      <w:r>
        <w:rPr>
          <w:rFonts w:ascii="Palatino Linotype" w:hAnsi="Palatino Linotype" w:cs="Arial"/>
        </w:rPr>
        <w:t>De lo dispuesto en la normativa anterior, dicha acumulación procede cuando:</w:t>
      </w:r>
    </w:p>
    <w:p w:rsidR="00D935F1" w:rsidRDefault="00BF1C6A">
      <w:pPr>
        <w:pStyle w:val="Encabezado"/>
        <w:numPr>
          <w:ilvl w:val="0"/>
          <w:numId w:val="6"/>
        </w:numPr>
        <w:spacing w:line="360" w:lineRule="auto"/>
        <w:jc w:val="both"/>
        <w:rPr>
          <w:rFonts w:ascii="Palatino Linotype" w:hAnsi="Palatino Linotype" w:cs="Arial"/>
          <w:b/>
          <w:u w:val="single"/>
        </w:rPr>
      </w:pPr>
      <w:r>
        <w:rPr>
          <w:rFonts w:ascii="Palatino Linotype" w:hAnsi="Palatino Linotype" w:cs="Arial"/>
          <w:b/>
          <w:u w:val="single"/>
        </w:rPr>
        <w:t>El solicitante y la información referida sean las mismas;</w:t>
      </w:r>
    </w:p>
    <w:p w:rsidR="00D935F1" w:rsidRDefault="00BF1C6A">
      <w:pPr>
        <w:pStyle w:val="Encabezado"/>
        <w:numPr>
          <w:ilvl w:val="0"/>
          <w:numId w:val="6"/>
        </w:numPr>
        <w:spacing w:line="360" w:lineRule="auto"/>
        <w:jc w:val="both"/>
        <w:rPr>
          <w:rFonts w:ascii="Palatino Linotype" w:hAnsi="Palatino Linotype" w:cs="Arial"/>
          <w:b/>
          <w:u w:val="single"/>
        </w:rPr>
      </w:pPr>
      <w:r>
        <w:rPr>
          <w:rFonts w:ascii="Palatino Linotype" w:hAnsi="Palatino Linotype" w:cs="Arial"/>
          <w:b/>
          <w:u w:val="single"/>
        </w:rPr>
        <w:t>Las partes o los actos impugnados sean iguales;</w:t>
      </w:r>
    </w:p>
    <w:p w:rsidR="00D935F1" w:rsidRDefault="00BF1C6A">
      <w:pPr>
        <w:pStyle w:val="Encabezado"/>
        <w:numPr>
          <w:ilvl w:val="0"/>
          <w:numId w:val="6"/>
        </w:numPr>
        <w:spacing w:line="360" w:lineRule="auto"/>
        <w:jc w:val="both"/>
        <w:rPr>
          <w:rFonts w:ascii="Palatino Linotype" w:hAnsi="Palatino Linotype" w:cs="Arial"/>
        </w:rPr>
      </w:pPr>
      <w:r>
        <w:rPr>
          <w:rFonts w:ascii="Palatino Linotype" w:hAnsi="Palatino Linotype" w:cs="Arial"/>
          <w:b/>
          <w:u w:val="single"/>
        </w:rPr>
        <w:t>Cuando se trate del mismo solicitante, el mismo Sujeto Obligado</w:t>
      </w:r>
      <w:r>
        <w:rPr>
          <w:rFonts w:ascii="Palatino Linotype" w:hAnsi="Palatino Linotype" w:cs="Arial"/>
        </w:rPr>
        <w:t>, y</w:t>
      </w:r>
    </w:p>
    <w:p w:rsidR="00D935F1" w:rsidRDefault="00BF1C6A">
      <w:pPr>
        <w:pStyle w:val="Encabezado"/>
        <w:numPr>
          <w:ilvl w:val="0"/>
          <w:numId w:val="6"/>
        </w:numPr>
        <w:spacing w:line="360" w:lineRule="auto"/>
        <w:ind w:left="357" w:hanging="357"/>
        <w:jc w:val="both"/>
        <w:rPr>
          <w:rFonts w:ascii="Palatino Linotype" w:hAnsi="Palatino Linotype" w:cs="Arial"/>
        </w:rPr>
      </w:pPr>
      <w:r>
        <w:rPr>
          <w:rFonts w:ascii="Palatino Linotype" w:hAnsi="Palatino Linotype" w:cs="Arial"/>
        </w:rPr>
        <w:t>Aun tratándose de solicitudes diversas, resulte conveniente la resolución unificada de los asuntos</w:t>
      </w:r>
      <w:r>
        <w:rPr>
          <w:rFonts w:ascii="Palatino Linotype" w:hAnsi="Palatino Linotype" w:cs="Arial"/>
          <w:i/>
        </w:rPr>
        <w:t>.</w:t>
      </w:r>
    </w:p>
    <w:p w:rsidR="00D935F1" w:rsidRDefault="00D935F1">
      <w:pPr>
        <w:pStyle w:val="Prrafodelista"/>
        <w:widowControl w:val="0"/>
        <w:spacing w:line="360" w:lineRule="auto"/>
        <w:ind w:left="0"/>
        <w:jc w:val="both"/>
        <w:rPr>
          <w:rFonts w:ascii="Palatino Linotype" w:hAnsi="Palatino Linotype" w:cs="Arial"/>
        </w:rPr>
      </w:pPr>
    </w:p>
    <w:p w:rsidR="00D935F1" w:rsidRDefault="00BF1C6A">
      <w:pPr>
        <w:pStyle w:val="Prrafodelista"/>
        <w:widowControl w:val="0"/>
        <w:spacing w:line="360" w:lineRule="auto"/>
        <w:ind w:left="0"/>
        <w:jc w:val="both"/>
        <w:rPr>
          <w:rFonts w:ascii="Palatino Linotype" w:hAnsi="Palatino Linotype" w:cs="Arial"/>
        </w:rPr>
      </w:pPr>
      <w:r>
        <w:rPr>
          <w:rFonts w:ascii="Palatino Linotype" w:hAnsi="Palatino Linotype" w:cs="Arial"/>
        </w:rPr>
        <w:t xml:space="preserve">De esta suerte, tal y como se mencionó anteriormente, los recursos de revisión que nos ocupan fueron interpuestos por el mismo </w:t>
      </w:r>
      <w:r>
        <w:rPr>
          <w:rFonts w:ascii="Palatino Linotype" w:hAnsi="Palatino Linotype" w:cs="Arial"/>
          <w:b/>
        </w:rPr>
        <w:t>RECURRENTE</w:t>
      </w:r>
      <w:r>
        <w:rPr>
          <w:rFonts w:ascii="Palatino Linotype" w:hAnsi="Palatino Linotype" w:cs="Arial"/>
        </w:rPr>
        <w:t xml:space="preserve"> ante el mismo </w:t>
      </w:r>
      <w:r>
        <w:rPr>
          <w:rFonts w:ascii="Palatino Linotype" w:hAnsi="Palatino Linotype" w:cs="Arial"/>
          <w:b/>
        </w:rPr>
        <w:t>SUJETO OBLIGADO</w:t>
      </w:r>
      <w:r>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D935F1" w:rsidRDefault="00BF1C6A">
      <w:pPr>
        <w:widowControl w:val="0"/>
        <w:numPr>
          <w:ilvl w:val="0"/>
          <w:numId w:val="7"/>
        </w:numPr>
        <w:tabs>
          <w:tab w:val="left" w:pos="1701"/>
          <w:tab w:val="left" w:pos="1843"/>
        </w:tabs>
        <w:spacing w:before="240" w:afterAutospacing="1"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Los recursos de revisión fueron interpuestos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D935F1" w:rsidRDefault="00D935F1">
      <w:pPr>
        <w:ind w:left="851" w:right="902"/>
        <w:jc w:val="both"/>
        <w:rPr>
          <w:rFonts w:ascii="Palatino Linotype" w:eastAsiaTheme="minorEastAsia" w:hAnsi="Palatino Linotype" w:cs="Arial"/>
          <w:szCs w:val="20"/>
          <w:lang w:val="es-ES_tradnl"/>
        </w:rPr>
      </w:pPr>
    </w:p>
    <w:p w:rsidR="00D935F1" w:rsidRDefault="00BF1C6A">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i/>
          <w:sz w:val="22"/>
          <w:szCs w:val="22"/>
          <w:lang w:val="es-ES_tradnl"/>
        </w:rPr>
        <w:lastRenderedPageBreak/>
        <w:t>“Artículo 178.</w:t>
      </w:r>
      <w:r>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935F1" w:rsidRDefault="00BF1C6A">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935F1" w:rsidRDefault="00BF1C6A">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Pr>
          <w:rFonts w:ascii="Palatino Linotype" w:eastAsiaTheme="minorEastAsia" w:hAnsi="Palatino Linotype" w:cs="Arial"/>
          <w:b/>
          <w:i/>
          <w:sz w:val="22"/>
          <w:szCs w:val="22"/>
          <w:lang w:val="es-ES_tradnl"/>
        </w:rPr>
        <w:t>”</w:t>
      </w:r>
    </w:p>
    <w:p w:rsidR="00D935F1" w:rsidRDefault="00D935F1">
      <w:pPr>
        <w:ind w:left="851" w:right="902"/>
        <w:jc w:val="both"/>
        <w:rPr>
          <w:rFonts w:ascii="Palatino Linotype" w:eastAsiaTheme="minorEastAsia" w:hAnsi="Palatino Linotype" w:cs="Arial"/>
          <w:szCs w:val="20"/>
          <w:lang w:val="es-ES_tradnl"/>
        </w:rPr>
      </w:pPr>
    </w:p>
    <w:p w:rsidR="00D935F1" w:rsidRDefault="00BF1C6A">
      <w:pPr>
        <w:spacing w:line="360" w:lineRule="auto"/>
        <w:jc w:val="both"/>
        <w:rPr>
          <w:rFonts w:ascii="Palatino Linotype" w:hAnsi="Palatino Linotype" w:cs="Arial"/>
        </w:rPr>
      </w:pPr>
      <w:r>
        <w:rPr>
          <w:rFonts w:ascii="Palatino Linotype" w:eastAsiaTheme="minorEastAsia" w:hAnsi="Palatino Linotype" w:cs="Arial"/>
          <w:lang w:val="es-ES_tradnl"/>
        </w:rPr>
        <w:t xml:space="preserve">En efecto, atendiendo a que </w:t>
      </w:r>
      <w:r>
        <w:rPr>
          <w:rFonts w:ascii="Palatino Linotype" w:eastAsiaTheme="minorEastAsia" w:hAnsi="Palatino Linotype" w:cs="Arial"/>
          <w:b/>
          <w:lang w:val="es-ES_tradnl"/>
        </w:rPr>
        <w:t>EL SUJETO OBLIGADO</w:t>
      </w:r>
      <w:r>
        <w:rPr>
          <w:rFonts w:ascii="Palatino Linotype" w:eastAsiaTheme="minorEastAsia" w:hAnsi="Palatino Linotype" w:cs="Arial"/>
          <w:lang w:val="es-ES_tradnl"/>
        </w:rPr>
        <w:t xml:space="preserve"> notificó la respuesta a la solicitud de información pública del recurso de revisión número </w:t>
      </w:r>
      <w:r>
        <w:rPr>
          <w:rFonts w:ascii="Palatino Linotype" w:hAnsi="Palatino Linotype"/>
          <w:b/>
          <w:lang w:val="es-ES_tradnl"/>
        </w:rPr>
        <w:t xml:space="preserve">01312/INFOEM/IP/RR/2020 </w:t>
      </w:r>
      <w:r>
        <w:rPr>
          <w:rFonts w:ascii="Palatino Linotype" w:eastAsiaTheme="minorEastAsia" w:hAnsi="Palatino Linotype" w:cs="Arial"/>
          <w:lang w:val="es-ES_tradnl"/>
        </w:rPr>
        <w:t xml:space="preserve"> el</w:t>
      </w:r>
      <w:r>
        <w:rPr>
          <w:rFonts w:ascii="Palatino Linotype" w:eastAsiaTheme="minorEastAsia" w:hAnsi="Palatino Linotype" w:cs="Arial"/>
          <w:b/>
          <w:lang w:val="es-ES_tradnl"/>
        </w:rPr>
        <w:t xml:space="preserve"> veintiuno de febrero de dos mil veinte; </w:t>
      </w:r>
      <w:r>
        <w:rPr>
          <w:rFonts w:ascii="Palatino Linotype" w:hAnsi="Palatino Linotype" w:cs="Arial"/>
        </w:rPr>
        <w:t xml:space="preserve">en consecuencia, el plazo de quince días hábiles que el artículo 178 de la ley de la materia otorga al </w:t>
      </w:r>
      <w:r>
        <w:rPr>
          <w:rFonts w:ascii="Palatino Linotype" w:hAnsi="Palatino Linotype" w:cs="Arial"/>
          <w:b/>
        </w:rPr>
        <w:t>RECURRENTE</w:t>
      </w:r>
      <w:r>
        <w:rPr>
          <w:rFonts w:ascii="Palatino Linotype" w:hAnsi="Palatino Linotype" w:cs="Arial"/>
        </w:rPr>
        <w:t xml:space="preserve"> para presentar el recurso de revisión, transcurrió del</w:t>
      </w:r>
      <w:r>
        <w:rPr>
          <w:rFonts w:ascii="Palatino Linotype" w:hAnsi="Palatino Linotype" w:cs="Arial"/>
          <w:b/>
        </w:rPr>
        <w:t xml:space="preserve"> veinticuatro de febrero al diecisiete de marzo de dos mil veinte</w:t>
      </w:r>
      <w:r>
        <w:rPr>
          <w:rFonts w:ascii="Palatino Linotype" w:hAnsi="Palatino Linotype" w:cs="Arial"/>
        </w:rPr>
        <w:t xml:space="preserve">, sin contemplar en el cómputo los días veintidós, veintitrés y veintinueve de febrero de dos mil veinte; uno, siete, ocho, catorce y quince de marzo de dos 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w:t>
      </w:r>
      <w:r>
        <w:rPr>
          <w:rFonts w:ascii="Palatino Linotype" w:hAnsi="Palatino Linotype" w:cs="Arial"/>
        </w:rPr>
        <w:t>; así como los días dos y dieciséis de marzo de dos mil vente, por suspensión de labores,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rsidR="00D935F1" w:rsidRDefault="00D935F1">
      <w:pPr>
        <w:spacing w:line="360" w:lineRule="auto"/>
        <w:jc w:val="both"/>
        <w:rPr>
          <w:rFonts w:ascii="Palatino Linotype" w:hAnsi="Palatino Linotype" w:cs="Arial"/>
        </w:rPr>
      </w:pPr>
    </w:p>
    <w:p w:rsidR="00D935F1" w:rsidRDefault="00BF1C6A">
      <w:pPr>
        <w:spacing w:line="360" w:lineRule="auto"/>
        <w:jc w:val="both"/>
        <w:rPr>
          <w:rFonts w:ascii="Palatino Linotype" w:hAnsi="Palatino Linotype" w:cs="Arial"/>
          <w:b/>
        </w:rPr>
      </w:pPr>
      <w:r>
        <w:rPr>
          <w:rFonts w:ascii="Palatino Linotype" w:hAnsi="Palatino Linotype" w:cs="Arial"/>
        </w:rPr>
        <w:lastRenderedPageBreak/>
        <w:t xml:space="preserve">Mientras que, </w:t>
      </w:r>
      <w:r>
        <w:rPr>
          <w:rFonts w:ascii="Palatino Linotype" w:hAnsi="Palatino Linotype" w:cs="Arial"/>
          <w:b/>
        </w:rPr>
        <w:t>EL SUJETO OBLIGADO</w:t>
      </w:r>
      <w:r>
        <w:rPr>
          <w:rFonts w:ascii="Palatino Linotype" w:hAnsi="Palatino Linotype" w:cs="Arial"/>
        </w:rPr>
        <w:t xml:space="preserve"> </w:t>
      </w:r>
      <w:r>
        <w:rPr>
          <w:rFonts w:ascii="Palatino Linotype" w:eastAsiaTheme="minorEastAsia" w:hAnsi="Palatino Linotype" w:cs="Arial"/>
          <w:lang w:val="es-ES_tradnl"/>
        </w:rPr>
        <w:t xml:space="preserve">notificó la respuesta a la solicitud de acceso a la información pública del recurso de revisión número </w:t>
      </w:r>
      <w:r>
        <w:rPr>
          <w:rFonts w:ascii="Palatino Linotype" w:hAnsi="Palatino Linotype"/>
          <w:b/>
          <w:lang w:val="es-ES_tradnl"/>
        </w:rPr>
        <w:t xml:space="preserve">01607/INFOEM/IP/RR/2020 </w:t>
      </w:r>
      <w:r>
        <w:rPr>
          <w:rFonts w:ascii="Palatino Linotype" w:eastAsiaTheme="minorEastAsia" w:hAnsi="Palatino Linotype" w:cs="Arial"/>
          <w:lang w:val="es-ES_tradnl"/>
        </w:rPr>
        <w:t>el</w:t>
      </w:r>
      <w:r>
        <w:rPr>
          <w:rFonts w:ascii="Palatino Linotype" w:eastAsiaTheme="minorEastAsia" w:hAnsi="Palatino Linotype" w:cs="Arial"/>
          <w:b/>
          <w:lang w:val="es-ES_tradnl"/>
        </w:rPr>
        <w:t xml:space="preserve"> cuatro de marzo de dos mil veinte; </w:t>
      </w:r>
      <w:r>
        <w:rPr>
          <w:rFonts w:ascii="Palatino Linotype" w:hAnsi="Palatino Linotype" w:cs="Arial"/>
        </w:rPr>
        <w:t xml:space="preserve">en consecuencia, el plazo de quince días hábiles que el artículo 178 de la ley de la materia otorga al </w:t>
      </w:r>
      <w:r>
        <w:rPr>
          <w:rFonts w:ascii="Palatino Linotype" w:hAnsi="Palatino Linotype" w:cs="Arial"/>
          <w:b/>
        </w:rPr>
        <w:t>RECURRENTE</w:t>
      </w:r>
      <w:r>
        <w:rPr>
          <w:rFonts w:ascii="Palatino Linotype" w:hAnsi="Palatino Linotype" w:cs="Arial"/>
        </w:rPr>
        <w:t xml:space="preserve"> para presentar el recurso de revisión, transcurrió del</w:t>
      </w:r>
      <w:r>
        <w:t xml:space="preserve"> </w:t>
      </w:r>
      <w:r>
        <w:rPr>
          <w:rFonts w:ascii="Palatino Linotype" w:hAnsi="Palatino Linotype" w:cs="Arial"/>
          <w:b/>
        </w:rPr>
        <w:t>cinco de marzo al seis de agosto de dos mil veinte</w:t>
      </w:r>
      <w:r>
        <w:rPr>
          <w:rFonts w:ascii="Palatino Linotype" w:hAnsi="Palatino Linotype" w:cs="Arial"/>
        </w:rPr>
        <w:t>, sin contemplar en el cómputo los días siete, ocho, catorce, quince, veintiuno y veintidós de marzo, uno y dos de agosto de dos mil veinte, por corresponder a sábados y domingos, considerados como días inhábiles, en términos del artículo 3, fracción X de la Ley de Transparencia y Acceso a la Información Pública del Estado de México y Municipios; así como, los días nueve de marzo y del veintitrés de marzo al diecisiete de julio de dos mil veinte; así como, del veinte al treinta y uno de julio de dos mil veinte, por ser considerados como suspensión de labores, de conformidad con 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 derivado de los Acuerdos tomados en torno a la epidemia de la enfermedad generada por el virus SARS-CoV-2 (COVID-19), que originó la emergencia sanitaria por causa de fuerza mayor y medidas de seguridad, aprobados por el Pleno de este Instituto y, de conformidad con el Calendario Oficial en Materia de Transparencia, Acceso a la Información Pública y Protección de Datos Personales para el año dos mil diecinueve y enero dos mil veinte, publicado en el Periódico Oficial “Gaceta del Gobierno”, el diecinueve de diciembre de dos mil diecinueve.</w:t>
      </w:r>
    </w:p>
    <w:p w:rsidR="00D935F1" w:rsidRDefault="00D935F1">
      <w:pPr>
        <w:spacing w:line="360" w:lineRule="auto"/>
        <w:jc w:val="both"/>
        <w:rPr>
          <w:rFonts w:ascii="Palatino Linotype" w:hAnsi="Palatino Linotype" w:cs="Arial"/>
        </w:rPr>
      </w:pPr>
    </w:p>
    <w:p w:rsidR="00D935F1" w:rsidRDefault="00BF1C6A">
      <w:pPr>
        <w:tabs>
          <w:tab w:val="left" w:pos="6525"/>
        </w:tabs>
        <w:spacing w:line="360" w:lineRule="auto"/>
        <w:jc w:val="both"/>
        <w:rPr>
          <w:rFonts w:ascii="Palatino Linotype" w:hAnsi="Palatino Linotype"/>
        </w:rPr>
      </w:pPr>
      <w:r>
        <w:rPr>
          <w:rFonts w:ascii="Palatino Linotype" w:hAnsi="Palatino Linotype"/>
        </w:rPr>
        <w:tab/>
      </w:r>
    </w:p>
    <w:p w:rsidR="00D935F1" w:rsidRDefault="00BF1C6A">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lastRenderedPageBreak/>
        <w:t>En ese tenor, si los recursos de revisión que nos ocupa, se interpusieron el</w:t>
      </w:r>
      <w:r>
        <w:rPr>
          <w:rFonts w:ascii="Palatino Linotype" w:eastAsiaTheme="minorEastAsia" w:hAnsi="Palatino Linotype" w:cs="Arial"/>
          <w:b/>
          <w:lang w:val="es-ES_tradnl"/>
        </w:rPr>
        <w:t xml:space="preserve"> dos y diecisiete de marzo de dos mil veinte,</w:t>
      </w:r>
      <w:r>
        <w:rPr>
          <w:rFonts w:ascii="Palatino Linotype" w:eastAsiaTheme="minorEastAsia" w:hAnsi="Palatino Linotype" w:cs="Arial"/>
          <w:lang w:val="es-ES_tradnl"/>
        </w:rPr>
        <w:t xml:space="preserve"> éstos se encuentran dentro de los márgenes temporales previstos en el citado precepto legal y, por tanto, se consideran oportunos.</w:t>
      </w:r>
    </w:p>
    <w:p w:rsidR="00D935F1" w:rsidRDefault="00D935F1">
      <w:pPr>
        <w:spacing w:line="360" w:lineRule="auto"/>
        <w:jc w:val="both"/>
        <w:rPr>
          <w:rFonts w:ascii="Palatino Linotype" w:eastAsiaTheme="minorEastAsia" w:hAnsi="Palatino Linotype" w:cs="Arial"/>
          <w:lang w:val="es-ES_tradnl"/>
        </w:rPr>
      </w:pPr>
    </w:p>
    <w:p w:rsidR="00D935F1" w:rsidRDefault="00BF1C6A">
      <w:pPr>
        <w:widowControl w:val="0"/>
        <w:numPr>
          <w:ilvl w:val="0"/>
          <w:numId w:val="7"/>
        </w:numPr>
        <w:tabs>
          <w:tab w:val="left" w:pos="1701"/>
          <w:tab w:val="left" w:pos="1843"/>
        </w:tabs>
        <w:spacing w:line="360" w:lineRule="auto"/>
        <w:ind w:left="0" w:firstLine="0"/>
        <w:jc w:val="both"/>
        <w:rPr>
          <w:rFonts w:ascii="Palatino Linotype" w:hAnsi="Palatino Linotype" w:cs="Arial"/>
        </w:rPr>
      </w:pPr>
      <w:r>
        <w:rPr>
          <w:rFonts w:ascii="Palatino Linotype" w:hAnsi="Palatino Linotype" w:cs="Arial"/>
          <w:b/>
          <w:szCs w:val="28"/>
        </w:rPr>
        <w:t xml:space="preserve">Procedibilidad. </w:t>
      </w:r>
      <w:r>
        <w:rPr>
          <w:rFonts w:ascii="Palatino Linotype" w:hAnsi="Palatino Linotype" w:cs="Arial"/>
        </w:rPr>
        <w:t>Del análisis efectuado, se advierte la procedibilidad de los presentes recursos de revisión, en razón de la acreditación plena de todos y cada uno de los elementos formales exigidos por el artículo 180 de la Ley de Transparencia y Acceso a la Información Pública</w:t>
      </w:r>
      <w:r>
        <w:rPr>
          <w:rFonts w:ascii="Palatino Linotype" w:hAnsi="Palatino Linotype"/>
        </w:rPr>
        <w:t xml:space="preserve"> </w:t>
      </w:r>
      <w:r>
        <w:rPr>
          <w:rFonts w:ascii="Palatino Linotype" w:hAnsi="Palatino Linotype" w:cs="Arial"/>
        </w:rPr>
        <w:t>del</w:t>
      </w:r>
      <w:r>
        <w:rPr>
          <w:rFonts w:ascii="Palatino Linotype" w:hAnsi="Palatino Linotype"/>
        </w:rPr>
        <w:t xml:space="preserve"> </w:t>
      </w:r>
      <w:r>
        <w:rPr>
          <w:rFonts w:ascii="Palatino Linotype" w:hAnsi="Palatino Linotype" w:cs="Arial"/>
        </w:rPr>
        <w:t>Estado</w:t>
      </w:r>
      <w:r>
        <w:rPr>
          <w:rFonts w:ascii="Palatino Linotype" w:hAnsi="Palatino Linotype"/>
        </w:rPr>
        <w:t xml:space="preserve"> de México y Municipios, en atención a que fueron presentado mediante el formato visible en </w:t>
      </w:r>
      <w:r>
        <w:rPr>
          <w:rFonts w:ascii="Palatino Linotype" w:hAnsi="Palatino Linotype"/>
          <w:b/>
        </w:rPr>
        <w:t>EL SAIMEX</w:t>
      </w:r>
      <w:r>
        <w:rPr>
          <w:rFonts w:ascii="Palatino Linotype" w:hAnsi="Palatino Linotype"/>
        </w:rPr>
        <w:t>.</w:t>
      </w:r>
    </w:p>
    <w:p w:rsidR="00D935F1" w:rsidRDefault="00D935F1">
      <w:pPr>
        <w:widowControl w:val="0"/>
        <w:tabs>
          <w:tab w:val="left" w:pos="1701"/>
          <w:tab w:val="left" w:pos="1843"/>
        </w:tabs>
        <w:spacing w:line="360" w:lineRule="auto"/>
        <w:jc w:val="both"/>
        <w:rPr>
          <w:rFonts w:ascii="Palatino Linotype" w:hAnsi="Palatino Linotype"/>
          <w:lang w:val="es-ES"/>
        </w:rPr>
      </w:pPr>
    </w:p>
    <w:p w:rsidR="00D935F1" w:rsidRDefault="00BF1C6A">
      <w:pPr>
        <w:widowControl w:val="0"/>
        <w:numPr>
          <w:ilvl w:val="0"/>
          <w:numId w:val="7"/>
        </w:numPr>
        <w:tabs>
          <w:tab w:val="left" w:pos="1276"/>
        </w:tabs>
        <w:spacing w:line="360" w:lineRule="auto"/>
        <w:ind w:left="0" w:firstLine="0"/>
        <w:contextualSpacing/>
        <w:jc w:val="both"/>
        <w:rPr>
          <w:rFonts w:ascii="Palatino Linotype" w:hAnsi="Palatino Linotype" w:cs="Arial"/>
          <w:sz w:val="22"/>
          <w:szCs w:val="22"/>
          <w:lang w:eastAsia="es-MX"/>
        </w:rPr>
      </w:pPr>
      <w:bookmarkStart w:id="3" w:name="_Ref3465962"/>
      <w:r>
        <w:rPr>
          <w:rFonts w:ascii="Palatino Linotype" w:hAnsi="Palatino Linotype" w:cs="Arial"/>
          <w:b/>
        </w:rPr>
        <w:t>Estudio y resolución del asunto.</w:t>
      </w:r>
      <w:r>
        <w:rPr>
          <w:rFonts w:ascii="Palatino Linotype" w:hAnsi="Palatino Linotype" w:cs="Arial"/>
        </w:rPr>
        <w:t xml:space="preserve"> </w:t>
      </w:r>
      <w:bookmarkEnd w:id="3"/>
      <w:r>
        <w:rPr>
          <w:rFonts w:ascii="Palatino Linotype" w:hAnsi="Palatino Linotype" w:cs="Arial"/>
        </w:rPr>
        <w:t>Del análisis efectuado se advierte que los recursos de revisión de que se trata son procedente; toda vez, que se actualizan las hipótesis previstas en las fracciones III, V y XIII del artículo 179 de la Ley de la materia, que a la letra indican:</w:t>
      </w:r>
    </w:p>
    <w:p w:rsidR="00D935F1" w:rsidRDefault="00D935F1">
      <w:pPr>
        <w:widowControl w:val="0"/>
        <w:tabs>
          <w:tab w:val="left" w:pos="1276"/>
        </w:tabs>
        <w:spacing w:line="360" w:lineRule="auto"/>
        <w:contextualSpacing/>
        <w:jc w:val="both"/>
        <w:rPr>
          <w:rFonts w:ascii="Palatino Linotype" w:hAnsi="Palatino Linotype" w:cs="Arial"/>
          <w:sz w:val="22"/>
          <w:szCs w:val="22"/>
          <w:lang w:eastAsia="es-MX"/>
        </w:rPr>
      </w:pPr>
    </w:p>
    <w:p w:rsidR="00D935F1" w:rsidRDefault="00BF1C6A">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t>“</w:t>
      </w:r>
      <w:r>
        <w:rPr>
          <w:rFonts w:ascii="Palatino Linotype" w:hAnsi="Palatino Linotype" w:cs="Arial"/>
          <w:b/>
          <w:bCs/>
          <w:i/>
          <w:sz w:val="22"/>
          <w:szCs w:val="22"/>
        </w:rPr>
        <w:t>Artículo 179.</w:t>
      </w:r>
      <w:r>
        <w:rPr>
          <w:rFonts w:ascii="Palatino Linotype" w:hAnsi="Palatino Linotype" w:cs="Arial"/>
          <w:bCs/>
          <w:i/>
          <w:sz w:val="22"/>
          <w:szCs w:val="22"/>
        </w:rPr>
        <w:t xml:space="preserve"> </w:t>
      </w:r>
      <w:r>
        <w:rPr>
          <w:rFonts w:ascii="Palatino Linotype" w:hAnsi="Palatino Linotype" w:cs="Arial"/>
          <w:b/>
          <w:i/>
          <w:sz w:val="22"/>
          <w:szCs w:val="22"/>
        </w:rPr>
        <w:t>El recurso de revisión</w:t>
      </w:r>
      <w:r>
        <w:rPr>
          <w:rFonts w:ascii="Palatino Linotype" w:hAnsi="Palatino Linotype" w:cs="Arial"/>
          <w:i/>
          <w:sz w:val="22"/>
          <w:szCs w:val="22"/>
        </w:rPr>
        <w:t xml:space="preserve"> es un medio de protección que la Ley otorga a los particulares, para hacer valer su derecho de acceso a la información pública, y </w:t>
      </w:r>
      <w:r>
        <w:rPr>
          <w:rFonts w:ascii="Palatino Linotype" w:hAnsi="Palatino Linotype" w:cs="Arial"/>
          <w:b/>
          <w:i/>
          <w:sz w:val="22"/>
          <w:szCs w:val="22"/>
        </w:rPr>
        <w:t>procederá en contra de las siguientes causas:</w:t>
      </w:r>
    </w:p>
    <w:p w:rsidR="00D935F1" w:rsidRDefault="00BF1C6A">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t>. . .</w:t>
      </w:r>
    </w:p>
    <w:p w:rsidR="00D935F1" w:rsidRDefault="00BF1C6A">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II. La clasificación de la información;</w:t>
      </w:r>
    </w:p>
    <w:p w:rsidR="00D935F1" w:rsidRDefault="00BF1C6A">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w:t>
      </w:r>
    </w:p>
    <w:p w:rsidR="00D935F1" w:rsidRDefault="00BF1C6A">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V. La entrega de información incompleta;</w:t>
      </w:r>
    </w:p>
    <w:p w:rsidR="00D935F1" w:rsidRDefault="00BF1C6A">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w:t>
      </w:r>
    </w:p>
    <w:p w:rsidR="00D935F1" w:rsidRDefault="00BF1C6A">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XIII. La falta, deficiencia o insuficiencia de la fundamentación y/o motivación en la respuesta; y”</w:t>
      </w:r>
    </w:p>
    <w:p w:rsidR="00D935F1" w:rsidRDefault="00D935F1">
      <w:pPr>
        <w:spacing w:line="276" w:lineRule="auto"/>
        <w:ind w:left="709" w:right="709"/>
        <w:jc w:val="both"/>
        <w:rPr>
          <w:rFonts w:ascii="Palatino Linotype" w:hAnsi="Palatino Linotype" w:cs="Arial"/>
          <w:b/>
          <w:bCs/>
          <w:i/>
          <w:sz w:val="22"/>
          <w:szCs w:val="22"/>
        </w:rPr>
      </w:pPr>
    </w:p>
    <w:p w:rsidR="00D935F1" w:rsidRDefault="00BF1C6A">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(Énfasis añadido)</w:t>
      </w:r>
    </w:p>
    <w:p w:rsidR="00D935F1" w:rsidRDefault="00BF1C6A">
      <w:pPr>
        <w:widowControl w:val="0"/>
        <w:spacing w:before="200" w:after="200" w:line="360" w:lineRule="auto"/>
        <w:jc w:val="both"/>
        <w:rPr>
          <w:rFonts w:ascii="Palatino Linotype" w:hAnsi="Palatino Linotype" w:cs="Arial"/>
          <w:b/>
        </w:rPr>
      </w:pPr>
      <w:r>
        <w:rPr>
          <w:rFonts w:ascii="Palatino Linotype" w:hAnsi="Palatino Linotype" w:cs="Arial"/>
        </w:rPr>
        <w:lastRenderedPageBreak/>
        <w:t xml:space="preserve">El precepto legal antes citado, establece como supuesto de procedencia del recurso de revisión, la clasificación de la información, la entrega de información incompleta y la falta, deficiencia o insuficiencia de la fundamentación y/o motivación en la respuesta, en razón a que </w:t>
      </w:r>
      <w:r>
        <w:rPr>
          <w:rFonts w:ascii="Palatino Linotype" w:hAnsi="Palatino Linotype" w:cs="Arial"/>
          <w:b/>
        </w:rPr>
        <w:t>EL SUJETO OBLIGADO</w:t>
      </w:r>
      <w:r>
        <w:rPr>
          <w:rFonts w:ascii="Palatino Linotype" w:hAnsi="Palatino Linotype" w:cs="Arial"/>
        </w:rPr>
        <w:t>, remitió mediante respuestas, las actas de entrega-recepción solicitadas por el particular únicamente de los años 2018, 2019 y 2020 en supuesta versión publica olvidando remitir las actas de entrega recepción de los años 2014, 2015, 2016 y 2017;también, omitió hacer entrega del Acuerdo de Clasificación correspondiente emitido por el Comité de Transparencia, por lo que no fundamentó ni motivo el testado de las documentales remitidas, tal y como se analizará más adelante.</w:t>
      </w:r>
    </w:p>
    <w:p w:rsidR="00D935F1" w:rsidRDefault="00BF1C6A">
      <w:pPr>
        <w:widowControl w:val="0"/>
        <w:spacing w:before="200" w:after="200" w:line="360" w:lineRule="auto"/>
        <w:jc w:val="both"/>
        <w:rPr>
          <w:rFonts w:ascii="Palatino Linotype" w:hAnsi="Palatino Linotype"/>
        </w:rPr>
      </w:pPr>
      <w:r>
        <w:rPr>
          <w:rFonts w:ascii="Palatino Linotype" w:hAnsi="Palatino Linotype" w:cs="Arial"/>
        </w:rPr>
        <w:t>Para ilustrar dicha actualización, debemos recordar que el hoy</w:t>
      </w:r>
      <w:r>
        <w:rPr>
          <w:rFonts w:ascii="Palatino Linotype" w:hAnsi="Palatino Linotype" w:cs="Arial"/>
          <w:b/>
        </w:rPr>
        <w:t xml:space="preserve"> RECURRENTE </w:t>
      </w:r>
      <w:r>
        <w:rPr>
          <w:rFonts w:ascii="Palatino Linotype" w:hAnsi="Palatino Linotype"/>
        </w:rPr>
        <w:t>en las solicitudes de acceso a la información pública, requirió del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vía </w:t>
      </w:r>
      <w:r>
        <w:rPr>
          <w:rFonts w:ascii="Palatino Linotype" w:hAnsi="Palatino Linotype" w:cs="Arial"/>
          <w:b/>
        </w:rPr>
        <w:t>EL SAIMEX</w:t>
      </w:r>
      <w:r>
        <w:rPr>
          <w:rFonts w:ascii="Palatino Linotype" w:hAnsi="Palatino Linotype" w:cs="Arial"/>
        </w:rPr>
        <w:t>,</w:t>
      </w:r>
      <w:r>
        <w:rPr>
          <w:rFonts w:ascii="Palatino Linotype" w:hAnsi="Palatino Linotype"/>
        </w:rPr>
        <w:t xml:space="preserve"> “</w:t>
      </w:r>
      <w:r>
        <w:rPr>
          <w:rFonts w:ascii="Palatino Linotype" w:hAnsi="Palatino Linotype"/>
          <w:b/>
          <w:i/>
        </w:rPr>
        <w:t>las actas de entrega recepción celebradas por el ayuntamiento en los años 2014, 2015, 2016, 2017, 2018, 2019 y 2020.”</w:t>
      </w:r>
    </w:p>
    <w:p w:rsidR="00D935F1" w:rsidRDefault="00BF1C6A">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Ahora bien, </w:t>
      </w:r>
      <w:r>
        <w:rPr>
          <w:rFonts w:ascii="Palatino Linotype" w:hAnsi="Palatino Linotype" w:cs="Arial"/>
          <w:b/>
        </w:rPr>
        <w:t>EL SUJETO OBLIGADO</w:t>
      </w:r>
      <w:r>
        <w:rPr>
          <w:rFonts w:ascii="Palatino Linotype" w:hAnsi="Palatino Linotype" w:cs="Arial"/>
        </w:rPr>
        <w:t xml:space="preserve"> pretendió dar repuesta</w:t>
      </w:r>
      <w:r>
        <w:rPr>
          <w:rFonts w:ascii="Palatino Linotype" w:hAnsi="Palatino Linotype" w:cs="Arial"/>
          <w:b/>
        </w:rPr>
        <w:t xml:space="preserve"> </w:t>
      </w:r>
      <w:r>
        <w:rPr>
          <w:rFonts w:ascii="Palatino Linotype" w:hAnsi="Palatino Linotype" w:cs="Arial"/>
        </w:rPr>
        <w:t xml:space="preserve">a lo solicitado por el particular, adjuntando los documentos descritos en el Resultando </w:t>
      </w:r>
      <w:r>
        <w:rPr>
          <w:rFonts w:ascii="Palatino Linotype" w:hAnsi="Palatino Linotype" w:cs="Arial"/>
          <w:b/>
        </w:rPr>
        <w:t xml:space="preserve">III </w:t>
      </w:r>
      <w:r>
        <w:rPr>
          <w:rFonts w:ascii="Palatino Linotype" w:hAnsi="Palatino Linotype" w:cs="Arial"/>
        </w:rPr>
        <w:t>de la presente resolución.</w:t>
      </w:r>
    </w:p>
    <w:p w:rsidR="00D935F1" w:rsidRDefault="00D935F1">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D935F1" w:rsidRDefault="00BF1C6A">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Inconforme con las respuestas, el ahora </w:t>
      </w:r>
      <w:r>
        <w:rPr>
          <w:rFonts w:ascii="Palatino Linotype" w:hAnsi="Palatino Linotype" w:cs="Arial"/>
          <w:b/>
        </w:rPr>
        <w:t>RECURRENTE</w:t>
      </w:r>
      <w:r>
        <w:rPr>
          <w:rFonts w:ascii="Palatino Linotype" w:hAnsi="Palatino Linotype" w:cs="Arial"/>
        </w:rPr>
        <w:t xml:space="preserve">, procedió a </w:t>
      </w:r>
      <w:r>
        <w:rPr>
          <w:rFonts w:ascii="Palatino Linotype" w:hAnsi="Palatino Linotype"/>
          <w:szCs w:val="21"/>
        </w:rPr>
        <w:t>interponer</w:t>
      </w:r>
      <w:r>
        <w:rPr>
          <w:rFonts w:ascii="Palatino Linotype" w:hAnsi="Palatino Linotype" w:cs="Arial"/>
        </w:rPr>
        <w:t xml:space="preserve"> el presente recurso de revisión, señalando tanto en acto impugnado, así como en sus razones o motivos de inconformidad, que la información entregada por </w:t>
      </w:r>
      <w:r>
        <w:rPr>
          <w:rFonts w:ascii="Palatino Linotype" w:hAnsi="Palatino Linotype" w:cs="Arial"/>
          <w:b/>
        </w:rPr>
        <w:t>EL SUJETO OBLIGADO</w:t>
      </w:r>
      <w:r>
        <w:rPr>
          <w:rFonts w:ascii="Palatino Linotype" w:hAnsi="Palatino Linotype" w:cs="Arial"/>
        </w:rPr>
        <w:t xml:space="preserve"> se encontraba rayada y tachada, no se le había informado que se cubrió, en consecuencia se vulneró su derecho al acceso a la información pública.</w:t>
      </w:r>
    </w:p>
    <w:p w:rsidR="00D935F1" w:rsidRDefault="00BF1C6A">
      <w:pPr>
        <w:widowControl w:val="0"/>
        <w:tabs>
          <w:tab w:val="left" w:pos="1701"/>
          <w:tab w:val="left" w:pos="1843"/>
        </w:tabs>
        <w:spacing w:line="360" w:lineRule="auto"/>
        <w:contextualSpacing/>
        <w:jc w:val="both"/>
        <w:rPr>
          <w:rFonts w:ascii="Palatino Linotype" w:hAnsi="Palatino Linotype" w:cs="Arial"/>
        </w:rPr>
      </w:pPr>
      <w:r>
        <w:rPr>
          <w:rFonts w:ascii="Palatino Linotype" w:hAnsi="Palatino Linotype" w:cs="Arial"/>
        </w:rPr>
        <w:lastRenderedPageBreak/>
        <w:t xml:space="preserve">Por otra parte, de las </w:t>
      </w:r>
      <w:r>
        <w:rPr>
          <w:rFonts w:ascii="Palatino Linotype" w:hAnsi="Palatino Linotype"/>
          <w:szCs w:val="21"/>
        </w:rPr>
        <w:t>constancias</w:t>
      </w:r>
      <w:r>
        <w:rPr>
          <w:rFonts w:ascii="Palatino Linotype" w:hAnsi="Palatino Linotype" w:cs="Arial"/>
        </w:rPr>
        <w:t xml:space="preserve"> que obran en 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EL RECURRENTE</w:t>
      </w:r>
      <w:r>
        <w:rPr>
          <w:rFonts w:ascii="Palatino Linotype" w:hAnsi="Palatino Linotype" w:cs="Arial"/>
        </w:rPr>
        <w:t xml:space="preserve"> no realizó manifestaciones o alegatos, ni ofreció los medios de prueba que a su derecho convinieran; mientras que </w:t>
      </w:r>
      <w:r>
        <w:rPr>
          <w:rFonts w:ascii="Palatino Linotype" w:hAnsi="Palatino Linotype" w:cs="Arial"/>
          <w:b/>
        </w:rPr>
        <w:t>EL SUJETO OBLIGADO</w:t>
      </w:r>
      <w:r>
        <w:rPr>
          <w:rFonts w:ascii="Palatino Linotype" w:hAnsi="Palatino Linotype" w:cs="Arial"/>
        </w:rPr>
        <w:t xml:space="preserve"> tampoco exhibió su Informe Justificado correspondiente.</w:t>
      </w:r>
    </w:p>
    <w:p w:rsidR="00D935F1" w:rsidRDefault="00D935F1">
      <w:pPr>
        <w:widowControl w:val="0"/>
        <w:tabs>
          <w:tab w:val="left" w:pos="1701"/>
          <w:tab w:val="left" w:pos="1843"/>
        </w:tabs>
        <w:spacing w:line="360" w:lineRule="auto"/>
        <w:contextualSpacing/>
        <w:jc w:val="both"/>
        <w:rPr>
          <w:rFonts w:ascii="Palatino Linotype" w:hAnsi="Palatino Linotype" w:cs="Arial"/>
        </w:rPr>
      </w:pPr>
    </w:p>
    <w:p w:rsidR="00D935F1" w:rsidRDefault="00BF1C6A">
      <w:pPr>
        <w:widowControl w:val="0"/>
        <w:tabs>
          <w:tab w:val="left" w:pos="1701"/>
          <w:tab w:val="left" w:pos="1843"/>
        </w:tabs>
        <w:spacing w:line="360" w:lineRule="auto"/>
        <w:jc w:val="both"/>
        <w:rPr>
          <w:rFonts w:ascii="Palatino Linotype" w:hAnsi="Palatino Linotype" w:cs="Arial"/>
        </w:rPr>
      </w:pPr>
      <w:r>
        <w:rPr>
          <w:rFonts w:ascii="Palatino Linotype" w:hAnsi="Palatino Linotype"/>
        </w:rPr>
        <w:t xml:space="preserve">Bajo ese contexto, este Instituto analizó la totalidad de constancias que integran los expedientes electrónicos del </w:t>
      </w:r>
      <w:r>
        <w:rPr>
          <w:rFonts w:ascii="Palatino Linotype" w:hAnsi="Palatino Linotype"/>
          <w:b/>
        </w:rPr>
        <w:t>SAIMEX</w:t>
      </w:r>
      <w:r>
        <w:rPr>
          <w:rFonts w:ascii="Palatino Linotype" w:hAnsi="Palatino Linotype"/>
        </w:rPr>
        <w:t xml:space="preserve"> y advirtió que las razones o motivos de inconformidad hechos valer por </w:t>
      </w:r>
      <w:r>
        <w:rPr>
          <w:rFonts w:ascii="Palatino Linotype" w:hAnsi="Palatino Linotype"/>
          <w:b/>
        </w:rPr>
        <w:t>EL RECURRENTE</w:t>
      </w:r>
      <w:r>
        <w:rPr>
          <w:rFonts w:ascii="Palatino Linotype" w:hAnsi="Palatino Linotype"/>
        </w:rPr>
        <w:t xml:space="preserve"> devienen</w:t>
      </w:r>
      <w:r>
        <w:rPr>
          <w:rFonts w:ascii="Palatino Linotype" w:hAnsi="Palatino Linotype"/>
          <w:b/>
        </w:rPr>
        <w:t xml:space="preserve"> fundados</w:t>
      </w:r>
      <w:r>
        <w:rPr>
          <w:rFonts w:ascii="Palatino Linotype" w:hAnsi="Palatino Linotype"/>
        </w:rPr>
        <w:t xml:space="preserve">, </w:t>
      </w:r>
      <w:r>
        <w:rPr>
          <w:rFonts w:ascii="Palatino Linotype" w:hAnsi="Palatino Linotype" w:cs="Arial"/>
        </w:rPr>
        <w:t>de acuerdo a las consideraciones de hecho y de derecho que a continuación se desagregan.</w:t>
      </w:r>
    </w:p>
    <w:p w:rsidR="00D935F1" w:rsidRDefault="00BF1C6A">
      <w:pPr>
        <w:spacing w:beforeAutospacing="1" w:afterAutospacing="1" w:line="360" w:lineRule="auto"/>
        <w:jc w:val="both"/>
        <w:rPr>
          <w:rFonts w:ascii="Palatino Linotype" w:eastAsia="Calibri" w:hAnsi="Palatino Linotype" w:cs="Arial"/>
        </w:rPr>
      </w:pPr>
      <w:r>
        <w:rPr>
          <w:rFonts w:ascii="Palatino Linotype" w:hAnsi="Palatino Linotype" w:cs="Arial"/>
          <w:lang w:val="es-ES"/>
        </w:rPr>
        <w:t>Precisado ello,</w:t>
      </w:r>
      <w:r>
        <w:rPr>
          <w:rFonts w:ascii="Palatino Linotype" w:hAnsi="Palatino Linotype"/>
          <w:lang w:val="es-ES"/>
        </w:rPr>
        <w:t xml:space="preserve"> se obvia el análisis de la competencia por parte del </w:t>
      </w:r>
      <w:r>
        <w:rPr>
          <w:rFonts w:ascii="Palatino Linotype" w:hAnsi="Palatino Linotype"/>
          <w:b/>
          <w:lang w:val="es-ES"/>
        </w:rPr>
        <w:t>SUJETO OBLIGADO</w:t>
      </w:r>
      <w:r>
        <w:rPr>
          <w:rFonts w:ascii="Palatino Linotype" w:hAnsi="Palatino Linotype"/>
          <w:lang w:val="es-ES"/>
        </w:rPr>
        <w:t>, para generar, administrar o poseer la información solicitada en el recurso que nos ocupa, dado que éste ha asumido la misma, mediante sus respuestas</w:t>
      </w:r>
      <w:r>
        <w:rPr>
          <w:rFonts w:ascii="Palatino Linotype" w:hAnsi="Palatino Linotype" w:cs="Arial"/>
          <w:b/>
          <w:color w:val="000000"/>
          <w:lang w:val="es-ES"/>
        </w:rPr>
        <w:t xml:space="preserve">; </w:t>
      </w:r>
      <w:r>
        <w:rPr>
          <w:rFonts w:ascii="Palatino Linotype" w:hAnsi="Palatino Linotype" w:cs="Arial"/>
          <w:color w:val="000000"/>
          <w:lang w:val="es-ES"/>
        </w:rPr>
        <w:t>por lo que</w:t>
      </w:r>
      <w:r>
        <w:rPr>
          <w:rFonts w:ascii="Palatino Linotype" w:hAnsi="Palatino Linotype" w:cs="Arial"/>
          <w:b/>
          <w:color w:val="000000"/>
          <w:lang w:val="es-ES"/>
        </w:rPr>
        <w:t xml:space="preserve">, </w:t>
      </w:r>
      <w:r>
        <w:rPr>
          <w:rFonts w:ascii="Palatino Linotype" w:hAnsi="Palatino Linotype" w:cs="Arial"/>
          <w:color w:val="000000"/>
          <w:lang w:val="es-ES"/>
        </w:rPr>
        <w:t>ante tales pronunciamientos se arriba a que genera, posee y administra la información requerida por el particular.</w:t>
      </w:r>
    </w:p>
    <w:p w:rsidR="00D935F1" w:rsidRDefault="00BF1C6A">
      <w:pPr>
        <w:spacing w:line="360" w:lineRule="auto"/>
        <w:jc w:val="both"/>
        <w:rPr>
          <w:rFonts w:ascii="Palatino Linotype" w:hAnsi="Palatino Linotype"/>
          <w:lang w:val="es-ES"/>
        </w:rPr>
      </w:pPr>
      <w:r>
        <w:rPr>
          <w:rFonts w:ascii="Palatino Linotype" w:hAnsi="Palatino Linotype"/>
          <w:lang w:val="es-ES"/>
        </w:rPr>
        <w:t xml:space="preserve">En este contexto, el hecho de que </w:t>
      </w:r>
      <w:r>
        <w:rPr>
          <w:rFonts w:ascii="Palatino Linotype" w:hAnsi="Palatino Linotype"/>
          <w:b/>
          <w:lang w:val="es-ES"/>
        </w:rPr>
        <w:t>EL SUJETO OBLIGADO</w:t>
      </w:r>
      <w:r>
        <w:rPr>
          <w:rFonts w:ascii="Palatino Linotype" w:hAnsi="Palatino Linotype"/>
          <w:lang w:val="es-ES"/>
        </w:rPr>
        <w:t xml:space="preserve"> haya asumido contar con la información pública solicitada en el recurso que nos ocupa, acepta que es competente para generarla, poseerla y administrarla, en el ejercicio de sus funciones de derecho público, motivo por el cual se actualiza el supuesto jurídico, previsto en el artículo 12 de la Ley de Transparencia y Acceso a la Información Pública del Estado de México y Municipios, que literalmente establece:</w:t>
      </w:r>
    </w:p>
    <w:p w:rsidR="00D935F1" w:rsidRDefault="00D935F1">
      <w:pPr>
        <w:spacing w:line="360" w:lineRule="auto"/>
        <w:jc w:val="both"/>
        <w:rPr>
          <w:rFonts w:ascii="Palatino Linotype" w:hAnsi="Palatino Linotype"/>
          <w:lang w:val="es-ES"/>
        </w:rPr>
      </w:pPr>
    </w:p>
    <w:p w:rsidR="00D935F1" w:rsidRDefault="00BF1C6A">
      <w:pPr>
        <w:ind w:left="851" w:right="899"/>
        <w:jc w:val="both"/>
        <w:rPr>
          <w:rFonts w:ascii="Palatino Linotype" w:hAnsi="Palatino Linotype"/>
          <w:i/>
          <w:sz w:val="22"/>
          <w:szCs w:val="22"/>
          <w:lang w:val="es-ES"/>
        </w:rPr>
      </w:pPr>
      <w:r>
        <w:rPr>
          <w:rFonts w:ascii="Palatino Linotype" w:hAnsi="Palatino Linotype"/>
          <w:b/>
          <w:i/>
          <w:sz w:val="22"/>
          <w:szCs w:val="22"/>
          <w:lang w:val="es-ES"/>
        </w:rPr>
        <w:lastRenderedPageBreak/>
        <w:t>“Artículo 12</w:t>
      </w:r>
      <w:r>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D935F1" w:rsidRDefault="00D935F1">
      <w:pPr>
        <w:ind w:left="851" w:right="899"/>
        <w:jc w:val="both"/>
        <w:rPr>
          <w:rFonts w:ascii="Palatino Linotype" w:hAnsi="Palatino Linotype"/>
          <w:i/>
          <w:sz w:val="22"/>
          <w:szCs w:val="22"/>
          <w:lang w:val="es-ES"/>
        </w:rPr>
      </w:pPr>
    </w:p>
    <w:p w:rsidR="00D935F1" w:rsidRDefault="00BF1C6A">
      <w:pPr>
        <w:ind w:left="851" w:right="899"/>
        <w:jc w:val="both"/>
        <w:rPr>
          <w:rFonts w:ascii="Palatino Linotype" w:hAnsi="Palatino Linotype"/>
          <w:b/>
          <w:i/>
          <w:sz w:val="22"/>
          <w:szCs w:val="22"/>
          <w:lang w:val="es-ES"/>
        </w:rPr>
      </w:pPr>
      <w:r>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b/>
          <w:i/>
          <w:sz w:val="22"/>
          <w:szCs w:val="22"/>
          <w:lang w:val="es-ES"/>
        </w:rPr>
        <w:t>”</w:t>
      </w:r>
    </w:p>
    <w:p w:rsidR="00D935F1" w:rsidRDefault="00D935F1">
      <w:pPr>
        <w:spacing w:line="360" w:lineRule="auto"/>
        <w:ind w:left="851" w:right="899"/>
        <w:jc w:val="both"/>
        <w:rPr>
          <w:rFonts w:ascii="Palatino Linotype" w:hAnsi="Palatino Linotype"/>
          <w:i/>
          <w:sz w:val="22"/>
          <w:szCs w:val="22"/>
          <w:lang w:val="es-ES"/>
        </w:rPr>
      </w:pPr>
    </w:p>
    <w:p w:rsidR="00D935F1" w:rsidRDefault="00BF1C6A">
      <w:pPr>
        <w:spacing w:line="360" w:lineRule="auto"/>
        <w:jc w:val="both"/>
        <w:rPr>
          <w:rFonts w:ascii="Palatino Linotype" w:hAnsi="Palatino Linotype"/>
          <w:lang w:val="es-ES"/>
        </w:rPr>
      </w:pPr>
      <w:r>
        <w:rPr>
          <w:rFonts w:ascii="Palatino Linotype" w:hAnsi="Palatino Linotype"/>
          <w:lang w:val="es-ES"/>
        </w:rPr>
        <w:t xml:space="preserve">De hecho, el estudio de la naturaleza jurídica de la información pública solicitada, tiene por objeto determinar si ésta la genera, posee o administra </w:t>
      </w:r>
      <w:r>
        <w:rPr>
          <w:rFonts w:ascii="Palatino Linotype" w:hAnsi="Palatino Linotype"/>
          <w:b/>
          <w:lang w:val="es-ES"/>
        </w:rPr>
        <w:t>EL SUJETO OBLIGADO</w:t>
      </w:r>
      <w:r>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D935F1" w:rsidRDefault="00D935F1">
      <w:pPr>
        <w:spacing w:line="360" w:lineRule="auto"/>
        <w:jc w:val="both"/>
        <w:rPr>
          <w:rFonts w:ascii="Palatino Linotype" w:hAnsi="Palatino Linotype"/>
          <w:lang w:val="es-ES"/>
        </w:rPr>
      </w:pPr>
    </w:p>
    <w:p w:rsidR="00D935F1" w:rsidRDefault="00BF1C6A">
      <w:pPr>
        <w:spacing w:line="360" w:lineRule="auto"/>
        <w:jc w:val="both"/>
        <w:rPr>
          <w:rFonts w:ascii="Palatino Linotype" w:hAnsi="Palatino Linotype"/>
        </w:rPr>
      </w:pPr>
      <w:r>
        <w:rPr>
          <w:rFonts w:ascii="Palatino Linotype" w:hAnsi="Palatino Linotype"/>
        </w:rPr>
        <w:t xml:space="preserve">Asimismo, no se omite comentar que, al haber existido un pronunciamiento por parte del </w:t>
      </w:r>
      <w:r>
        <w:rPr>
          <w:rFonts w:ascii="Palatino Linotype" w:hAnsi="Palatino Linotype"/>
          <w:b/>
        </w:rPr>
        <w:t xml:space="preserve">SUJETO OBLIGADO </w:t>
      </w:r>
      <w:r>
        <w:rPr>
          <w:rFonts w:ascii="Palatino Linotype" w:hAnsi="Palatino Linotype"/>
        </w:rPr>
        <w:t>mediante respuestas, a fin de dar atención a las solicitudes planteadas, este Instituto no está facultado para manifestarse sobre la veracidad de la información proporcionada, conforme al artículo 36 de la Ley de la Materia.</w:t>
      </w:r>
    </w:p>
    <w:p w:rsidR="00D935F1" w:rsidRDefault="00BF1C6A">
      <w:pPr>
        <w:spacing w:beforeAutospacing="1" w:afterAutospacing="1" w:line="360" w:lineRule="auto"/>
        <w:jc w:val="both"/>
        <w:rPr>
          <w:rFonts w:ascii="Palatino Linotype" w:hAnsi="Palatino Linotype" w:cs="Arial"/>
        </w:rPr>
      </w:pPr>
      <w:r>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D935F1" w:rsidRDefault="00BF1C6A">
      <w:pPr>
        <w:ind w:left="709" w:right="760"/>
        <w:jc w:val="both"/>
        <w:rPr>
          <w:rFonts w:ascii="Palatino Linotype" w:hAnsi="Palatino Linotype" w:cs="Arial"/>
          <w:i/>
          <w:sz w:val="22"/>
        </w:rPr>
      </w:pPr>
      <w:r>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D935F1" w:rsidRDefault="00BF1C6A">
      <w:pPr>
        <w:ind w:left="709" w:right="757"/>
        <w:jc w:val="both"/>
        <w:rPr>
          <w:rFonts w:ascii="Palatino Linotype" w:hAnsi="Palatino Linotype" w:cs="Arial"/>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D935F1" w:rsidRDefault="00D935F1">
      <w:pPr>
        <w:spacing w:beforeAutospacing="1" w:afterAutospacing="1" w:line="360" w:lineRule="auto"/>
        <w:contextualSpacing/>
        <w:jc w:val="both"/>
        <w:rPr>
          <w:rFonts w:ascii="Palatino Linotype" w:eastAsia="Calibri" w:hAnsi="Palatino Linotype" w:cs="Arial"/>
        </w:rPr>
      </w:pPr>
    </w:p>
    <w:p w:rsidR="00D935F1" w:rsidRDefault="00BF1C6A">
      <w:pPr>
        <w:spacing w:before="360" w:after="240" w:line="360" w:lineRule="auto"/>
        <w:jc w:val="both"/>
        <w:rPr>
          <w:rFonts w:ascii="Palatino Linotype" w:hAnsi="Palatino Linotype"/>
          <w:b/>
          <w:i/>
        </w:rPr>
      </w:pPr>
      <w:r>
        <w:rPr>
          <w:rFonts w:ascii="Palatino Linotype" w:hAnsi="Palatino Linotype" w:cs="Arial"/>
          <w:lang w:eastAsia="es-MX"/>
        </w:rPr>
        <w:t xml:space="preserve">Hecho lo anterior, es importante analizar si el </w:t>
      </w:r>
      <w:r>
        <w:rPr>
          <w:rFonts w:ascii="Palatino Linotype" w:hAnsi="Palatino Linotype" w:cs="Arial"/>
          <w:b/>
          <w:lang w:eastAsia="es-MX"/>
        </w:rPr>
        <w:t>SUJETO OBLIGADO</w:t>
      </w:r>
      <w:r>
        <w:rPr>
          <w:rFonts w:ascii="Palatino Linotype" w:hAnsi="Palatino Linotype" w:cs="Arial"/>
          <w:lang w:eastAsia="es-MX"/>
        </w:rPr>
        <w:t xml:space="preserve"> colmó el derecho de acceso a la información del particular, así, es importante recordar que el ahora </w:t>
      </w:r>
      <w:r>
        <w:rPr>
          <w:rFonts w:ascii="Palatino Linotype" w:hAnsi="Palatino Linotype" w:cs="Arial"/>
          <w:b/>
          <w:lang w:eastAsia="es-MX"/>
        </w:rPr>
        <w:t>RECURRENTE</w:t>
      </w:r>
      <w:r>
        <w:rPr>
          <w:rFonts w:ascii="Palatino Linotype" w:hAnsi="Palatino Linotype" w:cs="Arial"/>
          <w:lang w:eastAsia="es-MX"/>
        </w:rPr>
        <w:t xml:space="preserve">, solicitó del </w:t>
      </w:r>
      <w:r>
        <w:rPr>
          <w:rFonts w:ascii="Palatino Linotype" w:hAnsi="Palatino Linotype" w:cs="Arial"/>
          <w:b/>
          <w:lang w:eastAsia="es-MX"/>
        </w:rPr>
        <w:t>SUJETO OBLIGADO</w:t>
      </w:r>
      <w:r>
        <w:rPr>
          <w:rFonts w:ascii="Palatino Linotype" w:hAnsi="Palatino Linotype" w:cs="Arial"/>
          <w:lang w:eastAsia="es-MX"/>
        </w:rPr>
        <w:t xml:space="preserve">, conocer </w:t>
      </w:r>
      <w:r>
        <w:rPr>
          <w:rFonts w:ascii="Palatino Linotype" w:hAnsi="Palatino Linotype"/>
        </w:rPr>
        <w:t>“</w:t>
      </w:r>
      <w:r>
        <w:rPr>
          <w:rFonts w:ascii="Palatino Linotype" w:hAnsi="Palatino Linotype"/>
          <w:b/>
          <w:i/>
        </w:rPr>
        <w:t>las actas de entrega recepción celebradas por el Ayuntamiento en los años 2014, 2015, 2016, 2017, 2018, 2019 y 2020.”</w:t>
      </w:r>
    </w:p>
    <w:p w:rsidR="00D935F1" w:rsidRDefault="00BF1C6A">
      <w:pPr>
        <w:tabs>
          <w:tab w:val="left" w:pos="709"/>
        </w:tabs>
        <w:spacing w:line="360" w:lineRule="auto"/>
        <w:jc w:val="both"/>
        <w:rPr>
          <w:rFonts w:ascii="Palatino Linotype" w:hAnsi="Palatino Linotype" w:cs="Arial"/>
          <w:b/>
        </w:rPr>
      </w:pPr>
      <w:r>
        <w:rPr>
          <w:rFonts w:ascii="Palatino Linotype" w:hAnsi="Palatino Linotype"/>
        </w:rPr>
        <w:t xml:space="preserve">Así, mediante respuestas </w:t>
      </w:r>
      <w:r>
        <w:rPr>
          <w:rFonts w:ascii="Palatino Linotype" w:hAnsi="Palatino Linotype"/>
          <w:b/>
        </w:rPr>
        <w:t>EL SUJETO OBLIGADO</w:t>
      </w:r>
      <w:r>
        <w:rPr>
          <w:rFonts w:ascii="Palatino Linotype" w:hAnsi="Palatino Linotype"/>
        </w:rPr>
        <w:t xml:space="preserve">, remitió los archivos electrónicos </w:t>
      </w:r>
      <w:r>
        <w:rPr>
          <w:rFonts w:ascii="Palatino Linotype" w:hAnsi="Palatino Linotype" w:cs="Arial"/>
          <w:b/>
        </w:rPr>
        <w:t>RESP_UTAI_00030.pdf</w:t>
      </w:r>
      <w:r>
        <w:rPr>
          <w:rFonts w:ascii="Palatino Linotype" w:hAnsi="Palatino Linotype" w:cs="Arial"/>
        </w:rPr>
        <w:t xml:space="preserve"> y</w:t>
      </w:r>
      <w:r>
        <w:rPr>
          <w:rFonts w:ascii="Palatino Linotype" w:hAnsi="Palatino Linotype" w:cs="Arial"/>
          <w:b/>
        </w:rPr>
        <w:t xml:space="preserve"> ACTAS E-R 2018 2019 2020.pdf, RESP_UTAI_00054.pdf </w:t>
      </w:r>
    </w:p>
    <w:p w:rsidR="00D935F1" w:rsidRDefault="00BF1C6A">
      <w:pPr>
        <w:tabs>
          <w:tab w:val="left" w:pos="709"/>
        </w:tabs>
        <w:spacing w:line="360" w:lineRule="auto"/>
        <w:jc w:val="both"/>
        <w:rPr>
          <w:rFonts w:ascii="Palatino Linotype" w:hAnsi="Palatino Linotype" w:cs="Arial"/>
          <w:b/>
        </w:rPr>
      </w:pPr>
      <w:r>
        <w:rPr>
          <w:rFonts w:ascii="Palatino Linotype" w:hAnsi="Palatino Linotype" w:cs="Arial"/>
          <w:b/>
        </w:rPr>
        <w:t xml:space="preserve">ACTAS E-R.pdf, </w:t>
      </w:r>
      <w:r>
        <w:rPr>
          <w:rFonts w:ascii="Palatino Linotype" w:hAnsi="Palatino Linotype" w:cs="Arial"/>
        </w:rPr>
        <w:t>mediante los cuales</w:t>
      </w:r>
      <w:r>
        <w:rPr>
          <w:rFonts w:ascii="Palatino Linotype" w:hAnsi="Palatino Linotype" w:cs="Arial"/>
          <w:b/>
        </w:rPr>
        <w:t xml:space="preserve"> </w:t>
      </w:r>
      <w:r>
        <w:rPr>
          <w:rFonts w:ascii="Palatino Linotype" w:hAnsi="Palatino Linotype" w:cs="Arial"/>
        </w:rPr>
        <w:t>informó que</w:t>
      </w:r>
      <w:r>
        <w:rPr>
          <w:rFonts w:ascii="Palatino Linotype" w:hAnsi="Palatino Linotype"/>
        </w:rPr>
        <w:t xml:space="preserve"> la información solicitada, contenía información privada que atañe exclusivamente a una persona identificada o identificable, de la cual, no se apreciaba meramente el ejercicio de la función pública, </w:t>
      </w:r>
      <w:r>
        <w:rPr>
          <w:rFonts w:ascii="Palatino Linotype" w:hAnsi="Palatino Linotype"/>
        </w:rPr>
        <w:lastRenderedPageBreak/>
        <w:t>por lo que, el Comité de Transparencia confirmó la clasificación parcial de la información solicitada y la emisión de la versión pública, con fundamento en los artículos 52, 122, 132 fracción I, 133 y 137 de la Ley de Transparencia y Acceso a la Información Pública del Estado de México y Municipios y demás relativos y aplicables, así mismo, adjuntó las actas de entrega recepción de los años 2018, 2019 y 2020, en donde cubrió diversos datos, de los cuales no se tiene certeza, en razón de que</w:t>
      </w:r>
      <w:r>
        <w:rPr>
          <w:rFonts w:ascii="Palatino Linotype" w:hAnsi="Palatino Linotype"/>
          <w:b/>
        </w:rPr>
        <w:t xml:space="preserve"> EL SUJETO OBLIGADO</w:t>
      </w:r>
      <w:r>
        <w:rPr>
          <w:rFonts w:ascii="Palatino Linotype" w:hAnsi="Palatino Linotype"/>
        </w:rPr>
        <w:t xml:space="preserve"> omitió adjuntar el Acuerdo de Clasificación correspondiente, debidamente emitido por su Comité de Trasparencia previamente establecido.</w:t>
      </w:r>
    </w:p>
    <w:p w:rsidR="00D935F1" w:rsidRDefault="00D935F1">
      <w:pPr>
        <w:spacing w:line="360" w:lineRule="auto"/>
        <w:jc w:val="both"/>
        <w:rPr>
          <w:rFonts w:ascii="Palatino Linotype" w:eastAsia="Arial Unicode MS" w:hAnsi="Palatino Linotype" w:cs="Arial"/>
          <w:color w:val="000000"/>
          <w:lang w:val="es-ES_tradnl"/>
        </w:rPr>
      </w:pPr>
    </w:p>
    <w:p w:rsidR="00D935F1" w:rsidRDefault="00BF1C6A">
      <w:pPr>
        <w:spacing w:line="360" w:lineRule="auto"/>
        <w:jc w:val="both"/>
        <w:rPr>
          <w:rFonts w:ascii="Palatino Linotype" w:eastAsiaTheme="minorEastAsia" w:hAnsi="Palatino Linotype" w:cstheme="minorBidi"/>
          <w:lang w:val="es-ES_tradnl"/>
        </w:rPr>
      </w:pPr>
      <w:r>
        <w:rPr>
          <w:rFonts w:ascii="Palatino Linotype" w:eastAsia="Arial Unicode MS" w:hAnsi="Palatino Linotype" w:cs="Arial"/>
          <w:color w:val="000000"/>
          <w:lang w:val="es-ES_tradnl"/>
        </w:rPr>
        <w:t xml:space="preserve">En ese contexto, </w:t>
      </w:r>
      <w:r>
        <w:rPr>
          <w:rFonts w:ascii="Palatino Linotype" w:eastAsiaTheme="minorEastAsia" w:hAnsi="Palatino Linotype" w:cstheme="minorBidi"/>
          <w:lang w:val="es-ES_tradnl"/>
        </w:rPr>
        <w:t>es pertinente enfatizar lo que al derecho de acceso a la información pública estipula el artículo 6°, Apartado A de la Constitución Política de los Estados Unidos Mexicanos, que la letra dice:</w:t>
      </w:r>
    </w:p>
    <w:p w:rsidR="00D935F1" w:rsidRDefault="00D935F1">
      <w:pPr>
        <w:jc w:val="both"/>
        <w:rPr>
          <w:rFonts w:ascii="Palatino Linotype" w:eastAsiaTheme="minorEastAsia" w:hAnsi="Palatino Linotype" w:cstheme="minorBidi"/>
          <w:sz w:val="22"/>
          <w:szCs w:val="22"/>
          <w:lang w:val="es-ES_tradnl"/>
        </w:rPr>
      </w:pP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w:t>
      </w:r>
      <w:r>
        <w:rPr>
          <w:rFonts w:ascii="Palatino Linotype" w:eastAsiaTheme="minorEastAsia" w:hAnsi="Palatino Linotype" w:cs="Arial"/>
          <w:b/>
          <w:i/>
          <w:sz w:val="22"/>
          <w:szCs w:val="22"/>
          <w:lang w:val="es-ES_tradnl"/>
        </w:rPr>
        <w:t>Artículo 6o.</w:t>
      </w:r>
      <w:r>
        <w:rPr>
          <w:rFonts w:ascii="Palatino Linotype" w:eastAsiaTheme="minorEastAsia" w:hAnsi="Palatino Linotype" w:cs="Arial"/>
          <w:i/>
          <w:sz w:val="22"/>
          <w:szCs w:val="22"/>
          <w:lang w:val="es-ES_tradnl"/>
        </w:rPr>
        <w:t xml:space="preserve">  . . .</w:t>
      </w:r>
    </w:p>
    <w:p w:rsidR="00D935F1" w:rsidRDefault="00BF1C6A">
      <w:pPr>
        <w:ind w:left="851" w:right="901"/>
        <w:jc w:val="both"/>
        <w:rPr>
          <w:rFonts w:ascii="Palatino Linotype" w:eastAsiaTheme="minorEastAsia" w:hAnsi="Palatino Linotype" w:cs="Arial"/>
          <w:i/>
          <w:color w:val="000000"/>
          <w:sz w:val="22"/>
          <w:szCs w:val="22"/>
          <w:lang w:val="es-ES_tradnl" w:eastAsia="es-MX"/>
        </w:rPr>
      </w:pPr>
      <w:r>
        <w:rPr>
          <w:rFonts w:ascii="Palatino Linotype" w:eastAsiaTheme="minorEastAsia" w:hAnsi="Palatino Linotype" w:cs="Arial"/>
          <w:b/>
          <w:bCs/>
          <w:i/>
          <w:color w:val="000000"/>
          <w:sz w:val="22"/>
          <w:szCs w:val="22"/>
          <w:lang w:val="es-ES_tradnl" w:eastAsia="es-MX"/>
        </w:rPr>
        <w:t>A.</w:t>
      </w:r>
      <w:r>
        <w:rPr>
          <w:rFonts w:ascii="Palatino Linotype" w:eastAsiaTheme="minorEastAsia" w:hAnsi="Palatino Linotype" w:cs="Arial"/>
          <w:i/>
          <w:color w:val="000000"/>
          <w:sz w:val="22"/>
          <w:szCs w:val="22"/>
          <w:lang w:val="es-ES_tradnl" w:eastAsia="es-MX"/>
        </w:rPr>
        <w:t xml:space="preserve"> Para el ejercicio del </w:t>
      </w:r>
      <w:r>
        <w:rPr>
          <w:rFonts w:ascii="Palatino Linotype" w:eastAsiaTheme="minorEastAsia" w:hAnsi="Palatino Linotype" w:cs="Arial"/>
          <w:bCs/>
          <w:i/>
          <w:color w:val="000000"/>
          <w:sz w:val="22"/>
          <w:szCs w:val="22"/>
          <w:lang w:val="es-ES_tradnl"/>
        </w:rPr>
        <w:t>derecho</w:t>
      </w:r>
      <w:r>
        <w:rPr>
          <w:rFonts w:ascii="Palatino Linotype" w:eastAsiaTheme="minorEastAsia" w:hAnsi="Palatino Linotype" w:cs="Arial"/>
          <w:i/>
          <w:color w:val="000000"/>
          <w:sz w:val="22"/>
          <w:szCs w:val="22"/>
          <w:lang w:val="es-ES_tradnl" w:eastAsia="es-MX"/>
        </w:rPr>
        <w:t xml:space="preserve"> de acceso a la información, la Federación y las entidades federativas, en el ámbito de sus respectivas competencias, se regirán por los siguientes principios y bases:</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bCs/>
          <w:i/>
          <w:color w:val="000000"/>
          <w:sz w:val="22"/>
          <w:szCs w:val="22"/>
          <w:lang w:val="es-ES_tradnl" w:eastAsia="es-MX"/>
        </w:rPr>
        <w:t xml:space="preserve">I. </w:t>
      </w:r>
      <w:r>
        <w:rPr>
          <w:rFonts w:ascii="Palatino Linotype" w:eastAsiaTheme="minorEastAsia" w:hAnsi="Palatino Linotype" w:cs="Arial"/>
          <w:b/>
          <w:i/>
          <w:color w:val="000000"/>
          <w:sz w:val="22"/>
          <w:szCs w:val="22"/>
          <w:u w:val="single"/>
          <w:lang w:val="es-ES_tradnl" w:eastAsia="es-MX"/>
        </w:rPr>
        <w:t xml:space="preserve">Toda la información en posesión de cualquier autoridad, entidad, órgano y organismo de los Poderes Ejecutivo, </w:t>
      </w:r>
      <w:r>
        <w:rPr>
          <w:rFonts w:ascii="Palatino Linotype" w:eastAsiaTheme="minorEastAsia" w:hAnsi="Palatino Linotype" w:cs="Arial"/>
          <w:b/>
          <w:i/>
          <w:sz w:val="22"/>
          <w:szCs w:val="22"/>
          <w:u w:val="single"/>
          <w:lang w:val="es-ES_tradnl"/>
        </w:rPr>
        <w:t>Legislativo</w:t>
      </w:r>
      <w:r>
        <w:rPr>
          <w:rFonts w:ascii="Palatino Linotype" w:eastAsiaTheme="minorEastAsia" w:hAnsi="Palatino Linotype" w:cs="Arial"/>
          <w:b/>
          <w:i/>
          <w:color w:val="000000"/>
          <w:sz w:val="22"/>
          <w:szCs w:val="22"/>
          <w:u w:val="single"/>
          <w:lang w:val="es-ES_tradnl"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Pr>
          <w:rFonts w:ascii="Palatino Linotype" w:eastAsiaTheme="minorEastAsia" w:hAnsi="Palatino Linotype" w:cs="Arial"/>
          <w:i/>
          <w:sz w:val="22"/>
          <w:szCs w:val="22"/>
          <w:lang w:val="es-ES_tradnl"/>
        </w:rPr>
        <w:t xml:space="preserve"> </w:t>
      </w:r>
      <w:r>
        <w:rPr>
          <w:rFonts w:ascii="Palatino Linotype" w:eastAsiaTheme="minorEastAsia" w:hAnsi="Palatino Linotype" w:cs="Arial"/>
          <w:b/>
          <w:i/>
          <w:color w:val="000000"/>
          <w:sz w:val="22"/>
          <w:szCs w:val="22"/>
          <w:u w:val="single"/>
          <w:lang w:val="es-ES_tradnl" w:eastAsia="es-MX"/>
        </w:rPr>
        <w:t xml:space="preserve">y sólo podrá ser reservada temporalmente por razones de interés público y seguridad nacional, </w:t>
      </w:r>
      <w:r>
        <w:rPr>
          <w:rFonts w:ascii="Palatino Linotype" w:eastAsiaTheme="minorEastAsia" w:hAnsi="Palatino Linotype" w:cs="Arial"/>
          <w:i/>
          <w:color w:val="000000"/>
          <w:sz w:val="22"/>
          <w:szCs w:val="22"/>
          <w:lang w:val="es-ES_tradnl" w:eastAsia="es-MX"/>
        </w:rPr>
        <w:t xml:space="preserve">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D935F1" w:rsidRDefault="00BF1C6A">
      <w:pPr>
        <w:ind w:left="851" w:right="901"/>
        <w:jc w:val="both"/>
        <w:rPr>
          <w:rFonts w:ascii="Palatino Linotype" w:eastAsiaTheme="minorEastAsia" w:hAnsi="Palatino Linotype" w:cs="Arial"/>
          <w:b/>
          <w:i/>
          <w:color w:val="000000"/>
          <w:sz w:val="22"/>
          <w:szCs w:val="22"/>
          <w:u w:val="single"/>
          <w:lang w:val="es-ES_tradnl" w:eastAsia="es-MX"/>
        </w:rPr>
      </w:pPr>
      <w:r>
        <w:rPr>
          <w:rFonts w:ascii="Palatino Linotype" w:eastAsiaTheme="minorEastAsia" w:hAnsi="Palatino Linotype" w:cs="Arial"/>
          <w:b/>
          <w:bCs/>
          <w:i/>
          <w:color w:val="000000"/>
          <w:sz w:val="22"/>
          <w:szCs w:val="22"/>
          <w:lang w:val="es-ES_tradnl" w:eastAsia="es-MX"/>
        </w:rPr>
        <w:t xml:space="preserve">II. </w:t>
      </w:r>
      <w:r>
        <w:rPr>
          <w:rFonts w:ascii="Palatino Linotype" w:eastAsiaTheme="minorEastAsia" w:hAnsi="Palatino Linotype" w:cs="Arial"/>
          <w:b/>
          <w:i/>
          <w:color w:val="000000"/>
          <w:sz w:val="22"/>
          <w:szCs w:val="22"/>
          <w:u w:val="single"/>
          <w:lang w:val="es-ES_tradnl" w:eastAsia="es-MX"/>
        </w:rPr>
        <w:t xml:space="preserve">La información que se refiere a la vida privada y los datos personales será protegida en los términos y con las excepciones que fijen las leyes. </w:t>
      </w:r>
    </w:p>
    <w:p w:rsidR="00D935F1" w:rsidRDefault="00BF1C6A">
      <w:pPr>
        <w:ind w:left="851" w:right="901"/>
        <w:jc w:val="both"/>
        <w:rPr>
          <w:rFonts w:ascii="Palatino Linotype" w:eastAsiaTheme="minorEastAsia" w:hAnsi="Palatino Linotype" w:cs="Arial"/>
          <w:i/>
          <w:color w:val="000000"/>
          <w:sz w:val="22"/>
          <w:szCs w:val="22"/>
          <w:lang w:val="es-ES_tradnl" w:eastAsia="es-MX"/>
        </w:rPr>
      </w:pPr>
      <w:r>
        <w:rPr>
          <w:rFonts w:ascii="Palatino Linotype" w:eastAsiaTheme="minorEastAsia" w:hAnsi="Palatino Linotype" w:cs="Arial"/>
          <w:b/>
          <w:bCs/>
          <w:i/>
          <w:color w:val="000000"/>
          <w:sz w:val="22"/>
          <w:szCs w:val="22"/>
          <w:lang w:val="es-ES_tradnl" w:eastAsia="es-MX"/>
        </w:rPr>
        <w:lastRenderedPageBreak/>
        <w:t xml:space="preserve">III. </w:t>
      </w:r>
      <w:r>
        <w:rPr>
          <w:rFonts w:ascii="Palatino Linotype" w:eastAsiaTheme="minorEastAsia" w:hAnsi="Palatino Linotype" w:cs="Arial"/>
          <w:i/>
          <w:color w:val="000000"/>
          <w:sz w:val="22"/>
          <w:szCs w:val="22"/>
          <w:lang w:val="es-ES_tradnl" w:eastAsia="es-MX"/>
        </w:rPr>
        <w:t xml:space="preserve">Toda persona, sin necesidad de </w:t>
      </w:r>
      <w:r>
        <w:rPr>
          <w:rFonts w:ascii="Palatino Linotype" w:eastAsiaTheme="minorEastAsia" w:hAnsi="Palatino Linotype" w:cs="Arial"/>
          <w:i/>
          <w:sz w:val="22"/>
          <w:szCs w:val="22"/>
          <w:lang w:val="es-ES_tradnl"/>
        </w:rPr>
        <w:t>acreditar</w:t>
      </w:r>
      <w:r>
        <w:rPr>
          <w:rFonts w:ascii="Palatino Linotype" w:eastAsiaTheme="minorEastAsia" w:hAnsi="Palatino Linotype" w:cs="Arial"/>
          <w:i/>
          <w:color w:val="000000"/>
          <w:sz w:val="22"/>
          <w:szCs w:val="22"/>
          <w:lang w:val="es-ES_tradnl" w:eastAsia="es-MX"/>
        </w:rPr>
        <w:t xml:space="preserve"> interés alguno o justificar su utilización, tendrá acceso gratuito a la información pública, a sus datos personales o a la rectificación de éstos. </w:t>
      </w:r>
    </w:p>
    <w:p w:rsidR="00D935F1" w:rsidRDefault="00BF1C6A">
      <w:pPr>
        <w:ind w:left="851" w:right="901"/>
        <w:jc w:val="both"/>
        <w:rPr>
          <w:rFonts w:ascii="Palatino Linotype" w:eastAsiaTheme="minorEastAsia" w:hAnsi="Palatino Linotype" w:cs="Arial"/>
          <w:i/>
          <w:color w:val="000000"/>
          <w:sz w:val="22"/>
          <w:szCs w:val="22"/>
          <w:lang w:val="es-ES_tradnl" w:eastAsia="es-MX"/>
        </w:rPr>
      </w:pPr>
      <w:r>
        <w:rPr>
          <w:rFonts w:ascii="Palatino Linotype" w:eastAsiaTheme="minorEastAsia" w:hAnsi="Palatino Linotype" w:cs="Arial"/>
          <w:b/>
          <w:bCs/>
          <w:i/>
          <w:color w:val="000000"/>
          <w:sz w:val="22"/>
          <w:szCs w:val="22"/>
          <w:lang w:val="es-ES_tradnl" w:eastAsia="es-MX"/>
        </w:rPr>
        <w:t xml:space="preserve">IV. </w:t>
      </w:r>
      <w:r>
        <w:rPr>
          <w:rFonts w:ascii="Palatino Linotype" w:eastAsiaTheme="minorEastAsia" w:hAnsi="Palatino Linotype" w:cs="Arial"/>
          <w:i/>
          <w:color w:val="000000"/>
          <w:sz w:val="22"/>
          <w:szCs w:val="22"/>
          <w:lang w:val="es-ES_tradnl" w:eastAsia="es-MX"/>
        </w:rPr>
        <w:t xml:space="preserve">Se establecerán mecanismos de acceso a la información y procedimientos de revisión expeditos que se sustanciarán ante los organismos autónomos especializados e imparciales que establece esta Constitución. </w:t>
      </w:r>
    </w:p>
    <w:p w:rsidR="00D935F1" w:rsidRDefault="00BF1C6A">
      <w:pPr>
        <w:ind w:left="851" w:right="901"/>
        <w:jc w:val="both"/>
        <w:rPr>
          <w:rFonts w:ascii="Palatino Linotype" w:eastAsiaTheme="minorEastAsia" w:hAnsi="Palatino Linotype" w:cs="Arial"/>
          <w:i/>
          <w:color w:val="000000"/>
          <w:sz w:val="22"/>
          <w:szCs w:val="22"/>
          <w:lang w:val="es-ES_tradnl" w:eastAsia="es-MX"/>
        </w:rPr>
      </w:pPr>
      <w:r>
        <w:rPr>
          <w:rFonts w:ascii="Palatino Linotype" w:eastAsiaTheme="minorEastAsia" w:hAnsi="Palatino Linotype" w:cs="Arial"/>
          <w:b/>
          <w:bCs/>
          <w:i/>
          <w:color w:val="000000"/>
          <w:sz w:val="22"/>
          <w:szCs w:val="22"/>
          <w:lang w:val="es-ES_tradnl" w:eastAsia="es-MX"/>
        </w:rPr>
        <w:t xml:space="preserve">V. </w:t>
      </w:r>
      <w:r>
        <w:rPr>
          <w:rFonts w:ascii="Palatino Linotype" w:eastAsiaTheme="minorEastAsia" w:hAnsi="Palatino Linotype" w:cs="Arial"/>
          <w:i/>
          <w:color w:val="000000"/>
          <w:sz w:val="22"/>
          <w:szCs w:val="22"/>
          <w:lang w:val="es-ES_tradnl"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D935F1" w:rsidRDefault="00BF1C6A">
      <w:pPr>
        <w:ind w:left="851" w:right="901"/>
        <w:jc w:val="both"/>
        <w:rPr>
          <w:rFonts w:ascii="Palatino Linotype" w:eastAsiaTheme="minorEastAsia" w:hAnsi="Palatino Linotype" w:cs="Arial"/>
          <w:i/>
          <w:color w:val="000000"/>
          <w:sz w:val="22"/>
          <w:szCs w:val="22"/>
          <w:lang w:val="es-ES_tradnl" w:eastAsia="es-MX"/>
        </w:rPr>
      </w:pPr>
      <w:r>
        <w:rPr>
          <w:rFonts w:ascii="Palatino Linotype" w:eastAsiaTheme="minorEastAsia" w:hAnsi="Palatino Linotype" w:cs="Arial"/>
          <w:b/>
          <w:bCs/>
          <w:i/>
          <w:color w:val="000000"/>
          <w:sz w:val="22"/>
          <w:szCs w:val="22"/>
          <w:lang w:val="es-ES_tradnl" w:eastAsia="es-MX"/>
        </w:rPr>
        <w:t xml:space="preserve">VI. </w:t>
      </w:r>
      <w:r>
        <w:rPr>
          <w:rFonts w:ascii="Palatino Linotype" w:eastAsiaTheme="minorEastAsia" w:hAnsi="Palatino Linotype" w:cs="Arial"/>
          <w:i/>
          <w:color w:val="000000"/>
          <w:sz w:val="22"/>
          <w:szCs w:val="22"/>
          <w:lang w:val="es-ES_tradnl" w:eastAsia="es-MX"/>
        </w:rPr>
        <w:t xml:space="preserve">Las leyes determinarán la manera en que los sujetos obligados deberán hacer pública la información relativa a los recursos públicos que entreguen a personas físicas o morales. </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bCs/>
          <w:i/>
          <w:color w:val="000000"/>
          <w:sz w:val="22"/>
          <w:szCs w:val="22"/>
          <w:lang w:val="es-ES_tradnl" w:eastAsia="es-MX"/>
        </w:rPr>
        <w:t xml:space="preserve">VII. </w:t>
      </w:r>
      <w:r>
        <w:rPr>
          <w:rFonts w:ascii="Palatino Linotype" w:eastAsiaTheme="minorEastAsia" w:hAnsi="Palatino Linotype" w:cs="Arial"/>
          <w:i/>
          <w:color w:val="000000"/>
          <w:sz w:val="22"/>
          <w:szCs w:val="22"/>
          <w:lang w:val="es-ES_tradnl" w:eastAsia="es-MX"/>
        </w:rPr>
        <w:t>La inobservancia a las disposiciones en materia de acceso a la información pública será sancionada en los términos que dispongan las leyes.</w:t>
      </w:r>
      <w:r>
        <w:rPr>
          <w:rFonts w:ascii="Palatino Linotype" w:eastAsiaTheme="minorEastAsia" w:hAnsi="Palatino Linotype" w:cs="Arial"/>
          <w:i/>
          <w:sz w:val="22"/>
          <w:szCs w:val="22"/>
          <w:lang w:val="es-ES_tradnl"/>
        </w:rPr>
        <w:t xml:space="preserve">” </w:t>
      </w:r>
    </w:p>
    <w:p w:rsidR="00D935F1" w:rsidRDefault="00BF1C6A">
      <w:pPr>
        <w:ind w:left="851" w:right="901"/>
        <w:jc w:val="both"/>
        <w:rPr>
          <w:rFonts w:ascii="Palatino Linotype" w:eastAsiaTheme="minorEastAsia" w:hAnsi="Palatino Linotype" w:cstheme="minorBidi"/>
          <w:sz w:val="22"/>
          <w:szCs w:val="22"/>
          <w:lang w:val="es-ES_tradnl"/>
        </w:rPr>
      </w:pPr>
      <w:r>
        <w:rPr>
          <w:rFonts w:ascii="Palatino Linotype" w:eastAsiaTheme="minorEastAsia" w:hAnsi="Palatino Linotype" w:cstheme="minorBidi"/>
          <w:sz w:val="22"/>
          <w:szCs w:val="22"/>
          <w:lang w:val="es-ES_tradnl"/>
        </w:rPr>
        <w:t>(Énfasis añadido)</w:t>
      </w:r>
    </w:p>
    <w:p w:rsidR="00D935F1" w:rsidRDefault="00D935F1">
      <w:pPr>
        <w:ind w:left="851" w:right="901"/>
        <w:jc w:val="both"/>
        <w:rPr>
          <w:rFonts w:ascii="Palatino Linotype" w:eastAsiaTheme="minorEastAsia" w:hAnsi="Palatino Linotype" w:cs="Arial"/>
          <w:i/>
          <w:color w:val="000000"/>
          <w:sz w:val="22"/>
          <w:szCs w:val="22"/>
          <w:lang w:val="es-ES_tradnl" w:eastAsia="es-MX"/>
        </w:rPr>
      </w:pPr>
    </w:p>
    <w:p w:rsidR="00D935F1" w:rsidRDefault="00BF1C6A">
      <w:pPr>
        <w:spacing w:line="360" w:lineRule="auto"/>
        <w:jc w:val="both"/>
        <w:rPr>
          <w:rFonts w:ascii="Palatino Linotype" w:eastAsiaTheme="minorEastAsia" w:hAnsi="Palatino Linotype" w:cstheme="minorBidi"/>
          <w:lang w:val="es-ES_tradnl"/>
        </w:rPr>
      </w:pPr>
      <w:r>
        <w:rPr>
          <w:rFonts w:ascii="Palatino Linotype" w:eastAsiaTheme="minorEastAsia" w:hAnsi="Palatino Linotype" w:cstheme="minorBidi"/>
          <w:lang w:val="es-ES_tradnl"/>
        </w:rPr>
        <w:t>Por su parte, la Constitución Política del Estado Libre y Soberano de México, en su artículo 5°, párrafos vigésimo segundo, vigésimo tercero y vigésimo cuarto fracciones I y II, dispone lo siguiente:</w:t>
      </w:r>
    </w:p>
    <w:p w:rsidR="00D935F1" w:rsidRDefault="00D935F1">
      <w:pPr>
        <w:jc w:val="both"/>
        <w:rPr>
          <w:rFonts w:ascii="Palatino Linotype" w:eastAsiaTheme="minorEastAsia" w:hAnsi="Palatino Linotype" w:cstheme="minorBidi"/>
          <w:sz w:val="22"/>
          <w:szCs w:val="22"/>
          <w:lang w:val="es-ES_tradnl"/>
        </w:rPr>
      </w:pPr>
    </w:p>
    <w:p w:rsidR="00D935F1" w:rsidRDefault="00BF1C6A">
      <w:pPr>
        <w:ind w:left="851" w:right="901"/>
        <w:jc w:val="both"/>
        <w:rPr>
          <w:rFonts w:ascii="Palatino Linotype" w:eastAsiaTheme="minorEastAsia" w:hAnsi="Palatino Linotype" w:cs="Arial"/>
          <w:b/>
          <w:i/>
          <w:sz w:val="22"/>
          <w:szCs w:val="22"/>
          <w:lang w:val="es-ES_tradnl"/>
        </w:rPr>
      </w:pPr>
      <w:r>
        <w:rPr>
          <w:rFonts w:ascii="Palatino Linotype" w:eastAsiaTheme="minorEastAsia" w:hAnsi="Palatino Linotype" w:cs="Arial"/>
          <w:i/>
          <w:sz w:val="22"/>
          <w:szCs w:val="22"/>
          <w:lang w:val="es-ES_tradnl"/>
        </w:rPr>
        <w:t>“</w:t>
      </w:r>
      <w:r>
        <w:rPr>
          <w:rFonts w:ascii="Palatino Linotype" w:eastAsiaTheme="minorEastAsia" w:hAnsi="Palatino Linotype" w:cs="Arial"/>
          <w:b/>
          <w:i/>
          <w:sz w:val="22"/>
          <w:szCs w:val="22"/>
          <w:lang w:val="es-ES_tradnl"/>
        </w:rPr>
        <w:t xml:space="preserve">Artículo 5.  … </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 . .</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 xml:space="preserve">El derecho a la información será garantizado por el Estado. La ley establecerá las previsiones que permitan asegurar la protección, el respeto y la difusión de este derecho. </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Este derecho se regirá por los principios y bases siguientes:</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 xml:space="preserve">I. </w:t>
      </w:r>
      <w:r>
        <w:rPr>
          <w:rFonts w:ascii="Palatino Linotype" w:eastAsiaTheme="minorEastAsia" w:hAnsi="Palatino Linotype" w:cs="Arial"/>
          <w:b/>
          <w:i/>
          <w:sz w:val="22"/>
          <w:szCs w:val="22"/>
          <w:u w:val="single"/>
          <w:lang w:val="es-ES_tradnl"/>
        </w:rPr>
        <w:t xml:space="preserve">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w:t>
      </w:r>
      <w:r>
        <w:rPr>
          <w:rFonts w:ascii="Palatino Linotype" w:eastAsiaTheme="minorEastAsia" w:hAnsi="Palatino Linotype" w:cs="Arial"/>
          <w:b/>
          <w:i/>
          <w:sz w:val="22"/>
          <w:szCs w:val="22"/>
          <w:u w:val="single"/>
          <w:lang w:val="es-ES_tradnl"/>
        </w:rPr>
        <w:lastRenderedPageBreak/>
        <w:t>persona física, jurídica colectiva o sindicato que reciba y ejerza recursos públicos o realice actos de autoridad en el ámbito estatal y municipal, es pública y sólo podrá ser reservada temporalmente</w:t>
      </w:r>
      <w:r>
        <w:rPr>
          <w:rFonts w:ascii="Palatino Linotype" w:eastAsiaTheme="minorEastAsia" w:hAnsi="Palatino Linotype" w:cs="Arial"/>
          <w:i/>
          <w:sz w:val="22"/>
          <w:szCs w:val="22"/>
          <w:lang w:val="es-ES_tradnl"/>
        </w:rPr>
        <w:t xml:space="preserv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935F1" w:rsidRDefault="00D935F1">
      <w:pPr>
        <w:ind w:left="851" w:right="901"/>
        <w:jc w:val="both"/>
        <w:rPr>
          <w:rFonts w:ascii="Palatino Linotype" w:eastAsiaTheme="minorEastAsia" w:hAnsi="Palatino Linotype" w:cs="Arial"/>
          <w:i/>
          <w:sz w:val="22"/>
          <w:szCs w:val="22"/>
          <w:u w:val="single"/>
          <w:lang w:val="es-ES_tradnl"/>
        </w:rPr>
      </w:pPr>
    </w:p>
    <w:p w:rsidR="00D935F1" w:rsidRDefault="00BF1C6A">
      <w:pPr>
        <w:ind w:left="851" w:right="901"/>
        <w:jc w:val="both"/>
        <w:rPr>
          <w:rFonts w:ascii="Palatino Linotype" w:eastAsiaTheme="minorEastAsia" w:hAnsi="Palatino Linotype" w:cs="Arial"/>
          <w:b/>
          <w:i/>
          <w:sz w:val="22"/>
          <w:szCs w:val="22"/>
          <w:u w:val="single"/>
          <w:lang w:val="es-ES_tradnl"/>
        </w:rPr>
      </w:pPr>
      <w:r>
        <w:rPr>
          <w:rFonts w:ascii="Palatino Linotype" w:eastAsiaTheme="minorEastAsia" w:hAnsi="Palatino Linotype" w:cs="Arial"/>
          <w:b/>
          <w:i/>
          <w:sz w:val="22"/>
          <w:szCs w:val="22"/>
          <w:u w:val="single"/>
          <w:lang w:val="es-ES_tradnl"/>
        </w:rPr>
        <w:t>II. La información referente a la intimidad de la vida privada y la imagen de las personas será protegida a través de un marco jurídico rígido de tratamiento y manejo de datos personales, con las excepciones que establezca la ley reglamentaria.”</w:t>
      </w:r>
      <w:r>
        <w:rPr>
          <w:rFonts w:ascii="Palatino Linotype" w:eastAsiaTheme="minorEastAsia" w:hAnsi="Palatino Linotype" w:cstheme="minorBidi"/>
          <w:b/>
          <w:sz w:val="22"/>
          <w:szCs w:val="22"/>
          <w:u w:val="single"/>
          <w:lang w:val="es-ES_tradnl"/>
        </w:rPr>
        <w:t xml:space="preserve"> </w:t>
      </w:r>
    </w:p>
    <w:p w:rsidR="00D935F1" w:rsidRDefault="00D935F1">
      <w:pPr>
        <w:ind w:left="851" w:right="901"/>
        <w:jc w:val="both"/>
        <w:rPr>
          <w:rFonts w:ascii="Palatino Linotype" w:eastAsiaTheme="minorEastAsia" w:hAnsi="Palatino Linotype" w:cstheme="minorBidi"/>
          <w:sz w:val="22"/>
          <w:szCs w:val="22"/>
          <w:lang w:val="es-ES_tradnl"/>
        </w:rPr>
      </w:pPr>
    </w:p>
    <w:p w:rsidR="00D935F1" w:rsidRDefault="00BF1C6A">
      <w:pPr>
        <w:ind w:left="851" w:right="901"/>
        <w:jc w:val="both"/>
        <w:rPr>
          <w:rFonts w:ascii="Palatino Linotype" w:eastAsiaTheme="minorEastAsia" w:hAnsi="Palatino Linotype" w:cstheme="minorBidi"/>
          <w:sz w:val="22"/>
          <w:szCs w:val="22"/>
          <w:lang w:val="es-ES_tradnl"/>
        </w:rPr>
      </w:pPr>
      <w:r>
        <w:rPr>
          <w:rFonts w:ascii="Palatino Linotype" w:eastAsiaTheme="minorEastAsia" w:hAnsi="Palatino Linotype" w:cstheme="minorBidi"/>
          <w:sz w:val="22"/>
          <w:szCs w:val="22"/>
          <w:lang w:val="es-ES_tradnl"/>
        </w:rPr>
        <w:t>(Énfasis añadido)</w:t>
      </w:r>
    </w:p>
    <w:p w:rsidR="00D935F1" w:rsidRDefault="00D935F1">
      <w:pPr>
        <w:ind w:left="851" w:right="901"/>
        <w:jc w:val="both"/>
        <w:rPr>
          <w:rFonts w:ascii="Palatino Linotype" w:eastAsiaTheme="minorEastAsia" w:hAnsi="Palatino Linotype" w:cs="Arial"/>
          <w:i/>
          <w:sz w:val="22"/>
          <w:szCs w:val="22"/>
          <w:lang w:val="es-ES_tradnl"/>
        </w:rPr>
      </w:pPr>
    </w:p>
    <w:p w:rsidR="00D935F1" w:rsidRDefault="00BF1C6A">
      <w:pPr>
        <w:spacing w:line="360" w:lineRule="auto"/>
        <w:jc w:val="both"/>
        <w:rPr>
          <w:rFonts w:ascii="Palatino Linotype" w:eastAsiaTheme="minorEastAsia" w:hAnsi="Palatino Linotype" w:cstheme="minorBidi"/>
          <w:lang w:val="es-ES_tradnl"/>
        </w:rPr>
      </w:pPr>
      <w:r>
        <w:rPr>
          <w:rFonts w:ascii="Palatino Linotype" w:eastAsiaTheme="minorEastAsia" w:hAnsi="Palatino Linotype" w:cstheme="minorBidi"/>
          <w:lang w:val="es-ES_tradnl"/>
        </w:rPr>
        <w:t>Asimismo, se tiene que la Ley de Transparencia y Acceso a la Información Pública del Estado de México y Municipios, prevé en su artículo 23, lo siguiente:</w:t>
      </w:r>
    </w:p>
    <w:p w:rsidR="00D935F1" w:rsidRDefault="00D935F1">
      <w:pPr>
        <w:jc w:val="both"/>
        <w:rPr>
          <w:rFonts w:ascii="Palatino Linotype" w:eastAsiaTheme="minorEastAsia" w:hAnsi="Palatino Linotype" w:cstheme="minorBidi"/>
          <w:sz w:val="22"/>
          <w:szCs w:val="22"/>
          <w:lang w:val="es-ES_tradnl"/>
        </w:rPr>
      </w:pP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w:t>
      </w:r>
      <w:r>
        <w:rPr>
          <w:rFonts w:ascii="Palatino Linotype" w:eastAsiaTheme="minorEastAsia" w:hAnsi="Palatino Linotype" w:cs="Arial"/>
          <w:b/>
          <w:i/>
          <w:sz w:val="22"/>
          <w:szCs w:val="22"/>
          <w:lang w:val="es-ES_tradnl"/>
        </w:rPr>
        <w:t>Artículo 23.</w:t>
      </w:r>
      <w:r>
        <w:rPr>
          <w:rFonts w:ascii="Palatino Linotype" w:eastAsiaTheme="minorEastAsia" w:hAnsi="Palatino Linotype" w:cs="Arial"/>
          <w:i/>
          <w:sz w:val="22"/>
          <w:szCs w:val="22"/>
          <w:lang w:val="es-ES_tradnl"/>
        </w:rPr>
        <w:t xml:space="preserve"> Son sujetos obligados a transparentar y permitir el acceso a su información y proteger los datos personales que obren en su poder:</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I. El Poder Ejecutivo del Estado de México, las dependencias, organismos auxiliares, órganos, entidades, fideicomisos y fondos públicos, así como la Procuraduría General de Justicia;</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II. El Poder Legislativo del Estado, los organismos, órganos y entidades de la Legislatura y sus dependencias;</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III. El Poder Judicial, sus organismos, órganos y entidades, así como el Consejo de la Judicatura del Estado;</w:t>
      </w:r>
    </w:p>
    <w:p w:rsidR="00D935F1" w:rsidRDefault="00BF1C6A">
      <w:pPr>
        <w:ind w:left="851" w:right="901"/>
        <w:jc w:val="both"/>
        <w:rPr>
          <w:rFonts w:ascii="Palatino Linotype" w:eastAsiaTheme="minorEastAsia" w:hAnsi="Palatino Linotype" w:cs="Arial"/>
          <w:b/>
          <w:i/>
          <w:sz w:val="22"/>
          <w:szCs w:val="22"/>
          <w:lang w:val="es-ES_tradnl"/>
        </w:rPr>
      </w:pPr>
      <w:r>
        <w:rPr>
          <w:rFonts w:ascii="Palatino Linotype" w:eastAsiaTheme="minorEastAsia" w:hAnsi="Palatino Linotype" w:cs="Arial"/>
          <w:b/>
          <w:i/>
          <w:sz w:val="22"/>
          <w:szCs w:val="22"/>
          <w:lang w:val="es-ES_tradnl"/>
        </w:rPr>
        <w:t>IV. Los ayuntamientos y las dependencias, organismos, órganos y entidades de la administración municipal;</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V. Los órganos autónomos;</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VI. Los tribunales administrativos y autoridades jurisdiccionales en materia laboral;</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VII. Los partidos políticos y agrupaciones políticas, en los términos de las disposiciones aplicables;</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VIII. Los fideicomisos y fondos públicos que cuenten con financiamiento público, parcial o total, o con participación de entidades de gobierno;</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lastRenderedPageBreak/>
        <w:t>IX. Los sindicatos que reciban y/o ejerzan recursos públicos en el ámbito estatal y municipal;</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X. Cualquier persona física o jurídico colectiva que reciba y ejerza recursos públicos en el ámbito estatal o municipal; y</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XI. Cualquier otra autoridad, entidad, órgano u organismo de los poderes estatal o municipal, que reciba recursos públicos.</w:t>
      </w:r>
    </w:p>
    <w:p w:rsidR="00D935F1" w:rsidRDefault="00BF1C6A">
      <w:pPr>
        <w:ind w:left="851" w:right="901"/>
        <w:jc w:val="both"/>
        <w:rPr>
          <w:rFonts w:ascii="Palatino Linotype" w:eastAsiaTheme="minorEastAsia" w:hAnsi="Palatino Linotype" w:cs="Arial"/>
          <w:b/>
          <w:i/>
          <w:sz w:val="22"/>
          <w:szCs w:val="22"/>
          <w:lang w:val="es-ES_tradnl"/>
        </w:rPr>
      </w:pPr>
      <w:r>
        <w:rPr>
          <w:rFonts w:ascii="Palatino Linotype" w:eastAsiaTheme="minorEastAsia" w:hAnsi="Palatino Linotype" w:cs="Arial"/>
          <w:b/>
          <w:i/>
          <w:sz w:val="22"/>
          <w:szCs w:val="22"/>
          <w:lang w:val="es-ES_tradnl"/>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935F1" w:rsidRDefault="00BF1C6A">
      <w:pPr>
        <w:ind w:left="851" w:right="901"/>
        <w:jc w:val="both"/>
        <w:rPr>
          <w:rFonts w:ascii="Palatino Linotype" w:eastAsiaTheme="minorEastAsia" w:hAnsi="Palatino Linotype" w:cs="Arial"/>
          <w:b/>
          <w:i/>
          <w:sz w:val="22"/>
          <w:szCs w:val="22"/>
          <w:u w:val="single"/>
          <w:lang w:val="es-ES_tradnl"/>
        </w:rPr>
      </w:pPr>
      <w:r>
        <w:rPr>
          <w:rFonts w:ascii="Palatino Linotype" w:eastAsiaTheme="minorEastAsia" w:hAnsi="Palatino Linotype" w:cs="Arial"/>
          <w:b/>
          <w:i/>
          <w:sz w:val="22"/>
          <w:szCs w:val="22"/>
          <w:u w:val="single"/>
          <w:lang w:val="es-ES_tradnl"/>
        </w:rPr>
        <w:t>Los servidores públicos deberán transparentar sus acciones así como garantizar y respetar el derecho de acceso a la información pública.</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(Énfasis añadido)</w:t>
      </w:r>
    </w:p>
    <w:p w:rsidR="00D935F1" w:rsidRDefault="00D935F1">
      <w:pPr>
        <w:ind w:left="851" w:right="901"/>
        <w:jc w:val="both"/>
        <w:rPr>
          <w:rFonts w:ascii="Palatino Linotype" w:eastAsiaTheme="minorEastAsia" w:hAnsi="Palatino Linotype" w:cs="Arial"/>
          <w:i/>
          <w:sz w:val="22"/>
          <w:szCs w:val="22"/>
          <w:lang w:val="es-ES_tradnl"/>
        </w:rPr>
      </w:pPr>
    </w:p>
    <w:p w:rsidR="00D935F1" w:rsidRDefault="00BF1C6A">
      <w:pPr>
        <w:spacing w:line="360" w:lineRule="auto"/>
        <w:ind w:right="51"/>
        <w:jc w:val="both"/>
        <w:rPr>
          <w:rFonts w:ascii="Palatino Linotype" w:hAnsi="Palatino Linotype" w:cs="Arial"/>
          <w:lang w:val="es-ES"/>
        </w:rPr>
      </w:pPr>
      <w:r>
        <w:rPr>
          <w:rFonts w:ascii="Palatino Linotype" w:hAnsi="Palatino Linotype" w:cs="Arial"/>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Pr>
          <w:rFonts w:ascii="Palatino Linotype" w:eastAsia="Arial Unicode MS" w:hAnsi="Palatino Linotype" w:cs="Arial"/>
          <w:color w:val="000000"/>
          <w:lang w:val="es-ES"/>
        </w:rPr>
        <w:t xml:space="preserve">es necesario referir el contenido del artículo </w:t>
      </w:r>
      <w:r>
        <w:rPr>
          <w:rFonts w:ascii="Palatino Linotype" w:hAnsi="Palatino Linotype"/>
          <w:lang w:val="es-ES"/>
        </w:rPr>
        <w:t>115,</w:t>
      </w:r>
      <w:r>
        <w:rPr>
          <w:rFonts w:ascii="Palatino Linotype" w:eastAsia="Arial Unicode MS" w:hAnsi="Palatino Linotype" w:cs="Arial"/>
          <w:color w:val="000000"/>
          <w:lang w:val="es-ES"/>
        </w:rPr>
        <w:t xml:space="preserve"> fracciones I, II y IV de la Constitución Política de los Estados Unidos Mexicanos, que en lo que interesa menciona:</w:t>
      </w:r>
    </w:p>
    <w:p w:rsidR="00D935F1" w:rsidRDefault="00D935F1">
      <w:pPr>
        <w:jc w:val="both"/>
        <w:rPr>
          <w:rFonts w:ascii="Palatino Linotype" w:eastAsia="Arial Unicode MS" w:hAnsi="Palatino Linotype" w:cs="Arial"/>
          <w:color w:val="000000"/>
          <w:sz w:val="22"/>
          <w:szCs w:val="22"/>
          <w:lang w:val="es-ES_tradnl"/>
        </w:rPr>
      </w:pPr>
    </w:p>
    <w:p w:rsidR="00D935F1" w:rsidRDefault="00BF1C6A">
      <w:pPr>
        <w:ind w:left="851" w:right="902"/>
        <w:jc w:val="both"/>
        <w:rPr>
          <w:rFonts w:ascii="Palatino Linotype" w:eastAsiaTheme="minorEastAsia" w:hAnsi="Palatino Linotype" w:cs="Arial"/>
          <w:bCs/>
          <w:i/>
          <w:color w:val="000000"/>
          <w:sz w:val="22"/>
          <w:szCs w:val="22"/>
          <w:lang w:val="es-ES_tradnl"/>
        </w:rPr>
      </w:pPr>
      <w:r>
        <w:rPr>
          <w:rFonts w:ascii="Palatino Linotype" w:eastAsiaTheme="minorEastAsia" w:hAnsi="Palatino Linotype" w:cs="Arial"/>
          <w:bCs/>
          <w:i/>
          <w:color w:val="000000"/>
          <w:sz w:val="22"/>
          <w:szCs w:val="22"/>
          <w:lang w:val="es-ES_tradnl"/>
        </w:rPr>
        <w:t>“</w:t>
      </w:r>
      <w:r>
        <w:rPr>
          <w:rFonts w:ascii="Palatino Linotype" w:eastAsiaTheme="minorEastAsia" w:hAnsi="Palatino Linotype" w:cs="Arial"/>
          <w:b/>
          <w:bCs/>
          <w:i/>
          <w:color w:val="000000"/>
          <w:sz w:val="22"/>
          <w:szCs w:val="22"/>
          <w:lang w:val="es-ES_tradnl"/>
        </w:rPr>
        <w:t>Artículo 115</w:t>
      </w:r>
      <w:r>
        <w:rPr>
          <w:rFonts w:ascii="Palatino Linotype" w:eastAsiaTheme="minorEastAsia" w:hAnsi="Palatino Linotype" w:cs="Arial"/>
          <w:bCs/>
          <w:i/>
          <w:color w:val="000000"/>
          <w:sz w:val="22"/>
          <w:szCs w:val="22"/>
          <w:lang w:val="es-ES_tradnl"/>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D935F1" w:rsidRDefault="00BF1C6A">
      <w:pPr>
        <w:ind w:left="851" w:right="902"/>
        <w:jc w:val="both"/>
        <w:rPr>
          <w:rFonts w:ascii="Palatino Linotype" w:eastAsiaTheme="minorEastAsia" w:hAnsi="Palatino Linotype" w:cs="Arial"/>
          <w:bCs/>
          <w:i/>
          <w:color w:val="000000"/>
          <w:sz w:val="22"/>
          <w:szCs w:val="22"/>
          <w:lang w:val="es-ES_tradnl"/>
        </w:rPr>
      </w:pPr>
      <w:r>
        <w:rPr>
          <w:rFonts w:ascii="Palatino Linotype" w:eastAsiaTheme="minorEastAsia" w:hAnsi="Palatino Linotype" w:cs="Arial"/>
          <w:b/>
          <w:bCs/>
          <w:i/>
          <w:color w:val="000000"/>
          <w:sz w:val="22"/>
          <w:szCs w:val="22"/>
          <w:lang w:val="es-ES_tradnl"/>
        </w:rPr>
        <w:t>I.</w:t>
      </w:r>
      <w:r>
        <w:rPr>
          <w:rFonts w:ascii="Palatino Linotype" w:eastAsiaTheme="minorEastAsia" w:hAnsi="Palatino Linotype" w:cs="Arial"/>
          <w:bCs/>
          <w:i/>
          <w:color w:val="000000"/>
          <w:sz w:val="22"/>
          <w:szCs w:val="22"/>
          <w:lang w:val="es-ES_tradnl"/>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D935F1" w:rsidRDefault="00BF1C6A">
      <w:pPr>
        <w:ind w:left="851" w:right="902"/>
        <w:jc w:val="both"/>
        <w:rPr>
          <w:rFonts w:ascii="Palatino Linotype" w:eastAsiaTheme="minorEastAsia" w:hAnsi="Palatino Linotype" w:cs="Arial"/>
          <w:bCs/>
          <w:i/>
          <w:color w:val="000000"/>
          <w:sz w:val="22"/>
          <w:szCs w:val="22"/>
          <w:lang w:val="es-ES_tradnl"/>
        </w:rPr>
      </w:pPr>
      <w:r>
        <w:rPr>
          <w:rFonts w:ascii="Palatino Linotype" w:eastAsiaTheme="minorEastAsia" w:hAnsi="Palatino Linotype" w:cs="Arial"/>
          <w:bCs/>
          <w:i/>
          <w:color w:val="000000"/>
          <w:sz w:val="22"/>
          <w:szCs w:val="22"/>
          <w:lang w:val="es-ES_tradnl"/>
        </w:rPr>
        <w:t>(…)</w:t>
      </w:r>
    </w:p>
    <w:p w:rsidR="00D935F1" w:rsidRDefault="00BF1C6A">
      <w:pPr>
        <w:ind w:left="851" w:right="902"/>
        <w:jc w:val="both"/>
        <w:rPr>
          <w:rFonts w:ascii="Palatino Linotype" w:eastAsiaTheme="minorEastAsia" w:hAnsi="Palatino Linotype" w:cs="Arial"/>
          <w:bCs/>
          <w:i/>
          <w:color w:val="000000"/>
          <w:sz w:val="22"/>
          <w:szCs w:val="22"/>
          <w:lang w:val="es-ES_tradnl"/>
        </w:rPr>
      </w:pPr>
      <w:r>
        <w:rPr>
          <w:rFonts w:ascii="Palatino Linotype" w:eastAsiaTheme="minorEastAsia" w:hAnsi="Palatino Linotype" w:cs="Arial"/>
          <w:b/>
          <w:bCs/>
          <w:i/>
          <w:color w:val="000000"/>
          <w:sz w:val="22"/>
          <w:szCs w:val="22"/>
          <w:lang w:val="es-ES_tradnl"/>
        </w:rPr>
        <w:t>II.</w:t>
      </w:r>
      <w:r>
        <w:rPr>
          <w:rFonts w:ascii="Palatino Linotype" w:eastAsiaTheme="minorEastAsia" w:hAnsi="Palatino Linotype" w:cs="Arial"/>
          <w:bCs/>
          <w:i/>
          <w:color w:val="000000"/>
          <w:sz w:val="22"/>
          <w:szCs w:val="22"/>
          <w:lang w:val="es-ES_tradnl"/>
        </w:rPr>
        <w:t xml:space="preserve"> Los municipios estarán investidos de personalidad jurídica y manejarán su patrimonio conforme a la ley.</w:t>
      </w:r>
    </w:p>
    <w:p w:rsidR="00D935F1" w:rsidRDefault="00BF1C6A">
      <w:pPr>
        <w:ind w:left="851" w:right="902"/>
        <w:jc w:val="both"/>
        <w:rPr>
          <w:rFonts w:ascii="Palatino Linotype" w:eastAsiaTheme="minorEastAsia" w:hAnsi="Palatino Linotype" w:cs="Arial"/>
          <w:b/>
          <w:bCs/>
          <w:i/>
          <w:color w:val="000000"/>
          <w:sz w:val="22"/>
          <w:szCs w:val="22"/>
          <w:u w:val="single"/>
          <w:lang w:val="es-ES_tradnl"/>
        </w:rPr>
      </w:pPr>
      <w:r>
        <w:rPr>
          <w:rFonts w:ascii="Palatino Linotype" w:eastAsiaTheme="minorEastAsia" w:hAnsi="Palatino Linotype" w:cs="Arial"/>
          <w:b/>
          <w:bCs/>
          <w:i/>
          <w:color w:val="000000"/>
          <w:sz w:val="22"/>
          <w:szCs w:val="22"/>
          <w:u w:val="single"/>
        </w:rPr>
        <w:lastRenderedPageBreak/>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D935F1" w:rsidRDefault="00BF1C6A">
      <w:pPr>
        <w:ind w:left="851" w:right="902"/>
        <w:jc w:val="both"/>
        <w:rPr>
          <w:rFonts w:ascii="Palatino Linotype" w:eastAsiaTheme="minorEastAsia" w:hAnsi="Palatino Linotype" w:cs="Arial"/>
          <w:bCs/>
          <w:i/>
          <w:color w:val="000000"/>
          <w:sz w:val="22"/>
          <w:szCs w:val="22"/>
          <w:lang w:val="es-ES_tradnl"/>
        </w:rPr>
      </w:pPr>
      <w:r>
        <w:rPr>
          <w:rFonts w:ascii="Palatino Linotype" w:eastAsiaTheme="minorEastAsia" w:hAnsi="Palatino Linotype" w:cs="Arial"/>
          <w:bCs/>
          <w:i/>
          <w:color w:val="000000"/>
          <w:sz w:val="22"/>
          <w:szCs w:val="22"/>
          <w:lang w:val="es-ES_tradnl"/>
        </w:rPr>
        <w:t>(…)</w:t>
      </w:r>
    </w:p>
    <w:p w:rsidR="00D935F1" w:rsidRDefault="00BF1C6A">
      <w:pPr>
        <w:ind w:left="851" w:right="902"/>
        <w:jc w:val="both"/>
        <w:rPr>
          <w:rFonts w:ascii="Palatino Linotype" w:eastAsiaTheme="minorEastAsia" w:hAnsi="Palatino Linotype" w:cs="Arial"/>
          <w:b/>
          <w:bCs/>
          <w:i/>
          <w:color w:val="000000"/>
          <w:sz w:val="22"/>
          <w:szCs w:val="22"/>
          <w:lang w:val="es-ES_tradnl"/>
        </w:rPr>
      </w:pPr>
      <w:r>
        <w:rPr>
          <w:rFonts w:ascii="Palatino Linotype" w:eastAsiaTheme="minorEastAsia" w:hAnsi="Palatino Linotype" w:cs="Arial"/>
          <w:b/>
          <w:bCs/>
          <w:i/>
          <w:color w:val="000000"/>
          <w:sz w:val="22"/>
          <w:szCs w:val="22"/>
          <w:lang w:val="es-ES_tradnl"/>
        </w:rPr>
        <w:t>IV. Los municipios administrarán libremente su hacienda, la cual se formará de los rendimientos de los bienes que les pertenezcan, así como de las contribuciones y otros ingresos que las legislaturas establezcan a su favor…</w:t>
      </w:r>
    </w:p>
    <w:p w:rsidR="00D935F1" w:rsidRDefault="00BF1C6A">
      <w:pPr>
        <w:ind w:left="851" w:right="902"/>
        <w:jc w:val="both"/>
        <w:rPr>
          <w:rFonts w:ascii="Palatino Linotype" w:eastAsiaTheme="minorEastAsia" w:hAnsi="Palatino Linotype" w:cs="Arial"/>
          <w:bCs/>
          <w:i/>
          <w:color w:val="000000"/>
          <w:sz w:val="22"/>
          <w:szCs w:val="22"/>
          <w:lang w:val="es-ES_tradnl"/>
        </w:rPr>
      </w:pPr>
      <w:r>
        <w:rPr>
          <w:rFonts w:ascii="Palatino Linotype" w:eastAsiaTheme="minorEastAsia" w:hAnsi="Palatino Linotype" w:cs="Arial"/>
          <w:bCs/>
          <w:i/>
          <w:color w:val="000000"/>
          <w:sz w:val="22"/>
          <w:szCs w:val="22"/>
          <w:lang w:val="es-ES_tradnl"/>
        </w:rPr>
        <w:t>(…)”</w:t>
      </w:r>
    </w:p>
    <w:p w:rsidR="00D935F1" w:rsidRDefault="00BF1C6A">
      <w:pPr>
        <w:ind w:left="851" w:right="902"/>
        <w:jc w:val="both"/>
        <w:rPr>
          <w:rFonts w:ascii="Palatino Linotype" w:eastAsiaTheme="minorEastAsia" w:hAnsi="Palatino Linotype" w:cs="Arial"/>
          <w:bCs/>
          <w:i/>
          <w:color w:val="000000"/>
          <w:sz w:val="22"/>
          <w:szCs w:val="22"/>
          <w:lang w:val="es-ES_tradnl"/>
        </w:rPr>
      </w:pPr>
      <w:r>
        <w:rPr>
          <w:rFonts w:ascii="Palatino Linotype" w:eastAsiaTheme="minorEastAsia" w:hAnsi="Palatino Linotype" w:cs="Arial"/>
          <w:bCs/>
          <w:i/>
          <w:color w:val="000000"/>
          <w:sz w:val="22"/>
          <w:szCs w:val="22"/>
          <w:lang w:val="es-ES_tradnl"/>
        </w:rPr>
        <w:t>(Énfasis añadido)</w:t>
      </w:r>
    </w:p>
    <w:p w:rsidR="00D935F1" w:rsidRDefault="00D935F1">
      <w:pPr>
        <w:ind w:left="851" w:right="902"/>
        <w:jc w:val="both"/>
        <w:rPr>
          <w:rFonts w:ascii="Palatino Linotype" w:eastAsiaTheme="minorEastAsia" w:hAnsi="Palatino Linotype" w:cs="Arial"/>
          <w:bCs/>
          <w:i/>
          <w:color w:val="000000"/>
          <w:sz w:val="22"/>
          <w:szCs w:val="22"/>
          <w:lang w:val="es-ES_tradnl"/>
        </w:rPr>
      </w:pPr>
    </w:p>
    <w:p w:rsidR="00D935F1" w:rsidRDefault="00BF1C6A">
      <w:pPr>
        <w:spacing w:line="360" w:lineRule="auto"/>
        <w:jc w:val="both"/>
        <w:rPr>
          <w:rFonts w:ascii="Palatino Linotype" w:eastAsia="Arial Unicode MS" w:hAnsi="Palatino Linotype" w:cs="Arial"/>
          <w:color w:val="000000"/>
          <w:lang w:val="es-ES_tradnl"/>
        </w:rPr>
      </w:pPr>
      <w:r>
        <w:rPr>
          <w:rFonts w:ascii="Palatino Linotype" w:eastAsia="Arial Unicode MS" w:hAnsi="Palatino Linotype" w:cs="Arial"/>
          <w:color w:val="000000"/>
          <w:lang w:val="es-ES_tradnl"/>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D935F1" w:rsidRDefault="00D935F1">
      <w:pPr>
        <w:spacing w:line="360" w:lineRule="auto"/>
        <w:jc w:val="both"/>
        <w:rPr>
          <w:rFonts w:ascii="Palatino Linotype" w:eastAsia="Arial Unicode MS" w:hAnsi="Palatino Linotype" w:cs="Arial"/>
          <w:color w:val="000000"/>
          <w:lang w:val="es-ES_tradnl"/>
        </w:rPr>
      </w:pPr>
    </w:p>
    <w:p w:rsidR="00D935F1" w:rsidRDefault="00BF1C6A">
      <w:pPr>
        <w:tabs>
          <w:tab w:val="left" w:pos="709"/>
        </w:tabs>
        <w:spacing w:line="360" w:lineRule="auto"/>
        <w:jc w:val="both"/>
        <w:rPr>
          <w:rFonts w:ascii="Palatino Linotype" w:eastAsiaTheme="minorEastAsia" w:hAnsi="Palatino Linotype" w:cs="Arial"/>
          <w:color w:val="000000"/>
          <w:lang w:val="es-ES_tradnl"/>
        </w:rPr>
      </w:pPr>
      <w:r>
        <w:rPr>
          <w:rFonts w:ascii="Palatino Linotype" w:eastAsiaTheme="minorEastAsia" w:hAnsi="Palatino Linotype" w:cs="Arial"/>
          <w:color w:val="000000"/>
          <w:lang w:val="es-ES_tradnl"/>
        </w:rPr>
        <w:t>Asimismo, en el numeral 3</w:t>
      </w:r>
      <w:r>
        <w:rPr>
          <w:rStyle w:val="Ancladenotaalpie"/>
          <w:rFonts w:ascii="Palatino Linotype" w:eastAsiaTheme="minorEastAsia" w:hAnsi="Palatino Linotype" w:cs="Arial"/>
          <w:color w:val="000000"/>
          <w:lang w:val="es-ES_tradnl"/>
        </w:rPr>
        <w:footnoteReference w:id="1"/>
      </w:r>
      <w:r>
        <w:rPr>
          <w:rFonts w:ascii="Palatino Linotype" w:eastAsiaTheme="minorEastAsia" w:hAnsi="Palatino Linotype" w:cs="Arial"/>
          <w:color w:val="000000"/>
          <w:lang w:val="es-ES_tradnl"/>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D935F1" w:rsidRDefault="00D935F1">
      <w:pPr>
        <w:tabs>
          <w:tab w:val="left" w:pos="709"/>
        </w:tabs>
        <w:spacing w:line="360" w:lineRule="auto"/>
        <w:jc w:val="both"/>
        <w:rPr>
          <w:rFonts w:ascii="Palatino Linotype" w:eastAsiaTheme="minorEastAsia" w:hAnsi="Palatino Linotype" w:cs="Arial"/>
          <w:color w:val="000000"/>
          <w:lang w:val="es-ES_tradnl"/>
        </w:rPr>
      </w:pPr>
    </w:p>
    <w:p w:rsidR="00D935F1" w:rsidRDefault="00BF1C6A">
      <w:pPr>
        <w:tabs>
          <w:tab w:val="left" w:pos="709"/>
        </w:tabs>
        <w:spacing w:line="360" w:lineRule="auto"/>
        <w:jc w:val="both"/>
        <w:rPr>
          <w:rFonts w:ascii="Palatino Linotype" w:eastAsiaTheme="minorEastAsia" w:hAnsi="Palatino Linotype" w:cs="Arial"/>
          <w:lang w:val="es-ES_tradnl"/>
        </w:rPr>
      </w:pPr>
      <w:r>
        <w:rPr>
          <w:rFonts w:ascii="Palatino Linotype" w:eastAsiaTheme="minorEastAsia" w:hAnsi="Palatino Linotype" w:cs="Arial"/>
          <w:color w:val="000000"/>
          <w:lang w:val="es-ES_tradnl"/>
        </w:rPr>
        <w:lastRenderedPageBreak/>
        <w:t xml:space="preserve">Por otro lado, resulta importante traer a colación el contenido de los artículos 4 y 6 de la </w:t>
      </w:r>
      <w:r>
        <w:rPr>
          <w:rFonts w:ascii="Palatino Linotype" w:eastAsiaTheme="minorEastAsia" w:hAnsi="Palatino Linotype" w:cs="Arial"/>
          <w:lang w:val="es-ES_tradnl"/>
        </w:rPr>
        <w:t>Ley de Transparencia y Acceso a la Información Pública del Estado de México y Municipios, mismos que son del tenor siguiente:</w:t>
      </w:r>
    </w:p>
    <w:p w:rsidR="00D935F1" w:rsidRDefault="00D935F1">
      <w:pPr>
        <w:tabs>
          <w:tab w:val="left" w:pos="709"/>
        </w:tabs>
        <w:jc w:val="both"/>
        <w:rPr>
          <w:rFonts w:ascii="Palatino Linotype" w:eastAsiaTheme="minorEastAsia" w:hAnsi="Palatino Linotype" w:cs="Arial"/>
          <w:sz w:val="20"/>
          <w:szCs w:val="20"/>
          <w:lang w:val="es-ES_tradnl"/>
        </w:rPr>
      </w:pP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w:t>
      </w:r>
      <w:r>
        <w:rPr>
          <w:rFonts w:ascii="Palatino Linotype" w:eastAsiaTheme="minorEastAsia" w:hAnsi="Palatino Linotype" w:cs="Arial"/>
          <w:b/>
          <w:i/>
          <w:sz w:val="22"/>
          <w:szCs w:val="22"/>
          <w:lang w:val="es-ES_tradnl"/>
        </w:rPr>
        <w:t>Artículo 4.</w:t>
      </w:r>
      <w:r>
        <w:rPr>
          <w:rFonts w:ascii="Palatino Linotype" w:eastAsiaTheme="minorEastAsia" w:hAnsi="Palatino Linotype" w:cs="Arial"/>
          <w:i/>
          <w:sz w:val="22"/>
          <w:szCs w:val="22"/>
          <w:lang w:val="es-ES_tradnl"/>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i/>
          <w:sz w:val="22"/>
          <w:szCs w:val="22"/>
          <w:u w:val="single"/>
          <w:lang w:val="es-ES_tradnl"/>
        </w:rPr>
        <w:t>Toda la información generada, obtenida, adquirida, transformada, administrada o en posesión de los sujetos obligados es pública y accesible de manera permanente a cualquier persona</w:t>
      </w:r>
      <w:r>
        <w:rPr>
          <w:rFonts w:ascii="Palatino Linotype" w:eastAsiaTheme="minorEastAsia" w:hAnsi="Palatino Linotype" w:cs="Arial"/>
          <w:i/>
          <w:sz w:val="22"/>
          <w:szCs w:val="22"/>
          <w:lang w:val="es-ES_tradnl"/>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Pr>
          <w:rFonts w:ascii="Palatino Linotype" w:eastAsiaTheme="minorEastAsia" w:hAnsi="Palatino Linotype" w:cs="Arial"/>
          <w:b/>
          <w:i/>
          <w:sz w:val="22"/>
          <w:szCs w:val="22"/>
          <w:u w:val="single"/>
          <w:lang w:val="es-ES_tradnl"/>
        </w:rPr>
        <w:t>Solo podrá ser clasificada excepcionalmente como reservada temporalmente por razones de interés público, en los términos de las causas legítimas y estrictamente necesarias previstas por esta Ley.</w:t>
      </w: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Los sujetos obligados deben poner en práctica, políticas y programas de acceso a la información que se apeguen a criterios de publicidad, veracidad, oportunidad, precisión y suficiencia en beneficio de los solicitantes.</w:t>
      </w:r>
    </w:p>
    <w:p w:rsidR="00D935F1" w:rsidRDefault="00D935F1">
      <w:pPr>
        <w:ind w:left="851" w:right="901"/>
        <w:jc w:val="both"/>
        <w:rPr>
          <w:rFonts w:ascii="Palatino Linotype" w:eastAsiaTheme="minorEastAsia" w:hAnsi="Palatino Linotype" w:cs="Arial"/>
          <w:i/>
          <w:sz w:val="22"/>
          <w:szCs w:val="22"/>
          <w:lang w:val="es-ES_tradnl"/>
        </w:rPr>
      </w:pP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i/>
          <w:sz w:val="22"/>
          <w:szCs w:val="22"/>
          <w:lang w:val="es-ES_tradnl"/>
        </w:rPr>
        <w:t>Artículo 6.</w:t>
      </w:r>
      <w:r>
        <w:rPr>
          <w:rFonts w:ascii="Palatino Linotype" w:eastAsiaTheme="minorEastAsia" w:hAnsi="Palatino Linotype" w:cs="Arial"/>
          <w:i/>
          <w:sz w:val="22"/>
          <w:szCs w:val="22"/>
          <w:lang w:val="es-ES_tradnl"/>
        </w:rPr>
        <w:t xml:space="preserve"> </w:t>
      </w:r>
      <w:r>
        <w:rPr>
          <w:rFonts w:ascii="Palatino Linotype" w:eastAsiaTheme="minorEastAsia" w:hAnsi="Palatino Linotype" w:cs="Arial"/>
          <w:b/>
          <w:i/>
          <w:sz w:val="22"/>
          <w:szCs w:val="22"/>
          <w:u w:val="single"/>
          <w:lang w:val="es-ES_tradnl"/>
        </w:rPr>
        <w:t>Los datos personales son irrenunciables, intransferibles e indelegables, por lo que los sujetos obligados no deberán proporcionar o hacer pública la información que contenga, con excepción de aquellos casos en que deban hacerlo en observancia de las disposiciones aplicables.</w:t>
      </w:r>
      <w:r>
        <w:rPr>
          <w:rFonts w:ascii="Palatino Linotype" w:eastAsiaTheme="minorEastAsia" w:hAnsi="Palatino Linotype" w:cs="Arial"/>
          <w:i/>
          <w:sz w:val="22"/>
          <w:szCs w:val="22"/>
          <w:lang w:val="es-ES_tradnl"/>
        </w:rPr>
        <w:t xml:space="preserve"> En el caso de los derechos de acceso, rectificación, cancelación u oposición; los principios, procedimientos, medidas de seguridad en el tratamiento y demás disposiciones en materia de datos personales, se deberá estar a lo dispuesto en las leyes de la materia.” </w:t>
      </w:r>
    </w:p>
    <w:p w:rsidR="00D935F1" w:rsidRDefault="00D935F1">
      <w:pPr>
        <w:ind w:left="851" w:right="901"/>
        <w:jc w:val="both"/>
        <w:rPr>
          <w:rFonts w:ascii="Palatino Linotype" w:eastAsiaTheme="minorEastAsia" w:hAnsi="Palatino Linotype" w:cs="Arial"/>
          <w:i/>
          <w:sz w:val="22"/>
          <w:szCs w:val="22"/>
          <w:lang w:val="es-ES_tradnl"/>
        </w:rPr>
      </w:pPr>
    </w:p>
    <w:p w:rsidR="00D935F1" w:rsidRDefault="00BF1C6A">
      <w:pPr>
        <w:ind w:left="851" w:right="901"/>
        <w:jc w:val="both"/>
        <w:rPr>
          <w:rFonts w:ascii="Palatino Linotype" w:eastAsiaTheme="minorEastAsia" w:hAnsi="Palatino Linotype" w:cs="Arial"/>
          <w:b/>
          <w:i/>
          <w:sz w:val="22"/>
          <w:szCs w:val="22"/>
          <w:lang w:val="es-ES_tradnl"/>
        </w:rPr>
      </w:pPr>
      <w:r>
        <w:rPr>
          <w:rFonts w:ascii="Palatino Linotype" w:eastAsiaTheme="minorEastAsia" w:hAnsi="Palatino Linotype" w:cs="Arial"/>
          <w:b/>
          <w:i/>
          <w:sz w:val="22"/>
          <w:szCs w:val="22"/>
          <w:lang w:val="es-ES_tradnl"/>
        </w:rPr>
        <w:t>(Énfasis añadido)</w:t>
      </w:r>
    </w:p>
    <w:p w:rsidR="00D935F1" w:rsidRDefault="00D935F1">
      <w:pPr>
        <w:ind w:left="851" w:right="901"/>
        <w:jc w:val="both"/>
        <w:rPr>
          <w:rFonts w:ascii="Palatino Linotype" w:eastAsiaTheme="minorEastAsia" w:hAnsi="Palatino Linotype" w:cs="Arial"/>
          <w:i/>
          <w:sz w:val="22"/>
          <w:szCs w:val="22"/>
          <w:lang w:val="es-ES_tradnl"/>
        </w:rPr>
      </w:pPr>
    </w:p>
    <w:p w:rsidR="00D935F1" w:rsidRDefault="00BF1C6A">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Por consiguiente, los preceptos legales transcritos establecen que </w:t>
      </w:r>
      <w:r>
        <w:rPr>
          <w:rFonts w:ascii="Palatino Linotype" w:eastAsiaTheme="minorEastAsia" w:hAnsi="Palatino Linotype" w:cs="Arial"/>
          <w:b/>
          <w:lang w:val="es-ES_tradnl"/>
        </w:rPr>
        <w:t>los Sujetos Obligados se encuentran constreñidos a entregar la información pública solicitada por los particulares</w:t>
      </w:r>
      <w:r>
        <w:rPr>
          <w:rFonts w:ascii="Palatino Linotype" w:eastAsiaTheme="minorEastAsia" w:hAnsi="Palatino Linotype" w:cs="Arial"/>
          <w:lang w:val="es-ES_tradnl"/>
        </w:rPr>
        <w:t xml:space="preserve"> y que ésta misma se encuentre en sus archivos o que obre en su posesión, </w:t>
      </w:r>
      <w:r>
        <w:rPr>
          <w:rFonts w:ascii="Palatino Linotype" w:eastAsiaTheme="minorEastAsia" w:hAnsi="Palatino Linotype" w:cs="Arial"/>
          <w:b/>
          <w:lang w:val="es-ES_tradnl"/>
        </w:rPr>
        <w:t xml:space="preserve">privilegiando en todo momento el principio de máxima publicidad; </w:t>
      </w:r>
      <w:r>
        <w:rPr>
          <w:rFonts w:ascii="Palatino Linotype" w:eastAsiaTheme="minorEastAsia" w:hAnsi="Palatino Linotype" w:cs="Arial"/>
          <w:lang w:val="es-ES_tradnl"/>
        </w:rPr>
        <w:t xml:space="preserve">así, </w:t>
      </w:r>
      <w:r>
        <w:rPr>
          <w:rFonts w:ascii="Palatino Linotype" w:eastAsiaTheme="minorEastAsia" w:hAnsi="Palatino Linotype" w:cs="Arial"/>
          <w:lang w:val="es-ES_tradnl"/>
        </w:rPr>
        <w:lastRenderedPageBreak/>
        <w:t>cuando la información generada contenga datos personales, los Sujetos Obligados no deberán proporcionarla o hacer pública, con excepción de aquellos casos en que deban hacerlo en observancia de las disposiciones aplicables.</w:t>
      </w:r>
    </w:p>
    <w:p w:rsidR="00D935F1" w:rsidRDefault="00D935F1">
      <w:pPr>
        <w:spacing w:line="360" w:lineRule="auto"/>
        <w:jc w:val="both"/>
        <w:rPr>
          <w:rFonts w:ascii="Palatino Linotype" w:eastAsiaTheme="minorEastAsia" w:hAnsi="Palatino Linotype" w:cs="Arial"/>
          <w:lang w:val="es-ES_tradnl"/>
        </w:rPr>
      </w:pPr>
    </w:p>
    <w:p w:rsidR="00D935F1" w:rsidRDefault="00BF1C6A">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Queda de manifiesto entonces que, </w:t>
      </w:r>
      <w:r>
        <w:rPr>
          <w:rFonts w:ascii="Palatino Linotype" w:eastAsiaTheme="minorEastAsia" w:hAnsi="Palatino Linotype" w:cs="Arial"/>
          <w:b/>
          <w:lang w:val="es-ES_tradnl"/>
        </w:rPr>
        <w:t>se considera información pública al conjunto de datos que posee cualquier autoridad, obtenidos en virtud del ejercicio de sus funciones de derecho público</w:t>
      </w:r>
      <w:r>
        <w:rPr>
          <w:rFonts w:ascii="Palatino Linotype" w:eastAsiaTheme="minorEastAsia" w:hAnsi="Palatino Linotype" w:cs="Arial"/>
          <w:lang w:val="es-ES_tradn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D935F1" w:rsidRDefault="00D935F1">
      <w:pPr>
        <w:jc w:val="both"/>
        <w:rPr>
          <w:rFonts w:ascii="Palatino Linotype" w:eastAsiaTheme="minorEastAsia" w:hAnsi="Palatino Linotype" w:cs="Arial"/>
          <w:sz w:val="20"/>
          <w:szCs w:val="20"/>
          <w:lang w:val="es-ES_tradnl"/>
        </w:rPr>
      </w:pPr>
    </w:p>
    <w:p w:rsidR="00D935F1" w:rsidRDefault="00BF1C6A">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Cs/>
          <w:i/>
          <w:sz w:val="22"/>
          <w:szCs w:val="22"/>
          <w:lang w:val="es-ES_tradnl"/>
        </w:rPr>
        <w:t>“</w:t>
      </w:r>
      <w:r>
        <w:rPr>
          <w:rFonts w:ascii="Palatino Linotype" w:eastAsiaTheme="minorEastAsia" w:hAnsi="Palatino Linotype" w:cs="Arial"/>
          <w:b/>
          <w:bCs/>
          <w:i/>
          <w:sz w:val="22"/>
          <w:szCs w:val="22"/>
          <w:lang w:val="es-ES_tradnl"/>
        </w:rPr>
        <w:t>INFORMACIÓN PÚBLICA. ES AQUELLA QUE SE ENCUENTRA EN POSESIÓN DE CUALQUIER AUTORIDAD, ENTIDAD, ÓRGANO Y ORGANISMO FEDERAL, ESTATAL Y MUNICIPAL, SIEMPRE QUE SE HAYA OBTENIDO POR CAUSA DEL EJERCICIO DE FUNCIONES DE DERECHO PÚBLICO.</w:t>
      </w:r>
      <w:r>
        <w:rPr>
          <w:rFonts w:ascii="Palatino Linotype" w:eastAsiaTheme="minorEastAsia" w:hAnsi="Palatino Linotype" w:cs="Arial"/>
          <w:i/>
          <w:sz w:val="22"/>
          <w:szCs w:val="22"/>
          <w:lang w:val="es-ES_tradnl"/>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w:t>
      </w:r>
      <w:r>
        <w:rPr>
          <w:rFonts w:ascii="Palatino Linotype" w:eastAsiaTheme="minorEastAsia" w:hAnsi="Palatino Linotype" w:cs="Arial"/>
          <w:b/>
          <w:i/>
          <w:sz w:val="22"/>
          <w:szCs w:val="22"/>
          <w:u w:val="single"/>
          <w:lang w:val="es-ES_tradnl"/>
        </w:rPr>
        <w:t xml:space="preserve">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w:t>
      </w:r>
      <w:r>
        <w:rPr>
          <w:rFonts w:ascii="Palatino Linotype" w:eastAsiaTheme="minorEastAsia" w:hAnsi="Palatino Linotype" w:cs="Arial"/>
          <w:i/>
          <w:sz w:val="22"/>
          <w:szCs w:val="22"/>
          <w:lang w:val="es-ES_tradnl"/>
        </w:rPr>
        <w:t>en términos del artículo 6o., fracción I, de la Constitución Política de los Estados Unidos Mexicanos, en relación con los numerales 1, 2, 4 y 6 de la Ley Federal de Transparencia y Acceso a la Información Pública Gubernamental” (sic)</w:t>
      </w:r>
    </w:p>
    <w:p w:rsidR="00D935F1" w:rsidRDefault="00D935F1">
      <w:pPr>
        <w:ind w:left="851" w:right="901"/>
        <w:jc w:val="both"/>
        <w:rPr>
          <w:rFonts w:ascii="Palatino Linotype" w:eastAsiaTheme="minorEastAsia" w:hAnsi="Palatino Linotype" w:cs="Arial"/>
          <w:b/>
          <w:i/>
          <w:sz w:val="20"/>
          <w:szCs w:val="22"/>
          <w:lang w:val="es-ES_tradnl"/>
        </w:rPr>
      </w:pPr>
    </w:p>
    <w:p w:rsidR="00D935F1" w:rsidRDefault="00BF1C6A">
      <w:pPr>
        <w:spacing w:line="360" w:lineRule="auto"/>
        <w:jc w:val="both"/>
        <w:rPr>
          <w:rFonts w:ascii="Palatino Linotype" w:eastAsiaTheme="minorEastAsia" w:hAnsi="Palatino Linotype" w:cs="Arial"/>
          <w:color w:val="000000" w:themeColor="text1"/>
          <w:lang w:val="es-ES_tradnl"/>
        </w:rPr>
      </w:pPr>
      <w:r>
        <w:rPr>
          <w:rFonts w:ascii="Palatino Linotype" w:eastAsiaTheme="minorEastAsia" w:hAnsi="Palatino Linotype" w:cs="Arial"/>
          <w:color w:val="000000" w:themeColor="text1"/>
          <w:lang w:val="es-ES_tradnl"/>
        </w:rPr>
        <w:lastRenderedPageBreak/>
        <w:t xml:space="preserve">Asimismo, el artículo 24 de la Ley de la materia, señala que los Sujetos Obligados sólo proporcionarán la información pública que </w:t>
      </w:r>
      <w:r>
        <w:rPr>
          <w:rFonts w:ascii="Palatino Linotype" w:eastAsiaTheme="minorEastAsia" w:hAnsi="Palatino Linotype" w:cs="Arial"/>
          <w:lang w:val="es-ES_tradnl"/>
        </w:rPr>
        <w:t>generen</w:t>
      </w:r>
      <w:r>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 con las excepciones de reserva y confidencialidad que marca la propia Ley.</w:t>
      </w:r>
    </w:p>
    <w:p w:rsidR="00D935F1" w:rsidRDefault="00D935F1">
      <w:pPr>
        <w:spacing w:line="360" w:lineRule="auto"/>
        <w:jc w:val="both"/>
        <w:rPr>
          <w:rFonts w:ascii="Palatino Linotype" w:eastAsiaTheme="minorEastAsia" w:hAnsi="Palatino Linotype" w:cs="Arial"/>
          <w:color w:val="000000" w:themeColor="text1"/>
          <w:lang w:val="es-ES_tradnl"/>
        </w:rPr>
      </w:pPr>
    </w:p>
    <w:p w:rsidR="00D935F1" w:rsidRDefault="00BF1C6A">
      <w:pPr>
        <w:spacing w:line="360" w:lineRule="auto"/>
        <w:jc w:val="both"/>
        <w:rPr>
          <w:rFonts w:ascii="Palatino Linotype" w:eastAsiaTheme="minorEastAsia" w:hAnsi="Palatino Linotype" w:cs="Arial"/>
          <w:color w:val="000000" w:themeColor="text1"/>
          <w:lang w:val="es-ES_tradnl"/>
        </w:rPr>
      </w:pPr>
      <w:r>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Pr>
          <w:rFonts w:ascii="Palatino Linotype" w:eastAsiaTheme="minorEastAsia" w:hAnsi="Palatino Linotype" w:cs="Arial"/>
          <w:color w:val="000000" w:themeColor="text1"/>
          <w:lang w:val="es-ES_tradnl"/>
        </w:rPr>
        <w:t xml:space="preserve">; los que </w:t>
      </w:r>
      <w:r>
        <w:rPr>
          <w:rFonts w:ascii="Palatino Linotype" w:eastAsiaTheme="minorEastAsia" w:hAnsi="Palatino Linotype" w:cs="Arial"/>
          <w:lang w:val="es-ES_tradnl"/>
        </w:rPr>
        <w:t>podrán estar en cualquier medio, sea escrito, impreso, sonoro, visual, electrónico, informático u holográfico</w:t>
      </w:r>
      <w:r>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D935F1" w:rsidRDefault="00D935F1">
      <w:pPr>
        <w:jc w:val="both"/>
        <w:rPr>
          <w:rFonts w:ascii="Palatino Linotype" w:eastAsiaTheme="minorEastAsia" w:hAnsi="Palatino Linotype" w:cs="Arial"/>
          <w:color w:val="000000" w:themeColor="text1"/>
          <w:sz w:val="22"/>
          <w:szCs w:val="22"/>
          <w:lang w:val="es-ES_tradnl"/>
        </w:rPr>
      </w:pPr>
    </w:p>
    <w:p w:rsidR="00D935F1" w:rsidRDefault="00BF1C6A">
      <w:pPr>
        <w:ind w:left="851" w:right="901"/>
        <w:jc w:val="both"/>
        <w:rPr>
          <w:rFonts w:ascii="Palatino Linotype" w:eastAsiaTheme="minorEastAsia" w:hAnsi="Palatino Linotype" w:cs="Arial"/>
          <w:i/>
          <w:color w:val="000000"/>
          <w:sz w:val="22"/>
          <w:szCs w:val="22"/>
          <w:lang w:val="es-ES_tradnl"/>
        </w:rPr>
      </w:pPr>
      <w:r>
        <w:rPr>
          <w:rFonts w:ascii="Palatino Linotype" w:eastAsiaTheme="minorEastAsia" w:hAnsi="Palatino Linotype" w:cs="Arial"/>
          <w:i/>
          <w:color w:val="000000"/>
          <w:sz w:val="22"/>
          <w:szCs w:val="22"/>
          <w:lang w:val="es-ES_tradnl"/>
        </w:rPr>
        <w:t>“</w:t>
      </w:r>
      <w:r>
        <w:rPr>
          <w:rFonts w:ascii="Palatino Linotype" w:eastAsiaTheme="minorEastAsia" w:hAnsi="Palatino Linotype" w:cs="Arial"/>
          <w:b/>
          <w:i/>
          <w:color w:val="000000"/>
          <w:sz w:val="22"/>
          <w:szCs w:val="22"/>
          <w:lang w:val="es-ES_tradnl"/>
        </w:rPr>
        <w:t xml:space="preserve">Artículo 3. </w:t>
      </w:r>
      <w:r>
        <w:rPr>
          <w:rFonts w:ascii="Palatino Linotype" w:eastAsiaTheme="minorEastAsia" w:hAnsi="Palatino Linotype" w:cs="Arial"/>
          <w:i/>
          <w:color w:val="000000"/>
          <w:sz w:val="22"/>
          <w:szCs w:val="22"/>
          <w:lang w:val="es-ES_tradnl"/>
        </w:rPr>
        <w:t>Para los efectos de la presente Ley se entenderá por:</w:t>
      </w:r>
    </w:p>
    <w:p w:rsidR="00D935F1" w:rsidRDefault="00BF1C6A">
      <w:pPr>
        <w:ind w:left="851" w:right="901"/>
        <w:jc w:val="both"/>
        <w:rPr>
          <w:rFonts w:ascii="Palatino Linotype" w:eastAsiaTheme="minorEastAsia" w:hAnsi="Palatino Linotype" w:cs="Arial"/>
          <w:i/>
          <w:color w:val="000000"/>
          <w:sz w:val="22"/>
          <w:szCs w:val="22"/>
          <w:lang w:val="es-ES_tradnl"/>
        </w:rPr>
      </w:pPr>
      <w:r>
        <w:rPr>
          <w:rFonts w:ascii="Palatino Linotype" w:eastAsiaTheme="minorEastAsia" w:hAnsi="Palatino Linotype" w:cs="Arial"/>
          <w:b/>
          <w:i/>
          <w:color w:val="000000"/>
          <w:sz w:val="22"/>
          <w:szCs w:val="22"/>
          <w:lang w:val="es-ES_tradnl"/>
        </w:rPr>
        <w:t>XI. Documento:</w:t>
      </w:r>
      <w:r>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935F1" w:rsidRDefault="00D935F1">
      <w:pPr>
        <w:ind w:left="851" w:right="901"/>
        <w:jc w:val="both"/>
        <w:rPr>
          <w:rFonts w:ascii="Palatino Linotype" w:eastAsiaTheme="minorEastAsia" w:hAnsi="Palatino Linotype" w:cs="Arial"/>
          <w:i/>
          <w:color w:val="000000"/>
          <w:sz w:val="22"/>
          <w:szCs w:val="22"/>
          <w:lang w:val="es-ES_tradnl"/>
        </w:rPr>
      </w:pPr>
    </w:p>
    <w:p w:rsidR="00D935F1" w:rsidRDefault="00BF1C6A">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 xml:space="preserve">Siendo aplicable el criterio </w:t>
      </w:r>
      <w:r>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w:t>
      </w:r>
      <w:r>
        <w:rPr>
          <w:rFonts w:ascii="Palatino Linotype" w:eastAsiaTheme="minorEastAsia" w:hAnsi="Palatino Linotype" w:cs="Arial"/>
          <w:bCs/>
          <w:lang w:val="es-ES_tradnl" w:eastAsia="es-MX"/>
        </w:rPr>
        <w:lastRenderedPageBreak/>
        <w:t xml:space="preserve">Información Pública del Estado de México y Municipios, publicado en el Periódico Oficial del Gobierno del Estado Libre y Soberano de México “Gaceta del Gobierno” el diecinueve de octubre de dos mil once, </w:t>
      </w:r>
      <w:r>
        <w:rPr>
          <w:rFonts w:ascii="Palatino Linotype" w:eastAsiaTheme="minorEastAsia" w:hAnsi="Palatino Linotype" w:cs="Arial"/>
          <w:lang w:val="es-ES_tradnl"/>
        </w:rPr>
        <w:t>cuyo rubro y texto dispone:</w:t>
      </w:r>
    </w:p>
    <w:p w:rsidR="00D935F1" w:rsidRDefault="00D935F1">
      <w:pPr>
        <w:ind w:left="851" w:right="901"/>
        <w:jc w:val="center"/>
        <w:rPr>
          <w:rFonts w:ascii="Palatino Linotype" w:eastAsiaTheme="minorEastAsia" w:hAnsi="Palatino Linotype" w:cs="Arial"/>
          <w:sz w:val="22"/>
          <w:szCs w:val="22"/>
          <w:lang w:val="es-ES_tradnl" w:eastAsia="es-MX"/>
        </w:rPr>
      </w:pPr>
    </w:p>
    <w:p w:rsidR="00D935F1" w:rsidRDefault="00BF1C6A">
      <w:pPr>
        <w:ind w:left="851" w:right="901"/>
        <w:jc w:val="center"/>
        <w:rPr>
          <w:rFonts w:ascii="Palatino Linotype" w:eastAsiaTheme="minorEastAsia" w:hAnsi="Palatino Linotype" w:cs="Arial"/>
          <w:b/>
          <w:i/>
          <w:sz w:val="22"/>
          <w:szCs w:val="22"/>
          <w:lang w:val="es-ES_tradnl" w:eastAsia="es-MX"/>
        </w:rPr>
      </w:pPr>
      <w:r>
        <w:rPr>
          <w:rFonts w:ascii="Palatino Linotype" w:eastAsiaTheme="minorEastAsia" w:hAnsi="Palatino Linotype" w:cs="Arial"/>
          <w:sz w:val="22"/>
          <w:szCs w:val="22"/>
          <w:lang w:val="es-ES_tradnl" w:eastAsia="es-MX"/>
        </w:rPr>
        <w:t>“</w:t>
      </w:r>
      <w:r>
        <w:rPr>
          <w:rFonts w:ascii="Palatino Linotype" w:eastAsiaTheme="minorEastAsia" w:hAnsi="Palatino Linotype" w:cs="Arial"/>
          <w:b/>
          <w:i/>
          <w:sz w:val="22"/>
          <w:szCs w:val="22"/>
          <w:lang w:val="es-ES_tradnl" w:eastAsia="es-MX"/>
        </w:rPr>
        <w:t>CRITERIO 0002-11</w:t>
      </w:r>
    </w:p>
    <w:p w:rsidR="00D935F1" w:rsidRDefault="00BF1C6A">
      <w:pPr>
        <w:ind w:left="851" w:right="901"/>
        <w:jc w:val="both"/>
        <w:rPr>
          <w:rFonts w:ascii="Palatino Linotype" w:eastAsiaTheme="minorEastAsia" w:hAnsi="Palatino Linotype" w:cs="Arial"/>
          <w:i/>
          <w:sz w:val="22"/>
          <w:szCs w:val="22"/>
          <w:lang w:val="es-ES_tradnl" w:eastAsia="es-MX"/>
        </w:rPr>
      </w:pPr>
      <w:r>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Pr>
          <w:rFonts w:ascii="Palatino Linotype" w:eastAsiaTheme="minorEastAsia" w:hAnsi="Palatino Linotype" w:cs="Arial"/>
          <w:b/>
          <w:bCs/>
          <w:i/>
          <w:sz w:val="22"/>
          <w:szCs w:val="22"/>
          <w:u w:val="single"/>
          <w:lang w:val="es-ES_tradnl" w:eastAsia="es-MX"/>
        </w:rPr>
        <w:t xml:space="preserve">V, XV, Y XVI, </w:t>
      </w:r>
      <w:r>
        <w:rPr>
          <w:rFonts w:ascii="Palatino Linotype" w:eastAsiaTheme="minorEastAsia" w:hAnsi="Palatino Linotype" w:cs="Arial"/>
          <w:b/>
          <w:i/>
          <w:sz w:val="22"/>
          <w:szCs w:val="22"/>
          <w:u w:val="single"/>
          <w:lang w:val="es-ES_tradnl" w:eastAsia="es-MX"/>
        </w:rPr>
        <w:t>3°, 4°, 11 Y 41.</w:t>
      </w:r>
      <w:r>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935F1" w:rsidRDefault="00BF1C6A">
      <w:pPr>
        <w:ind w:left="851" w:right="901"/>
        <w:jc w:val="both"/>
        <w:rPr>
          <w:rFonts w:ascii="Palatino Linotype" w:eastAsiaTheme="minorEastAsia" w:hAnsi="Palatino Linotype" w:cs="Arial"/>
          <w:i/>
          <w:sz w:val="22"/>
          <w:szCs w:val="22"/>
          <w:lang w:val="es-ES_tradnl" w:eastAsia="es-MX"/>
        </w:rPr>
      </w:pPr>
      <w:r>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D935F1" w:rsidRDefault="00BF1C6A">
      <w:pPr>
        <w:ind w:left="851" w:right="901"/>
        <w:jc w:val="both"/>
        <w:rPr>
          <w:rFonts w:ascii="Palatino Linotype" w:eastAsiaTheme="minorEastAsia" w:hAnsi="Palatino Linotype" w:cs="Arial"/>
          <w:b/>
          <w:i/>
          <w:sz w:val="22"/>
          <w:szCs w:val="22"/>
          <w:u w:val="single"/>
          <w:lang w:val="es-ES_tradnl" w:eastAsia="es-MX"/>
        </w:rPr>
      </w:pPr>
      <w:r>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D935F1" w:rsidRDefault="00BF1C6A">
      <w:pPr>
        <w:ind w:left="851" w:right="901"/>
        <w:jc w:val="both"/>
        <w:rPr>
          <w:rFonts w:ascii="Palatino Linotype" w:eastAsiaTheme="minorEastAsia" w:hAnsi="Palatino Linotype" w:cs="Arial"/>
          <w:i/>
          <w:sz w:val="22"/>
          <w:szCs w:val="22"/>
          <w:lang w:val="es-ES_tradnl" w:eastAsia="es-MX"/>
        </w:rPr>
      </w:pPr>
      <w:r>
        <w:rPr>
          <w:rFonts w:ascii="Palatino Linotype" w:eastAsiaTheme="minorEastAsia" w:hAnsi="Palatino Linotype" w:cs="Arial"/>
          <w:i/>
          <w:sz w:val="22"/>
          <w:szCs w:val="22"/>
          <w:lang w:val="es-ES_tradnl" w:eastAsia="es-MX"/>
        </w:rPr>
        <w:t>2) Que se trate de información registrada en cualquier soporte documental, que en ejercicio de las atribuciones conferidas, sea administrada por los Sujetos Obligados, y</w:t>
      </w:r>
    </w:p>
    <w:p w:rsidR="00D935F1" w:rsidRDefault="00BF1C6A">
      <w:pPr>
        <w:ind w:left="851" w:right="901"/>
        <w:jc w:val="both"/>
        <w:rPr>
          <w:rFonts w:ascii="Palatino Linotype" w:eastAsiaTheme="minorEastAsia" w:hAnsi="Palatino Linotype" w:cs="Arial"/>
          <w:i/>
          <w:sz w:val="22"/>
          <w:szCs w:val="22"/>
          <w:lang w:val="es-ES_tradnl" w:eastAsia="es-MX"/>
        </w:rPr>
      </w:pPr>
      <w:r>
        <w:rPr>
          <w:rFonts w:ascii="Palatino Linotype" w:eastAsiaTheme="minorEastAsia" w:hAnsi="Palatino Linotype" w:cs="Arial"/>
          <w:i/>
          <w:sz w:val="22"/>
          <w:szCs w:val="22"/>
          <w:lang w:val="es-ES_tradnl" w:eastAsia="es-MX"/>
        </w:rPr>
        <w:t>3) Que se trate de información registrada en cualquier soporte documental, que en ejercicio de las atribuciones conferidas, se encuentre en posesión de los Sujetos Obligados.” (SIC)</w:t>
      </w:r>
    </w:p>
    <w:p w:rsidR="00D935F1" w:rsidRDefault="00BF1C6A">
      <w:pPr>
        <w:ind w:left="851" w:right="901"/>
        <w:jc w:val="both"/>
        <w:rPr>
          <w:rFonts w:ascii="Palatino Linotype" w:eastAsiaTheme="minorEastAsia" w:hAnsi="Palatino Linotype" w:cs="Arial"/>
          <w:sz w:val="22"/>
          <w:szCs w:val="22"/>
          <w:lang w:val="es-ES_tradnl" w:eastAsia="es-MX"/>
        </w:rPr>
      </w:pPr>
      <w:r>
        <w:rPr>
          <w:rFonts w:ascii="Palatino Linotype" w:eastAsiaTheme="minorEastAsia" w:hAnsi="Palatino Linotype" w:cs="Arial"/>
          <w:sz w:val="22"/>
          <w:szCs w:val="22"/>
          <w:lang w:val="es-ES_tradnl" w:eastAsia="es-MX"/>
        </w:rPr>
        <w:t>(Énfasis Añadido)</w:t>
      </w:r>
    </w:p>
    <w:p w:rsidR="00D935F1" w:rsidRDefault="00D935F1">
      <w:pPr>
        <w:ind w:right="51"/>
        <w:jc w:val="both"/>
        <w:rPr>
          <w:rFonts w:ascii="Palatino Linotype" w:eastAsiaTheme="minorEastAsia" w:hAnsi="Palatino Linotype" w:cstheme="minorBidi"/>
          <w:sz w:val="22"/>
          <w:szCs w:val="22"/>
          <w:lang w:val="es-ES_tradnl"/>
        </w:rPr>
      </w:pPr>
    </w:p>
    <w:p w:rsidR="00D935F1" w:rsidRDefault="00BF1C6A">
      <w:pPr>
        <w:widowControl w:val="0"/>
        <w:spacing w:line="360" w:lineRule="auto"/>
        <w:jc w:val="both"/>
        <w:rPr>
          <w:rFonts w:ascii="Palatino Linotype" w:eastAsia="Arial Unicode MS" w:hAnsi="Palatino Linotype" w:cs="Arial"/>
        </w:rPr>
      </w:pPr>
      <w:r>
        <w:rPr>
          <w:rFonts w:ascii="Palatino Linotype" w:hAnsi="Palatino Linotype"/>
          <w:lang w:val="es-ES"/>
        </w:rPr>
        <w:t xml:space="preserve">Una vez precisado lo anterior, es importante destacar que </w:t>
      </w:r>
      <w:r>
        <w:rPr>
          <w:rFonts w:ascii="Palatino Linotype" w:eastAsia="Arial Unicode MS" w:hAnsi="Palatino Linotype" w:cs="Arial"/>
        </w:rPr>
        <w:t xml:space="preserve">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D935F1" w:rsidRDefault="00D935F1">
      <w:pPr>
        <w:spacing w:line="360" w:lineRule="auto"/>
        <w:jc w:val="both"/>
        <w:rPr>
          <w:rFonts w:ascii="Palatino Linotype" w:eastAsia="Arial Unicode MS" w:hAnsi="Palatino Linotype" w:cs="Arial"/>
        </w:rPr>
      </w:pPr>
    </w:p>
    <w:p w:rsidR="00D935F1" w:rsidRDefault="00BF1C6A">
      <w:pPr>
        <w:widowControl w:val="0"/>
        <w:tabs>
          <w:tab w:val="left" w:pos="1276"/>
        </w:tabs>
        <w:spacing w:line="360" w:lineRule="auto"/>
        <w:jc w:val="both"/>
        <w:rPr>
          <w:rFonts w:ascii="Palatino Linotype" w:eastAsia="Arial Unicode MS" w:hAnsi="Palatino Linotype" w:cs="Arial"/>
        </w:rPr>
      </w:pPr>
      <w:r>
        <w:rPr>
          <w:rFonts w:ascii="Palatino Linotype" w:eastAsia="Arial Unicode MS" w:hAnsi="Palatino Linotype" w:cs="Arial"/>
        </w:rPr>
        <w:t xml:space="preserve">Dicho lo anterior, se precisa que la ya mencionada Unidad de Transparencia es la </w:t>
      </w:r>
      <w:r>
        <w:rPr>
          <w:rFonts w:ascii="Palatino Linotype" w:eastAsia="Arial Unicode MS" w:hAnsi="Palatino Linotype" w:cs="Arial"/>
        </w:rPr>
        <w:lastRenderedPageBreak/>
        <w:t xml:space="preserve">encargada de tramitar internamente las solicitudes de información y tiene la </w:t>
      </w:r>
      <w:r>
        <w:rPr>
          <w:rFonts w:ascii="Palatino Linotype" w:eastAsia="Arial Unicode MS" w:hAnsi="Palatino Linotype" w:cs="Arial"/>
          <w:b/>
          <w:u w:val="single"/>
        </w:rPr>
        <w:t>responsabilidad de verificar, en cada caso, que la información no tenga el carácter de confidencial o reservada</w:t>
      </w:r>
      <w:r>
        <w:rPr>
          <w:rFonts w:ascii="Palatino Linotype" w:eastAsia="Arial Unicode MS" w:hAnsi="Palatino Linotype" w:cs="Arial"/>
        </w:rPr>
        <w:t>, en términos de los artículos 50 y 51 de la Ley de Transparencia y Acceso a la Información del Estado de México y Municipios.</w:t>
      </w:r>
    </w:p>
    <w:p w:rsidR="00D935F1" w:rsidRDefault="00D935F1">
      <w:pPr>
        <w:widowControl w:val="0"/>
        <w:tabs>
          <w:tab w:val="left" w:pos="1276"/>
        </w:tabs>
        <w:spacing w:line="360" w:lineRule="auto"/>
        <w:jc w:val="both"/>
        <w:rPr>
          <w:rFonts w:ascii="Palatino Linotype" w:eastAsia="Arial Unicode MS" w:hAnsi="Palatino Linotype" w:cs="Arial"/>
        </w:rPr>
      </w:pPr>
    </w:p>
    <w:p w:rsidR="00D935F1" w:rsidRDefault="00BF1C6A">
      <w:pPr>
        <w:widowControl w:val="0"/>
        <w:tabs>
          <w:tab w:val="left" w:pos="1276"/>
        </w:tabs>
        <w:spacing w:line="360" w:lineRule="auto"/>
        <w:jc w:val="both"/>
        <w:rPr>
          <w:rFonts w:ascii="Palatino Linotype" w:eastAsia="Arial Unicode MS" w:hAnsi="Palatino Linotype" w:cs="Arial"/>
        </w:rPr>
      </w:pPr>
      <w:r>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D935F1" w:rsidRDefault="00D935F1">
      <w:pPr>
        <w:widowControl w:val="0"/>
        <w:tabs>
          <w:tab w:val="left" w:pos="1276"/>
        </w:tabs>
        <w:spacing w:line="360" w:lineRule="auto"/>
        <w:jc w:val="both"/>
        <w:rPr>
          <w:rFonts w:ascii="Palatino Linotype" w:eastAsia="Arial Unicode MS" w:hAnsi="Palatino Linotype" w:cs="Arial"/>
        </w:rPr>
      </w:pPr>
    </w:p>
    <w:p w:rsidR="00D935F1" w:rsidRDefault="00BF1C6A">
      <w:pPr>
        <w:spacing w:line="360" w:lineRule="auto"/>
        <w:jc w:val="both"/>
        <w:rPr>
          <w:rFonts w:ascii="Palatino Linotype" w:hAnsi="Palatino Linotype" w:cs="Arial"/>
        </w:rPr>
      </w:pPr>
      <w:r>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D935F1" w:rsidRDefault="00D935F1">
      <w:pPr>
        <w:spacing w:line="360" w:lineRule="auto"/>
        <w:jc w:val="both"/>
        <w:rPr>
          <w:rFonts w:ascii="Palatino Linotype" w:hAnsi="Palatino Linotype" w:cs="Arial"/>
        </w:rPr>
      </w:pPr>
    </w:p>
    <w:p w:rsidR="00D935F1" w:rsidRDefault="00BF1C6A">
      <w:pPr>
        <w:widowControl w:val="0"/>
        <w:tabs>
          <w:tab w:val="left" w:pos="1276"/>
        </w:tabs>
        <w:spacing w:line="360" w:lineRule="auto"/>
        <w:jc w:val="both"/>
        <w:rPr>
          <w:rFonts w:ascii="Palatino Linotype" w:eastAsia="Arial Unicode MS" w:hAnsi="Palatino Linotype" w:cs="Arial"/>
        </w:rPr>
      </w:pPr>
      <w:r>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D935F1" w:rsidRDefault="00D935F1">
      <w:pPr>
        <w:widowControl w:val="0"/>
        <w:tabs>
          <w:tab w:val="left" w:pos="1276"/>
        </w:tabs>
        <w:spacing w:line="360" w:lineRule="auto"/>
        <w:jc w:val="both"/>
        <w:rPr>
          <w:rFonts w:ascii="Palatino Linotype" w:eastAsia="Arial Unicode MS" w:hAnsi="Palatino Linotype" w:cs="Arial"/>
        </w:rPr>
      </w:pPr>
    </w:p>
    <w:p w:rsidR="00D935F1" w:rsidRDefault="00D935F1">
      <w:pPr>
        <w:spacing w:line="360" w:lineRule="auto"/>
        <w:jc w:val="both"/>
        <w:rPr>
          <w:rFonts w:ascii="Palatino Linotype" w:hAnsi="Palatino Linotype" w:cs="Arial"/>
        </w:rPr>
      </w:pPr>
    </w:p>
    <w:p w:rsidR="00D935F1" w:rsidRDefault="00D935F1">
      <w:pPr>
        <w:spacing w:line="360" w:lineRule="auto"/>
        <w:jc w:val="both"/>
        <w:rPr>
          <w:rFonts w:ascii="Palatino Linotype" w:hAnsi="Palatino Linotype" w:cs="Arial"/>
        </w:rPr>
      </w:pPr>
    </w:p>
    <w:p w:rsidR="00D935F1" w:rsidRDefault="00BF1C6A">
      <w:pPr>
        <w:spacing w:line="360" w:lineRule="auto"/>
        <w:jc w:val="both"/>
        <w:rPr>
          <w:rFonts w:ascii="Palatino Linotype" w:hAnsi="Palatino Linotype"/>
        </w:rPr>
      </w:pPr>
      <w:r>
        <w:rPr>
          <w:rFonts w:ascii="Palatino Linotype" w:hAnsi="Palatino Linotype"/>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D935F1" w:rsidRDefault="00D935F1">
      <w:pPr>
        <w:widowControl w:val="0"/>
        <w:spacing w:line="360" w:lineRule="auto"/>
        <w:jc w:val="both"/>
        <w:rPr>
          <w:rFonts w:ascii="Palatino Linotype" w:hAnsi="Palatino Linotype"/>
        </w:rPr>
      </w:pPr>
    </w:p>
    <w:p w:rsidR="00D935F1" w:rsidRDefault="00BF1C6A">
      <w:pPr>
        <w:widowControl w:val="0"/>
        <w:spacing w:line="360" w:lineRule="auto"/>
        <w:jc w:val="both"/>
        <w:rPr>
          <w:rFonts w:ascii="Palatino Linotype" w:hAnsi="Palatino Linotype" w:cs="Arial"/>
        </w:rPr>
      </w:pPr>
      <w:r>
        <w:rPr>
          <w:rFonts w:ascii="Palatino Linotype" w:hAnsi="Palatino Linotype" w:cs="Bookman Old Style,Bold"/>
          <w:bCs/>
        </w:rPr>
        <w:t xml:space="preserve">Es </w:t>
      </w:r>
      <w:r>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w:t>
      </w:r>
      <w:r>
        <w:rPr>
          <w:rFonts w:ascii="Palatino Linotype" w:hAnsi="Palatino Linotype" w:cs="Arial"/>
          <w:lang w:val="es-ES_tradnl"/>
        </w:rPr>
        <w:t>3 fracción XXXIX, 50, 51, 53 y 59 fracciones I, II, III, V y VI de la Ley de la materia, mismos que se transcriben a continuación:</w:t>
      </w:r>
    </w:p>
    <w:p w:rsidR="00D935F1" w:rsidRDefault="00BF1C6A">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3</w:t>
      </w:r>
      <w:r>
        <w:rPr>
          <w:rFonts w:ascii="Palatino Linotype" w:hAnsi="Palatino Linotype" w:cs="Arial"/>
          <w:i/>
          <w:sz w:val="22"/>
          <w:szCs w:val="22"/>
        </w:rPr>
        <w:t xml:space="preserve">. </w:t>
      </w:r>
      <w:r>
        <w:rPr>
          <w:rFonts w:ascii="Palatino Linotype" w:hAnsi="Palatino Linotype" w:cs="Arial"/>
          <w:b/>
          <w:i/>
          <w:sz w:val="22"/>
          <w:szCs w:val="22"/>
          <w:u w:val="single"/>
        </w:rPr>
        <w:t>Para los efectos de la presente Ley se entenderá por</w:t>
      </w:r>
      <w:r>
        <w:rPr>
          <w:rFonts w:ascii="Palatino Linotype" w:hAnsi="Palatino Linotype" w:cs="Arial"/>
          <w:i/>
          <w:sz w:val="22"/>
          <w:szCs w:val="22"/>
        </w:rPr>
        <w:t xml:space="preserve">: </w:t>
      </w:r>
    </w:p>
    <w:p w:rsidR="00D935F1" w:rsidRDefault="00BF1C6A">
      <w:pPr>
        <w:ind w:left="851" w:right="899"/>
        <w:jc w:val="both"/>
        <w:rPr>
          <w:rFonts w:ascii="Palatino Linotype" w:hAnsi="Palatino Linotype" w:cs="Arial"/>
          <w:i/>
          <w:sz w:val="22"/>
          <w:szCs w:val="22"/>
        </w:rPr>
      </w:pPr>
      <w:r>
        <w:rPr>
          <w:rFonts w:ascii="Palatino Linotype" w:hAnsi="Palatino Linotype" w:cs="Arial"/>
          <w:b/>
          <w:i/>
          <w:sz w:val="22"/>
          <w:szCs w:val="22"/>
        </w:rPr>
        <w:t>XXXIX</w:t>
      </w:r>
      <w:r>
        <w:rPr>
          <w:rFonts w:ascii="Palatino Linotype" w:hAnsi="Palatino Linotype" w:cs="Arial"/>
          <w:i/>
          <w:sz w:val="22"/>
          <w:szCs w:val="22"/>
        </w:rPr>
        <w:t xml:space="preserve">. </w:t>
      </w:r>
      <w:r>
        <w:rPr>
          <w:rFonts w:ascii="Palatino Linotype" w:hAnsi="Palatino Linotype" w:cs="Arial"/>
          <w:b/>
          <w:i/>
          <w:sz w:val="22"/>
          <w:szCs w:val="22"/>
          <w:u w:val="single"/>
        </w:rPr>
        <w:t>Servidor público habilitado</w:t>
      </w:r>
      <w:r>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D935F1" w:rsidRDefault="00BF1C6A">
      <w:pPr>
        <w:ind w:left="851" w:right="899"/>
        <w:jc w:val="both"/>
        <w:rPr>
          <w:rFonts w:ascii="Palatino Linotype" w:hAnsi="Palatino Linotype" w:cs="Arial"/>
          <w:i/>
          <w:sz w:val="22"/>
          <w:szCs w:val="22"/>
        </w:rPr>
      </w:pPr>
      <w:r>
        <w:rPr>
          <w:rFonts w:ascii="Palatino Linotype" w:hAnsi="Palatino Linotype" w:cs="Arial"/>
          <w:i/>
          <w:sz w:val="22"/>
          <w:szCs w:val="22"/>
        </w:rPr>
        <w:t>…</w:t>
      </w:r>
    </w:p>
    <w:p w:rsidR="00D935F1" w:rsidRDefault="00BF1C6A">
      <w:pPr>
        <w:ind w:left="851" w:right="899"/>
        <w:jc w:val="both"/>
        <w:rPr>
          <w:rFonts w:ascii="Palatino Linotype" w:hAnsi="Palatino Linotype"/>
          <w:i/>
          <w:sz w:val="22"/>
          <w:szCs w:val="22"/>
        </w:rPr>
      </w:pPr>
      <w:r>
        <w:rPr>
          <w:rFonts w:ascii="Palatino Linotype" w:hAnsi="Palatino Linotype"/>
          <w:b/>
          <w:i/>
          <w:sz w:val="22"/>
          <w:szCs w:val="22"/>
        </w:rPr>
        <w:t>Artículo 50.</w:t>
      </w:r>
      <w:r>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rsidR="00D935F1" w:rsidRDefault="00BF1C6A">
      <w:pPr>
        <w:ind w:left="851" w:right="899"/>
        <w:jc w:val="both"/>
        <w:rPr>
          <w:rFonts w:ascii="Palatino Linotype" w:hAnsi="Palatino Linotype"/>
          <w:i/>
          <w:sz w:val="22"/>
          <w:szCs w:val="22"/>
        </w:rPr>
      </w:pPr>
      <w:r>
        <w:rPr>
          <w:rFonts w:ascii="Palatino Linotype" w:hAnsi="Palatino Linotype"/>
          <w:b/>
          <w:i/>
          <w:sz w:val="22"/>
          <w:szCs w:val="22"/>
        </w:rPr>
        <w:t>Artículo 51</w:t>
      </w:r>
      <w:r>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w:t>
      </w:r>
      <w:r>
        <w:rPr>
          <w:rFonts w:ascii="Palatino Linotype" w:hAnsi="Palatino Linotype"/>
          <w:i/>
          <w:sz w:val="22"/>
          <w:szCs w:val="22"/>
        </w:rPr>
        <w:lastRenderedPageBreak/>
        <w:t>necesarias para gestionar la atención a las solicitudes de información en los términos de la Ley General y la presente Ley.</w:t>
      </w:r>
    </w:p>
    <w:p w:rsidR="00D935F1" w:rsidRDefault="00BF1C6A">
      <w:pPr>
        <w:ind w:left="851" w:right="899"/>
        <w:jc w:val="both"/>
        <w:rPr>
          <w:rFonts w:ascii="Palatino Linotype" w:hAnsi="Palatino Linotype"/>
          <w:i/>
          <w:sz w:val="22"/>
          <w:szCs w:val="22"/>
        </w:rPr>
      </w:pPr>
      <w:r>
        <w:rPr>
          <w:rFonts w:ascii="Palatino Linotype" w:hAnsi="Palatino Linotype"/>
          <w:b/>
          <w:i/>
          <w:sz w:val="22"/>
          <w:szCs w:val="22"/>
        </w:rPr>
        <w:t>Artículo 53</w:t>
      </w:r>
      <w:r>
        <w:rPr>
          <w:rFonts w:ascii="Palatino Linotype" w:hAnsi="Palatino Linotype"/>
          <w:i/>
          <w:sz w:val="22"/>
          <w:szCs w:val="22"/>
        </w:rPr>
        <w:t>. Las Unidades de Transparencia tendrán las siguientes funciones:</w:t>
      </w:r>
    </w:p>
    <w:p w:rsidR="00D935F1" w:rsidRDefault="00BF1C6A">
      <w:pPr>
        <w:ind w:left="851" w:right="899"/>
        <w:jc w:val="both"/>
        <w:rPr>
          <w:rFonts w:ascii="Palatino Linotype" w:hAnsi="Palatino Linotype"/>
          <w:i/>
          <w:sz w:val="22"/>
          <w:szCs w:val="22"/>
        </w:rPr>
      </w:pPr>
      <w:r>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D935F1" w:rsidRDefault="00BF1C6A">
      <w:pPr>
        <w:ind w:left="851" w:right="899"/>
        <w:jc w:val="both"/>
        <w:rPr>
          <w:rFonts w:ascii="Palatino Linotype" w:hAnsi="Palatino Linotype"/>
          <w:b/>
          <w:i/>
          <w:sz w:val="22"/>
          <w:szCs w:val="22"/>
        </w:rPr>
      </w:pPr>
      <w:r>
        <w:rPr>
          <w:rFonts w:ascii="Palatino Linotype" w:hAnsi="Palatino Linotype"/>
          <w:b/>
          <w:i/>
          <w:sz w:val="22"/>
          <w:szCs w:val="22"/>
        </w:rPr>
        <w:t xml:space="preserve">II. Recibir, </w:t>
      </w:r>
      <w:r>
        <w:rPr>
          <w:rFonts w:ascii="Palatino Linotype" w:hAnsi="Palatino Linotype"/>
          <w:b/>
          <w:i/>
          <w:sz w:val="22"/>
          <w:szCs w:val="22"/>
          <w:u w:val="single"/>
        </w:rPr>
        <w:t>tramitar</w:t>
      </w:r>
      <w:r>
        <w:rPr>
          <w:rFonts w:ascii="Palatino Linotype" w:hAnsi="Palatino Linotype"/>
          <w:b/>
          <w:i/>
          <w:sz w:val="22"/>
          <w:szCs w:val="22"/>
        </w:rPr>
        <w:t xml:space="preserve"> y dar respuesta a las solicitudes de acceso a la información;</w:t>
      </w:r>
    </w:p>
    <w:p w:rsidR="00D935F1" w:rsidRDefault="00BF1C6A">
      <w:pPr>
        <w:ind w:left="851" w:right="899"/>
        <w:jc w:val="both"/>
        <w:rPr>
          <w:rFonts w:ascii="Palatino Linotype" w:hAnsi="Palatino Linotype"/>
          <w:i/>
          <w:sz w:val="22"/>
          <w:szCs w:val="22"/>
        </w:rPr>
      </w:pPr>
      <w:r>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D935F1" w:rsidRDefault="00BF1C6A">
      <w:pPr>
        <w:ind w:left="851" w:right="899"/>
        <w:jc w:val="both"/>
        <w:rPr>
          <w:rFonts w:ascii="Palatino Linotype" w:hAnsi="Palatino Linotype"/>
          <w:i/>
          <w:sz w:val="22"/>
          <w:szCs w:val="22"/>
        </w:rPr>
      </w:pPr>
      <w:r>
        <w:rPr>
          <w:rFonts w:ascii="Palatino Linotype" w:hAnsi="Palatino Linotype"/>
          <w:i/>
          <w:sz w:val="22"/>
          <w:szCs w:val="22"/>
        </w:rPr>
        <w:t>IV. Realizar, con efectividad, los trámites internos necesarios para la atención de las solicitudes de acceso a la información;</w:t>
      </w:r>
    </w:p>
    <w:p w:rsidR="00D935F1" w:rsidRDefault="00BF1C6A">
      <w:pPr>
        <w:ind w:left="851" w:right="899"/>
        <w:jc w:val="both"/>
        <w:rPr>
          <w:rFonts w:ascii="Palatino Linotype" w:hAnsi="Palatino Linotype"/>
          <w:i/>
          <w:sz w:val="22"/>
          <w:szCs w:val="22"/>
        </w:rPr>
      </w:pPr>
      <w:r>
        <w:rPr>
          <w:rFonts w:ascii="Palatino Linotype" w:hAnsi="Palatino Linotype"/>
          <w:i/>
          <w:sz w:val="22"/>
          <w:szCs w:val="22"/>
        </w:rPr>
        <w:t>V. Entregar, en su caso, a los particulares la información solicitada;</w:t>
      </w:r>
    </w:p>
    <w:p w:rsidR="00D935F1" w:rsidRDefault="00BF1C6A">
      <w:pPr>
        <w:ind w:left="851" w:right="899"/>
        <w:jc w:val="both"/>
        <w:rPr>
          <w:rFonts w:ascii="Palatino Linotype" w:hAnsi="Palatino Linotype"/>
          <w:i/>
          <w:sz w:val="22"/>
          <w:szCs w:val="22"/>
        </w:rPr>
      </w:pPr>
      <w:r>
        <w:rPr>
          <w:rFonts w:ascii="Palatino Linotype" w:hAnsi="Palatino Linotype"/>
          <w:i/>
          <w:sz w:val="22"/>
          <w:szCs w:val="22"/>
        </w:rPr>
        <w:t>VI. Efectuar las notificaciones a los solicitantes;</w:t>
      </w:r>
    </w:p>
    <w:p w:rsidR="00D935F1" w:rsidRDefault="00BF1C6A">
      <w:pPr>
        <w:ind w:left="851" w:right="899"/>
        <w:jc w:val="both"/>
        <w:rPr>
          <w:rFonts w:ascii="Palatino Linotype" w:hAnsi="Palatino Linotype"/>
          <w:i/>
          <w:sz w:val="22"/>
          <w:szCs w:val="22"/>
        </w:rPr>
      </w:pPr>
      <w:r>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D935F1" w:rsidRDefault="00BF1C6A">
      <w:pPr>
        <w:ind w:left="851" w:right="899"/>
        <w:jc w:val="both"/>
        <w:rPr>
          <w:rFonts w:ascii="Palatino Linotype" w:hAnsi="Palatino Linotype"/>
          <w:i/>
          <w:sz w:val="22"/>
          <w:szCs w:val="22"/>
        </w:rPr>
      </w:pPr>
      <w:r>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D935F1" w:rsidRDefault="00BF1C6A">
      <w:pPr>
        <w:ind w:left="851" w:right="899"/>
        <w:jc w:val="both"/>
        <w:rPr>
          <w:rFonts w:ascii="Palatino Linotype" w:hAnsi="Palatino Linotype"/>
          <w:i/>
          <w:sz w:val="22"/>
          <w:szCs w:val="22"/>
        </w:rPr>
      </w:pPr>
      <w:r>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D935F1" w:rsidRDefault="00BF1C6A">
      <w:pPr>
        <w:ind w:left="851" w:right="899"/>
        <w:jc w:val="both"/>
        <w:rPr>
          <w:rFonts w:ascii="Palatino Linotype" w:hAnsi="Palatino Linotype"/>
          <w:b/>
          <w:i/>
          <w:sz w:val="22"/>
          <w:szCs w:val="22"/>
          <w:u w:val="single"/>
        </w:rPr>
      </w:pPr>
      <w:r>
        <w:rPr>
          <w:rFonts w:ascii="Palatino Linotype" w:hAnsi="Palatino Linotype"/>
          <w:b/>
          <w:i/>
          <w:sz w:val="22"/>
          <w:szCs w:val="22"/>
          <w:u w:val="single"/>
        </w:rPr>
        <w:t>X. Presentar ante el Comité, el proyecto de clasificación de información;</w:t>
      </w:r>
    </w:p>
    <w:p w:rsidR="00D935F1" w:rsidRDefault="00BF1C6A">
      <w:pPr>
        <w:ind w:left="851" w:right="899"/>
        <w:jc w:val="both"/>
        <w:rPr>
          <w:rFonts w:ascii="Palatino Linotype" w:hAnsi="Palatino Linotype"/>
          <w:i/>
          <w:sz w:val="22"/>
          <w:szCs w:val="22"/>
        </w:rPr>
      </w:pPr>
      <w:r>
        <w:rPr>
          <w:rFonts w:ascii="Palatino Linotype" w:hAnsi="Palatino Linotype"/>
          <w:i/>
          <w:sz w:val="22"/>
          <w:szCs w:val="22"/>
        </w:rPr>
        <w:t>XI. Promover e implementar políticas de transparencia proactiva procurando su accesibilidad;</w:t>
      </w:r>
    </w:p>
    <w:p w:rsidR="00D935F1" w:rsidRDefault="00BF1C6A">
      <w:pPr>
        <w:ind w:left="851" w:right="899"/>
        <w:jc w:val="both"/>
        <w:rPr>
          <w:rFonts w:ascii="Palatino Linotype" w:hAnsi="Palatino Linotype"/>
          <w:i/>
          <w:sz w:val="22"/>
          <w:szCs w:val="22"/>
        </w:rPr>
      </w:pPr>
      <w:r>
        <w:rPr>
          <w:rFonts w:ascii="Palatino Linotype" w:hAnsi="Palatino Linotype"/>
          <w:i/>
          <w:sz w:val="22"/>
          <w:szCs w:val="22"/>
        </w:rPr>
        <w:t>XII. Fomentar la transparencia y accesibilidad al interior del sujeto obligado;</w:t>
      </w:r>
    </w:p>
    <w:p w:rsidR="00D935F1" w:rsidRDefault="00BF1C6A">
      <w:pPr>
        <w:ind w:left="851" w:right="899"/>
        <w:jc w:val="both"/>
        <w:rPr>
          <w:rFonts w:ascii="Palatino Linotype" w:hAnsi="Palatino Linotype"/>
          <w:i/>
          <w:sz w:val="22"/>
          <w:szCs w:val="22"/>
        </w:rPr>
      </w:pPr>
      <w:r>
        <w:rPr>
          <w:rFonts w:ascii="Palatino Linotype" w:hAnsi="Palatino Linotype"/>
          <w:i/>
          <w:sz w:val="22"/>
          <w:szCs w:val="22"/>
        </w:rPr>
        <w:t>XIII. Hacer del conocimiento de la instancia competente la probable responsabilidad por el incumplimiento de las obligaciones previstas en la presente Ley; y</w:t>
      </w:r>
    </w:p>
    <w:p w:rsidR="00D935F1" w:rsidRDefault="00BF1C6A">
      <w:pPr>
        <w:ind w:left="851" w:right="899"/>
        <w:jc w:val="both"/>
        <w:rPr>
          <w:rFonts w:ascii="Palatino Linotype" w:hAnsi="Palatino Linotype"/>
          <w:i/>
          <w:sz w:val="22"/>
          <w:szCs w:val="22"/>
        </w:rPr>
      </w:pPr>
      <w:r>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D935F1" w:rsidRDefault="00BF1C6A">
      <w:pPr>
        <w:ind w:left="851" w:right="899"/>
        <w:jc w:val="both"/>
        <w:rPr>
          <w:rFonts w:ascii="Palatino Linotype" w:hAnsi="Palatino Linotype"/>
          <w:i/>
          <w:sz w:val="22"/>
          <w:szCs w:val="22"/>
        </w:rPr>
      </w:pPr>
      <w:r>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D935F1" w:rsidRDefault="00BF1C6A">
      <w:pPr>
        <w:ind w:left="851" w:right="899"/>
        <w:jc w:val="both"/>
        <w:rPr>
          <w:rFonts w:ascii="Palatino Linotype" w:hAnsi="Palatino Linotype"/>
          <w:i/>
          <w:sz w:val="22"/>
          <w:szCs w:val="22"/>
        </w:rPr>
      </w:pPr>
      <w:r>
        <w:rPr>
          <w:rFonts w:ascii="Palatino Linotype" w:hAnsi="Palatino Linotype"/>
          <w:i/>
          <w:sz w:val="22"/>
          <w:szCs w:val="22"/>
        </w:rPr>
        <w:t xml:space="preserve">Los sujetos obligados deberán implementar a través de las unidades de transparencia, progresivamente y conforme a sus previsiones, las medidas pertinentes para asegurar </w:t>
      </w:r>
      <w:r>
        <w:rPr>
          <w:rFonts w:ascii="Palatino Linotype" w:hAnsi="Palatino Linotype"/>
          <w:i/>
          <w:sz w:val="22"/>
          <w:szCs w:val="22"/>
        </w:rPr>
        <w:lastRenderedPageBreak/>
        <w:t>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D935F1" w:rsidRDefault="00BF1C6A">
      <w:pPr>
        <w:ind w:left="851" w:right="899"/>
        <w:jc w:val="both"/>
        <w:rPr>
          <w:rFonts w:ascii="Palatino Linotype" w:hAnsi="Palatino Linotype" w:cs="Arial"/>
          <w:i/>
          <w:sz w:val="22"/>
          <w:szCs w:val="22"/>
        </w:rPr>
      </w:pPr>
      <w:r>
        <w:rPr>
          <w:rFonts w:ascii="Palatino Linotype" w:hAnsi="Palatino Linotype" w:cs="Arial"/>
          <w:b/>
          <w:i/>
          <w:sz w:val="22"/>
          <w:szCs w:val="22"/>
        </w:rPr>
        <w:t>Artículo 59</w:t>
      </w:r>
      <w:r>
        <w:rPr>
          <w:rFonts w:ascii="Palatino Linotype" w:hAnsi="Palatino Linotype" w:cs="Arial"/>
          <w:i/>
          <w:sz w:val="22"/>
          <w:szCs w:val="22"/>
        </w:rPr>
        <w:t xml:space="preserve">. </w:t>
      </w:r>
      <w:r>
        <w:rPr>
          <w:rFonts w:ascii="Palatino Linotype" w:hAnsi="Palatino Linotype" w:cs="Arial"/>
          <w:b/>
          <w:i/>
          <w:sz w:val="22"/>
          <w:szCs w:val="22"/>
          <w:u w:val="single"/>
        </w:rPr>
        <w:t>Los servidores públicos habilitados tendrán las funciones siguientes</w:t>
      </w:r>
      <w:r>
        <w:rPr>
          <w:rFonts w:ascii="Palatino Linotype" w:hAnsi="Palatino Linotype" w:cs="Arial"/>
          <w:i/>
          <w:sz w:val="22"/>
          <w:szCs w:val="22"/>
        </w:rPr>
        <w:t xml:space="preserve">: </w:t>
      </w:r>
    </w:p>
    <w:p w:rsidR="00D935F1" w:rsidRDefault="00BF1C6A">
      <w:pPr>
        <w:ind w:left="851" w:right="899"/>
        <w:jc w:val="both"/>
        <w:rPr>
          <w:rFonts w:ascii="Palatino Linotype" w:hAnsi="Palatino Linotype" w:cs="Arial"/>
          <w:i/>
          <w:sz w:val="22"/>
          <w:szCs w:val="22"/>
        </w:rPr>
      </w:pPr>
      <w:r>
        <w:rPr>
          <w:rFonts w:ascii="Palatino Linotype" w:hAnsi="Palatino Linotype" w:cs="Arial"/>
          <w:b/>
          <w:i/>
          <w:sz w:val="22"/>
          <w:szCs w:val="22"/>
        </w:rPr>
        <w:t xml:space="preserve">I. </w:t>
      </w:r>
      <w:r>
        <w:rPr>
          <w:rFonts w:ascii="Palatino Linotype" w:hAnsi="Palatino Linotype" w:cs="Arial"/>
          <w:b/>
          <w:i/>
          <w:sz w:val="22"/>
          <w:szCs w:val="22"/>
          <w:u w:val="single"/>
        </w:rPr>
        <w:t>Localizar la información que le solicite la Unidad de Transparencia</w:t>
      </w:r>
      <w:r>
        <w:rPr>
          <w:rFonts w:ascii="Palatino Linotype" w:hAnsi="Palatino Linotype" w:cs="Arial"/>
          <w:i/>
          <w:sz w:val="22"/>
          <w:szCs w:val="22"/>
        </w:rPr>
        <w:t xml:space="preserve">; </w:t>
      </w:r>
    </w:p>
    <w:p w:rsidR="00D935F1" w:rsidRDefault="00BF1C6A">
      <w:pPr>
        <w:ind w:left="851" w:right="899"/>
        <w:jc w:val="both"/>
        <w:rPr>
          <w:rFonts w:ascii="Palatino Linotype" w:hAnsi="Palatino Linotype" w:cs="Arial"/>
          <w:b/>
          <w:i/>
          <w:sz w:val="22"/>
          <w:szCs w:val="22"/>
        </w:rPr>
      </w:pPr>
      <w:r>
        <w:rPr>
          <w:rFonts w:ascii="Palatino Linotype" w:hAnsi="Palatino Linotype" w:cs="Arial"/>
          <w:b/>
          <w:i/>
          <w:sz w:val="22"/>
          <w:szCs w:val="22"/>
        </w:rPr>
        <w:t xml:space="preserve">II. </w:t>
      </w:r>
      <w:r>
        <w:rPr>
          <w:rFonts w:ascii="Palatino Linotype" w:hAnsi="Palatino Linotype" w:cs="Arial"/>
          <w:b/>
          <w:i/>
          <w:sz w:val="22"/>
          <w:szCs w:val="22"/>
          <w:u w:val="single"/>
        </w:rPr>
        <w:t>Proporcionar la información que obre en los archivos y que le sea solicitada por la Unidad de Transparencia</w:t>
      </w:r>
      <w:r>
        <w:rPr>
          <w:rFonts w:ascii="Palatino Linotype" w:hAnsi="Palatino Linotype" w:cs="Arial"/>
          <w:b/>
          <w:i/>
          <w:sz w:val="22"/>
          <w:szCs w:val="22"/>
        </w:rPr>
        <w:t xml:space="preserve">; </w:t>
      </w:r>
    </w:p>
    <w:p w:rsidR="00D935F1" w:rsidRDefault="00BF1C6A">
      <w:pPr>
        <w:ind w:left="851" w:right="899"/>
        <w:jc w:val="both"/>
        <w:rPr>
          <w:rFonts w:ascii="Palatino Linotype" w:hAnsi="Palatino Linotype" w:cs="Arial"/>
          <w:b/>
          <w:i/>
          <w:sz w:val="22"/>
          <w:szCs w:val="22"/>
          <w:u w:val="single"/>
        </w:rPr>
      </w:pPr>
      <w:r>
        <w:rPr>
          <w:rFonts w:ascii="Palatino Linotype" w:hAnsi="Palatino Linotype" w:cs="Arial"/>
          <w:b/>
          <w:i/>
          <w:sz w:val="22"/>
          <w:szCs w:val="22"/>
        </w:rPr>
        <w:t xml:space="preserve">III. </w:t>
      </w:r>
      <w:r>
        <w:rPr>
          <w:rFonts w:ascii="Palatino Linotype" w:hAnsi="Palatino Linotype" w:cs="Arial"/>
          <w:b/>
          <w:i/>
          <w:sz w:val="22"/>
          <w:szCs w:val="22"/>
          <w:u w:val="single"/>
        </w:rPr>
        <w:t>Apoyar a la Unidad de Transparencia en lo que esta le solicite para el cumplimiento de sus funciones</w:t>
      </w:r>
    </w:p>
    <w:p w:rsidR="00D935F1" w:rsidRDefault="00BF1C6A">
      <w:pPr>
        <w:ind w:left="851" w:right="899"/>
        <w:jc w:val="both"/>
        <w:rPr>
          <w:rFonts w:ascii="Palatino Linotype" w:hAnsi="Palatino Linotype" w:cs="Arial"/>
          <w:b/>
          <w:i/>
          <w:sz w:val="22"/>
          <w:szCs w:val="22"/>
        </w:rPr>
      </w:pPr>
      <w:r>
        <w:rPr>
          <w:rFonts w:ascii="Palatino Linotype" w:hAnsi="Palatino Linotype" w:cs="Arial"/>
          <w:b/>
          <w:i/>
          <w:sz w:val="22"/>
          <w:szCs w:val="22"/>
        </w:rPr>
        <w:t>IV. Proporcionar a la Unidad de Transparencia, las modificaciones a la información pública de oficio que obre en su poder;</w:t>
      </w:r>
    </w:p>
    <w:p w:rsidR="00D935F1" w:rsidRDefault="00BF1C6A">
      <w:pPr>
        <w:ind w:left="851" w:right="899"/>
        <w:jc w:val="both"/>
        <w:rPr>
          <w:rFonts w:ascii="Palatino Linotype" w:hAnsi="Palatino Linotype" w:cs="Arial"/>
          <w:b/>
          <w:i/>
          <w:sz w:val="22"/>
          <w:szCs w:val="22"/>
          <w:u w:val="single"/>
        </w:rPr>
      </w:pPr>
      <w:r>
        <w:rPr>
          <w:rFonts w:ascii="Palatino Linotype" w:hAnsi="Palatino Linotype" w:cs="Arial"/>
          <w:b/>
          <w:i/>
          <w:sz w:val="22"/>
          <w:szCs w:val="22"/>
          <w:u w:val="single"/>
        </w:rPr>
        <w:t>V. Integrar y presentar al responsable de la Unidad de Transparencia la propuesta de clasificación de información, la cual tendrá los fundamentos y argumentos en que se basa dicha propuesta;</w:t>
      </w:r>
    </w:p>
    <w:p w:rsidR="00D935F1" w:rsidRDefault="00BF1C6A">
      <w:pPr>
        <w:ind w:left="851" w:right="899"/>
        <w:jc w:val="both"/>
        <w:rPr>
          <w:rFonts w:ascii="Palatino Linotype" w:hAnsi="Palatino Linotype" w:cs="Arial"/>
          <w:b/>
          <w:i/>
          <w:sz w:val="22"/>
          <w:szCs w:val="22"/>
          <w:u w:val="single"/>
        </w:rPr>
      </w:pPr>
      <w:r>
        <w:rPr>
          <w:rFonts w:ascii="Palatino Linotype" w:hAnsi="Palatino Linotype" w:cs="Arial"/>
          <w:b/>
          <w:i/>
          <w:sz w:val="22"/>
          <w:szCs w:val="22"/>
          <w:u w:val="single"/>
        </w:rPr>
        <w:t>VI. Verificar, una vez analizado el contenido de la información, que no se encuentre en los supuestos de información clasificada; y</w:t>
      </w:r>
    </w:p>
    <w:p w:rsidR="00D935F1" w:rsidRDefault="00BF1C6A">
      <w:pPr>
        <w:ind w:left="851" w:right="899"/>
        <w:jc w:val="both"/>
        <w:rPr>
          <w:rFonts w:ascii="Palatino Linotype" w:hAnsi="Palatino Linotype" w:cs="Arial"/>
          <w:b/>
          <w:i/>
          <w:sz w:val="22"/>
          <w:szCs w:val="22"/>
        </w:rPr>
      </w:pPr>
      <w:r>
        <w:rPr>
          <w:rFonts w:ascii="Palatino Linotype" w:hAnsi="Palatino Linotype" w:cs="Arial"/>
          <w:b/>
          <w:i/>
          <w:sz w:val="22"/>
          <w:szCs w:val="22"/>
        </w:rPr>
        <w:t>VII. Dar cuenta a la Unidad de Transparencia del vencimiento de los plazos de reserva.</w:t>
      </w:r>
    </w:p>
    <w:p w:rsidR="00D935F1" w:rsidRDefault="00BF1C6A">
      <w:pPr>
        <w:ind w:left="851" w:right="899"/>
        <w:jc w:val="both"/>
        <w:rPr>
          <w:rFonts w:ascii="Palatino Linotype" w:hAnsi="Palatino Linotype" w:cs="Arial"/>
          <w:b/>
          <w:i/>
          <w:sz w:val="22"/>
          <w:szCs w:val="22"/>
        </w:rPr>
      </w:pPr>
      <w:r>
        <w:rPr>
          <w:rFonts w:ascii="Palatino Linotype" w:hAnsi="Palatino Linotype" w:cs="Arial"/>
          <w:b/>
          <w:i/>
          <w:sz w:val="22"/>
          <w:szCs w:val="22"/>
        </w:rPr>
        <w:t>…</w:t>
      </w:r>
      <w:r>
        <w:rPr>
          <w:rFonts w:ascii="Palatino Linotype" w:hAnsi="Palatino Linotype" w:cs="Arial"/>
          <w:i/>
          <w:sz w:val="22"/>
          <w:szCs w:val="22"/>
        </w:rPr>
        <w:t>”</w:t>
      </w:r>
    </w:p>
    <w:p w:rsidR="00D935F1" w:rsidRDefault="00BF1C6A">
      <w:pPr>
        <w:ind w:left="851" w:right="899"/>
        <w:jc w:val="both"/>
        <w:rPr>
          <w:rFonts w:ascii="Palatino Linotype" w:hAnsi="Palatino Linotype" w:cs="Arial"/>
          <w:sz w:val="22"/>
          <w:szCs w:val="22"/>
          <w:lang w:eastAsia="es-MX"/>
        </w:rPr>
      </w:pPr>
      <w:r>
        <w:rPr>
          <w:rFonts w:ascii="Palatino Linotype" w:hAnsi="Palatino Linotype" w:cs="Arial"/>
          <w:sz w:val="22"/>
          <w:szCs w:val="22"/>
          <w:lang w:eastAsia="es-MX"/>
        </w:rPr>
        <w:t>(Énfasis añadido)</w:t>
      </w:r>
    </w:p>
    <w:p w:rsidR="00D935F1" w:rsidRDefault="00BF1C6A">
      <w:pPr>
        <w:spacing w:before="240" w:after="240" w:line="360" w:lineRule="auto"/>
        <w:jc w:val="both"/>
        <w:rPr>
          <w:rFonts w:ascii="Palatino Linotype" w:eastAsia="Calibri" w:hAnsi="Palatino Linotype"/>
        </w:rPr>
      </w:pPr>
      <w:r>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rsidR="00D935F1" w:rsidRDefault="00BF1C6A">
      <w:pPr>
        <w:spacing w:line="360" w:lineRule="auto"/>
        <w:jc w:val="both"/>
        <w:rPr>
          <w:rFonts w:ascii="Palatino Linotype" w:eastAsia="Calibri" w:hAnsi="Palatino Linotype"/>
          <w:b/>
          <w:u w:val="single"/>
        </w:rPr>
      </w:pPr>
      <w:r>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Pr>
          <w:rFonts w:ascii="Palatino Linotype" w:eastAsia="Calibri" w:hAnsi="Palatino Linotype"/>
          <w:b/>
        </w:rPr>
        <w:t>SUJETO OBLIGADO</w:t>
      </w:r>
      <w:r>
        <w:rPr>
          <w:rFonts w:ascii="Palatino Linotype" w:eastAsia="Calibri" w:hAnsi="Palatino Linotype"/>
        </w:rPr>
        <w:t xml:space="preserve">, es </w:t>
      </w:r>
      <w:r>
        <w:rPr>
          <w:rFonts w:ascii="Palatino Linotype" w:eastAsia="Calibri" w:hAnsi="Palatino Linotype"/>
        </w:rPr>
        <w:lastRenderedPageBreak/>
        <w:t xml:space="preserve">por ello que, debe turnar la solicitud al servidor público habilitado que tiene bajo su resguardo la misma. </w:t>
      </w:r>
      <w:r>
        <w:rPr>
          <w:rFonts w:ascii="Palatino Linotype" w:eastAsia="Calibri" w:hAnsi="Palatino Linotype"/>
          <w:b/>
          <w:u w:val="single"/>
        </w:rPr>
        <w:t>Los servidores públicos habilitados tienen como función, buscar, localizar y en su caso entregar la información solicitada, integrar y presentar al responsable de la Unidad de Transparencia la propuesta de clasificación de información, la cual tendrá los fundamentos y argumentos en que se basa dicha propuesta y a su vez el Titular de la Unidad de Transparencia, deberá presentar ante el Comité de Transparencia, el proyecto de clasificación de información correspondiente y aprobarlo o desecharlo según corresponda.</w:t>
      </w:r>
    </w:p>
    <w:p w:rsidR="00D935F1" w:rsidRDefault="00D935F1">
      <w:pPr>
        <w:spacing w:line="360" w:lineRule="auto"/>
        <w:jc w:val="both"/>
        <w:rPr>
          <w:rFonts w:ascii="Palatino Linotype" w:hAnsi="Palatino Linotype" w:cs="Arial"/>
        </w:rPr>
      </w:pPr>
    </w:p>
    <w:p w:rsidR="00D935F1" w:rsidRDefault="00BF1C6A">
      <w:pPr>
        <w:spacing w:line="360" w:lineRule="auto"/>
        <w:jc w:val="both"/>
        <w:rPr>
          <w:rFonts w:ascii="Palatino Linotype" w:hAnsi="Palatino Linotype"/>
        </w:rPr>
      </w:pPr>
      <w:r>
        <w:rPr>
          <w:rFonts w:ascii="Palatino Linotype" w:hAnsi="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D935F1" w:rsidRDefault="00D935F1">
      <w:pPr>
        <w:spacing w:line="360" w:lineRule="auto"/>
        <w:jc w:val="both"/>
        <w:rPr>
          <w:rFonts w:ascii="Palatino Linotype" w:eastAsia="Calibri" w:hAnsi="Palatino Linotype"/>
          <w:szCs w:val="22"/>
          <w:lang w:eastAsia="en-US"/>
        </w:rPr>
      </w:pPr>
    </w:p>
    <w:p w:rsidR="00D935F1" w:rsidRDefault="00BF1C6A">
      <w:pPr>
        <w:spacing w:line="360" w:lineRule="auto"/>
        <w:jc w:val="both"/>
        <w:rPr>
          <w:rFonts w:ascii="Palatino Linotype" w:hAnsi="Palatino Linotype" w:cs="Arial"/>
          <w:lang w:val="es-ES_tradnl"/>
        </w:rPr>
      </w:pPr>
      <w:r>
        <w:rPr>
          <w:rFonts w:ascii="Palatino Linotype" w:eastAsia="Calibri" w:hAnsi="Palatino Linotype"/>
          <w:szCs w:val="22"/>
          <w:lang w:eastAsia="en-US"/>
        </w:rPr>
        <w:t xml:space="preserve">Ahora bien, los Sujetos Obligados beben verificar </w:t>
      </w:r>
      <w:r>
        <w:rPr>
          <w:rFonts w:ascii="Palatino Linotype" w:hAnsi="Palatino Linotype" w:cs="Arial"/>
        </w:rPr>
        <w:t xml:space="preserve">que si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 en atención al ordinal 122 y 143 de la Ley de la materia y observando los Lineamientos Generales </w:t>
      </w:r>
      <w:r>
        <w:rPr>
          <w:rFonts w:ascii="Palatino Linotype" w:hAnsi="Palatino Linotype" w:cs="Arial"/>
          <w:lang w:val="es-ES_tradnl"/>
        </w:rPr>
        <w:t>en materia de Clasificación y Desclasificación de la Información, así como para la elaboración de Versiones Públicas.</w:t>
      </w:r>
    </w:p>
    <w:p w:rsidR="00D935F1" w:rsidRDefault="00D935F1">
      <w:pPr>
        <w:spacing w:line="360" w:lineRule="auto"/>
        <w:jc w:val="both"/>
        <w:rPr>
          <w:rFonts w:ascii="Palatino Linotype" w:hAnsi="Palatino Linotype" w:cs="Arial"/>
        </w:rPr>
      </w:pPr>
    </w:p>
    <w:p w:rsidR="00D935F1" w:rsidRDefault="00BF1C6A">
      <w:pPr>
        <w:spacing w:line="360" w:lineRule="auto"/>
        <w:ind w:right="51"/>
        <w:jc w:val="both"/>
        <w:rPr>
          <w:rFonts w:ascii="Palatino Linotype" w:hAnsi="Palatino Linotype" w:cs="Arial"/>
        </w:rPr>
      </w:pPr>
      <w:r>
        <w:rPr>
          <w:rFonts w:ascii="Palatino Linotype" w:hAnsi="Palatino Linotype" w:cs="Arial"/>
          <w:color w:val="000000"/>
        </w:rPr>
        <w:t xml:space="preserve">En ese sentido, es de precisar que </w:t>
      </w:r>
      <w:r>
        <w:rPr>
          <w:rFonts w:ascii="Palatino Linotype" w:eastAsia="Calibri" w:hAnsi="Palatino Linotype" w:cs="Bookman Old Style,Bold"/>
          <w:b/>
          <w:bCs/>
          <w:color w:val="0D0D0D"/>
          <w:lang w:eastAsia="en-US"/>
        </w:rPr>
        <w:t>la clasificación de la información no se da por el simple mandato de la Ley</w:t>
      </w:r>
      <w:r>
        <w:rPr>
          <w:rFonts w:ascii="Palatino Linotype" w:eastAsia="Calibri" w:hAnsi="Palatino Linotype" w:cs="Bookman Old Style,Bold"/>
          <w:bCs/>
          <w:color w:val="0D0D0D"/>
          <w:lang w:eastAsia="en-US"/>
        </w:rPr>
        <w:t xml:space="preserve">, sino que </w:t>
      </w:r>
      <w:r>
        <w:rPr>
          <w:rFonts w:ascii="Palatino Linotype" w:hAnsi="Palatino Linotype"/>
        </w:rPr>
        <w:t xml:space="preserve">es necesario que </w:t>
      </w:r>
      <w:r>
        <w:rPr>
          <w:rFonts w:ascii="Palatino Linotype" w:hAnsi="Palatino Linotype"/>
          <w:b/>
        </w:rPr>
        <w:t xml:space="preserve">EL SUJETO OBLIGADO </w:t>
      </w:r>
      <w:r>
        <w:rPr>
          <w:rFonts w:ascii="Palatino Linotype" w:hAnsi="Palatino Linotype"/>
        </w:rPr>
        <w:t xml:space="preserve">cuando clasifique algún documento o información, ya sea todo o en parte, debe atender lo dispuesto por </w:t>
      </w:r>
      <w:r>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Pr>
          <w:rFonts w:ascii="Palatino Linotype" w:hAnsi="Palatino Linotype" w:cs="Arial"/>
          <w:b/>
        </w:rPr>
        <w:t>SUJETO OBLIGADO</w:t>
      </w:r>
      <w:r>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de manera fundada y motivada, en atención al artículo 143 de la Constitución Política del Estado Libre y Soberano de México.</w:t>
      </w:r>
    </w:p>
    <w:p w:rsidR="00D935F1" w:rsidRDefault="00D935F1">
      <w:pPr>
        <w:spacing w:line="360" w:lineRule="auto"/>
        <w:ind w:right="51"/>
        <w:jc w:val="both"/>
        <w:rPr>
          <w:rFonts w:ascii="Palatino Linotype" w:hAnsi="Palatino Linotype" w:cs="Arial"/>
        </w:rPr>
      </w:pPr>
    </w:p>
    <w:p w:rsidR="00D935F1" w:rsidRDefault="00BF1C6A">
      <w:pPr>
        <w:spacing w:line="360" w:lineRule="auto"/>
        <w:jc w:val="both"/>
        <w:rPr>
          <w:rFonts w:ascii="Palatino Linotype" w:hAnsi="Palatino Linotype" w:cs="Arial"/>
        </w:rPr>
      </w:pPr>
      <w:r>
        <w:rPr>
          <w:rFonts w:ascii="Palatino Linotype" w:hAnsi="Palatino Linotype" w:cs="Arial"/>
          <w:lang w:val="es-ES"/>
        </w:rPr>
        <w:t xml:space="preserve">Así las cosas, dentro de los datos personales que pudieran contenerse se destacan los datos personales sensibles, los cuales son aquellos </w:t>
      </w:r>
      <w:r>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rsidR="00D935F1" w:rsidRDefault="00D935F1">
      <w:pPr>
        <w:spacing w:line="360" w:lineRule="auto"/>
        <w:jc w:val="both"/>
        <w:rPr>
          <w:rFonts w:ascii="Palatino Linotype" w:hAnsi="Palatino Linotype" w:cs="Arial"/>
        </w:rPr>
      </w:pPr>
    </w:p>
    <w:p w:rsidR="00D935F1" w:rsidRDefault="00BF1C6A">
      <w:pPr>
        <w:spacing w:line="360" w:lineRule="auto"/>
        <w:jc w:val="both"/>
        <w:rPr>
          <w:rFonts w:ascii="Palatino Linotype" w:hAnsi="Palatino Linotype" w:cs="Arial"/>
        </w:rPr>
      </w:pPr>
      <w:r>
        <w:rPr>
          <w:rFonts w:ascii="Palatino Linotype" w:hAnsi="Palatino Linotype" w:cs="Arial"/>
        </w:rPr>
        <w:lastRenderedPageBreak/>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rsidR="00D935F1" w:rsidRDefault="00D935F1">
      <w:pPr>
        <w:spacing w:line="360" w:lineRule="auto"/>
        <w:jc w:val="both"/>
        <w:rPr>
          <w:rFonts w:ascii="Palatino Linotype" w:hAnsi="Palatino Linotype" w:cs="Arial"/>
        </w:rPr>
      </w:pPr>
    </w:p>
    <w:p w:rsidR="00D935F1" w:rsidRDefault="00BF1C6A">
      <w:pPr>
        <w:spacing w:line="360" w:lineRule="auto"/>
        <w:jc w:val="both"/>
        <w:rPr>
          <w:rFonts w:ascii="Palatino Linotype" w:hAnsi="Palatino Linotype" w:cs="Arial"/>
        </w:rPr>
      </w:pPr>
      <w:r>
        <w:rPr>
          <w:rFonts w:ascii="Palatino Linotype" w:hAnsi="Palatino Linotype" w:cs="Arial"/>
        </w:rPr>
        <w:t>Así, la clasificación es el proceso mediante el cual los Sujetos Obligados determinan que la información en su poder, actualiza alguno de los supuestos de reserva o confidencialidad, acordes con las bases, principios y disposiciones establecidos en la Ley General, de esta manera los titulares de las áreas de los Sujetos Obligados serán los responsables de clasificar la información, de conformidad con lo dispuesto en la disposiciones jurídicas aplicables, según lo señalado en el artículo 122 de la Ley Adjetiva.</w:t>
      </w:r>
    </w:p>
    <w:p w:rsidR="00D935F1" w:rsidRDefault="00D935F1">
      <w:pPr>
        <w:spacing w:line="360" w:lineRule="auto"/>
        <w:jc w:val="both"/>
        <w:rPr>
          <w:rFonts w:ascii="Palatino Linotype" w:hAnsi="Palatino Linotype" w:cs="Arial"/>
        </w:rPr>
      </w:pPr>
    </w:p>
    <w:p w:rsidR="00D935F1" w:rsidRDefault="00BF1C6A">
      <w:pPr>
        <w:spacing w:line="360" w:lineRule="auto"/>
        <w:jc w:val="both"/>
        <w:rPr>
          <w:rFonts w:ascii="Palatino Linotype" w:hAnsi="Palatino Linotype"/>
        </w:rPr>
      </w:pPr>
      <w:r>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D935F1" w:rsidRDefault="00D935F1">
      <w:pPr>
        <w:spacing w:line="360" w:lineRule="auto"/>
        <w:jc w:val="both"/>
        <w:rPr>
          <w:rFonts w:ascii="Palatino Linotype" w:hAnsi="Palatino Linotype"/>
        </w:rPr>
      </w:pPr>
    </w:p>
    <w:p w:rsidR="00D935F1" w:rsidRDefault="00BF1C6A">
      <w:pPr>
        <w:numPr>
          <w:ilvl w:val="0"/>
          <w:numId w:val="2"/>
        </w:numPr>
        <w:spacing w:after="120" w:line="360" w:lineRule="auto"/>
        <w:ind w:left="1276" w:hanging="425"/>
        <w:jc w:val="both"/>
        <w:rPr>
          <w:rFonts w:ascii="Palatino Linotype" w:hAnsi="Palatino Linotype"/>
          <w:b/>
          <w:u w:val="single"/>
        </w:rPr>
      </w:pPr>
      <w:r>
        <w:rPr>
          <w:rFonts w:ascii="Palatino Linotype" w:hAnsi="Palatino Linotype"/>
          <w:b/>
          <w:u w:val="single"/>
        </w:rPr>
        <w:t>Se reciba una solicitud de acceso a la información;</w:t>
      </w:r>
    </w:p>
    <w:p w:rsidR="00D935F1" w:rsidRDefault="00BF1C6A">
      <w:pPr>
        <w:numPr>
          <w:ilvl w:val="0"/>
          <w:numId w:val="2"/>
        </w:numPr>
        <w:spacing w:after="120" w:line="360" w:lineRule="auto"/>
        <w:ind w:left="1276" w:hanging="425"/>
        <w:jc w:val="both"/>
        <w:rPr>
          <w:rFonts w:ascii="Palatino Linotype" w:hAnsi="Palatino Linotype"/>
        </w:rPr>
      </w:pPr>
      <w:r>
        <w:rPr>
          <w:rFonts w:ascii="Palatino Linotype" w:hAnsi="Palatino Linotype"/>
        </w:rPr>
        <w:t>Se determine mediante resolución de autoridad competente; y/o</w:t>
      </w:r>
    </w:p>
    <w:p w:rsidR="00D935F1" w:rsidRDefault="00BF1C6A">
      <w:pPr>
        <w:numPr>
          <w:ilvl w:val="0"/>
          <w:numId w:val="2"/>
        </w:numPr>
        <w:spacing w:after="120" w:line="360" w:lineRule="auto"/>
        <w:ind w:left="1276" w:hanging="425"/>
        <w:jc w:val="both"/>
        <w:rPr>
          <w:rFonts w:ascii="Palatino Linotype" w:hAnsi="Palatino Linotype"/>
        </w:rPr>
      </w:pPr>
      <w:r>
        <w:rPr>
          <w:rFonts w:ascii="Palatino Linotype" w:hAnsi="Palatino Linotype"/>
        </w:rPr>
        <w:lastRenderedPageBreak/>
        <w:t>Se generen versiones públicas para dar cumplimiento a las obligaciones de transparencia previstas en la Ley.</w:t>
      </w:r>
    </w:p>
    <w:p w:rsidR="00D935F1" w:rsidRDefault="00D935F1">
      <w:pPr>
        <w:spacing w:line="360" w:lineRule="auto"/>
        <w:ind w:left="1276"/>
        <w:jc w:val="both"/>
        <w:rPr>
          <w:rFonts w:ascii="Palatino Linotype" w:hAnsi="Palatino Linotype"/>
        </w:rPr>
      </w:pPr>
    </w:p>
    <w:p w:rsidR="00D935F1" w:rsidRDefault="00BF1C6A">
      <w:pPr>
        <w:spacing w:line="360" w:lineRule="auto"/>
        <w:jc w:val="both"/>
        <w:rPr>
          <w:rFonts w:ascii="Palatino Linotype" w:hAnsi="Palatino Linotype" w:cs="Arial"/>
        </w:rPr>
      </w:pPr>
      <w:r>
        <w:rPr>
          <w:rFonts w:ascii="Palatino Linotype" w:hAnsi="Palatino Linotype"/>
        </w:rPr>
        <w:t>En consecuencia</w:t>
      </w:r>
      <w:r>
        <w:rPr>
          <w:rFonts w:ascii="Palatino Linotype" w:hAnsi="Palatino Linotype" w:cs="Arial"/>
        </w:rPr>
        <w:t xml:space="preserve">, </w:t>
      </w:r>
      <w:r>
        <w:rPr>
          <w:rFonts w:ascii="Palatino Linotype" w:hAnsi="Palatino Linotype" w:cs="Arial"/>
          <w:b/>
        </w:rPr>
        <w:t xml:space="preserve">EL SUJETO OBLIGADO, </w:t>
      </w:r>
      <w:r>
        <w:rPr>
          <w:rFonts w:ascii="Palatino Linotype" w:hAnsi="Palatino Linotype" w:cs="Arial"/>
        </w:rPr>
        <w:t>debió de acompañar a sus respuestas el Acuerdo de clasificación correspondiente aprobado por el Comité de Trasparencia en términos de la legislación aplicable, debidamente fundamentado y motivado,</w:t>
      </w:r>
      <w:r>
        <w:rPr>
          <w:rFonts w:ascii="Palatino Linotype" w:hAnsi="Palatino Linotype" w:cs="Arial"/>
          <w:b/>
        </w:rPr>
        <w:t xml:space="preserve"> </w:t>
      </w:r>
      <w:r>
        <w:rPr>
          <w:rFonts w:ascii="Palatino Linotype" w:hAnsi="Palatino Linotype" w:cs="Arial"/>
        </w:rPr>
        <w:t xml:space="preserve">de las supuestas versiones públicas de las actas de entrega-recepción solicitadas por el particular; sin embargo, es importante destacar que las actas de entrega-recepción de los años 2018, 2019 y 2020 y sus anexos remitidos en respuesta, constantes de dos mil doscientos noventa y dos fojas, se observa que </w:t>
      </w:r>
      <w:r>
        <w:rPr>
          <w:rFonts w:ascii="Palatino Linotype" w:hAnsi="Palatino Linotype" w:cs="Arial"/>
          <w:b/>
        </w:rPr>
        <w:t xml:space="preserve">EL SUJETO OBLIGADO </w:t>
      </w:r>
      <w:r>
        <w:rPr>
          <w:rFonts w:ascii="Palatino Linotype" w:hAnsi="Palatino Linotype" w:cs="Arial"/>
        </w:rPr>
        <w:t xml:space="preserve">dejó a la vista datos personales susceptibles de ser considerados confidenciales, tales como </w:t>
      </w:r>
      <w:r w:rsidR="00407EC3">
        <w:rPr>
          <w:rFonts w:ascii="Palatino Linotype" w:hAnsi="Palatino Linotype" w:cs="Arial"/>
        </w:rPr>
        <w:t xml:space="preserve">nacionalidad de particulares, </w:t>
      </w:r>
      <w:r>
        <w:rPr>
          <w:rFonts w:ascii="Palatino Linotype" w:hAnsi="Palatino Linotype" w:cs="Arial"/>
        </w:rPr>
        <w:t>el folio y código de identificación de la credencial de elector, domicilio particular, teléfono particular, RFC, CURP, huella dactilar, código postal, número de pasaporte, nombres de particulares, firma de particulares, fotografía de testigos que corresponden a particulares, números de pasaporte, número de serie de vehículos, numero de servicio y de medidor del servicio de energía eléctrica, datos de registro de acta de nacimiento y correos electrónicos; así como, datos personales se</w:t>
      </w:r>
      <w:r w:rsidR="00407EC3">
        <w:rPr>
          <w:rFonts w:ascii="Palatino Linotype" w:hAnsi="Palatino Linotype" w:cs="Arial"/>
        </w:rPr>
        <w:t>nsibles, tales como</w:t>
      </w:r>
      <w:r>
        <w:rPr>
          <w:rFonts w:ascii="Palatino Linotype" w:hAnsi="Palatino Linotype" w:cs="Arial"/>
        </w:rPr>
        <w:t xml:space="preserve"> fecha de nacimiento y lugar de nacimiento; por lo que, </w:t>
      </w:r>
      <w:r>
        <w:rPr>
          <w:rFonts w:ascii="Palatino Linotype" w:hAnsi="Palatino Linotype" w:cs="Arial"/>
          <w:b/>
        </w:rPr>
        <w:t>EL SUJETO OBLIGADO</w:t>
      </w:r>
      <w:r>
        <w:rPr>
          <w:rFonts w:ascii="Palatino Linotype" w:hAnsi="Palatino Linotype" w:cs="Arial"/>
        </w:rPr>
        <w:t xml:space="preserve">, deberá de realizar la versión publica correcta de las actas de entrega-recepción remitidas en respuesta, </w:t>
      </w:r>
      <w:r>
        <w:rPr>
          <w:rFonts w:ascii="Palatino Linotype" w:hAnsi="Palatino Linotype"/>
        </w:rPr>
        <w:t xml:space="preserve">siguiendo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w:t>
      </w:r>
      <w:r>
        <w:rPr>
          <w:rFonts w:ascii="Palatino Linotype" w:hAnsi="Palatino Linotype" w:cs="Arial"/>
          <w:lang w:val="es-ES_tradnl"/>
        </w:rPr>
        <w:t>un</w:t>
      </w:r>
      <w:r>
        <w:rPr>
          <w:rFonts w:ascii="Palatino Linotype" w:hAnsi="Palatino Linotype" w:cs="Arial"/>
        </w:rPr>
        <w:t xml:space="preserve"> Acuerdo de Clasificación que cumpla con las formalidades señaladas en las leyes aplicables,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clasificar la información, a efecto de no dejar al solicitante en estado de incertidumbre.</w:t>
      </w:r>
    </w:p>
    <w:p w:rsidR="00D935F1" w:rsidRDefault="00D935F1">
      <w:pPr>
        <w:spacing w:line="360" w:lineRule="auto"/>
        <w:jc w:val="both"/>
        <w:rPr>
          <w:rFonts w:ascii="Palatino Linotype" w:hAnsi="Palatino Linotype" w:cs="Arial"/>
        </w:rPr>
      </w:pPr>
    </w:p>
    <w:p w:rsidR="00D935F1" w:rsidRDefault="00BF1C6A">
      <w:pPr>
        <w:spacing w:line="360" w:lineRule="auto"/>
        <w:jc w:val="both"/>
        <w:rPr>
          <w:rFonts w:ascii="Palatino Linotype" w:hAnsi="Palatino Linotype" w:cs="Arial"/>
        </w:rPr>
      </w:pPr>
      <w:r>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rsidR="00D935F1" w:rsidRDefault="00D935F1">
      <w:pPr>
        <w:spacing w:line="360" w:lineRule="auto"/>
        <w:jc w:val="both"/>
        <w:rPr>
          <w:rFonts w:ascii="Palatino Linotype" w:hAnsi="Palatino Linotype" w:cs="Arial"/>
        </w:rPr>
      </w:pPr>
    </w:p>
    <w:p w:rsidR="00D935F1" w:rsidRDefault="00BF1C6A">
      <w:pPr>
        <w:tabs>
          <w:tab w:val="left" w:pos="8931"/>
        </w:tabs>
        <w:spacing w:line="360" w:lineRule="auto"/>
        <w:contextualSpacing/>
        <w:jc w:val="both"/>
        <w:rPr>
          <w:rFonts w:ascii="Palatino Linotype" w:hAnsi="Palatino Linotype" w:cs="Arial"/>
        </w:rPr>
      </w:pPr>
      <w:r>
        <w:rPr>
          <w:rFonts w:ascii="Palatino Linotype" w:hAnsi="Palatino Linotype" w:cs="Arial"/>
        </w:rPr>
        <w:t>Al respecto, el máximo tribunal del país ha establecido jurisprudencia respecto a qué debe entenderse por fundamentación y motivación, en los siguientes términos:</w:t>
      </w:r>
    </w:p>
    <w:p w:rsidR="00D935F1" w:rsidRDefault="00D935F1">
      <w:pPr>
        <w:contextualSpacing/>
        <w:jc w:val="both"/>
        <w:rPr>
          <w:rFonts w:ascii="Palatino Linotype" w:hAnsi="Palatino Linotype" w:cs="Arial"/>
        </w:rPr>
      </w:pPr>
    </w:p>
    <w:p w:rsidR="00D935F1" w:rsidRDefault="00BF1C6A">
      <w:pPr>
        <w:ind w:left="851" w:right="901"/>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 xml:space="preserve">FUNDAMENTACIÓN Y MOTIVACIÓN. </w:t>
      </w:r>
      <w:r>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D935F1" w:rsidRDefault="00D935F1">
      <w:pPr>
        <w:ind w:left="851" w:right="899"/>
        <w:contextualSpacing/>
        <w:jc w:val="both"/>
        <w:rPr>
          <w:rFonts w:ascii="Palatino Linotype" w:hAnsi="Palatino Linotype" w:cs="Arial"/>
          <w:i/>
          <w:sz w:val="22"/>
        </w:rPr>
      </w:pPr>
    </w:p>
    <w:p w:rsidR="00D935F1" w:rsidRDefault="00BF1C6A">
      <w:pPr>
        <w:spacing w:line="360" w:lineRule="auto"/>
        <w:jc w:val="both"/>
        <w:rPr>
          <w:rFonts w:ascii="Palatino Linotype" w:hAnsi="Palatino Linotype" w:cs="Arial"/>
        </w:rPr>
      </w:pPr>
      <w:r>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D935F1" w:rsidRDefault="00D935F1">
      <w:pPr>
        <w:spacing w:line="360" w:lineRule="auto"/>
        <w:jc w:val="both"/>
        <w:rPr>
          <w:rFonts w:ascii="Palatino Linotype" w:hAnsi="Palatino Linotype" w:cs="Arial"/>
        </w:rPr>
      </w:pPr>
    </w:p>
    <w:p w:rsidR="00D935F1" w:rsidRDefault="00BF1C6A">
      <w:pPr>
        <w:spacing w:line="360" w:lineRule="auto"/>
        <w:jc w:val="both"/>
        <w:rPr>
          <w:rFonts w:ascii="Palatino Linotype" w:hAnsi="Palatino Linotype" w:cs="Arial"/>
        </w:rPr>
      </w:pPr>
      <w:r>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D935F1" w:rsidRDefault="00D935F1">
      <w:pPr>
        <w:jc w:val="both"/>
        <w:rPr>
          <w:rFonts w:ascii="Palatino Linotype" w:hAnsi="Palatino Linotype" w:cs="Arial"/>
        </w:rPr>
      </w:pPr>
    </w:p>
    <w:p w:rsidR="00D935F1" w:rsidRDefault="00BF1C6A">
      <w:pPr>
        <w:ind w:left="851" w:right="901"/>
        <w:jc w:val="both"/>
        <w:rPr>
          <w:rFonts w:ascii="Palatino Linotype" w:hAnsi="Palatino Linotype" w:cs="Arial"/>
          <w:i/>
          <w:sz w:val="22"/>
        </w:rPr>
      </w:pPr>
      <w:r>
        <w:rPr>
          <w:rFonts w:ascii="Palatino Linotype" w:hAnsi="Palatino Linotype" w:cs="Arial"/>
          <w:b/>
          <w:i/>
          <w:sz w:val="22"/>
        </w:rPr>
        <w:t>“FUNDAMENTACIÓN Y MOTIVACIÓN. EL ASPECTO FORMAL DE LA GARANTÍA Y SU FINALIDAD SE TRADUCEN EN EXPLICAR, JUSTIFICAR, POSIBILITAR LA DEFENSA Y COMUNICAR LA DECISIÓN</w:t>
      </w:r>
      <w:r>
        <w:rPr>
          <w:rFonts w:ascii="Palatino Linotype" w:hAnsi="Palatino Linotype" w:cs="Arial"/>
          <w:i/>
          <w:sz w:val="22"/>
        </w:rPr>
        <w:t xml:space="preserve">. El contenido formal de la garantía de legalidad prevista en el artículo 16 constitucional relativa a la </w:t>
      </w:r>
      <w:r>
        <w:rPr>
          <w:rFonts w:ascii="Palatino Linotype" w:hAnsi="Palatino Linotype" w:cs="Arial"/>
          <w:b/>
          <w:i/>
          <w:sz w:val="22"/>
        </w:rPr>
        <w:t xml:space="preserve">fundamentación y motivación tiene como propósito primordial y ratio que el justiciable conozca el "para qué" de la </w:t>
      </w:r>
      <w:r>
        <w:rPr>
          <w:rFonts w:ascii="Palatino Linotype" w:hAnsi="Palatino Linotype" w:cs="Arial"/>
          <w:b/>
          <w:i/>
          <w:sz w:val="22"/>
        </w:rPr>
        <w:lastRenderedPageBreak/>
        <w:t>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rPr>
        <w:t xml:space="preserve">. Por tanto, </w:t>
      </w:r>
      <w:r>
        <w:rPr>
          <w:rFonts w:ascii="Palatino Linotype" w:hAnsi="Palatino Linotype" w:cs="Arial"/>
          <w:b/>
          <w:i/>
          <w:sz w:val="22"/>
        </w:rPr>
        <w:t>no basta que el acto de autoridad apenas observe una motivación pro forma pero de una manera incongruente, insuficiente o imprecisa</w:t>
      </w:r>
      <w:r>
        <w:rPr>
          <w:rFonts w:ascii="Palatino Linotype" w:hAnsi="Palatino Linotype" w:cs="Arial"/>
          <w:i/>
          <w:sz w:val="22"/>
        </w:rPr>
        <w:t>, que impida la finalidad del conocimiento, comprobación y defensa pertinente</w:t>
      </w:r>
      <w:r>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rPr>
        <w:t>.”(Sic)</w:t>
      </w:r>
    </w:p>
    <w:p w:rsidR="00D935F1" w:rsidRDefault="00D935F1">
      <w:pPr>
        <w:ind w:left="851" w:right="899"/>
        <w:contextualSpacing/>
        <w:jc w:val="both"/>
        <w:rPr>
          <w:rFonts w:ascii="Palatino Linotype" w:hAnsi="Palatino Linotype" w:cs="Arial"/>
          <w:i/>
          <w:sz w:val="22"/>
        </w:rPr>
      </w:pPr>
    </w:p>
    <w:p w:rsidR="00D935F1" w:rsidRDefault="00BF1C6A">
      <w:pPr>
        <w:spacing w:line="360" w:lineRule="auto"/>
        <w:jc w:val="both"/>
        <w:rPr>
          <w:rFonts w:ascii="Palatino Linotype" w:hAnsi="Palatino Linotype" w:cs="Arial"/>
        </w:rPr>
      </w:pPr>
      <w:r>
        <w:rPr>
          <w:rFonts w:ascii="Palatino Linotype" w:hAnsi="Palatino Linotype" w:cs="Arial"/>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D935F1" w:rsidRDefault="00BF1C6A">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Expuesto lo anterior, es importante señalar que la </w:t>
      </w:r>
      <w:r>
        <w:rPr>
          <w:rFonts w:ascii="Palatino Linotype" w:eastAsiaTheme="minorEastAsia" w:hAnsi="Palatino Linotype" w:cstheme="minorBidi"/>
          <w:b/>
          <w:color w:val="000000" w:themeColor="text1"/>
          <w:lang w:val="es-ES_tradnl"/>
        </w:rPr>
        <w:t>versión pública</w:t>
      </w:r>
      <w:r>
        <w:rPr>
          <w:rFonts w:ascii="Palatino Linotype" w:eastAsiaTheme="minorEastAsia" w:hAnsi="Palatino Linotype" w:cstheme="minorBidi"/>
          <w:color w:val="000000" w:themeColor="text1"/>
          <w:lang w:val="es-ES_tradnl"/>
        </w:rPr>
        <w:t>, deberá realizarse en términos de lo que disponen los artículos 3, fracciones IX, XX, XXI, XXXII, XLV; 6, 49, fracción VIII, 53, fracción X, 59, fracción V, 137, 143, fracción I de la Ley de Transparencia y Acceso a la Información Pública del Estado de México y Municipios en concordancia con el artículo 4, fracciones XI y XII Ley de Protección de Datos Personales en Posesión de Sujetos Obligados del Estado de México y Municipios, que son del tenor literal siguiente:</w:t>
      </w:r>
    </w:p>
    <w:p w:rsidR="00D935F1" w:rsidRDefault="00BF1C6A">
      <w:pPr>
        <w:ind w:left="851" w:right="902"/>
        <w:jc w:val="center"/>
        <w:rPr>
          <w:rFonts w:ascii="Palatino Linotype" w:eastAsiaTheme="minorEastAsia" w:hAnsi="Palatino Linotype" w:cstheme="minorBidi"/>
          <w:b/>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lastRenderedPageBreak/>
        <w:t>Ley de Transparencia y Acceso a la Información Pública del Estado de México y Municipios</w:t>
      </w:r>
    </w:p>
    <w:p w:rsidR="00D935F1" w:rsidRDefault="00D935F1">
      <w:pPr>
        <w:ind w:left="851" w:right="902"/>
        <w:jc w:val="center"/>
        <w:rPr>
          <w:rFonts w:ascii="Palatino Linotype" w:eastAsiaTheme="minorEastAsia" w:hAnsi="Palatino Linotype" w:cstheme="minorBidi"/>
          <w:b/>
          <w:i/>
          <w:color w:val="000000" w:themeColor="text1"/>
          <w:sz w:val="22"/>
          <w:szCs w:val="22"/>
          <w:lang w:val="es-ES_tradnl"/>
        </w:rPr>
      </w:pP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3.</w:t>
      </w:r>
      <w:r>
        <w:rPr>
          <w:rFonts w:ascii="Palatino Linotype" w:eastAsiaTheme="minorEastAsia" w:hAnsi="Palatino Linotype" w:cstheme="minorBidi"/>
          <w:i/>
          <w:color w:val="000000" w:themeColor="text1"/>
          <w:sz w:val="22"/>
          <w:szCs w:val="22"/>
          <w:lang w:val="es-ES_tradnl"/>
        </w:rPr>
        <w:t xml:space="preserve"> Para los efectos de la presente Ley se entenderá por:</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IX. Datos personales:</w:t>
      </w:r>
      <w:r>
        <w:rPr>
          <w:rFonts w:ascii="Palatino Linotype" w:eastAsiaTheme="minorEastAsia" w:hAnsi="Palatino Linotype" w:cstheme="minorBidi"/>
          <w:i/>
          <w:color w:val="000000" w:themeColor="text1"/>
          <w:sz w:val="22"/>
          <w:szCs w:val="22"/>
          <w:lang w:val="es-ES_tradnl"/>
        </w:rPr>
        <w:t xml:space="preserve"> La información concerniente a una persona, identificada o identificable según lo dispuesto por la Ley de Protección de Datos Personales del Estado de México;</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XX. Información clasificada:</w:t>
      </w:r>
      <w:r>
        <w:rPr>
          <w:rFonts w:ascii="Palatino Linotype" w:eastAsiaTheme="minorEastAsia" w:hAnsi="Palatino Linotype" w:cstheme="minorBidi"/>
          <w:i/>
          <w:color w:val="000000" w:themeColor="text1"/>
          <w:sz w:val="22"/>
          <w:szCs w:val="22"/>
          <w:lang w:val="es-ES_tradnl"/>
        </w:rPr>
        <w:t xml:space="preserve"> Aquella considerada por la presente Ley como reservada o confidencial;</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 xml:space="preserve">XXI. Información confidencial: </w:t>
      </w:r>
      <w:r>
        <w:rPr>
          <w:rFonts w:ascii="Palatino Linotype" w:eastAsiaTheme="minorEastAsia" w:hAnsi="Palatino Linotype" w:cstheme="minorBidi"/>
          <w:i/>
          <w:color w:val="000000" w:themeColor="text1"/>
          <w:sz w:val="22"/>
          <w:szCs w:val="22"/>
          <w:lang w:val="es-ES_tradnl"/>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XXXII. Protección de Datos Personales:</w:t>
      </w:r>
      <w:r>
        <w:rPr>
          <w:rFonts w:ascii="Palatino Linotype" w:eastAsiaTheme="minorEastAsia" w:hAnsi="Palatino Linotype" w:cstheme="minorBidi"/>
          <w:i/>
          <w:color w:val="000000" w:themeColor="text1"/>
          <w:sz w:val="22"/>
          <w:szCs w:val="22"/>
          <w:lang w:val="es-ES_tradnl"/>
        </w:rPr>
        <w:t xml:space="preserve"> Derecho humano que tutela la privacidad de datos personales en poder de los sujetos obligados y sujetos particulares;</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XLV. Versión pública:</w:t>
      </w:r>
      <w:r>
        <w:rPr>
          <w:rFonts w:ascii="Palatino Linotype" w:eastAsiaTheme="minorEastAsia" w:hAnsi="Palatino Linotype" w:cstheme="minorBidi"/>
          <w:i/>
          <w:color w:val="000000" w:themeColor="text1"/>
          <w:sz w:val="22"/>
          <w:szCs w:val="22"/>
          <w:lang w:val="es-ES_tradnl"/>
        </w:rPr>
        <w:t xml:space="preserve"> Documento en el que se elimine, suprime o borra la información clasificada como reservada o confidencial para permitir su acceso.</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6.</w:t>
      </w:r>
      <w:r>
        <w:rPr>
          <w:rFonts w:ascii="Palatino Linotype" w:eastAsiaTheme="minorEastAsia" w:hAnsi="Palatino Linotype" w:cstheme="minorBidi"/>
          <w:i/>
          <w:color w:val="000000" w:themeColor="text1"/>
          <w:sz w:val="22"/>
          <w:szCs w:val="22"/>
          <w:lang w:val="es-ES_tradnl"/>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49.</w:t>
      </w:r>
      <w:r>
        <w:rPr>
          <w:rFonts w:ascii="Palatino Linotype" w:eastAsiaTheme="minorEastAsia" w:hAnsi="Palatino Linotype" w:cstheme="minorBidi"/>
          <w:i/>
          <w:color w:val="000000" w:themeColor="text1"/>
          <w:sz w:val="22"/>
          <w:szCs w:val="22"/>
          <w:lang w:val="es-ES_tradnl"/>
        </w:rPr>
        <w:t xml:space="preserve"> Los Comités de Transparencia tendrán las siguientes atribuciones:</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VIII.</w:t>
      </w:r>
      <w:r>
        <w:rPr>
          <w:rFonts w:ascii="Palatino Linotype" w:eastAsiaTheme="minorEastAsia" w:hAnsi="Palatino Linotype" w:cstheme="minorBidi"/>
          <w:i/>
          <w:color w:val="000000" w:themeColor="text1"/>
          <w:sz w:val="22"/>
          <w:szCs w:val="22"/>
          <w:lang w:val="es-ES_tradnl"/>
        </w:rPr>
        <w:t xml:space="preserve"> Aprobar, modificar o revocar la clasificación de la información…”</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53.</w:t>
      </w:r>
      <w:r>
        <w:rPr>
          <w:rFonts w:ascii="Palatino Linotype" w:eastAsiaTheme="minorEastAsia" w:hAnsi="Palatino Linotype" w:cstheme="minorBidi"/>
          <w:i/>
          <w:color w:val="000000" w:themeColor="text1"/>
          <w:sz w:val="22"/>
          <w:szCs w:val="22"/>
          <w:lang w:val="es-ES_tradnl"/>
        </w:rPr>
        <w:t xml:space="preserve"> Las Unidades de Transparencia tendrán las siguientes funciones:</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X.</w:t>
      </w:r>
      <w:r>
        <w:rPr>
          <w:rFonts w:ascii="Palatino Linotype" w:eastAsiaTheme="minorEastAsia" w:hAnsi="Palatino Linotype" w:cstheme="minorBidi"/>
          <w:i/>
          <w:color w:val="000000" w:themeColor="text1"/>
          <w:sz w:val="22"/>
          <w:szCs w:val="22"/>
          <w:lang w:val="es-ES_tradnl"/>
        </w:rPr>
        <w:t xml:space="preserve"> Presentar ante el Comité, el proyecto de clasificación de información…” </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59.</w:t>
      </w:r>
      <w:r>
        <w:rPr>
          <w:rFonts w:ascii="Palatino Linotype" w:eastAsiaTheme="minorEastAsia" w:hAnsi="Palatino Linotype" w:cstheme="minorBidi"/>
          <w:i/>
          <w:color w:val="000000" w:themeColor="text1"/>
          <w:sz w:val="22"/>
          <w:szCs w:val="22"/>
          <w:lang w:val="es-ES_tradnl"/>
        </w:rPr>
        <w:t xml:space="preserve"> Los servidores públicos habilitados tendrán las funciones siguientes:</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V.</w:t>
      </w:r>
      <w:r>
        <w:rPr>
          <w:rFonts w:ascii="Palatino Linotype" w:eastAsiaTheme="minorEastAsia" w:hAnsi="Palatino Linotype" w:cstheme="minorBidi"/>
          <w:i/>
          <w:color w:val="000000" w:themeColor="text1"/>
          <w:sz w:val="22"/>
          <w:szCs w:val="22"/>
          <w:lang w:val="es-ES_tradnl"/>
        </w:rPr>
        <w:t xml:space="preserve"> Integrar y presentar al responsable de la Unidad de Transparencia la propuesta de clasificación de información, la cual tendrá los fundamentos y argumentos en que se basa dicha propuesta…”</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137.</w:t>
      </w:r>
      <w:r>
        <w:rPr>
          <w:rFonts w:ascii="Palatino Linotype" w:eastAsiaTheme="minorEastAsia" w:hAnsi="Palatino Linotype" w:cstheme="minorBidi"/>
          <w:i/>
          <w:color w:val="000000" w:themeColor="text1"/>
          <w:sz w:val="22"/>
          <w:szCs w:val="22"/>
          <w:lang w:val="es-ES_tradnl"/>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lastRenderedPageBreak/>
        <w:t>Artículo 143.</w:t>
      </w:r>
      <w:r>
        <w:rPr>
          <w:rFonts w:ascii="Palatino Linotype" w:eastAsiaTheme="minorEastAsia" w:hAnsi="Palatino Linotype" w:cstheme="minorBidi"/>
          <w:i/>
          <w:color w:val="000000" w:themeColor="text1"/>
          <w:sz w:val="22"/>
          <w:szCs w:val="22"/>
          <w:lang w:val="es-ES_tradnl"/>
        </w:rPr>
        <w:t xml:space="preserve"> Para los efectos de esta Ley se considera información confidencial, la clasificada como tal, de manera permanente, por su naturaleza, cuando:</w:t>
      </w:r>
    </w:p>
    <w:p w:rsidR="00D935F1" w:rsidRDefault="00BF1C6A">
      <w:pPr>
        <w:ind w:left="851" w:right="902"/>
        <w:jc w:val="both"/>
        <w:rPr>
          <w:rFonts w:ascii="Palatino Linotype" w:eastAsiaTheme="minorEastAsia" w:hAnsi="Palatino Linotype" w:cstheme="minorBidi"/>
          <w:b/>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I.</w:t>
      </w:r>
      <w:r>
        <w:rPr>
          <w:rFonts w:ascii="Palatino Linotype" w:eastAsiaTheme="minorEastAsia" w:hAnsi="Palatino Linotype" w:cstheme="minorBidi"/>
          <w:i/>
          <w:color w:val="000000" w:themeColor="text1"/>
          <w:sz w:val="22"/>
          <w:szCs w:val="22"/>
          <w:lang w:val="es-ES_tradnl"/>
        </w:rPr>
        <w:t xml:space="preserve"> Se refiera a la información privada y los datos personales concernientes a una persona física o jurídico colectiva identificada o identificable…</w:t>
      </w:r>
      <w:r>
        <w:rPr>
          <w:rFonts w:ascii="Palatino Linotype" w:eastAsiaTheme="minorEastAsia" w:hAnsi="Palatino Linotype" w:cstheme="minorBidi"/>
          <w:b/>
          <w:i/>
          <w:color w:val="000000" w:themeColor="text1"/>
          <w:sz w:val="22"/>
          <w:szCs w:val="22"/>
          <w:lang w:val="es-ES_tradnl"/>
        </w:rPr>
        <w:t>”</w:t>
      </w:r>
    </w:p>
    <w:p w:rsidR="00D935F1" w:rsidRDefault="00D935F1">
      <w:pPr>
        <w:ind w:left="851" w:right="902"/>
        <w:jc w:val="both"/>
        <w:rPr>
          <w:rFonts w:ascii="Palatino Linotype" w:eastAsiaTheme="minorEastAsia" w:hAnsi="Palatino Linotype" w:cstheme="minorBidi"/>
          <w:i/>
          <w:color w:val="000000" w:themeColor="text1"/>
          <w:sz w:val="22"/>
          <w:szCs w:val="22"/>
          <w:lang w:val="es-ES_tradnl"/>
        </w:rPr>
      </w:pPr>
    </w:p>
    <w:p w:rsidR="00D935F1" w:rsidRDefault="00BF1C6A">
      <w:pPr>
        <w:ind w:left="851" w:right="902"/>
        <w:jc w:val="center"/>
        <w:rPr>
          <w:rFonts w:ascii="Palatino Linotype" w:eastAsiaTheme="minorEastAsia" w:hAnsi="Palatino Linotype" w:cstheme="minorBidi"/>
          <w:b/>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Ley de Protección de Datos Personales en Posesión de Sujetos Obligados del Estado de México y Municipios</w:t>
      </w:r>
    </w:p>
    <w:p w:rsidR="00D935F1" w:rsidRDefault="00D935F1">
      <w:pPr>
        <w:ind w:left="851" w:right="902"/>
        <w:jc w:val="both"/>
        <w:rPr>
          <w:rFonts w:ascii="Palatino Linotype" w:eastAsiaTheme="minorEastAsia" w:hAnsi="Palatino Linotype" w:cstheme="minorBidi"/>
          <w:b/>
          <w:i/>
          <w:color w:val="000000" w:themeColor="text1"/>
          <w:sz w:val="22"/>
          <w:szCs w:val="22"/>
          <w:lang w:val="es-ES_tradnl"/>
        </w:rPr>
      </w:pP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 xml:space="preserve">“Artículo 4. </w:t>
      </w:r>
      <w:r>
        <w:rPr>
          <w:rFonts w:ascii="Palatino Linotype" w:eastAsiaTheme="minorEastAsia" w:hAnsi="Palatino Linotype" w:cstheme="minorBidi"/>
          <w:i/>
          <w:color w:val="000000" w:themeColor="text1"/>
          <w:sz w:val="22"/>
          <w:szCs w:val="22"/>
          <w:lang w:val="es-ES_tradnl"/>
        </w:rPr>
        <w:t>Para los efectos de esta Ley se entenderá por:</w:t>
      </w:r>
    </w:p>
    <w:p w:rsidR="00D935F1" w:rsidRDefault="00BF1C6A">
      <w:pPr>
        <w:ind w:left="851" w:right="902"/>
        <w:jc w:val="both"/>
        <w:rPr>
          <w:rFonts w:ascii="Palatino Linotype" w:eastAsiaTheme="minorEastAsia" w:hAnsi="Palatino Linotype" w:cstheme="minorBidi"/>
          <w:b/>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XI. Datos personales</w:t>
      </w:r>
      <w:r>
        <w:rPr>
          <w:rFonts w:ascii="Palatino Linotype" w:eastAsiaTheme="minorEastAsia" w:hAnsi="Palatino Linotype" w:cstheme="minorBidi"/>
          <w:b/>
          <w:i/>
          <w:color w:val="000000" w:themeColor="text1"/>
          <w:sz w:val="22"/>
          <w:szCs w:val="22"/>
          <w:u w:val="single"/>
          <w:lang w:val="es-ES_tradnl"/>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D935F1" w:rsidRDefault="00BF1C6A">
      <w:pPr>
        <w:ind w:left="851" w:right="902"/>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XII. Datos personales sensibles:</w:t>
      </w:r>
      <w:r>
        <w:rPr>
          <w:rFonts w:ascii="Palatino Linotype" w:eastAsiaTheme="minorEastAsia" w:hAnsi="Palatino Linotype" w:cstheme="minorBidi"/>
          <w:i/>
          <w:color w:val="000000" w:themeColor="text1"/>
          <w:sz w:val="22"/>
          <w:szCs w:val="22"/>
          <w:lang w:val="es-ES_tradnl"/>
        </w:rPr>
        <w:t xml:space="preserve"> </w:t>
      </w:r>
      <w:r>
        <w:rPr>
          <w:rFonts w:ascii="Palatino Linotype" w:eastAsiaTheme="minorEastAsia" w:hAnsi="Palatino Linotype" w:cstheme="minorBidi"/>
          <w:b/>
          <w:i/>
          <w:color w:val="000000" w:themeColor="text1"/>
          <w:sz w:val="22"/>
          <w:szCs w:val="22"/>
          <w:u w:val="single"/>
          <w:lang w:val="es-ES_tradnl"/>
        </w:rPr>
        <w:t>a las referentes de la esfera de su titular cuya utilización indebida pueda dar origen a discriminación o conlleve un riesgo grave para éste.</w:t>
      </w:r>
      <w:r>
        <w:rPr>
          <w:rFonts w:ascii="Palatino Linotype" w:eastAsiaTheme="minorEastAsia" w:hAnsi="Palatino Linotype" w:cstheme="minorBidi"/>
          <w:i/>
          <w:color w:val="000000" w:themeColor="text1"/>
          <w:sz w:val="22"/>
          <w:szCs w:val="22"/>
          <w:lang w:val="es-ES_tradnl"/>
        </w:rPr>
        <w:t xml:space="preserve"> De manera enunciativa más no limitativa, se consideran </w:t>
      </w:r>
      <w:r>
        <w:rPr>
          <w:rFonts w:ascii="Palatino Linotype" w:eastAsiaTheme="minorEastAsia" w:hAnsi="Palatino Linotype" w:cstheme="minorBidi"/>
          <w:b/>
          <w:i/>
          <w:color w:val="000000" w:themeColor="text1"/>
          <w:sz w:val="22"/>
          <w:szCs w:val="22"/>
          <w:u w:val="single"/>
          <w:lang w:val="es-ES_tradnl"/>
        </w:rPr>
        <w:t>sensibles los datos personales que puedan revelar aspectos como origen racial o étnico, estado de salud física o mental, presente o futura, información genética, creencias religiosas, filosóficas y morales, opiniones políticas y preferencia sexual</w:t>
      </w:r>
      <w:r>
        <w:rPr>
          <w:rFonts w:ascii="Palatino Linotype" w:eastAsiaTheme="minorEastAsia" w:hAnsi="Palatino Linotype" w:cstheme="minorBidi"/>
          <w:i/>
          <w:color w:val="000000" w:themeColor="text1"/>
          <w:sz w:val="22"/>
          <w:szCs w:val="22"/>
          <w:lang w:val="es-ES_tradnl"/>
        </w:rPr>
        <w:t>.” (Sic)</w:t>
      </w:r>
    </w:p>
    <w:p w:rsidR="00D935F1" w:rsidRDefault="00BF1C6A">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Pr>
          <w:rFonts w:ascii="Palatino Linotype" w:eastAsiaTheme="minorEastAsia" w:hAnsi="Palatino Linotype" w:cstheme="minorBidi"/>
          <w:b/>
          <w:color w:val="000000" w:themeColor="text1"/>
          <w:lang w:val="es-ES_tradnl"/>
        </w:rPr>
        <w:t>SUJETO OBLIGADO</w:t>
      </w:r>
      <w:r>
        <w:rPr>
          <w:rFonts w:ascii="Palatino Linotype" w:eastAsiaTheme="minorEastAsia" w:hAnsi="Palatino Linotype" w:cstheme="minorBidi"/>
          <w:color w:val="000000" w:themeColor="text1"/>
          <w:lang w:val="es-ES_tradnl"/>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 tratándose de datos personales o datos personales sensibles.</w:t>
      </w:r>
    </w:p>
    <w:p w:rsidR="00D935F1" w:rsidRDefault="00BF1C6A">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lastRenderedPageBreak/>
        <w:t>Para lo cual, a su vez en el caso de información de carácter confidencial se debe atender a lo que señala el artículo 149 de la Ley de Transparencia Local vigente, cuyo contenido es de la literalidad siguiente:</w:t>
      </w:r>
    </w:p>
    <w:p w:rsidR="00D935F1" w:rsidRDefault="00BF1C6A">
      <w:pPr>
        <w:spacing w:after="120" w:line="264" w:lineRule="auto"/>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b/>
          <w:i/>
          <w:color w:val="000000" w:themeColor="text1"/>
          <w:sz w:val="22"/>
          <w:szCs w:val="22"/>
          <w:lang w:val="es-ES_tradnl"/>
        </w:rPr>
        <w:t>“Artículo 149.</w:t>
      </w:r>
      <w:r>
        <w:rPr>
          <w:rFonts w:ascii="Palatino Linotype" w:eastAsiaTheme="minorEastAsia" w:hAnsi="Palatino Linotype" w:cstheme="minorBidi"/>
          <w:i/>
          <w:color w:val="000000" w:themeColor="text1"/>
          <w:sz w:val="22"/>
          <w:szCs w:val="22"/>
          <w:lang w:val="es-ES_tradnl"/>
        </w:rPr>
        <w:t xml:space="preserve"> El acuerdo que clasifique la información como confidencial deberá contener un razonamiento lógico en el que demuestre que la información se encuentra en alguna o algunas de las hipótesis previstas en la presente Ley.</w:t>
      </w:r>
      <w:r>
        <w:rPr>
          <w:rFonts w:ascii="Palatino Linotype" w:eastAsiaTheme="minorEastAsia" w:hAnsi="Palatino Linotype" w:cstheme="minorBidi"/>
          <w:b/>
          <w:i/>
          <w:color w:val="000000" w:themeColor="text1"/>
          <w:sz w:val="22"/>
          <w:szCs w:val="22"/>
          <w:lang w:val="es-ES_tradnl"/>
        </w:rPr>
        <w:t>”</w:t>
      </w:r>
    </w:p>
    <w:p w:rsidR="00D935F1" w:rsidRDefault="00BF1C6A">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Es decir, </w:t>
      </w:r>
      <w:r>
        <w:rPr>
          <w:rFonts w:ascii="Palatino Linotype" w:eastAsiaTheme="minorEastAsia" w:hAnsi="Palatino Linotype" w:cstheme="minorBidi"/>
          <w:b/>
          <w:color w:val="000000" w:themeColor="text1"/>
          <w:lang w:val="es-ES_tradnl"/>
        </w:rPr>
        <w:t>EL SUJETO OBLIGADO</w:t>
      </w:r>
      <w:r>
        <w:rPr>
          <w:rFonts w:ascii="Palatino Linotype" w:eastAsiaTheme="minorEastAsia" w:hAnsi="Palatino Linotype" w:cstheme="minorBidi"/>
          <w:color w:val="000000" w:themeColor="text1"/>
          <w:lang w:val="es-ES_tradnl"/>
        </w:rPr>
        <w:t xml:space="preserve"> a través de su Comité de Transparencia, para la entrega de la información materia del presente recurso; deberá elaborar un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rsidR="00D935F1" w:rsidRDefault="00BF1C6A">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w:t>
      </w:r>
      <w:r>
        <w:rPr>
          <w:rFonts w:ascii="Palatino Linotype" w:hAnsi="Palatino Linotype" w:cs="Arial"/>
        </w:rPr>
        <w:t xml:space="preserve">el folio y código de identificación de la </w:t>
      </w:r>
      <w:r>
        <w:rPr>
          <w:rFonts w:ascii="Palatino Linotype" w:hAnsi="Palatino Linotype" w:cs="Arial"/>
        </w:rPr>
        <w:lastRenderedPageBreak/>
        <w:t xml:space="preserve">credencial de elector, domicilio particular, teléfono particular, RFC, CURP, huella dactilar, código postal, número de pasaporte, nombres de particulares, firma de particulares, fotografía de testigos que corresponden a particulares, números de pasaporte, número de serie de vehículos, numero de servicio y de medidor del servicio de energía eléctrica, datos de registro de acta de nacimiento, correos electrónicos </w:t>
      </w:r>
      <w:r>
        <w:rPr>
          <w:rFonts w:ascii="Palatino Linotype" w:eastAsiaTheme="minorEastAsia" w:hAnsi="Palatino Linotype" w:cstheme="minorBidi"/>
          <w:color w:val="000000" w:themeColor="text1"/>
          <w:lang w:val="es-ES_tradnl"/>
        </w:rPr>
        <w:t>y cualquier otro dato de identificación de los particulares y solicitantes de información.</w:t>
      </w:r>
    </w:p>
    <w:p w:rsidR="00D935F1" w:rsidRDefault="00BF1C6A">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hAnsi="Palatino Linotype" w:cs="Arial"/>
          <w:lang w:val="es-ES"/>
        </w:rPr>
        <w:t xml:space="preserve">Así las cosas, dentro de los datos personales que pudieran contenerse se destacan los datos personales sensibles, los cuales son aquellos </w:t>
      </w:r>
      <w:r>
        <w:rPr>
          <w:rFonts w:ascii="Palatino Linotype" w:hAnsi="Palatino Linotype" w:cs="Arial"/>
        </w:rPr>
        <w:t>referentes de la esfera de su titular cuya utilización indebida pueda dar origen a discriminación o conlleve un riesgo grave para éste. De manera enunciativa más no limitativa, tales como fecha de nacimiento y lugar de nacimiento, de conformidad con el artículo 4, fracción XII de la Ley de Protección de Datos Personales en Posesión de Sujetos Obligados del Estado de México y Municipios.</w:t>
      </w:r>
    </w:p>
    <w:p w:rsidR="00D935F1" w:rsidRDefault="00BF1C6A">
      <w:pPr>
        <w:spacing w:beforeAutospacing="1" w:afterAutospacing="1" w:line="360" w:lineRule="auto"/>
        <w:jc w:val="both"/>
        <w:rPr>
          <w:rFonts w:ascii="Palatino Linotype" w:hAnsi="Palatino Linotype" w:cs="Arial"/>
        </w:rPr>
      </w:pPr>
      <w:r>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rsidR="00D935F1" w:rsidRDefault="00BF1C6A">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D935F1" w:rsidRDefault="00BF1C6A">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lastRenderedPageBreak/>
        <w:t xml:space="preserve">Argumento que es compartido por el Instituto Nacional de Transparencia, Acceso a la Información y Protección de Datos Personales (INAI), conforme al criterio número 18/2017, el cual refiere: </w:t>
      </w:r>
    </w:p>
    <w:p w:rsidR="00D935F1" w:rsidRDefault="00BF1C6A">
      <w:pPr>
        <w:spacing w:after="120"/>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w:t>
      </w:r>
      <w:r>
        <w:rPr>
          <w:rFonts w:ascii="Palatino Linotype" w:eastAsiaTheme="minorEastAsia" w:hAnsi="Palatino Linotype" w:cstheme="minorBidi"/>
          <w:b/>
          <w:i/>
          <w:color w:val="000000" w:themeColor="text1"/>
          <w:sz w:val="22"/>
          <w:szCs w:val="22"/>
          <w:lang w:val="es-ES_tradnl"/>
        </w:rPr>
        <w:t>Clave Única de Registro de Población (CURP).</w:t>
      </w:r>
      <w:r>
        <w:rPr>
          <w:rFonts w:ascii="Palatino Linotype" w:eastAsiaTheme="minorEastAsia" w:hAnsi="Palatino Linotype" w:cstheme="minorBidi"/>
          <w:i/>
          <w:color w:val="000000" w:themeColor="text1"/>
          <w:sz w:val="22"/>
          <w:szCs w:val="22"/>
          <w:lang w:val="es-ES_tradnl"/>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D935F1" w:rsidRDefault="00D935F1">
      <w:pPr>
        <w:spacing w:after="120"/>
        <w:ind w:left="851" w:right="899"/>
        <w:jc w:val="both"/>
        <w:rPr>
          <w:rFonts w:ascii="Palatino Linotype" w:eastAsiaTheme="minorEastAsia" w:hAnsi="Palatino Linotype" w:cstheme="minorBidi"/>
          <w:i/>
          <w:color w:val="000000" w:themeColor="text1"/>
          <w:sz w:val="22"/>
          <w:szCs w:val="22"/>
          <w:lang w:val="es-ES_tradnl"/>
        </w:rPr>
      </w:pPr>
    </w:p>
    <w:p w:rsidR="00D935F1" w:rsidRDefault="00BF1C6A">
      <w:pPr>
        <w:spacing w:after="120"/>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Resoluciones:</w:t>
      </w:r>
    </w:p>
    <w:p w:rsidR="00D935F1" w:rsidRDefault="00BF1C6A">
      <w:pPr>
        <w:spacing w:after="120"/>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w:t>
      </w:r>
      <w:r>
        <w:rPr>
          <w:rFonts w:ascii="Palatino Linotype" w:eastAsiaTheme="minorEastAsia" w:hAnsi="Palatino Linotype" w:cstheme="minorBidi"/>
          <w:i/>
          <w:color w:val="000000" w:themeColor="text1"/>
          <w:sz w:val="22"/>
          <w:szCs w:val="22"/>
          <w:lang w:val="es-ES_tradnl"/>
        </w:rPr>
        <w:tab/>
        <w:t>RRA 3995/16. Secretaría de la Defensa Nacional. 1 de febrero de 2017. Por unanimidad. Comisionado Ponente Rosendoevgueni Monterrey Chepov.</w:t>
      </w:r>
    </w:p>
    <w:p w:rsidR="00D935F1" w:rsidRDefault="00BF1C6A">
      <w:pPr>
        <w:spacing w:after="120"/>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w:t>
      </w:r>
      <w:r>
        <w:rPr>
          <w:rFonts w:ascii="Palatino Linotype" w:eastAsiaTheme="minorEastAsia" w:hAnsi="Palatino Linotype" w:cstheme="minorBidi"/>
          <w:i/>
          <w:color w:val="000000" w:themeColor="text1"/>
          <w:sz w:val="22"/>
          <w:szCs w:val="22"/>
          <w:lang w:val="es-ES_tradnl"/>
        </w:rPr>
        <w:tab/>
        <w:t xml:space="preserve">RRA 0937/17. Senado de la República. 15 de marzo de 2017. Por unanimidad. Comisionada Ponente Ximena Puente de la Mora. </w:t>
      </w:r>
    </w:p>
    <w:p w:rsidR="00D935F1" w:rsidRDefault="00BF1C6A">
      <w:pPr>
        <w:spacing w:after="120"/>
        <w:ind w:left="851" w:right="899"/>
        <w:jc w:val="both"/>
        <w:rPr>
          <w:rFonts w:ascii="Palatino Linotype" w:eastAsiaTheme="minorEastAsia" w:hAnsi="Palatino Linotype" w:cstheme="minorBidi"/>
          <w:i/>
          <w:color w:val="000000" w:themeColor="text1"/>
          <w:sz w:val="22"/>
          <w:szCs w:val="22"/>
          <w:lang w:val="es-ES_tradnl"/>
        </w:rPr>
      </w:pPr>
      <w:r>
        <w:rPr>
          <w:rFonts w:ascii="Palatino Linotype" w:eastAsiaTheme="minorEastAsia" w:hAnsi="Palatino Linotype" w:cstheme="minorBidi"/>
          <w:i/>
          <w:color w:val="000000" w:themeColor="text1"/>
          <w:sz w:val="22"/>
          <w:szCs w:val="22"/>
          <w:lang w:val="es-ES_tradnl"/>
        </w:rPr>
        <w:t>•</w:t>
      </w:r>
      <w:r>
        <w:rPr>
          <w:rFonts w:ascii="Palatino Linotype" w:eastAsiaTheme="minorEastAsia" w:hAnsi="Palatino Linotype" w:cstheme="minorBidi"/>
          <w:i/>
          <w:color w:val="000000" w:themeColor="text1"/>
          <w:sz w:val="22"/>
          <w:szCs w:val="22"/>
          <w:lang w:val="es-ES_tradnl"/>
        </w:rPr>
        <w:tab/>
        <w:t>RRA 0478/17. Secretaría de Relaciones Exteriores. 26 de abril de 2017. Por unanimidad. Comisionada Ponente Areli Cano Guadiana.”</w:t>
      </w:r>
    </w:p>
    <w:p w:rsidR="00D935F1" w:rsidRDefault="00D935F1">
      <w:pPr>
        <w:widowControl w:val="0"/>
        <w:spacing w:before="240" w:after="240" w:line="360" w:lineRule="auto"/>
        <w:contextualSpacing/>
        <w:jc w:val="both"/>
        <w:rPr>
          <w:rFonts w:ascii="Palatino Linotype" w:eastAsiaTheme="minorEastAsia" w:hAnsi="Palatino Linotype" w:cs="Arial"/>
          <w:color w:val="000000" w:themeColor="text1"/>
          <w:lang w:val="es-ES_tradnl"/>
        </w:rPr>
      </w:pPr>
    </w:p>
    <w:p w:rsidR="00D935F1" w:rsidRDefault="00BF1C6A">
      <w:pPr>
        <w:spacing w:line="360" w:lineRule="auto"/>
        <w:jc w:val="both"/>
        <w:rPr>
          <w:rFonts w:ascii="Palatino Linotype" w:eastAsiaTheme="minorEastAsia" w:hAnsi="Palatino Linotype" w:cstheme="minorBidi"/>
          <w:lang w:val="es-ES_tradnl"/>
        </w:rPr>
      </w:pPr>
      <w:r>
        <w:rPr>
          <w:rFonts w:ascii="Palatino Linotype" w:eastAsiaTheme="minorEastAsia" w:hAnsi="Palatino Linotype" w:cs="Arial"/>
          <w:lang w:val="es-ES_tradnl" w:eastAsia="es-MX"/>
        </w:rPr>
        <w:t xml:space="preserve">Por cuanto hace al </w:t>
      </w:r>
      <w:r>
        <w:rPr>
          <w:rFonts w:ascii="Palatino Linotype" w:eastAsiaTheme="minorEastAsia" w:hAnsi="Palatino Linotype" w:cs="Arial"/>
          <w:b/>
          <w:lang w:val="es-ES_tradnl" w:eastAsia="es-MX"/>
        </w:rPr>
        <w:t>Registro Federal de Contribuyentes</w:t>
      </w:r>
      <w:r>
        <w:rPr>
          <w:rFonts w:ascii="Palatino Linotype" w:eastAsiaTheme="minorEastAsia" w:hAnsi="Palatino Linotype" w:cs="Arial"/>
          <w:lang w:val="es-ES_tradnl" w:eastAsia="es-MX"/>
        </w:rPr>
        <w:t xml:space="preserve"> </w:t>
      </w:r>
      <w:r>
        <w:rPr>
          <w:rFonts w:ascii="Palatino Linotype" w:eastAsiaTheme="minorEastAsia" w:hAnsi="Palatino Linotype" w:cs="Arial"/>
          <w:b/>
          <w:lang w:val="es-ES_tradnl" w:eastAsia="es-MX"/>
        </w:rPr>
        <w:t>de las personas físicas</w:t>
      </w:r>
      <w:r>
        <w:rPr>
          <w:rFonts w:ascii="Palatino Linotype" w:eastAsiaTheme="minorEastAsia" w:hAnsi="Palatino Linotype" w:cs="Arial"/>
          <w:lang w:val="es-ES_tradnl" w:eastAsia="es-MX"/>
        </w:rPr>
        <w:t xml:space="preserve">, constituye un dato personal, ya que se genera con caracteres alfanuméricos obtenidos a partir del nombre en mayúsculas sin acentos ni diéresis y la fecha de nacimiento de cada persona; es decir la primera letra </w:t>
      </w:r>
      <w:r>
        <w:rPr>
          <w:rFonts w:ascii="Palatino Linotype" w:eastAsiaTheme="minorEastAsia" w:hAnsi="Palatino Linotype" w:cs="Arial"/>
          <w:lang w:val="es-ES_tradnl"/>
        </w:rPr>
        <w:t>del</w:t>
      </w:r>
      <w:r>
        <w:rPr>
          <w:rFonts w:ascii="Palatino Linotype" w:eastAsiaTheme="minorEastAsia" w:hAnsi="Palatino Linotype" w:cs="Arial"/>
          <w:lang w:val="es-ES_tradnl" w:eastAsia="es-MX"/>
        </w:rPr>
        <w:t xml:space="preserve"> apellido paterno; seguida de la primera letra Vocal del primer apellido; seguida de la primera letra del segundo apellido y por último la primera letra del nombre, posterior la fecha de nacimiento año/mes/día</w:t>
      </w:r>
      <w:r>
        <w:rPr>
          <w:rFonts w:ascii="Palatino Linotype" w:eastAsiaTheme="minorEastAsia" w:hAnsi="Palatino Linotype" w:cstheme="minorBidi"/>
          <w:lang w:val="es-ES_tradnl"/>
        </w:rPr>
        <w:t xml:space="preserve"> y finalmente la homoclave; la cual, para su obtención es necesario acreditar personalidad, fecha de nacimiento entre otros con documentos oficiales.</w:t>
      </w:r>
    </w:p>
    <w:p w:rsidR="00D935F1" w:rsidRDefault="00D935F1">
      <w:pPr>
        <w:spacing w:line="360" w:lineRule="auto"/>
        <w:jc w:val="both"/>
        <w:rPr>
          <w:rFonts w:ascii="Palatino Linotype" w:eastAsiaTheme="minorEastAsia" w:hAnsi="Palatino Linotype"/>
          <w:lang w:val="es-ES_tradnl"/>
        </w:rPr>
      </w:pPr>
    </w:p>
    <w:p w:rsidR="00D935F1" w:rsidRDefault="00BF1C6A">
      <w:pPr>
        <w:spacing w:line="360" w:lineRule="auto"/>
        <w:jc w:val="both"/>
        <w:rPr>
          <w:rFonts w:ascii="Palatino Linotype" w:eastAsiaTheme="minorEastAsia" w:hAnsi="Palatino Linotype" w:cstheme="minorBidi"/>
          <w:b/>
          <w:bCs/>
          <w:color w:val="000000"/>
          <w:lang w:val="es-ES_tradnl"/>
        </w:rPr>
      </w:pPr>
      <w:r>
        <w:rPr>
          <w:rFonts w:ascii="Palatino Linotype" w:eastAsiaTheme="minorEastAsia" w:hAnsi="Palatino Linotype" w:cs="Arial"/>
          <w:lang w:val="es-ES_tradnl" w:eastAsia="es-MX"/>
        </w:rPr>
        <w:lastRenderedPageBreak/>
        <w:t xml:space="preserve">Al respecto, </w:t>
      </w:r>
      <w:r>
        <w:rPr>
          <w:rFonts w:ascii="Palatino Linotype" w:eastAsiaTheme="minorEastAsia" w:hAnsi="Palatino Linotype" w:cs="Arial"/>
          <w:color w:val="000000"/>
          <w:lang w:val="es-ES_tradnl"/>
        </w:rPr>
        <w:t xml:space="preserve">es aplicable el Criterio 19/17 de la Segunda Época, emitido por </w:t>
      </w:r>
      <w:r>
        <w:rPr>
          <w:rFonts w:ascii="Palatino Linotype" w:eastAsia="Arial Unicode MS" w:hAnsi="Palatino Linotype" w:cs="Arial"/>
          <w:color w:val="000000"/>
          <w:lang w:val="es-ES_tradnl"/>
        </w:rPr>
        <w:t xml:space="preserve">el Instituto Nacional de </w:t>
      </w:r>
      <w:r>
        <w:rPr>
          <w:rFonts w:ascii="Palatino Linotype" w:eastAsiaTheme="minorEastAsia" w:hAnsi="Palatino Linotype" w:cstheme="minorBidi"/>
          <w:bCs/>
          <w:lang w:val="es-ES_tradnl"/>
        </w:rPr>
        <w:t>Transparencia</w:t>
      </w:r>
      <w:r>
        <w:rPr>
          <w:rFonts w:ascii="Palatino Linotype" w:eastAsia="Arial Unicode MS" w:hAnsi="Palatino Linotype" w:cs="Arial"/>
          <w:color w:val="000000"/>
          <w:lang w:val="es-ES_tradnl"/>
        </w:rPr>
        <w:t xml:space="preserve">, Acceso a la </w:t>
      </w:r>
      <w:r>
        <w:rPr>
          <w:rFonts w:ascii="Palatino Linotype" w:eastAsiaTheme="minorEastAsia" w:hAnsi="Palatino Linotype" w:cs="Arial"/>
          <w:lang w:val="es-ES_tradnl"/>
        </w:rPr>
        <w:t>Información</w:t>
      </w:r>
      <w:r>
        <w:rPr>
          <w:rFonts w:ascii="Palatino Linotype" w:eastAsia="Arial Unicode MS" w:hAnsi="Palatino Linotype" w:cs="Arial"/>
          <w:color w:val="000000"/>
          <w:lang w:val="es-ES_tradnl"/>
        </w:rPr>
        <w:t xml:space="preserve"> y Protección de Datos Personales,</w:t>
      </w:r>
      <w:r>
        <w:rPr>
          <w:rFonts w:ascii="Palatino Linotype" w:eastAsiaTheme="minorEastAsia" w:hAnsi="Palatino Linotype" w:cstheme="minorBidi"/>
          <w:bCs/>
          <w:color w:val="000000"/>
          <w:lang w:val="es-ES_tradnl"/>
        </w:rPr>
        <w:t xml:space="preserve"> que dice:</w:t>
      </w:r>
      <w:r>
        <w:rPr>
          <w:rFonts w:ascii="Palatino Linotype" w:eastAsiaTheme="minorEastAsia" w:hAnsi="Palatino Linotype" w:cstheme="minorBidi"/>
          <w:b/>
          <w:bCs/>
          <w:color w:val="000000"/>
          <w:lang w:val="es-ES_tradnl"/>
        </w:rPr>
        <w:t xml:space="preserve"> </w:t>
      </w:r>
    </w:p>
    <w:p w:rsidR="00D935F1" w:rsidRDefault="00D935F1">
      <w:pPr>
        <w:jc w:val="both"/>
        <w:rPr>
          <w:rFonts w:ascii="Palatino Linotype" w:eastAsiaTheme="minorEastAsia" w:hAnsi="Palatino Linotype" w:cstheme="minorBidi"/>
          <w:b/>
          <w:bCs/>
          <w:color w:val="000000"/>
          <w:sz w:val="22"/>
          <w:szCs w:val="22"/>
          <w:lang w:val="es-ES_tradnl"/>
        </w:rPr>
      </w:pPr>
    </w:p>
    <w:p w:rsidR="00D935F1" w:rsidRDefault="00BF1C6A">
      <w:pPr>
        <w:ind w:left="851" w:right="899"/>
        <w:jc w:val="both"/>
        <w:rPr>
          <w:rFonts w:ascii="Palatino Linotype" w:eastAsiaTheme="minorEastAsia" w:hAnsi="Palatino Linotype" w:cs="Arial"/>
          <w:bCs/>
          <w:i/>
          <w:sz w:val="22"/>
          <w:szCs w:val="22"/>
          <w:lang w:val="es-ES_tradnl" w:eastAsia="en-US"/>
        </w:rPr>
      </w:pPr>
      <w:r>
        <w:rPr>
          <w:rFonts w:ascii="Palatino Linotype" w:eastAsiaTheme="minorEastAsia" w:hAnsi="Palatino Linotype" w:cs="Arial"/>
          <w:bCs/>
          <w:i/>
          <w:sz w:val="22"/>
          <w:szCs w:val="22"/>
          <w:lang w:val="es-ES_tradnl"/>
        </w:rPr>
        <w:t>“</w:t>
      </w:r>
      <w:r>
        <w:rPr>
          <w:rFonts w:ascii="Palatino Linotype" w:eastAsiaTheme="minorEastAsia" w:hAnsi="Palatino Linotype" w:cs="Arial"/>
          <w:b/>
          <w:bCs/>
          <w:i/>
          <w:sz w:val="22"/>
          <w:szCs w:val="22"/>
          <w:lang w:val="es-ES_tradnl"/>
        </w:rPr>
        <w:t>Registro Federal de Contribuyentes (RFC) de personas físicas. El RFC es una clave</w:t>
      </w:r>
      <w:r>
        <w:rPr>
          <w:rFonts w:ascii="Palatino Linotype" w:eastAsiaTheme="minorEastAsia" w:hAnsi="Palatino Linotype" w:cs="Arial"/>
          <w:bCs/>
          <w:i/>
          <w:sz w:val="22"/>
          <w:szCs w:val="22"/>
          <w:lang w:val="es-ES_tradnl"/>
        </w:rPr>
        <w:t xml:space="preserve"> de carácter fiscal, única e irrepetible, </w:t>
      </w:r>
      <w:r>
        <w:rPr>
          <w:rFonts w:ascii="Palatino Linotype" w:eastAsiaTheme="minorEastAsia" w:hAnsi="Palatino Linotype" w:cs="Arial"/>
          <w:b/>
          <w:bCs/>
          <w:i/>
          <w:sz w:val="22"/>
          <w:szCs w:val="22"/>
          <w:lang w:val="es-ES_tradnl"/>
        </w:rPr>
        <w:t>que permite identificar al titular, su edad y fecha de nacimiento</w:t>
      </w:r>
      <w:r>
        <w:rPr>
          <w:rFonts w:ascii="Palatino Linotype" w:eastAsiaTheme="minorEastAsia" w:hAnsi="Palatino Linotype" w:cs="Arial"/>
          <w:bCs/>
          <w:i/>
          <w:sz w:val="22"/>
          <w:szCs w:val="22"/>
          <w:lang w:val="es-ES_tradnl"/>
        </w:rPr>
        <w:t xml:space="preserve">, </w:t>
      </w:r>
      <w:r>
        <w:rPr>
          <w:rFonts w:ascii="Palatino Linotype" w:eastAsiaTheme="minorEastAsia" w:hAnsi="Palatino Linotype" w:cs="Arial"/>
          <w:i/>
          <w:sz w:val="22"/>
          <w:szCs w:val="22"/>
          <w:lang w:val="es-ES_tradnl" w:eastAsia="es-MX"/>
        </w:rPr>
        <w:t>por</w:t>
      </w:r>
      <w:r>
        <w:rPr>
          <w:rFonts w:ascii="Palatino Linotype" w:eastAsiaTheme="minorEastAsia" w:hAnsi="Palatino Linotype" w:cs="Arial"/>
          <w:bCs/>
          <w:i/>
          <w:sz w:val="22"/>
          <w:szCs w:val="22"/>
          <w:lang w:val="es-ES_tradnl"/>
        </w:rPr>
        <w:t xml:space="preserve"> lo que </w:t>
      </w:r>
      <w:r>
        <w:rPr>
          <w:rFonts w:ascii="Palatino Linotype" w:eastAsiaTheme="minorEastAsia" w:hAnsi="Palatino Linotype" w:cs="Arial"/>
          <w:b/>
          <w:bCs/>
          <w:i/>
          <w:sz w:val="22"/>
          <w:szCs w:val="22"/>
          <w:lang w:val="es-ES_tradnl"/>
        </w:rPr>
        <w:t>es un dato personal de carácter confidencial</w:t>
      </w:r>
      <w:r>
        <w:rPr>
          <w:rFonts w:ascii="Palatino Linotype" w:eastAsiaTheme="minorEastAsia" w:hAnsi="Palatino Linotype" w:cs="Arial"/>
          <w:i/>
          <w:sz w:val="22"/>
          <w:szCs w:val="22"/>
          <w:lang w:val="es-ES_tradnl"/>
        </w:rPr>
        <w:t>.</w:t>
      </w:r>
    </w:p>
    <w:p w:rsidR="00D935F1" w:rsidRDefault="00BF1C6A">
      <w:pPr>
        <w:ind w:left="851" w:right="899"/>
        <w:jc w:val="both"/>
        <w:rPr>
          <w:rFonts w:ascii="Palatino Linotype" w:eastAsiaTheme="minorEastAsia" w:hAnsi="Palatino Linotype" w:cs="Arial"/>
          <w:bCs/>
          <w:i/>
          <w:sz w:val="22"/>
          <w:szCs w:val="22"/>
          <w:lang w:val="es-ES_tradnl"/>
        </w:rPr>
      </w:pPr>
      <w:r>
        <w:rPr>
          <w:rFonts w:ascii="Palatino Linotype" w:eastAsiaTheme="minorEastAsia" w:hAnsi="Palatino Linotype" w:cs="Arial"/>
          <w:bCs/>
          <w:i/>
          <w:sz w:val="22"/>
          <w:szCs w:val="22"/>
          <w:lang w:val="es-ES_tradnl"/>
        </w:rPr>
        <w:t>Resoluciones:</w:t>
      </w:r>
    </w:p>
    <w:p w:rsidR="00D935F1" w:rsidRDefault="00BF1C6A">
      <w:pPr>
        <w:ind w:left="851" w:right="899"/>
        <w:jc w:val="both"/>
        <w:rPr>
          <w:rFonts w:ascii="Palatino Linotype" w:eastAsiaTheme="minorEastAsia" w:hAnsi="Palatino Linotype" w:cs="Arial"/>
          <w:bCs/>
          <w:i/>
          <w:sz w:val="22"/>
          <w:szCs w:val="22"/>
          <w:lang w:val="es-ES_tradnl"/>
        </w:rPr>
      </w:pPr>
      <w:r>
        <w:rPr>
          <w:rFonts w:ascii="Palatino Linotype" w:eastAsiaTheme="minorEastAsia" w:hAnsi="Palatino Linotype" w:cs="Arial"/>
          <w:bCs/>
          <w:i/>
          <w:sz w:val="22"/>
          <w:szCs w:val="22"/>
          <w:lang w:val="es-ES_tradnl"/>
        </w:rPr>
        <w:t>• RRA 0189/</w:t>
      </w:r>
      <w:r>
        <w:rPr>
          <w:rFonts w:ascii="Palatino Linotype" w:eastAsiaTheme="minorEastAsia" w:hAnsi="Palatino Linotype" w:cs="Arial"/>
          <w:i/>
          <w:sz w:val="22"/>
          <w:szCs w:val="22"/>
          <w:lang w:val="es-ES_tradnl" w:eastAsia="es-MX"/>
        </w:rPr>
        <w:t>17</w:t>
      </w:r>
      <w:r>
        <w:rPr>
          <w:rFonts w:ascii="Palatino Linotype" w:eastAsiaTheme="minorEastAsia" w:hAnsi="Palatino Linotype" w:cs="Arial"/>
          <w:bCs/>
          <w:i/>
          <w:sz w:val="22"/>
          <w:szCs w:val="22"/>
          <w:lang w:val="es-ES_tradnl"/>
        </w:rPr>
        <w:t>. Morena. 08 de febrero de 2017. Por unanimidad. Comisionado Ponente Joel Salas Suárez.</w:t>
      </w:r>
    </w:p>
    <w:p w:rsidR="00D935F1" w:rsidRDefault="00BF1C6A">
      <w:pPr>
        <w:ind w:left="851" w:right="899"/>
        <w:jc w:val="both"/>
        <w:rPr>
          <w:rFonts w:ascii="Palatino Linotype" w:eastAsiaTheme="minorEastAsia" w:hAnsi="Palatino Linotype" w:cs="Arial"/>
          <w:bCs/>
          <w:i/>
          <w:sz w:val="22"/>
          <w:szCs w:val="22"/>
          <w:lang w:val="es-ES_tradnl"/>
        </w:rPr>
      </w:pPr>
      <w:r>
        <w:rPr>
          <w:rFonts w:ascii="Palatino Linotype" w:eastAsiaTheme="minorEastAsia" w:hAnsi="Palatino Linotype" w:cs="Arial"/>
          <w:bCs/>
          <w:i/>
          <w:sz w:val="22"/>
          <w:szCs w:val="22"/>
          <w:lang w:val="es-ES_tradnl"/>
        </w:rPr>
        <w:t xml:space="preserve">• RRA 0677/17. Universidad Nacional Autónoma de México. 08 de marzo de 2017. Por unanimidad. Comisionado Ponente Rosendoevgueni Monterrey Chepov. </w:t>
      </w:r>
    </w:p>
    <w:p w:rsidR="00D935F1" w:rsidRDefault="00BF1C6A">
      <w:pPr>
        <w:ind w:left="851" w:right="899"/>
        <w:jc w:val="both"/>
        <w:rPr>
          <w:rFonts w:ascii="Palatino Linotype" w:eastAsiaTheme="minorEastAsia" w:hAnsi="Palatino Linotype" w:cs="Arial"/>
          <w:i/>
          <w:sz w:val="22"/>
          <w:szCs w:val="22"/>
          <w:lang w:val="es-ES_tradnl"/>
        </w:rPr>
      </w:pPr>
      <w:r>
        <w:rPr>
          <w:rFonts w:ascii="Palatino Linotype" w:eastAsiaTheme="minorEastAsia" w:hAnsi="Palatino Linotype" w:cs="Arial"/>
          <w:bCs/>
          <w:i/>
          <w:sz w:val="22"/>
          <w:szCs w:val="22"/>
          <w:lang w:val="es-ES_tradnl"/>
        </w:rPr>
        <w:t xml:space="preserve">• RRA 1564/17. Tribunal Electoral del Poder Judicial de la Federación. 26 de abril de 2017. Por </w:t>
      </w:r>
      <w:r>
        <w:rPr>
          <w:rFonts w:ascii="Palatino Linotype" w:eastAsiaTheme="minorEastAsia" w:hAnsi="Palatino Linotype" w:cs="Arial"/>
          <w:i/>
          <w:sz w:val="22"/>
          <w:szCs w:val="22"/>
          <w:lang w:val="es-ES_tradnl" w:eastAsia="es-MX"/>
        </w:rPr>
        <w:t>unanimidad</w:t>
      </w:r>
      <w:r>
        <w:rPr>
          <w:rFonts w:ascii="Palatino Linotype" w:eastAsiaTheme="minorEastAsia" w:hAnsi="Palatino Linotype" w:cs="Arial"/>
          <w:bCs/>
          <w:i/>
          <w:sz w:val="22"/>
          <w:szCs w:val="22"/>
          <w:lang w:val="es-ES_tradnl"/>
        </w:rPr>
        <w:t>. Comisionado Ponente Oscar Mauricio Guerra Ford.</w:t>
      </w:r>
      <w:r>
        <w:rPr>
          <w:rFonts w:ascii="Palatino Linotype" w:eastAsiaTheme="minorEastAsia" w:hAnsi="Palatino Linotype" w:cs="Arial"/>
          <w:i/>
          <w:sz w:val="22"/>
          <w:szCs w:val="22"/>
          <w:lang w:val="es-ES_tradnl"/>
        </w:rPr>
        <w:t>” (Sic)</w:t>
      </w:r>
    </w:p>
    <w:p w:rsidR="00D935F1" w:rsidRDefault="00BF1C6A">
      <w:pPr>
        <w:ind w:left="851" w:right="899"/>
        <w:jc w:val="both"/>
        <w:rPr>
          <w:rFonts w:ascii="Palatino Linotype" w:eastAsiaTheme="minorEastAsia" w:hAnsi="Palatino Linotype" w:cs="Arial"/>
          <w:sz w:val="22"/>
          <w:szCs w:val="22"/>
          <w:lang w:val="es-ES_tradnl"/>
        </w:rPr>
      </w:pPr>
      <w:r>
        <w:rPr>
          <w:rFonts w:ascii="Palatino Linotype" w:eastAsiaTheme="minorEastAsia" w:hAnsi="Palatino Linotype" w:cs="Arial"/>
          <w:sz w:val="22"/>
          <w:szCs w:val="22"/>
          <w:lang w:val="es-ES_tradnl"/>
        </w:rPr>
        <w:t>(Énfasis añadido)</w:t>
      </w:r>
    </w:p>
    <w:p w:rsidR="00D935F1" w:rsidRDefault="00D935F1">
      <w:pPr>
        <w:ind w:left="851" w:right="902"/>
        <w:jc w:val="both"/>
        <w:rPr>
          <w:rFonts w:ascii="Palatino Linotype" w:eastAsiaTheme="minorEastAsia" w:hAnsi="Palatino Linotype" w:cs="Arial"/>
          <w:sz w:val="22"/>
          <w:szCs w:val="22"/>
          <w:lang w:val="es-ES_tradnl"/>
        </w:rPr>
      </w:pPr>
    </w:p>
    <w:p w:rsidR="00D935F1" w:rsidRDefault="00BF1C6A">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eastAsia="es-MX"/>
        </w:rPr>
        <w:t xml:space="preserve">De lo anterior, se desprende que el Registro Federal de Contribuyentes se vincula al nombre de su </w:t>
      </w:r>
      <w:r>
        <w:rPr>
          <w:rFonts w:ascii="Palatino Linotype" w:eastAsiaTheme="minorEastAsia" w:hAnsi="Palatino Linotype" w:cstheme="minorBidi"/>
          <w:bCs/>
          <w:lang w:val="es-ES_tradnl"/>
        </w:rPr>
        <w:t>titular</w:t>
      </w:r>
      <w:r>
        <w:rPr>
          <w:rFonts w:ascii="Palatino Linotype" w:eastAsiaTheme="minorEastAsia" w:hAnsi="Palatino Linotype" w:cs="Arial"/>
          <w:lang w:val="es-ES_tradnl" w:eastAsia="es-MX"/>
        </w:rPr>
        <w:t xml:space="preserve">, permitiendo identificar la edad de la persona y fecha de nacimiento, determinando </w:t>
      </w:r>
      <w:r>
        <w:rPr>
          <w:rFonts w:ascii="Palatino Linotype" w:eastAsiaTheme="minorEastAsia" w:hAnsi="Palatino Linotype" w:cs="Arial"/>
          <w:lang w:val="es-ES_tradnl"/>
        </w:rPr>
        <w:t>la</w:t>
      </w:r>
      <w:r>
        <w:rPr>
          <w:rFonts w:ascii="Palatino Linotype" w:eastAsiaTheme="minorEastAsia" w:hAnsi="Palatino Linotype" w:cs="Arial"/>
          <w:lang w:val="es-ES_tradnl"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Pr>
          <w:rFonts w:ascii="Palatino Linotype" w:eastAsiaTheme="minorEastAsia" w:hAnsi="Palatino Linotype" w:cstheme="minorBidi"/>
          <w:lang w:val="es-ES_tradnl" w:eastAsia="es-MX"/>
        </w:rPr>
        <w:t>Municipios</w:t>
      </w:r>
      <w:r>
        <w:rPr>
          <w:rFonts w:ascii="Palatino Linotype" w:eastAsiaTheme="minorEastAsia" w:hAnsi="Palatino Linotype" w:cs="Arial"/>
          <w:lang w:val="es-ES_tradnl" w:eastAsia="es-MX"/>
        </w:rPr>
        <w:t xml:space="preserve"> y </w:t>
      </w:r>
      <w:r>
        <w:rPr>
          <w:rFonts w:ascii="Palatino Linotype" w:eastAsiaTheme="minorEastAsia" w:hAnsi="Palatino Linotype" w:cs="Arial"/>
          <w:lang w:val="es-ES_tradnl"/>
        </w:rPr>
        <w:t>4 fracción XI</w:t>
      </w:r>
      <w:r>
        <w:rPr>
          <w:rFonts w:ascii="Palatino Linotype" w:eastAsiaTheme="minorEastAsia" w:hAnsi="Palatino Linotype" w:cs="Arial"/>
          <w:lang w:val="es-ES_tradnl" w:eastAsia="es-MX"/>
        </w:rPr>
        <w:t xml:space="preserve"> </w:t>
      </w:r>
      <w:r>
        <w:rPr>
          <w:rFonts w:ascii="Palatino Linotype" w:eastAsiaTheme="minorEastAsia" w:hAnsi="Palatino Linotype" w:cs="Arial"/>
          <w:lang w:val="es-ES_tradnl"/>
        </w:rPr>
        <w:t>de la Ley de Protección de Datos Personales en Posesión de Sujetos Obligados del Estado de México y Municipios.</w:t>
      </w:r>
    </w:p>
    <w:p w:rsidR="00D935F1" w:rsidRDefault="00D935F1">
      <w:pPr>
        <w:spacing w:line="360" w:lineRule="auto"/>
        <w:jc w:val="both"/>
        <w:rPr>
          <w:rFonts w:ascii="Palatino Linotype" w:hAnsi="Palatino Linotype" w:cs="Arial"/>
        </w:rPr>
      </w:pPr>
    </w:p>
    <w:p w:rsidR="00D935F1" w:rsidRDefault="00BF1C6A">
      <w:pPr>
        <w:spacing w:line="360" w:lineRule="auto"/>
        <w:jc w:val="both"/>
        <w:rPr>
          <w:rFonts w:ascii="Palatino Linotype" w:hAnsi="Palatino Linotype" w:cs="Arial"/>
        </w:rPr>
      </w:pPr>
      <w:r>
        <w:rPr>
          <w:rFonts w:ascii="Palatino Linotype" w:hAnsi="Palatino Linotype" w:cs="Arial"/>
        </w:rPr>
        <w:t xml:space="preserve">Por cuanto hace al </w:t>
      </w:r>
      <w:r>
        <w:rPr>
          <w:rFonts w:ascii="Palatino Linotype" w:hAnsi="Palatino Linotype" w:cs="Arial"/>
          <w:b/>
        </w:rPr>
        <w:t>domicilio</w:t>
      </w:r>
      <w:r>
        <w:rPr>
          <w:rFonts w:ascii="Palatino Linotype" w:hAnsi="Palatino Linotype" w:cs="Arial"/>
        </w:rPr>
        <w:t xml:space="preserve">, sirve de apoyo a lo anterior, la Tesis Aislada con número de registro 2000979, de la Décima Época de la Primera Sala de la Suprema Corte de </w:t>
      </w:r>
      <w:r>
        <w:rPr>
          <w:rFonts w:ascii="Palatino Linotype" w:hAnsi="Palatino Linotype" w:cs="Arial"/>
        </w:rPr>
        <w:lastRenderedPageBreak/>
        <w:t xml:space="preserve">Justicia de la Nación, publicada en la página 258 del Libro IX, Tomo 1 de junio de 2012, en el Semanario Judicial de la Federación, misma que refiere lo siguiente: </w:t>
      </w:r>
    </w:p>
    <w:p w:rsidR="00D935F1" w:rsidRDefault="00D935F1">
      <w:pPr>
        <w:spacing w:line="360" w:lineRule="auto"/>
        <w:jc w:val="both"/>
        <w:rPr>
          <w:rFonts w:ascii="Palatino Linotype" w:hAnsi="Palatino Linotype" w:cs="Arial"/>
        </w:rPr>
      </w:pPr>
    </w:p>
    <w:p w:rsidR="00D935F1" w:rsidRDefault="00BF1C6A">
      <w:pPr>
        <w:ind w:left="709" w:right="814"/>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DOMICILIO. SU CONCEPTO PARA EFECTOS DE PROTECCIÓN CONSTITUCIONAL</w:t>
      </w:r>
      <w:r>
        <w:rPr>
          <w:rFonts w:ascii="Palatino Linotype" w:hAnsi="Palatino Linotype" w:cs="Arial"/>
          <w:i/>
          <w:sz w:val="22"/>
        </w:rPr>
        <w:t xml:space="preserve">. El concepto de domicilio que contempla el artículo 16 de la Constitución Política de los Estados Unidos Mexicanos, no coincide plenamente con el utilizado en el derecho privado y en especial en los artículos 29, 30 y 31 del Código Civil Federal, como punto de localización de la persona o lugar de ejercicio de derechos y obligaciones. El concepto subyacente a los diversos párrafos del artículo 16 constitucional ha de entenderse de modo amplio y flexible, ya que se trata de defender los ámbitos en los que se desarrolla la vida privada de las personas, debiendo interpretarse -de conformidad con el segundo párrafo del artículo 1o. constitucional- a la luz de los principios que tienden a extender al máximo la protección a la dignidad y a la intimidad de la persona, ya que en el domicilio se concreta la posibilidad de cada individuo de erigir ámbitos privados que excluyen la observación de los demás y de las autoridades del Estado. Así las cosas, el domicilio, en el sentido de la Constitución, es cualquier lugar cerrado en el que pueda transcurrir la vida privada, individual o familiar, aun cuando sea ocupado temporal o accidentalmente. En este sentido, el destino o uso constituye el elemento esencial para la delimitación de los espacios constitucionalmente protegidos, de ahí que resulten irrelevantes la ubicación, la configuración física, su carácter de mueble o inmueble, el tipo de título jurídico que habilita su uso o la intensidad y periodicidad con la que se desarrolle la vida privada en el mismo. Así las cosas, la protección constitucional del domicilio exige que con independencia de la configuración del espacio, sus signos externos revelen la clara voluntad de su titular de excluir dicho espacio y la actividad en él desarrollada del conocimiento e intromisión de terceros. En el mismo sentido, la protección que dispensa el artículo 16 de la Constitución Política de los Estados Unidos Mexicanos ha de extenderse no solamente al domicilio entendido como aquel lugar en el que un individuo fija su residencia indefinidamente, sino a todo espacio cerrado en el que el individuo pernocte y tenga guardadas las cosas pertenecientes a su intimidad, ya sea de manera permanente o esporádica o temporal, como puede ser la habitación de un hotel. Existen personas que por específicas actividades y dedicaciones, pasan la mayor parte de su tiempo en hoteles y no por ello se puede decir que pierden su derecho a la intimidad, pues sería tanto como privarles de un derecho inherente a su personalidad que no puede ser dividido por espacios temporales o locales. Ahora bien, no sobra señalar que las habitaciones de este tipo de establecimientos pueden ser utilizadas para realizar otro tipo de actividades de carácter profesional, mercantil o de otra naturaleza, en cuyo caso </w:t>
      </w:r>
      <w:r>
        <w:rPr>
          <w:rFonts w:ascii="Palatino Linotype" w:hAnsi="Palatino Linotype" w:cs="Arial"/>
          <w:i/>
          <w:sz w:val="22"/>
        </w:rPr>
        <w:lastRenderedPageBreak/>
        <w:t>no se considerarán domicilio de quien las usa para tales fines. En el caso de los domicilios móviles, es importante señalar que -en principio- los automóviles no son domicilios para los efectos aquí expuestos, sin embargo, se puede dar el caso de aquellos habitáculos móviles remolcados, normalmente conocidos como roulottes, campers o autocaravanas, los cuales gozarán de protección constitucional cuando sean aptos para servir de auténtica vivienda.</w:t>
      </w:r>
    </w:p>
    <w:p w:rsidR="00D935F1" w:rsidRDefault="00D935F1">
      <w:pPr>
        <w:ind w:left="709" w:right="814"/>
        <w:jc w:val="both"/>
        <w:rPr>
          <w:rFonts w:ascii="Palatino Linotype" w:hAnsi="Palatino Linotype" w:cs="Arial"/>
          <w:i/>
          <w:sz w:val="22"/>
        </w:rPr>
      </w:pPr>
    </w:p>
    <w:p w:rsidR="00D935F1" w:rsidRDefault="00BF1C6A">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hAnsi="Palatino Linotype" w:cs="Arial"/>
          <w:i/>
          <w:sz w:val="22"/>
        </w:rPr>
        <w:t>Amparo directo en revisión 2420/2011. 11 de abril de 2012. Cinco votos. Ponente: Arturo Zaldívar Lelo de Larrea. Secretario: Javier Mijangos y González.”</w:t>
      </w:r>
    </w:p>
    <w:p w:rsidR="00D935F1" w:rsidRDefault="00BF1C6A">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De esta forma, se observa que el domicilio es información que incide en la vida privada de las personas, así como el correo electrónico y teléfono particular, ya que son únicos y hace identificables a sus titulares, poniéndolos en riesgo e incluso atentan contra su intimidad y seguridad, máxime que en nada abonan a la transparencia y a la rendición de cuentas.</w:t>
      </w:r>
    </w:p>
    <w:p w:rsidR="00D935F1" w:rsidRDefault="00BF1C6A">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En cuanto a la huella dactilar, es considerada un dato personal sensible de carácter biométrico. En esa virtud, el INAI emitió la Guía para el tratamiento 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rsidR="00D935F1" w:rsidRDefault="00BF1C6A">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 xml:space="preserve">Así la Guía en comento determina que las huellas dactilares se forman a partir de la superficie desigual de la piel de los dedos de la mano, en donde se identifican diversas protuberancias y hendiduras conocidas como crestas y valles, las cuales se encuentran dispuestas de modo único. Cuando se registra una huella dactilar en un sistema de </w:t>
      </w:r>
      <w:r>
        <w:rPr>
          <w:rFonts w:ascii="Palatino Linotype" w:eastAsiaTheme="minorEastAsia" w:hAnsi="Palatino Linotype" w:cstheme="minorBidi"/>
          <w:color w:val="000000" w:themeColor="text1"/>
          <w:lang w:val="es-ES_tradnl"/>
        </w:rPr>
        <w:lastRenderedPageBreak/>
        <w:t>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características de cada huella dactilar. Las minucias son, entonces, aquellos puntos de interés en toda huella digital.</w:t>
      </w:r>
    </w:p>
    <w:p w:rsidR="00D935F1" w:rsidRDefault="00BF1C6A">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En ese sentido, podemos concluir que las huellas dactilares refieren y están asociadas a una persona física en lo particular; por lo tanto, dicho dato personal debe ser protegido mediante la elaboración de la versión pública correspondiente, al igual que la firma de particulares y testigos de las actas de entrega-recepción.</w:t>
      </w:r>
    </w:p>
    <w:p w:rsidR="00D935F1" w:rsidRDefault="00BF1C6A">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Por lo que corresponde a la Clave de Elector, ésta consta de 18 caracteres, los primeros seis caracteres representan el nombre del ciudadano tomando la letra inicial y la siguiente consonante del apellido paterno, del materno y del nombre; los siguientes seis números son la fecha de nacimiento; los dos siguientes para la clave de la entidad federativa donde nació; uno para el género; uno más para el digito verificador, y dos para la clave de homonimia la cual permite diferenciar a dos electores cuyos datos produzcan la misma clave en los primeros 16 caracteres.</w:t>
      </w:r>
    </w:p>
    <w:p w:rsidR="00D935F1" w:rsidRDefault="00BF1C6A">
      <w:pPr>
        <w:spacing w:before="240" w:after="240" w:line="360" w:lineRule="auto"/>
        <w:ind w:right="50"/>
        <w:jc w:val="both"/>
        <w:rPr>
          <w:rFonts w:ascii="Palatino Linotype" w:eastAsiaTheme="minorEastAsia" w:hAnsi="Palatino Linotype" w:cstheme="minorBidi"/>
          <w:color w:val="000000" w:themeColor="text1"/>
          <w:lang w:val="es-ES_tradnl"/>
        </w:rPr>
      </w:pPr>
      <w:r>
        <w:rPr>
          <w:rFonts w:ascii="Palatino Linotype" w:eastAsiaTheme="minorEastAsia" w:hAnsi="Palatino Linotype" w:cstheme="minorBidi"/>
          <w:color w:val="000000" w:themeColor="text1"/>
          <w:lang w:val="es-ES_tradnl"/>
        </w:rPr>
        <w:t>Por lo cual, dicha información constituye un dato personal en virtud de estar constreñida en credencial para votar del Instituto Nacional Electoral, misma que se trata de una identificación personal.</w:t>
      </w:r>
    </w:p>
    <w:p w:rsidR="00D935F1" w:rsidRDefault="00BF1C6A">
      <w:pPr>
        <w:spacing w:beforeAutospacing="1" w:afterAutospacing="1" w:line="360" w:lineRule="auto"/>
        <w:jc w:val="both"/>
        <w:rPr>
          <w:rFonts w:ascii="Palatino Linotype" w:hAnsi="Palatino Linotype" w:cs="Arial"/>
        </w:rPr>
      </w:pPr>
      <w:r>
        <w:rPr>
          <w:rFonts w:ascii="Palatino Linotype" w:hAnsi="Palatino Linotype" w:cs="Arial"/>
        </w:rPr>
        <w:lastRenderedPageBreak/>
        <w:t xml:space="preserve">Ahora bien, es menester señalar que, </w:t>
      </w:r>
      <w:r>
        <w:rPr>
          <w:rFonts w:ascii="Palatino Linotype" w:hAnsi="Palatino Linotype" w:cs="Arial"/>
          <w:b/>
        </w:rPr>
        <w:t>la fotografía de particulares es un dato personal</w:t>
      </w:r>
      <w:r>
        <w:rPr>
          <w:rFonts w:ascii="Palatino Linotype" w:hAnsi="Palatino Linotype" w:cs="Arial"/>
        </w:rPr>
        <w:t xml:space="preserve"> y, a su vez, pudiera considerarse un </w:t>
      </w:r>
      <w:r>
        <w:rPr>
          <w:rFonts w:ascii="Palatino Linotype" w:hAnsi="Palatino Linotype" w:cs="Arial"/>
          <w:b/>
        </w:rPr>
        <w:t>dato personal sensible</w:t>
      </w:r>
      <w:r>
        <w:rPr>
          <w:rFonts w:ascii="Palatino Linotype" w:hAnsi="Palatino Linotype" w:cs="Arial"/>
        </w:rPr>
        <w:t xml:space="preserve">, susceptible de ser clasificado como </w:t>
      </w:r>
      <w:r>
        <w:rPr>
          <w:rFonts w:ascii="Palatino Linotype" w:hAnsi="Palatino Linotype"/>
        </w:rPr>
        <w:t>confidencial</w:t>
      </w:r>
      <w:r>
        <w:rPr>
          <w:rFonts w:ascii="Palatino Linotype" w:hAnsi="Palatino Linotype" w:cs="Arial"/>
        </w:rPr>
        <w:t xml:space="preserve">,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D935F1" w:rsidRDefault="00BF1C6A">
      <w:pPr>
        <w:spacing w:beforeAutospacing="1" w:afterAutospacing="1" w:line="360" w:lineRule="auto"/>
        <w:jc w:val="both"/>
        <w:rPr>
          <w:rFonts w:ascii="Palatino Linotype" w:hAnsi="Palatino Linotype" w:cs="Arial"/>
        </w:rPr>
      </w:pPr>
      <w:r>
        <w:rPr>
          <w:rFonts w:ascii="Palatino Linotype" w:hAnsi="Palatino Linotype" w:cs="Arial"/>
        </w:rPr>
        <w:t xml:space="preserve">Por ello, la que suscribe estima que la publicidad de una fotografía sólo se justifica en aquellos casos en los que la misma se reproduce, a fin de identificar a una persona en razón de las </w:t>
      </w:r>
      <w:r>
        <w:rPr>
          <w:rFonts w:ascii="Palatino Linotype" w:hAnsi="Palatino Linotype" w:cs="Arial"/>
          <w:iCs/>
          <w:lang w:val="es-ES"/>
        </w:rPr>
        <w:t>características</w:t>
      </w:r>
      <w:r>
        <w:rPr>
          <w:rFonts w:ascii="Palatino Linotype" w:hAnsi="Palatino Linotype" w:cs="Arial"/>
        </w:rPr>
        <w:t xml:space="preserve"> propias del ejercicio de un cargo, empleo o comisión en el servicio público o </w:t>
      </w:r>
      <w:r>
        <w:rPr>
          <w:rFonts w:ascii="Palatino Linotype" w:hAnsi="Palatino Linotype"/>
        </w:rPr>
        <w:t>bien</w:t>
      </w:r>
      <w:r>
        <w:rPr>
          <w:rFonts w:ascii="Palatino Linotype" w:hAnsi="Palatino Linotype" w:cs="Arial"/>
        </w:rPr>
        <w:t xml:space="preserve"> para ocupar alguno de éstos; sin embargo, al tratarse de particulares, este razonamiento no es aplicable.</w:t>
      </w:r>
    </w:p>
    <w:p w:rsidR="00D935F1" w:rsidRDefault="00BF1C6A">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Por lo tanto, la entrega de documentos en su versión pública debe acompañarse necesariamente del Acuerdo del Comité de Transparencia del </w:t>
      </w:r>
      <w:r>
        <w:rPr>
          <w:rFonts w:ascii="Palatino Linotype" w:hAnsi="Palatino Linotype" w:cs="Arial"/>
          <w:b/>
          <w:color w:val="000000" w:themeColor="text1"/>
          <w:lang w:val="es-ES"/>
        </w:rPr>
        <w:t xml:space="preserve">SUJETO OBLIGADO </w:t>
      </w:r>
      <w:r>
        <w:rPr>
          <w:rFonts w:ascii="Palatino Linotype" w:hAnsi="Palatino Linotype" w:cs="Arial"/>
          <w:color w:val="000000" w:themeColor="text1"/>
          <w:lang w:val="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w:t>
      </w:r>
      <w:r>
        <w:rPr>
          <w:rFonts w:ascii="Palatino Linotype" w:hAnsi="Palatino Linotype" w:cs="Arial"/>
          <w:color w:val="000000" w:themeColor="text1"/>
          <w:lang w:val="es-ES"/>
        </w:rPr>
        <w:lastRenderedPageBreak/>
        <w:t>porque no aparecen en la documentación respectiva, es decir, si no se exponen de manera puntual las razones de ello se estaría violentando desde un inicio el derecho de acceso a la información del solicitante.</w:t>
      </w:r>
    </w:p>
    <w:p w:rsidR="00D935F1" w:rsidRDefault="00D935F1">
      <w:pPr>
        <w:spacing w:line="360" w:lineRule="auto"/>
        <w:jc w:val="both"/>
        <w:rPr>
          <w:rFonts w:ascii="Palatino Linotype" w:hAnsi="Palatino Linotype" w:cs="Arial"/>
          <w:color w:val="000000" w:themeColor="text1"/>
          <w:lang w:val="es-ES"/>
        </w:rPr>
      </w:pPr>
    </w:p>
    <w:p w:rsidR="00D935F1" w:rsidRDefault="00BF1C6A">
      <w:pPr>
        <w:spacing w:line="360" w:lineRule="auto"/>
        <w:jc w:val="both"/>
        <w:rPr>
          <w:rFonts w:ascii="Palatino Linotype" w:hAnsi="Palatino Linotype" w:cs="Arial"/>
          <w:color w:val="000000" w:themeColor="text1"/>
          <w:lang w:val="es-ES"/>
        </w:rPr>
      </w:pPr>
      <w:r>
        <w:rPr>
          <w:rFonts w:ascii="Palatino Linotype" w:hAnsi="Palatino Linotype" w:cs="Arial"/>
          <w:color w:val="000000" w:themeColor="text1"/>
          <w:lang w:val="es-ES"/>
        </w:rPr>
        <w:t xml:space="preserve">En otro orden de ideas, es importante resaltar que de la información remitida en respuestas por </w:t>
      </w:r>
      <w:r>
        <w:rPr>
          <w:rFonts w:ascii="Palatino Linotype" w:hAnsi="Palatino Linotype" w:cs="Arial"/>
          <w:b/>
          <w:color w:val="000000" w:themeColor="text1"/>
          <w:lang w:val="es-ES"/>
        </w:rPr>
        <w:t>EL SUJETO OBLIGADO</w:t>
      </w:r>
      <w:r>
        <w:rPr>
          <w:rFonts w:ascii="Palatino Linotype" w:hAnsi="Palatino Linotype" w:cs="Arial"/>
          <w:color w:val="000000" w:themeColor="text1"/>
          <w:lang w:val="es-ES"/>
        </w:rPr>
        <w:t xml:space="preserve">, algunas fojas se encuentran ilegibles, es decir, es difícil dilucidar su contenido, lo que deja en estado de incertidumbre al particular, al no conocer en su totalidad la información solicitada, por ello, </w:t>
      </w:r>
      <w:r>
        <w:rPr>
          <w:rFonts w:ascii="Palatino Linotype" w:hAnsi="Palatino Linotype" w:cs="Arial"/>
          <w:b/>
          <w:color w:val="000000" w:themeColor="text1"/>
          <w:lang w:val="es-ES"/>
        </w:rPr>
        <w:t>EL SUJETO OBLIGADO</w:t>
      </w:r>
      <w:r>
        <w:rPr>
          <w:rFonts w:ascii="Palatino Linotype" w:hAnsi="Palatino Linotype" w:cs="Arial"/>
          <w:color w:val="000000" w:themeColor="text1"/>
          <w:lang w:val="es-ES"/>
        </w:rPr>
        <w:t>, deberá dar respuesta a lo requerido por el particular de forma, clara, precisa y legible; sirven de manera ilustrativa las siguientes fojas:</w:t>
      </w:r>
    </w:p>
    <w:p w:rsidR="00D935F1" w:rsidRDefault="00D935F1">
      <w:pPr>
        <w:spacing w:line="360" w:lineRule="auto"/>
        <w:jc w:val="both"/>
        <w:rPr>
          <w:rFonts w:ascii="Palatino Linotype" w:hAnsi="Palatino Linotype" w:cs="Arial"/>
        </w:rPr>
      </w:pPr>
    </w:p>
    <w:p w:rsidR="00D935F1" w:rsidRDefault="00BF1C6A">
      <w:pPr>
        <w:spacing w:line="360" w:lineRule="auto"/>
        <w:jc w:val="both"/>
        <w:rPr>
          <w:rFonts w:ascii="Palatino Linotype" w:hAnsi="Palatino Linotype" w:cs="Arial"/>
        </w:rPr>
      </w:pPr>
      <w:r>
        <w:rPr>
          <w:noProof/>
          <w:lang w:eastAsia="es-MX"/>
        </w:rPr>
        <w:drawing>
          <wp:inline distT="0" distB="0" distL="0" distR="0">
            <wp:extent cx="5864860" cy="2324735"/>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pic:cNvPicPr>
                      <a:picLocks noChangeAspect="1" noChangeArrowheads="1"/>
                    </pic:cNvPicPr>
                  </pic:nvPicPr>
                  <pic:blipFill>
                    <a:blip r:embed="rId12"/>
                    <a:srcRect l="2019" t="8730" r="8788" b="20719"/>
                    <a:stretch>
                      <a:fillRect/>
                    </a:stretch>
                  </pic:blipFill>
                  <pic:spPr bwMode="auto">
                    <a:xfrm>
                      <a:off x="0" y="0"/>
                      <a:ext cx="5864860" cy="2324735"/>
                    </a:xfrm>
                    <a:prstGeom prst="rect">
                      <a:avLst/>
                    </a:prstGeom>
                  </pic:spPr>
                </pic:pic>
              </a:graphicData>
            </a:graphic>
          </wp:inline>
        </w:drawing>
      </w:r>
    </w:p>
    <w:p w:rsidR="00D935F1" w:rsidRDefault="00D935F1">
      <w:pPr>
        <w:spacing w:line="360" w:lineRule="auto"/>
        <w:jc w:val="both"/>
        <w:rPr>
          <w:rFonts w:ascii="Palatino Linotype" w:hAnsi="Palatino Linotype" w:cs="Arial"/>
        </w:rPr>
      </w:pPr>
    </w:p>
    <w:p w:rsidR="00D935F1" w:rsidRDefault="00BF1C6A">
      <w:pPr>
        <w:spacing w:line="360" w:lineRule="auto"/>
        <w:jc w:val="both"/>
        <w:rPr>
          <w:rFonts w:ascii="Palatino Linotype" w:hAnsi="Palatino Linotype"/>
        </w:rPr>
      </w:pPr>
      <w:r>
        <w:rPr>
          <w:noProof/>
          <w:lang w:eastAsia="es-MX"/>
        </w:rPr>
        <w:lastRenderedPageBreak/>
        <w:drawing>
          <wp:inline distT="0" distB="0" distL="0" distR="0">
            <wp:extent cx="5788025" cy="3316605"/>
            <wp:effectExtent l="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pic:cNvPicPr>
                      <a:picLocks noChangeAspect="1" noChangeArrowheads="1"/>
                    </pic:cNvPicPr>
                  </pic:nvPicPr>
                  <pic:blipFill>
                    <a:blip r:embed="rId13"/>
                    <a:srcRect l="1849" t="9626" r="22408" b="13991"/>
                    <a:stretch>
                      <a:fillRect/>
                    </a:stretch>
                  </pic:blipFill>
                  <pic:spPr bwMode="auto">
                    <a:xfrm>
                      <a:off x="0" y="0"/>
                      <a:ext cx="5788025" cy="3316605"/>
                    </a:xfrm>
                    <a:prstGeom prst="rect">
                      <a:avLst/>
                    </a:prstGeom>
                  </pic:spPr>
                </pic:pic>
              </a:graphicData>
            </a:graphic>
          </wp:inline>
        </w:drawing>
      </w:r>
    </w:p>
    <w:p w:rsidR="00D935F1" w:rsidRDefault="00D935F1">
      <w:pPr>
        <w:spacing w:before="240" w:after="240" w:line="360" w:lineRule="auto"/>
        <w:jc w:val="both"/>
        <w:rPr>
          <w:rFonts w:ascii="Palatino Linotype" w:hAnsi="Palatino Linotype" w:cs="Arial"/>
          <w:lang w:val="es-ES"/>
        </w:rPr>
      </w:pPr>
    </w:p>
    <w:p w:rsidR="00D935F1" w:rsidRDefault="00BF1C6A">
      <w:pPr>
        <w:spacing w:before="240" w:after="240" w:line="360" w:lineRule="auto"/>
        <w:jc w:val="both"/>
        <w:rPr>
          <w:rFonts w:ascii="Palatino Linotype" w:hAnsi="Palatino Linotype" w:cs="Arial"/>
          <w:lang w:val="es-ES"/>
        </w:rPr>
      </w:pPr>
      <w:r>
        <w:rPr>
          <w:rFonts w:ascii="Palatino Linotype" w:hAnsi="Palatino Linotype" w:cs="Arial"/>
          <w:lang w:val="es-ES"/>
        </w:rPr>
        <w:t xml:space="preserve">Antes de concluir, y ya que la particular solicitó la información correspondiente a los años 2014-2020, es de recordar que </w:t>
      </w:r>
      <w:r>
        <w:rPr>
          <w:rFonts w:ascii="Palatino Linotype" w:hAnsi="Palatino Linotype" w:cs="Arial"/>
          <w:color w:val="222222"/>
          <w:lang w:val="es-ES" w:eastAsia="es-MX"/>
        </w:rPr>
        <w:t>la Ley de Documentos Administrativos e Históricos del Estado de México, la cual refiere en el artículo 8, que los documentos de contenido administrativo de importancia, serán conservados por 20 años y si el documento se vincula con las funciones de dos o más sujetos públicos</w:t>
      </w:r>
      <w:r>
        <w:rPr>
          <w:rFonts w:ascii="Palatino Linotype" w:hAnsi="Palatino Linotype" w:cs="Arial"/>
          <w:b/>
          <w:color w:val="222222"/>
          <w:lang w:val="es-ES" w:eastAsia="es-MX"/>
        </w:rPr>
        <w:t>,</w:t>
      </w:r>
      <w:r>
        <w:rPr>
          <w:rFonts w:ascii="Palatino Linotype" w:hAnsi="Palatino Linotype" w:cs="Arial"/>
          <w:color w:val="222222"/>
          <w:lang w:val="es-ES" w:eastAsia="es-MX"/>
        </w:rPr>
        <w:t xml:space="preserve"> deberá transmitirse la información correspondiente, para el efecto, del proceso o vaciado en otros documentos, refiriendo expresamente que ningún documento podrá ser destruido, a menos, que, por escrito, lo determine la instancia facultada para ese efecto, en términos de esa misma Ley</w:t>
      </w:r>
      <w:r>
        <w:rPr>
          <w:rFonts w:ascii="Palatino Linotype" w:eastAsia="Calibri" w:hAnsi="Palatino Linotype" w:cs="Arial"/>
          <w:lang w:val="es-ES"/>
        </w:rPr>
        <w:t>, artículo que se transcribe a continuación:</w:t>
      </w:r>
    </w:p>
    <w:p w:rsidR="00D935F1" w:rsidRDefault="00BF1C6A">
      <w:pPr>
        <w:spacing w:before="240" w:after="360"/>
        <w:ind w:left="851" w:right="900"/>
        <w:jc w:val="both"/>
        <w:rPr>
          <w:rFonts w:ascii="Palatino Linotype" w:eastAsia="Calibri" w:hAnsi="Palatino Linotype" w:cs="Arial"/>
          <w:i/>
          <w:sz w:val="22"/>
          <w:szCs w:val="20"/>
          <w:lang w:val="es-ES" w:eastAsia="en-US"/>
        </w:rPr>
      </w:pPr>
      <w:r>
        <w:rPr>
          <w:rFonts w:ascii="Palatino Linotype" w:eastAsia="Calibri" w:hAnsi="Palatino Linotype" w:cs="Arial"/>
          <w:i/>
          <w:sz w:val="22"/>
          <w:szCs w:val="20"/>
          <w:lang w:eastAsia="en-US"/>
        </w:rPr>
        <w:t>“</w:t>
      </w:r>
      <w:r>
        <w:rPr>
          <w:rFonts w:ascii="Palatino Linotype" w:eastAsia="Calibri" w:hAnsi="Palatino Linotype" w:cs="Arial"/>
          <w:b/>
          <w:i/>
          <w:sz w:val="22"/>
          <w:szCs w:val="20"/>
          <w:lang w:val="es-ES" w:eastAsia="en-US"/>
        </w:rPr>
        <w:t>Artículo 8.-</w:t>
      </w:r>
      <w:r>
        <w:rPr>
          <w:rFonts w:ascii="Palatino Linotype" w:eastAsia="Calibri" w:hAnsi="Palatino Linotype" w:cs="Arial"/>
          <w:i/>
          <w:sz w:val="22"/>
          <w:szCs w:val="20"/>
          <w:lang w:val="es-ES" w:eastAsia="en-US"/>
        </w:rPr>
        <w:t xml:space="preserve"> Los documentos de contenido administrativo de importancia, serán conservados por 20 años, y si el documento se vincula con las funciones de 2 ó más </w:t>
      </w:r>
      <w:r>
        <w:rPr>
          <w:rFonts w:ascii="Palatino Linotype" w:eastAsia="Calibri" w:hAnsi="Palatino Linotype" w:cs="Arial"/>
          <w:i/>
          <w:sz w:val="22"/>
          <w:szCs w:val="20"/>
          <w:lang w:val="es-ES" w:eastAsia="en-US"/>
        </w:rPr>
        <w:lastRenderedPageBreak/>
        <w:t xml:space="preserve">sujetos públicos, deberá transmitirse la información correspondiente, para el efecto, del proceso o vaciado en otros documentos. </w:t>
      </w:r>
    </w:p>
    <w:p w:rsidR="00D935F1" w:rsidRDefault="00BF1C6A">
      <w:pPr>
        <w:spacing w:before="240" w:after="240"/>
        <w:ind w:left="851" w:right="900"/>
        <w:jc w:val="both"/>
        <w:rPr>
          <w:rFonts w:ascii="Palatino Linotype" w:hAnsi="Palatino Linotype" w:cs="Arial"/>
          <w:lang w:val="es-ES"/>
        </w:rPr>
      </w:pPr>
      <w:r>
        <w:rPr>
          <w:rFonts w:ascii="Palatino Linotype" w:eastAsia="Calibri" w:hAnsi="Palatino Linotype" w:cs="Arial"/>
          <w:i/>
          <w:sz w:val="22"/>
          <w:szCs w:val="20"/>
          <w:lang w:val="es-ES" w:eastAsia="en-US"/>
        </w:rPr>
        <w:t>Ningún documento podrá ser destruido, a menos, que, por escrito, lo determine la instancia facultada para ese efecto, en términos de la presente Ley” (Sic)</w:t>
      </w:r>
      <w:r>
        <w:rPr>
          <w:rFonts w:ascii="Palatino Linotype" w:hAnsi="Palatino Linotype" w:cs="Arial"/>
          <w:lang w:val="es-ES"/>
        </w:rPr>
        <w:t xml:space="preserve">  </w:t>
      </w:r>
    </w:p>
    <w:p w:rsidR="00D935F1" w:rsidRDefault="00BF1C6A">
      <w:pPr>
        <w:spacing w:before="240" w:after="240" w:line="360" w:lineRule="auto"/>
        <w:ind w:right="49"/>
        <w:jc w:val="both"/>
        <w:rPr>
          <w:rFonts w:ascii="Palatino Linotype" w:hAnsi="Palatino Linotype" w:cs="Arial"/>
          <w:lang w:val="es-ES"/>
        </w:rPr>
      </w:pPr>
      <w:r>
        <w:rPr>
          <w:rFonts w:ascii="Palatino Linotype" w:hAnsi="Palatino Linotype" w:cs="Arial"/>
          <w:color w:val="000000"/>
          <w:lang w:val="es-ES"/>
        </w:rPr>
        <w:t xml:space="preserve">Aunado a ello el artículo 36 de los </w:t>
      </w:r>
      <w:r>
        <w:rPr>
          <w:rFonts w:ascii="Palatino Linotype" w:hAnsi="Palatino Linotype" w:cs="Arial"/>
          <w:i/>
          <w:color w:val="000000"/>
          <w:lang w:val="es-ES"/>
        </w:rPr>
        <w:t>Lineamientos para la administración de Documentos en el Estado de México</w:t>
      </w:r>
      <w:r>
        <w:rPr>
          <w:rFonts w:ascii="Palatino Linotype" w:hAnsi="Palatino Linotype" w:cs="Arial"/>
          <w:color w:val="000000"/>
          <w:lang w:val="es-ES"/>
        </w:rPr>
        <w:t xml:space="preserve"> establecen que</w:t>
      </w:r>
      <w:r>
        <w:rPr>
          <w:rFonts w:ascii="Palatino Linotype" w:hAnsi="Palatino Linotype" w:cs="Arial"/>
          <w:i/>
          <w:color w:val="000000"/>
          <w:lang w:val="es-ES"/>
        </w:rPr>
        <w:t xml:space="preserve"> </w:t>
      </w:r>
      <w:r>
        <w:rPr>
          <w:rFonts w:ascii="Palatino Linotype" w:hAnsi="Palatino Linotype" w:cs="Arial"/>
          <w:color w:val="000000"/>
          <w:lang w:val="es-ES"/>
        </w:rPr>
        <w:t xml:space="preserve">los </w:t>
      </w:r>
      <w:r>
        <w:rPr>
          <w:rFonts w:ascii="Palatino Linotype" w:eastAsia="MS Mincho" w:hAnsi="Palatino Linotype"/>
          <w:color w:val="000000"/>
          <w:lang w:val="es-ES"/>
        </w:rPr>
        <w:t xml:space="preserve">Sujetos Obligados serán responsables de </w:t>
      </w:r>
      <w:r>
        <w:rPr>
          <w:rFonts w:ascii="Palatino Linotype" w:eastAsia="MS Mincho" w:hAnsi="Palatino Linotype"/>
          <w:i/>
          <w:color w:val="000000"/>
          <w:lang w:val="es-ES"/>
        </w:rPr>
        <w:t>crear, organizar, preservar y controlar sus archivos</w:t>
      </w:r>
      <w:r>
        <w:rPr>
          <w:rFonts w:ascii="Palatino Linotype" w:eastAsia="MS Mincho" w:hAnsi="Palatino Linotype"/>
          <w:color w:val="000000"/>
          <w:lang w:val="es-ES"/>
        </w:rPr>
        <w:t>, conforme al ciclo de vida de los documentos y los principios de procedencia y de orden original, así como la normatividad jurídica, administrativa y técnica en materia archivística vigente, y garantizarán que sus archivos de trámite, concentración e históricos se mantengan organizados y disponibles para permitir y facilitar un acceso expedito a la documentación que resguarden.</w:t>
      </w:r>
    </w:p>
    <w:p w:rsidR="00D935F1" w:rsidRDefault="00BF1C6A">
      <w:pPr>
        <w:spacing w:before="240" w:after="240" w:line="360" w:lineRule="auto"/>
        <w:jc w:val="both"/>
        <w:rPr>
          <w:rFonts w:ascii="Palatino Linotype" w:eastAsia="MS Mincho" w:hAnsi="Palatino Linotype"/>
          <w:lang w:val="es-ES"/>
        </w:rPr>
      </w:pPr>
      <w:r>
        <w:rPr>
          <w:rFonts w:ascii="Palatino Linotype" w:eastAsia="MS Mincho" w:hAnsi="Palatino Linotype"/>
          <w:lang w:val="es-ES"/>
        </w:rPr>
        <w:t xml:space="preserve">Para tal efecto, es de suma importancia destacar que de acuerdo a los artículos 61, 63, 64, 68 y 74 de los </w:t>
      </w:r>
      <w:r>
        <w:rPr>
          <w:rFonts w:ascii="Palatino Linotype" w:hAnsi="Palatino Linotype" w:cs="Arial"/>
          <w:color w:val="000000"/>
          <w:lang w:val="es-ES"/>
        </w:rPr>
        <w:t xml:space="preserve">Lineamientos antes </w:t>
      </w:r>
      <w:r>
        <w:rPr>
          <w:rFonts w:ascii="Palatino Linotype" w:eastAsia="MS Mincho" w:hAnsi="Palatino Linotype"/>
          <w:lang w:val="es-ES"/>
        </w:rPr>
        <w:t xml:space="preserve">citados, los archivos integrantes del sistema se clasificarán en </w:t>
      </w:r>
      <w:r>
        <w:rPr>
          <w:rFonts w:ascii="Palatino Linotype" w:eastAsia="MS Mincho" w:hAnsi="Palatino Linotype"/>
          <w:i/>
          <w:lang w:val="es-ES"/>
        </w:rPr>
        <w:t>Archivos de trámite o de Oficina, Archivos de concentración o Generales y Archivos Históricos</w:t>
      </w:r>
      <w:r>
        <w:rPr>
          <w:rFonts w:ascii="Palatino Linotype" w:eastAsia="MS Mincho" w:hAnsi="Palatino Linotype"/>
          <w:lang w:val="es-ES"/>
        </w:rPr>
        <w:t xml:space="preserve">, atendiendo al ciclo de vida de los documentos de archivo; que en cada unidad administrativa de los sujetos obligados se integrará un </w:t>
      </w:r>
      <w:r>
        <w:rPr>
          <w:rFonts w:ascii="Palatino Linotype" w:eastAsia="MS Mincho" w:hAnsi="Palatino Linotype"/>
          <w:i/>
          <w:lang w:val="es-ES"/>
        </w:rPr>
        <w:t>archivo de trámite</w:t>
      </w:r>
      <w:r>
        <w:rPr>
          <w:rFonts w:ascii="Palatino Linotype" w:eastAsia="MS Mincho" w:hAnsi="Palatino Linotype"/>
          <w:lang w:val="es-ES"/>
        </w:rPr>
        <w:t xml:space="preserve">, que será la unidad archivística responsable de la gestión de los documentos de uso cotidiano y necesario para el ejercicio de las atribuciones del órgano productor, un </w:t>
      </w:r>
      <w:r>
        <w:rPr>
          <w:rFonts w:ascii="Palatino Linotype" w:eastAsia="MS Mincho" w:hAnsi="Palatino Linotype"/>
          <w:i/>
          <w:lang w:val="es-ES"/>
        </w:rPr>
        <w:t>archivo de concentración</w:t>
      </w:r>
      <w:r>
        <w:rPr>
          <w:rFonts w:ascii="Palatino Linotype" w:eastAsia="MS Mincho" w:hAnsi="Palatino Linotype"/>
          <w:lang w:val="es-ES"/>
        </w:rPr>
        <w:t xml:space="preserve"> que será la unidad archivística responsable de la gestión de los documentos de uso esporádico que deben mantenerse por razones administrativas, legales, fiscales o contables y en cada uno de los poderes del Estado y municipios se establecerá un </w:t>
      </w:r>
      <w:r>
        <w:rPr>
          <w:rFonts w:ascii="Palatino Linotype" w:eastAsia="MS Mincho" w:hAnsi="Palatino Linotype"/>
          <w:i/>
          <w:lang w:val="es-ES"/>
        </w:rPr>
        <w:t>archivo histórico</w:t>
      </w:r>
      <w:r>
        <w:rPr>
          <w:rFonts w:ascii="Palatino Linotype" w:eastAsia="MS Mincho" w:hAnsi="Palatino Linotype"/>
          <w:lang w:val="es-ES"/>
        </w:rPr>
        <w:t xml:space="preserve"> el cual se constituirá como fuente de acceso público, encargado de divulgar la memoria documental institucional, estimular el uso y </w:t>
      </w:r>
      <w:r>
        <w:rPr>
          <w:rFonts w:ascii="Palatino Linotype" w:eastAsia="MS Mincho" w:hAnsi="Palatino Linotype"/>
          <w:lang w:val="es-ES"/>
        </w:rPr>
        <w:lastRenderedPageBreak/>
        <w:t>aprovechamiento social de la documentación y difundir su acervo e instrumentos de consulta.</w:t>
      </w:r>
    </w:p>
    <w:p w:rsidR="00D935F1" w:rsidRDefault="00BF1C6A">
      <w:pPr>
        <w:spacing w:before="240" w:after="240" w:line="360" w:lineRule="auto"/>
        <w:jc w:val="both"/>
        <w:rPr>
          <w:rFonts w:ascii="Palatino Linotype" w:hAnsi="Palatino Linotype"/>
          <w:lang w:val="es-ES"/>
        </w:rPr>
      </w:pPr>
      <w:r>
        <w:rPr>
          <w:rFonts w:ascii="Palatino Linotype" w:eastAsia="MS Mincho" w:hAnsi="Palatino Linotype"/>
          <w:lang w:val="es-ES"/>
        </w:rPr>
        <w:t xml:space="preserve">En el mismo sentido, </w:t>
      </w:r>
      <w:r>
        <w:rPr>
          <w:rFonts w:ascii="Palatino Linotype" w:hAnsi="Palatino Linotype"/>
          <w:lang w:val="es-ES"/>
        </w:rPr>
        <w:t xml:space="preserve">los </w:t>
      </w:r>
      <w:r>
        <w:rPr>
          <w:rFonts w:ascii="Palatino Linotype" w:hAnsi="Palatino Linotype"/>
          <w:i/>
          <w:lang w:val="es-ES"/>
        </w:rPr>
        <w:t>Lineamientos para la valoración, selección y baja de los documentos, expedientes y series de trámite concluido en los archivos del Estado de México</w:t>
      </w:r>
      <w:r>
        <w:rPr>
          <w:rFonts w:ascii="Palatino Linotype" w:hAnsi="Palatino Linotype"/>
          <w:lang w:val="es-ES"/>
        </w:rPr>
        <w:t>, disponen lo que debe entenderse por archivo de trámite, archivo de concentración y archivo histórico, refiriendo que todos se tratan del conjunto de expedientes, con las diferencias de que tratándose del primero de los mencionados su consulta es frecuente y necesaria para una adecuada toma de decisiones y despacho oportuno de los asuntos propios de la unidad administrativa de que se trate; por su parte el segundo de los archivos referidos lo identifica una consulta esporádica y se trata de expedientes que han sido transferidos por un archivo de trámite para su conservación precaucional mientras concluye su utilidad, permaneciendo ahí hasta su destino final; y finalmente el archivo histórico se trata de aquellos expedientes conservados de forma permanente por el valor científico cultural de su información, constituyendo parte del Patrimonio Documental del Estado</w:t>
      </w:r>
      <w:r>
        <w:rPr>
          <w:rStyle w:val="Ancladenotaalpie"/>
          <w:rFonts w:ascii="Palatino Linotype" w:hAnsi="Palatino Linotype"/>
          <w:lang w:val="es-ES"/>
        </w:rPr>
        <w:footnoteReference w:id="2"/>
      </w:r>
      <w:r>
        <w:rPr>
          <w:rFonts w:ascii="Palatino Linotype" w:hAnsi="Palatino Linotype"/>
          <w:lang w:val="es-ES"/>
        </w:rPr>
        <w:t>.</w:t>
      </w:r>
    </w:p>
    <w:p w:rsidR="00D935F1" w:rsidRDefault="00BF1C6A">
      <w:pPr>
        <w:spacing w:before="240" w:after="240" w:line="360" w:lineRule="auto"/>
        <w:jc w:val="both"/>
        <w:rPr>
          <w:rFonts w:ascii="Palatino Linotype" w:hAnsi="Palatino Linotype"/>
          <w:lang w:val="es-ES"/>
        </w:rPr>
      </w:pPr>
      <w:r>
        <w:rPr>
          <w:rFonts w:ascii="Palatino Linotype" w:hAnsi="Palatino Linotype"/>
          <w:lang w:val="es-ES"/>
        </w:rPr>
        <w:t xml:space="preserve">En otras palabras, se puede advertir que son tres tipos de archivos por los que puede pasar un documento o expediente de las unidades administrativas de los poderes del Estado y sus Municipios, así como de sus Tribunales Administrativos y órganos auxiliares, siendo el primero de ellos el archivo de trámite, cuyos expedientes después del tiempo determinado por los mismos Lineamientos pasaran al archivo de </w:t>
      </w:r>
      <w:r>
        <w:rPr>
          <w:rFonts w:ascii="Palatino Linotype" w:hAnsi="Palatino Linotype"/>
          <w:lang w:val="es-ES"/>
        </w:rPr>
        <w:lastRenderedPageBreak/>
        <w:t>concentración y después de éste en su caso por el valor que tengan, pasarán al archivo histórico, o de lo contrario serán destruidos.</w:t>
      </w:r>
    </w:p>
    <w:p w:rsidR="00D935F1" w:rsidRDefault="00BF1C6A">
      <w:pPr>
        <w:spacing w:before="240" w:after="240" w:line="360" w:lineRule="auto"/>
        <w:jc w:val="both"/>
        <w:rPr>
          <w:rFonts w:ascii="Palatino Linotype" w:hAnsi="Palatino Linotype"/>
          <w:lang w:val="es-ES"/>
        </w:rPr>
      </w:pPr>
      <w:r>
        <w:rPr>
          <w:rFonts w:ascii="Palatino Linotype" w:hAnsi="Palatino Linotype"/>
          <w:lang w:val="es-ES"/>
        </w:rPr>
        <w:t>Así, los documentos y expedientes de las unidades administrativas, deben mantenerse íntegros por un periodo de dos años en los archivos de trámite; después de ese plazo se podrá proceder a su selección y transferencia al archivo de concentración</w:t>
      </w:r>
      <w:r>
        <w:rPr>
          <w:rStyle w:val="Ancladenotaalpie"/>
          <w:rFonts w:ascii="Palatino Linotype" w:hAnsi="Palatino Linotype"/>
          <w:lang w:val="es-ES"/>
        </w:rPr>
        <w:footnoteReference w:id="3"/>
      </w:r>
      <w:r>
        <w:rPr>
          <w:rFonts w:ascii="Palatino Linotype" w:hAnsi="Palatino Linotype"/>
          <w:lang w:val="es-ES"/>
        </w:rPr>
        <w:t>, de lo que se denota que en dicho archivo se conserva información de por lo menos hasta dos años de antigüedad.</w:t>
      </w:r>
    </w:p>
    <w:p w:rsidR="00D935F1" w:rsidRDefault="00BF1C6A">
      <w:pPr>
        <w:spacing w:before="240" w:after="240" w:line="360" w:lineRule="auto"/>
        <w:jc w:val="both"/>
        <w:rPr>
          <w:rFonts w:ascii="Palatino Linotype" w:hAnsi="Palatino Linotype" w:cs="Arial"/>
          <w:lang w:val="es-ES"/>
        </w:rPr>
      </w:pPr>
      <w:r>
        <w:rPr>
          <w:rFonts w:ascii="Palatino Linotype" w:hAnsi="Palatino Linotype"/>
          <w:lang w:val="es-ES"/>
        </w:rPr>
        <w:t xml:space="preserve">Después, dentro del archivo de concentración de cada unidad administrativa, igualmente se deberá conservar su documentación y expedientes por un determinado periodo de tiempo según la materia de que se trate la información como se preceptúa en el artículo 27 de los </w:t>
      </w:r>
      <w:r>
        <w:rPr>
          <w:rFonts w:ascii="Palatino Linotype" w:hAnsi="Palatino Linotype"/>
          <w:i/>
          <w:lang w:val="es-ES"/>
        </w:rPr>
        <w:t xml:space="preserve">Lineamientos </w:t>
      </w:r>
      <w:r>
        <w:rPr>
          <w:rFonts w:ascii="Palatino Linotype" w:hAnsi="Palatino Linotype" w:cs="Arial"/>
          <w:i/>
          <w:lang w:val="es-ES"/>
        </w:rPr>
        <w:t>para la valoración, selección y baja de los documentos, expedientes y series de trámite concluido en los archivos del Estado de México</w:t>
      </w:r>
      <w:r>
        <w:rPr>
          <w:rFonts w:ascii="Palatino Linotype" w:hAnsi="Palatino Linotype" w:cs="Arial"/>
          <w:lang w:val="es-ES"/>
        </w:rPr>
        <w:t xml:space="preserve">, cuyo sentido literal es el siguiente: </w:t>
      </w:r>
    </w:p>
    <w:p w:rsidR="00D935F1" w:rsidRDefault="00BF1C6A">
      <w:pPr>
        <w:spacing w:before="240" w:after="240"/>
        <w:ind w:left="851" w:right="900"/>
        <w:jc w:val="both"/>
        <w:rPr>
          <w:rFonts w:ascii="Palatino Linotype" w:hAnsi="Palatino Linotype"/>
          <w:i/>
          <w:sz w:val="22"/>
          <w:szCs w:val="22"/>
          <w:lang w:val="es-ES"/>
        </w:rPr>
      </w:pPr>
      <w:r>
        <w:rPr>
          <w:rFonts w:ascii="Palatino Linotype" w:hAnsi="Palatino Linotype"/>
          <w:i/>
          <w:sz w:val="22"/>
          <w:szCs w:val="22"/>
          <w:lang w:val="es-ES"/>
        </w:rPr>
        <w:t>“</w:t>
      </w:r>
      <w:r>
        <w:rPr>
          <w:rFonts w:ascii="Palatino Linotype" w:hAnsi="Palatino Linotype"/>
          <w:b/>
          <w:i/>
          <w:sz w:val="22"/>
          <w:szCs w:val="22"/>
          <w:lang w:val="es-ES"/>
        </w:rPr>
        <w:t>Artículo 27</w:t>
      </w:r>
      <w:r>
        <w:rPr>
          <w:rFonts w:ascii="Palatino Linotype" w:hAnsi="Palatino Linotype"/>
          <w:i/>
          <w:sz w:val="22"/>
          <w:szCs w:val="22"/>
          <w:lang w:val="es-ES"/>
        </w:rPr>
        <w:t xml:space="preserve">.- </w:t>
      </w:r>
      <w:r>
        <w:rPr>
          <w:rFonts w:ascii="Palatino Linotype" w:hAnsi="Palatino Linotype"/>
          <w:b/>
          <w:i/>
          <w:sz w:val="22"/>
          <w:szCs w:val="22"/>
          <w:lang w:val="es-ES"/>
        </w:rPr>
        <w:t>Las Unidades Administrativas al realizar la transferencia de los expedientes de trámite concluido, señalarán en el Inventario correspondiente los plazos de conservación precaucional de éstos en el Archivo de Concentración</w:t>
      </w:r>
      <w:r>
        <w:rPr>
          <w:rFonts w:ascii="Palatino Linotype" w:hAnsi="Palatino Linotype"/>
          <w:i/>
          <w:sz w:val="22"/>
          <w:szCs w:val="22"/>
          <w:lang w:val="es-ES"/>
        </w:rPr>
        <w:t xml:space="preserve">. Para determinar el plazo de conservación precaucional deberán considerar el marco legal o administrativo bajo el cual se produjeron o recibieron los documentos y los siguientes períodos: </w:t>
      </w:r>
    </w:p>
    <w:p w:rsidR="00D935F1" w:rsidRDefault="00BF1C6A">
      <w:pPr>
        <w:spacing w:before="240" w:after="240"/>
        <w:ind w:left="851" w:right="900"/>
        <w:jc w:val="both"/>
        <w:rPr>
          <w:rFonts w:ascii="Palatino Linotype" w:hAnsi="Palatino Linotype"/>
          <w:i/>
          <w:sz w:val="22"/>
          <w:szCs w:val="22"/>
          <w:lang w:val="es-ES"/>
        </w:rPr>
      </w:pPr>
      <w:r>
        <w:rPr>
          <w:rFonts w:ascii="Palatino Linotype" w:hAnsi="Palatino Linotype"/>
          <w:i/>
          <w:sz w:val="22"/>
          <w:szCs w:val="22"/>
          <w:lang w:val="es-ES"/>
        </w:rPr>
        <w:t xml:space="preserve">I. </w:t>
      </w:r>
      <w:r>
        <w:rPr>
          <w:rFonts w:ascii="Palatino Linotype" w:hAnsi="Palatino Linotype"/>
          <w:b/>
          <w:i/>
          <w:sz w:val="22"/>
          <w:szCs w:val="22"/>
          <w:lang w:val="es-ES"/>
        </w:rPr>
        <w:t>6 años</w:t>
      </w:r>
      <w:r>
        <w:rPr>
          <w:rFonts w:ascii="Palatino Linotype" w:hAnsi="Palatino Linotype"/>
          <w:i/>
          <w:sz w:val="22"/>
          <w:szCs w:val="22"/>
          <w:lang w:val="es-ES"/>
        </w:rPr>
        <w:t xml:space="preserve"> para expedientes con información administrativa; </w:t>
      </w:r>
    </w:p>
    <w:p w:rsidR="00D935F1" w:rsidRDefault="00BF1C6A">
      <w:pPr>
        <w:spacing w:before="240" w:after="240"/>
        <w:ind w:left="851" w:right="900"/>
        <w:jc w:val="both"/>
        <w:rPr>
          <w:rFonts w:ascii="Palatino Linotype" w:hAnsi="Palatino Linotype"/>
          <w:i/>
          <w:sz w:val="22"/>
          <w:szCs w:val="22"/>
          <w:lang w:val="es-ES"/>
        </w:rPr>
      </w:pPr>
      <w:r>
        <w:rPr>
          <w:rFonts w:ascii="Palatino Linotype" w:hAnsi="Palatino Linotype"/>
          <w:i/>
          <w:sz w:val="22"/>
          <w:szCs w:val="22"/>
          <w:lang w:val="es-ES"/>
        </w:rPr>
        <w:t xml:space="preserve">II. </w:t>
      </w:r>
      <w:r>
        <w:rPr>
          <w:rFonts w:ascii="Palatino Linotype" w:hAnsi="Palatino Linotype"/>
          <w:b/>
          <w:i/>
          <w:sz w:val="22"/>
          <w:szCs w:val="22"/>
          <w:lang w:val="es-ES"/>
        </w:rPr>
        <w:t>6 años</w:t>
      </w:r>
      <w:r>
        <w:rPr>
          <w:rFonts w:ascii="Palatino Linotype" w:hAnsi="Palatino Linotype"/>
          <w:i/>
          <w:sz w:val="22"/>
          <w:szCs w:val="22"/>
          <w:lang w:val="es-ES"/>
        </w:rPr>
        <w:t xml:space="preserve"> como mínimo para expedientes con información fiscal y presupuestal contable; </w:t>
      </w:r>
    </w:p>
    <w:p w:rsidR="00D935F1" w:rsidRDefault="00BF1C6A">
      <w:pPr>
        <w:spacing w:before="240" w:after="240"/>
        <w:ind w:left="851" w:right="900"/>
        <w:jc w:val="both"/>
        <w:rPr>
          <w:rFonts w:ascii="Palatino Linotype" w:hAnsi="Palatino Linotype"/>
          <w:i/>
          <w:sz w:val="22"/>
          <w:szCs w:val="22"/>
          <w:lang w:val="es-ES"/>
        </w:rPr>
      </w:pPr>
      <w:r>
        <w:rPr>
          <w:rFonts w:ascii="Palatino Linotype" w:hAnsi="Palatino Linotype"/>
          <w:i/>
          <w:sz w:val="22"/>
          <w:szCs w:val="22"/>
          <w:lang w:val="es-ES"/>
        </w:rPr>
        <w:lastRenderedPageBreak/>
        <w:t xml:space="preserve">III. </w:t>
      </w:r>
      <w:r>
        <w:rPr>
          <w:rFonts w:ascii="Palatino Linotype" w:hAnsi="Palatino Linotype"/>
          <w:b/>
          <w:i/>
          <w:sz w:val="22"/>
          <w:szCs w:val="22"/>
          <w:lang w:val="es-ES"/>
        </w:rPr>
        <w:t>12 años</w:t>
      </w:r>
      <w:r>
        <w:rPr>
          <w:rFonts w:ascii="Palatino Linotype" w:hAnsi="Palatino Linotype"/>
          <w:i/>
          <w:sz w:val="22"/>
          <w:szCs w:val="22"/>
          <w:lang w:val="es-ES"/>
        </w:rPr>
        <w:t xml:space="preserve"> como mínimo para expedientes con información jurídico-legal, obra pública y activo fijo; y </w:t>
      </w:r>
    </w:p>
    <w:p w:rsidR="00D935F1" w:rsidRDefault="00BF1C6A">
      <w:pPr>
        <w:spacing w:before="240" w:after="240"/>
        <w:ind w:left="851" w:right="900"/>
        <w:jc w:val="both"/>
        <w:rPr>
          <w:rFonts w:ascii="Palatino Linotype" w:hAnsi="Palatino Linotype"/>
          <w:i/>
          <w:sz w:val="22"/>
          <w:szCs w:val="22"/>
          <w:lang w:val="es-ES"/>
        </w:rPr>
      </w:pPr>
      <w:r>
        <w:rPr>
          <w:rFonts w:ascii="Palatino Linotype" w:hAnsi="Palatino Linotype"/>
          <w:i/>
          <w:sz w:val="22"/>
          <w:szCs w:val="22"/>
          <w:lang w:val="es-ES"/>
        </w:rPr>
        <w:t xml:space="preserve">IV. </w:t>
      </w:r>
      <w:r>
        <w:rPr>
          <w:rFonts w:ascii="Palatino Linotype" w:hAnsi="Palatino Linotype"/>
          <w:b/>
          <w:i/>
          <w:sz w:val="22"/>
          <w:szCs w:val="22"/>
          <w:lang w:val="es-ES"/>
        </w:rPr>
        <w:t>Cuando en la legislación se establezcan períodos de conservación mayores a los señalados en las fracciones I, II y III, se considerarán los estipulados en dicha legislación</w:t>
      </w:r>
      <w:r>
        <w:rPr>
          <w:rFonts w:ascii="Palatino Linotype" w:hAnsi="Palatino Linotype"/>
          <w:i/>
          <w:sz w:val="22"/>
          <w:szCs w:val="22"/>
          <w:lang w:val="es-ES"/>
        </w:rPr>
        <w:t xml:space="preserve"> para efectos de realización del proceso de selección final. </w:t>
      </w:r>
    </w:p>
    <w:p w:rsidR="00D935F1" w:rsidRDefault="00BF1C6A">
      <w:pPr>
        <w:spacing w:before="240" w:after="240"/>
        <w:ind w:left="851" w:right="900"/>
        <w:jc w:val="both"/>
        <w:rPr>
          <w:rFonts w:ascii="Palatino Linotype" w:hAnsi="Palatino Linotype"/>
          <w:i/>
          <w:sz w:val="22"/>
          <w:szCs w:val="22"/>
          <w:lang w:val="es-ES"/>
        </w:rPr>
      </w:pPr>
      <w:r>
        <w:rPr>
          <w:rFonts w:ascii="Palatino Linotype" w:hAnsi="Palatino Linotype"/>
          <w:i/>
          <w:sz w:val="22"/>
          <w:szCs w:val="22"/>
          <w:lang w:val="es-ES"/>
        </w:rPr>
        <w:t>V. Cuando las Unidades Administrativas no indiquen el plazo de conservación precaucional de sus expedientes en el Inventario correspondiente, los Archivos de Concentración podrán rechazar la transferencia de los expedientes.”</w:t>
      </w:r>
    </w:p>
    <w:p w:rsidR="00D935F1" w:rsidRDefault="00BF1C6A">
      <w:pPr>
        <w:spacing w:before="240" w:after="240" w:line="360" w:lineRule="auto"/>
        <w:jc w:val="both"/>
        <w:rPr>
          <w:rFonts w:ascii="Palatino Linotype" w:hAnsi="Palatino Linotype"/>
          <w:lang w:val="es-ES"/>
        </w:rPr>
      </w:pPr>
      <w:r>
        <w:rPr>
          <w:rFonts w:ascii="Palatino Linotype" w:hAnsi="Palatino Linotype"/>
          <w:lang w:val="es-ES"/>
        </w:rPr>
        <w:t>Aunado a lo citado por dicho artículo cabe hacer mención del artículo 32 de los Lineamientos multicitados, a saber:</w:t>
      </w:r>
    </w:p>
    <w:p w:rsidR="00D935F1" w:rsidRDefault="00BF1C6A">
      <w:pPr>
        <w:spacing w:before="240" w:after="240"/>
        <w:ind w:left="851" w:right="900"/>
        <w:jc w:val="both"/>
        <w:rPr>
          <w:rFonts w:ascii="Palatino Linotype" w:hAnsi="Palatino Linotype"/>
          <w:i/>
          <w:sz w:val="22"/>
          <w:szCs w:val="22"/>
          <w:lang w:val="es-ES"/>
        </w:rPr>
      </w:pPr>
      <w:r>
        <w:rPr>
          <w:rFonts w:ascii="Palatino Linotype" w:hAnsi="Palatino Linotype"/>
          <w:i/>
          <w:sz w:val="22"/>
          <w:szCs w:val="22"/>
          <w:lang w:val="es-ES"/>
        </w:rPr>
        <w:t>“</w:t>
      </w:r>
      <w:r>
        <w:rPr>
          <w:rFonts w:ascii="Palatino Linotype" w:hAnsi="Palatino Linotype"/>
          <w:b/>
          <w:i/>
          <w:sz w:val="22"/>
          <w:szCs w:val="22"/>
          <w:lang w:val="es-ES"/>
        </w:rPr>
        <w:t>Artículo 32.-</w:t>
      </w:r>
      <w:r>
        <w:rPr>
          <w:rFonts w:ascii="Palatino Linotype" w:hAnsi="Palatino Linotype"/>
          <w:i/>
          <w:sz w:val="22"/>
          <w:szCs w:val="22"/>
          <w:lang w:val="es-ES"/>
        </w:rPr>
        <w:t xml:space="preserve"> </w:t>
      </w:r>
      <w:r>
        <w:rPr>
          <w:rFonts w:ascii="Palatino Linotype" w:hAnsi="Palatino Linotype"/>
          <w:b/>
          <w:i/>
          <w:sz w:val="22"/>
          <w:szCs w:val="22"/>
          <w:lang w:val="es-ES"/>
        </w:rPr>
        <w:t xml:space="preserve">Los tipos y las series documentales que al concluir el proceso de selección final deban conservarse permanentemente por el valor secundario de su información, permanecerán en el Archivo de Concentración por un período </w:t>
      </w:r>
      <w:r>
        <w:rPr>
          <w:rFonts w:ascii="Palatino Linotype" w:hAnsi="Palatino Linotype"/>
          <w:b/>
          <w:i/>
          <w:sz w:val="22"/>
          <w:szCs w:val="22"/>
          <w:u w:val="single"/>
          <w:lang w:val="es-ES"/>
        </w:rPr>
        <w:t>de 20 años</w:t>
      </w:r>
      <w:r>
        <w:rPr>
          <w:rFonts w:ascii="Palatino Linotype" w:hAnsi="Palatino Linotype"/>
          <w:b/>
          <w:i/>
          <w:sz w:val="22"/>
          <w:szCs w:val="22"/>
          <w:lang w:val="es-ES"/>
        </w:rPr>
        <w:t>.</w:t>
      </w:r>
      <w:r>
        <w:rPr>
          <w:rFonts w:ascii="Palatino Linotype" w:hAnsi="Palatino Linotype"/>
          <w:i/>
          <w:sz w:val="22"/>
          <w:szCs w:val="22"/>
          <w:lang w:val="es-ES"/>
        </w:rPr>
        <w:t xml:space="preserve"> Este período se computará a partir del día siguiente a la fecha de conclusión del plazo de conservación precaucional.”</w:t>
      </w:r>
    </w:p>
    <w:p w:rsidR="00D935F1" w:rsidRDefault="00BF1C6A">
      <w:pPr>
        <w:spacing w:before="240" w:after="240" w:line="360" w:lineRule="auto"/>
        <w:jc w:val="both"/>
        <w:rPr>
          <w:rFonts w:ascii="Palatino Linotype" w:hAnsi="Palatino Linotype"/>
          <w:lang w:val="es-ES"/>
        </w:rPr>
      </w:pPr>
      <w:r>
        <w:rPr>
          <w:rFonts w:ascii="Palatino Linotype" w:hAnsi="Palatino Linotype"/>
          <w:lang w:val="es-ES"/>
        </w:rPr>
        <w:t>Es decir, de los elementos normativos transcritos, es notorio que los expedientes de las unidades administrativas pueden permanecer en su archivo de concentración desde seis hasta veinte años si se trata de información de contenido administrativo de importancia.</w:t>
      </w:r>
    </w:p>
    <w:p w:rsidR="00D935F1" w:rsidRDefault="00BF1C6A">
      <w:pPr>
        <w:spacing w:before="240" w:after="240" w:line="360" w:lineRule="auto"/>
        <w:jc w:val="both"/>
        <w:rPr>
          <w:rFonts w:ascii="Palatino Linotype" w:hAnsi="Palatino Linotype"/>
          <w:lang w:val="es-ES"/>
        </w:rPr>
      </w:pPr>
      <w:r>
        <w:rPr>
          <w:rFonts w:ascii="Palatino Linotype" w:hAnsi="Palatino Linotype"/>
          <w:lang w:val="es-ES"/>
        </w:rPr>
        <w:t xml:space="preserve">Documentos respecto de los cuales,  al encontrarse en sus archivos ya sea de trámite o de concentración, el Sujeto Obligado tiene la obligación de facilitar su acceso en términos de la Ley de Transparencia, la Ley de Documentos y los Lineamientos para la administración de documentos en el Estado de México, esto es, hasta el momento en que prescriban sus valores administrativos y concluya su conservación precaucional y adquieran el carácter de históricos o proceda su eliminación, de conformidad a los </w:t>
      </w:r>
      <w:r>
        <w:rPr>
          <w:rFonts w:ascii="Palatino Linotype" w:hAnsi="Palatino Linotype"/>
          <w:lang w:val="es-ES"/>
        </w:rPr>
        <w:lastRenderedPageBreak/>
        <w:t xml:space="preserve">artículos 7 y 70 de los </w:t>
      </w:r>
      <w:r>
        <w:rPr>
          <w:rFonts w:ascii="Palatino Linotype" w:hAnsi="Palatino Linotype" w:cs="Arial"/>
          <w:i/>
          <w:color w:val="000000"/>
          <w:lang w:val="es-ES"/>
        </w:rPr>
        <w:t>Lineamientos para la administración de Documentos en el Estado de México</w:t>
      </w:r>
      <w:r>
        <w:rPr>
          <w:rFonts w:ascii="Palatino Linotype" w:hAnsi="Palatino Linotype"/>
          <w:vertAlign w:val="superscript"/>
          <w:lang w:val="es-ES"/>
        </w:rPr>
        <w:t xml:space="preserve"> </w:t>
      </w:r>
      <w:r>
        <w:rPr>
          <w:rStyle w:val="Ancladenotaalpie"/>
          <w:rFonts w:ascii="Palatino Linotype" w:hAnsi="Palatino Linotype"/>
          <w:lang w:val="es-ES"/>
        </w:rPr>
        <w:footnoteReference w:id="4"/>
      </w:r>
      <w:r>
        <w:rPr>
          <w:rFonts w:ascii="Palatino Linotype" w:hAnsi="Palatino Linotype"/>
          <w:lang w:val="es-ES"/>
        </w:rPr>
        <w:t xml:space="preserve">, en consecuencia, </w:t>
      </w:r>
      <w:r>
        <w:rPr>
          <w:rFonts w:ascii="Palatino Linotype" w:hAnsi="Palatino Linotype"/>
          <w:b/>
          <w:lang w:val="es-ES"/>
        </w:rPr>
        <w:t>EL SUJETO OBLIGADO</w:t>
      </w:r>
      <w:r>
        <w:rPr>
          <w:rFonts w:ascii="Palatino Linotype" w:hAnsi="Palatino Linotype"/>
          <w:lang w:val="es-ES"/>
        </w:rPr>
        <w:t xml:space="preserve">, se encuentra en posibilidad de hacer entrega de la información solicitada por el ahora </w:t>
      </w:r>
      <w:r>
        <w:rPr>
          <w:rFonts w:ascii="Palatino Linotype" w:hAnsi="Palatino Linotype"/>
          <w:b/>
          <w:lang w:val="es-ES"/>
        </w:rPr>
        <w:t>RECURRENTE</w:t>
      </w:r>
      <w:r>
        <w:rPr>
          <w:rFonts w:ascii="Palatino Linotype" w:hAnsi="Palatino Linotype"/>
          <w:lang w:val="es-ES"/>
        </w:rPr>
        <w:t>, al encontrarse en sus archivos.</w:t>
      </w:r>
    </w:p>
    <w:p w:rsidR="00D935F1" w:rsidRDefault="00BF1C6A">
      <w:pPr>
        <w:tabs>
          <w:tab w:val="left" w:pos="284"/>
        </w:tabs>
        <w:spacing w:beforeAutospacing="1" w:afterAutospacing="1" w:line="360" w:lineRule="auto"/>
        <w:jc w:val="both"/>
        <w:rPr>
          <w:rFonts w:ascii="Palatino Linotype" w:hAnsi="Palatino Linotype" w:cs="Arial"/>
        </w:rPr>
      </w:pPr>
      <w:r>
        <w:rPr>
          <w:rFonts w:ascii="Palatino Linotype" w:hAnsi="Palatino Linotype" w:cs="Arial"/>
        </w:rPr>
        <w:t xml:space="preserve">Una vez precisado lo anterior, </w:t>
      </w:r>
      <w:r>
        <w:rPr>
          <w:rFonts w:ascii="Palatino Linotype" w:hAnsi="Palatino Linotype"/>
          <w:lang w:val="es-AR"/>
        </w:rPr>
        <w:t xml:space="preserve">es importante señalar </w:t>
      </w:r>
      <w:r>
        <w:rPr>
          <w:rFonts w:ascii="Palatino Linotype" w:hAnsi="Palatino Linotype" w:cs="Arial"/>
        </w:rPr>
        <w:t xml:space="preserve">que el particular </w:t>
      </w:r>
      <w:r>
        <w:rPr>
          <w:rFonts w:ascii="Palatino Linotype" w:hAnsi="Palatino Linotype"/>
        </w:rPr>
        <w:t xml:space="preserve">al momento de presentar su solicitud de acceso a la información número </w:t>
      </w:r>
      <w:r>
        <w:rPr>
          <w:rFonts w:ascii="Palatino Linotype" w:hAnsi="Palatino Linotype"/>
          <w:b/>
        </w:rPr>
        <w:t xml:space="preserve">00030/OCOYOAC/IP/2020, </w:t>
      </w:r>
      <w:r>
        <w:rPr>
          <w:rFonts w:ascii="Palatino Linotype" w:hAnsi="Palatino Linotype"/>
        </w:rPr>
        <w:t>no preciso la temporalidad de información requerida en el año 2020,</w:t>
      </w:r>
      <w:r>
        <w:rPr>
          <w:rFonts w:ascii="Palatino Linotype" w:hAnsi="Palatino Linotype"/>
          <w:b/>
        </w:rPr>
        <w:t xml:space="preserve"> </w:t>
      </w:r>
      <w:r>
        <w:rPr>
          <w:rFonts w:ascii="Palatino Linotype" w:hAnsi="Palatino Linotype"/>
        </w:rPr>
        <w:t>b</w:t>
      </w:r>
      <w:r>
        <w:rPr>
          <w:rFonts w:ascii="Palatino Linotype" w:hAnsi="Palatino Linotype" w:cs="Arial"/>
        </w:rPr>
        <w:t xml:space="preserve">ajo ese contexto, este Órgano Garante en el ámbito de sus atribuciones establecidas en los artículos 13 y 181 de la Ley de Transparencia y Acceso a la Información Pública del Estado de México y Municipios; </w:t>
      </w:r>
      <w:r>
        <w:rPr>
          <w:rFonts w:ascii="Palatino Linotype" w:hAnsi="Palatino Linotype"/>
        </w:rPr>
        <w:t xml:space="preserve">bajo el amparo del principio de máxima publicidad y pro persona; suple la deficiencia en que incurre el particular y </w:t>
      </w:r>
      <w:r>
        <w:rPr>
          <w:rFonts w:ascii="Palatino Linotype" w:hAnsi="Palatino Linotype" w:cs="Arial"/>
          <w:color w:val="000000" w:themeColor="text1"/>
        </w:rPr>
        <w:t xml:space="preserve">determina que la información a la que pretende acceso </w:t>
      </w:r>
      <w:r>
        <w:rPr>
          <w:rFonts w:ascii="Palatino Linotype" w:hAnsi="Palatino Linotype" w:cs="Arial"/>
          <w:b/>
          <w:color w:val="000000" w:themeColor="text1"/>
        </w:rPr>
        <w:t>EL RECURRENTE</w:t>
      </w:r>
      <w:r>
        <w:rPr>
          <w:rFonts w:ascii="Palatino Linotype" w:hAnsi="Palatino Linotype" w:cs="Arial"/>
          <w:color w:val="000000" w:themeColor="text1"/>
        </w:rPr>
        <w:t>, al solicitar</w:t>
      </w:r>
      <w:r>
        <w:rPr>
          <w:rFonts w:ascii="Palatino Linotype" w:hAnsi="Palatino Linotype"/>
        </w:rPr>
        <w:t xml:space="preserve"> </w:t>
      </w:r>
      <w:r>
        <w:rPr>
          <w:rFonts w:ascii="Palatino Linotype" w:hAnsi="Palatino Linotype" w:cs="Arial"/>
          <w:i/>
          <w:sz w:val="22"/>
          <w:szCs w:val="22"/>
        </w:rPr>
        <w:t>“TODAS LAS ACTAS DE ENTREGA RECEPCIÓN CELEBRADAS POR EL AYUNTAMIENTO EN EL AÑO 2018, 2019 Y 2020</w:t>
      </w:r>
      <w:r>
        <w:rPr>
          <w:rFonts w:ascii="Palatino Linotype" w:hAnsi="Palatino Linotype"/>
          <w:i/>
        </w:rPr>
        <w:t>”</w:t>
      </w:r>
      <w:r>
        <w:rPr>
          <w:rFonts w:ascii="Palatino Linotype" w:hAnsi="Palatino Linotype" w:cs="Arial"/>
          <w:color w:val="000000" w:themeColor="text1"/>
        </w:rPr>
        <w:t xml:space="preserve">, corresponde a la generada, poseída y administrada del </w:t>
      </w:r>
      <w:r>
        <w:rPr>
          <w:rFonts w:ascii="Palatino Linotype" w:hAnsi="Palatino Linotype" w:cs="Arial"/>
          <w:i/>
          <w:color w:val="000000" w:themeColor="text1"/>
        </w:rPr>
        <w:t>1 de enero de 2018 al 30 de enero de 2020, fecha de la solicitud</w:t>
      </w:r>
      <w:r>
        <w:rPr>
          <w:rFonts w:ascii="Palatino Linotype" w:hAnsi="Palatino Linotype" w:cs="Arial"/>
          <w:color w:val="000000" w:themeColor="text1"/>
        </w:rPr>
        <w:t>.</w:t>
      </w:r>
    </w:p>
    <w:p w:rsidR="00D935F1" w:rsidRDefault="00BF1C6A">
      <w:pPr>
        <w:spacing w:before="360" w:after="240" w:line="360" w:lineRule="auto"/>
        <w:jc w:val="both"/>
        <w:rPr>
          <w:rFonts w:ascii="Palatino Linotype" w:hAnsi="Palatino Linotype" w:cs="Arial"/>
        </w:rPr>
      </w:pPr>
      <w:r>
        <w:rPr>
          <w:rFonts w:ascii="Palatino Linotype" w:hAnsi="Palatino Linotype"/>
          <w:lang w:eastAsia="es-MX"/>
        </w:rPr>
        <w:t>Antes de concluir, es de señalar que</w:t>
      </w:r>
      <w:r>
        <w:rPr>
          <w:rFonts w:ascii="Palatino Linotype" w:hAnsi="Palatino Linotype" w:cs="Arial"/>
        </w:rPr>
        <w:t xml:space="preserve">, como ya se mencionó </w:t>
      </w:r>
      <w:r>
        <w:rPr>
          <w:rFonts w:ascii="Palatino Linotype" w:hAnsi="Palatino Linotype" w:cs="Arial"/>
          <w:b/>
        </w:rPr>
        <w:t xml:space="preserve">EL </w:t>
      </w:r>
      <w:r>
        <w:rPr>
          <w:rFonts w:ascii="Palatino Linotype" w:eastAsia="Calibri" w:hAnsi="Palatino Linotype" w:cs="Arial"/>
          <w:b/>
        </w:rPr>
        <w:t>SUJETO OBLIGADO</w:t>
      </w:r>
      <w:r>
        <w:rPr>
          <w:rFonts w:ascii="Palatino Linotype" w:eastAsia="Calibri" w:hAnsi="Palatino Linotype" w:cs="Arial"/>
        </w:rPr>
        <w:t xml:space="preserve">, </w:t>
      </w:r>
      <w:r>
        <w:rPr>
          <w:rFonts w:ascii="Palatino Linotype" w:hAnsi="Palatino Linotype" w:cs="Arial"/>
        </w:rPr>
        <w:t>dejó a la vista datos personales susceptibles de ser considerados confidenciales mediante respuestas</w:t>
      </w:r>
      <w:r>
        <w:rPr>
          <w:rFonts w:ascii="Palatino Linotype" w:eastAsia="Calibri" w:hAnsi="Palatino Linotype" w:cs="Arial"/>
        </w:rPr>
        <w:t>; razón por la que</w:t>
      </w:r>
      <w:r>
        <w:rPr>
          <w:rFonts w:ascii="Palatino Linotype" w:hAnsi="Palatino Linotype" w:cs="Arial"/>
        </w:rPr>
        <w:t xml:space="preserve"> </w:t>
      </w:r>
      <w:r>
        <w:rPr>
          <w:rFonts w:ascii="Palatino Linotype" w:hAnsi="Palatino Linotype" w:cs="Arial"/>
          <w:b/>
        </w:rPr>
        <w:t xml:space="preserve">se ordena dar vista al Titular de la Contraloría </w:t>
      </w:r>
      <w:r>
        <w:rPr>
          <w:rFonts w:ascii="Palatino Linotype" w:hAnsi="Palatino Linotype" w:cs="Arial"/>
          <w:b/>
        </w:rPr>
        <w:lastRenderedPageBreak/>
        <w:t>Interna y Órgano de Control y Vigilancia de</w:t>
      </w:r>
      <w:bookmarkStart w:id="4" w:name="_GoBack"/>
      <w:bookmarkEnd w:id="4"/>
      <w:r>
        <w:rPr>
          <w:rFonts w:ascii="Palatino Linotype" w:hAnsi="Palatino Linotype" w:cs="Arial"/>
          <w:b/>
        </w:rPr>
        <w:t xml:space="preserve"> este Instituto</w:t>
      </w:r>
      <w:r>
        <w:rPr>
          <w:rFonts w:ascii="Palatino Linotype" w:hAnsi="Palatino Linotype" w:cs="Arial"/>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rsidR="00D935F1" w:rsidRDefault="00BF1C6A">
      <w:pPr>
        <w:spacing w:beforeAutospacing="1" w:afterAutospacing="1" w:line="360" w:lineRule="auto"/>
        <w:ind w:right="49"/>
        <w:jc w:val="both"/>
        <w:rPr>
          <w:rFonts w:ascii="Palatino Linotype" w:eastAsia="Calibri" w:hAnsi="Palatino Linotype" w:cs="Arial"/>
        </w:rPr>
      </w:pPr>
      <w:r>
        <w:rPr>
          <w:rFonts w:ascii="Palatino Linotype" w:hAnsi="Palatino Linotype"/>
          <w:color w:val="222222"/>
          <w:lang w:val="es-ES_tradnl" w:eastAsia="es-MX"/>
        </w:rPr>
        <w:t xml:space="preserve">Asimismo, se hará del conocimiento de la Dirección de Protección de Datos Personales de este Órgano Garante sobre las posibles infracciones en que </w:t>
      </w:r>
      <w:r>
        <w:rPr>
          <w:rFonts w:ascii="Palatino Linotype" w:hAnsi="Palatino Linotype"/>
          <w:b/>
          <w:color w:val="222222"/>
          <w:lang w:val="es-ES_tradnl" w:eastAsia="es-MX"/>
        </w:rPr>
        <w:t>EL </w:t>
      </w:r>
      <w:r>
        <w:rPr>
          <w:rFonts w:ascii="Palatino Linotype" w:hAnsi="Palatino Linotype"/>
          <w:b/>
          <w:bCs/>
          <w:color w:val="222222"/>
          <w:lang w:val="es-ES_tradnl" w:eastAsia="es-MX"/>
        </w:rPr>
        <w:t>SUJETO OBLIGADO</w:t>
      </w:r>
      <w:r>
        <w:rPr>
          <w:rFonts w:ascii="Palatino Linotype" w:hAnsi="Palatino Linotype"/>
          <w:color w:val="222222"/>
          <w:lang w:val="es-ES_tradnl" w:eastAsia="es-MX"/>
        </w:rPr>
        <w:t> incurrió, al dejar visibles</w:t>
      </w:r>
      <w:r>
        <w:rPr>
          <w:rFonts w:ascii="Palatino Linotype" w:eastAsia="Calibri" w:hAnsi="Palatino Linotype" w:cs="Arial"/>
        </w:rPr>
        <w:t xml:space="preserve"> datos personales susceptibles en ser considerados confidenciales mediante sus respuestas; </w:t>
      </w:r>
      <w:r>
        <w:rPr>
          <w:rFonts w:ascii="Palatino Linotype" w:hAnsi="Palatino Linotype" w:cs="Arial"/>
        </w:rPr>
        <w:t>tales como el folio y código de identificación de la credencial de elector, domicilio particular, teléfono particular, RFC, CURP, huella dactilar, código postal, número de pasaporte, nombres de particulares, firma de particulares, fotografía de testigos que corresponden a particulares, números de pasaporte, número de serie de vehículos, numero de servicio y de medidor del servicio de energía eléctrica, datos de registro de acta de nacimiento y correos electrónicos; así como, datos p</w:t>
      </w:r>
      <w:r w:rsidR="00407EC3">
        <w:rPr>
          <w:rFonts w:ascii="Palatino Linotype" w:hAnsi="Palatino Linotype" w:cs="Arial"/>
        </w:rPr>
        <w:t xml:space="preserve">ersonales sensibles, tales como </w:t>
      </w:r>
      <w:r>
        <w:rPr>
          <w:rFonts w:ascii="Palatino Linotype" w:hAnsi="Palatino Linotype" w:cs="Arial"/>
        </w:rPr>
        <w:t>fecha de nacimiento y lugar de nacimiento</w:t>
      </w:r>
      <w:r>
        <w:rPr>
          <w:rFonts w:ascii="Palatino Linotype" w:eastAsia="Calibri" w:hAnsi="Palatino Linotype" w:cs="Arial"/>
        </w:rPr>
        <w:t xml:space="preserve">; lo anterior, </w:t>
      </w:r>
      <w:r>
        <w:rPr>
          <w:rFonts w:ascii="Palatino Linotype" w:hAnsi="Palatino Linotype"/>
          <w:color w:val="222222"/>
          <w:lang w:val="es-ES_tradnl" w:eastAsia="es-MX"/>
        </w:rPr>
        <w:t xml:space="preserve"> de conformidad con </w:t>
      </w:r>
      <w:r>
        <w:rPr>
          <w:rFonts w:ascii="Palatino Linotype" w:hAnsi="Palatino Linotype"/>
          <w:color w:val="222222"/>
          <w:lang w:val="es-ES" w:eastAsia="es-MX"/>
        </w:rPr>
        <w:t>el numeral 23, fracciones V, XI y XII, del Reglamento Interior del Instituto de Transparencia, Acceso a la Información Pública y Protección de Datos Personales del Estado de México y Municipios, por lo que, de acreditarse las omisiones, deberá hacerlo del conocimiento del Órgano de Control Interno de este Instituto para que éste inicie, en su caso, el procedimiento de responsabilidad respectivo.</w:t>
      </w:r>
    </w:p>
    <w:p w:rsidR="00D935F1" w:rsidRDefault="00BF1C6A">
      <w:pPr>
        <w:spacing w:beforeAutospacing="1" w:afterAutospacing="1" w:line="360" w:lineRule="auto"/>
        <w:ind w:right="49"/>
        <w:jc w:val="both"/>
        <w:rPr>
          <w:rFonts w:ascii="Palatino Linotype" w:eastAsia="Calibri" w:hAnsi="Palatino Linotype" w:cs="Arial"/>
        </w:rPr>
      </w:pPr>
      <w:r>
        <w:rPr>
          <w:rFonts w:ascii="Palatino Linotype" w:hAnsi="Palatino Linotype" w:cs="Arial"/>
          <w:lang w:eastAsia="es-MX"/>
        </w:rPr>
        <w:t xml:space="preserve">Por consiguiente, las razones y motivos de inconformidad señalados por </w:t>
      </w:r>
      <w:r>
        <w:rPr>
          <w:rFonts w:ascii="Palatino Linotype" w:hAnsi="Palatino Linotype" w:cs="Arial"/>
          <w:b/>
          <w:lang w:eastAsia="es-MX"/>
        </w:rPr>
        <w:t>EL RECURRENTE</w:t>
      </w:r>
      <w:r>
        <w:rPr>
          <w:rFonts w:ascii="Palatino Linotype" w:hAnsi="Palatino Linotype" w:cs="Arial"/>
          <w:lang w:eastAsia="es-MX"/>
        </w:rPr>
        <w:t>, resultan</w:t>
      </w:r>
      <w:r>
        <w:rPr>
          <w:rFonts w:ascii="Palatino Linotype" w:hAnsi="Palatino Linotype" w:cs="Arial"/>
          <w:b/>
          <w:lang w:eastAsia="es-MX"/>
        </w:rPr>
        <w:t xml:space="preserve"> fundadas</w:t>
      </w:r>
      <w:r>
        <w:rPr>
          <w:rFonts w:ascii="Palatino Linotype" w:hAnsi="Palatino Linotype" w:cs="Arial"/>
          <w:lang w:eastAsia="es-MX"/>
        </w:rPr>
        <w:t xml:space="preserve">; </w:t>
      </w:r>
      <w:r>
        <w:rPr>
          <w:rFonts w:ascii="Palatino Linotype" w:eastAsia="Calibri" w:hAnsi="Palatino Linotype" w:cs="Arial"/>
        </w:rPr>
        <w:t xml:space="preserve">por lo que, lo procedente es </w:t>
      </w:r>
      <w:r>
        <w:rPr>
          <w:rFonts w:ascii="Palatino Linotype" w:eastAsia="Calibri" w:hAnsi="Palatino Linotype" w:cs="Arial"/>
          <w:b/>
        </w:rPr>
        <w:t xml:space="preserve">MODIFICAR </w:t>
      </w:r>
      <w:r>
        <w:rPr>
          <w:rFonts w:ascii="Palatino Linotype" w:eastAsia="Calibri" w:hAnsi="Palatino Linotype" w:cs="Arial"/>
        </w:rPr>
        <w:t xml:space="preserve">las respuestas otorgadas por el </w:t>
      </w:r>
      <w:r>
        <w:rPr>
          <w:rFonts w:ascii="Palatino Linotype" w:eastAsia="Calibri" w:hAnsi="Palatino Linotype" w:cs="Arial"/>
          <w:b/>
        </w:rPr>
        <w:t>SUJETO OBLIGADO</w:t>
      </w:r>
      <w:r>
        <w:rPr>
          <w:rFonts w:ascii="Palatino Linotype" w:eastAsia="Calibri" w:hAnsi="Palatino Linotype" w:cs="Arial"/>
        </w:rPr>
        <w:t xml:space="preserve"> y ordenar haga entrega vía </w:t>
      </w:r>
      <w:r>
        <w:rPr>
          <w:rFonts w:ascii="Palatino Linotype" w:eastAsia="Calibri" w:hAnsi="Palatino Linotype" w:cs="Arial"/>
        </w:rPr>
        <w:lastRenderedPageBreak/>
        <w:t xml:space="preserve">SAIMEX y en </w:t>
      </w:r>
      <w:r>
        <w:rPr>
          <w:rFonts w:ascii="Palatino Linotype" w:eastAsia="Calibri" w:hAnsi="Palatino Linotype" w:cs="Arial"/>
          <w:b/>
        </w:rPr>
        <w:t>versión publica</w:t>
      </w:r>
      <w:r>
        <w:rPr>
          <w:rFonts w:ascii="Palatino Linotype" w:eastAsia="Calibri" w:hAnsi="Palatino Linotype" w:cs="Arial"/>
        </w:rPr>
        <w:t xml:space="preserve"> de las actas de entrega-recepción emitidas por</w:t>
      </w:r>
      <w:r>
        <w:rPr>
          <w:rFonts w:ascii="Palatino Linotype" w:eastAsia="Calibri" w:hAnsi="Palatino Linotype" w:cs="Arial"/>
          <w:b/>
        </w:rPr>
        <w:t xml:space="preserve"> EL SUJETO OBLIGADO</w:t>
      </w:r>
      <w:r>
        <w:rPr>
          <w:rFonts w:ascii="Palatino Linotype" w:eastAsia="Calibri" w:hAnsi="Palatino Linotype" w:cs="Arial"/>
        </w:rPr>
        <w:t xml:space="preserve"> en los años 2014, 2015, 2016, 2017, 2018,2019 y del 1 al 30 de enero de 2020.</w:t>
      </w:r>
    </w:p>
    <w:p w:rsidR="00D935F1" w:rsidRDefault="00BF1C6A">
      <w:pPr>
        <w:widowControl w:val="0"/>
        <w:spacing w:beforeAutospacing="1" w:afterAutospacing="1" w:line="360" w:lineRule="auto"/>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párrafos vigésimo segundo, vigésimo tercero y vigésimo cuarto de la Constitución Política del Estado Libre y Soberano de México; </w:t>
      </w:r>
      <w:r>
        <w:rPr>
          <w:rFonts w:ascii="Palatino Linotype" w:hAnsi="Palatino Linotype"/>
        </w:rPr>
        <w:t>2, fracción II, 19,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rsidR="00D935F1" w:rsidRDefault="00BF1C6A">
      <w:pPr>
        <w:spacing w:before="240" w:after="240" w:line="360" w:lineRule="auto"/>
        <w:jc w:val="center"/>
        <w:rPr>
          <w:rFonts w:ascii="Palatino Linotype" w:hAnsi="Palatino Linotype"/>
          <w:b/>
          <w:sz w:val="28"/>
        </w:rPr>
      </w:pPr>
      <w:r>
        <w:rPr>
          <w:rFonts w:ascii="Palatino Linotype" w:hAnsi="Palatino Linotype"/>
          <w:b/>
          <w:sz w:val="28"/>
        </w:rPr>
        <w:t>R E S U E L V E</w:t>
      </w:r>
    </w:p>
    <w:p w:rsidR="00D935F1" w:rsidRDefault="00BF1C6A">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PRIMERO</w:t>
      </w:r>
      <w:r>
        <w:rPr>
          <w:rFonts w:ascii="Palatino Linotype" w:eastAsia="Calibri" w:hAnsi="Palatino Linotype" w:cs="Arial"/>
        </w:rPr>
        <w:t xml:space="preserve">. Resultan </w:t>
      </w:r>
      <w:r>
        <w:rPr>
          <w:rFonts w:ascii="Palatino Linotype" w:eastAsia="Calibri" w:hAnsi="Palatino Linotype" w:cs="Arial"/>
          <w:b/>
        </w:rPr>
        <w:t xml:space="preserve">fundadas </w:t>
      </w:r>
      <w:r>
        <w:rPr>
          <w:rFonts w:ascii="Palatino Linotype" w:eastAsia="Calibri" w:hAnsi="Palatino Linotype" w:cs="Arial"/>
        </w:rPr>
        <w:t xml:space="preserve">las razones o motivos de inconformidad planteadas por </w:t>
      </w:r>
      <w:r>
        <w:rPr>
          <w:rFonts w:ascii="Palatino Linotype" w:eastAsia="Calibri" w:hAnsi="Palatino Linotype" w:cs="Arial"/>
          <w:b/>
        </w:rPr>
        <w:t>EL RECURRENTE</w:t>
      </w:r>
      <w:r>
        <w:rPr>
          <w:rFonts w:ascii="Palatino Linotype" w:eastAsia="Calibri" w:hAnsi="Palatino Linotype" w:cs="Arial"/>
        </w:rPr>
        <w:t xml:space="preserve">, en términos del Considerando </w:t>
      </w:r>
      <w:r>
        <w:rPr>
          <w:rFonts w:ascii="Palatino Linotype" w:eastAsia="Calibri" w:hAnsi="Palatino Linotype" w:cs="Arial"/>
          <w:b/>
        </w:rPr>
        <w:t>SEXTO</w:t>
      </w:r>
      <w:r>
        <w:rPr>
          <w:rFonts w:ascii="Palatino Linotype" w:eastAsia="Calibri" w:hAnsi="Palatino Linotype" w:cs="Arial"/>
        </w:rPr>
        <w:t xml:space="preserve"> de la presente resolución.</w:t>
      </w:r>
    </w:p>
    <w:p w:rsidR="00D935F1" w:rsidRDefault="00BF1C6A">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SEGUNDO</w:t>
      </w:r>
      <w:r>
        <w:rPr>
          <w:rFonts w:ascii="Palatino Linotype" w:eastAsia="Calibri" w:hAnsi="Palatino Linotype" w:cs="Arial"/>
        </w:rPr>
        <w:t xml:space="preserve">. Se </w:t>
      </w:r>
      <w:r>
        <w:rPr>
          <w:rFonts w:ascii="Palatino Linotype" w:eastAsia="Calibri" w:hAnsi="Palatino Linotype" w:cs="Arial"/>
          <w:b/>
        </w:rPr>
        <w:t xml:space="preserve">MODIFICAN </w:t>
      </w:r>
      <w:r>
        <w:rPr>
          <w:rFonts w:ascii="Palatino Linotype" w:eastAsia="Calibri" w:hAnsi="Palatino Linotype" w:cs="Arial"/>
        </w:rPr>
        <w:t xml:space="preserve">las respuestas otorgadas por </w:t>
      </w:r>
      <w:r>
        <w:rPr>
          <w:rFonts w:ascii="Palatino Linotype" w:eastAsia="Calibri" w:hAnsi="Palatino Linotype" w:cs="Arial"/>
          <w:b/>
        </w:rPr>
        <w:t>EL SUJETO OBLIGADO</w:t>
      </w:r>
      <w:r>
        <w:rPr>
          <w:rFonts w:ascii="Palatino Linotype" w:eastAsia="Calibri" w:hAnsi="Palatino Linotype" w:cs="Arial"/>
        </w:rPr>
        <w:t xml:space="preserve"> a las solicitudes de acceso a la información, motivo de los recursos de revisión </w:t>
      </w:r>
      <w:r>
        <w:rPr>
          <w:rFonts w:ascii="Palatino Linotype" w:eastAsia="Calibri" w:hAnsi="Palatino Linotype" w:cs="Arial"/>
          <w:b/>
        </w:rPr>
        <w:t>01312/INFOEM/IP/RR/2020</w:t>
      </w:r>
      <w:r>
        <w:rPr>
          <w:rFonts w:ascii="Palatino Linotype" w:eastAsia="Calibri" w:hAnsi="Palatino Linotype" w:cs="Arial"/>
        </w:rPr>
        <w:t xml:space="preserve"> y </w:t>
      </w:r>
      <w:r>
        <w:rPr>
          <w:rFonts w:ascii="Palatino Linotype" w:eastAsia="Calibri" w:hAnsi="Palatino Linotype" w:cs="Arial"/>
          <w:b/>
        </w:rPr>
        <w:t>01607/INFOEM/IP/RR/2020</w:t>
      </w:r>
      <w:r>
        <w:rPr>
          <w:rFonts w:ascii="Palatino Linotype" w:eastAsia="Calibri" w:hAnsi="Palatino Linotype" w:cs="Arial"/>
        </w:rPr>
        <w:t xml:space="preserve"> </w:t>
      </w:r>
      <w:r>
        <w:rPr>
          <w:rFonts w:ascii="Palatino Linotype" w:eastAsia="Calibri" w:hAnsi="Palatino Linotype" w:cs="Arial"/>
          <w:b/>
        </w:rPr>
        <w:t>acumulados</w:t>
      </w:r>
      <w:r>
        <w:rPr>
          <w:rFonts w:ascii="Palatino Linotype" w:eastAsia="Calibri" w:hAnsi="Palatino Linotype" w:cs="Arial"/>
        </w:rPr>
        <w:t xml:space="preserve"> y se le ordena en términos del Considerando </w:t>
      </w:r>
      <w:r>
        <w:rPr>
          <w:rFonts w:ascii="Palatino Linotype" w:eastAsia="Calibri" w:hAnsi="Palatino Linotype" w:cs="Arial"/>
          <w:b/>
        </w:rPr>
        <w:t>SEXTO</w:t>
      </w:r>
      <w:r>
        <w:rPr>
          <w:rFonts w:ascii="Palatino Linotype" w:eastAsia="Calibri" w:hAnsi="Palatino Linotype" w:cs="Arial"/>
        </w:rPr>
        <w:t xml:space="preserve"> de la presente resolución, entregue al </w:t>
      </w:r>
      <w:r>
        <w:rPr>
          <w:rFonts w:ascii="Palatino Linotype" w:eastAsia="Calibri" w:hAnsi="Palatino Linotype" w:cs="Arial"/>
          <w:b/>
        </w:rPr>
        <w:t>RECURRENTE</w:t>
      </w:r>
      <w:r>
        <w:rPr>
          <w:rFonts w:ascii="Palatino Linotype" w:eastAsia="Calibri" w:hAnsi="Palatino Linotype" w:cs="Arial"/>
        </w:rPr>
        <w:t xml:space="preserve">, vía </w:t>
      </w:r>
      <w:r>
        <w:rPr>
          <w:rFonts w:ascii="Palatino Linotype" w:eastAsia="Calibri" w:hAnsi="Palatino Linotype" w:cs="Arial"/>
          <w:b/>
        </w:rPr>
        <w:t>SAIMEX</w:t>
      </w:r>
      <w:r>
        <w:rPr>
          <w:rFonts w:ascii="Palatino Linotype" w:eastAsia="Calibri" w:hAnsi="Palatino Linotype" w:cs="Arial"/>
        </w:rPr>
        <w:t xml:space="preserve">, en </w:t>
      </w:r>
      <w:r>
        <w:rPr>
          <w:rFonts w:ascii="Palatino Linotype" w:eastAsia="Calibri" w:hAnsi="Palatino Linotype" w:cs="Arial"/>
          <w:b/>
        </w:rPr>
        <w:t>versión pública</w:t>
      </w:r>
      <w:r>
        <w:rPr>
          <w:rFonts w:ascii="Palatino Linotype" w:eastAsia="Calibri" w:hAnsi="Palatino Linotype" w:cs="Arial"/>
        </w:rPr>
        <w:t>, lo siguiente:</w:t>
      </w:r>
    </w:p>
    <w:p w:rsidR="00D935F1" w:rsidRDefault="00BF1C6A">
      <w:pPr>
        <w:ind w:left="709"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“Las actas de entrega-recepción celebradas en los años 2014, 2015, 2016, 2017, 2018, 2019 y del 1 al 30 de enero de 2020.</w:t>
      </w:r>
    </w:p>
    <w:p w:rsidR="00D935F1" w:rsidRDefault="00D935F1">
      <w:pPr>
        <w:ind w:right="902"/>
        <w:jc w:val="both"/>
        <w:rPr>
          <w:rFonts w:ascii="Palatino Linotype" w:hAnsi="Palatino Linotype"/>
          <w:i/>
          <w:iCs/>
          <w:color w:val="222222"/>
          <w:sz w:val="22"/>
          <w:szCs w:val="22"/>
          <w:lang w:eastAsia="es-MX"/>
        </w:rPr>
      </w:pPr>
    </w:p>
    <w:p w:rsidR="00D935F1" w:rsidRDefault="00BF1C6A">
      <w:pPr>
        <w:ind w:left="709"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Debiendo notificar al </w:t>
      </w:r>
      <w:r>
        <w:rPr>
          <w:rFonts w:ascii="Palatino Linotype" w:hAnsi="Palatino Linotype"/>
          <w:b/>
          <w:i/>
          <w:iCs/>
          <w:color w:val="222222"/>
          <w:sz w:val="22"/>
          <w:szCs w:val="22"/>
          <w:lang w:eastAsia="es-MX"/>
        </w:rPr>
        <w:t>RECURRENTE</w:t>
      </w:r>
      <w:r>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D935F1" w:rsidRDefault="00D935F1">
      <w:pPr>
        <w:ind w:right="899"/>
        <w:jc w:val="both"/>
        <w:rPr>
          <w:rFonts w:ascii="Palatino Linotype" w:eastAsia="Arial Unicode MS" w:hAnsi="Palatino Linotype" w:cs="Arial"/>
          <w:i/>
          <w:sz w:val="22"/>
          <w:szCs w:val="22"/>
        </w:rPr>
      </w:pPr>
    </w:p>
    <w:p w:rsidR="00D935F1" w:rsidRDefault="00BF1C6A">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Notifíquese a la Titular de la Unidad de Transparencia del </w:t>
      </w:r>
      <w:r>
        <w:rPr>
          <w:rFonts w:ascii="Palatino Linotype" w:eastAsia="Calibri" w:hAnsi="Palatino Linotype" w:cs="Arial"/>
          <w:b/>
        </w:rPr>
        <w:t>SUJETO OBLIGADO</w:t>
      </w:r>
      <w:r>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935F1" w:rsidRDefault="00BF1C6A">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CUARTO</w:t>
      </w:r>
      <w:r>
        <w:rPr>
          <w:rFonts w:ascii="Palatino Linotype" w:eastAsia="Calibri" w:hAnsi="Palatino Linotype" w:cs="Arial"/>
        </w:rPr>
        <w:t xml:space="preserve">. </w:t>
      </w: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D935F1" w:rsidRDefault="00BF1C6A">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QUINTO</w:t>
      </w:r>
      <w:r>
        <w:rPr>
          <w:rFonts w:ascii="Palatino Linotype" w:eastAsia="Calibri" w:hAnsi="Palatino Linotype" w:cs="Arial"/>
        </w:rPr>
        <w:t xml:space="preserve">. Notifíquese al </w:t>
      </w:r>
      <w:r>
        <w:rPr>
          <w:rFonts w:ascii="Palatino Linotype" w:eastAsia="Calibri" w:hAnsi="Palatino Linotype" w:cs="Arial"/>
          <w:b/>
        </w:rPr>
        <w:t>RECURRENTE</w:t>
      </w:r>
      <w:r>
        <w:rPr>
          <w:rFonts w:ascii="Palatino Linotype" w:eastAsia="Calibri" w:hAnsi="Palatino Linotype" w:cs="Arial"/>
        </w:rPr>
        <w:t xml:space="preserve"> la presente resolución.</w:t>
      </w:r>
    </w:p>
    <w:p w:rsidR="00D935F1" w:rsidRDefault="00BF1C6A">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szCs w:val="28"/>
        </w:rPr>
        <w:t>SEXTO.</w:t>
      </w:r>
      <w:r>
        <w:rPr>
          <w:rFonts w:ascii="Palatino Linotype" w:eastAsia="Calibri" w:hAnsi="Palatino Linotype" w:cs="Arial"/>
        </w:rPr>
        <w:t xml:space="preserve"> Hágase del conocimiento del </w:t>
      </w:r>
      <w:r>
        <w:rPr>
          <w:rFonts w:ascii="Palatino Linotype" w:eastAsia="Calibri" w:hAnsi="Palatino Linotype" w:cs="Arial"/>
          <w:b/>
        </w:rPr>
        <w:t>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D935F1" w:rsidRDefault="00BF1C6A">
      <w:pPr>
        <w:widowControl w:val="0"/>
        <w:tabs>
          <w:tab w:val="left" w:pos="1701"/>
        </w:tabs>
        <w:spacing w:before="240" w:after="240" w:line="360" w:lineRule="auto"/>
        <w:ind w:right="49"/>
        <w:jc w:val="both"/>
        <w:rPr>
          <w:rFonts w:ascii="Palatino Linotype" w:hAnsi="Palatino Linotype"/>
          <w:color w:val="222222"/>
          <w:szCs w:val="17"/>
          <w:lang w:eastAsia="es-ES_tradnl"/>
        </w:rPr>
      </w:pPr>
      <w:r>
        <w:rPr>
          <w:rFonts w:ascii="Palatino Linotype" w:eastAsia="Calibri" w:hAnsi="Palatino Linotype" w:cs="Arial"/>
          <w:b/>
          <w:sz w:val="28"/>
          <w:szCs w:val="28"/>
        </w:rPr>
        <w:t>SÉPTIMO.</w:t>
      </w:r>
      <w:r>
        <w:rPr>
          <w:rFonts w:ascii="Palatino Linotype" w:eastAsia="Calibri" w:hAnsi="Palatino Linotype" w:cs="Arial"/>
        </w:rPr>
        <w:t xml:space="preserve"> </w:t>
      </w:r>
      <w:r>
        <w:rPr>
          <w:rFonts w:ascii="Palatino Linotype" w:hAnsi="Palatino Linotype"/>
          <w:b/>
          <w:color w:val="222222"/>
          <w:szCs w:val="17"/>
          <w:lang w:eastAsia="es-ES_tradnl"/>
        </w:rPr>
        <w:t xml:space="preserve">Gírese oficio </w:t>
      </w:r>
      <w:r>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w:t>
      </w:r>
      <w:r>
        <w:rPr>
          <w:rFonts w:ascii="Palatino Linotype" w:eastAsia="Calibri" w:hAnsi="Palatino Linotype"/>
          <w:lang w:eastAsia="es-ES_tradnl"/>
        </w:rPr>
        <w:t xml:space="preserve">, </w:t>
      </w:r>
      <w:r>
        <w:rPr>
          <w:rFonts w:ascii="Palatino Linotype" w:eastAsia="Calibri" w:hAnsi="Palatino Linotype"/>
          <w:lang w:eastAsia="es-ES_tradnl"/>
        </w:rPr>
        <w:lastRenderedPageBreak/>
        <w:t>así como al Titular de la Dirección de Protección de Datos Personales en atención al artículo 82, fracción XXVII de la Ley de Protección de Datos Personales del Estado de México y Municipios,</w:t>
      </w:r>
      <w:r>
        <w:rPr>
          <w:rFonts w:ascii="Palatino Linotype" w:hAnsi="Palatino Linotype"/>
          <w:color w:val="222222"/>
          <w:szCs w:val="17"/>
          <w:lang w:eastAsia="es-ES_tradnl"/>
        </w:rPr>
        <w:t xml:space="preserve"> a fin de que determine lo conducente en términos del Considerando </w:t>
      </w:r>
      <w:r>
        <w:rPr>
          <w:rFonts w:ascii="Palatino Linotype" w:hAnsi="Palatino Linotype"/>
          <w:b/>
          <w:color w:val="222222"/>
          <w:szCs w:val="17"/>
          <w:lang w:eastAsia="es-ES_tradnl"/>
        </w:rPr>
        <w:t xml:space="preserve">SEXTO </w:t>
      </w:r>
      <w:r>
        <w:rPr>
          <w:rFonts w:ascii="Palatino Linotype" w:hAnsi="Palatino Linotype"/>
          <w:color w:val="222222"/>
          <w:szCs w:val="17"/>
          <w:lang w:eastAsia="es-ES_tradnl"/>
        </w:rPr>
        <w:t>de la presente resolución.</w:t>
      </w:r>
    </w:p>
    <w:p w:rsidR="00D935F1" w:rsidRDefault="00D935F1">
      <w:pPr>
        <w:spacing w:beforeAutospacing="1" w:afterAutospacing="1" w:line="360" w:lineRule="auto"/>
        <w:jc w:val="both"/>
        <w:rPr>
          <w:rFonts w:ascii="Palatino Linotype" w:eastAsia="Calibri" w:hAnsi="Palatino Linotype" w:cs="Arial"/>
        </w:rPr>
      </w:pPr>
    </w:p>
    <w:p w:rsidR="00D935F1" w:rsidRDefault="00BF1C6A">
      <w:pPr>
        <w:spacing w:line="360" w:lineRule="auto"/>
        <w:jc w:val="both"/>
        <w:rPr>
          <w:rFonts w:ascii="Palatino Linotype" w:eastAsia="Calibri"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DÉCIMA QUINTA SESIÓN ORDINARIA CELEBRADA EL DÍA VEINTISÉIS DE AGOSTO DE DOS MIL VEINTE, ANTE EL SECRETARIO TÉCNICO DEL PLENO, </w:t>
      </w:r>
      <w:r>
        <w:rPr>
          <w:rFonts w:ascii="Palatino Linotype" w:eastAsia="Arial Unicode MS" w:hAnsi="Palatino Linotype" w:cs="Arial"/>
        </w:rPr>
        <w:t>ALEXIS</w:t>
      </w:r>
      <w:r>
        <w:rPr>
          <w:rFonts w:ascii="Palatino Linotype" w:hAnsi="Palatino Linotype" w:cs="Arial"/>
        </w:rPr>
        <w:t xml:space="preserve"> TAPIA RAMÍREZ.</w:t>
      </w:r>
    </w:p>
    <w:p w:rsidR="00D935F1" w:rsidRDefault="00BF1C6A">
      <w:pPr>
        <w:tabs>
          <w:tab w:val="left" w:pos="1517"/>
        </w:tabs>
        <w:jc w:val="both"/>
        <w:rPr>
          <w:rFonts w:ascii="Palatino Linotype" w:hAnsi="Palatino Linotype" w:cs="Arial"/>
        </w:rPr>
      </w:pPr>
      <w:r>
        <w:rPr>
          <w:rFonts w:ascii="Palatino Linotype" w:hAnsi="Palatino Linotype" w:cs="Arial"/>
        </w:rPr>
        <w:tab/>
      </w:r>
    </w:p>
    <w:p w:rsidR="00D935F1" w:rsidRDefault="00D935F1">
      <w:pPr>
        <w:jc w:val="both"/>
        <w:rPr>
          <w:rFonts w:ascii="Palatino Linotype" w:hAnsi="Palatino Linotype" w:cs="Arial"/>
        </w:rPr>
      </w:pPr>
    </w:p>
    <w:p w:rsidR="00D935F1" w:rsidRDefault="00D935F1">
      <w:pPr>
        <w:jc w:val="both"/>
        <w:rPr>
          <w:rFonts w:ascii="Palatino Linotype" w:hAnsi="Palatino Linotype" w:cs="Arial"/>
        </w:rPr>
      </w:pPr>
    </w:p>
    <w:p w:rsidR="00D935F1" w:rsidRDefault="00D935F1">
      <w:pPr>
        <w:jc w:val="both"/>
        <w:rPr>
          <w:rFonts w:ascii="Palatino Linotype" w:hAnsi="Palatino Linotype" w:cs="Arial"/>
        </w:rPr>
      </w:pPr>
    </w:p>
    <w:tbl>
      <w:tblPr>
        <w:tblW w:w="9214" w:type="dxa"/>
        <w:jc w:val="center"/>
        <w:tblLook w:val="04A0" w:firstRow="1" w:lastRow="0" w:firstColumn="1" w:lastColumn="0" w:noHBand="0" w:noVBand="1"/>
      </w:tblPr>
      <w:tblGrid>
        <w:gridCol w:w="4757"/>
        <w:gridCol w:w="4457"/>
      </w:tblGrid>
      <w:tr w:rsidR="00D935F1">
        <w:trPr>
          <w:jc w:val="center"/>
        </w:trPr>
        <w:tc>
          <w:tcPr>
            <w:tcW w:w="9213" w:type="dxa"/>
            <w:gridSpan w:val="2"/>
            <w:shd w:val="clear" w:color="auto" w:fill="auto"/>
          </w:tcPr>
          <w:p w:rsidR="00D935F1" w:rsidRDefault="00D935F1">
            <w:pPr>
              <w:jc w:val="center"/>
              <w:rPr>
                <w:rFonts w:ascii="Palatino Linotype" w:hAnsi="Palatino Linotype" w:cs="Arial"/>
                <w:b/>
                <w:color w:val="000000" w:themeColor="text1"/>
                <w:lang w:val="es-ES_tradnl"/>
              </w:rPr>
            </w:pPr>
          </w:p>
          <w:p w:rsidR="00D935F1" w:rsidRDefault="00BF1C6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rsidR="00D935F1" w:rsidRDefault="00BF1C6A">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rsidR="00D935F1" w:rsidRDefault="00BF1C6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p w:rsidR="00D935F1" w:rsidRDefault="00D935F1">
            <w:pPr>
              <w:jc w:val="center"/>
              <w:rPr>
                <w:rFonts w:ascii="Palatino Linotype" w:hAnsi="Palatino Linotype" w:cs="Arial"/>
                <w:b/>
                <w:color w:val="000000" w:themeColor="text1"/>
                <w:lang w:val="es-ES_tradnl"/>
              </w:rPr>
            </w:pPr>
          </w:p>
          <w:p w:rsidR="00D935F1" w:rsidRDefault="00D935F1">
            <w:pPr>
              <w:rPr>
                <w:rFonts w:ascii="Palatino Linotype" w:hAnsi="Palatino Linotype" w:cs="Arial"/>
                <w:b/>
                <w:color w:val="000000" w:themeColor="text1"/>
                <w:lang w:val="es-ES_tradnl"/>
              </w:rPr>
            </w:pPr>
          </w:p>
          <w:p w:rsidR="00D935F1" w:rsidRDefault="00D935F1">
            <w:pPr>
              <w:rPr>
                <w:rFonts w:ascii="Palatino Linotype" w:hAnsi="Palatino Linotype" w:cs="Arial"/>
                <w:b/>
                <w:color w:val="000000" w:themeColor="text1"/>
                <w:lang w:val="es-ES_tradnl"/>
              </w:rPr>
            </w:pPr>
          </w:p>
          <w:p w:rsidR="00D935F1" w:rsidRDefault="00D935F1">
            <w:pPr>
              <w:jc w:val="center"/>
              <w:rPr>
                <w:rFonts w:ascii="Palatino Linotype" w:hAnsi="Palatino Linotype" w:cs="Arial"/>
                <w:b/>
                <w:color w:val="000000" w:themeColor="text1"/>
                <w:lang w:val="es-ES_tradnl"/>
              </w:rPr>
            </w:pPr>
          </w:p>
        </w:tc>
      </w:tr>
      <w:tr w:rsidR="00D935F1">
        <w:trPr>
          <w:jc w:val="center"/>
        </w:trPr>
        <w:tc>
          <w:tcPr>
            <w:tcW w:w="4756" w:type="dxa"/>
            <w:shd w:val="clear" w:color="auto" w:fill="auto"/>
          </w:tcPr>
          <w:p w:rsidR="00D935F1" w:rsidRDefault="00D935F1">
            <w:pPr>
              <w:jc w:val="center"/>
              <w:rPr>
                <w:rFonts w:ascii="Palatino Linotype" w:hAnsi="Palatino Linotype" w:cs="Arial"/>
                <w:b/>
                <w:color w:val="000000" w:themeColor="text1"/>
                <w:lang w:val="es-ES_tradnl"/>
              </w:rPr>
            </w:pPr>
          </w:p>
          <w:p w:rsidR="00D935F1" w:rsidRDefault="00D935F1">
            <w:pPr>
              <w:jc w:val="center"/>
              <w:rPr>
                <w:rFonts w:ascii="Palatino Linotype" w:hAnsi="Palatino Linotype" w:cs="Arial"/>
                <w:b/>
                <w:color w:val="000000" w:themeColor="text1"/>
                <w:lang w:val="es-ES_tradnl"/>
              </w:rPr>
            </w:pPr>
          </w:p>
          <w:p w:rsidR="00D935F1" w:rsidRDefault="00BF1C6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lastRenderedPageBreak/>
              <w:t>Eva Abaid Yapur</w:t>
            </w:r>
          </w:p>
          <w:p w:rsidR="00D935F1" w:rsidRDefault="00BF1C6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rsidR="00D935F1" w:rsidRDefault="00BF1C6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D935F1" w:rsidRDefault="00D935F1">
            <w:pPr>
              <w:jc w:val="center"/>
              <w:rPr>
                <w:rFonts w:ascii="Palatino Linotype" w:hAnsi="Palatino Linotype" w:cs="Arial"/>
                <w:b/>
                <w:color w:val="000000" w:themeColor="text1"/>
                <w:lang w:val="es-ES_tradnl"/>
              </w:rPr>
            </w:pPr>
          </w:p>
          <w:p w:rsidR="00D935F1" w:rsidRDefault="00D935F1">
            <w:pPr>
              <w:jc w:val="center"/>
              <w:rPr>
                <w:rFonts w:ascii="Palatino Linotype" w:hAnsi="Palatino Linotype" w:cs="Arial"/>
                <w:b/>
                <w:color w:val="000000" w:themeColor="text1"/>
                <w:lang w:val="es-ES_tradnl"/>
              </w:rPr>
            </w:pPr>
          </w:p>
          <w:p w:rsidR="00D935F1" w:rsidRDefault="00BF1C6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lastRenderedPageBreak/>
              <w:t>José Guadalupe Luna Hernández</w:t>
            </w:r>
          </w:p>
          <w:p w:rsidR="00D935F1" w:rsidRDefault="00BF1C6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D935F1" w:rsidRDefault="00BF1C6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D935F1">
        <w:trPr>
          <w:jc w:val="center"/>
        </w:trPr>
        <w:tc>
          <w:tcPr>
            <w:tcW w:w="4756" w:type="dxa"/>
            <w:shd w:val="clear" w:color="auto" w:fill="auto"/>
          </w:tcPr>
          <w:p w:rsidR="00D935F1" w:rsidRDefault="00D935F1">
            <w:pPr>
              <w:jc w:val="center"/>
              <w:rPr>
                <w:rFonts w:ascii="Palatino Linotype" w:hAnsi="Palatino Linotype" w:cs="Arial"/>
                <w:b/>
                <w:color w:val="000000" w:themeColor="text1"/>
                <w:lang w:val="es-ES_tradnl"/>
              </w:rPr>
            </w:pPr>
          </w:p>
          <w:p w:rsidR="00D935F1" w:rsidRDefault="00D935F1">
            <w:pPr>
              <w:jc w:val="center"/>
              <w:rPr>
                <w:rFonts w:ascii="Palatino Linotype" w:hAnsi="Palatino Linotype" w:cs="Arial"/>
                <w:b/>
                <w:color w:val="000000" w:themeColor="text1"/>
                <w:lang w:val="es-ES_tradnl"/>
              </w:rPr>
            </w:pPr>
          </w:p>
          <w:p w:rsidR="00D935F1" w:rsidRDefault="00D935F1">
            <w:pPr>
              <w:jc w:val="center"/>
              <w:rPr>
                <w:rFonts w:ascii="Palatino Linotype" w:hAnsi="Palatino Linotype" w:cs="Arial"/>
                <w:b/>
                <w:color w:val="000000" w:themeColor="text1"/>
                <w:lang w:val="es-ES_tradnl"/>
              </w:rPr>
            </w:pPr>
          </w:p>
          <w:p w:rsidR="00D935F1" w:rsidRDefault="00D935F1">
            <w:pPr>
              <w:jc w:val="center"/>
              <w:rPr>
                <w:rFonts w:ascii="Palatino Linotype" w:hAnsi="Palatino Linotype" w:cs="Arial"/>
                <w:b/>
                <w:color w:val="000000" w:themeColor="text1"/>
                <w:lang w:val="es-ES_tradnl"/>
              </w:rPr>
            </w:pPr>
          </w:p>
          <w:p w:rsidR="00D935F1" w:rsidRDefault="00D935F1">
            <w:pPr>
              <w:rPr>
                <w:rFonts w:ascii="Palatino Linotype" w:hAnsi="Palatino Linotype" w:cs="Arial"/>
                <w:b/>
                <w:color w:val="000000" w:themeColor="text1"/>
                <w:lang w:val="es-ES_tradnl"/>
              </w:rPr>
            </w:pPr>
          </w:p>
          <w:p w:rsidR="00D935F1" w:rsidRDefault="00D935F1">
            <w:pPr>
              <w:rPr>
                <w:rFonts w:ascii="Palatino Linotype" w:hAnsi="Palatino Linotype" w:cs="Arial"/>
                <w:b/>
                <w:color w:val="000000" w:themeColor="text1"/>
                <w:lang w:val="es-ES_tradnl"/>
              </w:rPr>
            </w:pPr>
          </w:p>
          <w:p w:rsidR="00D935F1" w:rsidRDefault="00D935F1">
            <w:pPr>
              <w:rPr>
                <w:rFonts w:ascii="Palatino Linotype" w:hAnsi="Palatino Linotype" w:cs="Arial"/>
                <w:b/>
                <w:color w:val="000000" w:themeColor="text1"/>
                <w:lang w:val="es-ES_tradnl"/>
              </w:rPr>
            </w:pPr>
          </w:p>
          <w:p w:rsidR="00D935F1" w:rsidRDefault="00D935F1">
            <w:pPr>
              <w:rPr>
                <w:rFonts w:ascii="Palatino Linotype" w:hAnsi="Palatino Linotype" w:cs="Arial"/>
                <w:b/>
                <w:color w:val="000000" w:themeColor="text1"/>
                <w:lang w:val="es-ES_tradnl"/>
              </w:rPr>
            </w:pPr>
          </w:p>
          <w:p w:rsidR="00D935F1" w:rsidRDefault="00BF1C6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rsidR="00D935F1" w:rsidRDefault="00BF1C6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D935F1" w:rsidRDefault="00BF1C6A">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p>
        </w:tc>
        <w:tc>
          <w:tcPr>
            <w:tcW w:w="4457" w:type="dxa"/>
            <w:shd w:val="clear" w:color="auto" w:fill="auto"/>
          </w:tcPr>
          <w:p w:rsidR="00D935F1" w:rsidRDefault="00D935F1">
            <w:pPr>
              <w:jc w:val="center"/>
              <w:rPr>
                <w:rFonts w:ascii="Palatino Linotype" w:hAnsi="Palatino Linotype" w:cs="Arial"/>
                <w:b/>
                <w:color w:val="000000" w:themeColor="text1"/>
                <w:lang w:val="es-ES_tradnl"/>
              </w:rPr>
            </w:pPr>
          </w:p>
          <w:p w:rsidR="00D935F1" w:rsidRDefault="00D935F1">
            <w:pPr>
              <w:jc w:val="center"/>
              <w:rPr>
                <w:rFonts w:ascii="Palatino Linotype" w:hAnsi="Palatino Linotype" w:cs="Arial"/>
                <w:b/>
                <w:color w:val="000000" w:themeColor="text1"/>
                <w:lang w:val="es-ES_tradnl"/>
              </w:rPr>
            </w:pPr>
          </w:p>
          <w:p w:rsidR="00D935F1" w:rsidRDefault="00D935F1">
            <w:pPr>
              <w:jc w:val="center"/>
              <w:rPr>
                <w:rFonts w:ascii="Palatino Linotype" w:hAnsi="Palatino Linotype" w:cs="Arial"/>
                <w:b/>
                <w:color w:val="000000" w:themeColor="text1"/>
                <w:lang w:val="es-ES_tradnl"/>
              </w:rPr>
            </w:pPr>
          </w:p>
          <w:p w:rsidR="00D935F1" w:rsidRDefault="00D935F1">
            <w:pPr>
              <w:jc w:val="center"/>
              <w:rPr>
                <w:rFonts w:ascii="Palatino Linotype" w:hAnsi="Palatino Linotype" w:cs="Arial"/>
                <w:b/>
                <w:color w:val="000000" w:themeColor="text1"/>
                <w:lang w:val="es-ES_tradnl"/>
              </w:rPr>
            </w:pPr>
          </w:p>
          <w:p w:rsidR="00D935F1" w:rsidRDefault="00D935F1">
            <w:pPr>
              <w:jc w:val="center"/>
              <w:rPr>
                <w:rFonts w:ascii="Palatino Linotype" w:hAnsi="Palatino Linotype" w:cs="Arial"/>
                <w:b/>
                <w:color w:val="000000" w:themeColor="text1"/>
                <w:lang w:val="es-ES_tradnl"/>
              </w:rPr>
            </w:pPr>
          </w:p>
          <w:p w:rsidR="00D935F1" w:rsidRDefault="00D935F1">
            <w:pPr>
              <w:jc w:val="center"/>
              <w:rPr>
                <w:rFonts w:ascii="Palatino Linotype" w:hAnsi="Palatino Linotype" w:cs="Arial"/>
                <w:b/>
                <w:color w:val="000000" w:themeColor="text1"/>
                <w:lang w:val="es-ES_tradnl"/>
              </w:rPr>
            </w:pPr>
          </w:p>
          <w:p w:rsidR="00D935F1" w:rsidRDefault="00D935F1">
            <w:pPr>
              <w:jc w:val="center"/>
              <w:rPr>
                <w:rFonts w:ascii="Palatino Linotype" w:hAnsi="Palatino Linotype" w:cs="Arial"/>
                <w:b/>
                <w:color w:val="000000" w:themeColor="text1"/>
                <w:lang w:val="es-ES_tradnl"/>
              </w:rPr>
            </w:pPr>
          </w:p>
          <w:p w:rsidR="00D935F1" w:rsidRDefault="00D935F1">
            <w:pPr>
              <w:jc w:val="center"/>
              <w:rPr>
                <w:rFonts w:ascii="Palatino Linotype" w:hAnsi="Palatino Linotype" w:cs="Arial"/>
                <w:b/>
                <w:color w:val="000000" w:themeColor="text1"/>
                <w:lang w:val="es-ES_tradnl"/>
              </w:rPr>
            </w:pPr>
          </w:p>
          <w:p w:rsidR="00D935F1" w:rsidRDefault="00BF1C6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rsidR="00D935F1" w:rsidRDefault="00BF1C6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D935F1" w:rsidRDefault="00BF1C6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D935F1">
        <w:trPr>
          <w:jc w:val="center"/>
        </w:trPr>
        <w:tc>
          <w:tcPr>
            <w:tcW w:w="9213" w:type="dxa"/>
            <w:gridSpan w:val="2"/>
            <w:shd w:val="clear" w:color="auto" w:fill="auto"/>
          </w:tcPr>
          <w:p w:rsidR="00D935F1" w:rsidRDefault="00D935F1">
            <w:pPr>
              <w:jc w:val="center"/>
              <w:rPr>
                <w:rFonts w:ascii="Palatino Linotype" w:hAnsi="Palatino Linotype" w:cs="Arial"/>
                <w:b/>
                <w:color w:val="000000" w:themeColor="text1"/>
                <w:lang w:val="es-ES_tradnl"/>
              </w:rPr>
            </w:pPr>
          </w:p>
          <w:p w:rsidR="00D935F1" w:rsidRDefault="00D935F1">
            <w:pPr>
              <w:rPr>
                <w:rFonts w:ascii="Palatino Linotype" w:hAnsi="Palatino Linotype" w:cs="Arial"/>
                <w:b/>
                <w:color w:val="000000" w:themeColor="text1"/>
                <w:lang w:val="es-ES_tradnl"/>
              </w:rPr>
            </w:pPr>
          </w:p>
          <w:p w:rsidR="00D935F1" w:rsidRDefault="00D935F1">
            <w:pPr>
              <w:rPr>
                <w:rFonts w:ascii="Palatino Linotype" w:hAnsi="Palatino Linotype" w:cs="Arial"/>
                <w:b/>
                <w:color w:val="000000" w:themeColor="text1"/>
                <w:lang w:val="es-ES_tradnl"/>
              </w:rPr>
            </w:pPr>
          </w:p>
          <w:p w:rsidR="00D935F1" w:rsidRDefault="00D935F1">
            <w:pPr>
              <w:rPr>
                <w:rFonts w:ascii="Palatino Linotype" w:hAnsi="Palatino Linotype" w:cs="Arial"/>
                <w:b/>
                <w:color w:val="000000" w:themeColor="text1"/>
                <w:lang w:val="es-ES_tradnl"/>
              </w:rPr>
            </w:pPr>
          </w:p>
          <w:p w:rsidR="00D935F1" w:rsidRDefault="00D935F1">
            <w:pPr>
              <w:rPr>
                <w:rFonts w:ascii="Palatino Linotype" w:hAnsi="Palatino Linotype" w:cs="Arial"/>
                <w:b/>
                <w:color w:val="000000" w:themeColor="text1"/>
                <w:lang w:val="es-ES_tradnl"/>
              </w:rPr>
            </w:pPr>
          </w:p>
          <w:p w:rsidR="00D935F1" w:rsidRDefault="00D935F1">
            <w:pPr>
              <w:rPr>
                <w:rFonts w:ascii="Palatino Linotype" w:hAnsi="Palatino Linotype" w:cs="Arial"/>
                <w:b/>
                <w:color w:val="000000" w:themeColor="text1"/>
                <w:lang w:val="es-ES_tradnl"/>
              </w:rPr>
            </w:pPr>
          </w:p>
          <w:p w:rsidR="00D935F1" w:rsidRDefault="00D935F1">
            <w:pPr>
              <w:rPr>
                <w:rFonts w:ascii="Palatino Linotype" w:hAnsi="Palatino Linotype" w:cs="Arial"/>
                <w:b/>
                <w:color w:val="000000" w:themeColor="text1"/>
                <w:lang w:val="es-ES_tradnl"/>
              </w:rPr>
            </w:pPr>
          </w:p>
          <w:p w:rsidR="00D935F1" w:rsidRDefault="00D935F1">
            <w:pPr>
              <w:rPr>
                <w:rFonts w:ascii="Palatino Linotype" w:hAnsi="Palatino Linotype" w:cs="Arial"/>
                <w:b/>
                <w:color w:val="000000" w:themeColor="text1"/>
                <w:lang w:val="es-ES_tradnl"/>
              </w:rPr>
            </w:pPr>
          </w:p>
          <w:p w:rsidR="00D935F1" w:rsidRDefault="00D935F1">
            <w:pPr>
              <w:rPr>
                <w:rFonts w:ascii="Palatino Linotype" w:hAnsi="Palatino Linotype" w:cs="Arial"/>
                <w:b/>
                <w:color w:val="000000" w:themeColor="text1"/>
                <w:lang w:val="es-ES_tradnl"/>
              </w:rPr>
            </w:pPr>
          </w:p>
          <w:p w:rsidR="00D935F1" w:rsidRDefault="00BF1C6A">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Alexis Tapia Ramírez</w:t>
            </w:r>
          </w:p>
          <w:p w:rsidR="00D935F1" w:rsidRDefault="00BF1C6A">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rsidR="00D935F1" w:rsidRDefault="00BF1C6A">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r>
              <w:rPr>
                <w:rFonts w:ascii="Palatino Linotype" w:hAnsi="Palatino Linotype" w:cs="Arial"/>
                <w:color w:val="000000" w:themeColor="text1"/>
                <w:lang w:val="es-ES_tradnl"/>
              </w:rPr>
              <w:t xml:space="preserve"> </w:t>
            </w:r>
          </w:p>
        </w:tc>
      </w:tr>
    </w:tbl>
    <w:p w:rsidR="00D935F1" w:rsidRDefault="00D935F1">
      <w:pPr>
        <w:jc w:val="both"/>
        <w:rPr>
          <w:rFonts w:ascii="Palatino Linotype" w:hAnsi="Palatino Linotype" w:cs="Arial"/>
          <w:sz w:val="22"/>
          <w:szCs w:val="22"/>
          <w:lang w:val="es-ES"/>
        </w:rPr>
      </w:pPr>
    </w:p>
    <w:p w:rsidR="00D935F1" w:rsidRDefault="00D935F1">
      <w:pPr>
        <w:jc w:val="both"/>
        <w:rPr>
          <w:rFonts w:ascii="Palatino Linotype" w:hAnsi="Palatino Linotype" w:cs="Arial"/>
          <w:sz w:val="22"/>
          <w:szCs w:val="22"/>
          <w:lang w:val="es-ES"/>
        </w:rPr>
      </w:pPr>
    </w:p>
    <w:p w:rsidR="00D935F1" w:rsidRDefault="00BF1C6A">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veintiséis de agosto de dos mil veinte, emitida en el recurso de revisión número 01312/INFOEM/IP/RR/2020 y acumulado. </w:t>
      </w:r>
    </w:p>
    <w:p w:rsidR="00D935F1" w:rsidRDefault="00BF1C6A">
      <w:pPr>
        <w:jc w:val="both"/>
        <w:rPr>
          <w:rFonts w:ascii="Palatino Linotype" w:hAnsi="Palatino Linotype" w:cs="Arial"/>
          <w:sz w:val="22"/>
          <w:szCs w:val="22"/>
          <w:lang w:val="es-ES"/>
        </w:rPr>
      </w:pPr>
      <w:r>
        <w:rPr>
          <w:rFonts w:ascii="Palatino Linotype" w:hAnsi="Palatino Linotype" w:cs="Arial"/>
          <w:sz w:val="22"/>
          <w:szCs w:val="22"/>
          <w:lang w:val="es-ES"/>
        </w:rPr>
        <w:t>YSM/AAS</w:t>
      </w:r>
    </w:p>
    <w:sectPr w:rsidR="00D935F1">
      <w:headerReference w:type="default" r:id="rId14"/>
      <w:footerReference w:type="default" r:id="rId15"/>
      <w:headerReference w:type="first" r:id="rId16"/>
      <w:footerReference w:type="first" r:id="rId17"/>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53C" w:rsidRDefault="0012553C">
      <w:r>
        <w:separator/>
      </w:r>
    </w:p>
  </w:endnote>
  <w:endnote w:type="continuationSeparator" w:id="0">
    <w:p w:rsidR="0012553C" w:rsidRDefault="00125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5F1" w:rsidRDefault="00BF1C6A">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73442">
      <w:rPr>
        <w:rFonts w:ascii="Palatino Linotype" w:hAnsi="Palatino Linotype" w:cs="Arial"/>
        <w:bCs/>
        <w:noProof/>
        <w:sz w:val="22"/>
        <w:szCs w:val="22"/>
      </w:rPr>
      <w:t>3</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73442">
      <w:rPr>
        <w:rFonts w:ascii="Palatino Linotype" w:hAnsi="Palatino Linotype" w:cs="Arial"/>
        <w:bCs/>
        <w:noProof/>
        <w:sz w:val="22"/>
        <w:szCs w:val="22"/>
      </w:rPr>
      <w:t>58</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5F1" w:rsidRDefault="00BF1C6A">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873442">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873442">
      <w:rPr>
        <w:rFonts w:ascii="Palatino Linotype" w:hAnsi="Palatino Linotype" w:cs="Arial"/>
        <w:bCs/>
        <w:noProof/>
        <w:sz w:val="22"/>
        <w:szCs w:val="22"/>
      </w:rPr>
      <w:t>58</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53C" w:rsidRDefault="0012553C">
      <w:pPr>
        <w:rPr>
          <w:sz w:val="12"/>
        </w:rPr>
      </w:pPr>
      <w:r>
        <w:separator/>
      </w:r>
    </w:p>
  </w:footnote>
  <w:footnote w:type="continuationSeparator" w:id="0">
    <w:p w:rsidR="0012553C" w:rsidRDefault="0012553C">
      <w:pPr>
        <w:rPr>
          <w:sz w:val="12"/>
        </w:rPr>
      </w:pPr>
      <w:r>
        <w:continuationSeparator/>
      </w:r>
    </w:p>
  </w:footnote>
  <w:footnote w:id="1">
    <w:p w:rsidR="00D935F1" w:rsidRDefault="00BF1C6A">
      <w:pPr>
        <w:pStyle w:val="Textonotapie"/>
        <w:rPr>
          <w:rFonts w:ascii="Palatino Linotype" w:hAnsi="Palatino Linotype"/>
          <w:i/>
          <w:sz w:val="16"/>
        </w:rPr>
      </w:pPr>
      <w:r>
        <w:rPr>
          <w:rStyle w:val="Caracteresdenotaalpie"/>
        </w:rPr>
        <w:footnoteRef/>
      </w:r>
      <w:r>
        <w:t xml:space="preserve"> </w:t>
      </w:r>
      <w:r>
        <w:rPr>
          <w:rFonts w:ascii="Palatino Linotype" w:hAnsi="Palatino Linotype"/>
          <w:b/>
          <w:i/>
          <w:sz w:val="16"/>
        </w:rPr>
        <w:t>Artículo 3.-</w:t>
      </w:r>
      <w:r>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 w:id="2">
    <w:p w:rsidR="00D935F1" w:rsidRDefault="00BF1C6A">
      <w:pPr>
        <w:pStyle w:val="Textonotapie"/>
      </w:pPr>
      <w:r>
        <w:rPr>
          <w:rStyle w:val="Caracteresdenotaalpie"/>
        </w:rPr>
        <w:footnoteRef/>
      </w:r>
      <w:r>
        <w:t xml:space="preserve"> </w:t>
      </w:r>
      <w:r>
        <w:rPr>
          <w:rFonts w:ascii="Palatino Linotype" w:hAnsi="Palatino Linotype"/>
          <w:sz w:val="18"/>
          <w:szCs w:val="18"/>
        </w:rPr>
        <w:t>Ver artículo 4, fracciones V, VI y VII de los Lineamientos.</w:t>
      </w:r>
    </w:p>
  </w:footnote>
  <w:footnote w:id="3">
    <w:p w:rsidR="00D935F1" w:rsidRDefault="00BF1C6A">
      <w:pPr>
        <w:pStyle w:val="Textonotapie"/>
        <w:jc w:val="both"/>
      </w:pPr>
      <w:r>
        <w:rPr>
          <w:rStyle w:val="Caracteresdenotaalpie"/>
        </w:rPr>
        <w:footnoteRef/>
      </w:r>
      <w:r>
        <w:t xml:space="preserve"> </w:t>
      </w:r>
      <w:r>
        <w:rPr>
          <w:sz w:val="22"/>
          <w:szCs w:val="22"/>
        </w:rPr>
        <w:t>“</w:t>
      </w:r>
      <w:r>
        <w:rPr>
          <w:rFonts w:ascii="Palatino Linotype" w:hAnsi="Palatino Linotype"/>
          <w:sz w:val="18"/>
          <w:szCs w:val="18"/>
        </w:rPr>
        <w:t>Artículo 20.- Los expedientes de trámite concluido y los desclasificados se mantendrán íntegros por un período de dos años en los Archivos de Trámite de las Unidades Administrativas. Cumplido este plazo se podrá proceder a su selección preliminar y transferencia al Archivo de Concentración.”</w:t>
      </w:r>
    </w:p>
  </w:footnote>
  <w:footnote w:id="4">
    <w:p w:rsidR="00D935F1" w:rsidRDefault="00BF1C6A">
      <w:pPr>
        <w:pStyle w:val="Textonotapie"/>
        <w:jc w:val="both"/>
        <w:rPr>
          <w:rFonts w:ascii="Palatino Linotype" w:hAnsi="Palatino Linotype"/>
          <w:sz w:val="18"/>
          <w:szCs w:val="18"/>
        </w:rPr>
      </w:pPr>
      <w:r>
        <w:rPr>
          <w:rStyle w:val="Caracteresdenotaalpie"/>
        </w:rPr>
        <w:footnoteRef/>
      </w:r>
      <w:r>
        <w:t xml:space="preserve"> </w:t>
      </w:r>
      <w:r>
        <w:rPr>
          <w:rFonts w:ascii="Palatino Linotype" w:hAnsi="Palatino Linotype"/>
          <w:sz w:val="18"/>
          <w:szCs w:val="18"/>
        </w:rPr>
        <w:t xml:space="preserve">“Artículo 7. Es obligación de los servidores públicos custodiar y facilitar el acceso a los documentos que se encuentren bajo su resguardo en razón de sus atribuciones y de conformidad con la Ley de Transparencia, la Ley de Documentos y los presentes Lineamientos.” </w:t>
      </w:r>
    </w:p>
    <w:p w:rsidR="00D935F1" w:rsidRDefault="00BF1C6A">
      <w:pPr>
        <w:pStyle w:val="Textonotapie"/>
        <w:jc w:val="both"/>
        <w:rPr>
          <w:sz w:val="18"/>
          <w:szCs w:val="18"/>
        </w:rPr>
      </w:pPr>
      <w:r>
        <w:rPr>
          <w:rFonts w:ascii="Palatino Linotype" w:hAnsi="Palatino Linotype"/>
          <w:sz w:val="18"/>
          <w:szCs w:val="18"/>
        </w:rPr>
        <w:t>“Artículo 70. Las Unidades Administrativas que transfieran sus documentos y expedientes de trámite concluido a un Archivo de Concentración, seguirán manteniendo la responsabilidad de proporcionar la información contenida en ellos cuando le sea requerida en términos de los ordenamientos vigentes, hasta el momento en que prescriban sus valores administrativos y concluya su conservación precaucional y adquieran el carácter de históricos, o hasta cuando proceda su eliminación de conformidad con la normatividad emitida por la Comisión.”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5F1" w:rsidRDefault="00BF1C6A">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56" behindDoc="1" locked="0" layoutInCell="1" allowOverlap="1">
          <wp:simplePos x="0" y="0"/>
          <wp:positionH relativeFrom="column">
            <wp:align>center</wp:align>
          </wp:positionH>
          <wp:positionV relativeFrom="margin">
            <wp:align>center</wp:align>
          </wp:positionV>
          <wp:extent cx="6858635" cy="9144635"/>
          <wp:effectExtent l="0" t="0" r="0" b="0"/>
          <wp:wrapNone/>
          <wp:docPr id="7"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D935F1">
      <w:tc>
        <w:tcPr>
          <w:tcW w:w="3259" w:type="dxa"/>
          <w:vMerge w:val="restart"/>
        </w:tcPr>
        <w:p w:rsidR="00D935F1" w:rsidRDefault="00BF1C6A">
          <w:pPr>
            <w:rPr>
              <w:rFonts w:ascii="Palatino Linotype" w:hAnsi="Palatino Linotype"/>
              <w:b/>
              <w:sz w:val="22"/>
              <w:szCs w:val="22"/>
              <w:lang w:val="es-ES_tradnl"/>
            </w:rPr>
          </w:pPr>
          <w:r>
            <w:rPr>
              <w:noProof/>
              <w:lang w:eastAsia="es-MX"/>
            </w:rPr>
            <w:drawing>
              <wp:inline distT="0" distB="0" distL="0" distR="0">
                <wp:extent cx="1663700" cy="838200"/>
                <wp:effectExtent l="0" t="0" r="0" b="0"/>
                <wp:docPr id="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D935F1" w:rsidRDefault="00BF1C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D935F1" w:rsidRDefault="00BF1C6A">
          <w:pPr>
            <w:jc w:val="both"/>
            <w:rPr>
              <w:rFonts w:ascii="Palatino Linotype" w:hAnsi="Palatino Linotype"/>
              <w:b/>
              <w:sz w:val="22"/>
              <w:szCs w:val="22"/>
              <w:lang w:val="es-ES_tradnl"/>
            </w:rPr>
          </w:pPr>
          <w:r>
            <w:rPr>
              <w:rFonts w:ascii="Palatino Linotype" w:hAnsi="Palatino Linotype"/>
              <w:b/>
              <w:sz w:val="22"/>
              <w:szCs w:val="22"/>
              <w:lang w:val="es-ES_tradnl"/>
            </w:rPr>
            <w:t>01312/INFOEM/IP/RR/2020 y acumulado</w:t>
          </w:r>
        </w:p>
      </w:tc>
    </w:tr>
    <w:tr w:rsidR="00D935F1">
      <w:tc>
        <w:tcPr>
          <w:tcW w:w="3259" w:type="dxa"/>
          <w:vMerge/>
        </w:tcPr>
        <w:p w:rsidR="00D935F1" w:rsidRDefault="00D935F1">
          <w:pPr>
            <w:rPr>
              <w:rFonts w:ascii="Palatino Linotype" w:hAnsi="Palatino Linotype"/>
              <w:b/>
              <w:sz w:val="22"/>
              <w:szCs w:val="22"/>
              <w:lang w:val="es-ES_tradnl"/>
            </w:rPr>
          </w:pPr>
        </w:p>
      </w:tc>
      <w:tc>
        <w:tcPr>
          <w:tcW w:w="2551" w:type="dxa"/>
          <w:shd w:val="clear" w:color="auto" w:fill="auto"/>
        </w:tcPr>
        <w:p w:rsidR="00D935F1" w:rsidRDefault="00BF1C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D935F1" w:rsidRDefault="00BF1C6A">
          <w:pPr>
            <w:jc w:val="both"/>
            <w:rPr>
              <w:rFonts w:ascii="Palatino Linotype" w:hAnsi="Palatino Linotype"/>
              <w:b/>
              <w:sz w:val="22"/>
              <w:szCs w:val="22"/>
              <w:lang w:val="es-ES_tradnl"/>
            </w:rPr>
          </w:pPr>
          <w:r>
            <w:rPr>
              <w:rFonts w:ascii="Palatino Linotype" w:hAnsi="Palatino Linotype"/>
              <w:b/>
              <w:sz w:val="22"/>
              <w:szCs w:val="22"/>
              <w:lang w:val="es-ES_tradnl"/>
            </w:rPr>
            <w:t>Ayuntamiento de Ocoyoacac</w:t>
          </w:r>
        </w:p>
      </w:tc>
    </w:tr>
    <w:tr w:rsidR="00D935F1">
      <w:trPr>
        <w:trHeight w:val="228"/>
      </w:trPr>
      <w:tc>
        <w:tcPr>
          <w:tcW w:w="3259" w:type="dxa"/>
          <w:vMerge/>
        </w:tcPr>
        <w:p w:rsidR="00D935F1" w:rsidRDefault="00D935F1">
          <w:pPr>
            <w:rPr>
              <w:rFonts w:ascii="Palatino Linotype" w:hAnsi="Palatino Linotype"/>
              <w:b/>
              <w:sz w:val="22"/>
              <w:szCs w:val="22"/>
              <w:lang w:val="es-ES_tradnl"/>
            </w:rPr>
          </w:pPr>
        </w:p>
      </w:tc>
      <w:tc>
        <w:tcPr>
          <w:tcW w:w="2551" w:type="dxa"/>
          <w:shd w:val="clear" w:color="auto" w:fill="auto"/>
        </w:tcPr>
        <w:p w:rsidR="00D935F1" w:rsidRDefault="00BF1C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D935F1" w:rsidRDefault="00BF1C6A">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935F1" w:rsidRDefault="00D935F1">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5F1" w:rsidRDefault="00BF1C6A">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9"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2"/>
      <w:gridCol w:w="3687"/>
    </w:tblGrid>
    <w:tr w:rsidR="00D935F1">
      <w:tc>
        <w:tcPr>
          <w:tcW w:w="4251" w:type="dxa"/>
          <w:vMerge w:val="restart"/>
          <w:shd w:val="clear" w:color="auto" w:fill="auto"/>
        </w:tcPr>
        <w:p w:rsidR="00D935F1" w:rsidRDefault="00BF1C6A">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D935F1" w:rsidRDefault="00BF1C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rsidR="00D935F1" w:rsidRDefault="00BF1C6A">
          <w:pPr>
            <w:jc w:val="both"/>
            <w:rPr>
              <w:rFonts w:ascii="Palatino Linotype" w:hAnsi="Palatino Linotype"/>
              <w:b/>
              <w:sz w:val="22"/>
              <w:szCs w:val="22"/>
              <w:lang w:val="es-ES_tradnl"/>
            </w:rPr>
          </w:pPr>
          <w:r>
            <w:rPr>
              <w:rFonts w:ascii="Palatino Linotype" w:hAnsi="Palatino Linotype"/>
              <w:b/>
              <w:sz w:val="22"/>
              <w:szCs w:val="22"/>
              <w:lang w:val="es-ES_tradnl"/>
            </w:rPr>
            <w:t>01312/INFOEM/IP/RR/2020 y 01607/INFOEM/IP/RR/2020 acumulados</w:t>
          </w:r>
        </w:p>
      </w:tc>
    </w:tr>
    <w:tr w:rsidR="00D935F1">
      <w:tc>
        <w:tcPr>
          <w:tcW w:w="4251" w:type="dxa"/>
          <w:vMerge/>
          <w:shd w:val="clear" w:color="auto" w:fill="auto"/>
        </w:tcPr>
        <w:p w:rsidR="00D935F1" w:rsidRDefault="00D935F1">
          <w:pPr>
            <w:rPr>
              <w:rFonts w:ascii="Palatino Linotype" w:hAnsi="Palatino Linotype"/>
              <w:b/>
              <w:sz w:val="22"/>
              <w:szCs w:val="22"/>
              <w:lang w:val="es-ES_tradnl"/>
            </w:rPr>
          </w:pPr>
        </w:p>
      </w:tc>
      <w:tc>
        <w:tcPr>
          <w:tcW w:w="2552" w:type="dxa"/>
          <w:shd w:val="clear" w:color="auto" w:fill="auto"/>
        </w:tcPr>
        <w:p w:rsidR="00D935F1" w:rsidRDefault="00BF1C6A">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rsidR="00D935F1" w:rsidRDefault="00873442">
          <w:pPr>
            <w:jc w:val="both"/>
            <w:rPr>
              <w:rFonts w:ascii="Palatino Linotype" w:hAnsi="Palatino Linotype"/>
              <w:b/>
              <w:sz w:val="22"/>
              <w:szCs w:val="22"/>
              <w:lang w:val="es-ES_tradnl"/>
            </w:rPr>
          </w:pPr>
          <w:r>
            <w:rPr>
              <w:rFonts w:ascii="Palatino Linotype" w:hAnsi="Palatino Linotype"/>
              <w:b/>
              <w:lang w:val="es-ES_tradnl"/>
            </w:rPr>
            <w:t>Xxxxx Xxxx Xx</w:t>
          </w:r>
        </w:p>
      </w:tc>
    </w:tr>
    <w:tr w:rsidR="00D935F1">
      <w:trPr>
        <w:trHeight w:val="228"/>
      </w:trPr>
      <w:tc>
        <w:tcPr>
          <w:tcW w:w="4251" w:type="dxa"/>
          <w:vMerge/>
          <w:shd w:val="clear" w:color="auto" w:fill="auto"/>
        </w:tcPr>
        <w:p w:rsidR="00D935F1" w:rsidRDefault="00D935F1">
          <w:pPr>
            <w:rPr>
              <w:rFonts w:ascii="Palatino Linotype" w:hAnsi="Palatino Linotype"/>
              <w:b/>
              <w:sz w:val="22"/>
              <w:szCs w:val="22"/>
              <w:lang w:val="es-ES_tradnl"/>
            </w:rPr>
          </w:pPr>
        </w:p>
      </w:tc>
      <w:tc>
        <w:tcPr>
          <w:tcW w:w="2552" w:type="dxa"/>
          <w:shd w:val="clear" w:color="auto" w:fill="auto"/>
        </w:tcPr>
        <w:p w:rsidR="00D935F1" w:rsidRDefault="00BF1C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rsidR="00D935F1" w:rsidRDefault="00BF1C6A">
          <w:pPr>
            <w:jc w:val="both"/>
            <w:rPr>
              <w:rFonts w:ascii="Palatino Linotype" w:hAnsi="Palatino Linotype"/>
              <w:b/>
              <w:sz w:val="22"/>
              <w:szCs w:val="22"/>
            </w:rPr>
          </w:pPr>
          <w:r>
            <w:rPr>
              <w:rFonts w:ascii="Palatino Linotype" w:hAnsi="Palatino Linotype"/>
              <w:b/>
            </w:rPr>
            <w:t>Ayuntamiento de Ocoyoacac</w:t>
          </w:r>
        </w:p>
      </w:tc>
    </w:tr>
    <w:tr w:rsidR="00D935F1">
      <w:tc>
        <w:tcPr>
          <w:tcW w:w="4251" w:type="dxa"/>
          <w:vMerge/>
          <w:shd w:val="clear" w:color="auto" w:fill="auto"/>
        </w:tcPr>
        <w:p w:rsidR="00D935F1" w:rsidRDefault="00D935F1">
          <w:pPr>
            <w:rPr>
              <w:rFonts w:ascii="Palatino Linotype" w:hAnsi="Palatino Linotype"/>
              <w:b/>
              <w:sz w:val="22"/>
              <w:szCs w:val="22"/>
              <w:lang w:val="es-ES_tradnl"/>
            </w:rPr>
          </w:pPr>
        </w:p>
      </w:tc>
      <w:tc>
        <w:tcPr>
          <w:tcW w:w="2552" w:type="dxa"/>
          <w:shd w:val="clear" w:color="auto" w:fill="auto"/>
        </w:tcPr>
        <w:p w:rsidR="00D935F1" w:rsidRDefault="00BF1C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rsidR="00D935F1" w:rsidRDefault="00BF1C6A">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935F1" w:rsidRDefault="00D935F1">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8313C"/>
    <w:multiLevelType w:val="multilevel"/>
    <w:tmpl w:val="EF1A68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4AC5158"/>
    <w:multiLevelType w:val="multilevel"/>
    <w:tmpl w:val="C46ACD46"/>
    <w:lvl w:ilvl="0">
      <w:start w:val="1"/>
      <w:numFmt w:val="ordinalText"/>
      <w:lvlText w:val="%1."/>
      <w:lvlJc w:val="left"/>
      <w:pPr>
        <w:ind w:left="502" w:hanging="360"/>
      </w:pPr>
      <w:rPr>
        <w:b/>
        <w:caps/>
        <w:sz w:val="28"/>
      </w:rPr>
    </w:lvl>
    <w:lvl w:ilvl="1">
      <w:start w:val="1"/>
      <w:numFmt w:val="bullet"/>
      <w:lvlText w:val="-"/>
      <w:lvlJc w:val="left"/>
      <w:pPr>
        <w:ind w:left="1440" w:hanging="360"/>
      </w:pPr>
      <w:rPr>
        <w:rFonts w:ascii="Palatino Linotype" w:hAnsi="Palatino Linotype"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99420C0"/>
    <w:multiLevelType w:val="multilevel"/>
    <w:tmpl w:val="61B4C2C8"/>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36805AD"/>
    <w:multiLevelType w:val="multilevel"/>
    <w:tmpl w:val="E3642D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5A650F94"/>
    <w:multiLevelType w:val="multilevel"/>
    <w:tmpl w:val="84042156"/>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03113AF"/>
    <w:multiLevelType w:val="multilevel"/>
    <w:tmpl w:val="CA6ADC3E"/>
    <w:lvl w:ilvl="0">
      <w:start w:val="1"/>
      <w:numFmt w:val="lowerLetter"/>
      <w:lvlText w:val="%1)"/>
      <w:lvlJc w:val="left"/>
      <w:pPr>
        <w:ind w:left="360" w:hanging="360"/>
      </w:pPr>
      <w:rPr>
        <w:rFonts w:eastAsia="MS Mincho" w:cs="Arial"/>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 w15:restartNumberingAfterBreak="0">
    <w:nsid w:val="643349A8"/>
    <w:multiLevelType w:val="multilevel"/>
    <w:tmpl w:val="CD0831BE"/>
    <w:lvl w:ilvl="0">
      <w:start w:val="4"/>
      <w:numFmt w:val="ordinalText"/>
      <w:lvlText w:val="%1."/>
      <w:lvlJc w:val="left"/>
      <w:pPr>
        <w:ind w:left="502" w:hanging="360"/>
      </w:pPr>
      <w:rPr>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9A20DD"/>
    <w:multiLevelType w:val="multilevel"/>
    <w:tmpl w:val="0A3C1E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7DBD0233"/>
    <w:multiLevelType w:val="multilevel"/>
    <w:tmpl w:val="1522F6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8"/>
  </w:num>
  <w:num w:numId="3">
    <w:abstractNumId w:val="1"/>
  </w:num>
  <w:num w:numId="4">
    <w:abstractNumId w:val="3"/>
  </w:num>
  <w:num w:numId="5">
    <w:abstractNumId w:val="7"/>
  </w:num>
  <w:num w:numId="6">
    <w:abstractNumId w:val="5"/>
  </w:num>
  <w:num w:numId="7">
    <w:abstractNumId w:val="6"/>
  </w:num>
  <w:num w:numId="8">
    <w:abstractNumId w:val="4"/>
  </w:num>
  <w:num w:numId="9">
    <w:abstractNumId w:val="0"/>
  </w:num>
  <w:num w:numId="10">
    <w:abstractNumId w:val="2"/>
    <w:lvlOverride w:ilvl="0">
      <w:lvl w:ilvl="0">
        <w:start w:val="1"/>
        <w:numFmt w:val="upperRoman"/>
        <w:lvlText w:val="%1."/>
        <w:lvlJc w:val="left"/>
        <w:pPr>
          <w:ind w:left="720" w:hanging="360"/>
        </w:pPr>
        <w:rPr>
          <w:b/>
          <w:i w:val="0"/>
          <w:caps/>
          <w:color w:val="auto"/>
          <w:sz w:val="2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5F1"/>
    <w:rsid w:val="0012553C"/>
    <w:rsid w:val="00407EC3"/>
    <w:rsid w:val="00873442"/>
    <w:rsid w:val="00BF1C6A"/>
    <w:rsid w:val="00D935F1"/>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CE8BDD-6C19-4320-ABC1-F9FCF467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F46"/>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72"/>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Textoindependiente3Car">
    <w:name w:val="Texto independiente 3 Car"/>
    <w:basedOn w:val="Fuentedeprrafopredeter"/>
    <w:link w:val="Textoindependiente3"/>
    <w:uiPriority w:val="99"/>
    <w:semiHidden/>
    <w:qFormat/>
    <w:rsid w:val="002E26FC"/>
    <w:rPr>
      <w:rFonts w:ascii="Times New Roman" w:eastAsia="Times New Roman" w:hAnsi="Times New Roman" w:cs="Times New Roman"/>
      <w:sz w:val="16"/>
      <w:szCs w:val="16"/>
      <w:lang w:val="es-MX"/>
    </w:rPr>
  </w:style>
  <w:style w:type="character" w:customStyle="1" w:styleId="Caracteresdenotaalpie">
    <w:name w:val="Caracteres de nota al pi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72"/>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customStyle="1" w:styleId="xmsonormal">
    <w:name w:val="x_msonormal"/>
    <w:basedOn w:val="Normal"/>
    <w:qFormat/>
    <w:rsid w:val="002E26FC"/>
    <w:pPr>
      <w:spacing w:beforeAutospacing="1" w:afterAutospacing="1"/>
    </w:pPr>
    <w:rPr>
      <w:lang w:eastAsia="es-MX"/>
    </w:rPr>
  </w:style>
  <w:style w:type="paragraph" w:styleId="Textoindependiente3">
    <w:name w:val="Body Text 3"/>
    <w:basedOn w:val="Normal"/>
    <w:link w:val="Textoindependiente3Car"/>
    <w:uiPriority w:val="99"/>
    <w:semiHidden/>
    <w:unhideWhenUsed/>
    <w:qFormat/>
    <w:rsid w:val="002E26FC"/>
    <w:pPr>
      <w:spacing w:after="120"/>
    </w:pPr>
    <w:rPr>
      <w:sz w:val="16"/>
      <w:szCs w:val="16"/>
    </w:rPr>
  </w:style>
  <w:style w:type="numbering" w:customStyle="1" w:styleId="Estiloimportado2">
    <w:name w:val="Estilo importado 2"/>
    <w:qFormat/>
    <w:rsid w:val="008677B6"/>
  </w:style>
  <w:style w:type="numbering" w:customStyle="1" w:styleId="Estiloimportado1">
    <w:name w:val="Estilo importado 1"/>
    <w:qFormat/>
    <w:rsid w:val="00CC7BDB"/>
  </w:style>
  <w:style w:type="numbering" w:customStyle="1" w:styleId="Estiloimportado21">
    <w:name w:val="Estilo importado 21"/>
    <w:qFormat/>
    <w:rsid w:val="002E26FC"/>
  </w:style>
  <w:style w:type="numbering" w:customStyle="1" w:styleId="Estiloimportado11">
    <w:name w:val="Estilo importado 11"/>
    <w:qFormat/>
    <w:rsid w:val="002E26FC"/>
  </w:style>
  <w:style w:type="numbering" w:customStyle="1" w:styleId="Sinlista1">
    <w:name w:val="Sin lista1"/>
    <w:uiPriority w:val="99"/>
    <w:semiHidden/>
    <w:unhideWhenUsed/>
    <w:qFormat/>
    <w:rsid w:val="002E26FC"/>
  </w:style>
  <w:style w:type="numbering" w:customStyle="1" w:styleId="Sinlista2">
    <w:name w:val="Sin lista2"/>
    <w:uiPriority w:val="99"/>
    <w:semiHidden/>
    <w:unhideWhenUsed/>
    <w:qFormat/>
    <w:rsid w:val="002E26FC"/>
  </w:style>
  <w:style w:type="numbering" w:customStyle="1" w:styleId="Sinlista11">
    <w:name w:val="Sin lista11"/>
    <w:uiPriority w:val="99"/>
    <w:semiHidden/>
    <w:unhideWhenUsed/>
    <w:qFormat/>
    <w:rsid w:val="002E26FC"/>
  </w:style>
  <w:style w:type="numbering" w:customStyle="1" w:styleId="Sinlista111">
    <w:name w:val="Sin lista111"/>
    <w:uiPriority w:val="99"/>
    <w:semiHidden/>
    <w:unhideWhenUsed/>
    <w:qFormat/>
    <w:rsid w:val="002E26FC"/>
  </w:style>
  <w:style w:type="numbering" w:customStyle="1" w:styleId="Sinlista21">
    <w:name w:val="Sin lista21"/>
    <w:uiPriority w:val="99"/>
    <w:semiHidden/>
    <w:unhideWhenUsed/>
    <w:qFormat/>
    <w:rsid w:val="002E26FC"/>
  </w:style>
  <w:style w:type="numbering" w:customStyle="1" w:styleId="Sinlista3">
    <w:name w:val="Sin lista3"/>
    <w:uiPriority w:val="99"/>
    <w:semiHidden/>
    <w:unhideWhenUsed/>
    <w:qFormat/>
    <w:rsid w:val="002E26FC"/>
  </w:style>
  <w:style w:type="numbering" w:customStyle="1" w:styleId="Sinlista4">
    <w:name w:val="Sin lista4"/>
    <w:uiPriority w:val="99"/>
    <w:semiHidden/>
    <w:unhideWhenUsed/>
    <w:qFormat/>
    <w:rsid w:val="002E26FC"/>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2E26F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2E26F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2E26F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2E26F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2E26F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2E26F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2E26F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2E26F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8E86E-7B91-453F-8F35-EA6036192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15165</Words>
  <Characters>83413</Characters>
  <Application>Microsoft Office Word</Application>
  <DocSecurity>0</DocSecurity>
  <Lines>695</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edgar escobar</cp:lastModifiedBy>
  <cp:revision>2</cp:revision>
  <cp:lastPrinted>2020-01-22T19:55:00Z</cp:lastPrinted>
  <dcterms:created xsi:type="dcterms:W3CDTF">2020-09-07T21:51:00Z</dcterms:created>
  <dcterms:modified xsi:type="dcterms:W3CDTF">2020-09-07T21:51:00Z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