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176EF" w14:textId="68E88EBD" w:rsidR="00693407" w:rsidRPr="008B792B" w:rsidRDefault="00693407" w:rsidP="00693407">
      <w:pPr>
        <w:spacing w:line="360" w:lineRule="auto"/>
        <w:ind w:right="48"/>
        <w:contextualSpacing/>
        <w:jc w:val="both"/>
        <w:rPr>
          <w:rFonts w:ascii="Palatino Linotype" w:eastAsia="Times New Roman" w:hAnsi="Palatino Linotype"/>
          <w:sz w:val="24"/>
          <w:szCs w:val="24"/>
        </w:rPr>
      </w:pPr>
      <w:r w:rsidRPr="008B792B">
        <w:rPr>
          <w:rFonts w:ascii="Palatino Linotype" w:eastAsia="Times New Roman" w:hAnsi="Palatino Linotype"/>
          <w:b/>
          <w:sz w:val="24"/>
          <w:szCs w:val="24"/>
        </w:rPr>
        <w:t>DEBERES DE LAS AUTORIDADES.</w:t>
      </w:r>
      <w:r w:rsidRPr="008B792B">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w:t>
      </w:r>
      <w:proofErr w:type="gramStart"/>
      <w:r w:rsidRPr="008B792B">
        <w:rPr>
          <w:rFonts w:ascii="Palatino Linotype" w:eastAsia="Times New Roman" w:hAnsi="Palatino Linotype"/>
          <w:sz w:val="24"/>
          <w:szCs w:val="24"/>
        </w:rPr>
        <w:t>obligación</w:t>
      </w:r>
      <w:proofErr w:type="gramEnd"/>
      <w:r w:rsidRPr="008B792B">
        <w:rPr>
          <w:rFonts w:ascii="Palatino Linotype" w:eastAsia="Times New Roman" w:hAnsi="Palatino Linotype"/>
          <w:sz w:val="24"/>
          <w:szCs w:val="24"/>
        </w:rPr>
        <w:t xml:space="preserve"> de respetarlo, protegerlo y garantizarlo.</w:t>
      </w:r>
    </w:p>
    <w:p w14:paraId="3CB8C798" w14:textId="520C35A1" w:rsidR="00560E94" w:rsidRPr="008B792B" w:rsidRDefault="00560E94" w:rsidP="00693407">
      <w:pPr>
        <w:spacing w:line="360" w:lineRule="auto"/>
        <w:ind w:right="48"/>
        <w:contextualSpacing/>
        <w:jc w:val="both"/>
        <w:rPr>
          <w:rFonts w:ascii="Palatino Linotype" w:eastAsia="Times New Roman" w:hAnsi="Palatino Linotype"/>
          <w:sz w:val="24"/>
          <w:szCs w:val="24"/>
        </w:rPr>
      </w:pPr>
    </w:p>
    <w:p w14:paraId="04A5C9AF" w14:textId="61E56408" w:rsidR="00560E94" w:rsidRPr="008B792B" w:rsidRDefault="00560E94" w:rsidP="00560E94">
      <w:pPr>
        <w:spacing w:line="360" w:lineRule="auto"/>
        <w:jc w:val="both"/>
        <w:rPr>
          <w:rFonts w:ascii="Palatino Linotype" w:eastAsia="Calibri" w:hAnsi="Palatino Linotype" w:cs="Times New Roman"/>
          <w:sz w:val="24"/>
          <w:szCs w:val="24"/>
        </w:rPr>
      </w:pPr>
      <w:r w:rsidRPr="008B792B">
        <w:rPr>
          <w:rFonts w:ascii="Palatino Linotype" w:eastAsia="Calibri" w:hAnsi="Palatino Linotype" w:cs="Times New Roman"/>
          <w:b/>
          <w:sz w:val="24"/>
          <w:szCs w:val="24"/>
        </w:rPr>
        <w:t>RESPUESTAS IMPRECISAS O INCOMPLETAS, DEBER DE REPARACIÓN.</w:t>
      </w:r>
      <w:r w:rsidRPr="008B792B">
        <w:rPr>
          <w:rFonts w:ascii="Palatino Linotype" w:eastAsia="Calibri" w:hAnsi="Palatino Linotype" w:cs="Times New Roman"/>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FB0F208" w14:textId="77777777" w:rsidR="00C3261C" w:rsidRPr="008B792B" w:rsidRDefault="00C3261C" w:rsidP="00C3261C">
      <w:pPr>
        <w:spacing w:before="240" w:after="240" w:line="360" w:lineRule="auto"/>
        <w:jc w:val="both"/>
        <w:rPr>
          <w:rFonts w:ascii="Palatino Linotype" w:eastAsia="MS Mincho" w:hAnsi="Palatino Linotype" w:cs="Times New Roman"/>
          <w:sz w:val="24"/>
          <w:szCs w:val="24"/>
        </w:rPr>
      </w:pPr>
      <w:r w:rsidRPr="008B792B">
        <w:rPr>
          <w:rFonts w:ascii="Palatino Linotype" w:eastAsia="MS Mincho" w:hAnsi="Palatino Linotype" w:cs="Times New Roman"/>
          <w:b/>
          <w:sz w:val="24"/>
          <w:szCs w:val="24"/>
        </w:rPr>
        <w:t xml:space="preserve">INFORMACIÓN DISPONIBLE EN SITIOS ELECTRÓNICOS. </w:t>
      </w:r>
      <w:r w:rsidRPr="008B792B">
        <w:rPr>
          <w:rFonts w:ascii="Palatino Linotype" w:eastAsia="MS Mincho" w:hAnsi="Palatino Linotype" w:cs="Times New Roman"/>
          <w:sz w:val="24"/>
          <w:szCs w:val="24"/>
        </w:rPr>
        <w:t>Al indicar que la información solicitada se encuentra disponible en sitios electrónicos, los Sujetos Obligados deberán indicar la dirección electrónica correcta, así como el procedimiento a seguir para allegarse de la información solicitada, de tal modo que no implique que realizar una búsqueda en toda la información disponible, la falta de alguno de estos elementos causa una afectación al derecho de los recurrentes.</w:t>
      </w:r>
    </w:p>
    <w:p w14:paraId="383B7C8C" w14:textId="77777777" w:rsidR="00C3261C" w:rsidRPr="008B792B" w:rsidRDefault="00C3261C" w:rsidP="00560E94">
      <w:pPr>
        <w:spacing w:line="360" w:lineRule="auto"/>
        <w:jc w:val="both"/>
        <w:rPr>
          <w:rFonts w:ascii="Palatino Linotype" w:eastAsia="Calibri" w:hAnsi="Palatino Linotype" w:cs="Times New Roman"/>
          <w:sz w:val="24"/>
          <w:szCs w:val="24"/>
        </w:rPr>
      </w:pPr>
    </w:p>
    <w:p w14:paraId="23C4719C" w14:textId="09479838" w:rsidR="00560E94" w:rsidRPr="008B792B" w:rsidRDefault="00560E94" w:rsidP="00560E94">
      <w:pPr>
        <w:spacing w:line="360" w:lineRule="auto"/>
        <w:jc w:val="both"/>
        <w:rPr>
          <w:rFonts w:ascii="Palatino Linotype" w:eastAsia="Calibri" w:hAnsi="Palatino Linotype" w:cs="Times New Roman"/>
          <w:sz w:val="24"/>
          <w:szCs w:val="24"/>
        </w:rPr>
      </w:pPr>
    </w:p>
    <w:p w14:paraId="1AA75AC3" w14:textId="7DF13A61" w:rsidR="00B9797C" w:rsidRPr="008B792B" w:rsidRDefault="00B9797C" w:rsidP="00560E94">
      <w:pPr>
        <w:spacing w:line="360" w:lineRule="auto"/>
        <w:jc w:val="both"/>
        <w:rPr>
          <w:rFonts w:ascii="Palatino Linotype" w:eastAsia="Calibri" w:hAnsi="Palatino Linotype" w:cs="Times New Roman"/>
          <w:sz w:val="24"/>
          <w:szCs w:val="24"/>
        </w:rPr>
      </w:pPr>
    </w:p>
    <w:p w14:paraId="2557DFD3" w14:textId="0F9E9320" w:rsidR="00E113EC" w:rsidRPr="008B792B"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8B792B">
        <w:rPr>
          <w:rFonts w:ascii="Palatino Linotype" w:eastAsiaTheme="minorEastAsia" w:hAnsi="Palatino Linotype"/>
          <w:b/>
          <w:szCs w:val="24"/>
          <w:lang w:val="es-ES_tradnl" w:eastAsia="es-ES"/>
        </w:rPr>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8B792B"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0C60DA5B" w14:textId="06A9962D" w:rsidR="00876997" w:rsidRPr="008B792B" w:rsidRDefault="00E113EC">
          <w:pPr>
            <w:pStyle w:val="TDC1"/>
            <w:tabs>
              <w:tab w:val="right" w:leader="dot" w:pos="8779"/>
            </w:tabs>
            <w:rPr>
              <w:rFonts w:eastAsiaTheme="minorEastAsia"/>
              <w:noProof/>
              <w:lang w:eastAsia="es-MX"/>
            </w:rPr>
          </w:pPr>
          <w:r w:rsidRPr="008B792B">
            <w:rPr>
              <w:rFonts w:ascii="Palatino Linotype" w:eastAsiaTheme="minorEastAsia" w:hAnsi="Palatino Linotype"/>
              <w:b/>
              <w:szCs w:val="24"/>
              <w:lang w:val="es-ES_tradnl" w:eastAsia="es-ES"/>
            </w:rPr>
            <w:fldChar w:fldCharType="begin"/>
          </w:r>
          <w:r w:rsidRPr="008B792B">
            <w:rPr>
              <w:rFonts w:ascii="Palatino Linotype" w:eastAsiaTheme="minorEastAsia" w:hAnsi="Palatino Linotype"/>
              <w:b/>
              <w:szCs w:val="24"/>
              <w:lang w:val="es-ES_tradnl" w:eastAsia="es-ES"/>
            </w:rPr>
            <w:instrText xml:space="preserve"> TOC \o "1-3" \h \z \u </w:instrText>
          </w:r>
          <w:r w:rsidRPr="008B792B">
            <w:rPr>
              <w:rFonts w:ascii="Palatino Linotype" w:eastAsiaTheme="minorEastAsia" w:hAnsi="Palatino Linotype"/>
              <w:b/>
              <w:szCs w:val="24"/>
              <w:lang w:val="es-ES_tradnl" w:eastAsia="es-ES"/>
            </w:rPr>
            <w:fldChar w:fldCharType="separate"/>
          </w:r>
          <w:hyperlink w:anchor="_Toc57234851" w:history="1">
            <w:r w:rsidR="00876997" w:rsidRPr="008B792B">
              <w:rPr>
                <w:rStyle w:val="Hipervnculo"/>
                <w:rFonts w:ascii="Palatino Linotype" w:eastAsiaTheme="majorEastAsia" w:hAnsi="Palatino Linotype" w:cstheme="majorBidi"/>
                <w:b/>
                <w:noProof/>
              </w:rPr>
              <w:t>A N T E C E D E N T E S</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_Toc57234851 \h </w:instrText>
            </w:r>
            <w:r w:rsidR="00876997" w:rsidRPr="008B792B">
              <w:rPr>
                <w:noProof/>
                <w:webHidden/>
              </w:rPr>
            </w:r>
            <w:r w:rsidR="00876997" w:rsidRPr="008B792B">
              <w:rPr>
                <w:noProof/>
                <w:webHidden/>
              </w:rPr>
              <w:fldChar w:fldCharType="separate"/>
            </w:r>
            <w:r w:rsidR="00876997" w:rsidRPr="008B792B">
              <w:rPr>
                <w:noProof/>
                <w:webHidden/>
              </w:rPr>
              <w:t>3</w:t>
            </w:r>
            <w:r w:rsidR="00876997" w:rsidRPr="008B792B">
              <w:rPr>
                <w:noProof/>
                <w:webHidden/>
              </w:rPr>
              <w:fldChar w:fldCharType="end"/>
            </w:r>
          </w:hyperlink>
        </w:p>
        <w:p w14:paraId="7AA59F16" w14:textId="1053E60B" w:rsidR="00876997" w:rsidRPr="008B792B" w:rsidRDefault="00B15327">
          <w:pPr>
            <w:pStyle w:val="TDC1"/>
            <w:tabs>
              <w:tab w:val="right" w:leader="dot" w:pos="8779"/>
            </w:tabs>
            <w:rPr>
              <w:rFonts w:eastAsiaTheme="minorEastAsia"/>
              <w:noProof/>
              <w:lang w:eastAsia="es-MX"/>
            </w:rPr>
          </w:pPr>
          <w:hyperlink w:anchor="_Toc57234852" w:history="1">
            <w:r w:rsidR="00876997" w:rsidRPr="008B792B">
              <w:rPr>
                <w:rStyle w:val="Hipervnculo"/>
                <w:rFonts w:ascii="Palatino Linotype" w:eastAsiaTheme="majorEastAsia" w:hAnsi="Palatino Linotype" w:cstheme="majorBidi"/>
                <w:b/>
                <w:noProof/>
              </w:rPr>
              <w:t>C O N S I D E R A N D O</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_Toc57234852 \h </w:instrText>
            </w:r>
            <w:r w:rsidR="00876997" w:rsidRPr="008B792B">
              <w:rPr>
                <w:noProof/>
                <w:webHidden/>
              </w:rPr>
            </w:r>
            <w:r w:rsidR="00876997" w:rsidRPr="008B792B">
              <w:rPr>
                <w:noProof/>
                <w:webHidden/>
              </w:rPr>
              <w:fldChar w:fldCharType="separate"/>
            </w:r>
            <w:r w:rsidR="00876997" w:rsidRPr="008B792B">
              <w:rPr>
                <w:noProof/>
                <w:webHidden/>
              </w:rPr>
              <w:t>8</w:t>
            </w:r>
            <w:r w:rsidR="00876997" w:rsidRPr="008B792B">
              <w:rPr>
                <w:noProof/>
                <w:webHidden/>
              </w:rPr>
              <w:fldChar w:fldCharType="end"/>
            </w:r>
          </w:hyperlink>
        </w:p>
        <w:p w14:paraId="3ED4FA84" w14:textId="0E40C6DC" w:rsidR="00876997" w:rsidRPr="008B792B" w:rsidRDefault="00B15327">
          <w:pPr>
            <w:pStyle w:val="TDC2"/>
            <w:tabs>
              <w:tab w:val="right" w:leader="dot" w:pos="8779"/>
            </w:tabs>
            <w:rPr>
              <w:rFonts w:eastAsiaTheme="minorEastAsia"/>
              <w:noProof/>
              <w:lang w:eastAsia="es-MX"/>
            </w:rPr>
          </w:pPr>
          <w:hyperlink w:anchor="_Toc57234853" w:history="1">
            <w:r w:rsidR="00876997" w:rsidRPr="008B792B">
              <w:rPr>
                <w:rStyle w:val="Hipervnculo"/>
                <w:rFonts w:ascii="Palatino Linotype" w:eastAsiaTheme="majorEastAsia" w:hAnsi="Palatino Linotype" w:cstheme="majorBidi"/>
                <w:b/>
                <w:noProof/>
              </w:rPr>
              <w:t>PRIMERO. De la competencia</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_Toc57234853 \h </w:instrText>
            </w:r>
            <w:r w:rsidR="00876997" w:rsidRPr="008B792B">
              <w:rPr>
                <w:noProof/>
                <w:webHidden/>
              </w:rPr>
            </w:r>
            <w:r w:rsidR="00876997" w:rsidRPr="008B792B">
              <w:rPr>
                <w:noProof/>
                <w:webHidden/>
              </w:rPr>
              <w:fldChar w:fldCharType="separate"/>
            </w:r>
            <w:r w:rsidR="00876997" w:rsidRPr="008B792B">
              <w:rPr>
                <w:noProof/>
                <w:webHidden/>
              </w:rPr>
              <w:t>8</w:t>
            </w:r>
            <w:r w:rsidR="00876997" w:rsidRPr="008B792B">
              <w:rPr>
                <w:noProof/>
                <w:webHidden/>
              </w:rPr>
              <w:fldChar w:fldCharType="end"/>
            </w:r>
          </w:hyperlink>
        </w:p>
        <w:p w14:paraId="0B9B669C" w14:textId="3E77785D" w:rsidR="00876997" w:rsidRPr="008B792B" w:rsidRDefault="00B15327">
          <w:pPr>
            <w:pStyle w:val="TDC2"/>
            <w:tabs>
              <w:tab w:val="right" w:leader="dot" w:pos="8779"/>
            </w:tabs>
            <w:rPr>
              <w:rFonts w:eastAsiaTheme="minorEastAsia"/>
              <w:noProof/>
              <w:lang w:eastAsia="es-MX"/>
            </w:rPr>
          </w:pPr>
          <w:hyperlink w:anchor="_Toc57234854" w:history="1">
            <w:r w:rsidR="00876997" w:rsidRPr="008B792B">
              <w:rPr>
                <w:rStyle w:val="Hipervnculo"/>
                <w:rFonts w:ascii="Palatino Linotype" w:eastAsiaTheme="majorEastAsia" w:hAnsi="Palatino Linotype" w:cstheme="majorBidi"/>
                <w:b/>
                <w:noProof/>
              </w:rPr>
              <w:t>SEGUNDO. De la oportunidad y procedencia.</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_Toc57234854 \h </w:instrText>
            </w:r>
            <w:r w:rsidR="00876997" w:rsidRPr="008B792B">
              <w:rPr>
                <w:noProof/>
                <w:webHidden/>
              </w:rPr>
            </w:r>
            <w:r w:rsidR="00876997" w:rsidRPr="008B792B">
              <w:rPr>
                <w:noProof/>
                <w:webHidden/>
              </w:rPr>
              <w:fldChar w:fldCharType="separate"/>
            </w:r>
            <w:r w:rsidR="00876997" w:rsidRPr="008B792B">
              <w:rPr>
                <w:noProof/>
                <w:webHidden/>
              </w:rPr>
              <w:t>9</w:t>
            </w:r>
            <w:r w:rsidR="00876997" w:rsidRPr="008B792B">
              <w:rPr>
                <w:noProof/>
                <w:webHidden/>
              </w:rPr>
              <w:fldChar w:fldCharType="end"/>
            </w:r>
          </w:hyperlink>
        </w:p>
        <w:p w14:paraId="63BC1B2D" w14:textId="5460A323" w:rsidR="00876997" w:rsidRPr="008B792B" w:rsidRDefault="00B15327">
          <w:pPr>
            <w:pStyle w:val="TDC1"/>
            <w:tabs>
              <w:tab w:val="right" w:leader="dot" w:pos="8779"/>
            </w:tabs>
            <w:rPr>
              <w:rFonts w:eastAsiaTheme="minorEastAsia"/>
              <w:noProof/>
              <w:lang w:eastAsia="es-MX"/>
            </w:rPr>
          </w:pPr>
          <w:hyperlink w:anchor="_Toc57234855" w:history="1">
            <w:r w:rsidR="00876997" w:rsidRPr="008B792B">
              <w:rPr>
                <w:rStyle w:val="Hipervnculo"/>
                <w:rFonts w:ascii="Palatino Linotype" w:eastAsia="MS Mincho" w:hAnsi="Palatino Linotype" w:cstheme="majorBidi"/>
                <w:b/>
                <w:noProof/>
                <w:lang w:val="es-ES_tradnl" w:eastAsia="es-ES"/>
              </w:rPr>
              <w:t>TERCERO. Del planteamiento de la Litis.</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_Toc57234855 \h </w:instrText>
            </w:r>
            <w:r w:rsidR="00876997" w:rsidRPr="008B792B">
              <w:rPr>
                <w:noProof/>
                <w:webHidden/>
              </w:rPr>
            </w:r>
            <w:r w:rsidR="00876997" w:rsidRPr="008B792B">
              <w:rPr>
                <w:noProof/>
                <w:webHidden/>
              </w:rPr>
              <w:fldChar w:fldCharType="separate"/>
            </w:r>
            <w:r w:rsidR="00876997" w:rsidRPr="008B792B">
              <w:rPr>
                <w:noProof/>
                <w:webHidden/>
              </w:rPr>
              <w:t>11</w:t>
            </w:r>
            <w:r w:rsidR="00876997" w:rsidRPr="008B792B">
              <w:rPr>
                <w:noProof/>
                <w:webHidden/>
              </w:rPr>
              <w:fldChar w:fldCharType="end"/>
            </w:r>
          </w:hyperlink>
        </w:p>
        <w:p w14:paraId="426B8981" w14:textId="43EEBD5C" w:rsidR="00876997" w:rsidRPr="008B792B" w:rsidRDefault="00B15327">
          <w:pPr>
            <w:pStyle w:val="TDC2"/>
            <w:tabs>
              <w:tab w:val="right" w:leader="dot" w:pos="8779"/>
            </w:tabs>
            <w:rPr>
              <w:rFonts w:eastAsiaTheme="minorEastAsia"/>
              <w:noProof/>
              <w:lang w:eastAsia="es-MX"/>
            </w:rPr>
          </w:pPr>
          <w:hyperlink w:anchor="_Toc57234856" w:history="1">
            <w:r w:rsidR="00876997" w:rsidRPr="008B792B">
              <w:rPr>
                <w:rStyle w:val="Hipervnculo"/>
                <w:rFonts w:ascii="Palatino Linotype" w:eastAsia="Calibri" w:hAnsi="Palatino Linotype" w:cs="Times New Roman"/>
                <w:b/>
                <w:bCs/>
                <w:noProof/>
                <w:lang w:val="es-ES"/>
              </w:rPr>
              <w:t xml:space="preserve">CUARTO. </w:t>
            </w:r>
            <w:r w:rsidR="00876997" w:rsidRPr="008B792B">
              <w:rPr>
                <w:rStyle w:val="Hipervnculo"/>
                <w:rFonts w:ascii="Palatino Linotype" w:eastAsia="MS Gothic" w:hAnsi="Palatino Linotype" w:cs="Times New Roman"/>
                <w:b/>
                <w:noProof/>
              </w:rPr>
              <w:t>Del estudio y resolución del asunto.</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_Toc57234856 \h </w:instrText>
            </w:r>
            <w:r w:rsidR="00876997" w:rsidRPr="008B792B">
              <w:rPr>
                <w:noProof/>
                <w:webHidden/>
              </w:rPr>
            </w:r>
            <w:r w:rsidR="00876997" w:rsidRPr="008B792B">
              <w:rPr>
                <w:noProof/>
                <w:webHidden/>
              </w:rPr>
              <w:fldChar w:fldCharType="separate"/>
            </w:r>
            <w:r w:rsidR="00876997" w:rsidRPr="008B792B">
              <w:rPr>
                <w:noProof/>
                <w:webHidden/>
              </w:rPr>
              <w:t>12</w:t>
            </w:r>
            <w:r w:rsidR="00876997" w:rsidRPr="008B792B">
              <w:rPr>
                <w:noProof/>
                <w:webHidden/>
              </w:rPr>
              <w:fldChar w:fldCharType="end"/>
            </w:r>
          </w:hyperlink>
        </w:p>
        <w:p w14:paraId="3286F2E1" w14:textId="65552DE5" w:rsidR="00876997" w:rsidRPr="008B792B" w:rsidRDefault="00B15327">
          <w:pPr>
            <w:pStyle w:val="TDC1"/>
            <w:tabs>
              <w:tab w:val="left" w:pos="440"/>
              <w:tab w:val="right" w:leader="dot" w:pos="8779"/>
            </w:tabs>
            <w:rPr>
              <w:rFonts w:eastAsiaTheme="minorEastAsia"/>
              <w:noProof/>
              <w:lang w:eastAsia="es-MX"/>
            </w:rPr>
          </w:pPr>
          <w:hyperlink w:anchor="_Toc57234857" w:history="1">
            <w:r w:rsidR="00876997" w:rsidRPr="008B792B">
              <w:rPr>
                <w:rStyle w:val="Hipervnculo"/>
                <w:rFonts w:ascii="Palatino Linotype" w:hAnsi="Palatino Linotype"/>
                <w:b/>
                <w:i/>
                <w:noProof/>
                <w:lang w:eastAsia="es-MX"/>
              </w:rPr>
              <w:t>I.</w:t>
            </w:r>
            <w:r w:rsidR="00876997" w:rsidRPr="008B792B">
              <w:rPr>
                <w:rFonts w:eastAsiaTheme="minorEastAsia"/>
                <w:noProof/>
                <w:lang w:eastAsia="es-MX"/>
              </w:rPr>
              <w:tab/>
            </w:r>
            <w:r w:rsidR="00876997" w:rsidRPr="008B792B">
              <w:rPr>
                <w:rStyle w:val="Hipervnculo"/>
                <w:rFonts w:ascii="Palatino Linotype" w:eastAsia="MS Gothic" w:hAnsi="Palatino Linotype" w:cstheme="majorBidi"/>
                <w:b/>
                <w:i/>
                <w:noProof/>
              </w:rPr>
              <w:t>El derecho de acceso a la información publica</w:t>
            </w:r>
            <w:r w:rsidR="00876997" w:rsidRPr="008B792B">
              <w:rPr>
                <w:rStyle w:val="Hipervnculo"/>
                <w:rFonts w:ascii="Palatino Linotype" w:eastAsia="MS Mincho" w:hAnsi="Palatino Linotype" w:cs="Arial"/>
                <w:b/>
                <w:i/>
                <w:noProof/>
                <w:lang w:eastAsia="es-MX"/>
              </w:rPr>
              <w:t>.</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_Toc57234857 \h </w:instrText>
            </w:r>
            <w:r w:rsidR="00876997" w:rsidRPr="008B792B">
              <w:rPr>
                <w:noProof/>
                <w:webHidden/>
              </w:rPr>
            </w:r>
            <w:r w:rsidR="00876997" w:rsidRPr="008B792B">
              <w:rPr>
                <w:noProof/>
                <w:webHidden/>
              </w:rPr>
              <w:fldChar w:fldCharType="separate"/>
            </w:r>
            <w:r w:rsidR="00876997" w:rsidRPr="008B792B">
              <w:rPr>
                <w:noProof/>
                <w:webHidden/>
              </w:rPr>
              <w:t>13</w:t>
            </w:r>
            <w:r w:rsidR="00876997" w:rsidRPr="008B792B">
              <w:rPr>
                <w:noProof/>
                <w:webHidden/>
              </w:rPr>
              <w:fldChar w:fldCharType="end"/>
            </w:r>
          </w:hyperlink>
        </w:p>
        <w:p w14:paraId="7E20737B" w14:textId="62214242" w:rsidR="00876997" w:rsidRPr="008B792B" w:rsidRDefault="00B15327">
          <w:pPr>
            <w:pStyle w:val="TDC1"/>
            <w:tabs>
              <w:tab w:val="left" w:pos="660"/>
              <w:tab w:val="right" w:leader="dot" w:pos="8779"/>
            </w:tabs>
            <w:rPr>
              <w:rFonts w:eastAsiaTheme="minorEastAsia"/>
              <w:noProof/>
              <w:lang w:eastAsia="es-MX"/>
            </w:rPr>
          </w:pPr>
          <w:hyperlink w:anchor="_Toc57234858" w:history="1">
            <w:r w:rsidR="00876997" w:rsidRPr="008B792B">
              <w:rPr>
                <w:rStyle w:val="Hipervnculo"/>
                <w:rFonts w:ascii="Palatino Linotype" w:eastAsia="MS Mincho" w:hAnsi="Palatino Linotype" w:cs="Arial"/>
                <w:b/>
                <w:noProof/>
              </w:rPr>
              <w:t>II.</w:t>
            </w:r>
            <w:r w:rsidR="00876997" w:rsidRPr="008B792B">
              <w:rPr>
                <w:rFonts w:eastAsiaTheme="minorEastAsia"/>
                <w:noProof/>
                <w:lang w:eastAsia="es-MX"/>
              </w:rPr>
              <w:tab/>
            </w:r>
            <w:r w:rsidR="00876997" w:rsidRPr="008B792B">
              <w:rPr>
                <w:rStyle w:val="Hipervnculo"/>
                <w:rFonts w:ascii="Palatino Linotype" w:eastAsia="MS Gothic" w:hAnsi="Palatino Linotype" w:cstheme="majorBidi"/>
                <w:b/>
                <w:i/>
                <w:noProof/>
              </w:rPr>
              <w:t>De la información pública disponible en medios electrónicos</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_Toc57234858 \h </w:instrText>
            </w:r>
            <w:r w:rsidR="00876997" w:rsidRPr="008B792B">
              <w:rPr>
                <w:noProof/>
                <w:webHidden/>
              </w:rPr>
            </w:r>
            <w:r w:rsidR="00876997" w:rsidRPr="008B792B">
              <w:rPr>
                <w:noProof/>
                <w:webHidden/>
              </w:rPr>
              <w:fldChar w:fldCharType="separate"/>
            </w:r>
            <w:r w:rsidR="00876997" w:rsidRPr="008B792B">
              <w:rPr>
                <w:noProof/>
                <w:webHidden/>
              </w:rPr>
              <w:t>15</w:t>
            </w:r>
            <w:r w:rsidR="00876997" w:rsidRPr="008B792B">
              <w:rPr>
                <w:noProof/>
                <w:webHidden/>
              </w:rPr>
              <w:fldChar w:fldCharType="end"/>
            </w:r>
          </w:hyperlink>
        </w:p>
        <w:p w14:paraId="3DFB3C68" w14:textId="704F8884" w:rsidR="00876997" w:rsidRPr="008B792B" w:rsidRDefault="00B15327">
          <w:pPr>
            <w:pStyle w:val="TDC1"/>
            <w:tabs>
              <w:tab w:val="right" w:leader="dot" w:pos="8779"/>
            </w:tabs>
            <w:rPr>
              <w:rFonts w:eastAsiaTheme="minorEastAsia"/>
              <w:noProof/>
              <w:lang w:eastAsia="es-MX"/>
            </w:rPr>
          </w:pPr>
          <w:hyperlink w:anchor="_Toc57234859" w:history="1">
            <w:r w:rsidR="00876997" w:rsidRPr="008B792B">
              <w:rPr>
                <w:rStyle w:val="Hipervnculo"/>
                <w:rFonts w:ascii="Palatino Linotype" w:eastAsia="Calibri" w:hAnsi="Palatino Linotype"/>
                <w:b/>
                <w:noProof/>
                <w:lang w:val="es-ES" w:eastAsia="es-ES"/>
              </w:rPr>
              <w:t>R E S O L U T I V O S</w:t>
            </w:r>
            <w:r w:rsidR="00876997" w:rsidRPr="008B792B">
              <w:rPr>
                <w:noProof/>
                <w:webHidden/>
              </w:rPr>
              <w:tab/>
            </w:r>
            <w:r w:rsidR="00876997" w:rsidRPr="008B792B">
              <w:rPr>
                <w:noProof/>
                <w:webHidden/>
              </w:rPr>
              <w:fldChar w:fldCharType="begin"/>
            </w:r>
            <w:r w:rsidR="00876997" w:rsidRPr="008B792B">
              <w:rPr>
                <w:noProof/>
                <w:webHidden/>
              </w:rPr>
              <w:instrText xml:space="preserve"> PAGEREF _Toc57234859 \h </w:instrText>
            </w:r>
            <w:r w:rsidR="00876997" w:rsidRPr="008B792B">
              <w:rPr>
                <w:noProof/>
                <w:webHidden/>
              </w:rPr>
            </w:r>
            <w:r w:rsidR="00876997" w:rsidRPr="008B792B">
              <w:rPr>
                <w:noProof/>
                <w:webHidden/>
              </w:rPr>
              <w:fldChar w:fldCharType="separate"/>
            </w:r>
            <w:r w:rsidR="00876997" w:rsidRPr="008B792B">
              <w:rPr>
                <w:noProof/>
                <w:webHidden/>
              </w:rPr>
              <w:t>27</w:t>
            </w:r>
            <w:r w:rsidR="00876997" w:rsidRPr="008B792B">
              <w:rPr>
                <w:noProof/>
                <w:webHidden/>
              </w:rPr>
              <w:fldChar w:fldCharType="end"/>
            </w:r>
          </w:hyperlink>
        </w:p>
        <w:p w14:paraId="1FE563D1" w14:textId="3724731C" w:rsidR="00E113EC" w:rsidRPr="008B792B" w:rsidRDefault="00E113EC" w:rsidP="00927869">
          <w:pPr>
            <w:spacing w:after="0" w:line="480" w:lineRule="auto"/>
            <w:ind w:right="-142"/>
            <w:rPr>
              <w:rFonts w:eastAsiaTheme="minorEastAsia"/>
              <w:bCs/>
              <w:sz w:val="24"/>
              <w:szCs w:val="24"/>
              <w:lang w:val="es-ES" w:eastAsia="es-ES"/>
            </w:rPr>
          </w:pPr>
          <w:r w:rsidRPr="008B792B">
            <w:rPr>
              <w:rFonts w:ascii="Palatino Linotype" w:eastAsiaTheme="minorEastAsia" w:hAnsi="Palatino Linotype"/>
              <w:b/>
              <w:bCs/>
              <w:szCs w:val="24"/>
              <w:lang w:val="es-ES" w:eastAsia="es-ES"/>
            </w:rPr>
            <w:fldChar w:fldCharType="end"/>
          </w:r>
        </w:p>
      </w:sdtContent>
    </w:sdt>
    <w:p w14:paraId="7B8E147A" w14:textId="4F5972EF" w:rsidR="007E7818" w:rsidRPr="008B792B"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8B792B"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6210E9F2" w:rsidR="00AE7407" w:rsidRPr="008B792B"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3DEBCD8B" w14:textId="4C972181" w:rsidR="00876997" w:rsidRPr="008B792B" w:rsidRDefault="00876997" w:rsidP="0008753C">
      <w:pPr>
        <w:spacing w:before="240" w:after="240" w:line="360" w:lineRule="auto"/>
        <w:jc w:val="both"/>
        <w:rPr>
          <w:rFonts w:ascii="Palatino Linotype" w:eastAsiaTheme="minorEastAsia" w:hAnsi="Palatino Linotype"/>
          <w:sz w:val="24"/>
          <w:szCs w:val="24"/>
          <w:lang w:val="es-ES_tradnl" w:eastAsia="es-ES"/>
        </w:rPr>
      </w:pPr>
    </w:p>
    <w:p w14:paraId="5CED28DB" w14:textId="1F04F289" w:rsidR="00876997" w:rsidRPr="008B792B" w:rsidRDefault="00876997" w:rsidP="0008753C">
      <w:pPr>
        <w:spacing w:before="240" w:after="240" w:line="360" w:lineRule="auto"/>
        <w:jc w:val="both"/>
        <w:rPr>
          <w:rFonts w:ascii="Palatino Linotype" w:eastAsiaTheme="minorEastAsia" w:hAnsi="Palatino Linotype"/>
          <w:sz w:val="24"/>
          <w:szCs w:val="24"/>
          <w:lang w:val="es-ES_tradnl" w:eastAsia="es-ES"/>
        </w:rPr>
      </w:pPr>
    </w:p>
    <w:p w14:paraId="1BD946D1" w14:textId="77777777" w:rsidR="00876997" w:rsidRPr="008B792B" w:rsidRDefault="00876997" w:rsidP="0008753C">
      <w:pPr>
        <w:spacing w:before="240" w:after="240" w:line="360" w:lineRule="auto"/>
        <w:jc w:val="both"/>
        <w:rPr>
          <w:rFonts w:ascii="Palatino Linotype" w:eastAsiaTheme="minorEastAsia" w:hAnsi="Palatino Linotype"/>
          <w:sz w:val="24"/>
          <w:szCs w:val="24"/>
          <w:lang w:val="es-ES_tradnl" w:eastAsia="es-ES"/>
        </w:rPr>
      </w:pPr>
    </w:p>
    <w:p w14:paraId="161BFE5A" w14:textId="7EEAE627" w:rsidR="00E113EC" w:rsidRPr="008B792B"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8B792B">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w:t>
      </w:r>
      <w:r w:rsidRPr="008B792B">
        <w:rPr>
          <w:rFonts w:ascii="Palatino Linotype" w:eastAsiaTheme="minorEastAsia" w:hAnsi="Palatino Linotype"/>
          <w:sz w:val="24"/>
          <w:szCs w:val="24"/>
          <w:lang w:val="es-ES_tradnl" w:eastAsia="es-ES"/>
        </w:rPr>
        <w:lastRenderedPageBreak/>
        <w:t>domicilio en Metepec, Estado de M</w:t>
      </w:r>
      <w:r w:rsidR="009073E1" w:rsidRPr="008B792B">
        <w:rPr>
          <w:rFonts w:ascii="Palatino Linotype" w:eastAsiaTheme="minorEastAsia" w:hAnsi="Palatino Linotype"/>
          <w:sz w:val="24"/>
          <w:szCs w:val="24"/>
          <w:lang w:val="es-ES_tradnl" w:eastAsia="es-ES"/>
        </w:rPr>
        <w:t xml:space="preserve">éxico; de </w:t>
      </w:r>
      <w:r w:rsidR="00B9797C" w:rsidRPr="008B792B">
        <w:rPr>
          <w:rFonts w:ascii="Palatino Linotype" w:eastAsiaTheme="minorEastAsia" w:hAnsi="Palatino Linotype"/>
          <w:sz w:val="24"/>
          <w:szCs w:val="24"/>
          <w:lang w:val="es-ES_tradnl" w:eastAsia="es-ES"/>
        </w:rPr>
        <w:t xml:space="preserve">veinticinco </w:t>
      </w:r>
      <w:r w:rsidR="007E7818" w:rsidRPr="008B792B">
        <w:rPr>
          <w:rFonts w:ascii="Palatino Linotype" w:eastAsiaTheme="minorEastAsia" w:hAnsi="Palatino Linotype"/>
          <w:sz w:val="24"/>
          <w:szCs w:val="24"/>
          <w:lang w:val="es-ES_tradnl" w:eastAsia="es-ES"/>
        </w:rPr>
        <w:t>(</w:t>
      </w:r>
      <w:r w:rsidR="003562F4" w:rsidRPr="008B792B">
        <w:rPr>
          <w:rFonts w:ascii="Palatino Linotype" w:eastAsiaTheme="minorEastAsia" w:hAnsi="Palatino Linotype"/>
          <w:sz w:val="24"/>
          <w:szCs w:val="24"/>
          <w:lang w:val="es-ES_tradnl" w:eastAsia="es-ES"/>
        </w:rPr>
        <w:t>2</w:t>
      </w:r>
      <w:r w:rsidR="00B9797C" w:rsidRPr="008B792B">
        <w:rPr>
          <w:rFonts w:ascii="Palatino Linotype" w:eastAsiaTheme="minorEastAsia" w:hAnsi="Palatino Linotype"/>
          <w:sz w:val="24"/>
          <w:szCs w:val="24"/>
          <w:lang w:val="es-ES_tradnl" w:eastAsia="es-ES"/>
        </w:rPr>
        <w:t>5</w:t>
      </w:r>
      <w:r w:rsidR="007E7818" w:rsidRPr="008B792B">
        <w:rPr>
          <w:rFonts w:ascii="Palatino Linotype" w:eastAsiaTheme="minorEastAsia" w:hAnsi="Palatino Linotype"/>
          <w:sz w:val="24"/>
          <w:szCs w:val="24"/>
          <w:lang w:val="es-ES_tradnl" w:eastAsia="es-ES"/>
        </w:rPr>
        <w:t xml:space="preserve">) de </w:t>
      </w:r>
      <w:r w:rsidR="00B9797C" w:rsidRPr="008B792B">
        <w:rPr>
          <w:rFonts w:ascii="Palatino Linotype" w:eastAsiaTheme="minorEastAsia" w:hAnsi="Palatino Linotype"/>
          <w:sz w:val="24"/>
          <w:szCs w:val="24"/>
          <w:lang w:val="es-ES_tradnl" w:eastAsia="es-ES"/>
        </w:rPr>
        <w:t>noviem</w:t>
      </w:r>
      <w:r w:rsidR="007C602E" w:rsidRPr="008B792B">
        <w:rPr>
          <w:rFonts w:ascii="Palatino Linotype" w:eastAsiaTheme="minorEastAsia" w:hAnsi="Palatino Linotype"/>
          <w:sz w:val="24"/>
          <w:szCs w:val="24"/>
          <w:lang w:val="es-ES_tradnl" w:eastAsia="es-ES"/>
        </w:rPr>
        <w:t>bre</w:t>
      </w:r>
      <w:r w:rsidR="00DA44C3" w:rsidRPr="008B792B">
        <w:rPr>
          <w:rFonts w:ascii="Palatino Linotype" w:eastAsiaTheme="minorEastAsia" w:hAnsi="Palatino Linotype"/>
          <w:sz w:val="24"/>
          <w:szCs w:val="24"/>
          <w:lang w:val="es-ES_tradnl" w:eastAsia="es-ES"/>
        </w:rPr>
        <w:t xml:space="preserve"> de dos mil veinte.</w:t>
      </w:r>
    </w:p>
    <w:p w14:paraId="4AF97040" w14:textId="5CE9BB28" w:rsidR="00E113EC" w:rsidRPr="008B792B"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8B792B">
        <w:rPr>
          <w:rFonts w:ascii="Palatino Linotype" w:eastAsiaTheme="minorEastAsia" w:hAnsi="Palatino Linotype"/>
          <w:b/>
          <w:sz w:val="24"/>
          <w:szCs w:val="24"/>
          <w:lang w:val="es-ES_tradnl" w:eastAsia="es-ES"/>
        </w:rPr>
        <w:t>VISTO</w:t>
      </w:r>
      <w:r w:rsidRPr="008B792B">
        <w:rPr>
          <w:rFonts w:ascii="Palatino Linotype" w:eastAsiaTheme="minorEastAsia" w:hAnsi="Palatino Linotype"/>
          <w:sz w:val="24"/>
          <w:szCs w:val="24"/>
          <w:lang w:val="es-ES_tradnl" w:eastAsia="es-ES"/>
        </w:rPr>
        <w:t xml:space="preserve"> el expediente electrónico </w:t>
      </w:r>
      <w:r w:rsidR="00D31725" w:rsidRPr="008B792B">
        <w:rPr>
          <w:rFonts w:ascii="Palatino Linotype" w:eastAsiaTheme="minorEastAsia" w:hAnsi="Palatino Linotype"/>
          <w:sz w:val="24"/>
          <w:szCs w:val="24"/>
          <w:lang w:val="es-ES_tradnl" w:eastAsia="es-ES"/>
        </w:rPr>
        <w:t>integrado</w:t>
      </w:r>
      <w:r w:rsidRPr="008B792B">
        <w:rPr>
          <w:rFonts w:ascii="Palatino Linotype" w:eastAsiaTheme="minorEastAsia" w:hAnsi="Palatino Linotype"/>
          <w:sz w:val="24"/>
          <w:szCs w:val="24"/>
          <w:lang w:val="es-ES_tradnl" w:eastAsia="es-ES"/>
        </w:rPr>
        <w:t xml:space="preserve"> con motivo del recurso de revisión </w:t>
      </w:r>
      <w:r w:rsidR="00EE5082" w:rsidRPr="008B792B">
        <w:rPr>
          <w:rFonts w:ascii="Palatino Linotype" w:eastAsiaTheme="minorEastAsia" w:hAnsi="Palatino Linotype" w:cs="Arial"/>
          <w:b/>
          <w:bCs/>
          <w:sz w:val="24"/>
          <w:szCs w:val="24"/>
          <w:lang w:val="es-ES_tradnl" w:eastAsia="es-ES"/>
        </w:rPr>
        <w:t>0</w:t>
      </w:r>
      <w:r w:rsidR="00B9797C" w:rsidRPr="008B792B">
        <w:rPr>
          <w:rFonts w:ascii="Palatino Linotype" w:eastAsiaTheme="minorEastAsia" w:hAnsi="Palatino Linotype" w:cs="Arial"/>
          <w:b/>
          <w:bCs/>
          <w:sz w:val="24"/>
          <w:szCs w:val="24"/>
          <w:lang w:val="es-ES_tradnl" w:eastAsia="es-ES"/>
        </w:rPr>
        <w:t>4</w:t>
      </w:r>
      <w:r w:rsidR="003562F4" w:rsidRPr="008B792B">
        <w:rPr>
          <w:rFonts w:ascii="Palatino Linotype" w:eastAsiaTheme="minorEastAsia" w:hAnsi="Palatino Linotype" w:cs="Arial"/>
          <w:b/>
          <w:bCs/>
          <w:sz w:val="24"/>
          <w:szCs w:val="24"/>
          <w:lang w:val="es-ES_tradnl" w:eastAsia="es-ES"/>
        </w:rPr>
        <w:t>3</w:t>
      </w:r>
      <w:r w:rsidR="00B9797C" w:rsidRPr="008B792B">
        <w:rPr>
          <w:rFonts w:ascii="Palatino Linotype" w:eastAsiaTheme="minorEastAsia" w:hAnsi="Palatino Linotype" w:cs="Arial"/>
          <w:b/>
          <w:bCs/>
          <w:sz w:val="24"/>
          <w:szCs w:val="24"/>
          <w:lang w:val="es-ES_tradnl" w:eastAsia="es-ES"/>
        </w:rPr>
        <w:t>58</w:t>
      </w:r>
      <w:r w:rsidR="00542CE7" w:rsidRPr="008B792B">
        <w:rPr>
          <w:rFonts w:ascii="Palatino Linotype" w:eastAsiaTheme="minorEastAsia" w:hAnsi="Palatino Linotype" w:cs="Arial"/>
          <w:b/>
          <w:bCs/>
          <w:sz w:val="24"/>
          <w:szCs w:val="24"/>
          <w:lang w:val="es-ES_tradnl" w:eastAsia="es-ES"/>
        </w:rPr>
        <w:t>/INFOEM/IP/RR/2020</w:t>
      </w:r>
      <w:r w:rsidRPr="008B792B">
        <w:rPr>
          <w:rFonts w:ascii="Palatino Linotype" w:eastAsiaTheme="minorEastAsia" w:hAnsi="Palatino Linotype" w:cs="Arial"/>
          <w:b/>
          <w:bCs/>
          <w:sz w:val="24"/>
          <w:szCs w:val="24"/>
          <w:lang w:val="es-ES_tradnl" w:eastAsia="es-ES"/>
        </w:rPr>
        <w:t xml:space="preserve">, </w:t>
      </w:r>
      <w:r w:rsidR="00746EF3" w:rsidRPr="008B792B">
        <w:rPr>
          <w:rFonts w:ascii="Palatino Linotype" w:eastAsiaTheme="minorEastAsia" w:hAnsi="Palatino Linotype"/>
          <w:sz w:val="24"/>
          <w:szCs w:val="24"/>
          <w:lang w:val="es-ES_tradnl" w:eastAsia="es-ES"/>
        </w:rPr>
        <w:t xml:space="preserve">promovido </w:t>
      </w:r>
      <w:r w:rsidR="00B15327" w:rsidRPr="00B15327">
        <w:rPr>
          <w:rFonts w:ascii="Palatino Linotype" w:eastAsia="MS Mincho" w:hAnsi="Palatino Linotype" w:cs="Times New Roman"/>
          <w:b/>
          <w:sz w:val="24"/>
          <w:szCs w:val="24"/>
          <w:highlight w:val="black"/>
          <w:lang w:val="es-ES_tradnl" w:eastAsia="es-ES"/>
        </w:rPr>
        <w:t>----------</w:t>
      </w:r>
      <w:r w:rsidR="003562F4" w:rsidRPr="008B792B">
        <w:rPr>
          <w:rFonts w:ascii="Palatino Linotype" w:hAnsi="Palatino Linotype"/>
          <w:bCs/>
          <w:sz w:val="24"/>
          <w:szCs w:val="24"/>
        </w:rPr>
        <w:t xml:space="preserve"> quien </w:t>
      </w:r>
      <w:r w:rsidR="003562F4" w:rsidRPr="008B792B">
        <w:rPr>
          <w:rFonts w:ascii="Palatino Linotype" w:eastAsiaTheme="minorEastAsia" w:hAnsi="Palatino Linotype"/>
          <w:sz w:val="24"/>
          <w:szCs w:val="24"/>
          <w:lang w:val="es-ES_tradnl" w:eastAsia="es-ES"/>
        </w:rPr>
        <w:t>en lo sucesivo será identificada</w:t>
      </w:r>
      <w:r w:rsidR="00965F4B" w:rsidRPr="008B792B">
        <w:rPr>
          <w:rFonts w:ascii="Palatino Linotype" w:eastAsiaTheme="minorEastAsia" w:hAnsi="Palatino Linotype"/>
          <w:b/>
          <w:sz w:val="24"/>
          <w:szCs w:val="24"/>
          <w:lang w:val="es-ES_tradnl" w:eastAsia="es-ES"/>
        </w:rPr>
        <w:t xml:space="preserve"> </w:t>
      </w:r>
      <w:r w:rsidR="00965F4B" w:rsidRPr="008B792B">
        <w:rPr>
          <w:rFonts w:ascii="Palatino Linotype" w:eastAsiaTheme="minorEastAsia" w:hAnsi="Palatino Linotype" w:cs="Arial"/>
          <w:sz w:val="24"/>
          <w:szCs w:val="24"/>
          <w:lang w:val="es-ES_tradnl" w:eastAsia="es-ES"/>
        </w:rPr>
        <w:t xml:space="preserve">en su calidad de </w:t>
      </w:r>
      <w:r w:rsidR="00965F4B" w:rsidRPr="008B792B">
        <w:rPr>
          <w:rFonts w:ascii="Palatino Linotype" w:eastAsiaTheme="minorEastAsia" w:hAnsi="Palatino Linotype" w:cs="Arial"/>
          <w:b/>
          <w:sz w:val="24"/>
          <w:szCs w:val="24"/>
          <w:lang w:val="es-ES_tradnl" w:eastAsia="es-ES"/>
        </w:rPr>
        <w:t>RECURRENTE</w:t>
      </w:r>
      <w:r w:rsidR="009073E1" w:rsidRPr="008B792B">
        <w:rPr>
          <w:rFonts w:ascii="Palatino Linotype" w:eastAsiaTheme="minorEastAsia" w:hAnsi="Palatino Linotype" w:cs="Arial"/>
          <w:sz w:val="24"/>
          <w:szCs w:val="24"/>
          <w:lang w:val="es-ES_tradnl" w:eastAsia="es-ES"/>
        </w:rPr>
        <w:t xml:space="preserve">, en contra de la </w:t>
      </w:r>
      <w:r w:rsidRPr="008B792B">
        <w:rPr>
          <w:rFonts w:ascii="Palatino Linotype" w:eastAsiaTheme="minorEastAsia" w:hAnsi="Palatino Linotype" w:cs="Arial"/>
          <w:sz w:val="24"/>
          <w:szCs w:val="24"/>
          <w:lang w:val="es-ES_tradnl" w:eastAsia="es-ES"/>
        </w:rPr>
        <w:t>respuesta de</w:t>
      </w:r>
      <w:r w:rsidR="00B9797C" w:rsidRPr="008B792B">
        <w:rPr>
          <w:rFonts w:ascii="Palatino Linotype" w:eastAsiaTheme="minorEastAsia" w:hAnsi="Palatino Linotype" w:cs="Arial"/>
          <w:sz w:val="24"/>
          <w:szCs w:val="24"/>
          <w:lang w:val="es-ES_tradnl" w:eastAsia="es-ES"/>
        </w:rPr>
        <w:t xml:space="preserve"> </w:t>
      </w:r>
      <w:r w:rsidRPr="008B792B">
        <w:rPr>
          <w:rFonts w:ascii="Palatino Linotype" w:eastAsiaTheme="minorEastAsia" w:hAnsi="Palatino Linotype" w:cs="Arial"/>
          <w:sz w:val="24"/>
          <w:szCs w:val="24"/>
          <w:lang w:val="es-ES_tradnl" w:eastAsia="es-ES"/>
        </w:rPr>
        <w:t>l</w:t>
      </w:r>
      <w:r w:rsidR="00B9797C" w:rsidRPr="008B792B">
        <w:rPr>
          <w:rFonts w:ascii="Palatino Linotype" w:eastAsiaTheme="minorEastAsia" w:hAnsi="Palatino Linotype" w:cs="Arial"/>
          <w:sz w:val="24"/>
          <w:szCs w:val="24"/>
          <w:lang w:val="es-ES_tradnl" w:eastAsia="es-ES"/>
        </w:rPr>
        <w:t>a</w:t>
      </w:r>
      <w:r w:rsidRPr="008B792B">
        <w:rPr>
          <w:rFonts w:ascii="Palatino Linotype" w:eastAsiaTheme="minorEastAsia" w:hAnsi="Palatino Linotype" w:cs="Arial"/>
          <w:sz w:val="24"/>
          <w:szCs w:val="24"/>
          <w:lang w:val="es-ES_tradnl" w:eastAsia="es-ES"/>
        </w:rPr>
        <w:t xml:space="preserve"> </w:t>
      </w:r>
      <w:r w:rsidR="00B9797C" w:rsidRPr="008B792B">
        <w:rPr>
          <w:rFonts w:ascii="Palatino Linotype" w:eastAsiaTheme="minorEastAsia" w:hAnsi="Palatino Linotype" w:cs="Arial"/>
          <w:b/>
          <w:sz w:val="24"/>
          <w:szCs w:val="24"/>
          <w:lang w:val="es-ES_tradnl" w:eastAsia="es-ES"/>
        </w:rPr>
        <w:t>Fiscalía General de Justicia del Estado de México</w:t>
      </w:r>
      <w:r w:rsidR="009073E1" w:rsidRPr="008B792B">
        <w:rPr>
          <w:rFonts w:ascii="Palatino Linotype" w:eastAsiaTheme="minorEastAsia" w:hAnsi="Palatino Linotype" w:cs="Arial"/>
          <w:b/>
          <w:sz w:val="24"/>
          <w:szCs w:val="24"/>
          <w:lang w:val="es-ES_tradnl" w:eastAsia="es-ES"/>
        </w:rPr>
        <w:t>,</w:t>
      </w:r>
      <w:r w:rsidRPr="008B792B">
        <w:rPr>
          <w:rFonts w:ascii="Palatino Linotype" w:eastAsiaTheme="minorEastAsia" w:hAnsi="Palatino Linotype" w:cs="Arial"/>
          <w:b/>
          <w:sz w:val="24"/>
          <w:szCs w:val="24"/>
          <w:lang w:val="es-ES_tradnl" w:eastAsia="es-ES"/>
        </w:rPr>
        <w:t xml:space="preserve"> </w:t>
      </w:r>
      <w:r w:rsidRPr="008B792B">
        <w:rPr>
          <w:rFonts w:ascii="Palatino Linotype" w:eastAsiaTheme="minorEastAsia" w:hAnsi="Palatino Linotype"/>
          <w:sz w:val="24"/>
          <w:szCs w:val="24"/>
          <w:lang w:val="es-ES_tradnl" w:eastAsia="es-ES"/>
        </w:rPr>
        <w:t>en lo sucesivo el</w:t>
      </w:r>
      <w:r w:rsidR="00D31725" w:rsidRPr="008B792B">
        <w:rPr>
          <w:rFonts w:ascii="Palatino Linotype" w:eastAsiaTheme="minorEastAsia" w:hAnsi="Palatino Linotype"/>
          <w:b/>
          <w:sz w:val="24"/>
          <w:szCs w:val="24"/>
          <w:lang w:val="es-ES_tradnl" w:eastAsia="es-ES"/>
        </w:rPr>
        <w:t xml:space="preserve"> SUJETO OBLIGADO;</w:t>
      </w:r>
      <w:r w:rsidRPr="008B792B">
        <w:rPr>
          <w:rFonts w:ascii="Palatino Linotype" w:eastAsiaTheme="minorEastAsia" w:hAnsi="Palatino Linotype"/>
          <w:b/>
          <w:sz w:val="24"/>
          <w:szCs w:val="24"/>
          <w:lang w:val="es-ES_tradnl" w:eastAsia="es-ES"/>
        </w:rPr>
        <w:t xml:space="preserve"> </w:t>
      </w:r>
      <w:r w:rsidRPr="008B792B">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8B792B"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57234851"/>
      <w:r w:rsidRPr="008B792B">
        <w:rPr>
          <w:rFonts w:ascii="Palatino Linotype" w:eastAsiaTheme="majorEastAsia" w:hAnsi="Palatino Linotype" w:cstheme="majorBidi"/>
          <w:b/>
          <w:sz w:val="24"/>
          <w:szCs w:val="32"/>
        </w:rPr>
        <w:t>A N T E C E D E N T E S</w:t>
      </w:r>
      <w:bookmarkEnd w:id="0"/>
    </w:p>
    <w:p w14:paraId="5AD5E8B4" w14:textId="77777777" w:rsidR="00746EF3" w:rsidRPr="008B792B"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32F569F3" w:rsidR="00E113EC" w:rsidRPr="008B792B" w:rsidRDefault="00B9797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8B792B">
        <w:rPr>
          <w:rFonts w:ascii="Palatino Linotype" w:eastAsia="Calibri" w:hAnsi="Palatino Linotype" w:cs="Arial"/>
          <w:sz w:val="24"/>
          <w:szCs w:val="24"/>
          <w:lang w:val="es-ES" w:eastAsia="es-ES"/>
        </w:rPr>
        <w:t>El catorce</w:t>
      </w:r>
      <w:r w:rsidR="00E347CD" w:rsidRPr="008B792B">
        <w:rPr>
          <w:rFonts w:ascii="Palatino Linotype" w:eastAsia="Calibri" w:hAnsi="Palatino Linotype" w:cs="Arial"/>
          <w:sz w:val="24"/>
          <w:szCs w:val="24"/>
          <w:lang w:val="es-ES" w:eastAsia="es-ES"/>
        </w:rPr>
        <w:t xml:space="preserve"> </w:t>
      </w:r>
      <w:r w:rsidR="00E9434A" w:rsidRPr="008B792B">
        <w:rPr>
          <w:rFonts w:ascii="Palatino Linotype" w:eastAsia="Calibri" w:hAnsi="Palatino Linotype" w:cs="Arial"/>
          <w:sz w:val="24"/>
          <w:szCs w:val="24"/>
          <w:lang w:val="es-ES" w:eastAsia="es-ES"/>
        </w:rPr>
        <w:t>(</w:t>
      </w:r>
      <w:r w:rsidRPr="008B792B">
        <w:rPr>
          <w:rFonts w:ascii="Palatino Linotype" w:eastAsia="Calibri" w:hAnsi="Palatino Linotype" w:cs="Arial"/>
          <w:sz w:val="24"/>
          <w:szCs w:val="24"/>
          <w:lang w:val="es-ES" w:eastAsia="es-ES"/>
        </w:rPr>
        <w:t>14</w:t>
      </w:r>
      <w:r w:rsidR="00F46A05" w:rsidRPr="008B792B">
        <w:rPr>
          <w:rFonts w:ascii="Palatino Linotype" w:eastAsia="Calibri" w:hAnsi="Palatino Linotype" w:cs="Arial"/>
          <w:sz w:val="24"/>
          <w:szCs w:val="24"/>
          <w:lang w:val="es-ES" w:eastAsia="es-ES"/>
        </w:rPr>
        <w:t>) de</w:t>
      </w:r>
      <w:r w:rsidR="00E347CD" w:rsidRPr="008B792B">
        <w:rPr>
          <w:rFonts w:ascii="Palatino Linotype" w:eastAsia="Calibri" w:hAnsi="Palatino Linotype" w:cs="Arial"/>
          <w:sz w:val="24"/>
          <w:szCs w:val="24"/>
          <w:lang w:val="es-ES" w:eastAsia="es-ES"/>
        </w:rPr>
        <w:t xml:space="preserve"> </w:t>
      </w:r>
      <w:r w:rsidRPr="008B792B">
        <w:rPr>
          <w:rFonts w:ascii="Palatino Linotype" w:eastAsia="Calibri" w:hAnsi="Palatino Linotype" w:cs="Arial"/>
          <w:sz w:val="24"/>
          <w:szCs w:val="24"/>
          <w:lang w:val="es-ES" w:eastAsia="es-ES"/>
        </w:rPr>
        <w:t>septiembre</w:t>
      </w:r>
      <w:r w:rsidR="00E113EC" w:rsidRPr="008B792B">
        <w:rPr>
          <w:rFonts w:ascii="Palatino Linotype" w:eastAsia="Calibri" w:hAnsi="Palatino Linotype" w:cs="Arial"/>
          <w:b/>
          <w:sz w:val="24"/>
          <w:szCs w:val="24"/>
          <w:lang w:val="es-ES" w:eastAsia="es-ES"/>
        </w:rPr>
        <w:t xml:space="preserve"> </w:t>
      </w:r>
      <w:r w:rsidR="00E9434A" w:rsidRPr="008B792B">
        <w:rPr>
          <w:rFonts w:ascii="Palatino Linotype" w:eastAsia="Calibri" w:hAnsi="Palatino Linotype" w:cs="Arial"/>
          <w:sz w:val="24"/>
          <w:szCs w:val="24"/>
          <w:lang w:val="es-ES" w:eastAsia="es-ES"/>
        </w:rPr>
        <w:t>de dos mil veinte</w:t>
      </w:r>
      <w:r w:rsidR="00E113EC" w:rsidRPr="008B792B">
        <w:rPr>
          <w:rFonts w:ascii="Palatino Linotype" w:eastAsia="Calibri" w:hAnsi="Palatino Linotype" w:cs="Arial"/>
          <w:sz w:val="24"/>
          <w:szCs w:val="24"/>
          <w:lang w:val="es-ES" w:eastAsia="es-ES"/>
        </w:rPr>
        <w:t>,</w:t>
      </w:r>
      <w:r w:rsidR="00E113EC" w:rsidRPr="008B792B">
        <w:rPr>
          <w:rFonts w:ascii="Palatino Linotype" w:eastAsia="Calibri" w:hAnsi="Palatino Linotype" w:cs="Times New Roman"/>
          <w:sz w:val="24"/>
          <w:szCs w:val="24"/>
          <w:lang w:val="es-ES" w:eastAsia="es-ES"/>
        </w:rPr>
        <w:t xml:space="preserve"> se</w:t>
      </w:r>
      <w:r w:rsidR="00E113EC" w:rsidRPr="008B792B">
        <w:rPr>
          <w:rFonts w:ascii="Palatino Linotype" w:eastAsiaTheme="minorEastAsia" w:hAnsi="Palatino Linotype"/>
          <w:b/>
          <w:sz w:val="24"/>
          <w:lang w:val="es-ES_tradnl" w:eastAsia="es-ES"/>
        </w:rPr>
        <w:t xml:space="preserve"> </w:t>
      </w:r>
      <w:r w:rsidR="00E113EC" w:rsidRPr="008B792B">
        <w:rPr>
          <w:rFonts w:ascii="Palatino Linotype" w:eastAsiaTheme="minorEastAsia" w:hAnsi="Palatino Linotype"/>
          <w:sz w:val="24"/>
          <w:lang w:val="es-ES_tradnl" w:eastAsia="es-ES"/>
        </w:rPr>
        <w:t xml:space="preserve">presentó </w:t>
      </w:r>
      <w:r w:rsidR="00E113EC" w:rsidRPr="008B792B">
        <w:rPr>
          <w:rFonts w:ascii="Palatino Linotype" w:eastAsia="Calibri" w:hAnsi="Palatino Linotype" w:cs="Arial"/>
          <w:sz w:val="24"/>
          <w:szCs w:val="24"/>
          <w:lang w:val="es-ES" w:eastAsia="es-ES"/>
        </w:rPr>
        <w:t xml:space="preserve">ante el </w:t>
      </w:r>
      <w:r w:rsidR="00E113EC" w:rsidRPr="008B792B">
        <w:rPr>
          <w:rFonts w:ascii="Palatino Linotype" w:eastAsia="Calibri" w:hAnsi="Palatino Linotype" w:cs="Arial"/>
          <w:b/>
          <w:sz w:val="24"/>
          <w:szCs w:val="24"/>
          <w:lang w:val="es-ES" w:eastAsia="es-ES"/>
        </w:rPr>
        <w:t>SUJETO OBLIGADO,</w:t>
      </w:r>
      <w:r w:rsidR="00E113EC" w:rsidRPr="008B792B">
        <w:rPr>
          <w:rFonts w:ascii="Palatino Linotype" w:eastAsia="Calibri" w:hAnsi="Palatino Linotype" w:cs="Arial"/>
          <w:sz w:val="24"/>
          <w:szCs w:val="24"/>
          <w:lang w:val="es-ES_tradnl" w:eastAsia="es-ES"/>
        </w:rPr>
        <w:t xml:space="preserve"> vía </w:t>
      </w:r>
      <w:r w:rsidR="00E113EC" w:rsidRPr="008B792B">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8B792B">
        <w:rPr>
          <w:rFonts w:ascii="Palatino Linotype" w:eastAsia="Times New Roman" w:hAnsi="Palatino Linotype" w:cs="Arial"/>
          <w:b/>
          <w:sz w:val="24"/>
          <w:szCs w:val="24"/>
          <w:lang w:val="es-ES" w:eastAsia="es-ES"/>
        </w:rPr>
        <w:t>00</w:t>
      </w:r>
      <w:r w:rsidRPr="008B792B">
        <w:rPr>
          <w:rFonts w:ascii="Palatino Linotype" w:eastAsia="Times New Roman" w:hAnsi="Palatino Linotype" w:cs="Arial"/>
          <w:b/>
          <w:sz w:val="24"/>
          <w:szCs w:val="24"/>
          <w:lang w:val="es-ES" w:eastAsia="es-ES"/>
        </w:rPr>
        <w:t>584</w:t>
      </w:r>
      <w:r w:rsidR="009640E7" w:rsidRPr="008B792B">
        <w:rPr>
          <w:rFonts w:ascii="Palatino Linotype" w:eastAsia="Times New Roman" w:hAnsi="Palatino Linotype" w:cs="Arial"/>
          <w:b/>
          <w:sz w:val="24"/>
          <w:szCs w:val="24"/>
          <w:lang w:val="es-ES" w:eastAsia="es-ES"/>
        </w:rPr>
        <w:t>/</w:t>
      </w:r>
      <w:r w:rsidRPr="008B792B">
        <w:rPr>
          <w:rFonts w:ascii="Palatino Linotype" w:eastAsia="Times New Roman" w:hAnsi="Palatino Linotype" w:cs="Arial"/>
          <w:b/>
          <w:sz w:val="24"/>
          <w:szCs w:val="24"/>
          <w:lang w:val="es-ES" w:eastAsia="es-ES"/>
        </w:rPr>
        <w:t>FGJ</w:t>
      </w:r>
      <w:r w:rsidR="00E113EC" w:rsidRPr="008B792B">
        <w:rPr>
          <w:rFonts w:ascii="Palatino Linotype" w:eastAsia="Times New Roman" w:hAnsi="Palatino Linotype" w:cs="Arial"/>
          <w:b/>
          <w:sz w:val="24"/>
          <w:szCs w:val="24"/>
          <w:lang w:val="es-ES" w:eastAsia="es-ES"/>
        </w:rPr>
        <w:t>/IP/</w:t>
      </w:r>
      <w:r w:rsidR="005969F4" w:rsidRPr="008B792B">
        <w:rPr>
          <w:rFonts w:ascii="Palatino Linotype" w:eastAsia="Times New Roman" w:hAnsi="Palatino Linotype" w:cs="Arial"/>
          <w:b/>
          <w:sz w:val="24"/>
          <w:szCs w:val="24"/>
          <w:lang w:val="es-ES" w:eastAsia="es-ES"/>
        </w:rPr>
        <w:t>20</w:t>
      </w:r>
      <w:r w:rsidR="00E9434A" w:rsidRPr="008B792B">
        <w:rPr>
          <w:rFonts w:ascii="Palatino Linotype" w:eastAsia="Times New Roman" w:hAnsi="Palatino Linotype" w:cs="Arial"/>
          <w:b/>
          <w:sz w:val="24"/>
          <w:szCs w:val="24"/>
          <w:lang w:val="es-ES" w:eastAsia="es-ES"/>
        </w:rPr>
        <w:t>20</w:t>
      </w:r>
      <w:r w:rsidR="005969F4" w:rsidRPr="008B792B">
        <w:rPr>
          <w:rFonts w:ascii="Palatino Linotype" w:eastAsia="Times New Roman" w:hAnsi="Palatino Linotype" w:cs="Arial"/>
          <w:b/>
          <w:sz w:val="24"/>
          <w:szCs w:val="24"/>
          <w:lang w:val="es-ES" w:eastAsia="es-ES"/>
        </w:rPr>
        <w:t xml:space="preserve">, </w:t>
      </w:r>
      <w:r w:rsidR="005969F4" w:rsidRPr="008B792B">
        <w:rPr>
          <w:rFonts w:ascii="Palatino Linotype" w:eastAsia="Calibri" w:hAnsi="Palatino Linotype" w:cs="Arial"/>
          <w:sz w:val="24"/>
          <w:szCs w:val="24"/>
          <w:lang w:val="es-ES" w:eastAsia="es-ES"/>
        </w:rPr>
        <w:t>mediante</w:t>
      </w:r>
      <w:r w:rsidR="00E113EC" w:rsidRPr="008B792B">
        <w:rPr>
          <w:rFonts w:ascii="Palatino Linotype" w:eastAsia="Calibri" w:hAnsi="Palatino Linotype" w:cs="Arial"/>
          <w:sz w:val="24"/>
          <w:szCs w:val="24"/>
          <w:lang w:val="es-ES" w:eastAsia="es-ES"/>
        </w:rPr>
        <w:t xml:space="preserve"> la cual se requirió lo siguiente:</w:t>
      </w:r>
    </w:p>
    <w:p w14:paraId="7376A95C" w14:textId="77777777" w:rsidR="0008753C" w:rsidRPr="008B792B"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8AEEA41" w:rsidR="00E113EC" w:rsidRPr="008B792B"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8B792B">
        <w:rPr>
          <w:rFonts w:ascii="Palatino Linotype" w:eastAsia="Calibri" w:hAnsi="Palatino Linotype" w:cs="Arial"/>
          <w:i/>
          <w:szCs w:val="24"/>
          <w:lang w:val="es-ES" w:eastAsia="es-ES"/>
        </w:rPr>
        <w:t>“</w:t>
      </w:r>
      <w:r w:rsidR="00B9797C" w:rsidRPr="008B792B">
        <w:rPr>
          <w:rFonts w:ascii="Palatino Linotype" w:eastAsia="Calibri" w:hAnsi="Palatino Linotype" w:cs="Arial"/>
          <w:i/>
          <w:szCs w:val="24"/>
          <w:lang w:val="es-ES" w:eastAsia="es-ES"/>
        </w:rPr>
        <w:t>Solicito en versión digitalizada los acuerdos, circulares o cualquier otra disposición donde se precise el ámbito territorial de competencia de la PROCURADURÍA GENERAL DE JUSTICIA DEL ESTADO DE MÉXICO O Fiscalía General de Justicia del Estado de México, de todas y cada una de sus agencias, fiscalías regionales, agencias especializadas, etc.</w:t>
      </w:r>
      <w:r w:rsidRPr="008B792B">
        <w:rPr>
          <w:rFonts w:ascii="Palatino Linotype" w:eastAsia="Calibri" w:hAnsi="Palatino Linotype" w:cs="Arial"/>
          <w:i/>
          <w:szCs w:val="24"/>
          <w:lang w:val="es-ES" w:eastAsia="es-ES"/>
        </w:rPr>
        <w:t>” (Sic)</w:t>
      </w:r>
    </w:p>
    <w:p w14:paraId="4E493E84" w14:textId="29D171E4" w:rsidR="009D0086" w:rsidRPr="008B792B"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8B792B">
        <w:rPr>
          <w:rFonts w:ascii="Palatino Linotype" w:hAnsi="Palatino Linotype" w:cs="Arial"/>
          <w:sz w:val="24"/>
        </w:rPr>
        <w:t xml:space="preserve">Se hace constar que </w:t>
      </w:r>
      <w:r w:rsidRPr="008B792B">
        <w:rPr>
          <w:rFonts w:ascii="Palatino Linotype" w:eastAsia="Times New Roman" w:hAnsi="Palatino Linotype" w:cs="Arial"/>
          <w:sz w:val="24"/>
          <w:lang w:val="es-ES"/>
        </w:rPr>
        <w:t>se señaló como modalida</w:t>
      </w:r>
      <w:r w:rsidR="00D31725" w:rsidRPr="008B792B">
        <w:rPr>
          <w:rFonts w:ascii="Palatino Linotype" w:eastAsia="Times New Roman" w:hAnsi="Palatino Linotype" w:cs="Arial"/>
          <w:sz w:val="24"/>
          <w:lang w:val="es-ES"/>
        </w:rPr>
        <w:t xml:space="preserve">d de entrega de la información el </w:t>
      </w:r>
      <w:r w:rsidRPr="008B792B">
        <w:rPr>
          <w:rFonts w:ascii="Palatino Linotype" w:eastAsia="Times New Roman" w:hAnsi="Palatino Linotype" w:cs="Arial"/>
          <w:sz w:val="24"/>
          <w:lang w:val="es-ES"/>
        </w:rPr>
        <w:t xml:space="preserve">Sistema de Acceso a la Información Mexiquense </w:t>
      </w:r>
      <w:r w:rsidRPr="008B792B">
        <w:rPr>
          <w:rFonts w:ascii="Palatino Linotype" w:eastAsia="Times New Roman" w:hAnsi="Palatino Linotype" w:cs="Arial"/>
          <w:b/>
          <w:sz w:val="24"/>
          <w:lang w:val="es-ES"/>
        </w:rPr>
        <w:t>(SAIMEX).</w:t>
      </w:r>
    </w:p>
    <w:p w14:paraId="630B115E" w14:textId="77777777" w:rsidR="00B9797C" w:rsidRPr="008B792B" w:rsidRDefault="00B9797C" w:rsidP="00B9797C">
      <w:pPr>
        <w:pStyle w:val="Prrafodelista"/>
        <w:tabs>
          <w:tab w:val="left" w:pos="426"/>
        </w:tabs>
        <w:spacing w:before="240" w:after="240" w:line="360" w:lineRule="auto"/>
        <w:ind w:left="0"/>
        <w:jc w:val="both"/>
        <w:rPr>
          <w:rFonts w:ascii="Palatino Linotype" w:eastAsia="MS Mincho" w:hAnsi="Palatino Linotype" w:cs="Times New Roman"/>
          <w:sz w:val="24"/>
        </w:rPr>
      </w:pPr>
    </w:p>
    <w:p w14:paraId="2B622736" w14:textId="744BA339" w:rsidR="00055669" w:rsidRPr="008B792B" w:rsidRDefault="00B9797C" w:rsidP="00B9797C">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Arial"/>
          <w:i/>
          <w:sz w:val="24"/>
          <w:lang w:eastAsia="es-ES"/>
        </w:rPr>
      </w:pPr>
      <w:r w:rsidRPr="008B792B">
        <w:rPr>
          <w:rFonts w:ascii="Palatino Linotype" w:eastAsiaTheme="minorEastAsia" w:hAnsi="Palatino Linotype" w:cs="Arial"/>
          <w:sz w:val="24"/>
          <w:lang w:eastAsia="es-ES"/>
        </w:rPr>
        <w:t>El seis</w:t>
      </w:r>
      <w:r w:rsidR="00746EF3" w:rsidRPr="008B792B">
        <w:rPr>
          <w:rFonts w:ascii="Palatino Linotype" w:eastAsiaTheme="minorEastAsia" w:hAnsi="Palatino Linotype" w:cs="Arial"/>
          <w:sz w:val="24"/>
          <w:lang w:eastAsia="es-ES"/>
        </w:rPr>
        <w:t xml:space="preserve"> (</w:t>
      </w:r>
      <w:r w:rsidRPr="008B792B">
        <w:rPr>
          <w:rFonts w:ascii="Palatino Linotype" w:eastAsiaTheme="minorEastAsia" w:hAnsi="Palatino Linotype" w:cs="Arial"/>
          <w:sz w:val="24"/>
          <w:lang w:eastAsia="es-ES"/>
        </w:rPr>
        <w:t>06</w:t>
      </w:r>
      <w:r w:rsidR="00746EF3" w:rsidRPr="008B792B">
        <w:rPr>
          <w:rFonts w:ascii="Palatino Linotype" w:eastAsiaTheme="minorEastAsia" w:hAnsi="Palatino Linotype" w:cs="Arial"/>
          <w:sz w:val="24"/>
          <w:lang w:eastAsia="es-ES"/>
        </w:rPr>
        <w:t xml:space="preserve">) de </w:t>
      </w:r>
      <w:r w:rsidRPr="008B792B">
        <w:rPr>
          <w:rFonts w:ascii="Palatino Linotype" w:eastAsiaTheme="minorEastAsia" w:hAnsi="Palatino Linotype" w:cs="Arial"/>
          <w:sz w:val="24"/>
          <w:lang w:eastAsia="es-ES"/>
        </w:rPr>
        <w:t>octubre</w:t>
      </w:r>
      <w:r w:rsidR="00746EF3" w:rsidRPr="008B792B">
        <w:rPr>
          <w:rFonts w:ascii="Palatino Linotype" w:eastAsiaTheme="minorEastAsia" w:hAnsi="Palatino Linotype" w:cs="Arial"/>
          <w:sz w:val="24"/>
          <w:lang w:eastAsia="es-ES"/>
        </w:rPr>
        <w:t xml:space="preserve"> de dos mil veinte el </w:t>
      </w:r>
      <w:r w:rsidR="00746EF3" w:rsidRPr="008B792B">
        <w:rPr>
          <w:rFonts w:ascii="Palatino Linotype" w:eastAsiaTheme="minorEastAsia" w:hAnsi="Palatino Linotype" w:cs="Arial"/>
          <w:b/>
          <w:sz w:val="24"/>
          <w:lang w:eastAsia="es-ES"/>
        </w:rPr>
        <w:t xml:space="preserve">SUJETO OBLIGADO </w:t>
      </w:r>
      <w:r w:rsidR="00055669" w:rsidRPr="008B792B">
        <w:rPr>
          <w:rFonts w:ascii="Palatino Linotype" w:hAnsi="Palatino Linotype"/>
          <w:color w:val="000000"/>
          <w:sz w:val="24"/>
        </w:rPr>
        <w:t>respondió</w:t>
      </w:r>
      <w:r w:rsidR="009640E7" w:rsidRPr="008B792B">
        <w:rPr>
          <w:rFonts w:ascii="Palatino Linotype" w:hAnsi="Palatino Linotype"/>
          <w:color w:val="000000"/>
          <w:sz w:val="24"/>
        </w:rPr>
        <w:t xml:space="preserve"> a la solicitud de inf</w:t>
      </w:r>
      <w:r w:rsidR="00C16FDA" w:rsidRPr="008B792B">
        <w:rPr>
          <w:rFonts w:ascii="Palatino Linotype" w:hAnsi="Palatino Linotype"/>
          <w:color w:val="000000"/>
          <w:sz w:val="24"/>
        </w:rPr>
        <w:t>ormación</w:t>
      </w:r>
      <w:r w:rsidR="00055669" w:rsidRPr="008B792B">
        <w:rPr>
          <w:rFonts w:ascii="Palatino Linotype" w:hAnsi="Palatino Linotype"/>
          <w:color w:val="000000"/>
          <w:sz w:val="24"/>
        </w:rPr>
        <w:t xml:space="preserve"> en los siguientes términos</w:t>
      </w:r>
      <w:r w:rsidR="002F3E2A" w:rsidRPr="008B792B">
        <w:rPr>
          <w:rFonts w:ascii="Palatino Linotype" w:hAnsi="Palatino Linotype"/>
          <w:color w:val="000000"/>
          <w:sz w:val="24"/>
        </w:rPr>
        <w:t>:</w:t>
      </w:r>
    </w:p>
    <w:p w14:paraId="2DA9AF35" w14:textId="41804607" w:rsidR="00055669" w:rsidRPr="008B792B"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5049E1AC" w:rsidR="00055669" w:rsidRPr="008B792B" w:rsidRDefault="00E347CD" w:rsidP="00B9797C">
      <w:pPr>
        <w:spacing w:before="240" w:after="240" w:line="360" w:lineRule="auto"/>
        <w:ind w:left="851" w:right="567"/>
        <w:contextualSpacing/>
        <w:jc w:val="both"/>
        <w:rPr>
          <w:rFonts w:ascii="Palatino Linotype" w:eastAsiaTheme="minorEastAsia" w:hAnsi="Palatino Linotype" w:cs="Arial"/>
          <w:i/>
          <w:sz w:val="24"/>
          <w:lang w:eastAsia="es-ES"/>
        </w:rPr>
      </w:pPr>
      <w:r w:rsidRPr="008B792B">
        <w:rPr>
          <w:rFonts w:ascii="Palatino Linotype" w:eastAsiaTheme="minorEastAsia" w:hAnsi="Palatino Linotype" w:cs="Arial"/>
          <w:i/>
          <w:sz w:val="24"/>
          <w:lang w:eastAsia="es-ES"/>
        </w:rPr>
        <w:t>“</w:t>
      </w:r>
      <w:r w:rsidR="00B9797C" w:rsidRPr="008B792B">
        <w:rPr>
          <w:rFonts w:ascii="Palatino Linotype" w:eastAsiaTheme="minorEastAsia" w:hAnsi="Palatino Linotype" w:cs="Arial"/>
          <w:i/>
          <w:sz w:val="24"/>
          <w:lang w:eastAsia="es-ES"/>
        </w:rPr>
        <w:t xml:space="preserve">…esta Fiscalía General de Justicia del Estado de México, con fundamento en los artículos 1, 4 y 163 de la Ley de Transparencia y Acceso a la Información Pública del Estado de México y Municipios, hace de su conocimiento que de acuerdo a lo informado por el Director General Jurídico y Consultivo, Servidor Público Habilitado, no procesa información tal y como la solicita; sin embargo atendiendo el principio de máxima publicidad previsto en el artículo 4 de la Ley de la Materia, se informa que toda la normatividad que rige el ámbito de competencia de esta Fiscalía General, así como de las unidades que la componen puede ser consultado en la siguiente liga electrónica: http://legislacion.edomex.gob.mx/legistel No se omite señalar que el organigrama de esta Fiscalía General de Justicia del Estado de México es de carácter público y puede ser consultado en la siguiente liga electrónica: http://fgjem.edomex.gob.mx/sites/fgjem.edomex.gob.mx/files/files/Acercade/Organigrama/FGJ-%202913_041119.pdf No obstante, lo anterior, se manifiesta que esta Institución no se encuentra obligada a procesar, resumir, efectuar cálculos o practicar investigaciones conforme al interés del solicitante, tal y como lo dispone el artículo 12 de la Ley de Transparencia antes invocada, que establece lo siguiente: “Artículo 12. (…) Los sujetos </w:t>
      </w:r>
      <w:r w:rsidR="00B9797C" w:rsidRPr="008B792B">
        <w:rPr>
          <w:rFonts w:ascii="Palatino Linotype" w:eastAsiaTheme="minorEastAsia" w:hAnsi="Palatino Linotype" w:cs="Arial"/>
          <w:i/>
          <w:sz w:val="24"/>
          <w:lang w:eastAsia="es-ES"/>
        </w:rPr>
        <w:lastRenderedPageBreak/>
        <w:t>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w:t>
      </w:r>
      <w:r w:rsidR="00055669" w:rsidRPr="008B792B">
        <w:rPr>
          <w:rFonts w:ascii="Palatino Linotype" w:eastAsiaTheme="minorEastAsia" w:hAnsi="Palatino Linotype" w:cs="Arial"/>
          <w:i/>
          <w:sz w:val="24"/>
          <w:lang w:eastAsia="es-ES"/>
        </w:rPr>
        <w:t>” (Sic)</w:t>
      </w:r>
    </w:p>
    <w:p w14:paraId="3A515464" w14:textId="24A970E4" w:rsidR="00472478" w:rsidRPr="008B792B" w:rsidRDefault="00054E8A" w:rsidP="00B9797C">
      <w:pPr>
        <w:pStyle w:val="Prrafodelista"/>
        <w:numPr>
          <w:ilvl w:val="0"/>
          <w:numId w:val="2"/>
        </w:numPr>
        <w:tabs>
          <w:tab w:val="left" w:pos="426"/>
        </w:tabs>
        <w:spacing w:before="240" w:after="240" w:line="360" w:lineRule="auto"/>
        <w:ind w:left="0" w:firstLine="0"/>
        <w:jc w:val="both"/>
        <w:rPr>
          <w:rFonts w:ascii="Palatino Linotype" w:hAnsi="Palatino Linotype"/>
          <w:sz w:val="24"/>
        </w:rPr>
      </w:pPr>
      <w:r w:rsidRPr="008B792B">
        <w:rPr>
          <w:rFonts w:ascii="Palatino Linotype" w:eastAsiaTheme="minorEastAsia" w:hAnsi="Palatino Linotype" w:cs="Arial"/>
          <w:sz w:val="24"/>
          <w:lang w:eastAsia="es-ES"/>
        </w:rPr>
        <w:t xml:space="preserve"> </w:t>
      </w:r>
      <w:bookmarkStart w:id="1" w:name="_Toc462307683"/>
      <w:bookmarkStart w:id="2" w:name="_Toc472427085"/>
      <w:bookmarkStart w:id="3" w:name="_Toc472500652"/>
      <w:r w:rsidR="006D4766" w:rsidRPr="008B792B">
        <w:rPr>
          <w:rFonts w:ascii="Palatino Linotype" w:eastAsia="Times New Roman" w:hAnsi="Palatino Linotype" w:cs="Arial"/>
          <w:sz w:val="24"/>
          <w:lang w:val="es-ES"/>
        </w:rPr>
        <w:t xml:space="preserve">El </w:t>
      </w:r>
      <w:r w:rsidR="00B9797C" w:rsidRPr="008B792B">
        <w:rPr>
          <w:rFonts w:ascii="Palatino Linotype" w:eastAsia="Times New Roman" w:hAnsi="Palatino Linotype" w:cs="Arial"/>
          <w:sz w:val="24"/>
          <w:lang w:val="es-ES"/>
        </w:rPr>
        <w:t>doce</w:t>
      </w:r>
      <w:r w:rsidR="006D4766" w:rsidRPr="008B792B">
        <w:rPr>
          <w:rFonts w:ascii="Palatino Linotype" w:eastAsia="Times New Roman" w:hAnsi="Palatino Linotype" w:cs="Arial"/>
          <w:sz w:val="24"/>
          <w:lang w:val="es-ES"/>
        </w:rPr>
        <w:t xml:space="preserve"> </w:t>
      </w:r>
      <w:r w:rsidR="00C16FDA" w:rsidRPr="008B792B">
        <w:rPr>
          <w:rFonts w:ascii="Palatino Linotype" w:eastAsia="Times New Roman" w:hAnsi="Palatino Linotype" w:cs="Arial"/>
          <w:sz w:val="24"/>
          <w:lang w:val="es-ES"/>
        </w:rPr>
        <w:t>(</w:t>
      </w:r>
      <w:r w:rsidR="00B9797C" w:rsidRPr="008B792B">
        <w:rPr>
          <w:rFonts w:ascii="Palatino Linotype" w:eastAsia="Times New Roman" w:hAnsi="Palatino Linotype" w:cs="Arial"/>
          <w:sz w:val="24"/>
          <w:lang w:val="es-ES"/>
        </w:rPr>
        <w:t>12</w:t>
      </w:r>
      <w:r w:rsidR="00DE4BA1" w:rsidRPr="008B792B">
        <w:rPr>
          <w:rFonts w:ascii="Palatino Linotype" w:eastAsia="Times New Roman" w:hAnsi="Palatino Linotype" w:cs="Arial"/>
          <w:sz w:val="24"/>
          <w:lang w:val="es-ES"/>
        </w:rPr>
        <w:t xml:space="preserve">) de </w:t>
      </w:r>
      <w:r w:rsidR="00B9797C" w:rsidRPr="008B792B">
        <w:rPr>
          <w:rFonts w:ascii="Palatino Linotype" w:eastAsia="Times New Roman" w:hAnsi="Palatino Linotype" w:cs="Arial"/>
          <w:sz w:val="24"/>
          <w:lang w:val="es-ES"/>
        </w:rPr>
        <w:t>octubre</w:t>
      </w:r>
      <w:r w:rsidR="00DE4BA1" w:rsidRPr="008B792B">
        <w:rPr>
          <w:rFonts w:ascii="Palatino Linotype" w:eastAsia="Times New Roman" w:hAnsi="Palatino Linotype" w:cs="Arial"/>
          <w:sz w:val="24"/>
          <w:lang w:val="es-ES"/>
        </w:rPr>
        <w:t xml:space="preserve"> de dos mil </w:t>
      </w:r>
      <w:r w:rsidR="006F7D6C" w:rsidRPr="008B792B">
        <w:rPr>
          <w:rFonts w:ascii="Palatino Linotype" w:eastAsia="Times New Roman" w:hAnsi="Palatino Linotype" w:cs="Arial"/>
          <w:sz w:val="24"/>
          <w:lang w:val="es-ES"/>
        </w:rPr>
        <w:t>veinte</w:t>
      </w:r>
      <w:r w:rsidR="00DE4BA1" w:rsidRPr="008B792B">
        <w:rPr>
          <w:rFonts w:ascii="Palatino Linotype" w:eastAsia="Times New Roman" w:hAnsi="Palatino Linotype" w:cs="Arial"/>
          <w:sz w:val="24"/>
          <w:lang w:val="es-ES"/>
        </w:rPr>
        <w:t>, el particular interpuso el recurso de revisión</w:t>
      </w:r>
      <w:r w:rsidR="00907EEC" w:rsidRPr="008B792B">
        <w:rPr>
          <w:rFonts w:ascii="Palatino Linotype" w:eastAsia="Times New Roman" w:hAnsi="Palatino Linotype" w:cs="Arial"/>
          <w:sz w:val="24"/>
          <w:lang w:val="es-ES"/>
        </w:rPr>
        <w:t xml:space="preserve"> registrado con el número de expediente</w:t>
      </w:r>
      <w:r w:rsidR="00DE4BA1" w:rsidRPr="008B792B">
        <w:rPr>
          <w:rFonts w:ascii="Palatino Linotype" w:eastAsia="Times New Roman" w:hAnsi="Palatino Linotype" w:cs="Arial"/>
          <w:sz w:val="24"/>
          <w:lang w:val="es-ES"/>
        </w:rPr>
        <w:t xml:space="preserve"> </w:t>
      </w:r>
      <w:r w:rsidR="008C33F2" w:rsidRPr="008B792B">
        <w:rPr>
          <w:rFonts w:ascii="Palatino Linotype" w:eastAsia="Calibri" w:hAnsi="Palatino Linotype" w:cs="Arial"/>
          <w:b/>
          <w:sz w:val="24"/>
          <w:lang w:val="es-ES"/>
        </w:rPr>
        <w:t>0</w:t>
      </w:r>
      <w:r w:rsidR="00B9797C" w:rsidRPr="008B792B">
        <w:rPr>
          <w:rFonts w:ascii="Palatino Linotype" w:eastAsia="Calibri" w:hAnsi="Palatino Linotype" w:cs="Arial"/>
          <w:b/>
          <w:sz w:val="24"/>
          <w:lang w:val="es-ES"/>
        </w:rPr>
        <w:t>4358</w:t>
      </w:r>
      <w:r w:rsidR="006F7D6C" w:rsidRPr="008B792B">
        <w:rPr>
          <w:rFonts w:ascii="Palatino Linotype" w:eastAsia="Calibri" w:hAnsi="Palatino Linotype" w:cs="Arial"/>
          <w:b/>
          <w:sz w:val="24"/>
          <w:lang w:val="es-ES"/>
        </w:rPr>
        <w:t>/INFOEM/IP/RR/2020</w:t>
      </w:r>
      <w:r w:rsidR="00DE4BA1" w:rsidRPr="008B792B">
        <w:rPr>
          <w:rFonts w:ascii="Palatino Linotype" w:eastAsia="Calibri" w:hAnsi="Palatino Linotype" w:cs="Arial"/>
          <w:b/>
          <w:sz w:val="24"/>
          <w:lang w:val="es-ES"/>
        </w:rPr>
        <w:t>;</w:t>
      </w:r>
      <w:r w:rsidR="00DE4BA1" w:rsidRPr="008B792B">
        <w:rPr>
          <w:rFonts w:ascii="Palatino Linotype" w:eastAsia="Times New Roman" w:hAnsi="Palatino Linotype" w:cs="Arial"/>
          <w:sz w:val="24"/>
          <w:lang w:val="es-ES"/>
        </w:rPr>
        <w:t xml:space="preserve"> impugnación en la que refirió lo siguiente:</w:t>
      </w:r>
    </w:p>
    <w:p w14:paraId="6C672A91" w14:textId="77777777" w:rsidR="00835E2B" w:rsidRPr="008B792B"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2FE6B297" w:rsidR="007A47EB" w:rsidRPr="008B792B" w:rsidRDefault="00472478" w:rsidP="00B9797C">
      <w:pPr>
        <w:pStyle w:val="Prrafodelista"/>
        <w:numPr>
          <w:ilvl w:val="0"/>
          <w:numId w:val="20"/>
        </w:numPr>
        <w:spacing w:after="0" w:line="360" w:lineRule="auto"/>
        <w:jc w:val="both"/>
        <w:rPr>
          <w:rFonts w:ascii="Palatino Linotype" w:eastAsia="Times New Roman" w:hAnsi="Palatino Linotype" w:cs="Arial"/>
          <w:i/>
          <w:lang w:val="es-ES"/>
        </w:rPr>
      </w:pPr>
      <w:r w:rsidRPr="008B792B">
        <w:rPr>
          <w:rFonts w:ascii="Palatino Linotype" w:eastAsia="Times New Roman" w:hAnsi="Palatino Linotype" w:cs="Arial"/>
          <w:b/>
          <w:lang w:val="es-ES"/>
        </w:rPr>
        <w:t xml:space="preserve">  </w:t>
      </w:r>
      <w:r w:rsidR="00DE4BA1" w:rsidRPr="008B792B">
        <w:rPr>
          <w:rFonts w:ascii="Palatino Linotype" w:eastAsia="Times New Roman" w:hAnsi="Palatino Linotype" w:cs="Arial"/>
          <w:b/>
          <w:lang w:val="es-ES"/>
        </w:rPr>
        <w:t>Acto impugnado:</w:t>
      </w:r>
      <w:r w:rsidR="00DE4BA1" w:rsidRPr="008B792B">
        <w:rPr>
          <w:rFonts w:ascii="Palatino Linotype" w:eastAsia="Times New Roman" w:hAnsi="Palatino Linotype" w:cs="Arial"/>
          <w:lang w:val="es-ES"/>
        </w:rPr>
        <w:t xml:space="preserve"> </w:t>
      </w:r>
      <w:r w:rsidR="00DE4BA1" w:rsidRPr="008B792B">
        <w:rPr>
          <w:rFonts w:ascii="Palatino Linotype" w:eastAsia="Times New Roman" w:hAnsi="Palatino Linotype" w:cs="Arial"/>
          <w:i/>
          <w:lang w:val="es-ES"/>
        </w:rPr>
        <w:t>“</w:t>
      </w:r>
      <w:r w:rsidR="00B9797C" w:rsidRPr="008B792B">
        <w:rPr>
          <w:rFonts w:ascii="Palatino Linotype" w:hAnsi="Palatino Linotype"/>
          <w:i/>
          <w:color w:val="000000"/>
        </w:rPr>
        <w:t>La respuesta a la solicitud de acceso 00584/FGJ/IP/2020, emitida por el Director General Jurídico y Consultivo de la Fiscalía General de Justicia del Estado de México, mediante oficio 1222/MAIP/FGJ/2020, toda vez que la autoridad no hace valer el principio de máxima publicidad, al señalar que no procesa información tal y como la solicitó el suscrito.</w:t>
      </w:r>
      <w:r w:rsidR="00895528" w:rsidRPr="008B792B">
        <w:rPr>
          <w:rFonts w:ascii="Palatino Linotype" w:hAnsi="Palatino Linotype"/>
          <w:i/>
          <w:color w:val="000000"/>
        </w:rPr>
        <w:t>”</w:t>
      </w:r>
      <w:r w:rsidR="00DE4BA1" w:rsidRPr="008B792B">
        <w:rPr>
          <w:rFonts w:ascii="Palatino Linotype" w:eastAsia="Times New Roman" w:hAnsi="Palatino Linotype" w:cs="Arial"/>
          <w:i/>
          <w:lang w:val="es-ES"/>
        </w:rPr>
        <w:t xml:space="preserve"> (Sic)</w:t>
      </w:r>
    </w:p>
    <w:p w14:paraId="49FC37A3" w14:textId="5C72F55E" w:rsidR="00E113EC" w:rsidRPr="008B792B" w:rsidRDefault="00472478" w:rsidP="00B9797C">
      <w:pPr>
        <w:pStyle w:val="Prrafodelista"/>
        <w:numPr>
          <w:ilvl w:val="0"/>
          <w:numId w:val="20"/>
        </w:numPr>
        <w:spacing w:after="0" w:line="360" w:lineRule="auto"/>
        <w:jc w:val="both"/>
        <w:rPr>
          <w:rFonts w:ascii="Palatino Linotype" w:eastAsia="Times New Roman" w:hAnsi="Palatino Linotype" w:cs="Arial"/>
          <w:i/>
          <w:lang w:val="es-ES"/>
        </w:rPr>
      </w:pPr>
      <w:r w:rsidRPr="008B792B">
        <w:rPr>
          <w:rFonts w:ascii="Palatino Linotype" w:eastAsia="Times New Roman" w:hAnsi="Palatino Linotype" w:cs="Arial"/>
          <w:b/>
          <w:lang w:val="es-ES"/>
        </w:rPr>
        <w:t xml:space="preserve">  </w:t>
      </w:r>
      <w:r w:rsidR="00DE4BA1" w:rsidRPr="008B792B">
        <w:rPr>
          <w:rFonts w:ascii="Palatino Linotype" w:eastAsia="Times New Roman" w:hAnsi="Palatino Linotype" w:cs="Arial"/>
          <w:b/>
          <w:lang w:val="es-ES"/>
        </w:rPr>
        <w:t>Razones o motivos de inconformidad:</w:t>
      </w:r>
      <w:r w:rsidR="00DE4BA1" w:rsidRPr="008B792B">
        <w:rPr>
          <w:rFonts w:ascii="Palatino Linotype" w:eastAsia="Times New Roman" w:hAnsi="Palatino Linotype" w:cs="Arial"/>
          <w:lang w:val="es-ES"/>
        </w:rPr>
        <w:t xml:space="preserve"> </w:t>
      </w:r>
      <w:r w:rsidR="00C32AE9" w:rsidRPr="008B792B">
        <w:rPr>
          <w:rFonts w:ascii="Palatino Linotype" w:eastAsia="Times New Roman" w:hAnsi="Palatino Linotype" w:cs="Arial"/>
          <w:lang w:val="es-ES"/>
        </w:rPr>
        <w:t>“</w:t>
      </w:r>
      <w:r w:rsidR="00B9797C" w:rsidRPr="008B792B">
        <w:rPr>
          <w:rFonts w:ascii="Palatino Linotype" w:eastAsia="Times New Roman" w:hAnsi="Palatino Linotype" w:cs="Arial"/>
          <w:i/>
        </w:rPr>
        <w:t xml:space="preserve">La inobservancia del principio de máxima publicidad, dado que la autoridad no remite la información requerida consistente en las disposiciones jurídicas que establecen el ámbito territorial de las unidades de esa Fiscalía, lo cual entra dentro del ámbito material de la Fiscalía, toda vez que mediante dichas normas que determinan su competencia territorial es que sus actos estén debidamente fundamentados. En este contexto, la Autoridad nos remite al Organigrama Institucional de la Fiscalía General de Justicia del Estado de México, sin embargo, dicho documento no especifica qué municipios o colonias entran dentro del ámbito territorial </w:t>
      </w:r>
      <w:r w:rsidR="00B9797C" w:rsidRPr="008B792B">
        <w:rPr>
          <w:rFonts w:ascii="Palatino Linotype" w:eastAsia="Times New Roman" w:hAnsi="Palatino Linotype" w:cs="Arial"/>
          <w:i/>
        </w:rPr>
        <w:lastRenderedPageBreak/>
        <w:t>de cada una de las unidades de esa Fiscalía. Por lo que es de suma trascendencia que esa Fiscalía deba tener exactamente identificadas las normas en la cuales basa su actuación y que les dan legalidad para actuar en determinado ámbito territorial, por lo cual dicha información no implica ningún procesamiento sino única y exclusivamente la dentición de estas normas que establecen dicha competencia territorial y el acceso a las mimas por parte dela ciudadanía a fin de identificar si los actos de molestia de las autoridades ministeriales son legales desde el punto de vista territorial de su actuación.</w:t>
      </w:r>
      <w:r w:rsidR="00307972" w:rsidRPr="008B792B">
        <w:rPr>
          <w:rFonts w:ascii="Palatino Linotype" w:eastAsia="Times New Roman" w:hAnsi="Palatino Linotype" w:cs="Arial"/>
          <w:i/>
        </w:rPr>
        <w:t>"</w:t>
      </w:r>
      <w:r w:rsidR="00DE4BA1" w:rsidRPr="008B792B">
        <w:rPr>
          <w:rFonts w:ascii="Palatino Linotype" w:eastAsia="Times New Roman" w:hAnsi="Palatino Linotype" w:cs="Arial"/>
          <w:i/>
          <w:lang w:val="es-ES"/>
        </w:rPr>
        <w:t xml:space="preserve"> (Sic)</w:t>
      </w:r>
    </w:p>
    <w:bookmarkEnd w:id="1"/>
    <w:bookmarkEnd w:id="2"/>
    <w:bookmarkEnd w:id="3"/>
    <w:p w14:paraId="6BEF517D" w14:textId="5C9F372C" w:rsidR="00E113EC" w:rsidRPr="008B792B"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B792B">
        <w:rPr>
          <w:rFonts w:ascii="Palatino Linotype" w:eastAsia="Times New Roman" w:hAnsi="Palatino Linotype" w:cs="Arial"/>
          <w:sz w:val="24"/>
          <w:szCs w:val="24"/>
          <w:lang w:val="es-ES" w:eastAsia="es-ES"/>
        </w:rPr>
        <w:t xml:space="preserve">Con </w:t>
      </w:r>
      <w:r w:rsidR="00E113EC" w:rsidRPr="008B792B">
        <w:rPr>
          <w:rFonts w:ascii="Palatino Linotype" w:eastAsiaTheme="minorEastAsia" w:hAnsi="Palatino Linotype" w:cs="Arial"/>
          <w:bCs/>
          <w:sz w:val="24"/>
          <w:szCs w:val="24"/>
          <w:lang w:val="es-ES_tradnl" w:eastAsia="es-ES"/>
        </w:rPr>
        <w:t xml:space="preserve">fundamento en lo dispuesto por el </w:t>
      </w:r>
      <w:r w:rsidR="00E113EC" w:rsidRPr="008B792B">
        <w:rPr>
          <w:rFonts w:ascii="Palatino Linotype" w:eastAsia="Calibri" w:hAnsi="Palatino Linotype" w:cs="Arial"/>
          <w:sz w:val="24"/>
          <w:szCs w:val="24"/>
          <w:lang w:val="es-ES" w:eastAsia="es-ES"/>
        </w:rPr>
        <w:t xml:space="preserve">artículo 185 fracción I de la </w:t>
      </w:r>
      <w:r w:rsidR="00E113EC" w:rsidRPr="008B792B">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8B792B">
        <w:rPr>
          <w:rFonts w:ascii="Palatino Linotype" w:eastAsia="Times New Roman" w:hAnsi="Palatino Linotype" w:cs="Arial"/>
          <w:sz w:val="24"/>
          <w:szCs w:val="24"/>
          <w:lang w:val="es-ES" w:eastAsia="es-ES"/>
        </w:rPr>
        <w:t xml:space="preserve">se turnó al </w:t>
      </w:r>
      <w:r w:rsidR="00E113EC" w:rsidRPr="008B792B">
        <w:rPr>
          <w:rFonts w:ascii="Palatino Linotype" w:eastAsia="Times New Roman" w:hAnsi="Palatino Linotype" w:cs="Arial"/>
          <w:b/>
          <w:sz w:val="24"/>
          <w:szCs w:val="24"/>
          <w:lang w:val="es-ES" w:eastAsia="es-ES"/>
        </w:rPr>
        <w:t xml:space="preserve">Comisionado José Guadalupe Luna Hernández, </w:t>
      </w:r>
      <w:r w:rsidR="00D1544B" w:rsidRPr="008B792B">
        <w:rPr>
          <w:rFonts w:ascii="Palatino Linotype" w:eastAsia="Times New Roman" w:hAnsi="Palatino Linotype" w:cs="Arial"/>
          <w:sz w:val="24"/>
          <w:szCs w:val="24"/>
          <w:lang w:val="es-ES" w:eastAsia="es-ES"/>
        </w:rPr>
        <w:t>para proceder a su análisis.</w:t>
      </w:r>
    </w:p>
    <w:p w14:paraId="57160A1E" w14:textId="77777777" w:rsidR="00E113EC" w:rsidRPr="008B792B"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0BF562A8" w:rsidR="00E113EC" w:rsidRPr="008B792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8B792B">
        <w:rPr>
          <w:rFonts w:ascii="Palatino Linotype" w:eastAsia="Calibri" w:hAnsi="Palatino Linotype" w:cs="Arial"/>
          <w:sz w:val="24"/>
          <w:szCs w:val="24"/>
          <w:lang w:val="es-ES" w:eastAsia="es-ES"/>
        </w:rPr>
        <w:t>El Comisionado Ponente</w:t>
      </w:r>
      <w:r w:rsidR="00D1544B" w:rsidRPr="008B792B">
        <w:rPr>
          <w:rFonts w:ascii="Palatino Linotype" w:eastAsia="Calibri" w:hAnsi="Palatino Linotype" w:cs="Arial"/>
          <w:sz w:val="24"/>
          <w:szCs w:val="24"/>
          <w:lang w:val="es-ES" w:eastAsia="es-ES"/>
        </w:rPr>
        <w:t>,</w:t>
      </w:r>
      <w:r w:rsidRPr="008B792B">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8B792B">
        <w:rPr>
          <w:rFonts w:ascii="Palatino Linotype" w:eastAsia="Calibri" w:hAnsi="Palatino Linotype" w:cs="Arial"/>
          <w:sz w:val="24"/>
          <w:szCs w:val="24"/>
          <w:lang w:val="es-ES" w:eastAsia="es-ES"/>
        </w:rPr>
        <w:t xml:space="preserve">uerdo </w:t>
      </w:r>
      <w:r w:rsidR="00B9797C" w:rsidRPr="008B792B">
        <w:rPr>
          <w:rFonts w:ascii="Palatino Linotype" w:eastAsia="Calibri" w:hAnsi="Palatino Linotype" w:cs="Arial"/>
          <w:sz w:val="24"/>
          <w:szCs w:val="24"/>
          <w:lang w:val="es-ES" w:eastAsia="es-ES"/>
        </w:rPr>
        <w:t>de admisión de fecha dieciséis</w:t>
      </w:r>
      <w:r w:rsidR="00835E2B" w:rsidRPr="008B792B">
        <w:rPr>
          <w:rFonts w:ascii="Palatino Linotype" w:eastAsia="Calibri" w:hAnsi="Palatino Linotype" w:cs="Arial"/>
          <w:sz w:val="24"/>
          <w:szCs w:val="24"/>
          <w:lang w:val="es-ES" w:eastAsia="es-ES"/>
        </w:rPr>
        <w:t xml:space="preserve"> (</w:t>
      </w:r>
      <w:r w:rsidR="00B9797C" w:rsidRPr="008B792B">
        <w:rPr>
          <w:rFonts w:ascii="Palatino Linotype" w:eastAsia="Calibri" w:hAnsi="Palatino Linotype" w:cs="Arial"/>
          <w:sz w:val="24"/>
          <w:szCs w:val="24"/>
          <w:lang w:val="es-ES" w:eastAsia="es-ES"/>
        </w:rPr>
        <w:t>16</w:t>
      </w:r>
      <w:r w:rsidRPr="008B792B">
        <w:rPr>
          <w:rFonts w:ascii="Palatino Linotype" w:eastAsia="Calibri" w:hAnsi="Palatino Linotype" w:cs="Arial"/>
          <w:sz w:val="24"/>
          <w:szCs w:val="24"/>
          <w:lang w:val="es-ES" w:eastAsia="es-ES"/>
        </w:rPr>
        <w:t xml:space="preserve">) de </w:t>
      </w:r>
      <w:r w:rsidR="00B9797C" w:rsidRPr="008B792B">
        <w:rPr>
          <w:rFonts w:ascii="Palatino Linotype" w:eastAsia="Calibri" w:hAnsi="Palatino Linotype" w:cs="Arial"/>
          <w:sz w:val="24"/>
          <w:szCs w:val="24"/>
          <w:lang w:val="es-ES" w:eastAsia="es-ES"/>
        </w:rPr>
        <w:t>octubre</w:t>
      </w:r>
      <w:r w:rsidR="007A47EB" w:rsidRPr="008B792B">
        <w:rPr>
          <w:rFonts w:ascii="Palatino Linotype" w:eastAsia="Calibri" w:hAnsi="Palatino Linotype" w:cs="Arial"/>
          <w:b/>
          <w:sz w:val="24"/>
          <w:szCs w:val="24"/>
          <w:lang w:val="es-ES" w:eastAsia="es-ES"/>
        </w:rPr>
        <w:t xml:space="preserve"> </w:t>
      </w:r>
      <w:r w:rsidR="00835E2B" w:rsidRPr="008B792B">
        <w:rPr>
          <w:rFonts w:ascii="Palatino Linotype" w:eastAsia="Calibri" w:hAnsi="Palatino Linotype" w:cs="Arial"/>
          <w:sz w:val="24"/>
          <w:szCs w:val="24"/>
          <w:lang w:val="es-ES" w:eastAsia="es-ES"/>
        </w:rPr>
        <w:t>de dos mil veinte</w:t>
      </w:r>
      <w:r w:rsidRPr="008B792B">
        <w:rPr>
          <w:rFonts w:ascii="Palatino Linotype" w:eastAsia="Calibri" w:hAnsi="Palatino Linotype" w:cs="Arial"/>
          <w:sz w:val="24"/>
          <w:szCs w:val="24"/>
          <w:lang w:val="es-ES" w:eastAsia="es-ES"/>
        </w:rPr>
        <w:t xml:space="preserve">, puso a disposición de las </w:t>
      </w:r>
      <w:r w:rsidR="00D1544B" w:rsidRPr="008B792B">
        <w:rPr>
          <w:rFonts w:ascii="Palatino Linotype" w:eastAsia="Calibri" w:hAnsi="Palatino Linotype" w:cs="Arial"/>
          <w:sz w:val="24"/>
          <w:szCs w:val="24"/>
          <w:lang w:val="es-ES" w:eastAsia="es-ES"/>
        </w:rPr>
        <w:t xml:space="preserve">partes el expediente electrónico vía SAIMEX para </w:t>
      </w:r>
      <w:r w:rsidRPr="008B792B">
        <w:rPr>
          <w:rFonts w:ascii="Palatino Linotype" w:eastAsia="Calibri" w:hAnsi="Palatino Linotype" w:cs="Arial"/>
          <w:sz w:val="24"/>
          <w:szCs w:val="24"/>
          <w:lang w:val="es-ES" w:eastAsia="es-ES"/>
        </w:rPr>
        <w:t>que en un plazo máximo de siete días manifesta</w:t>
      </w:r>
      <w:r w:rsidR="00D1544B" w:rsidRPr="008B792B">
        <w:rPr>
          <w:rFonts w:ascii="Palatino Linotype" w:eastAsia="Calibri" w:hAnsi="Palatino Linotype" w:cs="Arial"/>
          <w:sz w:val="24"/>
          <w:szCs w:val="24"/>
          <w:lang w:val="es-ES" w:eastAsia="es-ES"/>
        </w:rPr>
        <w:t>ran lo que conforme a su derecho convinieran, ofreciendo</w:t>
      </w:r>
      <w:r w:rsidRPr="008B792B">
        <w:rPr>
          <w:rFonts w:ascii="Palatino Linotype" w:eastAsia="Calibri" w:hAnsi="Palatino Linotype" w:cs="Arial"/>
          <w:sz w:val="24"/>
          <w:szCs w:val="24"/>
          <w:lang w:val="es-ES" w:eastAsia="es-ES"/>
        </w:rPr>
        <w:t xml:space="preserve"> pruebas y alegatos según corresponda al caso concreto, para que el </w:t>
      </w:r>
      <w:r w:rsidRPr="008B792B">
        <w:rPr>
          <w:rFonts w:ascii="Palatino Linotype" w:eastAsia="Calibri" w:hAnsi="Palatino Linotype" w:cs="Arial"/>
          <w:b/>
          <w:sz w:val="24"/>
          <w:szCs w:val="24"/>
          <w:lang w:val="es-ES" w:eastAsia="es-ES"/>
        </w:rPr>
        <w:t>SUJETO OBLIGADO</w:t>
      </w:r>
      <w:r w:rsidR="00D1544B" w:rsidRPr="008B792B">
        <w:rPr>
          <w:rFonts w:ascii="Palatino Linotype" w:eastAsia="Calibri" w:hAnsi="Palatino Linotype" w:cs="Arial"/>
          <w:sz w:val="24"/>
          <w:szCs w:val="24"/>
          <w:lang w:val="es-ES" w:eastAsia="es-ES"/>
        </w:rPr>
        <w:t xml:space="preserve"> presentara</w:t>
      </w:r>
      <w:r w:rsidRPr="008B792B">
        <w:rPr>
          <w:rFonts w:ascii="Palatino Linotype" w:eastAsia="Calibri" w:hAnsi="Palatino Linotype" w:cs="Arial"/>
          <w:sz w:val="24"/>
          <w:szCs w:val="24"/>
          <w:lang w:val="es-ES" w:eastAsia="es-ES"/>
        </w:rPr>
        <w:t xml:space="preserve"> el Informe Justificado procedente</w:t>
      </w:r>
      <w:r w:rsidR="00DF2CBA" w:rsidRPr="008B792B">
        <w:rPr>
          <w:rFonts w:ascii="Palatino Linotype" w:eastAsia="Calibri" w:hAnsi="Palatino Linotype" w:cs="Arial"/>
          <w:sz w:val="24"/>
          <w:szCs w:val="24"/>
          <w:lang w:val="es-ES" w:eastAsia="es-ES"/>
        </w:rPr>
        <w:t>.</w:t>
      </w:r>
    </w:p>
    <w:p w14:paraId="573E8E61" w14:textId="77777777" w:rsidR="00B9797C" w:rsidRPr="008B792B" w:rsidRDefault="00B9797C" w:rsidP="00307972">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8B792B">
        <w:rPr>
          <w:rFonts w:ascii="Palatino Linotype" w:eastAsia="Calibri" w:hAnsi="Palatino Linotype" w:cs="Arial"/>
          <w:sz w:val="24"/>
          <w:lang w:val="es-ES"/>
        </w:rPr>
        <w:t>El veintisiete</w:t>
      </w:r>
      <w:r w:rsidR="00AF091C" w:rsidRPr="008B792B">
        <w:rPr>
          <w:rFonts w:ascii="Palatino Linotype" w:eastAsia="Calibri" w:hAnsi="Palatino Linotype" w:cs="Arial"/>
          <w:sz w:val="24"/>
          <w:lang w:val="es-ES"/>
        </w:rPr>
        <w:t xml:space="preserve"> (</w:t>
      </w:r>
      <w:r w:rsidR="00E05DD9" w:rsidRPr="008B792B">
        <w:rPr>
          <w:rFonts w:ascii="Palatino Linotype" w:eastAsia="Calibri" w:hAnsi="Palatino Linotype" w:cs="Arial"/>
          <w:sz w:val="24"/>
          <w:lang w:val="es-ES"/>
        </w:rPr>
        <w:t>2</w:t>
      </w:r>
      <w:r w:rsidRPr="008B792B">
        <w:rPr>
          <w:rFonts w:ascii="Palatino Linotype" w:eastAsia="Calibri" w:hAnsi="Palatino Linotype" w:cs="Arial"/>
          <w:sz w:val="24"/>
          <w:lang w:val="es-ES"/>
        </w:rPr>
        <w:t>7</w:t>
      </w:r>
      <w:r w:rsidR="00AF091C" w:rsidRPr="008B792B">
        <w:rPr>
          <w:rFonts w:ascii="Palatino Linotype" w:eastAsia="Calibri" w:hAnsi="Palatino Linotype" w:cs="Arial"/>
          <w:sz w:val="24"/>
          <w:lang w:val="es-ES"/>
        </w:rPr>
        <w:t>)</w:t>
      </w:r>
      <w:r w:rsidR="00307972" w:rsidRPr="008B792B">
        <w:rPr>
          <w:rFonts w:ascii="Palatino Linotype" w:eastAsia="Calibri" w:hAnsi="Palatino Linotype" w:cs="Arial"/>
          <w:sz w:val="24"/>
          <w:lang w:val="es-ES"/>
        </w:rPr>
        <w:t xml:space="preserve"> </w:t>
      </w:r>
      <w:r w:rsidR="00AF091C" w:rsidRPr="008B792B">
        <w:rPr>
          <w:rFonts w:ascii="Palatino Linotype" w:eastAsia="Calibri" w:hAnsi="Palatino Linotype" w:cs="Arial"/>
          <w:sz w:val="24"/>
          <w:lang w:val="es-ES"/>
        </w:rPr>
        <w:t xml:space="preserve">de </w:t>
      </w:r>
      <w:r w:rsidRPr="008B792B">
        <w:rPr>
          <w:rFonts w:ascii="Palatino Linotype" w:eastAsia="Calibri" w:hAnsi="Palatino Linotype" w:cs="Arial"/>
          <w:sz w:val="24"/>
          <w:lang w:val="es-ES"/>
        </w:rPr>
        <w:t>octubre</w:t>
      </w:r>
      <w:r w:rsidR="00AF091C" w:rsidRPr="008B792B">
        <w:rPr>
          <w:rFonts w:ascii="Palatino Linotype" w:eastAsia="Calibri" w:hAnsi="Palatino Linotype" w:cs="Arial"/>
          <w:sz w:val="24"/>
          <w:lang w:val="es-ES"/>
        </w:rPr>
        <w:t xml:space="preserve"> de dos mil veinte </w:t>
      </w:r>
      <w:r w:rsidR="009C28AF" w:rsidRPr="008B792B">
        <w:rPr>
          <w:rFonts w:ascii="Palatino Linotype" w:eastAsia="Calibri" w:hAnsi="Palatino Linotype" w:cs="Arial"/>
          <w:sz w:val="24"/>
          <w:lang w:val="es-ES"/>
        </w:rPr>
        <w:t>E</w:t>
      </w:r>
      <w:r w:rsidR="000732C9" w:rsidRPr="008B792B">
        <w:rPr>
          <w:rFonts w:ascii="Palatino Linotype" w:eastAsia="Calibri" w:hAnsi="Palatino Linotype" w:cs="Arial"/>
          <w:sz w:val="24"/>
          <w:lang w:val="es-ES"/>
        </w:rPr>
        <w:t xml:space="preserve">l </w:t>
      </w:r>
      <w:r w:rsidR="000732C9" w:rsidRPr="008B792B">
        <w:rPr>
          <w:rFonts w:ascii="Palatino Linotype" w:eastAsia="Calibri" w:hAnsi="Palatino Linotype" w:cs="Arial"/>
          <w:b/>
          <w:sz w:val="24"/>
          <w:lang w:val="es-ES"/>
        </w:rPr>
        <w:t>SUJETO OBLIGADO</w:t>
      </w:r>
      <w:r w:rsidR="00AF091C" w:rsidRPr="008B792B">
        <w:rPr>
          <w:rFonts w:ascii="Palatino Linotype" w:eastAsia="Calibri" w:hAnsi="Palatino Linotype" w:cs="Arial"/>
          <w:b/>
          <w:sz w:val="24"/>
          <w:lang w:val="es-ES"/>
        </w:rPr>
        <w:t xml:space="preserve"> </w:t>
      </w:r>
      <w:r w:rsidR="00AF091C" w:rsidRPr="008B792B">
        <w:rPr>
          <w:rFonts w:ascii="Palatino Linotype" w:eastAsia="Calibri" w:hAnsi="Palatino Linotype" w:cs="Arial"/>
          <w:sz w:val="24"/>
          <w:lang w:val="es-ES"/>
        </w:rPr>
        <w:t>remitió el</w:t>
      </w:r>
      <w:r w:rsidR="009C28AF" w:rsidRPr="008B792B">
        <w:rPr>
          <w:rFonts w:ascii="Palatino Linotype" w:eastAsia="Calibri" w:hAnsi="Palatino Linotype" w:cs="Arial"/>
          <w:sz w:val="24"/>
          <w:lang w:val="es-ES"/>
        </w:rPr>
        <w:t xml:space="preserve"> </w:t>
      </w:r>
      <w:r w:rsidR="00D1544B" w:rsidRPr="008B792B">
        <w:rPr>
          <w:rFonts w:ascii="Palatino Linotype" w:eastAsia="Calibri" w:hAnsi="Palatino Linotype" w:cs="Arial"/>
          <w:sz w:val="24"/>
          <w:lang w:val="es-ES"/>
        </w:rPr>
        <w:t>informe justificado</w:t>
      </w:r>
      <w:r w:rsidR="00AF091C" w:rsidRPr="008B792B">
        <w:rPr>
          <w:rFonts w:ascii="Palatino Linotype" w:eastAsia="Calibri" w:hAnsi="Palatino Linotype" w:cs="Arial"/>
          <w:sz w:val="24"/>
          <w:lang w:val="es-ES"/>
        </w:rPr>
        <w:t xml:space="preserve"> consistente </w:t>
      </w:r>
      <w:r w:rsidRPr="008B792B">
        <w:rPr>
          <w:rFonts w:ascii="Palatino Linotype" w:eastAsia="Calibri" w:hAnsi="Palatino Linotype" w:cs="Arial"/>
          <w:sz w:val="24"/>
          <w:lang w:val="es-ES"/>
        </w:rPr>
        <w:t>en los</w:t>
      </w:r>
      <w:r w:rsidR="00307972" w:rsidRPr="008B792B">
        <w:rPr>
          <w:rFonts w:ascii="Palatino Linotype" w:eastAsia="Calibri" w:hAnsi="Palatino Linotype" w:cs="Arial"/>
          <w:sz w:val="24"/>
          <w:lang w:val="es-ES"/>
        </w:rPr>
        <w:t xml:space="preserve"> archivo</w:t>
      </w:r>
      <w:r w:rsidRPr="008B792B">
        <w:rPr>
          <w:rFonts w:ascii="Palatino Linotype" w:eastAsia="Calibri" w:hAnsi="Palatino Linotype" w:cs="Arial"/>
          <w:sz w:val="24"/>
          <w:lang w:val="es-ES"/>
        </w:rPr>
        <w:t>s</w:t>
      </w:r>
      <w:r w:rsidR="00307972" w:rsidRPr="008B792B">
        <w:rPr>
          <w:rFonts w:ascii="Palatino Linotype" w:eastAsia="Calibri" w:hAnsi="Palatino Linotype" w:cs="Arial"/>
          <w:sz w:val="24"/>
          <w:lang w:val="es-ES"/>
        </w:rPr>
        <w:t xml:space="preserve"> electrónico</w:t>
      </w:r>
      <w:r w:rsidRPr="008B792B">
        <w:rPr>
          <w:rFonts w:ascii="Palatino Linotype" w:eastAsia="Calibri" w:hAnsi="Palatino Linotype" w:cs="Arial"/>
          <w:sz w:val="24"/>
          <w:lang w:val="es-ES"/>
        </w:rPr>
        <w:t>s</w:t>
      </w:r>
      <w:r w:rsidR="00307972" w:rsidRPr="008B792B">
        <w:rPr>
          <w:rFonts w:ascii="Palatino Linotype" w:eastAsia="Calibri" w:hAnsi="Palatino Linotype" w:cs="Arial"/>
          <w:sz w:val="24"/>
          <w:lang w:val="es-ES"/>
        </w:rPr>
        <w:t xml:space="preserve"> </w:t>
      </w:r>
      <w:r w:rsidRPr="008B792B">
        <w:rPr>
          <w:rFonts w:ascii="Palatino Linotype" w:eastAsia="Calibri" w:hAnsi="Palatino Linotype" w:cs="Arial"/>
          <w:sz w:val="24"/>
          <w:lang w:val="es-ES"/>
        </w:rPr>
        <w:t xml:space="preserve">descritos en el orden siguiente: </w:t>
      </w:r>
    </w:p>
    <w:p w14:paraId="3EEF52A6" w14:textId="53F30A30" w:rsidR="00F20E36" w:rsidRPr="008B792B" w:rsidRDefault="00007681" w:rsidP="00007681">
      <w:pPr>
        <w:pStyle w:val="Prrafodelista"/>
        <w:numPr>
          <w:ilvl w:val="0"/>
          <w:numId w:val="38"/>
        </w:numPr>
        <w:tabs>
          <w:tab w:val="left" w:pos="0"/>
        </w:tabs>
        <w:spacing w:after="0" w:line="360" w:lineRule="auto"/>
        <w:ind w:right="49"/>
        <w:jc w:val="both"/>
        <w:rPr>
          <w:rFonts w:ascii="Palatino Linotype" w:hAnsi="Palatino Linotype"/>
          <w:i/>
          <w:color w:val="000000"/>
          <w:sz w:val="24"/>
          <w:szCs w:val="24"/>
        </w:rPr>
      </w:pPr>
      <w:r w:rsidRPr="008B792B">
        <w:rPr>
          <w:rFonts w:ascii="Palatino Linotype" w:hAnsi="Palatino Linotype"/>
          <w:b/>
          <w:i/>
          <w:color w:val="000000"/>
          <w:sz w:val="24"/>
          <w:szCs w:val="24"/>
        </w:rPr>
        <w:lastRenderedPageBreak/>
        <w:t xml:space="preserve">Of.inf.just._2019_02_07_01_23_16_915.pdf: </w:t>
      </w:r>
      <w:r w:rsidRPr="008B792B">
        <w:rPr>
          <w:rFonts w:ascii="Palatino Linotype" w:hAnsi="Palatino Linotype"/>
          <w:color w:val="000000"/>
          <w:sz w:val="24"/>
          <w:szCs w:val="24"/>
        </w:rPr>
        <w:t xml:space="preserve">Consiste en el oficio número 1459/MAIP/FGJ/2020 de fecha veintisiete (27) de octubre de dos mil veinte, suscrito y signado por la Titular de la Unidad de Transparencia por medio del cual remite el informe justificado. </w:t>
      </w:r>
    </w:p>
    <w:p w14:paraId="321C6248" w14:textId="056FFDA2" w:rsidR="00007681" w:rsidRPr="008B792B" w:rsidRDefault="00007681" w:rsidP="00007681">
      <w:pPr>
        <w:pStyle w:val="Prrafodelista"/>
        <w:numPr>
          <w:ilvl w:val="0"/>
          <w:numId w:val="38"/>
        </w:numPr>
        <w:tabs>
          <w:tab w:val="left" w:pos="0"/>
        </w:tabs>
        <w:spacing w:after="0" w:line="360" w:lineRule="auto"/>
        <w:ind w:right="49"/>
        <w:jc w:val="both"/>
        <w:rPr>
          <w:rFonts w:ascii="Palatino Linotype" w:hAnsi="Palatino Linotype"/>
          <w:i/>
          <w:color w:val="000000"/>
          <w:sz w:val="24"/>
          <w:szCs w:val="24"/>
        </w:rPr>
      </w:pPr>
      <w:r w:rsidRPr="008B792B">
        <w:rPr>
          <w:rFonts w:ascii="Palatino Linotype" w:hAnsi="Palatino Linotype"/>
          <w:b/>
          <w:i/>
          <w:color w:val="000000"/>
          <w:sz w:val="24"/>
          <w:szCs w:val="24"/>
        </w:rPr>
        <w:t xml:space="preserve">Inf.just_2019_02_07_01_34_28_303.pdf: </w:t>
      </w:r>
      <w:r w:rsidRPr="008B792B">
        <w:rPr>
          <w:rFonts w:ascii="Palatino Linotype" w:hAnsi="Palatino Linotype"/>
          <w:color w:val="000000"/>
          <w:sz w:val="24"/>
          <w:szCs w:val="24"/>
        </w:rPr>
        <w:t xml:space="preserve">Oficio número 1456/MAIP/FGJ/2019, de fecha veintisiete (27) de octubre de dos mil veinte, suscrito y signado por la Titular de la Unidad de Transparencia, que en su parte sustantiva ratifica la respuesta inicial refiriendo el sitio electrónico en el que se encuentra publicado el marco normativo y las facultades de cada área. </w:t>
      </w:r>
    </w:p>
    <w:p w14:paraId="3461D0BF" w14:textId="77777777" w:rsidR="00007681" w:rsidRPr="008B792B" w:rsidRDefault="00007681" w:rsidP="00007681">
      <w:pPr>
        <w:pStyle w:val="Prrafodelista"/>
        <w:tabs>
          <w:tab w:val="left" w:pos="0"/>
        </w:tabs>
        <w:spacing w:after="0" w:line="360" w:lineRule="auto"/>
        <w:ind w:left="1440" w:right="49"/>
        <w:jc w:val="both"/>
        <w:rPr>
          <w:rFonts w:ascii="Palatino Linotype" w:hAnsi="Palatino Linotype"/>
          <w:i/>
          <w:color w:val="000000"/>
          <w:sz w:val="24"/>
          <w:szCs w:val="24"/>
        </w:rPr>
      </w:pPr>
    </w:p>
    <w:p w14:paraId="28B8B690" w14:textId="7A11C376" w:rsidR="00F20E36" w:rsidRPr="008B792B" w:rsidRDefault="00307972" w:rsidP="00007681">
      <w:pPr>
        <w:pStyle w:val="Prrafodelista"/>
        <w:numPr>
          <w:ilvl w:val="0"/>
          <w:numId w:val="2"/>
        </w:numPr>
        <w:tabs>
          <w:tab w:val="left" w:pos="0"/>
        </w:tabs>
        <w:spacing w:after="0" w:line="360" w:lineRule="auto"/>
        <w:ind w:left="0" w:right="49" w:firstLine="0"/>
        <w:jc w:val="both"/>
        <w:rPr>
          <w:rFonts w:ascii="Palatino Linotype" w:hAnsi="Palatino Linotype"/>
          <w:color w:val="000000"/>
          <w:sz w:val="24"/>
          <w:szCs w:val="24"/>
        </w:rPr>
      </w:pPr>
      <w:r w:rsidRPr="008B792B">
        <w:rPr>
          <w:rFonts w:ascii="Palatino Linotype" w:hAnsi="Palatino Linotype"/>
          <w:color w:val="000000"/>
          <w:sz w:val="24"/>
          <w:szCs w:val="24"/>
        </w:rPr>
        <w:t>Documento</w:t>
      </w:r>
      <w:r w:rsidR="00007681" w:rsidRPr="008B792B">
        <w:rPr>
          <w:rFonts w:ascii="Palatino Linotype" w:hAnsi="Palatino Linotype"/>
          <w:color w:val="000000"/>
          <w:sz w:val="24"/>
          <w:szCs w:val="24"/>
        </w:rPr>
        <w:t>s</w:t>
      </w:r>
      <w:r w:rsidR="00F20E36" w:rsidRPr="008B792B">
        <w:rPr>
          <w:rFonts w:ascii="Palatino Linotype" w:hAnsi="Palatino Linotype"/>
          <w:color w:val="000000"/>
          <w:sz w:val="24"/>
          <w:szCs w:val="24"/>
        </w:rPr>
        <w:t xml:space="preserve"> </w:t>
      </w:r>
      <w:r w:rsidRPr="008B792B">
        <w:rPr>
          <w:rFonts w:ascii="Palatino Linotype" w:hAnsi="Palatino Linotype"/>
          <w:color w:val="000000"/>
          <w:sz w:val="24"/>
          <w:szCs w:val="24"/>
        </w:rPr>
        <w:t>que por no encontrarse en el supuesto establecido en el artículo 1</w:t>
      </w:r>
      <w:r w:rsidR="00E05DD9" w:rsidRPr="008B792B">
        <w:rPr>
          <w:rFonts w:ascii="Palatino Linotype" w:hAnsi="Palatino Linotype"/>
          <w:color w:val="000000"/>
          <w:sz w:val="24"/>
          <w:szCs w:val="24"/>
        </w:rPr>
        <w:t>8</w:t>
      </w:r>
      <w:r w:rsidRPr="008B792B">
        <w:rPr>
          <w:rFonts w:ascii="Palatino Linotype" w:hAnsi="Palatino Linotype"/>
          <w:color w:val="000000"/>
          <w:sz w:val="24"/>
          <w:szCs w:val="24"/>
        </w:rPr>
        <w:t xml:space="preserve">5 fracción III de la </w:t>
      </w:r>
      <w:r w:rsidRPr="008B792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B792B">
        <w:rPr>
          <w:rFonts w:ascii="Palatino Linotype" w:eastAsia="Calibri" w:hAnsi="Palatino Linotype" w:cs="Arial"/>
          <w:sz w:val="24"/>
          <w:szCs w:val="24"/>
          <w:lang w:val="es-ES" w:eastAsia="es-ES"/>
        </w:rPr>
        <w:t xml:space="preserve">no se hizo del conocimiento del </w:t>
      </w:r>
      <w:r w:rsidRPr="008B792B">
        <w:rPr>
          <w:rFonts w:ascii="Palatino Linotype" w:eastAsia="Calibri" w:hAnsi="Palatino Linotype" w:cs="Arial"/>
          <w:b/>
          <w:sz w:val="24"/>
          <w:szCs w:val="24"/>
          <w:lang w:val="es-ES" w:eastAsia="es-ES"/>
        </w:rPr>
        <w:t xml:space="preserve">RECURRENTE, </w:t>
      </w:r>
      <w:r w:rsidR="00C94C46" w:rsidRPr="008B792B">
        <w:rPr>
          <w:rFonts w:ascii="Palatino Linotype" w:eastAsia="Calibri" w:hAnsi="Palatino Linotype" w:cs="Arial"/>
          <w:sz w:val="24"/>
          <w:szCs w:val="24"/>
          <w:lang w:val="es-ES" w:eastAsia="es-ES"/>
        </w:rPr>
        <w:t xml:space="preserve">sin embargo, para que no exista opacidad respecto del contenido del mismo, será puesto a la vista del particular al momento de notificar la presente resolución. </w:t>
      </w:r>
    </w:p>
    <w:p w14:paraId="79A85497" w14:textId="5E11A184" w:rsidR="00AF091C" w:rsidRPr="008B792B"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r w:rsidRPr="008B792B">
        <w:rPr>
          <w:rFonts w:ascii="Palatino Linotype" w:eastAsiaTheme="minorEastAsia" w:hAnsi="Palatino Linotype" w:cs="Arial"/>
          <w:sz w:val="24"/>
          <w:lang w:eastAsia="es-ES"/>
        </w:rPr>
        <w:t xml:space="preserve">  </w:t>
      </w:r>
    </w:p>
    <w:p w14:paraId="7B664BC6" w14:textId="585E1B52" w:rsidR="009C28AF" w:rsidRPr="008B792B" w:rsidRDefault="001E0D87" w:rsidP="00007681">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8B792B">
        <w:rPr>
          <w:rFonts w:ascii="Palatino Linotype" w:hAnsi="Palatino Linotype"/>
          <w:color w:val="000000"/>
          <w:sz w:val="24"/>
          <w:szCs w:val="24"/>
        </w:rPr>
        <w:t>P</w:t>
      </w:r>
      <w:r w:rsidR="009C28AF" w:rsidRPr="008B792B">
        <w:rPr>
          <w:rFonts w:ascii="Palatino Linotype" w:hAnsi="Palatino Linotype"/>
          <w:color w:val="000000"/>
          <w:sz w:val="24"/>
          <w:szCs w:val="24"/>
        </w:rPr>
        <w:t>or</w:t>
      </w:r>
      <w:r w:rsidR="009C28AF" w:rsidRPr="008B792B">
        <w:rPr>
          <w:rFonts w:ascii="Palatino Linotype" w:eastAsia="Calibri" w:hAnsi="Palatino Linotype" w:cs="Arial"/>
          <w:sz w:val="24"/>
          <w:szCs w:val="24"/>
          <w:lang w:val="es-ES"/>
        </w:rPr>
        <w:t xml:space="preserve"> su parte el </w:t>
      </w:r>
      <w:r w:rsidR="009C28AF" w:rsidRPr="008B792B">
        <w:rPr>
          <w:rFonts w:ascii="Palatino Linotype" w:eastAsia="Calibri" w:hAnsi="Palatino Linotype" w:cs="Arial"/>
          <w:b/>
          <w:sz w:val="24"/>
          <w:szCs w:val="24"/>
          <w:lang w:val="es-ES"/>
        </w:rPr>
        <w:t xml:space="preserve">RECURRENTE </w:t>
      </w:r>
      <w:r w:rsidR="009C28AF" w:rsidRPr="008B792B">
        <w:rPr>
          <w:rFonts w:ascii="Palatino Linotype" w:eastAsia="Calibri" w:hAnsi="Palatino Linotype" w:cs="Arial"/>
          <w:sz w:val="24"/>
          <w:szCs w:val="24"/>
          <w:lang w:val="es-ES"/>
        </w:rPr>
        <w:t xml:space="preserve">no presentó alegatos, ni ofreció los medios de prueba, </w:t>
      </w:r>
      <w:r w:rsidR="009C28AF" w:rsidRPr="008B792B">
        <w:rPr>
          <w:rFonts w:ascii="Palatino Linotype" w:eastAsia="Calibri" w:hAnsi="Palatino Linotype" w:cs="Times New Roman"/>
          <w:sz w:val="24"/>
          <w:szCs w:val="24"/>
          <w:lang w:val="es-ES"/>
        </w:rPr>
        <w:t xml:space="preserve">según consta en el </w:t>
      </w:r>
      <w:r w:rsidR="009C28AF" w:rsidRPr="008B792B">
        <w:rPr>
          <w:rFonts w:ascii="Palatino Linotype" w:eastAsia="Calibri" w:hAnsi="Palatino Linotype" w:cs="Arial"/>
          <w:b/>
          <w:sz w:val="24"/>
          <w:szCs w:val="24"/>
          <w:lang w:val="es-ES"/>
        </w:rPr>
        <w:t xml:space="preserve">SAIMEX. </w:t>
      </w:r>
    </w:p>
    <w:p w14:paraId="21D2A0D8" w14:textId="77777777" w:rsidR="00007681" w:rsidRPr="008B792B" w:rsidRDefault="00007681" w:rsidP="00007681">
      <w:pPr>
        <w:pStyle w:val="Prrafodelista"/>
        <w:rPr>
          <w:rFonts w:ascii="Palatino Linotype" w:hAnsi="Palatino Linotype"/>
          <w:i/>
          <w:color w:val="000000"/>
          <w:sz w:val="24"/>
          <w:szCs w:val="24"/>
        </w:rPr>
      </w:pPr>
    </w:p>
    <w:p w14:paraId="4B226F72" w14:textId="6D3EFB81" w:rsidR="00E45EFD" w:rsidRPr="008B792B" w:rsidRDefault="00E45EFD" w:rsidP="00E6237D">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8B792B">
        <w:rPr>
          <w:rFonts w:ascii="Palatino Linotype" w:eastAsia="MS Mincho" w:hAnsi="Palatino Linotype" w:cs="Times New Roman"/>
          <w:sz w:val="24"/>
          <w:szCs w:val="24"/>
          <w:lang w:val="es-ES_tradnl" w:eastAsia="es-ES"/>
        </w:rPr>
        <w:t xml:space="preserve">El </w:t>
      </w:r>
      <w:r w:rsidR="0034449A" w:rsidRPr="008B792B">
        <w:rPr>
          <w:rFonts w:ascii="Palatino Linotype" w:hAnsi="Palatino Linotype"/>
          <w:sz w:val="24"/>
          <w:szCs w:val="24"/>
        </w:rPr>
        <w:t>Comisionado Ponente decretó</w:t>
      </w:r>
      <w:r w:rsidR="00474D39" w:rsidRPr="008B792B">
        <w:rPr>
          <w:rFonts w:ascii="Palatino Linotype" w:hAnsi="Palatino Linotype"/>
          <w:sz w:val="24"/>
          <w:szCs w:val="24"/>
        </w:rPr>
        <w:t xml:space="preserve"> el cierre de instrucción mediante acuerdo de fecha </w:t>
      </w:r>
      <w:r w:rsidR="00876997" w:rsidRPr="008B792B">
        <w:rPr>
          <w:rFonts w:ascii="Palatino Linotype" w:hAnsi="Palatino Linotype"/>
          <w:sz w:val="24"/>
          <w:szCs w:val="24"/>
        </w:rPr>
        <w:t>veinticinco</w:t>
      </w:r>
      <w:r w:rsidR="00474D39" w:rsidRPr="008B792B">
        <w:rPr>
          <w:rFonts w:ascii="Palatino Linotype" w:hAnsi="Palatino Linotype"/>
          <w:sz w:val="24"/>
          <w:szCs w:val="24"/>
        </w:rPr>
        <w:t xml:space="preserve"> (</w:t>
      </w:r>
      <w:r w:rsidR="00E6237D" w:rsidRPr="008B792B">
        <w:rPr>
          <w:rFonts w:ascii="Palatino Linotype" w:hAnsi="Palatino Linotype"/>
          <w:sz w:val="24"/>
          <w:szCs w:val="24"/>
        </w:rPr>
        <w:t>2</w:t>
      </w:r>
      <w:r w:rsidR="00876997" w:rsidRPr="008B792B">
        <w:rPr>
          <w:rFonts w:ascii="Palatino Linotype" w:hAnsi="Palatino Linotype"/>
          <w:sz w:val="24"/>
          <w:szCs w:val="24"/>
        </w:rPr>
        <w:t>5</w:t>
      </w:r>
      <w:r w:rsidR="00474D39" w:rsidRPr="008B792B">
        <w:rPr>
          <w:rFonts w:ascii="Palatino Linotype" w:hAnsi="Palatino Linotype"/>
          <w:sz w:val="24"/>
          <w:szCs w:val="24"/>
        </w:rPr>
        <w:t xml:space="preserve">) de </w:t>
      </w:r>
      <w:r w:rsidR="00007681" w:rsidRPr="008B792B">
        <w:rPr>
          <w:rFonts w:ascii="Palatino Linotype" w:hAnsi="Palatino Linotype"/>
          <w:sz w:val="24"/>
          <w:szCs w:val="24"/>
        </w:rPr>
        <w:t>noviem</w:t>
      </w:r>
      <w:r w:rsidR="00E6237D" w:rsidRPr="008B792B">
        <w:rPr>
          <w:rFonts w:ascii="Palatino Linotype" w:hAnsi="Palatino Linotype"/>
          <w:sz w:val="24"/>
          <w:szCs w:val="24"/>
        </w:rPr>
        <w:t>bre</w:t>
      </w:r>
      <w:r w:rsidR="005069B0" w:rsidRPr="008B792B">
        <w:rPr>
          <w:rFonts w:ascii="Palatino Linotype" w:hAnsi="Palatino Linotype"/>
          <w:b/>
          <w:sz w:val="24"/>
          <w:szCs w:val="24"/>
        </w:rPr>
        <w:t xml:space="preserve"> </w:t>
      </w:r>
      <w:r w:rsidR="005D4918" w:rsidRPr="008B792B">
        <w:rPr>
          <w:rFonts w:ascii="Palatino Linotype" w:hAnsi="Palatino Linotype"/>
          <w:sz w:val="24"/>
          <w:szCs w:val="24"/>
        </w:rPr>
        <w:t xml:space="preserve">de </w:t>
      </w:r>
      <w:r w:rsidR="00474D39" w:rsidRPr="008B792B">
        <w:rPr>
          <w:rFonts w:ascii="Palatino Linotype" w:hAnsi="Palatino Linotype"/>
          <w:sz w:val="24"/>
          <w:szCs w:val="24"/>
        </w:rPr>
        <w:t>dos mil veinte; por lo que se</w:t>
      </w:r>
      <w:r w:rsidR="00474D39" w:rsidRPr="008B792B">
        <w:rPr>
          <w:rFonts w:ascii="Palatino Linotype" w:hAnsi="Palatino Linotype" w:cs="Arial"/>
          <w:sz w:val="24"/>
          <w:szCs w:val="24"/>
        </w:rPr>
        <w:t xml:space="preserve"> ordenó turnar</w:t>
      </w:r>
      <w:r w:rsidR="001E0D87" w:rsidRPr="008B792B">
        <w:rPr>
          <w:rFonts w:ascii="Palatino Linotype" w:hAnsi="Palatino Linotype" w:cs="Arial"/>
          <w:sz w:val="24"/>
          <w:szCs w:val="24"/>
        </w:rPr>
        <w:t xml:space="preserve"> el expediente a resolución</w:t>
      </w:r>
      <w:r w:rsidR="00E6237D" w:rsidRPr="008B792B">
        <w:rPr>
          <w:rFonts w:ascii="Palatino Linotype" w:hAnsi="Palatino Linotype"/>
          <w:sz w:val="24"/>
          <w:szCs w:val="24"/>
        </w:rPr>
        <w:t>;</w:t>
      </w:r>
      <w:r w:rsidR="001E0D87" w:rsidRPr="008B792B">
        <w:rPr>
          <w:rFonts w:ascii="Palatino Linotype" w:hAnsi="Palatino Linotype" w:cs="Arial"/>
          <w:sz w:val="24"/>
          <w:szCs w:val="24"/>
        </w:rPr>
        <w:t xml:space="preserve"> </w:t>
      </w:r>
      <w:r w:rsidR="00474D39" w:rsidRPr="008B792B">
        <w:rPr>
          <w:rFonts w:ascii="Palatino Linotype" w:hAnsi="Palatino Linotype" w:cs="Arial"/>
          <w:sz w:val="24"/>
          <w:szCs w:val="24"/>
        </w:rPr>
        <w:t>no habiendo más que hacer constar, y - - - - - -</w:t>
      </w:r>
      <w:r w:rsidR="00C94C46" w:rsidRPr="008B792B">
        <w:rPr>
          <w:rFonts w:ascii="Palatino Linotype" w:hAnsi="Palatino Linotype" w:cs="Arial"/>
          <w:sz w:val="24"/>
          <w:szCs w:val="24"/>
        </w:rPr>
        <w:t xml:space="preserve"> - - - - -</w:t>
      </w:r>
      <w:r w:rsidR="00474D39" w:rsidRPr="008B792B">
        <w:rPr>
          <w:rFonts w:ascii="Palatino Linotype" w:hAnsi="Palatino Linotype" w:cs="Arial"/>
          <w:sz w:val="24"/>
          <w:szCs w:val="24"/>
        </w:rPr>
        <w:t xml:space="preserve"> - - -</w:t>
      </w:r>
      <w:r w:rsidR="00876997" w:rsidRPr="008B792B">
        <w:rPr>
          <w:rFonts w:ascii="Palatino Linotype" w:hAnsi="Palatino Linotype" w:cs="Arial"/>
          <w:sz w:val="24"/>
          <w:szCs w:val="24"/>
        </w:rPr>
        <w:t xml:space="preserve"> </w:t>
      </w:r>
    </w:p>
    <w:p w14:paraId="42164C10" w14:textId="501E1A37" w:rsidR="00007681" w:rsidRPr="008B792B" w:rsidRDefault="00007681" w:rsidP="00007681">
      <w:pPr>
        <w:pStyle w:val="Prrafodelista"/>
        <w:spacing w:before="240" w:after="240" w:line="360" w:lineRule="auto"/>
        <w:ind w:left="0"/>
        <w:jc w:val="both"/>
        <w:rPr>
          <w:rFonts w:ascii="Palatino Linotype" w:eastAsiaTheme="minorEastAsia" w:hAnsi="Palatino Linotype"/>
          <w:sz w:val="24"/>
          <w:szCs w:val="24"/>
          <w:lang w:val="es-ES_tradnl" w:eastAsia="es-ES"/>
        </w:rPr>
      </w:pPr>
    </w:p>
    <w:p w14:paraId="031A4BD9" w14:textId="77777777" w:rsidR="00E113EC" w:rsidRPr="008B792B"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57234852"/>
      <w:r w:rsidRPr="008B792B">
        <w:rPr>
          <w:rFonts w:ascii="Palatino Linotype" w:eastAsiaTheme="majorEastAsia" w:hAnsi="Palatino Linotype" w:cstheme="majorBidi"/>
          <w:b/>
          <w:sz w:val="24"/>
          <w:szCs w:val="24"/>
        </w:rPr>
        <w:t>C O N S I D E R A N D O</w:t>
      </w:r>
      <w:bookmarkEnd w:id="4"/>
      <w:r w:rsidRPr="008B792B">
        <w:rPr>
          <w:rFonts w:ascii="Palatino Linotype" w:eastAsiaTheme="majorEastAsia" w:hAnsi="Palatino Linotype" w:cstheme="majorBidi"/>
          <w:b/>
          <w:sz w:val="24"/>
          <w:szCs w:val="24"/>
        </w:rPr>
        <w:t xml:space="preserve"> </w:t>
      </w:r>
    </w:p>
    <w:p w14:paraId="22DC78BC" w14:textId="77777777" w:rsidR="00E113EC" w:rsidRPr="008B792B" w:rsidRDefault="00E113EC" w:rsidP="0008753C">
      <w:pPr>
        <w:spacing w:after="0" w:line="360" w:lineRule="auto"/>
        <w:ind w:right="-142"/>
        <w:rPr>
          <w:rFonts w:eastAsiaTheme="minorEastAsia"/>
          <w:sz w:val="24"/>
          <w:szCs w:val="24"/>
        </w:rPr>
      </w:pPr>
    </w:p>
    <w:p w14:paraId="7F1080EA" w14:textId="77777777" w:rsidR="00E113EC" w:rsidRPr="008B792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57234853"/>
      <w:r w:rsidRPr="008B792B">
        <w:rPr>
          <w:rFonts w:ascii="Palatino Linotype" w:eastAsiaTheme="majorEastAsia" w:hAnsi="Palatino Linotype" w:cstheme="majorBidi"/>
          <w:b/>
          <w:sz w:val="24"/>
          <w:szCs w:val="26"/>
        </w:rPr>
        <w:t>PRIMERO. De la competencia</w:t>
      </w:r>
      <w:bookmarkEnd w:id="5"/>
    </w:p>
    <w:p w14:paraId="372E7FD4" w14:textId="77777777" w:rsidR="00E113EC" w:rsidRPr="008B792B" w:rsidRDefault="00E113EC" w:rsidP="0008753C">
      <w:pPr>
        <w:spacing w:after="0" w:line="360" w:lineRule="auto"/>
        <w:ind w:right="-142"/>
        <w:rPr>
          <w:rFonts w:eastAsiaTheme="minorEastAsia"/>
          <w:sz w:val="24"/>
          <w:szCs w:val="24"/>
        </w:rPr>
      </w:pPr>
    </w:p>
    <w:p w14:paraId="0DEAB45F" w14:textId="48B1956E" w:rsidR="00E113EC" w:rsidRPr="008B792B"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8B792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792B">
        <w:rPr>
          <w:rFonts w:ascii="Palatino Linotype" w:eastAsia="Calibri" w:hAnsi="Palatino Linotype" w:cs="Times New Roman"/>
          <w:b/>
          <w:sz w:val="24"/>
          <w:szCs w:val="24"/>
          <w:lang w:val="es-ES" w:eastAsia="es-ES"/>
        </w:rPr>
        <w:t>Constitución Política de los Estados Unidos Mexicanos</w:t>
      </w:r>
      <w:r w:rsidRPr="008B792B">
        <w:rPr>
          <w:rFonts w:ascii="Palatino Linotype" w:eastAsia="Calibri" w:hAnsi="Palatino Linotype" w:cs="Times New Roman"/>
          <w:sz w:val="24"/>
          <w:szCs w:val="24"/>
          <w:lang w:val="es-ES" w:eastAsia="es-ES"/>
        </w:rPr>
        <w:t xml:space="preserve">; 5, párrafos </w:t>
      </w:r>
      <w:r w:rsidRPr="008B792B">
        <w:rPr>
          <w:rFonts w:ascii="Palatino Linotype" w:eastAsiaTheme="minorEastAsia" w:hAnsi="Palatino Linotype" w:cs="Arial"/>
          <w:bCs/>
          <w:sz w:val="24"/>
          <w:szCs w:val="24"/>
          <w:lang w:val="es-ES" w:eastAsia="es-ES"/>
        </w:rPr>
        <w:t xml:space="preserve">vigésimo, vigésimo primero y vigésimo segundo </w:t>
      </w:r>
      <w:r w:rsidRPr="008B792B">
        <w:rPr>
          <w:rFonts w:ascii="Palatino Linotype" w:eastAsia="Calibri" w:hAnsi="Palatino Linotype" w:cs="Times New Roman"/>
          <w:sz w:val="24"/>
          <w:szCs w:val="24"/>
          <w:lang w:val="es-ES" w:eastAsia="es-ES"/>
        </w:rPr>
        <w:t xml:space="preserve">fracciones IV y V de la </w:t>
      </w:r>
      <w:r w:rsidRPr="008B792B">
        <w:rPr>
          <w:rFonts w:ascii="Palatino Linotype" w:eastAsia="Calibri" w:hAnsi="Palatino Linotype" w:cs="Times New Roman"/>
          <w:b/>
          <w:sz w:val="24"/>
          <w:szCs w:val="24"/>
          <w:lang w:val="es-ES" w:eastAsia="es-ES"/>
        </w:rPr>
        <w:t>Constitución Política del Estado Libre y Soberano de México</w:t>
      </w:r>
      <w:r w:rsidRPr="008B792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B792B">
        <w:rPr>
          <w:rFonts w:ascii="Palatino Linotype" w:eastAsia="Calibri" w:hAnsi="Palatino Linotype" w:cs="Arial"/>
          <w:sz w:val="24"/>
          <w:szCs w:val="24"/>
          <w:lang w:val="es-ES" w:eastAsia="es-ES"/>
        </w:rPr>
        <w:t xml:space="preserve">de la </w:t>
      </w:r>
      <w:r w:rsidRPr="008B792B">
        <w:rPr>
          <w:rFonts w:ascii="Palatino Linotype" w:eastAsia="Calibri" w:hAnsi="Palatino Linotype" w:cs="Arial"/>
          <w:b/>
          <w:sz w:val="24"/>
          <w:szCs w:val="24"/>
          <w:lang w:val="es-ES" w:eastAsia="es-ES"/>
        </w:rPr>
        <w:t>Ley de Transparencia y Acceso a la Información Pública del Estado de México y Municipios</w:t>
      </w:r>
      <w:r w:rsidRPr="008B792B">
        <w:rPr>
          <w:rFonts w:ascii="Palatino Linotype" w:eastAsia="Calibri" w:hAnsi="Palatino Linotype" w:cs="Arial"/>
          <w:sz w:val="24"/>
          <w:szCs w:val="24"/>
          <w:lang w:val="es-ES" w:eastAsia="es-ES"/>
        </w:rPr>
        <w:t xml:space="preserve">; y </w:t>
      </w:r>
      <w:r w:rsidR="00D61913" w:rsidRPr="008B792B">
        <w:rPr>
          <w:rFonts w:ascii="Palatino Linotype" w:eastAsia="Calibri" w:hAnsi="Palatino Linotype" w:cs="Arial"/>
          <w:sz w:val="24"/>
          <w:szCs w:val="24"/>
          <w:lang w:val="es-ES" w:eastAsia="es-ES"/>
        </w:rPr>
        <w:t xml:space="preserve">10, </w:t>
      </w:r>
      <w:r w:rsidRPr="008B792B">
        <w:rPr>
          <w:rFonts w:ascii="Palatino Linotype" w:eastAsia="Calibri" w:hAnsi="Palatino Linotype" w:cs="Arial"/>
          <w:sz w:val="24"/>
          <w:szCs w:val="24"/>
          <w:lang w:val="es-ES" w:eastAsia="es-ES"/>
        </w:rPr>
        <w:t xml:space="preserve">7, 9 fracciones I y XXIV, y 11 del </w:t>
      </w:r>
      <w:r w:rsidRPr="008B792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B792B">
        <w:rPr>
          <w:rFonts w:ascii="Palatino Linotype" w:eastAsiaTheme="minorEastAsia" w:hAnsi="Palatino Linotype"/>
          <w:sz w:val="24"/>
          <w:szCs w:val="24"/>
          <w:lang w:val="es-ES_tradnl" w:eastAsia="es-ES"/>
        </w:rPr>
        <w:t>.</w:t>
      </w:r>
    </w:p>
    <w:p w14:paraId="5FBE6EDB" w14:textId="77777777" w:rsidR="001E0D87" w:rsidRPr="008B792B"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8B792B"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7234854"/>
      <w:r w:rsidRPr="008B792B">
        <w:rPr>
          <w:rFonts w:ascii="Palatino Linotype" w:eastAsiaTheme="majorEastAsia" w:hAnsi="Palatino Linotype" w:cstheme="majorBidi"/>
          <w:b/>
          <w:sz w:val="24"/>
          <w:szCs w:val="26"/>
        </w:rPr>
        <w:t>SEGUNDO. De la oportunidad y procedencia.</w:t>
      </w:r>
      <w:bookmarkEnd w:id="6"/>
    </w:p>
    <w:p w14:paraId="164EC0FE" w14:textId="34B71F4E" w:rsidR="00C94C46" w:rsidRPr="008B792B"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Calibri" w:hAnsi="Palatino Linotype" w:cs="Arial"/>
          <w:sz w:val="24"/>
          <w:szCs w:val="24"/>
        </w:rPr>
        <w:t xml:space="preserve">El medio de impugnación fue presentado a través del </w:t>
      </w:r>
      <w:r w:rsidRPr="008B792B">
        <w:rPr>
          <w:rFonts w:ascii="Palatino Linotype" w:eastAsia="Calibri" w:hAnsi="Palatino Linotype" w:cs="Arial"/>
          <w:b/>
          <w:sz w:val="24"/>
          <w:szCs w:val="24"/>
        </w:rPr>
        <w:t>SAIMEX,</w:t>
      </w:r>
      <w:r w:rsidRPr="008B792B">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8B792B">
        <w:rPr>
          <w:rFonts w:ascii="Palatino Linotype" w:eastAsia="Calibri" w:hAnsi="Palatino Linotype" w:cs="Arial"/>
          <w:sz w:val="24"/>
          <w:szCs w:val="24"/>
        </w:rPr>
        <w:t>siendo así</w:t>
      </w:r>
      <w:r w:rsidRPr="008B792B">
        <w:rPr>
          <w:rFonts w:ascii="Palatino Linotype" w:eastAsia="Calibri" w:hAnsi="Palatino Linotype" w:cs="Arial"/>
          <w:sz w:val="24"/>
          <w:szCs w:val="24"/>
        </w:rPr>
        <w:t xml:space="preserve"> que el </w:t>
      </w:r>
      <w:r w:rsidRPr="008B792B">
        <w:rPr>
          <w:rFonts w:ascii="Palatino Linotype" w:eastAsia="Calibri" w:hAnsi="Palatino Linotype" w:cs="Arial"/>
          <w:b/>
          <w:sz w:val="24"/>
          <w:szCs w:val="24"/>
        </w:rPr>
        <w:t>SUJETO OBLIGADO</w:t>
      </w:r>
      <w:r w:rsidR="005069B0" w:rsidRPr="008B792B">
        <w:rPr>
          <w:rFonts w:ascii="Palatino Linotype" w:eastAsia="Calibri" w:hAnsi="Palatino Linotype" w:cs="Arial"/>
          <w:sz w:val="24"/>
          <w:szCs w:val="24"/>
        </w:rPr>
        <w:t xml:space="preserve"> respondió</w:t>
      </w:r>
      <w:r w:rsidR="00063434" w:rsidRPr="008B792B">
        <w:rPr>
          <w:rFonts w:ascii="Palatino Linotype" w:eastAsia="Calibri" w:hAnsi="Palatino Linotype" w:cs="Arial"/>
          <w:sz w:val="24"/>
          <w:szCs w:val="24"/>
        </w:rPr>
        <w:t xml:space="preserve"> el</w:t>
      </w:r>
      <w:r w:rsidR="00007681" w:rsidRPr="008B792B">
        <w:rPr>
          <w:rFonts w:ascii="Palatino Linotype" w:eastAsia="Calibri" w:hAnsi="Palatino Linotype" w:cs="Arial"/>
          <w:sz w:val="24"/>
          <w:szCs w:val="24"/>
        </w:rPr>
        <w:t xml:space="preserve"> seis</w:t>
      </w:r>
      <w:r w:rsidR="00ED38F7" w:rsidRPr="008B792B">
        <w:rPr>
          <w:rFonts w:ascii="Palatino Linotype" w:eastAsia="Calibri" w:hAnsi="Palatino Linotype" w:cs="Arial"/>
          <w:sz w:val="24"/>
          <w:szCs w:val="24"/>
        </w:rPr>
        <w:t xml:space="preserve"> (</w:t>
      </w:r>
      <w:r w:rsidR="00007681" w:rsidRPr="008B792B">
        <w:rPr>
          <w:rFonts w:ascii="Palatino Linotype" w:eastAsia="Calibri" w:hAnsi="Palatino Linotype" w:cs="Arial"/>
          <w:sz w:val="24"/>
          <w:szCs w:val="24"/>
        </w:rPr>
        <w:t>06</w:t>
      </w:r>
      <w:r w:rsidR="002A20B3" w:rsidRPr="008B792B">
        <w:rPr>
          <w:rFonts w:ascii="Palatino Linotype" w:eastAsia="Calibri" w:hAnsi="Palatino Linotype" w:cs="Arial"/>
          <w:sz w:val="24"/>
          <w:szCs w:val="24"/>
        </w:rPr>
        <w:t>) de</w:t>
      </w:r>
      <w:r w:rsidR="00007681" w:rsidRPr="008B792B">
        <w:rPr>
          <w:rFonts w:ascii="Palatino Linotype" w:eastAsia="Calibri" w:hAnsi="Palatino Linotype" w:cs="Arial"/>
          <w:sz w:val="24"/>
          <w:szCs w:val="24"/>
        </w:rPr>
        <w:t xml:space="preserve"> octubre de </w:t>
      </w:r>
      <w:r w:rsidRPr="008B792B">
        <w:rPr>
          <w:rFonts w:ascii="Palatino Linotype" w:eastAsia="Calibri" w:hAnsi="Palatino Linotype" w:cs="Arial"/>
          <w:sz w:val="24"/>
          <w:szCs w:val="24"/>
        </w:rPr>
        <w:t xml:space="preserve">dos mil </w:t>
      </w:r>
      <w:r w:rsidR="005069B0" w:rsidRPr="008B792B">
        <w:rPr>
          <w:rFonts w:ascii="Palatino Linotype" w:eastAsia="Calibri" w:hAnsi="Palatino Linotype" w:cs="Arial"/>
          <w:sz w:val="24"/>
          <w:szCs w:val="24"/>
        </w:rPr>
        <w:t>veinte</w:t>
      </w:r>
      <w:r w:rsidRPr="008B792B">
        <w:rPr>
          <w:rFonts w:ascii="Palatino Linotype" w:eastAsia="Calibri" w:hAnsi="Palatino Linotype" w:cs="Arial"/>
          <w:sz w:val="24"/>
          <w:szCs w:val="24"/>
        </w:rPr>
        <w:t xml:space="preserve">, </w:t>
      </w:r>
      <w:r w:rsidRPr="008B792B">
        <w:rPr>
          <w:rFonts w:ascii="Palatino Linotype" w:hAnsi="Palatino Linotype" w:cs="Arial"/>
          <w:sz w:val="24"/>
          <w:szCs w:val="24"/>
        </w:rPr>
        <w:t xml:space="preserve">de tal forma que el plazo para interponer el recurso transcurrió </w:t>
      </w:r>
      <w:r w:rsidRPr="008B792B">
        <w:rPr>
          <w:rFonts w:ascii="Palatino Linotype" w:hAnsi="Palatino Linotype" w:cs="Arial"/>
          <w:sz w:val="24"/>
          <w:szCs w:val="24"/>
        </w:rPr>
        <w:lastRenderedPageBreak/>
        <w:t xml:space="preserve">del </w:t>
      </w:r>
      <w:r w:rsidR="00007681" w:rsidRPr="008B792B">
        <w:rPr>
          <w:rFonts w:ascii="Palatino Linotype" w:hAnsi="Palatino Linotype" w:cs="Arial"/>
          <w:sz w:val="24"/>
          <w:szCs w:val="24"/>
        </w:rPr>
        <w:t>siete</w:t>
      </w:r>
      <w:r w:rsidRPr="008B792B">
        <w:rPr>
          <w:rFonts w:ascii="Palatino Linotype" w:hAnsi="Palatino Linotype" w:cs="Arial"/>
          <w:sz w:val="24"/>
          <w:szCs w:val="24"/>
        </w:rPr>
        <w:t xml:space="preserve"> </w:t>
      </w:r>
      <w:r w:rsidR="00321B51" w:rsidRPr="008B792B">
        <w:rPr>
          <w:rFonts w:ascii="Palatino Linotype" w:hAnsi="Palatino Linotype" w:cs="Arial"/>
          <w:sz w:val="24"/>
          <w:szCs w:val="24"/>
        </w:rPr>
        <w:t>(</w:t>
      </w:r>
      <w:r w:rsidR="00007681" w:rsidRPr="008B792B">
        <w:rPr>
          <w:rFonts w:ascii="Palatino Linotype" w:hAnsi="Palatino Linotype" w:cs="Arial"/>
          <w:sz w:val="24"/>
          <w:szCs w:val="24"/>
        </w:rPr>
        <w:t>07</w:t>
      </w:r>
      <w:r w:rsidR="001B4E32" w:rsidRPr="008B792B">
        <w:rPr>
          <w:rFonts w:ascii="Palatino Linotype" w:hAnsi="Palatino Linotype" w:cs="Arial"/>
          <w:sz w:val="24"/>
          <w:szCs w:val="24"/>
        </w:rPr>
        <w:t>)</w:t>
      </w:r>
      <w:r w:rsidR="006F5E9F" w:rsidRPr="008B792B">
        <w:rPr>
          <w:rFonts w:ascii="Palatino Linotype" w:hAnsi="Palatino Linotype" w:cs="Arial"/>
          <w:b/>
          <w:sz w:val="24"/>
          <w:szCs w:val="24"/>
        </w:rPr>
        <w:t xml:space="preserve"> </w:t>
      </w:r>
      <w:r w:rsidR="00C94C46" w:rsidRPr="008B792B">
        <w:rPr>
          <w:rFonts w:ascii="Palatino Linotype" w:hAnsi="Palatino Linotype" w:cs="Arial"/>
          <w:b/>
          <w:sz w:val="24"/>
          <w:szCs w:val="24"/>
        </w:rPr>
        <w:t xml:space="preserve"> </w:t>
      </w:r>
      <w:r w:rsidR="00C94C46" w:rsidRPr="008B792B">
        <w:rPr>
          <w:rFonts w:ascii="Palatino Linotype" w:hAnsi="Palatino Linotype" w:cs="Arial"/>
          <w:sz w:val="24"/>
          <w:szCs w:val="24"/>
        </w:rPr>
        <w:t xml:space="preserve">de </w:t>
      </w:r>
      <w:r w:rsidR="00007681" w:rsidRPr="008B792B">
        <w:rPr>
          <w:rFonts w:ascii="Palatino Linotype" w:hAnsi="Palatino Linotype" w:cs="Arial"/>
          <w:sz w:val="24"/>
          <w:szCs w:val="24"/>
        </w:rPr>
        <w:t>octubre</w:t>
      </w:r>
      <w:r w:rsidR="00C94C46" w:rsidRPr="008B792B">
        <w:rPr>
          <w:rFonts w:ascii="Palatino Linotype" w:hAnsi="Palatino Linotype" w:cs="Arial"/>
          <w:sz w:val="24"/>
          <w:szCs w:val="24"/>
        </w:rPr>
        <w:t xml:space="preserve"> </w:t>
      </w:r>
      <w:r w:rsidR="006F5E9F" w:rsidRPr="008B792B">
        <w:rPr>
          <w:rFonts w:ascii="Palatino Linotype" w:hAnsi="Palatino Linotype" w:cs="Arial"/>
          <w:sz w:val="24"/>
          <w:szCs w:val="24"/>
        </w:rPr>
        <w:t>al</w:t>
      </w:r>
      <w:r w:rsidR="00007681" w:rsidRPr="008B792B">
        <w:rPr>
          <w:rFonts w:ascii="Palatino Linotype" w:hAnsi="Palatino Linotype" w:cs="Arial"/>
          <w:sz w:val="24"/>
          <w:szCs w:val="24"/>
        </w:rPr>
        <w:t xml:space="preserve"> veintisiete</w:t>
      </w:r>
      <w:r w:rsidR="006F5E9F" w:rsidRPr="008B792B">
        <w:rPr>
          <w:rFonts w:ascii="Palatino Linotype" w:hAnsi="Palatino Linotype" w:cs="Arial"/>
          <w:sz w:val="24"/>
          <w:szCs w:val="24"/>
        </w:rPr>
        <w:t xml:space="preserve"> (</w:t>
      </w:r>
      <w:r w:rsidR="00007681" w:rsidRPr="008B792B">
        <w:rPr>
          <w:rFonts w:ascii="Palatino Linotype" w:hAnsi="Palatino Linotype" w:cs="Arial"/>
          <w:sz w:val="24"/>
          <w:szCs w:val="24"/>
        </w:rPr>
        <w:t>27</w:t>
      </w:r>
      <w:r w:rsidR="006F5E9F" w:rsidRPr="008B792B">
        <w:rPr>
          <w:rFonts w:ascii="Palatino Linotype" w:hAnsi="Palatino Linotype" w:cs="Arial"/>
          <w:sz w:val="24"/>
          <w:szCs w:val="24"/>
        </w:rPr>
        <w:t xml:space="preserve">) </w:t>
      </w:r>
      <w:r w:rsidR="001B4E32" w:rsidRPr="008B792B">
        <w:rPr>
          <w:rFonts w:ascii="Palatino Linotype" w:hAnsi="Palatino Linotype" w:cs="Arial"/>
          <w:sz w:val="24"/>
          <w:szCs w:val="24"/>
        </w:rPr>
        <w:t xml:space="preserve">de </w:t>
      </w:r>
      <w:r w:rsidR="00007681" w:rsidRPr="008B792B">
        <w:rPr>
          <w:rFonts w:ascii="Palatino Linotype" w:hAnsi="Palatino Linotype" w:cs="Arial"/>
          <w:sz w:val="24"/>
          <w:szCs w:val="24"/>
        </w:rPr>
        <w:t>octu</w:t>
      </w:r>
      <w:r w:rsidR="00C94C46" w:rsidRPr="008B792B">
        <w:rPr>
          <w:rFonts w:ascii="Palatino Linotype" w:hAnsi="Palatino Linotype" w:cs="Arial"/>
          <w:sz w:val="24"/>
          <w:szCs w:val="24"/>
        </w:rPr>
        <w:t>bre</w:t>
      </w:r>
      <w:r w:rsidR="001B4E32" w:rsidRPr="008B792B">
        <w:rPr>
          <w:rFonts w:ascii="Palatino Linotype" w:hAnsi="Palatino Linotype" w:cs="Arial"/>
          <w:b/>
          <w:sz w:val="24"/>
          <w:szCs w:val="24"/>
        </w:rPr>
        <w:t xml:space="preserve"> </w:t>
      </w:r>
      <w:r w:rsidR="001B4E32" w:rsidRPr="008B792B">
        <w:rPr>
          <w:rFonts w:ascii="Palatino Linotype" w:hAnsi="Palatino Linotype" w:cs="Arial"/>
          <w:sz w:val="24"/>
          <w:szCs w:val="24"/>
        </w:rPr>
        <w:t xml:space="preserve">de dos mil </w:t>
      </w:r>
      <w:r w:rsidR="005069B0" w:rsidRPr="008B792B">
        <w:rPr>
          <w:rFonts w:ascii="Palatino Linotype" w:hAnsi="Palatino Linotype" w:cs="Arial"/>
          <w:sz w:val="24"/>
          <w:szCs w:val="24"/>
        </w:rPr>
        <w:t>veinte</w:t>
      </w:r>
      <w:r w:rsidRPr="008B792B">
        <w:rPr>
          <w:rFonts w:ascii="Palatino Linotype" w:hAnsi="Palatino Linotype" w:cs="Arial"/>
          <w:sz w:val="24"/>
          <w:szCs w:val="24"/>
        </w:rPr>
        <w:t xml:space="preserve">; en consecuencia, presentó su inconformidad el </w:t>
      </w:r>
      <w:r w:rsidR="00250E26" w:rsidRPr="008B792B">
        <w:rPr>
          <w:rFonts w:ascii="Palatino Linotype" w:hAnsi="Palatino Linotype" w:cs="Arial"/>
          <w:sz w:val="24"/>
          <w:szCs w:val="24"/>
        </w:rPr>
        <w:t>doce</w:t>
      </w:r>
      <w:r w:rsidR="00C94C46" w:rsidRPr="008B792B">
        <w:rPr>
          <w:rFonts w:ascii="Palatino Linotype" w:hAnsi="Palatino Linotype" w:cs="Arial"/>
          <w:sz w:val="24"/>
          <w:szCs w:val="24"/>
        </w:rPr>
        <w:t xml:space="preserve"> </w:t>
      </w:r>
      <w:r w:rsidR="006F5E9F" w:rsidRPr="008B792B">
        <w:rPr>
          <w:rFonts w:ascii="Palatino Linotype" w:hAnsi="Palatino Linotype" w:cs="Arial"/>
          <w:sz w:val="24"/>
          <w:szCs w:val="24"/>
        </w:rPr>
        <w:t>(</w:t>
      </w:r>
      <w:r w:rsidR="00250E26" w:rsidRPr="008B792B">
        <w:rPr>
          <w:rFonts w:ascii="Palatino Linotype" w:hAnsi="Palatino Linotype" w:cs="Arial"/>
          <w:sz w:val="24"/>
          <w:szCs w:val="24"/>
        </w:rPr>
        <w:t>12</w:t>
      </w:r>
      <w:r w:rsidR="005069B0" w:rsidRPr="008B792B">
        <w:rPr>
          <w:rFonts w:ascii="Palatino Linotype" w:hAnsi="Palatino Linotype" w:cs="Arial"/>
          <w:sz w:val="24"/>
          <w:szCs w:val="24"/>
        </w:rPr>
        <w:t>)</w:t>
      </w:r>
      <w:r w:rsidR="00043FE7" w:rsidRPr="008B792B">
        <w:rPr>
          <w:rFonts w:ascii="Palatino Linotype" w:hAnsi="Palatino Linotype" w:cs="Arial"/>
          <w:b/>
          <w:sz w:val="24"/>
          <w:szCs w:val="24"/>
        </w:rPr>
        <w:t xml:space="preserve"> </w:t>
      </w:r>
      <w:r w:rsidR="002271A7" w:rsidRPr="008B792B">
        <w:rPr>
          <w:rFonts w:ascii="Palatino Linotype" w:hAnsi="Palatino Linotype" w:cs="Arial"/>
          <w:bCs/>
          <w:sz w:val="24"/>
          <w:szCs w:val="24"/>
        </w:rPr>
        <w:t xml:space="preserve">de </w:t>
      </w:r>
      <w:r w:rsidR="00250E26" w:rsidRPr="008B792B">
        <w:rPr>
          <w:rFonts w:ascii="Palatino Linotype" w:hAnsi="Palatino Linotype" w:cs="Arial"/>
          <w:bCs/>
          <w:sz w:val="24"/>
          <w:szCs w:val="24"/>
        </w:rPr>
        <w:t>octubre</w:t>
      </w:r>
      <w:r w:rsidR="005069B0" w:rsidRPr="008B792B">
        <w:rPr>
          <w:rFonts w:ascii="Palatino Linotype" w:hAnsi="Palatino Linotype" w:cs="Arial"/>
          <w:sz w:val="24"/>
          <w:szCs w:val="24"/>
        </w:rPr>
        <w:t xml:space="preserve"> </w:t>
      </w:r>
      <w:r w:rsidR="001B4E32" w:rsidRPr="008B792B">
        <w:rPr>
          <w:rFonts w:ascii="Palatino Linotype" w:hAnsi="Palatino Linotype" w:cs="Arial"/>
          <w:sz w:val="24"/>
          <w:szCs w:val="24"/>
        </w:rPr>
        <w:t>de dos mil veinte</w:t>
      </w:r>
      <w:r w:rsidR="006605BA" w:rsidRPr="008B792B">
        <w:rPr>
          <w:rFonts w:ascii="Palatino Linotype" w:hAnsi="Palatino Linotype" w:cs="Arial"/>
          <w:sz w:val="24"/>
          <w:szCs w:val="24"/>
        </w:rPr>
        <w:t>,</w:t>
      </w:r>
      <w:r w:rsidRPr="008B792B">
        <w:rPr>
          <w:rFonts w:ascii="Palatino Linotype" w:hAnsi="Palatino Linotype" w:cs="Arial"/>
          <w:sz w:val="24"/>
          <w:szCs w:val="24"/>
        </w:rPr>
        <w:t xml:space="preserve"> </w:t>
      </w:r>
      <w:r w:rsidR="00250E26" w:rsidRPr="008B792B">
        <w:rPr>
          <w:rFonts w:ascii="Palatino Linotype" w:hAnsi="Palatino Linotype" w:cs="Arial"/>
          <w:sz w:val="24"/>
          <w:szCs w:val="24"/>
        </w:rPr>
        <w:t>por lo que el</w:t>
      </w:r>
      <w:r w:rsidR="00E6237D" w:rsidRPr="008B792B">
        <w:rPr>
          <w:rFonts w:ascii="Palatino Linotype" w:hAnsi="Palatino Linotype" w:cs="Arial"/>
          <w:sz w:val="24"/>
          <w:szCs w:val="24"/>
        </w:rPr>
        <w:t xml:space="preserve"> medio</w:t>
      </w:r>
      <w:r w:rsidR="00250E26" w:rsidRPr="008B792B">
        <w:rPr>
          <w:rFonts w:ascii="Palatino Linotype" w:hAnsi="Palatino Linotype" w:cs="Arial"/>
          <w:sz w:val="24"/>
          <w:szCs w:val="24"/>
        </w:rPr>
        <w:t xml:space="preserve"> de impugnación se encuentra</w:t>
      </w:r>
      <w:r w:rsidR="00E6237D" w:rsidRPr="008B792B">
        <w:rPr>
          <w:rFonts w:ascii="Palatino Linotype" w:hAnsi="Palatino Linotype" w:cs="Arial"/>
          <w:sz w:val="24"/>
          <w:szCs w:val="24"/>
        </w:rPr>
        <w:t xml:space="preserve"> dentro del lapso legalmente establecido para tal efecto. </w:t>
      </w:r>
    </w:p>
    <w:p w14:paraId="664E9F78" w14:textId="77777777" w:rsidR="00C94C46" w:rsidRPr="008B792B"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373414F0" w14:textId="77777777" w:rsidR="00E6237D" w:rsidRPr="008B792B"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8B792B">
        <w:rPr>
          <w:rFonts w:ascii="Palatino Linotype" w:eastAsia="Calibri" w:hAnsi="Palatino Linotype" w:cs="Times New Roman"/>
          <w:b/>
          <w:sz w:val="24"/>
          <w:szCs w:val="24"/>
          <w:lang w:val="es-ES"/>
        </w:rPr>
        <w:t xml:space="preserve">no proporciona su nombre completo para que sea </w:t>
      </w:r>
      <w:r w:rsidRPr="008B792B">
        <w:rPr>
          <w:rFonts w:ascii="Palatino Linotype" w:eastAsia="Calibri" w:hAnsi="Palatino Linotype" w:cs="Times New Roman"/>
          <w:b/>
          <w:sz w:val="24"/>
          <w:szCs w:val="24"/>
          <w:u w:val="single"/>
          <w:lang w:val="es-ES"/>
        </w:rPr>
        <w:t>identificado</w:t>
      </w:r>
      <w:r w:rsidRPr="008B792B">
        <w:rPr>
          <w:rFonts w:ascii="Palatino Linotype" w:eastAsia="Calibri" w:hAnsi="Palatino Linotype" w:cs="Times New Roman"/>
          <w:b/>
          <w:sz w:val="24"/>
          <w:szCs w:val="24"/>
          <w:lang w:val="es-ES"/>
        </w:rPr>
        <w:t>,</w:t>
      </w:r>
      <w:r w:rsidRPr="008B792B">
        <w:rPr>
          <w:rFonts w:ascii="Palatino Linotype" w:eastAsia="Calibri" w:hAnsi="Palatino Linotype" w:cs="Times New Roman"/>
          <w:sz w:val="24"/>
          <w:szCs w:val="24"/>
          <w:lang w:val="es-ES"/>
        </w:rPr>
        <w:t xml:space="preserve"> ni se tiene la certeza sobre su identidad, sin embargo, es importante señalar también que </w:t>
      </w:r>
      <w:r w:rsidRPr="008B792B">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1405BD" w14:textId="77777777" w:rsidR="00E6237D" w:rsidRPr="008B792B" w:rsidRDefault="00E6237D" w:rsidP="00E6237D">
      <w:pPr>
        <w:pStyle w:val="Prrafodelista"/>
        <w:rPr>
          <w:rFonts w:ascii="Palatino Linotype" w:eastAsia="Calibri" w:hAnsi="Palatino Linotype" w:cs="Times New Roman"/>
          <w:sz w:val="24"/>
          <w:szCs w:val="24"/>
          <w:lang w:val="es-ES"/>
        </w:rPr>
      </w:pPr>
    </w:p>
    <w:p w14:paraId="6F2D1998" w14:textId="77777777" w:rsidR="00E6237D" w:rsidRPr="008B792B"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8B792B">
        <w:rPr>
          <w:rFonts w:ascii="Palatino Linotype" w:hAnsi="Palatino Linotype" w:cs="Arial"/>
          <w:bCs/>
          <w:color w:val="222222"/>
          <w:sz w:val="24"/>
          <w:szCs w:val="24"/>
          <w:lang w:val="es-ES"/>
        </w:rPr>
        <w:t xml:space="preserve">vigésimo, vigésimo primero y vigésimo segundo </w:t>
      </w:r>
      <w:r w:rsidRPr="008B792B">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8B792B">
        <w:rPr>
          <w:rFonts w:ascii="Palatino Linotype" w:eastAsia="Calibri" w:hAnsi="Palatino Linotype" w:cs="Times New Roman"/>
          <w:sz w:val="24"/>
          <w:szCs w:val="24"/>
          <w:lang w:val="es-ES"/>
        </w:rPr>
        <w:lastRenderedPageBreak/>
        <w:t>autónomos especializados e imparciales que establece la Constitución Federal y local.</w:t>
      </w:r>
    </w:p>
    <w:p w14:paraId="303BD8AD" w14:textId="77777777" w:rsidR="00E6237D" w:rsidRPr="008B792B" w:rsidRDefault="00E6237D" w:rsidP="00E6237D">
      <w:pPr>
        <w:pStyle w:val="Prrafodelista"/>
        <w:rPr>
          <w:rFonts w:ascii="Palatino Linotype" w:eastAsia="Calibri" w:hAnsi="Palatino Linotype" w:cs="Times New Roman"/>
          <w:sz w:val="24"/>
          <w:szCs w:val="24"/>
          <w:lang w:val="es-ES"/>
        </w:rPr>
      </w:pPr>
    </w:p>
    <w:p w14:paraId="02F43374" w14:textId="77777777" w:rsidR="00E6237D" w:rsidRPr="008B792B"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668B01" w14:textId="77777777" w:rsidR="00E6237D" w:rsidRPr="008B792B" w:rsidRDefault="00E6237D" w:rsidP="00E6237D">
      <w:pPr>
        <w:pStyle w:val="Prrafodelista"/>
        <w:rPr>
          <w:rFonts w:ascii="Palatino Linotype" w:eastAsia="Calibri" w:hAnsi="Palatino Linotype" w:cs="Times New Roman"/>
          <w:sz w:val="24"/>
          <w:szCs w:val="24"/>
          <w:lang w:val="es-ES"/>
        </w:rPr>
      </w:pPr>
    </w:p>
    <w:p w14:paraId="11EFA978" w14:textId="77777777" w:rsidR="00E6237D" w:rsidRPr="008B792B"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2450DA0" w14:textId="77777777" w:rsidR="00E6237D" w:rsidRPr="008B792B" w:rsidRDefault="00E6237D" w:rsidP="00E6237D">
      <w:pPr>
        <w:pStyle w:val="Prrafodelista"/>
        <w:rPr>
          <w:rFonts w:ascii="Palatino Linotype" w:eastAsia="Times New Roman" w:hAnsi="Palatino Linotype" w:cs="Arial"/>
          <w:sz w:val="24"/>
          <w:szCs w:val="24"/>
          <w:lang w:val="es-ES"/>
        </w:rPr>
      </w:pPr>
    </w:p>
    <w:p w14:paraId="1E289356" w14:textId="77777777" w:rsidR="00E6237D" w:rsidRPr="008B792B"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8B792B">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8B792B">
        <w:rPr>
          <w:rFonts w:ascii="Palatino Linotype" w:eastAsia="Times New Roman" w:hAnsi="Palatino Linotype" w:cs="Arial"/>
          <w:sz w:val="24"/>
          <w:szCs w:val="24"/>
          <w:lang w:val="es-ES"/>
        </w:rPr>
        <w:t>procedibilidad</w:t>
      </w:r>
      <w:proofErr w:type="spellEnd"/>
      <w:r w:rsidRPr="008B792B">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8B792B">
        <w:rPr>
          <w:rFonts w:ascii="Palatino Linotype" w:eastAsia="Times New Roman" w:hAnsi="Palatino Linotype" w:cs="Arial"/>
          <w:sz w:val="24"/>
          <w:szCs w:val="24"/>
          <w:lang w:val="es-ES"/>
        </w:rPr>
        <w:t>Resolutor</w:t>
      </w:r>
      <w:proofErr w:type="spellEnd"/>
      <w:r w:rsidRPr="008B792B">
        <w:rPr>
          <w:rFonts w:ascii="Palatino Linotype" w:eastAsia="Times New Roman" w:hAnsi="Palatino Linotype" w:cs="Arial"/>
          <w:sz w:val="24"/>
          <w:szCs w:val="24"/>
          <w:lang w:val="es-ES"/>
        </w:rPr>
        <w:t>.</w:t>
      </w:r>
    </w:p>
    <w:p w14:paraId="7B97905A" w14:textId="77777777" w:rsidR="00C94C46" w:rsidRPr="008B792B" w:rsidRDefault="00C94C46" w:rsidP="00C94C46">
      <w:pPr>
        <w:pStyle w:val="Prrafodelista"/>
        <w:rPr>
          <w:rFonts w:ascii="Palatino Linotype" w:hAnsi="Palatino Linotype" w:cs="Arial"/>
          <w:i/>
          <w:sz w:val="24"/>
          <w:szCs w:val="24"/>
        </w:rPr>
      </w:pPr>
    </w:p>
    <w:p w14:paraId="64CBB65C" w14:textId="141A7320" w:rsidR="00285C17" w:rsidRPr="008B792B"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8B792B">
        <w:rPr>
          <w:rFonts w:ascii="Palatino Linotype" w:eastAsia="Calibri" w:hAnsi="Palatino Linotype" w:cs="Arial"/>
          <w:sz w:val="24"/>
          <w:szCs w:val="24"/>
          <w:lang w:val="es-ES_tradnl" w:eastAsia="es-ES"/>
        </w:rPr>
        <w:lastRenderedPageBreak/>
        <w:t xml:space="preserve">En ese orden de ideas, </w:t>
      </w:r>
      <w:r w:rsidR="00944476" w:rsidRPr="008B792B">
        <w:rPr>
          <w:rFonts w:ascii="Palatino Linotype" w:eastAsia="Calibri" w:hAnsi="Palatino Linotype" w:cs="Arial"/>
          <w:sz w:val="24"/>
          <w:szCs w:val="24"/>
          <w:lang w:val="es-ES_tradnl" w:eastAsia="es-ES"/>
        </w:rPr>
        <w:t>el escrito</w:t>
      </w:r>
      <w:r w:rsidRPr="008B792B">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535FE37E" w14:textId="77777777" w:rsidR="00285C17" w:rsidRPr="008B792B" w:rsidRDefault="00285C17" w:rsidP="00285C17">
      <w:pPr>
        <w:pStyle w:val="Prrafodelista"/>
        <w:rPr>
          <w:rFonts w:ascii="Palatino Linotype" w:eastAsia="Calibri" w:hAnsi="Palatino Linotype" w:cs="Times New Roman"/>
          <w:sz w:val="24"/>
          <w:szCs w:val="24"/>
          <w:lang w:val="es-ES" w:eastAsia="es-ES"/>
        </w:rPr>
      </w:pPr>
    </w:p>
    <w:p w14:paraId="322B39E2" w14:textId="1D87260E" w:rsidR="006605BA" w:rsidRPr="008B792B"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7" w:name="_Toc57234855"/>
      <w:r w:rsidRPr="008B792B">
        <w:rPr>
          <w:rFonts w:ascii="Palatino Linotype" w:eastAsia="MS Mincho" w:hAnsi="Palatino Linotype" w:cstheme="majorBidi"/>
          <w:b/>
          <w:sz w:val="24"/>
          <w:szCs w:val="24"/>
          <w:lang w:val="es-ES_tradnl" w:eastAsia="es-ES"/>
        </w:rPr>
        <w:t>TERCERO</w:t>
      </w:r>
      <w:r w:rsidR="006605BA" w:rsidRPr="008B792B">
        <w:rPr>
          <w:rFonts w:ascii="Palatino Linotype" w:eastAsia="MS Mincho" w:hAnsi="Palatino Linotype" w:cstheme="majorBidi"/>
          <w:b/>
          <w:sz w:val="24"/>
          <w:szCs w:val="24"/>
          <w:lang w:val="es-ES_tradnl" w:eastAsia="es-ES"/>
        </w:rPr>
        <w:t>. Del planteamiento de la Litis.</w:t>
      </w:r>
      <w:bookmarkEnd w:id="7"/>
      <w:bookmarkEnd w:id="8"/>
      <w:bookmarkEnd w:id="17"/>
    </w:p>
    <w:p w14:paraId="6464135F" w14:textId="77777777" w:rsidR="00504AC4" w:rsidRPr="008B792B" w:rsidRDefault="00504AC4" w:rsidP="00504AC4">
      <w:pPr>
        <w:spacing w:after="0" w:line="360" w:lineRule="auto"/>
        <w:contextualSpacing/>
        <w:jc w:val="both"/>
        <w:rPr>
          <w:rFonts w:ascii="Palatino Linotype" w:hAnsi="Palatino Linotype" w:cs="Arial"/>
          <w:sz w:val="24"/>
          <w:szCs w:val="24"/>
          <w:lang w:val="es-ES_tradnl"/>
        </w:rPr>
      </w:pPr>
    </w:p>
    <w:p w14:paraId="3084D321" w14:textId="78493124" w:rsidR="001870D4" w:rsidRPr="008B792B" w:rsidRDefault="0063472B"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B792B">
        <w:rPr>
          <w:rFonts w:ascii="Palatino Linotype" w:eastAsia="MS Mincho" w:hAnsi="Palatino Linotype" w:cs="Arial"/>
          <w:sz w:val="24"/>
          <w:szCs w:val="24"/>
          <w:lang w:val="es-ES_tradnl" w:eastAsia="es-ES"/>
        </w:rPr>
        <w:t>E</w:t>
      </w:r>
      <w:r w:rsidR="00DD056A" w:rsidRPr="008B792B">
        <w:rPr>
          <w:rFonts w:ascii="Palatino Linotype" w:eastAsia="MS Mincho" w:hAnsi="Palatino Linotype" w:cs="Arial"/>
          <w:sz w:val="24"/>
          <w:szCs w:val="24"/>
          <w:lang w:val="es-ES_tradnl" w:eastAsia="es-ES"/>
        </w:rPr>
        <w:t xml:space="preserve">l </w:t>
      </w:r>
      <w:r w:rsidR="00285C17" w:rsidRPr="008B792B">
        <w:rPr>
          <w:rFonts w:ascii="Palatino Linotype" w:eastAsia="MS Mincho" w:hAnsi="Palatino Linotype" w:cs="Arial"/>
          <w:b/>
          <w:bCs/>
          <w:sz w:val="24"/>
          <w:szCs w:val="24"/>
          <w:lang w:val="es-ES_tradnl" w:eastAsia="es-ES"/>
        </w:rPr>
        <w:t xml:space="preserve">SUJETO OBLIGADO </w:t>
      </w:r>
      <w:r w:rsidRPr="008B792B">
        <w:rPr>
          <w:rFonts w:ascii="Palatino Linotype" w:eastAsia="MS Mincho" w:hAnsi="Palatino Linotype" w:cs="Arial"/>
          <w:bCs/>
          <w:sz w:val="24"/>
          <w:szCs w:val="24"/>
          <w:lang w:val="es-ES_tradnl" w:eastAsia="es-ES"/>
        </w:rPr>
        <w:t xml:space="preserve">en respuesta a la solicitud de información proporcionó los sitios electrónicos en los que puede ser consultada la normatividad que rige el ámbito de competencia de la Fiscalía General de Justicia y de las unidades que la componen, así como su organigrama.  </w:t>
      </w:r>
    </w:p>
    <w:p w14:paraId="595ABCD9" w14:textId="77777777" w:rsidR="00285C17" w:rsidRPr="008B792B" w:rsidRDefault="00285C17" w:rsidP="00285C17">
      <w:pPr>
        <w:spacing w:after="0" w:line="360" w:lineRule="auto"/>
        <w:contextualSpacing/>
        <w:jc w:val="both"/>
        <w:rPr>
          <w:rFonts w:ascii="Palatino Linotype" w:hAnsi="Palatino Linotype" w:cs="Arial"/>
          <w:sz w:val="24"/>
          <w:szCs w:val="24"/>
          <w:lang w:val="es-ES_tradnl"/>
        </w:rPr>
      </w:pPr>
    </w:p>
    <w:p w14:paraId="595F9741" w14:textId="5D09AC67" w:rsidR="006605BA" w:rsidRPr="008B792B" w:rsidRDefault="0063472B"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B792B">
        <w:rPr>
          <w:rFonts w:ascii="Palatino Linotype" w:hAnsi="Palatino Linotype" w:cs="Arial"/>
          <w:sz w:val="24"/>
          <w:szCs w:val="24"/>
          <w:lang w:val="es-ES_tradnl"/>
        </w:rPr>
        <w:t xml:space="preserve">Derivado de la respuesta el </w:t>
      </w:r>
      <w:r w:rsidRPr="008B792B">
        <w:rPr>
          <w:rFonts w:ascii="Palatino Linotype" w:hAnsi="Palatino Linotype" w:cs="Arial"/>
          <w:b/>
          <w:sz w:val="24"/>
          <w:szCs w:val="24"/>
          <w:lang w:val="es-ES_tradnl"/>
        </w:rPr>
        <w:t xml:space="preserve">RECURRENTE </w:t>
      </w:r>
      <w:r w:rsidRPr="008B792B">
        <w:rPr>
          <w:rFonts w:ascii="Palatino Linotype" w:hAnsi="Palatino Linotype" w:cs="Arial"/>
          <w:sz w:val="24"/>
          <w:szCs w:val="24"/>
          <w:lang w:val="es-ES_tradnl"/>
        </w:rPr>
        <w:t xml:space="preserve">interpuso el recurso de revisión de mérito en el que argumentó como razones o motivos de inconformidad </w:t>
      </w:r>
      <w:r w:rsidR="004F1E0B" w:rsidRPr="008B792B">
        <w:rPr>
          <w:rFonts w:ascii="Palatino Linotype" w:hAnsi="Palatino Linotype" w:cs="Arial"/>
          <w:sz w:val="24"/>
          <w:szCs w:val="24"/>
          <w:lang w:val="es-ES_tradnl"/>
        </w:rPr>
        <w:t xml:space="preserve">la inobservancia al principio de máxima publicidad, dado que la autoridad no remite la información requerida. </w:t>
      </w:r>
    </w:p>
    <w:p w14:paraId="568DC892" w14:textId="77777777" w:rsidR="00927869" w:rsidRPr="008B792B" w:rsidRDefault="00927869" w:rsidP="00927869">
      <w:pPr>
        <w:pStyle w:val="Prrafodelista"/>
        <w:rPr>
          <w:rFonts w:ascii="Palatino Linotype" w:hAnsi="Palatino Linotype" w:cs="Arial"/>
          <w:sz w:val="24"/>
          <w:szCs w:val="24"/>
          <w:lang w:val="es-ES_tradnl"/>
        </w:rPr>
      </w:pPr>
    </w:p>
    <w:p w14:paraId="46A1B23B" w14:textId="3031CD6D" w:rsidR="009E7D1A" w:rsidRPr="008B792B"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8B792B">
        <w:rPr>
          <w:rFonts w:ascii="Palatino Linotype" w:hAnsi="Palatino Linotype" w:cs="Arial"/>
          <w:sz w:val="24"/>
          <w:szCs w:val="24"/>
          <w:lang w:val="es-ES_tradnl"/>
        </w:rPr>
        <w:t xml:space="preserve">En consecuencia, la Litis del presente asunto, corresponde en resolver si el </w:t>
      </w:r>
      <w:r w:rsidRPr="008B792B">
        <w:rPr>
          <w:rFonts w:ascii="Palatino Linotype" w:hAnsi="Palatino Linotype" w:cs="Arial"/>
          <w:b/>
          <w:sz w:val="24"/>
          <w:szCs w:val="24"/>
          <w:lang w:val="es-ES_tradnl"/>
        </w:rPr>
        <w:t xml:space="preserve">SUJETO OBLIGADO </w:t>
      </w:r>
      <w:r w:rsidRPr="008B792B">
        <w:rPr>
          <w:rFonts w:ascii="Palatino Linotype" w:hAnsi="Palatino Linotype" w:cs="Arial"/>
          <w:sz w:val="24"/>
          <w:szCs w:val="24"/>
          <w:lang w:val="es-ES_tradnl"/>
        </w:rPr>
        <w:t xml:space="preserve">atendió la solicitud con apego a los principios establecidos en el artículo 11 de la Ley de Transparencia Local y si la información entregada </w:t>
      </w:r>
      <w:r w:rsidR="003C754D" w:rsidRPr="008B792B">
        <w:rPr>
          <w:rFonts w:ascii="Palatino Linotype" w:hAnsi="Palatino Linotype" w:cs="Arial"/>
          <w:sz w:val="24"/>
          <w:szCs w:val="24"/>
          <w:lang w:val="es-ES_tradnl"/>
        </w:rPr>
        <w:t>es accesible.</w:t>
      </w:r>
    </w:p>
    <w:p w14:paraId="12C6F4CE" w14:textId="185FB44C" w:rsidR="009E7D1A" w:rsidRPr="008B792B" w:rsidRDefault="009E7D1A" w:rsidP="009E7D1A">
      <w:pPr>
        <w:spacing w:after="0" w:line="360" w:lineRule="auto"/>
        <w:contextualSpacing/>
        <w:jc w:val="both"/>
        <w:rPr>
          <w:rFonts w:ascii="Palatino Linotype" w:hAnsi="Palatino Linotype" w:cs="Arial"/>
          <w:sz w:val="24"/>
          <w:szCs w:val="24"/>
          <w:lang w:val="es-ES_tradnl"/>
        </w:rPr>
      </w:pPr>
    </w:p>
    <w:p w14:paraId="7C0ACD65" w14:textId="4CDCC283" w:rsidR="006605BA" w:rsidRPr="008B792B"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8B792B">
        <w:rPr>
          <w:rFonts w:ascii="Palatino Linotype" w:eastAsia="MS Mincho" w:hAnsi="Palatino Linotype" w:cs="Arial"/>
          <w:sz w:val="24"/>
          <w:szCs w:val="24"/>
          <w:lang w:val="es-ES_tradnl" w:eastAsia="es-ES"/>
        </w:rPr>
        <w:t xml:space="preserve">Asimismo, determinar si se actualizan las causales de procedencia previstas en las </w:t>
      </w:r>
      <w:r w:rsidR="009E7D1A" w:rsidRPr="008B792B">
        <w:rPr>
          <w:rFonts w:ascii="Palatino Linotype" w:eastAsia="MS Mincho" w:hAnsi="Palatino Linotype" w:cs="Times New Roman"/>
          <w:b/>
          <w:sz w:val="24"/>
          <w:szCs w:val="24"/>
          <w:lang w:val="es-ES_tradnl" w:eastAsia="es-ES"/>
        </w:rPr>
        <w:t xml:space="preserve">fracciones I, </w:t>
      </w:r>
      <w:r w:rsidR="003C754D" w:rsidRPr="008B792B">
        <w:rPr>
          <w:rFonts w:ascii="Palatino Linotype" w:eastAsia="MS Mincho" w:hAnsi="Palatino Linotype" w:cs="Times New Roman"/>
          <w:b/>
          <w:sz w:val="24"/>
          <w:szCs w:val="24"/>
          <w:lang w:val="es-ES_tradnl" w:eastAsia="es-ES"/>
        </w:rPr>
        <w:t>IX</w:t>
      </w:r>
      <w:r w:rsidRPr="008B792B">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8B792B">
        <w:rPr>
          <w:rFonts w:ascii="Palatino Linotype" w:eastAsia="MS Mincho" w:hAnsi="Palatino Linotype" w:cs="Times New Roman"/>
          <w:sz w:val="24"/>
          <w:szCs w:val="24"/>
          <w:lang w:val="es-ES_tradnl" w:eastAsia="es-ES"/>
        </w:rPr>
        <w:t>, que establecen la negativa a la información solicit</w:t>
      </w:r>
      <w:r w:rsidR="000D6FB2" w:rsidRPr="008B792B">
        <w:rPr>
          <w:rFonts w:ascii="Palatino Linotype" w:eastAsia="MS Mincho" w:hAnsi="Palatino Linotype" w:cs="Times New Roman"/>
          <w:sz w:val="24"/>
          <w:szCs w:val="24"/>
          <w:lang w:val="es-ES_tradnl" w:eastAsia="es-ES"/>
        </w:rPr>
        <w:t xml:space="preserve">ada y </w:t>
      </w:r>
      <w:r w:rsidR="003C754D" w:rsidRPr="008B792B">
        <w:rPr>
          <w:rFonts w:ascii="Palatino Linotype" w:eastAsia="MS Mincho" w:hAnsi="Palatino Linotype" w:cs="Times New Roman"/>
          <w:sz w:val="24"/>
          <w:szCs w:val="24"/>
          <w:lang w:val="es-ES_tradnl" w:eastAsia="es-ES"/>
        </w:rPr>
        <w:t>la entrega o puesta a disposición de información en un formato incomprensible y/o no accesible para el solicitante</w:t>
      </w:r>
      <w:r w:rsidR="0012290F" w:rsidRPr="008B792B">
        <w:rPr>
          <w:rFonts w:ascii="Palatino Linotype" w:eastAsia="MS Mincho" w:hAnsi="Palatino Linotype" w:cs="Times New Roman"/>
          <w:sz w:val="24"/>
          <w:szCs w:val="24"/>
          <w:lang w:val="es-ES_tradnl" w:eastAsia="es-ES"/>
        </w:rPr>
        <w:t xml:space="preserve">; </w:t>
      </w:r>
      <w:r w:rsidR="0012290F" w:rsidRPr="008B792B">
        <w:rPr>
          <w:rFonts w:ascii="Palatino Linotype" w:eastAsia="MS Mincho" w:hAnsi="Palatino Linotype" w:cs="Arial"/>
          <w:sz w:val="24"/>
          <w:szCs w:val="24"/>
        </w:rPr>
        <w:t>con</w:t>
      </w:r>
      <w:r w:rsidR="003C754D" w:rsidRPr="008B792B">
        <w:rPr>
          <w:rFonts w:ascii="Palatino Linotype" w:eastAsia="MS Mincho" w:hAnsi="Palatino Linotype" w:cs="Arial"/>
          <w:sz w:val="24"/>
          <w:szCs w:val="24"/>
        </w:rPr>
        <w:t>textos de los cuales se dolió el</w:t>
      </w:r>
      <w:r w:rsidR="0012290F" w:rsidRPr="008B792B">
        <w:rPr>
          <w:rFonts w:ascii="Palatino Linotype" w:eastAsia="MS Mincho" w:hAnsi="Palatino Linotype" w:cs="Arial"/>
          <w:sz w:val="24"/>
          <w:szCs w:val="24"/>
        </w:rPr>
        <w:t xml:space="preserve"> </w:t>
      </w:r>
      <w:r w:rsidR="0012290F" w:rsidRPr="008B792B">
        <w:rPr>
          <w:rFonts w:ascii="Palatino Linotype" w:eastAsia="MS Mincho" w:hAnsi="Palatino Linotype" w:cs="Arial"/>
          <w:b/>
          <w:sz w:val="24"/>
          <w:szCs w:val="24"/>
        </w:rPr>
        <w:t>RECURRENTE</w:t>
      </w:r>
      <w:r w:rsidR="0012290F" w:rsidRPr="008B792B">
        <w:rPr>
          <w:rFonts w:ascii="Palatino Linotype" w:eastAsia="MS Mincho" w:hAnsi="Palatino Linotype" w:cs="Arial"/>
          <w:sz w:val="24"/>
          <w:szCs w:val="24"/>
        </w:rPr>
        <w:t xml:space="preserve"> al momento de interponer su inconformidad.</w:t>
      </w:r>
    </w:p>
    <w:p w14:paraId="61A3B92F" w14:textId="77777777" w:rsidR="001870D4" w:rsidRPr="008B792B"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8B792B" w:rsidRDefault="00AE7407" w:rsidP="00A9278D">
      <w:pPr>
        <w:keepNext/>
        <w:keepLines/>
        <w:spacing w:before="40"/>
        <w:outlineLvl w:val="1"/>
        <w:rPr>
          <w:rFonts w:ascii="Palatino Linotype" w:eastAsia="MS Gothic" w:hAnsi="Palatino Linotype" w:cs="Times New Roman"/>
          <w:b/>
          <w:sz w:val="24"/>
          <w:szCs w:val="24"/>
        </w:rPr>
      </w:pPr>
      <w:bookmarkStart w:id="18" w:name="_Toc531781772"/>
      <w:bookmarkStart w:id="19" w:name="_Toc24025323"/>
      <w:bookmarkStart w:id="20" w:name="_Toc24530256"/>
      <w:bookmarkStart w:id="21" w:name="_Toc26955337"/>
      <w:bookmarkStart w:id="22" w:name="_Toc57234856"/>
      <w:r w:rsidRPr="008B792B">
        <w:rPr>
          <w:rFonts w:ascii="Palatino Linotype" w:eastAsia="Calibri" w:hAnsi="Palatino Linotype" w:cs="Times New Roman"/>
          <w:b/>
          <w:bCs/>
          <w:sz w:val="24"/>
          <w:szCs w:val="24"/>
          <w:lang w:val="es-ES"/>
        </w:rPr>
        <w:t>CUARTO</w:t>
      </w:r>
      <w:r w:rsidR="00A9278D" w:rsidRPr="008B792B">
        <w:rPr>
          <w:rFonts w:ascii="Palatino Linotype" w:eastAsia="Calibri" w:hAnsi="Palatino Linotype" w:cs="Times New Roman"/>
          <w:b/>
          <w:bCs/>
          <w:sz w:val="24"/>
          <w:szCs w:val="24"/>
          <w:lang w:val="es-ES"/>
        </w:rPr>
        <w:t xml:space="preserve">. </w:t>
      </w:r>
      <w:r w:rsidR="00A9278D" w:rsidRPr="008B792B">
        <w:rPr>
          <w:rFonts w:ascii="Palatino Linotype" w:eastAsia="MS Gothic" w:hAnsi="Palatino Linotype" w:cs="Times New Roman"/>
          <w:b/>
          <w:sz w:val="24"/>
          <w:szCs w:val="24"/>
        </w:rPr>
        <w:t>Del estudio y resolución del asunto</w:t>
      </w:r>
      <w:bookmarkEnd w:id="18"/>
      <w:r w:rsidR="00A9278D" w:rsidRPr="008B792B">
        <w:rPr>
          <w:rFonts w:ascii="Palatino Linotype" w:eastAsia="MS Gothic" w:hAnsi="Palatino Linotype" w:cs="Times New Roman"/>
          <w:b/>
          <w:sz w:val="24"/>
          <w:szCs w:val="24"/>
        </w:rPr>
        <w:t>.</w:t>
      </w:r>
      <w:bookmarkEnd w:id="19"/>
      <w:bookmarkEnd w:id="20"/>
      <w:bookmarkEnd w:id="21"/>
      <w:bookmarkEnd w:id="22"/>
      <w:r w:rsidR="00A9278D" w:rsidRPr="008B792B">
        <w:rPr>
          <w:rFonts w:ascii="Palatino Linotype" w:eastAsia="MS Gothic" w:hAnsi="Palatino Linotype" w:cs="Times New Roman"/>
          <w:b/>
          <w:sz w:val="24"/>
          <w:szCs w:val="24"/>
        </w:rPr>
        <w:t xml:space="preserve"> </w:t>
      </w:r>
    </w:p>
    <w:p w14:paraId="7B6B2D0A" w14:textId="77777777" w:rsidR="00A9278D" w:rsidRPr="008B792B"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8B792B"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8B792B">
        <w:rPr>
          <w:rFonts w:ascii="Palatino Linotype" w:hAnsi="Palatino Linotype" w:cs="Arial"/>
          <w:sz w:val="24"/>
          <w:szCs w:val="24"/>
        </w:rPr>
        <w:t>Derivado del planteamiento de la Litis, se procede a analiz</w:t>
      </w:r>
      <w:r w:rsidR="00A32D4E" w:rsidRPr="008B792B">
        <w:rPr>
          <w:rFonts w:ascii="Palatino Linotype" w:hAnsi="Palatino Linotype" w:cs="Arial"/>
          <w:sz w:val="24"/>
          <w:szCs w:val="24"/>
        </w:rPr>
        <w:t xml:space="preserve">ar el contenido íntegro de las </w:t>
      </w:r>
      <w:r w:rsidRPr="008B792B">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8B792B">
        <w:rPr>
          <w:rFonts w:ascii="Palatino Linotype" w:eastAsia="Calibri" w:hAnsi="Palatino Linotype" w:cs="Arial"/>
          <w:sz w:val="24"/>
          <w:szCs w:val="24"/>
          <w:lang w:val="es-ES"/>
        </w:rPr>
        <w:t>Ley de Transparencia y Acceso a la Información Pública del Estado de México y Municipios</w:t>
      </w:r>
      <w:r w:rsidRPr="008B792B">
        <w:rPr>
          <w:rFonts w:ascii="Palatino Linotype" w:eastAsia="Times New Roman" w:hAnsi="Palatino Linotype" w:cs="Arial"/>
          <w:sz w:val="24"/>
          <w:szCs w:val="24"/>
          <w:lang w:val="es-ES" w:eastAsia="es-MX"/>
        </w:rPr>
        <w:t>.</w:t>
      </w:r>
    </w:p>
    <w:p w14:paraId="1399335B" w14:textId="075EF7D1" w:rsidR="00BD3DBA" w:rsidRPr="008B792B" w:rsidRDefault="00BD3DBA" w:rsidP="00BD3DBA">
      <w:pPr>
        <w:keepNext/>
        <w:keepLines/>
        <w:numPr>
          <w:ilvl w:val="1"/>
          <w:numId w:val="2"/>
        </w:numPr>
        <w:spacing w:before="240" w:after="0" w:line="360" w:lineRule="auto"/>
        <w:ind w:left="567" w:firstLine="0"/>
        <w:outlineLvl w:val="0"/>
        <w:rPr>
          <w:rFonts w:ascii="Palatino Linotype" w:eastAsia="MS Mincho" w:hAnsi="Palatino Linotype" w:cs="Arial"/>
          <w:b/>
          <w:i/>
          <w:sz w:val="24"/>
          <w:szCs w:val="24"/>
          <w:lang w:eastAsia="es-MX"/>
        </w:rPr>
      </w:pPr>
      <w:bookmarkStart w:id="23" w:name="_Toc536726461"/>
      <w:bookmarkStart w:id="24" w:name="_Toc32430680"/>
      <w:bookmarkStart w:id="25" w:name="_Toc48206810"/>
      <w:bookmarkStart w:id="26" w:name="_Toc57234857"/>
      <w:r w:rsidRPr="008B792B">
        <w:rPr>
          <w:rFonts w:ascii="Palatino Linotype" w:eastAsia="MS Gothic" w:hAnsi="Palatino Linotype" w:cstheme="majorBidi"/>
          <w:b/>
          <w:i/>
          <w:noProof/>
          <w:sz w:val="24"/>
          <w:szCs w:val="24"/>
        </w:rPr>
        <w:t>El derecho de acceso a la información publica</w:t>
      </w:r>
      <w:bookmarkEnd w:id="23"/>
      <w:r w:rsidRPr="008B792B">
        <w:rPr>
          <w:rFonts w:ascii="Palatino Linotype" w:eastAsia="MS Mincho" w:hAnsi="Palatino Linotype" w:cs="Arial"/>
          <w:b/>
          <w:i/>
          <w:sz w:val="24"/>
          <w:szCs w:val="24"/>
          <w:lang w:eastAsia="es-MX"/>
        </w:rPr>
        <w:t>.</w:t>
      </w:r>
      <w:bookmarkEnd w:id="24"/>
      <w:bookmarkEnd w:id="25"/>
      <w:bookmarkEnd w:id="26"/>
    </w:p>
    <w:p w14:paraId="64970583" w14:textId="77777777" w:rsidR="00BD3DBA" w:rsidRPr="008B792B" w:rsidRDefault="00BD3DBA" w:rsidP="00BD3DBA">
      <w:pPr>
        <w:spacing w:after="0" w:line="360" w:lineRule="auto"/>
        <w:ind w:right="34"/>
        <w:contextualSpacing/>
        <w:jc w:val="both"/>
        <w:rPr>
          <w:rFonts w:ascii="Palatino Linotype" w:eastAsia="MS Mincho" w:hAnsi="Palatino Linotype" w:cs="Times New Roman"/>
          <w:sz w:val="24"/>
          <w:szCs w:val="24"/>
        </w:rPr>
      </w:pPr>
    </w:p>
    <w:p w14:paraId="7753DEE1" w14:textId="165561D6" w:rsidR="00BD3DBA" w:rsidRPr="008B792B"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8B792B">
        <w:rPr>
          <w:rFonts w:ascii="Palatino Linotype" w:eastAsia="MS Mincho" w:hAnsi="Palatino Linotype" w:cs="Times New Roman"/>
          <w:sz w:val="24"/>
          <w:szCs w:val="24"/>
        </w:rPr>
        <w:t xml:space="preserve">De </w:t>
      </w:r>
      <w:r w:rsidRPr="008B792B">
        <w:rPr>
          <w:rFonts w:ascii="Palatino Linotype" w:eastAsia="Calibri" w:hAnsi="Palatino Linotype" w:cs="Arial"/>
          <w:sz w:val="24"/>
          <w:szCs w:val="24"/>
        </w:rPr>
        <w:t>acuerdo</w:t>
      </w:r>
      <w:r w:rsidRPr="008B792B">
        <w:rPr>
          <w:rFonts w:ascii="Palatino Linotype" w:eastAsia="MS Mincho" w:hAnsi="Palatino Linotype" w:cs="Times New Roman"/>
          <w:sz w:val="24"/>
          <w:szCs w:val="24"/>
        </w:rPr>
        <w:t xml:space="preserve"> a la Ley de Transparencia en términos generales, establece que como uno de los objetivos con el que cuenta es el de garantizar a toda persona el </w:t>
      </w:r>
      <w:r w:rsidRPr="008B792B">
        <w:rPr>
          <w:rFonts w:ascii="Palatino Linotype" w:eastAsia="MS Mincho" w:hAnsi="Palatino Linotype" w:cs="Times New Roman"/>
          <w:sz w:val="24"/>
          <w:szCs w:val="24"/>
        </w:rPr>
        <w:lastRenderedPageBreak/>
        <w:t xml:space="preserve">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79A601D" w14:textId="77777777" w:rsidR="00BD3DBA" w:rsidRPr="008B792B" w:rsidRDefault="00BD3DBA" w:rsidP="00BD3DBA">
      <w:pPr>
        <w:spacing w:line="360" w:lineRule="auto"/>
        <w:ind w:right="49"/>
        <w:contextualSpacing/>
        <w:jc w:val="both"/>
        <w:rPr>
          <w:rFonts w:ascii="Palatino Linotype" w:eastAsia="MS Mincho" w:hAnsi="Palatino Linotype" w:cs="Times New Roman"/>
          <w:sz w:val="24"/>
          <w:szCs w:val="24"/>
        </w:rPr>
      </w:pPr>
    </w:p>
    <w:p w14:paraId="28661479" w14:textId="77777777" w:rsidR="00BD3DBA" w:rsidRPr="008B792B"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8B792B">
        <w:rPr>
          <w:rFonts w:ascii="Palatino Linotype" w:eastAsia="MS Mincho" w:hAnsi="Palatino Linotype" w:cs="Times New Roman"/>
          <w:sz w:val="24"/>
          <w:szCs w:val="24"/>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F2C3AEC" w14:textId="77777777" w:rsidR="00BD3DBA" w:rsidRPr="008B792B" w:rsidRDefault="00BD3DBA" w:rsidP="00BD3DBA">
      <w:pPr>
        <w:spacing w:line="360" w:lineRule="auto"/>
        <w:contextualSpacing/>
        <w:rPr>
          <w:rFonts w:ascii="Palatino Linotype" w:eastAsia="MS Mincho" w:hAnsi="Palatino Linotype" w:cs="Times New Roman"/>
          <w:sz w:val="24"/>
          <w:szCs w:val="24"/>
        </w:rPr>
      </w:pPr>
    </w:p>
    <w:p w14:paraId="0EDD6F31" w14:textId="6DA78CE4" w:rsidR="00BD3DBA" w:rsidRPr="008B792B"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8B792B">
        <w:rPr>
          <w:rFonts w:ascii="Palatino Linotype" w:eastAsia="MS Mincho" w:hAnsi="Palatino Linotype" w:cs="Times New Roman"/>
          <w:sz w:val="24"/>
          <w:szCs w:val="24"/>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FF5D3A" w14:textId="77777777" w:rsidR="00BD3DBA" w:rsidRPr="008B792B" w:rsidRDefault="00BD3DBA" w:rsidP="00BD3DBA">
      <w:pPr>
        <w:spacing w:line="360" w:lineRule="auto"/>
        <w:ind w:right="34"/>
        <w:contextualSpacing/>
        <w:jc w:val="both"/>
        <w:rPr>
          <w:rFonts w:ascii="Palatino Linotype" w:eastAsia="MS Mincho" w:hAnsi="Palatino Linotype" w:cs="Times New Roman"/>
          <w:sz w:val="24"/>
          <w:szCs w:val="24"/>
        </w:rPr>
      </w:pPr>
    </w:p>
    <w:p w14:paraId="62A85D46" w14:textId="77777777" w:rsidR="00BD3DBA" w:rsidRPr="008B792B" w:rsidRDefault="00BD3DBA"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8B792B">
        <w:rPr>
          <w:rFonts w:ascii="Palatino Linotype" w:eastAsia="MS Mincho" w:hAnsi="Palatino Linotype" w:cs="Times New Roman"/>
          <w:sz w:val="24"/>
          <w:szCs w:val="24"/>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5C4E23FE" w14:textId="32483909" w:rsidR="003A01E3" w:rsidRPr="008B792B" w:rsidRDefault="00BD3DBA" w:rsidP="003A01E3">
      <w:pPr>
        <w:keepNext/>
        <w:keepLines/>
        <w:numPr>
          <w:ilvl w:val="0"/>
          <w:numId w:val="35"/>
        </w:numPr>
        <w:spacing w:before="240" w:after="0" w:line="360" w:lineRule="auto"/>
        <w:ind w:left="993"/>
        <w:outlineLvl w:val="0"/>
        <w:rPr>
          <w:rFonts w:ascii="Palatino Linotype" w:eastAsia="MS Mincho" w:hAnsi="Palatino Linotype" w:cs="Arial"/>
          <w:sz w:val="24"/>
          <w:szCs w:val="24"/>
        </w:rPr>
      </w:pPr>
      <w:bookmarkStart w:id="27" w:name="_Toc48206811"/>
      <w:bookmarkStart w:id="28" w:name="_Toc57234858"/>
      <w:r w:rsidRPr="008B792B">
        <w:rPr>
          <w:rFonts w:ascii="Palatino Linotype" w:eastAsia="MS Gothic" w:hAnsi="Palatino Linotype" w:cstheme="majorBidi"/>
          <w:b/>
          <w:i/>
          <w:noProof/>
          <w:sz w:val="24"/>
          <w:szCs w:val="24"/>
        </w:rPr>
        <w:t>De</w:t>
      </w:r>
      <w:bookmarkEnd w:id="27"/>
      <w:r w:rsidR="003A01E3" w:rsidRPr="008B792B">
        <w:rPr>
          <w:rFonts w:ascii="Palatino Linotype" w:eastAsia="MS Gothic" w:hAnsi="Palatino Linotype" w:cstheme="majorBidi"/>
          <w:b/>
          <w:i/>
          <w:noProof/>
          <w:sz w:val="24"/>
          <w:szCs w:val="24"/>
        </w:rPr>
        <w:t xml:space="preserve"> la información pública disponible en medios electrónicos</w:t>
      </w:r>
      <w:bookmarkEnd w:id="28"/>
    </w:p>
    <w:p w14:paraId="2DE1E32C" w14:textId="77777777" w:rsidR="003A01E3" w:rsidRPr="008B792B" w:rsidRDefault="003A01E3" w:rsidP="003A01E3">
      <w:pPr>
        <w:spacing w:after="0" w:line="360" w:lineRule="auto"/>
        <w:ind w:right="34"/>
        <w:contextualSpacing/>
        <w:jc w:val="both"/>
        <w:rPr>
          <w:rFonts w:ascii="Palatino Linotype" w:eastAsia="MS Mincho" w:hAnsi="Palatino Linotype" w:cs="Arial"/>
          <w:sz w:val="24"/>
          <w:szCs w:val="24"/>
        </w:rPr>
      </w:pPr>
    </w:p>
    <w:p w14:paraId="5967239D" w14:textId="5CB8177B" w:rsidR="003A01E3" w:rsidRPr="008B792B" w:rsidRDefault="003A01E3" w:rsidP="003A01E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8B792B">
        <w:rPr>
          <w:rFonts w:ascii="Palatino Linotype" w:eastAsia="MS Mincho" w:hAnsi="Palatino Linotype" w:cs="Times New Roman"/>
          <w:sz w:val="24"/>
          <w:szCs w:val="24"/>
        </w:rPr>
        <w:t>S</w:t>
      </w:r>
      <w:r w:rsidR="00BD3DBA" w:rsidRPr="008B792B">
        <w:rPr>
          <w:rFonts w:ascii="Palatino Linotype" w:eastAsia="MS Mincho" w:hAnsi="Palatino Linotype" w:cs="Arial"/>
          <w:sz w:val="24"/>
          <w:szCs w:val="24"/>
        </w:rPr>
        <w:t>e procede analizar, en</w:t>
      </w:r>
      <w:r w:rsidRPr="008B792B">
        <w:rPr>
          <w:rFonts w:ascii="Palatino Linotype" w:eastAsia="MS Mincho" w:hAnsi="Palatino Linotype" w:cs="Arial"/>
          <w:sz w:val="24"/>
          <w:szCs w:val="24"/>
        </w:rPr>
        <w:t xml:space="preserve"> primer lugar, si el </w:t>
      </w:r>
      <w:r w:rsidRPr="008B792B">
        <w:rPr>
          <w:rFonts w:ascii="Palatino Linotype" w:eastAsia="MS Mincho" w:hAnsi="Palatino Linotype" w:cs="Arial"/>
          <w:b/>
          <w:sz w:val="24"/>
          <w:szCs w:val="24"/>
        </w:rPr>
        <w:t xml:space="preserve">SUJETO OBLIGADO </w:t>
      </w:r>
      <w:r w:rsidRPr="008B792B">
        <w:rPr>
          <w:rFonts w:ascii="Palatino Linotype" w:eastAsia="MS Mincho" w:hAnsi="Palatino Linotype" w:cs="Arial"/>
          <w:sz w:val="24"/>
          <w:szCs w:val="24"/>
        </w:rPr>
        <w:t>al atender la solicitud</w:t>
      </w:r>
      <w:r w:rsidR="00BD3DBA" w:rsidRPr="008B792B">
        <w:rPr>
          <w:rFonts w:ascii="Palatino Linotype" w:eastAsia="MS Mincho" w:hAnsi="Palatino Linotype" w:cs="Arial"/>
          <w:sz w:val="24"/>
          <w:szCs w:val="24"/>
        </w:rPr>
        <w:t xml:space="preserve"> de acceso a la información, se satisfizo la garantía primaria del derecho según lo dispuesto por el artículo 150 de la Ley de Transparencia y Acceso a la Información Públic</w:t>
      </w:r>
      <w:r w:rsidRPr="008B792B">
        <w:rPr>
          <w:rFonts w:ascii="Palatino Linotype" w:eastAsia="MS Mincho" w:hAnsi="Palatino Linotype" w:cs="Arial"/>
          <w:sz w:val="24"/>
          <w:szCs w:val="24"/>
        </w:rPr>
        <w:t xml:space="preserve">a del Estado de México y en segundo término si </w:t>
      </w:r>
      <w:r w:rsidR="00BD3DBA" w:rsidRPr="008B792B">
        <w:rPr>
          <w:rFonts w:ascii="Palatino Linotype" w:eastAsia="MS Mincho" w:hAnsi="Palatino Linotype" w:cs="Arial"/>
          <w:sz w:val="24"/>
          <w:szCs w:val="24"/>
        </w:rPr>
        <w:t>cumplió con su deber de respetar y garantizar el derecho, entregando toda la información solicitada</w:t>
      </w:r>
      <w:r w:rsidRPr="008B792B">
        <w:rPr>
          <w:rFonts w:ascii="Palatino Linotype" w:eastAsia="MS Mincho" w:hAnsi="Palatino Linotype" w:cstheme="majorBidi"/>
          <w:sz w:val="24"/>
          <w:szCs w:val="24"/>
        </w:rPr>
        <w:t>.</w:t>
      </w:r>
    </w:p>
    <w:p w14:paraId="35C33C1A" w14:textId="77777777" w:rsidR="003A01E3" w:rsidRPr="008B792B" w:rsidRDefault="003A01E3" w:rsidP="003A01E3">
      <w:pPr>
        <w:spacing w:after="0" w:line="360" w:lineRule="auto"/>
        <w:ind w:right="34"/>
        <w:contextualSpacing/>
        <w:jc w:val="both"/>
        <w:rPr>
          <w:rFonts w:ascii="Palatino Linotype" w:eastAsia="Calibri" w:hAnsi="Palatino Linotype" w:cs="Arial"/>
          <w:sz w:val="24"/>
          <w:szCs w:val="24"/>
        </w:rPr>
      </w:pPr>
    </w:p>
    <w:p w14:paraId="44A7A150" w14:textId="3CEAF0DF" w:rsidR="00A41CA5" w:rsidRPr="008B792B" w:rsidRDefault="00A41CA5"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8B792B">
        <w:rPr>
          <w:rFonts w:ascii="Palatino Linotype" w:eastAsia="Calibri" w:hAnsi="Palatino Linotype" w:cs="Arial"/>
          <w:sz w:val="24"/>
          <w:szCs w:val="24"/>
        </w:rPr>
        <w:t>En términos generales, el entonces solicitante requirió de</w:t>
      </w:r>
      <w:r w:rsidR="003A01E3" w:rsidRPr="008B792B">
        <w:rPr>
          <w:rFonts w:ascii="Palatino Linotype" w:eastAsia="Calibri" w:hAnsi="Palatino Linotype" w:cs="Arial"/>
          <w:sz w:val="24"/>
          <w:szCs w:val="24"/>
        </w:rPr>
        <w:t xml:space="preserve"> </w:t>
      </w:r>
      <w:r w:rsidRPr="008B792B">
        <w:rPr>
          <w:rFonts w:ascii="Palatino Linotype" w:eastAsia="Calibri" w:hAnsi="Palatino Linotype" w:cs="Arial"/>
          <w:sz w:val="24"/>
          <w:szCs w:val="24"/>
        </w:rPr>
        <w:t>l</w:t>
      </w:r>
      <w:r w:rsidR="003A01E3" w:rsidRPr="008B792B">
        <w:rPr>
          <w:rFonts w:ascii="Palatino Linotype" w:eastAsia="Calibri" w:hAnsi="Palatino Linotype" w:cs="Arial"/>
          <w:sz w:val="24"/>
          <w:szCs w:val="24"/>
        </w:rPr>
        <w:t>a</w:t>
      </w:r>
      <w:r w:rsidRPr="008B792B">
        <w:rPr>
          <w:rFonts w:ascii="Palatino Linotype" w:eastAsia="Calibri" w:hAnsi="Palatino Linotype" w:cs="Arial"/>
          <w:sz w:val="24"/>
          <w:szCs w:val="24"/>
        </w:rPr>
        <w:t xml:space="preserve"> </w:t>
      </w:r>
      <w:r w:rsidR="003A01E3" w:rsidRPr="008B792B">
        <w:rPr>
          <w:rFonts w:ascii="Palatino Linotype" w:eastAsia="Calibri" w:hAnsi="Palatino Linotype" w:cs="Arial"/>
          <w:b/>
          <w:sz w:val="24"/>
          <w:szCs w:val="24"/>
        </w:rPr>
        <w:t>Fiscalía General de Justicia del Estado de México</w:t>
      </w:r>
      <w:r w:rsidRPr="008B792B">
        <w:rPr>
          <w:rFonts w:ascii="Palatino Linotype" w:eastAsia="Calibri" w:hAnsi="Palatino Linotype" w:cs="Arial"/>
          <w:b/>
          <w:sz w:val="24"/>
          <w:szCs w:val="24"/>
        </w:rPr>
        <w:t xml:space="preserve"> </w:t>
      </w:r>
      <w:r w:rsidRPr="008B792B">
        <w:rPr>
          <w:rFonts w:ascii="Palatino Linotype" w:eastAsia="Calibri" w:hAnsi="Palatino Linotype" w:cs="Arial"/>
          <w:sz w:val="24"/>
          <w:szCs w:val="24"/>
        </w:rPr>
        <w:t xml:space="preserve">la siguiente información: </w:t>
      </w:r>
    </w:p>
    <w:p w14:paraId="7A54D2D2" w14:textId="77777777" w:rsidR="00A41CA5" w:rsidRPr="008B792B" w:rsidRDefault="00A41CA5" w:rsidP="00A41CA5">
      <w:pPr>
        <w:pStyle w:val="Prrafodelista"/>
        <w:rPr>
          <w:rFonts w:ascii="Palatino Linotype" w:eastAsia="Calibri" w:hAnsi="Palatino Linotype" w:cs="Arial"/>
          <w:sz w:val="24"/>
          <w:szCs w:val="24"/>
        </w:rPr>
      </w:pPr>
    </w:p>
    <w:p w14:paraId="6F6A3D95" w14:textId="2EFEAAA9" w:rsidR="00CB08D7" w:rsidRPr="008B792B" w:rsidRDefault="003A01E3" w:rsidP="00A41CA5">
      <w:pPr>
        <w:pStyle w:val="Prrafodelista"/>
        <w:numPr>
          <w:ilvl w:val="0"/>
          <w:numId w:val="34"/>
        </w:numPr>
        <w:spacing w:after="0" w:line="360" w:lineRule="auto"/>
        <w:jc w:val="both"/>
        <w:rPr>
          <w:rFonts w:ascii="Palatino Linotype" w:eastAsia="Calibri" w:hAnsi="Palatino Linotype" w:cs="Arial"/>
          <w:sz w:val="24"/>
          <w:szCs w:val="24"/>
        </w:rPr>
      </w:pPr>
      <w:r w:rsidRPr="008B792B">
        <w:rPr>
          <w:rFonts w:ascii="Palatino Linotype" w:eastAsia="Calibri" w:hAnsi="Palatino Linotype" w:cs="Arial"/>
          <w:sz w:val="24"/>
          <w:szCs w:val="24"/>
        </w:rPr>
        <w:t xml:space="preserve">Acuerdos, circulares o cualquier otra disposición donde se aprecie el ámbito territorial de competencia de la Fiscalía General de Justicia del Estado de México, de todas las agencias, fiscalías regionales, agencias especializadas, etc. </w:t>
      </w:r>
    </w:p>
    <w:p w14:paraId="1401A69C" w14:textId="77777777" w:rsidR="00D035F0" w:rsidRPr="008B792B" w:rsidRDefault="00D035F0" w:rsidP="00D035F0">
      <w:pPr>
        <w:pStyle w:val="Prrafodelista"/>
        <w:spacing w:after="0" w:line="360" w:lineRule="auto"/>
        <w:jc w:val="both"/>
        <w:rPr>
          <w:rFonts w:ascii="Palatino Linotype" w:eastAsia="Calibri" w:hAnsi="Palatino Linotype" w:cs="Arial"/>
          <w:sz w:val="24"/>
          <w:szCs w:val="24"/>
        </w:rPr>
      </w:pPr>
    </w:p>
    <w:p w14:paraId="28E27AA0" w14:textId="60C1BBC0" w:rsidR="003A01E3" w:rsidRPr="008B792B" w:rsidRDefault="003A01E3" w:rsidP="002D025A">
      <w:pPr>
        <w:numPr>
          <w:ilvl w:val="0"/>
          <w:numId w:val="2"/>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8B792B">
        <w:rPr>
          <w:rFonts w:ascii="Palatino Linotype" w:eastAsia="Times New Roman" w:hAnsi="Palatino Linotype" w:cs="Arial"/>
          <w:sz w:val="24"/>
          <w:szCs w:val="24"/>
          <w:lang w:val="es-ES"/>
        </w:rPr>
        <w:t>En respuesta al requerimiento formulado por el particular, la Titular de la</w:t>
      </w:r>
      <w:r w:rsidR="00D54864" w:rsidRPr="008B792B">
        <w:rPr>
          <w:rFonts w:ascii="Palatino Linotype" w:eastAsia="Times New Roman" w:hAnsi="Palatino Linotype" w:cs="Arial"/>
          <w:sz w:val="24"/>
          <w:szCs w:val="24"/>
          <w:lang w:val="es-ES"/>
        </w:rPr>
        <w:t xml:space="preserve"> Unidad de Transparencia manifestó que de acuerdo a lo informado por el Director General Jurídico y Consultivo, no procesa información tal y como lo solicita, sin embargo, atendiendo al principio de máxima publicidad, remite </w:t>
      </w:r>
      <w:r w:rsidRPr="008B792B">
        <w:rPr>
          <w:rFonts w:ascii="Palatino Linotype" w:eastAsia="Times New Roman" w:hAnsi="Palatino Linotype" w:cs="Arial"/>
          <w:sz w:val="24"/>
          <w:szCs w:val="24"/>
          <w:lang w:val="es-ES"/>
        </w:rPr>
        <w:t xml:space="preserve">los sitios electrónicos en los cuales se encuentra disponible la normatividad que rige al </w:t>
      </w:r>
      <w:r w:rsidR="00D54864" w:rsidRPr="008B792B">
        <w:rPr>
          <w:rFonts w:ascii="Palatino Linotype" w:eastAsia="Times New Roman" w:hAnsi="Palatino Linotype" w:cs="Arial"/>
          <w:b/>
          <w:sz w:val="24"/>
          <w:szCs w:val="24"/>
          <w:lang w:val="es-ES"/>
        </w:rPr>
        <w:t xml:space="preserve">SUJETO OBLIGADO </w:t>
      </w:r>
      <w:r w:rsidR="00D54864" w:rsidRPr="008B792B">
        <w:rPr>
          <w:rFonts w:ascii="Palatino Linotype" w:eastAsia="Times New Roman" w:hAnsi="Palatino Linotype" w:cs="Arial"/>
          <w:sz w:val="24"/>
          <w:szCs w:val="24"/>
          <w:lang w:val="es-ES"/>
        </w:rPr>
        <w:t xml:space="preserve">y a las unidades que lo integran, así como el organigrama. </w:t>
      </w:r>
    </w:p>
    <w:p w14:paraId="034C975C" w14:textId="219739BC" w:rsidR="00554774" w:rsidRPr="008B792B" w:rsidRDefault="00554774" w:rsidP="00554774">
      <w:pPr>
        <w:tabs>
          <w:tab w:val="left" w:pos="851"/>
        </w:tabs>
        <w:spacing w:after="0" w:line="360" w:lineRule="auto"/>
        <w:ind w:right="567"/>
        <w:contextualSpacing/>
        <w:jc w:val="both"/>
        <w:rPr>
          <w:rFonts w:ascii="Palatino Linotype" w:eastAsia="Times New Roman" w:hAnsi="Palatino Linotype" w:cs="Arial"/>
          <w:sz w:val="24"/>
          <w:szCs w:val="24"/>
          <w:lang w:val="es-ES"/>
        </w:rPr>
      </w:pPr>
    </w:p>
    <w:p w14:paraId="52051821" w14:textId="3A52D529" w:rsidR="002D025A" w:rsidRPr="008B792B" w:rsidRDefault="002D025A" w:rsidP="002D025A">
      <w:pPr>
        <w:numPr>
          <w:ilvl w:val="0"/>
          <w:numId w:val="2"/>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8B792B">
        <w:rPr>
          <w:rFonts w:ascii="Palatino Linotype" w:eastAsia="Times New Roman" w:hAnsi="Palatino Linotype" w:cs="Arial"/>
          <w:sz w:val="24"/>
          <w:szCs w:val="24"/>
          <w:lang w:val="es-ES_tradnl"/>
        </w:rPr>
        <w:t xml:space="preserve">Consecuentemente, </w:t>
      </w:r>
      <w:r w:rsidRPr="008B792B">
        <w:rPr>
          <w:rFonts w:ascii="Palatino Linotype" w:eastAsia="Times New Roman" w:hAnsi="Palatino Linotype" w:cs="Arial"/>
          <w:sz w:val="24"/>
          <w:szCs w:val="24"/>
          <w:lang w:val="es-ES"/>
        </w:rPr>
        <w:t>es pertinente mencionar que</w:t>
      </w:r>
      <w:r w:rsidRPr="008B792B">
        <w:rPr>
          <w:rFonts w:ascii="Palatino Linotype" w:eastAsia="Times New Roman" w:hAnsi="Palatino Linotype" w:cs="Arial"/>
          <w:bCs/>
          <w:sz w:val="24"/>
          <w:szCs w:val="24"/>
          <w:lang w:val="es-ES"/>
        </w:rPr>
        <w:t xml:space="preserve"> el </w:t>
      </w:r>
      <w:r w:rsidRPr="008B792B">
        <w:rPr>
          <w:rFonts w:ascii="Palatino Linotype" w:eastAsia="Times New Roman" w:hAnsi="Palatino Linotype" w:cs="Arial"/>
          <w:b/>
          <w:bCs/>
          <w:sz w:val="24"/>
          <w:szCs w:val="24"/>
          <w:lang w:val="es-ES"/>
        </w:rPr>
        <w:t>SUJETO OBLIGADO</w:t>
      </w:r>
      <w:r w:rsidRPr="008B792B">
        <w:rPr>
          <w:rFonts w:ascii="Palatino Linotype" w:eastAsia="Times New Roman" w:hAnsi="Palatino Linotype" w:cs="Arial"/>
          <w:bCs/>
          <w:sz w:val="24"/>
          <w:szCs w:val="24"/>
          <w:lang w:val="es-ES"/>
        </w:rPr>
        <w:t xml:space="preserve"> no niega la existencia de la información solicitada, sino por el contrario, </w:t>
      </w:r>
      <w:r w:rsidR="00D54864" w:rsidRPr="008B792B">
        <w:rPr>
          <w:rFonts w:ascii="Palatino Linotype" w:eastAsia="Times New Roman" w:hAnsi="Palatino Linotype" w:cs="Arial"/>
          <w:bCs/>
          <w:sz w:val="24"/>
          <w:szCs w:val="24"/>
          <w:lang w:val="es-ES"/>
        </w:rPr>
        <w:t>al remitir a los sitios electrónicos en los que se encuentra publicada la información solicitada</w:t>
      </w:r>
      <w:r w:rsidRPr="008B792B">
        <w:rPr>
          <w:rFonts w:ascii="Palatino Linotype" w:eastAsia="Times New Roman" w:hAnsi="Palatino Linotype" w:cs="Arial"/>
          <w:sz w:val="24"/>
          <w:szCs w:val="24"/>
          <w:lang w:val="es-ES"/>
        </w:rPr>
        <w:t xml:space="preserve"> asevera su existencia, por lo que el estudio de la naturaleza jurídica de la información solicitada, en el caso concreto, se obvia. </w:t>
      </w:r>
    </w:p>
    <w:p w14:paraId="287B82DB" w14:textId="77777777" w:rsidR="002D025A" w:rsidRPr="008B792B" w:rsidRDefault="002D025A" w:rsidP="002D025A">
      <w:pPr>
        <w:tabs>
          <w:tab w:val="left" w:pos="851"/>
        </w:tabs>
        <w:spacing w:after="0" w:line="360" w:lineRule="auto"/>
        <w:ind w:right="567"/>
        <w:contextualSpacing/>
        <w:jc w:val="both"/>
        <w:rPr>
          <w:rFonts w:ascii="Palatino Linotype" w:eastAsia="Times New Roman" w:hAnsi="Palatino Linotype" w:cs="Arial"/>
          <w:sz w:val="24"/>
          <w:szCs w:val="24"/>
          <w:lang w:val="es-ES"/>
        </w:rPr>
      </w:pPr>
    </w:p>
    <w:p w14:paraId="2557CF5F" w14:textId="226F16E9" w:rsidR="002D025A" w:rsidRPr="008B792B" w:rsidRDefault="002D025A" w:rsidP="002D025A">
      <w:pPr>
        <w:numPr>
          <w:ilvl w:val="0"/>
          <w:numId w:val="2"/>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8B792B">
        <w:rPr>
          <w:rFonts w:ascii="Palatino Linotype" w:eastAsia="Times New Roman" w:hAnsi="Palatino Linotype" w:cs="Arial"/>
          <w:sz w:val="24"/>
          <w:szCs w:val="24"/>
          <w:lang w:val="es-ES"/>
        </w:rPr>
        <w:lastRenderedPageBreak/>
        <w:t>Lo anterior es así, ya que el estudio enunciado tiene por objeto determinar si el</w:t>
      </w:r>
      <w:r w:rsidRPr="008B792B">
        <w:rPr>
          <w:rFonts w:ascii="Palatino Linotype" w:eastAsia="Times New Roman" w:hAnsi="Palatino Linotype" w:cs="Arial"/>
          <w:b/>
          <w:sz w:val="24"/>
          <w:szCs w:val="24"/>
          <w:lang w:val="es-ES"/>
        </w:rPr>
        <w:t xml:space="preserve"> SUJETO OBLIGADO</w:t>
      </w:r>
      <w:r w:rsidRPr="008B792B">
        <w:rPr>
          <w:rFonts w:ascii="Palatino Linotype" w:eastAsia="Times New Roman" w:hAnsi="Palatino Linotype" w:cs="Arial"/>
          <w:sz w:val="24"/>
          <w:szCs w:val="24"/>
          <w:lang w:val="es-ES"/>
        </w:rPr>
        <w:t xml:space="preserve"> genera, posee o administra la información solicitada; sin embargo, en aquellos casos en que éste la asume y se logra comprobar su existencia, ello efectivamente está en su poder; por consiguiente, sería ocioso y a nada práctico nos conduciría su estudio, ya que, se insiste, la información pública solicitada fue asumida por el </w:t>
      </w:r>
      <w:r w:rsidRPr="008B792B">
        <w:rPr>
          <w:rFonts w:ascii="Palatino Linotype" w:eastAsia="Times New Roman" w:hAnsi="Palatino Linotype" w:cs="Arial"/>
          <w:b/>
          <w:sz w:val="24"/>
          <w:szCs w:val="24"/>
          <w:lang w:val="es-ES"/>
        </w:rPr>
        <w:t>SUJETO OBLIGADO</w:t>
      </w:r>
      <w:r w:rsidRPr="008B792B">
        <w:rPr>
          <w:rFonts w:ascii="Palatino Linotype" w:eastAsia="Times New Roman" w:hAnsi="Palatino Linotype" w:cs="Arial"/>
          <w:sz w:val="24"/>
          <w:szCs w:val="24"/>
          <w:lang w:val="es-ES"/>
        </w:rPr>
        <w:t xml:space="preserve">. </w:t>
      </w:r>
    </w:p>
    <w:p w14:paraId="4FA380C8" w14:textId="77777777" w:rsidR="00554774" w:rsidRPr="008B792B" w:rsidRDefault="00554774" w:rsidP="00554774">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rPr>
      </w:pPr>
    </w:p>
    <w:p w14:paraId="73D6D834" w14:textId="12FCE8F4" w:rsidR="00554774" w:rsidRPr="008B792B" w:rsidRDefault="00554774" w:rsidP="00554774">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color w:val="000000"/>
          <w:sz w:val="24"/>
          <w:szCs w:val="24"/>
        </w:rPr>
        <w:t>Resulta imperativo señalar que las</w:t>
      </w:r>
      <w:r w:rsidRPr="008B792B">
        <w:rPr>
          <w:rFonts w:ascii="Palatino Linotype" w:eastAsia="MS Mincho" w:hAnsi="Palatino Linotype" w:cs="Times New Roman"/>
          <w:sz w:val="24"/>
          <w:szCs w:val="24"/>
        </w:rPr>
        <w:t xml:space="preserve"> </w:t>
      </w:r>
      <w:r w:rsidRPr="008B792B">
        <w:rPr>
          <w:rFonts w:ascii="Palatino Linotype" w:eastAsia="MS Mincho" w:hAnsi="Palatino Linotype" w:cs="Times New Roman"/>
          <w:b/>
          <w:sz w:val="24"/>
          <w:szCs w:val="24"/>
        </w:rPr>
        <w:t>Ley de Transparencia y Acceso a la Información Pública del Estado de México y Municipios</w:t>
      </w:r>
      <w:r w:rsidRPr="008B792B">
        <w:rPr>
          <w:rFonts w:ascii="Palatino Linotype" w:eastAsia="MS Mincho" w:hAnsi="Palatino Linotype" w:cs="Times New Roman"/>
          <w:sz w:val="24"/>
          <w:szCs w:val="24"/>
        </w:rPr>
        <w:t xml:space="preserve">, en el artículo 161, establece que los </w:t>
      </w:r>
      <w:r w:rsidRPr="008B792B">
        <w:rPr>
          <w:rFonts w:ascii="Palatino Linotype" w:eastAsia="MS Mincho" w:hAnsi="Palatino Linotype" w:cs="Times New Roman"/>
          <w:b/>
          <w:bCs/>
          <w:sz w:val="24"/>
          <w:szCs w:val="24"/>
        </w:rPr>
        <w:t>SUJETOS OBLIGADOS</w:t>
      </w:r>
      <w:r w:rsidRPr="008B792B">
        <w:rPr>
          <w:rFonts w:ascii="Palatino Linotype" w:eastAsia="MS Mincho" w:hAnsi="Palatino Linotype" w:cs="Times New Roman"/>
          <w:sz w:val="24"/>
          <w:szCs w:val="24"/>
        </w:rPr>
        <w:t xml:space="preserve"> podrán proporcionar fuentes de consulta de información cuando ésta ya se encuentre publicada, por ejemplo, en sitios electrónicos. Se comparte a continuación el texto normativo en cuestión:</w:t>
      </w:r>
    </w:p>
    <w:p w14:paraId="14312E1E" w14:textId="77777777" w:rsidR="00554774" w:rsidRPr="008B792B" w:rsidRDefault="00554774" w:rsidP="00554774">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rPr>
      </w:pPr>
    </w:p>
    <w:p w14:paraId="3DC2E5AD" w14:textId="77777777" w:rsidR="00554774" w:rsidRPr="008B792B" w:rsidRDefault="00554774" w:rsidP="00554774">
      <w:pPr>
        <w:spacing w:line="360" w:lineRule="auto"/>
        <w:ind w:left="567" w:right="567"/>
        <w:contextualSpacing/>
        <w:jc w:val="both"/>
        <w:rPr>
          <w:rFonts w:ascii="Palatino Linotype" w:eastAsia="MS Mincho" w:hAnsi="Palatino Linotype" w:cs="Times New Roman"/>
          <w:i/>
          <w:iCs/>
        </w:rPr>
      </w:pPr>
      <w:r w:rsidRPr="008B792B">
        <w:rPr>
          <w:rFonts w:ascii="Palatino Linotype" w:eastAsia="MS Mincho" w:hAnsi="Palatino Linotype" w:cs="Times New Roman"/>
          <w:i/>
          <w:iCs/>
        </w:rPr>
        <w:t>“</w:t>
      </w:r>
      <w:r w:rsidRPr="008B792B">
        <w:rPr>
          <w:rFonts w:ascii="Palatino Linotype" w:eastAsia="MS Mincho" w:hAnsi="Palatino Linotype" w:cs="Times New Roman"/>
          <w:b/>
          <w:bCs/>
          <w:i/>
          <w:iCs/>
        </w:rPr>
        <w:t>Artículo 161.</w:t>
      </w:r>
      <w:r w:rsidRPr="008B792B">
        <w:rPr>
          <w:rFonts w:ascii="Palatino Linotype" w:eastAsia="MS Mincho" w:hAnsi="Palatino Linotype" w:cs="Times New Roman"/>
          <w:i/>
          <w:iCs/>
        </w:rPr>
        <w:t xml:space="preserve"> </w:t>
      </w:r>
      <w:r w:rsidRPr="008B792B">
        <w:rPr>
          <w:rFonts w:ascii="Palatino Linotype" w:eastAsia="MS Mincho" w:hAnsi="Palatino Linotype" w:cs="Times New Roman"/>
          <w:b/>
          <w:bCs/>
          <w:i/>
          <w:iCs/>
        </w:rPr>
        <w:t>Cuando la información requerida</w:t>
      </w:r>
      <w:r w:rsidRPr="008B792B">
        <w:rPr>
          <w:rFonts w:ascii="Palatino Linotype" w:eastAsia="MS Mincho" w:hAnsi="Palatino Linotype" w:cs="Times New Roman"/>
          <w:i/>
          <w:iCs/>
        </w:rPr>
        <w:t xml:space="preserve"> </w:t>
      </w:r>
      <w:r w:rsidRPr="008B792B">
        <w:rPr>
          <w:rFonts w:ascii="Palatino Linotype" w:eastAsia="MS Mincho" w:hAnsi="Palatino Linotype" w:cs="Times New Roman"/>
          <w:b/>
          <w:bCs/>
          <w:i/>
          <w:iCs/>
        </w:rPr>
        <w:t>por el solicitante</w:t>
      </w:r>
      <w:r w:rsidRPr="008B792B">
        <w:rPr>
          <w:rFonts w:ascii="Palatino Linotype" w:eastAsia="MS Mincho" w:hAnsi="Palatino Linotype" w:cs="Times New Roman"/>
          <w:i/>
          <w:iCs/>
        </w:rPr>
        <w:t xml:space="preserve"> ya </w:t>
      </w:r>
      <w:r w:rsidRPr="008B792B">
        <w:rPr>
          <w:rFonts w:ascii="Palatino Linotype" w:eastAsia="MS Mincho" w:hAnsi="Palatino Linotype" w:cs="Times New Roman"/>
          <w:b/>
          <w:bCs/>
          <w:i/>
          <w:iCs/>
        </w:rPr>
        <w:t>esté disponible</w:t>
      </w:r>
      <w:r w:rsidRPr="008B792B">
        <w:rPr>
          <w:rFonts w:ascii="Palatino Linotype" w:eastAsia="MS Mincho" w:hAnsi="Palatino Linotype" w:cs="Times New Roman"/>
          <w:i/>
          <w:iCs/>
        </w:rPr>
        <w:t xml:space="preserve"> al público en medios impresos, tales como libros, compendios, trípticos, registros públicos, en formatos electrónicos disponibles </w:t>
      </w:r>
      <w:r w:rsidRPr="008B792B">
        <w:rPr>
          <w:rFonts w:ascii="Palatino Linotype" w:eastAsia="MS Mincho" w:hAnsi="Palatino Linotype" w:cs="Times New Roman"/>
          <w:b/>
          <w:bCs/>
          <w:i/>
          <w:iCs/>
        </w:rPr>
        <w:t>en Internet</w:t>
      </w:r>
      <w:r w:rsidRPr="008B792B">
        <w:rPr>
          <w:rFonts w:ascii="Palatino Linotype" w:eastAsia="MS Mincho" w:hAnsi="Palatino Linotype" w:cs="Times New Roman"/>
          <w:i/>
          <w:iCs/>
        </w:rPr>
        <w:t xml:space="preserve"> o en cualquier otro medio, </w:t>
      </w:r>
      <w:r w:rsidRPr="008B792B">
        <w:rPr>
          <w:rFonts w:ascii="Palatino Linotype" w:eastAsia="MS Mincho" w:hAnsi="Palatino Linotype" w:cs="Times New Roman"/>
          <w:b/>
          <w:bCs/>
          <w:i/>
          <w:iCs/>
        </w:rPr>
        <w:t>se le hará saber</w:t>
      </w:r>
      <w:r w:rsidRPr="008B792B">
        <w:rPr>
          <w:rFonts w:ascii="Palatino Linotype" w:eastAsia="MS Mincho" w:hAnsi="Palatino Linotype" w:cs="Times New Roman"/>
          <w:i/>
          <w:iCs/>
        </w:rPr>
        <w:t xml:space="preserve"> por el medio requerido por el solicitante </w:t>
      </w:r>
      <w:r w:rsidRPr="008B792B">
        <w:rPr>
          <w:rFonts w:ascii="Palatino Linotype" w:eastAsia="MS Mincho" w:hAnsi="Palatino Linotype" w:cs="Times New Roman"/>
          <w:b/>
          <w:bCs/>
          <w:i/>
          <w:iCs/>
        </w:rPr>
        <w:t>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8B792B">
        <w:rPr>
          <w:rFonts w:ascii="Palatino Linotype" w:eastAsia="MS Mincho" w:hAnsi="Palatino Linotype" w:cs="Times New Roman"/>
          <w:i/>
          <w:iCs/>
        </w:rPr>
        <w:t>”</w:t>
      </w:r>
    </w:p>
    <w:p w14:paraId="78F20133" w14:textId="77777777" w:rsidR="00554774" w:rsidRPr="008B792B" w:rsidRDefault="00554774" w:rsidP="00554774">
      <w:pPr>
        <w:spacing w:line="360" w:lineRule="auto"/>
        <w:ind w:left="567" w:right="567"/>
        <w:contextualSpacing/>
        <w:jc w:val="both"/>
        <w:rPr>
          <w:rFonts w:ascii="Palatino Linotype" w:eastAsia="MS Mincho" w:hAnsi="Palatino Linotype" w:cs="Times New Roman"/>
        </w:rPr>
      </w:pPr>
    </w:p>
    <w:p w14:paraId="7724FC2F" w14:textId="77777777" w:rsidR="00554774" w:rsidRPr="008B792B" w:rsidRDefault="00554774" w:rsidP="00554774">
      <w:pPr>
        <w:spacing w:line="360" w:lineRule="auto"/>
        <w:ind w:left="567" w:right="567"/>
        <w:contextualSpacing/>
        <w:jc w:val="both"/>
        <w:rPr>
          <w:rFonts w:ascii="Palatino Linotype" w:eastAsia="MS Mincho" w:hAnsi="Palatino Linotype" w:cs="Arial"/>
          <w:color w:val="000000"/>
        </w:rPr>
      </w:pPr>
      <w:r w:rsidRPr="008B792B">
        <w:rPr>
          <w:rFonts w:ascii="Palatino Linotype" w:eastAsia="MS Mincho" w:hAnsi="Palatino Linotype" w:cs="Times New Roman"/>
        </w:rPr>
        <w:t>(Énfasis añadido)</w:t>
      </w:r>
    </w:p>
    <w:p w14:paraId="60EB7E40" w14:textId="77777777" w:rsidR="00554774" w:rsidRPr="008B792B" w:rsidRDefault="00554774" w:rsidP="00554774">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5573BBC" w14:textId="77777777" w:rsidR="00554774" w:rsidRPr="008B792B" w:rsidRDefault="00554774" w:rsidP="00554774">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color w:val="000000"/>
          <w:sz w:val="24"/>
          <w:szCs w:val="24"/>
        </w:rPr>
        <w:t xml:space="preserve">De lo anterior se colige que </w:t>
      </w:r>
      <w:r w:rsidRPr="008B792B">
        <w:rPr>
          <w:rFonts w:ascii="Palatino Linotype" w:eastAsia="MS Mincho" w:hAnsi="Palatino Linotype" w:cs="Times New Roman"/>
          <w:sz w:val="24"/>
          <w:szCs w:val="24"/>
        </w:rPr>
        <w:t xml:space="preserve">la Ley de la materia establece que, para el caso de que la información que requieran los particulares ya se encuentre disponible en medios electrónicos, el </w:t>
      </w:r>
      <w:r w:rsidRPr="008B792B">
        <w:rPr>
          <w:rFonts w:ascii="Palatino Linotype" w:eastAsia="MS Mincho" w:hAnsi="Palatino Linotype" w:cs="Times New Roman"/>
          <w:b/>
          <w:bCs/>
          <w:sz w:val="24"/>
          <w:szCs w:val="24"/>
        </w:rPr>
        <w:t>SUJETO OBLIGADO</w:t>
      </w:r>
      <w:r w:rsidRPr="008B792B">
        <w:rPr>
          <w:rFonts w:ascii="Palatino Linotype" w:eastAsia="MS Mincho" w:hAnsi="Palatino Linotype" w:cs="Times New Roman"/>
          <w:sz w:val="24"/>
          <w:szCs w:val="24"/>
        </w:rPr>
        <w:t xml:space="preserve"> podrá hacerle saber al particular la fuente de consulta atendiendo dos consideraciones: a) la fuente se deberá hacer de su conocimiento dentro de los primeros cinco días hábiles posteriores a la recepción de la solicitud de información; y, b) la fuente deberá ser precisa, esto es, que evite que el particular tenga que realizar una búsqueda en toda la información disponible en el portal que se señale.</w:t>
      </w:r>
    </w:p>
    <w:p w14:paraId="3E9B7702" w14:textId="77777777" w:rsidR="00554774" w:rsidRPr="008B792B" w:rsidRDefault="00554774" w:rsidP="00554774">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rPr>
      </w:pPr>
    </w:p>
    <w:p w14:paraId="6D316E27" w14:textId="675477FC" w:rsidR="00554774" w:rsidRPr="008B792B" w:rsidRDefault="00554774" w:rsidP="00554774">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color w:val="000000"/>
          <w:sz w:val="24"/>
          <w:szCs w:val="24"/>
        </w:rPr>
        <w:t xml:space="preserve">En </w:t>
      </w:r>
      <w:r w:rsidRPr="008B792B">
        <w:rPr>
          <w:rFonts w:ascii="Palatino Linotype" w:eastAsia="MS Mincho" w:hAnsi="Palatino Linotype" w:cs="Times New Roman"/>
          <w:sz w:val="24"/>
          <w:szCs w:val="24"/>
        </w:rPr>
        <w:t xml:space="preserve">el presente asunto, por cuanto hace al primer elemento para acreditar la entrega de información señalando una fuente de consulta, el </w:t>
      </w:r>
      <w:r w:rsidRPr="008B792B">
        <w:rPr>
          <w:rFonts w:ascii="Palatino Linotype" w:eastAsia="MS Mincho" w:hAnsi="Palatino Linotype" w:cs="Times New Roman"/>
          <w:b/>
          <w:bCs/>
          <w:sz w:val="24"/>
          <w:szCs w:val="24"/>
        </w:rPr>
        <w:t>SUJETO OBLIGADO</w:t>
      </w:r>
      <w:r w:rsidRPr="008B792B">
        <w:rPr>
          <w:rFonts w:ascii="Palatino Linotype" w:eastAsia="MS Mincho" w:hAnsi="Palatino Linotype" w:cs="Times New Roman"/>
          <w:sz w:val="24"/>
          <w:szCs w:val="24"/>
        </w:rPr>
        <w:t xml:space="preserve"> entregó respuesta a la solicitud de información el seis (06) de octubre de</w:t>
      </w:r>
      <w:r w:rsidR="00CF214C" w:rsidRPr="008B792B">
        <w:rPr>
          <w:rFonts w:ascii="Palatino Linotype" w:eastAsia="MS Mincho" w:hAnsi="Palatino Linotype" w:cs="Times New Roman"/>
          <w:sz w:val="24"/>
          <w:szCs w:val="24"/>
        </w:rPr>
        <w:t xml:space="preserve"> dos mil veinte, esto es quince</w:t>
      </w:r>
      <w:r w:rsidRPr="008B792B">
        <w:rPr>
          <w:rFonts w:ascii="Palatino Linotype" w:eastAsia="MS Mincho" w:hAnsi="Palatino Linotype" w:cs="Times New Roman"/>
          <w:sz w:val="24"/>
          <w:szCs w:val="24"/>
        </w:rPr>
        <w:t xml:space="preserve"> días hábiles después de la presentación formal del requerimiento, </w:t>
      </w:r>
      <w:r w:rsidRPr="008B792B">
        <w:rPr>
          <w:rFonts w:ascii="Palatino Linotype" w:eastAsia="MS Mincho" w:hAnsi="Palatino Linotype" w:cs="Times New Roman"/>
          <w:b/>
          <w:bCs/>
          <w:sz w:val="24"/>
          <w:szCs w:val="24"/>
        </w:rPr>
        <w:t>encontrándose superados, por más del doble, los cinco días hábiles que determina la Ley de Transparencia Estatal</w:t>
      </w:r>
      <w:r w:rsidRPr="008B792B">
        <w:rPr>
          <w:rFonts w:ascii="Palatino Linotype" w:eastAsia="MS Mincho" w:hAnsi="Palatino Linotype" w:cs="Times New Roman"/>
          <w:sz w:val="24"/>
          <w:szCs w:val="24"/>
        </w:rPr>
        <w:t xml:space="preserve"> para atender solicitudes de información a través de fuentes de consulta electrónica.</w:t>
      </w:r>
    </w:p>
    <w:p w14:paraId="1C5BB3A0" w14:textId="77777777" w:rsidR="00554774" w:rsidRPr="008B792B" w:rsidRDefault="00554774" w:rsidP="00554774">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rPr>
      </w:pPr>
    </w:p>
    <w:p w14:paraId="0506B282" w14:textId="412A8C0A" w:rsidR="00554774" w:rsidRPr="008B792B" w:rsidRDefault="00554774" w:rsidP="00554774">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color w:val="000000"/>
          <w:sz w:val="24"/>
          <w:szCs w:val="24"/>
        </w:rPr>
        <w:t xml:space="preserve">Por </w:t>
      </w:r>
      <w:r w:rsidRPr="008B792B">
        <w:rPr>
          <w:rFonts w:ascii="Palatino Linotype" w:eastAsia="MS Mincho" w:hAnsi="Palatino Linotype" w:cs="Times New Roman"/>
          <w:sz w:val="24"/>
          <w:szCs w:val="24"/>
        </w:rPr>
        <w:t xml:space="preserve">otro lado, por cuanto hace a la fuente de consulta de la información, al momento de inscribir las direcciones electrónicas dentro de un navegador </w:t>
      </w:r>
      <w:r w:rsidRPr="008B792B">
        <w:rPr>
          <w:rFonts w:ascii="Palatino Linotype" w:eastAsia="MS Mincho" w:hAnsi="Palatino Linotype" w:cs="Times New Roman"/>
          <w:i/>
          <w:iCs/>
          <w:sz w:val="24"/>
          <w:szCs w:val="24"/>
        </w:rPr>
        <w:t>web</w:t>
      </w:r>
      <w:r w:rsidRPr="008B792B">
        <w:rPr>
          <w:rFonts w:ascii="Palatino Linotype" w:eastAsia="MS Mincho" w:hAnsi="Palatino Linotype" w:cs="Times New Roman"/>
          <w:sz w:val="24"/>
          <w:szCs w:val="24"/>
        </w:rPr>
        <w:t>, nos remite</w:t>
      </w:r>
      <w:r w:rsidR="00CF214C" w:rsidRPr="008B792B">
        <w:rPr>
          <w:rFonts w:ascii="Palatino Linotype" w:eastAsia="MS Mincho" w:hAnsi="Palatino Linotype" w:cs="Times New Roman"/>
          <w:sz w:val="24"/>
          <w:szCs w:val="24"/>
        </w:rPr>
        <w:t>n</w:t>
      </w:r>
      <w:r w:rsidRPr="008B792B">
        <w:rPr>
          <w:rFonts w:ascii="Palatino Linotype" w:eastAsia="MS Mincho" w:hAnsi="Palatino Linotype" w:cs="Times New Roman"/>
          <w:sz w:val="24"/>
          <w:szCs w:val="24"/>
        </w:rPr>
        <w:t xml:space="preserve"> </w:t>
      </w:r>
      <w:r w:rsidR="00CF214C" w:rsidRPr="008B792B">
        <w:rPr>
          <w:rFonts w:ascii="Palatino Linotype" w:eastAsia="MS Mincho" w:hAnsi="Palatino Linotype" w:cs="Times New Roman"/>
          <w:sz w:val="24"/>
          <w:szCs w:val="24"/>
        </w:rPr>
        <w:t xml:space="preserve">a los sitios que a continuación se muestran. </w:t>
      </w:r>
    </w:p>
    <w:p w14:paraId="15E053A1" w14:textId="388D6AC3" w:rsidR="00CF214C" w:rsidRPr="008B792B" w:rsidRDefault="00CF214C" w:rsidP="00CF214C">
      <w:pPr>
        <w:pStyle w:val="Prrafodelista"/>
        <w:ind w:left="0"/>
        <w:rPr>
          <w:rFonts w:ascii="Palatino Linotype" w:eastAsia="MS Mincho" w:hAnsi="Palatino Linotype" w:cs="Times New Roman"/>
          <w:color w:val="000000"/>
          <w:sz w:val="24"/>
          <w:szCs w:val="24"/>
        </w:rPr>
      </w:pPr>
      <w:r w:rsidRPr="008B792B">
        <w:rPr>
          <w:rFonts w:ascii="Palatino Linotype" w:eastAsia="MS Mincho" w:hAnsi="Palatino Linotype" w:cs="Times New Roman"/>
          <w:noProof/>
          <w:color w:val="000000"/>
          <w:sz w:val="24"/>
          <w:szCs w:val="24"/>
          <w:lang w:eastAsia="es-MX"/>
        </w:rPr>
        <w:lastRenderedPageBreak/>
        <w:drawing>
          <wp:inline distT="0" distB="0" distL="0" distR="0" wp14:anchorId="244594FB" wp14:editId="0CD0FA59">
            <wp:extent cx="5534025" cy="3190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34025" cy="3190875"/>
                    </a:xfrm>
                    <a:prstGeom prst="rect">
                      <a:avLst/>
                    </a:prstGeom>
                  </pic:spPr>
                </pic:pic>
              </a:graphicData>
            </a:graphic>
          </wp:inline>
        </w:drawing>
      </w:r>
    </w:p>
    <w:p w14:paraId="6FC51DF7" w14:textId="781BC53D" w:rsidR="00CF214C" w:rsidRPr="008B792B" w:rsidRDefault="00CF214C" w:rsidP="00CF214C">
      <w:pPr>
        <w:tabs>
          <w:tab w:val="left" w:pos="426"/>
        </w:tabs>
        <w:spacing w:before="240" w:after="240" w:line="360" w:lineRule="auto"/>
        <w:ind w:right="51"/>
        <w:contextualSpacing/>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noProof/>
          <w:color w:val="000000"/>
          <w:sz w:val="24"/>
          <w:szCs w:val="24"/>
          <w:lang w:eastAsia="es-MX"/>
        </w:rPr>
        <w:drawing>
          <wp:inline distT="0" distB="0" distL="0" distR="0" wp14:anchorId="5C6A9D4F" wp14:editId="15A0F95D">
            <wp:extent cx="5581015" cy="32385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3238500"/>
                    </a:xfrm>
                    <a:prstGeom prst="rect">
                      <a:avLst/>
                    </a:prstGeom>
                  </pic:spPr>
                </pic:pic>
              </a:graphicData>
            </a:graphic>
          </wp:inline>
        </w:drawing>
      </w:r>
    </w:p>
    <w:p w14:paraId="6CFACD3C" w14:textId="77777777" w:rsidR="00554774" w:rsidRPr="008B792B" w:rsidRDefault="00554774" w:rsidP="00554774">
      <w:pPr>
        <w:pStyle w:val="Prrafodelista"/>
        <w:rPr>
          <w:rFonts w:ascii="Palatino Linotype" w:eastAsia="MS Mincho" w:hAnsi="Palatino Linotype" w:cs="Times New Roman"/>
          <w:sz w:val="24"/>
          <w:szCs w:val="24"/>
        </w:rPr>
      </w:pPr>
    </w:p>
    <w:p w14:paraId="5F3EEFFD" w14:textId="5E7D40D2" w:rsidR="00554774" w:rsidRPr="008B792B" w:rsidRDefault="00554774" w:rsidP="00BF142D">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b/>
          <w:sz w:val="24"/>
          <w:szCs w:val="24"/>
        </w:rPr>
      </w:pPr>
      <w:r w:rsidRPr="008B792B">
        <w:rPr>
          <w:rFonts w:ascii="Palatino Linotype" w:eastAsia="MS Mincho" w:hAnsi="Palatino Linotype" w:cs="Times New Roman"/>
          <w:color w:val="000000"/>
          <w:sz w:val="24"/>
          <w:szCs w:val="24"/>
        </w:rPr>
        <w:lastRenderedPageBreak/>
        <w:t xml:space="preserve">De las imágenes insertas </w:t>
      </w:r>
      <w:r w:rsidRPr="008B792B">
        <w:rPr>
          <w:rFonts w:ascii="Palatino Linotype" w:eastAsia="MS Mincho" w:hAnsi="Palatino Linotype" w:cs="Times New Roman"/>
          <w:i/>
          <w:iCs/>
          <w:color w:val="000000"/>
          <w:sz w:val="24"/>
          <w:szCs w:val="24"/>
        </w:rPr>
        <w:t>supra</w:t>
      </w:r>
      <w:r w:rsidRPr="008B792B">
        <w:rPr>
          <w:rFonts w:ascii="Palatino Linotype" w:eastAsia="MS Mincho" w:hAnsi="Palatino Linotype" w:cs="Times New Roman"/>
          <w:color w:val="000000"/>
          <w:sz w:val="24"/>
          <w:szCs w:val="24"/>
        </w:rPr>
        <w:t xml:space="preserve">, es concluyente que si bien las direcciones electrónicas conducen a los portales antes señalados, no obstante no es posible encontrar la información en términos del artículo 161 de la Ley Estatal de Trasparencia antes señalado, en </w:t>
      </w:r>
      <w:r w:rsidRPr="008B792B">
        <w:rPr>
          <w:rFonts w:ascii="Palatino Linotype" w:eastAsia="MS Mincho" w:hAnsi="Palatino Linotype" w:cs="Times New Roman"/>
          <w:sz w:val="24"/>
          <w:szCs w:val="24"/>
        </w:rPr>
        <w:t xml:space="preserve">consecuencia, esta Ponencia </w:t>
      </w:r>
      <w:proofErr w:type="spellStart"/>
      <w:r w:rsidRPr="008B792B">
        <w:rPr>
          <w:rFonts w:ascii="Palatino Linotype" w:eastAsia="MS Mincho" w:hAnsi="Palatino Linotype" w:cs="Times New Roman"/>
          <w:sz w:val="24"/>
          <w:szCs w:val="24"/>
        </w:rPr>
        <w:t>Resolutora</w:t>
      </w:r>
      <w:proofErr w:type="spellEnd"/>
      <w:r w:rsidRPr="008B792B">
        <w:rPr>
          <w:rFonts w:ascii="Palatino Linotype" w:eastAsia="MS Mincho" w:hAnsi="Palatino Linotype" w:cs="Times New Roman"/>
          <w:sz w:val="24"/>
          <w:szCs w:val="24"/>
        </w:rPr>
        <w:t xml:space="preserve"> advierte que la respuesta otorgada por el </w:t>
      </w:r>
      <w:r w:rsidRPr="008B792B">
        <w:rPr>
          <w:rFonts w:ascii="Palatino Linotype" w:eastAsia="MS Mincho" w:hAnsi="Palatino Linotype" w:cs="Times New Roman"/>
          <w:b/>
          <w:bCs/>
          <w:sz w:val="24"/>
          <w:szCs w:val="24"/>
        </w:rPr>
        <w:t>SUJETO OBLIGADO</w:t>
      </w:r>
      <w:r w:rsidRPr="008B792B">
        <w:rPr>
          <w:rFonts w:ascii="Palatino Linotype" w:eastAsia="MS Mincho" w:hAnsi="Palatino Linotype" w:cs="Times New Roman"/>
          <w:sz w:val="24"/>
          <w:szCs w:val="24"/>
        </w:rPr>
        <w:t xml:space="preserve"> no atendió adecuadamente el derecho de acceso a la informac</w:t>
      </w:r>
      <w:r w:rsidR="00CF214C" w:rsidRPr="008B792B">
        <w:rPr>
          <w:rFonts w:ascii="Palatino Linotype" w:eastAsia="MS Mincho" w:hAnsi="Palatino Linotype" w:cs="Times New Roman"/>
          <w:sz w:val="24"/>
          <w:szCs w:val="24"/>
        </w:rPr>
        <w:t>ión ejercido por la particular.</w:t>
      </w:r>
    </w:p>
    <w:p w14:paraId="0C899DCC" w14:textId="68448589" w:rsidR="00554774" w:rsidRPr="008B792B" w:rsidRDefault="00554774" w:rsidP="00554774">
      <w:pPr>
        <w:pStyle w:val="Prrafodelista"/>
        <w:numPr>
          <w:ilvl w:val="0"/>
          <w:numId w:val="2"/>
        </w:numPr>
        <w:spacing w:line="360" w:lineRule="auto"/>
        <w:ind w:left="0" w:firstLine="0"/>
        <w:jc w:val="both"/>
        <w:rPr>
          <w:rFonts w:ascii="Palatino Linotype" w:eastAsia="Times New Roman" w:hAnsi="Palatino Linotype" w:cs="Arial"/>
          <w:sz w:val="24"/>
          <w:szCs w:val="24"/>
          <w:lang w:val="es-ES"/>
        </w:rPr>
      </w:pPr>
      <w:r w:rsidRPr="008B792B">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fundadas, debido a que el </w:t>
      </w:r>
      <w:r w:rsidRPr="008B792B">
        <w:rPr>
          <w:rFonts w:ascii="Palatino Linotype" w:eastAsia="Times New Roman" w:hAnsi="Palatino Linotype" w:cs="Arial"/>
          <w:b/>
          <w:sz w:val="24"/>
          <w:szCs w:val="24"/>
          <w:lang w:val="es-ES"/>
        </w:rPr>
        <w:t>SUJETO OBLIGADO</w:t>
      </w:r>
      <w:r w:rsidRPr="008B792B">
        <w:rPr>
          <w:rFonts w:ascii="Palatino Linotype" w:eastAsia="Times New Roman" w:hAnsi="Palatino Linotype" w:cs="Arial"/>
          <w:sz w:val="24"/>
          <w:szCs w:val="24"/>
          <w:lang w:val="es-ES"/>
        </w:rPr>
        <w:t xml:space="preserve"> no atendió cabalmente el derecho accionado por el particular. </w:t>
      </w:r>
    </w:p>
    <w:p w14:paraId="16774945" w14:textId="77777777" w:rsidR="00554774" w:rsidRPr="008B792B" w:rsidRDefault="00554774" w:rsidP="00554774">
      <w:pPr>
        <w:pStyle w:val="Prrafodelista"/>
        <w:rPr>
          <w:rFonts w:ascii="Palatino Linotype" w:eastAsia="Times New Roman" w:hAnsi="Palatino Linotype" w:cs="Arial"/>
          <w:sz w:val="24"/>
          <w:szCs w:val="24"/>
          <w:lang w:val="es-ES"/>
        </w:rPr>
      </w:pPr>
    </w:p>
    <w:p w14:paraId="2C9D604A" w14:textId="65757890" w:rsidR="00A24682" w:rsidRPr="008B792B" w:rsidRDefault="00A24682" w:rsidP="00A24682">
      <w:pPr>
        <w:pStyle w:val="Prrafodelista"/>
        <w:numPr>
          <w:ilvl w:val="0"/>
          <w:numId w:val="2"/>
        </w:numPr>
        <w:spacing w:after="0" w:line="360" w:lineRule="auto"/>
        <w:ind w:left="0" w:firstLine="0"/>
        <w:jc w:val="both"/>
        <w:rPr>
          <w:rFonts w:ascii="Palatino Linotype" w:hAnsi="Palatino Linotype"/>
          <w:color w:val="000000"/>
          <w:sz w:val="24"/>
          <w:szCs w:val="24"/>
        </w:rPr>
      </w:pPr>
      <w:r w:rsidRPr="008B792B">
        <w:rPr>
          <w:rFonts w:ascii="Palatino Linotype" w:eastAsia="Calibri" w:hAnsi="Palatino Linotype" w:cs="Arial"/>
          <w:sz w:val="24"/>
          <w:szCs w:val="24"/>
        </w:rPr>
        <w:t xml:space="preserve"> En este sentido es importante referir que e</w:t>
      </w:r>
      <w:r w:rsidRPr="008B792B">
        <w:rPr>
          <w:rFonts w:ascii="Palatino Linotype" w:hAnsi="Palatino Linotype"/>
          <w:color w:val="000000"/>
          <w:sz w:val="24"/>
          <w:szCs w:val="24"/>
        </w:rPr>
        <w:t xml:space="preserve">l Derecho que tutela este Órgano Garante es la </w:t>
      </w:r>
      <w:r w:rsidRPr="008B792B">
        <w:rPr>
          <w:rFonts w:ascii="Palatino Linotype" w:eastAsia="Times New Roman" w:hAnsi="Palatino Linotype" w:cs="Arial"/>
          <w:color w:val="000000" w:themeColor="text1"/>
          <w:sz w:val="24"/>
          <w:szCs w:val="24"/>
          <w:lang w:eastAsia="es-MX"/>
        </w:rPr>
        <w:t xml:space="preserve"> </w:t>
      </w:r>
      <w:r w:rsidRPr="008B792B">
        <w:rPr>
          <w:rFonts w:ascii="Palatino Linotype" w:eastAsia="MS Mincho" w:hAnsi="Palatino Linotype" w:cs="Times New Roman"/>
          <w:i/>
          <w:sz w:val="24"/>
          <w:szCs w:val="24"/>
        </w:rPr>
        <w:t>igualdad de oportunidades para recibir, buscar e impartir información</w:t>
      </w:r>
      <w:r w:rsidRPr="008B792B">
        <w:rPr>
          <w:rStyle w:val="Refdenotaalpie"/>
          <w:rFonts w:ascii="Palatino Linotype" w:eastAsia="MS Mincho" w:hAnsi="Palatino Linotype" w:cs="Times New Roman"/>
          <w:i/>
          <w:sz w:val="24"/>
          <w:szCs w:val="24"/>
        </w:rPr>
        <w:footnoteReference w:id="1"/>
      </w:r>
      <w:r w:rsidRPr="008B792B">
        <w:rPr>
          <w:rFonts w:ascii="Palatino Linotype" w:eastAsia="MS Mincho" w:hAnsi="Palatino Linotype" w:cs="Times New Roman"/>
          <w:i/>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792B">
        <w:rPr>
          <w:rStyle w:val="Refdenotaalpie"/>
          <w:rFonts w:ascii="Palatino Linotype" w:eastAsia="MS Mincho" w:hAnsi="Palatino Linotype" w:cs="Times New Roman"/>
          <w:sz w:val="24"/>
          <w:szCs w:val="24"/>
        </w:rPr>
        <w:footnoteReference w:id="2"/>
      </w:r>
      <w:r w:rsidRPr="008B792B">
        <w:rPr>
          <w:rFonts w:ascii="Palatino Linotype" w:eastAsia="MS Mincho" w:hAnsi="Palatino Linotype" w:cs="Times New Roman"/>
          <w:i/>
          <w:sz w:val="24"/>
          <w:szCs w:val="24"/>
        </w:rPr>
        <w:t xml:space="preserve"> </w:t>
      </w:r>
      <w:r w:rsidRPr="008B792B">
        <w:rPr>
          <w:rFonts w:ascii="Palatino Linotype" w:eastAsia="MS Mincho" w:hAnsi="Palatino Linotype" w:cs="Times New Roman"/>
          <w:sz w:val="24"/>
          <w:szCs w:val="24"/>
        </w:rPr>
        <w:t xml:space="preserve">que se constituye como una herramienta fundamental para </w:t>
      </w:r>
      <w:r w:rsidRPr="008B792B">
        <w:rPr>
          <w:rFonts w:ascii="Palatino Linotype" w:eastAsia="MS Mincho" w:hAnsi="Palatino Linotype" w:cs="Times New Roman"/>
          <w:i/>
          <w:sz w:val="24"/>
          <w:szCs w:val="24"/>
        </w:rPr>
        <w:t>ejercer control democrático de las gestiones estatales, de forma tal que puedan cuestionar, indagar y considerar si se está dando un adecuado cumplimiento de las funciones públicas,</w:t>
      </w:r>
      <w:r w:rsidRPr="008B792B">
        <w:rPr>
          <w:rStyle w:val="Refdenotaalpie"/>
          <w:rFonts w:ascii="Palatino Linotype" w:eastAsia="MS Mincho" w:hAnsi="Palatino Linotype" w:cs="Times New Roman"/>
          <w:i/>
          <w:sz w:val="24"/>
          <w:szCs w:val="24"/>
        </w:rPr>
        <w:footnoteReference w:id="3"/>
      </w:r>
      <w:r w:rsidRPr="008B792B">
        <w:rPr>
          <w:rFonts w:ascii="Palatino Linotype" w:eastAsia="MS Mincho" w:hAnsi="Palatino Linotype" w:cs="Times New Roman"/>
          <w:sz w:val="24"/>
          <w:szCs w:val="24"/>
        </w:rPr>
        <w:t>fomentando</w:t>
      </w:r>
      <w:r w:rsidRPr="008B792B">
        <w:rPr>
          <w:rFonts w:ascii="Palatino Linotype" w:eastAsia="MS Mincho" w:hAnsi="Palatino Linotype" w:cs="Times New Roman"/>
          <w:i/>
          <w:sz w:val="24"/>
          <w:szCs w:val="24"/>
        </w:rPr>
        <w:t xml:space="preserve"> la transparencia de las </w:t>
      </w:r>
      <w:r w:rsidRPr="008B792B">
        <w:rPr>
          <w:rFonts w:ascii="Palatino Linotype" w:eastAsia="MS Mincho" w:hAnsi="Palatino Linotype" w:cs="Times New Roman"/>
          <w:i/>
          <w:sz w:val="24"/>
          <w:szCs w:val="24"/>
        </w:rPr>
        <w:lastRenderedPageBreak/>
        <w:t>actividades estatales y</w:t>
      </w:r>
      <w:r w:rsidRPr="008B792B">
        <w:rPr>
          <w:rFonts w:ascii="Palatino Linotype" w:eastAsia="MS Mincho" w:hAnsi="Palatino Linotype" w:cs="Times New Roman"/>
          <w:sz w:val="24"/>
          <w:szCs w:val="24"/>
        </w:rPr>
        <w:t xml:space="preserve"> promoviendo</w:t>
      </w:r>
      <w:r w:rsidRPr="008B792B">
        <w:rPr>
          <w:rFonts w:ascii="Palatino Linotype" w:eastAsia="MS Mincho" w:hAnsi="Palatino Linotype" w:cs="Times New Roman"/>
          <w:i/>
          <w:sz w:val="24"/>
          <w:szCs w:val="24"/>
        </w:rPr>
        <w:t xml:space="preserve"> la responsabilidad de los funcionarios sobre su gestión pública</w:t>
      </w:r>
      <w:r w:rsidRPr="008B792B">
        <w:rPr>
          <w:rStyle w:val="Refdenotaalpie"/>
          <w:rFonts w:ascii="Palatino Linotype" w:eastAsia="MS Mincho" w:hAnsi="Palatino Linotype" w:cs="Times New Roman"/>
          <w:i/>
          <w:sz w:val="24"/>
          <w:szCs w:val="24"/>
        </w:rPr>
        <w:footnoteReference w:id="4"/>
      </w:r>
      <w:r w:rsidRPr="008B792B">
        <w:rPr>
          <w:rFonts w:ascii="Palatino Linotype" w:eastAsia="MS Mincho" w:hAnsi="Palatino Linotype" w:cs="Times New Roman"/>
          <w:i/>
          <w:sz w:val="24"/>
          <w:szCs w:val="24"/>
        </w:rPr>
        <w:t xml:space="preserve"> </w:t>
      </w:r>
      <w:r w:rsidRPr="008B792B">
        <w:rPr>
          <w:rFonts w:ascii="Palatino Linotype" w:eastAsia="MS Mincho" w:hAnsi="Palatino Linotype" w:cs="Times New Roman"/>
          <w:sz w:val="24"/>
          <w:szCs w:val="24"/>
        </w:rPr>
        <w:t>que permite</w:t>
      </w:r>
      <w:r w:rsidRPr="008B792B">
        <w:rPr>
          <w:rFonts w:ascii="Palatino Linotype" w:eastAsia="MS Mincho" w:hAnsi="Palatino Linotype" w:cs="Times New Roman"/>
          <w:i/>
          <w:sz w:val="24"/>
          <w:szCs w:val="24"/>
        </w:rPr>
        <w:t xml:space="preserve"> saber qué están haciendo los gobiernos por sus pueblos, sin lo cual la verdad languidecería y la participación en el gobierno permanecería fragmentada.</w:t>
      </w:r>
      <w:r w:rsidRPr="008B792B">
        <w:rPr>
          <w:rStyle w:val="Refdenotaalpie"/>
          <w:rFonts w:ascii="Palatino Linotype" w:eastAsia="MS Mincho" w:hAnsi="Palatino Linotype" w:cs="Times New Roman"/>
          <w:i/>
          <w:sz w:val="24"/>
          <w:szCs w:val="24"/>
        </w:rPr>
        <w:footnoteReference w:id="5"/>
      </w:r>
      <w:r w:rsidRPr="008B792B">
        <w:rPr>
          <w:rFonts w:ascii="Palatino Linotype" w:eastAsia="MS Mincho" w:hAnsi="Palatino Linotype" w:cs="Times New Roman"/>
          <w:sz w:val="24"/>
          <w:szCs w:val="24"/>
        </w:rPr>
        <w:t xml:space="preserve"> ” </w:t>
      </w:r>
    </w:p>
    <w:p w14:paraId="2C83D0CC" w14:textId="77777777" w:rsidR="00A24682" w:rsidRPr="008B792B" w:rsidRDefault="00A24682" w:rsidP="00A24682">
      <w:pPr>
        <w:pStyle w:val="Prrafodelista"/>
        <w:spacing w:line="360" w:lineRule="auto"/>
        <w:ind w:left="0"/>
        <w:jc w:val="both"/>
        <w:rPr>
          <w:rFonts w:ascii="Palatino Linotype" w:hAnsi="Palatino Linotype"/>
          <w:color w:val="000000"/>
        </w:rPr>
      </w:pPr>
    </w:p>
    <w:p w14:paraId="57EDFAC0" w14:textId="370FA4E4" w:rsidR="00A24682" w:rsidRPr="008B792B" w:rsidRDefault="00A24682" w:rsidP="00A24682">
      <w:pPr>
        <w:pStyle w:val="Prrafodelista"/>
        <w:numPr>
          <w:ilvl w:val="0"/>
          <w:numId w:val="2"/>
        </w:numPr>
        <w:spacing w:after="0" w:line="360" w:lineRule="auto"/>
        <w:ind w:left="0" w:firstLine="0"/>
        <w:jc w:val="both"/>
        <w:rPr>
          <w:rFonts w:ascii="Palatino Linotype" w:hAnsi="Palatino Linotype" w:cs="Arial"/>
          <w:i/>
          <w:color w:val="000000" w:themeColor="text1"/>
          <w:sz w:val="24"/>
          <w:szCs w:val="24"/>
        </w:rPr>
      </w:pPr>
      <w:r w:rsidRPr="008B792B">
        <w:rPr>
          <w:rFonts w:ascii="Palatino Linotype" w:hAnsi="Palatino Linotype" w:cs="Arial"/>
          <w:sz w:val="24"/>
          <w:szCs w:val="24"/>
        </w:rPr>
        <w:t>Ahora bien</w:t>
      </w:r>
      <w:r w:rsidR="00541663" w:rsidRPr="008B792B">
        <w:rPr>
          <w:rFonts w:ascii="Palatino Linotype" w:hAnsi="Palatino Linotype" w:cs="Arial"/>
          <w:sz w:val="24"/>
          <w:szCs w:val="24"/>
        </w:rPr>
        <w:t>,</w:t>
      </w:r>
      <w:r w:rsidRPr="008B792B">
        <w:rPr>
          <w:rFonts w:ascii="Palatino Linotype" w:hAnsi="Palatino Linotype" w:cs="Arial"/>
          <w:sz w:val="24"/>
          <w:szCs w:val="24"/>
        </w:rPr>
        <w:t xml:space="preserve"> para entender los alcances de la información pública se considera importante citar el criterio </w:t>
      </w:r>
      <w:r w:rsidRPr="008B792B">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B792B">
        <w:rPr>
          <w:rFonts w:ascii="Palatino Linotype" w:hAnsi="Palatino Linotype" w:cs="Arial"/>
          <w:sz w:val="24"/>
          <w:szCs w:val="24"/>
        </w:rPr>
        <w:t>cuyo rubro y texto dispone:</w:t>
      </w:r>
    </w:p>
    <w:p w14:paraId="5FB96D04" w14:textId="77777777" w:rsidR="00A24682" w:rsidRPr="008B792B" w:rsidRDefault="00A24682" w:rsidP="00A24682">
      <w:pPr>
        <w:pStyle w:val="Prrafodelista"/>
        <w:autoSpaceDE w:val="0"/>
        <w:autoSpaceDN w:val="0"/>
        <w:adjustRightInd w:val="0"/>
        <w:spacing w:line="360" w:lineRule="auto"/>
        <w:ind w:left="0"/>
        <w:jc w:val="both"/>
        <w:rPr>
          <w:rFonts w:ascii="Palatino Linotype" w:hAnsi="Palatino Linotype" w:cs="Arial"/>
        </w:rPr>
      </w:pPr>
    </w:p>
    <w:p w14:paraId="6798276A"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Arial"/>
          <w:b/>
          <w:i/>
          <w:lang w:eastAsia="es-MX"/>
        </w:rPr>
      </w:pPr>
      <w:r w:rsidRPr="008B792B">
        <w:rPr>
          <w:rFonts w:ascii="Palatino Linotype" w:hAnsi="Palatino Linotype" w:cs="Arial"/>
          <w:b/>
          <w:i/>
          <w:lang w:eastAsia="es-MX"/>
        </w:rPr>
        <w:t>“CRITERIO 0002-11</w:t>
      </w:r>
    </w:p>
    <w:p w14:paraId="532CFC1A"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8B792B">
        <w:rPr>
          <w:rFonts w:ascii="Palatino Linotype" w:hAnsi="Palatino Linotype" w:cs="Arial"/>
          <w:b/>
          <w:i/>
          <w:lang w:eastAsia="es-MX"/>
        </w:rPr>
        <w:t xml:space="preserve">INFORMACIÓN PÚBLICA, CONCEPTO DE, EN MATERIA DE TRANSPARENCIA. INTERPRETACIÓN TEMÁTICA DE LOS ARTÍCULOS 2, FRACCIÓN </w:t>
      </w:r>
      <w:r w:rsidRPr="008B792B">
        <w:rPr>
          <w:rFonts w:ascii="Palatino Linotype" w:hAnsi="Palatino Linotype" w:cs="Arial"/>
          <w:b/>
          <w:bCs/>
          <w:i/>
          <w:lang w:eastAsia="es-MX"/>
        </w:rPr>
        <w:t xml:space="preserve">V, XV, Y XVI, </w:t>
      </w:r>
      <w:r w:rsidRPr="008B792B">
        <w:rPr>
          <w:rFonts w:ascii="Palatino Linotype" w:hAnsi="Palatino Linotype" w:cs="Arial"/>
          <w:b/>
          <w:i/>
          <w:lang w:eastAsia="es-MX"/>
        </w:rPr>
        <w:t>3, 4,11 Y 41.</w:t>
      </w:r>
      <w:r w:rsidRPr="008B792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8B792B">
        <w:rPr>
          <w:rFonts w:ascii="Palatino Linotype" w:hAnsi="Palatino Linotype" w:cs="Arial"/>
          <w:i/>
          <w:lang w:eastAsia="es-MX"/>
        </w:rPr>
        <w:lastRenderedPageBreak/>
        <w:t>del ejercicio de sus funciones de derecho público, sin importar su fuente, soporte o fecha de elaboración.</w:t>
      </w:r>
    </w:p>
    <w:p w14:paraId="7FD04F2D"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8B792B">
        <w:rPr>
          <w:rFonts w:ascii="Palatino Linotype" w:hAnsi="Palatino Linotype" w:cs="Arial"/>
          <w:i/>
          <w:lang w:eastAsia="es-MX"/>
        </w:rPr>
        <w:t>En consecuencia el acceso a la información se refiere a que se cumplan cualquiera de los siguientes tres supuestos:</w:t>
      </w:r>
    </w:p>
    <w:p w14:paraId="757A7A77"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8B792B">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76B910A7"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8B792B">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4C0C663" w14:textId="77777777" w:rsidR="00A24682" w:rsidRPr="008B792B" w:rsidRDefault="00A24682" w:rsidP="00A24682">
      <w:pPr>
        <w:spacing w:line="360" w:lineRule="auto"/>
        <w:ind w:left="567" w:right="567"/>
        <w:jc w:val="both"/>
        <w:rPr>
          <w:rFonts w:ascii="Palatino Linotype" w:hAnsi="Palatino Linotype" w:cs="Arial"/>
          <w:i/>
          <w:color w:val="000000" w:themeColor="text1"/>
        </w:rPr>
      </w:pPr>
      <w:r w:rsidRPr="008B792B">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62879735" w14:textId="77777777" w:rsidR="00A24682" w:rsidRPr="008B792B" w:rsidRDefault="00A24682" w:rsidP="00A24682">
      <w:pPr>
        <w:pStyle w:val="Prrafodelista"/>
        <w:tabs>
          <w:tab w:val="left" w:pos="851"/>
        </w:tabs>
        <w:spacing w:line="360" w:lineRule="auto"/>
        <w:ind w:left="0" w:right="49"/>
        <w:jc w:val="both"/>
        <w:rPr>
          <w:rFonts w:ascii="Palatino Linotype" w:hAnsi="Palatino Linotype"/>
          <w:lang w:val="es-ES"/>
        </w:rPr>
      </w:pPr>
    </w:p>
    <w:p w14:paraId="06C0C4E4" w14:textId="7688E233" w:rsidR="00A24682" w:rsidRPr="008B792B" w:rsidRDefault="00A24682" w:rsidP="00A24682">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8B792B">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14:paraId="7C5ABECD" w14:textId="77777777" w:rsidR="00541663" w:rsidRPr="008B792B" w:rsidRDefault="00541663" w:rsidP="00541663">
      <w:pPr>
        <w:pStyle w:val="Prrafodelista"/>
        <w:spacing w:after="0" w:line="360" w:lineRule="auto"/>
        <w:ind w:left="0"/>
        <w:jc w:val="both"/>
        <w:rPr>
          <w:rFonts w:ascii="Palatino Linotype" w:hAnsi="Palatino Linotype" w:cs="Arial"/>
          <w:sz w:val="24"/>
          <w:szCs w:val="24"/>
          <w:lang w:val="es-ES"/>
        </w:rPr>
      </w:pPr>
    </w:p>
    <w:p w14:paraId="2C4E233D"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i/>
          <w:sz w:val="28"/>
          <w:lang w:val="es-ES"/>
        </w:rPr>
      </w:pPr>
      <w:r w:rsidRPr="008B792B">
        <w:rPr>
          <w:rFonts w:ascii="Palatino Linotype" w:hAnsi="Palatino Linotype" w:cs="Bookman Old Style,Bold"/>
          <w:b/>
          <w:bCs/>
          <w:i/>
          <w:szCs w:val="20"/>
        </w:rPr>
        <w:t xml:space="preserve">XI. Documento: </w:t>
      </w:r>
      <w:r w:rsidRPr="008B792B">
        <w:rPr>
          <w:rFonts w:ascii="Palatino Linotype" w:hAnsi="Palatino Linotype" w:cs="Bookman Old Style"/>
          <w:i/>
          <w:szCs w:val="20"/>
        </w:rPr>
        <w:t xml:space="preserve">Los expedientes, reportes, estudios, actas, resoluciones, </w:t>
      </w:r>
      <w:r w:rsidRPr="008B792B">
        <w:rPr>
          <w:rFonts w:ascii="Palatino Linotype" w:hAnsi="Palatino Linotype" w:cs="Bookman Old Style"/>
          <w:b/>
          <w:i/>
          <w:szCs w:val="20"/>
        </w:rPr>
        <w:t>oficios,</w:t>
      </w:r>
      <w:r w:rsidRPr="008B792B">
        <w:rPr>
          <w:rFonts w:ascii="Palatino Linotype" w:hAnsi="Palatino Linotype" w:cs="Bookman Old Style"/>
          <w:i/>
          <w:szCs w:val="20"/>
        </w:rPr>
        <w:t xml:space="preserve"> correspondencia, </w:t>
      </w:r>
      <w:r w:rsidRPr="008B792B">
        <w:rPr>
          <w:rFonts w:ascii="Palatino Linotype" w:hAnsi="Palatino Linotype" w:cs="Bookman Old Style"/>
          <w:b/>
          <w:i/>
          <w:szCs w:val="20"/>
        </w:rPr>
        <w:t>acuerdos,</w:t>
      </w:r>
      <w:r w:rsidRPr="008B792B">
        <w:rPr>
          <w:rFonts w:ascii="Palatino Linotype" w:hAnsi="Palatino Linotype" w:cs="Bookman Old Style"/>
          <w:i/>
          <w:szCs w:val="20"/>
        </w:rPr>
        <w:t xml:space="preserve"> directivas, directrices</w:t>
      </w:r>
      <w:r w:rsidRPr="008B792B">
        <w:rPr>
          <w:rFonts w:ascii="Palatino Linotype" w:hAnsi="Palatino Linotype" w:cs="Bookman Old Style"/>
          <w:b/>
          <w:i/>
          <w:szCs w:val="20"/>
        </w:rPr>
        <w:t>, circulares</w:t>
      </w:r>
      <w:r w:rsidRPr="008B792B">
        <w:rPr>
          <w:rFonts w:ascii="Palatino Linotype" w:hAnsi="Palatino Linotype" w:cs="Bookman Old Style"/>
          <w:i/>
          <w:szCs w:val="20"/>
        </w:rPr>
        <w:t xml:space="preserve">, contratos, convenios, instructivos, notas, </w:t>
      </w:r>
      <w:r w:rsidRPr="008B792B">
        <w:rPr>
          <w:rFonts w:ascii="Palatino Linotype" w:hAnsi="Palatino Linotype" w:cs="Bookman Old Style"/>
          <w:b/>
          <w:i/>
          <w:szCs w:val="20"/>
        </w:rPr>
        <w:t>memorandos</w:t>
      </w:r>
      <w:r w:rsidRPr="008B792B">
        <w:rPr>
          <w:rFonts w:ascii="Palatino Linotype" w:hAnsi="Palatino Linotype" w:cs="Bookman Old Style"/>
          <w:i/>
          <w:szCs w:val="20"/>
        </w:rPr>
        <w:t xml:space="preserve">, estadísticas o bien, </w:t>
      </w:r>
      <w:r w:rsidRPr="008B792B">
        <w:rPr>
          <w:rFonts w:ascii="Palatino Linotype" w:hAnsi="Palatino Linotype" w:cs="Bookman Old Style"/>
          <w:b/>
          <w:i/>
          <w:szCs w:val="20"/>
        </w:rPr>
        <w:t>cualquier otro registro</w:t>
      </w:r>
      <w:r w:rsidRPr="008B792B">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AAAEC8" w14:textId="77777777" w:rsidR="00A24682" w:rsidRPr="008B792B" w:rsidRDefault="00A24682" w:rsidP="00A24682">
      <w:pPr>
        <w:pStyle w:val="Prrafodelista"/>
        <w:tabs>
          <w:tab w:val="left" w:pos="851"/>
        </w:tabs>
        <w:spacing w:line="360" w:lineRule="auto"/>
        <w:ind w:left="0" w:right="49"/>
        <w:jc w:val="both"/>
        <w:rPr>
          <w:rFonts w:ascii="Palatino Linotype" w:hAnsi="Palatino Linotype"/>
          <w:lang w:val="es-ES"/>
        </w:rPr>
      </w:pPr>
    </w:p>
    <w:p w14:paraId="4AFFFD68" w14:textId="77777777" w:rsidR="00A24682" w:rsidRPr="008B792B"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8B792B">
        <w:rPr>
          <w:rFonts w:ascii="Palatino Linotype"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9A954F3" w14:textId="77777777" w:rsidR="00A24682" w:rsidRPr="008B792B" w:rsidRDefault="00A24682" w:rsidP="00A24682">
      <w:pPr>
        <w:pStyle w:val="Prrafodelista"/>
        <w:spacing w:line="360" w:lineRule="auto"/>
        <w:ind w:left="0"/>
        <w:jc w:val="both"/>
        <w:rPr>
          <w:rFonts w:ascii="Palatino Linotype" w:eastAsia="Calibri" w:hAnsi="Palatino Linotype" w:cs="Arial"/>
        </w:rPr>
      </w:pPr>
    </w:p>
    <w:p w14:paraId="7BB6F5C9" w14:textId="77777777" w:rsidR="00A24682" w:rsidRPr="008B792B"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8B792B">
        <w:rPr>
          <w:rFonts w:ascii="Palatino Linotype" w:hAnsi="Palatino Linotype"/>
          <w:sz w:val="24"/>
          <w:szCs w:val="24"/>
          <w:lang w:val="es-ES"/>
        </w:rPr>
        <w:t>Además, debemos tomar en cuenta los artículos 4 y 12, de la Ley de Transparencia y Acceso a la Información Pública del Estado de México y Municipios, los cuales establecen lo siguiente:</w:t>
      </w:r>
    </w:p>
    <w:p w14:paraId="35001848" w14:textId="77777777" w:rsidR="00A24682" w:rsidRPr="008B792B" w:rsidRDefault="00A24682" w:rsidP="00541663">
      <w:pPr>
        <w:pStyle w:val="Prrafodelista"/>
        <w:spacing w:after="0" w:line="360" w:lineRule="auto"/>
        <w:ind w:left="0"/>
        <w:jc w:val="both"/>
        <w:rPr>
          <w:rFonts w:ascii="Palatino Linotype" w:hAnsi="Palatino Linotype"/>
          <w:sz w:val="24"/>
          <w:szCs w:val="24"/>
          <w:lang w:val="es-ES"/>
        </w:rPr>
      </w:pPr>
    </w:p>
    <w:p w14:paraId="5FB04A29"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8B792B">
        <w:rPr>
          <w:rFonts w:ascii="Palatino Linotype" w:hAnsi="Palatino Linotype" w:cs="Bookman Old Style,Bold"/>
          <w:b/>
          <w:bCs/>
          <w:i/>
          <w:szCs w:val="20"/>
        </w:rPr>
        <w:t xml:space="preserve">Artículo 4. </w:t>
      </w:r>
      <w:r w:rsidRPr="008B792B">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0919F617"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4402991C"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8B792B">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B8AF53"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722AC90F"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8B792B">
        <w:rPr>
          <w:rFonts w:ascii="Palatino Linotype" w:hAnsi="Palatino Linotype" w:cs="Bookman Old Style"/>
          <w:i/>
          <w:szCs w:val="20"/>
        </w:rPr>
        <w:lastRenderedPageBreak/>
        <w:t>Los sujetos obligados deben poner en práctica, políticas y programas de acceso a la información que se apeguen a criterios de publicidad, veracidad, oportunidad, precisión y suficiencia en beneficio de los solicitantes.</w:t>
      </w:r>
    </w:p>
    <w:p w14:paraId="6E703058" w14:textId="77777777" w:rsidR="00A24682" w:rsidRPr="008B792B" w:rsidRDefault="00A24682" w:rsidP="00A24682">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60FB8F63"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8B792B">
        <w:rPr>
          <w:rFonts w:ascii="Palatino Linotype" w:hAnsi="Palatino Linotype" w:cs="Bookman Old Style,Bold"/>
          <w:b/>
          <w:bCs/>
          <w:i/>
          <w:szCs w:val="20"/>
        </w:rPr>
        <w:t xml:space="preserve">Artículo 12. </w:t>
      </w:r>
      <w:r w:rsidRPr="008B792B">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2DB8A6B4"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1FE003C9"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b/>
          <w:i/>
          <w:szCs w:val="20"/>
        </w:rPr>
      </w:pPr>
      <w:r w:rsidRPr="008B792B">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8B792B">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6FFDF8EE" w14:textId="77777777" w:rsidR="00A24682" w:rsidRPr="008B792B"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7D43A42A" w14:textId="77777777" w:rsidR="00A24682" w:rsidRPr="008B792B"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8B792B">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B792B">
        <w:rPr>
          <w:sz w:val="24"/>
          <w:szCs w:val="24"/>
        </w:rPr>
        <w:footnoteReference w:id="6"/>
      </w:r>
      <w:r w:rsidRPr="008B792B">
        <w:rPr>
          <w:rFonts w:ascii="Palatino Linotype" w:hAnsi="Palatino Linotype"/>
          <w:sz w:val="24"/>
          <w:szCs w:val="24"/>
          <w:lang w:val="es-ES"/>
        </w:rPr>
        <w:t xml:space="preserve"> y máxima publicidad, sobre éste último se debe poner mayor </w:t>
      </w:r>
      <w:r w:rsidRPr="008B792B">
        <w:rPr>
          <w:rFonts w:ascii="Palatino Linotype" w:hAnsi="Palatino Linotype"/>
          <w:sz w:val="24"/>
          <w:szCs w:val="24"/>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26FDDA11" w14:textId="77777777" w:rsidR="00A24682" w:rsidRPr="008B792B" w:rsidRDefault="00A24682" w:rsidP="00A24682">
      <w:pPr>
        <w:pStyle w:val="Prrafodelista"/>
        <w:tabs>
          <w:tab w:val="left" w:pos="851"/>
        </w:tabs>
        <w:spacing w:line="360" w:lineRule="auto"/>
        <w:ind w:left="0" w:right="49"/>
        <w:jc w:val="both"/>
        <w:rPr>
          <w:rFonts w:ascii="Palatino Linotype" w:hAnsi="Palatino Linotype"/>
          <w:sz w:val="24"/>
          <w:szCs w:val="24"/>
          <w:lang w:val="es-ES"/>
        </w:rPr>
      </w:pPr>
    </w:p>
    <w:p w14:paraId="73A38CEC" w14:textId="77777777" w:rsidR="00A24682" w:rsidRPr="008B792B" w:rsidRDefault="00A24682" w:rsidP="00541663">
      <w:pPr>
        <w:pStyle w:val="Prrafodelista"/>
        <w:numPr>
          <w:ilvl w:val="0"/>
          <w:numId w:val="2"/>
        </w:numPr>
        <w:spacing w:after="0" w:line="360" w:lineRule="auto"/>
        <w:ind w:left="0" w:firstLine="0"/>
        <w:jc w:val="both"/>
        <w:rPr>
          <w:rFonts w:ascii="Palatino Linotype" w:hAnsi="Palatino Linotype"/>
          <w:lang w:val="es-ES"/>
        </w:rPr>
      </w:pPr>
      <w:r w:rsidRPr="008B792B">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w:t>
      </w:r>
      <w:r w:rsidRPr="008B792B">
        <w:rPr>
          <w:rFonts w:ascii="Palatino Linotype" w:hAnsi="Palatino Linotype"/>
          <w:lang w:val="es-ES"/>
        </w:rPr>
        <w:t xml:space="preserve"> 2013, Página 1899.</w:t>
      </w:r>
    </w:p>
    <w:p w14:paraId="64623643" w14:textId="77777777" w:rsidR="00A24682" w:rsidRPr="008B792B" w:rsidRDefault="00A24682" w:rsidP="00A24682">
      <w:pPr>
        <w:pStyle w:val="Prrafodelista"/>
        <w:spacing w:line="360" w:lineRule="auto"/>
        <w:rPr>
          <w:rFonts w:ascii="Palatino Linotype" w:hAnsi="Palatino Linotype"/>
          <w:lang w:val="es-ES"/>
        </w:rPr>
      </w:pPr>
    </w:p>
    <w:p w14:paraId="26C8A459" w14:textId="77777777" w:rsidR="00A24682" w:rsidRPr="008B792B" w:rsidRDefault="00A24682" w:rsidP="00A24682">
      <w:pPr>
        <w:pStyle w:val="Prrafodelista"/>
        <w:tabs>
          <w:tab w:val="left" w:pos="851"/>
        </w:tabs>
        <w:spacing w:line="360" w:lineRule="auto"/>
        <w:ind w:left="567" w:right="567"/>
        <w:jc w:val="both"/>
        <w:rPr>
          <w:rFonts w:ascii="Palatino Linotype" w:hAnsi="Palatino Linotype"/>
          <w:i/>
        </w:rPr>
      </w:pPr>
      <w:r w:rsidRPr="008B792B">
        <w:rPr>
          <w:rFonts w:ascii="Palatino Linotype" w:hAnsi="Palatino Linotype"/>
          <w:b/>
          <w:i/>
        </w:rPr>
        <w:t>ACCESO A LA INFORMACIÓN. IMPLICACIÓN DEL PRINCIPIO DE MÁXIMA PUBLICIDAD EN EL DERECHO FUNDAMENTAL RELATIVO.</w:t>
      </w:r>
      <w:r w:rsidRPr="008B792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8B792B">
        <w:rPr>
          <w:rFonts w:ascii="Palatino Linotype" w:hAnsi="Palatino Linotype"/>
          <w:i/>
        </w:rPr>
        <w:lastRenderedPageBreak/>
        <w:t xml:space="preserve">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A55B568" w14:textId="77777777" w:rsidR="00A24682" w:rsidRPr="008B792B" w:rsidRDefault="00A24682" w:rsidP="00A24682">
      <w:pPr>
        <w:pStyle w:val="Prrafodelista"/>
        <w:tabs>
          <w:tab w:val="left" w:pos="851"/>
        </w:tabs>
        <w:spacing w:line="360" w:lineRule="auto"/>
        <w:ind w:left="567" w:right="567"/>
        <w:jc w:val="both"/>
        <w:rPr>
          <w:rFonts w:ascii="Palatino Linotype" w:hAnsi="Palatino Linotype"/>
          <w:i/>
        </w:rPr>
      </w:pPr>
    </w:p>
    <w:p w14:paraId="451D5722" w14:textId="77777777" w:rsidR="00A24682" w:rsidRPr="008B792B" w:rsidRDefault="00A24682" w:rsidP="00A24682">
      <w:pPr>
        <w:pStyle w:val="Prrafodelista"/>
        <w:tabs>
          <w:tab w:val="left" w:pos="851"/>
        </w:tabs>
        <w:spacing w:line="360" w:lineRule="auto"/>
        <w:ind w:left="567" w:right="567"/>
        <w:jc w:val="both"/>
        <w:rPr>
          <w:rFonts w:ascii="Palatino Linotype" w:hAnsi="Palatino Linotype"/>
          <w:i/>
        </w:rPr>
      </w:pPr>
      <w:r w:rsidRPr="008B792B">
        <w:rPr>
          <w:rFonts w:ascii="Palatino Linotype" w:hAnsi="Palatino Linotype"/>
          <w:i/>
        </w:rPr>
        <w:t>CUARTO TRIBUNAL COLEGIADO EN MATERIA ADMINISTRATIVA DEL PRIMER CIRCUITO.</w:t>
      </w:r>
    </w:p>
    <w:p w14:paraId="11A4930A" w14:textId="77777777" w:rsidR="00A24682" w:rsidRPr="008B792B" w:rsidRDefault="00A24682" w:rsidP="00A24682">
      <w:pPr>
        <w:pStyle w:val="Prrafodelista"/>
        <w:tabs>
          <w:tab w:val="left" w:pos="851"/>
        </w:tabs>
        <w:spacing w:line="360" w:lineRule="auto"/>
        <w:ind w:left="567" w:right="567"/>
        <w:jc w:val="both"/>
        <w:rPr>
          <w:rFonts w:ascii="Palatino Linotype" w:hAnsi="Palatino Linotype"/>
          <w:i/>
        </w:rPr>
      </w:pPr>
    </w:p>
    <w:p w14:paraId="71A99862" w14:textId="77777777" w:rsidR="00A24682" w:rsidRPr="008B792B" w:rsidRDefault="00A24682" w:rsidP="00A24682">
      <w:pPr>
        <w:pStyle w:val="Prrafodelista"/>
        <w:tabs>
          <w:tab w:val="left" w:pos="851"/>
        </w:tabs>
        <w:spacing w:line="360" w:lineRule="auto"/>
        <w:ind w:left="567" w:right="567"/>
        <w:jc w:val="both"/>
        <w:rPr>
          <w:rFonts w:ascii="Palatino Linotype" w:hAnsi="Palatino Linotype"/>
          <w:i/>
          <w:lang w:val="es-ES"/>
        </w:rPr>
      </w:pPr>
      <w:r w:rsidRPr="008B792B">
        <w:rPr>
          <w:rFonts w:ascii="Palatino Linotype" w:hAnsi="Palatino Linotype"/>
          <w:i/>
        </w:rPr>
        <w:t xml:space="preserve">Amparo en revisión 257/2012. Ruth Corona Muñoz. 6 de diciembre de 2012. Unanimidad de votos. Ponente: Jean Claude </w:t>
      </w:r>
      <w:proofErr w:type="spellStart"/>
      <w:r w:rsidRPr="008B792B">
        <w:rPr>
          <w:rFonts w:ascii="Palatino Linotype" w:hAnsi="Palatino Linotype"/>
          <w:i/>
        </w:rPr>
        <w:t>Tron</w:t>
      </w:r>
      <w:proofErr w:type="spellEnd"/>
      <w:r w:rsidRPr="008B792B">
        <w:rPr>
          <w:rFonts w:ascii="Palatino Linotype" w:hAnsi="Palatino Linotype"/>
          <w:i/>
        </w:rPr>
        <w:t xml:space="preserve"> </w:t>
      </w:r>
      <w:proofErr w:type="spellStart"/>
      <w:r w:rsidRPr="008B792B">
        <w:rPr>
          <w:rFonts w:ascii="Palatino Linotype" w:hAnsi="Palatino Linotype"/>
          <w:i/>
        </w:rPr>
        <w:t>Petit</w:t>
      </w:r>
      <w:proofErr w:type="spellEnd"/>
      <w:r w:rsidRPr="008B792B">
        <w:rPr>
          <w:rFonts w:ascii="Palatino Linotype" w:hAnsi="Palatino Linotype"/>
          <w:i/>
        </w:rPr>
        <w:t>. Secretaria: Mayra Susana Martínez López.</w:t>
      </w:r>
    </w:p>
    <w:p w14:paraId="1247D8D2" w14:textId="77777777" w:rsidR="00A24682" w:rsidRPr="008B792B" w:rsidRDefault="00A24682" w:rsidP="00A24682">
      <w:pPr>
        <w:pStyle w:val="Prrafodelista"/>
        <w:spacing w:line="360" w:lineRule="auto"/>
        <w:rPr>
          <w:rFonts w:ascii="Palatino Linotype" w:hAnsi="Palatino Linotype"/>
          <w:lang w:val="es-ES"/>
        </w:rPr>
      </w:pPr>
    </w:p>
    <w:p w14:paraId="5AF339A2" w14:textId="56659C21" w:rsidR="00CD03B7" w:rsidRPr="008B792B" w:rsidRDefault="00CD03B7" w:rsidP="008459E9">
      <w:pPr>
        <w:pStyle w:val="Prrafodelista"/>
        <w:numPr>
          <w:ilvl w:val="0"/>
          <w:numId w:val="2"/>
        </w:numPr>
        <w:spacing w:after="0" w:line="360" w:lineRule="auto"/>
        <w:ind w:left="0" w:firstLine="0"/>
        <w:jc w:val="both"/>
        <w:rPr>
          <w:rFonts w:ascii="Palatino Linotype" w:hAnsi="Palatino Linotype"/>
          <w:sz w:val="24"/>
          <w:szCs w:val="24"/>
          <w:lang w:val="es-ES"/>
        </w:rPr>
      </w:pPr>
      <w:r w:rsidRPr="008B792B">
        <w:rPr>
          <w:rFonts w:ascii="Palatino Linotype" w:hAnsi="Palatino Linotype"/>
          <w:sz w:val="24"/>
          <w:szCs w:val="24"/>
          <w:lang w:val="es-ES"/>
        </w:rPr>
        <w:t xml:space="preserve">Por lo anterior, este Órgano Garante determina dable ordenar la entrega de </w:t>
      </w:r>
      <w:r w:rsidR="00CF214C" w:rsidRPr="008B792B">
        <w:rPr>
          <w:rFonts w:ascii="Palatino Linotype" w:hAnsi="Palatino Linotype"/>
          <w:sz w:val="24"/>
          <w:szCs w:val="24"/>
          <w:lang w:val="es-ES"/>
        </w:rPr>
        <w:t xml:space="preserve">la normatividad en la que se establece el ámbito de competencia de cada una de las unidades que integran a la Fiscalía General de Justicia del Estado de México. </w:t>
      </w:r>
    </w:p>
    <w:p w14:paraId="13238C83" w14:textId="77777777" w:rsidR="00CF214C" w:rsidRPr="008B792B" w:rsidRDefault="00CF214C" w:rsidP="00CF214C">
      <w:pPr>
        <w:pStyle w:val="Prrafodelista"/>
        <w:spacing w:after="0" w:line="360" w:lineRule="auto"/>
        <w:ind w:left="0"/>
        <w:jc w:val="both"/>
        <w:rPr>
          <w:rFonts w:ascii="Palatino Linotype" w:hAnsi="Palatino Linotype"/>
          <w:sz w:val="24"/>
          <w:szCs w:val="24"/>
          <w:lang w:val="es-ES"/>
        </w:rPr>
      </w:pPr>
    </w:p>
    <w:p w14:paraId="65D7E345" w14:textId="408E7763" w:rsidR="00A9278D" w:rsidRPr="008B792B" w:rsidRDefault="00BE12EB" w:rsidP="008B792B">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8B792B">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B66085" w:rsidRPr="008B792B">
        <w:rPr>
          <w:rFonts w:ascii="Palatino Linotype" w:eastAsia="MS Mincho" w:hAnsi="Palatino Linotype" w:cs="Arial"/>
          <w:b/>
          <w:color w:val="000000" w:themeColor="text1"/>
          <w:sz w:val="24"/>
          <w:szCs w:val="24"/>
        </w:rPr>
        <w:t>REVOCAR</w:t>
      </w:r>
      <w:r w:rsidRPr="008B792B">
        <w:rPr>
          <w:rFonts w:ascii="Palatino Linotype" w:eastAsia="MS Mincho" w:hAnsi="Palatino Linotype" w:cs="Arial"/>
          <w:color w:val="000000" w:themeColor="text1"/>
          <w:sz w:val="24"/>
          <w:szCs w:val="24"/>
        </w:rPr>
        <w:t xml:space="preserve"> la respuesta del recurso de revisión </w:t>
      </w:r>
      <w:r w:rsidRPr="008B792B">
        <w:rPr>
          <w:rFonts w:ascii="Palatino Linotype" w:hAnsi="Palatino Linotype"/>
          <w:b/>
          <w:sz w:val="24"/>
          <w:szCs w:val="24"/>
        </w:rPr>
        <w:t>0</w:t>
      </w:r>
      <w:r w:rsidR="00B66085" w:rsidRPr="008B792B">
        <w:rPr>
          <w:rFonts w:ascii="Palatino Linotype" w:hAnsi="Palatino Linotype"/>
          <w:b/>
          <w:sz w:val="24"/>
          <w:szCs w:val="24"/>
        </w:rPr>
        <w:t>4358</w:t>
      </w:r>
      <w:r w:rsidRPr="008B792B">
        <w:rPr>
          <w:rFonts w:ascii="Palatino Linotype" w:hAnsi="Palatino Linotype"/>
          <w:b/>
          <w:sz w:val="24"/>
          <w:szCs w:val="24"/>
        </w:rPr>
        <w:t xml:space="preserve">/INFOEM/IP/RR/2020 </w:t>
      </w:r>
      <w:r w:rsidRPr="008B792B">
        <w:rPr>
          <w:rFonts w:ascii="Palatino Linotype" w:eastAsia="MS Mincho" w:hAnsi="Palatino Linotype" w:cs="Arial"/>
          <w:color w:val="000000" w:themeColor="text1"/>
          <w:sz w:val="24"/>
          <w:szCs w:val="24"/>
        </w:rPr>
        <w:t xml:space="preserve">y emite los siguientes: </w:t>
      </w:r>
    </w:p>
    <w:p w14:paraId="327A9AA4" w14:textId="77777777" w:rsidR="00A9278D" w:rsidRPr="008B792B" w:rsidRDefault="00A9278D" w:rsidP="00A9278D">
      <w:pPr>
        <w:pStyle w:val="Ttulo1"/>
        <w:jc w:val="center"/>
        <w:rPr>
          <w:rFonts w:ascii="Palatino Linotype" w:eastAsia="Calibri" w:hAnsi="Palatino Linotype"/>
          <w:b/>
          <w:color w:val="000000" w:themeColor="text1"/>
          <w:sz w:val="24"/>
          <w:szCs w:val="24"/>
          <w:lang w:val="es-ES" w:eastAsia="es-ES"/>
        </w:rPr>
      </w:pPr>
      <w:bookmarkStart w:id="29" w:name="_Toc504500693"/>
      <w:bookmarkStart w:id="30" w:name="_Toc534742545"/>
      <w:bookmarkStart w:id="31" w:name="_Toc26955338"/>
      <w:bookmarkStart w:id="32" w:name="_Toc57234859"/>
      <w:r w:rsidRPr="008B792B">
        <w:rPr>
          <w:rFonts w:ascii="Palatino Linotype" w:eastAsia="Calibri" w:hAnsi="Palatino Linotype"/>
          <w:b/>
          <w:color w:val="000000" w:themeColor="text1"/>
          <w:sz w:val="24"/>
          <w:szCs w:val="24"/>
          <w:lang w:val="es-ES" w:eastAsia="es-ES"/>
        </w:rPr>
        <w:lastRenderedPageBreak/>
        <w:t>R E S O L U T I V O S</w:t>
      </w:r>
      <w:bookmarkEnd w:id="29"/>
      <w:bookmarkEnd w:id="30"/>
      <w:bookmarkEnd w:id="31"/>
      <w:bookmarkEnd w:id="32"/>
      <w:r w:rsidRPr="008B792B">
        <w:rPr>
          <w:rFonts w:ascii="Palatino Linotype" w:eastAsia="Calibri" w:hAnsi="Palatino Linotype"/>
          <w:b/>
          <w:color w:val="000000" w:themeColor="text1"/>
          <w:sz w:val="24"/>
          <w:szCs w:val="24"/>
          <w:lang w:val="es-ES" w:eastAsia="es-ES"/>
        </w:rPr>
        <w:t xml:space="preserve"> </w:t>
      </w:r>
    </w:p>
    <w:p w14:paraId="101DB176" w14:textId="424D9AF8" w:rsidR="00A9278D" w:rsidRPr="008B792B" w:rsidRDefault="00A9278D" w:rsidP="00A9278D">
      <w:pPr>
        <w:spacing w:before="240" w:after="360" w:line="360" w:lineRule="auto"/>
        <w:jc w:val="both"/>
        <w:rPr>
          <w:rFonts w:ascii="Palatino Linotype" w:eastAsia="Calibri" w:hAnsi="Palatino Linotype" w:cs="Arial"/>
          <w:sz w:val="24"/>
          <w:szCs w:val="24"/>
          <w:lang w:val="es-ES"/>
        </w:rPr>
      </w:pPr>
      <w:bookmarkStart w:id="33" w:name="_Toc455991148"/>
      <w:bookmarkStart w:id="34" w:name="_Toc452722829"/>
      <w:bookmarkStart w:id="35" w:name="_Toc454373811"/>
      <w:bookmarkStart w:id="36" w:name="_Toc476675991"/>
      <w:r w:rsidRPr="008B792B">
        <w:rPr>
          <w:rFonts w:ascii="Palatino Linotype" w:eastAsia="MS Mincho" w:hAnsi="Palatino Linotype" w:cs="Times New Roman"/>
          <w:b/>
          <w:color w:val="000000"/>
          <w:sz w:val="24"/>
          <w:szCs w:val="24"/>
        </w:rPr>
        <w:t>PRIMERO.</w:t>
      </w:r>
      <w:r w:rsidRPr="008B792B">
        <w:rPr>
          <w:rFonts w:ascii="Palatino Linotype" w:eastAsia="MS Gothic" w:hAnsi="Palatino Linotype" w:cs="Times New Roman"/>
          <w:b/>
          <w:color w:val="000000"/>
          <w:sz w:val="24"/>
          <w:szCs w:val="24"/>
        </w:rPr>
        <w:t xml:space="preserve"> </w:t>
      </w:r>
      <w:bookmarkEnd w:id="33"/>
      <w:r w:rsidRPr="008B792B">
        <w:rPr>
          <w:rFonts w:ascii="Palatino Linotype" w:eastAsia="Times New Roman" w:hAnsi="Palatino Linotype" w:cs="Arial"/>
          <w:sz w:val="24"/>
          <w:szCs w:val="24"/>
          <w:lang w:val="es-ES"/>
        </w:rPr>
        <w:t xml:space="preserve">Resultan </w:t>
      </w:r>
      <w:r w:rsidR="00F7282E" w:rsidRPr="008B792B">
        <w:rPr>
          <w:rFonts w:ascii="Palatino Linotype" w:eastAsia="Times New Roman" w:hAnsi="Palatino Linotype" w:cs="Arial"/>
          <w:sz w:val="24"/>
          <w:szCs w:val="24"/>
          <w:lang w:val="es-ES"/>
        </w:rPr>
        <w:t>fundadas</w:t>
      </w:r>
      <w:r w:rsidRPr="008B792B">
        <w:rPr>
          <w:rFonts w:ascii="Palatino Linotype" w:eastAsia="Times New Roman" w:hAnsi="Palatino Linotype" w:cs="Arial"/>
          <w:sz w:val="24"/>
          <w:szCs w:val="24"/>
          <w:lang w:val="es-ES"/>
        </w:rPr>
        <w:t xml:space="preserve"> las razones y motivos de inconformidad hechos valer </w:t>
      </w:r>
      <w:r w:rsidRPr="008B792B">
        <w:rPr>
          <w:rFonts w:ascii="Palatino Linotype" w:eastAsia="Calibri" w:hAnsi="Palatino Linotype" w:cs="Arial"/>
          <w:sz w:val="24"/>
          <w:szCs w:val="24"/>
          <w:lang w:val="es-ES"/>
        </w:rPr>
        <w:t xml:space="preserve">en el recurso de revisión </w:t>
      </w:r>
      <w:r w:rsidRPr="008B792B">
        <w:rPr>
          <w:rFonts w:ascii="Palatino Linotype" w:eastAsia="Calibri" w:hAnsi="Palatino Linotype" w:cs="Arial"/>
          <w:b/>
          <w:sz w:val="24"/>
          <w:szCs w:val="24"/>
          <w:lang w:val="es-ES"/>
        </w:rPr>
        <w:t>0</w:t>
      </w:r>
      <w:r w:rsidR="00B66085" w:rsidRPr="008B792B">
        <w:rPr>
          <w:rFonts w:ascii="Palatino Linotype" w:eastAsia="Calibri" w:hAnsi="Palatino Linotype" w:cs="Arial"/>
          <w:b/>
          <w:sz w:val="24"/>
          <w:szCs w:val="24"/>
          <w:lang w:val="es-ES"/>
        </w:rPr>
        <w:t>4358</w:t>
      </w:r>
      <w:r w:rsidRPr="008B792B">
        <w:rPr>
          <w:rFonts w:ascii="Palatino Linotype" w:eastAsia="Calibri" w:hAnsi="Palatino Linotype" w:cs="Arial"/>
          <w:b/>
          <w:bCs/>
          <w:sz w:val="24"/>
          <w:szCs w:val="24"/>
        </w:rPr>
        <w:t>/INFOEM/IP/RR/2020</w:t>
      </w:r>
      <w:r w:rsidRPr="008B792B">
        <w:rPr>
          <w:rFonts w:ascii="Palatino Linotype" w:eastAsia="Calibri" w:hAnsi="Palatino Linotype" w:cs="Arial"/>
          <w:sz w:val="24"/>
          <w:szCs w:val="24"/>
          <w:lang w:val="es-ES"/>
        </w:rPr>
        <w:t xml:space="preserve"> </w:t>
      </w:r>
      <w:r w:rsidRPr="008B792B">
        <w:rPr>
          <w:rFonts w:ascii="Palatino Linotype" w:eastAsia="Times New Roman" w:hAnsi="Palatino Linotype" w:cs="Times New Roman"/>
          <w:sz w:val="24"/>
          <w:szCs w:val="24"/>
        </w:rPr>
        <w:t>en términos del</w:t>
      </w:r>
      <w:r w:rsidR="00C75A5F" w:rsidRPr="008B792B">
        <w:rPr>
          <w:rFonts w:ascii="Palatino Linotype" w:eastAsia="Times New Roman" w:hAnsi="Palatino Linotype" w:cs="Times New Roman"/>
          <w:sz w:val="24"/>
          <w:szCs w:val="24"/>
        </w:rPr>
        <w:t xml:space="preserve"> C</w:t>
      </w:r>
      <w:r w:rsidRPr="008B792B">
        <w:rPr>
          <w:rFonts w:ascii="Palatino Linotype" w:eastAsia="Times New Roman" w:hAnsi="Palatino Linotype" w:cs="Times New Roman"/>
          <w:sz w:val="24"/>
          <w:szCs w:val="24"/>
        </w:rPr>
        <w:t xml:space="preserve">onsiderando </w:t>
      </w:r>
      <w:r w:rsidR="00AE7407" w:rsidRPr="008B792B">
        <w:rPr>
          <w:rFonts w:ascii="Palatino Linotype" w:eastAsia="Times New Roman" w:hAnsi="Palatino Linotype" w:cs="Times New Roman"/>
          <w:b/>
          <w:sz w:val="24"/>
          <w:szCs w:val="24"/>
        </w:rPr>
        <w:t>CUARTO</w:t>
      </w:r>
      <w:r w:rsidRPr="008B792B">
        <w:rPr>
          <w:rFonts w:ascii="Palatino Linotype" w:eastAsia="Times New Roman" w:hAnsi="Palatino Linotype" w:cs="Times New Roman"/>
          <w:b/>
          <w:sz w:val="24"/>
          <w:szCs w:val="24"/>
        </w:rPr>
        <w:t xml:space="preserve"> </w:t>
      </w:r>
      <w:r w:rsidRPr="008B792B">
        <w:rPr>
          <w:rFonts w:ascii="Palatino Linotype" w:eastAsia="Times New Roman" w:hAnsi="Palatino Linotype" w:cs="Times New Roman"/>
          <w:sz w:val="24"/>
          <w:szCs w:val="24"/>
        </w:rPr>
        <w:t>de la presente resolución.</w:t>
      </w:r>
    </w:p>
    <w:p w14:paraId="5E2DC3B9" w14:textId="39C87403" w:rsidR="00A9278D" w:rsidRPr="008B792B" w:rsidRDefault="00A9278D" w:rsidP="00A9278D">
      <w:pPr>
        <w:spacing w:before="240" w:after="240" w:line="360" w:lineRule="auto"/>
        <w:jc w:val="both"/>
        <w:rPr>
          <w:rFonts w:ascii="Palatino Linotype" w:eastAsia="Times New Roman" w:hAnsi="Palatino Linotype" w:cs="Arial"/>
          <w:sz w:val="24"/>
          <w:szCs w:val="24"/>
          <w:lang w:val="es-ES"/>
        </w:rPr>
      </w:pPr>
      <w:r w:rsidRPr="008B792B">
        <w:rPr>
          <w:rFonts w:ascii="Palatino Linotype" w:eastAsia="Calibri" w:hAnsi="Palatino Linotype" w:cs="Arial"/>
          <w:b/>
          <w:bCs/>
          <w:sz w:val="24"/>
          <w:szCs w:val="24"/>
          <w:lang w:val="es-ES"/>
        </w:rPr>
        <w:t xml:space="preserve">SEGUNDO. </w:t>
      </w:r>
      <w:r w:rsidR="00F7282E" w:rsidRPr="008B792B">
        <w:rPr>
          <w:rFonts w:ascii="Palatino Linotype" w:eastAsia="Calibri" w:hAnsi="Palatino Linotype" w:cs="Arial"/>
          <w:sz w:val="24"/>
          <w:szCs w:val="24"/>
          <w:lang w:val="es-ES"/>
        </w:rPr>
        <w:t>Se</w:t>
      </w:r>
      <w:r w:rsidR="00F7282E" w:rsidRPr="008B792B">
        <w:rPr>
          <w:rFonts w:ascii="Palatino Linotype" w:eastAsia="Calibri" w:hAnsi="Palatino Linotype" w:cs="Arial"/>
          <w:b/>
          <w:sz w:val="24"/>
          <w:szCs w:val="24"/>
          <w:lang w:val="es-ES"/>
        </w:rPr>
        <w:t xml:space="preserve"> </w:t>
      </w:r>
      <w:r w:rsidR="00B66085" w:rsidRPr="008B792B">
        <w:rPr>
          <w:rFonts w:ascii="Palatino Linotype" w:eastAsia="Calibri" w:hAnsi="Palatino Linotype" w:cs="Arial"/>
          <w:b/>
          <w:sz w:val="24"/>
          <w:szCs w:val="24"/>
          <w:lang w:val="es-ES"/>
        </w:rPr>
        <w:t>REVOCA</w:t>
      </w:r>
      <w:r w:rsidR="00F7282E" w:rsidRPr="008B792B">
        <w:rPr>
          <w:rFonts w:ascii="Palatino Linotype" w:eastAsia="Calibri" w:hAnsi="Palatino Linotype" w:cs="Arial"/>
          <w:b/>
          <w:sz w:val="24"/>
          <w:szCs w:val="24"/>
          <w:lang w:val="es-ES"/>
        </w:rPr>
        <w:t xml:space="preserve"> </w:t>
      </w:r>
      <w:r w:rsidR="00F7282E" w:rsidRPr="008B792B">
        <w:rPr>
          <w:rFonts w:ascii="Palatino Linotype" w:eastAsia="Calibri" w:hAnsi="Palatino Linotype" w:cs="Arial"/>
          <w:sz w:val="24"/>
          <w:szCs w:val="24"/>
          <w:lang w:val="es-ES"/>
        </w:rPr>
        <w:t xml:space="preserve">la respuesta emitida por </w:t>
      </w:r>
      <w:r w:rsidR="00B66085" w:rsidRPr="008B792B">
        <w:rPr>
          <w:rFonts w:ascii="Palatino Linotype" w:eastAsia="Calibri" w:hAnsi="Palatino Linotype" w:cs="Arial"/>
          <w:sz w:val="24"/>
          <w:szCs w:val="24"/>
          <w:lang w:val="es-ES"/>
        </w:rPr>
        <w:t>la</w:t>
      </w:r>
      <w:r w:rsidR="00F7282E" w:rsidRPr="008B792B">
        <w:rPr>
          <w:rFonts w:ascii="Palatino Linotype" w:eastAsia="Calibri" w:hAnsi="Palatino Linotype" w:cs="Arial"/>
          <w:sz w:val="24"/>
          <w:szCs w:val="24"/>
          <w:lang w:val="es-ES"/>
        </w:rPr>
        <w:t xml:space="preserve"> </w:t>
      </w:r>
      <w:r w:rsidR="00B66085" w:rsidRPr="008B792B">
        <w:rPr>
          <w:rFonts w:ascii="Palatino Linotype" w:hAnsi="Palatino Linotype" w:cs="Arial"/>
          <w:b/>
          <w:sz w:val="24"/>
          <w:szCs w:val="24"/>
        </w:rPr>
        <w:t>Fiscalía General de Justicia del Estado de México</w:t>
      </w:r>
      <w:r w:rsidR="00F7282E" w:rsidRPr="008B792B">
        <w:rPr>
          <w:rFonts w:ascii="Palatino Linotype" w:eastAsia="Calibri" w:hAnsi="Palatino Linotype" w:cs="Arial"/>
          <w:bCs/>
          <w:sz w:val="24"/>
          <w:szCs w:val="24"/>
        </w:rPr>
        <w:t xml:space="preserve"> </w:t>
      </w:r>
      <w:r w:rsidR="00F7282E" w:rsidRPr="008B792B">
        <w:rPr>
          <w:rFonts w:ascii="Palatino Linotype" w:hAnsi="Palatino Linotype"/>
          <w:bCs/>
          <w:sz w:val="24"/>
          <w:szCs w:val="24"/>
        </w:rPr>
        <w:t>y se</w:t>
      </w:r>
      <w:r w:rsidR="00F7282E" w:rsidRPr="008B792B">
        <w:rPr>
          <w:rFonts w:ascii="Palatino Linotype" w:hAnsi="Palatino Linotype"/>
          <w:b/>
          <w:bCs/>
          <w:sz w:val="24"/>
          <w:szCs w:val="24"/>
        </w:rPr>
        <w:t xml:space="preserve"> ORDENA</w:t>
      </w:r>
      <w:r w:rsidR="00F7282E" w:rsidRPr="008B792B">
        <w:rPr>
          <w:rFonts w:ascii="Palatino Linotype" w:eastAsia="Times New Roman" w:hAnsi="Palatino Linotype" w:cs="Arial"/>
          <w:sz w:val="24"/>
          <w:szCs w:val="24"/>
          <w:lang w:val="es-ES"/>
        </w:rPr>
        <w:t xml:space="preserve"> </w:t>
      </w:r>
      <w:r w:rsidR="00F7282E" w:rsidRPr="008B792B">
        <w:rPr>
          <w:rFonts w:ascii="Palatino Linotype" w:eastAsia="Calibri" w:hAnsi="Palatino Linotype" w:cs="Arial"/>
          <w:sz w:val="24"/>
          <w:szCs w:val="24"/>
          <w:lang w:val="es-ES"/>
        </w:rPr>
        <w:t xml:space="preserve">entregar vía </w:t>
      </w:r>
      <w:r w:rsidR="00F7282E" w:rsidRPr="008B792B">
        <w:rPr>
          <w:rFonts w:ascii="Palatino Linotype" w:eastAsia="Calibri" w:hAnsi="Palatino Linotype" w:cs="Arial"/>
          <w:sz w:val="24"/>
          <w:szCs w:val="24"/>
        </w:rPr>
        <w:t>Sistema de Acceso a Información Mexiquense (SAIMEX)</w:t>
      </w:r>
      <w:r w:rsidR="00F7282E" w:rsidRPr="008B792B">
        <w:rPr>
          <w:rFonts w:ascii="Palatino Linotype" w:eastAsia="Calibri" w:hAnsi="Palatino Linotype" w:cs="Arial"/>
          <w:b/>
          <w:sz w:val="24"/>
          <w:szCs w:val="24"/>
          <w:lang w:val="es-ES"/>
        </w:rPr>
        <w:t>,</w:t>
      </w:r>
      <w:r w:rsidR="00CD03B7" w:rsidRPr="008B792B">
        <w:rPr>
          <w:rFonts w:ascii="Palatino Linotype" w:eastAsia="Times New Roman" w:hAnsi="Palatino Linotype" w:cs="Arial"/>
          <w:sz w:val="24"/>
          <w:szCs w:val="24"/>
          <w:lang w:val="es-ES"/>
        </w:rPr>
        <w:t xml:space="preserve"> </w:t>
      </w:r>
      <w:r w:rsidR="00F7282E" w:rsidRPr="008B792B">
        <w:rPr>
          <w:rFonts w:ascii="Palatino Linotype" w:eastAsia="Times New Roman" w:hAnsi="Palatino Linotype" w:cs="Arial"/>
          <w:sz w:val="24"/>
          <w:szCs w:val="24"/>
          <w:lang w:val="es-ES"/>
        </w:rPr>
        <w:t>la siguiente información:</w:t>
      </w:r>
    </w:p>
    <w:p w14:paraId="469ACAB4" w14:textId="4F5D1BA7" w:rsidR="00F7282E" w:rsidRPr="008B792B" w:rsidRDefault="00B66085" w:rsidP="00F4049B">
      <w:pPr>
        <w:pStyle w:val="Prrafodelista"/>
        <w:numPr>
          <w:ilvl w:val="0"/>
          <w:numId w:val="39"/>
        </w:numPr>
        <w:spacing w:before="240" w:after="240" w:line="360" w:lineRule="auto"/>
        <w:jc w:val="both"/>
        <w:rPr>
          <w:rFonts w:ascii="Palatino Linotype" w:eastAsia="Calibri" w:hAnsi="Palatino Linotype" w:cs="Arial"/>
          <w:b/>
          <w:sz w:val="24"/>
          <w:szCs w:val="24"/>
          <w:lang w:val="es-ES"/>
        </w:rPr>
      </w:pPr>
      <w:r w:rsidRPr="008B792B">
        <w:rPr>
          <w:rFonts w:ascii="Palatino Linotype" w:eastAsia="Calibri" w:hAnsi="Palatino Linotype" w:cs="Arial"/>
          <w:b/>
          <w:sz w:val="24"/>
          <w:szCs w:val="24"/>
          <w:lang w:val="es-ES"/>
        </w:rPr>
        <w:t xml:space="preserve">Leyes, Reglamentos, Manuales, Acuerdos, Circulares, o cualquier otro ordenamiento, vigente al catorce (14) de septiembre de dos mil veinte, que establezca el ámbito de jurisdicción y competencia de la Fiscalía General de Justicia del Estado de México y de cada una de las unidades que la integran. </w:t>
      </w:r>
    </w:p>
    <w:p w14:paraId="19271FBB" w14:textId="3CC68041" w:rsidR="00F7282E" w:rsidRPr="008B792B" w:rsidRDefault="00F7282E" w:rsidP="00F7282E">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8B792B">
        <w:rPr>
          <w:rFonts w:ascii="Palatino Linotype" w:eastAsia="Palatino Linotype" w:hAnsi="Palatino Linotype" w:cs="Palatino Linotype"/>
          <w:b/>
          <w:sz w:val="24"/>
          <w:szCs w:val="24"/>
        </w:rPr>
        <w:t xml:space="preserve">TERCERO. Notifíquese </w:t>
      </w:r>
      <w:r w:rsidRPr="008B792B">
        <w:rPr>
          <w:rFonts w:ascii="Palatino Linotype" w:eastAsia="Palatino Linotype" w:hAnsi="Palatino Linotype" w:cs="Palatino Linotype"/>
          <w:sz w:val="24"/>
          <w:szCs w:val="24"/>
        </w:rPr>
        <w:t xml:space="preserve">al Titular de la Unidad de Transparencia del </w:t>
      </w:r>
      <w:r w:rsidRPr="008B792B">
        <w:rPr>
          <w:rFonts w:ascii="Palatino Linotype" w:eastAsia="Palatino Linotype" w:hAnsi="Palatino Linotype" w:cs="Palatino Linotype"/>
          <w:b/>
          <w:sz w:val="24"/>
          <w:szCs w:val="24"/>
        </w:rPr>
        <w:t>SUJETO OBLIGADO</w:t>
      </w:r>
      <w:r w:rsidRPr="008B792B">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8B792B">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6331DC0" w14:textId="77777777" w:rsidR="00F7282E" w:rsidRPr="008B792B" w:rsidRDefault="00F7282E" w:rsidP="00F7282E">
      <w:pPr>
        <w:tabs>
          <w:tab w:val="left" w:pos="8080"/>
        </w:tabs>
        <w:spacing w:line="360" w:lineRule="auto"/>
        <w:ind w:right="49"/>
        <w:contextualSpacing/>
        <w:jc w:val="both"/>
        <w:rPr>
          <w:rFonts w:ascii="Palatino Linotype" w:eastAsia="Palatino Linotype" w:hAnsi="Palatino Linotype" w:cs="Palatino Linotype"/>
          <w:b/>
        </w:rPr>
      </w:pPr>
    </w:p>
    <w:p w14:paraId="379FB33B" w14:textId="56C26462" w:rsidR="00A9278D" w:rsidRPr="008B792B"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8B792B">
        <w:rPr>
          <w:rFonts w:ascii="Palatino Linotype" w:eastAsia="MS Mincho" w:hAnsi="Palatino Linotype" w:cs="Times New Roman"/>
          <w:b/>
          <w:color w:val="000000"/>
          <w:sz w:val="24"/>
          <w:szCs w:val="24"/>
        </w:rPr>
        <w:t xml:space="preserve">CUARTO. </w:t>
      </w:r>
      <w:r w:rsidRPr="008B792B">
        <w:rPr>
          <w:rFonts w:ascii="Palatino Linotype" w:eastAsia="MS Gothic" w:hAnsi="Palatino Linotype" w:cs="Times New Roman"/>
          <w:sz w:val="24"/>
          <w:szCs w:val="24"/>
        </w:rPr>
        <w:t xml:space="preserve">Notifíquese a </w:t>
      </w:r>
      <w:r w:rsidR="00F7282E" w:rsidRPr="008B792B">
        <w:rPr>
          <w:rFonts w:ascii="Palatino Linotype" w:eastAsia="MS Gothic" w:hAnsi="Palatino Linotype" w:cs="Times New Roman"/>
          <w:b/>
          <w:sz w:val="24"/>
          <w:szCs w:val="24"/>
        </w:rPr>
        <w:t>EL RECURRENTE</w:t>
      </w:r>
      <w:r w:rsidRPr="008B792B">
        <w:rPr>
          <w:rFonts w:ascii="Palatino Linotype" w:eastAsia="MS Gothic" w:hAnsi="Palatino Linotype" w:cs="Times New Roman"/>
          <w:b/>
          <w:sz w:val="24"/>
          <w:szCs w:val="24"/>
        </w:rPr>
        <w:t xml:space="preserve"> </w:t>
      </w:r>
      <w:r w:rsidRPr="008B792B">
        <w:rPr>
          <w:rFonts w:ascii="Palatino Linotype" w:eastAsia="MS Gothic" w:hAnsi="Palatino Linotype" w:cs="Times New Roman"/>
          <w:sz w:val="24"/>
          <w:szCs w:val="24"/>
        </w:rPr>
        <w:t>la presente</w:t>
      </w:r>
      <w:r w:rsidR="00F7282E" w:rsidRPr="008B792B">
        <w:rPr>
          <w:rFonts w:ascii="Palatino Linotype" w:eastAsia="Times New Roman" w:hAnsi="Palatino Linotype" w:cs="Times New Roman"/>
          <w:color w:val="222222"/>
          <w:sz w:val="24"/>
          <w:szCs w:val="24"/>
          <w:lang w:val="es-ES" w:eastAsia="es-MX"/>
        </w:rPr>
        <w:t xml:space="preserve"> resolución</w:t>
      </w:r>
      <w:r w:rsidR="00BE12EB" w:rsidRPr="008B792B">
        <w:rPr>
          <w:rFonts w:ascii="Palatino Linotype" w:eastAsia="Times New Roman" w:hAnsi="Palatino Linotype" w:cs="Times New Roman"/>
          <w:color w:val="222222"/>
          <w:sz w:val="24"/>
          <w:szCs w:val="24"/>
          <w:lang w:val="es-ES" w:eastAsia="es-MX"/>
        </w:rPr>
        <w:t xml:space="preserve"> y el informe justificado. </w:t>
      </w:r>
      <w:r w:rsidR="00C94C46" w:rsidRPr="008B792B">
        <w:rPr>
          <w:rFonts w:ascii="Palatino Linotype" w:eastAsia="Times New Roman" w:hAnsi="Palatino Linotype" w:cs="Times New Roman"/>
          <w:color w:val="222222"/>
          <w:sz w:val="24"/>
          <w:szCs w:val="24"/>
          <w:lang w:val="es-ES" w:eastAsia="es-MX"/>
        </w:rPr>
        <w:t xml:space="preserve"> </w:t>
      </w:r>
    </w:p>
    <w:p w14:paraId="04AB9F7A" w14:textId="41F7F8DA" w:rsidR="00A9278D" w:rsidRPr="008B792B" w:rsidRDefault="00A9278D" w:rsidP="00A9278D">
      <w:pPr>
        <w:spacing w:line="360" w:lineRule="auto"/>
        <w:jc w:val="both"/>
        <w:rPr>
          <w:rFonts w:ascii="Palatino Linotype" w:eastAsia="MS Mincho" w:hAnsi="Palatino Linotype" w:cs="Times New Roman"/>
          <w:color w:val="000000"/>
          <w:sz w:val="24"/>
          <w:szCs w:val="24"/>
        </w:rPr>
      </w:pPr>
      <w:r w:rsidRPr="008B792B">
        <w:rPr>
          <w:rFonts w:ascii="Palatino Linotype" w:eastAsia="MS Mincho" w:hAnsi="Palatino Linotype" w:cs="Times New Roman"/>
          <w:b/>
          <w:color w:val="000000"/>
          <w:sz w:val="24"/>
          <w:szCs w:val="24"/>
        </w:rPr>
        <w:lastRenderedPageBreak/>
        <w:t>QUINTO.</w:t>
      </w:r>
      <w:r w:rsidRPr="008B792B">
        <w:rPr>
          <w:rFonts w:ascii="Palatino Linotype" w:eastAsia="MS Mincho" w:hAnsi="Palatino Linotype" w:cs="Times New Roman"/>
          <w:color w:val="000000"/>
          <w:sz w:val="24"/>
          <w:szCs w:val="24"/>
        </w:rPr>
        <w:t xml:space="preserve"> Se hace del conocimiento de </w:t>
      </w:r>
      <w:r w:rsidR="00F7282E" w:rsidRPr="008B792B">
        <w:rPr>
          <w:rFonts w:ascii="Palatino Linotype" w:eastAsia="MS Gothic" w:hAnsi="Palatino Linotype" w:cs="Times New Roman"/>
          <w:b/>
          <w:sz w:val="24"/>
          <w:szCs w:val="24"/>
        </w:rPr>
        <w:t>EL RECURRENTE</w:t>
      </w:r>
      <w:r w:rsidR="00C94C46" w:rsidRPr="008B792B">
        <w:rPr>
          <w:rFonts w:ascii="Palatino Linotype" w:eastAsia="MS Gothic" w:hAnsi="Palatino Linotype" w:cs="Times New Roman"/>
          <w:b/>
          <w:sz w:val="24"/>
          <w:szCs w:val="24"/>
        </w:rPr>
        <w:t xml:space="preserve"> </w:t>
      </w:r>
      <w:r w:rsidRPr="008B792B">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4B1753B" w14:textId="2C9DD56F" w:rsidR="00BE12EB" w:rsidRDefault="00BE12EB" w:rsidP="00BE12EB">
      <w:pPr>
        <w:spacing w:line="360" w:lineRule="auto"/>
        <w:jc w:val="both"/>
        <w:rPr>
          <w:rFonts w:ascii="Palatino Linotype" w:hAnsi="Palatino Linotype"/>
          <w:color w:val="000000"/>
          <w:sz w:val="24"/>
          <w:szCs w:val="24"/>
          <w:shd w:val="clear" w:color="auto" w:fill="FFFFFF"/>
        </w:rPr>
      </w:pPr>
      <w:r w:rsidRPr="008B792B">
        <w:rPr>
          <w:rFonts w:ascii="Palatino Linotype" w:hAnsi="Palatino Linotype"/>
          <w:b/>
          <w:bCs/>
          <w:color w:val="000000"/>
          <w:sz w:val="24"/>
          <w:szCs w:val="24"/>
          <w:shd w:val="clear" w:color="auto" w:fill="FFFFFF"/>
        </w:rPr>
        <w:t>SEXTO.</w:t>
      </w:r>
      <w:r w:rsidRPr="008B792B">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Pr="008B792B">
        <w:rPr>
          <w:rFonts w:ascii="Palatino Linotype" w:hAnsi="Palatino Linotype"/>
          <w:b/>
          <w:bCs/>
          <w:color w:val="000000"/>
          <w:sz w:val="24"/>
          <w:szCs w:val="24"/>
          <w:shd w:val="clear" w:color="auto" w:fill="FFFFFF"/>
        </w:rPr>
        <w:t>SUJETO OBLIGADO</w:t>
      </w:r>
      <w:r w:rsidRPr="008B792B">
        <w:rPr>
          <w:rFonts w:ascii="Palatino Linotype" w:hAnsi="Palatino Linotype"/>
          <w:color w:val="000000"/>
          <w:sz w:val="24"/>
          <w:szCs w:val="24"/>
          <w:shd w:val="clear" w:color="auto" w:fill="FFFFFF"/>
        </w:rPr>
        <w:t xml:space="preserve"> de que, en caso de incumplimiento total o parcial de la presente resolución, se actuará de conformidad con lo dispuesto </w:t>
      </w:r>
      <w:bookmarkStart w:id="37" w:name="_GoBack"/>
      <w:bookmarkEnd w:id="37"/>
      <w:r w:rsidRPr="008B792B">
        <w:rPr>
          <w:rFonts w:ascii="Palatino Linotype" w:hAnsi="Palatino Linotype"/>
          <w:color w:val="000000"/>
          <w:sz w:val="24"/>
          <w:szCs w:val="24"/>
          <w:shd w:val="clear" w:color="auto" w:fill="FFFFFF"/>
        </w:rPr>
        <w:t>en los artículos 213, 214, 215, 216 y 217 de la ley en cita. </w:t>
      </w:r>
    </w:p>
    <w:p w14:paraId="1236717A" w14:textId="77777777" w:rsidR="008B792B" w:rsidRDefault="008B792B" w:rsidP="008B792B">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OCTAVA SESIÓN ORDINARIA CELEBRADA EL VEINTICINCO (25) DE NOVIEMBRE DE DOS MIL VEINTE, ANTE EL SECRETARIO TÉCNICO DEL PLENO ALEXIS TAPIA RAMÍREZ.</w:t>
      </w:r>
      <w:r>
        <w:rPr>
          <w:rFonts w:ascii="Palatino Linotype" w:eastAsiaTheme="minorEastAsia" w:hAnsi="Palatino Linotype" w:cs="Arial"/>
          <w:sz w:val="24"/>
          <w:szCs w:val="24"/>
          <w:lang w:val="es-ES_tradnl" w:eastAsia="es-ES"/>
        </w:rPr>
        <w:t xml:space="preserve">  </w:t>
      </w:r>
    </w:p>
    <w:p w14:paraId="4DAC1336" w14:textId="59043F6D" w:rsidR="008B792B" w:rsidRDefault="008B792B" w:rsidP="008B792B">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tbl>
      <w:tblPr>
        <w:tblStyle w:val="Tablaconcuadrcula1"/>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4447"/>
      </w:tblGrid>
      <w:tr w:rsidR="008B792B" w14:paraId="57FEA6D7" w14:textId="77777777" w:rsidTr="008B792B">
        <w:trPr>
          <w:trHeight w:val="1155"/>
        </w:trPr>
        <w:tc>
          <w:tcPr>
            <w:tcW w:w="8892" w:type="dxa"/>
            <w:gridSpan w:val="2"/>
            <w:vAlign w:val="center"/>
          </w:tcPr>
          <w:p w14:paraId="23499E53" w14:textId="77777777" w:rsidR="008B792B" w:rsidRDefault="008B792B">
            <w:pPr>
              <w:ind w:right="51"/>
              <w:jc w:val="center"/>
              <w:rPr>
                <w:rFonts w:ascii="Palatino Linotype" w:eastAsiaTheme="minorEastAsia" w:hAnsi="Palatino Linotype" w:cs="Times New Roman"/>
                <w:b/>
              </w:rPr>
            </w:pPr>
          </w:p>
          <w:p w14:paraId="3486EA0E" w14:textId="77777777" w:rsidR="008B792B" w:rsidRDefault="008B792B">
            <w:pPr>
              <w:ind w:right="51"/>
              <w:jc w:val="center"/>
              <w:rPr>
                <w:rFonts w:ascii="Palatino Linotype" w:eastAsiaTheme="minorEastAsia" w:hAnsi="Palatino Linotype" w:cs="Times New Roman"/>
                <w:b/>
              </w:rPr>
            </w:pPr>
          </w:p>
          <w:p w14:paraId="36CDF3CD" w14:textId="77777777" w:rsidR="008B792B" w:rsidRDefault="008B792B">
            <w:pPr>
              <w:ind w:right="51"/>
              <w:jc w:val="center"/>
              <w:rPr>
                <w:rFonts w:ascii="Palatino Linotype" w:eastAsiaTheme="minorEastAsia" w:hAnsi="Palatino Linotype" w:cs="Times New Roman"/>
                <w:b/>
              </w:rPr>
            </w:pPr>
          </w:p>
          <w:p w14:paraId="5A4B9C82"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Zulema Martínez Sánchez</w:t>
            </w:r>
          </w:p>
          <w:p w14:paraId="21C01692"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 Presidenta</w:t>
            </w:r>
          </w:p>
          <w:p w14:paraId="612EB5BB"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8B792B" w14:paraId="6D939970" w14:textId="77777777" w:rsidTr="008B792B">
        <w:trPr>
          <w:trHeight w:val="1380"/>
        </w:trPr>
        <w:tc>
          <w:tcPr>
            <w:tcW w:w="4445" w:type="dxa"/>
            <w:vAlign w:val="center"/>
          </w:tcPr>
          <w:p w14:paraId="5F537320" w14:textId="77777777" w:rsidR="008B792B" w:rsidRDefault="008B792B">
            <w:pPr>
              <w:ind w:right="51"/>
              <w:jc w:val="center"/>
              <w:rPr>
                <w:rFonts w:ascii="Palatino Linotype" w:eastAsiaTheme="minorEastAsia" w:hAnsi="Palatino Linotype" w:cs="Times New Roman"/>
                <w:b/>
              </w:rPr>
            </w:pPr>
          </w:p>
          <w:p w14:paraId="1F74777B" w14:textId="77777777" w:rsidR="008B792B" w:rsidRDefault="008B792B">
            <w:pPr>
              <w:ind w:right="51"/>
              <w:jc w:val="center"/>
              <w:rPr>
                <w:rFonts w:ascii="Palatino Linotype" w:eastAsiaTheme="minorEastAsia" w:hAnsi="Palatino Linotype" w:cs="Times New Roman"/>
                <w:b/>
              </w:rPr>
            </w:pPr>
          </w:p>
          <w:p w14:paraId="0E895F3D" w14:textId="77777777" w:rsidR="008B792B" w:rsidRDefault="008B792B">
            <w:pPr>
              <w:ind w:right="51"/>
              <w:jc w:val="center"/>
              <w:rPr>
                <w:rFonts w:ascii="Palatino Linotype" w:eastAsiaTheme="minorEastAsia" w:hAnsi="Palatino Linotype" w:cs="Times New Roman"/>
                <w:b/>
              </w:rPr>
            </w:pPr>
          </w:p>
          <w:p w14:paraId="47175FBB" w14:textId="77777777" w:rsidR="008B792B" w:rsidRDefault="008B792B">
            <w:pPr>
              <w:ind w:right="51"/>
              <w:jc w:val="center"/>
              <w:rPr>
                <w:rFonts w:ascii="Palatino Linotype" w:eastAsiaTheme="minorEastAsia" w:hAnsi="Palatino Linotype" w:cs="Times New Roman"/>
                <w:b/>
              </w:rPr>
            </w:pPr>
          </w:p>
          <w:p w14:paraId="160EDBB6" w14:textId="77777777" w:rsidR="008B792B" w:rsidRDefault="008B792B">
            <w:pPr>
              <w:ind w:right="51"/>
              <w:jc w:val="center"/>
              <w:rPr>
                <w:rFonts w:ascii="Palatino Linotype" w:eastAsiaTheme="minorEastAsia" w:hAnsi="Palatino Linotype" w:cs="Times New Roman"/>
                <w:b/>
              </w:rPr>
            </w:pPr>
          </w:p>
          <w:p w14:paraId="66C06817"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 xml:space="preserve">Eva </w:t>
            </w:r>
            <w:proofErr w:type="spellStart"/>
            <w:r>
              <w:rPr>
                <w:rFonts w:ascii="Palatino Linotype" w:eastAsiaTheme="minorEastAsia" w:hAnsi="Palatino Linotype" w:cs="Times New Roman"/>
                <w:b/>
              </w:rPr>
              <w:t>Abaid</w:t>
            </w:r>
            <w:proofErr w:type="spellEnd"/>
            <w:r>
              <w:rPr>
                <w:rFonts w:ascii="Palatino Linotype" w:eastAsiaTheme="minorEastAsia" w:hAnsi="Palatino Linotype" w:cs="Times New Roman"/>
                <w:b/>
              </w:rPr>
              <w:t xml:space="preserve"> </w:t>
            </w:r>
            <w:proofErr w:type="spellStart"/>
            <w:r>
              <w:rPr>
                <w:rFonts w:ascii="Palatino Linotype" w:eastAsiaTheme="minorEastAsia" w:hAnsi="Palatino Linotype" w:cs="Times New Roman"/>
                <w:b/>
              </w:rPr>
              <w:t>Yapur</w:t>
            </w:r>
            <w:proofErr w:type="spellEnd"/>
          </w:p>
          <w:p w14:paraId="7E662E6A"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Comisionada</w:t>
            </w:r>
          </w:p>
          <w:p w14:paraId="310FA693"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446" w:type="dxa"/>
            <w:vAlign w:val="center"/>
          </w:tcPr>
          <w:p w14:paraId="407617DD" w14:textId="77777777" w:rsidR="008B792B" w:rsidRDefault="008B792B">
            <w:pPr>
              <w:ind w:right="51"/>
              <w:jc w:val="center"/>
              <w:rPr>
                <w:rFonts w:ascii="Palatino Linotype" w:eastAsiaTheme="minorEastAsia" w:hAnsi="Palatino Linotype" w:cs="Times New Roman"/>
                <w:b/>
              </w:rPr>
            </w:pPr>
          </w:p>
          <w:p w14:paraId="0D7E578C" w14:textId="77777777" w:rsidR="008B792B" w:rsidRDefault="008B792B">
            <w:pPr>
              <w:ind w:right="51"/>
              <w:jc w:val="center"/>
              <w:rPr>
                <w:rFonts w:ascii="Palatino Linotype" w:eastAsiaTheme="minorEastAsia" w:hAnsi="Palatino Linotype" w:cs="Times New Roman"/>
                <w:b/>
              </w:rPr>
            </w:pPr>
          </w:p>
          <w:p w14:paraId="42F15CAB" w14:textId="77777777" w:rsidR="008B792B" w:rsidRDefault="008B792B">
            <w:pPr>
              <w:ind w:right="51"/>
              <w:jc w:val="center"/>
              <w:rPr>
                <w:rFonts w:ascii="Palatino Linotype" w:eastAsiaTheme="minorEastAsia" w:hAnsi="Palatino Linotype" w:cs="Times New Roman"/>
                <w:b/>
              </w:rPr>
            </w:pPr>
          </w:p>
          <w:p w14:paraId="530F9F98" w14:textId="77777777" w:rsidR="008B792B" w:rsidRDefault="008B792B">
            <w:pPr>
              <w:ind w:right="51"/>
              <w:jc w:val="center"/>
              <w:rPr>
                <w:rFonts w:ascii="Palatino Linotype" w:eastAsiaTheme="minorEastAsia" w:hAnsi="Palatino Linotype" w:cs="Times New Roman"/>
                <w:b/>
              </w:rPr>
            </w:pPr>
          </w:p>
          <w:p w14:paraId="108C5731" w14:textId="77777777" w:rsidR="008B792B" w:rsidRDefault="008B792B">
            <w:pPr>
              <w:ind w:right="51"/>
              <w:jc w:val="center"/>
              <w:rPr>
                <w:rFonts w:ascii="Palatino Linotype" w:eastAsiaTheme="minorEastAsia" w:hAnsi="Palatino Linotype" w:cs="Times New Roman"/>
                <w:b/>
              </w:rPr>
            </w:pPr>
          </w:p>
          <w:p w14:paraId="72F9AE97"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José Guadalupe Luna Hernández</w:t>
            </w:r>
          </w:p>
          <w:p w14:paraId="6FABD51B"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2E1B6F8F"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8B792B" w14:paraId="46993910" w14:textId="77777777" w:rsidTr="008B792B">
        <w:trPr>
          <w:trHeight w:val="1436"/>
        </w:trPr>
        <w:tc>
          <w:tcPr>
            <w:tcW w:w="4445" w:type="dxa"/>
            <w:vAlign w:val="center"/>
          </w:tcPr>
          <w:p w14:paraId="52724B62" w14:textId="77777777" w:rsidR="008B792B" w:rsidRDefault="008B792B">
            <w:pPr>
              <w:ind w:right="51"/>
              <w:jc w:val="center"/>
              <w:rPr>
                <w:rFonts w:ascii="Palatino Linotype" w:eastAsiaTheme="minorEastAsia" w:hAnsi="Palatino Linotype" w:cs="Times New Roman"/>
                <w:b/>
              </w:rPr>
            </w:pPr>
          </w:p>
          <w:p w14:paraId="05C2C573" w14:textId="77777777" w:rsidR="008B792B" w:rsidRDefault="008B792B" w:rsidP="007C5AAB">
            <w:pPr>
              <w:ind w:right="51"/>
              <w:rPr>
                <w:rFonts w:ascii="Palatino Linotype" w:eastAsiaTheme="minorEastAsia" w:hAnsi="Palatino Linotype" w:cs="Times New Roman"/>
                <w:b/>
              </w:rPr>
            </w:pPr>
          </w:p>
          <w:p w14:paraId="1C1D6DE6" w14:textId="77777777" w:rsidR="008B792B" w:rsidRDefault="008B792B">
            <w:pPr>
              <w:ind w:right="51"/>
              <w:jc w:val="center"/>
              <w:rPr>
                <w:rFonts w:ascii="Palatino Linotype" w:eastAsiaTheme="minorEastAsia" w:hAnsi="Palatino Linotype" w:cs="Times New Roman"/>
                <w:b/>
              </w:rPr>
            </w:pPr>
          </w:p>
          <w:p w14:paraId="300DCEF9" w14:textId="77777777" w:rsidR="008B792B" w:rsidRDefault="008B792B">
            <w:pPr>
              <w:ind w:right="51"/>
              <w:jc w:val="center"/>
              <w:rPr>
                <w:rFonts w:ascii="Palatino Linotype" w:eastAsiaTheme="minorEastAsia" w:hAnsi="Palatino Linotype" w:cs="Times New Roman"/>
                <w:b/>
              </w:rPr>
            </w:pPr>
          </w:p>
          <w:p w14:paraId="1CC9E5B3" w14:textId="77777777" w:rsidR="008B792B" w:rsidRDefault="008B792B">
            <w:pPr>
              <w:ind w:right="51"/>
              <w:jc w:val="center"/>
              <w:rPr>
                <w:rFonts w:ascii="Palatino Linotype" w:eastAsiaTheme="minorEastAsia" w:hAnsi="Palatino Linotype" w:cs="Times New Roman"/>
                <w:b/>
              </w:rPr>
            </w:pPr>
          </w:p>
          <w:p w14:paraId="087DC332"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Javier Martínez Cruz</w:t>
            </w:r>
          </w:p>
          <w:p w14:paraId="5BB60D5C"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722B651A"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c>
          <w:tcPr>
            <w:tcW w:w="4446" w:type="dxa"/>
            <w:vAlign w:val="center"/>
          </w:tcPr>
          <w:p w14:paraId="05D278C1" w14:textId="77777777" w:rsidR="008B792B" w:rsidRDefault="008B792B">
            <w:pPr>
              <w:ind w:right="51"/>
              <w:jc w:val="center"/>
              <w:rPr>
                <w:rFonts w:ascii="Palatino Linotype" w:eastAsiaTheme="minorEastAsia" w:hAnsi="Palatino Linotype" w:cs="Times New Roman"/>
                <w:b/>
              </w:rPr>
            </w:pPr>
          </w:p>
          <w:p w14:paraId="766F4393" w14:textId="77777777" w:rsidR="008B792B" w:rsidRDefault="008B792B">
            <w:pPr>
              <w:ind w:right="51"/>
              <w:jc w:val="center"/>
              <w:rPr>
                <w:rFonts w:ascii="Palatino Linotype" w:eastAsiaTheme="minorEastAsia" w:hAnsi="Palatino Linotype" w:cs="Times New Roman"/>
                <w:b/>
              </w:rPr>
            </w:pPr>
          </w:p>
          <w:p w14:paraId="258058D6" w14:textId="77777777" w:rsidR="008B792B" w:rsidRDefault="008B792B">
            <w:pPr>
              <w:ind w:right="51"/>
              <w:jc w:val="center"/>
              <w:rPr>
                <w:rFonts w:ascii="Palatino Linotype" w:eastAsiaTheme="minorEastAsia" w:hAnsi="Palatino Linotype" w:cs="Times New Roman"/>
                <w:b/>
              </w:rPr>
            </w:pPr>
          </w:p>
          <w:p w14:paraId="47DCDC17" w14:textId="77777777" w:rsidR="008B792B" w:rsidRDefault="008B792B">
            <w:pPr>
              <w:ind w:right="51"/>
              <w:jc w:val="center"/>
              <w:rPr>
                <w:rFonts w:ascii="Palatino Linotype" w:eastAsiaTheme="minorEastAsia" w:hAnsi="Palatino Linotype" w:cs="Times New Roman"/>
                <w:b/>
              </w:rPr>
            </w:pPr>
          </w:p>
          <w:p w14:paraId="7EF429BB" w14:textId="77777777" w:rsidR="008B792B" w:rsidRDefault="008B792B">
            <w:pPr>
              <w:ind w:right="51"/>
              <w:jc w:val="center"/>
              <w:rPr>
                <w:rFonts w:ascii="Palatino Linotype" w:eastAsiaTheme="minorEastAsia" w:hAnsi="Palatino Linotype" w:cs="Times New Roman"/>
                <w:b/>
              </w:rPr>
            </w:pPr>
          </w:p>
          <w:p w14:paraId="77F1E0CB"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Luis Gustavo Parra Noriega</w:t>
            </w:r>
          </w:p>
          <w:p w14:paraId="1549C150"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Comisionado</w:t>
            </w:r>
          </w:p>
          <w:p w14:paraId="4989CD63"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tc>
      </w:tr>
      <w:tr w:rsidR="008B792B" w14:paraId="15C3E742" w14:textId="77777777" w:rsidTr="008B792B">
        <w:trPr>
          <w:trHeight w:val="1249"/>
        </w:trPr>
        <w:tc>
          <w:tcPr>
            <w:tcW w:w="8892" w:type="dxa"/>
            <w:gridSpan w:val="2"/>
            <w:vAlign w:val="center"/>
          </w:tcPr>
          <w:p w14:paraId="7F2EFC71" w14:textId="77777777" w:rsidR="008B792B" w:rsidRDefault="008B792B">
            <w:pPr>
              <w:ind w:right="51"/>
              <w:jc w:val="center"/>
              <w:rPr>
                <w:rFonts w:ascii="Palatino Linotype" w:eastAsiaTheme="minorEastAsia" w:hAnsi="Palatino Linotype" w:cs="Times New Roman"/>
                <w:b/>
              </w:rPr>
            </w:pPr>
          </w:p>
          <w:p w14:paraId="48976EE4" w14:textId="77777777" w:rsidR="008B792B" w:rsidRDefault="008B792B">
            <w:pPr>
              <w:ind w:right="51"/>
              <w:jc w:val="center"/>
              <w:rPr>
                <w:rFonts w:ascii="Palatino Linotype" w:eastAsiaTheme="minorEastAsia" w:hAnsi="Palatino Linotype" w:cs="Times New Roman"/>
                <w:b/>
              </w:rPr>
            </w:pPr>
          </w:p>
          <w:p w14:paraId="7485F3C5" w14:textId="77777777" w:rsidR="008B792B" w:rsidRDefault="008B792B">
            <w:pPr>
              <w:ind w:right="51"/>
              <w:jc w:val="center"/>
              <w:rPr>
                <w:rFonts w:ascii="Palatino Linotype" w:eastAsiaTheme="minorEastAsia" w:hAnsi="Palatino Linotype" w:cs="Times New Roman"/>
                <w:b/>
              </w:rPr>
            </w:pPr>
          </w:p>
          <w:p w14:paraId="51E5CFB1" w14:textId="77777777" w:rsidR="008B792B" w:rsidRDefault="008B792B">
            <w:pPr>
              <w:ind w:right="51"/>
              <w:jc w:val="center"/>
              <w:rPr>
                <w:rFonts w:ascii="Palatino Linotype" w:eastAsiaTheme="minorEastAsia" w:hAnsi="Palatino Linotype" w:cs="Times New Roman"/>
                <w:b/>
              </w:rPr>
            </w:pPr>
          </w:p>
          <w:p w14:paraId="785D8E57" w14:textId="77777777" w:rsidR="008B792B" w:rsidRDefault="008B792B">
            <w:pPr>
              <w:ind w:right="51"/>
              <w:jc w:val="center"/>
              <w:rPr>
                <w:rFonts w:ascii="Palatino Linotype" w:eastAsiaTheme="minorEastAsia" w:hAnsi="Palatino Linotype" w:cs="Times New Roman"/>
                <w:b/>
              </w:rPr>
            </w:pPr>
          </w:p>
          <w:p w14:paraId="382AA607" w14:textId="77777777" w:rsidR="008B792B" w:rsidRDefault="008B792B">
            <w:pPr>
              <w:ind w:right="51"/>
              <w:jc w:val="center"/>
              <w:rPr>
                <w:rFonts w:ascii="Palatino Linotype" w:eastAsiaTheme="minorEastAsia" w:hAnsi="Palatino Linotype" w:cs="Times New Roman"/>
                <w:b/>
              </w:rPr>
            </w:pPr>
            <w:r>
              <w:rPr>
                <w:rFonts w:ascii="Palatino Linotype" w:eastAsiaTheme="minorEastAsia" w:hAnsi="Palatino Linotype" w:cs="Times New Roman"/>
                <w:b/>
              </w:rPr>
              <w:t>Alexis Tapia Ramírez</w:t>
            </w:r>
          </w:p>
          <w:p w14:paraId="57302F49" w14:textId="77777777" w:rsidR="008B792B" w:rsidRDefault="008B792B">
            <w:pPr>
              <w:ind w:right="51"/>
              <w:jc w:val="center"/>
              <w:rPr>
                <w:rFonts w:ascii="Palatino Linotype" w:eastAsiaTheme="minorEastAsia" w:hAnsi="Palatino Linotype" w:cs="Times New Roman"/>
              </w:rPr>
            </w:pPr>
            <w:r>
              <w:rPr>
                <w:rFonts w:ascii="Palatino Linotype" w:eastAsiaTheme="minorEastAsia" w:hAnsi="Palatino Linotype" w:cs="Times New Roman"/>
              </w:rPr>
              <w:t>Secretario Técnico del Pleno</w:t>
            </w:r>
          </w:p>
          <w:p w14:paraId="182D4E83" w14:textId="77777777" w:rsidR="008B792B" w:rsidRDefault="008B792B" w:rsidP="008B792B">
            <w:pPr>
              <w:ind w:right="51"/>
              <w:jc w:val="center"/>
              <w:rPr>
                <w:rFonts w:ascii="Palatino Linotype" w:eastAsiaTheme="minorEastAsia" w:hAnsi="Palatino Linotype" w:cs="Times New Roman"/>
              </w:rPr>
            </w:pPr>
            <w:r>
              <w:rPr>
                <w:rFonts w:ascii="Palatino Linotype" w:eastAsiaTheme="minorEastAsia" w:hAnsi="Palatino Linotype" w:cs="Times New Roman"/>
              </w:rPr>
              <w:t>(Rúbrica)</w:t>
            </w:r>
          </w:p>
          <w:p w14:paraId="5CA37A58" w14:textId="06995E5C" w:rsidR="008B792B" w:rsidRPr="008B792B" w:rsidRDefault="008B792B" w:rsidP="008B792B">
            <w:pPr>
              <w:ind w:right="51"/>
              <w:jc w:val="center"/>
              <w:rPr>
                <w:rFonts w:ascii="Palatino Linotype" w:eastAsiaTheme="minorEastAsia" w:hAnsi="Palatino Linotype" w:cs="Times New Roman"/>
              </w:rPr>
            </w:pPr>
          </w:p>
        </w:tc>
      </w:tr>
    </w:tbl>
    <w:p w14:paraId="3E11BFDE" w14:textId="545E2B0A" w:rsidR="008B792B" w:rsidRPr="007C5AAB" w:rsidRDefault="008B792B" w:rsidP="007C5AAB">
      <w:pPr>
        <w:spacing w:after="0" w:line="360" w:lineRule="auto"/>
        <w:ind w:right="49"/>
        <w:jc w:val="both"/>
      </w:pPr>
      <w:r>
        <w:rPr>
          <w:rFonts w:ascii="Palatino Linotype" w:eastAsia="Times New Roman" w:hAnsi="Palatino Linotype" w:cs="Arial"/>
          <w:lang w:val="es-ES_tradnl" w:eastAsia="es-ES"/>
        </w:rPr>
        <w:t xml:space="preserve">Esta hoja corresponde a la resolución de fecha veinticinco (25) de noviembre de dos mil veinte, emitida en el recurso de revisión </w:t>
      </w:r>
      <w:r>
        <w:rPr>
          <w:rFonts w:ascii="Palatino Linotype" w:eastAsia="Times New Roman" w:hAnsi="Palatino Linotype" w:cs="Arial"/>
          <w:b/>
          <w:lang w:val="es-ES_tradnl" w:eastAsia="es-ES"/>
        </w:rPr>
        <w:t>04358/INFOEM/IP/RR/2020</w:t>
      </w:r>
      <w:bookmarkEnd w:id="9"/>
      <w:bookmarkEnd w:id="10"/>
      <w:bookmarkEnd w:id="11"/>
      <w:bookmarkEnd w:id="12"/>
      <w:bookmarkEnd w:id="13"/>
      <w:bookmarkEnd w:id="14"/>
      <w:bookmarkEnd w:id="15"/>
      <w:bookmarkEnd w:id="16"/>
      <w:bookmarkEnd w:id="34"/>
      <w:bookmarkEnd w:id="35"/>
      <w:bookmarkEnd w:id="36"/>
    </w:p>
    <w:sectPr w:rsidR="008B792B" w:rsidRPr="007C5AAB" w:rsidSect="008B792B">
      <w:headerReference w:type="even" r:id="rId10"/>
      <w:headerReference w:type="default" r:id="rId11"/>
      <w:footerReference w:type="default" r:id="rId12"/>
      <w:headerReference w:type="first" r:id="rId13"/>
      <w:footerReference w:type="first" r:id="rId14"/>
      <w:pgSz w:w="12240" w:h="15840"/>
      <w:pgMar w:top="2552" w:right="1752" w:bottom="215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F8ED" w14:textId="77777777" w:rsidR="00CC4AC4" w:rsidRDefault="00CC4AC4" w:rsidP="00E113EC">
      <w:pPr>
        <w:spacing w:after="0" w:line="240" w:lineRule="auto"/>
      </w:pPr>
      <w:r>
        <w:separator/>
      </w:r>
    </w:p>
  </w:endnote>
  <w:endnote w:type="continuationSeparator" w:id="0">
    <w:p w14:paraId="2A73AD5A" w14:textId="77777777" w:rsidR="00CC4AC4" w:rsidRDefault="00CC4AC4"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9EFEF6" w:rsidR="003A01E3" w:rsidRPr="00883450" w:rsidRDefault="003A01E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15327">
              <w:rPr>
                <w:rFonts w:ascii="Palatino Linotype" w:hAnsi="Palatino Linotype"/>
                <w:b/>
                <w:bCs/>
                <w:noProof/>
                <w:szCs w:val="20"/>
              </w:rPr>
              <w:t>27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15327">
              <w:rPr>
                <w:rFonts w:ascii="Palatino Linotype" w:hAnsi="Palatino Linotype"/>
                <w:b/>
                <w:bCs/>
                <w:noProof/>
                <w:szCs w:val="20"/>
              </w:rPr>
              <w:t>28</w:t>
            </w:r>
            <w:r w:rsidRPr="00883450">
              <w:rPr>
                <w:rFonts w:ascii="Palatino Linotype" w:hAnsi="Palatino Linotype"/>
                <w:b/>
                <w:bCs/>
                <w:szCs w:val="20"/>
              </w:rPr>
              <w:fldChar w:fldCharType="end"/>
            </w:r>
          </w:p>
        </w:sdtContent>
      </w:sdt>
    </w:sdtContent>
  </w:sdt>
  <w:p w14:paraId="07765639" w14:textId="77777777" w:rsidR="003A01E3" w:rsidRDefault="003A01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04F25A9C" w:rsidR="003A01E3" w:rsidRPr="00883450" w:rsidRDefault="003A01E3"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15327" w:rsidRPr="00B1532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15327" w:rsidRPr="00B15327">
      <w:rPr>
        <w:rFonts w:ascii="Palatino Linotype" w:hAnsi="Palatino Linotype"/>
        <w:noProof/>
        <w:lang w:val="es-ES"/>
      </w:rPr>
      <w:t>28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30438" w14:textId="77777777" w:rsidR="00CC4AC4" w:rsidRDefault="00CC4AC4" w:rsidP="00E113EC">
      <w:pPr>
        <w:spacing w:after="0" w:line="240" w:lineRule="auto"/>
      </w:pPr>
      <w:r>
        <w:separator/>
      </w:r>
    </w:p>
  </w:footnote>
  <w:footnote w:type="continuationSeparator" w:id="0">
    <w:p w14:paraId="6029C943" w14:textId="77777777" w:rsidR="00CC4AC4" w:rsidRDefault="00CC4AC4" w:rsidP="00E113EC">
      <w:pPr>
        <w:spacing w:after="0" w:line="240" w:lineRule="auto"/>
      </w:pPr>
      <w:r>
        <w:continuationSeparator/>
      </w:r>
    </w:p>
  </w:footnote>
  <w:footnote w:id="1">
    <w:p w14:paraId="181EC95B" w14:textId="77777777" w:rsidR="003A01E3" w:rsidRDefault="003A01E3" w:rsidP="00A24682">
      <w:pPr>
        <w:pStyle w:val="Textonotapie"/>
      </w:pPr>
      <w:r>
        <w:rPr>
          <w:rStyle w:val="Refdenotaalpie"/>
        </w:rPr>
        <w:footnoteRef/>
      </w:r>
      <w:r>
        <w:t xml:space="preserve"> Convención Americana sobre Derechos Humanos. Artículo 13.</w:t>
      </w:r>
    </w:p>
  </w:footnote>
  <w:footnote w:id="2">
    <w:p w14:paraId="701F73F5" w14:textId="77777777" w:rsidR="003A01E3" w:rsidRDefault="003A01E3" w:rsidP="00A24682">
      <w:pPr>
        <w:pStyle w:val="Textonotapie"/>
      </w:pPr>
      <w:r>
        <w:rPr>
          <w:rStyle w:val="Refdenotaalpie"/>
        </w:rPr>
        <w:footnoteRef/>
      </w:r>
      <w:r>
        <w:t xml:space="preserve"> Constitución Política de los Estados Unidos Mexicanos. Artículo sexto, sección A, Fracción I.</w:t>
      </w:r>
    </w:p>
  </w:footnote>
  <w:footnote w:id="3">
    <w:p w14:paraId="01B07E49" w14:textId="77777777" w:rsidR="003A01E3" w:rsidRDefault="003A01E3" w:rsidP="00A2468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AE968CB" w14:textId="77777777" w:rsidR="003A01E3" w:rsidRDefault="003A01E3" w:rsidP="00A24682">
      <w:pPr>
        <w:pStyle w:val="Textonotapie"/>
      </w:pPr>
      <w:r>
        <w:rPr>
          <w:rStyle w:val="Refdenotaalpie"/>
        </w:rPr>
        <w:footnoteRef/>
      </w:r>
      <w:r>
        <w:t xml:space="preserve"> Ibídem. Párr. 87.</w:t>
      </w:r>
    </w:p>
  </w:footnote>
  <w:footnote w:id="5">
    <w:p w14:paraId="17662F62" w14:textId="77777777" w:rsidR="003A01E3" w:rsidRDefault="003A01E3" w:rsidP="00A2468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3C93614D" w14:textId="77777777" w:rsidR="003A01E3" w:rsidRDefault="003A01E3" w:rsidP="00A24682">
      <w:pPr>
        <w:pStyle w:val="Textonotapie"/>
      </w:pPr>
      <w:r>
        <w:rPr>
          <w:rStyle w:val="Refdenotaalpie"/>
        </w:rPr>
        <w:footnoteRef/>
      </w:r>
      <w:r>
        <w:t xml:space="preserve"> Ley de Transparencia y Acceso a la Información Pública del Estado de México y Municipios. Artículo 9. …</w:t>
      </w:r>
    </w:p>
    <w:p w14:paraId="7D08AA06" w14:textId="77777777" w:rsidR="003A01E3" w:rsidRDefault="003A01E3" w:rsidP="00A24682">
      <w:pPr>
        <w:pStyle w:val="Textonotapie"/>
      </w:pPr>
      <w:r>
        <w:t>II. Eficacia: Obligación del Instituto para tutelar, de manera efectiva, el derecho de acceso a la información;</w:t>
      </w:r>
    </w:p>
    <w:p w14:paraId="506FAD54" w14:textId="77777777" w:rsidR="003A01E3" w:rsidRDefault="003A01E3" w:rsidP="00A2468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2DCDB" w14:textId="60F287CD" w:rsidR="008B792B" w:rsidRDefault="00B15327">
    <w:pPr>
      <w:pStyle w:val="Encabezado"/>
    </w:pPr>
    <w:r>
      <w:rPr>
        <w:noProof/>
        <w:lang w:eastAsia="es-MX"/>
      </w:rPr>
      <w:pict w14:anchorId="53509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6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56E67547" w:rsidR="003A01E3" w:rsidRDefault="00B15327">
    <w:pPr>
      <w:pStyle w:val="Encabezado"/>
    </w:pPr>
    <w:r>
      <w:rPr>
        <w:noProof/>
        <w:lang w:eastAsia="es-MX"/>
      </w:rPr>
      <w:pict w14:anchorId="622DF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600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3A01E3" w:rsidRDefault="003A01E3">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3A01E3" w:rsidRPr="00EF13C1" w14:paraId="2D33F594" w14:textId="77777777" w:rsidTr="00746EF3">
      <w:trPr>
        <w:gridAfter w:val="1"/>
        <w:wAfter w:w="420" w:type="dxa"/>
        <w:trHeight w:val="138"/>
      </w:trPr>
      <w:tc>
        <w:tcPr>
          <w:tcW w:w="2551" w:type="dxa"/>
          <w:vAlign w:val="center"/>
        </w:tcPr>
        <w:p w14:paraId="75BC2A06" w14:textId="77777777" w:rsidR="003A01E3" w:rsidRPr="00EF13C1" w:rsidRDefault="003A01E3"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6899D3D7" w:rsidR="003A01E3" w:rsidRPr="00EF13C1" w:rsidRDefault="003A01E3" w:rsidP="00B9797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04358/INFOEM/IP/RR/2020</w:t>
          </w:r>
        </w:p>
      </w:tc>
    </w:tr>
    <w:tr w:rsidR="003A01E3" w:rsidRPr="00EF13C1" w14:paraId="5E164CB6" w14:textId="77777777" w:rsidTr="00746EF3">
      <w:trPr>
        <w:trHeight w:val="321"/>
      </w:trPr>
      <w:tc>
        <w:tcPr>
          <w:tcW w:w="2551" w:type="dxa"/>
          <w:vAlign w:val="center"/>
        </w:tcPr>
        <w:p w14:paraId="3D610515" w14:textId="77777777" w:rsidR="003A01E3" w:rsidRPr="00A61802" w:rsidRDefault="003A01E3"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20AD3FA9" w:rsidR="003A01E3" w:rsidRPr="00A61802" w:rsidRDefault="003A01E3"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Fiscalía General de Justicia del Estado de México</w:t>
          </w:r>
        </w:p>
      </w:tc>
    </w:tr>
    <w:tr w:rsidR="003A01E3" w:rsidRPr="00EF13C1" w14:paraId="5C1677E6" w14:textId="77777777" w:rsidTr="00746EF3">
      <w:trPr>
        <w:gridAfter w:val="1"/>
        <w:wAfter w:w="420" w:type="dxa"/>
        <w:trHeight w:val="321"/>
      </w:trPr>
      <w:tc>
        <w:tcPr>
          <w:tcW w:w="2551" w:type="dxa"/>
          <w:vAlign w:val="center"/>
        </w:tcPr>
        <w:p w14:paraId="1889C51A" w14:textId="77777777" w:rsidR="003A01E3" w:rsidRPr="00EF13C1" w:rsidRDefault="003A01E3"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3A01E3" w:rsidRPr="00EF13C1" w:rsidRDefault="003A01E3"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3A01E3" w:rsidRDefault="003A01E3"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2F3A3C62" w:rsidR="003A01E3" w:rsidRDefault="00B15327" w:rsidP="0008753C">
    <w:pPr>
      <w:pStyle w:val="Encabezado"/>
      <w:tabs>
        <w:tab w:val="left" w:pos="3103"/>
      </w:tabs>
    </w:pPr>
    <w:r>
      <w:rPr>
        <w:noProof/>
        <w:lang w:eastAsia="es-MX"/>
      </w:rPr>
      <w:pict w14:anchorId="682B5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96000" o:spid="_x0000_s2049" type="#_x0000_t75" style="position:absolute;margin-left:-52pt;margin-top:-123.3pt;width:609.4pt;height:793.75pt;z-index:-251658240;mso-position-horizontal-relative:margin;mso-position-vertical-relative:margin" o:allowincell="f">
          <v:imagedata r:id="rId1" o:title="resolución"/>
          <w10:wrap anchorx="margin" anchory="margin"/>
        </v:shape>
      </w:pict>
    </w:r>
    <w:r w:rsidR="003A01E3">
      <w:tab/>
    </w:r>
    <w:r w:rsidR="003A01E3">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3A01E3" w:rsidRPr="00EF13C1" w14:paraId="64D9CFC0" w14:textId="77777777" w:rsidTr="00746EF3">
      <w:trPr>
        <w:trHeight w:val="138"/>
      </w:trPr>
      <w:tc>
        <w:tcPr>
          <w:tcW w:w="2552" w:type="dxa"/>
          <w:vAlign w:val="center"/>
        </w:tcPr>
        <w:p w14:paraId="3E369B4E" w14:textId="77777777" w:rsidR="003A01E3" w:rsidRPr="00EF13C1" w:rsidRDefault="003A01E3"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245D4BB0" w:rsidR="003A01E3" w:rsidRPr="00EF13C1" w:rsidRDefault="003A01E3" w:rsidP="00B9797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04358/INFOEM/IP/RR/2020</w:t>
          </w:r>
        </w:p>
      </w:tc>
    </w:tr>
    <w:tr w:rsidR="003A01E3" w:rsidRPr="00EF13C1" w14:paraId="66DE6236" w14:textId="77777777" w:rsidTr="00746EF3">
      <w:trPr>
        <w:trHeight w:val="138"/>
      </w:trPr>
      <w:tc>
        <w:tcPr>
          <w:tcW w:w="2552" w:type="dxa"/>
          <w:vAlign w:val="center"/>
        </w:tcPr>
        <w:p w14:paraId="44532DAF" w14:textId="7C6A9A4A" w:rsidR="003A01E3" w:rsidRPr="00EF13C1" w:rsidRDefault="003A01E3"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1F0DCA04" w:rsidR="003A01E3" w:rsidRDefault="00B15327" w:rsidP="008425E5">
          <w:pPr>
            <w:pStyle w:val="Encabezado"/>
            <w:tabs>
              <w:tab w:val="clear" w:pos="4419"/>
              <w:tab w:val="center" w:pos="3328"/>
            </w:tabs>
            <w:jc w:val="both"/>
            <w:rPr>
              <w:rFonts w:ascii="Palatino Linotype" w:hAnsi="Palatino Linotype" w:cs="Arial"/>
              <w:b/>
              <w:bCs/>
              <w:lang w:eastAsia="es-MX"/>
            </w:rPr>
          </w:pPr>
          <w:r w:rsidRPr="00B15327">
            <w:rPr>
              <w:rFonts w:ascii="Palatino Linotype" w:hAnsi="Palatino Linotype" w:cs="Arial"/>
              <w:b/>
              <w:bCs/>
              <w:highlight w:val="black"/>
              <w:lang w:eastAsia="es-MX"/>
            </w:rPr>
            <w:t>-----------------</w:t>
          </w:r>
        </w:p>
      </w:tc>
    </w:tr>
    <w:tr w:rsidR="003A01E3" w:rsidRPr="00EF13C1" w14:paraId="1950E3D0" w14:textId="77777777" w:rsidTr="00746EF3">
      <w:trPr>
        <w:trHeight w:val="321"/>
      </w:trPr>
      <w:tc>
        <w:tcPr>
          <w:tcW w:w="2552" w:type="dxa"/>
          <w:vAlign w:val="center"/>
        </w:tcPr>
        <w:p w14:paraId="1303F549" w14:textId="77777777" w:rsidR="003A01E3" w:rsidRPr="00A61802" w:rsidRDefault="003A01E3"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26963EA7" w:rsidR="003A01E3" w:rsidRPr="00A61802" w:rsidRDefault="003A01E3"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Fiscalía General de Justicia del Estado de México</w:t>
          </w:r>
        </w:p>
      </w:tc>
    </w:tr>
    <w:tr w:rsidR="003A01E3" w:rsidRPr="00EF13C1" w14:paraId="3121D07B" w14:textId="77777777" w:rsidTr="00746EF3">
      <w:trPr>
        <w:trHeight w:val="321"/>
      </w:trPr>
      <w:tc>
        <w:tcPr>
          <w:tcW w:w="2552" w:type="dxa"/>
          <w:vAlign w:val="center"/>
        </w:tcPr>
        <w:p w14:paraId="4F405E6E" w14:textId="77777777" w:rsidR="003A01E3" w:rsidRPr="00EF13C1" w:rsidRDefault="003A01E3"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3A01E3" w:rsidRPr="00EF13C1" w:rsidRDefault="003A01E3"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3A01E3" w:rsidRDefault="003A01E3"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3031100"/>
    <w:multiLevelType w:val="hybridMultilevel"/>
    <w:tmpl w:val="C77A12EE"/>
    <w:lvl w:ilvl="0" w:tplc="080A0017">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0D5644"/>
    <w:multiLevelType w:val="hybridMultilevel"/>
    <w:tmpl w:val="C40A25DA"/>
    <w:lvl w:ilvl="0" w:tplc="A41EC4C2">
      <w:start w:val="2"/>
      <w:numFmt w:val="upperRoman"/>
      <w:lvlText w:val="%1."/>
      <w:lvlJc w:val="left"/>
      <w:pPr>
        <w:ind w:left="5322" w:hanging="360"/>
      </w:pPr>
      <w:rPr>
        <w:rFonts w:hint="default"/>
        <w:b/>
        <w:i w:val="0"/>
      </w:rPr>
    </w:lvl>
    <w:lvl w:ilvl="1" w:tplc="080A0019" w:tentative="1">
      <w:start w:val="1"/>
      <w:numFmt w:val="lowerLetter"/>
      <w:lvlText w:val="%2."/>
      <w:lvlJc w:val="left"/>
      <w:pPr>
        <w:ind w:left="3763" w:hanging="360"/>
      </w:pPr>
    </w:lvl>
    <w:lvl w:ilvl="2" w:tplc="080A001B" w:tentative="1">
      <w:start w:val="1"/>
      <w:numFmt w:val="lowerRoman"/>
      <w:lvlText w:val="%3."/>
      <w:lvlJc w:val="right"/>
      <w:pPr>
        <w:ind w:left="4483" w:hanging="180"/>
      </w:pPr>
    </w:lvl>
    <w:lvl w:ilvl="3" w:tplc="080A000F" w:tentative="1">
      <w:start w:val="1"/>
      <w:numFmt w:val="decimal"/>
      <w:lvlText w:val="%4."/>
      <w:lvlJc w:val="left"/>
      <w:pPr>
        <w:ind w:left="5203" w:hanging="360"/>
      </w:pPr>
    </w:lvl>
    <w:lvl w:ilvl="4" w:tplc="080A0019" w:tentative="1">
      <w:start w:val="1"/>
      <w:numFmt w:val="lowerLetter"/>
      <w:lvlText w:val="%5."/>
      <w:lvlJc w:val="left"/>
      <w:pPr>
        <w:ind w:left="5923" w:hanging="360"/>
      </w:pPr>
    </w:lvl>
    <w:lvl w:ilvl="5" w:tplc="080A001B" w:tentative="1">
      <w:start w:val="1"/>
      <w:numFmt w:val="lowerRoman"/>
      <w:lvlText w:val="%6."/>
      <w:lvlJc w:val="right"/>
      <w:pPr>
        <w:ind w:left="6643" w:hanging="180"/>
      </w:pPr>
    </w:lvl>
    <w:lvl w:ilvl="6" w:tplc="080A000F" w:tentative="1">
      <w:start w:val="1"/>
      <w:numFmt w:val="decimal"/>
      <w:lvlText w:val="%7."/>
      <w:lvlJc w:val="left"/>
      <w:pPr>
        <w:ind w:left="7363" w:hanging="360"/>
      </w:pPr>
    </w:lvl>
    <w:lvl w:ilvl="7" w:tplc="080A0019" w:tentative="1">
      <w:start w:val="1"/>
      <w:numFmt w:val="lowerLetter"/>
      <w:lvlText w:val="%8."/>
      <w:lvlJc w:val="left"/>
      <w:pPr>
        <w:ind w:left="8083" w:hanging="360"/>
      </w:pPr>
    </w:lvl>
    <w:lvl w:ilvl="8" w:tplc="080A001B" w:tentative="1">
      <w:start w:val="1"/>
      <w:numFmt w:val="lowerRoman"/>
      <w:lvlText w:val="%9."/>
      <w:lvlJc w:val="right"/>
      <w:pPr>
        <w:ind w:left="8803" w:hanging="180"/>
      </w:pPr>
    </w:lvl>
  </w:abstractNum>
  <w:abstractNum w:abstractNumId="18"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1"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15:restartNumberingAfterBreak="0">
    <w:nsid w:val="50B208E5"/>
    <w:multiLevelType w:val="hybridMultilevel"/>
    <w:tmpl w:val="EBEC3A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5"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2"/>
  </w:num>
  <w:num w:numId="3">
    <w:abstractNumId w:val="15"/>
  </w:num>
  <w:num w:numId="4">
    <w:abstractNumId w:val="33"/>
  </w:num>
  <w:num w:numId="5">
    <w:abstractNumId w:val="19"/>
  </w:num>
  <w:num w:numId="6">
    <w:abstractNumId w:val="4"/>
  </w:num>
  <w:num w:numId="7">
    <w:abstractNumId w:val="16"/>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23"/>
  </w:num>
  <w:num w:numId="13">
    <w:abstractNumId w:val="10"/>
  </w:num>
  <w:num w:numId="14">
    <w:abstractNumId w:val="0"/>
  </w:num>
  <w:num w:numId="15">
    <w:abstractNumId w:val="34"/>
  </w:num>
  <w:num w:numId="16">
    <w:abstractNumId w:val="24"/>
  </w:num>
  <w:num w:numId="17">
    <w:abstractNumId w:val="13"/>
  </w:num>
  <w:num w:numId="18">
    <w:abstractNumId w:val="31"/>
  </w:num>
  <w:num w:numId="19">
    <w:abstractNumId w:val="14"/>
  </w:num>
  <w:num w:numId="20">
    <w:abstractNumId w:val="2"/>
  </w:num>
  <w:num w:numId="21">
    <w:abstractNumId w:val="36"/>
  </w:num>
  <w:num w:numId="22">
    <w:abstractNumId w:val="21"/>
  </w:num>
  <w:num w:numId="23">
    <w:abstractNumId w:val="7"/>
  </w:num>
  <w:num w:numId="24">
    <w:abstractNumId w:val="27"/>
  </w:num>
  <w:num w:numId="25">
    <w:abstractNumId w:val="26"/>
  </w:num>
  <w:num w:numId="26">
    <w:abstractNumId w:val="28"/>
  </w:num>
  <w:num w:numId="27">
    <w:abstractNumId w:val="3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5"/>
  </w:num>
  <w:num w:numId="31">
    <w:abstractNumId w:val="35"/>
  </w:num>
  <w:num w:numId="32">
    <w:abstractNumId w:val="11"/>
  </w:num>
  <w:num w:numId="33">
    <w:abstractNumId w:val="6"/>
  </w:num>
  <w:num w:numId="34">
    <w:abstractNumId w:val="18"/>
  </w:num>
  <w:num w:numId="35">
    <w:abstractNumId w:val="17"/>
  </w:num>
  <w:num w:numId="36">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07681"/>
    <w:rsid w:val="00010FD8"/>
    <w:rsid w:val="00013A04"/>
    <w:rsid w:val="00021FCD"/>
    <w:rsid w:val="00043FE7"/>
    <w:rsid w:val="00046361"/>
    <w:rsid w:val="00054E8A"/>
    <w:rsid w:val="00055669"/>
    <w:rsid w:val="00060FF3"/>
    <w:rsid w:val="00063434"/>
    <w:rsid w:val="00070E04"/>
    <w:rsid w:val="000732C9"/>
    <w:rsid w:val="0008753C"/>
    <w:rsid w:val="0009361F"/>
    <w:rsid w:val="00097AFF"/>
    <w:rsid w:val="000A2268"/>
    <w:rsid w:val="000A3DA5"/>
    <w:rsid w:val="000B66F6"/>
    <w:rsid w:val="000C5323"/>
    <w:rsid w:val="000D2A5D"/>
    <w:rsid w:val="000D580E"/>
    <w:rsid w:val="000D6FB2"/>
    <w:rsid w:val="000E0969"/>
    <w:rsid w:val="000E3B73"/>
    <w:rsid w:val="00100898"/>
    <w:rsid w:val="0010760D"/>
    <w:rsid w:val="00113325"/>
    <w:rsid w:val="001164AB"/>
    <w:rsid w:val="00120F87"/>
    <w:rsid w:val="0012231C"/>
    <w:rsid w:val="0012290F"/>
    <w:rsid w:val="0012473D"/>
    <w:rsid w:val="0015457B"/>
    <w:rsid w:val="00156D16"/>
    <w:rsid w:val="00176607"/>
    <w:rsid w:val="001870D4"/>
    <w:rsid w:val="00196A22"/>
    <w:rsid w:val="001A0055"/>
    <w:rsid w:val="001A161F"/>
    <w:rsid w:val="001A1C56"/>
    <w:rsid w:val="001A6BF6"/>
    <w:rsid w:val="001B4E32"/>
    <w:rsid w:val="001C5165"/>
    <w:rsid w:val="001C6A9E"/>
    <w:rsid w:val="001D61F7"/>
    <w:rsid w:val="001E0D87"/>
    <w:rsid w:val="001F0725"/>
    <w:rsid w:val="001F7ECC"/>
    <w:rsid w:val="00220177"/>
    <w:rsid w:val="002271A7"/>
    <w:rsid w:val="00243AD6"/>
    <w:rsid w:val="002445FA"/>
    <w:rsid w:val="00250E26"/>
    <w:rsid w:val="00253AB5"/>
    <w:rsid w:val="00253DB4"/>
    <w:rsid w:val="00257108"/>
    <w:rsid w:val="00283D94"/>
    <w:rsid w:val="00285C17"/>
    <w:rsid w:val="002927B4"/>
    <w:rsid w:val="002A20B3"/>
    <w:rsid w:val="002A2108"/>
    <w:rsid w:val="002A5275"/>
    <w:rsid w:val="002B1A79"/>
    <w:rsid w:val="002B20B1"/>
    <w:rsid w:val="002C5058"/>
    <w:rsid w:val="002C70BC"/>
    <w:rsid w:val="002D025A"/>
    <w:rsid w:val="002D1609"/>
    <w:rsid w:val="002E1FAB"/>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6FF1"/>
    <w:rsid w:val="003A01E3"/>
    <w:rsid w:val="003A6134"/>
    <w:rsid w:val="003B350F"/>
    <w:rsid w:val="003C754D"/>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400B"/>
    <w:rsid w:val="004D14CC"/>
    <w:rsid w:val="004D338F"/>
    <w:rsid w:val="004E7EB5"/>
    <w:rsid w:val="004F18E8"/>
    <w:rsid w:val="004F1E0B"/>
    <w:rsid w:val="00504AC4"/>
    <w:rsid w:val="00505288"/>
    <w:rsid w:val="005069B0"/>
    <w:rsid w:val="005144FC"/>
    <w:rsid w:val="005265EB"/>
    <w:rsid w:val="00536C51"/>
    <w:rsid w:val="00537643"/>
    <w:rsid w:val="00541663"/>
    <w:rsid w:val="00542CE7"/>
    <w:rsid w:val="00546E1A"/>
    <w:rsid w:val="00547A19"/>
    <w:rsid w:val="00551C68"/>
    <w:rsid w:val="00554277"/>
    <w:rsid w:val="00554774"/>
    <w:rsid w:val="00560E94"/>
    <w:rsid w:val="005617D9"/>
    <w:rsid w:val="00562094"/>
    <w:rsid w:val="00593002"/>
    <w:rsid w:val="005969F4"/>
    <w:rsid w:val="005A57AF"/>
    <w:rsid w:val="005C7651"/>
    <w:rsid w:val="005D1230"/>
    <w:rsid w:val="005D4918"/>
    <w:rsid w:val="005D733D"/>
    <w:rsid w:val="005E155F"/>
    <w:rsid w:val="005E48C9"/>
    <w:rsid w:val="005F7A0F"/>
    <w:rsid w:val="00612BD6"/>
    <w:rsid w:val="00623C38"/>
    <w:rsid w:val="0063058C"/>
    <w:rsid w:val="0063472B"/>
    <w:rsid w:val="0064458A"/>
    <w:rsid w:val="00647FBC"/>
    <w:rsid w:val="00651668"/>
    <w:rsid w:val="00656AAD"/>
    <w:rsid w:val="00657B33"/>
    <w:rsid w:val="006605BA"/>
    <w:rsid w:val="0067008E"/>
    <w:rsid w:val="00674D29"/>
    <w:rsid w:val="00676788"/>
    <w:rsid w:val="00687B35"/>
    <w:rsid w:val="00693407"/>
    <w:rsid w:val="006A137A"/>
    <w:rsid w:val="006A1CC7"/>
    <w:rsid w:val="006A3769"/>
    <w:rsid w:val="006B2872"/>
    <w:rsid w:val="006B56DD"/>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0D27"/>
    <w:rsid w:val="00746EF3"/>
    <w:rsid w:val="00746F3C"/>
    <w:rsid w:val="007504A4"/>
    <w:rsid w:val="0076070F"/>
    <w:rsid w:val="0076474D"/>
    <w:rsid w:val="007775DB"/>
    <w:rsid w:val="0078398A"/>
    <w:rsid w:val="00785862"/>
    <w:rsid w:val="00791FDA"/>
    <w:rsid w:val="007950F2"/>
    <w:rsid w:val="007A47EB"/>
    <w:rsid w:val="007A6573"/>
    <w:rsid w:val="007A661E"/>
    <w:rsid w:val="007B705C"/>
    <w:rsid w:val="007C5AAB"/>
    <w:rsid w:val="007C602E"/>
    <w:rsid w:val="007D1365"/>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6997"/>
    <w:rsid w:val="00877CCC"/>
    <w:rsid w:val="008809BC"/>
    <w:rsid w:val="00895528"/>
    <w:rsid w:val="008A40DC"/>
    <w:rsid w:val="008B792B"/>
    <w:rsid w:val="008C06FB"/>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32D4E"/>
    <w:rsid w:val="00A41CA5"/>
    <w:rsid w:val="00A44619"/>
    <w:rsid w:val="00A53E54"/>
    <w:rsid w:val="00A61802"/>
    <w:rsid w:val="00A7336A"/>
    <w:rsid w:val="00A73A55"/>
    <w:rsid w:val="00A752AF"/>
    <w:rsid w:val="00A835BD"/>
    <w:rsid w:val="00A9072F"/>
    <w:rsid w:val="00A9278D"/>
    <w:rsid w:val="00AA1D26"/>
    <w:rsid w:val="00AB1B12"/>
    <w:rsid w:val="00AC7345"/>
    <w:rsid w:val="00AD0A82"/>
    <w:rsid w:val="00AE1E4F"/>
    <w:rsid w:val="00AE2817"/>
    <w:rsid w:val="00AE29EA"/>
    <w:rsid w:val="00AE6C8D"/>
    <w:rsid w:val="00AE7407"/>
    <w:rsid w:val="00AF091C"/>
    <w:rsid w:val="00AF3C6B"/>
    <w:rsid w:val="00AF42CA"/>
    <w:rsid w:val="00B12C54"/>
    <w:rsid w:val="00B137DE"/>
    <w:rsid w:val="00B15327"/>
    <w:rsid w:val="00B16EBC"/>
    <w:rsid w:val="00B3020C"/>
    <w:rsid w:val="00B30F2E"/>
    <w:rsid w:val="00B3538C"/>
    <w:rsid w:val="00B4031B"/>
    <w:rsid w:val="00B530C4"/>
    <w:rsid w:val="00B6145E"/>
    <w:rsid w:val="00B61B3D"/>
    <w:rsid w:val="00B6376A"/>
    <w:rsid w:val="00B66085"/>
    <w:rsid w:val="00B84387"/>
    <w:rsid w:val="00B907A1"/>
    <w:rsid w:val="00B93085"/>
    <w:rsid w:val="00B9797C"/>
    <w:rsid w:val="00BB09F8"/>
    <w:rsid w:val="00BB2314"/>
    <w:rsid w:val="00BB3390"/>
    <w:rsid w:val="00BC7A73"/>
    <w:rsid w:val="00BD3DBA"/>
    <w:rsid w:val="00BE12EB"/>
    <w:rsid w:val="00BE375C"/>
    <w:rsid w:val="00BF60EF"/>
    <w:rsid w:val="00C067A2"/>
    <w:rsid w:val="00C14642"/>
    <w:rsid w:val="00C15C95"/>
    <w:rsid w:val="00C16FDA"/>
    <w:rsid w:val="00C30D84"/>
    <w:rsid w:val="00C3261C"/>
    <w:rsid w:val="00C32AE9"/>
    <w:rsid w:val="00C358F3"/>
    <w:rsid w:val="00C40C11"/>
    <w:rsid w:val="00C460CA"/>
    <w:rsid w:val="00C531C8"/>
    <w:rsid w:val="00C61D9F"/>
    <w:rsid w:val="00C73CED"/>
    <w:rsid w:val="00C73FF1"/>
    <w:rsid w:val="00C75187"/>
    <w:rsid w:val="00C752D9"/>
    <w:rsid w:val="00C75A5F"/>
    <w:rsid w:val="00C80C59"/>
    <w:rsid w:val="00C914B7"/>
    <w:rsid w:val="00C94C46"/>
    <w:rsid w:val="00C9538C"/>
    <w:rsid w:val="00CA6964"/>
    <w:rsid w:val="00CB08D7"/>
    <w:rsid w:val="00CB6C30"/>
    <w:rsid w:val="00CC4AC4"/>
    <w:rsid w:val="00CD03B7"/>
    <w:rsid w:val="00CD5740"/>
    <w:rsid w:val="00CE6011"/>
    <w:rsid w:val="00CF069A"/>
    <w:rsid w:val="00CF19BA"/>
    <w:rsid w:val="00CF214C"/>
    <w:rsid w:val="00CF45A6"/>
    <w:rsid w:val="00CF6D13"/>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3DD3"/>
    <w:rsid w:val="00D54864"/>
    <w:rsid w:val="00D613FF"/>
    <w:rsid w:val="00D61913"/>
    <w:rsid w:val="00D62ACF"/>
    <w:rsid w:val="00D745B8"/>
    <w:rsid w:val="00D85AC9"/>
    <w:rsid w:val="00D87D30"/>
    <w:rsid w:val="00D9700A"/>
    <w:rsid w:val="00DA44C3"/>
    <w:rsid w:val="00DB655B"/>
    <w:rsid w:val="00DC558D"/>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B6C"/>
    <w:rsid w:val="00E338BF"/>
    <w:rsid w:val="00E33EAA"/>
    <w:rsid w:val="00E347C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4F5B"/>
    <w:rsid w:val="00ED38F7"/>
    <w:rsid w:val="00EE5082"/>
    <w:rsid w:val="00EF7C5F"/>
    <w:rsid w:val="00F15DAB"/>
    <w:rsid w:val="00F20E36"/>
    <w:rsid w:val="00F234BF"/>
    <w:rsid w:val="00F254CE"/>
    <w:rsid w:val="00F307A6"/>
    <w:rsid w:val="00F40031"/>
    <w:rsid w:val="00F4049B"/>
    <w:rsid w:val="00F42019"/>
    <w:rsid w:val="00F455A3"/>
    <w:rsid w:val="00F46A05"/>
    <w:rsid w:val="00F4754F"/>
    <w:rsid w:val="00F52D0A"/>
    <w:rsid w:val="00F55AE1"/>
    <w:rsid w:val="00F57D0B"/>
    <w:rsid w:val="00F61EF4"/>
    <w:rsid w:val="00F723CE"/>
    <w:rsid w:val="00F7282E"/>
    <w:rsid w:val="00F80315"/>
    <w:rsid w:val="00F82244"/>
    <w:rsid w:val="00FA6E30"/>
    <w:rsid w:val="00FC4895"/>
    <w:rsid w:val="00FD1687"/>
    <w:rsid w:val="00FF1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4921E707-89F0-4FEE-82DE-788994AB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135412057">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BAD365-4708-40F9-A545-55D5D8BCE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5514</Words>
  <Characters>30327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6</cp:revision>
  <cp:lastPrinted>2020-02-10T19:24:00Z</cp:lastPrinted>
  <dcterms:created xsi:type="dcterms:W3CDTF">2020-11-23T23:24:00Z</dcterms:created>
  <dcterms:modified xsi:type="dcterms:W3CDTF">2021-01-11T19:55:00Z</dcterms:modified>
</cp:coreProperties>
</file>