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504" w:rsidRDefault="00724D85">
      <w:pPr>
        <w:spacing w:line="360" w:lineRule="auto"/>
        <w:jc w:val="both"/>
        <w:rPr>
          <w:rFonts w:ascii="Palatino Linotype" w:eastAsia="Palatino Linotype" w:hAnsi="Palatino Linotype" w:cs="Palatino Linotype"/>
          <w:b/>
        </w:rPr>
      </w:pPr>
      <w:bookmarkStart w:id="0" w:name="_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siete (07) de julio de dos mil veintiuno.</w:t>
      </w:r>
    </w:p>
    <w:p w:rsidR="000E1504" w:rsidRDefault="00724D85">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Visto </w:t>
      </w:r>
      <w:r>
        <w:rPr>
          <w:rFonts w:ascii="Palatino Linotype" w:eastAsia="Palatino Linotype" w:hAnsi="Palatino Linotype" w:cs="Palatino Linotype"/>
          <w:color w:val="000000"/>
        </w:rPr>
        <w:t xml:space="preserve">el expediente formado con motivo </w:t>
      </w:r>
      <w:r>
        <w:rPr>
          <w:rFonts w:ascii="Palatino Linotype" w:eastAsia="Palatino Linotype" w:hAnsi="Palatino Linotype" w:cs="Palatino Linotype"/>
        </w:rPr>
        <w:t xml:space="preserve">del recurso de revisión </w:t>
      </w:r>
      <w:r>
        <w:rPr>
          <w:rFonts w:ascii="Palatino Linotype" w:eastAsia="Palatino Linotype" w:hAnsi="Palatino Linotype" w:cs="Palatino Linotype"/>
          <w:b/>
        </w:rPr>
        <w:t>02478/INFOEM/IP/RR/2020</w:t>
      </w:r>
      <w:r>
        <w:rPr>
          <w:rFonts w:ascii="Palatino Linotype" w:eastAsia="Palatino Linotype" w:hAnsi="Palatino Linotype" w:cs="Palatino Linotype"/>
          <w:color w:val="000000"/>
        </w:rPr>
        <w:t xml:space="preserve">, promovido por </w:t>
      </w:r>
      <w:r w:rsidR="00FF4043">
        <w:rPr>
          <w:rFonts w:ascii="Palatino Linotype" w:eastAsia="Palatino Linotype" w:hAnsi="Palatino Linotype" w:cs="Palatino Linotype"/>
          <w:b/>
        </w:rPr>
        <w:t>xxxxxxxxxxxxxxxxxxxxxxxxxxxxxxx</w:t>
      </w:r>
      <w:r>
        <w:rPr>
          <w:rFonts w:ascii="Palatino Linotype" w:eastAsia="Palatino Linotype" w:hAnsi="Palatino Linotype" w:cs="Palatino Linotype"/>
          <w:color w:val="000000"/>
        </w:rPr>
        <w:t>, en lo sucesivo</w:t>
      </w:r>
      <w:r>
        <w:rPr>
          <w:rFonts w:ascii="Palatino Linotype" w:eastAsia="Palatino Linotype" w:hAnsi="Palatino Linotype" w:cs="Palatino Linotype"/>
          <w:b/>
          <w:color w:val="000000"/>
        </w:rPr>
        <w:t xml:space="preserve"> LA RECURRENTE,</w:t>
      </w:r>
      <w:r>
        <w:rPr>
          <w:rFonts w:ascii="Palatino Linotype" w:eastAsia="Palatino Linotype" w:hAnsi="Palatino Linotype" w:cs="Palatino Linotype"/>
          <w:color w:val="000000"/>
        </w:rPr>
        <w:t xml:space="preserve"> en contra de la respuesta emitida por el </w:t>
      </w:r>
      <w:r>
        <w:rPr>
          <w:rFonts w:ascii="Palatino Linotype" w:eastAsia="Palatino Linotype" w:hAnsi="Palatino Linotype" w:cs="Palatino Linotype"/>
          <w:b/>
          <w:color w:val="000000"/>
        </w:rPr>
        <w:t xml:space="preserve">Ayuntamiento de Ixtapan de la Sal, </w:t>
      </w:r>
      <w:r>
        <w:rPr>
          <w:rFonts w:ascii="Palatino Linotype" w:eastAsia="Palatino Linotype" w:hAnsi="Palatino Linotype" w:cs="Palatino Linotype"/>
          <w:color w:val="000000"/>
        </w:rPr>
        <w:t xml:space="preserve">en lo sucesivo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se procede a dictar la presente resolución, </w:t>
      </w:r>
      <w:r>
        <w:rPr>
          <w:rFonts w:ascii="Palatino Linotype" w:eastAsia="Palatino Linotype" w:hAnsi="Palatino Linotype" w:cs="Palatino Linotype"/>
        </w:rPr>
        <w:t xml:space="preserve">en cumplimiento al fallo emitido en fecha trece (13) de enero de dos mil veintiuno, por el Instituto Nacional de Transparencia, Acceso a la Información y Protección de Datos Personales, en lo subsecuente el </w:t>
      </w:r>
      <w:r>
        <w:rPr>
          <w:rFonts w:ascii="Palatino Linotype" w:eastAsia="Palatino Linotype" w:hAnsi="Palatino Linotype" w:cs="Palatino Linotype"/>
          <w:b/>
        </w:rPr>
        <w:t>Órgano Garante Nacional</w:t>
      </w:r>
      <w:r>
        <w:rPr>
          <w:rFonts w:ascii="Palatino Linotype" w:eastAsia="Palatino Linotype" w:hAnsi="Palatino Linotype" w:cs="Palatino Linotype"/>
        </w:rPr>
        <w:t xml:space="preserve">, correspondiente a los  Recursos de Inconformidad números </w:t>
      </w:r>
      <w:r>
        <w:rPr>
          <w:rFonts w:ascii="Palatino Linotype" w:eastAsia="Palatino Linotype" w:hAnsi="Palatino Linotype" w:cs="Palatino Linotype"/>
          <w:b/>
        </w:rPr>
        <w:t>RIA 0143/20 y 144/20</w:t>
      </w:r>
      <w:r>
        <w:rPr>
          <w:rFonts w:ascii="Palatino Linotype" w:eastAsia="Palatino Linotype" w:hAnsi="Palatino Linotype" w:cs="Palatino Linotype"/>
        </w:rPr>
        <w:t>, con base en los siguientes:</w:t>
      </w:r>
    </w:p>
    <w:p w:rsidR="000E1504" w:rsidRDefault="00724D85">
      <w:pPr>
        <w:pStyle w:val="Ttulo1"/>
        <w:spacing w:line="360" w:lineRule="auto"/>
        <w:jc w:val="center"/>
        <w:rPr>
          <w:rFonts w:ascii="Palatino Linotype" w:eastAsia="Palatino Linotype" w:hAnsi="Palatino Linotype" w:cs="Palatino Linotype"/>
          <w:b/>
          <w:color w:val="000000"/>
          <w:sz w:val="24"/>
          <w:szCs w:val="24"/>
        </w:rPr>
      </w:pPr>
      <w:bookmarkStart w:id="1" w:name="_30j0zll" w:colFirst="0" w:colLast="0"/>
      <w:bookmarkEnd w:id="1"/>
      <w:r>
        <w:rPr>
          <w:rFonts w:ascii="Palatino Linotype" w:eastAsia="Palatino Linotype" w:hAnsi="Palatino Linotype" w:cs="Palatino Linotype"/>
          <w:b/>
          <w:color w:val="000000"/>
          <w:sz w:val="24"/>
          <w:szCs w:val="24"/>
        </w:rPr>
        <w:t>ANTECEDENTES</w:t>
      </w: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t xml:space="preserve">El día catorce (14) de julio de dos mil veinte,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presentó la solicitud de información pública registrada con el número </w:t>
      </w:r>
      <w:r>
        <w:rPr>
          <w:rFonts w:ascii="Palatino Linotype" w:eastAsia="Palatino Linotype" w:hAnsi="Palatino Linotype" w:cs="Palatino Linotype"/>
          <w:b/>
        </w:rPr>
        <w:t xml:space="preserve">01202/IXTAPAN/IP/2020 </w:t>
      </w:r>
      <w:r>
        <w:rPr>
          <w:rFonts w:ascii="Palatino Linotype" w:eastAsia="Palatino Linotype" w:hAnsi="Palatino Linotype" w:cs="Palatino Linotype"/>
        </w:rPr>
        <w:t>mediante la cual solicitó lo siguiente:</w:t>
      </w:r>
    </w:p>
    <w:p w:rsidR="000E1504" w:rsidRDefault="000E1504">
      <w:pPr>
        <w:spacing w:line="360" w:lineRule="auto"/>
        <w:jc w:val="both"/>
        <w:rPr>
          <w:rFonts w:ascii="Palatino Linotype" w:eastAsia="Palatino Linotype" w:hAnsi="Palatino Linotype" w:cs="Palatino Linotype"/>
        </w:rPr>
      </w:pPr>
    </w:p>
    <w:p w:rsidR="000E1504" w:rsidRDefault="00724D8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actas de las sesiones extraordinarias de la Junta de Gobierno del sistema municipal DIF relativas al ejercicio fiscal 2020.” (Sic)</w:t>
      </w:r>
    </w:p>
    <w:p w:rsidR="000E1504" w:rsidRDefault="000E1504">
      <w:pPr>
        <w:jc w:val="both"/>
        <w:rPr>
          <w:rFonts w:ascii="Palatino Linotype" w:eastAsia="Palatino Linotype" w:hAnsi="Palatino Linotype" w:cs="Palatino Linotype"/>
          <w:i/>
        </w:rPr>
      </w:pPr>
    </w:p>
    <w:p w:rsidR="000E1504" w:rsidRDefault="000E1504">
      <w:pPr>
        <w:jc w:val="both"/>
        <w:rPr>
          <w:rFonts w:ascii="Palatino Linotype" w:eastAsia="Palatino Linotype" w:hAnsi="Palatino Linotype" w:cs="Palatino Linotype"/>
          <w:i/>
        </w:rPr>
      </w:pP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t xml:space="preserve">Señaló como modalidad de entrega de la información a través del </w:t>
      </w:r>
      <w:r>
        <w:rPr>
          <w:rFonts w:ascii="Palatino Linotype" w:eastAsia="Palatino Linotype" w:hAnsi="Palatino Linotype" w:cs="Palatino Linotype"/>
          <w:b/>
        </w:rPr>
        <w:t>SAIMEX.</w:t>
      </w: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lastRenderedPageBreak/>
        <w:t xml:space="preserve">El veintinueve (29) de julio de dos mil veinte, el </w:t>
      </w:r>
      <w:r>
        <w:rPr>
          <w:rFonts w:ascii="Palatino Linotype" w:eastAsia="Palatino Linotype" w:hAnsi="Palatino Linotype" w:cs="Palatino Linotype"/>
          <w:b/>
        </w:rPr>
        <w:t>SUJETO OBLIGADO</w:t>
      </w:r>
      <w:r>
        <w:rPr>
          <w:rFonts w:ascii="Palatino Linotype" w:eastAsia="Palatino Linotype" w:hAnsi="Palatino Linotype" w:cs="Palatino Linotype"/>
          <w:b/>
          <w:i/>
        </w:rPr>
        <w:t xml:space="preserve"> </w:t>
      </w:r>
      <w:r>
        <w:rPr>
          <w:rFonts w:ascii="Palatino Linotype" w:eastAsia="Palatino Linotype" w:hAnsi="Palatino Linotype" w:cs="Palatino Linotype"/>
        </w:rPr>
        <w:t>dio respuesta a la solicitud de información, adjuntando el documento electrónico denominado</w:t>
      </w:r>
      <w:r>
        <w:rPr>
          <w:rFonts w:ascii="Palatino Linotype" w:eastAsia="Palatino Linotype" w:hAnsi="Palatino Linotype" w:cs="Palatino Linotype"/>
          <w:b/>
        </w:rPr>
        <w:t xml:space="preserve"> IXTASAL-CT-0017EXT-2020.pdf</w:t>
      </w:r>
      <w:r>
        <w:rPr>
          <w:rFonts w:ascii="Palatino Linotype" w:eastAsia="Palatino Linotype" w:hAnsi="Palatino Linotype" w:cs="Palatino Linotype"/>
        </w:rPr>
        <w:t xml:space="preserve"> y, en los siguientes términos:</w:t>
      </w:r>
    </w:p>
    <w:p w:rsidR="000E1504" w:rsidRDefault="000E1504">
      <w:pPr>
        <w:rPr>
          <w:rFonts w:ascii="Palatino Linotype" w:eastAsia="Palatino Linotype" w:hAnsi="Palatino Linotype" w:cs="Palatino Linotype"/>
        </w:rPr>
      </w:pPr>
    </w:p>
    <w:p w:rsidR="000E1504" w:rsidRDefault="00724D85">
      <w:pPr>
        <w:spacing w:line="360" w:lineRule="auto"/>
        <w:ind w:left="426"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eastAsia="Palatino Linotype" w:hAnsi="Palatino Linotype" w:cs="Palatino Linotype"/>
          <w:i/>
          <w:color w:val="000000"/>
        </w:rPr>
        <w:t>” (</w:t>
      </w:r>
      <w:proofErr w:type="gramStart"/>
      <w:r>
        <w:rPr>
          <w:rFonts w:ascii="Palatino Linotype" w:eastAsia="Palatino Linotype" w:hAnsi="Palatino Linotype" w:cs="Palatino Linotype"/>
          <w:i/>
          <w:color w:val="000000"/>
        </w:rPr>
        <w:t>sic</w:t>
      </w:r>
      <w:proofErr w:type="gramEnd"/>
      <w:r>
        <w:rPr>
          <w:rFonts w:ascii="Palatino Linotype" w:eastAsia="Palatino Linotype" w:hAnsi="Palatino Linotype" w:cs="Palatino Linotype"/>
          <w:i/>
          <w:color w:val="000000"/>
        </w:rPr>
        <w:t>)</w:t>
      </w:r>
    </w:p>
    <w:p w:rsidR="000E1504" w:rsidRDefault="000E1504">
      <w:pPr>
        <w:spacing w:line="360" w:lineRule="auto"/>
        <w:ind w:right="567"/>
        <w:jc w:val="both"/>
        <w:rPr>
          <w:rFonts w:ascii="Palatino Linotype" w:eastAsia="Palatino Linotype" w:hAnsi="Palatino Linotype" w:cs="Palatino Linotype"/>
          <w:i/>
          <w:color w:val="000000"/>
        </w:rPr>
      </w:pPr>
    </w:p>
    <w:p w:rsidR="000E1504" w:rsidRDefault="00724D85">
      <w:pPr>
        <w:numPr>
          <w:ilvl w:val="0"/>
          <w:numId w:val="16"/>
        </w:numPr>
        <w:spacing w:line="360" w:lineRule="auto"/>
        <w:ind w:left="0" w:right="49" w:firstLine="0"/>
        <w:jc w:val="both"/>
        <w:rPr>
          <w:b/>
        </w:rPr>
      </w:pPr>
      <w:r>
        <w:rPr>
          <w:rFonts w:ascii="Palatino Linotype" w:eastAsia="Palatino Linotype" w:hAnsi="Palatino Linotype" w:cs="Palatino Linotype"/>
          <w:b/>
        </w:rPr>
        <w:t xml:space="preserve">IXTASAL-CT-0017EXT-2020.pdf: </w:t>
      </w:r>
      <w:r>
        <w:rPr>
          <w:rFonts w:ascii="Palatino Linotype" w:eastAsia="Palatino Linotype" w:hAnsi="Palatino Linotype" w:cs="Palatino Linotype"/>
        </w:rPr>
        <w:t>Contiene el acta de la Décima Séptima Sesión Extraordinaria del Comité de Transparencia del 20 de julio de 2020,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p>
    <w:p w:rsidR="000E1504" w:rsidRDefault="00724D85">
      <w:pPr>
        <w:numPr>
          <w:ilvl w:val="0"/>
          <w:numId w:val="15"/>
        </w:numPr>
        <w:spacing w:line="360" w:lineRule="auto"/>
        <w:ind w:left="0" w:firstLine="0"/>
        <w:jc w:val="both"/>
      </w:pPr>
      <w:bookmarkStart w:id="2" w:name="_1fob9te" w:colFirst="0" w:colLast="0"/>
      <w:bookmarkEnd w:id="2"/>
      <w:r>
        <w:rPr>
          <w:rFonts w:ascii="Palatino Linotype" w:eastAsia="Palatino Linotype" w:hAnsi="Palatino Linotype" w:cs="Palatino Linotype"/>
        </w:rPr>
        <w:lastRenderedPageBreak/>
        <w:t xml:space="preserve">El dieciocho (18) de agosto de dos mil veinte,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en contra de la respuesta y, señaló como:</w:t>
      </w:r>
    </w:p>
    <w:p w:rsidR="000E1504" w:rsidRDefault="000E1504">
      <w:pPr>
        <w:rPr>
          <w:rFonts w:ascii="Palatino Linotype" w:eastAsia="Palatino Linotype" w:hAnsi="Palatino Linotype" w:cs="Palatino Linotype"/>
          <w:i/>
        </w:rPr>
      </w:pPr>
    </w:p>
    <w:p w:rsidR="000E1504" w:rsidRDefault="00724D8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p w:rsidR="000E1504" w:rsidRDefault="00724D85">
      <w:p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i/>
        </w:rPr>
        <w:t>“El acta del comité de transparencia."</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rPr>
        <w:t>(Sic)</w:t>
      </w:r>
      <w:r>
        <w:rPr>
          <w:rFonts w:ascii="Palatino Linotype" w:eastAsia="Palatino Linotype" w:hAnsi="Palatino Linotype" w:cs="Palatino Linotype"/>
        </w:rPr>
        <w:t>; y como</w:t>
      </w:r>
    </w:p>
    <w:p w:rsidR="000E1504" w:rsidRDefault="000E1504">
      <w:pPr>
        <w:spacing w:line="360" w:lineRule="auto"/>
        <w:jc w:val="both"/>
        <w:rPr>
          <w:rFonts w:ascii="Palatino Linotype" w:eastAsia="Palatino Linotype" w:hAnsi="Palatino Linotype" w:cs="Palatino Linotype"/>
        </w:rPr>
      </w:pPr>
    </w:p>
    <w:p w:rsidR="000E1504" w:rsidRDefault="00724D85">
      <w:pPr>
        <w:spacing w:line="360" w:lineRule="auto"/>
        <w:jc w:val="both"/>
        <w:rPr>
          <w:rFonts w:ascii="Palatino Linotype" w:eastAsia="Palatino Linotype" w:hAnsi="Palatino Linotype" w:cs="Palatino Linotype"/>
          <w:b/>
          <w:color w:val="366091"/>
          <w:sz w:val="26"/>
          <w:szCs w:val="26"/>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color w:val="366091"/>
          <w:sz w:val="26"/>
          <w:szCs w:val="26"/>
        </w:rPr>
        <w:t xml:space="preserve"> </w:t>
      </w:r>
    </w:p>
    <w:p w:rsidR="000E1504" w:rsidRDefault="00724D85">
      <w:pPr>
        <w:spacing w:line="360" w:lineRule="auto"/>
        <w:ind w:right="567"/>
        <w:jc w:val="both"/>
      </w:pPr>
      <w:r>
        <w:rPr>
          <w:rFonts w:ascii="Palatino Linotype" w:eastAsia="Palatino Linotype" w:hAnsi="Palatino Linotype" w:cs="Palatino Linotype"/>
          <w:i/>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 (Sic)</w:t>
      </w:r>
      <w:r>
        <w:rPr>
          <w:rFonts w:ascii="Palatino Linotype" w:eastAsia="Palatino Linotype" w:hAnsi="Palatino Linotype" w:cs="Palatino Linotype"/>
        </w:rPr>
        <w:t xml:space="preserve"> </w:t>
      </w:r>
    </w:p>
    <w:p w:rsidR="000E1504" w:rsidRDefault="000E1504">
      <w:pPr>
        <w:spacing w:line="360" w:lineRule="auto"/>
        <w:jc w:val="both"/>
        <w:rPr>
          <w:rFonts w:ascii="Palatino Linotype" w:eastAsia="Palatino Linotype" w:hAnsi="Palatino Linotype" w:cs="Palatino Linotype"/>
        </w:rPr>
      </w:pPr>
    </w:p>
    <w:p w:rsidR="000E1504" w:rsidRDefault="00724D85">
      <w:pPr>
        <w:numPr>
          <w:ilvl w:val="0"/>
          <w:numId w:val="15"/>
        </w:numPr>
        <w:spacing w:before="240" w:line="360" w:lineRule="auto"/>
        <w:ind w:left="0" w:firstLine="0"/>
        <w:jc w:val="both"/>
      </w:pPr>
      <w:r>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 xml:space="preserve">se turnó al </w:t>
      </w:r>
      <w:r>
        <w:rPr>
          <w:rFonts w:ascii="Palatino Linotype" w:eastAsia="Palatino Linotype" w:hAnsi="Palatino Linotype" w:cs="Palatino Linotype"/>
          <w:b/>
        </w:rPr>
        <w:t xml:space="preserve">Comisionado José Guadalupe Luna Hernández, </w:t>
      </w:r>
      <w:r>
        <w:rPr>
          <w:rFonts w:ascii="Palatino Linotype" w:eastAsia="Palatino Linotype" w:hAnsi="Palatino Linotype" w:cs="Palatino Linotype"/>
        </w:rPr>
        <w:t xml:space="preserve">con el objeto de su análisis. </w:t>
      </w:r>
    </w:p>
    <w:p w:rsidR="000E1504" w:rsidRDefault="000E1504">
      <w:pPr>
        <w:spacing w:line="360" w:lineRule="auto"/>
        <w:jc w:val="both"/>
        <w:rPr>
          <w:rFonts w:ascii="Palatino Linotype" w:eastAsia="Palatino Linotype" w:hAnsi="Palatino Linotype" w:cs="Palatino Linotype"/>
        </w:rPr>
      </w:pP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 fecha veinticuatro (24) de agosto de dos mil veinte, puso a disposición de las partes el expediente electrónico 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el informe justificado procedente.</w:t>
      </w:r>
    </w:p>
    <w:p w:rsidR="000E1504" w:rsidRDefault="000E1504">
      <w:pPr>
        <w:rPr>
          <w:rFonts w:ascii="Palatino Linotype" w:eastAsia="Palatino Linotype" w:hAnsi="Palatino Linotype" w:cs="Palatino Linotype"/>
          <w:i/>
          <w:color w:val="000000"/>
        </w:rPr>
      </w:pP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t>De las constancias que obran en el expediente electrónico del SAIMEX, se aprecia que tanto el Sujeto Obligado como el recurrente fueron omisos en realizar manifestaciones, se inserta imagen de referencia.</w:t>
      </w:r>
    </w:p>
    <w:p w:rsidR="000E1504" w:rsidRDefault="00724D85">
      <w:pPr>
        <w:rPr>
          <w:rFonts w:ascii="Palatino Linotype" w:eastAsia="Palatino Linotype" w:hAnsi="Palatino Linotype" w:cs="Palatino Linotype"/>
        </w:rPr>
      </w:pPr>
      <w:r>
        <w:rPr>
          <w:noProof/>
        </w:rPr>
        <w:drawing>
          <wp:inline distT="0" distB="0" distL="0" distR="0">
            <wp:extent cx="5548201" cy="191355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23893" t="24286" r="23712" b="47176"/>
                    <a:stretch>
                      <a:fillRect/>
                    </a:stretch>
                  </pic:blipFill>
                  <pic:spPr>
                    <a:xfrm>
                      <a:off x="0" y="0"/>
                      <a:ext cx="5548201" cy="1913551"/>
                    </a:xfrm>
                    <a:prstGeom prst="rect">
                      <a:avLst/>
                    </a:prstGeom>
                    <a:ln/>
                  </pic:spPr>
                </pic:pic>
              </a:graphicData>
            </a:graphic>
          </wp:inline>
        </w:drawing>
      </w:r>
    </w:p>
    <w:p w:rsidR="000E1504" w:rsidRDefault="000E1504">
      <w:pPr>
        <w:spacing w:line="360" w:lineRule="auto"/>
        <w:jc w:val="both"/>
      </w:pP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lastRenderedPageBreak/>
        <w:t xml:space="preserve">El día ocho (08) de septiembre de dos mil veinte, el Comisionado Ponente decretó el cierre de instrucción, </w:t>
      </w:r>
      <w:r>
        <w:rPr>
          <w:rFonts w:ascii="Palatino Linotype" w:eastAsia="Palatino Linotype" w:hAnsi="Palatino Linotype" w:cs="Palatino Linotype"/>
          <w:color w:val="000000"/>
        </w:rPr>
        <w:t>por lo que ordenó turnar el expediente para su resolución.</w:t>
      </w:r>
    </w:p>
    <w:p w:rsidR="000E1504" w:rsidRDefault="000E1504">
      <w:pPr>
        <w:spacing w:line="360" w:lineRule="auto"/>
        <w:jc w:val="both"/>
        <w:rPr>
          <w:rFonts w:ascii="Tahoma" w:eastAsia="Tahoma" w:hAnsi="Tahoma" w:cs="Tahoma"/>
        </w:rPr>
      </w:pP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t xml:space="preserve">En la Vigésima Primera Sesión Ordinaria celebrada el día siete (7) de octubre de dos mil veinte se aprobó por mayoría de votos la resolución del recurso de revisión, en la que se determinó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la respuesta emitida por el Ayuntamiento de Ixtapan de la Sal.</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spacing w:line="360" w:lineRule="auto"/>
        <w:ind w:left="0" w:firstLine="0"/>
        <w:jc w:val="both"/>
      </w:pPr>
      <w:r>
        <w:rPr>
          <w:rFonts w:ascii="Palatino Linotype" w:eastAsia="Palatino Linotype" w:hAnsi="Palatino Linotype" w:cs="Palatino Linotype"/>
        </w:rPr>
        <w:t>El día doce (12) de octubre de dos mil veinte se notificó a las partes de la resolución a través del SAIMEX, cuyos puntos resolutivos son los siguientes:</w:t>
      </w:r>
    </w:p>
    <w:p w:rsidR="000E1504" w:rsidRDefault="00724D85">
      <w:pPr>
        <w:pBdr>
          <w:top w:val="nil"/>
          <w:left w:val="nil"/>
          <w:bottom w:val="nil"/>
          <w:right w:val="nil"/>
          <w:between w:val="nil"/>
        </w:pBdr>
        <w:tabs>
          <w:tab w:val="left" w:pos="2475"/>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p>
    <w:p w:rsidR="000E1504" w:rsidRDefault="00724D85">
      <w:pPr>
        <w:ind w:left="425" w:right="335"/>
        <w:jc w:val="both"/>
        <w:rPr>
          <w:rFonts w:ascii="Palatino Linotype" w:eastAsia="Palatino Linotype" w:hAnsi="Palatino Linotype" w:cs="Palatino Linotype"/>
          <w:i/>
        </w:rPr>
      </w:pPr>
      <w:r>
        <w:rPr>
          <w:rFonts w:ascii="Palatino Linotype" w:eastAsia="Palatino Linotype" w:hAnsi="Palatino Linotype" w:cs="Palatino Linotype"/>
          <w:b/>
          <w:i/>
        </w:rPr>
        <w:t xml:space="preserve">“PRIMERO. </w:t>
      </w:r>
      <w:r>
        <w:rPr>
          <w:rFonts w:ascii="Palatino Linotype" w:eastAsia="Palatino Linotype" w:hAnsi="Palatino Linotype" w:cs="Palatino Linotype"/>
          <w:i/>
        </w:rPr>
        <w:t>Resultan infundadas las</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razones o motivos de inconformidad hechos valer en el recurso de revisión </w:t>
      </w:r>
      <w:r>
        <w:rPr>
          <w:rFonts w:ascii="Palatino Linotype" w:eastAsia="Palatino Linotype" w:hAnsi="Palatino Linotype" w:cs="Palatino Linotype"/>
          <w:b/>
          <w:i/>
        </w:rPr>
        <w:t xml:space="preserve">02478/INFOEM/IP/RR/2020 </w:t>
      </w:r>
      <w:r>
        <w:rPr>
          <w:rFonts w:ascii="Palatino Linotype" w:eastAsia="Palatino Linotype" w:hAnsi="Palatino Linotype" w:cs="Palatino Linotype"/>
          <w:i/>
        </w:rPr>
        <w:t xml:space="preserve">en términos del considerando </w:t>
      </w:r>
      <w:r>
        <w:rPr>
          <w:rFonts w:ascii="Palatino Linotype" w:eastAsia="Palatino Linotype" w:hAnsi="Palatino Linotype" w:cs="Palatino Linotype"/>
          <w:b/>
          <w:i/>
        </w:rPr>
        <w:t xml:space="preserve">CUARTO </w:t>
      </w:r>
      <w:r>
        <w:rPr>
          <w:rFonts w:ascii="Palatino Linotype" w:eastAsia="Palatino Linotype" w:hAnsi="Palatino Linotype" w:cs="Palatino Linotype"/>
          <w:i/>
        </w:rPr>
        <w:t xml:space="preserve">de la presente resolución. </w:t>
      </w:r>
    </w:p>
    <w:p w:rsidR="000E1504" w:rsidRDefault="000E1504">
      <w:pPr>
        <w:ind w:left="425" w:right="335"/>
        <w:jc w:val="both"/>
        <w:rPr>
          <w:rFonts w:ascii="Palatino Linotype" w:eastAsia="Palatino Linotype" w:hAnsi="Palatino Linotype" w:cs="Palatino Linotype"/>
          <w:i/>
        </w:rPr>
      </w:pPr>
    </w:p>
    <w:p w:rsidR="000E1504" w:rsidRDefault="00724D85">
      <w:pPr>
        <w:ind w:left="425" w:right="335"/>
        <w:jc w:val="both"/>
        <w:rPr>
          <w:rFonts w:ascii="Palatino Linotype" w:eastAsia="Palatino Linotype" w:hAnsi="Palatino Linotype" w:cs="Palatino Linotype"/>
          <w:i/>
        </w:rPr>
      </w:pPr>
      <w:r>
        <w:rPr>
          <w:rFonts w:ascii="Palatino Linotype" w:eastAsia="Palatino Linotype" w:hAnsi="Palatino Linotype" w:cs="Palatino Linotype"/>
          <w:b/>
          <w:i/>
        </w:rPr>
        <w:t>SEGUNDO.</w:t>
      </w:r>
      <w:r>
        <w:rPr>
          <w:rFonts w:ascii="Palatino Linotype" w:eastAsia="Palatino Linotype" w:hAnsi="Palatino Linotype" w:cs="Palatino Linotype"/>
          <w:b/>
          <w:i/>
          <w:color w:val="366091"/>
        </w:rPr>
        <w:t xml:space="preserve"> </w:t>
      </w:r>
      <w:r>
        <w:rPr>
          <w:rFonts w:ascii="Palatino Linotype" w:eastAsia="Palatino Linotype" w:hAnsi="Palatino Linotype" w:cs="Palatino Linotype"/>
          <w:i/>
        </w:rPr>
        <w:t>Se</w:t>
      </w:r>
      <w:r>
        <w:rPr>
          <w:rFonts w:ascii="Palatino Linotype" w:eastAsia="Palatino Linotype" w:hAnsi="Palatino Linotype" w:cs="Palatino Linotype"/>
          <w:b/>
          <w:i/>
        </w:rPr>
        <w:t xml:space="preserve"> CONFIRMA </w:t>
      </w:r>
      <w:r>
        <w:rPr>
          <w:rFonts w:ascii="Palatino Linotype" w:eastAsia="Palatino Linotype" w:hAnsi="Palatino Linotype" w:cs="Palatino Linotype"/>
          <w:i/>
        </w:rPr>
        <w:t xml:space="preserve">la respuesta emitida por el </w:t>
      </w:r>
      <w:r>
        <w:rPr>
          <w:rFonts w:ascii="Palatino Linotype" w:eastAsia="Palatino Linotype" w:hAnsi="Palatino Linotype" w:cs="Palatino Linotype"/>
          <w:b/>
          <w:i/>
        </w:rPr>
        <w:t>Ayuntamiento de Ixtapan de la Sal</w:t>
      </w:r>
      <w:r>
        <w:rPr>
          <w:rFonts w:ascii="Palatino Linotype" w:eastAsia="Palatino Linotype" w:hAnsi="Palatino Linotype" w:cs="Palatino Linotype"/>
          <w:i/>
        </w:rPr>
        <w:t xml:space="preserve"> a la solicitud </w:t>
      </w:r>
      <w:r>
        <w:rPr>
          <w:rFonts w:ascii="Palatino Linotype" w:eastAsia="Palatino Linotype" w:hAnsi="Palatino Linotype" w:cs="Palatino Linotype"/>
          <w:b/>
          <w:i/>
        </w:rPr>
        <w:t>01202/IXTASAL/IP/2020</w:t>
      </w:r>
    </w:p>
    <w:p w:rsidR="000E1504" w:rsidRDefault="00724D85">
      <w:pPr>
        <w:tabs>
          <w:tab w:val="left" w:pos="8080"/>
        </w:tabs>
        <w:ind w:left="425" w:right="335"/>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TERCERO. REMÍTASE, </w:t>
      </w:r>
      <w:r>
        <w:rPr>
          <w:rFonts w:ascii="Palatino Linotype" w:eastAsia="Palatino Linotype" w:hAnsi="Palatino Linotype" w:cs="Palatino Linotype"/>
          <w:i/>
        </w:rPr>
        <w:t xml:space="preserve">vía Sistema de Acceso a la Información Mexiquense </w:t>
      </w:r>
      <w:r>
        <w:rPr>
          <w:rFonts w:ascii="Palatino Linotype" w:eastAsia="Palatino Linotype" w:hAnsi="Palatino Linotype" w:cs="Palatino Linotype"/>
          <w:b/>
          <w:i/>
        </w:rPr>
        <w:t>(SAIMEX)</w:t>
      </w:r>
      <w:r>
        <w:rPr>
          <w:rFonts w:ascii="Palatino Linotype" w:eastAsia="Palatino Linotype" w:hAnsi="Palatino Linotype" w:cs="Palatino Linotype"/>
          <w:i/>
        </w:rPr>
        <w:t xml:space="preserve">, la presente resolución al Titular de la Unidad de Transparencia del </w:t>
      </w:r>
      <w:r>
        <w:rPr>
          <w:rFonts w:ascii="Palatino Linotype" w:eastAsia="Palatino Linotype" w:hAnsi="Palatino Linotype" w:cs="Palatino Linotype"/>
          <w:b/>
          <w:i/>
        </w:rPr>
        <w:t>SUJETO OBLIGADO.</w:t>
      </w:r>
    </w:p>
    <w:p w:rsidR="000E1504" w:rsidRDefault="000E1504">
      <w:pPr>
        <w:tabs>
          <w:tab w:val="left" w:pos="8080"/>
        </w:tabs>
        <w:ind w:left="425" w:right="335"/>
        <w:jc w:val="both"/>
        <w:rPr>
          <w:rFonts w:ascii="Palatino Linotype" w:eastAsia="Palatino Linotype" w:hAnsi="Palatino Linotype" w:cs="Palatino Linotype"/>
          <w:b/>
          <w:i/>
        </w:rPr>
      </w:pPr>
    </w:p>
    <w:p w:rsidR="000E1504" w:rsidRDefault="00724D85">
      <w:pPr>
        <w:shd w:val="clear" w:color="auto" w:fill="FFFFFF"/>
        <w:ind w:left="425" w:right="335"/>
        <w:jc w:val="both"/>
        <w:rPr>
          <w:rFonts w:ascii="Palatino Linotype" w:eastAsia="Palatino Linotype" w:hAnsi="Palatino Linotype" w:cs="Palatino Linotype"/>
          <w:i/>
          <w:color w:val="222222"/>
        </w:rPr>
      </w:pPr>
      <w:bookmarkStart w:id="3" w:name="_3znysh7" w:colFirst="0" w:colLast="0"/>
      <w:bookmarkEnd w:id="3"/>
      <w:r>
        <w:rPr>
          <w:rFonts w:ascii="Palatino Linotype" w:eastAsia="Palatino Linotype" w:hAnsi="Palatino Linotype" w:cs="Palatino Linotype"/>
          <w:b/>
          <w:i/>
        </w:rPr>
        <w:t>CUARTO.</w:t>
      </w:r>
      <w:r>
        <w:rPr>
          <w:rFonts w:ascii="Palatino Linotype" w:eastAsia="Palatino Linotype" w:hAnsi="Palatino Linotype" w:cs="Palatino Linotype"/>
          <w:b/>
          <w:i/>
          <w:color w:val="366091"/>
        </w:rPr>
        <w:t xml:space="preserve"> </w:t>
      </w:r>
      <w:r>
        <w:rPr>
          <w:rFonts w:ascii="Palatino Linotype" w:eastAsia="Palatino Linotype" w:hAnsi="Palatino Linotype" w:cs="Palatino Linotype"/>
          <w:b/>
          <w:i/>
        </w:rPr>
        <w:t>Notifíquese</w:t>
      </w:r>
      <w:r>
        <w:rPr>
          <w:rFonts w:ascii="Palatino Linotype" w:eastAsia="Palatino Linotype" w:hAnsi="Palatino Linotype" w:cs="Palatino Linotype"/>
          <w:i/>
          <w:color w:val="366091"/>
        </w:rPr>
        <w:t xml:space="preserve"> </w:t>
      </w:r>
      <w:r>
        <w:rPr>
          <w:rFonts w:ascii="Palatino Linotype" w:eastAsia="Palatino Linotype" w:hAnsi="Palatino Linotype" w:cs="Palatino Linotype"/>
          <w:i/>
        </w:rPr>
        <w:t>a</w:t>
      </w:r>
      <w:r>
        <w:rPr>
          <w:rFonts w:ascii="Palatino Linotype" w:eastAsia="Palatino Linotype" w:hAnsi="Palatino Linotype" w:cs="Palatino Linotype"/>
          <w:b/>
          <w:i/>
        </w:rPr>
        <w:t xml:space="preserve"> </w:t>
      </w:r>
      <w:r w:rsidR="00FF4043">
        <w:rPr>
          <w:rFonts w:ascii="Palatino Linotype" w:eastAsia="Palatino Linotype" w:hAnsi="Palatino Linotype" w:cs="Palatino Linotype"/>
          <w:b/>
          <w:i/>
        </w:rPr>
        <w:t>xxxxxxxxxxxxxxxxxxxxxxxxxxxxxxxxxx</w:t>
      </w:r>
      <w:r>
        <w:rPr>
          <w:rFonts w:ascii="Palatino Linotype" w:eastAsia="Palatino Linotype" w:hAnsi="Palatino Linotype" w:cs="Palatino Linotype"/>
          <w:b/>
          <w:i/>
        </w:rPr>
        <w:t>,</w:t>
      </w:r>
      <w:r>
        <w:rPr>
          <w:rFonts w:ascii="Palatino Linotype" w:eastAsia="Palatino Linotype" w:hAnsi="Palatino Linotype" w:cs="Palatino Linotype"/>
          <w:i/>
        </w:rPr>
        <w:t xml:space="preserve"> la presente</w:t>
      </w:r>
      <w:r>
        <w:rPr>
          <w:rFonts w:ascii="Palatino Linotype" w:eastAsia="Palatino Linotype" w:hAnsi="Palatino Linotype" w:cs="Palatino Linotype"/>
          <w:i/>
          <w:color w:val="222222"/>
        </w:rPr>
        <w:t xml:space="preserve"> resolución.</w:t>
      </w:r>
    </w:p>
    <w:p w:rsidR="000E1504" w:rsidRDefault="000E1504">
      <w:pPr>
        <w:shd w:val="clear" w:color="auto" w:fill="FFFFFF"/>
        <w:ind w:left="425" w:right="335"/>
        <w:jc w:val="both"/>
        <w:rPr>
          <w:rFonts w:ascii="Palatino Linotype" w:eastAsia="Palatino Linotype" w:hAnsi="Palatino Linotype" w:cs="Palatino Linotype"/>
          <w:i/>
          <w:color w:val="222222"/>
        </w:rPr>
      </w:pPr>
    </w:p>
    <w:p w:rsidR="000E1504" w:rsidRDefault="00724D85">
      <w:pPr>
        <w:ind w:left="425" w:right="335"/>
        <w:jc w:val="both"/>
        <w:rPr>
          <w:rFonts w:ascii="Palatino Linotype" w:eastAsia="Palatino Linotype" w:hAnsi="Palatino Linotype" w:cs="Palatino Linotype"/>
          <w:i/>
          <w:color w:val="222222"/>
        </w:rPr>
      </w:pPr>
      <w:r>
        <w:rPr>
          <w:rFonts w:ascii="Palatino Linotype" w:eastAsia="Palatino Linotype" w:hAnsi="Palatino Linotype" w:cs="Palatino Linotype"/>
          <w:b/>
          <w:i/>
          <w:color w:val="222222"/>
        </w:rPr>
        <w:t xml:space="preserve">QUINTO. </w:t>
      </w:r>
      <w:r>
        <w:rPr>
          <w:rFonts w:ascii="Palatino Linotype" w:eastAsia="Palatino Linotype" w:hAnsi="Palatino Linotype" w:cs="Palatino Linotype"/>
          <w:i/>
          <w:color w:val="222222"/>
        </w:rPr>
        <w:t xml:space="preserve">Se hace del conocimiento del </w:t>
      </w:r>
      <w:r w:rsidR="00FF4043">
        <w:rPr>
          <w:rFonts w:ascii="Palatino Linotype" w:eastAsia="Palatino Linotype" w:hAnsi="Palatino Linotype" w:cs="Palatino Linotype"/>
          <w:b/>
          <w:i/>
        </w:rPr>
        <w:t>xxxxxxxxxxxxxxxxxxxxxxxxxxxxxx</w:t>
      </w:r>
      <w:bookmarkStart w:id="4" w:name="_GoBack"/>
      <w:bookmarkEnd w:id="4"/>
      <w:r>
        <w:rPr>
          <w:rFonts w:ascii="Palatino Linotype" w:eastAsia="Palatino Linotype" w:hAnsi="Palatino Linotype" w:cs="Palatino Linotype"/>
          <w:i/>
          <w:color w:val="2222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Pr>
          <w:rFonts w:ascii="Palatino Linotype" w:eastAsia="Palatino Linotype" w:hAnsi="Palatino Linotype" w:cs="Palatino Linotype"/>
          <w:i/>
        </w:rPr>
        <w:t>”</w:t>
      </w: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u w:val="single"/>
        </w:rPr>
      </w:pPr>
      <w:r>
        <w:rPr>
          <w:rFonts w:ascii="Palatino Linotype" w:eastAsia="Palatino Linotype" w:hAnsi="Palatino Linotype" w:cs="Palatino Linotype"/>
          <w:color w:val="000000"/>
        </w:rPr>
        <w:lastRenderedPageBreak/>
        <w:t>El diecinueve (19) de octubre de dos mil veinte, se recibió a través del correo electrónico del organismo garante local, el recurso de inconformidad, presentado en contra de la resolución emitida por el Instituto de Transparencia, Acceso a la Información Pública y Protección de Datos Personales del Estado de México y Municipios.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u w:val="singl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El diecinueve (19) de octubre de dos mil veinte, el Comisionado Presidente del Órgano Garante Nacional le asignó los números de expedientes </w:t>
      </w:r>
      <w:r>
        <w:rPr>
          <w:rFonts w:ascii="Palatino Linotype" w:eastAsia="Palatino Linotype" w:hAnsi="Palatino Linotype" w:cs="Palatino Linotype"/>
          <w:b/>
          <w:color w:val="000000"/>
        </w:rPr>
        <w:t>RIA 143/20</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y 144/20</w:t>
      </w:r>
      <w:r>
        <w:rPr>
          <w:rFonts w:ascii="Palatino Linotype" w:eastAsia="Palatino Linotype" w:hAnsi="Palatino Linotype" w:cs="Palatino Linotype"/>
          <w:color w:val="000000"/>
        </w:rPr>
        <w:t xml:space="preserve">, al recurso de inconformidad y, con base en el sistema aprobado por el Pleno, lo turnó la </w:t>
      </w:r>
      <w:r>
        <w:rPr>
          <w:rFonts w:ascii="Palatino Linotype" w:eastAsia="Palatino Linotype" w:hAnsi="Palatino Linotype" w:cs="Palatino Linotype"/>
          <w:b/>
          <w:color w:val="000000"/>
        </w:rPr>
        <w:t>Comisionada Josefina Román Vergara</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RIA 143/20 </w:t>
      </w:r>
      <w:r>
        <w:rPr>
          <w:rFonts w:ascii="Palatino Linotype" w:eastAsia="Palatino Linotype" w:hAnsi="Palatino Linotype" w:cs="Palatino Linotype"/>
          <w:color w:val="000000"/>
        </w:rPr>
        <w:t>y el</w:t>
      </w:r>
      <w:r>
        <w:rPr>
          <w:rFonts w:ascii="Palatino Linotype" w:eastAsia="Palatino Linotype" w:hAnsi="Palatino Linotype" w:cs="Palatino Linotype"/>
          <w:b/>
          <w:color w:val="000000"/>
        </w:rPr>
        <w:t xml:space="preserve"> RIA 144/20 al Comisionado Francisco Javier Acuña Llamas,</w:t>
      </w:r>
      <w:r>
        <w:rPr>
          <w:rFonts w:ascii="Palatino Linotype" w:eastAsia="Palatino Linotype" w:hAnsi="Palatino Linotype" w:cs="Palatino Linotype"/>
          <w:color w:val="000000"/>
        </w:rPr>
        <w:t xml:space="preserve"> para los efectos del artículo 163 de la Ley General de Transparencia y Acceso a la Información Pública.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veintiséis (26) y veintinueve (29) de octubre de dos mil veinte, se dictó acuerdo por medio del cual se admitió a trámite el recurso de inconformidad y se ordenó correr traslado par que el Organismo Garante Local rindiera su informe justificado, dentro del plazo de diez días hábiles contados a partir del día hábil siguiente a la fecha en que se le notifique el presente acuerdo.</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veintiocho (28) de octubre y el doce (12) de noviembre de dos mil veinte, por medio de correo electrónico, se notificó a la parte agraviada y al Organismo Garante Local la admisión de los recursos de inconformidad.</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El once (11) y veintiséis (26) de noviembre de dos mil veinte, se remitió al INAI, a través de correo electrónico, el informe justificado a través de los oficios INFOEM/DGJV/0295/2020 y INFOEM/DGJV/0184/2020, suscritos por el Director General Jurídico y de Verificación del Instituto de Transparencia, Acceso a la Información Pública y Protección de Datos Personales del Estado de México y Municipios; y dirigido a la Comisionada Ponente.</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once (11) y doce (12) de enero de dos mil veintiuno, la Secretaria de Acuerdos y Ponencia de Acceso a la Información de las respectivas Ponencias, acordaron el cierre de la instrucción, pasando los expedientes a resolución.</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En sesión de Pleno del INAI de fecha trece (13) de enero de dos mil veintiuno, se aprobaron por unanimidad de votos, las resoluciones de los RIA 00143/20 y 00144/20, posteriormente en fecha veintidós (22) de junio del año en curso, fue notificada a este Órgano Garante Local.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El Pleno de este Órgano Autónomo, en la Vigésima Tercera Sesión Ordinaria, de fecha veintitrés (23) de junio de dos mil veintiuno, ordenó el returno de los Recursos de Inconformidad a la </w:t>
      </w:r>
      <w:r>
        <w:rPr>
          <w:rFonts w:ascii="Palatino Linotype" w:eastAsia="Palatino Linotype" w:hAnsi="Palatino Linotype" w:cs="Palatino Linotype"/>
          <w:b/>
          <w:color w:val="000000"/>
        </w:rPr>
        <w:t>Comisionada Zulema Martínez Sánchez</w:t>
      </w:r>
      <w:r>
        <w:rPr>
          <w:rFonts w:ascii="Palatino Linotype" w:eastAsia="Palatino Linotype" w:hAnsi="Palatino Linotype" w:cs="Palatino Linotype"/>
          <w:color w:val="000000"/>
        </w:rPr>
        <w:t>, a fin de que presentara el proyecto de resolución correspondiente.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pStyle w:val="Ttulo1"/>
        <w:spacing w:line="360" w:lineRule="auto"/>
        <w:jc w:val="center"/>
        <w:rPr>
          <w:rFonts w:ascii="Palatino Linotype" w:eastAsia="Palatino Linotype" w:hAnsi="Palatino Linotype" w:cs="Palatino Linotype"/>
          <w:b/>
          <w:color w:val="000000"/>
          <w:sz w:val="24"/>
          <w:szCs w:val="24"/>
        </w:rPr>
      </w:pPr>
      <w:bookmarkStart w:id="5" w:name="_2et92p0" w:colFirst="0" w:colLast="0"/>
      <w:bookmarkEnd w:id="5"/>
      <w:r>
        <w:rPr>
          <w:rFonts w:ascii="Palatino Linotype" w:eastAsia="Palatino Linotype" w:hAnsi="Palatino Linotype" w:cs="Palatino Linotype"/>
          <w:b/>
          <w:color w:val="000000"/>
          <w:sz w:val="24"/>
          <w:szCs w:val="24"/>
        </w:rPr>
        <w:lastRenderedPageBreak/>
        <w:t>CONSIDERANDO</w:t>
      </w:r>
    </w:p>
    <w:p w:rsidR="000E1504" w:rsidRDefault="00724D85">
      <w:pPr>
        <w:pStyle w:val="Ttulo2"/>
        <w:spacing w:line="360" w:lineRule="auto"/>
        <w:jc w:val="both"/>
        <w:rPr>
          <w:rFonts w:ascii="Palatino Linotype" w:eastAsia="Palatino Linotype" w:hAnsi="Palatino Linotype" w:cs="Palatino Linotype"/>
          <w:b/>
          <w:color w:val="000000"/>
          <w:sz w:val="24"/>
          <w:szCs w:val="24"/>
        </w:rPr>
      </w:pPr>
      <w:bookmarkStart w:id="6" w:name="_tyjcwt" w:colFirst="0" w:colLast="0"/>
      <w:bookmarkEnd w:id="6"/>
      <w:r>
        <w:rPr>
          <w:rFonts w:ascii="Palatino Linotype" w:eastAsia="Palatino Linotype" w:hAnsi="Palatino Linotype" w:cs="Palatino Linotype"/>
          <w:b/>
          <w:color w:val="000000"/>
          <w:sz w:val="24"/>
          <w:szCs w:val="24"/>
        </w:rPr>
        <w:t>PRIMERO. De previo y especial pronunciamiento. De la duplicidad de resoluciones</w:t>
      </w: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Como quedara establecido en los Antecedentes de la presente Resolución, a este Instituto de Transparencia, Acceso a la Información Pública y Protección de Datos Personales del Estado de México y Municipios (INFOEM) le fueron notificadas las resoluciones emitidas por el Pleno del </w:t>
      </w:r>
      <w:r>
        <w:rPr>
          <w:rFonts w:ascii="Palatino Linotype" w:eastAsia="Palatino Linotype" w:hAnsi="Palatino Linotype" w:cs="Palatino Linotype"/>
          <w:color w:val="000000"/>
          <w:highlight w:val="white"/>
        </w:rPr>
        <w:t xml:space="preserve">Instituto Nacional de Transparencia, Acceso a la Información y Protección de Datos Personales (INAI), en los recursos de inconformidad números </w:t>
      </w:r>
      <w:r>
        <w:rPr>
          <w:rFonts w:ascii="Palatino Linotype" w:eastAsia="Palatino Linotype" w:hAnsi="Palatino Linotype" w:cs="Palatino Linotype"/>
          <w:b/>
          <w:color w:val="000000"/>
        </w:rPr>
        <w:t xml:space="preserve">RIA 0143/20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144/20</w:t>
      </w:r>
      <w:r>
        <w:rPr>
          <w:rFonts w:ascii="Palatino Linotype" w:eastAsia="Palatino Linotype" w:hAnsi="Palatino Linotype" w:cs="Palatino Linotype"/>
          <w:color w:val="000000"/>
          <w:highlight w:val="white"/>
        </w:rPr>
        <w:t xml:space="preserve">; mediante las cuales se revoca la resolución emitida por el INFOEM en el recurso de revisión </w:t>
      </w:r>
      <w:r>
        <w:rPr>
          <w:rFonts w:ascii="Palatino Linotype" w:eastAsia="Palatino Linotype" w:hAnsi="Palatino Linotype" w:cs="Palatino Linotype"/>
          <w:b/>
          <w:color w:val="000000"/>
        </w:rPr>
        <w:t xml:space="preserve">02478/INFOEM/IP/RR/2020, </w:t>
      </w:r>
      <w:r>
        <w:rPr>
          <w:rFonts w:ascii="Palatino Linotype" w:eastAsia="Palatino Linotype" w:hAnsi="Palatino Linotype" w:cs="Palatino Linotype"/>
          <w:color w:val="000000"/>
        </w:rPr>
        <w:t>y se instruye a este Órgano Garante Local para que en un término no mayor de quince días hábiles, contados a partir del día hábil siguiente al de su notificación, se cumpla con dichas resoluciones.</w:t>
      </w:r>
    </w:p>
    <w:p w:rsidR="000E1504" w:rsidRDefault="000E1504">
      <w:pPr>
        <w:spacing w:line="360" w:lineRule="auto"/>
        <w:jc w:val="both"/>
        <w:rPr>
          <w:rFonts w:ascii="Palatino Linotype" w:eastAsia="Palatino Linotype" w:hAnsi="Palatino Linotype" w:cs="Palatino Linotyp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Con la finalidad de que se tengan por atendidas las resoluciones a los  Recursos de Inconformidad números </w:t>
      </w:r>
      <w:r>
        <w:rPr>
          <w:rFonts w:ascii="Palatino Linotype" w:eastAsia="Palatino Linotype" w:hAnsi="Palatino Linotype" w:cs="Palatino Linotype"/>
          <w:b/>
          <w:color w:val="000000"/>
        </w:rPr>
        <w:t>RIA 0143/20 y 144/20</w:t>
      </w:r>
      <w:r>
        <w:rPr>
          <w:rFonts w:ascii="Palatino Linotype" w:eastAsia="Palatino Linotype" w:hAnsi="Palatino Linotype" w:cs="Palatino Linotype"/>
          <w:color w:val="000000"/>
        </w:rPr>
        <w:t xml:space="preserve">, el Pleno del INFOEM hace del conocimiento del INAI que, el INFOEM fue notificado de ambas resoluciones dictadas en los recursos de inconformidad </w:t>
      </w:r>
      <w:r>
        <w:rPr>
          <w:rFonts w:ascii="Palatino Linotype" w:eastAsia="Palatino Linotype" w:hAnsi="Palatino Linotype" w:cs="Palatino Linotype"/>
          <w:b/>
          <w:color w:val="000000"/>
        </w:rPr>
        <w:t xml:space="preserve">RIA 0143/20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144/20</w:t>
      </w:r>
      <w:r>
        <w:rPr>
          <w:rFonts w:ascii="Palatino Linotype" w:eastAsia="Palatino Linotype" w:hAnsi="Palatino Linotype" w:cs="Palatino Linotype"/>
          <w:color w:val="000000"/>
        </w:rPr>
        <w:t xml:space="preserve">, mediante los cuales se revoca la resolución </w:t>
      </w:r>
      <w:r>
        <w:rPr>
          <w:rFonts w:ascii="Palatino Linotype" w:eastAsia="Palatino Linotype" w:hAnsi="Palatino Linotype" w:cs="Palatino Linotype"/>
          <w:color w:val="000000"/>
          <w:highlight w:val="white"/>
        </w:rPr>
        <w:t xml:space="preserve">del recurso de revisión </w:t>
      </w:r>
      <w:r>
        <w:rPr>
          <w:rFonts w:ascii="Palatino Linotype" w:eastAsia="Palatino Linotype" w:hAnsi="Palatino Linotype" w:cs="Palatino Linotype"/>
          <w:b/>
          <w:color w:val="000000"/>
        </w:rPr>
        <w:t xml:space="preserve">02478/INFOEM/IP/RR/2020 </w:t>
      </w:r>
      <w:r>
        <w:rPr>
          <w:rFonts w:ascii="Palatino Linotype" w:eastAsia="Palatino Linotype" w:hAnsi="Palatino Linotype" w:cs="Palatino Linotype"/>
          <w:color w:val="000000"/>
          <w:highlight w:val="white"/>
        </w:rPr>
        <w:t xml:space="preserve">y se instruye al Pleno de este Instituto </w:t>
      </w:r>
      <w:r>
        <w:rPr>
          <w:rFonts w:ascii="Palatino Linotype" w:eastAsia="Palatino Linotype" w:hAnsi="Palatino Linotype" w:cs="Palatino Linotype"/>
          <w:color w:val="000000"/>
        </w:rPr>
        <w:t>se emita la nueva resolución, en los términos ordenados y previstos, en el plazo de quince días contados a partir del día siguiente al que se tenga conocimiento de la resolución.</w:t>
      </w:r>
    </w:p>
    <w:p w:rsidR="000E1504" w:rsidRDefault="000E1504">
      <w:pPr>
        <w:spacing w:line="360" w:lineRule="auto"/>
        <w:jc w:val="both"/>
        <w:rPr>
          <w:rFonts w:ascii="Palatino Linotype" w:eastAsia="Palatino Linotype" w:hAnsi="Palatino Linotype" w:cs="Palatino Linotype"/>
        </w:rPr>
      </w:pPr>
    </w:p>
    <w:p w:rsidR="000E1504" w:rsidRDefault="00724D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El Pleno de este Instituto, en estricto cumplimiento de lo señalado por los artículos 172 y 180 de la Ley General de Transparencia y Acceso a la Información Pública y atendiendo lo ordenado en las resoluciones de los recursos de inconformidad números </w:t>
      </w:r>
      <w:r>
        <w:rPr>
          <w:rFonts w:ascii="Palatino Linotype" w:eastAsia="Palatino Linotype" w:hAnsi="Palatino Linotype" w:cs="Palatino Linotype"/>
          <w:b/>
        </w:rPr>
        <w:t>RIA 0143/20 y 144/20</w:t>
      </w:r>
      <w:r>
        <w:rPr>
          <w:rFonts w:ascii="Palatino Linotype" w:eastAsia="Palatino Linotype" w:hAnsi="Palatino Linotype" w:cs="Palatino Linotype"/>
          <w:color w:val="000000"/>
        </w:rPr>
        <w:t xml:space="preserve">, emite la presente resolución ordenándose la entrega de la información requerida, ya que como se puede apreciar, los recursos de inconformidad </w:t>
      </w:r>
      <w:r>
        <w:rPr>
          <w:rFonts w:ascii="Palatino Linotype" w:eastAsia="Palatino Linotype" w:hAnsi="Palatino Linotype" w:cs="Palatino Linotype"/>
          <w:b/>
        </w:rPr>
        <w:t xml:space="preserve">RIA 0143/20 y 144/20 </w:t>
      </w:r>
      <w:r>
        <w:rPr>
          <w:rFonts w:ascii="Palatino Linotype" w:eastAsia="Palatino Linotype" w:hAnsi="Palatino Linotype" w:cs="Palatino Linotype"/>
          <w:color w:val="000000"/>
        </w:rPr>
        <w:t xml:space="preserve">resuelven revocar </w:t>
      </w:r>
      <w:r>
        <w:rPr>
          <w:rFonts w:ascii="Palatino Linotype" w:eastAsia="Palatino Linotype" w:hAnsi="Palatino Linotype" w:cs="Palatino Linotype"/>
          <w:b/>
          <w:color w:val="000000"/>
        </w:rPr>
        <w:t xml:space="preserve">la resolución del recurso de revisión </w:t>
      </w:r>
      <w:r>
        <w:rPr>
          <w:rFonts w:ascii="Palatino Linotype" w:eastAsia="Palatino Linotype" w:hAnsi="Palatino Linotype" w:cs="Palatino Linotype"/>
          <w:b/>
        </w:rPr>
        <w:t>02478/INFOEM/IP/RR/2020</w:t>
      </w:r>
      <w:r>
        <w:rPr>
          <w:rFonts w:ascii="Palatino Linotype" w:eastAsia="Palatino Linotype" w:hAnsi="Palatino Linotype" w:cs="Palatino Linotype"/>
          <w:color w:val="000000"/>
          <w:highlight w:val="white"/>
        </w:rPr>
        <w:t xml:space="preserve">, </w:t>
      </w:r>
      <w:r>
        <w:rPr>
          <w:rFonts w:ascii="Palatino Linotype" w:eastAsia="Palatino Linotype" w:hAnsi="Palatino Linotype" w:cs="Palatino Linotype"/>
        </w:rPr>
        <w:t xml:space="preserve">es decir, </w:t>
      </w:r>
      <w:r>
        <w:rPr>
          <w:rFonts w:ascii="Palatino Linotype" w:eastAsia="Palatino Linotype" w:hAnsi="Palatino Linotype" w:cs="Palatino Linotype"/>
          <w:u w:val="single"/>
        </w:rPr>
        <w:t>que existen dos pronunciamientos sobre el mismo asunto</w:t>
      </w:r>
      <w:r>
        <w:rPr>
          <w:rFonts w:ascii="Palatino Linotype" w:eastAsia="Palatino Linotype" w:hAnsi="Palatino Linotype" w:cs="Palatino Linotype"/>
        </w:rPr>
        <w:t>.</w:t>
      </w:r>
    </w:p>
    <w:p w:rsidR="000E1504" w:rsidRDefault="000E1504">
      <w:pPr>
        <w:spacing w:line="360" w:lineRule="auto"/>
        <w:jc w:val="both"/>
        <w:rPr>
          <w:rFonts w:ascii="Palatino Linotype" w:eastAsia="Palatino Linotype" w:hAnsi="Palatino Linotype" w:cs="Palatino Linotype"/>
        </w:rPr>
      </w:pPr>
    </w:p>
    <w:p w:rsidR="000E1504" w:rsidRDefault="00724D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consecuencia, con la presente resolución </w:t>
      </w:r>
      <w:r>
        <w:rPr>
          <w:rFonts w:ascii="Palatino Linotype" w:eastAsia="Palatino Linotype" w:hAnsi="Palatino Linotype" w:cs="Palatino Linotype"/>
          <w:color w:val="000000"/>
          <w:highlight w:val="white"/>
        </w:rPr>
        <w:t xml:space="preserve">debe tenerse por cumplido lo resuelto en ambos </w:t>
      </w:r>
      <w:r>
        <w:rPr>
          <w:rFonts w:ascii="Palatino Linotype" w:eastAsia="Palatino Linotype" w:hAnsi="Palatino Linotype" w:cs="Palatino Linotype"/>
          <w:color w:val="000000"/>
        </w:rPr>
        <w:t>recursos de inconformidad</w:t>
      </w:r>
      <w:r>
        <w:rPr>
          <w:rFonts w:ascii="Palatino Linotype" w:eastAsia="Palatino Linotype" w:hAnsi="Palatino Linotype" w:cs="Palatino Linotype"/>
          <w:color w:val="000000"/>
          <w:highlight w:val="white"/>
        </w:rPr>
        <w:t xml:space="preserve">, ya que al resolver los dos sobre un mismo asunto, se emite una sola resolución; toda vez que resulta contrario a toda lógica que se emitan dos resoluciones en un mismo sentido, ordenando al Sujeto Obligado Ixtapan de la Sal, la entrega de la misma información por duplicado, </w:t>
      </w:r>
      <w:r>
        <w:rPr>
          <w:rFonts w:ascii="Palatino Linotype" w:eastAsia="Palatino Linotype" w:hAnsi="Palatino Linotype" w:cs="Palatino Linotype"/>
          <w:color w:val="000000"/>
        </w:rPr>
        <w:t>lo que eventualmente afectaría la certeza jurídica de una y otra resolución emitida, así como el proceso de cumplimiento.</w:t>
      </w:r>
    </w:p>
    <w:p w:rsidR="000E1504" w:rsidRDefault="000E1504">
      <w:pPr>
        <w:spacing w:line="360" w:lineRule="auto"/>
        <w:jc w:val="both"/>
        <w:rPr>
          <w:rFonts w:ascii="Palatino Linotype" w:eastAsia="Palatino Linotype" w:hAnsi="Palatino Linotype" w:cs="Palatino Linotype"/>
          <w:color w:val="000000"/>
          <w:highlight w:val="white"/>
        </w:rPr>
      </w:pPr>
    </w:p>
    <w:p w:rsidR="000E1504" w:rsidRDefault="00724D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mérito de lo antes dispuesto, se informa al INAI, atenta y respetuosamente, que con la presente Resolución, se tenga por plenamente atendida las resoluciones de los Recursos de Inconformidad números </w:t>
      </w:r>
      <w:r>
        <w:rPr>
          <w:rFonts w:ascii="Palatino Linotype" w:eastAsia="Palatino Linotype" w:hAnsi="Palatino Linotype" w:cs="Palatino Linotype"/>
          <w:b/>
        </w:rPr>
        <w:t>0143/20 y 144/20</w:t>
      </w:r>
      <w:r>
        <w:rPr>
          <w:rFonts w:ascii="Palatino Linotype" w:eastAsia="Palatino Linotype" w:hAnsi="Palatino Linotype" w:cs="Palatino Linotype"/>
          <w:color w:val="000000"/>
        </w:rPr>
        <w:t>.</w:t>
      </w:r>
    </w:p>
    <w:p w:rsidR="000E1504" w:rsidRDefault="000E1504"/>
    <w:p w:rsidR="000E1504" w:rsidRDefault="000E1504"/>
    <w:p w:rsidR="000E1504" w:rsidRDefault="00724D85">
      <w:pPr>
        <w:pStyle w:val="Ttulo2"/>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SEGUNDO. Atribuciones del INAI</w:t>
      </w: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pStyle w:val="Ttulo2"/>
        <w:spacing w:line="360" w:lineRule="auto"/>
        <w:jc w:val="both"/>
        <w:rPr>
          <w:rFonts w:ascii="Palatino Linotype" w:eastAsia="Palatino Linotype" w:hAnsi="Palatino Linotype" w:cs="Palatino Linotype"/>
          <w:b/>
          <w:color w:val="000000"/>
          <w:sz w:val="24"/>
          <w:szCs w:val="24"/>
        </w:rPr>
      </w:pPr>
      <w:bookmarkStart w:id="7" w:name="_3dy6vkm" w:colFirst="0" w:colLast="0"/>
      <w:bookmarkEnd w:id="7"/>
      <w:r>
        <w:rPr>
          <w:rFonts w:ascii="Palatino Linotype" w:eastAsia="Palatino Linotype" w:hAnsi="Palatino Linotype" w:cs="Palatino Linotype"/>
          <w:b/>
          <w:color w:val="000000"/>
          <w:sz w:val="24"/>
          <w:szCs w:val="24"/>
        </w:rPr>
        <w:t>TERCERO. Resolución y efectos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En cumplimiento a lo establecido en el artículo 172 de la Ley General de Transparencia y Acceso a la Información Pública, el presente fallo tiene los efectos siguientes: </w:t>
      </w:r>
      <w:r>
        <w:rPr>
          <w:rFonts w:ascii="Palatino Linotype" w:eastAsia="Palatino Linotype" w:hAnsi="Palatino Linotype" w:cs="Palatino Linotype"/>
          <w:b/>
          <w:color w:val="000000"/>
        </w:rPr>
        <w:t>“</w:t>
      </w:r>
      <w:r>
        <w:rPr>
          <w:rFonts w:ascii="Palatino Linotype" w:eastAsia="Palatino Linotype" w:hAnsi="Palatino Linotype" w:cs="Palatino Linotype"/>
          <w:b/>
          <w:i/>
          <w:color w:val="000000"/>
        </w:rPr>
        <w:t xml:space="preserve">Emita una nueva resolución en la que instruya al Ayuntamiento de Ixtapan de la Sal a entregar la información relativa a todas las actas de las sesiones extraordinarias de la Junta de Gobierno del sistema municipal DIF relativas al </w:t>
      </w:r>
      <w:r>
        <w:rPr>
          <w:rFonts w:ascii="Palatino Linotype" w:eastAsia="Palatino Linotype" w:hAnsi="Palatino Linotype" w:cs="Palatino Linotype"/>
          <w:b/>
          <w:i/>
          <w:color w:val="000000"/>
        </w:rPr>
        <w:lastRenderedPageBreak/>
        <w:t>ejercicio fiscal 2020, debiendo privilegiar la entrega en medios electrónicos; sin embargo, si se acredita un impedimento justificado para atender esa modalidad en relación directa con el formato en el que obra la información, se deberá de dar la opción al sujeto obligado para que, de manera debidamente fundada y motivada se ofrezca la entrega de la información en el resto de las modalidades de entrega de la información además de consulta directa, como copias simples y certificadas con opción de envío a domicilio previo pago correspondiente”</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0E1504" w:rsidRDefault="00724D85">
      <w:pPr>
        <w:pStyle w:val="Ttulo1"/>
        <w:spacing w:line="360" w:lineRule="auto"/>
        <w:jc w:val="both"/>
        <w:rPr>
          <w:rFonts w:ascii="Palatino Linotype" w:eastAsia="Palatino Linotype" w:hAnsi="Palatino Linotype" w:cs="Palatino Linotype"/>
          <w:b/>
          <w:color w:val="000000"/>
          <w:sz w:val="24"/>
          <w:szCs w:val="24"/>
        </w:rPr>
      </w:pPr>
      <w:bookmarkStart w:id="8" w:name="_1t3h5sf" w:colFirst="0" w:colLast="0"/>
      <w:bookmarkEnd w:id="8"/>
      <w:r>
        <w:rPr>
          <w:rFonts w:ascii="Palatino Linotype" w:eastAsia="Palatino Linotype" w:hAnsi="Palatino Linotype" w:cs="Palatino Linotype"/>
          <w:b/>
          <w:color w:val="000000"/>
          <w:sz w:val="24"/>
          <w:szCs w:val="24"/>
        </w:rPr>
        <w:t>CUARTO. Consideraciones de especial pronunciamiento</w:t>
      </w:r>
    </w:p>
    <w:p w:rsidR="000E1504" w:rsidRDefault="00724D85">
      <w:pPr>
        <w:tabs>
          <w:tab w:val="left" w:pos="3063"/>
        </w:tabs>
      </w:pPr>
      <w:r>
        <w:tab/>
      </w:r>
    </w:p>
    <w:p w:rsidR="000E1504" w:rsidRDefault="00724D85">
      <w:pPr>
        <w:pStyle w:val="Ttulo1"/>
        <w:numPr>
          <w:ilvl w:val="0"/>
          <w:numId w:val="6"/>
        </w:numPr>
        <w:spacing w:line="259" w:lineRule="auto"/>
        <w:rPr>
          <w:rFonts w:ascii="Palatino Linotype" w:eastAsia="Palatino Linotype" w:hAnsi="Palatino Linotype" w:cs="Palatino Linotype"/>
          <w:b/>
          <w:color w:val="000000"/>
          <w:sz w:val="24"/>
          <w:szCs w:val="24"/>
        </w:rPr>
      </w:pPr>
      <w:bookmarkStart w:id="9" w:name="_4d34og8" w:colFirst="0" w:colLast="0"/>
      <w:bookmarkEnd w:id="9"/>
      <w:r>
        <w:rPr>
          <w:rFonts w:ascii="Palatino Linotype" w:eastAsia="Palatino Linotype" w:hAnsi="Palatino Linotype" w:cs="Palatino Linotype"/>
          <w:b/>
          <w:color w:val="000000"/>
          <w:sz w:val="24"/>
          <w:szCs w:val="24"/>
        </w:rPr>
        <w:t>Del Principio de Legalidad</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Conviene recordar que la Declaración de los Derechos del Hombre y del Ciudadano de 1789 en su artículo 16, proclamó que una sociedad sólo podía entenderse fundada en una Constitución </w:t>
      </w:r>
      <w:r>
        <w:rPr>
          <w:rFonts w:ascii="Palatino Linotype" w:eastAsia="Palatino Linotype" w:hAnsi="Palatino Linotype" w:cs="Palatino Linotype"/>
          <w:i/>
          <w:color w:val="000000"/>
        </w:rPr>
        <w:t>si se asegura la garantía de los derechos y la separación de poderes</w:t>
      </w:r>
      <w:r>
        <w:rPr>
          <w:rFonts w:ascii="Palatino Linotype" w:eastAsia="Palatino Linotype" w:hAnsi="Palatino Linotype" w:cs="Palatino Linotype"/>
          <w:color w:val="000000"/>
        </w:rPr>
        <w:t xml:space="preserve">, figuras clásicas del modelo del Estado limitado y de poderes divididos. Estas dos referencias son representativas para sostener que el constitucionalismo pretende limitar los poderes públicos y consolidar la esfera de las autonomías garantizadas mediante normas. Desde entonces, puede decirse que el Estado de Derecho se basa en la aspiración a que los hombres sean gobernados por leyes y no por otros hombres, y que la división de poderes supone un gobierno moderado y representativo en el que el poder del gobierno se encuentra en diferentes manos que se contrapesan.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Es por ello, que el principio de división de poderes constituye uno de los pilares fundamentales de cualquier sistema democrático, ya que implica la limitación del poder público para evitar su abuso, de manera que dicho poder sirva como instrumento para los fines del bien común y no para el beneficio de quienes lo ejercen con motivo de su cargo.</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Al respecto, Elías Díaz, señala que se suman y pueden ser cuatro las características esenciales e indispensables del Estado de Derecho: (1) el imperio de la ley</w:t>
      </w:r>
      <w:r>
        <w:rPr>
          <w:rFonts w:ascii="Palatino Linotype" w:eastAsia="Palatino Linotype" w:hAnsi="Palatino Linotype" w:cs="Palatino Linotype"/>
          <w:color w:val="000000"/>
          <w:highlight w:val="white"/>
        </w:rPr>
        <w:t>; ley como expresión de la voluntad general; (2) División de poderes: legislativo, ejecutivo y judicial; (3) Legalidad de la Administración: actuación según la ley y suficiente control judicial; (4) Derechos y libertades fundamentales, garantía jurídico-formal y efectiva realización material</w:t>
      </w:r>
      <w:r>
        <w:rPr>
          <w:rFonts w:ascii="Palatino Linotype" w:eastAsia="Palatino Linotype" w:hAnsi="Palatino Linotype" w:cs="Palatino Linotype"/>
          <w:color w:val="333333"/>
          <w:highlight w:val="white"/>
        </w:rPr>
        <w:t>.</w:t>
      </w:r>
      <w:r>
        <w:rPr>
          <w:rFonts w:ascii="Palatino Linotype" w:eastAsia="Palatino Linotype" w:hAnsi="Palatino Linotype" w:cs="Palatino Linotype"/>
          <w:color w:val="333333"/>
          <w:highlight w:val="white"/>
          <w:vertAlign w:val="superscript"/>
        </w:rPr>
        <w:footnoteReference w:id="1"/>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En el derecho mexicano, el principio de legalidad, en general se debe deducir de la interpretación conjunta del segundo párrafo del artículo 14 de la Constitución mexicana: “</w:t>
      </w:r>
      <w:r>
        <w:rPr>
          <w:rFonts w:ascii="Palatino Linotype" w:eastAsia="Palatino Linotype" w:hAnsi="Palatino Linotype" w:cs="Palatino Linotype"/>
          <w:i/>
          <w:color w:val="000000"/>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Pr>
          <w:rFonts w:ascii="Palatino Linotype" w:eastAsia="Palatino Linotype" w:hAnsi="Palatino Linotype" w:cs="Palatino Linotype"/>
          <w:color w:val="000000"/>
        </w:rPr>
        <w:t xml:space="preserve"> y del primer párrafo del artículo 16 de Constitucional: “</w:t>
      </w:r>
      <w:r>
        <w:rPr>
          <w:rFonts w:ascii="Palatino Linotype" w:eastAsia="Palatino Linotype" w:hAnsi="Palatino Linotype" w:cs="Palatino Linotype"/>
          <w:i/>
          <w:color w:val="000000"/>
        </w:rPr>
        <w:t>Nadie puede ser molestado en su persona, familia, domicilio, papeles o posesiones, sino en virtud de mandamiento escrito de la autoridad competente, que funde y motive la causa legal del procedimiento”.</w:t>
      </w:r>
    </w:p>
    <w:p w:rsidR="000E1504" w:rsidRDefault="000E1504">
      <w:pPr>
        <w:pBdr>
          <w:top w:val="nil"/>
          <w:left w:val="nil"/>
          <w:bottom w:val="nil"/>
          <w:right w:val="nil"/>
          <w:between w:val="nil"/>
        </w:pBdr>
        <w:ind w:left="708"/>
        <w:rPr>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El principio de legalidad comprende en sí dos figuras jurídicas: el principio de legalidad y la reserva de ley, cuya distinción radica en que cada uno de estos principios surte efectos en diferentes campos del derecho, el primero se sitúa en la esfera aplicativa de éste; mientras que el segundo, implica centrar nuestra atención en su esfera normativa.</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principio de legalidad entraña que los órganos del Estado deben ceñir su actuar a lo que disponga la ley, lo que implica el respeto absoluto en la producción de las normas al orden escalonado exigido por la jerarquía de las fuentes del derecho, y finalmente, la sumisión de los actos concretos de una autoridad a las disposiciones de carácter general.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0E1504" w:rsidRDefault="000E1504">
      <w:pPr>
        <w:pBdr>
          <w:top w:val="nil"/>
          <w:left w:val="nil"/>
          <w:bottom w:val="nil"/>
          <w:right w:val="nil"/>
          <w:between w:val="nil"/>
        </w:pBdr>
        <w:ind w:left="708"/>
        <w:rPr>
          <w:color w:val="1E1916"/>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1E1916"/>
        </w:rPr>
        <w:t xml:space="preserve">La sujeción de los órganos públicos a la ley se concreta en el principio de </w:t>
      </w:r>
      <w:r>
        <w:rPr>
          <w:rFonts w:ascii="Palatino Linotype" w:eastAsia="Palatino Linotype" w:hAnsi="Palatino Linotype" w:cs="Palatino Linotype"/>
          <w:i/>
          <w:color w:val="1E1916"/>
        </w:rPr>
        <w:t>mera legalidad</w:t>
      </w:r>
      <w:r>
        <w:rPr>
          <w:rFonts w:ascii="Palatino Linotype" w:eastAsia="Palatino Linotype" w:hAnsi="Palatino Linotype" w:cs="Palatino Linotype"/>
          <w:color w:val="1E1916"/>
        </w:rPr>
        <w:t xml:space="preserve">, el cual es distinto al principio de </w:t>
      </w:r>
      <w:r>
        <w:rPr>
          <w:rFonts w:ascii="Palatino Linotype" w:eastAsia="Palatino Linotype" w:hAnsi="Palatino Linotype" w:cs="Palatino Linotype"/>
          <w:i/>
          <w:color w:val="1E1916"/>
        </w:rPr>
        <w:t xml:space="preserve">estricta legalidad </w:t>
      </w:r>
      <w:r>
        <w:rPr>
          <w:rFonts w:ascii="Palatino Linotype" w:eastAsia="Palatino Linotype" w:hAnsi="Palatino Linotype" w:cs="Palatino Linotype"/>
          <w:color w:val="1E1916"/>
        </w:rPr>
        <w:t xml:space="preserve">según el cual las autoridades no solamente deben de acatar las leyes cualesquiera que sean sus </w:t>
      </w:r>
      <w:r>
        <w:rPr>
          <w:rFonts w:ascii="Palatino Linotype" w:eastAsia="Palatino Linotype" w:hAnsi="Palatino Linotype" w:cs="Palatino Linotype"/>
          <w:color w:val="1E1916"/>
        </w:rPr>
        <w:lastRenderedPageBreak/>
        <w:t>contenidos, sino que es preciso además que todos sus actos incluyendo los propios actos legislativos estén subordinados a los derechos fundamentales.</w:t>
      </w:r>
      <w:r>
        <w:rPr>
          <w:rFonts w:ascii="Palatino Linotype" w:eastAsia="Palatino Linotype" w:hAnsi="Palatino Linotype" w:cs="Palatino Linotype"/>
          <w:color w:val="1E1916"/>
          <w:vertAlign w:val="superscript"/>
        </w:rPr>
        <w:footnoteReference w:id="2"/>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principio de legalidad implica que toda acción de cualquier órgano investido de poder estatal debe estar justificada por una ley previa, toda vez que violentar este principio no solo es violatorio de los derechos de seguridad jurídica, sino que atenta contra del Estado de Derecho en el cual las autoridades deben encontrarse sujetas a la ley, es decir, debe existir sujeción de los poderes públicos al ordenamiento legal. Es por ello, que el Estado de Derecho es aquel en el cual prevalece el principio de legalidad que regula y controla el poder y la actividad de los órganos del Estado y en el que el sometimiento a la ley, sin lugar a dudas, esta relacionado con el respeto a la persona humana y a sus derechos fundamentales.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Ahora bien, el artículo 8 de la Ley General de Transparencia y Acceso a la Información Pública establece los nueve principios rectores de los organismos garantes: certeza, eficacia, imparcialidad, independencia, legalidad, máxima publicidad, objetividad, profesionalismo y transparencia, como sigue:</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bookmarkStart w:id="10" w:name="2s8eyo1" w:colFirst="0" w:colLast="0"/>
      <w:bookmarkEnd w:id="10"/>
      <w:r>
        <w:rPr>
          <w:rFonts w:ascii="Palatino Linotype" w:eastAsia="Palatino Linotype" w:hAnsi="Palatino Linotype" w:cs="Palatino Linotype"/>
          <w:b/>
          <w:i/>
          <w:color w:val="000000"/>
          <w:sz w:val="22"/>
          <w:szCs w:val="22"/>
        </w:rPr>
        <w:t xml:space="preserve">Artículo 8. </w:t>
      </w:r>
      <w:r>
        <w:rPr>
          <w:rFonts w:ascii="Palatino Linotype" w:eastAsia="Palatino Linotype" w:hAnsi="Palatino Linotype" w:cs="Palatino Linotype"/>
          <w:i/>
          <w:color w:val="000000"/>
          <w:sz w:val="22"/>
          <w:szCs w:val="22"/>
        </w:rPr>
        <w:t>Los Organismos garantes del derecho de acceso a la información deberán regir su funcionamiento de acuerdo a los siguientes principios: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b/>
          <w:i/>
          <w:color w:val="000000"/>
          <w:sz w:val="22"/>
          <w:szCs w:val="22"/>
        </w:rPr>
        <w:tab/>
        <w:t xml:space="preserve">Certeza: </w:t>
      </w:r>
      <w:r>
        <w:rPr>
          <w:rFonts w:ascii="Palatino Linotype" w:eastAsia="Palatino Linotype" w:hAnsi="Palatino Linotype" w:cs="Palatino Linotype"/>
          <w:i/>
          <w:color w:val="000000"/>
          <w:sz w:val="22"/>
          <w:szCs w:val="22"/>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 xml:space="preserve">II. Eficacia: </w:t>
      </w:r>
      <w:r>
        <w:rPr>
          <w:rFonts w:ascii="Palatino Linotype" w:eastAsia="Palatino Linotype" w:hAnsi="Palatino Linotype" w:cs="Palatino Linotype"/>
          <w:i/>
          <w:color w:val="000000"/>
          <w:sz w:val="22"/>
          <w:szCs w:val="22"/>
        </w:rPr>
        <w:t>Obligación de los Organismos garantes para tutelar, de manera efectiva, el derecho de acceso a la información;</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III. Imparcialidad: </w:t>
      </w:r>
      <w:r>
        <w:rPr>
          <w:rFonts w:ascii="Palatino Linotype" w:eastAsia="Palatino Linotype" w:hAnsi="Palatino Linotype" w:cs="Palatino Linotype"/>
          <w:i/>
          <w:color w:val="000000"/>
          <w:sz w:val="22"/>
          <w:szCs w:val="22"/>
        </w:rPr>
        <w:t>Cualidad que deben tener los Organismos garantes respecto de sus actuaciones de ser ajenos o extraños a los intereses de las partes en controversia y resolver sin favorecer indebidamente a ninguna de ellas;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IV. Independencia: </w:t>
      </w:r>
      <w:r>
        <w:rPr>
          <w:rFonts w:ascii="Palatino Linotype" w:eastAsia="Palatino Linotype" w:hAnsi="Palatino Linotype" w:cs="Palatino Linotype"/>
          <w:i/>
          <w:color w:val="000000"/>
          <w:sz w:val="22"/>
          <w:szCs w:val="22"/>
        </w:rPr>
        <w:t>Cualidad que deben tener los Organismos garantes para actuar sin supeditarse a interés, autoridad o persona alguna;</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b/>
          <w:i/>
          <w:color w:val="000000"/>
          <w:sz w:val="22"/>
          <w:szCs w:val="22"/>
        </w:rPr>
        <w:tab/>
        <w:t xml:space="preserve"> Legalidad: Obligación de los Organismos garantes de ajustar su actuación, que funde y motive sus resoluciones y actos en las normas aplicables;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VI. Máxima Publicidad: </w:t>
      </w:r>
      <w:r>
        <w:rPr>
          <w:rFonts w:ascii="Palatino Linotype" w:eastAsia="Palatino Linotype" w:hAnsi="Palatino Linotype" w:cs="Palatino Linotype"/>
          <w:i/>
          <w:color w:val="000000"/>
          <w:sz w:val="22"/>
          <w:szCs w:val="22"/>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VII. Objetividad: </w:t>
      </w:r>
      <w:r>
        <w:rPr>
          <w:rFonts w:ascii="Palatino Linotype" w:eastAsia="Palatino Linotype" w:hAnsi="Palatino Linotype" w:cs="Palatino Linotype"/>
          <w:i/>
          <w:color w:val="000000"/>
          <w:sz w:val="22"/>
          <w:szCs w:val="22"/>
        </w:rPr>
        <w:t>Obligación de los Organismos garantes de ajustar su actuación a los presupuestos de ley que deben ser aplicados al analizar el caso en concreto y resolver todos los hechos, prescindiendo de las consideraciones y criterios personales;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 Profesionalismo:</w:t>
      </w:r>
      <w:r>
        <w:rPr>
          <w:rFonts w:ascii="Palatino Linotype" w:eastAsia="Palatino Linotype" w:hAnsi="Palatino Linotype" w:cs="Palatino Linotype"/>
          <w:i/>
          <w:color w:val="000000"/>
          <w:sz w:val="22"/>
          <w:szCs w:val="22"/>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IX. Transparencia: </w:t>
      </w:r>
      <w:r>
        <w:rPr>
          <w:rFonts w:ascii="Palatino Linotype" w:eastAsia="Palatino Linotype" w:hAnsi="Palatino Linotype" w:cs="Palatino Linotype"/>
          <w:i/>
          <w:color w:val="000000"/>
          <w:sz w:val="22"/>
          <w:szCs w:val="22"/>
        </w:rPr>
        <w:t>Obligación de los Organismos garantes de dar publicidad a las deliberaciones y actos relacionados con sus atribuciones, así como dar acceso a la información que generen.</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Como puede advertirse, la fracción V del citado artículo 8 de la Ley General de Transparencia y Acceso a la Información establece el principio de legalidad como </w:t>
      </w:r>
      <w:r>
        <w:rPr>
          <w:rFonts w:ascii="Palatino Linotype" w:eastAsia="Palatino Linotype" w:hAnsi="Palatino Linotype" w:cs="Palatino Linotype"/>
          <w:color w:val="000000"/>
        </w:rPr>
        <w:lastRenderedPageBreak/>
        <w:t>la obligación de los Organismos garantes de ajustar su actuación, así como fundar y motivar sus resoluciones y actos en las normas aplicables.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Pr>
          <w:rFonts w:ascii="Palatino Linotype" w:eastAsia="Palatino Linotype" w:hAnsi="Palatino Linotype" w:cs="Palatino Linotype"/>
          <w:b/>
          <w:i/>
          <w:color w:val="000000"/>
        </w:rPr>
        <w:t>obligación,</w:t>
      </w:r>
      <w:r>
        <w:rPr>
          <w:rFonts w:ascii="Palatino Linotype" w:eastAsia="Palatino Linotype" w:hAnsi="Palatino Linotype" w:cs="Palatino Linotype"/>
          <w:color w:val="000000"/>
        </w:rPr>
        <w:t xml:space="preserve"> por lo tanto, debe entenderse como un deber y no una opción sujeta a capricho de los órganos garantes; segundo, en ambos casos (1) ajustar sus actuaciones y (2) fundar y motivar sus resoluciones y actos en las normas aplicables, sin duda constituye una garantía de seguridad y certeza jurídica.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En consecuencia, los órganos de Estado definen sus alcances bajo la tutela del principio de legalidad consagrado en la Constitución por el cual deben </w:t>
      </w:r>
      <w:r>
        <w:rPr>
          <w:rFonts w:ascii="Palatino Linotype" w:eastAsia="Palatino Linotype" w:hAnsi="Palatino Linotype" w:cs="Palatino Linotype"/>
          <w:color w:val="000000"/>
          <w:highlight w:val="white"/>
        </w:rPr>
        <w:t>de fundar y motivar sus actos y que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Es por ello, que el principio de legalidad se encuentra íntimamente relacionado con el de fundamentación y motivación, entendiéndose por fundamentación que deberá expresarse con precisión el precepto legal aplicable al </w:t>
      </w:r>
      <w:r>
        <w:rPr>
          <w:rFonts w:ascii="Palatino Linotype" w:eastAsia="Palatino Linotype" w:hAnsi="Palatino Linotype" w:cs="Palatino Linotype"/>
          <w:color w:val="000000"/>
        </w:rPr>
        <w:lastRenderedPageBreak/>
        <w:t>caso y, por motivación, que deben señalarse, con precisión, las circunstancias especiales, razones particulares o causas inmediatas que se hayan tenido en consideración para la emisión del acto; siendo necesario, además, que se presente subsunción entre los fundamentos y motivos del acto de autoridad, es decir, que exista adecuación entre los motivos aducidos y las normas aplicables, configurándose así las hipótesis normativas.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Sirve de sustento a lo anterior, la jurisprudencia que se cita a continuación, la cual ha sido sustento de las numerosas ejecutorias que ha dictado el Poder Judicial de la Federación y que ha sido uno de los sustentos que han dado lugar a las diversas tesis aisladas y jurisprudenciales que existen en materia de fundamentación y motivación: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spacing w:line="276" w:lineRule="auto"/>
        <w:ind w:left="908" w:right="1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w:t>
      </w:r>
      <w:r>
        <w:rPr>
          <w:rFonts w:ascii="Palatino Linotype" w:eastAsia="Palatino Linotype" w:hAnsi="Palatino Linotype" w:cs="Palatino Linotype"/>
          <w:i/>
          <w:sz w:val="22"/>
          <w:szCs w:val="22"/>
          <w:vertAlign w:val="superscript"/>
        </w:rPr>
        <w:footnoteReference w:id="3"/>
      </w:r>
    </w:p>
    <w:p w:rsidR="000E1504" w:rsidRDefault="000E1504">
      <w:pPr>
        <w:spacing w:line="276" w:lineRule="auto"/>
        <w:ind w:left="908" w:right="1121"/>
        <w:jc w:val="both"/>
        <w:rPr>
          <w:rFonts w:ascii="Palatino Linotype" w:eastAsia="Palatino Linotype" w:hAnsi="Palatino Linotype" w:cs="Palatino Linotype"/>
          <w:i/>
          <w:sz w:val="22"/>
          <w:szCs w:val="22"/>
        </w:rPr>
      </w:pPr>
    </w:p>
    <w:p w:rsidR="000E1504" w:rsidRDefault="00724D85">
      <w:pPr>
        <w:pStyle w:val="Ttulo1"/>
        <w:jc w:val="both"/>
        <w:rPr>
          <w:rFonts w:ascii="Palatino Linotype" w:eastAsia="Palatino Linotype" w:hAnsi="Palatino Linotype" w:cs="Palatino Linotype"/>
          <w:b/>
          <w:color w:val="000000"/>
          <w:sz w:val="24"/>
          <w:szCs w:val="24"/>
        </w:rPr>
      </w:pPr>
      <w:bookmarkStart w:id="11" w:name="_17dp8vu" w:colFirst="0" w:colLast="0"/>
      <w:bookmarkEnd w:id="11"/>
      <w:r>
        <w:rPr>
          <w:rFonts w:ascii="Palatino Linotype" w:eastAsia="Palatino Linotype" w:hAnsi="Palatino Linotype" w:cs="Palatino Linotype"/>
          <w:b/>
          <w:color w:val="000000"/>
          <w:sz w:val="24"/>
          <w:szCs w:val="24"/>
        </w:rPr>
        <w:t>II. De las causales legamente establecidas de procedencias del recurso de inconformidad establecido en el Ley General de Transparencia y Acceso a la Información Pública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spacing w:line="276" w:lineRule="auto"/>
        <w:ind w:left="900"/>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r>
        <w:rPr>
          <w:rFonts w:ascii="Palatino Linotype" w:eastAsia="Palatino Linotype" w:hAnsi="Palatino Linotype" w:cs="Palatino Linotype"/>
          <w:i/>
        </w:rPr>
        <w:t xml:space="preserve"> (…) </w:t>
      </w:r>
    </w:p>
    <w:p w:rsidR="000E1504" w:rsidRDefault="00724D85">
      <w:pPr>
        <w:spacing w:line="276" w:lineRule="auto"/>
        <w:ind w:left="900"/>
        <w:jc w:val="both"/>
        <w:rPr>
          <w:rFonts w:ascii="Palatino Linotype" w:eastAsia="Palatino Linotype" w:hAnsi="Palatino Linotype" w:cs="Palatino Linotype"/>
          <w:b/>
          <w:i/>
        </w:rPr>
      </w:pPr>
      <w:proofErr w:type="gramStart"/>
      <w:r>
        <w:rPr>
          <w:rFonts w:ascii="Palatino Linotype" w:eastAsia="Palatino Linotype" w:hAnsi="Palatino Linotype" w:cs="Palatino Linotype"/>
          <w:b/>
          <w:i/>
        </w:rPr>
        <w:t>A.</w:t>
      </w:r>
      <w:proofErr w:type="gramEnd"/>
      <w:r>
        <w:rPr>
          <w:rFonts w:ascii="Palatino Linotype" w:eastAsia="Palatino Linotype" w:hAnsi="Palatino Linotype" w:cs="Palatino Linotype"/>
          <w:b/>
          <w:i/>
        </w:rPr>
        <w:t xml:space="preserve"> (...) </w:t>
      </w:r>
    </w:p>
    <w:p w:rsidR="000E1504" w:rsidRDefault="00724D85">
      <w:pPr>
        <w:spacing w:line="276" w:lineRule="auto"/>
        <w:ind w:left="900"/>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Pr>
          <w:rFonts w:ascii="Palatino Linotype" w:eastAsia="Palatino Linotype" w:hAnsi="Palatino Linotype" w:cs="Palatino Linotype"/>
          <w:b/>
          <w:i/>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Pr>
          <w:rFonts w:ascii="Palatino Linotype" w:eastAsia="Palatino Linotype" w:hAnsi="Palatino Linotype" w:cs="Palatino Linotype"/>
          <w:i/>
        </w:rPr>
        <w:t xml:space="preserve">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causales para interponer un recurso de inconformidad ante el INAI.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artículo 160 de la Ley General de Transparencia y Acceso a la Información Pública establece:</w:t>
      </w:r>
    </w:p>
    <w:p w:rsidR="000E1504" w:rsidRDefault="00724D85">
      <w:pPr>
        <w:spacing w:line="276" w:lineRule="auto"/>
        <w:ind w:left="810"/>
        <w:jc w:val="both"/>
        <w:rPr>
          <w:rFonts w:ascii="Palatino Linotype" w:eastAsia="Palatino Linotype" w:hAnsi="Palatino Linotype" w:cs="Palatino Linotype"/>
          <w:i/>
        </w:rPr>
      </w:pPr>
      <w:r>
        <w:rPr>
          <w:rFonts w:ascii="Palatino Linotype" w:eastAsia="Palatino Linotype" w:hAnsi="Palatino Linotype" w:cs="Palatino Linotype"/>
          <w:b/>
          <w:i/>
        </w:rPr>
        <w:t>Artículo 160.</w:t>
      </w:r>
      <w:r>
        <w:rPr>
          <w:rFonts w:ascii="Palatino Linotype" w:eastAsia="Palatino Linotype" w:hAnsi="Palatino Linotype" w:cs="Palatino Linotype"/>
          <w:i/>
        </w:rPr>
        <w:t xml:space="preserve"> El recurso de inconformidad procede contra las resoluciones emitidas por los Organismos garantes de las Entidades Federativas que</w:t>
      </w:r>
    </w:p>
    <w:p w:rsidR="000E1504" w:rsidRDefault="000E1504">
      <w:pPr>
        <w:spacing w:line="276" w:lineRule="auto"/>
        <w:ind w:left="810"/>
        <w:jc w:val="both"/>
        <w:rPr>
          <w:rFonts w:ascii="Palatino Linotype" w:eastAsia="Palatino Linotype" w:hAnsi="Palatino Linotype" w:cs="Palatino Linotype"/>
          <w:i/>
        </w:rPr>
      </w:pPr>
    </w:p>
    <w:p w:rsidR="000E1504" w:rsidRDefault="00724D85">
      <w:pPr>
        <w:spacing w:line="276" w:lineRule="auto"/>
        <w:ind w:left="810"/>
        <w:jc w:val="both"/>
        <w:rPr>
          <w:rFonts w:ascii="Palatino Linotype" w:eastAsia="Palatino Linotype" w:hAnsi="Palatino Linotype" w:cs="Palatino Linotype"/>
          <w:i/>
        </w:rPr>
      </w:pPr>
      <w:r>
        <w:rPr>
          <w:rFonts w:ascii="Palatino Linotype" w:eastAsia="Palatino Linotype" w:hAnsi="Palatino Linotype" w:cs="Palatino Linotype"/>
          <w:i/>
        </w:rPr>
        <w:t xml:space="preserve">I. Confirmen o modifiquen la clasificación de la información, o </w:t>
      </w:r>
    </w:p>
    <w:p w:rsidR="000E1504" w:rsidRDefault="00724D85">
      <w:pPr>
        <w:spacing w:line="276" w:lineRule="auto"/>
        <w:ind w:left="810"/>
        <w:jc w:val="both"/>
        <w:rPr>
          <w:rFonts w:ascii="Palatino Linotype" w:eastAsia="Palatino Linotype" w:hAnsi="Palatino Linotype" w:cs="Palatino Linotype"/>
          <w:i/>
        </w:rPr>
      </w:pPr>
      <w:r>
        <w:rPr>
          <w:rFonts w:ascii="Palatino Linotype" w:eastAsia="Palatino Linotype" w:hAnsi="Palatino Linotype" w:cs="Palatino Linotype"/>
          <w:i/>
        </w:rPr>
        <w:t xml:space="preserve">II. Confirmen la inexistencia o negativa de información. </w:t>
      </w:r>
    </w:p>
    <w:p w:rsidR="000E1504" w:rsidRDefault="000E1504">
      <w:pPr>
        <w:spacing w:line="276" w:lineRule="auto"/>
        <w:ind w:left="810"/>
        <w:jc w:val="both"/>
        <w:rPr>
          <w:rFonts w:ascii="Palatino Linotype" w:eastAsia="Palatino Linotype" w:hAnsi="Palatino Linotype" w:cs="Palatino Linotype"/>
          <w:i/>
        </w:rPr>
      </w:pPr>
    </w:p>
    <w:p w:rsidR="000E1504" w:rsidRDefault="00724D85">
      <w:pPr>
        <w:spacing w:line="276" w:lineRule="auto"/>
        <w:ind w:left="810"/>
        <w:jc w:val="both"/>
        <w:rPr>
          <w:rFonts w:ascii="Palatino Linotype" w:eastAsia="Palatino Linotype" w:hAnsi="Palatino Linotype" w:cs="Palatino Linotype"/>
          <w:i/>
        </w:rPr>
      </w:pPr>
      <w:r>
        <w:rPr>
          <w:rFonts w:ascii="Palatino Linotype" w:eastAsia="Palatino Linotype" w:hAnsi="Palatino Linotype" w:cs="Palatino Linotype"/>
          <w:i/>
        </w:rPr>
        <w:t>Se entenderá como negativa de acceso a la información la falta de resolución de los Organismos garantes de las Entidades Federativas dentro del plazo previsto para ello.</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La interpretación conforme del precepto constitucional y legal, permite deducir que hay un catálogo cerrado de causales de procedencia. La selección que formula el poder revisor de la constitución manifiesta clara e indubitablemente que no se consideró una facultad completa y total del órgano revisor para conocer, vía recurso de inconformidad, todos los recursos de revisión dictados por los órganos garantes locales.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En ese mismo sentido, el legislador ordinario, al emitir la ley general, abundó en la certeza jurídica al establecer una definición precisa, clara, indubitable de lo que debe entenderse, por negativa. 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w:t>
      </w:r>
      <w:r>
        <w:rPr>
          <w:rFonts w:ascii="Palatino Linotype" w:eastAsia="Palatino Linotype" w:hAnsi="Palatino Linotype" w:cs="Palatino Linotype"/>
          <w:color w:val="000000"/>
        </w:rPr>
        <w:lastRenderedPageBreak/>
        <w:t>la información, por lo que conviene analizar cada una de las causales legalmente establecidas en el artículo 160 del ordenamiento legal en cita.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0E1504" w:rsidRDefault="00724D85">
      <w:pPr>
        <w:numPr>
          <w:ilvl w:val="2"/>
          <w:numId w:val="15"/>
        </w:numPr>
        <w:pBdr>
          <w:top w:val="nil"/>
          <w:left w:val="nil"/>
          <w:bottom w:val="nil"/>
          <w:right w:val="nil"/>
          <w:between w:val="nil"/>
        </w:pBdr>
        <w:tabs>
          <w:tab w:val="left" w:pos="0"/>
        </w:tabs>
        <w:spacing w:line="360" w:lineRule="auto"/>
        <w:ind w:left="567" w:right="49" w:hanging="36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Confirmen o modifiquen la clasificación de la información, o </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El artículo 179 fracción II de la Ley de Transparencia y Acceso a la Información del Estado de México y Municipios establece que el recurso de revisión procede en contra de la clasificación de la información, la cual consiste en la restricción temporal (por reserva), o permanente (por confidencialidad), del ejercicio del derecho de acceso a la información, ya sea 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 ordenar la entrega de la información, o reponer el acuerdo de clasificación con una justificación adecuada; aunque también en este supuesto podríamos estar frente a un acto ilícito, que ocurre cuando se determina la clasificación sin seguir el procedimiento formal, sin que sea emitido por autoridad legalmente facultada para ello, en cuyo caso, deberá de desestimarse la decisión, aunque también determinar la responsabilidad correspondiente a los funcionarios involucrados.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En ese tenor, el legislador previó que en los casos en los cuales los órganos garantes confirmen o modifiquen  la clasificación de la información, procede el recurso de inconformidad ante el Instituto Nacional de Transparencia, Acceso a la Información Pública y Protección de Datos Personales.</w:t>
      </w:r>
    </w:p>
    <w:p w:rsidR="000E1504" w:rsidRDefault="000E1504">
      <w:pPr>
        <w:tabs>
          <w:tab w:val="left" w:pos="0"/>
        </w:tabs>
        <w:spacing w:line="360" w:lineRule="auto"/>
        <w:ind w:right="49"/>
        <w:jc w:val="both"/>
        <w:rPr>
          <w:rFonts w:ascii="Palatino Linotype" w:eastAsia="Palatino Linotype" w:hAnsi="Palatino Linotype" w:cs="Palatino Linotyp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Ahora bien, el Diccionario de la Real Academia de la Lengua Española define “confirmar”, </w:t>
      </w:r>
      <w:r>
        <w:rPr>
          <w:rFonts w:ascii="Palatino Linotype" w:eastAsia="Palatino Linotype" w:hAnsi="Palatino Linotype" w:cs="Palatino Linotype"/>
          <w:i/>
          <w:color w:val="000000"/>
        </w:rPr>
        <w:t xml:space="preserve">“Del lat. confirmāre. </w:t>
      </w:r>
      <w:r>
        <w:rPr>
          <w:rFonts w:ascii="Palatino Linotype" w:eastAsia="Palatino Linotype" w:hAnsi="Palatino Linotype" w:cs="Palatino Linotype"/>
          <w:b/>
          <w:i/>
          <w:color w:val="000000"/>
        </w:rPr>
        <w:t xml:space="preserve">1. </w:t>
      </w:r>
      <w:r>
        <w:rPr>
          <w:rFonts w:ascii="Palatino Linotype" w:eastAsia="Palatino Linotype" w:hAnsi="Palatino Linotype" w:cs="Palatino Linotype"/>
          <w:i/>
          <w:color w:val="000000"/>
        </w:rPr>
        <w:t xml:space="preserve">tr. Corroborar la verdad, certeza o el grado de probabilidad de algo. </w:t>
      </w:r>
      <w:r>
        <w:rPr>
          <w:rFonts w:ascii="Palatino Linotype" w:eastAsia="Palatino Linotype" w:hAnsi="Palatino Linotype" w:cs="Palatino Linotype"/>
          <w:b/>
          <w:i/>
          <w:color w:val="000000"/>
        </w:rPr>
        <w:t xml:space="preserve">2. </w:t>
      </w:r>
      <w:r>
        <w:rPr>
          <w:rFonts w:ascii="Palatino Linotype" w:eastAsia="Palatino Linotype" w:hAnsi="Palatino Linotype" w:cs="Palatino Linotype"/>
          <w:i/>
          <w:color w:val="000000"/>
        </w:rPr>
        <w:t xml:space="preserve">tr. Revalidar lo ya aprobado. </w:t>
      </w:r>
      <w:r>
        <w:rPr>
          <w:rFonts w:ascii="Palatino Linotype" w:eastAsia="Palatino Linotype" w:hAnsi="Palatino Linotype" w:cs="Palatino Linotype"/>
          <w:b/>
          <w:i/>
          <w:color w:val="000000"/>
        </w:rPr>
        <w:t xml:space="preserve">3. </w:t>
      </w:r>
      <w:r>
        <w:rPr>
          <w:rFonts w:ascii="Palatino Linotype" w:eastAsia="Palatino Linotype" w:hAnsi="Palatino Linotype" w:cs="Palatino Linotype"/>
          <w:i/>
          <w:color w:val="000000"/>
        </w:rPr>
        <w:t>tr. Asegurar, dar a alguien o algo mayor firmeza o seguridad.”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xml:space="preserve">Así mismo define “modificar”, </w:t>
      </w:r>
      <w:r>
        <w:rPr>
          <w:rFonts w:ascii="Palatino Linotype" w:eastAsia="Palatino Linotype" w:hAnsi="Palatino Linotype" w:cs="Palatino Linotype"/>
          <w:i/>
          <w:color w:val="000000"/>
        </w:rPr>
        <w:t xml:space="preserve">“Del lat. modificāre 'regular', 'ordenar', 'moderar'. </w:t>
      </w:r>
      <w:r>
        <w:rPr>
          <w:rFonts w:ascii="Palatino Linotype" w:eastAsia="Palatino Linotype" w:hAnsi="Palatino Linotype" w:cs="Palatino Linotype"/>
          <w:b/>
          <w:i/>
          <w:color w:val="000000"/>
        </w:rPr>
        <w:t xml:space="preserve">1. </w:t>
      </w:r>
      <w:r>
        <w:rPr>
          <w:rFonts w:ascii="Palatino Linotype" w:eastAsia="Palatino Linotype" w:hAnsi="Palatino Linotype" w:cs="Palatino Linotype"/>
          <w:i/>
          <w:color w:val="000000"/>
        </w:rPr>
        <w:t>tr. Transformar o cambiar algo mudando alguna de sus características. U. t. c. prnl...”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vertAlign w:val="superscript"/>
        </w:rPr>
        <w:footnoteReference w:id="5"/>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De lo anterior, se advierte que la procedencia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pBdr>
          <w:top w:val="nil"/>
          <w:left w:val="nil"/>
          <w:bottom w:val="nil"/>
          <w:right w:val="nil"/>
          <w:between w:val="nil"/>
        </w:pBdr>
        <w:tabs>
          <w:tab w:val="left" w:pos="0"/>
        </w:tabs>
        <w:spacing w:line="360" w:lineRule="auto"/>
        <w:ind w:left="630"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b) Confirmen la inexistencia o negativa de información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El artículo 179 fracción IV de la Ley de Transparencia y Acceso a la Información Pública del Estado de México y Municipios prevé que en contra de la </w:t>
      </w:r>
      <w:r>
        <w:rPr>
          <w:rFonts w:ascii="Palatino Linotype" w:eastAsia="Palatino Linotype" w:hAnsi="Palatino Linotype" w:cs="Palatino Linotype"/>
          <w:color w:val="000000"/>
        </w:rPr>
        <w:lastRenderedPageBreak/>
        <w:t>declaración de inexistencia de la información, 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documentó en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documentó, pero la información se sustrajo del archivo público por el servidor público que la generó o por cualquier otro.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De lo anterior, se advierte que la procedencia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párrafo anterior. </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 xml:space="preserve">Ahora bien, 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Pr>
          <w:rFonts w:ascii="Palatino Linotype" w:eastAsia="Palatino Linotype" w:hAnsi="Palatino Linotype" w:cs="Palatino Linotype"/>
          <w:b/>
          <w:color w:val="000000"/>
        </w:rPr>
        <w:t>niega o limita el acceso a información solicitada.</w:t>
      </w:r>
      <w:r>
        <w:rPr>
          <w:rFonts w:ascii="Palatino Linotype" w:eastAsia="Palatino Linotype" w:hAnsi="Palatino Linotype" w:cs="Palatino Linotype"/>
          <w:color w:val="000000"/>
        </w:rPr>
        <w:t xml:space="preserve"> Una negativa de información debe ser fundada y motivada por la autoridad y algunas de las razones pueden ser: la inexistencia de la información, la incompetencia del sujeto obligado o la clasificación de la información como confidencial o reservada; si alguna de estas razones son consideradas como insuficientes por el solicitante podrá interponer el recurso de revisión ante el órgano garante.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El Diccionario de la Lengua Española de la Real Academia Española, nos proporciona varias definiciones de “negar”: </w:t>
      </w:r>
      <w:r>
        <w:rPr>
          <w:rFonts w:ascii="Palatino Linotype" w:eastAsia="Palatino Linotype" w:hAnsi="Palatino Linotype" w:cs="Palatino Linotype"/>
          <w:i/>
          <w:color w:val="000000"/>
        </w:rPr>
        <w:t xml:space="preserve">“Del lat.negāre. 1. tr. Decir que algo no existe, no es verdad o no es como alguien creo afirma;  2. tr. Dejar de reconocer algo, no admitir su existencia; 3. tr. Decir que no a lo que se pretende o se pide, o no concederlo; 4. tr. Prohibir o vedar, impedir o estorbar…” </w:t>
      </w:r>
      <w:r>
        <w:rPr>
          <w:rFonts w:ascii="Palatino Linotype" w:eastAsia="Palatino Linotype" w:hAnsi="Palatino Linotype" w:cs="Palatino Linotype"/>
          <w:i/>
          <w:color w:val="000000"/>
          <w:sz w:val="16"/>
          <w:szCs w:val="16"/>
          <w:vertAlign w:val="superscript"/>
        </w:rPr>
        <w:footnoteReference w:id="6"/>
      </w:r>
    </w:p>
    <w:p w:rsidR="000E1504" w:rsidRDefault="000E1504">
      <w:pPr>
        <w:pBdr>
          <w:top w:val="nil"/>
          <w:left w:val="nil"/>
          <w:bottom w:val="nil"/>
          <w:right w:val="nil"/>
          <w:between w:val="nil"/>
        </w:pBdr>
        <w:ind w:left="708"/>
        <w:rPr>
          <w:rFonts w:ascii="Palatino Linotype" w:eastAsia="Palatino Linotype" w:hAnsi="Palatino Linotype" w:cs="Palatino Linotype"/>
          <w:i/>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De lo anterior podemos concluir que se configura la negativa de la información solicitada cuando el sujeto obligado manifiesta que no existe la  información, que no admite la existencia de la información, decir en su respuesta que no a lo que se le pide o no conceder el acceso a la información, vedar o impedir el acceso a la información sin fundamentación y motivación.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lastRenderedPageBreak/>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Pr>
          <w:rFonts w:ascii="Palatino Linotype" w:eastAsia="Palatino Linotype" w:hAnsi="Palatino Linotype" w:cs="Palatino Linotype"/>
          <w:i/>
          <w:color w:val="000000"/>
        </w:rPr>
        <w:t>Se entenderá como negativa de acceso a la información la falta de resolución de los Organismos garantes de las Entidades Federativas dentro del plazo previsto para ello.”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 xml:space="preserve">De lo anterior se advierte que el legislador estableció que se entenderá como “negativa de la información” para la procedencia del recurso de inconformidad por lo tanto conforme al principio general de derecho que establece que </w:t>
      </w:r>
      <w:r>
        <w:rPr>
          <w:rFonts w:ascii="Palatino Linotype" w:eastAsia="Palatino Linotype" w:hAnsi="Palatino Linotype" w:cs="Palatino Linotype"/>
          <w:color w:val="000000"/>
          <w:highlight w:val="white"/>
        </w:rPr>
        <w:t xml:space="preserve">donde la ley no distingue, no hay porque distinguir, por tanto no debe interpretarse que la negativa de la información se refiere a los supuestos de procedencia </w:t>
      </w:r>
      <w:r>
        <w:rPr>
          <w:rFonts w:ascii="Palatino Linotype" w:eastAsia="Palatino Linotype" w:hAnsi="Palatino Linotype" w:cs="Palatino Linotype"/>
          <w:color w:val="202124"/>
          <w:highlight w:val="white"/>
        </w:rPr>
        <w:t xml:space="preserve">del recurso de revisión, sino que de la interpretación literal y conforme al principio de legalidad, </w:t>
      </w:r>
      <w:r>
        <w:rPr>
          <w:rFonts w:ascii="Palatino Linotype" w:eastAsia="Palatino Linotype" w:hAnsi="Palatino Linotype" w:cs="Palatino Linotype"/>
          <w:color w:val="000000"/>
        </w:rPr>
        <w:t>la negativa de la información debe entenderse como la falta de resolución de los organismos garantes locales dentro del plazo previsto para ello.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 xml:space="preserve"> Para el caso que nos ocupa el artículo 181, tercer párrafo de la Ley de Transparencia y Acceso a la Información del Estado de México y Municipios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lastRenderedPageBreak/>
        <w:t>Luego entonces, procede el recurso de inconformidad cuando el órgano garante local 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En materia administrativa, cuando las peticiones o solicitudes hechas por los particulares no son respondidas o bien, los procedimientos administrativos no se resuelven dentro de los plazos legales establecidos para responder o emitir una resolución, se entiende que hay un silencio administrativo, ante el cual, para dar certidumbre a los particulares, puede configurarse una afirmativa o una negativa ficta. Existe una afirmativa ficta cuando el silencio de la autoridad da pie a una respuesta afirmativa de la petición; es decir, que la autoridad la concede; por el contrario, se dice que hay una negativa ficta cuando el silencio de la autoridad implica una respuesta negativa, dando pie a que quien hizo la petición se defienda en tribunales.</w:t>
      </w:r>
      <w:r>
        <w:rPr>
          <w:rFonts w:ascii="Palatino Linotype" w:eastAsia="Palatino Linotype" w:hAnsi="Palatino Linotype" w:cs="Palatino Linotype"/>
          <w:color w:val="000000"/>
          <w:highlight w:val="white"/>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En el caso que nos ocupa, nos encontramos ante una afirmativa ficta, ya que  el silencio de la autoridad confirma el acto impugnado, ya que al </w:t>
      </w:r>
      <w:r>
        <w:rPr>
          <w:rFonts w:ascii="Palatino Linotype" w:eastAsia="Palatino Linotype" w:hAnsi="Palatino Linotype" w:cs="Palatino Linotype"/>
          <w:color w:val="212529"/>
          <w:highlight w:val="white"/>
        </w:rPr>
        <w:t xml:space="preserve">no emitirse una resolución expresa a un recurso de revisión por parte de los órganos garantes </w:t>
      </w:r>
      <w:r>
        <w:rPr>
          <w:rFonts w:ascii="Palatino Linotype" w:eastAsia="Palatino Linotype" w:hAnsi="Palatino Linotype" w:cs="Palatino Linotype"/>
          <w:color w:val="212529"/>
          <w:highlight w:val="white"/>
        </w:rPr>
        <w:lastRenderedPageBreak/>
        <w:t>locales, en el plazo legal establecido, se entenderá que se confirmó la determinación administrativa impugnada, es decir  la negativa de información del sujeto obligado, por lo que el particular podrá decidir esperar la emisión de la resolución expresa o promover el recurso de inconformidad contra la confirmación ficta.</w:t>
      </w:r>
    </w:p>
    <w:p w:rsidR="000E1504" w:rsidRDefault="000E1504">
      <w:pPr>
        <w:pBdr>
          <w:top w:val="nil"/>
          <w:left w:val="nil"/>
          <w:bottom w:val="nil"/>
          <w:right w:val="nil"/>
          <w:between w:val="nil"/>
        </w:pBdr>
        <w:ind w:left="708"/>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212529"/>
          <w:highlight w:val="white"/>
        </w:rPr>
        <w:t>Bajo estas consideraciones</w:t>
      </w:r>
      <w:r>
        <w:rPr>
          <w:rFonts w:ascii="Palatino Linotype" w:eastAsia="Palatino Linotype" w:hAnsi="Palatino Linotype" w:cs="Palatino Linotype"/>
          <w:color w:val="000000"/>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widowControl w:val="0"/>
        <w:numPr>
          <w:ilvl w:val="0"/>
          <w:numId w:val="12"/>
        </w:numPr>
        <w:pBdr>
          <w:top w:val="nil"/>
          <w:left w:val="nil"/>
          <w:bottom w:val="nil"/>
          <w:right w:val="nil"/>
          <w:between w:val="nil"/>
        </w:pBdr>
        <w:tabs>
          <w:tab w:val="left" w:pos="1682"/>
        </w:tabs>
        <w:spacing w:line="276" w:lineRule="auto"/>
        <w:ind w:hanging="235"/>
        <w:jc w:val="both"/>
        <w:rPr>
          <w:color w:val="000000"/>
        </w:rPr>
      </w:pPr>
      <w:r>
        <w:rPr>
          <w:rFonts w:ascii="Palatino Linotype" w:eastAsia="Palatino Linotype" w:hAnsi="Palatino Linotype" w:cs="Palatino Linotype"/>
          <w:i/>
          <w:color w:val="000000"/>
          <w:sz w:val="22"/>
          <w:szCs w:val="22"/>
        </w:rPr>
        <w:t>Cuando se clasifica la información como reservada;</w:t>
      </w:r>
    </w:p>
    <w:p w:rsidR="000E1504" w:rsidRDefault="00724D85">
      <w:pPr>
        <w:widowControl w:val="0"/>
        <w:numPr>
          <w:ilvl w:val="0"/>
          <w:numId w:val="12"/>
        </w:numPr>
        <w:pBdr>
          <w:top w:val="nil"/>
          <w:left w:val="nil"/>
          <w:bottom w:val="nil"/>
          <w:right w:val="nil"/>
          <w:between w:val="nil"/>
        </w:pBdr>
        <w:tabs>
          <w:tab w:val="left" w:pos="1682"/>
        </w:tabs>
        <w:spacing w:line="276" w:lineRule="auto"/>
        <w:ind w:hanging="235"/>
        <w:jc w:val="both"/>
        <w:rPr>
          <w:color w:val="000000"/>
        </w:rPr>
      </w:pPr>
      <w:r>
        <w:rPr>
          <w:rFonts w:ascii="Palatino Linotype" w:eastAsia="Palatino Linotype" w:hAnsi="Palatino Linotype" w:cs="Palatino Linotype"/>
          <w:i/>
          <w:color w:val="000000"/>
          <w:sz w:val="22"/>
          <w:szCs w:val="22"/>
        </w:rPr>
        <w:t>Cuando se clasifica la información como confidencial;</w:t>
      </w:r>
    </w:p>
    <w:p w:rsidR="000E1504" w:rsidRDefault="00724D85">
      <w:pPr>
        <w:widowControl w:val="0"/>
        <w:numPr>
          <w:ilvl w:val="0"/>
          <w:numId w:val="12"/>
        </w:numPr>
        <w:pBdr>
          <w:top w:val="nil"/>
          <w:left w:val="nil"/>
          <w:bottom w:val="nil"/>
          <w:right w:val="nil"/>
          <w:between w:val="nil"/>
        </w:pBdr>
        <w:tabs>
          <w:tab w:val="left" w:pos="1672"/>
        </w:tabs>
        <w:spacing w:before="1" w:line="276" w:lineRule="auto"/>
        <w:ind w:left="1671" w:hanging="225"/>
        <w:jc w:val="both"/>
        <w:rPr>
          <w:color w:val="000000"/>
        </w:rPr>
      </w:pPr>
      <w:r>
        <w:rPr>
          <w:rFonts w:ascii="Palatino Linotype" w:eastAsia="Palatino Linotype" w:hAnsi="Palatino Linotype" w:cs="Palatino Linotype"/>
          <w:i/>
          <w:color w:val="000000"/>
          <w:sz w:val="22"/>
          <w:szCs w:val="22"/>
        </w:rPr>
        <w:t>Cuando se declara la inexistencia de la información; y</w:t>
      </w:r>
    </w:p>
    <w:p w:rsidR="000E1504" w:rsidRDefault="00724D85">
      <w:pPr>
        <w:widowControl w:val="0"/>
        <w:numPr>
          <w:ilvl w:val="0"/>
          <w:numId w:val="12"/>
        </w:numPr>
        <w:pBdr>
          <w:top w:val="nil"/>
          <w:left w:val="nil"/>
          <w:bottom w:val="nil"/>
          <w:right w:val="nil"/>
          <w:between w:val="nil"/>
        </w:pBdr>
        <w:tabs>
          <w:tab w:val="left" w:pos="1687"/>
        </w:tabs>
        <w:spacing w:line="276" w:lineRule="auto"/>
        <w:ind w:left="1446" w:right="1445" w:firstLine="0"/>
        <w:jc w:val="both"/>
        <w:rPr>
          <w:color w:val="000000"/>
        </w:rPr>
      </w:pPr>
      <w:r>
        <w:rPr>
          <w:rFonts w:ascii="Palatino Linotype" w:eastAsia="Palatino Linotype" w:hAnsi="Palatino Linotype" w:cs="Palatino Linotype"/>
          <w:i/>
          <w:color w:val="000000"/>
          <w:sz w:val="22"/>
          <w:szCs w:val="22"/>
        </w:rPr>
        <w:t>Cuando existe una negativa de la información, es decir, cuando no existe respuesta por parte de los sujetos obligados o de los organismos garantes.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Es por ello que se insisten que  en el asunto que nos ocupa no estamos en presencia de alguna de las prácticas antes enlistadas, ya que la respuesta del Sujeto Obligado, en ningún momento clasificó la información como reservada o confidencial, tampoco declaró su inexistencia y mucho menos fue omiso en la atención a la solicitud de acceso a la 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w:t>
      </w:r>
      <w:r>
        <w:rPr>
          <w:rFonts w:ascii="Palatino Linotype" w:eastAsia="Palatino Linotype" w:hAnsi="Palatino Linotype" w:cs="Palatino Linotype"/>
          <w:color w:val="000000"/>
        </w:rPr>
        <w:lastRenderedPageBreak/>
        <w:t>y mucho menos fue omiso en tramitar y resolver el recurso de revisión en los tiempos establecidos por la Ley de la Materia.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causales de improcedencia  establecidas en el artículo 178 de la multicitada ley general. </w:t>
      </w:r>
      <w:r>
        <w:rPr>
          <w:rFonts w:ascii="Palatino Linotype" w:eastAsia="Palatino Linotype" w:hAnsi="Palatino Linotype" w:cs="Palatino Linotype"/>
          <w:i/>
          <w:color w:val="000000"/>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Pr>
          <w:rFonts w:ascii="Palatino Linotype" w:eastAsia="Palatino Linotype" w:hAnsi="Palatino Linotype" w:cs="Palatino Linotype"/>
          <w:b/>
          <w:i/>
          <w:color w:val="000000"/>
        </w:rPr>
        <w:t>c) El caso refiere a la confirmación o modificación de la clasificación de información, o bien, a la confirmación de la inexistencia o negativa de información (Ley General de Transparencia, artículo 160);</w:t>
      </w:r>
      <w:r>
        <w:rPr>
          <w:rFonts w:ascii="Palatino Linotype" w:eastAsia="Palatino Linotype" w:hAnsi="Palatino Linotype" w:cs="Palatino Linotype"/>
          <w:i/>
          <w:color w:val="000000"/>
        </w:rPr>
        <w:t xml:space="preserve"> d) La pretensión del recurrente es la originalmente planteada en el recurso de revisión, que no vaya más allá; e) El INAI sea competente para resolver; f) No exista alguna otra causal de improcedencia prevista en la Ley.”</w:t>
      </w:r>
      <w:r>
        <w:rPr>
          <w:rFonts w:ascii="Palatino Linotype" w:eastAsia="Palatino Linotype" w:hAnsi="Palatino Linotype" w:cs="Palatino Linotype"/>
          <w:i/>
          <w:color w:val="000000"/>
          <w:vertAlign w:val="superscript"/>
        </w:rPr>
        <w:footnoteReference w:id="7"/>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 xml:space="preserve">Ahora bien, el artículo 178 de la Ley General de Transparencia y Acceso a la Información Pública establece las hipótesis en las cuales procede el desechamiento </w:t>
      </w:r>
      <w:r>
        <w:rPr>
          <w:rFonts w:ascii="Palatino Linotype" w:eastAsia="Palatino Linotype" w:hAnsi="Palatino Linotype" w:cs="Palatino Linotype"/>
          <w:color w:val="000000"/>
        </w:rPr>
        <w:lastRenderedPageBreak/>
        <w:t>por improcedencia del recurso de inconformidad, causales que tendrán como efecto ya sea el desechamiento o sobreseimiento del recurso de inconformidad, dependiendo del momento en que surgen; si surgen al momento de la presentación del recurso, el efecto es el desechamiento de plano del recurso de inconformidad; si lo hacen una vez tramitado el recurso, cuando no hubiere sido manifiesta al momento de admitirlo o cuando sobrevenga durante el procedimiento, el efecto es el sobreseimiento del recurso.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Pr>
          <w:rFonts w:ascii="Palatino Linotype" w:eastAsia="Palatino Linotype" w:hAnsi="Palatino Linotype" w:cs="Palatino Linotype"/>
          <w:b/>
          <w:color w:val="000000"/>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Pr>
          <w:rFonts w:ascii="Palatino Linotype" w:eastAsia="Palatino Linotype" w:hAnsi="Palatino Linotype" w:cs="Palatino Linotype"/>
          <w:b/>
          <w:color w:val="000000"/>
          <w:vertAlign w:val="superscript"/>
        </w:rPr>
        <w:footnoteReference w:id="8"/>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Pr>
          <w:rFonts w:ascii="Palatino Linotype" w:eastAsia="Palatino Linotype" w:hAnsi="Palatino Linotype" w:cs="Palatino Linotype"/>
          <w:color w:val="000000"/>
          <w:vertAlign w:val="superscript"/>
        </w:rPr>
        <w:footnoteReference w:id="9"/>
      </w:r>
      <w:r>
        <w:rPr>
          <w:rFonts w:ascii="Palatino Linotype" w:eastAsia="Palatino Linotype" w:hAnsi="Palatino Linotype" w:cs="Palatino Linotype"/>
          <w:color w:val="000000"/>
        </w:rPr>
        <w:t xml:space="preserve">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Pr>
          <w:rFonts w:ascii="Palatino Linotype" w:eastAsia="Palatino Linotype" w:hAnsi="Palatino Linotype" w:cs="Palatino Linotype"/>
          <w:color w:val="000000"/>
          <w:vertAlign w:val="superscript"/>
        </w:rPr>
        <w:footnoteReference w:id="10"/>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150" w:line="360" w:lineRule="auto"/>
        <w:ind w:left="0" w:right="49" w:firstLine="0"/>
        <w:jc w:val="both"/>
        <w:rPr>
          <w:highlight w:val="white"/>
        </w:rPr>
      </w:pPr>
      <w:r>
        <w:rPr>
          <w:rFonts w:ascii="Palatino Linotype" w:eastAsia="Palatino Linotype" w:hAnsi="Palatino Linotype" w:cs="Palatino Linotype"/>
          <w:color w:val="000000"/>
        </w:rPr>
        <w:t xml:space="preserve">Sirve de sustento el criterio del Cuarto Tribunal Colegiado en Materia Administrativa del Primero Circuito, publicado en el Semanario Judicial de la Federación, Octava Época, Tomo VII, noviembre de 1991, página 185, que dice:  </w:t>
      </w:r>
    </w:p>
    <w:p w:rsidR="000E1504" w:rsidRDefault="00724D85">
      <w:pPr>
        <w:spacing w:line="276" w:lineRule="auto"/>
        <w:ind w:left="72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CONTENCIOSO ADMINISTRATIVO, IMPROCEDENCIA DEL JUICIO, ANTE EL TRIBUNAL FISCAL. CONCEPTO JURIDICO. </w:t>
      </w:r>
      <w:r>
        <w:rPr>
          <w:rFonts w:ascii="Palatino Linotype" w:eastAsia="Palatino Linotype" w:hAnsi="Palatino Linotype" w:cs="Palatino Linotype"/>
          <w:i/>
        </w:rPr>
        <w:t xml:space="preserve">Las causas de improcedencia que determina la ley de la materia, ven o se refieren a la procedencia del juicio mismo, esto es, </w:t>
      </w:r>
      <w:r>
        <w:rPr>
          <w:rFonts w:ascii="Palatino Linotype" w:eastAsia="Palatino Linotype" w:hAnsi="Palatino Linotype" w:cs="Palatino Linotype"/>
          <w:b/>
          <w:i/>
          <w:u w:val="single"/>
        </w:rPr>
        <w:t>los motivos de improcedencia son en cuanto a que la acción en sí misma considerada no procede por las causas específicas consignadas en la ley;</w:t>
      </w:r>
      <w:r>
        <w:rPr>
          <w:rFonts w:ascii="Palatino Linotype" w:eastAsia="Palatino Linotype" w:hAnsi="Palatino Linotype" w:cs="Palatino Linotype"/>
          <w:i/>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w:t>
      </w:r>
      <w:r>
        <w:rPr>
          <w:rFonts w:ascii="Palatino Linotype" w:eastAsia="Palatino Linotype" w:hAnsi="Palatino Linotype" w:cs="Palatino Linotype"/>
          <w:i/>
        </w:rPr>
        <w:lastRenderedPageBreak/>
        <w:t xml:space="preserve">no significa que el juicio sea improcedente; el juicio sí procede y lo que acontece en ese caso es que la actora por propia voluntad desiste de su acción y ello hace que se sobresea en el juicio, mas no significa que la acción en sí misma sea improcedente. </w:t>
      </w:r>
      <w:r>
        <w:rPr>
          <w:rFonts w:ascii="Palatino Linotype" w:eastAsia="Palatino Linotype" w:hAnsi="Palatino Linotype" w:cs="Palatino Linotype"/>
          <w:b/>
          <w:i/>
          <w:u w:val="single"/>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Pr>
          <w:rFonts w:ascii="Palatino Linotype" w:eastAsia="Palatino Linotype" w:hAnsi="Palatino Linotype" w:cs="Palatino Linotype"/>
          <w:i/>
        </w:rPr>
        <w:t>.</w:t>
      </w:r>
    </w:p>
    <w:p w:rsidR="000E1504" w:rsidRDefault="000E1504">
      <w:pPr>
        <w:spacing w:line="276" w:lineRule="auto"/>
        <w:ind w:left="720"/>
        <w:jc w:val="both"/>
        <w:rPr>
          <w:rFonts w:ascii="Palatino Linotype" w:eastAsia="Palatino Linotype" w:hAnsi="Palatino Linotype" w:cs="Palatino Linotype"/>
          <w:i/>
        </w:rPr>
      </w:pPr>
    </w:p>
    <w:p w:rsidR="000E1504" w:rsidRDefault="00724D85">
      <w:pPr>
        <w:spacing w:line="276" w:lineRule="auto"/>
        <w:ind w:left="720"/>
        <w:jc w:val="both"/>
        <w:rPr>
          <w:rFonts w:ascii="Palatino Linotype" w:eastAsia="Palatino Linotype" w:hAnsi="Palatino Linotype" w:cs="Palatino Linotype"/>
          <w:i/>
        </w:rPr>
      </w:pPr>
      <w:r>
        <w:rPr>
          <w:rFonts w:ascii="Palatino Linotype" w:eastAsia="Palatino Linotype" w:hAnsi="Palatino Linotype" w:cs="Palatino Linotype"/>
          <w:i/>
        </w:rPr>
        <w:t>CUARTO TRIBUNAL COLEGIADO EN MATERIA ADMINISTRATIVA DEL PRIMER CIRCUITO.</w:t>
      </w:r>
    </w:p>
    <w:p w:rsidR="000E1504" w:rsidRDefault="000E1504">
      <w:pPr>
        <w:spacing w:line="276" w:lineRule="auto"/>
        <w:ind w:left="720"/>
        <w:jc w:val="both"/>
        <w:rPr>
          <w:rFonts w:ascii="Palatino Linotype" w:eastAsia="Palatino Linotype" w:hAnsi="Palatino Linotype" w:cs="Palatino Linotype"/>
          <w:i/>
        </w:rPr>
      </w:pPr>
    </w:p>
    <w:p w:rsidR="000E1504" w:rsidRDefault="00724D85">
      <w:pPr>
        <w:spacing w:line="276" w:lineRule="auto"/>
        <w:ind w:left="720"/>
        <w:jc w:val="both"/>
        <w:rPr>
          <w:rFonts w:ascii="Palatino Linotype" w:eastAsia="Palatino Linotype" w:hAnsi="Palatino Linotype" w:cs="Palatino Linotype"/>
          <w:i/>
        </w:rPr>
      </w:pPr>
      <w:r>
        <w:rPr>
          <w:rFonts w:ascii="Palatino Linotype" w:eastAsia="Palatino Linotype" w:hAnsi="Palatino Linotype" w:cs="Palatino Linotype"/>
          <w:i/>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En el mismo sentido, sirve de apoyo el criterio del Sexto Tribunal Colegiado en Materia Administrativa del Tercer Circuito, contenido en la Gaceta del Semanario Judicial de la Federación, Décima Época, Libro 78, septiembre de 2020 Tomo II, Tesis: III.6o.A.30 A (10a.), página: 982, que dispone lo siguiente:</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spacing w:line="276" w:lineRule="auto"/>
        <w:ind w:left="720" w:hanging="720"/>
        <w:jc w:val="both"/>
        <w:rPr>
          <w:rFonts w:ascii="Palatino Linotype" w:eastAsia="Palatino Linotype" w:hAnsi="Palatino Linotype" w:cs="Palatino Linotype"/>
          <w:b/>
          <w:i/>
        </w:rPr>
      </w:pPr>
      <w:r>
        <w:rPr>
          <w:rFonts w:ascii="Palatino Linotype" w:eastAsia="Palatino Linotype" w:hAnsi="Palatino Linotype" w:cs="Palatino Linotype"/>
          <w:b/>
          <w:i/>
        </w:rPr>
        <w:tab/>
        <w:t>SOBRESEIMIENTO EN EL JUICIO CONTENCIOSO ADMINISTRATIVO FEDERAL. SU NATURALEZA JURÍDICA.</w:t>
      </w:r>
      <w:r>
        <w:rPr>
          <w:rFonts w:ascii="Palatino Linotype" w:eastAsia="Palatino Linotype" w:hAnsi="Palatino Linotype" w:cs="Palatino Linotype"/>
          <w:i/>
        </w:rPr>
        <w:t xml:space="preserve"> De conformidad con el artículo 9o., </w:t>
      </w:r>
      <w:r>
        <w:rPr>
          <w:rFonts w:ascii="Palatino Linotype" w:eastAsia="Palatino Linotype" w:hAnsi="Palatino Linotype" w:cs="Palatino Linotype"/>
          <w:i/>
        </w:rPr>
        <w:lastRenderedPageBreak/>
        <w:t xml:space="preserve">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Pr>
          <w:rFonts w:ascii="Palatino Linotype" w:eastAsia="Palatino Linotype" w:hAnsi="Palatino Linotype" w:cs="Palatino Linotype"/>
          <w:b/>
          <w:i/>
          <w:u w:val="single"/>
        </w:rPr>
        <w:t>La improcedencia se erige como la ausencia de soporte legal, cuyo efecto es impedir el estudio de la cuestión sustancial propuesta, al no estar satisfechas las condiciones que permiten llevar a cabo ese análisis</w:t>
      </w:r>
      <w:r>
        <w:rPr>
          <w:rFonts w:ascii="Palatino Linotype" w:eastAsia="Palatino Linotype" w:hAnsi="Palatino Linotype" w:cs="Palatino Linotype"/>
          <w:i/>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supercedere;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Pr>
          <w:rFonts w:ascii="Palatino Linotype" w:eastAsia="Palatino Linotype" w:hAnsi="Palatino Linotype" w:cs="Palatino Linotype"/>
          <w:b/>
          <w:i/>
          <w:u w:val="single"/>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0E1504" w:rsidRDefault="00724D85">
      <w:pPr>
        <w:spacing w:line="276" w:lineRule="auto"/>
        <w:ind w:left="720" w:hanging="72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b/>
        <w:t>SEXTO TRIBUNAL COLEGIADO EN MATERIA ADMINISTRATIVA DEL TERCER CIRCUITO.</w:t>
      </w:r>
    </w:p>
    <w:p w:rsidR="000E1504" w:rsidRDefault="00724D85">
      <w:pPr>
        <w:spacing w:line="276" w:lineRule="auto"/>
        <w:ind w:left="720" w:hanging="720"/>
        <w:jc w:val="both"/>
        <w:rPr>
          <w:rFonts w:ascii="Palatino Linotype" w:eastAsia="Palatino Linotype" w:hAnsi="Palatino Linotype" w:cs="Palatino Linotype"/>
          <w:i/>
        </w:rPr>
      </w:pPr>
      <w:r>
        <w:rPr>
          <w:rFonts w:ascii="Palatino Linotype" w:eastAsia="Palatino Linotype" w:hAnsi="Palatino Linotype" w:cs="Palatino Linotype"/>
          <w:i/>
        </w:rPr>
        <w:tab/>
        <w:t>Amparo directo 28/2020. Santiago Díaz Muñoz. 3 de junio de 2020. Unanimidad de votos. Ponente: Mario Alberto Domínguez Trejo. Secretario: Miguel Mora Pérez.</w:t>
      </w:r>
    </w:p>
    <w:p w:rsidR="000E1504" w:rsidRDefault="00724D85">
      <w:pPr>
        <w:spacing w:line="276" w:lineRule="auto"/>
        <w:ind w:left="720" w:hanging="720"/>
        <w:jc w:val="both"/>
        <w:rPr>
          <w:rFonts w:ascii="Palatino Linotype" w:eastAsia="Palatino Linotype" w:hAnsi="Palatino Linotype" w:cs="Palatino Linotype"/>
          <w:i/>
        </w:rPr>
      </w:pPr>
      <w:r>
        <w:rPr>
          <w:rFonts w:ascii="Palatino Linotype" w:eastAsia="Palatino Linotype" w:hAnsi="Palatino Linotype" w:cs="Palatino Linotype"/>
          <w:i/>
        </w:rPr>
        <w:tab/>
        <w:t>Esta tesis se publicó el viernes 18 de septiembre de 2020 a las 10:27 horas en el Semanario Judicial de la Federación.</w:t>
      </w:r>
    </w:p>
    <w:p w:rsidR="000E1504" w:rsidRDefault="00724D85">
      <w:pPr>
        <w:numPr>
          <w:ilvl w:val="0"/>
          <w:numId w:val="15"/>
        </w:numPr>
        <w:pBdr>
          <w:top w:val="nil"/>
          <w:left w:val="nil"/>
          <w:bottom w:val="nil"/>
          <w:right w:val="nil"/>
          <w:between w:val="nil"/>
        </w:pBdr>
        <w:shd w:val="clear" w:color="auto" w:fill="FFFFFF"/>
        <w:tabs>
          <w:tab w:val="left" w:pos="0"/>
        </w:tabs>
        <w:spacing w:before="240" w:line="360" w:lineRule="auto"/>
        <w:ind w:left="0" w:right="49" w:firstLine="0"/>
        <w:jc w:val="both"/>
        <w:rPr>
          <w:highlight w:val="white"/>
        </w:rPr>
      </w:pPr>
      <w:r>
        <w:rPr>
          <w:rFonts w:ascii="Palatino Linotype" w:eastAsia="Palatino Linotype" w:hAnsi="Palatino Linotype" w:cs="Palatino Linotype"/>
          <w:color w:val="000000"/>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lastRenderedPageBreak/>
        <w:t xml:space="preserve">En efecto, la </w:t>
      </w:r>
      <w:r>
        <w:rPr>
          <w:rFonts w:ascii="Palatino Linotype" w:eastAsia="Palatino Linotype" w:hAnsi="Palatino Linotype" w:cs="Palatino Linotype"/>
          <w:color w:val="000000"/>
        </w:rPr>
        <w:t>improcedencia</w:t>
      </w:r>
      <w:r>
        <w:rPr>
          <w:rFonts w:ascii="Palatino Linotype" w:eastAsia="Palatino Linotype" w:hAnsi="Palatino Linotype" w:cs="Palatino Linotype"/>
          <w:color w:val="000000"/>
          <w:highlight w:val="white"/>
        </w:rPr>
        <w:t xml:space="preserve">, conlleva la determinación unilateral de rechazar el medio de impugnación porque ante quien se presentó carece de atribuciones para conocer de las pretensiones del actor, en virtud de que el acto impugnado no encuadra dentro de las hipótesis legales para la procedencia del recurso de inconformidad que le compete conocer al Instituto Nacional de Transparencia, Acceso a la Información Pública y Protección de Datos Personales, por lo que ante esta clara </w:t>
      </w:r>
      <w:r>
        <w:rPr>
          <w:rFonts w:ascii="Palatino Linotype" w:eastAsia="Palatino Linotype" w:hAnsi="Palatino Linotype" w:cs="Palatino Linotype"/>
          <w:color w:val="000000"/>
        </w:rPr>
        <w:t>improcedencia</w:t>
      </w:r>
      <w:r>
        <w:rPr>
          <w:rFonts w:ascii="Palatino Linotype" w:eastAsia="Palatino Linotype" w:hAnsi="Palatino Linotype" w:cs="Palatino Linotype"/>
          <w:color w:val="000000"/>
          <w:highlight w:val="white"/>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Bajo dichas consideraciones, la procedencia o improcedencia de lo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0E1504" w:rsidRDefault="000E1504">
      <w:pPr>
        <w:pBdr>
          <w:top w:val="nil"/>
          <w:left w:val="nil"/>
          <w:bottom w:val="nil"/>
          <w:right w:val="nil"/>
          <w:between w:val="nil"/>
        </w:pBdr>
        <w:ind w:left="708"/>
        <w:rPr>
          <w:rFonts w:ascii="Palatino Linotype" w:eastAsia="Palatino Linotype" w:hAnsi="Palatino Linotype" w:cs="Palatino Linotype"/>
          <w:color w:val="212529"/>
          <w:highlight w:val="white"/>
        </w:rPr>
      </w:pPr>
    </w:p>
    <w:p w:rsidR="000E1504" w:rsidRDefault="00724D85">
      <w:pPr>
        <w:pStyle w:val="Ttulo1"/>
        <w:numPr>
          <w:ilvl w:val="0"/>
          <w:numId w:val="8"/>
        </w:numPr>
        <w:spacing w:line="259" w:lineRule="auto"/>
        <w:rPr>
          <w:rFonts w:ascii="Palatino Linotype" w:eastAsia="Palatino Linotype" w:hAnsi="Palatino Linotype" w:cs="Palatino Linotype"/>
          <w:b/>
          <w:color w:val="000000"/>
          <w:sz w:val="24"/>
          <w:szCs w:val="24"/>
        </w:rPr>
      </w:pPr>
      <w:bookmarkStart w:id="12" w:name="_3rdcrjn" w:colFirst="0" w:colLast="0"/>
      <w:bookmarkEnd w:id="12"/>
      <w:r>
        <w:rPr>
          <w:rFonts w:ascii="Palatino Linotype" w:eastAsia="Palatino Linotype" w:hAnsi="Palatino Linotype" w:cs="Palatino Linotype"/>
          <w:b/>
          <w:color w:val="000000"/>
          <w:sz w:val="24"/>
          <w:szCs w:val="24"/>
        </w:rPr>
        <w:t>De la interpretación de la Ley General de Transparencia y Acceso a la Información Pública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 xml:space="preserve">En primer término, conviene precisar que el artículo 6º constitucional, fracción VIII establece que el Instituto Nacional de Transparencia, Acceso a la Información y Protección de Datos Personales (INAI) tiene competencia para conocer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 </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El Órgano Garante Nacional en la resolución que nos ocupa señala que </w:t>
      </w:r>
      <w:r>
        <w:rPr>
          <w:rFonts w:ascii="Palatino Linotype" w:eastAsia="Palatino Linotype" w:hAnsi="Palatino Linotype" w:cs="Palatino Linotype"/>
          <w:b/>
          <w:i/>
          <w:color w:val="000000"/>
        </w:rPr>
        <w:t>la interpretación</w:t>
      </w:r>
      <w:r>
        <w:rPr>
          <w:rFonts w:ascii="Palatino Linotype" w:eastAsia="Palatino Linotype" w:hAnsi="Palatino Linotype" w:cs="Palatino Linotype"/>
          <w:color w:val="000000"/>
        </w:rPr>
        <w:t xml:space="preserve"> del término “negativa de información”, </w:t>
      </w:r>
      <w:r>
        <w:rPr>
          <w:rFonts w:ascii="Palatino Linotype" w:eastAsia="Palatino Linotype" w:hAnsi="Palatino Linotype" w:cs="Palatino Linotype"/>
          <w:b/>
          <w:i/>
          <w:color w:val="000000"/>
        </w:rPr>
        <w:t>que el legislador incluyó en la procedencia del recurso de inconformidad, es para aquellos casos en que a juicio del solicitante exista una negativa de entregar lo solicitado y se convalide ésta por el Órgano Local</w:t>
      </w:r>
      <w:r>
        <w:rPr>
          <w:rFonts w:ascii="Palatino Linotype" w:eastAsia="Palatino Linotype" w:hAnsi="Palatino Linotype" w:cs="Palatino Linotype"/>
          <w:color w:val="000000"/>
        </w:rPr>
        <w:t xml:space="preserve">. </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Asimismo, el Órgano Garante Nacional señala que en términos de los supuestos de procedencia del recurso de revisión previstos en el artículo 143 de la Ley General de Transparencia y Acceso a la Información Pública (diversos a la </w:t>
      </w:r>
      <w:r>
        <w:rPr>
          <w:rFonts w:ascii="Palatino Linotype" w:eastAsia="Palatino Linotype" w:hAnsi="Palatino Linotype" w:cs="Palatino Linotype"/>
          <w:color w:val="000000"/>
        </w:rPr>
        <w:lastRenderedPageBreak/>
        <w:t xml:space="preserve">inexistencia y clasificación, en tanto que son supuestos </w:t>
      </w:r>
      <w:r>
        <w:rPr>
          <w:rFonts w:ascii="Palatino Linotype" w:eastAsia="Palatino Linotype" w:hAnsi="Palatino Linotype" w:cs="Palatino Linotype"/>
          <w:b/>
          <w:color w:val="000000"/>
        </w:rPr>
        <w:t>ya contemplados expresamente</w:t>
      </w:r>
      <w:r>
        <w:rPr>
          <w:rFonts w:ascii="Palatino Linotype" w:eastAsia="Palatino Linotype" w:hAnsi="Palatino Linotype" w:cs="Palatino Linotype"/>
          <w:color w:val="000000"/>
        </w:rPr>
        <w:t xml:space="preserve"> en el artículo 160 de la misma Ley), </w:t>
      </w:r>
      <w:r>
        <w:rPr>
          <w:rFonts w:ascii="Palatino Linotype" w:eastAsia="Palatino Linotype" w:hAnsi="Palatino Linotype" w:cs="Palatino Linotype"/>
          <w:b/>
          <w:color w:val="000000"/>
        </w:rPr>
        <w:t>que se traduzcan en una resistencia a la entrega de lo requerido y en la forma solicitada, como lo serían: la declaración de incompetencia del sujeto obligado, la falta de respuesta, la entrega de información incompleta o que no corresponde con lo peticionado, la entrega o puesta a disposición en una modalidad o formato distinto, o bien, en un formato incomprensible o no accesible, los costos o tiempos de entrega, la falta de trámite, la negativa a permitir la consulta directa, la falta o deficiencia de la fundamentación o motivación y la orientación a un trámite específico.</w:t>
      </w:r>
      <w:r>
        <w:rPr>
          <w:rFonts w:ascii="Palatino Linotype" w:eastAsia="Palatino Linotype" w:hAnsi="Palatino Linotype" w:cs="Palatino Linotype"/>
          <w:color w:val="000000"/>
        </w:rPr>
        <w:t xml:space="preserve"> </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De lo anterior, se concluye que el Órgano Garante Nacional establece que los supuestos de inexistencia y clasificación, establecidos en el artículo 160 de la Ley General de Transparencia y Acceso a la Información Pública constituyen “supuestos expresamente contemplados en la ley”; en tanto que lo relativo a la negativa de la información se traduce en una resistencia a la entrega de lo requerido y en la forma solicitada, para lo cual enlista varios supuestos: (a) </w:t>
      </w:r>
      <w:r>
        <w:rPr>
          <w:rFonts w:ascii="Palatino Linotype" w:eastAsia="Palatino Linotype" w:hAnsi="Palatino Linotype" w:cs="Palatino Linotype"/>
          <w:b/>
          <w:color w:val="000000"/>
        </w:rPr>
        <w:t>la declaración de incompetencia del sujeto obligado, (b) la falta de respuesta, (c) la entrega de información incompleta o que no corresponde con lo peticionado, (d) la entrega o puesta a disposición en una modalidad o formato distinto, o bien, en un formato incomprensible o no accesible, (e) los costos o tiempos de entrega, (f) la falta de trámite, (g) la negativa a permitir la consulta directa, (h) la falta o deficiencia de la fundamentación o motivación y (i) la orientación a un trámite específico.</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 xml:space="preserve">Ahora bien, el término </w:t>
      </w:r>
      <w:r>
        <w:rPr>
          <w:rFonts w:ascii="Palatino Linotype" w:eastAsia="Palatino Linotype" w:hAnsi="Palatino Linotype" w:cs="Palatino Linotype"/>
          <w:i/>
          <w:color w:val="000000"/>
        </w:rPr>
        <w:t xml:space="preserve">“expresamente” </w:t>
      </w:r>
      <w:r>
        <w:rPr>
          <w:rFonts w:ascii="Palatino Linotype" w:eastAsia="Palatino Linotype" w:hAnsi="Palatino Linotype" w:cs="Palatino Linotype"/>
          <w:color w:val="000000"/>
        </w:rPr>
        <w:t xml:space="preserve">esta relacionado de una manera o modo expreso, explícito, coherente, evidente, manifiesto y claro; por lo que para el Órgano Garante únicamente los supuestos de inexistencia y clasificación contemplados en el artículo 160 de la Ley General están establecidos de manera evidente, clara y coherente; en tanto que lo relativo a la negativa de información se </w:t>
      </w:r>
      <w:r>
        <w:rPr>
          <w:rFonts w:ascii="Palatino Linotype" w:eastAsia="Palatino Linotype" w:hAnsi="Palatino Linotype" w:cs="Palatino Linotype"/>
          <w:i/>
          <w:color w:val="000000"/>
        </w:rPr>
        <w:t>“traduce”</w:t>
      </w:r>
      <w:r>
        <w:rPr>
          <w:rFonts w:ascii="Palatino Linotype" w:eastAsia="Palatino Linotype" w:hAnsi="Palatino Linotype" w:cs="Palatino Linotype"/>
          <w:color w:val="000000"/>
        </w:rPr>
        <w:t xml:space="preserve"> en una resistencia de la entrega de lo solicitado; lo cual, sin duda implica una interpretación de la norma innecesaria, pues el propio legislador en el último párrafo establece de manera evidente, expresa y clara lo que debe entenderse por negativa de la información y no se requiere de una traducción, es decir, no requiere explicar o interpretar.</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Lo anterior es así ya que el artículo 160 de la Ley General de Transparencia y Acceso a la Información en su último párrafo establece que se entenderá como negativa de acceso a la información la falta de resolución de los Organismos garantes de las Entidades Federativas dentro del plazo previsto para ello.</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Tanto el artículo 6º Constitucional como la Ley General establecen los casos en los cuales procede el recurso de inconformidad, por lo que la precisarlos así, el poder reformador de la unión estableció una restricción constitucional excluyendo los supuestos que el INAI, señala en su resolución.</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De la interpretación literal de la Ley General se advierte que procede el recurso de inconformidad cuando en las resoluciones emitidas por los organismos garantes de las Entidades Federativas se confirme o modifique la clasificación de </w:t>
      </w:r>
      <w:r>
        <w:rPr>
          <w:rFonts w:ascii="Palatino Linotype" w:eastAsia="Palatino Linotype" w:hAnsi="Palatino Linotype" w:cs="Palatino Linotype"/>
          <w:color w:val="000000"/>
        </w:rPr>
        <w:lastRenderedPageBreak/>
        <w:t>información, confirmen la inexistencia o negativa de la información, es decir, cuando no exista resolución de los Organismos garantes de las Entidades Federativas dentro del plazo previsto para ello.</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 xml:space="preserve">De lo anterior se advierte que </w:t>
      </w:r>
      <w:r>
        <w:rPr>
          <w:rFonts w:ascii="Palatino Linotype" w:eastAsia="Palatino Linotype" w:hAnsi="Palatino Linotype" w:cs="Palatino Linotype"/>
          <w:color w:val="000000"/>
          <w:highlight w:val="white"/>
        </w:rPr>
        <w:t xml:space="preserve">de la interpretación literal y conforme al texto constitucional, la que además es deferente con el principio de legalidad, </w:t>
      </w:r>
      <w:r>
        <w:rPr>
          <w:rFonts w:ascii="Palatino Linotype" w:eastAsia="Palatino Linotype" w:hAnsi="Palatino Linotype" w:cs="Palatino Linotype"/>
          <w:color w:val="000000"/>
        </w:rPr>
        <w:t xml:space="preserve">la negativa de la información debe entenderse como la falta de resolución de los organismos garantes locales dentro del plazo previsto para ello, toda vez que el legislador en el propio texto de la Ley General ya estableció que se entenderá como “negativa de la información” para la procedencia del recurso de inconformidad, por lo tanto si </w:t>
      </w:r>
      <w:r>
        <w:rPr>
          <w:rFonts w:ascii="Palatino Linotype" w:eastAsia="Palatino Linotype" w:hAnsi="Palatino Linotype" w:cs="Palatino Linotype"/>
          <w:color w:val="000000"/>
          <w:highlight w:val="white"/>
        </w:rPr>
        <w:t>la ley no distingue, no hay porque distinguir.</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Bajo este tenor, es de precisar que  existen dificultades para la aplicación de las leyes, como son los conflictos de aplicación de leyes en el tiempo y  el espacio, así como las que se producen en función de la violación de las exigencias de compatibilidad y plenitud que deben satisfacer los ordenamientos jurídicos en tanto sistemas normativos: (1) los problemas de imprecisión (contradicciones o antinomias) e insuficiencia (lagunas). Por una parte, las antinomias son aquellas que se producen cuando dos normas pertenecientes a éste coinciden, prescribiendo conductas opuestas en cualquiera de sus ámbitos de validez: temporal, espacial, personal o materia, es decir, se esta en presencia de normas contradictorias. En tanto que las lagunas son las omisiones en que incurre el legislador cuando no prevé en las normas que dicta, alguno o algunos casos.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lastRenderedPageBreak/>
        <w:t>Es por ello, que cuando surgen estas dificultades para la aplicación de la norma (antinomias o lagunas) se debe recurrir a la interpretación y a la integración de las normas jurídicas. La interpretación, a efecto de conocer cuál es el significado una norma y poder así aplicarla a un caso concreto y la integración por virtud de la cual se completan, salvan, o llenan las lagunas que aparecen en los ordenamientos jurídicos.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Una vez precisado lo anterior, en el caso que nos ocupa, no nos encontramos en presencia de normas contradictorias (antinomias), ya que no existe norma contradictoria a lo establecido en el artículo 160 de la Ley General de Transparencia y Acceso a la Información Pública, o exista una sobreposición de normas jurídicas en cuanto a los ámbitos de validez del precepto legal citado, que las haga incompatibles, que requiera de una interpretación o integración para determinar de ambas normas cuál debe eliminarse, o eliminarse ambas, o bien, introducir alguna modificación en una o ambas, para hacerlas compatibles.</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Asimismo, no nos encontramos en presencia de una omisión por parte del legislador al caso en concreto (laguna), toda vez que como se ha dicho reiteradamente el artículo 160 de la Ley General de Transparencia y Acceso a la Información Pública señala expresamente la procedencia del recurso de inconformidad e incluso en cuanto a la negativa de la información, el propio legislador es quien establece el sentido y alcance normativo de la ley, es decir, nos encontramos frente a la interpretación auténtica contenida en una ley, la cual posee obligatoriedad general.</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highlight w:val="white"/>
        </w:rPr>
        <w:t>Por lo tanto, en ningún momento nos encontramos frente a expresiones oscuras o incompletas que requieran acudir a la interpretación para completar, restringir o extender su letra. Si el texto legal es claro, como es el caso, debe aplicarse en sus términos, de lo contrario estaríamos frente a una decisión altamente discrecional de creación y manipulación de la norma.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Si bien es cierto, conforme al artículo 41 fracción I de la Ley General de Transparencia y Acceso a la Información Pública  es atribución del INAI interpretar la ley, también lo es que dicha atribución no es absoluta, sino que se encuentra limitada por el principio de legalidad y por la supremacía constitucional, de lo contrario sería un poder superior al poder reformados de la constitución y al Poder Judicial, convirtiéndose en un poder odioso en un sistema constitucional de derecho al que habría que resistir, dentro del diseño constitucional.</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No se cuestiona la atribución legal del INAI para que en el ámbito de sus atribuciones  interprete la Ley General de Transparencia y Acceso a la Información Pública, lo cuestionable es que se pretenda interpretar la norma cuando no hay necesidad de ello y que los efectos de dicha interpretación sean excesivos al grado de crear una norma especial que rija al caso en concreto al momento de emitir su resolución. La interpretación de la norma jurídica no le permite al intérprete elaborar una norma especial de referencia, sino que tiene la obligación de sujetarse a las reglas de interpretación e integración del ordenamiento jurídico de que se trate, las cuales debe observar escrupulosamente.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De lo contrario, estaríamos frente a la arbitrariedad subjetiva del interprete, o peor aún, la existencia de legisladores individuales cuya voluntad se  pueda averiguar por métodos empíricos, es decir, no existe algo así como </w:t>
      </w:r>
      <w:r>
        <w:rPr>
          <w:rFonts w:ascii="Palatino Linotype" w:eastAsia="Palatino Linotype" w:hAnsi="Palatino Linotype" w:cs="Palatino Linotype"/>
          <w:i/>
          <w:color w:val="000000"/>
          <w:highlight w:val="white"/>
        </w:rPr>
        <w:t>“una voluntad colectiva”</w:t>
      </w:r>
      <w:r>
        <w:rPr>
          <w:rFonts w:ascii="Palatino Linotype" w:eastAsia="Palatino Linotype" w:hAnsi="Palatino Linotype" w:cs="Palatino Linotype"/>
          <w:color w:val="000000"/>
          <w:highlight w:val="white"/>
        </w:rPr>
        <w:t xml:space="preserve"> de los órganos colegiados. </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Asimismo, el Órgano Garante señala que el legislador envistió a ese Instituto de la facultad de interpretar la Ley General de Transparencia y Acceso a la Información Pública, de conformidad con lo previsto en su artículo 41, fracción I, por lo tanto, propugnan por una interpretación conforme y siguiendo el principio de progresividad.</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En este sentido, conviene precisar que el principio de interpretación conforme constituye el principio por el cual las normas relativas a los derechos humanos son, en su carácter de estándares de mínimos, objeto de una remisión hacia la Constitución y los tratados internacionales para efectos de su aplicación más protectora.</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Este principio persigue dos propósitos: (1) asegurar la integración normativa de los derechos, entendiendose que se dirige a dinamizar las normas que conforman el parámetro de control de la regularidad constitucional, con ampliaciones más protectoras; y, (2) resolver las tensiones, conflictos o antinomias que se presenten entre los mismos, es decir, marca las contenciones entre diferentes parámetros de </w:t>
      </w:r>
      <w:r>
        <w:rPr>
          <w:rFonts w:ascii="Palatino Linotype" w:eastAsia="Palatino Linotype" w:hAnsi="Palatino Linotype" w:cs="Palatino Linotype"/>
          <w:color w:val="000000"/>
        </w:rPr>
        <w:lastRenderedPageBreak/>
        <w:t>control de la regularidad constitucional de diversos derechos en juego, o las contenciones ante normas que los regulan.</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El modelo mexicano de interpretación conforme ha adoptado una naturaleza sui generis en la medida que las remisiones interpretativas no se dan únicamente respecto a los tratados internacionales, sino también respecto a la propia Constitución.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Es por ello, que llevar a cabo una interpretación conforme como lo señala el Órgano Garante, presupone primero, la existencia de conflictos o antinomias, y en segundo lugar, que para la resolver dichos conflictos normativos se deba acudir al texto constitucional o a los tratados internacionales para efectos de aplicar la norma mas protectora; sin embargo, en el presente caso, no existe un conflicto de aplicación de normas jurídicas, antinomias o lagunas legales.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No obstante lo anterior, efectivamente, en virtud del principio de interpretación conforme, es que el Órgano Garante Nacional al interpretar la Ley General de Transparencia y Acceso a la Información Pública, debe remitirse a lo establecido en la propia Constitución. </w:t>
      </w: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Por lo tanto, la interpretación conforme a la Constitución nos conduce a señalar que en caso de existir coalición ente dos normas jurídicas, estas se deben interpretarse conforme al texto Constitucional; sin embargo, en el presente caso no existe una colisión o contradicción entre normas jurídicas que conlleve su interpretación conforme al texto constitucional, máxime que el artículo sexto </w:t>
      </w:r>
      <w:r>
        <w:rPr>
          <w:rFonts w:ascii="Palatino Linotype" w:eastAsia="Palatino Linotype" w:hAnsi="Palatino Linotype" w:cs="Palatino Linotype"/>
          <w:color w:val="000000"/>
        </w:rPr>
        <w:lastRenderedPageBreak/>
        <w:t>constitucional y el artículo 160 de la Ley General de Transparencia y Acceso a la Información Pública de manera clara establecen cuales son las causales restringidas de procedencia del recurso de inconformidad y, por otro lado, no se señala cual es la otra norma jurídica a la que acudirá el INAI para resolver el asunto y justificar la procedencia.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Aunado a lo anterior, el Órgano Garante Nacional, señala que el hecho de limitar la interpretación de la negativa de información a la falta de resolución por parte del Órgano Garante, va en contra de la obligación de este Instituto de garantizar el principio </w:t>
      </w:r>
      <w:r>
        <w:rPr>
          <w:rFonts w:ascii="Palatino Linotype" w:eastAsia="Palatino Linotype" w:hAnsi="Palatino Linotype" w:cs="Palatino Linotype"/>
          <w:i/>
          <w:color w:val="000000"/>
        </w:rPr>
        <w:t>pro homine</w:t>
      </w:r>
      <w:r>
        <w:rPr>
          <w:rFonts w:ascii="Palatino Linotype" w:eastAsia="Palatino Linotype" w:hAnsi="Palatino Linotype" w:cs="Palatino Linotype"/>
          <w:color w:val="000000"/>
        </w:rPr>
        <w:t xml:space="preserve"> previsto en el artículo 1° Constitucional, que prevé la aplicación de la norma más protectora en beneficio de la persona y, principalmente, garantizar el derecho de acceso a la información pública, previsto en el artículo 6° Constitucional.</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En el caso que nos ocupa, el Órgano Garante Nacional únicamente se limita a señalar que es obligación de ese Instituto de garantizar el principio pro homine previsto en el artículo 1° Constitucional, que prevé la aplicación de la norma más protectora en beneficio de la persona y, principalmente, garantizar el derecho de acceso a la información pública; sin embargo, es omiso en señalar en que consiste la “garantía” del principio “pro homine” que hace, es decir si se trata de acudir a la norma más protectora, o bien, preferir la interpretación de mayor alcance de ésta al reconocer y/o garantizar el ejercicio de un derecho fundamental; o bien, en sentido complementario, aplicar la norma y/o interpretación más restringida al establecer limitaciones y/o restricciones al ejercicio de los derechos humanos.</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Conviene recordar que el principio pro persona tiene dos manifestaciones o reglas principales: (1) preferencia interpretativa y, (2) preferencia de normas</w:t>
      </w:r>
      <w:bookmarkStart w:id="13" w:name="26in1rg" w:colFirst="0" w:colLast="0"/>
      <w:bookmarkEnd w:id="13"/>
      <w:r>
        <w:rPr>
          <w:rFonts w:ascii="Palatino Linotype" w:eastAsia="Palatino Linotype" w:hAnsi="Palatino Linotype" w:cs="Palatino Linotype"/>
          <w:color w:val="000000"/>
        </w:rPr>
        <w:t>;  a su vez la preferencia interpretativa tiene dos manifestaciones: a) la interpretativa extensiva y, b) la interpretativa restringida. Por su parte, la preferencia de normas se manifiesta de dos maneras: a) la preferencia de la norma más protectora y, b) la de la conservación de la norma más favorable.</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 La preferencia interpretativa del principio pro persona, a diferencia de la preferencia de normas, no implica la disyuntiva de aplicar una norma de entre varias posibles, sino que el juzgador o intérprete jurídico se encuentra frente a una norma de derechos humanos, con contenido de derechos humanos o que sirve para proteger derechos humanos, respecto a la cual se pueden hacer varias interpretaciones, es decir, hay una norma que protege derechos fundamentales y una pluralidad de posibles interpretaciones de dicha norma, o bien, una pluralidad de significados, contenidos y alcances de una determinada norma.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Conviene recordar que este principio tiene dos manifestaciones o reglas principales: (1) Preferencia interpretativa y, (2) Preferencia de normas;  a su vez la preferencia interpretativa tiene dos manifestaciones: a) la interpretativa extensiva y, b) la interpretativa restringida. Por su parte, la preferencia de normas se manifiesta de dos maneras: a) la preferencia de la norma más protectora y, b) la de la conservación de la norma más favorable.</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En este tenor, la preferencia interpretativa conlleva dar a una norma que contiene derechos humanos su más amplia interpretación para que éstos se ejerzan, o bien, el mínimo alcance interpretativo posible si se trata de limitar o suspender su ejercicio, sin dejar fuera los matices que entre ambos extremos se pueden presentar. La preferencia interpretativa restringida implica que cuando se establecen restricciones permanentes al ejercicio de los derechos o su suspensión extraordinaria, la norma debe ser interpretada de tal manera que se limite o restrinja lo menos posible dicho ejercicio. Se debe adoptar la interpretación que mejor haga permanecer el derecho, que mejor tutele a la persona, aun cuando resulte necesario establecer limitaciones al ejercicio de los derechos. Es decir, que ante un caso concreto en el que por condiciones extraordinarias se tenga que imponer una restricción al ejercicio de un derecho humano determinado, el juzgador o intérprete legal debe optar por la interpretación que menos reduzca la esencia de dicho derecho, por la interpretación que aun ante la restricción permita el ejercicio de los aspectos claves del derecho de que se trate, por la interpretación más restringida y que en la medida de lo posible haga viable el ejercicio del derecho como si no existiere restricción.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Cabe destacar que la alegada interpretación </w:t>
      </w:r>
      <w:r>
        <w:rPr>
          <w:rFonts w:ascii="Palatino Linotype" w:eastAsia="Palatino Linotype" w:hAnsi="Palatino Linotype" w:cs="Palatino Linotype"/>
          <w:i/>
          <w:color w:val="000000"/>
        </w:rPr>
        <w:t>pro homine</w:t>
      </w:r>
      <w:r>
        <w:rPr>
          <w:rFonts w:ascii="Palatino Linotype" w:eastAsia="Palatino Linotype" w:hAnsi="Palatino Linotype" w:cs="Palatino Linotype"/>
          <w:color w:val="000000"/>
        </w:rPr>
        <w:t xml:space="preserve"> referida por el  INAI en su resolución con la que pretende justificar su abuso, implica escoger de entre dos normas jurídicas formales, válidas y vigentes, la que otorgue una protección mayor, no resulta aplicable al caso ya que por un lado tenemos al artículo sexto constitucional y al artículo 160 de la Ley General de Transparencia y Acceso a la Información Pública que señalan cuales son las causales restringidas de procedencia </w:t>
      </w:r>
      <w:r>
        <w:rPr>
          <w:rFonts w:ascii="Palatino Linotype" w:eastAsia="Palatino Linotype" w:hAnsi="Palatino Linotype" w:cs="Palatino Linotype"/>
          <w:color w:val="000000"/>
        </w:rPr>
        <w:lastRenderedPageBreak/>
        <w:t>y, por otro lado, en ningún momento se señala cual es la otra norma jurídica que otorga mayor protección, a la que acudirá el INAI para resolver el asunto y justificar la procedencia.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Por lo que se reitera, que la interpretación </w:t>
      </w:r>
      <w:r>
        <w:rPr>
          <w:rFonts w:ascii="Palatino Linotype" w:eastAsia="Palatino Linotype" w:hAnsi="Palatino Linotype" w:cs="Palatino Linotype"/>
          <w:i/>
          <w:color w:val="000000"/>
        </w:rPr>
        <w:t>pro homine</w:t>
      </w:r>
      <w:r>
        <w:rPr>
          <w:rFonts w:ascii="Palatino Linotype" w:eastAsia="Palatino Linotype" w:hAnsi="Palatino Linotype" w:cs="Palatino Linotype"/>
          <w:color w:val="000000"/>
        </w:rPr>
        <w:t xml:space="preserve"> implica necesariamente que existan dos normas jurídicas de diferente jerarquía tengan una diferencia en el grado de protección; sin embargo en el caso que nos ocupa, no existen dos normas jurídicas en colisión que deban ser interpretadas bajo el principio pro persona para determinar cuál de ellas le otorga una mayor protección a la persona.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En su resolución, el Órgano Garante Nacional considera que el artículo 160 de la Ley General de Transparencia y Acceso a la Información Pública tiene una protección limitada; sin embargo, no refiere cuál es norma en el derecho positivo que establezca una mayor protección que conlleve a hacer una interpretación pro persona para determinar cuál de ellas otorga mayor protección a la persona. Por lo que la actuación del INAI en su resolución no es una interpretación pro homine sino una creación normativa libre.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No debe perderse de vista que si bien, el INAI cuenta con atribuciones de interpretar la norma, mediante los procedimientos generalmente reconocidos, ello no implica, ni debe confundirse en una acción de creación libre del derecho, que le corresponde al poder reformador de la Unión y al legislador democrático, pero no al INAI.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En consecuencia, existe deficiencia en la resolución del Órgano Garante Nacional, toda vez que justifica su actuar en una interpretación de la norma jurídica, la cual no requiere de interpretación alguna, de acuerdo a lo expuesto en líneas anteriores, y en la supuesta interpretación conforme que hace, que tampoco es tal, pues el propio texto constitucional establece las causales de procedencia del recurso de inconformidad.</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Por lo tanto, el INAI pretende convertirse no sólo en un intérprete de la ley, sino en un legislador positivo al señalar que debe entenderse por negativa de información, lo cual el legislador ya estableció en la ley, lo cual implica una actuación  excesiva, violentando el principio de legalidad y de división de poderes ya que en el presente caso, no estamos frente a una interpretación, sino ante la creación de norma jurídica, excediendo su facultad interpretativa a la que alude en su resolución. </w:t>
      </w:r>
    </w:p>
    <w:p w:rsidR="000E1504" w:rsidRDefault="000E150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Dicha facultad conferida al Órgano Garante no resulta cuestionable, sino más bien el hecho de que justifique la creación legislativa disfrazada de una interpretación excesiva y caprichosa de la norma jurídica en una atribución conferida por el legislador, ya que no se debe perder de vista que </w:t>
      </w:r>
      <w:r>
        <w:rPr>
          <w:rFonts w:ascii="Palatino Linotype" w:eastAsia="Palatino Linotype" w:hAnsi="Palatino Linotype" w:cs="Palatino Linotype"/>
          <w:color w:val="000000"/>
          <w:highlight w:val="white"/>
        </w:rPr>
        <w:t xml:space="preserve">la función de interpretación jurídica es precisamente la de eliminar una situación de indeterminación que presentan las normas generales en algunos casos; sin embargo en el caso que nos ocupa y como reiteradamente se ha mencionado en la presente resolución, el artículo 160 de la Ley General de Transparencia y Acceso a la Información Pública que establece las causales de procedencia del recurso de </w:t>
      </w:r>
      <w:r>
        <w:rPr>
          <w:rFonts w:ascii="Palatino Linotype" w:eastAsia="Palatino Linotype" w:hAnsi="Palatino Linotype" w:cs="Palatino Linotype"/>
          <w:color w:val="000000"/>
          <w:highlight w:val="white"/>
        </w:rPr>
        <w:lastRenderedPageBreak/>
        <w:t>reviisón no requiere de hacer una explicación o aclaración de la norma en cuestión pues se establecen de manera clara, concisa y explicita dichas causales de procedencia.</w:t>
      </w:r>
    </w:p>
    <w:p w:rsidR="000E1504" w:rsidRDefault="000E1504">
      <w:pPr>
        <w:pBdr>
          <w:top w:val="nil"/>
          <w:left w:val="nil"/>
          <w:bottom w:val="nil"/>
          <w:right w:val="nil"/>
          <w:between w:val="nil"/>
        </w:pBdr>
        <w:spacing w:line="360" w:lineRule="auto"/>
        <w:ind w:left="540" w:right="49"/>
        <w:jc w:val="both"/>
        <w:rPr>
          <w:rFonts w:ascii="Palatino Linotype" w:eastAsia="Palatino Linotype" w:hAnsi="Palatino Linotype" w:cs="Palatino Linotype"/>
          <w:b/>
          <w:color w:val="000000"/>
        </w:rPr>
      </w:pPr>
    </w:p>
    <w:p w:rsidR="000E1504" w:rsidRDefault="00724D85">
      <w:pPr>
        <w:pStyle w:val="Ttulo1"/>
        <w:numPr>
          <w:ilvl w:val="0"/>
          <w:numId w:val="4"/>
        </w:numPr>
        <w:spacing w:line="259" w:lineRule="auto"/>
        <w:rPr>
          <w:rFonts w:ascii="Palatino Linotype" w:eastAsia="Palatino Linotype" w:hAnsi="Palatino Linotype" w:cs="Palatino Linotype"/>
          <w:b/>
          <w:color w:val="000000"/>
          <w:sz w:val="24"/>
          <w:szCs w:val="24"/>
        </w:rPr>
      </w:pPr>
      <w:bookmarkStart w:id="14" w:name="_lnxbz9" w:colFirst="0" w:colLast="0"/>
      <w:bookmarkEnd w:id="14"/>
      <w:r>
        <w:rPr>
          <w:rFonts w:ascii="Palatino Linotype" w:eastAsia="Palatino Linotype" w:hAnsi="Palatino Linotype" w:cs="Palatino Linotype"/>
          <w:b/>
          <w:color w:val="000000"/>
          <w:sz w:val="24"/>
          <w:szCs w:val="24"/>
        </w:rPr>
        <w:t xml:space="preserve">Del Amparo en Revisión 654/18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Ahora bien, en la resolución emitida por el INAI que se cumplimenta, se hace referencia que la Segunda Sala de la Suprema Corte de Justicia de la Nación, al resolver el Amparo en Revisión 654/18, precisó que la procedencia del recurso de inconformidad en el supuesto de “negativa de información”, comprende a todas aquellas resoluciones que expresamente niegan la solicitud como aquellas que implícitamente constituyen un rechazo, por lo que ambos supuestos encuadran en la referida hipótesis jurídica de procedibilidad del recurso de inconformidad, ya que los efectos ulteriores de ambas son equiparables.</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 xml:space="preserve">Asimismo, el Órgano Garante Nacional en su resolución señala que la Segunda Sala del Máximo Tribunal de nuestro país ha determinado que las resoluciones que impliquen un rechazo o invoquen un impedimento para acceder a la información solicitada son susceptibles de combatirse a través del recurso de inconformidad previsto por la Ley General de la materia, con independencia de que la negativa no haya sido expresamente manifestada al contestar la solicitud de acceso a la información o al resolver el recurso de revisión correspondiente, pues </w:t>
      </w:r>
      <w:r>
        <w:rPr>
          <w:rFonts w:ascii="Palatino Linotype" w:eastAsia="Palatino Linotype" w:hAnsi="Palatino Linotype" w:cs="Palatino Linotype"/>
          <w:color w:val="000000"/>
        </w:rPr>
        <w:lastRenderedPageBreak/>
        <w:t>solo así será posible salvaguardar el principio de máxima publicidad que mandata la Constitución Federal.</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Conviene precisar, primeramente, que en la Sentencia del Amparo en Revisión 654/2018 dictada por la Segunda Sala de la Suprema Corte de Justicia de la Nación</w:t>
      </w:r>
      <w:r>
        <w:rPr>
          <w:rFonts w:ascii="Palatino Linotype" w:eastAsia="Palatino Linotype" w:hAnsi="Palatino Linotype" w:cs="Palatino Linotype"/>
          <w:color w:val="000000"/>
          <w:highlight w:val="white"/>
          <w:vertAlign w:val="superscript"/>
        </w:rPr>
        <w:footnoteReference w:id="11"/>
      </w:r>
      <w:r>
        <w:rPr>
          <w:rFonts w:ascii="Palatino Linotype" w:eastAsia="Palatino Linotype" w:hAnsi="Palatino Linotype" w:cs="Palatino Linotype"/>
          <w:color w:val="000000"/>
          <w:highlight w:val="white"/>
        </w:rPr>
        <w:t>, se advierte que los hechos que le dieron origen, son diferentes a los hechos del caso que nos ocupa, como a continuación se muestra: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2"/>
          <w:numId w:val="15"/>
        </w:numPr>
        <w:pBdr>
          <w:top w:val="nil"/>
          <w:left w:val="nil"/>
          <w:bottom w:val="nil"/>
          <w:right w:val="nil"/>
          <w:between w:val="nil"/>
        </w:pBdr>
        <w:spacing w:line="360" w:lineRule="auto"/>
        <w:ind w:left="1080"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highlight w:val="white"/>
        </w:rPr>
        <w:t xml:space="preserve">Un particular realizó tres solicitudes de información a la </w:t>
      </w:r>
      <w:r>
        <w:rPr>
          <w:rFonts w:ascii="Palatino Linotype" w:eastAsia="Palatino Linotype" w:hAnsi="Palatino Linotype" w:cs="Palatino Linotype"/>
          <w:color w:val="000000"/>
        </w:rPr>
        <w:t>Secretaría de Cultura y Turismo del Estado de Puebla, sujeto obligado que en su respuesta señaló que no era posible en esos momentos atender a sus solicitudes favorablemente, en virtud de que se encontraba dentro del proceso de modificación de sus ordenamientos y disposiciones reglamentarias que norman sus funciones, resaltando que se encontraba dentro de los noventa días para la realización de la entrega recepción de toda la documentación e información física y electrónica que correspondía al Consejo Estatal para la Cultura y las Artes de Puebla.</w:t>
      </w:r>
    </w:p>
    <w:p w:rsidR="000E1504" w:rsidRDefault="00724D85">
      <w:pPr>
        <w:numPr>
          <w:ilvl w:val="2"/>
          <w:numId w:val="15"/>
        </w:numPr>
        <w:pBdr>
          <w:top w:val="nil"/>
          <w:left w:val="nil"/>
          <w:bottom w:val="nil"/>
          <w:right w:val="nil"/>
          <w:between w:val="nil"/>
        </w:pBdr>
        <w:spacing w:line="360" w:lineRule="auto"/>
        <w:ind w:left="1080"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la respuesta del sujeto obligado, el particular interpuso recurso de revisión ante el ante el Instituto de Transparencia, Acceso a la Información Pública y de Protección de Datos Personales del Estado de Puebla, órgano garante que resolvió desechar el recurso de revisión, toda </w:t>
      </w:r>
      <w:r>
        <w:rPr>
          <w:rFonts w:ascii="Palatino Linotype" w:eastAsia="Palatino Linotype" w:hAnsi="Palatino Linotype" w:cs="Palatino Linotype"/>
          <w:color w:val="000000"/>
        </w:rPr>
        <w:lastRenderedPageBreak/>
        <w:t>vez que no existió la negativa del sujeto obligado de proporcionar total o parcialmente la información requerida.</w:t>
      </w:r>
    </w:p>
    <w:p w:rsidR="000E1504" w:rsidRDefault="00724D85">
      <w:pPr>
        <w:numPr>
          <w:ilvl w:val="2"/>
          <w:numId w:val="15"/>
        </w:numPr>
        <w:pBdr>
          <w:top w:val="nil"/>
          <w:left w:val="nil"/>
          <w:bottom w:val="nil"/>
          <w:right w:val="nil"/>
          <w:between w:val="nil"/>
        </w:pBdr>
        <w:spacing w:line="360" w:lineRule="auto"/>
        <w:ind w:left="1080"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Inconforme con la resolución del Órgano Garante del Estado de Puebla, el particular interpuso recurso de inconformidad ante el Instituto Nacional de Transparencia, Acceso a la Información y Protección de Datos Personales, medio de impugnación que fue resuelto en el sentido de desecharlo, al considerar que no se confirmó o modificó la clasificación de la información peticionada ni se confirmó la inexistencia o negativa de ésta, razón por la cual, estimó actualizada la causal de improcedencia prevista por el artículo 178, fracción III, de la Ley General de Transparencia y Acceso a la Información Pública, al no actualizarse ninguno de los supuestos previstos en el artículo 160 del mismo ordenamiento.</w:t>
      </w:r>
    </w:p>
    <w:p w:rsidR="000E1504" w:rsidRDefault="00724D85">
      <w:pPr>
        <w:numPr>
          <w:ilvl w:val="2"/>
          <w:numId w:val="15"/>
        </w:numPr>
        <w:pBdr>
          <w:top w:val="nil"/>
          <w:left w:val="nil"/>
          <w:bottom w:val="nil"/>
          <w:right w:val="nil"/>
          <w:between w:val="nil"/>
        </w:pBdr>
        <w:spacing w:line="360" w:lineRule="auto"/>
        <w:ind w:left="1080"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Contra la determinación anterior, el particular promovió juicio de amparo, en el cual el Juez de Distrito resolvió conceder el amparo considerando, esencialmente, que el Órgano Garante Nacional erróneamente realizó una interpretación literal del artículo 160 de la Ley General de Transparencia y Acceso a la Información Pública, a partir de la cual determinó que únicamente puede admitir aquellos recursos de inconformidad en los que los organismos locales confirmen o modifiquen la clasificación de la información, o bien, confirmen la inexistencia o negativa de la información, pues en el caso en concreto la resolución entraña en sí una negativa de acceso a la información, aun cuando el sentido de la determinación no sea expresamente alguno de los referidos, </w:t>
      </w:r>
      <w:r>
        <w:rPr>
          <w:rFonts w:ascii="Palatino Linotype" w:eastAsia="Palatino Linotype" w:hAnsi="Palatino Linotype" w:cs="Palatino Linotype"/>
          <w:color w:val="000000"/>
        </w:rPr>
        <w:lastRenderedPageBreak/>
        <w:t xml:space="preserve">apartándose con ello del principio pro homine. Lo anterior, en virtud de que de autos no se advirtió que la autoridad haya entregado al particular  la información solicitada ni que el argumento en que sustentó su respuesta se encuentra previsto en la ley general de la materia para limitar el acceso a la información, limitándose a señalar que no se encontraba en posibilidad de atender su solicitud en razón de que se encontraba en un período de entrega recepción de documentos. </w:t>
      </w:r>
    </w:p>
    <w:p w:rsidR="000E1504" w:rsidRDefault="00724D85">
      <w:pPr>
        <w:numPr>
          <w:ilvl w:val="2"/>
          <w:numId w:val="15"/>
        </w:numPr>
        <w:pBdr>
          <w:top w:val="nil"/>
          <w:left w:val="nil"/>
          <w:bottom w:val="nil"/>
          <w:right w:val="nil"/>
          <w:between w:val="nil"/>
        </w:pBdr>
        <w:spacing w:line="360" w:lineRule="auto"/>
        <w:ind w:left="1080"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 la sentencia antes referida el INAI interpuso recurso de revisión, en el cual la Segunda Sala de la Suprema Corte de Justicia de la Nación determinó dejar insubsistente dicha resolución y en su lugar emita otra en la que, atendiendo a la interpretación conforme establecida en la ejecutoria y de no advertir algún diverso motivo de improcedencia, admita a trámite el recurso de inconformidad interpuesto por el particular.</w:t>
      </w:r>
    </w:p>
    <w:p w:rsidR="000E1504" w:rsidRDefault="000E1504">
      <w:pPr>
        <w:pBdr>
          <w:top w:val="nil"/>
          <w:left w:val="nil"/>
          <w:bottom w:val="nil"/>
          <w:right w:val="nil"/>
          <w:between w:val="nil"/>
        </w:pBdr>
        <w:spacing w:line="360" w:lineRule="auto"/>
        <w:ind w:left="-3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150"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En ese orden de ideas, en su estudio la Segunda Sala de la Suprema Corte de Justicia de la Nación, señaló lo siguiente: </w:t>
      </w:r>
    </w:p>
    <w:p w:rsidR="000E1504" w:rsidRDefault="00724D85">
      <w:pPr>
        <w:spacing w:line="276"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 así, pues </w:t>
      </w:r>
      <w:r>
        <w:rPr>
          <w:rFonts w:ascii="Palatino Linotype" w:eastAsia="Palatino Linotype" w:hAnsi="Palatino Linotype" w:cs="Palatino Linotype"/>
          <w:b/>
          <w:i/>
          <w:sz w:val="22"/>
          <w:szCs w:val="22"/>
        </w:rPr>
        <w:t>cuando los entes administrativos declaran inatendibles dichas solicitudes, resulta inconcuso que están negando implícitamente la solicitud de acceso a la información</w:t>
      </w:r>
      <w:r>
        <w:rPr>
          <w:rFonts w:ascii="Palatino Linotype" w:eastAsia="Palatino Linotype" w:hAnsi="Palatino Linotype" w:cs="Palatino Linotype"/>
          <w:i/>
          <w:sz w:val="22"/>
          <w:szCs w:val="22"/>
        </w:rPr>
        <w:t>, de ahí que ambos supuestos -tanto las resoluciones que expresamente niegan la solicitud como aquellas que implícitamente constituyen un rechazo- encuadran en la referida hipótesis jurídica de procedibilidad del recurso de inconformidad, ya que los efectos ulteriores de ambas son equiparables.</w:t>
      </w:r>
    </w:p>
    <w:p w:rsidR="000E1504" w:rsidRDefault="000E1504">
      <w:pPr>
        <w:spacing w:line="276" w:lineRule="auto"/>
        <w:ind w:left="720"/>
        <w:jc w:val="both"/>
        <w:rPr>
          <w:rFonts w:ascii="Palatino Linotype" w:eastAsia="Palatino Linotype" w:hAnsi="Palatino Linotype" w:cs="Palatino Linotype"/>
          <w:i/>
          <w:sz w:val="22"/>
          <w:szCs w:val="22"/>
        </w:rPr>
      </w:pPr>
    </w:p>
    <w:p w:rsidR="000E1504" w:rsidRDefault="00724D85">
      <w:pPr>
        <w:spacing w:line="276"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…esta Segunda Sala </w:t>
      </w:r>
      <w:r>
        <w:rPr>
          <w:rFonts w:ascii="Palatino Linotype" w:eastAsia="Palatino Linotype" w:hAnsi="Palatino Linotype" w:cs="Palatino Linotype"/>
          <w:b/>
          <w:i/>
          <w:sz w:val="22"/>
          <w:szCs w:val="22"/>
        </w:rPr>
        <w:t xml:space="preserve">colige que la recta interpretación de tales artículos adjetivos debe ser en el sentido de que, las resoluciones que impliquen un rechazo o invoquen </w:t>
      </w:r>
      <w:r>
        <w:rPr>
          <w:rFonts w:ascii="Palatino Linotype" w:eastAsia="Palatino Linotype" w:hAnsi="Palatino Linotype" w:cs="Palatino Linotype"/>
          <w:b/>
          <w:i/>
          <w:sz w:val="22"/>
          <w:szCs w:val="22"/>
        </w:rPr>
        <w:lastRenderedPageBreak/>
        <w:t>un impedimento para acceder a la solicitud formulada son susceptibles de combatirse a través del recurso de inconformidad previsto por la ley</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general de la materia, con independencia de que la negativa no haya sido expresamente manifestada al contestar la solicitud de acceso a la información o al resolver el recurso de revisión correspondiente</w:t>
      </w:r>
      <w:r>
        <w:rPr>
          <w:rFonts w:ascii="Palatino Linotype" w:eastAsia="Palatino Linotype" w:hAnsi="Palatino Linotype" w:cs="Palatino Linotype"/>
          <w:i/>
          <w:sz w:val="22"/>
          <w:szCs w:val="22"/>
        </w:rPr>
        <w:t>, pues solo así será posible salvaguardar el principio de máxima publicidad que mandata la Constitución Federal.</w:t>
      </w:r>
    </w:p>
    <w:p w:rsidR="000E1504" w:rsidRDefault="000E1504">
      <w:pPr>
        <w:spacing w:line="276" w:lineRule="auto"/>
        <w:ind w:left="720"/>
        <w:jc w:val="both"/>
        <w:rPr>
          <w:rFonts w:ascii="Palatino Linotype" w:eastAsia="Palatino Linotype" w:hAnsi="Palatino Linotype" w:cs="Palatino Linotype"/>
          <w:i/>
          <w:sz w:val="22"/>
          <w:szCs w:val="22"/>
        </w:rPr>
      </w:pPr>
    </w:p>
    <w:p w:rsidR="000E1504" w:rsidRDefault="00724D85">
      <w:pPr>
        <w:spacing w:line="276"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ese sentido, esta Segunda Sala estima que resulta ilegal la resolución reclamada, pues la determinación del Instituto Nacional de Transparencia, Acceso a la Información y Protección de Datos Personales, </w:t>
      </w:r>
      <w:r>
        <w:rPr>
          <w:rFonts w:ascii="Palatino Linotype" w:eastAsia="Palatino Linotype" w:hAnsi="Palatino Linotype" w:cs="Palatino Linotype"/>
          <w:b/>
          <w:i/>
          <w:sz w:val="22"/>
          <w:szCs w:val="22"/>
        </w:rPr>
        <w:t>parte de la premisa de que en la especie no se actualiza una negativa de información en tanto que el recurso de revisión fue desechado por el organismo garante de la entidad federativa, con lo cual pierde de vista que la solicitud de información formulada por la quejosa fue declarada como “inatendible”</w:t>
      </w:r>
      <w:r>
        <w:rPr>
          <w:rFonts w:ascii="Palatino Linotype" w:eastAsia="Palatino Linotype" w:hAnsi="Palatino Linotype" w:cs="Palatino Linotype"/>
          <w:i/>
          <w:sz w:val="22"/>
          <w:szCs w:val="22"/>
        </w:rPr>
        <w:t xml:space="preserve"> por la autoridad obligada argumentando lo siguiente: “nos encontramos dentro del plazo de los 90 días establecidos en dicho decreto para la realización de la entrega recepción de toda la documentación e información física y electrónica que correspondía al Consejo Estatal para la Cultura y las Artes de Puebla; en virtud de lo referido no es posible en estos momentos atender a su solicitud favorablemente hasta en tanto se hayan realizado todas las acciones necesarias para el adecuado actuar de esta dependencia así como se haya realizado el total de la recepción dentro del término establecido […] Con lo anterior, se da por cumplida la obligación de garantizar el acceso a la información pública […]”. Por lo tanto, toda vez que la resolución emitida por el organismo garante se limitó a desechar el recurso de revisión a pesar de la  cual ésta resulta impugnable a través del recurso de inconformidad previsto por el artículo 160 de la Ley General de Transparencia y Acceso a la Información Pública.</w:t>
      </w:r>
    </w:p>
    <w:p w:rsidR="000E1504" w:rsidRDefault="000E1504">
      <w:pPr>
        <w:spacing w:line="276" w:lineRule="auto"/>
        <w:ind w:left="720"/>
        <w:jc w:val="both"/>
        <w:rPr>
          <w:rFonts w:ascii="Palatino Linotype" w:eastAsia="Palatino Linotype" w:hAnsi="Palatino Linotype" w:cs="Palatino Linotype"/>
          <w:i/>
          <w:sz w:val="22"/>
          <w:szCs w:val="22"/>
        </w:rPr>
      </w:pPr>
    </w:p>
    <w:p w:rsidR="000E1504" w:rsidRDefault="00724D85">
      <w:pPr>
        <w:spacing w:line="276"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 así, pues contrario a lo estimado por el Instituto responsable, conforme al referido precepto legal, </w:t>
      </w:r>
      <w:r>
        <w:rPr>
          <w:rFonts w:ascii="Palatino Linotype" w:eastAsia="Palatino Linotype" w:hAnsi="Palatino Linotype" w:cs="Palatino Linotype"/>
          <w:b/>
          <w:i/>
          <w:sz w:val="22"/>
          <w:szCs w:val="22"/>
        </w:rPr>
        <w:t>el recurso de inconformidad sí procede contra las resoluciones emitidas por los organismos garantes de las entidades federativas que se susciten a partir de la negativa que recaiga a una solicitud de acceso a la información, sea ésta expresa o implícita</w:t>
      </w:r>
      <w:r>
        <w:rPr>
          <w:rFonts w:ascii="Palatino Linotype" w:eastAsia="Palatino Linotype" w:hAnsi="Palatino Linotype" w:cs="Palatino Linotype"/>
          <w:i/>
          <w:sz w:val="22"/>
          <w:szCs w:val="22"/>
        </w:rPr>
        <w:t>.”</w:t>
      </w:r>
    </w:p>
    <w:p w:rsidR="000E1504" w:rsidRDefault="00724D85">
      <w:pPr>
        <w:numPr>
          <w:ilvl w:val="0"/>
          <w:numId w:val="15"/>
        </w:numPr>
        <w:pBdr>
          <w:top w:val="nil"/>
          <w:left w:val="nil"/>
          <w:bottom w:val="nil"/>
          <w:right w:val="nil"/>
          <w:between w:val="nil"/>
        </w:pBdr>
        <w:shd w:val="clear" w:color="auto" w:fill="FFFFFF"/>
        <w:tabs>
          <w:tab w:val="left" w:pos="0"/>
        </w:tabs>
        <w:spacing w:before="240" w:line="360" w:lineRule="auto"/>
        <w:ind w:left="0" w:right="49" w:firstLine="0"/>
        <w:jc w:val="both"/>
        <w:rPr>
          <w:highlight w:val="white"/>
        </w:rPr>
      </w:pPr>
      <w:r>
        <w:rPr>
          <w:rFonts w:ascii="Palatino Linotype" w:eastAsia="Palatino Linotype" w:hAnsi="Palatino Linotype" w:cs="Palatino Linotype"/>
          <w:color w:val="000000"/>
          <w:highlight w:val="white"/>
        </w:rPr>
        <w:lastRenderedPageBreak/>
        <w:t xml:space="preserve">De lo anterior, se advierte que la Segunda Sala de la Suprema Corte de Justicia de la Nación estableció que </w:t>
      </w:r>
      <w:r>
        <w:rPr>
          <w:rFonts w:ascii="Palatino Linotype" w:eastAsia="Palatino Linotype" w:hAnsi="Palatino Linotype" w:cs="Palatino Linotype"/>
          <w:color w:val="000000"/>
        </w:rPr>
        <w:t>cuando los sujetos obligados declaran inatendibles dichas solicitudes, resulta inconcuso que están negando implícitamente la solicitud de acceso a la información y que las resoluciones que expresamente niegan la solicitud como aquellas que implícitamente, constituyen un rechazo que encuadran en la referida hipótesis jurídica de procedibilidad del recurso de inconformidad, ya que los efectos ulteriores de ambas son equiparables.</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highlight w:val="white"/>
        </w:rPr>
        <w:t>Bajo estas consideraciones, se advierte que existen diferencias en el caso que resolvió la Segunda Sala de la Suprema Corte de Justicia de la Nación en el Amparo en Revisión 654/2018, y en el caso que nos ocupa, como a continuación se muestra:</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4"/>
        </w:numPr>
        <w:pBdr>
          <w:top w:val="nil"/>
          <w:left w:val="nil"/>
          <w:bottom w:val="nil"/>
          <w:right w:val="nil"/>
          <w:between w:val="nil"/>
        </w:pBdr>
        <w:shd w:val="clear" w:color="auto" w:fill="FFFFFF"/>
        <w:tabs>
          <w:tab w:val="left" w:pos="0"/>
        </w:tabs>
        <w:spacing w:before="150" w:line="360" w:lineRule="auto"/>
        <w:ind w:right="49"/>
        <w:jc w:val="both"/>
        <w:rPr>
          <w:b/>
          <w:color w:val="000000"/>
          <w:highlight w:val="white"/>
        </w:rPr>
      </w:pPr>
      <w:r>
        <w:rPr>
          <w:rFonts w:ascii="Palatino Linotype" w:eastAsia="Palatino Linotype" w:hAnsi="Palatino Linotype" w:cs="Palatino Linotype"/>
          <w:b/>
          <w:color w:val="000000"/>
          <w:highlight w:val="white"/>
        </w:rPr>
        <w:t>Amparo en Revisión 654/2018:</w:t>
      </w:r>
    </w:p>
    <w:p w:rsidR="000E1504" w:rsidRDefault="00724D85">
      <w:pPr>
        <w:numPr>
          <w:ilvl w:val="2"/>
          <w:numId w:val="15"/>
        </w:numPr>
        <w:pBdr>
          <w:top w:val="nil"/>
          <w:left w:val="nil"/>
          <w:bottom w:val="nil"/>
          <w:right w:val="nil"/>
          <w:between w:val="nil"/>
        </w:pBdr>
        <w:shd w:val="clear" w:color="auto" w:fill="FFFFFF"/>
        <w:tabs>
          <w:tab w:val="left" w:pos="0"/>
        </w:tabs>
        <w:spacing w:line="360" w:lineRule="auto"/>
        <w:ind w:left="1530" w:right="49" w:hanging="36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 xml:space="preserve">El sujeto obligado en su respuesta señaló que </w:t>
      </w:r>
      <w:r>
        <w:rPr>
          <w:rFonts w:ascii="Palatino Linotype" w:eastAsia="Palatino Linotype" w:hAnsi="Palatino Linotype" w:cs="Palatino Linotype"/>
          <w:color w:val="000000"/>
        </w:rPr>
        <w:t>no era posible atender su solicitud favorablemente, en virtud de que se encontraba dentro del proceso de modificación de sus ordenamientos y disposiciones reglamentarias que norman sus funciones y se encontraban dentro de los noventa días para la realización de la entrega recepción de toda la documentación e información física y electrónica que correspondía al Consejo Estatal para la Cultura y las Artes de Puebla y que posteriormente el Órgano Garante del Estado de Puebla.</w:t>
      </w:r>
    </w:p>
    <w:p w:rsidR="000E1504" w:rsidRDefault="00724D85">
      <w:pPr>
        <w:numPr>
          <w:ilvl w:val="2"/>
          <w:numId w:val="15"/>
        </w:numPr>
        <w:pBdr>
          <w:top w:val="nil"/>
          <w:left w:val="nil"/>
          <w:bottom w:val="nil"/>
          <w:right w:val="nil"/>
          <w:between w:val="nil"/>
        </w:pBdr>
        <w:shd w:val="clear" w:color="auto" w:fill="FFFFFF"/>
        <w:tabs>
          <w:tab w:val="left" w:pos="0"/>
        </w:tabs>
        <w:spacing w:after="90" w:line="360" w:lineRule="auto"/>
        <w:ind w:left="1530" w:right="49" w:hanging="36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 xml:space="preserve">El Órgano Garante del Estado de Puebla resuelve el recurso de revisión en el sentido de desechar el mismo en virtud de que no se </w:t>
      </w:r>
      <w:r>
        <w:rPr>
          <w:rFonts w:ascii="Palatino Linotype" w:eastAsia="Palatino Linotype" w:hAnsi="Palatino Linotype" w:cs="Palatino Linotype"/>
          <w:color w:val="000000"/>
          <w:highlight w:val="white"/>
        </w:rPr>
        <w:lastRenderedPageBreak/>
        <w:t>actualiza la hipótesis de negativa de la información por parte del Sujeto Obligado.</w:t>
      </w:r>
    </w:p>
    <w:p w:rsidR="000E1504" w:rsidRDefault="000E1504">
      <w:pPr>
        <w:pBdr>
          <w:top w:val="nil"/>
          <w:left w:val="nil"/>
          <w:bottom w:val="nil"/>
          <w:right w:val="nil"/>
          <w:between w:val="nil"/>
        </w:pBdr>
        <w:shd w:val="clear" w:color="auto" w:fill="FFFFFF"/>
        <w:tabs>
          <w:tab w:val="left" w:pos="0"/>
        </w:tabs>
        <w:spacing w:before="90" w:after="150" w:line="360" w:lineRule="auto"/>
        <w:ind w:left="1530" w:right="49"/>
        <w:jc w:val="both"/>
        <w:rPr>
          <w:rFonts w:ascii="Palatino Linotype" w:eastAsia="Palatino Linotype" w:hAnsi="Palatino Linotype" w:cs="Palatino Linotype"/>
          <w:color w:val="000000"/>
          <w:highlight w:val="white"/>
        </w:rPr>
      </w:pPr>
    </w:p>
    <w:p w:rsidR="000E1504" w:rsidRDefault="00724D85">
      <w:pPr>
        <w:numPr>
          <w:ilvl w:val="0"/>
          <w:numId w:val="14"/>
        </w:numPr>
        <w:pBdr>
          <w:top w:val="nil"/>
          <w:left w:val="nil"/>
          <w:bottom w:val="nil"/>
          <w:right w:val="nil"/>
          <w:between w:val="nil"/>
        </w:pBdr>
        <w:shd w:val="clear" w:color="auto" w:fill="FFFFFF"/>
        <w:tabs>
          <w:tab w:val="left" w:pos="0"/>
        </w:tabs>
        <w:spacing w:before="150" w:after="90" w:line="360" w:lineRule="auto"/>
        <w:ind w:right="49"/>
        <w:jc w:val="both"/>
        <w:rPr>
          <w:b/>
          <w:color w:val="000000"/>
          <w:highlight w:val="white"/>
        </w:rPr>
      </w:pPr>
      <w:r>
        <w:rPr>
          <w:rFonts w:ascii="Palatino Linotype" w:eastAsia="Palatino Linotype" w:hAnsi="Palatino Linotype" w:cs="Palatino Linotype"/>
          <w:b/>
          <w:color w:val="000000"/>
          <w:highlight w:val="white"/>
        </w:rPr>
        <w:t>Recurso de Inconformidad 185/21:</w:t>
      </w:r>
    </w:p>
    <w:p w:rsidR="000E1504" w:rsidRDefault="00724D85">
      <w:pPr>
        <w:pBdr>
          <w:top w:val="nil"/>
          <w:left w:val="nil"/>
          <w:bottom w:val="nil"/>
          <w:right w:val="nil"/>
          <w:between w:val="nil"/>
        </w:pBdr>
        <w:shd w:val="clear" w:color="auto" w:fill="FFFFFF"/>
        <w:tabs>
          <w:tab w:val="left" w:pos="0"/>
        </w:tabs>
        <w:spacing w:before="90" w:after="150" w:line="360" w:lineRule="auto"/>
        <w:ind w:left="708" w:right="49"/>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a) El sujeto obligado</w:t>
      </w:r>
      <w:r>
        <w:rPr>
          <w:rFonts w:ascii="Palatino Linotype" w:eastAsia="Palatino Linotype" w:hAnsi="Palatino Linotype" w:cs="Palatino Linotype"/>
          <w:color w:val="000000"/>
        </w:rPr>
        <w:t xml:space="preserve"> al dar contestación a la solicitud de acceso a información pública, realizó un cambio de modalidad de entrega de la información por verse rebasado técnica, administrativa y humanamente derivado de las múltiples solicitudes de información y recursos de revisión de las que está siendo objeto, sin conculcar el derecho de acceso a la información pública de la solicitante.</w:t>
      </w:r>
    </w:p>
    <w:p w:rsidR="000E1504" w:rsidRDefault="00724D85">
      <w:pPr>
        <w:pBdr>
          <w:top w:val="nil"/>
          <w:left w:val="nil"/>
          <w:bottom w:val="nil"/>
          <w:right w:val="nil"/>
          <w:between w:val="nil"/>
        </w:pBdr>
        <w:shd w:val="clear" w:color="auto" w:fill="FFFFFF"/>
        <w:tabs>
          <w:tab w:val="left" w:pos="0"/>
        </w:tabs>
        <w:spacing w:before="240" w:after="150" w:line="360" w:lineRule="auto"/>
        <w:ind w:left="708" w:right="49"/>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 xml:space="preserve">b) Este órgano Garante en su resolución confirmo el cambio de modalidad del Sujeto Obligado, misma que fue </w:t>
      </w:r>
      <w:r>
        <w:rPr>
          <w:rFonts w:ascii="Palatino Linotype" w:eastAsia="Palatino Linotype" w:hAnsi="Palatino Linotype" w:cs="Palatino Linotype"/>
          <w:color w:val="000000"/>
        </w:rPr>
        <w:t>emitida dentro del plazo previsto para ello, establecido en los artículos 181, párrafo tercero, y 185, fracción VIII de la Ley de Transparencia y Acceso a la Información Pública del Estado de México y Municipios.</w:t>
      </w:r>
    </w:p>
    <w:p w:rsidR="000E1504" w:rsidRDefault="00724D85">
      <w:pPr>
        <w:numPr>
          <w:ilvl w:val="0"/>
          <w:numId w:val="15"/>
        </w:numPr>
        <w:pBdr>
          <w:top w:val="nil"/>
          <w:left w:val="nil"/>
          <w:bottom w:val="nil"/>
          <w:right w:val="nil"/>
          <w:between w:val="nil"/>
        </w:pBdr>
        <w:shd w:val="clear" w:color="auto" w:fill="FFFFFF"/>
        <w:tabs>
          <w:tab w:val="left" w:pos="0"/>
        </w:tabs>
        <w:spacing w:before="150" w:after="90"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Por lo que, en el caso que nos ocupa no se advierte que exista un rechazo explícito o implícito que implique una negativa de información, en virtud de que el sujeto obligado en ningún momento limitó o restringió el derecho de acceso a la información pública del particular, sino que en virtud de </w:t>
      </w:r>
      <w:r>
        <w:rPr>
          <w:rFonts w:ascii="Palatino Linotype" w:eastAsia="Palatino Linotype" w:hAnsi="Palatino Linotype" w:cs="Palatino Linotype"/>
          <w:color w:val="000000"/>
        </w:rPr>
        <w:t xml:space="preserve">del número de solicitudes de información y recursos de revisión interpuestos en un mismo lapso temporal, sobrepasó sus capacidades técnicas, administrativas y humanas, con las consecuencias que ello implica, como es la falta de eficiencia organizacional para </w:t>
      </w:r>
      <w:r>
        <w:rPr>
          <w:rFonts w:ascii="Palatino Linotype" w:eastAsia="Palatino Linotype" w:hAnsi="Palatino Linotype" w:cs="Palatino Linotype"/>
          <w:color w:val="000000"/>
        </w:rPr>
        <w:lastRenderedPageBreak/>
        <w:t>efectuar sus funciones esenciales, realizó un cambio de modalidad de la entrega de la información solicitada.</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after="90" w:line="360" w:lineRule="auto"/>
        <w:ind w:left="0" w:right="49" w:firstLine="0"/>
        <w:jc w:val="both"/>
      </w:pPr>
      <w:r>
        <w:rPr>
          <w:rFonts w:ascii="Palatino Linotype" w:eastAsia="Palatino Linotype" w:hAnsi="Palatino Linotype" w:cs="Palatino Linotype"/>
          <w:color w:val="000000"/>
        </w:rPr>
        <w:t>En este sentido, este Órgano Garante en su resolución determinó procedente poner a disposición de la solicitante la información solicitada en consulta directa, con la intención legítima de no lesionar el derecho humano, con base en los dispuesto por los artículos 158 y 164 de la Ley de Transparencia y Acceso a la Información Pública del Estado de México y Municipios, lo cual tampoco implica una negativa a una solicitud de acceso a la información, expresa o implícita.</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Ahora bien, el Órgano Garante Nacional señala que una vez precisado lo resuelto por la  Segunda Sala de la Suprema Corte de Justicia de la Nación al resolver el Amparo en Revisión 654/18, en el caso que nos ocupa, la parte recurrente impugnó la resolución emitida por este Instituto, en la que se confirmó la respuesta del sujeto obligado a la solicitud de información y en la que se concluyó que, el Ayuntamiento de Ixtapan de la Sal sí justificó el cambio de modalidad; a lo cual el recurrente manifestó que no se encontraba debidamente fundada, ni motivada para validarse el cambio de modalidad, ni se cumplió con el procedimiento de atención a las solicitudes de información; de tal forma que la inconformidad del recurrente se traduce en una negativa de acceso a la información y que por ende, la resolución impugnada y los efectos del mismo, sí configuran una causal de procedencia para que este Instituto resuelva de fondo el recurso de inconformidad que nos ocupa.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lastRenderedPageBreak/>
        <w:t xml:space="preserve">Resulta necesario destacar que el criterio adoptado por la Segunda Sala de la Suprema Corte de Justicia de la Nación al resolver el Amparo en Revisión 654/18 que el Órgano Garante Nacional refiere en su resolución señala que son susceptibles de combatirse a través de recurso de inconformidad </w:t>
      </w:r>
      <w:r>
        <w:rPr>
          <w:rFonts w:ascii="Palatino Linotype" w:eastAsia="Palatino Linotype" w:hAnsi="Palatino Linotype" w:cs="Palatino Linotype"/>
          <w:color w:val="000000"/>
        </w:rPr>
        <w:t xml:space="preserve">previsto por la Ley General de la materia, </w:t>
      </w:r>
      <w:r>
        <w:rPr>
          <w:rFonts w:ascii="Palatino Linotype" w:eastAsia="Palatino Linotype" w:hAnsi="Palatino Linotype" w:cs="Palatino Linotype"/>
          <w:color w:val="000000"/>
          <w:highlight w:val="white"/>
        </w:rPr>
        <w:t xml:space="preserve">las </w:t>
      </w:r>
      <w:r>
        <w:rPr>
          <w:rFonts w:ascii="Palatino Linotype" w:eastAsia="Palatino Linotype" w:hAnsi="Palatino Linotype" w:cs="Palatino Linotype"/>
          <w:color w:val="000000"/>
        </w:rPr>
        <w:t xml:space="preserve">resoluciones que con independencia de que la negativa no haya sido expresamente manifestada al contestar la solicitud de acceso a la información o al resolver el recurso de revisión correspondiente, que: </w:t>
      </w:r>
    </w:p>
    <w:p w:rsidR="000E1504" w:rsidRDefault="00724D85">
      <w:pPr>
        <w:numPr>
          <w:ilvl w:val="2"/>
          <w:numId w:val="15"/>
        </w:numPr>
        <w:pBdr>
          <w:top w:val="nil"/>
          <w:left w:val="nil"/>
          <w:bottom w:val="nil"/>
          <w:right w:val="nil"/>
          <w:between w:val="nil"/>
        </w:pBdr>
        <w:shd w:val="clear" w:color="auto" w:fill="FFFFFF"/>
        <w:tabs>
          <w:tab w:val="left" w:pos="0"/>
        </w:tabs>
        <w:spacing w:line="360" w:lineRule="auto"/>
        <w:ind w:left="1170" w:right="49" w:hanging="36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rPr>
        <w:t>Impliquen un rechazo para acceder a la información; o,</w:t>
      </w:r>
    </w:p>
    <w:p w:rsidR="000E1504" w:rsidRDefault="00724D85">
      <w:pPr>
        <w:numPr>
          <w:ilvl w:val="2"/>
          <w:numId w:val="15"/>
        </w:numPr>
        <w:pBdr>
          <w:top w:val="nil"/>
          <w:left w:val="nil"/>
          <w:bottom w:val="nil"/>
          <w:right w:val="nil"/>
          <w:between w:val="nil"/>
        </w:pBdr>
        <w:shd w:val="clear" w:color="auto" w:fill="FFFFFF"/>
        <w:tabs>
          <w:tab w:val="left" w:pos="0"/>
        </w:tabs>
        <w:spacing w:line="360" w:lineRule="auto"/>
        <w:ind w:left="1170" w:right="49" w:hanging="36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rPr>
        <w:t xml:space="preserve">Invoquen un impedimento para acceder a la información solicitada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Ahora bien, el Órgano Garante Nacional refiere que toda vez que el recurrente manifestó que no se encontraba debidamente fundada, ni motivada para validarse el cambio de modalidad, ni se cumplió con el procedimiento de atención a las solicitudes de información; la inconformidad del recurrente se traduce en una negativa de acceso a la información y que por ende, la resolución impugnada y los efectos del mismo, sí configuran una causal de procedencia para que este Instituto resuelva de fondo el recurso de inconformidad.</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after="90"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De ser este el criterio adoptado, se estaría en el absurdo de que cualquier inconformidad que haga valer el recurrente se entenderá como negativa de información, por lo que absolutamente todas las inconformidades en contra de las resoluciones de los órganos garantes  locales serían materia de impugnación a través del recurso de inconformidad, dejándose de observar lo establecido en el artículo </w:t>
      </w:r>
      <w:r>
        <w:rPr>
          <w:rFonts w:ascii="Palatino Linotype" w:eastAsia="Palatino Linotype" w:hAnsi="Palatino Linotype" w:cs="Palatino Linotype"/>
          <w:color w:val="000000"/>
          <w:highlight w:val="white"/>
        </w:rPr>
        <w:lastRenderedPageBreak/>
        <w:t>160 de la Ley General de Transparencia y Acceso a la Información Pública que establece las causales de procedencia.</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Siguiendo el criterio de la Segunda Sala de la Suprema Corte de Justicia de la Nación, citado por el Órgano Garante Nacional en la resolución que nos ocupa, se advierte que el supuesto de negativa de información </w:t>
      </w:r>
      <w:r>
        <w:rPr>
          <w:rFonts w:ascii="Palatino Linotype" w:eastAsia="Palatino Linotype" w:hAnsi="Palatino Linotype" w:cs="Palatino Linotype"/>
          <w:color w:val="000000"/>
        </w:rPr>
        <w:t xml:space="preserve">comprende a </w:t>
      </w:r>
      <w:r>
        <w:rPr>
          <w:rFonts w:ascii="Palatino Linotype" w:eastAsia="Palatino Linotype" w:hAnsi="Palatino Linotype" w:cs="Palatino Linotype"/>
          <w:b/>
          <w:color w:val="000000"/>
        </w:rPr>
        <w:t>todas aquellas resoluciones que (1) expresamente niegan la solicitud y (2) aquellas que implícitamente constituyen un rechazo,</w:t>
      </w:r>
      <w:r>
        <w:rPr>
          <w:rFonts w:ascii="Palatino Linotype" w:eastAsia="Palatino Linotype" w:hAnsi="Palatino Linotype" w:cs="Palatino Linotype"/>
          <w:color w:val="000000"/>
        </w:rPr>
        <w:t xml:space="preserve"> supuestos que encuadran en la referida hipótesis jurídica de procedibilidad del recurso de inconformidad; sin embargo, en el caso que nos ocupa, el Órgano Garante Nacional en su resolución no acredita fehacientemente que la resolución emitida por este Instituto se ubique en alguno de los dos supuestos de procedibilidad, limitándose a señalar que el recurrente como inconformidad manifestó que no se encontraba debidamente fundada, ni motivada para validarse el cambio de modalidad, ni se cumplió con el procedimiento de atención a las solicitudes de información; se traducía en una negativa de acceso a la información</w:t>
      </w:r>
      <w:r>
        <w:rPr>
          <w:rFonts w:ascii="Palatino Linotype" w:eastAsia="Palatino Linotype" w:hAnsi="Palatino Linotype" w:cs="Palatino Linotype"/>
          <w:color w:val="000000"/>
          <w:highlight w:val="white"/>
        </w:rPr>
        <w:t>.</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Aunado a lo anterior, es de señalar que el criterio adoptado por Segunda Sala de la Suprema Corte de Justicia de la Nación al resolver el Amparo en Revisión 654/18, lo que hace es replantear la definición del concepto de negativa, solo que en el presente caso, el argumento empleado para sustentar esa definición es que podría calificarse como el argumento de autoridad ya que se hace alusión a lo resuelto en el amparo en revisión citado, por lo que únicamente constituye un criterio orientador pues aún no cumple con el principio de reiteración suficiente, por lo que </w:t>
      </w:r>
      <w:r>
        <w:rPr>
          <w:rFonts w:ascii="Palatino Linotype" w:eastAsia="Palatino Linotype" w:hAnsi="Palatino Linotype" w:cs="Palatino Linotype"/>
          <w:color w:val="000000"/>
          <w:highlight w:val="white"/>
        </w:rPr>
        <w:lastRenderedPageBreak/>
        <w:t>la resolución carece del razonamiento que justificará por qué se consideraba oportuno adoptar el multicitado criterio, lo que podía calificarse como una deficiencia en la argumentación.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2"/>
          <w:numId w:val="1"/>
        </w:numPr>
        <w:pBdr>
          <w:top w:val="nil"/>
          <w:left w:val="nil"/>
          <w:bottom w:val="nil"/>
          <w:right w:val="nil"/>
          <w:between w:val="nil"/>
        </w:pBdr>
        <w:spacing w:line="360" w:lineRule="auto"/>
        <w:ind w:left="360" w:right="49"/>
        <w:jc w:val="both"/>
        <w:rPr>
          <w:b/>
        </w:rPr>
      </w:pPr>
      <w:r>
        <w:rPr>
          <w:rFonts w:ascii="Palatino Linotype" w:eastAsia="Palatino Linotype" w:hAnsi="Palatino Linotype" w:cs="Palatino Linotype"/>
          <w:b/>
          <w:color w:val="000000"/>
        </w:rPr>
        <w:t>Efectos relativos de las sentencias de amparo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Al respecto, la Segunda Sala de la Suprema Corte de Justicia de la Nación emitió el siguiente criterio: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spacing w:line="276" w:lineRule="auto"/>
        <w:ind w:left="810" w:right="47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Pr>
          <w:rFonts w:ascii="Palatino Linotype" w:eastAsia="Palatino Linotype" w:hAnsi="Palatino Linotype" w:cs="Palatino Linotype"/>
          <w:i/>
          <w:sz w:val="22"/>
          <w:szCs w:val="22"/>
        </w:rPr>
        <w:t xml:space="preserve">Los órganos del Poder Judicial de la Federación cuando ejercen control de constitucionalidad, no están constreñidos a guardar deferencia respecto a las interpretaciones del Instituto Nacional de </w:t>
      </w:r>
      <w:r>
        <w:rPr>
          <w:rFonts w:ascii="Palatino Linotype" w:eastAsia="Palatino Linotype" w:hAnsi="Palatino Linotype" w:cs="Palatino Linotype"/>
          <w:i/>
          <w:sz w:val="22"/>
          <w:szCs w:val="22"/>
        </w:rPr>
        <w:lastRenderedPageBreak/>
        <w:t xml:space="preserve">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0E1504" w:rsidRDefault="000E1504">
      <w:pPr>
        <w:spacing w:line="276" w:lineRule="auto"/>
        <w:ind w:left="810" w:right="474"/>
        <w:jc w:val="both"/>
        <w:rPr>
          <w:rFonts w:ascii="Palatino Linotype" w:eastAsia="Palatino Linotype" w:hAnsi="Palatino Linotype" w:cs="Palatino Linotype"/>
          <w:i/>
          <w:sz w:val="22"/>
          <w:szCs w:val="22"/>
        </w:rPr>
      </w:pPr>
    </w:p>
    <w:p w:rsidR="000E1504" w:rsidRDefault="00724D85">
      <w:pPr>
        <w:spacing w:line="276" w:lineRule="auto"/>
        <w:ind w:left="810"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0E1504" w:rsidRDefault="00724D85">
      <w:pPr>
        <w:spacing w:line="276" w:lineRule="auto"/>
        <w:ind w:left="810"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Esta tesis se publicó el viernes 13 de mayo de 2016 a las 10:13 horas en el Semanario Judicial de la Federación.</w:t>
      </w:r>
      <w:r>
        <w:rPr>
          <w:rFonts w:ascii="Palatino Linotype" w:eastAsia="Palatino Linotype" w:hAnsi="Palatino Linotype" w:cs="Palatino Linotype"/>
          <w:i/>
          <w:sz w:val="22"/>
          <w:szCs w:val="22"/>
          <w:vertAlign w:val="superscript"/>
        </w:rPr>
        <w:footnoteReference w:id="12"/>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w:t>
      </w:r>
      <w:r>
        <w:rPr>
          <w:rFonts w:ascii="Palatino Linotype" w:eastAsia="Palatino Linotype" w:hAnsi="Palatino Linotype" w:cs="Palatino Linotype"/>
          <w:color w:val="000000"/>
        </w:rPr>
        <w:lastRenderedPageBreak/>
        <w:t xml:space="preserve">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la información y protección de datos personales, simplemente implica el pleno ejercicio de la facultada de efectuar el control de constitucionalidad de normas generales, actos u omisiones  de una autoridad del Estado de Mexicano. </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Lo anterior es así, pues vale la pena recordar que conforme al principio de relatividad de los efectos de las sentencias de amparo, base constitucional establecida en la fracción II del artículo 107  de la Constitución Política de los </w:t>
      </w:r>
      <w:r>
        <w:rPr>
          <w:rFonts w:ascii="Palatino Linotype" w:eastAsia="Palatino Linotype" w:hAnsi="Palatino Linotype" w:cs="Palatino Linotype"/>
          <w:color w:val="000000"/>
        </w:rPr>
        <w:lastRenderedPageBreak/>
        <w:t>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demás, aunque se encuentren en un caso perfectamente igual no pueden alegar como ejecutoria el fallo pronunciado para resistir el cumplimiento de la ley o acto que lo motivó.</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Es por ello que a pesar de que en determinada sentencia de amparo se haya declarado la inconstitucionalidad de una ley, ésta no desaparece, el Poder Legislativo no las deroga ni las abroga, no obstante, se hayan dictado diversas ejecutorias de la Suprema Corte de Justicia o incluso formado jurisprudencia, la ley se continúa aplicando. Ello es así, pues las sentencias de amparo tienen efectos limitados, pues se circunscriben a proteger al amparista en el caso especial sobre el que verse la queja, pues no es jurídicamente viable que se haga una declaración general.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 xml:space="preserve">Lo anterior, en virtud de que los órganos de Estado definen sus alcances bajo la tutela del principio de legalidad consagrado en la Constitución por el cual deben </w:t>
      </w:r>
      <w:r>
        <w:rPr>
          <w:rFonts w:ascii="Palatino Linotype" w:eastAsia="Palatino Linotype" w:hAnsi="Palatino Linotype" w:cs="Palatino Linotype"/>
          <w:color w:val="000000"/>
          <w:highlight w:val="white"/>
        </w:rPr>
        <w:lastRenderedPageBreak/>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juzgador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Es preciso mencionar que el criterio de la Segunda Sala de la Suprema Corte de Justicia de la Nación, al resolver el Amparo en Revisión 654/18</w:t>
      </w:r>
      <w:r>
        <w:rPr>
          <w:rFonts w:ascii="Palatino Linotype" w:eastAsia="Palatino Linotype" w:hAnsi="Palatino Linotype" w:cs="Palatino Linotype"/>
          <w:color w:val="000000"/>
          <w:highlight w:val="white"/>
        </w:rPr>
        <w:t xml:space="preserve"> </w:t>
      </w:r>
      <w:r>
        <w:rPr>
          <w:rFonts w:ascii="Palatino Linotype" w:eastAsia="Palatino Linotype" w:hAnsi="Palatino Linotype" w:cs="Palatino Linotype"/>
          <w:color w:val="000000"/>
        </w:rPr>
        <w:t xml:space="preserve">con el cual el Órgano Garante Nacional pretende justificar la procedencia del recurso de inconformidad en supuestos distintos a los establecidos por la Ley General de Transparencia y Acceso a la Información Pública, por su propia naturaleza y como bien lo señala en su resolución no constituye un precedente, sino únicamente un referente, y no los efectos generales que pretende otorgarle y mucho menos el fundamento para establecer nuevas hipótesis de procedencia distintas a las </w:t>
      </w:r>
      <w:r>
        <w:rPr>
          <w:rFonts w:ascii="Palatino Linotype" w:eastAsia="Palatino Linotype" w:hAnsi="Palatino Linotype" w:cs="Palatino Linotype"/>
          <w:color w:val="000000"/>
        </w:rPr>
        <w:lastRenderedPageBreak/>
        <w:t>establecidas en la ley y con ello justificar la procedencia del recurso de inconformidad.</w:t>
      </w:r>
    </w:p>
    <w:p w:rsidR="000E1504" w:rsidRDefault="000E1504">
      <w:pPr>
        <w:pBdr>
          <w:top w:val="nil"/>
          <w:left w:val="nil"/>
          <w:bottom w:val="nil"/>
          <w:right w:val="nil"/>
          <w:between w:val="nil"/>
        </w:pBdr>
        <w:ind w:left="708"/>
        <w:rPr>
          <w:rFonts w:ascii="Palatino Linotype" w:eastAsia="Palatino Linotype" w:hAnsi="Palatino Linotype" w:cs="Palatino Linotype"/>
          <w:color w:val="212529"/>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De lo anterior, se advierte que,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Pr>
          <w:rFonts w:ascii="Palatino Linotype" w:eastAsia="Palatino Linotype" w:hAnsi="Palatino Linotype" w:cs="Palatino Linotype"/>
          <w:i/>
          <w:color w:val="000000"/>
        </w:rPr>
        <w:t>erga omnes.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Bajo este contexto, el INAI como órgano constitucionalmente autónomo se de conformidad con el artículo 105, fracción II, inciso h), de la Constitución Política de los Estados Unidos Mexicanos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que, en el presente caso, se ha cumplido a cabalidad por este Órgano Garante Local en la resolución impugnada mediante el recurso de inconformidad de mérito.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2"/>
          <w:numId w:val="1"/>
        </w:numPr>
        <w:pBdr>
          <w:top w:val="nil"/>
          <w:left w:val="nil"/>
          <w:bottom w:val="nil"/>
          <w:right w:val="nil"/>
          <w:between w:val="nil"/>
        </w:pBdr>
        <w:spacing w:line="360" w:lineRule="auto"/>
        <w:ind w:left="360" w:right="49"/>
        <w:jc w:val="both"/>
        <w:rPr>
          <w:b/>
        </w:rPr>
      </w:pPr>
      <w:r>
        <w:rPr>
          <w:rFonts w:ascii="Palatino Linotype" w:eastAsia="Palatino Linotype" w:hAnsi="Palatino Linotype" w:cs="Palatino Linotype"/>
          <w:b/>
          <w:color w:val="000000"/>
        </w:rPr>
        <w:t xml:space="preserve">Sentencias de amparo no constituyen criterios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pPr>
      <w:r>
        <w:rPr>
          <w:rFonts w:ascii="Palatino Linotype" w:eastAsia="Palatino Linotype" w:hAnsi="Palatino Linotype" w:cs="Palatino Linotype"/>
          <w:color w:val="000000"/>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pPr>
      <w:r>
        <w:rPr>
          <w:rFonts w:ascii="Palatino Linotype" w:eastAsia="Palatino Linotype" w:hAnsi="Palatino Linotype" w:cs="Palatino Linotype"/>
          <w:color w:val="000000"/>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En esa virtud, la Ley de Amparo señala los términos de la obligatoriedad de la jurisprudencia en los siguientes términos: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2"/>
        </w:numPr>
        <w:pBdr>
          <w:top w:val="nil"/>
          <w:left w:val="nil"/>
          <w:bottom w:val="nil"/>
          <w:right w:val="nil"/>
          <w:between w:val="nil"/>
        </w:pBdr>
        <w:shd w:val="clear" w:color="auto" w:fill="FFFFFF"/>
        <w:tabs>
          <w:tab w:val="left" w:pos="0"/>
        </w:tabs>
        <w:spacing w:line="360" w:lineRule="auto"/>
        <w:ind w:right="49"/>
        <w:jc w:val="both"/>
        <w:rPr>
          <w:color w:val="000000"/>
        </w:rPr>
      </w:pPr>
      <w:r>
        <w:rPr>
          <w:rFonts w:ascii="Palatino Linotype" w:eastAsia="Palatino Linotype" w:hAnsi="Palatino Linotype" w:cs="Palatino Linotype"/>
          <w:color w:val="000000"/>
        </w:rPr>
        <w:t xml:space="preserve">La jurisprudencia se establece por la Suprema Corte de Justicia de la Nación, funcionando en pleno o en salas, por los Plenos de Circuito o por los tribunales colegiados de circuito, según corresponda. </w:t>
      </w:r>
    </w:p>
    <w:p w:rsidR="000E1504" w:rsidRDefault="00724D85">
      <w:pPr>
        <w:numPr>
          <w:ilvl w:val="0"/>
          <w:numId w:val="2"/>
        </w:numPr>
        <w:pBdr>
          <w:top w:val="nil"/>
          <w:left w:val="nil"/>
          <w:bottom w:val="nil"/>
          <w:right w:val="nil"/>
          <w:between w:val="nil"/>
        </w:pBdr>
        <w:shd w:val="clear" w:color="auto" w:fill="FFFFFF"/>
        <w:tabs>
          <w:tab w:val="left" w:pos="0"/>
        </w:tabs>
        <w:spacing w:line="360" w:lineRule="auto"/>
        <w:ind w:right="49"/>
        <w:jc w:val="both"/>
        <w:rPr>
          <w:color w:val="000000"/>
        </w:rPr>
      </w:pPr>
      <w:r>
        <w:rPr>
          <w:rFonts w:ascii="Palatino Linotype" w:eastAsia="Palatino Linotype" w:hAnsi="Palatino Linotype" w:cs="Palatino Linotype"/>
          <w:color w:val="000000"/>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w:t>
      </w:r>
      <w:r>
        <w:rPr>
          <w:rFonts w:ascii="Palatino Linotype" w:eastAsia="Palatino Linotype" w:hAnsi="Palatino Linotype" w:cs="Palatino Linotype"/>
          <w:color w:val="000000"/>
        </w:rPr>
        <w:lastRenderedPageBreak/>
        <w:t xml:space="preserve">militares y judiciales del orden común de los Estados y de la Ciudad de México, y tribunales administrativos y del trabajo, locales o federales. </w:t>
      </w:r>
    </w:p>
    <w:p w:rsidR="000E1504" w:rsidRDefault="00724D85">
      <w:pPr>
        <w:numPr>
          <w:ilvl w:val="0"/>
          <w:numId w:val="2"/>
        </w:numPr>
        <w:pBdr>
          <w:top w:val="nil"/>
          <w:left w:val="nil"/>
          <w:bottom w:val="nil"/>
          <w:right w:val="nil"/>
          <w:between w:val="nil"/>
        </w:pBdr>
        <w:shd w:val="clear" w:color="auto" w:fill="FFFFFF"/>
        <w:tabs>
          <w:tab w:val="left" w:pos="0"/>
        </w:tabs>
        <w:spacing w:line="360" w:lineRule="auto"/>
        <w:ind w:right="49"/>
        <w:jc w:val="both"/>
        <w:rPr>
          <w:color w:val="000000"/>
        </w:rPr>
      </w:pPr>
      <w:r>
        <w:rPr>
          <w:rFonts w:ascii="Palatino Linotype" w:eastAsia="Palatino Linotype" w:hAnsi="Palatino Linotype" w:cs="Palatino Linotype"/>
          <w:color w:val="000000"/>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0E1504" w:rsidRDefault="00724D85">
      <w:pPr>
        <w:numPr>
          <w:ilvl w:val="0"/>
          <w:numId w:val="2"/>
        </w:numPr>
        <w:pBdr>
          <w:top w:val="nil"/>
          <w:left w:val="nil"/>
          <w:bottom w:val="nil"/>
          <w:right w:val="nil"/>
          <w:between w:val="nil"/>
        </w:pBdr>
        <w:shd w:val="clear" w:color="auto" w:fill="FFFFFF"/>
        <w:tabs>
          <w:tab w:val="left" w:pos="0"/>
        </w:tabs>
        <w:spacing w:line="360" w:lineRule="auto"/>
        <w:ind w:right="49"/>
        <w:jc w:val="both"/>
        <w:rPr>
          <w:color w:val="000000"/>
        </w:rPr>
      </w:pPr>
      <w:r>
        <w:rPr>
          <w:rFonts w:ascii="Palatino Linotype" w:eastAsia="Palatino Linotype" w:hAnsi="Palatino Linotype" w:cs="Palatino Linotype"/>
          <w:color w:val="000000"/>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pPr>
      <w:r>
        <w:rPr>
          <w:rFonts w:ascii="Palatino Linotype" w:eastAsia="Palatino Linotype" w:hAnsi="Palatino Linotype" w:cs="Palatino Linotype"/>
          <w:color w:val="000000"/>
        </w:rPr>
        <w:t>Derivado de lo anterior, la jurisprudencia goza del estatus de obligatoriedad para quienes juzgan, por tanto, respecto de las autoridades administrativas, éstas no están obligadas a aplicar la jurisprudencia, sirve de sustento la siguiente jurisprudencia emitida por la Segunda Sala de la SCJN:</w:t>
      </w:r>
    </w:p>
    <w:p w:rsidR="000E1504" w:rsidRDefault="000E1504">
      <w:pPr>
        <w:pBdr>
          <w:top w:val="nil"/>
          <w:left w:val="nil"/>
          <w:bottom w:val="nil"/>
          <w:right w:val="nil"/>
          <w:between w:val="nil"/>
        </w:pBdr>
        <w:shd w:val="clear" w:color="auto" w:fill="FFFFFF"/>
        <w:tabs>
          <w:tab w:val="left" w:pos="0"/>
        </w:tabs>
        <w:spacing w:before="90" w:after="150" w:line="360" w:lineRule="auto"/>
        <w:ind w:left="1080" w:right="49"/>
        <w:jc w:val="both"/>
        <w:rPr>
          <w:rFonts w:ascii="Palatino Linotype" w:eastAsia="Palatino Linotype" w:hAnsi="Palatino Linotype" w:cs="Palatino Linotype"/>
          <w:i/>
          <w:color w:val="000000"/>
        </w:rPr>
      </w:pPr>
    </w:p>
    <w:p w:rsidR="000E1504" w:rsidRDefault="00724D85">
      <w:pPr>
        <w:ind w:left="567" w:right="333"/>
        <w:jc w:val="both"/>
        <w:rPr>
          <w:rFonts w:ascii="Palatino Linotype" w:eastAsia="Palatino Linotype" w:hAnsi="Palatino Linotype" w:cs="Palatino Linotype"/>
          <w:i/>
        </w:rPr>
      </w:pPr>
      <w:r>
        <w:rPr>
          <w:rFonts w:ascii="Palatino Linotype" w:eastAsia="Palatino Linotype" w:hAnsi="Palatino Linotype" w:cs="Palatino Linotype"/>
          <w:b/>
          <w:i/>
        </w:rPr>
        <w:t>JURISPRUDENCIA SOBRE INCONSTITUCIONALI DAD DE LEYES. LAS AUTORIDADES ADMINISTRATIVAS NO ESTÁN OBLIGADAS A APLICARLA AL CUMPLIR CON LA GARANTÍA DE FUNDAR Y MOTIVAR SUS ACTOS.</w:t>
      </w:r>
      <w:r>
        <w:rPr>
          <w:rFonts w:ascii="Palatino Linotype" w:eastAsia="Palatino Linotype" w:hAnsi="Palatino Linotype" w:cs="Palatino Linotype"/>
          <w:i/>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w:t>
      </w:r>
      <w:r>
        <w:rPr>
          <w:rFonts w:ascii="Palatino Linotype" w:eastAsia="Palatino Linotype" w:hAnsi="Palatino Linotype" w:cs="Palatino Linotype"/>
          <w:i/>
        </w:rPr>
        <w:lastRenderedPageBreak/>
        <w:t xml:space="preserve">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0E1504" w:rsidRDefault="000E1504">
      <w:pPr>
        <w:ind w:left="567" w:right="333"/>
        <w:jc w:val="both"/>
        <w:rPr>
          <w:rFonts w:ascii="Palatino Linotype" w:eastAsia="Palatino Linotype" w:hAnsi="Palatino Linotype" w:cs="Palatino Linotype"/>
          <w:i/>
        </w:rPr>
      </w:pPr>
    </w:p>
    <w:p w:rsidR="000E1504" w:rsidRDefault="00724D85">
      <w:pPr>
        <w:ind w:left="567" w:right="333"/>
        <w:jc w:val="both"/>
        <w:rPr>
          <w:rFonts w:ascii="Palatino Linotype" w:eastAsia="Palatino Linotype" w:hAnsi="Palatino Linotype" w:cs="Palatino Linotype"/>
          <w:i/>
        </w:rPr>
      </w:pPr>
      <w:r>
        <w:rPr>
          <w:rFonts w:ascii="Palatino Linotype" w:eastAsia="Palatino Linotype" w:hAnsi="Palatino Linotype" w:cs="Palatino Linotype"/>
          <w:i/>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Pr>
          <w:rFonts w:ascii="Palatino Linotype" w:eastAsia="Palatino Linotype" w:hAnsi="Palatino Linotype" w:cs="Palatino Linotype"/>
          <w:i/>
          <w:vertAlign w:val="superscript"/>
        </w:rPr>
        <w:footnoteReference w:id="13"/>
      </w:r>
    </w:p>
    <w:p w:rsidR="000E1504" w:rsidRDefault="000E1504">
      <w:pPr>
        <w:spacing w:line="360" w:lineRule="auto"/>
        <w:jc w:val="both"/>
        <w:rPr>
          <w:rFonts w:ascii="Palatino Linotype" w:eastAsia="Palatino Linotype" w:hAnsi="Palatino Linotype" w:cs="Palatino Linotype"/>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240" w:line="360" w:lineRule="auto"/>
        <w:ind w:left="0" w:right="49" w:firstLine="0"/>
        <w:jc w:val="both"/>
      </w:pPr>
      <w:r>
        <w:rPr>
          <w:rFonts w:ascii="Palatino Linotype" w:eastAsia="Palatino Linotype" w:hAnsi="Palatino Linotype" w:cs="Palatino Linotype"/>
          <w:color w:val="000000"/>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w:t>
      </w:r>
      <w:r>
        <w:rPr>
          <w:rFonts w:ascii="Palatino Linotype" w:eastAsia="Palatino Linotype" w:hAnsi="Palatino Linotype" w:cs="Palatino Linotype"/>
          <w:color w:val="000000"/>
        </w:rPr>
        <w:lastRenderedPageBreak/>
        <w:t>pueden ser de naturaleza general cuando se trate del pleno, y especializados acorde al conocimiento de cada una de las salas.</w:t>
      </w: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pPr>
      <w:r>
        <w:rPr>
          <w:rFonts w:ascii="Palatino Linotype" w:eastAsia="Palatino Linotype" w:hAnsi="Palatino Linotype" w:cs="Palatino Linotype"/>
          <w:color w:val="000000"/>
        </w:rPr>
        <w:t xml:space="preserve">Ahora bien, conviene hacer la distinción entre </w:t>
      </w:r>
      <w:r>
        <w:rPr>
          <w:rFonts w:ascii="Palatino Linotype" w:eastAsia="Palatino Linotype" w:hAnsi="Palatino Linotype" w:cs="Palatino Linotype"/>
          <w:color w:val="000000"/>
          <w:highlight w:val="white"/>
        </w:rPr>
        <w:t xml:space="preserve">una Tesis aislada y una Tesis de Jurisprudencia, en tanto que la primera constituye aquellos criterios emitidos por un Tribunal Colegiado o por la Suprema Corte de Justicia de la Nación actuando en Pleno o en Salas, interpretando algún precepto legal pero que no ha alcanzado ser obligatoria; sin embargo, cumple una importante función de orientación para el juzgador; mientras que la Jurisprudencia es la interpretación de la ley, de observancia obligatoria, que emana de las ejecutorias que pronuncia la Suprema Corte de Justicia de la Nación funcionando en Pleno o en Salas, y por los Tribunales Colegiados de Circuito. Corrobora lo anterior la siguiente Tesis Aislada: </w:t>
      </w:r>
    </w:p>
    <w:p w:rsidR="000E1504" w:rsidRDefault="000E1504">
      <w:pPr>
        <w:pBdr>
          <w:top w:val="nil"/>
          <w:left w:val="nil"/>
          <w:bottom w:val="nil"/>
          <w:right w:val="nil"/>
          <w:between w:val="nil"/>
        </w:pBdr>
        <w:shd w:val="clear" w:color="auto" w:fill="FFFFFF"/>
        <w:tabs>
          <w:tab w:val="left" w:pos="0"/>
        </w:tabs>
        <w:spacing w:before="90" w:after="150" w:line="276" w:lineRule="auto"/>
        <w:ind w:left="708" w:right="49"/>
        <w:jc w:val="both"/>
        <w:rPr>
          <w:rFonts w:ascii="Palatino Linotype" w:eastAsia="Palatino Linotype" w:hAnsi="Palatino Linotype" w:cs="Palatino Linotype"/>
          <w:i/>
          <w:color w:val="000000"/>
        </w:rPr>
      </w:pPr>
    </w:p>
    <w:p w:rsidR="000E1504" w:rsidRDefault="00724D85">
      <w:pPr>
        <w:pBdr>
          <w:top w:val="nil"/>
          <w:left w:val="nil"/>
          <w:bottom w:val="nil"/>
          <w:right w:val="nil"/>
          <w:between w:val="nil"/>
        </w:pBdr>
        <w:shd w:val="clear" w:color="auto" w:fill="FFFFFF"/>
        <w:tabs>
          <w:tab w:val="left" w:pos="0"/>
        </w:tabs>
        <w:spacing w:before="240" w:after="150"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JURISPRUDENCIA. CONCEPTO, CLASES Y FINES.</w:t>
      </w:r>
      <w:r>
        <w:rPr>
          <w:rFonts w:ascii="Palatino Linotype" w:eastAsia="Palatino Linotype" w:hAnsi="Palatino Linotype" w:cs="Palatino Linotype"/>
          <w:i/>
          <w:color w:val="000000"/>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w:t>
      </w:r>
      <w:r>
        <w:rPr>
          <w:rFonts w:ascii="Palatino Linotype" w:eastAsia="Palatino Linotype" w:hAnsi="Palatino Linotype" w:cs="Palatino Linotype"/>
          <w:i/>
          <w:color w:val="000000"/>
        </w:rPr>
        <w:lastRenderedPageBreak/>
        <w:t>interpretación de la ley, la jurisprudencia será válida mientras esté vigente la norma que interpreta.</w:t>
      </w:r>
    </w:p>
    <w:p w:rsidR="000E1504" w:rsidRDefault="00724D85">
      <w:pPr>
        <w:pBdr>
          <w:top w:val="nil"/>
          <w:left w:val="nil"/>
          <w:bottom w:val="nil"/>
          <w:right w:val="nil"/>
          <w:between w:val="nil"/>
        </w:pBdr>
        <w:shd w:val="clear" w:color="auto" w:fill="FFFFFF"/>
        <w:tabs>
          <w:tab w:val="left" w:pos="0"/>
        </w:tabs>
        <w:spacing w:before="240" w:after="150"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Amparo en revisión 299/2003. Funerales la Ascención, S.A. de C.V. 3 de julio de 2003. Unanimidad de votos. Ponente: F. Guillermo Baltazar Alvear. Secretario: Esteban Oviedo Rangel.</w:t>
      </w:r>
      <w:r>
        <w:rPr>
          <w:rFonts w:ascii="Palatino Linotype" w:eastAsia="Palatino Linotype" w:hAnsi="Palatino Linotype" w:cs="Palatino Linotype"/>
          <w:i/>
          <w:color w:val="000000"/>
          <w:vertAlign w:val="superscript"/>
        </w:rPr>
        <w:footnoteReference w:id="14"/>
      </w:r>
    </w:p>
    <w:p w:rsidR="000E1504" w:rsidRDefault="000E1504">
      <w:pPr>
        <w:pBdr>
          <w:top w:val="nil"/>
          <w:left w:val="nil"/>
          <w:bottom w:val="nil"/>
          <w:right w:val="nil"/>
          <w:between w:val="nil"/>
        </w:pBdr>
        <w:shd w:val="clear" w:color="auto" w:fill="FFFFFF"/>
        <w:tabs>
          <w:tab w:val="left" w:pos="0"/>
        </w:tabs>
        <w:spacing w:before="240" w:after="150" w:line="276" w:lineRule="auto"/>
        <w:ind w:left="708" w:right="49"/>
        <w:jc w:val="both"/>
        <w:rPr>
          <w:rFonts w:ascii="Palatino Linotype" w:eastAsia="Palatino Linotype" w:hAnsi="Palatino Linotype" w:cs="Palatino Linotype"/>
          <w:i/>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pPr>
      <w:r>
        <w:rPr>
          <w:rFonts w:ascii="Palatino Linotype" w:eastAsia="Palatino Linotype" w:hAnsi="Palatino Linotype" w:cs="Palatino Linotype"/>
          <w:color w:val="000000"/>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150" w:line="360" w:lineRule="auto"/>
        <w:ind w:left="0" w:right="49" w:firstLine="0"/>
        <w:jc w:val="both"/>
        <w:rPr>
          <w:highlight w:val="white"/>
        </w:rPr>
      </w:pPr>
      <w:r>
        <w:rPr>
          <w:rFonts w:ascii="Palatino Linotype" w:eastAsia="Palatino Linotype" w:hAnsi="Palatino Linotype" w:cs="Palatino Linotype"/>
          <w:color w:val="000000"/>
        </w:rPr>
        <w:t xml:space="preserve">Derivado de lo anterior, se concluye que los órganos garantes no están obligados a aplicar jurisprudencias o tesis aisladas, mucho menos a fundamentar sus resoluciones en  jurisprudencia o tesis aisladas, es decir, solo constituyen, en todo caso, criterios orientadores para la interpretación de las normas jurídicas; sin embargo, el INAI, trata de justificar su interpretación expansiva y probablemente desproporcionada de la norma en una sentencia de amparo 1703/2016 para reclamar </w:t>
      </w:r>
      <w:r>
        <w:rPr>
          <w:rFonts w:ascii="Palatino Linotype" w:eastAsia="Palatino Linotype" w:hAnsi="Palatino Linotype" w:cs="Palatino Linotype"/>
          <w:color w:val="000000"/>
        </w:rPr>
        <w:lastRenderedPageBreak/>
        <w:t xml:space="preserve">jurisdicción sobre cualquier supuesto que pudiera ser equivalente a una negativa de acceso a la información.  </w:t>
      </w:r>
    </w:p>
    <w:p w:rsidR="000E1504" w:rsidRDefault="00724D85">
      <w:pPr>
        <w:pStyle w:val="Ttulo1"/>
        <w:numPr>
          <w:ilvl w:val="0"/>
          <w:numId w:val="7"/>
        </w:numPr>
        <w:spacing w:line="259" w:lineRule="auto"/>
        <w:ind w:left="709"/>
        <w:rPr>
          <w:rFonts w:ascii="Palatino Linotype" w:eastAsia="Palatino Linotype" w:hAnsi="Palatino Linotype" w:cs="Palatino Linotype"/>
          <w:b/>
          <w:color w:val="000000"/>
          <w:sz w:val="24"/>
          <w:szCs w:val="24"/>
        </w:rPr>
      </w:pPr>
      <w:bookmarkStart w:id="15" w:name="_35nkun2" w:colFirst="0" w:colLast="0"/>
      <w:bookmarkEnd w:id="15"/>
      <w:r>
        <w:rPr>
          <w:rFonts w:ascii="Palatino Linotype" w:eastAsia="Palatino Linotype" w:hAnsi="Palatino Linotype" w:cs="Palatino Linotype"/>
          <w:b/>
          <w:color w:val="000000"/>
          <w:sz w:val="24"/>
          <w:szCs w:val="24"/>
        </w:rPr>
        <w:t>De los Derechos del solicitante de acceso a la información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Por un lado, en el artículo sexto constitucional se reconoce el derecho de las personas de acceder a la información en posesión de los sujetos obligados la que, por principio, es pública, salvo las restricciones 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highlight w:val="white"/>
        </w:rPr>
        <w:t>Respecto de los procedimientos para solicitar información, el artículo 124 de la Ley General de Transparencia y Acceso a la Información Pública, señala los requisitos para presentar una solicitud de información, señalando en la fracción V la modalidad en la que prefiere el particular para que se  le otorgue el acceso a la información, como a continuación se muestra: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bookmarkStart w:id="16" w:name="1ksv4uv" w:colFirst="0" w:colLast="0"/>
      <w:bookmarkEnd w:id="16"/>
      <w:r>
        <w:rPr>
          <w:rFonts w:ascii="Palatino Linotype" w:eastAsia="Palatino Linotype" w:hAnsi="Palatino Linotype" w:cs="Palatino Linotype"/>
          <w:b/>
          <w:i/>
          <w:color w:val="000000"/>
          <w:sz w:val="22"/>
          <w:szCs w:val="22"/>
        </w:rPr>
        <w:lastRenderedPageBreak/>
        <w:t xml:space="preserve">Artículo 124. </w:t>
      </w:r>
      <w:r>
        <w:rPr>
          <w:rFonts w:ascii="Palatino Linotype" w:eastAsia="Palatino Linotype" w:hAnsi="Palatino Linotype" w:cs="Palatino Linotype"/>
          <w:i/>
          <w:color w:val="000000"/>
          <w:sz w:val="22"/>
          <w:szCs w:val="22"/>
        </w:rPr>
        <w:t>Para presentar una solicitud no se podrán exigir mayores requisitos que los siguientes: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b/>
          <w:i/>
          <w:color w:val="000000"/>
          <w:sz w:val="22"/>
          <w:szCs w:val="22"/>
        </w:rPr>
        <w:tab/>
      </w:r>
      <w:r>
        <w:rPr>
          <w:rFonts w:ascii="Palatino Linotype" w:eastAsia="Palatino Linotype" w:hAnsi="Palatino Linotype" w:cs="Palatino Linotype"/>
          <w:i/>
          <w:color w:val="000000"/>
          <w:sz w:val="22"/>
          <w:szCs w:val="22"/>
        </w:rPr>
        <w:t>Nombre o, en su caso, los datos generales de su representante;</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II. </w:t>
      </w:r>
      <w:r>
        <w:rPr>
          <w:rFonts w:ascii="Palatino Linotype" w:eastAsia="Palatino Linotype" w:hAnsi="Palatino Linotype" w:cs="Palatino Linotype"/>
          <w:i/>
          <w:color w:val="000000"/>
          <w:sz w:val="22"/>
          <w:szCs w:val="22"/>
        </w:rPr>
        <w:t>Domicilio o medio para recibir notificaciones;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i/>
          <w:color w:val="000000"/>
          <w:sz w:val="22"/>
          <w:szCs w:val="22"/>
        </w:rPr>
        <w:t>La descripción de la información solicitada;</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Cualquier otro dato que facilite su búsqueda y eventual localización, y</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b/>
          <w:i/>
          <w:color w:val="000000"/>
          <w:sz w:val="22"/>
          <w:szCs w:val="22"/>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su caso, el solicitante señalará el formato accesible o la lengua indígena en la que se requiera la información de acuerdo a lo señalado en la presente Ley.</w:t>
      </w:r>
    </w:p>
    <w:p w:rsidR="000E1504" w:rsidRDefault="000E1504">
      <w:pPr>
        <w:pBdr>
          <w:top w:val="nil"/>
          <w:left w:val="nil"/>
          <w:bottom w:val="nil"/>
          <w:right w:val="nil"/>
          <w:between w:val="nil"/>
        </w:pBdr>
        <w:spacing w:line="276" w:lineRule="auto"/>
        <w:ind w:left="502"/>
        <w:jc w:val="both"/>
        <w:rPr>
          <w:rFonts w:ascii="Palatino Linotype" w:eastAsia="Palatino Linotype" w:hAnsi="Palatino Linotype" w:cs="Palatino Linotype"/>
          <w:b/>
          <w:i/>
          <w:color w:val="000000"/>
          <w:sz w:val="22"/>
          <w:szCs w:val="22"/>
        </w:rPr>
      </w:pPr>
    </w:p>
    <w:p w:rsidR="000E1504" w:rsidRDefault="00724D85">
      <w:pPr>
        <w:pBdr>
          <w:top w:val="nil"/>
          <w:left w:val="nil"/>
          <w:bottom w:val="nil"/>
          <w:right w:val="nil"/>
          <w:between w:val="nil"/>
        </w:pBdr>
        <w:spacing w:line="276" w:lineRule="auto"/>
        <w:ind w:left="5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información de las fracciones I y IV será proporcionada por el solicitante de manera opcional y, en ningún caso, podrá ser un requisito indispensable para la procedencia de la solicitud.</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highlight w:val="white"/>
        </w:rPr>
        <w:t>De lo anterior se advierte que la garantía primaria del derecho de acceso a la información es la de solicitar el acceso a la información pública en la modalidad que el particular prefiera l</w:t>
      </w:r>
      <w:r>
        <w:rPr>
          <w:rFonts w:ascii="Palatino Linotype" w:eastAsia="Palatino Linotype" w:hAnsi="Palatino Linotype" w:cs="Palatino Linotype"/>
          <w:color w:val="000000"/>
        </w:rPr>
        <w:t xml:space="preserve">a cual podrá ser </w:t>
      </w:r>
      <w:r>
        <w:rPr>
          <w:rFonts w:ascii="Palatino Linotype" w:eastAsia="Palatino Linotype" w:hAnsi="Palatino Linotype" w:cs="Palatino Linotype"/>
          <w:b/>
          <w:color w:val="000000"/>
        </w:rPr>
        <w:t>verbal,</w:t>
      </w:r>
      <w:r>
        <w:rPr>
          <w:rFonts w:ascii="Palatino Linotype" w:eastAsia="Palatino Linotype" w:hAnsi="Palatino Linotype" w:cs="Palatino Linotype"/>
          <w:color w:val="000000"/>
        </w:rPr>
        <w:t xml:space="preserve"> siempre y cuando sea para fines de orientación, mediante </w:t>
      </w:r>
      <w:r>
        <w:rPr>
          <w:rFonts w:ascii="Palatino Linotype" w:eastAsia="Palatino Linotype" w:hAnsi="Palatino Linotype" w:cs="Palatino Linotype"/>
          <w:b/>
          <w:color w:val="000000"/>
        </w:rPr>
        <w:t>consulta directa</w:t>
      </w:r>
      <w:r>
        <w:rPr>
          <w:rFonts w:ascii="Palatino Linotype" w:eastAsia="Palatino Linotype" w:hAnsi="Palatino Linotype" w:cs="Palatino Linotype"/>
          <w:color w:val="000000"/>
        </w:rPr>
        <w:t xml:space="preserve">, mediante la expedición de </w:t>
      </w:r>
      <w:r>
        <w:rPr>
          <w:rFonts w:ascii="Palatino Linotype" w:eastAsia="Palatino Linotype" w:hAnsi="Palatino Linotype" w:cs="Palatino Linotype"/>
          <w:b/>
          <w:color w:val="000000"/>
        </w:rPr>
        <w:t>copias simples o certificadas</w:t>
      </w:r>
      <w:r>
        <w:rPr>
          <w:rFonts w:ascii="Palatino Linotype" w:eastAsia="Palatino Linotype" w:hAnsi="Palatino Linotype" w:cs="Palatino Linotype"/>
          <w:color w:val="000000"/>
        </w:rPr>
        <w:t xml:space="preserve"> o la </w:t>
      </w:r>
      <w:r>
        <w:rPr>
          <w:rFonts w:ascii="Palatino Linotype" w:eastAsia="Palatino Linotype" w:hAnsi="Palatino Linotype" w:cs="Palatino Linotype"/>
          <w:b/>
          <w:color w:val="000000"/>
        </w:rPr>
        <w:t>reproducción en cualquier otro medio, incluidos los electrónicos.</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pStyle w:val="Ttulo1"/>
        <w:numPr>
          <w:ilvl w:val="0"/>
          <w:numId w:val="9"/>
        </w:numPr>
        <w:spacing w:line="259" w:lineRule="auto"/>
        <w:rPr>
          <w:rFonts w:ascii="Palatino Linotype" w:eastAsia="Palatino Linotype" w:hAnsi="Palatino Linotype" w:cs="Palatino Linotype"/>
          <w:b/>
          <w:color w:val="000000"/>
          <w:sz w:val="24"/>
          <w:szCs w:val="24"/>
        </w:rPr>
      </w:pPr>
      <w:bookmarkStart w:id="17" w:name="_44sinio" w:colFirst="0" w:colLast="0"/>
      <w:bookmarkEnd w:id="17"/>
      <w:r>
        <w:rPr>
          <w:rFonts w:ascii="Palatino Linotype" w:eastAsia="Palatino Linotype" w:hAnsi="Palatino Linotype" w:cs="Palatino Linotype"/>
          <w:b/>
          <w:color w:val="000000"/>
          <w:sz w:val="24"/>
          <w:szCs w:val="24"/>
        </w:rPr>
        <w:lastRenderedPageBreak/>
        <w:t>De las Restricciones del solicitante del derecho de acceso a la información</w:t>
      </w:r>
    </w:p>
    <w:p w:rsidR="000E1504" w:rsidRDefault="00724D85">
      <w:pPr>
        <w:numPr>
          <w:ilvl w:val="0"/>
          <w:numId w:val="15"/>
        </w:numPr>
        <w:pBdr>
          <w:top w:val="nil"/>
          <w:left w:val="nil"/>
          <w:bottom w:val="nil"/>
          <w:right w:val="nil"/>
          <w:between w:val="nil"/>
        </w:pBdr>
        <w:shd w:val="clear" w:color="auto" w:fill="FFFFFF"/>
        <w:tabs>
          <w:tab w:val="left" w:pos="0"/>
        </w:tabs>
        <w:spacing w:before="240" w:after="90" w:line="360" w:lineRule="auto"/>
        <w:ind w:left="0" w:right="49" w:firstLine="0"/>
        <w:jc w:val="both"/>
        <w:rPr>
          <w:highlight w:val="white"/>
        </w:rPr>
      </w:pPr>
      <w:r>
        <w:rPr>
          <w:rFonts w:ascii="Palatino Linotype" w:eastAsia="Palatino Linotype" w:hAnsi="Palatino Linotype" w:cs="Palatino Linotype"/>
          <w:color w:val="000000"/>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Ahora bien, el hecho de que el sujeto obligado responda en una modalidad diferente a la solicitada por el particular, sin justificar esa decisión constituye un acto formal emitido por funcionarios legalmente facultados, pero inválido en tanto que no respeta la prerrogativa legalmente establecida que concede al titular del derecho, la oportunidad de escoger la modalidad de entrega de la información.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No obstante lo anterior, no todos los cambios de modalidad en la entrega de la información pueden considerarse como inválidos, ya que la Ley General en su artículo 127 señala que de  manera excepcional, …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En concordancia con la Ley General, la legislación del Estado de México establece lo siguiente: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tbl>
      <w:tblPr>
        <w:tblStyle w:val="a"/>
        <w:tblW w:w="8108" w:type="dxa"/>
        <w:tblInd w:w="7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45"/>
        <w:gridCol w:w="4063"/>
      </w:tblGrid>
      <w:tr w:rsidR="000E1504">
        <w:tc>
          <w:tcPr>
            <w:tcW w:w="4045" w:type="dxa"/>
          </w:tcPr>
          <w:p w:rsidR="000E1504" w:rsidRDefault="00724D85">
            <w:pPr>
              <w:pBdr>
                <w:top w:val="nil"/>
                <w:left w:val="nil"/>
                <w:bottom w:val="nil"/>
                <w:right w:val="nil"/>
                <w:between w:val="nil"/>
              </w:pBdr>
              <w:rPr>
                <w:rFonts w:ascii="Palatino Linotype" w:eastAsia="Palatino Linotype" w:hAnsi="Palatino Linotype" w:cs="Palatino Linotype"/>
                <w:b/>
                <w:color w:val="000000"/>
                <w:highlight w:val="white"/>
              </w:rPr>
            </w:pPr>
            <w:r>
              <w:rPr>
                <w:rFonts w:ascii="Palatino Linotype" w:eastAsia="Palatino Linotype" w:hAnsi="Palatino Linotype" w:cs="Palatino Linotype"/>
                <w:b/>
                <w:color w:val="000000"/>
                <w:highlight w:val="white"/>
              </w:rPr>
              <w:t>Ley General de Transparencia y Acceso a la Información Pública</w:t>
            </w:r>
          </w:p>
        </w:tc>
        <w:tc>
          <w:tcPr>
            <w:tcW w:w="4063" w:type="dxa"/>
          </w:tcPr>
          <w:p w:rsidR="000E1504" w:rsidRDefault="00724D85">
            <w:pPr>
              <w:pBdr>
                <w:top w:val="nil"/>
                <w:left w:val="nil"/>
                <w:bottom w:val="nil"/>
                <w:right w:val="nil"/>
                <w:between w:val="nil"/>
              </w:pBdr>
              <w:rPr>
                <w:rFonts w:ascii="Palatino Linotype" w:eastAsia="Palatino Linotype" w:hAnsi="Palatino Linotype" w:cs="Palatino Linotype"/>
                <w:b/>
                <w:color w:val="000000"/>
                <w:highlight w:val="white"/>
              </w:rPr>
            </w:pPr>
            <w:r>
              <w:rPr>
                <w:rFonts w:ascii="Palatino Linotype" w:eastAsia="Palatino Linotype" w:hAnsi="Palatino Linotype" w:cs="Palatino Linotype"/>
                <w:b/>
                <w:color w:val="000000"/>
                <w:highlight w:val="white"/>
              </w:rPr>
              <w:t>Ley de Transparencia y Acceso a la Información Pública del Estado de México y Municipios</w:t>
            </w:r>
          </w:p>
        </w:tc>
      </w:tr>
      <w:tr w:rsidR="000E1504">
        <w:tc>
          <w:tcPr>
            <w:tcW w:w="4045" w:type="dxa"/>
          </w:tcPr>
          <w:p w:rsidR="000E1504" w:rsidRDefault="00724D85">
            <w:pPr>
              <w:pBdr>
                <w:top w:val="nil"/>
                <w:left w:val="nil"/>
                <w:bottom w:val="nil"/>
                <w:right w:val="nil"/>
                <w:between w:val="nil"/>
              </w:pBdr>
              <w:ind w:firstLine="288"/>
              <w:jc w:val="both"/>
              <w:rPr>
                <w:rFonts w:ascii="Palatino Linotype" w:eastAsia="Palatino Linotype" w:hAnsi="Palatino Linotype" w:cs="Palatino Linotype"/>
                <w:color w:val="000000"/>
              </w:rPr>
            </w:pPr>
            <w:bookmarkStart w:id="18" w:name="2jxsxqh" w:colFirst="0" w:colLast="0"/>
            <w:bookmarkEnd w:id="18"/>
            <w:r>
              <w:rPr>
                <w:rFonts w:ascii="Palatino Linotype" w:eastAsia="Palatino Linotype" w:hAnsi="Palatino Linotype" w:cs="Palatino Linotype"/>
                <w:b/>
                <w:color w:val="000000"/>
              </w:rPr>
              <w:t xml:space="preserve">Artículo 127. De manera excepcional, cuando, de forma fundada y motivada, así lo determine </w:t>
            </w:r>
            <w:r>
              <w:rPr>
                <w:rFonts w:ascii="Palatino Linotype" w:eastAsia="Palatino Linotype" w:hAnsi="Palatino Linotype" w:cs="Palatino Linotype"/>
                <w:b/>
                <w:color w:val="000000"/>
              </w:rPr>
              <w:lastRenderedPageBreak/>
              <w:t xml:space="preserve">el sujeto obligado, </w:t>
            </w:r>
            <w:r>
              <w:rPr>
                <w:rFonts w:ascii="Palatino Linotype" w:eastAsia="Palatino Linotype" w:hAnsi="Palatino Linotype" w:cs="Palatino Linotype"/>
                <w:color w:val="000000"/>
              </w:rPr>
              <w:t xml:space="preserve">en aquellos casos en que la información solicitada que ya se encuentre en su posesión implique análisis, estudio o procesamiento de documentos </w:t>
            </w:r>
            <w:r>
              <w:rPr>
                <w:rFonts w:ascii="Palatino Linotype" w:eastAsia="Palatino Linotype" w:hAnsi="Palatino Linotype" w:cs="Palatino Linotype"/>
                <w:b/>
                <w:color w:val="000000"/>
              </w:rPr>
              <w:t xml:space="preserve">cuya entrega o reproducción sobrepase </w:t>
            </w:r>
            <w:r>
              <w:rPr>
                <w:rFonts w:ascii="Palatino Linotype" w:eastAsia="Palatino Linotype" w:hAnsi="Palatino Linotype" w:cs="Palatino Linotype"/>
                <w:b/>
                <w:color w:val="000000"/>
                <w:u w:val="single"/>
              </w:rPr>
              <w:t xml:space="preserve">las capacidades técnicas </w:t>
            </w:r>
            <w:r>
              <w:rPr>
                <w:rFonts w:ascii="Palatino Linotype" w:eastAsia="Palatino Linotype" w:hAnsi="Palatino Linotype" w:cs="Palatino Linotype"/>
                <w:b/>
                <w:color w:val="000000"/>
              </w:rPr>
              <w:t xml:space="preserve">del sujeto obligado </w:t>
            </w:r>
            <w:r>
              <w:rPr>
                <w:rFonts w:ascii="Palatino Linotype" w:eastAsia="Palatino Linotype" w:hAnsi="Palatino Linotype" w:cs="Palatino Linotype"/>
                <w:color w:val="000000"/>
              </w:rPr>
              <w:t xml:space="preserve">para cumplir con la solicitud, en los plazos establecidos para dichos efectos, se podrán poner a disposición del </w:t>
            </w:r>
            <w:r>
              <w:rPr>
                <w:rFonts w:ascii="Palatino Linotype" w:eastAsia="Palatino Linotype" w:hAnsi="Palatino Linotype" w:cs="Palatino Linotype"/>
                <w:b/>
                <w:color w:val="000000"/>
              </w:rPr>
              <w:t xml:space="preserve">solicitante los Documentos en consulta directa, </w:t>
            </w:r>
            <w:r>
              <w:rPr>
                <w:rFonts w:ascii="Palatino Linotype" w:eastAsia="Palatino Linotype" w:hAnsi="Palatino Linotype" w:cs="Palatino Linotype"/>
                <w:color w:val="000000"/>
              </w:rPr>
              <w:t>salvo la información clasificada.</w:t>
            </w:r>
          </w:p>
          <w:p w:rsidR="000E1504" w:rsidRDefault="000E1504">
            <w:pPr>
              <w:pBdr>
                <w:top w:val="nil"/>
                <w:left w:val="nil"/>
                <w:bottom w:val="nil"/>
                <w:right w:val="nil"/>
                <w:between w:val="nil"/>
              </w:pBdr>
              <w:ind w:firstLine="288"/>
              <w:jc w:val="both"/>
              <w:rPr>
                <w:rFonts w:ascii="Palatino Linotype" w:eastAsia="Palatino Linotype" w:hAnsi="Palatino Linotype" w:cs="Palatino Linotype"/>
                <w:color w:val="000000"/>
              </w:rPr>
            </w:pPr>
          </w:p>
          <w:p w:rsidR="000E1504" w:rsidRDefault="00724D85">
            <w:pPr>
              <w:pBdr>
                <w:top w:val="nil"/>
                <w:left w:val="nil"/>
                <w:bottom w:val="nil"/>
                <w:right w:val="nil"/>
                <w:between w:val="nil"/>
              </w:pBdr>
              <w:ind w:firstLine="2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todo caso se facilitará su copia simple o certificada, así como su reproducción por cualquier medio disponible en las instalaciones del sujeto obligado o que, en su caso, aporte el solicitante.</w:t>
            </w:r>
          </w:p>
          <w:p w:rsidR="000E1504" w:rsidRDefault="000E1504">
            <w:pPr>
              <w:pBdr>
                <w:top w:val="nil"/>
                <w:left w:val="nil"/>
                <w:bottom w:val="nil"/>
                <w:right w:val="nil"/>
                <w:between w:val="nil"/>
              </w:pBdr>
              <w:rPr>
                <w:rFonts w:ascii="Palatino Linotype" w:eastAsia="Palatino Linotype" w:hAnsi="Palatino Linotype" w:cs="Palatino Linotype"/>
                <w:b/>
                <w:color w:val="000000"/>
                <w:highlight w:val="white"/>
              </w:rPr>
            </w:pPr>
          </w:p>
        </w:tc>
        <w:tc>
          <w:tcPr>
            <w:tcW w:w="4063" w:type="dxa"/>
          </w:tcPr>
          <w:p w:rsidR="000E1504" w:rsidRDefault="00724D85">
            <w:pPr>
              <w:ind w:right="3"/>
              <w:jc w:val="both"/>
              <w:rPr>
                <w:rFonts w:ascii="Palatino Linotype" w:eastAsia="Palatino Linotype" w:hAnsi="Palatino Linotype" w:cs="Palatino Linotype"/>
              </w:rPr>
            </w:pPr>
            <w:r>
              <w:rPr>
                <w:rFonts w:ascii="Palatino Linotype" w:eastAsia="Palatino Linotype" w:hAnsi="Palatino Linotype" w:cs="Palatino Linotype"/>
                <w:b/>
              </w:rPr>
              <w:lastRenderedPageBreak/>
              <w:t>Artículo 158.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manera excepcional, cuando </w:t>
            </w:r>
            <w:r>
              <w:rPr>
                <w:rFonts w:ascii="Palatino Linotype" w:eastAsia="Palatino Linotype" w:hAnsi="Palatino Linotype" w:cs="Palatino Linotype"/>
                <w:b/>
                <w:u w:val="single"/>
              </w:rPr>
              <w:t>de forma fundada y motivada</w:t>
            </w:r>
            <w:r>
              <w:rPr>
                <w:rFonts w:ascii="Palatino Linotype" w:eastAsia="Palatino Linotype" w:hAnsi="Palatino Linotype" w:cs="Palatino Linotype"/>
                <w:b/>
              </w:rPr>
              <w:t xml:space="preserve"> así lo determine el sujeto obligado</w:t>
            </w:r>
            <w:r>
              <w:rPr>
                <w:rFonts w:ascii="Palatino Linotype" w:eastAsia="Palatino Linotype" w:hAnsi="Palatino Linotype" w:cs="Palatino Linotype"/>
              </w:rPr>
              <w:t xml:space="preserve">, en </w:t>
            </w:r>
            <w:r>
              <w:rPr>
                <w:rFonts w:ascii="Palatino Linotype" w:eastAsia="Palatino Linotype" w:hAnsi="Palatino Linotype" w:cs="Palatino Linotype"/>
              </w:rPr>
              <w:lastRenderedPageBreak/>
              <w:t xml:space="preserve">aquellos casos en que la información solicitada que ya se encuentre en su posesión implique análisis, estudio o procesamiento de documentos </w:t>
            </w:r>
            <w:r>
              <w:rPr>
                <w:rFonts w:ascii="Palatino Linotype" w:eastAsia="Palatino Linotype" w:hAnsi="Palatino Linotype" w:cs="Palatino Linotype"/>
                <w:b/>
              </w:rPr>
              <w:t xml:space="preserve">cuya entrega o reproducción sobrepase </w:t>
            </w:r>
            <w:r>
              <w:rPr>
                <w:rFonts w:ascii="Palatino Linotype" w:eastAsia="Palatino Linotype" w:hAnsi="Palatino Linotype" w:cs="Palatino Linotype"/>
                <w:b/>
                <w:u w:val="single"/>
              </w:rPr>
              <w:t>las capacidades técnicas administrativas y humanas</w:t>
            </w:r>
            <w:r>
              <w:rPr>
                <w:rFonts w:ascii="Palatino Linotype" w:eastAsia="Palatino Linotype" w:hAnsi="Palatino Linotype" w:cs="Palatino Linotype"/>
                <w:b/>
              </w:rPr>
              <w:t xml:space="preserve"> del sujeto obligado</w:t>
            </w:r>
            <w:r>
              <w:rPr>
                <w:rFonts w:ascii="Palatino Linotype" w:eastAsia="Palatino Linotype" w:hAnsi="Palatino Linotype" w:cs="Palatino Linotype"/>
              </w:rPr>
              <w:t xml:space="preserve"> para cumplir con la solicitud, en los plazos establecidos para dichos efectos,</w:t>
            </w:r>
            <w:r>
              <w:rPr>
                <w:rFonts w:ascii="Palatino Linotype" w:eastAsia="Palatino Linotype" w:hAnsi="Palatino Linotype" w:cs="Palatino Linotype"/>
                <w:b/>
              </w:rPr>
              <w:t xml:space="preserve"> se podrá poner a disposición del solicitante los documentos en consulta directa</w:t>
            </w:r>
            <w:r>
              <w:rPr>
                <w:rFonts w:ascii="Palatino Linotype" w:eastAsia="Palatino Linotype" w:hAnsi="Palatino Linotype" w:cs="Palatino Linotype"/>
              </w:rPr>
              <w:t>, salvo la información clasificada”.</w:t>
            </w:r>
          </w:p>
          <w:p w:rsidR="000E1504" w:rsidRDefault="000E1504">
            <w:pPr>
              <w:pBdr>
                <w:top w:val="nil"/>
                <w:left w:val="nil"/>
                <w:bottom w:val="nil"/>
                <w:right w:val="nil"/>
                <w:between w:val="nil"/>
              </w:pBdr>
              <w:rPr>
                <w:rFonts w:ascii="Palatino Linotype" w:eastAsia="Palatino Linotype" w:hAnsi="Palatino Linotype" w:cs="Palatino Linotype"/>
                <w:b/>
                <w:color w:val="000000"/>
                <w:highlight w:val="white"/>
              </w:rPr>
            </w:pPr>
          </w:p>
          <w:p w:rsidR="000E1504" w:rsidRDefault="00724D85">
            <w:pPr>
              <w:pBdr>
                <w:top w:val="nil"/>
                <w:left w:val="nil"/>
                <w:bottom w:val="nil"/>
                <w:right w:val="nil"/>
                <w:between w:val="nil"/>
              </w:pBdr>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En todo caso, se facilitará su copia simple o certificada, así como su reproducción por cualquier medio disponible en las instalaciones del sujeto obligado o que, en su caso, aporte el solicitante.</w:t>
            </w:r>
          </w:p>
        </w:tc>
      </w:tr>
      <w:tr w:rsidR="000E1504">
        <w:tc>
          <w:tcPr>
            <w:tcW w:w="4045" w:type="dxa"/>
          </w:tcPr>
          <w:p w:rsidR="000E1504" w:rsidRDefault="00724D85">
            <w:pPr>
              <w:pBdr>
                <w:top w:val="nil"/>
                <w:left w:val="nil"/>
                <w:bottom w:val="nil"/>
                <w:right w:val="nil"/>
                <w:between w:val="nil"/>
              </w:pBdr>
              <w:ind w:firstLine="288"/>
              <w:jc w:val="both"/>
              <w:rPr>
                <w:rFonts w:ascii="Palatino Linotype" w:eastAsia="Palatino Linotype" w:hAnsi="Palatino Linotype" w:cs="Palatino Linotype"/>
                <w:color w:val="000000"/>
              </w:rPr>
            </w:pPr>
            <w:bookmarkStart w:id="19" w:name="z337ya" w:colFirst="0" w:colLast="0"/>
            <w:bookmarkEnd w:id="19"/>
            <w:r>
              <w:rPr>
                <w:rFonts w:ascii="Palatino Linotype" w:eastAsia="Palatino Linotype" w:hAnsi="Palatino Linotype" w:cs="Palatino Linotype"/>
                <w:b/>
                <w:color w:val="000000"/>
              </w:rPr>
              <w:lastRenderedPageBreak/>
              <w:t xml:space="preserve">Artículo 133. </w:t>
            </w:r>
            <w:r>
              <w:rPr>
                <w:rFonts w:ascii="Palatino Linotype" w:eastAsia="Palatino Linotype" w:hAnsi="Palatino Linotype" w:cs="Palatino Linotype"/>
                <w:color w:val="000000"/>
              </w:rPr>
              <w:t>El acceso se dará en la modalidad de entrega y, en su caso, de envío elegidos por el solicitante. Cuando la información no pueda entregarse o enviarse en la modalidad elegida, el sujeto obligado deberá ofrecer otra u otras modalidades de entrega.</w:t>
            </w:r>
          </w:p>
          <w:p w:rsidR="000E1504" w:rsidRDefault="00724D85">
            <w:pPr>
              <w:pBdr>
                <w:top w:val="nil"/>
                <w:left w:val="nil"/>
                <w:bottom w:val="nil"/>
                <w:right w:val="nil"/>
                <w:between w:val="nil"/>
              </w:pBdr>
              <w:ind w:firstLine="288"/>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En cualquier caso, se deberá fundar y motivar la necesidad de ofrecer otras modalidades.</w:t>
            </w:r>
          </w:p>
          <w:p w:rsidR="000E1504" w:rsidRDefault="000E1504">
            <w:pPr>
              <w:pBdr>
                <w:top w:val="nil"/>
                <w:left w:val="nil"/>
                <w:bottom w:val="nil"/>
                <w:right w:val="nil"/>
                <w:between w:val="nil"/>
              </w:pBdr>
              <w:rPr>
                <w:rFonts w:ascii="Palatino Linotype" w:eastAsia="Palatino Linotype" w:hAnsi="Palatino Linotype" w:cs="Palatino Linotype"/>
                <w:b/>
                <w:color w:val="000000"/>
                <w:highlight w:val="white"/>
              </w:rPr>
            </w:pPr>
          </w:p>
        </w:tc>
        <w:tc>
          <w:tcPr>
            <w:tcW w:w="4063" w:type="dxa"/>
          </w:tcPr>
          <w:p w:rsidR="000E1504" w:rsidRDefault="00724D85">
            <w:pPr>
              <w:pBdr>
                <w:top w:val="nil"/>
                <w:left w:val="nil"/>
                <w:bottom w:val="nil"/>
                <w:right w:val="nil"/>
                <w:between w:val="nil"/>
              </w:pBdr>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highlight w:val="white"/>
              </w:rPr>
              <w:t xml:space="preserve">Artículo 164. </w:t>
            </w:r>
            <w:r>
              <w:rPr>
                <w:rFonts w:ascii="Palatino Linotype" w:eastAsia="Palatino Linotype" w:hAnsi="Palatino Linotype" w:cs="Palatino Linotype"/>
                <w:color w:val="000000"/>
                <w:highlight w:val="white"/>
              </w:rPr>
              <w:t>El acceso se dará en la modalidad de entrega y, en su caso, de envío elegidos por el solicitante. Cuando la información no pueda entregarse o enviarse en la modalidad solicitada, el sujeto obligado deberá  ofrecer otra u otras modalidades de entrega.</w:t>
            </w:r>
          </w:p>
          <w:p w:rsidR="000E1504" w:rsidRDefault="000E1504">
            <w:pPr>
              <w:pBdr>
                <w:top w:val="nil"/>
                <w:left w:val="nil"/>
                <w:bottom w:val="nil"/>
                <w:right w:val="nil"/>
                <w:between w:val="nil"/>
              </w:pBdr>
              <w:jc w:val="both"/>
              <w:rPr>
                <w:rFonts w:ascii="Palatino Linotype" w:eastAsia="Palatino Linotype" w:hAnsi="Palatino Linotype" w:cs="Palatino Linotype"/>
                <w:b/>
                <w:color w:val="000000"/>
                <w:highlight w:val="white"/>
              </w:rPr>
            </w:pPr>
          </w:p>
          <w:p w:rsidR="000E1504" w:rsidRDefault="00724D85">
            <w:pPr>
              <w:pBdr>
                <w:top w:val="nil"/>
                <w:left w:val="nil"/>
                <w:bottom w:val="nil"/>
                <w:right w:val="nil"/>
                <w:between w:val="nil"/>
              </w:pBdr>
              <w:jc w:val="both"/>
              <w:rPr>
                <w:rFonts w:ascii="Palatino Linotype" w:eastAsia="Palatino Linotype" w:hAnsi="Palatino Linotype" w:cs="Palatino Linotype"/>
                <w:b/>
                <w:color w:val="000000"/>
                <w:highlight w:val="white"/>
                <w:u w:val="single"/>
              </w:rPr>
            </w:pPr>
            <w:r>
              <w:rPr>
                <w:rFonts w:ascii="Palatino Linotype" w:eastAsia="Palatino Linotype" w:hAnsi="Palatino Linotype" w:cs="Palatino Linotype"/>
                <w:b/>
                <w:color w:val="000000"/>
                <w:highlight w:val="white"/>
                <w:u w:val="single"/>
              </w:rPr>
              <w:t>En cualquier caso, se deberá fundar y motivar la necesidad de ofrecer otras modalidades.</w:t>
            </w:r>
          </w:p>
        </w:tc>
      </w:tr>
    </w:tbl>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Como puede advertirse del cuadro comparativo anterior, la Ley de Transparencia y Acceso a la Información Pública del Estado de México y Municipios, estableció que procedía la excepción de modificar la modalidad elegida </w:t>
      </w:r>
      <w:r>
        <w:rPr>
          <w:rFonts w:ascii="Palatino Linotype" w:eastAsia="Palatino Linotype" w:hAnsi="Palatino Linotype" w:cs="Palatino Linotype"/>
          <w:color w:val="000000"/>
          <w:highlight w:val="white"/>
        </w:rPr>
        <w:lastRenderedPageBreak/>
        <w:t>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De lo anterior, se advierte que la restricción en proporcionar lo solicitado en la modalidad elegida por el solicitante, de manera excepcional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dicho cambio de modalidad que la propia norma establece, es decir que sobrepase las capacidades técnicas, administrativas y humanas.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Cabe destacar que la ley de transparencia local no solo hace referencia a las capacidades técnicas, sino a las administrativas y humanas, lo cual implica necesariamente a la incapacidad de contar con los medios financieros, materiales y </w:t>
      </w:r>
      <w:r>
        <w:rPr>
          <w:rFonts w:ascii="Palatino Linotype" w:eastAsia="Palatino Linotype" w:hAnsi="Palatino Linotype" w:cs="Palatino Linotype"/>
          <w:color w:val="000000"/>
          <w:highlight w:val="white"/>
        </w:rPr>
        <w:lastRenderedPageBreak/>
        <w:t xml:space="preserve">humanos para el estudio, análisis y procesamiento de la información solicitada, </w:t>
      </w:r>
      <w:r>
        <w:rPr>
          <w:rFonts w:ascii="Palatino Linotype" w:eastAsia="Palatino Linotype" w:hAnsi="Palatino Linotype" w:cs="Palatino Linotype"/>
          <w:color w:val="000000"/>
        </w:rPr>
        <w:t>por ejemplo, el volumen de la información requerida por una misma persona, mediante numerosas solicitudes de acceso a la información presentadas en un mismo día y que deberán de tramitarse simultáneamente en los plazos definidos por la ley podrán sobrepasar las capacidades administrativas, al tener que retirar a funcionarios públicos del desempeño de sus funciones ordinarias para dedicarse al procesamiento de la información; y, capacidades humanas, cuando el volumen es tal que sobrepasa las condiciones, especialmente de sujetos obligados con limitadas capacidades de recursos humanos.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pStyle w:val="Ttulo1"/>
        <w:numPr>
          <w:ilvl w:val="0"/>
          <w:numId w:val="10"/>
        </w:numPr>
        <w:spacing w:line="259" w:lineRule="auto"/>
        <w:ind w:hanging="10"/>
        <w:jc w:val="both"/>
        <w:rPr>
          <w:rFonts w:ascii="Palatino Linotype" w:eastAsia="Palatino Linotype" w:hAnsi="Palatino Linotype" w:cs="Palatino Linotype"/>
          <w:b/>
          <w:color w:val="000000"/>
          <w:sz w:val="24"/>
          <w:szCs w:val="24"/>
        </w:rPr>
      </w:pPr>
      <w:bookmarkStart w:id="20" w:name="_3j2qqm3" w:colFirst="0" w:colLast="0"/>
      <w:bookmarkEnd w:id="20"/>
      <w:r>
        <w:rPr>
          <w:rFonts w:ascii="Palatino Linotype" w:eastAsia="Palatino Linotype" w:hAnsi="Palatino Linotype" w:cs="Palatino Linotype"/>
          <w:b/>
          <w:color w:val="000000"/>
          <w:sz w:val="24"/>
          <w:szCs w:val="24"/>
        </w:rPr>
        <w:t>De la acreditación de la legalidad de la resolución del Instituto de Transparencia, Acceso a la Información Pública y Protección de Datos Personales del Estado de México y Municipios.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Como ya se abordado en la presente resolución,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los fundamentos y motivos del acto de autoridad, es decir, que exista adecuación entre los motivos aducidos y las normas aplicables, configurándose así las hipótesis normativas.</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lastRenderedPageBreak/>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 motivación: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spacing w:line="276" w:lineRule="auto"/>
        <w:ind w:left="90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w:t>
      </w:r>
      <w:r>
        <w:rPr>
          <w:rFonts w:ascii="Palatino Linotype" w:eastAsia="Palatino Linotype" w:hAnsi="Palatino Linotype" w:cs="Palatino Linotype"/>
          <w:i/>
          <w:sz w:val="22"/>
          <w:szCs w:val="22"/>
          <w:vertAlign w:val="superscript"/>
        </w:rPr>
        <w:footnoteReference w:id="15"/>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En este sentido, la Suprema Corte de Justicia de la Nación ha señalado, a través de la siguiente jurisprudencia se ha pronunciado respecto de la congruencia ay exhaustividad de las sentencias:</w:t>
      </w:r>
    </w:p>
    <w:p w:rsidR="000E1504" w:rsidRDefault="000E1504">
      <w:pPr>
        <w:pBdr>
          <w:top w:val="nil"/>
          <w:left w:val="nil"/>
          <w:bottom w:val="nil"/>
          <w:right w:val="nil"/>
          <w:between w:val="nil"/>
        </w:pBdr>
        <w:shd w:val="clear" w:color="auto" w:fill="FFFFFF"/>
        <w:tabs>
          <w:tab w:val="left" w:pos="0"/>
        </w:tabs>
        <w:spacing w:before="90" w:after="150" w:line="360" w:lineRule="auto"/>
        <w:ind w:left="502" w:right="49"/>
        <w:jc w:val="both"/>
        <w:rPr>
          <w:rFonts w:ascii="Palatino Linotype" w:eastAsia="Palatino Linotype" w:hAnsi="Palatino Linotype" w:cs="Palatino Linotype"/>
          <w:color w:val="000000"/>
          <w:highlight w:val="white"/>
        </w:rPr>
      </w:pPr>
    </w:p>
    <w:p w:rsidR="000E1504" w:rsidRDefault="00724D85">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“SENTENCIAS DE AMPARO, PRINCIPIOS DE CONGRUENCIA Y EXHAUSTIVIDAD EN LAS.</w:t>
      </w:r>
      <w:r>
        <w:rPr>
          <w:rFonts w:ascii="Palatino Linotype" w:eastAsia="Palatino Linotype" w:hAnsi="Palatino Linotype" w:cs="Palatino Linotype"/>
          <w:i/>
          <w:color w:val="000000"/>
          <w:sz w:val="22"/>
          <w:szCs w:val="22"/>
        </w:rPr>
        <w:t xml:space="preserve"> De los artículos 77 y 78 de la Ley de Amparo se desprende que </w:t>
      </w:r>
      <w:r>
        <w:rPr>
          <w:rFonts w:ascii="Palatino Linotype" w:eastAsia="Palatino Linotype" w:hAnsi="Palatino Linotype" w:cs="Palatino Linotype"/>
          <w:b/>
          <w:i/>
          <w:color w:val="000000"/>
          <w:sz w:val="22"/>
          <w:szCs w:val="22"/>
          <w:u w:val="single"/>
        </w:rPr>
        <w:t xml:space="preserve">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w:t>
      </w:r>
      <w:r>
        <w:rPr>
          <w:rFonts w:ascii="Palatino Linotype" w:eastAsia="Palatino Linotype" w:hAnsi="Palatino Linotype" w:cs="Palatino Linotype"/>
          <w:b/>
          <w:i/>
          <w:color w:val="000000"/>
          <w:sz w:val="22"/>
          <w:szCs w:val="22"/>
          <w:u w:val="single"/>
        </w:rPr>
        <w:lastRenderedPageBreak/>
        <w:t>resolutivos, lo que obliga al juzgador,</w:t>
      </w:r>
      <w:r>
        <w:rPr>
          <w:rFonts w:ascii="Palatino Linotype" w:eastAsia="Palatino Linotype" w:hAnsi="Palatino Linotype" w:cs="Palatino Linotype"/>
          <w:i/>
          <w:color w:val="000000"/>
          <w:sz w:val="22"/>
          <w:szCs w:val="22"/>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0E1504" w:rsidRDefault="000E1504">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383/2000. Administradora de Centros Comerciales Santa Fe, S.A. de C.V. 24 de mayo de 2000. Cinco votos. Ponente: Olga Sánchez Cordero de García Villegas. Secretaria: Leticia Flores Díaz.</w:t>
      </w:r>
    </w:p>
    <w:p w:rsidR="000E1504" w:rsidRDefault="000E1504">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Nota: Este criterio ha integrado la jurisprudencia 1a</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J. 33/2005, publicada en el Semanario Judicial de la Federación y su Gaceta, Novena Época, Tomo XXI, abril de 2005, página 108, de rubro: "CONGRUENCIA Y EXHAUSTIVIDAD EN SENTENCIAS DICTADAS EN AMPARO CONTRA LEYES. ALCANCE DE ESTOS PRINCIPIOS."</w:t>
      </w:r>
      <w:r>
        <w:rPr>
          <w:rFonts w:ascii="Palatino Linotype" w:eastAsia="Palatino Linotype" w:hAnsi="Palatino Linotype" w:cs="Palatino Linotype"/>
          <w:i/>
          <w:color w:val="000000"/>
          <w:sz w:val="22"/>
          <w:szCs w:val="22"/>
          <w:vertAlign w:val="superscript"/>
        </w:rPr>
        <w:footnoteReference w:id="16"/>
      </w:r>
    </w:p>
    <w:p w:rsidR="000E1504" w:rsidRDefault="000E1504">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Por lo tanto, si bien la particular hizo uso legítimo de su derecho de acceso a la información, este Órgano Garante Local en todo momento y en aras de 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los artículos 158 y 164 de la Ley de Transparencia y Acceso a la Información Pública del Estado de México y Municipios, que señalan lo siguiente: </w:t>
      </w:r>
    </w:p>
    <w:p w:rsidR="000E1504" w:rsidRDefault="000E1504">
      <w:pPr>
        <w:pBdr>
          <w:top w:val="nil"/>
          <w:left w:val="nil"/>
          <w:bottom w:val="nil"/>
          <w:right w:val="nil"/>
          <w:between w:val="nil"/>
        </w:pBdr>
        <w:spacing w:line="276" w:lineRule="auto"/>
        <w:ind w:left="708"/>
        <w:rPr>
          <w:rFonts w:ascii="Palatino Linotype" w:eastAsia="Palatino Linotype" w:hAnsi="Palatino Linotype" w:cs="Palatino Linotype"/>
          <w:color w:val="000000"/>
          <w:sz w:val="22"/>
          <w:szCs w:val="22"/>
        </w:rPr>
      </w:pPr>
    </w:p>
    <w:p w:rsidR="000E1504" w:rsidRDefault="00724D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158.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 manera excepcional, cuando de forma fundada y motivada así lo determine el sujeto obligado</w:t>
      </w:r>
      <w:r>
        <w:rPr>
          <w:rFonts w:ascii="Palatino Linotype" w:eastAsia="Palatino Linotype" w:hAnsi="Palatino Linotype" w:cs="Palatino Linotype"/>
          <w:i/>
          <w:sz w:val="22"/>
          <w:szCs w:val="22"/>
        </w:rPr>
        <w:t xml:space="preserve">, en aquellos casos en que la información solicitada que </w:t>
      </w:r>
      <w:r>
        <w:rPr>
          <w:rFonts w:ascii="Palatino Linotype" w:eastAsia="Palatino Linotype" w:hAnsi="Palatino Linotype" w:cs="Palatino Linotype"/>
          <w:i/>
          <w:sz w:val="22"/>
          <w:szCs w:val="22"/>
        </w:rPr>
        <w:lastRenderedPageBreak/>
        <w:t xml:space="preserve">ya se encuentre en su posesión implique análisis, estudio o procesamiento de documentos </w:t>
      </w:r>
      <w:r>
        <w:rPr>
          <w:rFonts w:ascii="Palatino Linotype" w:eastAsia="Palatino Linotype" w:hAnsi="Palatino Linotype" w:cs="Palatino Linotype"/>
          <w:b/>
          <w:i/>
          <w:sz w:val="22"/>
          <w:szCs w:val="22"/>
        </w:rPr>
        <w:t>cuya entrega o reproducción sobrepase las capacidades técnicas administrativas y humanas del sujeto obligado</w:t>
      </w:r>
      <w:r>
        <w:rPr>
          <w:rFonts w:ascii="Palatino Linotype" w:eastAsia="Palatino Linotype" w:hAnsi="Palatino Linotype" w:cs="Palatino Linotype"/>
          <w:i/>
          <w:sz w:val="22"/>
          <w:szCs w:val="22"/>
        </w:rPr>
        <w:t xml:space="preserve"> para cumplir con la solicitud, en los plazos establecidos para dichos efectos,</w:t>
      </w:r>
      <w:r>
        <w:rPr>
          <w:rFonts w:ascii="Palatino Linotype" w:eastAsia="Palatino Linotype" w:hAnsi="Palatino Linotype" w:cs="Palatino Linotype"/>
          <w:b/>
          <w:i/>
          <w:sz w:val="22"/>
          <w:szCs w:val="22"/>
        </w:rPr>
        <w:t xml:space="preserve"> se podrá poner a disposición del solicitante los documentos en consulta directa</w:t>
      </w:r>
      <w:r>
        <w:rPr>
          <w:rFonts w:ascii="Palatino Linotype" w:eastAsia="Palatino Linotype" w:hAnsi="Palatino Linotype" w:cs="Palatino Linotype"/>
          <w:i/>
          <w:sz w:val="22"/>
          <w:szCs w:val="22"/>
        </w:rPr>
        <w:t>, salvo la información clasificada”.</w:t>
      </w:r>
    </w:p>
    <w:p w:rsidR="000E1504" w:rsidRDefault="000E1504">
      <w:pPr>
        <w:spacing w:line="276" w:lineRule="auto"/>
        <w:ind w:right="567"/>
        <w:jc w:val="both"/>
        <w:rPr>
          <w:rFonts w:ascii="Palatino Linotype" w:eastAsia="Palatino Linotype" w:hAnsi="Palatino Linotype" w:cs="Palatino Linotype"/>
          <w:i/>
          <w:sz w:val="22"/>
          <w:szCs w:val="22"/>
        </w:rPr>
      </w:pPr>
    </w:p>
    <w:p w:rsidR="000E1504" w:rsidRDefault="00724D85">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acceso se dará en la modalidad de entrega</w:t>
      </w:r>
      <w:r>
        <w:rPr>
          <w:rFonts w:ascii="Palatino Linotype" w:eastAsia="Palatino Linotype" w:hAnsi="Palatino Linotype" w:cs="Palatino Linotype"/>
          <w:i/>
          <w:sz w:val="22"/>
          <w:szCs w:val="22"/>
        </w:rPr>
        <w:t xml:space="preserve"> y, en su caso, de envío elegidos por el solicitante</w:t>
      </w:r>
      <w:r>
        <w:rPr>
          <w:rFonts w:ascii="Palatino Linotype" w:eastAsia="Palatino Linotype" w:hAnsi="Palatino Linotype" w:cs="Palatino Linotype"/>
          <w:b/>
          <w:i/>
          <w:sz w:val="22"/>
          <w:szCs w:val="22"/>
        </w:rPr>
        <w:t>. Cuando la información no pueda entregarse o enviarse en la modalidad solicitada, el sujeto obligado deberá ofrecer otra u otras modalidades de entrega.</w:t>
      </w:r>
    </w:p>
    <w:p w:rsidR="000E1504" w:rsidRDefault="000E1504">
      <w:pPr>
        <w:spacing w:line="276" w:lineRule="auto"/>
        <w:ind w:left="567" w:right="567"/>
        <w:jc w:val="both"/>
        <w:rPr>
          <w:rFonts w:ascii="Palatino Linotype" w:eastAsia="Palatino Linotype" w:hAnsi="Palatino Linotype" w:cs="Palatino Linotype"/>
          <w:i/>
          <w:sz w:val="22"/>
          <w:szCs w:val="22"/>
        </w:rPr>
      </w:pPr>
    </w:p>
    <w:p w:rsidR="000E1504" w:rsidRDefault="00724D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En cualquier caso, se deberá fundar y motivar la necesidad de ofrecer otras modalidades</w:t>
      </w:r>
      <w:r>
        <w:rPr>
          <w:rFonts w:ascii="Palatino Linotype" w:eastAsia="Palatino Linotype" w:hAnsi="Palatino Linotype" w:cs="Palatino Linotype"/>
          <w:i/>
          <w:sz w:val="22"/>
          <w:szCs w:val="22"/>
        </w:rPr>
        <w:t>”.</w:t>
      </w:r>
    </w:p>
    <w:p w:rsidR="000E1504" w:rsidRDefault="000E1504">
      <w:pPr>
        <w:pBdr>
          <w:top w:val="nil"/>
          <w:left w:val="nil"/>
          <w:bottom w:val="nil"/>
          <w:right w:val="nil"/>
          <w:between w:val="nil"/>
        </w:pBdr>
        <w:shd w:val="clear" w:color="auto" w:fill="FFFFFF"/>
        <w:tabs>
          <w:tab w:val="left" w:pos="0"/>
        </w:tabs>
        <w:spacing w:before="24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a para fines de orientación, mediante consulta directa, mediante expedición de copias simples o certificadas o la reproducción en cualquier otro medio, incluidos lo electrónicos.</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sus capacidades administrativas y humanas, con las consecuencias que ello implica, como es la falta de eficiencia </w:t>
      </w:r>
      <w:r>
        <w:rPr>
          <w:rFonts w:ascii="Palatino Linotype" w:eastAsia="Palatino Linotype" w:hAnsi="Palatino Linotype" w:cs="Palatino Linotype"/>
          <w:color w:val="000000"/>
        </w:rPr>
        <w:lastRenderedPageBreak/>
        <w:t>organizacional para efectuar sus funciones esenciales razón por la cual de conformidad con el artículo 158 de la Ley de Transparencia y Acceso a la Información Pública  del Estado de México y Municipios de manera excepcional, cuando de forma fundada y motivada así lo determine,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rPr>
        <w:t>En razón de ello, el sujeto obligado no negó el acceso a la información solicitada,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lastRenderedPageBreak/>
        <w:t>No obstante, lo anterior, el sujeto obligado ofreció otra modalidad de entrega de la información solicitada mediante la consulta directa de la misma, por ende, no se configura una negativa de proporcionar la información como erróneamente se inconforma el particular y como ha confirmado ese Órgano Garante en su resolución al recurso de inconformidad que se cumplimenta.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Lo anterior, es así ya que de conformidad con lo dispuesto en el artículo 164 del ordenamiento legal referido señala que el acceso se dará en la modalidad de entrega y, en su caso, de envío elegidos por el solicitante y que cuando la información no pueda entregarse o enviarse en la modalidad solicitada, el sujeto obligado deberá ofrecer otra u otras modalidades de entrega, lo cual en el presente caso fue la modalidad de consulta directa.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En esa virtud, se considera que no se vulnero el derecho de acceso a la información del particular y mucho menos se trata de una negativa de información, como lo sostiene el Órgano Garante Nacional en su resolución al recurso de inconformidad, que alejándose del principio de legalidad pretende interpretar la norma general en el sentido de establecer una nueva causal de procedencia de dicho medio de impugnación como el idóneo para reclamar toda clase de negativas de acceso s al información que se imputen a los órganos garantes locales.</w:t>
      </w: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En este orden de ideas, el Órgano Garante Nacional refiere en su resolución lo siguiente:</w:t>
      </w:r>
    </w:p>
    <w:p w:rsidR="000E1504" w:rsidRDefault="000E1504">
      <w:pPr>
        <w:pBdr>
          <w:top w:val="nil"/>
          <w:left w:val="nil"/>
          <w:bottom w:val="nil"/>
          <w:right w:val="nil"/>
          <w:between w:val="nil"/>
        </w:pBdr>
        <w:ind w:left="502"/>
        <w:rPr>
          <w:rFonts w:ascii="Palatino Linotype" w:eastAsia="Palatino Linotype" w:hAnsi="Palatino Linotype" w:cs="Palatino Linotype"/>
          <w:color w:val="000000"/>
        </w:rPr>
      </w:pPr>
    </w:p>
    <w:p w:rsidR="000E1504" w:rsidRDefault="00724D85">
      <w:pPr>
        <w:pBdr>
          <w:top w:val="nil"/>
          <w:left w:val="nil"/>
          <w:bottom w:val="nil"/>
          <w:right w:val="nil"/>
          <w:between w:val="nil"/>
        </w:pBdr>
        <w:tabs>
          <w:tab w:val="left" w:pos="0"/>
        </w:tabs>
        <w:spacing w:line="276" w:lineRule="auto"/>
        <w:ind w:left="502"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debe existir un obstáculo infranqueable o de difícil superación </w:t>
      </w:r>
      <w:r>
        <w:rPr>
          <w:rFonts w:ascii="Palatino Linotype" w:eastAsia="Palatino Linotype" w:hAnsi="Palatino Linotype" w:cs="Palatino Linotype"/>
          <w:i/>
          <w:color w:val="000000"/>
          <w:sz w:val="22"/>
          <w:szCs w:val="22"/>
        </w:rPr>
        <w:t xml:space="preserve">para atenderla, como lo es que la información solicitada se encuentre en un formato diverso al solicitado, </w:t>
      </w:r>
      <w:r>
        <w:rPr>
          <w:rFonts w:ascii="Palatino Linotype" w:eastAsia="Palatino Linotype" w:hAnsi="Palatino Linotype" w:cs="Palatino Linotype"/>
          <w:i/>
          <w:color w:val="000000"/>
          <w:sz w:val="22"/>
          <w:szCs w:val="22"/>
        </w:rPr>
        <w:lastRenderedPageBreak/>
        <w:t>que atendiendo a las características de la misma sea imposible su reproducción en el medio elegido por la particular o bien, que la información que de atención a la solicitud amerite un cruce de información en los sistemas de datos, entre otros.</w:t>
      </w:r>
    </w:p>
    <w:p w:rsidR="000E1504" w:rsidRDefault="000E1504">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p>
    <w:p w:rsidR="000E1504" w:rsidRDefault="00724D85">
      <w:pPr>
        <w:pBdr>
          <w:top w:val="nil"/>
          <w:left w:val="nil"/>
          <w:bottom w:val="nil"/>
          <w:right w:val="nil"/>
          <w:between w:val="nil"/>
        </w:pBdr>
        <w:spacing w:line="276" w:lineRule="auto"/>
        <w:ind w:left="502"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E1504" w:rsidRDefault="00724D85">
      <w:pPr>
        <w:pBdr>
          <w:top w:val="nil"/>
          <w:left w:val="nil"/>
          <w:bottom w:val="nil"/>
          <w:right w:val="nil"/>
          <w:between w:val="nil"/>
        </w:pBdr>
        <w:spacing w:before="240" w:after="360" w:line="276" w:lineRule="auto"/>
        <w:ind w:left="502" w:right="47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Por tanto, resulta obvio que el Sujeto Obligado, no fundó, </w:t>
      </w:r>
      <w:r>
        <w:rPr>
          <w:rFonts w:ascii="Palatino Linotype" w:eastAsia="Palatino Linotype" w:hAnsi="Palatino Linotype" w:cs="Palatino Linotype"/>
          <w:b/>
          <w:i/>
          <w:color w:val="000000"/>
          <w:sz w:val="22"/>
          <w:szCs w:val="22"/>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 a la Información Mexiquense (SAIMEX), pues la Ley de la materia no prevé que por el hecho de ser mucha la información o porque se interpongan diversas solicitudes por parte de un particular se cambie la modalidad…”</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Efectivamente, como bien lo señala el Órgano Garante Nacional la ley no establece que por el hecho de ser mucha información o porque se interpongan diversas solicitudes de información por parte de un particular se cambie la modalidad; sin embargo, tampoco establece que deba de “</w:t>
      </w:r>
      <w:r>
        <w:rPr>
          <w:rFonts w:ascii="Palatino Linotype" w:eastAsia="Palatino Linotype" w:hAnsi="Palatino Linotype" w:cs="Palatino Linotype"/>
          <w:i/>
          <w:color w:val="000000"/>
        </w:rPr>
        <w:t>existir un obstáculo infranqueable o de difícil superación”</w:t>
      </w:r>
      <w:r>
        <w:rPr>
          <w:rFonts w:ascii="Palatino Linotype" w:eastAsia="Palatino Linotype" w:hAnsi="Palatino Linotype" w:cs="Palatino Linotype"/>
          <w:color w:val="000000"/>
        </w:rPr>
        <w:t xml:space="preserve">, es mas en su resolución, derivado de su estudio interpretativo de la ley no define y deja claro que debe entenderse por </w:t>
      </w:r>
      <w:r>
        <w:rPr>
          <w:rFonts w:ascii="Palatino Linotype" w:eastAsia="Palatino Linotype" w:hAnsi="Palatino Linotype" w:cs="Palatino Linotype"/>
          <w:i/>
          <w:color w:val="000000"/>
        </w:rPr>
        <w:t>“obstáculo infranqueable o de difícil superación”</w:t>
      </w:r>
      <w:r>
        <w:rPr>
          <w:rFonts w:ascii="Palatino Linotype" w:eastAsia="Palatino Linotype" w:hAnsi="Palatino Linotype" w:cs="Palatino Linotype"/>
          <w:color w:val="000000"/>
        </w:rPr>
        <w:t xml:space="preserve"> limitándose únicamente a señalar que el sujeto obligado no fundó, motivo ni justificó a cabalidad la imposibilidad de entregar la información solicitada en el formato elegido.</w:t>
      </w: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Cabe recordarle al Órgano Garante Nacional que la fundamentación y justificación del sujeto obligado no verso única y exclusivamente en que se hayan interpuesto diversas solicitudes por un particular, sino en que derivado del cúmulo de solicitudes presentadas y recurso de revisión interpuestos, aunado a la limitación </w:t>
      </w:r>
      <w:r>
        <w:rPr>
          <w:rFonts w:ascii="Palatino Linotype" w:eastAsia="Palatino Linotype" w:hAnsi="Palatino Linotype" w:cs="Palatino Linotype"/>
          <w:color w:val="000000"/>
        </w:rPr>
        <w:lastRenderedPageBreak/>
        <w:t>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Asimismo se reitera que no existe una limitante en cada ciudadano para el ejercicio del derecho de acceso a la información, al contrario una de las funciones primordiales de los organismos garantes es la de </w:t>
      </w:r>
      <w:r>
        <w:rPr>
          <w:rFonts w:ascii="Palatino Linotype" w:eastAsia="Palatino Linotype" w:hAnsi="Palatino Linotype" w:cs="Palatino Linotype"/>
          <w:b/>
          <w:color w:val="000000"/>
        </w:rPr>
        <w:t>promover</w:t>
      </w:r>
      <w:r>
        <w:rPr>
          <w:rFonts w:ascii="Palatino Linotype" w:eastAsia="Palatino Linotype" w:hAnsi="Palatino Linotype" w:cs="Palatino Linotype"/>
          <w:color w:val="000000"/>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 para dar cumplimiento y salvaguardar el derecho de acceso a la información pública.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Es así que, derivado del cúmulo de solicitudes de información, </w:t>
      </w:r>
      <w:r>
        <w:rPr>
          <w:rFonts w:ascii="Palatino Linotype" w:eastAsia="Palatino Linotype" w:hAnsi="Palatino Linotype" w:cs="Palatino Linotype"/>
          <w:b/>
          <w:color w:val="000000"/>
        </w:rPr>
        <w:t>y del múltiple soporte documental que implica todas y cada una de las solicitudes</w:t>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t>información</w:t>
      </w:r>
      <w:r>
        <w:rPr>
          <w:rFonts w:ascii="Palatino Linotype" w:eastAsia="Palatino Linotype" w:hAnsi="Palatino Linotype" w:cs="Palatino Linotype"/>
          <w:color w:val="000000"/>
        </w:rPr>
        <w:t xml:space="preserve">; implica un análisis, estudio, procesamiento de documentos, elaboración de versiones públicas y proyectos de clasificación, lo que implica </w:t>
      </w:r>
      <w:r>
        <w:rPr>
          <w:rFonts w:ascii="Palatino Linotype" w:eastAsia="Palatino Linotype" w:hAnsi="Palatino Linotype" w:cs="Palatino Linotype"/>
          <w:color w:val="000000"/>
        </w:rPr>
        <w:lastRenderedPageBreak/>
        <w:t>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 sumando que cuenta con personal limitado debido a la emergencia sanitaria que impera.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No obstante, ello, el Sujeto Obligado de las 1990 solicitudes de información que recibió en el ejercicio 2020, atendió en tiempo 1968, teniendo un porcentaje de solicitudes atendidas en tiempo del 98.89%, de las 1990 solicitudes únicamente en </w:t>
      </w:r>
      <w:r>
        <w:rPr>
          <w:rFonts w:ascii="Palatino Linotype" w:eastAsia="Palatino Linotype" w:hAnsi="Palatino Linotype" w:cs="Palatino Linotype"/>
          <w:color w:val="000000"/>
        </w:rPr>
        <w:lastRenderedPageBreak/>
        <w:t>193 se solicitó prórroga para atenderlas, es decir un 9.70%; asimismo, el sujeto obligado tuvo que atender los 1439 recursos de revisión interpuestos.</w:t>
      </w:r>
      <w:r>
        <w:rPr>
          <w:rFonts w:ascii="Palatino Linotype" w:eastAsia="Palatino Linotype" w:hAnsi="Palatino Linotype" w:cs="Palatino Linotype"/>
          <w:color w:val="000000"/>
          <w:vertAlign w:val="superscript"/>
        </w:rPr>
        <w:footnoteReference w:id="17"/>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Luego entonces, se insiste, nos encontramos en un caso </w:t>
      </w:r>
      <w:r>
        <w:rPr>
          <w:rFonts w:ascii="Palatino Linotype" w:eastAsia="Palatino Linotype" w:hAnsi="Palatino Linotype" w:cs="Palatino Linotype"/>
          <w:i/>
          <w:color w:val="000000"/>
        </w:rPr>
        <w:t>sui generis</w:t>
      </w:r>
      <w:r>
        <w:rPr>
          <w:rFonts w:ascii="Palatino Linotype" w:eastAsia="Palatino Linotype" w:hAnsi="Palatino Linotype" w:cs="Palatino Linotype"/>
          <w:color w:val="000000"/>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 xml:space="preserve">Por lo tanto, la decisión de este Instituto en confirmar el cambio de modalidad, obedeció a que el sujeto obligado de conformidad con el artículo 158 de la Ley de Transparencia y Acceso a la Información del Estado de México y Municipios, de manera excepcional y de forma fundada y motivada y debido a que se sobrepasaron las  capacidades administrativas y humanas, se modificó el cambio de modalidad a su consulta directa, con la finalidad de respetar en todo momento el  legítimo derecho de acceso a la información del particular, con base a la </w:t>
      </w:r>
      <w:r>
        <w:rPr>
          <w:rFonts w:ascii="Palatino Linotype" w:eastAsia="Palatino Linotype" w:hAnsi="Palatino Linotype" w:cs="Palatino Linotype"/>
          <w:color w:val="000000"/>
        </w:rPr>
        <w:lastRenderedPageBreak/>
        <w:t xml:space="preserve">normatividad aplicable, por lo tanto es dable concluir que no existe transgresión al derecho de acceso a la información pública de la parte Recurrente.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Aunado a lo anterior, conviene recordarle al Órgano Garante que las capacidades técnicas, administrativas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o se compara con una Secretaria u organismo a nivel federal.</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Finalmente, es de señalar que el Órgano Garante Nacional señala a su parecer que la información solicitada por el particular constituye parte de sus obligaciones de transparencia comunes que debían estar de manera permanente y actualizada en los respectivos medios electrónicos y que por ello su entrega resultaba sencilla para el sujeto obligado; sin embargo, pasa por alto que aún y cuando dicha información constituya parte de sus obligaciones de transparencia comunes, ello implica necesariamente un análisis, estudio o procesamiento de documentos por parte del sujeto obligado para poder atender las solicitudes de información, ya que su atención no se limita a entregar o copiar y pegar el enlace electrónico o link de IPOMEX o de la Plataforma Nacional, sino que implica una búsqueda, identificación y localización de la información solicitada para proporcionar el link específico que permite llegar a la información que particularmente se ha solicitado.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pStyle w:val="Ttulo1"/>
        <w:numPr>
          <w:ilvl w:val="0"/>
          <w:numId w:val="11"/>
        </w:numPr>
        <w:spacing w:line="259" w:lineRule="auto"/>
        <w:jc w:val="both"/>
        <w:rPr>
          <w:rFonts w:ascii="Palatino Linotype" w:eastAsia="Palatino Linotype" w:hAnsi="Palatino Linotype" w:cs="Palatino Linotype"/>
          <w:b/>
          <w:color w:val="000000"/>
          <w:sz w:val="24"/>
          <w:szCs w:val="24"/>
        </w:rPr>
      </w:pPr>
      <w:bookmarkStart w:id="21" w:name="_1y810tw" w:colFirst="0" w:colLast="0"/>
      <w:bookmarkEnd w:id="21"/>
      <w:r>
        <w:rPr>
          <w:rFonts w:ascii="Palatino Linotype" w:eastAsia="Palatino Linotype" w:hAnsi="Palatino Linotype" w:cs="Palatino Linotype"/>
          <w:b/>
          <w:color w:val="000000"/>
          <w:sz w:val="24"/>
          <w:szCs w:val="24"/>
        </w:rPr>
        <w:lastRenderedPageBreak/>
        <w:t xml:space="preserve">De las deficiencias en la resolución del recurso de inconformidad emitida por el Instituto Nacional de Transparencia, Acceso a la Información Pública y Protección de Datos Personales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notoriamente improcedente.</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Asimismo, dicho principio de legalidad se contraviene ya que la resolución de mérito se encuentra fundamentada en una sentencia a un amparo indirecto, el cual va más allá de ser un criterio orientador, pretende darle a una sentencia de amparo efectos erga omnes, dándole efectos expansivos mayores que una jurisprudencia, sino de dotarla de fuerza legal, constituyéndose en legislador y creador de normas para decidir sobre el actuar de los órganos garantes locales.</w:t>
      </w:r>
    </w:p>
    <w:p w:rsidR="000E1504" w:rsidRDefault="000E1504">
      <w:pPr>
        <w:pBdr>
          <w:top w:val="nil"/>
          <w:left w:val="nil"/>
          <w:bottom w:val="nil"/>
          <w:right w:val="nil"/>
          <w:between w:val="nil"/>
        </w:pBdr>
        <w:shd w:val="clear" w:color="auto" w:fill="FFFFFF"/>
        <w:tabs>
          <w:tab w:val="left" w:pos="0"/>
        </w:tabs>
        <w:spacing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after="150" w:line="360" w:lineRule="auto"/>
        <w:ind w:left="0" w:right="49" w:firstLine="0"/>
        <w:jc w:val="both"/>
        <w:rPr>
          <w:highlight w:val="white"/>
        </w:rPr>
      </w:pPr>
      <w:r>
        <w:rPr>
          <w:rFonts w:ascii="Palatino Linotype" w:eastAsia="Palatino Linotype" w:hAnsi="Palatino Linotype" w:cs="Palatino Linotype"/>
          <w:color w:val="000000"/>
          <w:highlight w:val="white"/>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0E1504" w:rsidRDefault="00724D85">
      <w:pPr>
        <w:pStyle w:val="Ttulo1"/>
        <w:numPr>
          <w:ilvl w:val="0"/>
          <w:numId w:val="13"/>
        </w:numPr>
        <w:spacing w:line="259" w:lineRule="auto"/>
        <w:rPr>
          <w:rFonts w:ascii="Palatino Linotype" w:eastAsia="Palatino Linotype" w:hAnsi="Palatino Linotype" w:cs="Palatino Linotype"/>
          <w:b/>
          <w:color w:val="000000"/>
          <w:sz w:val="24"/>
          <w:szCs w:val="24"/>
        </w:rPr>
      </w:pPr>
      <w:bookmarkStart w:id="22" w:name="_4i7ojhp" w:colFirst="0" w:colLast="0"/>
      <w:bookmarkEnd w:id="22"/>
      <w:r>
        <w:rPr>
          <w:rFonts w:ascii="Palatino Linotype" w:eastAsia="Palatino Linotype" w:hAnsi="Palatino Linotype" w:cs="Palatino Linotype"/>
          <w:b/>
          <w:color w:val="000000"/>
          <w:sz w:val="24"/>
          <w:szCs w:val="24"/>
        </w:rPr>
        <w:lastRenderedPageBreak/>
        <w:t>Conclusiones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after="90" w:line="360" w:lineRule="auto"/>
        <w:ind w:left="0" w:right="49" w:firstLine="0"/>
        <w:jc w:val="both"/>
        <w:rPr>
          <w:highlight w:val="white"/>
        </w:rPr>
      </w:pPr>
      <w:r>
        <w:rPr>
          <w:rFonts w:ascii="Palatino Linotype" w:eastAsia="Palatino Linotype" w:hAnsi="Palatino Linotype" w:cs="Palatino Linotype"/>
          <w:color w:val="000000"/>
          <w:highlight w:val="white"/>
        </w:rPr>
        <w:t>E</w:t>
      </w:r>
      <w:r>
        <w:rPr>
          <w:rFonts w:ascii="Palatino Linotype" w:eastAsia="Palatino Linotype" w:hAnsi="Palatino Linotype" w:cs="Palatino Linotype"/>
          <w:color w:val="000000"/>
        </w:rPr>
        <w:t>l recurso de inconformidad resulta improcedente por no actualizarse las hipótesis legales para su interposición contenida en el artículo 160 de la Ley General de Transparencia y Acceso a la Información Pública, y por ende existe imposibilidad jurídica por parte del INAI para estudiar y decidir dicha cuestión.</w:t>
      </w:r>
    </w:p>
    <w:p w:rsidR="000E1504" w:rsidRDefault="000E1504">
      <w:pPr>
        <w:pBdr>
          <w:top w:val="nil"/>
          <w:left w:val="nil"/>
          <w:bottom w:val="nil"/>
          <w:right w:val="nil"/>
          <w:between w:val="nil"/>
        </w:pBdr>
        <w:shd w:val="clear" w:color="auto" w:fill="FFFFFF"/>
        <w:tabs>
          <w:tab w:val="left" w:pos="0"/>
        </w:tabs>
        <w:spacing w:before="90" w:after="150" w:line="360" w:lineRule="auto"/>
        <w:ind w:right="49"/>
        <w:jc w:val="both"/>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before="150" w:line="360" w:lineRule="auto"/>
        <w:ind w:left="0" w:right="49" w:firstLine="0"/>
        <w:jc w:val="both"/>
        <w:rPr>
          <w:highlight w:val="white"/>
        </w:rPr>
      </w:pPr>
      <w:r>
        <w:rPr>
          <w:rFonts w:ascii="Palatino Linotype" w:eastAsia="Palatino Linotype" w:hAnsi="Palatino Linotype" w:cs="Palatino Linotype"/>
          <w:color w:val="000000"/>
          <w:highlight w:val="white"/>
        </w:rPr>
        <w:t xml:space="preserve">El INAI contraviene el principio de legalidad, ya que la resolución al recurso de inconformidad se funda y motiva en un criterio de la </w:t>
      </w:r>
      <w:r>
        <w:rPr>
          <w:rFonts w:ascii="Palatino Linotype" w:eastAsia="Palatino Linotype" w:hAnsi="Palatino Linotype" w:cs="Palatino Linotype"/>
          <w:color w:val="000000"/>
        </w:rPr>
        <w:t>Segunda Sala de la Suprema Corte de Justicia de la Nación, al resolver el Amparo en Revisión 654/18</w:t>
      </w:r>
      <w:r>
        <w:rPr>
          <w:rFonts w:ascii="Palatino Linotype" w:eastAsia="Palatino Linotype" w:hAnsi="Palatino Linotype" w:cs="Palatino Linotype"/>
          <w:color w:val="000000"/>
          <w:highlight w:val="white"/>
        </w:rPr>
        <w:t xml:space="preserve"> que no tiene fuerza legal, que no constituye un criterio reiterado por el Poder Judicial de la Federación, el cual aunque así lo fuera, en virtud del respeto irrestricto al principio de legalidad que debe de regir su actuar como órgano garante, no puede aplicar y mucho menos darle los efectos erga omnes y expansivos que le otorga en su resolución.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t>El INAI al resolver el recurso de inconformidad no hace un estudio pormenorizado y exhaustivo sobre los puntos particulares y específicos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highlight w:val="white"/>
        </w:rPr>
        <w:lastRenderedPageBreak/>
        <w:t xml:space="preserve">El Órgano Garante Nacional no solo interpreta el texto de la Ley General de Transparencia y Acceso a la Información Pública, específicamente lo dispuesto en el artículo 160 de dicho ordenamiento legal, sino que le añade supuestos de procedencia del recurso de inconformidad mas allá de los establecidos en la norma, así que no solo hace una interpretación errónea de la norma, sino que llega al absurdo de desconocer el texto normativo, interpretarlo, legislar y aplicarlo a capricho, desconociendo y desdeñando el principio de legalidad que debe de regir en todo momento su actuar y que debe ser piedra angular de sus actuaciones y resoluciones.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highlight w:val="white"/>
        </w:rPr>
      </w:pPr>
    </w:p>
    <w:p w:rsidR="000E1504" w:rsidRDefault="00724D85">
      <w:pPr>
        <w:pStyle w:val="Ttulo1"/>
        <w:rPr>
          <w:rFonts w:ascii="Palatino Linotype" w:eastAsia="Palatino Linotype" w:hAnsi="Palatino Linotype" w:cs="Palatino Linotype"/>
          <w:b/>
          <w:color w:val="000000"/>
          <w:sz w:val="24"/>
          <w:szCs w:val="24"/>
          <w:highlight w:val="white"/>
        </w:rPr>
      </w:pPr>
      <w:bookmarkStart w:id="23" w:name="_2xcytpi" w:colFirst="0" w:colLast="0"/>
      <w:bookmarkEnd w:id="23"/>
      <w:r>
        <w:rPr>
          <w:rFonts w:ascii="Palatino Linotype" w:eastAsia="Palatino Linotype" w:hAnsi="Palatino Linotype" w:cs="Palatino Linotype"/>
          <w:b/>
          <w:color w:val="000000"/>
          <w:sz w:val="24"/>
          <w:szCs w:val="24"/>
          <w:highlight w:val="white"/>
        </w:rPr>
        <w:t>QUINTO. Cumplimiento al Recurso de Inconformidad 143/20</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rPr>
          <w:highlight w:val="white"/>
        </w:rPr>
      </w:pPr>
      <w:r>
        <w:rPr>
          <w:rFonts w:ascii="Palatino Linotype" w:eastAsia="Palatino Linotype" w:hAnsi="Palatino Linotype" w:cs="Palatino Linotype"/>
          <w:color w:val="000000"/>
        </w:rPr>
        <w:t>No obstante, lo anterior, 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0E1504" w:rsidRPr="001535CA"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Por lo que,  de conformidad con lo dispuesto en el artículo 172</w:t>
      </w:r>
      <w:r w:rsidR="001535CA">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de la Ley General de Transparencia se da cumplimiento en los términos que dispone el Órgano Garante Nacional en el RIA 143/20, mediante el cual estimo procedente </w:t>
      </w:r>
      <w:r>
        <w:rPr>
          <w:rFonts w:ascii="Palatino Linotype" w:eastAsia="Palatino Linotype" w:hAnsi="Palatino Linotype" w:cs="Palatino Linotype"/>
          <w:color w:val="000000"/>
        </w:rPr>
        <w:lastRenderedPageBreak/>
        <w:t>“</w:t>
      </w:r>
      <w:r>
        <w:rPr>
          <w:rFonts w:ascii="Palatino Linotype" w:eastAsia="Palatino Linotype" w:hAnsi="Palatino Linotype" w:cs="Palatino Linotype"/>
          <w:i/>
          <w:color w:val="000000"/>
        </w:rPr>
        <w:t>Emita una nueva resolución en la que instruya al Ayuntamiento de Ixtapan de la Sal a entregar la información relativa a todas las actas de las sesiones extraordinarias de la Junta de Gobierno del sistema municipal DIF relativas al ejercicio fiscal 2020, debiendo privilegiar la entrega en medios electrónicos; sin embargo, si se acredita un impedimento justificado para atender esa modalidad en relación directa con el formato en el que obra la información, se deberá de dar la opción al sujeto obligado para que, de manera debidamente fundada y motivada se ofrezca la entrega de la información en el resto de las modalidades de entrega de la información además de consulta directa, como copias simples y certificadas con opción de envío a domicilio previo pago correspondiente.”</w:t>
      </w:r>
    </w:p>
    <w:p w:rsidR="001535CA" w:rsidRDefault="001535CA" w:rsidP="001535CA">
      <w:pPr>
        <w:pBdr>
          <w:top w:val="nil"/>
          <w:left w:val="nil"/>
          <w:bottom w:val="nil"/>
          <w:right w:val="nil"/>
          <w:between w:val="nil"/>
        </w:pBdr>
        <w:tabs>
          <w:tab w:val="left" w:pos="0"/>
        </w:tabs>
        <w:spacing w:line="360" w:lineRule="auto"/>
        <w:ind w:right="49"/>
        <w:jc w:val="both"/>
      </w:pPr>
    </w:p>
    <w:p w:rsidR="000E1504" w:rsidRDefault="00724D85">
      <w:pPr>
        <w:numPr>
          <w:ilvl w:val="0"/>
          <w:numId w:val="15"/>
        </w:numPr>
        <w:pBdr>
          <w:top w:val="nil"/>
          <w:left w:val="nil"/>
          <w:bottom w:val="nil"/>
          <w:right w:val="nil"/>
          <w:between w:val="nil"/>
        </w:pBdr>
        <w:shd w:val="clear" w:color="auto" w:fill="FFFFFF"/>
        <w:tabs>
          <w:tab w:val="left" w:pos="0"/>
        </w:tabs>
        <w:spacing w:line="360" w:lineRule="auto"/>
        <w:ind w:left="0" w:right="49" w:firstLine="0"/>
        <w:jc w:val="both"/>
      </w:pPr>
      <w:r>
        <w:rPr>
          <w:rFonts w:ascii="Palatino Linotype" w:eastAsia="Palatino Linotype" w:hAnsi="Palatino Linotype" w:cs="Palatino Linotype"/>
          <w:color w:val="000000"/>
        </w:rPr>
        <w:t>Por lo que en cumplimiento a la resolución emitida en el Recurso de Inconformidad RIA 143/20, por el Pleno del Instituto Nacional de Transparencia, Acceso a la Información y Protección de Datos Personales, este Instituto resuelve ordenar al Sujeto Obligado, Ayuntamiento de Ixtapan de la Sal, haga entrega de la información de referencia, en los términos anteriormente transcritos.</w:t>
      </w:r>
    </w:p>
    <w:p w:rsidR="000E1504" w:rsidRDefault="000E1504">
      <w:pPr>
        <w:pBdr>
          <w:top w:val="nil"/>
          <w:left w:val="nil"/>
          <w:bottom w:val="nil"/>
          <w:right w:val="nil"/>
          <w:between w:val="nil"/>
        </w:pBdr>
        <w:ind w:left="708"/>
        <w:rPr>
          <w:rFonts w:ascii="Palatino Linotype" w:eastAsia="Palatino Linotype" w:hAnsi="Palatino Linotype" w:cs="Palatino Linotype"/>
          <w:i/>
          <w:color w:val="000000"/>
        </w:rPr>
      </w:pPr>
    </w:p>
    <w:p w:rsidR="000E1504" w:rsidRDefault="000E1504">
      <w:pPr>
        <w:pStyle w:val="Ttulo2"/>
        <w:rPr>
          <w:rFonts w:ascii="Palatino Linotype" w:eastAsia="Palatino Linotype" w:hAnsi="Palatino Linotype" w:cs="Palatino Linotype"/>
          <w:b/>
          <w:color w:val="000000"/>
          <w:sz w:val="24"/>
          <w:szCs w:val="24"/>
        </w:rPr>
      </w:pPr>
      <w:bookmarkStart w:id="24" w:name="_1ci93xb" w:colFirst="0" w:colLast="0"/>
      <w:bookmarkEnd w:id="24"/>
    </w:p>
    <w:p w:rsidR="000E1504" w:rsidRDefault="00724D85">
      <w:pPr>
        <w:pStyle w:val="Ttulo2"/>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SEXTO. De la versión pública.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Pr="001535CA" w:rsidRDefault="00724D85" w:rsidP="001535CA">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Debe destacarse que debido a la naturaleza de la información que se ordena entregar, 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la información solicitada se deberá entregar en versión pública.</w:t>
      </w: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 xml:space="preserve">De acuerdo a lo establecido por el artículo 122 de la Ley en materia, establece la clasificación de información, misma que puede ser por dos hipótesis, las cuales corresponden a información reservada o confidencial, por lo que los </w:t>
      </w:r>
      <w:r>
        <w:rPr>
          <w:rFonts w:ascii="Palatino Linotype" w:eastAsia="Palatino Linotype" w:hAnsi="Palatino Linotype" w:cs="Palatino Linotype"/>
          <w:b/>
          <w:color w:val="000000"/>
        </w:rPr>
        <w:t xml:space="preserve">SUJETOS OBLIGADOS </w:t>
      </w:r>
      <w:r>
        <w:rPr>
          <w:rFonts w:ascii="Palatino Linotype" w:eastAsia="Palatino Linotype" w:hAnsi="Palatino Linotype" w:cs="Palatino Linotype"/>
          <w:color w:val="000000"/>
        </w:rPr>
        <w:t>deberá de realizar el proceso de clasificación de información de acuerdo a las bases, principios y disposiciones que ley les señale.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Así mismo los artículos 143 y 116 de la Ley Estatal y de la Ley General, respectivamente, señalan los supuestos para que la información pueda ser clasificada como confidencial:</w:t>
      </w:r>
    </w:p>
    <w:p w:rsidR="000E1504" w:rsidRDefault="00724D85">
      <w:pPr>
        <w:widowControl w:val="0"/>
        <w:spacing w:after="240"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 Se refiera a la información privada y los datos personales concernientes a una persona física o </w:t>
      </w:r>
      <w:proofErr w:type="gramStart"/>
      <w:r>
        <w:rPr>
          <w:rFonts w:ascii="Palatino Linotype" w:eastAsia="Palatino Linotype" w:hAnsi="Palatino Linotype" w:cs="Palatino Linotype"/>
          <w:color w:val="000000"/>
        </w:rPr>
        <w:t>jurídico</w:t>
      </w:r>
      <w:proofErr w:type="gramEnd"/>
      <w:r>
        <w:rPr>
          <w:rFonts w:ascii="Palatino Linotype" w:eastAsia="Palatino Linotype" w:hAnsi="Palatino Linotype" w:cs="Palatino Linotype"/>
          <w:color w:val="000000"/>
        </w:rPr>
        <w:t xml:space="preserve"> colectiva identificada o identificable; </w:t>
      </w:r>
    </w:p>
    <w:p w:rsidR="000E1504" w:rsidRDefault="00724D85">
      <w:pPr>
        <w:widowControl w:val="0"/>
        <w:spacing w:after="240"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0E1504" w:rsidRDefault="00724D85">
      <w:pPr>
        <w:widowControl w:val="0"/>
        <w:spacing w:after="240"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III. La que presenten los particulares a los sujetos obligados, de conformidad con lo dispuesto por las leyes o los tratados internacionales. </w:t>
      </w:r>
    </w:p>
    <w:p w:rsidR="000E1504" w:rsidRDefault="00724D85">
      <w:pPr>
        <w:widowControl w:val="0"/>
        <w:spacing w:after="240"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información confidencial no estará sujeta a temporalidad alguna y sólo podrán tener acceso a ella los titulares de la misma, sus representantes y los servidores públicos facultados para ello. </w:t>
      </w:r>
    </w:p>
    <w:p w:rsidR="000E1504" w:rsidRDefault="00724D85">
      <w:pPr>
        <w:widowControl w:val="0"/>
        <w:spacing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se considerará confidencial la información que se encuentre en los registros públicos o en fuentes de acceso público, ni tampoco la que sea </w:t>
      </w:r>
      <w:r>
        <w:rPr>
          <w:rFonts w:ascii="Palatino Linotype" w:eastAsia="Palatino Linotype" w:hAnsi="Palatino Linotype" w:cs="Palatino Linotype"/>
          <w:color w:val="000000"/>
        </w:rPr>
        <w:lastRenderedPageBreak/>
        <w:t xml:space="preserve">considerada por la presente ley como información pública. </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Como consecuencia de lo anterior,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identificar claramente el tipo de información y hacer un juicio de subsunción o encaje</w:t>
      </w:r>
      <w:r>
        <w:rPr>
          <w:rFonts w:ascii="Palatino Linotype" w:eastAsia="Palatino Linotype" w:hAnsi="Palatino Linotype" w:cs="Palatino Linotype"/>
          <w:color w:val="000000"/>
          <w:vertAlign w:val="superscript"/>
        </w:rPr>
        <w:footnoteReference w:id="18"/>
      </w:r>
      <w:r>
        <w:rPr>
          <w:rFonts w:ascii="Palatino Linotype" w:eastAsia="Palatino Linotype" w:hAnsi="Palatino Linotype" w:cs="Palatino Linotype"/>
          <w:color w:val="000000"/>
        </w:rPr>
        <w:t xml:space="preserve"> para acreditar que el supuesto de hecho corresponde estrictamente con la hipótesis jurídica. Esto también lo debe de realizar el servidor público habilitado y el titular del área que administra la información.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lastRenderedPageBreak/>
        <w:t>Una vez hecho lo anterior, se remite la información al Titular de la Unidad de Transparencia, con el acuerdo de clasificación correspondiente, para que sea sometido al conocimiento del Comité de Transparencia.</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pStyle w:val="Ttulo2"/>
        <w:numPr>
          <w:ilvl w:val="0"/>
          <w:numId w:val="3"/>
        </w:numPr>
        <w:pBdr>
          <w:top w:val="nil"/>
          <w:left w:val="nil"/>
          <w:bottom w:val="nil"/>
          <w:right w:val="nil"/>
          <w:between w:val="nil"/>
        </w:pBdr>
        <w:spacing w:before="0" w:line="240" w:lineRule="auto"/>
        <w:ind w:left="0" w:firstLine="0"/>
        <w:rPr>
          <w:rFonts w:ascii="Palatino Linotype" w:eastAsia="Palatino Linotype" w:hAnsi="Palatino Linotype" w:cs="Palatino Linotype"/>
          <w:b/>
          <w:color w:val="000000"/>
          <w:sz w:val="24"/>
          <w:szCs w:val="24"/>
        </w:rPr>
      </w:pPr>
      <w:bookmarkStart w:id="25" w:name="_3whwml4" w:colFirst="0" w:colLast="0"/>
      <w:bookmarkEnd w:id="25"/>
      <w:r>
        <w:rPr>
          <w:rFonts w:ascii="Palatino Linotype" w:eastAsia="Palatino Linotype" w:hAnsi="Palatino Linotype" w:cs="Palatino Linotype"/>
          <w:b/>
          <w:color w:val="000000"/>
          <w:sz w:val="24"/>
          <w:szCs w:val="24"/>
        </w:rPr>
        <w:t>Requisitos de fondo del acuerdo de clasificación.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Han sido vastos los estudios doctrinarios relativos a estos derechos fundamentales y al principio de legalidad en ellos contenidos; como ejemplo, el </w:t>
      </w:r>
      <w:r>
        <w:rPr>
          <w:rFonts w:ascii="Palatino Linotype" w:eastAsia="Palatino Linotype" w:hAnsi="Palatino Linotype" w:cs="Palatino Linotype"/>
          <w:color w:val="000000"/>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eastAsia="Palatino Linotype" w:hAnsi="Palatino Linotype" w:cs="Palatino Linotype"/>
          <w:color w:val="000000"/>
          <w:vertAlign w:val="superscript"/>
        </w:rPr>
        <w:footnoteReference w:id="19"/>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Por su parte, el intérprete judicial del país ha establecido una jurisprudencia respecto a qué debe entenderse por fundamentación y motivación, en los siguientes términos:</w:t>
      </w:r>
    </w:p>
    <w:p w:rsidR="000E1504" w:rsidRDefault="000E1504">
      <w:pPr>
        <w:spacing w:line="360" w:lineRule="auto"/>
        <w:ind w:right="618"/>
        <w:jc w:val="both"/>
        <w:rPr>
          <w:rFonts w:ascii="Palatino Linotype" w:eastAsia="Palatino Linotype" w:hAnsi="Palatino Linotype" w:cs="Palatino Linotype"/>
          <w:color w:val="000000"/>
        </w:rPr>
      </w:pP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FUNDAMENTACIÓN Y MOTIVACIÓN.</w:t>
      </w:r>
      <w:r>
        <w:rPr>
          <w:rFonts w:ascii="Palatino Linotype" w:eastAsia="Palatino Linotype" w:hAnsi="Palatino Linotype" w:cs="Palatino Linotype"/>
          <w:i/>
          <w:color w:val="000000"/>
          <w:sz w:val="22"/>
          <w:szCs w:val="22"/>
        </w:rPr>
        <w:t xml:space="preserve"> La </w:t>
      </w:r>
      <w:r>
        <w:rPr>
          <w:rFonts w:ascii="Palatino Linotype" w:eastAsia="Palatino Linotype" w:hAnsi="Palatino Linotype" w:cs="Palatino Linotype"/>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i/>
          <w:color w:val="000000"/>
          <w:sz w:val="22"/>
          <w:szCs w:val="22"/>
        </w:rPr>
        <w:t>.</w:t>
      </w: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SEGUNDO TRIBUNAL COLEGIADO DEL SEXTO CIRCUITO.</w:t>
      </w: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Amparo directo 194/88. Bufete Industrial Construcciones, S.A. de C.V. 28 de junio de 1988. Unanimidad de votos. Ponente: Gustavo Calvillo Rangel. Secretario: Jorge Alberto González Álvarez.</w:t>
      </w: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Revisión fiscal 103/88. Instituto Mexicano del Seguro Social. 18 de octubre de 1988. Unanimidad de votos. Ponente: Arnoldo Nájera Virgen. Secretario: Alejandro Esponda Rincón.</w:t>
      </w: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333/88. Adilia Romero. 26 de octubre de 1988. Unanimidad de votos. Ponente: Arnoldo Nájera Virgen. Secretario: Enrique Crispín Campos Ramírez.</w:t>
      </w: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597/95. Emilio Maurer Bretón. 15 de noviembre de 1995. Unanimidad de votos. Ponente: Clementina Ramírez Moguel Goyzueta. Secretario: Gonzalo Carrera Molina.</w:t>
      </w:r>
    </w:p>
    <w:p w:rsidR="000E1504" w:rsidRDefault="00724D85">
      <w:pPr>
        <w:spacing w:line="360" w:lineRule="auto"/>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directo 7/96. Pedro Vicente López Miro. 21 de febrero de 1996. Unanimidad de votos. Ponente: María Eugenia Estela Martínez Cardiel. Secretario: Enrique Baigts Muñoz.</w:t>
      </w:r>
      <w:r>
        <w:rPr>
          <w:rFonts w:ascii="Palatino Linotype" w:eastAsia="Palatino Linotype" w:hAnsi="Palatino Linotype" w:cs="Palatino Linotype"/>
          <w:i/>
          <w:color w:val="000000"/>
          <w:sz w:val="22"/>
          <w:szCs w:val="22"/>
          <w:vertAlign w:val="superscript"/>
        </w:rPr>
        <w:footnoteReference w:id="20"/>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En consecuencia, la fundamentación y motivación implica que, en el acto de autoridad, además de contenerse los supuestos jurídicos aplicables se expliquen </w:t>
      </w:r>
      <w:r>
        <w:rPr>
          <w:rFonts w:ascii="Palatino Linotype" w:eastAsia="Palatino Linotype" w:hAnsi="Palatino Linotype" w:cs="Palatino Linotype"/>
          <w:color w:val="000000"/>
        </w:rPr>
        <w:lastRenderedPageBreak/>
        <w:t>claramente por qué a través de la utilización de la norma se emitió el acto. De este modo, la persona que se sienta afectada pueda impugnar la decisión, permitiéndole una real y auténtica defensa.</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Pr="001535CA"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En ese mismo sentido, el lineamiento trigésimo tercero fracción V de los Lineamientos Generales, precisa que para motivar la clasificación se deben acreditar las circunstancias de tiempo, modo y lugar.</w:t>
      </w:r>
    </w:p>
    <w:p w:rsidR="001535CA" w:rsidRDefault="001535CA" w:rsidP="001535CA">
      <w:pPr>
        <w:pBdr>
          <w:top w:val="nil"/>
          <w:left w:val="nil"/>
          <w:bottom w:val="nil"/>
          <w:right w:val="nil"/>
          <w:between w:val="nil"/>
        </w:pBdr>
        <w:tabs>
          <w:tab w:val="left" w:pos="0"/>
        </w:tabs>
        <w:spacing w:line="360" w:lineRule="auto"/>
        <w:ind w:right="49"/>
        <w:jc w:val="both"/>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Ahora bien, para cada caso además de fundar y motivar, se debe identificar con claridad que datos contenidos en las documentales que son susceptibles de suprimirse, porque no todos los datos contenidos en los documentos ordenados son datos personales</w:t>
      </w:r>
      <w:r>
        <w:rPr>
          <w:rFonts w:ascii="Palatino Linotype" w:eastAsia="Palatino Linotype" w:hAnsi="Palatino Linotype" w:cs="Palatino Linotype"/>
          <w:color w:val="000000"/>
          <w:vertAlign w:val="superscript"/>
        </w:rPr>
        <w:footnoteReference w:id="21"/>
      </w:r>
      <w:r>
        <w:rPr>
          <w:rFonts w:ascii="Palatino Linotype" w:eastAsia="Palatino Linotype" w:hAnsi="Palatino Linotype" w:cs="Palatino Linotype"/>
          <w:color w:val="000000"/>
        </w:rPr>
        <w:t>, 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Es de señalar, que por lo que hace a las versiones públicas,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cumplir con las formalidades exigidas en la Ley, por lo que para tal efecto emitirá el Acuerdo del Comité de Transparencia en términos de los </w:t>
      </w:r>
      <w:r>
        <w:rPr>
          <w:rFonts w:ascii="Palatino Linotype" w:eastAsia="Palatino Linotype" w:hAnsi="Palatino Linotype" w:cs="Palatino Linotype"/>
          <w:color w:val="000000"/>
        </w:rPr>
        <w:lastRenderedPageBreak/>
        <w:t>artículos 49 fracción VIII, 122</w:t>
      </w:r>
      <w:r>
        <w:rPr>
          <w:rFonts w:ascii="Palatino Linotype" w:eastAsia="Palatino Linotype" w:hAnsi="Palatino Linotype" w:cs="Palatino Linotype"/>
          <w:color w:val="000000"/>
          <w:vertAlign w:val="superscript"/>
        </w:rPr>
        <w:footnoteReference w:id="22"/>
      </w:r>
      <w:r>
        <w:rPr>
          <w:rFonts w:ascii="Palatino Linotype" w:eastAsia="Palatino Linotype" w:hAnsi="Palatino Linotype" w:cs="Palatino Linotype"/>
          <w:color w:val="000000"/>
        </w:rPr>
        <w:t>, 135</w:t>
      </w:r>
      <w:r>
        <w:rPr>
          <w:rFonts w:ascii="Palatino Linotype" w:eastAsia="Palatino Linotype" w:hAnsi="Palatino Linotype" w:cs="Palatino Linotype"/>
          <w:color w:val="000000"/>
          <w:vertAlign w:val="superscript"/>
        </w:rPr>
        <w:footnoteReference w:id="23"/>
      </w:r>
      <w:r>
        <w:rPr>
          <w:rFonts w:ascii="Palatino Linotype" w:eastAsia="Palatino Linotype" w:hAnsi="Palatino Linotype" w:cs="Palatino Linotype"/>
          <w:color w:val="000000"/>
        </w:rPr>
        <w:t xml:space="preserve"> y 149 de la Ley de Transparencia y Acceso a la Información Pública del Estado de México, con el cual sustentara la clasificación de datos y con ello la "versión pública" de los documentos materia de la solicitud.</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 xml:space="preserve">Siendo así que, la clasificación de la información, en cualquiera de sus modalidades, deberá de justificarse en un Acuerdo de Clasificación de Información emitido por el Comité del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Dicho acuerdo </w:t>
      </w:r>
      <w:r>
        <w:rPr>
          <w:rFonts w:ascii="Palatino Linotype" w:eastAsia="Palatino Linotype" w:hAnsi="Palatino Linotype" w:cs="Palatino Linotype"/>
          <w:color w:val="000000"/>
        </w:rPr>
        <w:lastRenderedPageBreak/>
        <w:t xml:space="preserve">deberá de contener los </w:t>
      </w:r>
      <w:r>
        <w:rPr>
          <w:rFonts w:ascii="Palatino Linotype" w:eastAsia="Palatino Linotype" w:hAnsi="Palatino Linotype" w:cs="Palatino Linotype"/>
          <w:b/>
          <w:color w:val="000000"/>
        </w:rPr>
        <w:t>razonamientos lógicos</w:t>
      </w:r>
      <w:r>
        <w:rPr>
          <w:rFonts w:ascii="Palatino Linotype" w:eastAsia="Palatino Linotype" w:hAnsi="Palatino Linotype" w:cs="Palatino Linotype"/>
          <w:color w:val="000000"/>
        </w:rPr>
        <w:t xml:space="preserve"> mediante los cuales se </w:t>
      </w:r>
      <w:r>
        <w:rPr>
          <w:rFonts w:ascii="Palatino Linotype" w:eastAsia="Palatino Linotype" w:hAnsi="Palatino Linotype" w:cs="Palatino Linotype"/>
          <w:b/>
          <w:color w:val="000000"/>
        </w:rPr>
        <w:t xml:space="preserve">demuestre </w:t>
      </w:r>
      <w:r>
        <w:rPr>
          <w:rFonts w:ascii="Palatino Linotype" w:eastAsia="Palatino Linotype" w:hAnsi="Palatino Linotype" w:cs="Palatino Linotype"/>
          <w:color w:val="000000"/>
        </w:rPr>
        <w:t>que la información corresponde a algunas de las hipótesis jurídicas previstas en los artículos 122 y 143 de la ley, explicando claramente las causas excepcionales que justifican la restricción al derecho.</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E1504" w:rsidRDefault="000E1504">
      <w:pPr>
        <w:pBdr>
          <w:top w:val="nil"/>
          <w:left w:val="nil"/>
          <w:bottom w:val="nil"/>
          <w:right w:val="nil"/>
          <w:between w:val="nil"/>
        </w:pBdr>
        <w:ind w:left="708"/>
        <w:rPr>
          <w:rFonts w:ascii="Palatino Linotype" w:eastAsia="Palatino Linotype" w:hAnsi="Palatino Linotype" w:cs="Palatino Linotype"/>
          <w:color w:val="000000"/>
        </w:rPr>
      </w:pPr>
    </w:p>
    <w:p w:rsidR="000E1504" w:rsidRDefault="00724D85">
      <w:pPr>
        <w:numPr>
          <w:ilvl w:val="0"/>
          <w:numId w:val="15"/>
        </w:numPr>
        <w:pBdr>
          <w:top w:val="nil"/>
          <w:left w:val="nil"/>
          <w:bottom w:val="nil"/>
          <w:right w:val="nil"/>
          <w:between w:val="nil"/>
        </w:pBdr>
        <w:tabs>
          <w:tab w:val="left" w:pos="0"/>
        </w:tabs>
        <w:spacing w:line="360" w:lineRule="auto"/>
        <w:ind w:left="0" w:right="49" w:firstLine="0"/>
        <w:jc w:val="both"/>
      </w:pPr>
      <w:r>
        <w:rPr>
          <w:rFonts w:ascii="Palatino Linotype" w:eastAsia="Palatino Linotype" w:hAnsi="Palatino Linotype" w:cs="Palatino Linotype"/>
          <w:color w:val="000000"/>
        </w:rPr>
        <w:t>Es decir un documento público testado que no se acompañe del respectivo acuerdo de clasificación no es una versión pública sino un documento alterado.</w:t>
      </w:r>
    </w:p>
    <w:p w:rsidR="000E1504" w:rsidRDefault="000E150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0E1504" w:rsidRDefault="00724D85">
      <w:pPr>
        <w:numPr>
          <w:ilvl w:val="0"/>
          <w:numId w:val="15"/>
        </w:numPr>
        <w:spacing w:after="120" w:line="360" w:lineRule="auto"/>
        <w:ind w:left="0" w:firstLine="0"/>
        <w:jc w:val="both"/>
      </w:pPr>
      <w:r>
        <w:rPr>
          <w:rFonts w:ascii="Palatino Linotype" w:eastAsia="Palatino Linotype" w:hAnsi="Palatino Linotype" w:cs="Palatino Linotype"/>
        </w:rPr>
        <w:lastRenderedPageBreak/>
        <w:t xml:space="preserve">Por lo anteriormente expuesto y fundado este </w:t>
      </w:r>
      <w:r>
        <w:rPr>
          <w:rFonts w:ascii="Palatino Linotype" w:eastAsia="Palatino Linotype" w:hAnsi="Palatino Linotype" w:cs="Palatino Linotype"/>
          <w:b/>
        </w:rPr>
        <w:t>ÓRGANO GARANTE</w:t>
      </w:r>
      <w:r>
        <w:rPr>
          <w:rFonts w:ascii="Palatino Linotype" w:eastAsia="Palatino Linotype" w:hAnsi="Palatino Linotype" w:cs="Palatino Linotype"/>
        </w:rPr>
        <w:t xml:space="preserve"> emite los siguientes.</w:t>
      </w:r>
    </w:p>
    <w:p w:rsidR="000E1504" w:rsidRPr="001535CA" w:rsidRDefault="000E1504" w:rsidP="001535CA">
      <w:pPr>
        <w:pStyle w:val="Sinespaciado"/>
        <w:rPr>
          <w:rFonts w:eastAsia="Palatino Linotype"/>
          <w:sz w:val="14"/>
        </w:rPr>
      </w:pPr>
    </w:p>
    <w:p w:rsidR="000E1504" w:rsidRDefault="00724D85">
      <w:pPr>
        <w:pStyle w:val="Ttulo1"/>
        <w:spacing w:line="360" w:lineRule="auto"/>
        <w:jc w:val="center"/>
        <w:rPr>
          <w:rFonts w:ascii="Palatino Linotype" w:eastAsia="Palatino Linotype" w:hAnsi="Palatino Linotype" w:cs="Palatino Linotype"/>
          <w:b/>
          <w:color w:val="000000"/>
          <w:sz w:val="24"/>
          <w:szCs w:val="24"/>
        </w:rPr>
      </w:pPr>
      <w:bookmarkStart w:id="26" w:name="_2bn6wsx" w:colFirst="0" w:colLast="0"/>
      <w:bookmarkEnd w:id="26"/>
      <w:r>
        <w:rPr>
          <w:rFonts w:ascii="Palatino Linotype" w:eastAsia="Palatino Linotype" w:hAnsi="Palatino Linotype" w:cs="Palatino Linotype"/>
          <w:b/>
          <w:color w:val="000000"/>
          <w:sz w:val="24"/>
          <w:szCs w:val="24"/>
        </w:rPr>
        <w:t>R E S O L U T I V O S</w:t>
      </w:r>
    </w:p>
    <w:p w:rsidR="004B0094" w:rsidRDefault="00724D8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sidR="004B0094" w:rsidRPr="004B0094">
        <w:rPr>
          <w:rFonts w:ascii="Palatino Linotype" w:eastAsia="Palatino Linotype" w:hAnsi="Palatino Linotype" w:cs="Palatino Linotype"/>
        </w:rPr>
        <w:t>Se deja sin efectos la Resolución del Recurso de Rev</w:t>
      </w:r>
      <w:r w:rsidR="004B0094">
        <w:rPr>
          <w:rFonts w:ascii="Palatino Linotype" w:eastAsia="Palatino Linotype" w:hAnsi="Palatino Linotype" w:cs="Palatino Linotype"/>
        </w:rPr>
        <w:t xml:space="preserve">isión </w:t>
      </w:r>
      <w:r w:rsidR="004B0094" w:rsidRPr="008753FE">
        <w:rPr>
          <w:rFonts w:ascii="Palatino Linotype" w:eastAsia="Palatino Linotype" w:hAnsi="Palatino Linotype" w:cs="Palatino Linotype"/>
          <w:b/>
        </w:rPr>
        <w:t>02478/INFOEM/IP/RR/2020</w:t>
      </w:r>
      <w:r w:rsidR="008753FE">
        <w:rPr>
          <w:rFonts w:ascii="Palatino Linotype" w:eastAsia="Palatino Linotype" w:hAnsi="Palatino Linotype" w:cs="Palatino Linotype"/>
        </w:rPr>
        <w:t xml:space="preserve">, </w:t>
      </w:r>
      <w:r w:rsidR="004B0094">
        <w:rPr>
          <w:rFonts w:ascii="Palatino Linotype" w:eastAsia="Palatino Linotype" w:hAnsi="Palatino Linotype" w:cs="Palatino Linotype"/>
        </w:rPr>
        <w:t>aprobada en la</w:t>
      </w:r>
      <w:r w:rsidR="004B0094" w:rsidRPr="004B0094">
        <w:rPr>
          <w:rFonts w:ascii="Palatino Linotype" w:eastAsia="Palatino Linotype" w:hAnsi="Palatino Linotype" w:cs="Palatino Linotype"/>
        </w:rPr>
        <w:t xml:space="preserve"> Vigésima </w:t>
      </w:r>
      <w:r w:rsidR="004B0094">
        <w:rPr>
          <w:rFonts w:ascii="Palatino Linotype" w:eastAsia="Palatino Linotype" w:hAnsi="Palatino Linotype" w:cs="Palatino Linotype"/>
        </w:rPr>
        <w:t>Primera Sesión Ordinaria, del siete</w:t>
      </w:r>
      <w:r w:rsidR="004B0094" w:rsidRPr="004B0094">
        <w:rPr>
          <w:rFonts w:ascii="Palatino Linotype" w:eastAsia="Palatino Linotype" w:hAnsi="Palatino Linotype" w:cs="Palatino Linotype"/>
        </w:rPr>
        <w:t xml:space="preserve"> de octubre de dos mil veinte.</w:t>
      </w:r>
    </w:p>
    <w:p w:rsidR="001535CA" w:rsidRDefault="001535CA" w:rsidP="001535CA">
      <w:pPr>
        <w:spacing w:line="360" w:lineRule="auto"/>
        <w:jc w:val="both"/>
        <w:rPr>
          <w:rFonts w:ascii="Palatino Linotype" w:eastAsia="Palatino Linotype" w:hAnsi="Palatino Linotype" w:cs="Palatino Linotype"/>
          <w:b/>
        </w:rPr>
      </w:pPr>
    </w:p>
    <w:p w:rsidR="000E1504" w:rsidRDefault="004B0094" w:rsidP="001535CA">
      <w:pPr>
        <w:spacing w:line="360" w:lineRule="auto"/>
        <w:jc w:val="both"/>
        <w:rPr>
          <w:rFonts w:ascii="Palatino Linotype" w:eastAsia="Palatino Linotype" w:hAnsi="Palatino Linotype" w:cs="Palatino Linotype"/>
        </w:rPr>
      </w:pPr>
      <w:r w:rsidRPr="004B0094">
        <w:rPr>
          <w:rFonts w:ascii="Palatino Linotype" w:eastAsia="Palatino Linotype" w:hAnsi="Palatino Linotype" w:cs="Palatino Linotype"/>
          <w:b/>
        </w:rPr>
        <w:t>SEGUNDO</w:t>
      </w:r>
      <w:r>
        <w:rPr>
          <w:rFonts w:ascii="Palatino Linotype" w:eastAsia="Palatino Linotype" w:hAnsi="Palatino Linotype" w:cs="Palatino Linotype"/>
        </w:rPr>
        <w:t xml:space="preserve">. </w:t>
      </w:r>
      <w:r w:rsidR="00724D85">
        <w:rPr>
          <w:rFonts w:ascii="Palatino Linotype" w:eastAsia="Palatino Linotype" w:hAnsi="Palatino Linotype" w:cs="Palatino Linotype"/>
        </w:rPr>
        <w:t xml:space="preserve">Se </w:t>
      </w:r>
      <w:r w:rsidR="00724D85">
        <w:rPr>
          <w:rFonts w:ascii="Palatino Linotype" w:eastAsia="Palatino Linotype" w:hAnsi="Palatino Linotype" w:cs="Palatino Linotype"/>
          <w:b/>
        </w:rPr>
        <w:t>REVOCA</w:t>
      </w:r>
      <w:r w:rsidR="00724D85">
        <w:rPr>
          <w:rFonts w:ascii="Palatino Linotype" w:eastAsia="Palatino Linotype" w:hAnsi="Palatino Linotype" w:cs="Palatino Linotype"/>
        </w:rPr>
        <w:t xml:space="preserve"> la respuesta entregada por el Ayuntamiento de Ixtapan de la Sal, a la solicitud de información número </w:t>
      </w:r>
      <w:r w:rsidR="00FA3ED3" w:rsidRPr="00FA3ED3">
        <w:rPr>
          <w:rFonts w:ascii="Palatino Linotype" w:eastAsia="Palatino Linotype" w:hAnsi="Palatino Linotype" w:cs="Palatino Linotype"/>
          <w:b/>
          <w:bCs/>
        </w:rPr>
        <w:t> 01202/IXTASAL/IP/2020</w:t>
      </w:r>
      <w:r w:rsidR="00FA3ED3">
        <w:rPr>
          <w:rFonts w:ascii="Palatino Linotype" w:eastAsia="Palatino Linotype" w:hAnsi="Palatino Linotype" w:cs="Palatino Linotype"/>
          <w:b/>
          <w:bCs/>
        </w:rPr>
        <w:t xml:space="preserve"> </w:t>
      </w:r>
      <w:r w:rsidR="00724D85">
        <w:rPr>
          <w:rFonts w:ascii="Palatino Linotype" w:eastAsia="Palatino Linotype" w:hAnsi="Palatino Linotype" w:cs="Palatino Linotype"/>
        </w:rPr>
        <w:t xml:space="preserve">por resultar fundados los motivos de inconformidad que arguye la </w:t>
      </w:r>
      <w:r w:rsidR="00724D85">
        <w:rPr>
          <w:rFonts w:ascii="Palatino Linotype" w:eastAsia="Palatino Linotype" w:hAnsi="Palatino Linotype" w:cs="Palatino Linotype"/>
          <w:b/>
        </w:rPr>
        <w:t>RECURRENTE</w:t>
      </w:r>
      <w:r w:rsidR="00724D85">
        <w:rPr>
          <w:rFonts w:ascii="Palatino Linotype" w:eastAsia="Palatino Linotype" w:hAnsi="Palatino Linotype" w:cs="Palatino Linotype"/>
        </w:rPr>
        <w:t xml:space="preserve">, en términos de los </w:t>
      </w:r>
      <w:r w:rsidR="00724D85">
        <w:rPr>
          <w:rFonts w:ascii="Palatino Linotype" w:eastAsia="Palatino Linotype" w:hAnsi="Palatino Linotype" w:cs="Palatino Linotype"/>
          <w:b/>
        </w:rPr>
        <w:t xml:space="preserve">Considerandos QUINTO y SEXTO </w:t>
      </w:r>
      <w:r w:rsidR="00724D85">
        <w:rPr>
          <w:rFonts w:ascii="Palatino Linotype" w:eastAsia="Palatino Linotype" w:hAnsi="Palatino Linotype" w:cs="Palatino Linotype"/>
        </w:rPr>
        <w:t xml:space="preserve"> de la presente resolución.</w:t>
      </w:r>
    </w:p>
    <w:p w:rsidR="001535CA" w:rsidRDefault="001535CA" w:rsidP="001535CA">
      <w:pPr>
        <w:spacing w:line="360" w:lineRule="auto"/>
        <w:ind w:right="49"/>
        <w:jc w:val="both"/>
        <w:rPr>
          <w:rFonts w:ascii="Palatino Linotype" w:eastAsia="Palatino Linotype" w:hAnsi="Palatino Linotype" w:cs="Palatino Linotype"/>
          <w:b/>
        </w:rPr>
      </w:pPr>
    </w:p>
    <w:p w:rsidR="000E1504" w:rsidRDefault="004B0094" w:rsidP="001535C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w:t>
      </w:r>
      <w:r w:rsidR="00724D85">
        <w:rPr>
          <w:rFonts w:ascii="Palatino Linotype" w:eastAsia="Palatino Linotype" w:hAnsi="Palatino Linotype" w:cs="Palatino Linotype"/>
          <w:b/>
        </w:rPr>
        <w:t>O.</w:t>
      </w:r>
      <w:r w:rsidR="00724D85">
        <w:rPr>
          <w:rFonts w:ascii="Palatino Linotype" w:eastAsia="Palatino Linotype" w:hAnsi="Palatino Linotype" w:cs="Palatino Linotype"/>
        </w:rPr>
        <w:t xml:space="preserve"> Se ordena al </w:t>
      </w:r>
      <w:r w:rsidR="00724D85">
        <w:rPr>
          <w:rFonts w:ascii="Palatino Linotype" w:eastAsia="Palatino Linotype" w:hAnsi="Palatino Linotype" w:cs="Palatino Linotype"/>
          <w:b/>
        </w:rPr>
        <w:t>Ayuntamiento de Ixtapan de la Sal</w:t>
      </w:r>
      <w:r w:rsidR="00724D85">
        <w:rPr>
          <w:rFonts w:ascii="Palatino Linotype" w:eastAsia="Palatino Linotype" w:hAnsi="Palatino Linotype" w:cs="Palatino Linotype"/>
        </w:rPr>
        <w:t xml:space="preserve"> haga entrega a la </w:t>
      </w:r>
      <w:r w:rsidR="00724D85">
        <w:rPr>
          <w:rFonts w:ascii="Palatino Linotype" w:eastAsia="Palatino Linotype" w:hAnsi="Palatino Linotype" w:cs="Palatino Linotype"/>
          <w:b/>
        </w:rPr>
        <w:t>RECURRENTE</w:t>
      </w:r>
      <w:r w:rsidR="00724D85">
        <w:rPr>
          <w:rFonts w:ascii="Palatino Linotype" w:eastAsia="Palatino Linotype" w:hAnsi="Palatino Linotype" w:cs="Palatino Linotype"/>
        </w:rPr>
        <w:t xml:space="preserve"> vía Sistema de Acceso a la Información Mexiquense </w:t>
      </w:r>
      <w:r w:rsidR="00724D85">
        <w:rPr>
          <w:rFonts w:ascii="Palatino Linotype" w:eastAsia="Palatino Linotype" w:hAnsi="Palatino Linotype" w:cs="Palatino Linotype"/>
          <w:b/>
        </w:rPr>
        <w:t>(SAIMEX)</w:t>
      </w:r>
      <w:r w:rsidR="00724D85">
        <w:rPr>
          <w:rFonts w:ascii="Palatino Linotype" w:eastAsia="Palatino Linotype" w:hAnsi="Palatino Linotype" w:cs="Palatino Linotype"/>
        </w:rPr>
        <w:t>, de ser el caso, en versión pública, la siguiente información:</w:t>
      </w:r>
    </w:p>
    <w:p w:rsidR="000E1504" w:rsidRDefault="00724D85" w:rsidP="001535CA">
      <w:pPr>
        <w:numPr>
          <w:ilvl w:val="0"/>
          <w:numId w:val="5"/>
        </w:numPr>
        <w:pBdr>
          <w:top w:val="nil"/>
          <w:left w:val="nil"/>
          <w:bottom w:val="nil"/>
          <w:right w:val="nil"/>
          <w:between w:val="nil"/>
        </w:pBdr>
        <w:shd w:val="clear" w:color="auto" w:fill="FFFFFF"/>
        <w:tabs>
          <w:tab w:val="left" w:pos="0"/>
        </w:tabs>
        <w:spacing w:before="240" w:line="360" w:lineRule="auto"/>
        <w:ind w:right="6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Todas las actas de las sesiones extraordinarias de la Junta de Gobierno del sistema municipal DIF relativas al ejercicio fiscal 2020.</w:t>
      </w:r>
    </w:p>
    <w:p w:rsidR="000E1504" w:rsidRDefault="000E1504" w:rsidP="001535CA">
      <w:pPr>
        <w:pBdr>
          <w:top w:val="nil"/>
          <w:left w:val="nil"/>
          <w:bottom w:val="nil"/>
          <w:right w:val="nil"/>
          <w:between w:val="nil"/>
        </w:pBdr>
        <w:shd w:val="clear" w:color="auto" w:fill="FFFFFF"/>
        <w:tabs>
          <w:tab w:val="left" w:pos="0"/>
        </w:tabs>
        <w:spacing w:before="90" w:line="360" w:lineRule="auto"/>
        <w:ind w:left="567" w:right="616"/>
        <w:jc w:val="both"/>
        <w:rPr>
          <w:rFonts w:ascii="Palatino Linotype" w:eastAsia="Palatino Linotype" w:hAnsi="Palatino Linotype" w:cs="Palatino Linotype"/>
          <w:i/>
          <w:color w:val="000000"/>
          <w:sz w:val="2"/>
          <w:szCs w:val="2"/>
        </w:rPr>
      </w:pPr>
    </w:p>
    <w:p w:rsidR="000E1504" w:rsidRPr="001535CA" w:rsidRDefault="00724D85" w:rsidP="001535CA">
      <w:pPr>
        <w:pBdr>
          <w:top w:val="nil"/>
          <w:left w:val="nil"/>
          <w:bottom w:val="nil"/>
          <w:right w:val="nil"/>
          <w:between w:val="nil"/>
        </w:pBdr>
        <w:shd w:val="clear" w:color="auto" w:fill="FFFFFF"/>
        <w:tabs>
          <w:tab w:val="left" w:pos="0"/>
        </w:tabs>
        <w:spacing w:before="240" w:line="276" w:lineRule="auto"/>
        <w:ind w:right="49"/>
        <w:jc w:val="both"/>
        <w:rPr>
          <w:rFonts w:ascii="Palatino Linotype" w:eastAsia="Palatino Linotype" w:hAnsi="Palatino Linotype" w:cs="Palatino Linotype"/>
          <w:i/>
          <w:color w:val="000000"/>
          <w:sz w:val="22"/>
        </w:rPr>
      </w:pPr>
      <w:r w:rsidRPr="001535CA">
        <w:rPr>
          <w:rFonts w:ascii="Palatino Linotype" w:eastAsia="Palatino Linotype" w:hAnsi="Palatino Linotype" w:cs="Palatino Linotype"/>
          <w:i/>
          <w:color w:val="000000"/>
          <w:sz w:val="22"/>
        </w:rPr>
        <w:t xml:space="preserve">Se deberá privilegiar la entrega en medios electrónicos; sin embargo, si se acredita un impedimento justificado para atender esa modalidad en relación directa con el formato en el que obra la información, se deberá de dar la opción al sujeto obligado para que, de manera debidamente fundada y motivada se ofrezca la entrega de la información en el resto de las modalidades de entrega de la </w:t>
      </w:r>
      <w:r w:rsidRPr="001535CA">
        <w:rPr>
          <w:rFonts w:ascii="Palatino Linotype" w:eastAsia="Palatino Linotype" w:hAnsi="Palatino Linotype" w:cs="Palatino Linotype"/>
          <w:i/>
          <w:color w:val="000000"/>
          <w:sz w:val="22"/>
        </w:rPr>
        <w:lastRenderedPageBreak/>
        <w:t>información además de consulta directa, como copias simples y certificadas con opción de envío a domicil</w:t>
      </w:r>
      <w:r w:rsidR="00231EAD" w:rsidRPr="001535CA">
        <w:rPr>
          <w:rFonts w:ascii="Palatino Linotype" w:eastAsia="Palatino Linotype" w:hAnsi="Palatino Linotype" w:cs="Palatino Linotype"/>
          <w:i/>
          <w:color w:val="000000"/>
          <w:sz w:val="22"/>
        </w:rPr>
        <w:t>io previo pago correspondiente.</w:t>
      </w:r>
    </w:p>
    <w:p w:rsidR="001535CA" w:rsidRDefault="001535CA">
      <w:pPr>
        <w:spacing w:line="360" w:lineRule="auto"/>
        <w:ind w:right="49"/>
        <w:jc w:val="both"/>
        <w:rPr>
          <w:rFonts w:ascii="Palatino Linotype" w:eastAsia="Palatino Linotype" w:hAnsi="Palatino Linotype" w:cs="Palatino Linotype"/>
        </w:rPr>
      </w:pPr>
    </w:p>
    <w:p w:rsidR="000E1504" w:rsidRDefault="00724D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1535CA" w:rsidRDefault="001535CA" w:rsidP="001535CA">
      <w:pPr>
        <w:spacing w:line="360" w:lineRule="auto"/>
        <w:jc w:val="both"/>
        <w:rPr>
          <w:rFonts w:ascii="Palatino Linotype" w:eastAsia="Palatino Linotype" w:hAnsi="Palatino Linotype" w:cs="Palatino Linotype"/>
          <w:b/>
        </w:rPr>
      </w:pPr>
    </w:p>
    <w:p w:rsidR="000E1504" w:rsidRDefault="004B0094" w:rsidP="001535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w:t>
      </w:r>
      <w:r w:rsidR="00724D85">
        <w:rPr>
          <w:rFonts w:ascii="Palatino Linotype" w:eastAsia="Palatino Linotype" w:hAnsi="Palatino Linotype" w:cs="Palatino Linotype"/>
          <w:b/>
        </w:rPr>
        <w:t>O. Notifíquese</w:t>
      </w:r>
      <w:r w:rsidR="00724D85">
        <w:rPr>
          <w:rFonts w:ascii="Palatino Linotype" w:eastAsia="Palatino Linotype" w:hAnsi="Palatino Linotype" w:cs="Palatino Linotype"/>
          <w:b/>
          <w:i/>
        </w:rPr>
        <w:t xml:space="preserve"> </w:t>
      </w:r>
      <w:r w:rsidR="00724D85">
        <w:rPr>
          <w:rFonts w:ascii="Palatino Linotype" w:eastAsia="Palatino Linotype" w:hAnsi="Palatino Linotype" w:cs="Palatino Linotype"/>
        </w:rPr>
        <w:t>al Titular de la Unidad de Transparencia del</w:t>
      </w:r>
      <w:r w:rsidR="00724D85">
        <w:rPr>
          <w:rFonts w:ascii="Palatino Linotype" w:eastAsia="Palatino Linotype" w:hAnsi="Palatino Linotype" w:cs="Palatino Linotype"/>
          <w:b/>
        </w:rPr>
        <w:t xml:space="preserve"> SUJETO OBLIGADO</w:t>
      </w:r>
      <w:r w:rsidR="00724D8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w:t>
      </w:r>
      <w:r w:rsidR="00724D85">
        <w:rPr>
          <w:rFonts w:ascii="Palatino Linotype" w:eastAsia="Palatino Linotype" w:hAnsi="Palatino Linotype" w:cs="Palatino Linotype"/>
          <w:b/>
        </w:rPr>
        <w:t>treinta días hábiles</w:t>
      </w:r>
      <w:r w:rsidR="00724D85">
        <w:rPr>
          <w:rFonts w:ascii="Palatino Linotype" w:eastAsia="Palatino Linotype" w:hAnsi="Palatino Linotype" w:cs="Palatino Linotype"/>
        </w:rPr>
        <w:t>, debiendo informar a este Instituto en un plazo de tres días hábiles siguientes sobre el cumplimiento dado a la presente resolución.</w:t>
      </w:r>
    </w:p>
    <w:p w:rsidR="001535CA" w:rsidRDefault="001535CA" w:rsidP="001535CA">
      <w:pPr>
        <w:spacing w:line="360" w:lineRule="auto"/>
        <w:jc w:val="both"/>
        <w:rPr>
          <w:rFonts w:ascii="Palatino Linotype" w:eastAsia="Palatino Linotype" w:hAnsi="Palatino Linotype" w:cs="Palatino Linotype"/>
          <w:b/>
        </w:rPr>
      </w:pPr>
    </w:p>
    <w:p w:rsidR="000E1504" w:rsidRDefault="004B0094" w:rsidP="001535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w:t>
      </w:r>
      <w:r w:rsidR="00724D85">
        <w:rPr>
          <w:rFonts w:ascii="Palatino Linotype" w:eastAsia="Palatino Linotype" w:hAnsi="Palatino Linotype" w:cs="Palatino Linotype"/>
          <w:b/>
        </w:rPr>
        <w:t>TO</w:t>
      </w:r>
      <w:r w:rsidR="00724D85">
        <w:rPr>
          <w:rFonts w:ascii="Palatino Linotype" w:eastAsia="Palatino Linotype" w:hAnsi="Palatino Linotype" w:cs="Palatino Linotype"/>
        </w:rPr>
        <w:t xml:space="preserve">. </w:t>
      </w:r>
      <w:r w:rsidR="00724D85">
        <w:rPr>
          <w:rFonts w:ascii="Palatino Linotype" w:eastAsia="Palatino Linotype" w:hAnsi="Palatino Linotype" w:cs="Palatino Linotype"/>
          <w:b/>
          <w:highlight w:val="white"/>
        </w:rPr>
        <w:t>Notifíquese</w:t>
      </w:r>
      <w:r w:rsidR="00724D85">
        <w:rPr>
          <w:rFonts w:ascii="Palatino Linotype" w:eastAsia="Palatino Linotype" w:hAnsi="Palatino Linotype" w:cs="Palatino Linotype"/>
        </w:rPr>
        <w:t xml:space="preserve"> a </w:t>
      </w:r>
      <w:r w:rsidR="00724D85">
        <w:rPr>
          <w:rFonts w:ascii="Palatino Linotype" w:eastAsia="Palatino Linotype" w:hAnsi="Palatino Linotype" w:cs="Palatino Linotype"/>
          <w:b/>
        </w:rPr>
        <w:t>LA RECURRENTE</w:t>
      </w:r>
      <w:r w:rsidR="00724D85">
        <w:rPr>
          <w:rFonts w:ascii="Palatino Linotype" w:eastAsia="Palatino Linotype" w:hAnsi="Palatino Linotype" w:cs="Palatino Linotype"/>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0E1504" w:rsidRDefault="000E1504">
      <w:pPr>
        <w:spacing w:line="360" w:lineRule="auto"/>
        <w:ind w:right="49"/>
        <w:jc w:val="both"/>
        <w:rPr>
          <w:rFonts w:ascii="Palatino Linotype" w:eastAsia="Palatino Linotype" w:hAnsi="Palatino Linotype" w:cs="Palatino Linotype"/>
          <w:b/>
          <w:color w:val="000000"/>
        </w:rPr>
      </w:pPr>
    </w:p>
    <w:p w:rsidR="000E1504" w:rsidRDefault="004B0094">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SEX</w:t>
      </w:r>
      <w:r w:rsidR="00724D85">
        <w:rPr>
          <w:rFonts w:ascii="Palatino Linotype" w:eastAsia="Palatino Linotype" w:hAnsi="Palatino Linotype" w:cs="Palatino Linotype"/>
          <w:b/>
          <w:color w:val="000000"/>
        </w:rPr>
        <w:t xml:space="preserve">TO. </w:t>
      </w:r>
      <w:r w:rsidR="00724D85">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w:t>
      </w:r>
      <w:r w:rsidR="00724D85">
        <w:rPr>
          <w:rFonts w:ascii="Palatino Linotype" w:eastAsia="Palatino Linotype" w:hAnsi="Palatino Linotype" w:cs="Palatino Linotype"/>
          <w:color w:val="000000"/>
        </w:rPr>
        <w:lastRenderedPageBreak/>
        <w:t>procedente, el Sujeto Obligado de manera fundada y motivada, podrá solicitar una ampliación de plazo para el cumplimiento de la presente resolución.</w:t>
      </w:r>
    </w:p>
    <w:p w:rsidR="000E1504" w:rsidRDefault="000E1504">
      <w:pPr>
        <w:spacing w:line="360" w:lineRule="auto"/>
        <w:ind w:right="49"/>
        <w:jc w:val="both"/>
        <w:rPr>
          <w:rFonts w:ascii="Palatino Linotype" w:eastAsia="Palatino Linotype" w:hAnsi="Palatino Linotype" w:cs="Palatino Linotype"/>
          <w:color w:val="000000"/>
        </w:rPr>
      </w:pPr>
    </w:p>
    <w:p w:rsidR="000E1504" w:rsidRDefault="004B0094">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SÉPTIM</w:t>
      </w:r>
      <w:r w:rsidR="00724D85">
        <w:rPr>
          <w:rFonts w:ascii="Palatino Linotype" w:eastAsia="Palatino Linotype" w:hAnsi="Palatino Linotype" w:cs="Palatino Linotype"/>
          <w:b/>
          <w:color w:val="222222"/>
        </w:rPr>
        <w:t>O. Notifíquese</w:t>
      </w:r>
      <w:r w:rsidR="00724D85">
        <w:rPr>
          <w:rFonts w:ascii="Palatino Linotype" w:eastAsia="Palatino Linotype" w:hAnsi="Palatino Linotype" w:cs="Palatino Linotype"/>
          <w:color w:val="222222"/>
        </w:rPr>
        <w:t xml:space="preserve"> al Instituto Nacional de Transparencia, Acceso a la Información y Protección de Datos Personales la presente resolución en cumplimiento a las resoluciones de los recursos de inconformidad </w:t>
      </w:r>
      <w:r w:rsidR="00724D85">
        <w:rPr>
          <w:rFonts w:ascii="Palatino Linotype" w:eastAsia="Palatino Linotype" w:hAnsi="Palatino Linotype" w:cs="Palatino Linotype"/>
          <w:b/>
        </w:rPr>
        <w:t>0143/20 y 144/20</w:t>
      </w:r>
      <w:r w:rsidR="00724D85">
        <w:rPr>
          <w:rFonts w:ascii="Palatino Linotype" w:eastAsia="Palatino Linotype" w:hAnsi="Palatino Linotype" w:cs="Palatino Linotype"/>
          <w:color w:val="222222"/>
        </w:rPr>
        <w:t>, en términos del artículo 173 de la Ley General de Transparencia y Acceso a la Información Pública.</w:t>
      </w:r>
    </w:p>
    <w:p w:rsidR="000E1504" w:rsidRDefault="00724D85">
      <w:pPr>
        <w:shd w:val="clear" w:color="auto" w:fill="FFFFFF"/>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JAVIER MARTÍNEZ CRUZ, Y LUIS GUSTAVO PARRA NORIEGA, EN LA </w:t>
      </w:r>
      <w:r w:rsidR="001535CA">
        <w:rPr>
          <w:rFonts w:ascii="Palatino Linotype" w:eastAsia="Palatino Linotype" w:hAnsi="Palatino Linotype" w:cs="Palatino Linotype"/>
        </w:rPr>
        <w:t>VIGÉSIMA</w:t>
      </w:r>
      <w:r>
        <w:rPr>
          <w:rFonts w:ascii="Palatino Linotype" w:eastAsia="Palatino Linotype" w:hAnsi="Palatino Linotype" w:cs="Palatino Linotype"/>
        </w:rPr>
        <w:t xml:space="preserve"> CUARTA SESIÓN ORDINARIA CELEBRADA EL DÍA SIETE (07) DE JULIO DE DOS MIL VEINTIUNO, ANTE EL SECRETARIO TÉCNICO D</w:t>
      </w:r>
      <w:r w:rsidR="001535CA">
        <w:rPr>
          <w:rFonts w:ascii="Palatino Linotype" w:eastAsia="Palatino Linotype" w:hAnsi="Palatino Linotype" w:cs="Palatino Linotype"/>
        </w:rPr>
        <w:t>EL PLENO ALEXIS TAPIA RAMÍREZ.------------------------------------------------------------------------------------------------------------------------------------------------------------------------------------------------------------------------------------------------------------------------------------------------------------------------------------------------------------------------------------------------------------------------------------------------------------------------------------------------------------------------------------------------------------------------------------------------------------------------------------------------------------------------------------------------------------------------------------------------------------------------------------------------------------------------</w:t>
      </w:r>
    </w:p>
    <w:p w:rsidR="000E1504" w:rsidRDefault="000E1504">
      <w:pPr>
        <w:spacing w:before="240" w:after="240" w:line="360" w:lineRule="auto"/>
        <w:jc w:val="center"/>
        <w:rPr>
          <w:rFonts w:ascii="Palatino Linotype" w:eastAsia="Palatino Linotype" w:hAnsi="Palatino Linotype" w:cs="Palatino Linotype"/>
        </w:rPr>
      </w:pPr>
    </w:p>
    <w:p w:rsidR="000E1504" w:rsidRDefault="000E1504">
      <w:pPr>
        <w:spacing w:before="240" w:after="240" w:line="360" w:lineRule="auto"/>
        <w:jc w:val="center"/>
        <w:rPr>
          <w:rFonts w:ascii="Palatino Linotype" w:eastAsia="Palatino Linotype" w:hAnsi="Palatino Linotype" w:cs="Palatino Linotype"/>
        </w:rPr>
      </w:pPr>
    </w:p>
    <w:p w:rsidR="000E1504" w:rsidRDefault="000E1504">
      <w:pPr>
        <w:spacing w:before="240" w:after="240" w:line="360" w:lineRule="auto"/>
        <w:jc w:val="center"/>
        <w:rPr>
          <w:rFonts w:ascii="Palatino Linotype" w:eastAsia="Palatino Linotype" w:hAnsi="Palatino Linotype" w:cs="Palatino Linotype"/>
        </w:rPr>
      </w:pPr>
    </w:p>
    <w:p w:rsidR="000E1504" w:rsidRDefault="000E1504">
      <w:pPr>
        <w:spacing w:before="240" w:after="240" w:line="360" w:lineRule="auto"/>
        <w:jc w:val="center"/>
        <w:rPr>
          <w:rFonts w:ascii="Palatino Linotype" w:eastAsia="Palatino Linotype" w:hAnsi="Palatino Linotype" w:cs="Palatino Linotype"/>
        </w:rPr>
      </w:pPr>
    </w:p>
    <w:p w:rsidR="000E1504" w:rsidRDefault="000E1504">
      <w:pPr>
        <w:spacing w:before="240" w:after="240" w:line="360" w:lineRule="auto"/>
        <w:jc w:val="center"/>
        <w:rPr>
          <w:rFonts w:ascii="Palatino Linotype" w:eastAsia="Palatino Linotype" w:hAnsi="Palatino Linotype" w:cs="Palatino Linotype"/>
        </w:rPr>
      </w:pPr>
    </w:p>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p w:rsidR="000E1504" w:rsidRDefault="000E1504"/>
    <w:sectPr w:rsidR="000E1504">
      <w:headerReference w:type="even" r:id="rId8"/>
      <w:headerReference w:type="default" r:id="rId9"/>
      <w:footerReference w:type="default" r:id="rId10"/>
      <w:headerReference w:type="first" r:id="rId11"/>
      <w:footerReference w:type="first" r:id="rId12"/>
      <w:pgSz w:w="12240" w:h="15840"/>
      <w:pgMar w:top="2552"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043" w:rsidRDefault="00754043">
      <w:r>
        <w:separator/>
      </w:r>
    </w:p>
  </w:endnote>
  <w:endnote w:type="continuationSeparator" w:id="0">
    <w:p w:rsidR="00754043" w:rsidRDefault="0075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04" w:rsidRDefault="00724D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4043">
      <w:rPr>
        <w:rFonts w:ascii="Arial" w:eastAsia="Arial" w:hAnsi="Arial" w:cs="Arial"/>
        <w:b/>
        <w:noProof/>
        <w:color w:val="000000"/>
        <w:sz w:val="20"/>
        <w:szCs w:val="20"/>
      </w:rPr>
      <w:t>81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4043">
      <w:rPr>
        <w:rFonts w:ascii="Arial" w:eastAsia="Arial" w:hAnsi="Arial" w:cs="Arial"/>
        <w:b/>
        <w:noProof/>
        <w:color w:val="000000"/>
        <w:sz w:val="20"/>
        <w:szCs w:val="20"/>
      </w:rPr>
      <w:t>101</w:t>
    </w:r>
    <w:r>
      <w:rPr>
        <w:rFonts w:ascii="Arial" w:eastAsia="Arial" w:hAnsi="Arial" w:cs="Arial"/>
        <w:b/>
        <w:color w:val="000000"/>
        <w:sz w:val="20"/>
        <w:szCs w:val="20"/>
      </w:rPr>
      <w:fldChar w:fldCharType="end"/>
    </w:r>
  </w:p>
  <w:p w:rsidR="000E1504" w:rsidRDefault="000E1504">
    <w:pPr>
      <w:pBdr>
        <w:top w:val="nil"/>
        <w:left w:val="nil"/>
        <w:bottom w:val="nil"/>
        <w:right w:val="nil"/>
        <w:between w:val="nil"/>
      </w:pBdr>
      <w:tabs>
        <w:tab w:val="center" w:pos="4252"/>
        <w:tab w:val="right" w:pos="8504"/>
      </w:tabs>
      <w:rPr>
        <w:color w:val="000000"/>
      </w:rPr>
    </w:pPr>
  </w:p>
  <w:p w:rsidR="000E1504" w:rsidRDefault="000E150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04" w:rsidRDefault="00724D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404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4043">
      <w:rPr>
        <w:rFonts w:ascii="Arial" w:eastAsia="Arial" w:hAnsi="Arial" w:cs="Arial"/>
        <w:b/>
        <w:noProof/>
        <w:color w:val="000000"/>
        <w:sz w:val="20"/>
        <w:szCs w:val="20"/>
      </w:rPr>
      <w:t>101</w:t>
    </w:r>
    <w:r>
      <w:rPr>
        <w:rFonts w:ascii="Arial" w:eastAsia="Arial" w:hAnsi="Arial" w:cs="Arial"/>
        <w:b/>
        <w:color w:val="000000"/>
        <w:sz w:val="20"/>
        <w:szCs w:val="20"/>
      </w:rPr>
      <w:fldChar w:fldCharType="end"/>
    </w:r>
  </w:p>
  <w:p w:rsidR="000E1504" w:rsidRDefault="000E150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043" w:rsidRDefault="00754043">
      <w:r>
        <w:separator/>
      </w:r>
    </w:p>
  </w:footnote>
  <w:footnote w:type="continuationSeparator" w:id="0">
    <w:p w:rsidR="00754043" w:rsidRDefault="00754043">
      <w:r>
        <w:continuationSeparator/>
      </w:r>
    </w:p>
  </w:footnote>
  <w:footnote w:id="1">
    <w:p w:rsidR="000E1504" w:rsidRDefault="00724D85">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Díaz, Elías, Estado de Derecho y Democracía, Universidad Autonóma de Madrid. </w:t>
      </w:r>
    </w:p>
  </w:footnote>
  <w:footnote w:id="2">
    <w:p w:rsidR="000E1504" w:rsidRDefault="00724D8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1E1916"/>
          <w:sz w:val="18"/>
          <w:szCs w:val="18"/>
        </w:rPr>
        <w:t xml:space="preserve">Ferrajoli, Luigi, </w:t>
      </w:r>
      <w:r>
        <w:rPr>
          <w:rFonts w:ascii="Cambria" w:eastAsia="Cambria" w:hAnsi="Cambria" w:cs="Cambria"/>
          <w:i/>
          <w:color w:val="1E1916"/>
          <w:sz w:val="18"/>
          <w:szCs w:val="18"/>
        </w:rPr>
        <w:t>Derecho y razón</w:t>
      </w:r>
      <w:r>
        <w:rPr>
          <w:rFonts w:ascii="Cambria" w:eastAsia="Cambria" w:hAnsi="Cambria" w:cs="Cambria"/>
          <w:color w:val="1E1916"/>
          <w:sz w:val="18"/>
          <w:szCs w:val="18"/>
        </w:rPr>
        <w:t xml:space="preserve">, 5a. ed., Madrid, Trotta, 2000, p. 857; del mismo autor, sobre el tema, “Pasado y futuro del Estado de derecho”, en Carbonell, Miguel (ed.), </w:t>
      </w:r>
      <w:r>
        <w:rPr>
          <w:rFonts w:ascii="Cambria" w:eastAsia="Cambria" w:hAnsi="Cambria" w:cs="Cambria"/>
          <w:i/>
          <w:color w:val="1E1916"/>
          <w:sz w:val="18"/>
          <w:szCs w:val="18"/>
        </w:rPr>
        <w:t>Neoconstitucionalismo(s)</w:t>
      </w:r>
      <w:r>
        <w:rPr>
          <w:rFonts w:ascii="Cambria" w:eastAsia="Cambria" w:hAnsi="Cambria" w:cs="Cambria"/>
          <w:color w:val="1E1916"/>
          <w:sz w:val="18"/>
          <w:szCs w:val="18"/>
        </w:rPr>
        <w:t>, Madrid, Trotta, 2003</w:t>
      </w:r>
    </w:p>
  </w:footnote>
  <w:footnote w:id="3">
    <w:p w:rsidR="000E1504" w:rsidRDefault="00724D85">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Jurisprudencia de la Segunda Sala, Séptima Época, publicada en el Semanario Judicial de la Federación Volumen 97-102, Tercera Parte, página 143.</w:t>
      </w:r>
    </w:p>
  </w:footnote>
  <w:footnote w:id="4">
    <w:p w:rsidR="000E1504" w:rsidRDefault="00724D85">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Visible en: https://dle.rae.es/confirmar%20?m=form</w:t>
      </w:r>
    </w:p>
  </w:footnote>
  <w:footnote w:id="5">
    <w:p w:rsidR="000E1504" w:rsidRDefault="00724D85">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Visible en: https://dle.rae.es/modificar?m=form</w:t>
      </w:r>
    </w:p>
  </w:footnote>
  <w:footnote w:id="6">
    <w:p w:rsidR="000E1504" w:rsidRDefault="00724D85">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Visible en: https://dle.rae.es/negar?m=form</w:t>
      </w:r>
    </w:p>
  </w:footnote>
  <w:footnote w:id="7">
    <w:p w:rsidR="000E1504" w:rsidRDefault="00724D85">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Comentario al artículo 163 de la Ley General de Transparencia Comentada, página 472, publicada por el INAI, visible en </w:t>
      </w:r>
      <w:hyperlink r:id="rId1">
        <w:r>
          <w:rPr>
            <w:rFonts w:ascii="Palatino Linotype" w:eastAsia="Palatino Linotype" w:hAnsi="Palatino Linotype" w:cs="Palatino Linotype"/>
            <w:color w:val="0000FF"/>
            <w:sz w:val="18"/>
            <w:szCs w:val="18"/>
            <w:u w:val="single"/>
          </w:rPr>
          <w:t>https://inai.janium.net/janium/Documentos/CT5.pdf</w:t>
        </w:r>
      </w:hyperlink>
    </w:p>
  </w:footnote>
  <w:footnote w:id="8">
    <w:p w:rsidR="000E1504" w:rsidRDefault="00724D85">
      <w:pPr>
        <w:pBdr>
          <w:top w:val="nil"/>
          <w:left w:val="nil"/>
          <w:bottom w:val="nil"/>
          <w:right w:val="nil"/>
          <w:between w:val="nil"/>
        </w:pBdr>
        <w:jc w:val="both"/>
        <w:rPr>
          <w:rFonts w:ascii="Palatino Linotype" w:eastAsia="Palatino Linotype" w:hAnsi="Palatino Linotype" w:cs="Palatino Linotype"/>
          <w:color w:val="000000"/>
          <w:sz w:val="21"/>
          <w:szCs w:val="21"/>
        </w:rPr>
      </w:pPr>
      <w:r>
        <w:rPr>
          <w:vertAlign w:val="superscript"/>
        </w:rPr>
        <w:footnoteRef/>
      </w:r>
      <w:r>
        <w:rPr>
          <w:rFonts w:ascii="Palatino Linotype" w:eastAsia="Palatino Linotype" w:hAnsi="Palatino Linotype" w:cs="Palatino Linotype"/>
          <w:color w:val="000000"/>
          <w:sz w:val="21"/>
          <w:szCs w:val="21"/>
        </w:rPr>
        <w:t xml:space="preserve"> Comentario al artículo 178 de la Ley General de Transparencia Cometada, página 503, publiada por el Inai, visible en </w:t>
      </w:r>
      <w:hyperlink r:id="rId2">
        <w:r>
          <w:rPr>
            <w:rFonts w:ascii="Palatino Linotype" w:eastAsia="Palatino Linotype" w:hAnsi="Palatino Linotype" w:cs="Palatino Linotype"/>
            <w:color w:val="0000FF"/>
            <w:sz w:val="21"/>
            <w:szCs w:val="21"/>
            <w:u w:val="single"/>
          </w:rPr>
          <w:t>https://inai.janium.net/janium/Documentos/CT5.pdf</w:t>
        </w:r>
      </w:hyperlink>
    </w:p>
  </w:footnote>
  <w:footnote w:id="9">
    <w:p w:rsidR="000E1504" w:rsidRDefault="00724D85">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Burgoa, Ignacio, Diccionario de Derecho Constitucional, Garantías y Amparo, México, Porrúa, 2003, p. 226-229</w:t>
      </w:r>
    </w:p>
  </w:footnote>
  <w:footnote w:id="10">
    <w:p w:rsidR="000E1504" w:rsidRDefault="00724D85">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Lucero Espinosa, Manuel, Teoría y Práctica del Contencioso Administrativo Federal, México, Porrúa, 2015, p. 79 </w:t>
      </w:r>
    </w:p>
  </w:footnote>
  <w:footnote w:id="11">
    <w:p w:rsidR="000E1504" w:rsidRDefault="00724D8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Visible en </w:t>
      </w:r>
      <w:hyperlink r:id="rId3">
        <w:r>
          <w:rPr>
            <w:rFonts w:ascii="Cambria" w:eastAsia="Cambria" w:hAnsi="Cambria" w:cs="Cambria"/>
            <w:color w:val="0000FF"/>
            <w:sz w:val="20"/>
            <w:szCs w:val="20"/>
            <w:u w:val="single"/>
          </w:rPr>
          <w:t>https://www.scjn.gob.mx/sites/default/files/listas/documento_dos/2018-11/AR%20654-2018.pdf</w:t>
        </w:r>
      </w:hyperlink>
      <w:r>
        <w:rPr>
          <w:rFonts w:ascii="Cambria" w:eastAsia="Cambria" w:hAnsi="Cambria" w:cs="Cambria"/>
          <w:color w:val="000000"/>
          <w:sz w:val="20"/>
          <w:szCs w:val="20"/>
        </w:rPr>
        <w:t xml:space="preserve"> </w:t>
      </w:r>
    </w:p>
  </w:footnote>
  <w:footnote w:id="12">
    <w:p w:rsidR="000E1504" w:rsidRDefault="00724D85">
      <w:pPr>
        <w:spacing w:line="276" w:lineRule="auto"/>
        <w:ind w:left="90"/>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Tesis: 2a. XIX/2016, Semanario Judicial de la Federación y su Gaceta, Décima Época, Libro 30, mayo de 2016 Tomo II, Página 1371.</w:t>
      </w:r>
    </w:p>
    <w:p w:rsidR="000E1504" w:rsidRDefault="000E1504">
      <w:pPr>
        <w:pBdr>
          <w:top w:val="nil"/>
          <w:left w:val="nil"/>
          <w:bottom w:val="nil"/>
          <w:right w:val="nil"/>
          <w:between w:val="nil"/>
        </w:pBdr>
        <w:rPr>
          <w:rFonts w:ascii="Cambria" w:eastAsia="Cambria" w:hAnsi="Cambria" w:cs="Cambria"/>
          <w:color w:val="000000"/>
          <w:sz w:val="20"/>
          <w:szCs w:val="20"/>
        </w:rPr>
      </w:pPr>
    </w:p>
  </w:footnote>
  <w:footnote w:id="13">
    <w:p w:rsidR="000E1504" w:rsidRDefault="00724D85">
      <w:r>
        <w:rPr>
          <w:vertAlign w:val="superscript"/>
        </w:rPr>
        <w:footnoteRef/>
      </w:r>
      <w:r>
        <w:t xml:space="preserve"> Jursiprudencia  2a</w:t>
      </w:r>
      <w:proofErr w:type="gramStart"/>
      <w:r>
        <w:t>./</w:t>
      </w:r>
      <w:proofErr w:type="gramEnd"/>
      <w:r>
        <w:t>J. 38/2002, Segunda Sala, Novena Época, Semanario Judicial de la Federación y su Gaceta Tomo XV, Mayo de 2002, Página: 175.</w:t>
      </w:r>
    </w:p>
    <w:p w:rsidR="000E1504" w:rsidRDefault="000E1504">
      <w:pPr>
        <w:spacing w:line="360" w:lineRule="auto"/>
        <w:jc w:val="both"/>
        <w:rPr>
          <w:rFonts w:ascii="Palatino Linotype" w:eastAsia="Palatino Linotype" w:hAnsi="Palatino Linotype" w:cs="Palatino Linotype"/>
          <w:highlight w:val="yellow"/>
        </w:rPr>
      </w:pPr>
    </w:p>
    <w:p w:rsidR="000E1504" w:rsidRDefault="000E1504">
      <w:pPr>
        <w:pBdr>
          <w:top w:val="nil"/>
          <w:left w:val="nil"/>
          <w:bottom w:val="nil"/>
          <w:right w:val="nil"/>
          <w:between w:val="nil"/>
        </w:pBdr>
        <w:rPr>
          <w:rFonts w:ascii="Cambria" w:eastAsia="Cambria" w:hAnsi="Cambria" w:cs="Cambria"/>
          <w:color w:val="000000"/>
          <w:sz w:val="20"/>
          <w:szCs w:val="20"/>
        </w:rPr>
      </w:pPr>
    </w:p>
  </w:footnote>
  <w:footnote w:id="14">
    <w:p w:rsidR="000E1504" w:rsidRDefault="00724D85">
      <w:pPr>
        <w:pBdr>
          <w:top w:val="nil"/>
          <w:left w:val="nil"/>
          <w:bottom w:val="nil"/>
          <w:right w:val="nil"/>
          <w:between w:val="nil"/>
        </w:pBdr>
        <w:shd w:val="clear" w:color="auto" w:fill="FFFFFF"/>
        <w:tabs>
          <w:tab w:val="left" w:pos="0"/>
        </w:tabs>
        <w:spacing w:before="240" w:after="150"/>
        <w:ind w:left="90" w:right="49"/>
        <w:jc w:val="both"/>
        <w:rPr>
          <w:color w:val="000000"/>
        </w:rPr>
      </w:pPr>
      <w:r>
        <w:rPr>
          <w:vertAlign w:val="superscript"/>
        </w:rPr>
        <w:footnoteRef/>
      </w:r>
      <w:r>
        <w:rPr>
          <w:color w:val="000000"/>
        </w:rPr>
        <w:t xml:space="preserve"> </w:t>
      </w:r>
      <w:r>
        <w:rPr>
          <w:rFonts w:ascii="Palatino Linotype" w:eastAsia="Palatino Linotype" w:hAnsi="Palatino Linotype" w:cs="Palatino Linotype"/>
          <w:color w:val="000000"/>
          <w:sz w:val="22"/>
          <w:szCs w:val="22"/>
        </w:rPr>
        <w:t>Tesis Aislada: IX.1o.71 K, Primer Tribunal Colegiado del Noveno Circuito, Novena Época, Semanario Judicial de la Federación y su Gaceta. Tomo XVIII, Octubre de 2003, página 1039.</w:t>
      </w:r>
    </w:p>
    <w:p w:rsidR="000E1504" w:rsidRDefault="000E1504">
      <w:pPr>
        <w:pBdr>
          <w:top w:val="nil"/>
          <w:left w:val="nil"/>
          <w:bottom w:val="nil"/>
          <w:right w:val="nil"/>
          <w:between w:val="nil"/>
        </w:pBdr>
        <w:shd w:val="clear" w:color="auto" w:fill="FFFFFF"/>
        <w:tabs>
          <w:tab w:val="left" w:pos="0"/>
        </w:tabs>
        <w:spacing w:before="240" w:after="150" w:line="360" w:lineRule="auto"/>
        <w:ind w:left="180" w:right="49"/>
        <w:jc w:val="both"/>
        <w:rPr>
          <w:color w:val="000000"/>
        </w:rPr>
      </w:pPr>
    </w:p>
    <w:p w:rsidR="000E1504" w:rsidRDefault="000E1504">
      <w:pPr>
        <w:pBdr>
          <w:top w:val="nil"/>
          <w:left w:val="nil"/>
          <w:bottom w:val="nil"/>
          <w:right w:val="nil"/>
          <w:between w:val="nil"/>
        </w:pBdr>
        <w:rPr>
          <w:rFonts w:ascii="Cambria" w:eastAsia="Cambria" w:hAnsi="Cambria" w:cs="Cambria"/>
          <w:color w:val="000000"/>
          <w:sz w:val="20"/>
          <w:szCs w:val="20"/>
        </w:rPr>
      </w:pPr>
    </w:p>
  </w:footnote>
  <w:footnote w:id="15">
    <w:p w:rsidR="000E1504" w:rsidRDefault="00724D85">
      <w:pPr>
        <w:pBdr>
          <w:top w:val="nil"/>
          <w:left w:val="nil"/>
          <w:bottom w:val="nil"/>
          <w:right w:val="nil"/>
          <w:between w:val="nil"/>
        </w:pBdr>
        <w:ind w:left="360"/>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Jurisprudencia de la Segunda Sala, Séptima Época, publicada en el Semanario Judicial de la Federación Volumen 97-102, Tercera Parte, página 143.</w:t>
      </w:r>
    </w:p>
  </w:footnote>
  <w:footnote w:id="16">
    <w:p w:rsidR="000E1504" w:rsidRDefault="00724D85">
      <w:pPr>
        <w:spacing w:line="276" w:lineRule="auto"/>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Jurisprudencia de la Primera Sala 1a. X/2000, Novena Época, publicada en el Semanario Judicial de la Federación, Tomo XII, Agosto de 2000, Página 191.</w:t>
      </w:r>
    </w:p>
    <w:p w:rsidR="000E1504" w:rsidRDefault="000E1504">
      <w:pPr>
        <w:pBdr>
          <w:top w:val="nil"/>
          <w:left w:val="nil"/>
          <w:bottom w:val="nil"/>
          <w:right w:val="nil"/>
          <w:between w:val="nil"/>
        </w:pBdr>
        <w:rPr>
          <w:rFonts w:ascii="Cambria" w:eastAsia="Cambria" w:hAnsi="Cambria" w:cs="Cambria"/>
          <w:color w:val="000000"/>
          <w:sz w:val="20"/>
          <w:szCs w:val="20"/>
        </w:rPr>
      </w:pPr>
    </w:p>
  </w:footnote>
  <w:footnote w:id="17">
    <w:p w:rsidR="000E1504" w:rsidRDefault="00724D85">
      <w:pPr>
        <w:pBdr>
          <w:top w:val="nil"/>
          <w:left w:val="nil"/>
          <w:bottom w:val="nil"/>
          <w:right w:val="nil"/>
          <w:between w:val="nil"/>
        </w:pBdr>
        <w:ind w:right="-252"/>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Estadística del ejercicio 2020 realizada por el Infoem, visible en </w:t>
      </w:r>
      <w:hyperlink r:id="rId4">
        <w:r>
          <w:rPr>
            <w:rFonts w:ascii="Palatino Linotype" w:eastAsia="Palatino Linotype" w:hAnsi="Palatino Linotype" w:cs="Palatino Linotype"/>
            <w:color w:val="0000FF"/>
            <w:sz w:val="18"/>
            <w:szCs w:val="18"/>
            <w:u w:val="single"/>
          </w:rPr>
          <w:t>https://www.infoem.org.mx/est_/index.php</w:t>
        </w:r>
      </w:hyperlink>
    </w:p>
  </w:footnote>
  <w:footnote w:id="18">
    <w:p w:rsidR="000E1504" w:rsidRDefault="00724D8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E1504" w:rsidRDefault="00724D85">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E1504" w:rsidRDefault="00724D85">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9">
    <w:p w:rsidR="000E1504" w:rsidRDefault="00724D8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OVALLE FAVELA, José, “</w:t>
      </w:r>
      <w:r>
        <w:rPr>
          <w:rFonts w:ascii="Cambria" w:eastAsia="Cambria" w:hAnsi="Cambria" w:cs="Cambria"/>
          <w:i/>
          <w:color w:val="000000"/>
          <w:sz w:val="20"/>
          <w:szCs w:val="20"/>
          <w:highlight w:val="white"/>
        </w:rPr>
        <w:t>Garantías constitucionales del proceso”</w:t>
      </w:r>
      <w:r>
        <w:rPr>
          <w:rFonts w:ascii="Cambria" w:eastAsia="Cambria" w:hAnsi="Cambria" w:cs="Cambria"/>
          <w:color w:val="000000"/>
          <w:sz w:val="20"/>
          <w:szCs w:val="20"/>
          <w:highlight w:val="white"/>
        </w:rPr>
        <w:t>, 2a. ed., México, Oxford University Press, 2002, 474 pp.</w:t>
      </w:r>
    </w:p>
  </w:footnote>
  <w:footnote w:id="20">
    <w:p w:rsidR="000E1504" w:rsidRDefault="00724D8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Tribunales Colegiados de Circuito. Novena Época. Semanario Judicial de la Federación y su Gaceta. Tomo III, marzo de 1996. Pág. 769. Consultado en http://sjf.scjn.gob.mx/sjfsist/Documentos/Tesis/203/203143.pdf  el viernes 16 de junio de 2017.</w:t>
      </w:r>
    </w:p>
    <w:p w:rsidR="000E1504" w:rsidRDefault="000E1504">
      <w:pPr>
        <w:pBdr>
          <w:top w:val="nil"/>
          <w:left w:val="nil"/>
          <w:bottom w:val="nil"/>
          <w:right w:val="nil"/>
          <w:between w:val="nil"/>
        </w:pBdr>
        <w:rPr>
          <w:rFonts w:ascii="Cambria" w:eastAsia="Cambria" w:hAnsi="Cambria" w:cs="Cambria"/>
          <w:color w:val="000000"/>
          <w:sz w:val="20"/>
          <w:szCs w:val="20"/>
        </w:rPr>
      </w:pPr>
    </w:p>
  </w:footnote>
  <w:footnote w:id="21">
    <w:p w:rsidR="000E1504" w:rsidRDefault="00724D8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3. Para los efectos de la presente Ley se entenderá por:</w:t>
      </w:r>
    </w:p>
    <w:p w:rsidR="000E1504" w:rsidRDefault="00724D85">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 xml:space="preserve"> (…)</w:t>
      </w:r>
    </w:p>
    <w:p w:rsidR="000E1504" w:rsidRDefault="00724D85">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IX. Datos personales: La información concerniente a una persona, identificada o identificable según lo dispuesto por la Ley de Protección de Datos Personales del Estado de México;</w:t>
      </w:r>
    </w:p>
  </w:footnote>
  <w:footnote w:id="22">
    <w:p w:rsidR="000E1504" w:rsidRDefault="00724D85">
      <w:pPr>
        <w:jc w:val="both"/>
        <w:rPr>
          <w:sz w:val="18"/>
          <w:szCs w:val="18"/>
        </w:rPr>
      </w:pPr>
      <w:r>
        <w:rPr>
          <w:vertAlign w:val="superscript"/>
        </w:rPr>
        <w:footnoteRef/>
      </w:r>
      <w:r>
        <w:t xml:space="preserve"> </w:t>
      </w:r>
      <w:r>
        <w:rPr>
          <w:b/>
          <w:sz w:val="18"/>
          <w:szCs w:val="18"/>
        </w:rPr>
        <w:t xml:space="preserve">Artículo 122. </w:t>
      </w:r>
      <w:r>
        <w:rPr>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0E1504" w:rsidRDefault="00724D85">
      <w:pPr>
        <w:jc w:val="both"/>
        <w:rPr>
          <w:sz w:val="18"/>
          <w:szCs w:val="18"/>
        </w:rPr>
      </w:pPr>
      <w:r>
        <w:rPr>
          <w:sz w:val="18"/>
          <w:szCs w:val="18"/>
        </w:rPr>
        <w:t>Los supuestos de reserva o confidencialidad previstos en las leyes deberán ser acordes con las bases, principios y disposiciones establecidos en la Ley General y, en ningún caso, podrán contravenirla.</w:t>
      </w:r>
    </w:p>
    <w:p w:rsidR="000E1504" w:rsidRDefault="00724D85">
      <w:pPr>
        <w:jc w:val="both"/>
        <w:rPr>
          <w:rFonts w:ascii="Arial" w:eastAsia="Arial" w:hAnsi="Arial" w:cs="Arial"/>
          <w:sz w:val="18"/>
          <w:szCs w:val="18"/>
        </w:rPr>
      </w:pPr>
      <w:r>
        <w:rPr>
          <w:sz w:val="18"/>
          <w:szCs w:val="18"/>
        </w:rPr>
        <w:t>Los titulares de las áreas de los sujetos obligados serán los responsables de clasificar la información, de conformidad con lo dispuesto en la presente Ley y demás disposiciones jurídicas aplicables</w:t>
      </w:r>
      <w:r>
        <w:rPr>
          <w:rFonts w:ascii="Arial" w:eastAsia="Arial" w:hAnsi="Arial" w:cs="Arial"/>
          <w:sz w:val="18"/>
          <w:szCs w:val="18"/>
        </w:rPr>
        <w:t>.</w:t>
      </w:r>
    </w:p>
    <w:p w:rsidR="000E1504" w:rsidRDefault="000E1504">
      <w:pPr>
        <w:jc w:val="both"/>
      </w:pPr>
    </w:p>
  </w:footnote>
  <w:footnote w:id="23">
    <w:p w:rsidR="000E1504" w:rsidRDefault="00724D85">
      <w:pPr>
        <w:jc w:val="both"/>
        <w:rPr>
          <w:sz w:val="18"/>
          <w:szCs w:val="18"/>
        </w:rPr>
      </w:pPr>
      <w:r>
        <w:rPr>
          <w:vertAlign w:val="superscript"/>
        </w:rPr>
        <w:footnoteRef/>
      </w:r>
      <w:r>
        <w:t xml:space="preserve"> </w:t>
      </w:r>
      <w:r>
        <w:rPr>
          <w:b/>
          <w:sz w:val="18"/>
          <w:szCs w:val="18"/>
        </w:rPr>
        <w:t>Artículo 135.</w:t>
      </w:r>
      <w:r>
        <w:rPr>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BB4" w:rsidRDefault="007540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7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04" w:rsidRDefault="00754043">
    <w:pPr>
      <w:widowControl w:val="0"/>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78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Style w:val="a1"/>
      <w:tblW w:w="5812" w:type="dxa"/>
      <w:tblInd w:w="2977" w:type="dxa"/>
      <w:tblLayout w:type="fixed"/>
      <w:tblLook w:val="0400" w:firstRow="0" w:lastRow="0" w:firstColumn="0" w:lastColumn="0" w:noHBand="0" w:noVBand="1"/>
    </w:tblPr>
    <w:tblGrid>
      <w:gridCol w:w="2552"/>
      <w:gridCol w:w="3260"/>
    </w:tblGrid>
    <w:tr w:rsidR="000E1504">
      <w:tc>
        <w:tcPr>
          <w:tcW w:w="2552" w:type="dxa"/>
          <w:vAlign w:val="center"/>
        </w:tcPr>
        <w:p w:rsidR="000E1504" w:rsidRDefault="00724D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vAlign w:val="center"/>
        </w:tcPr>
        <w:p w:rsidR="000E1504" w:rsidRDefault="00724D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02478/INFOEM/IP/RR/2020</w:t>
          </w:r>
        </w:p>
      </w:tc>
    </w:tr>
    <w:tr w:rsidR="000E1504">
      <w:trPr>
        <w:trHeight w:val="228"/>
      </w:trPr>
      <w:tc>
        <w:tcPr>
          <w:tcW w:w="2552" w:type="dxa"/>
          <w:vAlign w:val="center"/>
        </w:tcPr>
        <w:p w:rsidR="000E1504" w:rsidRDefault="00724D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0" w:type="dxa"/>
          <w:vAlign w:val="center"/>
        </w:tcPr>
        <w:p w:rsidR="000E1504" w:rsidRDefault="00724D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0E1504">
      <w:tc>
        <w:tcPr>
          <w:tcW w:w="2552" w:type="dxa"/>
          <w:vAlign w:val="center"/>
        </w:tcPr>
        <w:p w:rsidR="000E1504" w:rsidRDefault="00724D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60" w:type="dxa"/>
          <w:vAlign w:val="center"/>
        </w:tcPr>
        <w:p w:rsidR="000E1504" w:rsidRDefault="00724D8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Zulema Martínez Sánchez</w:t>
          </w:r>
        </w:p>
      </w:tc>
    </w:tr>
  </w:tbl>
  <w:p w:rsidR="000E1504" w:rsidRDefault="00724D8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04" w:rsidRDefault="00754043">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781"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r w:rsidR="00724D85">
      <w:rPr>
        <w:rFonts w:ascii="Cambria" w:eastAsia="Cambria" w:hAnsi="Cambria" w:cs="Cambria"/>
        <w:color w:val="000000"/>
      </w:rPr>
      <w:t xml:space="preserve">                                  </w:t>
    </w:r>
  </w:p>
  <w:tbl>
    <w:tblPr>
      <w:tblStyle w:val="a0"/>
      <w:tblW w:w="6095" w:type="dxa"/>
      <w:tblInd w:w="3119" w:type="dxa"/>
      <w:tblLayout w:type="fixed"/>
      <w:tblLook w:val="0400" w:firstRow="0" w:lastRow="0" w:firstColumn="0" w:lastColumn="0" w:noHBand="0" w:noVBand="1"/>
    </w:tblPr>
    <w:tblGrid>
      <w:gridCol w:w="2551"/>
      <w:gridCol w:w="3544"/>
    </w:tblGrid>
    <w:tr w:rsidR="000E1504">
      <w:tc>
        <w:tcPr>
          <w:tcW w:w="2551" w:type="dxa"/>
          <w:vAlign w:val="center"/>
        </w:tcPr>
        <w:p w:rsidR="000E1504" w:rsidRDefault="00724D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rsidR="000E1504" w:rsidRDefault="00724D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02478/INFOEM/IP/RR/2020</w:t>
          </w:r>
        </w:p>
      </w:tc>
    </w:tr>
    <w:tr w:rsidR="000E1504">
      <w:tc>
        <w:tcPr>
          <w:tcW w:w="2551" w:type="dxa"/>
          <w:vAlign w:val="center"/>
        </w:tcPr>
        <w:p w:rsidR="000E1504" w:rsidRDefault="00724D8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rsidR="000E1504" w:rsidRDefault="00FF4043">
          <w:pPr>
            <w:rPr>
              <w:sz w:val="22"/>
              <w:szCs w:val="22"/>
            </w:rPr>
          </w:pPr>
          <w:r>
            <w:rPr>
              <w:rFonts w:ascii="Palatino Linotype" w:eastAsia="Palatino Linotype" w:hAnsi="Palatino Linotype" w:cs="Palatino Linotype"/>
              <w:b/>
              <w:sz w:val="22"/>
              <w:szCs w:val="22"/>
            </w:rPr>
            <w:t>xxxxxxxxxxxxxxxxxxxxxxxxxxxxxx</w:t>
          </w:r>
        </w:p>
      </w:tc>
    </w:tr>
    <w:tr w:rsidR="000E1504">
      <w:trPr>
        <w:trHeight w:val="228"/>
      </w:trPr>
      <w:tc>
        <w:tcPr>
          <w:tcW w:w="2551" w:type="dxa"/>
          <w:vAlign w:val="center"/>
        </w:tcPr>
        <w:p w:rsidR="000E1504" w:rsidRDefault="00724D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rsidR="000E1504" w:rsidRDefault="00724D85">
          <w:pPr>
            <w:ind w:left="35" w:hanging="35"/>
            <w:rPr>
              <w:sz w:val="22"/>
              <w:szCs w:val="22"/>
            </w:rPr>
          </w:pPr>
          <w:r>
            <w:rPr>
              <w:rFonts w:ascii="Palatino Linotype" w:eastAsia="Palatino Linotype" w:hAnsi="Palatino Linotype" w:cs="Palatino Linotype"/>
              <w:b/>
              <w:sz w:val="20"/>
              <w:szCs w:val="20"/>
            </w:rPr>
            <w:t>Ayuntamiento de Ixtapan de la Sal</w:t>
          </w:r>
        </w:p>
      </w:tc>
    </w:tr>
    <w:tr w:rsidR="000E1504">
      <w:tc>
        <w:tcPr>
          <w:tcW w:w="2551" w:type="dxa"/>
          <w:vAlign w:val="center"/>
        </w:tcPr>
        <w:p w:rsidR="000E1504" w:rsidRDefault="00724D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4" w:type="dxa"/>
          <w:vAlign w:val="center"/>
        </w:tcPr>
        <w:p w:rsidR="000E1504" w:rsidRDefault="00724D8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Zulema Martínez Sánchez</w:t>
          </w:r>
        </w:p>
      </w:tc>
    </w:tr>
  </w:tbl>
  <w:p w:rsidR="000E1504" w:rsidRDefault="000E150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5193"/>
    <w:multiLevelType w:val="multilevel"/>
    <w:tmpl w:val="7988C8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0C746DF7"/>
    <w:multiLevelType w:val="multilevel"/>
    <w:tmpl w:val="D1BCB770"/>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176CA2"/>
    <w:multiLevelType w:val="multilevel"/>
    <w:tmpl w:val="BF9C3A72"/>
    <w:lvl w:ilvl="0">
      <w:start w:val="9"/>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BA6192"/>
    <w:multiLevelType w:val="multilevel"/>
    <w:tmpl w:val="AD0C1A12"/>
    <w:lvl w:ilvl="0">
      <w:start w:val="4"/>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AC7DA3"/>
    <w:multiLevelType w:val="multilevel"/>
    <w:tmpl w:val="330837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5A741A"/>
    <w:multiLevelType w:val="multilevel"/>
    <w:tmpl w:val="D1204FF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94314B"/>
    <w:multiLevelType w:val="multilevel"/>
    <w:tmpl w:val="9B2C73B0"/>
    <w:lvl w:ilvl="0">
      <w:start w:val="8"/>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2C0C52"/>
    <w:multiLevelType w:val="multilevel"/>
    <w:tmpl w:val="9FF4B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BE6F5A"/>
    <w:multiLevelType w:val="multilevel"/>
    <w:tmpl w:val="3A0C4064"/>
    <w:lvl w:ilvl="0">
      <w:start w:val="1"/>
      <w:numFmt w:val="decimal"/>
      <w:lvlText w:val="%1."/>
      <w:lvlJc w:val="left"/>
      <w:pPr>
        <w:ind w:left="502" w:hanging="360"/>
      </w:pPr>
      <w:rPr>
        <w:rFonts w:ascii="Palatino Linotype" w:eastAsia="Palatino Linotype" w:hAnsi="Palatino Linotype" w:cs="Palatino Linotype"/>
        <w:b/>
        <w:i w:val="0"/>
        <w:sz w:val="24"/>
        <w:szCs w:val="24"/>
      </w:rPr>
    </w:lvl>
    <w:lvl w:ilvl="1">
      <w:start w:val="1"/>
      <w:numFmt w:val="upperRoman"/>
      <w:lvlText w:val="%2."/>
      <w:lvlJc w:val="left"/>
      <w:pPr>
        <w:ind w:left="1800" w:hanging="720"/>
      </w:pPr>
    </w:lvl>
    <w:lvl w:ilvl="2">
      <w:start w:val="1"/>
      <w:numFmt w:val="lowerLetter"/>
      <w:lvlText w:val="%3)"/>
      <w:lvlJc w:val="left"/>
      <w:pPr>
        <w:ind w:left="2340" w:hanging="360"/>
      </w:pPr>
      <w:rPr>
        <w:rFonts w:ascii="Cambria" w:eastAsia="Cambria" w:hAnsi="Cambria" w:cs="Cambria"/>
        <w:color w:val="000000"/>
      </w:r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AF546F"/>
    <w:multiLevelType w:val="multilevel"/>
    <w:tmpl w:val="C3320132"/>
    <w:lvl w:ilvl="0">
      <w:start w:val="5"/>
      <w:numFmt w:val="upperRoman"/>
      <w:lvlText w:val="%1."/>
      <w:lvlJc w:val="righ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45A"/>
    <w:multiLevelType w:val="multilevel"/>
    <w:tmpl w:val="4BD49742"/>
    <w:lvl w:ilvl="0">
      <w:start w:val="7"/>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D65B35"/>
    <w:multiLevelType w:val="multilevel"/>
    <w:tmpl w:val="A346325A"/>
    <w:lvl w:ilvl="0">
      <w:start w:val="1"/>
      <w:numFmt w:val="lowerLetter"/>
      <w:lvlText w:val="%1)"/>
      <w:lvlJc w:val="left"/>
      <w:pPr>
        <w:ind w:left="1681" w:hanging="236"/>
      </w:pPr>
      <w:rPr>
        <w:rFonts w:ascii="Palatino Linotype" w:eastAsia="Palatino Linotype" w:hAnsi="Palatino Linotype" w:cs="Palatino Linotype"/>
        <w:i/>
        <w:sz w:val="20"/>
        <w:szCs w:val="20"/>
      </w:rPr>
    </w:lvl>
    <w:lvl w:ilvl="1">
      <w:start w:val="1"/>
      <w:numFmt w:val="decimal"/>
      <w:lvlText w:val="%2."/>
      <w:lvlJc w:val="left"/>
      <w:pPr>
        <w:ind w:left="1729" w:hanging="235"/>
      </w:pPr>
      <w:rPr>
        <w:rFonts w:ascii="Arial" w:eastAsia="Arial" w:hAnsi="Arial" w:cs="Arial"/>
        <w:i/>
        <w:sz w:val="20"/>
        <w:szCs w:val="20"/>
      </w:rPr>
    </w:lvl>
    <w:lvl w:ilvl="2">
      <w:start w:val="1"/>
      <w:numFmt w:val="bullet"/>
      <w:lvlText w:val="•"/>
      <w:lvlJc w:val="left"/>
      <w:pPr>
        <w:ind w:left="2706" w:hanging="235"/>
      </w:pPr>
    </w:lvl>
    <w:lvl w:ilvl="3">
      <w:start w:val="1"/>
      <w:numFmt w:val="bullet"/>
      <w:lvlText w:val="•"/>
      <w:lvlJc w:val="left"/>
      <w:pPr>
        <w:ind w:left="3693" w:hanging="235"/>
      </w:pPr>
    </w:lvl>
    <w:lvl w:ilvl="4">
      <w:start w:val="1"/>
      <w:numFmt w:val="bullet"/>
      <w:lvlText w:val="•"/>
      <w:lvlJc w:val="left"/>
      <w:pPr>
        <w:ind w:left="4680" w:hanging="235"/>
      </w:pPr>
    </w:lvl>
    <w:lvl w:ilvl="5">
      <w:start w:val="1"/>
      <w:numFmt w:val="bullet"/>
      <w:lvlText w:val="•"/>
      <w:lvlJc w:val="left"/>
      <w:pPr>
        <w:ind w:left="5666" w:hanging="235"/>
      </w:pPr>
    </w:lvl>
    <w:lvl w:ilvl="6">
      <w:start w:val="1"/>
      <w:numFmt w:val="bullet"/>
      <w:lvlText w:val="•"/>
      <w:lvlJc w:val="left"/>
      <w:pPr>
        <w:ind w:left="6653" w:hanging="235"/>
      </w:pPr>
    </w:lvl>
    <w:lvl w:ilvl="7">
      <w:start w:val="1"/>
      <w:numFmt w:val="bullet"/>
      <w:lvlText w:val="•"/>
      <w:lvlJc w:val="left"/>
      <w:pPr>
        <w:ind w:left="7640" w:hanging="235"/>
      </w:pPr>
    </w:lvl>
    <w:lvl w:ilvl="8">
      <w:start w:val="1"/>
      <w:numFmt w:val="bullet"/>
      <w:lvlText w:val="•"/>
      <w:lvlJc w:val="left"/>
      <w:pPr>
        <w:ind w:left="8626" w:hanging="235"/>
      </w:pPr>
    </w:lvl>
  </w:abstractNum>
  <w:abstractNum w:abstractNumId="12">
    <w:nsid w:val="5A886BFC"/>
    <w:multiLevelType w:val="multilevel"/>
    <w:tmpl w:val="FED82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73242BD"/>
    <w:multiLevelType w:val="multilevel"/>
    <w:tmpl w:val="FF1A0BF8"/>
    <w:lvl w:ilvl="0">
      <w:start w:val="6"/>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C661CA"/>
    <w:multiLevelType w:val="multilevel"/>
    <w:tmpl w:val="83A4C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CF710F3"/>
    <w:multiLevelType w:val="multilevel"/>
    <w:tmpl w:val="0046D4E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1800" w:hanging="720"/>
      </w:pPr>
      <w:rPr>
        <w:b/>
        <w:i w:val="0"/>
      </w:rPr>
    </w:lvl>
    <w:lvl w:ilvl="2">
      <w:start w:val="4"/>
      <w:numFmt w:val="lowerRoman"/>
      <w:lvlText w:val="%3."/>
      <w:lvlJc w:val="right"/>
      <w:pPr>
        <w:ind w:left="2160" w:hanging="180"/>
      </w:pPr>
    </w:lvl>
    <w:lvl w:ilvl="3">
      <w:start w:val="1"/>
      <w:numFmt w:val="decimal"/>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4"/>
  </w:num>
  <w:num w:numId="4">
    <w:abstractNumId w:val="3"/>
  </w:num>
  <w:num w:numId="5">
    <w:abstractNumId w:val="7"/>
  </w:num>
  <w:num w:numId="6">
    <w:abstractNumId w:val="5"/>
  </w:num>
  <w:num w:numId="7">
    <w:abstractNumId w:val="9"/>
  </w:num>
  <w:num w:numId="8">
    <w:abstractNumId w:val="1"/>
  </w:num>
  <w:num w:numId="9">
    <w:abstractNumId w:val="13"/>
  </w:num>
  <w:num w:numId="10">
    <w:abstractNumId w:val="10"/>
  </w:num>
  <w:num w:numId="11">
    <w:abstractNumId w:val="6"/>
  </w:num>
  <w:num w:numId="12">
    <w:abstractNumId w:val="11"/>
  </w:num>
  <w:num w:numId="13">
    <w:abstractNumId w:val="2"/>
  </w:num>
  <w:num w:numId="14">
    <w:abstractNumId w:val="12"/>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04"/>
    <w:rsid w:val="000E1504"/>
    <w:rsid w:val="00130A2E"/>
    <w:rsid w:val="001535CA"/>
    <w:rsid w:val="001A3CC2"/>
    <w:rsid w:val="00231EAD"/>
    <w:rsid w:val="003703B0"/>
    <w:rsid w:val="004B0094"/>
    <w:rsid w:val="00724D85"/>
    <w:rsid w:val="00754043"/>
    <w:rsid w:val="008753FE"/>
    <w:rsid w:val="00961BB4"/>
    <w:rsid w:val="00BD1B62"/>
    <w:rsid w:val="00C426A0"/>
    <w:rsid w:val="00F139A9"/>
    <w:rsid w:val="00FA3ED3"/>
    <w:rsid w:val="00FF40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C44D995-42CC-481F-9A17-9F3A042B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Sinespaciado">
    <w:name w:val="No Spacing"/>
    <w:uiPriority w:val="1"/>
    <w:qFormat/>
    <w:rsid w:val="001535CA"/>
  </w:style>
  <w:style w:type="paragraph" w:styleId="Encabezado">
    <w:name w:val="header"/>
    <w:basedOn w:val="Normal"/>
    <w:link w:val="EncabezadoCar"/>
    <w:uiPriority w:val="99"/>
    <w:unhideWhenUsed/>
    <w:rsid w:val="00961BB4"/>
    <w:pPr>
      <w:tabs>
        <w:tab w:val="center" w:pos="4419"/>
        <w:tab w:val="right" w:pos="8838"/>
      </w:tabs>
    </w:pPr>
  </w:style>
  <w:style w:type="character" w:customStyle="1" w:styleId="EncabezadoCar">
    <w:name w:val="Encabezado Car"/>
    <w:basedOn w:val="Fuentedeprrafopredeter"/>
    <w:link w:val="Encabezado"/>
    <w:uiPriority w:val="99"/>
    <w:rsid w:val="00961BB4"/>
  </w:style>
  <w:style w:type="paragraph" w:styleId="Piedepgina">
    <w:name w:val="footer"/>
    <w:basedOn w:val="Normal"/>
    <w:link w:val="PiedepginaCar"/>
    <w:uiPriority w:val="99"/>
    <w:unhideWhenUsed/>
    <w:rsid w:val="00961BB4"/>
    <w:pPr>
      <w:tabs>
        <w:tab w:val="center" w:pos="4419"/>
        <w:tab w:val="right" w:pos="8838"/>
      </w:tabs>
    </w:pPr>
  </w:style>
  <w:style w:type="character" w:customStyle="1" w:styleId="PiedepginaCar">
    <w:name w:val="Pie de página Car"/>
    <w:basedOn w:val="Fuentedeprrafopredeter"/>
    <w:link w:val="Piedepgina"/>
    <w:uiPriority w:val="99"/>
    <w:rsid w:val="0096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cjn.gob.mx/sites/default/files/listas/documento_dos/2018-11/AR%20654-2018.pdf"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 Id="rId4" Type="http://schemas.openxmlformats.org/officeDocument/2006/relationships/hyperlink" Target="https://www.infoem.org.mx/est_/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101</Pages>
  <Words>24166</Words>
  <Characters>132917</Characters>
  <Application>Microsoft Office Word</Application>
  <DocSecurity>0</DocSecurity>
  <Lines>1107</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2021-07-06T22:46:00Z</dcterms:created>
  <dcterms:modified xsi:type="dcterms:W3CDTF">2021-08-05T15:17:00Z</dcterms:modified>
</cp:coreProperties>
</file>