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87F" w:rsidRDefault="007E4334">
      <w:pPr>
        <w:spacing w:line="360" w:lineRule="auto"/>
        <w:jc w:val="both"/>
        <w:rPr>
          <w:rFonts w:ascii="Palatino Linotype" w:hAnsi="Palatino Linotype"/>
        </w:rPr>
      </w:pPr>
      <w:bookmarkStart w:id="0" w:name="_GoBack"/>
      <w:bookmarkEnd w:id="0"/>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17587F" w:rsidRDefault="0017587F">
      <w:pPr>
        <w:spacing w:line="360" w:lineRule="auto"/>
        <w:jc w:val="both"/>
        <w:rPr>
          <w:rFonts w:ascii="Palatino Linotype" w:hAnsi="Palatino Linotype"/>
        </w:rPr>
      </w:pPr>
    </w:p>
    <w:p w:rsidR="0017587F" w:rsidRDefault="007E4334">
      <w:pPr>
        <w:spacing w:line="360" w:lineRule="auto"/>
        <w:jc w:val="both"/>
        <w:rPr>
          <w:rFonts w:ascii="Palatino Linotype" w:hAnsi="Palatino Linotype"/>
          <w:b/>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01032/INFOEM/IP/RR/2020</w:t>
      </w:r>
      <w:r>
        <w:rPr>
          <w:rFonts w:ascii="Palatino Linotype" w:hAnsi="Palatino Linotype"/>
        </w:rPr>
        <w:t xml:space="preserve">, promovido por el C. </w:t>
      </w:r>
      <w:r w:rsidR="00C5297F" w:rsidRPr="00C5297F">
        <w:rPr>
          <w:rFonts w:ascii="Palatino Linotype" w:hAnsi="Palatino Linotype" w:cs="Arial"/>
          <w:b/>
        </w:rPr>
        <w:t>Xxxxx Xxxxxx xxx Xxxxx Xxxxxx Xx Xxxxxxxxxxxxx</w:t>
      </w:r>
      <w:r>
        <w:rPr>
          <w:rFonts w:ascii="Palatino Linotype" w:hAnsi="Palatino Linotype"/>
        </w:rPr>
        <w:t xml:space="preserve">, </w:t>
      </w:r>
      <w:r>
        <w:rPr>
          <w:rFonts w:ascii="Palatino Linotype" w:hAnsi="Palatino Linotype" w:cs="Arial"/>
        </w:rPr>
        <w:t>en lo sucesivo</w:t>
      </w:r>
      <w:r>
        <w:rPr>
          <w:rFonts w:ascii="Palatino Linotype" w:hAnsi="Palatino Linotype" w:cs="Arial"/>
          <w:b/>
        </w:rPr>
        <w:t xml:space="preserve"> EL RECURRENTE,</w:t>
      </w:r>
      <w:r>
        <w:rPr>
          <w:rFonts w:ascii="Palatino Linotype" w:hAnsi="Palatino Linotype"/>
        </w:rPr>
        <w:t xml:space="preserve"> en contra de la respuesta emitida por el </w:t>
      </w:r>
      <w:r>
        <w:rPr>
          <w:rFonts w:ascii="Palatino Linotype" w:hAnsi="Palatino Linotype" w:cs="Arial"/>
          <w:b/>
        </w:rPr>
        <w:t>Instituto de Investigación y Fomento de Las Artesanías del Estado de México,</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17587F" w:rsidRDefault="0017587F">
      <w:pPr>
        <w:jc w:val="center"/>
        <w:rPr>
          <w:rFonts w:ascii="Palatino Linotype" w:hAnsi="Palatino Linotype"/>
        </w:rPr>
      </w:pPr>
    </w:p>
    <w:p w:rsidR="0017587F" w:rsidRDefault="007E4334">
      <w:pPr>
        <w:jc w:val="center"/>
        <w:rPr>
          <w:rFonts w:ascii="Palatino Linotype" w:hAnsi="Palatino Linotype"/>
          <w:b/>
          <w:bCs/>
          <w:spacing w:val="40"/>
          <w:sz w:val="28"/>
        </w:rPr>
      </w:pPr>
      <w:r>
        <w:rPr>
          <w:rFonts w:ascii="Palatino Linotype" w:hAnsi="Palatino Linotype"/>
          <w:b/>
          <w:bCs/>
          <w:spacing w:val="40"/>
          <w:sz w:val="28"/>
        </w:rPr>
        <w:t>RESULTANDO</w:t>
      </w:r>
    </w:p>
    <w:p w:rsidR="0017587F" w:rsidRDefault="0017587F">
      <w:pPr>
        <w:jc w:val="center"/>
        <w:rPr>
          <w:rFonts w:ascii="Palatino Linotype" w:hAnsi="Palatino Linotype"/>
          <w:b/>
          <w:bCs/>
          <w:spacing w:val="40"/>
        </w:rPr>
      </w:pPr>
    </w:p>
    <w:p w:rsidR="0017587F" w:rsidRDefault="007E4334">
      <w:pPr>
        <w:spacing w:line="360" w:lineRule="auto"/>
        <w:jc w:val="both"/>
        <w:rPr>
          <w:rFonts w:ascii="Palatino Linotype" w:hAnsi="Palatino Linotype" w:cs="Arial"/>
          <w:b/>
          <w:bCs/>
        </w:rPr>
      </w:pPr>
      <w:r>
        <w:rPr>
          <w:rFonts w:ascii="Palatino Linotype" w:hAnsi="Palatino Linotype"/>
          <w:b/>
          <w:sz w:val="28"/>
          <w:szCs w:val="28"/>
        </w:rPr>
        <w:t xml:space="preserve">I. </w:t>
      </w:r>
      <w:r>
        <w:rPr>
          <w:rFonts w:ascii="Palatino Linotype" w:hAnsi="Palatino Linotype"/>
        </w:rPr>
        <w:t xml:space="preserve">En </w:t>
      </w:r>
      <w:r>
        <w:rPr>
          <w:rFonts w:ascii="Palatino Linotype" w:hAnsi="Palatino Linotype" w:cs="Arial"/>
          <w:lang w:val="es-ES"/>
        </w:rPr>
        <w:t>fecha</w:t>
      </w:r>
      <w:r>
        <w:rPr>
          <w:rFonts w:ascii="Palatino Linotype" w:hAnsi="Palatino Linotype"/>
        </w:rPr>
        <w:t xml:space="preserve"> trece de enero de dos mil veinte, </w:t>
      </w:r>
      <w:r>
        <w:rPr>
          <w:rFonts w:ascii="Palatino Linotype" w:hAnsi="Palatino Linotype"/>
          <w:b/>
        </w:rPr>
        <w:t>EL RECURRENTE</w:t>
      </w:r>
      <w:r>
        <w:rPr>
          <w:rFonts w:ascii="Palatino Linotype" w:hAnsi="Palatino Linotype" w:cs="Arial"/>
        </w:rPr>
        <w:t xml:space="preserve"> </w:t>
      </w:r>
      <w:r>
        <w:rPr>
          <w:rFonts w:ascii="Palatino Linotype" w:hAnsi="Palatino Linotype"/>
          <w:lang w:val="es-ES_tradnl"/>
        </w:rPr>
        <w:t xml:space="preserve">presentó a través </w:t>
      </w:r>
      <w:r>
        <w:rPr>
          <w:rFonts w:ascii="Palatino Linotype" w:hAnsi="Palatino Linotype" w:cs="Arial"/>
          <w:lang w:val="es-ES_tradnl"/>
        </w:rPr>
        <w:t>de la Plataforma Nacional de Trasparencia (PNT) vinculada al Sistema de Acceso a la Información Mexiquense</w:t>
      </w:r>
      <w:r>
        <w:rPr>
          <w:rFonts w:ascii="Palatino Linotype" w:hAnsi="Palatino Linotype"/>
          <w:lang w:val="es-ES_tradnl"/>
        </w:rPr>
        <w:t xml:space="preserve">, en lo subsecuente </w:t>
      </w:r>
      <w:r>
        <w:rPr>
          <w:rFonts w:ascii="Palatino Linotype" w:hAnsi="Palatino Linotype" w:cs="Arial"/>
          <w:b/>
          <w:szCs w:val="20"/>
          <w:lang w:val="es-ES_tradnl"/>
        </w:rPr>
        <w:t>EL SAIMEX</w:t>
      </w:r>
      <w:r>
        <w:rPr>
          <w:rFonts w:ascii="Palatino Linotype" w:hAnsi="Palatino Linotype" w:cs="Arial"/>
        </w:rPr>
        <w:t xml:space="preserve"> ante </w:t>
      </w:r>
      <w:r>
        <w:rPr>
          <w:rFonts w:ascii="Palatino Linotype" w:hAnsi="Palatino Linotype" w:cs="Arial"/>
          <w:b/>
        </w:rPr>
        <w:t>EL SUJETO OBLIGADO</w:t>
      </w:r>
      <w:r>
        <w:rPr>
          <w:rFonts w:ascii="Palatino Linotype" w:hAnsi="Palatino Linotype" w:cs="Arial"/>
        </w:rPr>
        <w:t xml:space="preserve">, la solicitud de acceso a la información pública, a la que se le asignó el número de expediente </w:t>
      </w:r>
      <w:r>
        <w:rPr>
          <w:rFonts w:ascii="Palatino Linotype" w:hAnsi="Palatino Linotype" w:cs="Arial"/>
          <w:b/>
          <w:bCs/>
        </w:rPr>
        <w:t>00001/IIFAEM/IP/2020</w:t>
      </w:r>
      <w:r>
        <w:rPr>
          <w:rFonts w:ascii="Palatino Linotype" w:hAnsi="Palatino Linotype" w:cs="Arial"/>
        </w:rPr>
        <w:t>, mediante la cual requirió lo siguiente:</w:t>
      </w:r>
    </w:p>
    <w:p w:rsidR="0017587F" w:rsidRDefault="0017587F">
      <w:pPr>
        <w:tabs>
          <w:tab w:val="left" w:pos="851"/>
        </w:tabs>
        <w:ind w:left="851" w:right="901"/>
        <w:jc w:val="both"/>
        <w:rPr>
          <w:rFonts w:ascii="Palatino Linotype" w:hAnsi="Palatino Linotype" w:cs="Arial"/>
          <w:i/>
          <w:sz w:val="22"/>
          <w:szCs w:val="22"/>
        </w:rPr>
      </w:pPr>
    </w:p>
    <w:p w:rsidR="0017587F" w:rsidRDefault="007E4334">
      <w:pPr>
        <w:tabs>
          <w:tab w:val="left" w:pos="851"/>
        </w:tabs>
        <w:ind w:left="851" w:right="901"/>
        <w:jc w:val="both"/>
        <w:rPr>
          <w:rFonts w:ascii="Palatino Linotype" w:hAnsi="Palatino Linotype" w:cs="Arial"/>
          <w:i/>
          <w:sz w:val="22"/>
          <w:szCs w:val="22"/>
        </w:rPr>
      </w:pPr>
      <w:r>
        <w:rPr>
          <w:rFonts w:ascii="Palatino Linotype" w:hAnsi="Palatino Linotype" w:cs="Arial"/>
          <w:i/>
          <w:sz w:val="22"/>
          <w:szCs w:val="22"/>
        </w:rPr>
        <w:t>“Solicito conocer su programa anual de trabajo para 2020, así como el presupuesto aprobado.”(Sic)</w:t>
      </w:r>
    </w:p>
    <w:p w:rsidR="0017587F" w:rsidRDefault="0017587F">
      <w:pPr>
        <w:tabs>
          <w:tab w:val="left" w:pos="851"/>
        </w:tabs>
        <w:ind w:left="851" w:right="901"/>
        <w:jc w:val="both"/>
        <w:rPr>
          <w:rFonts w:ascii="Palatino Linotype" w:hAnsi="Palatino Linotype" w:cs="Arial"/>
          <w:i/>
          <w:sz w:val="22"/>
          <w:szCs w:val="22"/>
        </w:rPr>
      </w:pPr>
    </w:p>
    <w:p w:rsidR="0017587F" w:rsidRDefault="007E4334">
      <w:pPr>
        <w:spacing w:line="360" w:lineRule="auto"/>
        <w:jc w:val="both"/>
        <w:rPr>
          <w:rFonts w:ascii="Palatino Linotype" w:hAnsi="Palatino Linotype" w:cs="Arial"/>
        </w:rPr>
      </w:pPr>
      <w:r>
        <w:rPr>
          <w:rFonts w:ascii="Palatino Linotype" w:hAnsi="Palatino Linotype" w:cs="Arial"/>
          <w:b/>
        </w:rPr>
        <w:t>MODALIDAD DE ENTREGA:</w:t>
      </w:r>
      <w:r>
        <w:rPr>
          <w:rFonts w:ascii="Palatino Linotype" w:hAnsi="Palatino Linotype" w:cs="Arial"/>
        </w:rPr>
        <w:t xml:space="preserve"> Vía </w:t>
      </w:r>
      <w:r>
        <w:rPr>
          <w:rFonts w:ascii="Palatino Linotype" w:hAnsi="Palatino Linotype" w:cs="Arial"/>
          <w:b/>
        </w:rPr>
        <w:t xml:space="preserve">SAIMEX </w:t>
      </w:r>
      <w:r>
        <w:rPr>
          <w:rFonts w:ascii="Palatino Linotype" w:hAnsi="Palatino Linotype" w:cs="Arial"/>
        </w:rPr>
        <w:t xml:space="preserve">y </w:t>
      </w:r>
      <w:r>
        <w:rPr>
          <w:rFonts w:ascii="Palatino Linotype" w:hAnsi="Palatino Linotype" w:cs="Arial"/>
          <w:b/>
        </w:rPr>
        <w:t>correo electrónico</w:t>
      </w:r>
      <w:r>
        <w:rPr>
          <w:rFonts w:ascii="Palatino Linotype" w:hAnsi="Palatino Linotype" w:cs="Arial"/>
        </w:rPr>
        <w:t>.</w:t>
      </w:r>
    </w:p>
    <w:p w:rsidR="0017587F" w:rsidRDefault="0017587F">
      <w:pPr>
        <w:spacing w:line="360" w:lineRule="auto"/>
        <w:jc w:val="both"/>
        <w:rPr>
          <w:rFonts w:ascii="Palatino Linotype" w:hAnsi="Palatino Linotype" w:cs="Arial"/>
          <w:sz w:val="16"/>
        </w:rPr>
      </w:pPr>
    </w:p>
    <w:p w:rsidR="0017587F" w:rsidRDefault="007E4334">
      <w:pPr>
        <w:spacing w:line="360" w:lineRule="auto"/>
        <w:jc w:val="both"/>
        <w:rPr>
          <w:rFonts w:ascii="Palatino Linotype" w:hAnsi="Palatino Linotype" w:cs="Arial"/>
          <w:lang w:val="es-ES" w:eastAsia="es-MX"/>
        </w:rPr>
      </w:pPr>
      <w:r>
        <w:rPr>
          <w:rFonts w:ascii="Palatino Linotype" w:hAnsi="Palatino Linotype"/>
          <w:b/>
          <w:sz w:val="28"/>
          <w:szCs w:val="28"/>
        </w:rPr>
        <w:lastRenderedPageBreak/>
        <w:t>II.</w:t>
      </w:r>
      <w:r>
        <w:rPr>
          <w:rFonts w:ascii="Palatino Linotype" w:hAnsi="Palatino Linotype"/>
          <w:sz w:val="28"/>
          <w:szCs w:val="28"/>
        </w:rPr>
        <w:t xml:space="preserve"> </w:t>
      </w:r>
      <w:r>
        <w:rPr>
          <w:rFonts w:ascii="Palatino Linotype" w:hAnsi="Palatino Linotype" w:cs="Arial"/>
          <w:lang w:val="es-ES"/>
        </w:rPr>
        <w:t xml:space="preserve">En cumplimiento al artículo 162 de la Ley de Transparencia y Acceso a la Información Pública del Estado de México y Municipios, el veintisiete de enero de dos mil veinte, el Titular de la Unidad de Transparencia del </w:t>
      </w:r>
      <w:r>
        <w:rPr>
          <w:rFonts w:ascii="Palatino Linotype" w:hAnsi="Palatino Linotype" w:cs="Arial"/>
          <w:b/>
          <w:lang w:val="es-ES"/>
        </w:rPr>
        <w:t>SUJETO OBLIGADO</w:t>
      </w:r>
      <w:r>
        <w:rPr>
          <w:rFonts w:ascii="Palatino Linotype" w:hAnsi="Palatino Linotype" w:cs="Arial"/>
          <w:lang w:val="es-ES"/>
        </w:rPr>
        <w:t xml:space="preserve">, </w:t>
      </w:r>
      <w:r>
        <w:rPr>
          <w:rFonts w:ascii="Palatino Linotype" w:hAnsi="Palatino Linotype"/>
          <w:bCs/>
          <w:lang w:val="es-ES"/>
        </w:rPr>
        <w:t xml:space="preserve">turnó el requerimiento de información al Servidor Público Habilitado, </w:t>
      </w:r>
      <w:r>
        <w:rPr>
          <w:rFonts w:ascii="Palatino Linotype" w:hAnsi="Palatino Linotype" w:cs="Arial"/>
          <w:lang w:val="es-ES"/>
        </w:rPr>
        <w:t>a efecto de que realizara la búsqueda y localización de la información tal como se desprende a continuación:</w:t>
      </w:r>
      <w:r>
        <w:rPr>
          <w:rFonts w:ascii="Palatino Linotype" w:hAnsi="Palatino Linotype" w:cs="Arial"/>
          <w:lang w:val="es-ES" w:eastAsia="es-MX"/>
        </w:rPr>
        <w:t xml:space="preserve"> </w:t>
      </w:r>
    </w:p>
    <w:p w:rsidR="0017587F" w:rsidRDefault="0017587F">
      <w:pPr>
        <w:spacing w:line="360" w:lineRule="auto"/>
        <w:jc w:val="both"/>
        <w:rPr>
          <w:rFonts w:ascii="Palatino Linotype" w:hAnsi="Palatino Linotype" w:cs="Arial"/>
          <w:lang w:val="es-ES" w:eastAsia="es-MX"/>
        </w:rPr>
      </w:pPr>
    </w:p>
    <w:p w:rsidR="0017587F" w:rsidRDefault="007E4334">
      <w:pPr>
        <w:spacing w:line="360" w:lineRule="auto"/>
        <w:jc w:val="center"/>
        <w:rPr>
          <w:rFonts w:ascii="Palatino Linotype" w:hAnsi="Palatino Linotype" w:cs="Arial"/>
          <w:lang w:val="es-ES" w:eastAsia="es-MX"/>
        </w:rPr>
      </w:pPr>
      <w:r>
        <w:rPr>
          <w:noProof/>
          <w:lang w:eastAsia="es-MX"/>
        </w:rPr>
        <w:drawing>
          <wp:inline distT="0" distB="0" distL="0" distR="0">
            <wp:extent cx="5791835" cy="7524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8"/>
                    <a:stretch>
                      <a:fillRect/>
                    </a:stretch>
                  </pic:blipFill>
                  <pic:spPr bwMode="auto">
                    <a:xfrm>
                      <a:off x="0" y="0"/>
                      <a:ext cx="5791835" cy="752475"/>
                    </a:xfrm>
                    <a:prstGeom prst="rect">
                      <a:avLst/>
                    </a:prstGeom>
                  </pic:spPr>
                </pic:pic>
              </a:graphicData>
            </a:graphic>
          </wp:inline>
        </w:drawing>
      </w:r>
      <w:r>
        <w:rPr>
          <w:noProof/>
          <w:lang w:eastAsia="es-MX"/>
        </w:rPr>
        <mc:AlternateContent>
          <mc:Choice Requires="wps">
            <w:drawing>
              <wp:anchor distT="0" distB="0" distL="0" distR="0" simplePos="0" relativeHeight="36" behindDoc="0" locked="0" layoutInCell="1" allowOverlap="1">
                <wp:simplePos x="0" y="0"/>
                <wp:positionH relativeFrom="page">
                  <wp:posOffset>1066800</wp:posOffset>
                </wp:positionH>
                <wp:positionV relativeFrom="paragraph">
                  <wp:posOffset>267335</wp:posOffset>
                </wp:positionV>
                <wp:extent cx="5650230" cy="449580"/>
                <wp:effectExtent l="76200" t="38100" r="66675" b="85725"/>
                <wp:wrapNone/>
                <wp:docPr id="1" name="Rectángulo redondeado 4"/>
                <wp:cNvGraphicFramePr/>
                <a:graphic xmlns:a="http://schemas.openxmlformats.org/drawingml/2006/main">
                  <a:graphicData uri="http://schemas.microsoft.com/office/word/2010/wordprocessingShape">
                    <wps:wsp>
                      <wps:cNvSpPr/>
                      <wps:spPr>
                        <a:xfrm>
                          <a:off x="0" y="0"/>
                          <a:ext cx="5649480" cy="448920"/>
                        </a:xfrm>
                        <a:prstGeom prst="roundRect">
                          <a:avLst>
                            <a:gd name="adj" fmla="val 16667"/>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17587F" w:rsidRDefault="0017587F">
      <w:pPr>
        <w:spacing w:line="360" w:lineRule="auto"/>
        <w:jc w:val="center"/>
        <w:rPr>
          <w:rFonts w:ascii="Palatino Linotype" w:hAnsi="Palatino Linotype" w:cs="Arial"/>
          <w:lang w:val="es-ES" w:eastAsia="es-MX"/>
        </w:rPr>
      </w:pPr>
    </w:p>
    <w:p w:rsidR="0017587F" w:rsidRDefault="007E4334">
      <w:pPr>
        <w:spacing w:line="360" w:lineRule="auto"/>
        <w:jc w:val="both"/>
        <w:rPr>
          <w:rFonts w:ascii="Palatino Linotype" w:hAnsi="Palatino Linotype" w:cs="Arial"/>
          <w:lang w:val="es-ES_tradnl"/>
        </w:rPr>
      </w:pPr>
      <w:r>
        <w:rPr>
          <w:rFonts w:ascii="Palatino Linotype" w:hAnsi="Palatino Linotype"/>
          <w:b/>
          <w:sz w:val="28"/>
          <w:szCs w:val="28"/>
        </w:rPr>
        <w:t xml:space="preserve">III.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doce de febrero de dos mil veinte, </w:t>
      </w:r>
      <w:r>
        <w:rPr>
          <w:rFonts w:ascii="Palatino Linotype" w:hAnsi="Palatino Linotype" w:cs="Arial"/>
          <w:lang w:val="es-ES_tradnl"/>
        </w:rPr>
        <w:t>el Responsable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17587F" w:rsidRDefault="0017587F">
      <w:pPr>
        <w:ind w:left="851" w:right="899"/>
        <w:jc w:val="both"/>
        <w:rPr>
          <w:rFonts w:ascii="Palatino Linotype" w:hAnsi="Palatino Linotype" w:cs="Arial"/>
          <w:i/>
          <w:sz w:val="22"/>
          <w:szCs w:val="22"/>
        </w:rPr>
      </w:pPr>
    </w:p>
    <w:p w:rsidR="0017587F" w:rsidRDefault="007E4334">
      <w:pPr>
        <w:ind w:left="851" w:right="899"/>
        <w:jc w:val="right"/>
        <w:rPr>
          <w:rFonts w:ascii="Palatino Linotype" w:hAnsi="Palatino Linotype" w:cs="Arial"/>
          <w:i/>
          <w:sz w:val="22"/>
          <w:szCs w:val="22"/>
        </w:rPr>
      </w:pPr>
      <w:r>
        <w:rPr>
          <w:rFonts w:ascii="Palatino Linotype" w:hAnsi="Palatino Linotype" w:cs="Arial"/>
          <w:i/>
          <w:sz w:val="22"/>
          <w:szCs w:val="22"/>
        </w:rPr>
        <w:t>“Folio de la solicitud: 00001/IIFAEM/IP/2020</w:t>
      </w:r>
    </w:p>
    <w:p w:rsidR="0017587F" w:rsidRDefault="007E4334">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7587F" w:rsidRDefault="0017587F">
      <w:pPr>
        <w:ind w:left="851" w:right="899"/>
        <w:jc w:val="both"/>
        <w:rPr>
          <w:rFonts w:ascii="Palatino Linotype" w:hAnsi="Palatino Linotype" w:cs="Arial"/>
          <w:i/>
          <w:sz w:val="22"/>
          <w:szCs w:val="22"/>
        </w:rPr>
      </w:pPr>
    </w:p>
    <w:p w:rsidR="0017587F" w:rsidRDefault="007E4334">
      <w:pPr>
        <w:ind w:left="851" w:right="899"/>
        <w:jc w:val="both"/>
        <w:rPr>
          <w:rFonts w:ascii="Palatino Linotype" w:hAnsi="Palatino Linotype" w:cs="Arial"/>
          <w:i/>
          <w:sz w:val="22"/>
          <w:szCs w:val="22"/>
        </w:rPr>
      </w:pPr>
      <w:r>
        <w:rPr>
          <w:rFonts w:ascii="Palatino Linotype" w:hAnsi="Palatino Linotype" w:cs="Arial"/>
          <w:i/>
          <w:sz w:val="22"/>
          <w:szCs w:val="22"/>
        </w:rPr>
        <w:t xml:space="preserve">El presupuesto para el ejercicio 2020 del Instituto de Investigación y Fomento de las Artesanías del Estado de México es de 58,386,066.20. PROGRAMA ACTIVIDAD 2020 U. de Medida "Volumen Anual 2020" 4273-8406 Difusión del trabajo artesanal y las artesanías del Estado de México Publicación 17 4274-3312 Credencialización de los artesanos productores del Estado de México Cartilla 7200 4275-3311 Fomentar la creatividad artesanal mediante la coordinación, la realización y participación de certaménes a nivel estatal, nacional e internacional. Certamen 10 4276-3310 Coordinación en el desarrollo de estudios artesanales para </w:t>
      </w:r>
      <w:r>
        <w:rPr>
          <w:rFonts w:ascii="Palatino Linotype" w:hAnsi="Palatino Linotype" w:cs="Arial"/>
          <w:i/>
          <w:sz w:val="22"/>
          <w:szCs w:val="22"/>
        </w:rPr>
        <w:lastRenderedPageBreak/>
        <w:t>preservar, desarrollar e impulsar la actividad artesanal. Estudio 14 4280-7709 Gestión de capacitación integral y/o asistencia técnica Asesoría 16 4281-3321 Promover y gestionar el registro de marcas Proyecto 38 4283-3320 Impartir cursos de capacitación Curso 70 4284-3317 Promover y gestionar el establecimiento de organizaciones artesanales Asesoría 30 4278-10274 Gestionar el financiamiento de la actividad artesanal Gestión 9 4279-10273 Asesoría para la obtención de apoyos financieros Asesoría 380 4289-3326 Venta de artesanías en tienda CASART bajo el esquema de consignación Miles de pesos 5276 4288-10025 Orientación y fomento a las exportaciones Asesoría 12 4287-10267 Gestionar la apertura de nuevos puntos de venta en territorio estatal y nacional Gestión 12 4290-3330 Promover la participación de los artesanos mexiquenses en ferias y exposiciones de crácter estatal, nacional e internacional Evento 241 4258-3695 Participar en testificaciones, con el propósito de asegurarse que los actos administrativos se realicen conforme a la normatividad vigente Testificación 10 "4268-3696 " "Atender quejas y denuncias " Queja 12 4270-3309 Participación del Organo Interno de Control en reuniones que por mandato legal o disposición administrativa así lo requiera Reunión 20 4269-3308 Realizar inspecciones Inspección 30 4271-3306 Realizar evaluaciones para determinar el grado de eficacia y eficiencia en los procesos, así como en el desempeño institucional de las dependencias y organismos auxiliares del Ejecutivo Estatal Evaluación 1 4272-3305 Realizar Auditorias con el propósito de verificar el cumplimiento del marco normativo que regula el funcionamiento de las Dependencias y Organismos auxiliares del Ejecutivo Estatal y los Ayuntamientos Auditoría 6</w:t>
      </w:r>
    </w:p>
    <w:p w:rsidR="0017587F" w:rsidRDefault="0017587F">
      <w:pPr>
        <w:ind w:left="851" w:right="899"/>
        <w:jc w:val="both"/>
        <w:rPr>
          <w:rFonts w:ascii="Palatino Linotype" w:hAnsi="Palatino Linotype" w:cs="Arial"/>
          <w:i/>
          <w:sz w:val="22"/>
          <w:szCs w:val="22"/>
        </w:rPr>
      </w:pPr>
    </w:p>
    <w:p w:rsidR="0017587F" w:rsidRDefault="007E4334">
      <w:pPr>
        <w:ind w:left="851" w:right="899"/>
        <w:jc w:val="both"/>
        <w:rPr>
          <w:rFonts w:ascii="Palatino Linotype" w:hAnsi="Palatino Linotype" w:cs="Arial"/>
          <w:i/>
          <w:sz w:val="22"/>
          <w:szCs w:val="22"/>
        </w:rPr>
      </w:pPr>
      <w:r>
        <w:rPr>
          <w:rFonts w:ascii="Palatino Linotype" w:hAnsi="Palatino Linotype" w:cs="Arial"/>
          <w:i/>
          <w:sz w:val="22"/>
          <w:szCs w:val="22"/>
        </w:rPr>
        <w:t>ATENTAMENTE</w:t>
      </w:r>
    </w:p>
    <w:p w:rsidR="0017587F" w:rsidRDefault="007E4334">
      <w:pPr>
        <w:ind w:left="851" w:right="899"/>
        <w:jc w:val="both"/>
        <w:rPr>
          <w:rFonts w:ascii="Palatino Linotype" w:hAnsi="Palatino Linotype" w:cs="Arial"/>
          <w:i/>
          <w:sz w:val="22"/>
          <w:szCs w:val="22"/>
        </w:rPr>
      </w:pPr>
      <w:r>
        <w:rPr>
          <w:rFonts w:ascii="Palatino Linotype" w:hAnsi="Palatino Linotype" w:cs="Arial"/>
          <w:i/>
          <w:sz w:val="22"/>
          <w:szCs w:val="22"/>
        </w:rPr>
        <w:t>LIC. ROSA FLORES JAIMES” (Sic)</w:t>
      </w:r>
    </w:p>
    <w:p w:rsidR="0017587F" w:rsidRDefault="0017587F">
      <w:pPr>
        <w:ind w:left="851" w:right="899"/>
        <w:jc w:val="both"/>
        <w:rPr>
          <w:rFonts w:ascii="Palatino Linotype" w:hAnsi="Palatino Linotype"/>
        </w:rPr>
      </w:pPr>
    </w:p>
    <w:p w:rsidR="0017587F" w:rsidRDefault="007E4334">
      <w:pPr>
        <w:spacing w:line="360" w:lineRule="auto"/>
        <w:jc w:val="both"/>
        <w:rPr>
          <w:rFonts w:ascii="Palatino Linotype" w:hAnsi="Palatino Linotype" w:cs="Arial"/>
        </w:rPr>
      </w:pPr>
      <w:r>
        <w:rPr>
          <w:rFonts w:ascii="Palatino Linotype" w:hAnsi="Palatino Linotype"/>
          <w:b/>
          <w:sz w:val="28"/>
          <w:szCs w:val="28"/>
        </w:rPr>
        <w:t>IV.</w:t>
      </w:r>
      <w:r>
        <w:rPr>
          <w:rFonts w:ascii="Palatino Linotype" w:hAnsi="Palatino Linotype"/>
          <w:b/>
        </w:rPr>
        <w:t xml:space="preserve"> </w:t>
      </w:r>
      <w:r>
        <w:rPr>
          <w:rFonts w:ascii="Palatino Linotype" w:hAnsi="Palatino Linotype"/>
        </w:rPr>
        <w:t xml:space="preserve">Inconforme con la </w:t>
      </w:r>
      <w:r>
        <w:rPr>
          <w:rFonts w:ascii="Palatino Linotype" w:hAnsi="Palatino Linotype" w:cs="Arial"/>
        </w:rPr>
        <w:t xml:space="preserve">respuesta, el catorce de febrero de dos mil veinte,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01032/INFOEM/IP/RR/2020</w:t>
      </w:r>
      <w:r>
        <w:rPr>
          <w:rFonts w:ascii="Palatino Linotype" w:hAnsi="Palatino Linotype" w:cs="Arial"/>
        </w:rPr>
        <w:t>, en el que señaló como acto impugnado; así como, razones o motivos de inconformidad, lo siguiente:</w:t>
      </w:r>
    </w:p>
    <w:p w:rsidR="0017587F" w:rsidRDefault="0017587F">
      <w:pPr>
        <w:ind w:left="851" w:right="899"/>
        <w:jc w:val="both"/>
        <w:rPr>
          <w:rFonts w:ascii="Palatino Linotype" w:hAnsi="Palatino Linotype" w:cs="Arial"/>
          <w:i/>
          <w:sz w:val="22"/>
          <w:szCs w:val="22"/>
        </w:rPr>
      </w:pPr>
    </w:p>
    <w:p w:rsidR="0017587F" w:rsidRDefault="007E4334">
      <w:pPr>
        <w:ind w:left="851" w:right="899"/>
        <w:jc w:val="both"/>
        <w:rPr>
          <w:rFonts w:ascii="Palatino Linotype" w:hAnsi="Palatino Linotype" w:cs="Arial"/>
          <w:i/>
          <w:sz w:val="22"/>
          <w:szCs w:val="22"/>
        </w:rPr>
      </w:pPr>
      <w:r>
        <w:rPr>
          <w:rFonts w:ascii="Palatino Linotype" w:hAnsi="Palatino Linotype" w:cs="Arial"/>
          <w:i/>
          <w:sz w:val="22"/>
          <w:szCs w:val="22"/>
        </w:rPr>
        <w:t>“Inconformidad." (Sic)</w:t>
      </w:r>
    </w:p>
    <w:p w:rsidR="0017587F" w:rsidRDefault="0017587F">
      <w:pPr>
        <w:ind w:left="851" w:right="899"/>
        <w:jc w:val="both"/>
        <w:rPr>
          <w:rFonts w:ascii="Palatino Linotype" w:hAnsi="Palatino Linotype" w:cs="Arial"/>
          <w:i/>
          <w:sz w:val="22"/>
          <w:szCs w:val="22"/>
        </w:rPr>
      </w:pPr>
    </w:p>
    <w:p w:rsidR="0017587F" w:rsidRDefault="007E4334">
      <w:pPr>
        <w:pStyle w:val="Default"/>
        <w:spacing w:line="360" w:lineRule="auto"/>
        <w:ind w:right="49"/>
        <w:jc w:val="both"/>
        <w:rPr>
          <w:rFonts w:ascii="Palatino Linotype" w:hAnsi="Palatino Linotype"/>
          <w:lang w:val="es-ES_tradnl"/>
        </w:rPr>
      </w:pPr>
      <w:r>
        <w:rPr>
          <w:rFonts w:ascii="Palatino Linotype" w:hAnsi="Palatino Linotype"/>
          <w:b/>
          <w:sz w:val="28"/>
          <w:szCs w:val="28"/>
        </w:rPr>
        <w:lastRenderedPageBreak/>
        <w:t xml:space="preserve">V. </w:t>
      </w:r>
      <w:r>
        <w:rPr>
          <w:rFonts w:ascii="Palatino Linotype" w:hAnsi="Palatino Linotype"/>
        </w:rPr>
        <w:t>El</w:t>
      </w:r>
      <w:r>
        <w:rPr>
          <w:rFonts w:ascii="Palatino Linotype" w:hAnsi="Palatino Linotype"/>
          <w:b/>
          <w:sz w:val="28"/>
          <w:szCs w:val="28"/>
        </w:rPr>
        <w:t xml:space="preserve"> </w:t>
      </w:r>
      <w:r>
        <w:rPr>
          <w:rFonts w:ascii="Palatino Linotype" w:hAnsi="Palatino Linotype"/>
        </w:rPr>
        <w:t xml:space="preserve">catorce de febrero de dos mil veinte, el </w:t>
      </w:r>
      <w:r>
        <w:rPr>
          <w:rFonts w:ascii="Palatino Linotype" w:hAnsi="Palatino Linotype"/>
          <w:lang w:val="es-ES_tradnl"/>
        </w:rPr>
        <w:t>recurso de que</w:t>
      </w:r>
      <w:r>
        <w:rPr>
          <w:rFonts w:ascii="Palatino Linotype" w:hAnsi="Palatino Linotype"/>
        </w:rPr>
        <w:t xml:space="preserve"> se trata</w:t>
      </w:r>
      <w:r>
        <w:rPr>
          <w:rFonts w:ascii="Palatino Linotype" w:hAnsi="Palatino Linotype"/>
          <w:lang w:val="es-ES_tradnl"/>
        </w:rPr>
        <w:t xml:space="preserve"> se envió electrónicamente al Instituto de </w:t>
      </w:r>
      <w:r>
        <w:rPr>
          <w:rFonts w:ascii="Palatino Linotype" w:eastAsia="Arial Unicode MS" w:hAnsi="Palatino Linotype"/>
        </w:rPr>
        <w:t>Transparencia</w:t>
      </w:r>
      <w:r>
        <w:rPr>
          <w:rFonts w:ascii="Palatino Linotype" w:hAnsi="Palatino Linotype"/>
          <w:lang w:val="es-ES_tradnl"/>
        </w:rPr>
        <w:t xml:space="preserve">, Acceso a la Información Pública y Protección de Datos Personales del Estado de México y Municipios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lang w:val="es-ES_tradnl"/>
        </w:rPr>
        <w:t>, se turnó, a través del</w:t>
      </w:r>
      <w:r>
        <w:rPr>
          <w:rFonts w:ascii="Palatino Linotype" w:eastAsia="Arial Unicode MS" w:hAnsi="Palatino Linotype"/>
          <w:lang w:val="es-ES_tradnl"/>
        </w:rPr>
        <w:t xml:space="preserve"> </w:t>
      </w:r>
      <w:r>
        <w:rPr>
          <w:rFonts w:ascii="Palatino Linotype" w:eastAsia="Arial Unicode MS" w:hAnsi="Palatino Linotype"/>
          <w:b/>
          <w:lang w:val="es-ES_tradnl"/>
        </w:rPr>
        <w:t>SAIMEX</w:t>
      </w:r>
      <w:r>
        <w:rPr>
          <w:rFonts w:ascii="Palatino Linotype" w:hAnsi="Palatino Linotype"/>
        </w:rPr>
        <w:t xml:space="preserve">, a la </w:t>
      </w:r>
      <w:r>
        <w:rPr>
          <w:rFonts w:ascii="Palatino Linotype" w:hAnsi="Palatino Linotype"/>
          <w:lang w:val="es-ES_tradnl"/>
        </w:rPr>
        <w:t xml:space="preserve">Comisionada </w:t>
      </w:r>
      <w:r>
        <w:rPr>
          <w:rFonts w:ascii="Palatino Linotype" w:hAnsi="Palatino Linotype"/>
          <w:b/>
          <w:lang w:val="es-ES_tradnl"/>
        </w:rPr>
        <w:t>EVA ABAID YAPUR</w:t>
      </w:r>
      <w:r>
        <w:rPr>
          <w:rFonts w:ascii="Palatino Linotype" w:hAnsi="Palatino Linotype"/>
        </w:rPr>
        <w:t>,</w:t>
      </w:r>
      <w:r>
        <w:rPr>
          <w:rFonts w:ascii="Palatino Linotype" w:hAnsi="Palatino Linotype"/>
          <w:lang w:val="es-ES_tradnl"/>
        </w:rPr>
        <w:t xml:space="preserve"> a efecto de decretar su admisión o desechamiento.</w:t>
      </w:r>
    </w:p>
    <w:p w:rsidR="0017587F" w:rsidRDefault="0017587F">
      <w:pPr>
        <w:pStyle w:val="Default"/>
        <w:spacing w:line="360" w:lineRule="auto"/>
        <w:ind w:right="49"/>
        <w:jc w:val="both"/>
        <w:rPr>
          <w:rFonts w:ascii="Palatino Linotype" w:hAnsi="Palatino Linotype"/>
          <w:lang w:val="es-ES_tradnl"/>
        </w:rPr>
      </w:pPr>
    </w:p>
    <w:p w:rsidR="0017587F" w:rsidRDefault="007E4334">
      <w:pPr>
        <w:pStyle w:val="Piedepgina"/>
        <w:spacing w:line="360" w:lineRule="auto"/>
        <w:jc w:val="both"/>
        <w:rPr>
          <w:rFonts w:ascii="Palatino Linotype" w:hAnsi="Palatino Linotype" w:cs="Arial"/>
        </w:rPr>
      </w:pPr>
      <w:r>
        <w:rPr>
          <w:rFonts w:ascii="Palatino Linotype" w:hAnsi="Palatino Linotype" w:cs="Arial"/>
          <w:b/>
          <w:sz w:val="28"/>
        </w:rPr>
        <w:t xml:space="preserve">VI. </w:t>
      </w:r>
      <w:r>
        <w:rPr>
          <w:rFonts w:ascii="Palatino Linotype" w:hAnsi="Palatino Linotype" w:cs="Arial"/>
        </w:rPr>
        <w:t>De las constancias del expediente electrónico del</w:t>
      </w:r>
      <w:r>
        <w:rPr>
          <w:rFonts w:ascii="Palatino Linotype" w:hAnsi="Palatino Linotype" w:cs="Arial"/>
          <w:b/>
        </w:rPr>
        <w:t xml:space="preserve"> SAIMEX</w:t>
      </w:r>
      <w:r>
        <w:rPr>
          <w:rFonts w:ascii="Palatino Linotype" w:hAnsi="Palatino Linotype" w:cs="Arial"/>
        </w:rPr>
        <w:t xml:space="preserve">, se advierte que en fecha veinte de febrero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hAnsi="Palatino Linotype" w:cs="Arial"/>
          <w:b/>
        </w:rPr>
        <w:t xml:space="preserve">EL SUJETO OBLIGADO </w:t>
      </w:r>
      <w:r>
        <w:rPr>
          <w:rFonts w:ascii="Palatino Linotype" w:hAnsi="Palatino Linotype" w:cs="Arial"/>
        </w:rPr>
        <w:t>rindiera su</w:t>
      </w:r>
      <w:r>
        <w:rPr>
          <w:rFonts w:ascii="Palatino Linotype" w:hAnsi="Palatino Linotype" w:cs="Arial"/>
          <w:b/>
        </w:rPr>
        <w:t xml:space="preserve"> </w:t>
      </w:r>
      <w:r>
        <w:rPr>
          <w:rFonts w:ascii="Palatino Linotype" w:hAnsi="Palatino Linotype" w:cs="Arial"/>
        </w:rPr>
        <w:t>Informe Justificado.</w:t>
      </w:r>
    </w:p>
    <w:p w:rsidR="0017587F" w:rsidRDefault="0017587F">
      <w:pPr>
        <w:pStyle w:val="Piedepgina"/>
        <w:spacing w:line="360" w:lineRule="auto"/>
        <w:jc w:val="both"/>
        <w:rPr>
          <w:rFonts w:ascii="Palatino Linotype" w:hAnsi="Palatino Linotype" w:cs="Arial"/>
        </w:rPr>
      </w:pPr>
    </w:p>
    <w:p w:rsidR="0017587F" w:rsidRDefault="007E4334">
      <w:pPr>
        <w:spacing w:line="360" w:lineRule="auto"/>
        <w:jc w:val="both"/>
        <w:rPr>
          <w:rFonts w:ascii="Palatino Linotype" w:hAnsi="Palatino Linotype" w:cs="Arial"/>
          <w:lang w:eastAsia="es-MX"/>
        </w:rPr>
      </w:pPr>
      <w:r>
        <w:rPr>
          <w:rFonts w:ascii="Palatino Linotype" w:eastAsia="Arial Unicode MS" w:hAnsi="Palatino Linotype" w:cs="Arial"/>
          <w:b/>
          <w:sz w:val="28"/>
          <w:szCs w:val="28"/>
        </w:rPr>
        <w:t xml:space="preserve">VII. </w:t>
      </w:r>
      <w:r>
        <w:rPr>
          <w:rFonts w:ascii="Palatino Linotype" w:hAnsi="Palatino Linotype" w:cs="Arial"/>
        </w:rPr>
        <w:t>En cumplimiento a lo anterior, de las constancias del expediente electrónico del</w:t>
      </w:r>
      <w:r>
        <w:rPr>
          <w:rFonts w:ascii="Palatino Linotype" w:hAnsi="Palatino Linotype" w:cs="Arial"/>
          <w:b/>
        </w:rPr>
        <w:t xml:space="preserve"> SAIMEX</w:t>
      </w:r>
      <w:r>
        <w:rPr>
          <w:rFonts w:ascii="Palatino Linotype" w:hAnsi="Palatino Linotype" w:cs="Arial"/>
        </w:rPr>
        <w:t xml:space="preserve">, se advierte que </w:t>
      </w:r>
      <w:r>
        <w:rPr>
          <w:rFonts w:ascii="Palatino Linotype" w:hAnsi="Palatino Linotype" w:cs="Arial"/>
          <w:b/>
        </w:rPr>
        <w:t>EL RECURRENTE</w:t>
      </w:r>
      <w:r>
        <w:rPr>
          <w:rFonts w:ascii="Palatino Linotype" w:hAnsi="Palatino Linotype" w:cs="Arial"/>
        </w:rPr>
        <w:t xml:space="preserve"> fue omiso en realizar manifestaciones, alegatos y ofrecer las pruebas que a su derecho conviniera. Por su parte, </w:t>
      </w:r>
      <w:r>
        <w:rPr>
          <w:rFonts w:ascii="Palatino Linotype" w:hAnsi="Palatino Linotype" w:cs="Arial"/>
          <w:b/>
        </w:rPr>
        <w:t>EL SUJETO OBLIGADO</w:t>
      </w:r>
      <w:r>
        <w:rPr>
          <w:rFonts w:ascii="Palatino Linotype" w:hAnsi="Palatino Linotype" w:cs="Arial"/>
        </w:rPr>
        <w:t xml:space="preserve"> de igual forma, fue omiso en presentar el Informe Justificado </w:t>
      </w:r>
      <w:r>
        <w:rPr>
          <w:rFonts w:ascii="Palatino Linotype" w:hAnsi="Palatino Linotype" w:cs="Arial"/>
        </w:rPr>
        <w:lastRenderedPageBreak/>
        <w:t xml:space="preserve">correspondiente, como se aprecia de la siguiente imagen: </w:t>
      </w:r>
      <w:r>
        <w:rPr>
          <w:noProof/>
          <w:lang w:eastAsia="es-MX"/>
        </w:rPr>
        <w:drawing>
          <wp:inline distT="0" distB="0" distL="0" distR="0">
            <wp:extent cx="5791835" cy="1524000"/>
            <wp:effectExtent l="0" t="0" r="0" b="0"/>
            <wp:docPr id="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0"/>
                    <pic:cNvPicPr>
                      <a:picLocks noChangeAspect="1" noChangeArrowheads="1"/>
                    </pic:cNvPicPr>
                  </pic:nvPicPr>
                  <pic:blipFill>
                    <a:blip r:embed="rId9"/>
                    <a:stretch>
                      <a:fillRect/>
                    </a:stretch>
                  </pic:blipFill>
                  <pic:spPr bwMode="auto">
                    <a:xfrm>
                      <a:off x="0" y="0"/>
                      <a:ext cx="5791835" cy="1524000"/>
                    </a:xfrm>
                    <a:prstGeom prst="rect">
                      <a:avLst/>
                    </a:prstGeom>
                  </pic:spPr>
                </pic:pic>
              </a:graphicData>
            </a:graphic>
          </wp:inline>
        </w:drawing>
      </w:r>
    </w:p>
    <w:p w:rsidR="0017587F" w:rsidRDefault="007E4334">
      <w:pPr>
        <w:spacing w:line="360" w:lineRule="auto"/>
        <w:jc w:val="both"/>
        <w:rPr>
          <w:rFonts w:ascii="Palatino Linotype" w:hAnsi="Palatino Linotype"/>
        </w:rPr>
      </w:pPr>
      <w:r>
        <w:rPr>
          <w:rFonts w:ascii="Palatino Linotype" w:hAnsi="Palatino Linotype"/>
          <w:b/>
          <w:sz w:val="28"/>
          <w:szCs w:val="28"/>
        </w:rPr>
        <w:t xml:space="preserve">VIII. </w:t>
      </w:r>
      <w:r>
        <w:rPr>
          <w:rFonts w:ascii="Palatino Linotype" w:hAnsi="Palatino Linotype"/>
        </w:rPr>
        <w:t>Una vez analizado el estado procesal que guarda el expediente, en fecha cuatro de agosto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17587F" w:rsidRDefault="0017587F">
      <w:pPr>
        <w:spacing w:line="360" w:lineRule="auto"/>
        <w:jc w:val="both"/>
        <w:rPr>
          <w:rFonts w:ascii="Palatino Linotype" w:hAnsi="Palatino Linotype"/>
        </w:rPr>
      </w:pPr>
    </w:p>
    <w:p w:rsidR="0017587F" w:rsidRDefault="007E4334">
      <w:pPr>
        <w:numPr>
          <w:ilvl w:val="0"/>
          <w:numId w:val="2"/>
        </w:numPr>
        <w:tabs>
          <w:tab w:val="clear" w:pos="720"/>
          <w:tab w:val="left" w:pos="630"/>
        </w:tabs>
        <w:spacing w:line="360" w:lineRule="auto"/>
        <w:jc w:val="both"/>
        <w:rPr>
          <w:rFonts w:ascii="Palatino Linotype" w:hAnsi="Palatino Linotype"/>
        </w:rPr>
      </w:pPr>
      <w:r>
        <w:rPr>
          <w:rFonts w:ascii="Palatino Linotype" w:hAnsi="Palatino Linotype"/>
        </w:rPr>
        <w:t xml:space="preserve">En fecha diecinueve de agosto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17587F" w:rsidRDefault="0017587F">
      <w:pPr>
        <w:jc w:val="center"/>
        <w:rPr>
          <w:rFonts w:ascii="Palatino Linotype" w:hAnsi="Palatino Linotype"/>
          <w:b/>
          <w:bCs/>
          <w:spacing w:val="40"/>
          <w:sz w:val="28"/>
        </w:rPr>
      </w:pPr>
    </w:p>
    <w:p w:rsidR="0017587F" w:rsidRDefault="007E4334">
      <w:pPr>
        <w:jc w:val="center"/>
        <w:rPr>
          <w:rFonts w:ascii="Palatino Linotype" w:hAnsi="Palatino Linotype"/>
          <w:b/>
          <w:bCs/>
          <w:spacing w:val="40"/>
          <w:sz w:val="28"/>
        </w:rPr>
      </w:pPr>
      <w:r>
        <w:rPr>
          <w:rFonts w:ascii="Palatino Linotype" w:hAnsi="Palatino Linotype"/>
          <w:b/>
          <w:bCs/>
          <w:spacing w:val="40"/>
          <w:sz w:val="28"/>
        </w:rPr>
        <w:t>CONSIDERANDO</w:t>
      </w:r>
    </w:p>
    <w:p w:rsidR="0017587F" w:rsidRDefault="0017587F">
      <w:pPr>
        <w:jc w:val="center"/>
        <w:rPr>
          <w:rFonts w:ascii="Palatino Linotype" w:hAnsi="Palatino Linotype"/>
          <w:b/>
          <w:bCs/>
          <w:spacing w:val="40"/>
          <w:sz w:val="28"/>
        </w:rPr>
      </w:pPr>
    </w:p>
    <w:p w:rsidR="0017587F" w:rsidRDefault="007E4334">
      <w:pPr>
        <w:spacing w:line="360" w:lineRule="auto"/>
        <w:ind w:right="50"/>
        <w:jc w:val="both"/>
        <w:rPr>
          <w:rFonts w:ascii="Palatino Linotype" w:hAnsi="Palatino Linotype" w:cs="Arial"/>
        </w:rPr>
      </w:pPr>
      <w:r>
        <w:rPr>
          <w:rFonts w:ascii="Palatino Linotype" w:hAnsi="Palatino Linotype"/>
          <w:b/>
          <w:sz w:val="28"/>
          <w:szCs w:val="28"/>
        </w:rPr>
        <w:t>PRIMERO</w:t>
      </w:r>
      <w:r>
        <w:rPr>
          <w:rFonts w:ascii="Palatino Linotype" w:hAnsi="Palatino Linotype"/>
          <w:b/>
        </w:rPr>
        <w:t>.</w:t>
      </w:r>
      <w:r>
        <w:rPr>
          <w:rFonts w:ascii="Palatino Linotype" w:hAnsi="Palatino Linotype"/>
        </w:rPr>
        <w:t xml:space="preserve"> </w:t>
      </w: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w:t>
      </w:r>
      <w:r>
        <w:rPr>
          <w:rFonts w:ascii="Palatino Linotype" w:hAnsi="Palatino Linotype" w:cs="Arial"/>
        </w:rPr>
        <w:t>Transparencia</w:t>
      </w:r>
      <w:r>
        <w:rPr>
          <w:rFonts w:ascii="Palatino Linotype" w:hAnsi="Palatino Linotype"/>
        </w:rPr>
        <w:t xml:space="preserve">, Acceso a la Información Pública y Protección de Datos Personales del Estado de México y Municipios, es competente para conocer y resolver el presente recurso, conforme a lo dispuesto en los </w:t>
      </w:r>
      <w:r>
        <w:rPr>
          <w:rFonts w:ascii="Palatino Linotype" w:hAnsi="Palatino Linotype"/>
        </w:rPr>
        <w:lastRenderedPageBreak/>
        <w:t xml:space="preserve">artículos 6, Letra A de la Constitución Política de los Estados Unidos Mexicanos; 5, </w:t>
      </w:r>
      <w:r>
        <w:rPr>
          <w:rFonts w:ascii="Palatino Linotype" w:eastAsia="Calibri" w:hAnsi="Palatino Linotype" w:cs="Arial"/>
        </w:rPr>
        <w:t xml:space="preserve">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17587F" w:rsidRDefault="0017587F">
      <w:pPr>
        <w:spacing w:line="360" w:lineRule="auto"/>
        <w:ind w:right="50"/>
        <w:jc w:val="both"/>
        <w:rPr>
          <w:rFonts w:ascii="Palatino Linotype" w:hAnsi="Palatino Linotype" w:cs="Arial"/>
          <w:b/>
        </w:rPr>
      </w:pPr>
    </w:p>
    <w:p w:rsidR="0017587F" w:rsidRDefault="007E4334">
      <w:pPr>
        <w:spacing w:line="360" w:lineRule="auto"/>
        <w:jc w:val="both"/>
        <w:rPr>
          <w:rFonts w:ascii="Palatino Linotype" w:hAnsi="Palatino Linotype" w:cs="Arial"/>
          <w:b/>
        </w:rPr>
      </w:pPr>
      <w:r>
        <w:rPr>
          <w:rFonts w:ascii="Palatino Linotype" w:hAnsi="Palatino Linotype" w:cs="Arial"/>
          <w:b/>
          <w:sz w:val="28"/>
        </w:rPr>
        <w:t>SEGUNDO</w:t>
      </w:r>
      <w:r>
        <w:rPr>
          <w:rFonts w:ascii="Palatino Linotype" w:hAnsi="Palatino Linotype" w:cs="Arial"/>
          <w:b/>
        </w:rPr>
        <w:t xml:space="preserve">. Interés. </w:t>
      </w:r>
      <w:r>
        <w:rPr>
          <w:rFonts w:ascii="Palatino Linotype" w:hAnsi="Palatino Linotype" w:cs="Arial"/>
          <w:bCs/>
        </w:rPr>
        <w:t xml:space="preserve">El recurso de revisión fue interpuesto por parte legítima, en atención a que se presentó por </w:t>
      </w:r>
      <w:r>
        <w:rPr>
          <w:rFonts w:ascii="Palatino Linotype" w:hAnsi="Palatino Linotype" w:cs="Arial"/>
          <w:b/>
          <w:bCs/>
        </w:rPr>
        <w:t>EL RECURRENTE,</w:t>
      </w:r>
      <w:r>
        <w:rPr>
          <w:rFonts w:ascii="Palatino Linotype" w:hAnsi="Palatino Linotype" w:cs="Arial"/>
          <w:bCs/>
        </w:rPr>
        <w:t xml:space="preserve"> quien es la misma persona que formuló la solicitud de acceso a la información pública al </w:t>
      </w:r>
      <w:r>
        <w:rPr>
          <w:rFonts w:ascii="Palatino Linotype" w:hAnsi="Palatino Linotype" w:cs="Arial"/>
          <w:b/>
          <w:bCs/>
        </w:rPr>
        <w:t>SUJETO OBLIGADO.</w:t>
      </w:r>
    </w:p>
    <w:p w:rsidR="0017587F" w:rsidRDefault="0017587F">
      <w:pPr>
        <w:spacing w:line="360" w:lineRule="auto"/>
        <w:jc w:val="both"/>
        <w:rPr>
          <w:rFonts w:ascii="Palatino Linotype" w:hAnsi="Palatino Linotype" w:cs="Arial"/>
          <w:b/>
          <w:szCs w:val="28"/>
        </w:rPr>
      </w:pPr>
    </w:p>
    <w:p w:rsidR="0017587F" w:rsidRDefault="007E4334">
      <w:pPr>
        <w:pStyle w:val="Prrafodelista"/>
        <w:spacing w:line="360" w:lineRule="auto"/>
        <w:ind w:left="0" w:right="49"/>
        <w:jc w:val="both"/>
        <w:rPr>
          <w:rFonts w:ascii="Palatino Linotype" w:hAnsi="Palatino Linotype" w:cs="Arial"/>
        </w:rPr>
      </w:pPr>
      <w:r>
        <w:rPr>
          <w:rFonts w:ascii="Palatino Linotype" w:hAnsi="Palatino Linotype" w:cs="Arial"/>
          <w:b/>
          <w:sz w:val="28"/>
          <w:szCs w:val="28"/>
        </w:rPr>
        <w:t xml:space="preserve">TERCERO. </w:t>
      </w: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7587F" w:rsidRDefault="0017587F">
      <w:pPr>
        <w:ind w:left="851" w:right="902"/>
        <w:jc w:val="both"/>
        <w:rPr>
          <w:rFonts w:ascii="Palatino Linotype" w:eastAsiaTheme="minorEastAsia" w:hAnsi="Palatino Linotype" w:cs="Arial"/>
          <w:szCs w:val="20"/>
          <w:lang w:val="es-ES_tradnl"/>
        </w:rPr>
      </w:pPr>
    </w:p>
    <w:p w:rsidR="0017587F" w:rsidRDefault="007E4334">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7587F" w:rsidRDefault="007E4334">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7587F" w:rsidRDefault="007E4334">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17587F" w:rsidRDefault="0017587F">
      <w:pPr>
        <w:ind w:left="851" w:right="902"/>
        <w:jc w:val="both"/>
        <w:rPr>
          <w:rFonts w:ascii="Palatino Linotype" w:eastAsiaTheme="minorEastAsia" w:hAnsi="Palatino Linotype" w:cs="Arial"/>
          <w:szCs w:val="20"/>
          <w:lang w:val="es-ES_tradnl"/>
        </w:rPr>
      </w:pPr>
    </w:p>
    <w:p w:rsidR="0017587F" w:rsidRDefault="007E4334">
      <w:pPr>
        <w:spacing w:line="360" w:lineRule="auto"/>
        <w:jc w:val="both"/>
        <w:rPr>
          <w:rFonts w:ascii="Palatino Linotype" w:hAnsi="Palatino Linotype"/>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 </w:t>
      </w:r>
      <w:r>
        <w:rPr>
          <w:rFonts w:ascii="Palatino Linotype" w:eastAsiaTheme="minorEastAsia" w:hAnsi="Palatino Linotype" w:cs="Arial"/>
          <w:b/>
          <w:lang w:val="es-ES_tradnl"/>
        </w:rPr>
        <w:t xml:space="preserve">doce de febrero de dos mil veinte; </w:t>
      </w:r>
      <w:r>
        <w:rPr>
          <w:rFonts w:ascii="Palatino Linotype" w:hAnsi="Palatino Linotype" w:cs="Arial"/>
        </w:rPr>
        <w:t>en consecuencia,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w:t>
      </w:r>
      <w:r>
        <w:rPr>
          <w:rFonts w:ascii="Palatino Linotype" w:hAnsi="Palatino Linotype" w:cs="Arial"/>
          <w:b/>
        </w:rPr>
        <w:t xml:space="preserve"> trece de febrero al cinco de marzo de dos mil veinte</w:t>
      </w:r>
      <w:r>
        <w:rPr>
          <w:rFonts w:ascii="Palatino Linotype" w:hAnsi="Palatino Linotype" w:cs="Arial"/>
        </w:rPr>
        <w:t xml:space="preserve">, sin contemplar en el cómputo los días quince, dieciséis, veintidós, veintitrés y veintinueve de febrero de dos mil veinte; así como, el primero de marzo de dos mil veinte, por corresponder a sábados y domingos, considerados como días inhábiles; en términos del artículo 3, fracción X de la </w:t>
      </w:r>
      <w:r>
        <w:rPr>
          <w:rFonts w:ascii="Palatino Linotype" w:hAnsi="Palatino Linotype"/>
        </w:rPr>
        <w:t xml:space="preserve">Ley de Transparencia y Acceso a la Información Pública del Estado de México y Municipios; así como, el día dos de marzo de dos mil veinte, por ser considerados como días inhábiles por suspensión de labores, en términos del </w:t>
      </w:r>
      <w:r>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7587F" w:rsidRDefault="0017587F">
      <w:pPr>
        <w:spacing w:line="360" w:lineRule="auto"/>
        <w:jc w:val="both"/>
        <w:rPr>
          <w:rFonts w:ascii="Palatino Linotype" w:eastAsiaTheme="minorEastAsia" w:hAnsi="Palatino Linotype" w:cs="Arial"/>
          <w:lang w:val="es-ES_tradnl"/>
        </w:rPr>
      </w:pPr>
    </w:p>
    <w:p w:rsidR="0017587F" w:rsidRDefault="007E4334">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catorce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17587F" w:rsidRDefault="0017587F">
      <w:pPr>
        <w:pStyle w:val="Prrafodelista"/>
        <w:spacing w:line="360" w:lineRule="auto"/>
        <w:ind w:left="0" w:right="49"/>
        <w:jc w:val="both"/>
        <w:rPr>
          <w:rFonts w:ascii="Palatino Linotype" w:hAnsi="Palatino Linotype" w:cs="Arial"/>
          <w:b/>
        </w:rPr>
      </w:pPr>
    </w:p>
    <w:p w:rsidR="0017587F" w:rsidRDefault="007E4334">
      <w:pPr>
        <w:spacing w:line="360" w:lineRule="auto"/>
        <w:ind w:right="49"/>
        <w:jc w:val="both"/>
        <w:rPr>
          <w:rFonts w:ascii="Palatino Linotype" w:hAnsi="Palatino Linotype" w:cs="Arial"/>
          <w:lang w:val="es-ES"/>
        </w:rPr>
      </w:pPr>
      <w:r>
        <w:rPr>
          <w:rFonts w:ascii="Palatino Linotype" w:hAnsi="Palatino Linotype" w:cs="Arial"/>
          <w:b/>
          <w:sz w:val="28"/>
          <w:szCs w:val="28"/>
        </w:rPr>
        <w:t>CUARTO</w:t>
      </w:r>
      <w:r>
        <w:rPr>
          <w:rFonts w:ascii="Palatino Linotype" w:hAnsi="Palatino Linotype"/>
          <w:b/>
          <w:sz w:val="28"/>
          <w:szCs w:val="28"/>
        </w:rPr>
        <w:t>.</w:t>
      </w:r>
      <w:r>
        <w:rPr>
          <w:rFonts w:ascii="Palatino Linotype" w:hAnsi="Palatino Linotype"/>
          <w:b/>
        </w:rPr>
        <w:t xml:space="preserve"> Procedibilidad. </w:t>
      </w:r>
      <w:r>
        <w:rPr>
          <w:rFonts w:ascii="Palatino Linotype" w:hAnsi="Palatino Linotype" w:cs="Arial"/>
          <w:lang w:val="es-ES"/>
        </w:rPr>
        <w:t xml:space="preserve">Esta Ponencia considera importante abordar el análisis de los requisitos de procedibilidad del recurso de revisión, así el artículo 180 de la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w:t>
      </w:r>
      <w:r>
        <w:rPr>
          <w:rFonts w:ascii="Palatino Linotype" w:hAnsi="Palatino Linotype" w:cs="Arial"/>
          <w:lang w:val="es-ES" w:eastAsia="es-MX"/>
        </w:rPr>
        <w:t xml:space="preserve"> Pública del Estado de México y Municipios, que </w:t>
      </w:r>
      <w:r>
        <w:rPr>
          <w:rFonts w:ascii="Palatino Linotype" w:hAnsi="Palatino Linotype" w:cs="Arial"/>
          <w:lang w:val="es-ES"/>
        </w:rPr>
        <w:t>establece lo siguiente:</w:t>
      </w:r>
    </w:p>
    <w:p w:rsidR="0017587F" w:rsidRDefault="0017587F">
      <w:pPr>
        <w:ind w:right="49"/>
        <w:jc w:val="both"/>
        <w:rPr>
          <w:rFonts w:ascii="Palatino Linotype" w:hAnsi="Palatino Linotype" w:cs="Arial"/>
          <w:lang w:val="es-ES"/>
        </w:rPr>
      </w:pPr>
    </w:p>
    <w:p w:rsidR="0017587F" w:rsidRDefault="007E4334">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rsidR="0017587F" w:rsidRDefault="007E4334">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rsidR="0017587F" w:rsidRDefault="007E4334">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rsidR="0017587F" w:rsidRDefault="007E4334">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rsidR="0017587F" w:rsidRDefault="007E4334">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rsidR="0017587F" w:rsidRDefault="007E4334">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rsidR="0017587F" w:rsidRDefault="007E4334">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rsidR="0017587F" w:rsidRDefault="007E4334">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rsidR="0017587F" w:rsidRDefault="007E4334">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(Énfasis añadido)</w:t>
      </w:r>
    </w:p>
    <w:p w:rsidR="0017587F" w:rsidRDefault="0017587F">
      <w:pPr>
        <w:tabs>
          <w:tab w:val="left" w:pos="851"/>
        </w:tabs>
        <w:ind w:left="851" w:right="901"/>
        <w:jc w:val="both"/>
        <w:rPr>
          <w:rFonts w:ascii="Palatino Linotype" w:hAnsi="Palatino Linotype"/>
          <w:i/>
          <w:sz w:val="22"/>
          <w:szCs w:val="22"/>
          <w:lang w:val="es-ES"/>
        </w:rPr>
      </w:pPr>
    </w:p>
    <w:p w:rsidR="0017587F" w:rsidRDefault="007E4334">
      <w:pPr>
        <w:spacing w:line="360" w:lineRule="auto"/>
        <w:jc w:val="both"/>
        <w:rPr>
          <w:rFonts w:ascii="Palatino Linotype" w:hAnsi="Palatino Linotype"/>
          <w:b/>
          <w:lang w:val="es-ES"/>
        </w:rPr>
      </w:pPr>
      <w:r>
        <w:rPr>
          <w:rFonts w:ascii="Palatino Linotype" w:hAnsi="Palatino Linotype"/>
          <w:lang w:val="es-ES"/>
        </w:rPr>
        <w:t xml:space="preserve">En principio, de una interpretación del artículo transcrito se observan los requisitos que </w:t>
      </w:r>
      <w:r>
        <w:rPr>
          <w:rFonts w:ascii="Palatino Linotype" w:hAnsi="Palatino Linotype" w:cs="Arial"/>
          <w:lang w:val="es-ES"/>
        </w:rPr>
        <w:t>deberán</w:t>
      </w:r>
      <w:r>
        <w:rPr>
          <w:rFonts w:ascii="Palatino Linotype" w:hAnsi="Palatino Linotype"/>
          <w:lang w:val="es-ES"/>
        </w:rPr>
        <w:t xml:space="preserve"> </w:t>
      </w:r>
      <w:r>
        <w:rPr>
          <w:rFonts w:ascii="Palatino Linotype" w:hAnsi="Palatino Linotype" w:cs="Arial"/>
          <w:lang w:val="es-ES"/>
        </w:rPr>
        <w:t>contener</w:t>
      </w:r>
      <w:r>
        <w:rPr>
          <w:rFonts w:ascii="Palatino Linotype" w:hAnsi="Palatino Linotype"/>
          <w:lang w:val="es-ES"/>
        </w:rPr>
        <w:t xml:space="preserve">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xml:space="preserve">, en ejercicio de su derecho de acceso a la información pública, no </w:t>
      </w:r>
      <w:r>
        <w:rPr>
          <w:rFonts w:ascii="Palatino Linotype" w:hAnsi="Palatino Linotype"/>
          <w:lang w:val="es-ES"/>
        </w:rPr>
        <w:lastRenderedPageBreak/>
        <w:t xml:space="preserve">proporcionó su nombre completo para que </w:t>
      </w:r>
      <w:r>
        <w:rPr>
          <w:rFonts w:ascii="Palatino Linotype" w:hAnsi="Palatino Linotype" w:cs="Arial"/>
          <w:lang w:val="es-ES"/>
        </w:rPr>
        <w:t>sea</w:t>
      </w:r>
      <w:r>
        <w:rPr>
          <w:rFonts w:ascii="Palatino Linotype" w:hAnsi="Palatino Linotype"/>
          <w:lang w:val="es-ES"/>
        </w:rPr>
        <w:t xml:space="preserve"> identificado, ya que, no proporcionó el apellido materno, por lo que no se tiene certeza sobre su identidad, lo que en estricto sentido, provoca que </w:t>
      </w:r>
      <w:r>
        <w:rPr>
          <w:rFonts w:ascii="Palatino Linotype" w:hAnsi="Palatino Linotype" w:cs="Arial"/>
          <w:lang w:val="es-ES"/>
        </w:rPr>
        <w:t>no</w:t>
      </w:r>
      <w:r>
        <w:rPr>
          <w:rFonts w:ascii="Palatino Linotype" w:hAnsi="Palatino Linotype"/>
          <w:lang w:val="es-ES"/>
        </w:rPr>
        <w:t xml:space="preserve"> se colmen los requisitos establecidos en el citado artículo 180 de la Ley de Transparencia.</w:t>
      </w:r>
    </w:p>
    <w:p w:rsidR="0017587F" w:rsidRDefault="0017587F">
      <w:pPr>
        <w:spacing w:line="360" w:lineRule="auto"/>
        <w:jc w:val="both"/>
        <w:rPr>
          <w:rFonts w:ascii="Palatino Linotype" w:hAnsi="Palatino Linotype"/>
          <w:lang w:val="es-ES"/>
        </w:rPr>
      </w:pPr>
    </w:p>
    <w:p w:rsidR="0017587F" w:rsidRDefault="007E4334">
      <w:pPr>
        <w:spacing w:line="360" w:lineRule="auto"/>
        <w:jc w:val="both"/>
        <w:rPr>
          <w:rFonts w:ascii="Palatino Linotype" w:hAnsi="Palatino Linotype" w:cs="Arial"/>
          <w:color w:val="000000"/>
          <w:lang w:val="es-ES"/>
        </w:rPr>
      </w:pPr>
      <w:r>
        <w:rPr>
          <w:rFonts w:ascii="Palatino Linotype" w:hAnsi="Palatino Linotype"/>
          <w:lang w:val="es-ES"/>
        </w:rPr>
        <w:t xml:space="preserve">Empero lo anterior, debe destacarse que el artículo 15 de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w:t>
      </w:r>
      <w:r>
        <w:rPr>
          <w:rFonts w:ascii="Palatino Linotype" w:hAnsi="Palatino Linotype" w:cs="Arial"/>
          <w:lang w:val="es-ES" w:eastAsia="es-MX"/>
        </w:rPr>
        <w:t xml:space="preserve">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w:t>
      </w:r>
      <w:r>
        <w:rPr>
          <w:rFonts w:ascii="Palatino Linotype" w:hAnsi="Palatino Linotype"/>
          <w:lang w:val="es-ES"/>
        </w:rPr>
        <w:t>ejercicio</w:t>
      </w:r>
      <w:r>
        <w:rPr>
          <w:rFonts w:ascii="Palatino Linotype" w:hAnsi="Palatino Linotype" w:cs="Arial"/>
          <w:color w:val="000000"/>
          <w:lang w:val="es-ES"/>
        </w:rPr>
        <w:t xml:space="preserve"> del derecho de acceso a la información pública, </w:t>
      </w:r>
      <w:r>
        <w:rPr>
          <w:rFonts w:ascii="Palatino Linotype" w:hAnsi="Palatino Linotype" w:cs="Arial"/>
          <w:b/>
          <w:color w:val="000000"/>
          <w:u w:val="single"/>
          <w:lang w:val="es-ES"/>
        </w:rPr>
        <w:t xml:space="preserve">el nombre no es un requisito </w:t>
      </w:r>
      <w:r>
        <w:rPr>
          <w:rFonts w:ascii="Palatino Linotype" w:hAnsi="Palatino Linotype" w:cs="Arial"/>
          <w:b/>
          <w:i/>
          <w:color w:val="000000"/>
          <w:u w:val="single"/>
          <w:lang w:val="es-ES"/>
        </w:rPr>
        <w:t>sine qua non</w:t>
      </w:r>
      <w:r>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17587F" w:rsidRDefault="0017587F">
      <w:pPr>
        <w:spacing w:line="360" w:lineRule="auto"/>
        <w:jc w:val="both"/>
        <w:rPr>
          <w:rFonts w:ascii="Palatino Linotype" w:hAnsi="Palatino Linotype" w:cs="Arial"/>
          <w:color w:val="000000"/>
          <w:lang w:val="es-ES"/>
        </w:rPr>
      </w:pPr>
    </w:p>
    <w:p w:rsidR="0017587F" w:rsidRDefault="007E4334">
      <w:pPr>
        <w:spacing w:line="360" w:lineRule="auto"/>
        <w:jc w:val="both"/>
        <w:rPr>
          <w:rFonts w:ascii="Palatino Linotype" w:hAnsi="Palatino Linotype"/>
          <w:lang w:val="es-ES"/>
        </w:rPr>
      </w:pPr>
      <w:r>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7587F" w:rsidRDefault="0017587F">
      <w:pPr>
        <w:jc w:val="both"/>
        <w:rPr>
          <w:rFonts w:ascii="Palatino Linotype" w:hAnsi="Palatino Linotype"/>
          <w:lang w:val="es-ES"/>
        </w:rPr>
      </w:pPr>
    </w:p>
    <w:p w:rsidR="0017587F" w:rsidRDefault="007E4334">
      <w:pPr>
        <w:tabs>
          <w:tab w:val="left" w:pos="851"/>
        </w:tabs>
        <w:ind w:left="851" w:right="901"/>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 los Estados Unidos Mexicanos</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b/>
          <w:i/>
          <w:sz w:val="22"/>
          <w:szCs w:val="22"/>
          <w:lang w:val="es-ES"/>
        </w:rPr>
        <w:lastRenderedPageBreak/>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17587F" w:rsidRDefault="007E4334">
      <w:pPr>
        <w:tabs>
          <w:tab w:val="left" w:pos="851"/>
        </w:tabs>
        <w:ind w:left="851" w:right="901"/>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17587F" w:rsidRDefault="007E4334">
      <w:pPr>
        <w:tabs>
          <w:tab w:val="left" w:pos="851"/>
        </w:tabs>
        <w:ind w:left="851" w:right="901"/>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17587F" w:rsidRDefault="007E4334">
      <w:pPr>
        <w:tabs>
          <w:tab w:val="left" w:pos="851"/>
        </w:tabs>
        <w:ind w:left="851" w:right="901"/>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7587F" w:rsidRDefault="007E4334">
      <w:pPr>
        <w:tabs>
          <w:tab w:val="left" w:pos="851"/>
        </w:tabs>
        <w:ind w:left="851" w:right="901"/>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i/>
          <w:sz w:val="22"/>
          <w:szCs w:val="22"/>
          <w:lang w:val="es-ES"/>
        </w:rPr>
        <w:t>…</w:t>
      </w:r>
    </w:p>
    <w:p w:rsidR="0017587F" w:rsidRDefault="007E4334">
      <w:pPr>
        <w:tabs>
          <w:tab w:val="left" w:pos="851"/>
        </w:tabs>
        <w:ind w:left="851" w:right="901"/>
        <w:jc w:val="both"/>
        <w:rPr>
          <w:rFonts w:ascii="Palatino Linotype" w:hAnsi="Palatino Linotype" w:cs="Arial"/>
          <w:i/>
          <w:color w:val="000000"/>
          <w:sz w:val="22"/>
          <w:szCs w:val="22"/>
          <w:lang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eastAsia="es-MX"/>
        </w:rPr>
        <w:t xml:space="preserve"> </w:t>
      </w:r>
    </w:p>
    <w:p w:rsidR="0017587F" w:rsidRDefault="0017587F">
      <w:pPr>
        <w:tabs>
          <w:tab w:val="left" w:pos="851"/>
        </w:tabs>
        <w:ind w:left="851" w:right="901"/>
        <w:jc w:val="both"/>
        <w:rPr>
          <w:rFonts w:ascii="Palatino Linotype" w:hAnsi="Palatino Linotype" w:cs="Arial"/>
          <w:i/>
          <w:color w:val="000000"/>
          <w:sz w:val="22"/>
          <w:szCs w:val="22"/>
          <w:lang w:eastAsia="es-MX"/>
        </w:rPr>
      </w:pPr>
    </w:p>
    <w:p w:rsidR="0017587F" w:rsidRDefault="007E4334">
      <w:pPr>
        <w:tabs>
          <w:tab w:val="left" w:pos="851"/>
        </w:tabs>
        <w:ind w:left="851" w:right="901"/>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rsidR="0017587F" w:rsidRDefault="0017587F">
      <w:pPr>
        <w:tabs>
          <w:tab w:val="left" w:pos="851"/>
        </w:tabs>
        <w:ind w:left="851" w:right="901"/>
        <w:jc w:val="center"/>
        <w:rPr>
          <w:rFonts w:ascii="Palatino Linotype" w:hAnsi="Palatino Linotype" w:cs="Arial"/>
          <w:b/>
          <w:i/>
          <w:sz w:val="22"/>
          <w:szCs w:val="22"/>
          <w:lang w:val="es-ES"/>
        </w:rPr>
      </w:pPr>
    </w:p>
    <w:p w:rsidR="0017587F" w:rsidRDefault="007E4334">
      <w:pPr>
        <w:tabs>
          <w:tab w:val="left" w:pos="851"/>
        </w:tabs>
        <w:ind w:left="851" w:right="901"/>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Este derecho se regirá por los principios y bases siguientes: </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Pr>
          <w:rFonts w:ascii="Palatino Linotype" w:hAnsi="Palatino Linotype"/>
          <w:i/>
          <w:sz w:val="22"/>
          <w:szCs w:val="22"/>
          <w:lang w:val="es-ES"/>
        </w:rPr>
        <w:lastRenderedPageBreak/>
        <w:t xml:space="preserve">competencias o funciones, la ley determinará los supuestos específicos bajo los cuales procederá la declaración de inexistencia de la información. </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II.</w:t>
      </w:r>
      <w:r>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Pr>
          <w:rFonts w:ascii="Palatino Linotype" w:hAnsi="Palatino Linotype"/>
          <w:i/>
          <w:sz w:val="22"/>
          <w:szCs w:val="22"/>
          <w:lang w:val="es-ES"/>
        </w:rPr>
        <w:t xml:space="preserve"> </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IV.</w:t>
      </w:r>
      <w:r>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17587F" w:rsidRDefault="007E4334">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V.</w:t>
      </w:r>
      <w:r>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Pr>
          <w:rFonts w:ascii="Palatino Linotype" w:hAnsi="Palatino Linotype"/>
          <w:b/>
          <w:i/>
          <w:sz w:val="22"/>
          <w:szCs w:val="22"/>
          <w:lang w:val="es-ES"/>
        </w:rPr>
        <w:t>”</w:t>
      </w:r>
    </w:p>
    <w:p w:rsidR="0017587F" w:rsidRDefault="007E4334">
      <w:pPr>
        <w:tabs>
          <w:tab w:val="left" w:pos="851"/>
        </w:tabs>
        <w:ind w:left="851" w:right="901"/>
        <w:jc w:val="both"/>
        <w:rPr>
          <w:rFonts w:ascii="Palatino Linotype" w:hAnsi="Palatino Linotype"/>
          <w:sz w:val="22"/>
          <w:szCs w:val="22"/>
          <w:lang w:val="es-ES"/>
        </w:rPr>
      </w:pPr>
      <w:r>
        <w:rPr>
          <w:rFonts w:ascii="Palatino Linotype" w:hAnsi="Palatino Linotype"/>
          <w:sz w:val="22"/>
          <w:szCs w:val="22"/>
          <w:lang w:val="es-ES"/>
        </w:rPr>
        <w:t>(Énfasis añadido)</w:t>
      </w:r>
    </w:p>
    <w:p w:rsidR="0017587F" w:rsidRDefault="0017587F">
      <w:pPr>
        <w:tabs>
          <w:tab w:val="left" w:pos="851"/>
        </w:tabs>
        <w:ind w:left="851" w:right="901"/>
        <w:jc w:val="both"/>
        <w:rPr>
          <w:rFonts w:ascii="Palatino Linotype" w:hAnsi="Palatino Linotype"/>
          <w:sz w:val="22"/>
          <w:szCs w:val="22"/>
          <w:lang w:val="es-ES"/>
        </w:rPr>
      </w:pPr>
    </w:p>
    <w:p w:rsidR="0017587F" w:rsidRDefault="007E4334">
      <w:pPr>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rsidR="0017587F" w:rsidRDefault="0017587F">
      <w:pPr>
        <w:jc w:val="both"/>
        <w:rPr>
          <w:rFonts w:ascii="Palatino Linotype" w:hAnsi="Palatino Linotype"/>
          <w:lang w:val="es-ES"/>
        </w:rPr>
      </w:pP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b/>
          <w:i/>
          <w:sz w:val="22"/>
          <w:szCs w:val="22"/>
          <w:lang w:val="es-ES"/>
        </w:rPr>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7587F" w:rsidRDefault="007E4334">
      <w:pPr>
        <w:tabs>
          <w:tab w:val="left" w:pos="851"/>
        </w:tabs>
        <w:ind w:left="851" w:right="901"/>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rsidR="0017587F" w:rsidRDefault="007E4334">
      <w:pPr>
        <w:tabs>
          <w:tab w:val="left" w:pos="851"/>
        </w:tabs>
        <w:ind w:left="851" w:right="901"/>
        <w:jc w:val="both"/>
        <w:rPr>
          <w:rFonts w:ascii="Palatino Linotype" w:hAnsi="Palatino Linotype"/>
          <w:sz w:val="22"/>
          <w:szCs w:val="22"/>
          <w:lang w:val="es-ES"/>
        </w:rPr>
      </w:pPr>
      <w:r>
        <w:rPr>
          <w:rFonts w:ascii="Palatino Linotype" w:hAnsi="Palatino Linotype"/>
          <w:sz w:val="22"/>
          <w:szCs w:val="22"/>
          <w:lang w:val="es-ES"/>
        </w:rPr>
        <w:t>(Énfasis añadido)</w:t>
      </w:r>
    </w:p>
    <w:p w:rsidR="0017587F" w:rsidRDefault="0017587F">
      <w:pPr>
        <w:tabs>
          <w:tab w:val="left" w:pos="851"/>
        </w:tabs>
        <w:ind w:left="851" w:right="901"/>
        <w:jc w:val="both"/>
        <w:rPr>
          <w:rFonts w:ascii="Palatino Linotype" w:hAnsi="Palatino Linotype"/>
          <w:sz w:val="22"/>
          <w:szCs w:val="22"/>
          <w:lang w:val="es-ES"/>
        </w:rPr>
      </w:pPr>
    </w:p>
    <w:p w:rsidR="0017587F" w:rsidRDefault="007E4334">
      <w:pPr>
        <w:spacing w:line="360" w:lineRule="auto"/>
        <w:jc w:val="both"/>
        <w:rPr>
          <w:rFonts w:ascii="Palatino Linotype" w:hAnsi="Palatino Linotype"/>
          <w:lang w:val="es-ES"/>
        </w:rPr>
      </w:pPr>
      <w:r>
        <w:rPr>
          <w:rFonts w:ascii="Palatino Linotype" w:hAnsi="Palatino Linotype"/>
          <w:lang w:val="es-ES"/>
        </w:rPr>
        <w:lastRenderedPageBreak/>
        <w:t xml:space="preserve">En esa virtud, de una interpretación sistemática, armónica y progresiva del derecho humano de acceso a la información pública se reitera que toda persona, sin necesidad de acreditar interés </w:t>
      </w:r>
      <w:r>
        <w:rPr>
          <w:rFonts w:ascii="Palatino Linotype" w:hAnsi="Palatino Linotype" w:cs="Arial"/>
          <w:lang w:val="es-ES"/>
        </w:rPr>
        <w:t>alguno</w:t>
      </w:r>
      <w:r>
        <w:rPr>
          <w:rFonts w:ascii="Palatino Linotype" w:hAnsi="Palatino Linotype"/>
          <w:lang w:val="es-ES"/>
        </w:rPr>
        <w:t xml:space="preserve"> o justificar su utilización, deberá tener acceso a la información pública, es decir, dicho </w:t>
      </w:r>
      <w:r>
        <w:rPr>
          <w:rFonts w:ascii="Palatino Linotype" w:hAnsi="Palatino Linotype" w:cs="Arial"/>
          <w:lang w:val="es-ES"/>
        </w:rPr>
        <w:t>derecho</w:t>
      </w:r>
      <w:r>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7587F" w:rsidRDefault="0017587F">
      <w:pPr>
        <w:spacing w:line="360" w:lineRule="auto"/>
        <w:jc w:val="both"/>
        <w:rPr>
          <w:rFonts w:ascii="Palatino Linotype" w:hAnsi="Palatino Linotype"/>
          <w:lang w:val="es-ES"/>
        </w:rPr>
      </w:pPr>
    </w:p>
    <w:p w:rsidR="0017587F" w:rsidRDefault="007E4334">
      <w:pPr>
        <w:spacing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17587F" w:rsidRDefault="0017587F">
      <w:pPr>
        <w:jc w:val="both"/>
        <w:rPr>
          <w:rFonts w:ascii="Palatino Linotype" w:hAnsi="Palatino Linotype"/>
          <w:lang w:val="es-ES"/>
        </w:rPr>
      </w:pPr>
    </w:p>
    <w:p w:rsidR="0017587F" w:rsidRDefault="007E4334">
      <w:pPr>
        <w:tabs>
          <w:tab w:val="left" w:pos="851"/>
        </w:tabs>
        <w:ind w:left="851" w:right="901"/>
        <w:jc w:val="both"/>
        <w:rPr>
          <w:rFonts w:ascii="Palatino Linotype" w:hAnsi="Palatino Linotype" w:cs="Arial"/>
          <w:i/>
          <w:sz w:val="22"/>
          <w:szCs w:val="22"/>
          <w:lang w:val="es-ES"/>
        </w:rPr>
      </w:pPr>
      <w:r>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7587F" w:rsidRDefault="0017587F">
      <w:pPr>
        <w:tabs>
          <w:tab w:val="left" w:pos="851"/>
        </w:tabs>
        <w:ind w:left="851" w:right="901"/>
        <w:jc w:val="both"/>
        <w:rPr>
          <w:rFonts w:ascii="Palatino Linotype" w:hAnsi="Palatino Linotype" w:cs="Arial"/>
          <w:i/>
          <w:sz w:val="22"/>
          <w:szCs w:val="22"/>
          <w:lang w:val="es-ES"/>
        </w:rPr>
      </w:pPr>
    </w:p>
    <w:p w:rsidR="0017587F" w:rsidRDefault="007E4334">
      <w:pPr>
        <w:spacing w:line="360" w:lineRule="auto"/>
        <w:jc w:val="both"/>
        <w:rPr>
          <w:rFonts w:ascii="Palatino Linotype" w:hAnsi="Palatino Linotype"/>
          <w:lang w:val="es-ES"/>
        </w:rPr>
      </w:pPr>
      <w:r>
        <w:rPr>
          <w:rFonts w:ascii="Palatino Linotype" w:hAnsi="Palatino Linotype"/>
          <w:lang w:val="es-ES"/>
        </w:rPr>
        <w:t xml:space="preserve">En ese orden de ideas, se estima que el requerimiento relativo al nombre como presupuesto de procedibilidad, </w:t>
      </w:r>
      <w:r>
        <w:rPr>
          <w:rFonts w:ascii="Palatino Linotype" w:hAnsi="Palatino Linotype" w:cs="Arial"/>
          <w:lang w:val="es-ES"/>
        </w:rPr>
        <w:t>podría</w:t>
      </w:r>
      <w:r>
        <w:rPr>
          <w:rFonts w:ascii="Palatino Linotype" w:hAnsi="Palatino Linotype"/>
          <w:lang w:val="es-ES"/>
        </w:rPr>
        <w:t xml:space="preserve"> limitar el ejercicio del derecho de acceso a la </w:t>
      </w:r>
      <w:r>
        <w:rPr>
          <w:rFonts w:ascii="Palatino Linotype" w:hAnsi="Palatino Linotype"/>
          <w:lang w:val="es-ES"/>
        </w:rPr>
        <w:lastRenderedPageBreak/>
        <w:t>información pública, debido a que, el hecho de solicitar la identificación del</w:t>
      </w:r>
      <w:r>
        <w:rPr>
          <w:rFonts w:ascii="Palatino Linotype" w:hAnsi="Palatino Linotype" w:cs="Arial"/>
          <w:b/>
          <w:lang w:val="es-ES"/>
        </w:rPr>
        <w:t xml:space="preserve"> RECURRENTE</w:t>
      </w:r>
      <w:r>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17587F" w:rsidRDefault="0017587F">
      <w:pPr>
        <w:spacing w:line="360" w:lineRule="auto"/>
        <w:jc w:val="both"/>
        <w:rPr>
          <w:rFonts w:ascii="Palatino Linotype" w:hAnsi="Palatino Linotype"/>
          <w:lang w:val="es-ES"/>
        </w:rPr>
      </w:pPr>
    </w:p>
    <w:p w:rsidR="0017587F" w:rsidRDefault="007E4334">
      <w:pPr>
        <w:spacing w:line="360" w:lineRule="auto"/>
        <w:jc w:val="both"/>
        <w:rPr>
          <w:rFonts w:ascii="Palatino Linotype" w:hAnsi="Palatino Linotype"/>
          <w:lang w:val="es-ES"/>
        </w:rPr>
      </w:pPr>
      <w:r>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Pr>
          <w:rFonts w:ascii="Palatino Linotype" w:hAnsi="Palatino Linotype" w:cs="Arial"/>
          <w:lang w:val="es-ES"/>
        </w:rPr>
        <w:t>Constitución</w:t>
      </w:r>
      <w:r>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17587F" w:rsidRDefault="0017587F">
      <w:pPr>
        <w:tabs>
          <w:tab w:val="left" w:pos="1968"/>
        </w:tabs>
        <w:spacing w:line="360" w:lineRule="auto"/>
        <w:jc w:val="both"/>
        <w:rPr>
          <w:rFonts w:ascii="Palatino Linotype" w:hAnsi="Palatino Linotype"/>
          <w:lang w:val="es-ES"/>
        </w:rPr>
      </w:pPr>
    </w:p>
    <w:p w:rsidR="0017587F" w:rsidRDefault="007E4334">
      <w:pPr>
        <w:spacing w:line="360" w:lineRule="auto"/>
        <w:jc w:val="both"/>
        <w:rPr>
          <w:rFonts w:ascii="Palatino Linotype" w:hAnsi="Palatino Linotype"/>
          <w:lang w:val="es-ES"/>
        </w:rPr>
      </w:pPr>
      <w:r>
        <w:rPr>
          <w:rFonts w:ascii="Palatino Linotype" w:hAnsi="Palatino Linotype"/>
          <w:lang w:val="es-ES"/>
        </w:rPr>
        <w:t xml:space="preserve">Asimismo, se estima que el requisito relativo al nombre del </w:t>
      </w:r>
      <w:r>
        <w:rPr>
          <w:rFonts w:ascii="Palatino Linotype" w:hAnsi="Palatino Linotype" w:cs="Arial"/>
          <w:b/>
          <w:lang w:val="es-ES"/>
        </w:rPr>
        <w:t>RECURRENTE</w:t>
      </w:r>
      <w:r>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Pr>
          <w:rFonts w:ascii="Palatino Linotype" w:hAnsi="Palatino Linotype"/>
          <w:lang w:val="es-ES"/>
        </w:rPr>
        <w:lastRenderedPageBreak/>
        <w:t xml:space="preserve">de las que se desprende que </w:t>
      </w:r>
      <w:r>
        <w:rPr>
          <w:rFonts w:ascii="Palatino Linotype" w:hAnsi="Palatino Linotype" w:cs="Arial"/>
          <w:b/>
          <w:lang w:val="es-ES"/>
        </w:rPr>
        <w:t>EL RECURRENTE</w:t>
      </w:r>
      <w:r>
        <w:rPr>
          <w:rFonts w:ascii="Palatino Linotype" w:hAnsi="Palatino Linotype"/>
          <w:lang w:val="es-ES"/>
        </w:rPr>
        <w:t xml:space="preserve"> es la misma persona que realizó la solicitud de acceso a la información pública que ahora se impugna.</w:t>
      </w:r>
    </w:p>
    <w:p w:rsidR="0017587F" w:rsidRDefault="0017587F">
      <w:pPr>
        <w:spacing w:line="360" w:lineRule="auto"/>
        <w:jc w:val="both"/>
        <w:rPr>
          <w:rFonts w:ascii="Palatino Linotype" w:hAnsi="Palatino Linotype"/>
          <w:lang w:val="es-ES"/>
        </w:rPr>
      </w:pPr>
    </w:p>
    <w:p w:rsidR="0017587F" w:rsidRDefault="007E4334">
      <w:pPr>
        <w:spacing w:line="360" w:lineRule="auto"/>
        <w:jc w:val="both"/>
        <w:rPr>
          <w:rFonts w:ascii="Palatino Linotype" w:hAnsi="Palatino Linotype"/>
          <w:b/>
          <w:lang w:val="es-ES"/>
        </w:rPr>
      </w:pPr>
      <w:r>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Pr>
          <w:rFonts w:ascii="Palatino Linotype" w:hAnsi="Palatino Linotype" w:cs="Arial"/>
          <w:b/>
          <w:lang w:val="es-ES"/>
        </w:rPr>
        <w:t xml:space="preserve"> 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rsidR="0017587F" w:rsidRDefault="0017587F">
      <w:pPr>
        <w:spacing w:line="360" w:lineRule="auto"/>
        <w:jc w:val="both"/>
        <w:rPr>
          <w:rFonts w:ascii="Palatino Linotype" w:hAnsi="Palatino Linotype" w:cs="Arial"/>
          <w:b/>
          <w:sz w:val="28"/>
          <w:szCs w:val="28"/>
        </w:rPr>
      </w:pPr>
    </w:p>
    <w:p w:rsidR="0017587F" w:rsidRDefault="007E4334">
      <w:pPr>
        <w:spacing w:line="360" w:lineRule="auto"/>
        <w:jc w:val="both"/>
        <w:rPr>
          <w:rFonts w:ascii="Palatino Linotype" w:hAnsi="Palatino Linotype" w:cs="Arial"/>
        </w:rPr>
      </w:pPr>
      <w:r>
        <w:rPr>
          <w:rFonts w:ascii="Palatino Linotype" w:hAnsi="Palatino Linotype" w:cs="Arial"/>
          <w:b/>
          <w:sz w:val="28"/>
          <w:szCs w:val="28"/>
          <w:lang w:val="es-ES"/>
        </w:rPr>
        <w:t>QUINTO</w:t>
      </w:r>
      <w:r>
        <w:rPr>
          <w:rFonts w:ascii="Palatino Linotype" w:hAnsi="Palatino Linotype" w:cs="Arial"/>
          <w:b/>
          <w:lang w:val="es-ES"/>
        </w:rPr>
        <w:t xml:space="preserve">. Estudio y resolución del asunto. </w:t>
      </w:r>
      <w:r>
        <w:rPr>
          <w:rFonts w:ascii="Palatino Linotype" w:hAnsi="Palatino Linotype" w:cs="Arial"/>
        </w:rPr>
        <w:t xml:space="preserve">Del análisis efectuado se advierte que el recurso de revisión de que se trata es procedente; toda vez, que se actualiza la hipótesis prevista en la fracción V del artículo 179 de la Ley de la materia, que a la letra indica: </w:t>
      </w:r>
    </w:p>
    <w:p w:rsidR="0017587F" w:rsidRDefault="0017587F">
      <w:pPr>
        <w:spacing w:line="360" w:lineRule="auto"/>
        <w:jc w:val="both"/>
        <w:rPr>
          <w:rFonts w:ascii="Palatino Linotype" w:hAnsi="Palatino Linotype" w:cs="Arial"/>
        </w:rPr>
      </w:pPr>
    </w:p>
    <w:p w:rsidR="0017587F" w:rsidRDefault="007E4334">
      <w:pPr>
        <w:pStyle w:val="Prrafodelista"/>
        <w:widowControl w:val="0"/>
        <w:tabs>
          <w:tab w:val="left" w:pos="1701"/>
          <w:tab w:val="left" w:pos="1843"/>
        </w:tabs>
        <w:ind w:left="851" w:right="902"/>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179. El recurso de revisión</w:t>
      </w:r>
      <w:r>
        <w:rPr>
          <w:rFonts w:ascii="Palatino Linotype" w:hAnsi="Palatino Linotype" w:cs="Arial"/>
          <w:i/>
          <w:sz w:val="22"/>
        </w:rPr>
        <w:t xml:space="preserve"> es un medio de protección que la Ley otorga a los particulares, para hacer valer su derecho de acceso a la información pública, y </w:t>
      </w:r>
      <w:r>
        <w:rPr>
          <w:rFonts w:ascii="Palatino Linotype" w:hAnsi="Palatino Linotype" w:cs="Arial"/>
          <w:b/>
          <w:i/>
          <w:sz w:val="22"/>
        </w:rPr>
        <w:t>procederá en contra de las siguientes causas</w:t>
      </w:r>
      <w:r>
        <w:rPr>
          <w:rFonts w:ascii="Palatino Linotype" w:hAnsi="Palatino Linotype" w:cs="Arial"/>
          <w:i/>
          <w:sz w:val="22"/>
        </w:rPr>
        <w:t>:</w:t>
      </w:r>
    </w:p>
    <w:p w:rsidR="0017587F" w:rsidRDefault="007E4334">
      <w:pPr>
        <w:pStyle w:val="Prrafodelista"/>
        <w:widowControl w:val="0"/>
        <w:tabs>
          <w:tab w:val="left" w:pos="1701"/>
          <w:tab w:val="left" w:pos="1843"/>
        </w:tabs>
        <w:ind w:left="851" w:right="902"/>
        <w:jc w:val="both"/>
        <w:rPr>
          <w:rFonts w:ascii="Palatino Linotype" w:hAnsi="Palatino Linotype" w:cs="Arial"/>
          <w:i/>
          <w:sz w:val="22"/>
        </w:rPr>
      </w:pPr>
      <w:r>
        <w:rPr>
          <w:rFonts w:ascii="Palatino Linotype" w:hAnsi="Palatino Linotype" w:cs="Arial"/>
          <w:i/>
          <w:sz w:val="22"/>
        </w:rPr>
        <w:t>. . .</w:t>
      </w:r>
    </w:p>
    <w:p w:rsidR="0017587F" w:rsidRDefault="007E4334">
      <w:pPr>
        <w:pStyle w:val="Prrafodelista"/>
        <w:widowControl w:val="0"/>
        <w:tabs>
          <w:tab w:val="left" w:pos="1701"/>
          <w:tab w:val="left" w:pos="1843"/>
        </w:tabs>
        <w:ind w:left="851" w:right="902"/>
        <w:jc w:val="both"/>
        <w:rPr>
          <w:rFonts w:ascii="Palatino Linotype" w:hAnsi="Palatino Linotype" w:cs="Arial"/>
          <w:i/>
          <w:sz w:val="22"/>
        </w:rPr>
      </w:pPr>
      <w:r>
        <w:rPr>
          <w:rFonts w:ascii="Palatino Linotype" w:hAnsi="Palatino Linotype" w:cs="Arial"/>
          <w:b/>
          <w:i/>
          <w:sz w:val="22"/>
        </w:rPr>
        <w:t>V. La entrega de información incompleta</w:t>
      </w:r>
      <w:r>
        <w:rPr>
          <w:rFonts w:ascii="Palatino Linotype" w:hAnsi="Palatino Linotype" w:cs="Arial"/>
          <w:i/>
          <w:sz w:val="22"/>
        </w:rPr>
        <w:t>;”</w:t>
      </w:r>
    </w:p>
    <w:p w:rsidR="0017587F" w:rsidRDefault="0017587F">
      <w:pPr>
        <w:pStyle w:val="Prrafodelista"/>
        <w:widowControl w:val="0"/>
        <w:tabs>
          <w:tab w:val="left" w:pos="1701"/>
          <w:tab w:val="left" w:pos="1843"/>
        </w:tabs>
        <w:ind w:left="851" w:right="902"/>
        <w:jc w:val="both"/>
        <w:rPr>
          <w:rFonts w:ascii="Palatino Linotype" w:hAnsi="Palatino Linotype" w:cs="Arial"/>
          <w:i/>
          <w:sz w:val="22"/>
        </w:rPr>
      </w:pPr>
    </w:p>
    <w:p w:rsidR="0017587F" w:rsidRDefault="007E4334">
      <w:pPr>
        <w:pStyle w:val="Prrafodelista"/>
        <w:widowControl w:val="0"/>
        <w:tabs>
          <w:tab w:val="left" w:pos="1701"/>
          <w:tab w:val="left" w:pos="1843"/>
        </w:tabs>
        <w:ind w:left="851" w:right="902"/>
        <w:jc w:val="both"/>
        <w:rPr>
          <w:rFonts w:ascii="Palatino Linotype" w:hAnsi="Palatino Linotype" w:cs="Arial"/>
          <w:b/>
        </w:rPr>
      </w:pPr>
      <w:r>
        <w:rPr>
          <w:rFonts w:ascii="Palatino Linotype" w:hAnsi="Palatino Linotype" w:cs="Arial"/>
          <w:i/>
          <w:sz w:val="22"/>
        </w:rPr>
        <w:t>(Énfasis añadido)</w:t>
      </w:r>
    </w:p>
    <w:p w:rsidR="0017587F" w:rsidRDefault="007E4334">
      <w:pPr>
        <w:pStyle w:val="Prrafodelista"/>
        <w:widowControl w:val="0"/>
        <w:tabs>
          <w:tab w:val="left" w:pos="1701"/>
          <w:tab w:val="left" w:pos="1843"/>
        </w:tabs>
        <w:spacing w:before="240" w:after="240" w:line="360" w:lineRule="auto"/>
        <w:ind w:left="0"/>
        <w:jc w:val="both"/>
        <w:rPr>
          <w:rFonts w:ascii="Palatino Linotype" w:hAnsi="Palatino Linotype" w:cs="Arial"/>
        </w:rPr>
      </w:pPr>
      <w:r>
        <w:rPr>
          <w:rFonts w:ascii="Palatino Linotype" w:hAnsi="Palatino Linotype" w:cs="Arial"/>
        </w:rPr>
        <w:t xml:space="preserve">El precepto legal antes citado, establece como supuesto de procedencia del recurso de revisión, la entrega de información incompleta por parte del </w:t>
      </w:r>
      <w:r>
        <w:rPr>
          <w:rFonts w:ascii="Palatino Linotype" w:hAnsi="Palatino Linotype" w:cs="Arial"/>
          <w:b/>
        </w:rPr>
        <w:t>SUJETO OBLIGADO</w:t>
      </w:r>
      <w:r>
        <w:rPr>
          <w:rFonts w:ascii="Palatino Linotype" w:hAnsi="Palatino Linotype" w:cs="Arial"/>
        </w:rPr>
        <w:t>, situación que se actualiza en el siguiente caso, en razón que mediante respuesta sólo proporcionó información parcial, tal y como se analizara más adelante.</w:t>
      </w:r>
    </w:p>
    <w:p w:rsidR="0017587F" w:rsidRDefault="0017587F">
      <w:pPr>
        <w:spacing w:line="360" w:lineRule="auto"/>
        <w:jc w:val="both"/>
        <w:rPr>
          <w:rFonts w:ascii="Palatino Linotype" w:hAnsi="Palatino Linotype" w:cs="Arial"/>
        </w:rPr>
      </w:pPr>
    </w:p>
    <w:p w:rsidR="0017587F" w:rsidRDefault="007E4334">
      <w:pPr>
        <w:spacing w:line="360" w:lineRule="auto"/>
        <w:jc w:val="both"/>
        <w:rPr>
          <w:rFonts w:ascii="Palatino Linotype" w:hAnsi="Palatino Linotype"/>
          <w:color w:val="000000"/>
          <w:lang w:val="es-ES"/>
        </w:rPr>
      </w:pPr>
      <w:r>
        <w:rPr>
          <w:rFonts w:ascii="Palatino Linotype" w:hAnsi="Palatino Linotype" w:cs="Arial"/>
        </w:rPr>
        <w:lastRenderedPageBreak/>
        <w:t xml:space="preserve">Una vez determinada la vía, sobre la que versará el presente estudio, se puede advertir que </w:t>
      </w:r>
      <w:r>
        <w:rPr>
          <w:rFonts w:ascii="Palatino Linotype" w:hAnsi="Palatino Linotype" w:cs="Arial"/>
          <w:b/>
        </w:rPr>
        <w:t>EL RECURRENTE</w:t>
      </w:r>
      <w:r>
        <w:rPr>
          <w:rFonts w:ascii="Palatino Linotype" w:hAnsi="Palatino Linotype" w:cs="Arial"/>
        </w:rPr>
        <w:t xml:space="preserve"> solicito del </w:t>
      </w:r>
      <w:r>
        <w:rPr>
          <w:rFonts w:ascii="Palatino Linotype" w:hAnsi="Palatino Linotype" w:cs="Arial"/>
          <w:b/>
        </w:rPr>
        <w:t>SUJETO OBLIGADO</w:t>
      </w:r>
      <w:r>
        <w:rPr>
          <w:rFonts w:ascii="Palatino Linotype" w:hAnsi="Palatino Linotype" w:cs="Arial"/>
        </w:rPr>
        <w:t xml:space="preserve"> </w:t>
      </w:r>
      <w:r>
        <w:rPr>
          <w:rFonts w:ascii="Palatino Linotype" w:hAnsi="Palatino Linotype"/>
          <w:color w:val="000000"/>
          <w:lang w:val="es-ES"/>
        </w:rPr>
        <w:t xml:space="preserve">conocer el programa anual de trabajo para 2020; así como, el presupuesto aprobado; al respecto, </w:t>
      </w:r>
      <w:r>
        <w:rPr>
          <w:rFonts w:ascii="Palatino Linotype" w:hAnsi="Palatino Linotype"/>
          <w:b/>
          <w:color w:val="000000"/>
          <w:lang w:val="es-ES"/>
        </w:rPr>
        <w:t xml:space="preserve">EL SUJETO OBLIGADO </w:t>
      </w:r>
      <w:r>
        <w:rPr>
          <w:rFonts w:ascii="Palatino Linotype" w:hAnsi="Palatino Linotype"/>
          <w:color w:val="000000"/>
          <w:lang w:val="es-ES"/>
        </w:rPr>
        <w:t xml:space="preserve">mediante respuesta informó que el presupuesto aprobado para el ejercicio 2020 del Instituto de Investigación y Fomento de las Artesanías del Estado de México es de 58,386,066.20. </w:t>
      </w:r>
    </w:p>
    <w:p w:rsidR="0017587F" w:rsidRDefault="0017587F">
      <w:pPr>
        <w:spacing w:line="360" w:lineRule="auto"/>
        <w:jc w:val="both"/>
        <w:rPr>
          <w:rFonts w:ascii="Palatino Linotype" w:hAnsi="Palatino Linotype"/>
          <w:color w:val="000000"/>
          <w:lang w:val="es-ES"/>
        </w:rPr>
      </w:pPr>
    </w:p>
    <w:p w:rsidR="0017587F" w:rsidRDefault="007E4334">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rFonts w:ascii="Palatino Linotype" w:hAnsi="Palatino Linotype"/>
        </w:rPr>
        <w:t>Inconforme</w:t>
      </w:r>
      <w:r>
        <w:rPr>
          <w:rFonts w:ascii="Palatino Linotype" w:hAnsi="Palatino Linotype" w:cs="Arial"/>
          <w:lang w:val="es-ES_tradnl"/>
        </w:rPr>
        <w:t xml:space="preserve"> </w:t>
      </w:r>
      <w:r>
        <w:rPr>
          <w:rFonts w:ascii="Palatino Linotype" w:hAnsi="Palatino Linotype" w:cs="Arial"/>
        </w:rPr>
        <w:t>con</w:t>
      </w:r>
      <w:r>
        <w:rPr>
          <w:rFonts w:ascii="Palatino Linotype" w:hAnsi="Palatino Linotype" w:cs="Arial"/>
          <w:lang w:val="es-ES_tradnl"/>
        </w:rPr>
        <w:t xml:space="preserve"> la respuesta otorgada por </w:t>
      </w:r>
      <w:r>
        <w:rPr>
          <w:rFonts w:ascii="Palatino Linotype" w:hAnsi="Palatino Linotype" w:cs="Arial"/>
          <w:b/>
          <w:lang w:val="es-ES_tradnl"/>
        </w:rPr>
        <w:t>EL SUJETO OBLIGADO</w:t>
      </w:r>
      <w:r>
        <w:rPr>
          <w:rFonts w:ascii="Palatino Linotype" w:hAnsi="Palatino Linotype" w:cs="Arial"/>
          <w:lang w:val="es-ES_tradnl"/>
        </w:rPr>
        <w:t xml:space="preserve">, </w:t>
      </w:r>
      <w:r>
        <w:rPr>
          <w:rFonts w:ascii="Palatino Linotype" w:hAnsi="Palatino Linotype"/>
          <w:b/>
        </w:rPr>
        <w:t>EL RECURRENTE</w:t>
      </w:r>
      <w:r>
        <w:rPr>
          <w:rFonts w:ascii="Palatino Linotype" w:hAnsi="Palatino Linotype" w:cs="Arial"/>
          <w:lang w:val="es-ES_tradnl"/>
        </w:rPr>
        <w:t xml:space="preserve"> interpuso el presente medio de impugnación; </w:t>
      </w:r>
      <w:r>
        <w:rPr>
          <w:rFonts w:ascii="Palatino Linotype" w:hAnsi="Palatino Linotype" w:cs="Arial"/>
        </w:rPr>
        <w:t xml:space="preserve">en los términos señalados en el Resultando IV de la presente resolución. </w:t>
      </w:r>
    </w:p>
    <w:p w:rsidR="0017587F" w:rsidRDefault="007E4334">
      <w:pPr>
        <w:spacing w:line="360" w:lineRule="auto"/>
        <w:ind w:right="49"/>
        <w:jc w:val="both"/>
        <w:rPr>
          <w:rFonts w:ascii="Palatino Linotype" w:hAnsi="Palatino Linotype" w:cs="Arial"/>
          <w:lang w:val="es-ES_tradnl"/>
        </w:rPr>
      </w:pPr>
      <w:r>
        <w:rPr>
          <w:rFonts w:ascii="Palatino Linotype" w:hAnsi="Palatino Linotype" w:cs="Arial"/>
        </w:rPr>
        <w:t xml:space="preserve">Por otra parte, de las constancias que obran en el </w:t>
      </w:r>
      <w:r>
        <w:rPr>
          <w:rFonts w:ascii="Palatino Linotype" w:hAnsi="Palatino Linotype" w:cs="Arial"/>
          <w:b/>
        </w:rPr>
        <w:t>SAIMEX,</w:t>
      </w:r>
      <w:r>
        <w:rPr>
          <w:rFonts w:ascii="Palatino Linotype" w:hAnsi="Palatino Linotype" w:cs="Arial"/>
        </w:rPr>
        <w:t xml:space="preserve"> se advierte que</w:t>
      </w:r>
      <w:r>
        <w:rPr>
          <w:rFonts w:ascii="Palatino Linotype" w:hAnsi="Palatino Linotype" w:cs="Arial"/>
          <w:b/>
        </w:rPr>
        <w:t xml:space="preserve"> EL SUJETO OBLIGADO</w:t>
      </w:r>
      <w:r>
        <w:rPr>
          <w:rFonts w:ascii="Palatino Linotype" w:hAnsi="Palatino Linotype" w:cs="Arial"/>
          <w:lang w:val="es-ES_tradnl"/>
        </w:rPr>
        <w:t xml:space="preserve"> fue omiso en rendir su Informe Justificado; así mismo, </w:t>
      </w:r>
      <w:r>
        <w:rPr>
          <w:rFonts w:ascii="Palatino Linotype" w:hAnsi="Palatino Linotype" w:cs="Arial"/>
          <w:b/>
          <w:lang w:val="es-ES_tradnl"/>
        </w:rPr>
        <w:t>EL</w:t>
      </w:r>
      <w:r>
        <w:rPr>
          <w:rFonts w:ascii="Palatino Linotype" w:hAnsi="Palatino Linotype" w:cs="Arial"/>
          <w:lang w:val="es-ES_tradnl"/>
        </w:rPr>
        <w:t xml:space="preserve"> </w:t>
      </w:r>
      <w:r>
        <w:rPr>
          <w:rFonts w:ascii="Palatino Linotype" w:hAnsi="Palatino Linotype" w:cs="Arial"/>
          <w:b/>
          <w:lang w:val="es-ES_tradnl"/>
        </w:rPr>
        <w:t>RECURRENTE</w:t>
      </w:r>
      <w:r>
        <w:rPr>
          <w:rFonts w:ascii="Palatino Linotype" w:hAnsi="Palatino Linotype" w:cs="Arial"/>
          <w:lang w:val="es-ES_tradnl"/>
        </w:rPr>
        <w:t xml:space="preserve"> no realizó manifestación alguna, ni presentó pruebas o alegatos que a su derecho convinieran.</w:t>
      </w:r>
    </w:p>
    <w:p w:rsidR="0017587F" w:rsidRDefault="007E4334">
      <w:pPr>
        <w:pStyle w:val="Prrafodelista"/>
        <w:widowControl w:val="0"/>
        <w:tabs>
          <w:tab w:val="left" w:pos="1701"/>
          <w:tab w:val="left" w:pos="1843"/>
        </w:tabs>
        <w:spacing w:beforeAutospacing="1" w:afterAutospacing="1" w:line="360" w:lineRule="auto"/>
        <w:ind w:left="0"/>
        <w:jc w:val="both"/>
        <w:rPr>
          <w:rFonts w:ascii="Palatino Linotype" w:hAnsi="Palatino Linotype"/>
        </w:rPr>
      </w:pPr>
      <w:r>
        <w:rPr>
          <w:rFonts w:ascii="Palatino Linotype" w:hAnsi="Palatino Linotype" w:cs="Arial"/>
        </w:rPr>
        <w:t xml:space="preserve">Hechas las precisiones anteriores, esta Ponencia Resolutora considera pertinente </w:t>
      </w:r>
      <w:r>
        <w:rPr>
          <w:rFonts w:ascii="Palatino Linotype" w:hAnsi="Palatino Linotype" w:cs="Arial"/>
          <w:lang w:eastAsia="es-MX"/>
        </w:rPr>
        <w:t xml:space="preserve">señalar que </w:t>
      </w:r>
      <w:r>
        <w:rPr>
          <w:rFonts w:ascii="Palatino Linotype" w:hAnsi="Palatino Linotype" w:cs="Arial"/>
          <w:lang w:val="es-ES_tradnl"/>
        </w:rPr>
        <w:t xml:space="preserve">se obvia la competencia del </w:t>
      </w:r>
      <w:r>
        <w:rPr>
          <w:rFonts w:ascii="Palatino Linotype" w:hAnsi="Palatino Linotype" w:cs="Arial"/>
          <w:b/>
          <w:lang w:val="es-ES_tradnl"/>
        </w:rPr>
        <w:t xml:space="preserve">SUJETO OBLIGADO </w:t>
      </w:r>
      <w:r>
        <w:rPr>
          <w:rFonts w:ascii="Palatino Linotype" w:hAnsi="Palatino Linotype"/>
        </w:rPr>
        <w:t xml:space="preserve">para generar, administrar o poseer la información solicitada, </w:t>
      </w:r>
      <w:r>
        <w:rPr>
          <w:rFonts w:ascii="Palatino Linotype" w:hAnsi="Palatino Linotype" w:cs="Arial"/>
        </w:rPr>
        <w:t xml:space="preserve">dado que éste ha </w:t>
      </w:r>
      <w:r>
        <w:rPr>
          <w:rFonts w:ascii="Palatino Linotype" w:hAnsi="Palatino Linotype" w:cs="Arial"/>
          <w:color w:val="000000"/>
        </w:rPr>
        <w:t>asumido</w:t>
      </w:r>
      <w:r>
        <w:rPr>
          <w:rFonts w:ascii="Palatino Linotype" w:hAnsi="Palatino Linotype" w:cs="Arial"/>
        </w:rPr>
        <w:t xml:space="preserve"> la misma, </w:t>
      </w:r>
      <w:r>
        <w:rPr>
          <w:rFonts w:ascii="Palatino Linotype" w:hAnsi="Palatino Linotype"/>
        </w:rPr>
        <w:t xml:space="preserve">en razón de que a través de su respuesta realizó un pronunciamiento en relación a la información solicitada con la finalidad de tener por colmado el derecho de acceso a la información del hoy </w:t>
      </w:r>
      <w:r>
        <w:rPr>
          <w:rFonts w:ascii="Palatino Linotype" w:hAnsi="Palatino Linotype"/>
          <w:b/>
        </w:rPr>
        <w:t>RECURRENTE</w:t>
      </w:r>
      <w:r>
        <w:rPr>
          <w:rFonts w:ascii="Palatino Linotype" w:hAnsi="Palatino Linotype"/>
        </w:rPr>
        <w:t xml:space="preserve">; razón por la cual, al haberse pronunciado </w:t>
      </w:r>
      <w:r>
        <w:rPr>
          <w:rFonts w:ascii="Palatino Linotype" w:hAnsi="Palatino Linotype"/>
          <w:b/>
        </w:rPr>
        <w:t>EL SUJETO OBLIGADO</w:t>
      </w:r>
      <w:r>
        <w:rPr>
          <w:rFonts w:ascii="Palatino Linotype" w:hAnsi="Palatino Linotype"/>
        </w:rPr>
        <w:t xml:space="preserve"> respecto de la información solicitada, </w:t>
      </w:r>
      <w:r>
        <w:rPr>
          <w:rFonts w:ascii="Palatino Linotype" w:hAnsi="Palatino Linotype" w:cs="Arial"/>
        </w:rPr>
        <w:t xml:space="preserve">es que </w:t>
      </w:r>
      <w:r>
        <w:rPr>
          <w:rFonts w:ascii="Palatino Linotype" w:hAnsi="Palatino Linotype"/>
        </w:rPr>
        <w:t xml:space="preserve">acepta ser competente para generar, poseer y administrar dicha información, en ejercicio de sus </w:t>
      </w:r>
      <w:r>
        <w:rPr>
          <w:rFonts w:ascii="Palatino Linotype" w:hAnsi="Palatino Linotype"/>
        </w:rPr>
        <w:lastRenderedPageBreak/>
        <w:t>funciones de derecho público, motivo por el cual se actualiza el supuesto jurídico, previsto en el artículo 12 de la Ley de Transparencia y Acceso a la Información Pública del Estado de México y Municipios.</w:t>
      </w:r>
    </w:p>
    <w:p w:rsidR="0017587F" w:rsidRDefault="007E4334">
      <w:pPr>
        <w:spacing w:beforeAutospacing="1" w:afterAutospacing="1" w:line="360" w:lineRule="auto"/>
        <w:ind w:right="49"/>
        <w:jc w:val="both"/>
        <w:rPr>
          <w:rFonts w:ascii="Palatino Linotype" w:hAnsi="Palatino Linotype"/>
        </w:rPr>
      </w:pPr>
      <w:r>
        <w:rPr>
          <w:rFonts w:ascii="Palatino Linotype" w:hAnsi="Palatino Linotype"/>
        </w:rPr>
        <w:t xml:space="preserve">Por lo que,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xml:space="preserve">; sin embargo, en aquellos casos en que éste la asume, implica que cuenta o pudiera contar con la misma; por consiguiente, a nada práctico nos conduciría su estudio, ya que se insiste la información pública solicitada, fue asumida por </w:t>
      </w:r>
      <w:r>
        <w:rPr>
          <w:rFonts w:ascii="Palatino Linotype" w:hAnsi="Palatino Linotype"/>
          <w:b/>
        </w:rPr>
        <w:t>EL SUJETO OBLIGADO</w:t>
      </w:r>
      <w:r>
        <w:rPr>
          <w:rFonts w:ascii="Palatino Linotype" w:hAnsi="Palatino Linotype"/>
        </w:rPr>
        <w:t>.</w:t>
      </w:r>
    </w:p>
    <w:p w:rsidR="0017587F" w:rsidRDefault="007E4334">
      <w:pPr>
        <w:spacing w:beforeAutospacing="1" w:afterAutospacing="1" w:line="360" w:lineRule="auto"/>
        <w:contextualSpacing/>
        <w:jc w:val="both"/>
        <w:rPr>
          <w:rFonts w:ascii="Palatino Linotype" w:hAnsi="Palatino Linotype"/>
          <w:color w:val="000000"/>
        </w:rPr>
      </w:pPr>
      <w:r>
        <w:rPr>
          <w:rFonts w:ascii="Palatino Linotype" w:hAnsi="Palatino Linotype"/>
          <w:color w:val="000000"/>
        </w:rPr>
        <w:t xml:space="preserve">Asimismo, no se omite comentar que, al haber existido un pronunciamiento por parte del </w:t>
      </w:r>
      <w:r>
        <w:rPr>
          <w:rFonts w:ascii="Palatino Linotype" w:hAnsi="Palatino Linotype"/>
          <w:b/>
          <w:color w:val="000000"/>
        </w:rPr>
        <w:t>SUJETO OBLIGADO</w:t>
      </w:r>
      <w:r>
        <w:rPr>
          <w:rFonts w:ascii="Palatino Linotype" w:hAnsi="Palatino Linotype"/>
          <w:color w:val="000000"/>
        </w:rPr>
        <w:t>, a fin de dar respuesta a la solicitud planteada, este Instituto no está facultado para manifestarse sobre la veracidad de la información localizada, pues este Órgano Garante, conforme al artículo 36 de la Ley de la Materia, no se encuentra facultado para pronunciarse acerca de la autenticidad de dicho pronunciamiento.</w:t>
      </w:r>
    </w:p>
    <w:p w:rsidR="0017587F" w:rsidRDefault="0017587F">
      <w:pPr>
        <w:spacing w:beforeAutospacing="1" w:afterAutospacing="1" w:line="360" w:lineRule="auto"/>
        <w:contextualSpacing/>
        <w:jc w:val="both"/>
        <w:rPr>
          <w:rFonts w:ascii="Palatino Linotype" w:hAnsi="Palatino Linotype"/>
          <w:color w:val="000000"/>
        </w:rPr>
      </w:pPr>
    </w:p>
    <w:p w:rsidR="0017587F" w:rsidRDefault="007E4334">
      <w:pPr>
        <w:spacing w:beforeAutospacing="1" w:afterAutospacing="1" w:line="360" w:lineRule="auto"/>
        <w:contextualSpacing/>
        <w:jc w:val="both"/>
        <w:rPr>
          <w:rFonts w:ascii="Palatino Linotype" w:hAnsi="Palatino Linotype"/>
          <w:color w:val="000000"/>
        </w:rPr>
      </w:pPr>
      <w:r>
        <w:rPr>
          <w:rFonts w:ascii="Palatino Linotype" w:hAnsi="Palatino Linotype"/>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7587F" w:rsidRDefault="0017587F">
      <w:pPr>
        <w:spacing w:beforeAutospacing="1" w:afterAutospacing="1" w:line="360" w:lineRule="auto"/>
        <w:contextualSpacing/>
        <w:jc w:val="both"/>
        <w:rPr>
          <w:rFonts w:ascii="Palatino Linotype" w:hAnsi="Palatino Linotype"/>
          <w:color w:val="000000"/>
          <w:sz w:val="14"/>
          <w:szCs w:val="14"/>
        </w:rPr>
      </w:pPr>
    </w:p>
    <w:p w:rsidR="0017587F" w:rsidRDefault="007E4334">
      <w:pPr>
        <w:spacing w:beforeAutospacing="1" w:afterAutospacing="1"/>
        <w:ind w:left="851" w:right="899"/>
        <w:contextualSpacing/>
        <w:jc w:val="both"/>
        <w:rPr>
          <w:rFonts w:ascii="Palatino Linotype" w:hAnsi="Palatino Linotype"/>
          <w:i/>
          <w:color w:val="000000"/>
          <w:sz w:val="22"/>
          <w:szCs w:val="22"/>
        </w:rPr>
      </w:pPr>
      <w:r>
        <w:rPr>
          <w:rFonts w:ascii="Palatino Linotype" w:hAnsi="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color w:val="000000"/>
          <w:sz w:val="22"/>
          <w:szCs w:val="22"/>
        </w:rPr>
        <w:t xml:space="preserve">. El Instituto Federal de </w:t>
      </w:r>
      <w:r>
        <w:rPr>
          <w:rFonts w:ascii="Palatino Linotype" w:hAnsi="Palatino Linotype"/>
          <w:i/>
          <w:color w:val="000000"/>
          <w:sz w:val="22"/>
          <w:szCs w:val="22"/>
        </w:rPr>
        <w:lastRenderedPageBreak/>
        <w:t xml:space="preserve">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17587F" w:rsidRDefault="007E4334">
      <w:pPr>
        <w:spacing w:beforeAutospacing="1" w:afterAutospacing="1"/>
        <w:ind w:left="851" w:right="899"/>
        <w:contextualSpacing/>
        <w:jc w:val="both"/>
        <w:rPr>
          <w:rFonts w:ascii="Palatino Linotype" w:hAnsi="Palatino Linotype"/>
          <w:i/>
          <w:color w:val="000000"/>
          <w:sz w:val="22"/>
          <w:szCs w:val="22"/>
        </w:rPr>
      </w:pPr>
      <w:r>
        <w:rPr>
          <w:rFonts w:ascii="Palatino Linotype" w:hAnsi="Palatino Linotype"/>
          <w:i/>
          <w:color w:val="000000"/>
          <w:sz w:val="22"/>
          <w:szCs w:val="22"/>
        </w:rPr>
        <w:t>Criterio 31/10</w:t>
      </w:r>
      <w:r>
        <w:rPr>
          <w:rFonts w:ascii="Palatino Linotype" w:hAnsi="Palatino Linotype"/>
          <w:b/>
          <w:i/>
          <w:color w:val="000000"/>
          <w:sz w:val="22"/>
          <w:szCs w:val="22"/>
        </w:rPr>
        <w:t>”</w:t>
      </w:r>
      <w:r>
        <w:rPr>
          <w:rFonts w:ascii="Palatino Linotype" w:hAnsi="Palatino Linotype"/>
          <w:i/>
          <w:color w:val="000000"/>
          <w:sz w:val="22"/>
          <w:szCs w:val="22"/>
        </w:rPr>
        <w:t xml:space="preserve"> (sic)</w:t>
      </w:r>
    </w:p>
    <w:p w:rsidR="0017587F" w:rsidRDefault="007E4334">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rFonts w:ascii="Palatino Linotype" w:hAnsi="Palatino Linotype" w:cs="Arial"/>
        </w:rPr>
        <w:t xml:space="preserve">Ahora bien, este Instituto analizó la totalidad de las constancias que integran el expediente electrónico del </w:t>
      </w:r>
      <w:r>
        <w:rPr>
          <w:rFonts w:ascii="Palatino Linotype" w:hAnsi="Palatino Linotype" w:cs="Arial"/>
          <w:b/>
        </w:rPr>
        <w:t>SAIMEX</w:t>
      </w:r>
      <w:r>
        <w:rPr>
          <w:rFonts w:ascii="Palatino Linotype" w:hAnsi="Palatino Linotype" w:cs="Arial"/>
        </w:rPr>
        <w:t xml:space="preserve">, y se concluye que la controversia en el presente asunto radica en que </w:t>
      </w:r>
      <w:r>
        <w:rPr>
          <w:rFonts w:ascii="Palatino Linotype" w:hAnsi="Palatino Linotype" w:cs="Arial"/>
          <w:b/>
        </w:rPr>
        <w:t>EL SUJETO OBLIGADO</w:t>
      </w:r>
      <w:r>
        <w:rPr>
          <w:rFonts w:ascii="Palatino Linotype" w:hAnsi="Palatino Linotype" w:cs="Arial"/>
        </w:rPr>
        <w:t xml:space="preserve"> no satisfizo en su totalidad el derecho de acceso a la información pública del particular, por lo que hace a la entrega del programa anual de trabajo para el ejercicio fiscal 2020, razón por la esta Ponencia Resolutora estima necesario analizar si el Sujeto Obligado tiene atribución alguna para generar dicha información. </w:t>
      </w:r>
    </w:p>
    <w:p w:rsidR="0017587F" w:rsidRDefault="007E4334">
      <w:pPr>
        <w:widowControl w:val="0"/>
        <w:tabs>
          <w:tab w:val="left" w:pos="1276"/>
        </w:tabs>
        <w:spacing w:before="240" w:afterAutospacing="1" w:line="360" w:lineRule="auto"/>
        <w:ind w:right="49"/>
        <w:jc w:val="both"/>
        <w:rPr>
          <w:rFonts w:ascii="Palatino Linotype" w:hAnsi="Palatino Linotype"/>
        </w:rPr>
      </w:pPr>
      <w:r>
        <w:rPr>
          <w:rFonts w:ascii="Palatino Linotype" w:hAnsi="Palatino Linotype"/>
        </w:rPr>
        <w:t xml:space="preserve">Bajo ese contexto, este Instituto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fundados</w:t>
      </w:r>
      <w:r>
        <w:rPr>
          <w:rFonts w:ascii="Palatino Linotype" w:hAnsi="Palatino Linotype"/>
        </w:rPr>
        <w:t>, en razón de las siguientes consideraciones de hecho y de derecho:</w:t>
      </w:r>
    </w:p>
    <w:p w:rsidR="0017587F" w:rsidRDefault="007E4334">
      <w:pPr>
        <w:spacing w:beforeAutospacing="1" w:afterAutospacing="1" w:line="360" w:lineRule="auto"/>
        <w:contextualSpacing/>
        <w:jc w:val="both"/>
        <w:rPr>
          <w:rFonts w:ascii="Palatino Linotype" w:hAnsi="Palatino Linotype"/>
          <w:lang w:val="es-ES"/>
        </w:rPr>
      </w:pPr>
      <w:r>
        <w:rPr>
          <w:rFonts w:ascii="Palatino Linotype" w:hAnsi="Palatino Linotype" w:cs="Arial"/>
        </w:rPr>
        <w:lastRenderedPageBreak/>
        <w:t xml:space="preserve">Una vez precisado lo anterior, </w:t>
      </w:r>
      <w:r>
        <w:rPr>
          <w:rFonts w:ascii="Palatino Linotype" w:hAnsi="Palatino Linotype"/>
          <w:lang w:val="es-AR"/>
        </w:rPr>
        <w:t xml:space="preserve">es importante señalar </w:t>
      </w:r>
      <w:r>
        <w:rPr>
          <w:rFonts w:ascii="Palatino Linotype" w:hAnsi="Palatino Linotype" w:cs="Arial"/>
          <w:lang w:val="es-ES"/>
        </w:rPr>
        <w:t xml:space="preserve">que el particular </w:t>
      </w:r>
      <w:r>
        <w:rPr>
          <w:rFonts w:ascii="Palatino Linotype" w:hAnsi="Palatino Linotype"/>
          <w:lang w:val="es-ES"/>
        </w:rPr>
        <w:t>al momento de presentar su solicitud de acceso a la información, solicitó el “</w:t>
      </w:r>
      <w:r>
        <w:rPr>
          <w:rFonts w:ascii="Palatino Linotype" w:hAnsi="Palatino Linotype"/>
          <w:i/>
          <w:lang w:val="es-ES"/>
        </w:rPr>
        <w:t>programa anual de trabajo para 2020, así como el presupuesto aprobado.”</w:t>
      </w:r>
      <w:r>
        <w:rPr>
          <w:rFonts w:ascii="Palatino Linotype" w:hAnsi="Palatino Linotype"/>
          <w:lang w:val="es-ES"/>
        </w:rPr>
        <w:t xml:space="preserve">; sin embargo, </w:t>
      </w:r>
      <w:r>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17587F" w:rsidRDefault="0017587F">
      <w:pPr>
        <w:spacing w:beforeAutospacing="1" w:afterAutospacing="1" w:line="360" w:lineRule="auto"/>
        <w:contextualSpacing/>
        <w:jc w:val="both"/>
        <w:rPr>
          <w:rFonts w:ascii="Palatino Linotype" w:hAnsi="Palatino Linotype" w:cs="Arial"/>
        </w:rPr>
      </w:pPr>
    </w:p>
    <w:p w:rsidR="0017587F" w:rsidRDefault="007E4334">
      <w:pPr>
        <w:spacing w:line="360" w:lineRule="auto"/>
        <w:contextualSpacing/>
        <w:jc w:val="both"/>
        <w:rPr>
          <w:rFonts w:ascii="Palatino Linotype" w:hAnsi="Palatino Linotype" w:cs="Arial"/>
          <w:color w:val="000000" w:themeColor="text1"/>
          <w:lang w:val="es-ES"/>
        </w:rPr>
      </w:pPr>
      <w:r>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Pr>
          <w:rFonts w:ascii="Palatino Linotype" w:hAnsi="Palatino Linotype"/>
        </w:rPr>
        <w:t xml:space="preserve">bajo el amparo del principio de máxima publicidad y pro persona; </w:t>
      </w:r>
      <w:r>
        <w:rPr>
          <w:rFonts w:ascii="Palatino Linotype" w:hAnsi="Palatino Linotype" w:cs="Arial"/>
          <w:color w:val="000000" w:themeColor="text1"/>
          <w:lang w:val="es-ES"/>
        </w:rPr>
        <w:t>determina que el documento al que desea acceder el particular es el Programa Operativo Anual del Sujeto Obligado, ya que si bien, en la Ley Orgánica Municipal del Estado de México y sus Municipios, se hace referencia a un programa de trabajo, lo cierto es que normativamente se conoce como Programa Operativo Anual, por lo que, la información solicitada corresponderá al correspondiente Programa Operativo Anual del ejercicio fiscal 2020.</w:t>
      </w:r>
    </w:p>
    <w:p w:rsidR="0017587F" w:rsidRDefault="0017587F">
      <w:pPr>
        <w:spacing w:line="360" w:lineRule="auto"/>
        <w:jc w:val="both"/>
        <w:rPr>
          <w:rFonts w:ascii="Palatino Linotype" w:hAnsi="Palatino Linotype"/>
        </w:rPr>
      </w:pPr>
    </w:p>
    <w:p w:rsidR="0017587F" w:rsidRDefault="007E4334">
      <w:pPr>
        <w:spacing w:line="360" w:lineRule="auto"/>
        <w:jc w:val="both"/>
        <w:rPr>
          <w:rFonts w:ascii="Palatino Linotype" w:hAnsi="Palatino Linotype"/>
        </w:rPr>
      </w:pPr>
      <w:r>
        <w:rPr>
          <w:rFonts w:ascii="Palatino Linotype" w:hAnsi="Palatino Linotype"/>
        </w:rPr>
        <w:t xml:space="preserve">Una vez puntualizado lo anterior, de acuerdo a lo que establece el artículo 285 del Código Financiero del Estado de México y Municipios,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w:t>
      </w:r>
      <w:r>
        <w:rPr>
          <w:rFonts w:ascii="Palatino Linotype" w:hAnsi="Palatino Linotype"/>
        </w:rPr>
        <w:lastRenderedPageBreak/>
        <w:t>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17587F" w:rsidRDefault="007E4334">
      <w:pPr>
        <w:spacing w:beforeAutospacing="1" w:afterAutospacing="1" w:line="360" w:lineRule="auto"/>
        <w:jc w:val="both"/>
        <w:rPr>
          <w:rFonts w:ascii="Palatino Linotype" w:hAnsi="Palatino Linotype"/>
        </w:rPr>
      </w:pPr>
      <w:r>
        <w:rPr>
          <w:rFonts w:ascii="Palatino Linotype" w:hAnsi="Palatino Linotype"/>
        </w:rPr>
        <w:t xml:space="preserve">Por su parte, el artículo 286 de la normativa en cita, prevé </w:t>
      </w:r>
      <w:r>
        <w:rPr>
          <w:rFonts w:ascii="Palatino Linotype" w:hAnsi="Palatino Linotype"/>
          <w:b/>
          <w:i/>
        </w:rPr>
        <w:t>que el proceso de planeación, programación y presupuestación, tiene como propósito orientar el gasto público a la atención de lo prioritario, tomando en cuenta los objetivos, metas y estrategias contenidos en el Plan de Desarrollo del Estado de México y los programas que de éste se derivan</w:t>
      </w:r>
      <w:r>
        <w:rPr>
          <w:rFonts w:ascii="Palatino Linotype" w:hAnsi="Palatino Linotype"/>
        </w:rPr>
        <w:t>, garantizando con ello el uso eficiente de los recursos públicos en cada uno de los programas presupuestarios.</w:t>
      </w:r>
    </w:p>
    <w:p w:rsidR="0017587F" w:rsidRDefault="007E4334">
      <w:pPr>
        <w:spacing w:beforeAutospacing="1" w:afterAutospacing="1" w:line="360" w:lineRule="auto"/>
        <w:jc w:val="both"/>
        <w:rPr>
          <w:rFonts w:ascii="Palatino Linotype" w:hAnsi="Palatino Linotype"/>
        </w:rPr>
      </w:pPr>
      <w:r>
        <w:rPr>
          <w:rFonts w:ascii="Palatino Linotype" w:hAnsi="Palatino Linotype"/>
        </w:rPr>
        <w:t>De igual forma, el artículo 289 del Código Financiero del Estado de México y Municipios establece que las Dependencias, Entidades Públicas, Organismos Autónomos, Poderes Legislativo y Judicial y unidades administrativas estatales y municipales formularán su anteproyecto de Presupuesto de Egresos, de acuerdo con las normas presupuestales vigentes con base en sus programas presupuestarios y proyectos anuales, observando las leyes y reglamentaciones establecidas sobre la igualdad entre mujeres y hombres, la atención de niños, niñas y adolescentes, el desarrollo integral de los pueblos y comunidades indígenas, el desarrollo de los jóvenes, la atención a grupos vulnerables y para la protección al ambiente, en lo conducente.</w:t>
      </w:r>
    </w:p>
    <w:p w:rsidR="0017587F" w:rsidRDefault="007E4334">
      <w:pPr>
        <w:spacing w:beforeAutospacing="1" w:afterAutospacing="1" w:line="360" w:lineRule="auto"/>
        <w:contextualSpacing/>
        <w:jc w:val="both"/>
        <w:rPr>
          <w:rFonts w:ascii="Palatino Linotype" w:hAnsi="Palatino Linotype" w:cs="Arial"/>
          <w:lang w:val="es-ES"/>
        </w:rPr>
      </w:pPr>
      <w:r>
        <w:rPr>
          <w:rFonts w:ascii="Palatino Linotype" w:eastAsia="Calibri" w:hAnsi="Palatino Linotype" w:cs="Arial"/>
        </w:rPr>
        <w:t xml:space="preserve">En este mismo contexto, </w:t>
      </w:r>
      <w:r>
        <w:rPr>
          <w:rFonts w:ascii="Palatino Linotype" w:hAnsi="Palatino Linotype" w:cs="Arial"/>
        </w:rPr>
        <w:t>e</w:t>
      </w:r>
      <w:r>
        <w:rPr>
          <w:rFonts w:ascii="Palatino Linotype" w:hAnsi="Palatino Linotype" w:cs="Arial"/>
          <w:lang w:val="es-ES"/>
        </w:rPr>
        <w:t xml:space="preserve">l artículo 139 fracción I de la Constitución Política del Estado Libre y Soberano de México, dispone que el desarrollo de la entidad se sustenta en el </w:t>
      </w:r>
      <w:r>
        <w:rPr>
          <w:rFonts w:ascii="Palatino Linotype" w:hAnsi="Palatino Linotype" w:cs="Arial"/>
          <w:lang w:val="es-ES"/>
        </w:rPr>
        <w:lastRenderedPageBreak/>
        <w:t>sistema estatal de planeación que tiene como base el plan de desarrollo del Estado de México, mismo que a la letra precisa lo siguiente:</w:t>
      </w:r>
    </w:p>
    <w:p w:rsidR="0017587F" w:rsidRDefault="007E4334">
      <w:pPr>
        <w:tabs>
          <w:tab w:val="left" w:pos="851"/>
        </w:tabs>
        <w:ind w:left="851" w:right="901"/>
        <w:jc w:val="both"/>
        <w:rPr>
          <w:rFonts w:ascii="Palatino Linotype" w:hAnsi="Palatino Linotype"/>
          <w:i/>
          <w:sz w:val="22"/>
        </w:rPr>
      </w:pPr>
      <w:r>
        <w:rPr>
          <w:rFonts w:ascii="Palatino Linotype" w:hAnsi="Palatino Linotype" w:cs="Arial"/>
          <w:b/>
          <w:i/>
          <w:sz w:val="22"/>
          <w:lang w:val="es-ES"/>
        </w:rPr>
        <w:t xml:space="preserve">“Artículo 139.- </w:t>
      </w:r>
      <w:r>
        <w:rPr>
          <w:rFonts w:ascii="Palatino Linotype" w:hAnsi="Palatino Linotype"/>
          <w:i/>
          <w:sz w:val="22"/>
        </w:rPr>
        <w:t>El desarrollo de la entidad se sustenta en el Sistema Estatal de Planeación Democrática, que tiene como base el Plan de Desarrollo del Estado de México:</w:t>
      </w:r>
    </w:p>
    <w:p w:rsidR="0017587F" w:rsidRDefault="0017587F">
      <w:pPr>
        <w:ind w:left="709" w:right="757"/>
        <w:jc w:val="both"/>
        <w:rPr>
          <w:rFonts w:ascii="Palatino Linotype" w:hAnsi="Palatino Linotype" w:cs="Arial"/>
          <w:b/>
          <w:i/>
          <w:sz w:val="22"/>
          <w:lang w:val="es-ES"/>
        </w:rPr>
      </w:pPr>
    </w:p>
    <w:p w:rsidR="0017587F" w:rsidRDefault="007E4334">
      <w:pPr>
        <w:tabs>
          <w:tab w:val="left" w:pos="851"/>
        </w:tabs>
        <w:ind w:left="851" w:right="901"/>
        <w:jc w:val="both"/>
        <w:rPr>
          <w:rFonts w:ascii="Palatino Linotype" w:hAnsi="Palatino Linotype"/>
          <w:sz w:val="22"/>
        </w:rPr>
      </w:pPr>
      <w:r>
        <w:rPr>
          <w:rFonts w:ascii="Palatino Linotype" w:hAnsi="Palatino Linotype" w:cs="Arial"/>
          <w:b/>
          <w:i/>
          <w:sz w:val="22"/>
          <w:lang w:val="es-ES"/>
        </w:rPr>
        <w:t xml:space="preserve">I.- </w:t>
      </w:r>
      <w:r>
        <w:rPr>
          <w:rFonts w:ascii="Palatino Linotype" w:hAnsi="Palatino Linotype"/>
          <w:i/>
          <w:sz w:val="22"/>
        </w:rPr>
        <w:t xml:space="preserve">“El </w:t>
      </w:r>
      <w:r>
        <w:rPr>
          <w:rFonts w:ascii="Palatino Linotype" w:hAnsi="Palatino Linotype"/>
          <w:b/>
          <w:i/>
          <w:sz w:val="22"/>
          <w:u w:val="single"/>
        </w:rPr>
        <w:t xml:space="preserve">sistema Estatal de Planeación Democrática, se integrara por los planes y programas que formulen las autoridades estatales </w:t>
      </w:r>
      <w:r>
        <w:rPr>
          <w:rFonts w:ascii="Palatino Linotype" w:hAnsi="Palatino Linotype"/>
          <w:i/>
          <w:sz w:val="22"/>
        </w:rPr>
        <w:t>y municipales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w:t>
      </w:r>
    </w:p>
    <w:p w:rsidR="0017587F" w:rsidRDefault="007E4334">
      <w:pPr>
        <w:tabs>
          <w:tab w:val="left" w:pos="851"/>
        </w:tabs>
        <w:ind w:left="851" w:right="901"/>
        <w:jc w:val="both"/>
        <w:rPr>
          <w:rFonts w:ascii="Palatino Linotype" w:hAnsi="Palatino Linotype" w:cs="Arial"/>
          <w:i/>
          <w:sz w:val="22"/>
          <w:lang w:val="es-ES"/>
        </w:rPr>
      </w:pPr>
      <w:r>
        <w:rPr>
          <w:rFonts w:ascii="Palatino Linotype" w:hAnsi="Palatino Linotype" w:cs="Arial"/>
          <w:i/>
          <w:sz w:val="22"/>
          <w:lang w:val="es-ES"/>
        </w:rPr>
        <w:t>(Énfasis añadido)</w:t>
      </w:r>
    </w:p>
    <w:p w:rsidR="0017587F" w:rsidRDefault="0017587F">
      <w:pPr>
        <w:spacing w:line="360" w:lineRule="auto"/>
        <w:jc w:val="both"/>
        <w:rPr>
          <w:rFonts w:ascii="Palatino Linotype" w:eastAsia="Calibri" w:hAnsi="Palatino Linotype" w:cs="Arial"/>
        </w:rPr>
      </w:pPr>
    </w:p>
    <w:p w:rsidR="0017587F" w:rsidRDefault="007E4334">
      <w:pPr>
        <w:spacing w:line="360" w:lineRule="auto"/>
        <w:jc w:val="both"/>
        <w:rPr>
          <w:rFonts w:ascii="Palatino Linotype" w:hAnsi="Palatino Linotype"/>
        </w:rPr>
      </w:pPr>
      <w:r>
        <w:rPr>
          <w:rFonts w:ascii="Palatino Linotype" w:hAnsi="Palatino Linotype" w:cs="Arial"/>
        </w:rPr>
        <w:t xml:space="preserve">De esta misma forma, los </w:t>
      </w:r>
      <w:r>
        <w:rPr>
          <w:rFonts w:ascii="Palatino Linotype" w:eastAsia="Calibri" w:hAnsi="Palatino Linotype" w:cs="Arial"/>
          <w:lang w:eastAsia="en-US"/>
        </w:rPr>
        <w:t>artículos 1, facción I y IX; 14 y 19, fracción I de la Ley de Planeación del Estado de México y Municipios, que establecen:</w:t>
      </w:r>
    </w:p>
    <w:p w:rsidR="0017587F" w:rsidRDefault="0017587F">
      <w:pPr>
        <w:ind w:left="851" w:right="900"/>
        <w:jc w:val="both"/>
        <w:rPr>
          <w:rFonts w:ascii="Palatino Linotype" w:eastAsia="Calibri" w:hAnsi="Palatino Linotype" w:cs="Bookman Old Style"/>
          <w:bCs/>
          <w:i/>
          <w:sz w:val="22"/>
          <w:szCs w:val="22"/>
          <w:lang w:eastAsia="en-US"/>
        </w:rPr>
      </w:pPr>
    </w:p>
    <w:p w:rsidR="0017587F" w:rsidRDefault="007E4334">
      <w:pPr>
        <w:tabs>
          <w:tab w:val="left" w:pos="8222"/>
        </w:tabs>
        <w:ind w:left="851" w:right="1134"/>
        <w:jc w:val="both"/>
        <w:rPr>
          <w:rFonts w:ascii="Palatino Linotype" w:eastAsia="Calibri" w:hAnsi="Palatino Linotype" w:cs="Bookman Old Style"/>
          <w:i/>
          <w:sz w:val="22"/>
          <w:szCs w:val="22"/>
          <w:lang w:eastAsia="en-US"/>
        </w:rPr>
      </w:pPr>
      <w:r>
        <w:rPr>
          <w:rFonts w:ascii="Palatino Linotype" w:eastAsia="Calibri" w:hAnsi="Palatino Linotype" w:cs="Bookman Old Style"/>
          <w:bCs/>
          <w:i/>
          <w:sz w:val="22"/>
          <w:szCs w:val="22"/>
          <w:lang w:eastAsia="en-US"/>
        </w:rPr>
        <w:t>“</w:t>
      </w:r>
      <w:r>
        <w:rPr>
          <w:rFonts w:ascii="Palatino Linotype" w:eastAsia="Calibri" w:hAnsi="Palatino Linotype" w:cs="Bookman Old Style"/>
          <w:b/>
          <w:bCs/>
          <w:i/>
          <w:sz w:val="22"/>
          <w:szCs w:val="22"/>
          <w:lang w:eastAsia="en-US"/>
        </w:rPr>
        <w:t xml:space="preserve">Artículo 1.- </w:t>
      </w:r>
      <w:r>
        <w:rPr>
          <w:rFonts w:ascii="Palatino Linotype" w:eastAsia="Calibri" w:hAnsi="Palatino Linotype" w:cs="Bookman Old Style"/>
          <w:i/>
          <w:sz w:val="22"/>
          <w:szCs w:val="22"/>
          <w:lang w:eastAsia="en-US"/>
        </w:rPr>
        <w:t>La presente ley es de orden público e interés social y tiene por objeto, establecer las normas:</w:t>
      </w:r>
    </w:p>
    <w:p w:rsidR="0017587F" w:rsidRDefault="007E4334">
      <w:pPr>
        <w:tabs>
          <w:tab w:val="left" w:pos="8222"/>
        </w:tabs>
        <w:ind w:left="851" w:right="1134"/>
        <w:jc w:val="both"/>
        <w:rPr>
          <w:rFonts w:ascii="Palatino Linotype" w:eastAsia="Calibri" w:hAnsi="Palatino Linotype" w:cs="Bookman Old Style"/>
          <w:i/>
          <w:sz w:val="22"/>
          <w:szCs w:val="22"/>
          <w:lang w:eastAsia="en-US"/>
        </w:rPr>
      </w:pPr>
      <w:r>
        <w:rPr>
          <w:rFonts w:ascii="Palatino Linotype" w:eastAsia="Calibri" w:hAnsi="Palatino Linotype" w:cs="Bookman Old Style"/>
          <w:i/>
          <w:sz w:val="22"/>
          <w:szCs w:val="22"/>
          <w:lang w:eastAsia="en-US"/>
        </w:rPr>
        <w:t xml:space="preserve">I. Del Sistema de Planeación Democrática para el Desarrollo </w:t>
      </w:r>
      <w:r>
        <w:rPr>
          <w:rFonts w:ascii="Palatino Linotype" w:eastAsia="Calibri" w:hAnsi="Palatino Linotype" w:cs="Bookman Old Style"/>
          <w:b/>
          <w:i/>
          <w:sz w:val="22"/>
          <w:szCs w:val="22"/>
          <w:lang w:eastAsia="en-US"/>
        </w:rPr>
        <w:t>del Estado de México</w:t>
      </w:r>
      <w:r>
        <w:rPr>
          <w:rFonts w:ascii="Palatino Linotype" w:eastAsia="Calibri" w:hAnsi="Palatino Linotype" w:cs="Bookman Old Style"/>
          <w:i/>
          <w:sz w:val="22"/>
          <w:szCs w:val="22"/>
          <w:lang w:eastAsia="en-US"/>
        </w:rPr>
        <w:t xml:space="preserve"> y Municipios;</w:t>
      </w: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i/>
          <w:sz w:val="22"/>
          <w:szCs w:val="22"/>
          <w:lang w:eastAsia="en-US"/>
        </w:rPr>
        <w:t>II. (…)</w:t>
      </w:r>
    </w:p>
    <w:p w:rsidR="0017587F" w:rsidRDefault="0017587F">
      <w:pPr>
        <w:tabs>
          <w:tab w:val="left" w:pos="7655"/>
        </w:tabs>
        <w:ind w:left="851" w:right="900"/>
        <w:jc w:val="both"/>
        <w:rPr>
          <w:rFonts w:ascii="Palatino Linotype" w:eastAsia="Calibri" w:hAnsi="Palatino Linotype" w:cs="Arial"/>
          <w:b/>
          <w:bCs/>
          <w:i/>
          <w:sz w:val="22"/>
          <w:szCs w:val="22"/>
          <w:lang w:eastAsia="en-US"/>
        </w:rPr>
      </w:pP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b/>
          <w:bCs/>
          <w:i/>
          <w:sz w:val="22"/>
          <w:szCs w:val="22"/>
          <w:lang w:eastAsia="en-US"/>
        </w:rPr>
        <w:t xml:space="preserve">Artículo 14.- </w:t>
      </w:r>
      <w:r>
        <w:rPr>
          <w:rFonts w:ascii="Palatino Linotype" w:eastAsia="Calibri" w:hAnsi="Palatino Linotype" w:cs="Arial"/>
          <w:i/>
          <w:sz w:val="22"/>
          <w:szCs w:val="22"/>
          <w:lang w:eastAsia="en-US"/>
        </w:rPr>
        <w:t>El Sistema de Planeación Democrática para el Desarrollo del Estado de México y Municipios se conforma por:</w:t>
      </w:r>
    </w:p>
    <w:p w:rsidR="0017587F" w:rsidRDefault="0017587F">
      <w:pPr>
        <w:tabs>
          <w:tab w:val="left" w:pos="8222"/>
        </w:tabs>
        <w:ind w:left="851" w:right="1134"/>
        <w:jc w:val="both"/>
        <w:rPr>
          <w:rFonts w:ascii="Palatino Linotype" w:eastAsia="Calibri" w:hAnsi="Palatino Linotype" w:cs="Arial"/>
          <w:i/>
          <w:sz w:val="22"/>
          <w:szCs w:val="22"/>
          <w:lang w:eastAsia="en-US"/>
        </w:rPr>
      </w:pP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i/>
          <w:sz w:val="22"/>
          <w:szCs w:val="22"/>
          <w:lang w:eastAsia="en-US"/>
        </w:rPr>
        <w:t xml:space="preserve">I. </w:t>
      </w:r>
      <w:r>
        <w:rPr>
          <w:rFonts w:ascii="Palatino Linotype" w:eastAsia="Calibri" w:hAnsi="Palatino Linotype" w:cs="Arial"/>
          <w:b/>
          <w:i/>
          <w:sz w:val="22"/>
          <w:szCs w:val="22"/>
          <w:lang w:eastAsia="en-US"/>
        </w:rPr>
        <w:t>El Plan de Desarrollo del Estado de México;</w:t>
      </w:r>
      <w:r>
        <w:rPr>
          <w:rFonts w:ascii="Palatino Linotype" w:eastAsia="Calibri" w:hAnsi="Palatino Linotype" w:cs="Arial"/>
          <w:i/>
          <w:sz w:val="22"/>
          <w:szCs w:val="22"/>
          <w:lang w:eastAsia="en-US"/>
        </w:rPr>
        <w:t xml:space="preserve"> </w:t>
      </w:r>
    </w:p>
    <w:p w:rsidR="0017587F" w:rsidRDefault="007E4334">
      <w:pPr>
        <w:tabs>
          <w:tab w:val="left" w:pos="8222"/>
        </w:tabs>
        <w:ind w:left="851" w:right="1134"/>
        <w:jc w:val="both"/>
        <w:rPr>
          <w:rFonts w:ascii="Palatino Linotype" w:eastAsia="Calibri" w:hAnsi="Palatino Linotype" w:cs="Arial"/>
          <w:b/>
          <w:i/>
          <w:sz w:val="22"/>
          <w:szCs w:val="22"/>
          <w:lang w:eastAsia="en-US"/>
        </w:rPr>
      </w:pPr>
      <w:r>
        <w:rPr>
          <w:rFonts w:ascii="Palatino Linotype" w:eastAsia="Calibri" w:hAnsi="Palatino Linotype" w:cs="Arial"/>
          <w:b/>
          <w:i/>
          <w:sz w:val="22"/>
          <w:szCs w:val="22"/>
          <w:lang w:eastAsia="en-US"/>
        </w:rPr>
        <w:t xml:space="preserve">II. </w:t>
      </w:r>
      <w:r>
        <w:rPr>
          <w:rFonts w:ascii="Palatino Linotype" w:eastAsia="Calibri" w:hAnsi="Palatino Linotype" w:cs="Arial"/>
          <w:i/>
          <w:sz w:val="22"/>
          <w:szCs w:val="22"/>
          <w:lang w:eastAsia="en-US"/>
        </w:rPr>
        <w:t>Los planes de desarrollo municipales;</w:t>
      </w:r>
      <w:r>
        <w:rPr>
          <w:rFonts w:ascii="Palatino Linotype" w:eastAsia="Calibri" w:hAnsi="Palatino Linotype" w:cs="Arial"/>
          <w:b/>
          <w:i/>
          <w:sz w:val="22"/>
          <w:szCs w:val="22"/>
          <w:lang w:eastAsia="en-US"/>
        </w:rPr>
        <w:t xml:space="preserve"> </w:t>
      </w:r>
    </w:p>
    <w:p w:rsidR="0017587F" w:rsidRDefault="007E4334">
      <w:pPr>
        <w:tabs>
          <w:tab w:val="left" w:pos="8222"/>
        </w:tabs>
        <w:ind w:left="851" w:right="1134"/>
        <w:jc w:val="both"/>
        <w:rPr>
          <w:rFonts w:ascii="Palatino Linotype" w:eastAsia="Calibri" w:hAnsi="Palatino Linotype" w:cs="Arial"/>
          <w:b/>
          <w:i/>
          <w:sz w:val="22"/>
          <w:szCs w:val="22"/>
          <w:lang w:eastAsia="en-US"/>
        </w:rPr>
      </w:pPr>
      <w:r>
        <w:rPr>
          <w:rFonts w:ascii="Palatino Linotype" w:eastAsia="Calibri" w:hAnsi="Palatino Linotype" w:cs="Arial"/>
          <w:b/>
          <w:i/>
          <w:sz w:val="22"/>
          <w:szCs w:val="22"/>
          <w:lang w:eastAsia="en-US"/>
        </w:rPr>
        <w:t xml:space="preserve">III. Los programas sectoriales de corto, mediano y largo plazo; </w:t>
      </w:r>
    </w:p>
    <w:p w:rsidR="0017587F" w:rsidRDefault="007E4334">
      <w:pPr>
        <w:tabs>
          <w:tab w:val="left" w:pos="8222"/>
        </w:tabs>
        <w:ind w:left="851" w:right="1134"/>
        <w:jc w:val="both"/>
        <w:rPr>
          <w:rFonts w:ascii="Palatino Linotype" w:eastAsia="Calibri" w:hAnsi="Palatino Linotype" w:cs="Arial"/>
          <w:b/>
          <w:i/>
          <w:sz w:val="22"/>
          <w:szCs w:val="22"/>
          <w:lang w:eastAsia="en-US"/>
        </w:rPr>
      </w:pPr>
      <w:r>
        <w:rPr>
          <w:rFonts w:ascii="Palatino Linotype" w:eastAsia="Calibri" w:hAnsi="Palatino Linotype" w:cs="Arial"/>
          <w:b/>
          <w:i/>
          <w:sz w:val="22"/>
          <w:szCs w:val="22"/>
          <w:lang w:eastAsia="en-US"/>
        </w:rPr>
        <w:t xml:space="preserve">IV. Los programas regionales de corto, mediano y largo plazo; </w:t>
      </w:r>
    </w:p>
    <w:p w:rsidR="0017587F" w:rsidRDefault="007E4334">
      <w:pPr>
        <w:tabs>
          <w:tab w:val="left" w:pos="8222"/>
        </w:tabs>
        <w:ind w:left="851" w:right="1134"/>
        <w:jc w:val="both"/>
        <w:rPr>
          <w:rFonts w:ascii="Palatino Linotype" w:eastAsia="Calibri" w:hAnsi="Palatino Linotype" w:cs="Arial"/>
          <w:b/>
          <w:i/>
          <w:sz w:val="22"/>
          <w:szCs w:val="22"/>
          <w:lang w:eastAsia="en-US"/>
        </w:rPr>
      </w:pPr>
      <w:r>
        <w:rPr>
          <w:rFonts w:ascii="Palatino Linotype" w:eastAsia="Calibri" w:hAnsi="Palatino Linotype" w:cs="Arial"/>
          <w:b/>
          <w:i/>
          <w:sz w:val="22"/>
          <w:szCs w:val="22"/>
          <w:lang w:eastAsia="en-US"/>
        </w:rPr>
        <w:t xml:space="preserve">V. Los programas especiales; </w:t>
      </w: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i/>
          <w:sz w:val="22"/>
          <w:szCs w:val="22"/>
          <w:lang w:eastAsia="en-US"/>
        </w:rPr>
        <w:t xml:space="preserve">VI. Los presupuestos por programas; </w:t>
      </w: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i/>
          <w:sz w:val="22"/>
          <w:szCs w:val="22"/>
          <w:lang w:eastAsia="en-US"/>
        </w:rPr>
        <w:t xml:space="preserve">VII. Los convenios de coordinación; </w:t>
      </w: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i/>
          <w:sz w:val="22"/>
          <w:szCs w:val="22"/>
          <w:lang w:eastAsia="en-US"/>
        </w:rPr>
        <w:lastRenderedPageBreak/>
        <w:t xml:space="preserve">VIII. Los convenios de participación; </w:t>
      </w: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i/>
          <w:sz w:val="22"/>
          <w:szCs w:val="22"/>
          <w:lang w:eastAsia="en-US"/>
        </w:rPr>
        <w:t xml:space="preserve">IX. Los informes de evaluación; </w:t>
      </w: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i/>
          <w:sz w:val="22"/>
          <w:szCs w:val="22"/>
          <w:lang w:eastAsia="en-US"/>
        </w:rPr>
        <w:t xml:space="preserve">X. Los dictámenes de reconducción y actualización. </w:t>
      </w: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i/>
          <w:sz w:val="22"/>
          <w:szCs w:val="22"/>
          <w:lang w:eastAsia="en-US"/>
        </w:rPr>
        <w:t xml:space="preserve">XI. Los planes de desarrollo a largo plazo. </w:t>
      </w:r>
    </w:p>
    <w:p w:rsidR="0017587F" w:rsidRDefault="007E4334">
      <w:pPr>
        <w:tabs>
          <w:tab w:val="left" w:pos="8222"/>
        </w:tabs>
        <w:ind w:left="851" w:right="1134"/>
        <w:jc w:val="both"/>
        <w:rPr>
          <w:rFonts w:ascii="Palatino Linotype" w:eastAsia="Calibri" w:hAnsi="Palatino Linotype" w:cs="Arial"/>
          <w:i/>
          <w:sz w:val="22"/>
          <w:szCs w:val="22"/>
          <w:lang w:eastAsia="en-US"/>
        </w:rPr>
      </w:pPr>
      <w:r>
        <w:rPr>
          <w:rFonts w:ascii="Palatino Linotype" w:eastAsia="Calibri" w:hAnsi="Palatino Linotype" w:cs="Arial"/>
          <w:i/>
          <w:sz w:val="22"/>
          <w:szCs w:val="22"/>
          <w:lang w:eastAsia="en-US"/>
        </w:rPr>
        <w:t>XII. La Agenda Digital.</w:t>
      </w:r>
    </w:p>
    <w:p w:rsidR="0017587F" w:rsidRDefault="0017587F">
      <w:pPr>
        <w:tabs>
          <w:tab w:val="left" w:pos="8222"/>
        </w:tabs>
        <w:ind w:left="851" w:right="1134"/>
        <w:jc w:val="both"/>
        <w:rPr>
          <w:rFonts w:ascii="Palatino Linotype" w:eastAsia="Calibri" w:hAnsi="Palatino Linotype" w:cs="Arial"/>
          <w:i/>
          <w:sz w:val="22"/>
          <w:szCs w:val="22"/>
          <w:lang w:eastAsia="en-US"/>
        </w:rPr>
      </w:pP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
          <w:bCs/>
          <w:i/>
          <w:sz w:val="22"/>
          <w:szCs w:val="22"/>
          <w:lang w:eastAsia="en-US"/>
        </w:rPr>
        <w:t xml:space="preserve">Artículo 18.- </w:t>
      </w:r>
      <w:r>
        <w:rPr>
          <w:rFonts w:ascii="Palatino Linotype" w:eastAsia="Calibri" w:hAnsi="Palatino Linotype" w:cs="Arial"/>
          <w:bCs/>
          <w:i/>
          <w:sz w:val="22"/>
          <w:szCs w:val="22"/>
          <w:lang w:eastAsia="en-US"/>
        </w:rPr>
        <w:t>Compete a las dependencias, organismos, entidades públicas y unidades administrativas del Poder Ejecutivo, en materia de planeación democrática para el desarrollo:</w:t>
      </w:r>
    </w:p>
    <w:p w:rsidR="0017587F" w:rsidRDefault="0017587F">
      <w:pPr>
        <w:tabs>
          <w:tab w:val="left" w:pos="8222"/>
        </w:tabs>
        <w:ind w:left="851" w:right="1134"/>
        <w:jc w:val="both"/>
        <w:rPr>
          <w:rFonts w:ascii="Palatino Linotype" w:eastAsia="Calibri" w:hAnsi="Palatino Linotype" w:cs="Arial"/>
          <w:bCs/>
          <w:i/>
          <w:sz w:val="22"/>
          <w:szCs w:val="22"/>
          <w:lang w:eastAsia="en-US"/>
        </w:rPr>
      </w:pPr>
    </w:p>
    <w:p w:rsidR="0017587F" w:rsidRDefault="007E4334">
      <w:pPr>
        <w:tabs>
          <w:tab w:val="left" w:pos="8222"/>
        </w:tabs>
        <w:ind w:left="851" w:right="1134"/>
        <w:jc w:val="both"/>
        <w:rPr>
          <w:rFonts w:ascii="Palatino Linotype" w:eastAsia="Calibri" w:hAnsi="Palatino Linotype" w:cs="Arial"/>
          <w:b/>
          <w:bCs/>
          <w:i/>
          <w:sz w:val="22"/>
          <w:szCs w:val="22"/>
          <w:lang w:eastAsia="en-US"/>
        </w:rPr>
      </w:pPr>
      <w:r>
        <w:rPr>
          <w:rFonts w:ascii="Palatino Linotype" w:eastAsia="Calibri" w:hAnsi="Palatino Linotype" w:cs="Arial"/>
          <w:b/>
          <w:bCs/>
          <w:i/>
          <w:sz w:val="22"/>
          <w:szCs w:val="22"/>
          <w:lang w:eastAsia="en-US"/>
        </w:rPr>
        <w:t>I. Participar en la elaboración del Plan de Desarrollo del Estado de México, respecto de las materias que les correspondan;</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II. Establecer unidades administrativas de información, planeación, programación y evaluación, las cuales estarán vinculadas con la Secretaría;</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III. Asegurar la congruencia del Plan de Desarrollo del Estado de México con el Plan Nacional de Desarrollo, así como con los programas sectoriales, regionales y especiales que se deriven de los mismos;</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IV. Impulsar y asegurar que la unidad de información, planeación, programación y evaluación a su cargo dé cabal cumplimiento a las disposiciones de la presente Ley y a las reglas, criterios y metodología que emita la Secretaría respecto del proceso de planeación;</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V. Proponer los programas sectoriales, regionales y especiales, en el ámbito de su competencia;</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VI. Asegurar, mediante los procesos de planeación estratégica, la congruencia organizativa de las acciones que se habrán de realizar para alcanzar los objetivos y metas de la estrategia de desarrollo;</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VII. Supervisar la correcta vinculación de los programas y presupuestos de los organismos o entidades públicas sectorizados en la dependencia bajo su cargo, con los objetivos y metas del Plan Estatal de Desarrollo y sus programas;</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VIII. Generar, proporcionar y utilizar la información oficial y los datos abiertos del Estado de México, a través de las unidades de información, planeación, programación y evaluación; e incorporar el uso y aplicación de estadísticas e indicadores en el proceso de planeación, para impulsar el desarrollo equitativo de las mujeres y los hombres en todos los sectores de la atención pública;</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IX. Proponer el presupuesto por programas para la ejecución de las acciones que correspondan al área de su competencia;</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X. Elaborar sus programas de corto, mediano y largo plazo;</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lastRenderedPageBreak/>
        <w:t>XI. Informar veraz y oportunamente a la Secretaría, del cumplimiento en los avances de las etapas de planeación en el ámbito de su competencia;</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XII. Cumplir con el Plan Nacional de Desarrollo, el Plan de Desarrollo del Estado de México, la Agenda Digital y sus programas;</w:t>
      </w:r>
    </w:p>
    <w:p w:rsidR="0017587F" w:rsidRDefault="007E4334">
      <w:pPr>
        <w:tabs>
          <w:tab w:val="left" w:pos="8222"/>
        </w:tabs>
        <w:ind w:left="851" w:right="1134"/>
        <w:jc w:val="both"/>
        <w:rPr>
          <w:rFonts w:ascii="Palatino Linotype" w:eastAsia="Calibri" w:hAnsi="Palatino Linotype" w:cs="Arial"/>
          <w:bCs/>
          <w:i/>
          <w:sz w:val="22"/>
          <w:szCs w:val="22"/>
          <w:lang w:eastAsia="en-US"/>
        </w:rPr>
      </w:pPr>
      <w:r>
        <w:rPr>
          <w:rFonts w:ascii="Palatino Linotype" w:eastAsia="Calibri" w:hAnsi="Palatino Linotype" w:cs="Arial"/>
          <w:bCs/>
          <w:i/>
          <w:sz w:val="22"/>
          <w:szCs w:val="22"/>
          <w:lang w:eastAsia="en-US"/>
        </w:rPr>
        <w:t>XIII. Las demás que se establezcan en otros ordenamientos.</w:t>
      </w:r>
      <w:r>
        <w:rPr>
          <w:rFonts w:ascii="Palatino Linotype" w:eastAsia="Calibri" w:hAnsi="Palatino Linotype" w:cs="Arial"/>
          <w:i/>
          <w:sz w:val="22"/>
          <w:szCs w:val="22"/>
          <w:lang w:eastAsia="en-US"/>
        </w:rPr>
        <w:t>”</w:t>
      </w:r>
    </w:p>
    <w:p w:rsidR="0017587F" w:rsidRDefault="0017587F">
      <w:pPr>
        <w:tabs>
          <w:tab w:val="left" w:pos="7655"/>
        </w:tabs>
        <w:ind w:left="851" w:right="900"/>
        <w:jc w:val="both"/>
        <w:rPr>
          <w:rFonts w:ascii="Palatino Linotype" w:eastAsia="Calibri" w:hAnsi="Palatino Linotype" w:cs="Arial"/>
          <w:i/>
          <w:sz w:val="22"/>
          <w:szCs w:val="22"/>
          <w:lang w:eastAsia="en-US"/>
        </w:rPr>
      </w:pPr>
    </w:p>
    <w:p w:rsidR="0017587F" w:rsidRDefault="007E4334">
      <w:pPr>
        <w:tabs>
          <w:tab w:val="left" w:pos="7655"/>
        </w:tabs>
        <w:spacing w:line="360" w:lineRule="auto"/>
        <w:ind w:right="49"/>
        <w:jc w:val="both"/>
        <w:rPr>
          <w:rFonts w:ascii="Palatino Linotype" w:eastAsia="Calibri" w:hAnsi="Palatino Linotype" w:cs="Arial"/>
          <w:lang w:eastAsia="en-US"/>
        </w:rPr>
      </w:pPr>
      <w:r>
        <w:rPr>
          <w:rFonts w:ascii="Palatino Linotype" w:eastAsia="Calibri" w:hAnsi="Palatino Linotype" w:cs="Arial"/>
          <w:lang w:eastAsia="en-US"/>
        </w:rPr>
        <w:t xml:space="preserve">Así, se determina que los Planes de Desarrollo y sus programas forman parte del Sistema de Planeación Democrática para el Desarrollo del Estado de México y Municipios, por lo que, compete a las dependencias, organismos, entidades públicas y unidades administrativas del Poder Ejecutivo, en dicha materia, participar en la elaboración del Plan de Desarrollo del Estado de México, respecto de las materias que les corresponda y sus programas de manera periódica, verificar que sus actividades guarden relación con los objetivos, meta y prioridades y en su caso emitir dictámenes de reconducción y actualización. </w:t>
      </w:r>
    </w:p>
    <w:p w:rsidR="0017587F" w:rsidRDefault="0017587F">
      <w:pPr>
        <w:tabs>
          <w:tab w:val="left" w:pos="7655"/>
        </w:tabs>
        <w:spacing w:line="360" w:lineRule="auto"/>
        <w:ind w:right="49"/>
        <w:jc w:val="both"/>
        <w:rPr>
          <w:rFonts w:ascii="Palatino Linotype" w:eastAsia="Calibri" w:hAnsi="Palatino Linotype" w:cs="Arial"/>
          <w:lang w:eastAsia="en-US"/>
        </w:rPr>
      </w:pPr>
    </w:p>
    <w:p w:rsidR="0017587F" w:rsidRDefault="007E4334">
      <w:pPr>
        <w:tabs>
          <w:tab w:val="left" w:pos="7655"/>
        </w:tabs>
        <w:spacing w:line="360" w:lineRule="auto"/>
        <w:ind w:right="49"/>
        <w:jc w:val="both"/>
        <w:rPr>
          <w:rFonts w:ascii="Palatino Linotype" w:eastAsia="Calibri" w:hAnsi="Palatino Linotype" w:cs="Arial"/>
          <w:lang w:eastAsia="en-US"/>
        </w:rPr>
      </w:pPr>
      <w:r>
        <w:rPr>
          <w:rFonts w:ascii="Palatino Linotype" w:eastAsia="Calibri" w:hAnsi="Palatino Linotype" w:cs="Arial"/>
          <w:lang w:eastAsia="en-US"/>
        </w:rPr>
        <w:t xml:space="preserve">Lo anterior se robustece con lo dispuesto en los artículos 15 fracciones I y IV, y 16 fracción I del Reglamento de la Ley de Planeación del Estado de México y Municipios, que en materia de evaluación ordenan:  </w:t>
      </w:r>
    </w:p>
    <w:p w:rsidR="0017587F" w:rsidRDefault="0017587F">
      <w:pPr>
        <w:tabs>
          <w:tab w:val="left" w:pos="7655"/>
        </w:tabs>
        <w:ind w:right="49"/>
        <w:jc w:val="both"/>
        <w:rPr>
          <w:rFonts w:ascii="Palatino Linotype" w:eastAsia="Calibri" w:hAnsi="Palatino Linotype" w:cs="Arial"/>
          <w:lang w:eastAsia="en-US"/>
        </w:rPr>
      </w:pP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w:t>
      </w:r>
      <w:r>
        <w:rPr>
          <w:rFonts w:ascii="Palatino Linotype" w:eastAsia="Calibri" w:hAnsi="Palatino Linotype" w:cs="Bookman Old Style"/>
          <w:b/>
          <w:bCs/>
          <w:i/>
          <w:sz w:val="22"/>
          <w:szCs w:val="22"/>
          <w:lang w:eastAsia="en-US"/>
        </w:rPr>
        <w:t>Artículo 15.-</w:t>
      </w:r>
      <w:r>
        <w:rPr>
          <w:rFonts w:ascii="Palatino Linotype" w:eastAsia="Calibri" w:hAnsi="Palatino Linotype" w:cs="Bookman Old Style"/>
          <w:bCs/>
          <w:i/>
          <w:sz w:val="22"/>
          <w:szCs w:val="22"/>
          <w:lang w:eastAsia="en-US"/>
        </w:rPr>
        <w:t xml:space="preserve"> Para dar cumplimiento a lo establecido en el artículo 15 de la Ley, el Titular del Ejecutivo Estatal deberá:</w:t>
      </w: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 xml:space="preserve">I. Emitir y proveer a través de la Secretaría, los criterios y metodología para la formulación, instrumentación, control y evaluación de los planes de desarrollo y sus </w:t>
      </w:r>
      <w:r>
        <w:rPr>
          <w:rFonts w:ascii="Palatino Linotype" w:eastAsia="Calibri" w:hAnsi="Palatino Linotype" w:cs="Bookman Old Style"/>
          <w:b/>
          <w:bCs/>
          <w:i/>
          <w:sz w:val="22"/>
          <w:szCs w:val="22"/>
          <w:lang w:eastAsia="en-US"/>
        </w:rPr>
        <w:t xml:space="preserve">programas </w:t>
      </w:r>
      <w:r>
        <w:rPr>
          <w:rFonts w:ascii="Palatino Linotype" w:eastAsia="Calibri" w:hAnsi="Palatino Linotype" w:cs="Bookman Old Style"/>
          <w:bCs/>
          <w:i/>
          <w:sz w:val="22"/>
          <w:szCs w:val="22"/>
          <w:lang w:eastAsia="en-US"/>
        </w:rPr>
        <w:t>dentro de los primeros 45 días a partir del inicio del período constitucional de Gobierno para el caso del estado y dentro de los primeros 30 días en el caso de los municipios;</w:t>
      </w: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 xml:space="preserve">II. Establecer y publicar en el periódico oficial “Gaceta del Gobierno”, a través de la Secretaría, con una anticipación de 15 días a la fecha de su realización, las bases para llevar a cabo la Consulta Popular a través de mecanismos e instrumentos de </w:t>
      </w:r>
      <w:r>
        <w:rPr>
          <w:rFonts w:ascii="Palatino Linotype" w:eastAsia="Calibri" w:hAnsi="Palatino Linotype" w:cs="Bookman Old Style"/>
          <w:bCs/>
          <w:i/>
          <w:sz w:val="22"/>
          <w:szCs w:val="22"/>
          <w:lang w:eastAsia="en-US"/>
        </w:rPr>
        <w:lastRenderedPageBreak/>
        <w:t>participación social definidos en el presente reglamento, para la integración del Plan de Desarrollo del Estado de México;</w:t>
      </w: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III. Enviar a la H. Legislatura Local el Proyecto del Plan de Desarrollo del Estado de México, para su examen y opinión, al menos quince días antes de que finalice el período establecido en el artículo 22 de la Ley. El Poder Legislativo, en el ejercicio de sus atribuciones podrá emitir sus opiniones y observaciones.</w:t>
      </w: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 xml:space="preserve">IV. </w:t>
      </w:r>
      <w:r>
        <w:rPr>
          <w:rFonts w:ascii="Palatino Linotype" w:eastAsia="Calibri" w:hAnsi="Palatino Linotype" w:cs="Bookman Old Style"/>
          <w:b/>
          <w:bCs/>
          <w:i/>
          <w:sz w:val="22"/>
          <w:szCs w:val="22"/>
          <w:lang w:eastAsia="en-US"/>
        </w:rPr>
        <w:t xml:space="preserve">Integrar y operar el Registro de Planes y Programas de la Administración Pública Estatal </w:t>
      </w:r>
      <w:r>
        <w:rPr>
          <w:rFonts w:ascii="Palatino Linotype" w:eastAsia="Calibri" w:hAnsi="Palatino Linotype" w:cs="Bookman Old Style"/>
          <w:bCs/>
          <w:i/>
          <w:sz w:val="22"/>
          <w:szCs w:val="22"/>
          <w:lang w:eastAsia="en-US"/>
        </w:rPr>
        <w:t>y Municipal a través de la Secretaría.</w:t>
      </w:r>
    </w:p>
    <w:p w:rsidR="0017587F" w:rsidRDefault="0017587F">
      <w:pPr>
        <w:tabs>
          <w:tab w:val="left" w:pos="8222"/>
        </w:tabs>
        <w:ind w:left="851" w:right="1134"/>
        <w:jc w:val="both"/>
        <w:rPr>
          <w:rFonts w:ascii="Palatino Linotype" w:eastAsia="Calibri" w:hAnsi="Palatino Linotype" w:cs="Bookman Old Style"/>
          <w:bCs/>
          <w:i/>
          <w:sz w:val="22"/>
          <w:szCs w:val="22"/>
          <w:lang w:eastAsia="en-US"/>
        </w:rPr>
      </w:pP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
          <w:bCs/>
          <w:i/>
          <w:sz w:val="22"/>
          <w:szCs w:val="22"/>
          <w:lang w:eastAsia="en-US"/>
        </w:rPr>
        <w:t>Artículo 16.-</w:t>
      </w:r>
      <w:r>
        <w:rPr>
          <w:rFonts w:ascii="Palatino Linotype" w:eastAsia="Calibri" w:hAnsi="Palatino Linotype" w:cs="Bookman Old Style"/>
          <w:bCs/>
          <w:i/>
          <w:sz w:val="22"/>
          <w:szCs w:val="22"/>
          <w:lang w:eastAsia="en-US"/>
        </w:rPr>
        <w:t xml:space="preserve"> Para los efectos del artículo 16 de la Ley, la Secretaría realizará las siguientes acciones.</w:t>
      </w:r>
    </w:p>
    <w:p w:rsidR="0017587F" w:rsidRDefault="0017587F">
      <w:pPr>
        <w:tabs>
          <w:tab w:val="left" w:pos="8222"/>
        </w:tabs>
        <w:ind w:left="851" w:right="1134"/>
        <w:jc w:val="both"/>
        <w:rPr>
          <w:rFonts w:ascii="Palatino Linotype" w:eastAsia="Calibri" w:hAnsi="Palatino Linotype" w:cs="Bookman Old Style"/>
          <w:bCs/>
          <w:i/>
          <w:sz w:val="22"/>
          <w:szCs w:val="22"/>
          <w:lang w:eastAsia="en-US"/>
        </w:rPr>
      </w:pP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 xml:space="preserve">I. </w:t>
      </w:r>
      <w:r>
        <w:rPr>
          <w:rFonts w:ascii="Palatino Linotype" w:eastAsia="Calibri" w:hAnsi="Palatino Linotype" w:cs="Bookman Old Style"/>
          <w:b/>
          <w:bCs/>
          <w:i/>
          <w:sz w:val="22"/>
          <w:szCs w:val="22"/>
          <w:lang w:eastAsia="en-US"/>
        </w:rPr>
        <w:t>Emitir los criterios, lineamientos y la metodología para integrar o actualizar el Plan de Desarrollo del Estado de México y sus programas</w:t>
      </w:r>
      <w:r>
        <w:rPr>
          <w:rFonts w:ascii="Palatino Linotype" w:eastAsia="Calibri" w:hAnsi="Palatino Linotype" w:cs="Bookman Old Style"/>
          <w:bCs/>
          <w:i/>
          <w:sz w:val="22"/>
          <w:szCs w:val="22"/>
          <w:lang w:eastAsia="en-US"/>
        </w:rPr>
        <w:t>, dentro de los primeros 45 días a partir del inicio del período constitucional de Gobierno y para su actualización cuando así sea,</w:t>
      </w: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II. Establecer el cronograma de actividades y presentación de avances de las Unidades participantes en la integración o actualización del Plan de Desarrollo del Estado de México dentro del plazo señalado en el inciso anterior;</w:t>
      </w: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III. Definir las líneas sectoriales de acción de cada unidad participante en la integración o actualización del Plan de Desarrollo del Estado de México;</w:t>
      </w: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IV. Proporcionar asesoría técnica a las dependencias y organismos auxiliares de la Administración Pública Estatal para apoyar la formulación y evaluación de sus programas, proyectos y presupuestos.</w:t>
      </w: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V. Integrar y actualizar a través de la Dirección General de Planeación y Gasto Público, el Registro Estatal de Consultores y Asesores Externos, con capacidad reconocida en materia de información, planeación, programación,  presupuestación y evaluación.</w:t>
      </w:r>
    </w:p>
    <w:p w:rsidR="0017587F" w:rsidRDefault="007E4334">
      <w:pPr>
        <w:tabs>
          <w:tab w:val="left" w:pos="8222"/>
        </w:tabs>
        <w:ind w:left="851" w:right="1134"/>
        <w:jc w:val="both"/>
        <w:rPr>
          <w:rFonts w:ascii="Palatino Linotype" w:eastAsia="Calibri" w:hAnsi="Palatino Linotype" w:cs="Bookman Old Style"/>
          <w:bCs/>
          <w:i/>
          <w:sz w:val="22"/>
          <w:szCs w:val="22"/>
          <w:lang w:eastAsia="en-US"/>
        </w:rPr>
      </w:pPr>
      <w:r>
        <w:rPr>
          <w:rFonts w:ascii="Palatino Linotype" w:eastAsia="Calibri" w:hAnsi="Palatino Linotype" w:cs="Bookman Old Style"/>
          <w:bCs/>
          <w:i/>
          <w:sz w:val="22"/>
          <w:szCs w:val="22"/>
          <w:lang w:eastAsia="en-US"/>
        </w:rPr>
        <w:t>VI. Aprobar las propuestas de inversión derivadas de los programas sectoriales, regionales o especiales.”</w:t>
      </w:r>
    </w:p>
    <w:p w:rsidR="0017587F" w:rsidRDefault="0017587F">
      <w:pPr>
        <w:tabs>
          <w:tab w:val="left" w:pos="851"/>
        </w:tabs>
        <w:ind w:left="851" w:right="901"/>
        <w:jc w:val="both"/>
        <w:rPr>
          <w:rFonts w:ascii="Palatino Linotype" w:hAnsi="Palatino Linotype" w:cs="Arial"/>
          <w:i/>
          <w:lang w:val="es-ES"/>
        </w:rPr>
      </w:pPr>
    </w:p>
    <w:p w:rsidR="0017587F" w:rsidRDefault="007E4334">
      <w:pPr>
        <w:spacing w:line="360" w:lineRule="auto"/>
        <w:jc w:val="both"/>
        <w:rPr>
          <w:rFonts w:ascii="Palatino Linotype" w:eastAsia="Calibri" w:hAnsi="Palatino Linotype"/>
          <w:lang w:eastAsia="en-US"/>
        </w:rPr>
      </w:pPr>
      <w:r>
        <w:rPr>
          <w:rFonts w:ascii="Palatino Linotype" w:eastAsia="Calibri" w:hAnsi="Palatino Linotype"/>
          <w:lang w:eastAsia="en-US"/>
        </w:rPr>
        <w:t xml:space="preserve">De esta manera, el Programa Operativo Anual (POA) es el principal instrumento de planeación en la Administración Pública, en virtud de que en él, se establecen de manera pormenorizada las acciones y compromisos anuales para el cumplimiento de los programas y permite definir </w:t>
      </w:r>
      <w:r>
        <w:rPr>
          <w:rFonts w:ascii="Palatino Linotype" w:eastAsia="Calibri" w:hAnsi="Palatino Linotype"/>
          <w:b/>
          <w:lang w:eastAsia="en-US"/>
        </w:rPr>
        <w:t xml:space="preserve">estrategias, líneas de acción, períodos de </w:t>
      </w:r>
      <w:r>
        <w:rPr>
          <w:rFonts w:ascii="Palatino Linotype" w:eastAsia="Calibri" w:hAnsi="Palatino Linotype"/>
          <w:b/>
          <w:lang w:eastAsia="en-US"/>
        </w:rPr>
        <w:lastRenderedPageBreak/>
        <w:t>cumplimiento, metas y gestión de recursos para la ejecución de los programas</w:t>
      </w:r>
      <w:r>
        <w:rPr>
          <w:rFonts w:ascii="Palatino Linotype" w:eastAsia="Calibri" w:hAnsi="Palatino Linotype"/>
          <w:lang w:eastAsia="en-US"/>
        </w:rPr>
        <w:t>, en cualquier institución pública, los cuales deberán contemplar todas sus áreas; en consecuencia deberá hacer entrega del Programa Operativo Anual (POA) del Instituto de Investigación y Fomento de las Artesanías del Estado de México, correspondiente al ejercicio fiscal 2020.</w:t>
      </w:r>
    </w:p>
    <w:p w:rsidR="0017587F" w:rsidRDefault="007E4334">
      <w:pPr>
        <w:widowControl w:val="0"/>
        <w:spacing w:before="360" w:after="240" w:line="360" w:lineRule="auto"/>
        <w:jc w:val="both"/>
        <w:rPr>
          <w:rFonts w:ascii="Palatino Linotype" w:hAnsi="Palatino Linotype" w:cs="Arial"/>
        </w:rPr>
      </w:pPr>
      <w:r>
        <w:rPr>
          <w:rFonts w:ascii="Palatino Linotype" w:hAnsi="Palatino Linotype" w:cs="Arial"/>
        </w:rPr>
        <w:t xml:space="preserve">En esta misma tesitura, es dable precisar que el artículo 92, fracción XIII, de la </w:t>
      </w:r>
      <w:r>
        <w:rPr>
          <w:rFonts w:ascii="Palatino Linotype" w:eastAsiaTheme="minorEastAsia" w:hAnsi="Palatino Linotype"/>
          <w:color w:val="222222"/>
          <w:lang w:eastAsia="es-ES_tradnl"/>
        </w:rPr>
        <w:t>Ley de Transparencia y Acceso a la Información Pública del Estado de México y Municipios, estipula entre sus obligaciones de transparencia comunes de los Sujetos Obligados, lo siguiente:</w:t>
      </w:r>
    </w:p>
    <w:p w:rsidR="0017587F" w:rsidRDefault="007E4334">
      <w:pPr>
        <w:spacing w:before="200" w:after="200"/>
        <w:ind w:left="709" w:right="709"/>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u w:val="single"/>
        </w:rPr>
        <w:t>Artículo 92. Los sujetos obligados deberán poner a disposición del público</w:t>
      </w:r>
      <w:r>
        <w:rPr>
          <w:rFonts w:ascii="Palatino Linotype" w:hAnsi="Palatino Linotype" w:cs="Arial"/>
          <w:i/>
          <w:sz w:val="22"/>
        </w:rPr>
        <w:t xml:space="preserve"> de manera permanente y actualizada de forma sencilla, precisa y entendible, en los respectivos medios electrónicos, de acuerdo con sus facultades, atribuciones, funciones u objeto social, según corresponda, </w:t>
      </w:r>
      <w:r>
        <w:rPr>
          <w:rFonts w:ascii="Palatino Linotype" w:hAnsi="Palatino Linotype" w:cs="Arial"/>
          <w:b/>
          <w:i/>
          <w:sz w:val="22"/>
          <w:u w:val="single"/>
        </w:rPr>
        <w:t>la información</w:t>
      </w:r>
      <w:r>
        <w:rPr>
          <w:rFonts w:ascii="Palatino Linotype" w:hAnsi="Palatino Linotype" w:cs="Arial"/>
          <w:i/>
          <w:sz w:val="22"/>
        </w:rPr>
        <w:t xml:space="preserve">, por lo menos, de los temas, </w:t>
      </w:r>
      <w:r>
        <w:rPr>
          <w:rFonts w:ascii="Palatino Linotype" w:hAnsi="Palatino Linotype" w:cs="Arial"/>
          <w:b/>
          <w:i/>
          <w:sz w:val="22"/>
          <w:u w:val="single"/>
        </w:rPr>
        <w:t xml:space="preserve">documentos </w:t>
      </w:r>
      <w:r>
        <w:rPr>
          <w:rFonts w:ascii="Palatino Linotype" w:hAnsi="Palatino Linotype" w:cs="Arial"/>
          <w:i/>
          <w:sz w:val="22"/>
        </w:rPr>
        <w:t xml:space="preserve">y políticas </w:t>
      </w:r>
      <w:r>
        <w:rPr>
          <w:rFonts w:ascii="Palatino Linotype" w:hAnsi="Palatino Linotype" w:cs="Arial"/>
          <w:b/>
          <w:i/>
          <w:sz w:val="22"/>
          <w:u w:val="single"/>
        </w:rPr>
        <w:t>que a continuación se señalan</w:t>
      </w:r>
      <w:r>
        <w:rPr>
          <w:rFonts w:ascii="Palatino Linotype" w:hAnsi="Palatino Linotype" w:cs="Arial"/>
          <w:i/>
          <w:sz w:val="22"/>
        </w:rPr>
        <w:t xml:space="preserve">: </w:t>
      </w:r>
    </w:p>
    <w:p w:rsidR="0017587F" w:rsidRDefault="007E4334">
      <w:pPr>
        <w:spacing w:before="200" w:after="200"/>
        <w:ind w:left="709" w:right="709"/>
        <w:jc w:val="both"/>
        <w:rPr>
          <w:rFonts w:ascii="Palatino Linotype" w:hAnsi="Palatino Linotype" w:cs="Arial"/>
          <w:i/>
          <w:sz w:val="22"/>
        </w:rPr>
      </w:pPr>
      <w:r>
        <w:rPr>
          <w:rFonts w:ascii="Palatino Linotype" w:hAnsi="Palatino Linotype" w:cs="Arial"/>
          <w:i/>
          <w:sz w:val="22"/>
        </w:rPr>
        <w:t>[…]</w:t>
      </w:r>
    </w:p>
    <w:p w:rsidR="0017587F" w:rsidRDefault="007E4334">
      <w:pPr>
        <w:spacing w:before="200" w:after="200"/>
        <w:ind w:left="709" w:right="709"/>
        <w:jc w:val="both"/>
        <w:rPr>
          <w:rFonts w:ascii="Palatino Linotype" w:hAnsi="Palatino Linotype" w:cs="Arial"/>
          <w:b/>
          <w:i/>
          <w:sz w:val="22"/>
        </w:rPr>
      </w:pPr>
      <w:r>
        <w:rPr>
          <w:rFonts w:ascii="Palatino Linotype" w:hAnsi="Palatino Linotype" w:cs="Arial"/>
          <w:b/>
          <w:i/>
          <w:sz w:val="22"/>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rsidR="0017587F" w:rsidRDefault="007E4334">
      <w:pPr>
        <w:spacing w:before="200" w:after="200"/>
        <w:ind w:left="709" w:right="709"/>
        <w:jc w:val="both"/>
        <w:rPr>
          <w:rFonts w:ascii="Palatino Linotype" w:hAnsi="Palatino Linotype" w:cs="Arial"/>
          <w:sz w:val="22"/>
        </w:rPr>
      </w:pPr>
      <w:r>
        <w:rPr>
          <w:rFonts w:ascii="Palatino Linotype" w:hAnsi="Palatino Linotype" w:cs="Arial"/>
          <w:sz w:val="22"/>
        </w:rPr>
        <w:t>(Énfasis añadido)</w:t>
      </w:r>
    </w:p>
    <w:p w:rsidR="0017587F" w:rsidRDefault="007E4334">
      <w:pPr>
        <w:widowControl w:val="0"/>
        <w:spacing w:before="360" w:after="240" w:line="360" w:lineRule="auto"/>
        <w:jc w:val="both"/>
        <w:rPr>
          <w:rFonts w:ascii="Palatino Linotype" w:hAnsi="Palatino Linotype" w:cs="Arial"/>
        </w:rPr>
      </w:pPr>
      <w:r>
        <w:rPr>
          <w:rFonts w:ascii="Palatino Linotype" w:hAnsi="Palatino Linotype" w:cs="Arial"/>
        </w:rPr>
        <w:t xml:space="preserve">Correlativo a lo </w:t>
      </w:r>
      <w:r>
        <w:rPr>
          <w:rFonts w:ascii="Palatino Linotype" w:hAnsi="Palatino Linotype"/>
        </w:rPr>
        <w:t>anterior</w:t>
      </w:r>
      <w:r>
        <w:rPr>
          <w:rFonts w:ascii="Palatino Linotype" w:hAnsi="Palatino Linotype" w:cs="Arial"/>
        </w:rPr>
        <w:t>, los “</w:t>
      </w:r>
      <w:r>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cs="Arial"/>
          <w:b/>
          <w:i/>
        </w:rPr>
        <w:t>,</w:t>
      </w:r>
      <w:r>
        <w:rPr>
          <w:rFonts w:ascii="Palatino Linotype" w:hAnsi="Palatino Linotype" w:cs="Arial"/>
        </w:rPr>
        <w:t xml:space="preserve"> en su Anexo I, referente a las Obligaciones</w:t>
      </w:r>
      <w:r>
        <w:rPr>
          <w:rFonts w:ascii="Palatino Linotype" w:hAnsi="Palatino Linotype"/>
        </w:rPr>
        <w:t xml:space="preserve"> </w:t>
      </w:r>
      <w:r>
        <w:rPr>
          <w:rFonts w:ascii="Palatino Linotype" w:hAnsi="Palatino Linotype" w:cs="Arial"/>
        </w:rPr>
        <w:lastRenderedPageBreak/>
        <w:t>de</w:t>
      </w:r>
      <w:r>
        <w:rPr>
          <w:rFonts w:ascii="Palatino Linotype" w:hAnsi="Palatino Linotype"/>
        </w:rPr>
        <w:t xml:space="preserve"> </w:t>
      </w:r>
      <w:r>
        <w:rPr>
          <w:rFonts w:ascii="Palatino Linotype" w:hAnsi="Palatino Linotype" w:cs="Arial"/>
        </w:rPr>
        <w:t>Transparencia</w:t>
      </w:r>
      <w:r>
        <w:rPr>
          <w:rFonts w:ascii="Palatino Linotype" w:hAnsi="Palatino Linotype"/>
        </w:rPr>
        <w:t xml:space="preserve"> </w:t>
      </w:r>
      <w:r>
        <w:rPr>
          <w:rFonts w:ascii="Palatino Linotype" w:hAnsi="Palatino Linotype" w:cs="Arial"/>
        </w:rPr>
        <w:t>Comunes de los</w:t>
      </w:r>
      <w:r>
        <w:rPr>
          <w:rFonts w:ascii="Palatino Linotype" w:hAnsi="Palatino Linotype"/>
        </w:rPr>
        <w:t xml:space="preserve"> </w:t>
      </w:r>
      <w:r>
        <w:rPr>
          <w:rFonts w:ascii="Palatino Linotype" w:hAnsi="Palatino Linotype" w:cs="Arial"/>
        </w:rPr>
        <w:t>Sujetos</w:t>
      </w:r>
      <w:r>
        <w:rPr>
          <w:rFonts w:ascii="Palatino Linotype" w:hAnsi="Palatino Linotype"/>
        </w:rPr>
        <w:t xml:space="preserve"> </w:t>
      </w:r>
      <w:r>
        <w:rPr>
          <w:rFonts w:ascii="Palatino Linotype" w:hAnsi="Palatino Linotype" w:cs="Arial"/>
        </w:rPr>
        <w:t>Obligados contempladas en el artículo 70, fracción XVII, de la Ley General de Transparencia y Acceso a la Información Pública, precisan lo siguiente, con relación a las metas, objetivos e indicadores de las áreas de los sujetos obligados de conformidad con los programas de trabajo, señala lo siguiente:</w:t>
      </w:r>
    </w:p>
    <w:p w:rsidR="0017587F" w:rsidRDefault="007E4334">
      <w:pPr>
        <w:ind w:left="851" w:right="902"/>
        <w:jc w:val="both"/>
        <w:rPr>
          <w:rFonts w:ascii="Palatino Linotype" w:eastAsiaTheme="minorHAnsi" w:hAnsi="Palatino Linotype" w:cs="Arial"/>
          <w:b/>
          <w:i/>
          <w:iCs/>
          <w:sz w:val="22"/>
          <w:szCs w:val="22"/>
          <w:lang w:val="es-ES" w:eastAsia="en-US"/>
        </w:rPr>
      </w:pPr>
      <w:r>
        <w:rPr>
          <w:rFonts w:ascii="Palatino Linotype" w:eastAsiaTheme="minorHAnsi" w:hAnsi="Palatino Linotype" w:cs="Arial"/>
          <w:b/>
          <w:i/>
          <w:iCs/>
          <w:sz w:val="22"/>
          <w:szCs w:val="22"/>
          <w:lang w:val="es-ES" w:eastAsia="en-US"/>
        </w:rPr>
        <w:t xml:space="preserve">IV. </w:t>
      </w:r>
      <w:r>
        <w:rPr>
          <w:rFonts w:ascii="Palatino Linotype" w:eastAsiaTheme="minorHAnsi" w:hAnsi="Palatino Linotype" w:cs="Arial"/>
          <w:b/>
          <w:i/>
          <w:iCs/>
          <w:sz w:val="22"/>
          <w:szCs w:val="22"/>
          <w:u w:val="single"/>
          <w:lang w:val="es-ES" w:eastAsia="en-US"/>
        </w:rPr>
        <w:t>Las metas y objetivos de las Áreas de conformidad con sus programas operativos</w:t>
      </w:r>
    </w:p>
    <w:p w:rsidR="0017587F" w:rsidRDefault="0017587F">
      <w:pPr>
        <w:ind w:right="902"/>
        <w:jc w:val="both"/>
        <w:rPr>
          <w:rFonts w:ascii="Palatino Linotype" w:eastAsiaTheme="minorHAnsi" w:hAnsi="Palatino Linotype" w:cs="Arial"/>
          <w:i/>
          <w:sz w:val="22"/>
          <w:szCs w:val="22"/>
          <w:lang w:val="es-ES" w:eastAsia="en-US"/>
        </w:rPr>
      </w:pPr>
    </w:p>
    <w:p w:rsidR="0017587F" w:rsidRDefault="007E4334">
      <w:pPr>
        <w:ind w:left="851" w:right="902"/>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Para el cumplimiento de esta fracción se deberá entender como meta la cuantificación y/o expresión numérica del o los objetivos y/o indicadores que planea o busca alcanzar el sujeto obligado a través de cada una de las áreas o unidades responsables ejecutoras del gasto o concentradoras que consoliden las actividades, según corresponda, en el tiempo especificado y con los recursos necesarios en los términos de la normatividad que le sea aplicable.</w:t>
      </w:r>
    </w:p>
    <w:p w:rsidR="0017587F" w:rsidRDefault="007E4334">
      <w:pPr>
        <w:ind w:left="851" w:right="902"/>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La información publicada en esta fracción deberá ser correspondiente con las áreas o unidades ejecutoras del gasto que forman parte del sujeto obligado, para cada una de estas áreas se publicarán sus metas y objetivos vinculados a los programas operativos, presupuestarios, sectoriales, regionales institucionales, especiales, de trabajo y/o anuales en términos de la normatividad que le sea aplicable.</w:t>
      </w:r>
    </w:p>
    <w:p w:rsidR="0017587F" w:rsidRDefault="007E4334">
      <w:pPr>
        <w:ind w:left="851" w:right="902"/>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La información deberá publicarse de tal forma que se posibilite la consulta por año y por área, de cada una de éstas se brindará la posibilidad de consultar sus objetivos, indicadores, así como las metas propuestas.</w:t>
      </w:r>
    </w:p>
    <w:p w:rsidR="0017587F" w:rsidRDefault="007E4334">
      <w:pPr>
        <w:ind w:left="851" w:right="902"/>
        <w:jc w:val="both"/>
        <w:rPr>
          <w:rFonts w:ascii="Palatino Linotype" w:eastAsiaTheme="minorHAnsi" w:hAnsi="Palatino Linotype" w:cs="Arial"/>
          <w:b/>
          <w:i/>
          <w:sz w:val="22"/>
          <w:szCs w:val="22"/>
          <w:u w:val="single"/>
          <w:lang w:val="es-ES" w:eastAsia="en-US"/>
        </w:rPr>
      </w:pPr>
      <w:r>
        <w:rPr>
          <w:rFonts w:ascii="Palatino Linotype" w:eastAsiaTheme="minorHAnsi" w:hAnsi="Palatino Linotype" w:cs="Arial"/>
          <w:b/>
          <w:i/>
          <w:sz w:val="22"/>
          <w:szCs w:val="22"/>
          <w:u w:val="single"/>
          <w:lang w:val="es-ES" w:eastAsia="en-US"/>
        </w:rPr>
        <w:t>Se deberá incluir un hipervínculo al o los programas operativos, presupuestarios, sectoriales, regionales, institucionales, especiales, de trabajo y/o anuales, o secciones de éstos, en los que se establecerá la meta u objetivo del ejercicio en curso y el correspondiente a los seis ejercicios anteriores cuando la normatividad de contabilidad gubernamental así lo establezca.</w:t>
      </w:r>
    </w:p>
    <w:p w:rsidR="0017587F" w:rsidRDefault="007E4334">
      <w:pPr>
        <w:spacing w:beforeAutospacing="1" w:afterAutospacing="1" w:line="360" w:lineRule="auto"/>
        <w:contextualSpacing/>
        <w:jc w:val="both"/>
        <w:rPr>
          <w:rFonts w:ascii="Palatino Linotype" w:hAnsi="Palatino Linotype" w:cs="Arial"/>
        </w:rPr>
      </w:pPr>
      <w:r>
        <w:rPr>
          <w:noProof/>
          <w:lang w:eastAsia="es-MX"/>
        </w:rPr>
        <w:lastRenderedPageBreak/>
        <w:drawing>
          <wp:inline distT="0" distB="0" distL="0" distR="0">
            <wp:extent cx="5744210" cy="4925695"/>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pic:cNvPicPr>
                      <a:picLocks noChangeAspect="1" noChangeArrowheads="1"/>
                    </pic:cNvPicPr>
                  </pic:nvPicPr>
                  <pic:blipFill>
                    <a:blip r:embed="rId10"/>
                    <a:srcRect l="9535" t="17480" r="55781" b="29820"/>
                    <a:stretch>
                      <a:fillRect/>
                    </a:stretch>
                  </pic:blipFill>
                  <pic:spPr bwMode="auto">
                    <a:xfrm>
                      <a:off x="0" y="0"/>
                      <a:ext cx="5744210" cy="4925695"/>
                    </a:xfrm>
                    <a:prstGeom prst="rect">
                      <a:avLst/>
                    </a:prstGeom>
                  </pic:spPr>
                </pic:pic>
              </a:graphicData>
            </a:graphic>
          </wp:inline>
        </w:drawing>
      </w:r>
      <w:r>
        <w:rPr>
          <w:noProof/>
          <w:lang w:eastAsia="es-MX"/>
        </w:rPr>
        <mc:AlternateContent>
          <mc:Choice Requires="wps">
            <w:drawing>
              <wp:anchor distT="0" distB="0" distL="0" distR="0" simplePos="0" relativeHeight="37" behindDoc="0" locked="0" layoutInCell="1" allowOverlap="1">
                <wp:simplePos x="0" y="0"/>
                <wp:positionH relativeFrom="column">
                  <wp:posOffset>67310</wp:posOffset>
                </wp:positionH>
                <wp:positionV relativeFrom="paragraph">
                  <wp:posOffset>1875790</wp:posOffset>
                </wp:positionV>
                <wp:extent cx="5264150" cy="398780"/>
                <wp:effectExtent l="19050" t="19050" r="0" b="3175"/>
                <wp:wrapNone/>
                <wp:docPr id="4" name="Rectángulo 31"/>
                <wp:cNvGraphicFramePr/>
                <a:graphic xmlns:a="http://schemas.openxmlformats.org/drawingml/2006/main">
                  <a:graphicData uri="http://schemas.microsoft.com/office/word/2010/wordprocessingShape">
                    <wps:wsp>
                      <wps:cNvSpPr/>
                      <wps:spPr>
                        <a:xfrm>
                          <a:off x="0" y="0"/>
                          <a:ext cx="5263560" cy="398160"/>
                        </a:xfrm>
                        <a:prstGeom prst="rect">
                          <a:avLst/>
                        </a:prstGeom>
                        <a:noFill/>
                        <a:ln w="3816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1" stroked="t" style="position:absolute;margin-left:5.3pt;margin-top:147.7pt;width:414.4pt;height:31.3pt">
                <w10:wrap type="none"/>
                <v:fill o:detectmouseclick="t" on="false"/>
                <v:stroke color="red" weight="38160" joinstyle="round" endcap="flat"/>
              </v:rect>
            </w:pict>
          </mc:Fallback>
        </mc:AlternateContent>
      </w:r>
    </w:p>
    <w:p w:rsidR="0017587F" w:rsidRDefault="007E4334">
      <w:pPr>
        <w:spacing w:beforeAutospacing="1" w:afterAutospacing="1" w:line="360" w:lineRule="auto"/>
        <w:contextualSpacing/>
        <w:jc w:val="both"/>
        <w:rPr>
          <w:rFonts w:ascii="Palatino Linotype" w:hAnsi="Palatino Linotype" w:cs="Arial"/>
        </w:rPr>
      </w:pPr>
      <w:r>
        <w:rPr>
          <w:noProof/>
          <w:lang w:eastAsia="es-MX"/>
        </w:rPr>
        <w:drawing>
          <wp:inline distT="0" distB="0" distL="0" distR="0">
            <wp:extent cx="5668010" cy="594995"/>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11"/>
                    <a:srcRect l="11333" t="21190" r="55750" b="71514"/>
                    <a:stretch>
                      <a:fillRect/>
                    </a:stretch>
                  </pic:blipFill>
                  <pic:spPr bwMode="auto">
                    <a:xfrm>
                      <a:off x="0" y="0"/>
                      <a:ext cx="5668010" cy="594995"/>
                    </a:xfrm>
                    <a:prstGeom prst="rect">
                      <a:avLst/>
                    </a:prstGeom>
                  </pic:spPr>
                </pic:pic>
              </a:graphicData>
            </a:graphic>
          </wp:inline>
        </w:drawing>
      </w:r>
    </w:p>
    <w:p w:rsidR="0017587F" w:rsidRDefault="007E4334">
      <w:pPr>
        <w:spacing w:beforeAutospacing="1" w:afterAutospacing="1" w:line="360" w:lineRule="auto"/>
        <w:contextualSpacing/>
        <w:jc w:val="both"/>
        <w:rPr>
          <w:rFonts w:ascii="Palatino Linotype" w:hAnsi="Palatino Linotype" w:cs="Arial"/>
        </w:rPr>
      </w:pPr>
      <w:r>
        <w:rPr>
          <w:noProof/>
          <w:lang w:eastAsia="es-MX"/>
        </w:rPr>
        <w:drawing>
          <wp:inline distT="0" distB="0" distL="0" distR="0">
            <wp:extent cx="5667375" cy="707390"/>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pic:cNvPicPr>
                      <a:picLocks noChangeAspect="1" noChangeArrowheads="1"/>
                    </pic:cNvPicPr>
                  </pic:nvPicPr>
                  <pic:blipFill>
                    <a:blip r:embed="rId11"/>
                    <a:srcRect l="11333" t="51192" r="55750" b="40430"/>
                    <a:stretch>
                      <a:fillRect/>
                    </a:stretch>
                  </pic:blipFill>
                  <pic:spPr bwMode="auto">
                    <a:xfrm>
                      <a:off x="0" y="0"/>
                      <a:ext cx="5667375" cy="707390"/>
                    </a:xfrm>
                    <a:prstGeom prst="rect">
                      <a:avLst/>
                    </a:prstGeom>
                  </pic:spPr>
                </pic:pic>
              </a:graphicData>
            </a:graphic>
          </wp:inline>
        </w:drawing>
      </w:r>
      <w:r>
        <w:rPr>
          <w:noProof/>
          <w:lang w:eastAsia="es-MX"/>
        </w:rPr>
        <mc:AlternateContent>
          <mc:Choice Requires="wps">
            <w:drawing>
              <wp:anchor distT="0" distB="0" distL="0" distR="0" simplePos="0" relativeHeight="38" behindDoc="0" locked="0" layoutInCell="1" allowOverlap="1">
                <wp:simplePos x="0" y="0"/>
                <wp:positionH relativeFrom="column">
                  <wp:posOffset>1464945</wp:posOffset>
                </wp:positionH>
                <wp:positionV relativeFrom="paragraph">
                  <wp:posOffset>21590</wp:posOffset>
                </wp:positionV>
                <wp:extent cx="1209040" cy="622935"/>
                <wp:effectExtent l="19050" t="19050" r="0" b="7620"/>
                <wp:wrapNone/>
                <wp:docPr id="7" name="Rectángulo 7"/>
                <wp:cNvGraphicFramePr/>
                <a:graphic xmlns:a="http://schemas.openxmlformats.org/drawingml/2006/main">
                  <a:graphicData uri="http://schemas.microsoft.com/office/word/2010/wordprocessingShape">
                    <wps:wsp>
                      <wps:cNvSpPr/>
                      <wps:spPr>
                        <a:xfrm>
                          <a:off x="0" y="0"/>
                          <a:ext cx="1208520" cy="622440"/>
                        </a:xfrm>
                        <a:prstGeom prst="rect">
                          <a:avLst/>
                        </a:prstGeom>
                        <a:noFill/>
                        <a:ln w="38160">
                          <a:solidFill>
                            <a:srgbClr val="FF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7" stroked="t" style="position:absolute;margin-left:115.35pt;margin-top:1.7pt;width:95.1pt;height:48.95pt">
                <w10:wrap type="none"/>
                <v:fill o:detectmouseclick="t" on="false"/>
                <v:stroke color="red" weight="38160" joinstyle="miter" endcap="flat"/>
              </v:rect>
            </w:pict>
          </mc:Fallback>
        </mc:AlternateContent>
      </w:r>
    </w:p>
    <w:p w:rsidR="0017587F" w:rsidRDefault="007E4334">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De esto se advierte que los Sujetos Obligados deberán de manera permanente y actualizada de forma sencilla, precisa y entendible, publicar en sus portales de </w:t>
      </w:r>
      <w:r>
        <w:rPr>
          <w:rFonts w:ascii="Palatino Linotype" w:hAnsi="Palatino Linotype" w:cs="Arial"/>
        </w:rPr>
        <w:lastRenderedPageBreak/>
        <w:t xml:space="preserve">Información Pública de Oficio Mexiquense (IPOMEX) el hipervínculo a los Programas Operativos Anuales por área, como parte de las metas y objetivos de las Áreas de conformidad con sus programas operativos. </w:t>
      </w:r>
    </w:p>
    <w:p w:rsidR="0017587F" w:rsidRDefault="007E4334">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por ello, esta Ponencia Resolutora se dio a la tarea de ingresar al IPOMEX del </w:t>
      </w:r>
      <w:r>
        <w:rPr>
          <w:rFonts w:ascii="Palatino Linotype" w:hAnsi="Palatino Linotype" w:cs="Arial"/>
          <w:b/>
        </w:rPr>
        <w:t>SUJETO OBLIGADO</w:t>
      </w:r>
      <w:r>
        <w:rPr>
          <w:rFonts w:ascii="Palatino Linotype" w:hAnsi="Palatino Linotype" w:cs="Arial"/>
        </w:rPr>
        <w:t>, específicamente en la fracción IV, localizándose 23 registros correspondientes al años fiscal 2019; sin embargo, como puede advertirse de la solicitud realizada por el particular, éste solicitó del periodo del año fiscal 2020, mismo que solo de manera ilustrativa se muestran algunas imágenes:</w:t>
      </w:r>
    </w:p>
    <w:p w:rsidR="0017587F" w:rsidRDefault="007E4334">
      <w:pPr>
        <w:spacing w:beforeAutospacing="1" w:afterAutospacing="1" w:line="360" w:lineRule="auto"/>
        <w:contextualSpacing/>
        <w:jc w:val="both"/>
        <w:rPr>
          <w:rFonts w:ascii="Palatino Linotype" w:hAnsi="Palatino Linotype" w:cs="Arial"/>
        </w:rPr>
      </w:pPr>
      <w:r>
        <w:rPr>
          <w:noProof/>
          <w:lang w:eastAsia="es-MX"/>
        </w:rPr>
        <w:drawing>
          <wp:inline distT="0" distB="0" distL="0" distR="0">
            <wp:extent cx="5133975" cy="1466850"/>
            <wp:effectExtent l="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pic:cNvPicPr>
                      <a:picLocks noChangeAspect="1" noChangeArrowheads="1"/>
                    </pic:cNvPicPr>
                  </pic:nvPicPr>
                  <pic:blipFill>
                    <a:blip r:embed="rId12"/>
                    <a:stretch>
                      <a:fillRect/>
                    </a:stretch>
                  </pic:blipFill>
                  <pic:spPr bwMode="auto">
                    <a:xfrm>
                      <a:off x="0" y="0"/>
                      <a:ext cx="5133975" cy="1466850"/>
                    </a:xfrm>
                    <a:prstGeom prst="rect">
                      <a:avLst/>
                    </a:prstGeom>
                  </pic:spPr>
                </pic:pic>
              </a:graphicData>
            </a:graphic>
          </wp:inline>
        </w:drawing>
      </w:r>
    </w:p>
    <w:p w:rsidR="0017587F" w:rsidRDefault="007E4334">
      <w:pPr>
        <w:spacing w:beforeAutospacing="1" w:afterAutospacing="1" w:line="360" w:lineRule="auto"/>
        <w:contextualSpacing/>
        <w:jc w:val="both"/>
        <w:rPr>
          <w:rFonts w:ascii="Palatino Linotype" w:hAnsi="Palatino Linotype" w:cs="Arial"/>
        </w:rPr>
      </w:pPr>
      <w:r>
        <w:rPr>
          <w:noProof/>
          <w:lang w:eastAsia="es-MX"/>
        </w:rPr>
        <w:drawing>
          <wp:inline distT="0" distB="0" distL="0" distR="0">
            <wp:extent cx="5791835" cy="3025775"/>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noChangeArrowheads="1"/>
                    </pic:cNvPicPr>
                  </pic:nvPicPr>
                  <pic:blipFill>
                    <a:blip r:embed="rId13"/>
                    <a:stretch>
                      <a:fillRect/>
                    </a:stretch>
                  </pic:blipFill>
                  <pic:spPr bwMode="auto">
                    <a:xfrm>
                      <a:off x="0" y="0"/>
                      <a:ext cx="5791835" cy="3025775"/>
                    </a:xfrm>
                    <a:prstGeom prst="rect">
                      <a:avLst/>
                    </a:prstGeom>
                  </pic:spPr>
                </pic:pic>
              </a:graphicData>
            </a:graphic>
          </wp:inline>
        </w:drawing>
      </w:r>
    </w:p>
    <w:p w:rsidR="0017587F" w:rsidRDefault="007E4334">
      <w:pPr>
        <w:spacing w:line="360" w:lineRule="auto"/>
        <w:jc w:val="both"/>
        <w:rPr>
          <w:rFonts w:ascii="Palatino Linotype" w:hAnsi="Palatino Linotype" w:cs="Arial"/>
        </w:rPr>
      </w:pPr>
      <w:r>
        <w:rPr>
          <w:rFonts w:ascii="Palatino Linotype" w:hAnsi="Palatino Linotype" w:cs="Arial"/>
        </w:rPr>
        <w:lastRenderedPageBreak/>
        <w:t>Atento a lo anterior y de conformidad con el artículo 36, fracción XXXVIII de la Ley de Transparencia y Acceso a la Información Pública del Estado de México y Municipios y el artículo 22, fracciones XIV y XV, del Reglamento Interior del Instituto de Transparencia, Acceso a la Información Pública y Protección de Datos Personales del Estado de México y Municipios; se ordena girar oficio a la Dirección Jurídica y de Verificación de este Instituto, a efecto de que determine lo conducente, ante la deficiencia en la actualización de la información pública de oficio contenida en el artículo 92, fracción IV de Ley de Transparencia y Acceso a la Información Pública del Estado de México y Municipios, así mismo, es importante mencionar que la Ley adjetiva en la materia, prevé el procedimiento de denuncia ante la falta de publicación de las obligaciones de transparencia de los Sujetos Obligados en sus respectivos ámbitos de competencia, en sus artículos 111, 112, 113, 114, 115, 116, 117, 118, 119, 120 y 121, mismo que podrá ejercitar el particular en cualquier momento</w:t>
      </w:r>
    </w:p>
    <w:p w:rsidR="0017587F" w:rsidRDefault="0017587F">
      <w:pPr>
        <w:spacing w:line="360" w:lineRule="auto"/>
        <w:jc w:val="both"/>
        <w:rPr>
          <w:rFonts w:ascii="Palatino Linotype" w:hAnsi="Palatino Linotype" w:cs="Arial"/>
        </w:rPr>
      </w:pPr>
    </w:p>
    <w:p w:rsidR="0017587F" w:rsidRDefault="007E4334">
      <w:pPr>
        <w:spacing w:line="360" w:lineRule="auto"/>
        <w:jc w:val="both"/>
        <w:rPr>
          <w:rFonts w:ascii="Palatino Linotype" w:hAnsi="Palatino Linotype" w:cs="Arial"/>
          <w:lang w:val="es-ES"/>
        </w:rPr>
      </w:pPr>
      <w:r>
        <w:rPr>
          <w:rFonts w:ascii="Palatino Linotype" w:hAnsi="Palatino Linotype"/>
          <w:lang w:val="es-ES" w:eastAsia="es-MX"/>
        </w:rPr>
        <w:t xml:space="preserve">En razón de lo anteriormente expuesto, este Instituto determina que resultan </w:t>
      </w:r>
      <w:r>
        <w:rPr>
          <w:rFonts w:ascii="Palatino Linotype" w:hAnsi="Palatino Linotype"/>
          <w:b/>
          <w:lang w:val="es-ES" w:eastAsia="es-MX"/>
        </w:rPr>
        <w:t>fundadas</w:t>
      </w:r>
      <w:r>
        <w:rPr>
          <w:rFonts w:ascii="Palatino Linotype" w:hAnsi="Palatino Linotype"/>
          <w:lang w:val="es-ES" w:eastAsia="es-MX"/>
        </w:rPr>
        <w:t xml:space="preserve"> las razones o motivos de inconformidad expuestas por </w:t>
      </w:r>
      <w:r>
        <w:rPr>
          <w:rFonts w:ascii="Palatino Linotype" w:hAnsi="Palatino Linotype"/>
          <w:b/>
          <w:lang w:val="es-ES" w:eastAsia="es-MX"/>
        </w:rPr>
        <w:t>EL RECURRENTE</w:t>
      </w:r>
      <w:r>
        <w:rPr>
          <w:rFonts w:ascii="Palatino Linotype" w:hAnsi="Palatino Linotype"/>
          <w:lang w:val="es-ES" w:eastAsia="es-MX"/>
        </w:rPr>
        <w:t xml:space="preserve">; </w:t>
      </w:r>
      <w:r>
        <w:rPr>
          <w:rFonts w:ascii="Palatino Linotype" w:hAnsi="Palatino Linotype" w:cs="Arial"/>
          <w:lang w:val="es-ES"/>
        </w:rPr>
        <w:t>por lo que, lo procedente es</w:t>
      </w:r>
      <w:r>
        <w:rPr>
          <w:rFonts w:ascii="Palatino Linotype" w:hAnsi="Palatino Linotype" w:cs="Arial"/>
          <w:b/>
          <w:lang w:val="es-ES"/>
        </w:rPr>
        <w:t xml:space="preserve"> MODIFICAR </w:t>
      </w:r>
      <w:r>
        <w:rPr>
          <w:rFonts w:ascii="Palatino Linotype" w:hAnsi="Palatino Linotype" w:cs="Arial"/>
          <w:lang w:val="es-ES"/>
        </w:rPr>
        <w:t xml:space="preserve">la respuesta emitida por </w:t>
      </w:r>
      <w:r>
        <w:rPr>
          <w:rFonts w:ascii="Palatino Linotype" w:hAnsi="Palatino Linotype" w:cs="Arial"/>
          <w:b/>
          <w:lang w:val="es-ES"/>
        </w:rPr>
        <w:t xml:space="preserve">EL SUJETO OBLIGADO </w:t>
      </w:r>
      <w:r>
        <w:rPr>
          <w:rFonts w:ascii="Palatino Linotype" w:hAnsi="Palatino Linotype" w:cs="Arial"/>
          <w:lang w:val="es-ES"/>
        </w:rPr>
        <w:t xml:space="preserve">y </w:t>
      </w:r>
      <w:r>
        <w:rPr>
          <w:rFonts w:ascii="Palatino Linotype" w:hAnsi="Palatino Linotype" w:cs="Arial"/>
          <w:b/>
          <w:lang w:val="es-ES"/>
        </w:rPr>
        <w:t xml:space="preserve">ORDENAR </w:t>
      </w:r>
      <w:r>
        <w:rPr>
          <w:rFonts w:ascii="Palatino Linotype" w:hAnsi="Palatino Linotype" w:cs="Arial"/>
          <w:lang w:val="es-ES"/>
        </w:rPr>
        <w:t xml:space="preserve">haga entrega vía </w:t>
      </w:r>
      <w:r>
        <w:rPr>
          <w:rFonts w:ascii="Palatino Linotype" w:hAnsi="Palatino Linotype" w:cs="Arial"/>
          <w:b/>
          <w:lang w:val="es-ES"/>
        </w:rPr>
        <w:t>SAIMEX</w:t>
      </w:r>
      <w:r>
        <w:rPr>
          <w:rFonts w:ascii="Palatino Linotype" w:hAnsi="Palatino Linotype" w:cs="Arial"/>
          <w:lang w:val="es-ES"/>
        </w:rPr>
        <w:t xml:space="preserve"> de la información que ha quedado precisada en el cuerpo de la presente resolución, vía </w:t>
      </w:r>
      <w:r>
        <w:rPr>
          <w:rFonts w:ascii="Palatino Linotype" w:hAnsi="Palatino Linotype" w:cs="Arial"/>
          <w:b/>
          <w:lang w:val="es-ES"/>
        </w:rPr>
        <w:t>SAIMEX y correo electrónico.</w:t>
      </w:r>
    </w:p>
    <w:p w:rsidR="0017587F" w:rsidRDefault="0017587F">
      <w:pPr>
        <w:spacing w:line="360" w:lineRule="auto"/>
        <w:jc w:val="both"/>
        <w:rPr>
          <w:rFonts w:ascii="Palatino Linotype" w:hAnsi="Palatino Linotype" w:cs="Arial"/>
          <w:sz w:val="20"/>
          <w:szCs w:val="20"/>
          <w:lang w:val="es-ES"/>
        </w:rPr>
      </w:pPr>
    </w:p>
    <w:p w:rsidR="0017587F" w:rsidRDefault="007E4334">
      <w:pPr>
        <w:spacing w:line="360" w:lineRule="auto"/>
        <w:jc w:val="both"/>
        <w:rPr>
          <w:rFonts w:ascii="Palatino Linotype" w:hAnsi="Palatino Linotype" w:cs="Arial"/>
          <w:lang w:val="es-ES"/>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 xml:space="preserve">2, fracción II, 9, 29, 36, fracciones I y II, 176, 178, </w:t>
      </w:r>
      <w:r>
        <w:rPr>
          <w:rFonts w:ascii="Palatino Linotype" w:hAnsi="Palatino Linotype" w:cs="Arial"/>
        </w:rPr>
        <w:lastRenderedPageBreak/>
        <w:t>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17587F" w:rsidRDefault="0017587F">
      <w:pPr>
        <w:jc w:val="center"/>
        <w:rPr>
          <w:rFonts w:ascii="Palatino Linotype" w:eastAsia="Calibri" w:hAnsi="Palatino Linotype" w:cs="Arial"/>
          <w:b/>
          <w:spacing w:val="30"/>
          <w:sz w:val="28"/>
        </w:rPr>
      </w:pPr>
    </w:p>
    <w:p w:rsidR="0017587F" w:rsidRDefault="007E4334">
      <w:pPr>
        <w:jc w:val="center"/>
        <w:rPr>
          <w:rFonts w:ascii="Palatino Linotype" w:eastAsia="Calibri" w:hAnsi="Palatino Linotype" w:cs="Arial"/>
          <w:b/>
          <w:spacing w:val="30"/>
          <w:sz w:val="28"/>
        </w:rPr>
      </w:pPr>
      <w:r>
        <w:rPr>
          <w:rFonts w:ascii="Palatino Linotype" w:eastAsia="Calibri" w:hAnsi="Palatino Linotype" w:cs="Arial"/>
          <w:b/>
          <w:spacing w:val="30"/>
          <w:sz w:val="28"/>
        </w:rPr>
        <w:t>RESUELVE</w:t>
      </w:r>
    </w:p>
    <w:p w:rsidR="0017587F" w:rsidRDefault="007E4334">
      <w:pPr>
        <w:pStyle w:val="Prrafodelista"/>
        <w:widowControl w:val="0"/>
        <w:numPr>
          <w:ilvl w:val="0"/>
          <w:numId w:val="1"/>
        </w:numPr>
        <w:tabs>
          <w:tab w:val="left" w:pos="1701"/>
        </w:tabs>
        <w:spacing w:before="240"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b/>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17587F" w:rsidRDefault="007E4334">
      <w:pPr>
        <w:pStyle w:val="Prrafodelista"/>
        <w:widowControl w:val="0"/>
        <w:numPr>
          <w:ilvl w:val="0"/>
          <w:numId w:val="1"/>
        </w:numPr>
        <w:tabs>
          <w:tab w:val="left" w:pos="1701"/>
        </w:tabs>
        <w:spacing w:before="240" w:afterAutospacing="1" w:line="360" w:lineRule="auto"/>
        <w:ind w:left="0" w:firstLine="0"/>
        <w:jc w:val="both"/>
        <w:rPr>
          <w:rFonts w:ascii="Palatino Linotype" w:hAnsi="Palatino Linotype"/>
          <w:color w:val="000000" w:themeColor="text1"/>
        </w:rPr>
      </w:pPr>
      <w:r>
        <w:rPr>
          <w:rFonts w:ascii="Palatino Linotype" w:hAnsi="Palatino Linotype" w:cs="Arial"/>
          <w:color w:val="000000" w:themeColor="text1"/>
        </w:rPr>
        <w:t xml:space="preserve">Se </w:t>
      </w:r>
      <w:r>
        <w:rPr>
          <w:rFonts w:ascii="Palatino Linotype" w:hAnsi="Palatino Linotype" w:cs="Arial"/>
          <w:b/>
          <w:color w:val="000000" w:themeColor="text1"/>
        </w:rPr>
        <w:t xml:space="preserve">MODIFICA </w:t>
      </w:r>
      <w:r>
        <w:rPr>
          <w:rFonts w:ascii="Palatino Linotype" w:hAnsi="Palatino Linotype" w:cs="Arial"/>
          <w:color w:val="000000" w:themeColor="text1"/>
        </w:rPr>
        <w:t xml:space="preserve">la respuesta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y se </w:t>
      </w:r>
      <w:r>
        <w:rPr>
          <w:rFonts w:ascii="Palatino Linotype" w:hAnsi="Palatino Linotype" w:cs="Arial"/>
          <w:b/>
          <w:color w:val="000000" w:themeColor="text1"/>
        </w:rPr>
        <w:t>ordena</w:t>
      </w:r>
      <w:r>
        <w:rPr>
          <w:rFonts w:ascii="Palatino Linotype" w:hAnsi="Palatino Linotype" w:cs="Arial"/>
          <w:color w:val="000000" w:themeColor="text1"/>
        </w:rPr>
        <w:t xml:space="preserve"> atienda la solicitud de información pública motivo del recurso de revisión </w:t>
      </w:r>
      <w:r>
        <w:rPr>
          <w:rFonts w:ascii="Palatino Linotype" w:hAnsi="Palatino Linotype"/>
          <w:b/>
          <w:lang w:val="es-ES_tradnl"/>
        </w:rPr>
        <w:t>01032/INFOEM/IP/RR/2020</w:t>
      </w:r>
      <w:r>
        <w:rPr>
          <w:rFonts w:ascii="Palatino Linotype" w:hAnsi="Palatino Linotype" w:cs="Arial"/>
          <w:b/>
          <w:bCs/>
          <w:color w:val="000000" w:themeColor="text1"/>
        </w:rPr>
        <w:t xml:space="preserve">, </w:t>
      </w:r>
      <w:r>
        <w:rPr>
          <w:rFonts w:ascii="Palatino Linotype" w:hAnsi="Palatino Linotype" w:cs="Arial"/>
          <w:bCs/>
          <w:color w:val="000000" w:themeColor="text1"/>
        </w:rPr>
        <w:t>y haga entrega</w:t>
      </w:r>
      <w:r>
        <w:rPr>
          <w:rFonts w:ascii="Palatino Linotype" w:hAnsi="Palatino Linotype" w:cs="Arial"/>
          <w:b/>
          <w:bCs/>
          <w:color w:val="000000" w:themeColor="text1"/>
        </w:rPr>
        <w:t xml:space="preserve"> </w:t>
      </w:r>
      <w:r>
        <w:rPr>
          <w:rFonts w:ascii="Palatino Linotype" w:hAnsi="Palatino Linotype" w:cs="Arial"/>
          <w:color w:val="000000" w:themeColor="text1"/>
        </w:rPr>
        <w:t xml:space="preserve">al </w:t>
      </w:r>
      <w:r>
        <w:rPr>
          <w:rFonts w:ascii="Palatino Linotype" w:hAnsi="Palatino Linotype" w:cs="Arial"/>
          <w:b/>
          <w:color w:val="000000" w:themeColor="text1"/>
        </w:rPr>
        <w:t>RECURRENTE</w:t>
      </w:r>
      <w:r>
        <w:rPr>
          <w:rFonts w:ascii="Palatino Linotype" w:hAnsi="Palatino Linotype" w:cs="Arial"/>
          <w:color w:val="000000" w:themeColor="text1"/>
        </w:rPr>
        <w:t xml:space="preserve">, vía </w:t>
      </w:r>
      <w:r>
        <w:rPr>
          <w:rFonts w:ascii="Palatino Linotype" w:hAnsi="Palatino Linotype" w:cs="Arial"/>
          <w:b/>
          <w:color w:val="000000" w:themeColor="text1"/>
        </w:rPr>
        <w:t>EL</w:t>
      </w:r>
      <w:r>
        <w:rPr>
          <w:rFonts w:ascii="Palatino Linotype" w:hAnsi="Palatino Linotype" w:cs="Arial"/>
          <w:color w:val="000000" w:themeColor="text1"/>
        </w:rPr>
        <w:t xml:space="preserve"> </w:t>
      </w:r>
      <w:r>
        <w:rPr>
          <w:rFonts w:ascii="Palatino Linotype" w:hAnsi="Palatino Linotype" w:cs="Arial"/>
          <w:b/>
          <w:color w:val="000000" w:themeColor="text1"/>
        </w:rPr>
        <w:t>SAIMEX y correo electrónico</w:t>
      </w:r>
      <w:r>
        <w:rPr>
          <w:rFonts w:ascii="Palatino Linotype" w:hAnsi="Palatino Linotype" w:cs="Arial"/>
          <w:color w:val="000000" w:themeColor="text1"/>
        </w:rPr>
        <w:t xml:space="preserve">, en </w:t>
      </w:r>
      <w:r>
        <w:rPr>
          <w:rFonts w:ascii="Palatino Linotype" w:hAnsi="Palatino Linotype"/>
          <w:color w:val="000000" w:themeColor="text1"/>
          <w:lang w:eastAsia="es-ES_tradnl"/>
        </w:rPr>
        <w:t>términos</w:t>
      </w:r>
      <w:r>
        <w:rPr>
          <w:rFonts w:ascii="Palatino Linotype" w:hAnsi="Palatino Linotype" w:cs="Arial"/>
          <w:color w:val="000000" w:themeColor="text1"/>
        </w:rPr>
        <w:t xml:space="preserve"> del Considerando </w:t>
      </w:r>
      <w:r>
        <w:rPr>
          <w:rFonts w:ascii="Palatino Linotype" w:hAnsi="Palatino Linotype" w:cs="Arial"/>
          <w:b/>
          <w:color w:val="000000" w:themeColor="text1"/>
        </w:rPr>
        <w:t>QUINTO</w:t>
      </w:r>
      <w:r>
        <w:rPr>
          <w:rFonts w:ascii="Palatino Linotype" w:hAnsi="Palatino Linotype" w:cs="Arial"/>
          <w:color w:val="000000" w:themeColor="text1"/>
        </w:rPr>
        <w:t xml:space="preserve"> </w:t>
      </w:r>
      <w:r>
        <w:rPr>
          <w:rFonts w:ascii="Palatino Linotype" w:hAnsi="Palatino Linotype"/>
          <w:color w:val="000000" w:themeColor="text1"/>
        </w:rPr>
        <w:t xml:space="preserve">de la presente resolución, de lo siguiente: </w:t>
      </w:r>
    </w:p>
    <w:p w:rsidR="0017587F" w:rsidRDefault="007E4334">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“El Programa Operativo Anual correspondiente al ejercicio fiscal 2020.”</w:t>
      </w:r>
    </w:p>
    <w:p w:rsidR="0017587F" w:rsidRDefault="0017587F">
      <w:pPr>
        <w:ind w:left="851" w:right="902"/>
        <w:jc w:val="both"/>
        <w:rPr>
          <w:rFonts w:ascii="Palatino Linotype" w:hAnsi="Palatino Linotype"/>
          <w:i/>
          <w:iCs/>
          <w:color w:val="222222"/>
          <w:sz w:val="22"/>
          <w:szCs w:val="22"/>
          <w:lang w:eastAsia="es-MX"/>
        </w:rPr>
      </w:pPr>
    </w:p>
    <w:p w:rsidR="0017587F" w:rsidRDefault="007E4334">
      <w:pPr>
        <w:pStyle w:val="Prrafodelista"/>
        <w:widowControl w:val="0"/>
        <w:numPr>
          <w:ilvl w:val="0"/>
          <w:numId w:val="1"/>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w:t>
      </w:r>
      <w:r>
        <w:rPr>
          <w:rFonts w:ascii="Palatino Linotype" w:hAnsi="Palatino Linotype" w:cs="Arial"/>
        </w:rPr>
        <w:t>Titular</w:t>
      </w:r>
      <w:r>
        <w:rPr>
          <w:rFonts w:ascii="Palatino Linotype" w:hAnsi="Palatino Linotype"/>
          <w:shd w:val="clear" w:color="auto" w:fill="FFFFFF"/>
        </w:rPr>
        <w:t xml:space="preserve"> de la Unidad de Transparencia del</w:t>
      </w:r>
      <w:r>
        <w:rPr>
          <w:rStyle w:val="apple-converted-space"/>
          <w:rFonts w:ascii="Palatino Linotype"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resolución.</w:t>
      </w:r>
    </w:p>
    <w:p w:rsidR="0017587F" w:rsidRDefault="007E4334">
      <w:pPr>
        <w:pStyle w:val="Prrafodelista"/>
        <w:widowControl w:val="0"/>
        <w:numPr>
          <w:ilvl w:val="0"/>
          <w:numId w:val="1"/>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shd w:val="clear" w:color="auto" w:fill="FFFFFF"/>
        </w:rPr>
        <w:t xml:space="preserve">Con fundamento en el artículo 198 de la Ley de Transparencia y Acceso a la Información Pública del Estado de México y Municipios, se apercibe al </w:t>
      </w:r>
      <w:r>
        <w:rPr>
          <w:rFonts w:ascii="Palatino Linotype" w:hAnsi="Palatino Linotype"/>
          <w:b/>
          <w:shd w:val="clear" w:color="auto" w:fill="FFFFFF"/>
        </w:rPr>
        <w:t xml:space="preserve">SUJETO </w:t>
      </w:r>
      <w:r>
        <w:rPr>
          <w:rFonts w:ascii="Palatino Linotype" w:hAnsi="Palatino Linotype"/>
          <w:b/>
          <w:shd w:val="clear" w:color="auto" w:fill="FFFFFF"/>
        </w:rPr>
        <w:lastRenderedPageBreak/>
        <w:t>OBLIGADO</w:t>
      </w:r>
      <w:r>
        <w:rPr>
          <w:rFonts w:ascii="Palatino Linotype" w:hAnsi="Palatino Linotype"/>
          <w:shd w:val="clear" w:color="auto" w:fill="FFFFFF"/>
        </w:rPr>
        <w:t xml:space="preserve"> que, en caso de negarse a cumplir la presente resolución o hacerlo de manera parcial se actuará de conformidad con lo previsto en los artículos 213, 214, 216 y 217 de dicha Ley.</w:t>
      </w:r>
    </w:p>
    <w:p w:rsidR="0017587F" w:rsidRDefault="007E4334">
      <w:pPr>
        <w:pStyle w:val="Prrafodelista"/>
        <w:widowControl w:val="0"/>
        <w:numPr>
          <w:ilvl w:val="0"/>
          <w:numId w:val="1"/>
        </w:numPr>
        <w:tabs>
          <w:tab w:val="left" w:pos="1701"/>
        </w:tabs>
        <w:spacing w:before="240"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Notifíquese</w:t>
      </w:r>
      <w:r>
        <w:rPr>
          <w:rFonts w:ascii="Palatino Linotype" w:hAnsi="Palatino Linotype"/>
          <w:szCs w:val="17"/>
          <w:lang w:eastAsia="es-ES_tradnl"/>
        </w:rPr>
        <w:t xml:space="preserve"> al</w:t>
      </w:r>
      <w:r>
        <w:rPr>
          <w:rFonts w:ascii="Palatino Linotype" w:hAnsi="Palatino Linotype" w:cs="Arial"/>
          <w:b/>
        </w:rPr>
        <w:t xml:space="preserve"> 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rsidR="0017587F" w:rsidRDefault="007E4334">
      <w:pPr>
        <w:pStyle w:val="Prrafodelista"/>
        <w:widowControl w:val="0"/>
        <w:numPr>
          <w:ilvl w:val="0"/>
          <w:numId w:val="1"/>
        </w:numPr>
        <w:tabs>
          <w:tab w:val="left" w:pos="1701"/>
        </w:tabs>
        <w:spacing w:before="240" w:afterAutospacing="1"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del</w:t>
      </w:r>
      <w:r>
        <w:rPr>
          <w:rFonts w:ascii="Palatino Linotype" w:hAnsi="Palatino Linotype" w:cs="Arial"/>
          <w:b/>
        </w:rPr>
        <w:t xml:space="preserve"> 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rsidR="0017587F" w:rsidRDefault="007E4334">
      <w:pPr>
        <w:spacing w:beforeAutospacing="1" w:afterAutospacing="1"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w:t>
      </w:r>
      <w:r>
        <w:rPr>
          <w:rFonts w:ascii="Palatino Linotype" w:hAnsi="Palatino Linotype" w:cs="Arial"/>
          <w:color w:val="000000"/>
        </w:rPr>
        <w:t>DÉCIMA CUARTA</w:t>
      </w:r>
      <w:r>
        <w:rPr>
          <w:rFonts w:ascii="Palatino Linotype" w:hAnsi="Palatino Linotype" w:cs="Arial"/>
        </w:rPr>
        <w:t xml:space="preserve"> SESIÓN ORDINARIA CELEBRADA EL DÍA </w:t>
      </w:r>
      <w:r>
        <w:rPr>
          <w:rFonts w:ascii="Palatino Linotype" w:hAnsi="Palatino Linotype" w:cs="Arial"/>
          <w:color w:val="000000"/>
        </w:rPr>
        <w:t>DIECINUEVE</w:t>
      </w:r>
      <w:r>
        <w:rPr>
          <w:rFonts w:ascii="Palatino Linotype" w:hAnsi="Palatino Linotype" w:cs="Arial"/>
        </w:rPr>
        <w:t xml:space="preserve"> DE AGOSTO DE DOS MIL VEINTE, ANTE EL SECRETARIO TÉCNICO DEL PLENO, ALEXIS TAPIA RAMÍREZ.</w:t>
      </w:r>
    </w:p>
    <w:tbl>
      <w:tblPr>
        <w:tblW w:w="10074" w:type="dxa"/>
        <w:jc w:val="center"/>
        <w:tblLook w:val="04A0" w:firstRow="1" w:lastRow="0" w:firstColumn="1" w:lastColumn="0" w:noHBand="0" w:noVBand="1"/>
      </w:tblPr>
      <w:tblGrid>
        <w:gridCol w:w="4933"/>
        <w:gridCol w:w="4919"/>
        <w:gridCol w:w="222"/>
      </w:tblGrid>
      <w:tr w:rsidR="0017587F">
        <w:trPr>
          <w:trHeight w:val="1510"/>
          <w:jc w:val="center"/>
        </w:trPr>
        <w:tc>
          <w:tcPr>
            <w:tcW w:w="10073" w:type="dxa"/>
            <w:gridSpan w:val="3"/>
          </w:tcPr>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7E4334">
            <w:pPr>
              <w:jc w:val="center"/>
              <w:rPr>
                <w:rFonts w:ascii="Palatino Linotype" w:hAnsi="Palatino Linotype" w:cs="Arial"/>
                <w:b/>
              </w:rPr>
            </w:pPr>
            <w:r>
              <w:rPr>
                <w:rFonts w:ascii="Palatino Linotype" w:hAnsi="Palatino Linotype" w:cs="Arial"/>
                <w:b/>
              </w:rPr>
              <w:t>Zulema Martínez Sánchez</w:t>
            </w:r>
          </w:p>
          <w:p w:rsidR="0017587F" w:rsidRDefault="007E4334">
            <w:pPr>
              <w:jc w:val="center"/>
              <w:rPr>
                <w:rFonts w:ascii="Palatino Linotype" w:hAnsi="Palatino Linotype" w:cs="Arial"/>
                <w:b/>
              </w:rPr>
            </w:pPr>
            <w:r>
              <w:rPr>
                <w:rFonts w:ascii="Palatino Linotype" w:hAnsi="Palatino Linotype" w:cs="Arial"/>
              </w:rPr>
              <w:t>Comisionada Presidenta</w:t>
            </w:r>
          </w:p>
          <w:p w:rsidR="0017587F" w:rsidRDefault="007E4334">
            <w:pPr>
              <w:jc w:val="center"/>
              <w:rPr>
                <w:rFonts w:ascii="Palatino Linotype" w:hAnsi="Palatino Linotype" w:cs="Arial"/>
                <w:b/>
              </w:rPr>
            </w:pPr>
            <w:r>
              <w:rPr>
                <w:rFonts w:ascii="Palatino Linotype" w:hAnsi="Palatino Linotype" w:cs="Arial"/>
                <w:b/>
              </w:rPr>
              <w:t>(RÚBRICA)</w:t>
            </w:r>
          </w:p>
        </w:tc>
      </w:tr>
      <w:tr w:rsidR="0017587F">
        <w:trPr>
          <w:trHeight w:val="1256"/>
          <w:jc w:val="center"/>
        </w:trPr>
        <w:tc>
          <w:tcPr>
            <w:tcW w:w="5033" w:type="dxa"/>
          </w:tcPr>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7E4334">
            <w:pPr>
              <w:jc w:val="center"/>
              <w:rPr>
                <w:rFonts w:ascii="Palatino Linotype" w:hAnsi="Palatino Linotype" w:cs="Arial"/>
                <w:b/>
              </w:rPr>
            </w:pPr>
            <w:r>
              <w:rPr>
                <w:rFonts w:ascii="Palatino Linotype" w:hAnsi="Palatino Linotype" w:cs="Arial"/>
                <w:b/>
              </w:rPr>
              <w:t>Eva Abaid Yapur</w:t>
            </w:r>
          </w:p>
          <w:p w:rsidR="0017587F" w:rsidRDefault="007E4334">
            <w:pPr>
              <w:jc w:val="center"/>
              <w:rPr>
                <w:rFonts w:ascii="Palatino Linotype" w:hAnsi="Palatino Linotype" w:cs="Arial"/>
              </w:rPr>
            </w:pPr>
            <w:r>
              <w:rPr>
                <w:rFonts w:ascii="Palatino Linotype" w:hAnsi="Palatino Linotype" w:cs="Arial"/>
              </w:rPr>
              <w:t>Comisionada</w:t>
            </w:r>
          </w:p>
          <w:p w:rsidR="0017587F" w:rsidRDefault="007E4334">
            <w:pPr>
              <w:jc w:val="center"/>
              <w:rPr>
                <w:rFonts w:ascii="Palatino Linotype" w:hAnsi="Palatino Linotype" w:cs="Arial"/>
                <w:b/>
              </w:rPr>
            </w:pPr>
            <w:r>
              <w:rPr>
                <w:rFonts w:ascii="Palatino Linotype" w:hAnsi="Palatino Linotype" w:cs="Arial"/>
                <w:b/>
              </w:rPr>
              <w:t>(RÚBRICA)</w:t>
            </w:r>
          </w:p>
        </w:tc>
        <w:tc>
          <w:tcPr>
            <w:tcW w:w="5040" w:type="dxa"/>
            <w:gridSpan w:val="2"/>
          </w:tcPr>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7E4334">
            <w:pPr>
              <w:jc w:val="center"/>
              <w:rPr>
                <w:rFonts w:ascii="Palatino Linotype" w:hAnsi="Palatino Linotype" w:cs="Arial"/>
                <w:b/>
              </w:rPr>
            </w:pPr>
            <w:r>
              <w:rPr>
                <w:rFonts w:ascii="Palatino Linotype" w:hAnsi="Palatino Linotype" w:cs="Arial"/>
                <w:b/>
              </w:rPr>
              <w:t>José Guadalupe Luna Hernández</w:t>
            </w:r>
          </w:p>
          <w:p w:rsidR="0017587F" w:rsidRDefault="007E4334">
            <w:pPr>
              <w:jc w:val="center"/>
              <w:rPr>
                <w:rFonts w:ascii="Palatino Linotype" w:hAnsi="Palatino Linotype" w:cs="Arial"/>
              </w:rPr>
            </w:pPr>
            <w:r>
              <w:rPr>
                <w:rFonts w:ascii="Palatino Linotype" w:hAnsi="Palatino Linotype" w:cs="Arial"/>
              </w:rPr>
              <w:t>Comisionado</w:t>
            </w:r>
          </w:p>
          <w:p w:rsidR="0017587F" w:rsidRDefault="007E4334">
            <w:pPr>
              <w:jc w:val="center"/>
              <w:rPr>
                <w:rFonts w:ascii="Palatino Linotype" w:hAnsi="Palatino Linotype" w:cs="Arial"/>
                <w:b/>
              </w:rPr>
            </w:pPr>
            <w:r>
              <w:rPr>
                <w:rFonts w:ascii="Palatino Linotype" w:hAnsi="Palatino Linotype" w:cs="Arial"/>
                <w:b/>
              </w:rPr>
              <w:t>(RÚBRICA)</w:t>
            </w:r>
          </w:p>
        </w:tc>
      </w:tr>
      <w:tr w:rsidR="0017587F">
        <w:trPr>
          <w:trHeight w:val="1798"/>
          <w:jc w:val="center"/>
        </w:trPr>
        <w:tc>
          <w:tcPr>
            <w:tcW w:w="5033" w:type="dxa"/>
          </w:tcPr>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7E4334">
            <w:pPr>
              <w:jc w:val="center"/>
              <w:rPr>
                <w:rFonts w:ascii="Palatino Linotype" w:hAnsi="Palatino Linotype" w:cs="Arial"/>
                <w:b/>
              </w:rPr>
            </w:pPr>
            <w:r>
              <w:rPr>
                <w:rFonts w:ascii="Palatino Linotype" w:hAnsi="Palatino Linotype" w:cs="Arial"/>
                <w:b/>
              </w:rPr>
              <w:t>Javier Martínez Cruz</w:t>
            </w:r>
          </w:p>
          <w:p w:rsidR="0017587F" w:rsidRDefault="007E4334">
            <w:pPr>
              <w:tabs>
                <w:tab w:val="center" w:pos="2513"/>
                <w:tab w:val="left" w:pos="3750"/>
              </w:tabs>
              <w:jc w:val="center"/>
              <w:rPr>
                <w:rFonts w:ascii="Palatino Linotype" w:hAnsi="Palatino Linotype" w:cs="Arial"/>
              </w:rPr>
            </w:pPr>
            <w:r>
              <w:rPr>
                <w:rFonts w:ascii="Palatino Linotype" w:hAnsi="Palatino Linotype" w:cs="Arial"/>
              </w:rPr>
              <w:t>Comisionado</w:t>
            </w:r>
          </w:p>
          <w:p w:rsidR="0017587F" w:rsidRDefault="007E4334">
            <w:pPr>
              <w:jc w:val="center"/>
              <w:rPr>
                <w:rFonts w:ascii="Palatino Linotype" w:hAnsi="Palatino Linotype" w:cs="Arial"/>
                <w:b/>
              </w:rPr>
            </w:pPr>
            <w:r>
              <w:rPr>
                <w:rFonts w:ascii="Palatino Linotype" w:hAnsi="Palatino Linotype" w:cs="Arial"/>
                <w:b/>
              </w:rPr>
              <w:t>(RÚBRICA)</w:t>
            </w:r>
          </w:p>
        </w:tc>
        <w:tc>
          <w:tcPr>
            <w:tcW w:w="5040" w:type="dxa"/>
            <w:gridSpan w:val="2"/>
          </w:tcPr>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7E4334">
            <w:pPr>
              <w:jc w:val="center"/>
              <w:rPr>
                <w:rFonts w:ascii="Palatino Linotype" w:hAnsi="Palatino Linotype" w:cs="Arial"/>
                <w:b/>
              </w:rPr>
            </w:pPr>
            <w:r>
              <w:rPr>
                <w:rFonts w:ascii="Palatino Linotype" w:hAnsi="Palatino Linotype" w:cs="Arial"/>
                <w:b/>
              </w:rPr>
              <w:t>Luis Gustavo Parra Noriega</w:t>
            </w:r>
          </w:p>
          <w:p w:rsidR="0017587F" w:rsidRDefault="007E4334">
            <w:pPr>
              <w:jc w:val="center"/>
              <w:rPr>
                <w:rFonts w:ascii="Palatino Linotype" w:hAnsi="Palatino Linotype" w:cs="Arial"/>
              </w:rPr>
            </w:pPr>
            <w:r>
              <w:rPr>
                <w:rFonts w:ascii="Palatino Linotype" w:hAnsi="Palatino Linotype" w:cs="Arial"/>
              </w:rPr>
              <w:t>Comisionado</w:t>
            </w:r>
          </w:p>
          <w:p w:rsidR="0017587F" w:rsidRDefault="007E4334">
            <w:pPr>
              <w:jc w:val="center"/>
              <w:rPr>
                <w:rFonts w:ascii="Palatino Linotype" w:hAnsi="Palatino Linotype" w:cs="Arial"/>
                <w:b/>
              </w:rPr>
            </w:pPr>
            <w:r>
              <w:rPr>
                <w:rFonts w:ascii="Palatino Linotype" w:hAnsi="Palatino Linotype" w:cs="Arial"/>
                <w:b/>
              </w:rPr>
              <w:t>(RÚBRICA)</w:t>
            </w:r>
          </w:p>
        </w:tc>
      </w:tr>
      <w:tr w:rsidR="0017587F">
        <w:trPr>
          <w:trHeight w:val="1033"/>
          <w:jc w:val="center"/>
        </w:trPr>
        <w:tc>
          <w:tcPr>
            <w:tcW w:w="10073" w:type="dxa"/>
            <w:gridSpan w:val="3"/>
          </w:tcPr>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17587F">
            <w:pPr>
              <w:jc w:val="center"/>
              <w:rPr>
                <w:rFonts w:ascii="Palatino Linotype" w:hAnsi="Palatino Linotype" w:cs="Arial"/>
                <w:b/>
              </w:rPr>
            </w:pPr>
          </w:p>
          <w:p w:rsidR="0017587F" w:rsidRDefault="007E4334">
            <w:pPr>
              <w:jc w:val="center"/>
              <w:rPr>
                <w:rFonts w:ascii="Palatino Linotype" w:hAnsi="Palatino Linotype" w:cs="Arial"/>
                <w:b/>
              </w:rPr>
            </w:pPr>
            <w:r>
              <w:rPr>
                <w:rFonts w:ascii="Palatino Linotype" w:hAnsi="Palatino Linotype" w:cs="Arial"/>
                <w:b/>
              </w:rPr>
              <w:t>Alexis Tapia Ramírez</w:t>
            </w:r>
          </w:p>
          <w:p w:rsidR="0017587F" w:rsidRDefault="007E4334">
            <w:pPr>
              <w:jc w:val="center"/>
              <w:rPr>
                <w:rFonts w:ascii="Palatino Linotype" w:hAnsi="Palatino Linotype" w:cs="Arial"/>
              </w:rPr>
            </w:pPr>
            <w:r>
              <w:rPr>
                <w:rFonts w:ascii="Palatino Linotype" w:hAnsi="Palatino Linotype" w:cs="Arial"/>
              </w:rPr>
              <w:t>Secretario Técnico del Pleno</w:t>
            </w:r>
          </w:p>
          <w:p w:rsidR="0017587F" w:rsidRDefault="007E4334">
            <w:pPr>
              <w:pStyle w:val="Piedepgina"/>
              <w:jc w:val="center"/>
              <w:rPr>
                <w:rFonts w:ascii="Palatino Linotype" w:hAnsi="Palatino Linotype" w:cs="Arial"/>
                <w:b/>
              </w:rPr>
            </w:pPr>
            <w:r>
              <w:rPr>
                <w:rFonts w:ascii="Palatino Linotype" w:hAnsi="Palatino Linotype" w:cs="Arial"/>
                <w:b/>
              </w:rPr>
              <w:t>(RÚBRICA)</w:t>
            </w:r>
          </w:p>
        </w:tc>
      </w:tr>
      <w:tr w:rsidR="0017587F">
        <w:trPr>
          <w:trHeight w:val="253"/>
          <w:jc w:val="center"/>
        </w:trPr>
        <w:tc>
          <w:tcPr>
            <w:tcW w:w="10059" w:type="dxa"/>
            <w:gridSpan w:val="2"/>
          </w:tcPr>
          <w:p w:rsidR="0017587F" w:rsidRDefault="0017587F">
            <w:pPr>
              <w:jc w:val="both"/>
              <w:rPr>
                <w:rFonts w:ascii="Palatino Linotype" w:hAnsi="Palatino Linotype" w:cs="Arial"/>
                <w:sz w:val="22"/>
                <w:szCs w:val="22"/>
                <w:lang w:val="es-ES"/>
              </w:rPr>
            </w:pPr>
          </w:p>
          <w:p w:rsidR="0017587F" w:rsidRDefault="0017587F">
            <w:pPr>
              <w:jc w:val="both"/>
              <w:rPr>
                <w:rFonts w:ascii="Palatino Linotype" w:hAnsi="Palatino Linotype" w:cs="Arial"/>
                <w:sz w:val="22"/>
                <w:szCs w:val="22"/>
                <w:lang w:val="es-ES"/>
              </w:rPr>
            </w:pPr>
          </w:p>
          <w:p w:rsidR="0017587F" w:rsidRDefault="007E4334">
            <w:pPr>
              <w:jc w:val="both"/>
              <w:rPr>
                <w:rFonts w:ascii="Palatino Linotype" w:hAnsi="Palatino Linotype" w:cs="Arial"/>
                <w:sz w:val="22"/>
                <w:szCs w:val="22"/>
                <w:lang w:val="es-ES"/>
              </w:rPr>
            </w:pPr>
            <w:r>
              <w:rPr>
                <w:rFonts w:ascii="Palatino Linotype" w:hAnsi="Palatino Linotype" w:cs="Arial"/>
                <w:sz w:val="22"/>
                <w:szCs w:val="22"/>
                <w:lang w:val="es-ES"/>
              </w:rPr>
              <w:t>Esta hoja corresponde a la resolución de fecha diecinueve de agosto de dos mil veinte, emitida en el recurso de revisión 01032/INFOEM/IP/RR/2020.</w:t>
            </w:r>
          </w:p>
          <w:p w:rsidR="0017587F" w:rsidRDefault="007E4334">
            <w:pPr>
              <w:jc w:val="both"/>
              <w:rPr>
                <w:rFonts w:ascii="Palatino Linotype" w:hAnsi="Palatino Linotype" w:cs="Arial"/>
              </w:rPr>
            </w:pPr>
            <w:r>
              <w:rPr>
                <w:rFonts w:ascii="Palatino Linotype" w:hAnsi="Palatino Linotype" w:cs="Arial"/>
                <w:sz w:val="22"/>
                <w:szCs w:val="22"/>
                <w:lang w:val="es-ES"/>
              </w:rPr>
              <w:t>YSM/IAHA</w:t>
            </w:r>
          </w:p>
        </w:tc>
        <w:tc>
          <w:tcPr>
            <w:tcW w:w="14" w:type="dxa"/>
          </w:tcPr>
          <w:p w:rsidR="0017587F" w:rsidRDefault="0017587F"/>
        </w:tc>
      </w:tr>
    </w:tbl>
    <w:p w:rsidR="0017587F" w:rsidRDefault="0017587F">
      <w:pPr>
        <w:spacing w:beforeAutospacing="1" w:afterAutospacing="1" w:line="360" w:lineRule="auto"/>
        <w:jc w:val="both"/>
        <w:rPr>
          <w:rFonts w:ascii="Palatino Linotype" w:hAnsi="Palatino Linotype"/>
          <w:color w:val="000000"/>
          <w:lang w:val="es-ES"/>
        </w:rPr>
      </w:pPr>
    </w:p>
    <w:sectPr w:rsidR="0017587F">
      <w:headerReference w:type="default" r:id="rId14"/>
      <w:footerReference w:type="default" r:id="rId15"/>
      <w:headerReference w:type="first" r:id="rId16"/>
      <w:footerReference w:type="first" r:id="rId17"/>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02E" w:rsidRDefault="00A1302E">
      <w:r>
        <w:separator/>
      </w:r>
    </w:p>
  </w:endnote>
  <w:endnote w:type="continuationSeparator" w:id="0">
    <w:p w:rsidR="00A1302E" w:rsidRDefault="00A1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7F" w:rsidRDefault="007E4334">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F13256">
      <w:rPr>
        <w:rFonts w:ascii="Palatino Linotype" w:hAnsi="Palatino Linotype" w:cs="Arial"/>
        <w:bCs/>
        <w:noProof/>
        <w:sz w:val="22"/>
        <w:szCs w:val="22"/>
      </w:rPr>
      <w:t>21</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F13256">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7F" w:rsidRDefault="007E4334">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F13256">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F13256">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02E" w:rsidRDefault="00A1302E">
      <w:r>
        <w:separator/>
      </w:r>
    </w:p>
  </w:footnote>
  <w:footnote w:type="continuationSeparator" w:id="0">
    <w:p w:rsidR="00A1302E" w:rsidRDefault="00A13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7F" w:rsidRDefault="007E4334">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34"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3"/>
      <w:gridCol w:w="2557"/>
      <w:gridCol w:w="3724"/>
    </w:tblGrid>
    <w:tr w:rsidR="0017587F">
      <w:tc>
        <w:tcPr>
          <w:tcW w:w="3253" w:type="dxa"/>
          <w:vMerge w:val="restart"/>
        </w:tcPr>
        <w:p w:rsidR="0017587F" w:rsidRDefault="007E4334">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rsidR="0017587F" w:rsidRDefault="007E433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17587F" w:rsidRDefault="007E4334">
          <w:pPr>
            <w:jc w:val="both"/>
            <w:rPr>
              <w:rFonts w:ascii="Palatino Linotype" w:hAnsi="Palatino Linotype"/>
              <w:b/>
              <w:sz w:val="22"/>
              <w:szCs w:val="22"/>
              <w:lang w:val="es-ES_tradnl"/>
            </w:rPr>
          </w:pPr>
          <w:r>
            <w:rPr>
              <w:rFonts w:ascii="Palatino Linotype" w:hAnsi="Palatino Linotype"/>
              <w:b/>
              <w:sz w:val="22"/>
              <w:szCs w:val="22"/>
              <w:lang w:val="es-ES_tradnl"/>
            </w:rPr>
            <w:t>01032/INFOEM/IP/RR/2020</w:t>
          </w:r>
        </w:p>
      </w:tc>
    </w:tr>
    <w:tr w:rsidR="0017587F">
      <w:tc>
        <w:tcPr>
          <w:tcW w:w="3253" w:type="dxa"/>
          <w:vMerge/>
        </w:tcPr>
        <w:p w:rsidR="0017587F" w:rsidRDefault="0017587F">
          <w:pPr>
            <w:rPr>
              <w:rFonts w:ascii="Palatino Linotype" w:hAnsi="Palatino Linotype"/>
              <w:b/>
              <w:sz w:val="22"/>
              <w:szCs w:val="22"/>
              <w:lang w:val="es-ES_tradnl"/>
            </w:rPr>
          </w:pPr>
        </w:p>
      </w:tc>
      <w:tc>
        <w:tcPr>
          <w:tcW w:w="2557" w:type="dxa"/>
          <w:shd w:val="clear" w:color="auto" w:fill="auto"/>
        </w:tcPr>
        <w:p w:rsidR="0017587F" w:rsidRDefault="007E433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17587F" w:rsidRDefault="007E4334">
          <w:pPr>
            <w:jc w:val="both"/>
            <w:rPr>
              <w:rFonts w:ascii="Palatino Linotype" w:hAnsi="Palatino Linotype"/>
              <w:b/>
              <w:sz w:val="22"/>
              <w:szCs w:val="22"/>
              <w:lang w:val="es-ES_tradnl"/>
            </w:rPr>
          </w:pPr>
          <w:r>
            <w:rPr>
              <w:rFonts w:ascii="Palatino Linotype" w:hAnsi="Palatino Linotype"/>
              <w:b/>
              <w:sz w:val="22"/>
              <w:szCs w:val="22"/>
              <w:lang w:val="es-ES_tradnl"/>
            </w:rPr>
            <w:t>Instituto de Investigación y Fomento de las Artesanías del Estado de México</w:t>
          </w:r>
        </w:p>
      </w:tc>
    </w:tr>
    <w:tr w:rsidR="0017587F">
      <w:trPr>
        <w:trHeight w:val="228"/>
      </w:trPr>
      <w:tc>
        <w:tcPr>
          <w:tcW w:w="3253" w:type="dxa"/>
          <w:vMerge/>
        </w:tcPr>
        <w:p w:rsidR="0017587F" w:rsidRDefault="0017587F">
          <w:pPr>
            <w:rPr>
              <w:rFonts w:ascii="Palatino Linotype" w:hAnsi="Palatino Linotype"/>
              <w:b/>
              <w:sz w:val="22"/>
              <w:szCs w:val="22"/>
              <w:lang w:val="es-ES_tradnl"/>
            </w:rPr>
          </w:pPr>
        </w:p>
      </w:tc>
      <w:tc>
        <w:tcPr>
          <w:tcW w:w="2557" w:type="dxa"/>
          <w:shd w:val="clear" w:color="auto" w:fill="auto"/>
        </w:tcPr>
        <w:p w:rsidR="0017587F" w:rsidRDefault="007E433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17587F" w:rsidRDefault="007E4334">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7587F" w:rsidRDefault="0017587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7F" w:rsidRDefault="007E4334">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35" behindDoc="1" locked="0" layoutInCell="1" allowOverlap="1">
          <wp:simplePos x="0" y="0"/>
          <wp:positionH relativeFrom="column">
            <wp:align>center</wp:align>
          </wp:positionH>
          <wp:positionV relativeFrom="margin">
            <wp:align>center</wp:align>
          </wp:positionV>
          <wp:extent cx="6858635" cy="9144635"/>
          <wp:effectExtent l="0" t="0" r="0" b="0"/>
          <wp:wrapNone/>
          <wp:docPr id="13"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17587F">
      <w:tc>
        <w:tcPr>
          <w:tcW w:w="4250" w:type="dxa"/>
          <w:vMerge w:val="restart"/>
          <w:shd w:val="clear" w:color="auto" w:fill="auto"/>
        </w:tcPr>
        <w:p w:rsidR="0017587F" w:rsidRDefault="007E4334">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17587F" w:rsidRDefault="007E433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17587F" w:rsidRDefault="007E4334">
          <w:pPr>
            <w:jc w:val="both"/>
            <w:rPr>
              <w:rFonts w:ascii="Palatino Linotype" w:hAnsi="Palatino Linotype"/>
              <w:b/>
              <w:sz w:val="22"/>
              <w:szCs w:val="22"/>
              <w:lang w:val="es-ES_tradnl"/>
            </w:rPr>
          </w:pPr>
          <w:r>
            <w:rPr>
              <w:rFonts w:ascii="Palatino Linotype" w:hAnsi="Palatino Linotype"/>
              <w:b/>
              <w:sz w:val="22"/>
              <w:szCs w:val="22"/>
              <w:lang w:val="es-ES_tradnl"/>
            </w:rPr>
            <w:t>01032/INFOEM/IP/RR/2020</w:t>
          </w:r>
        </w:p>
      </w:tc>
    </w:tr>
    <w:tr w:rsidR="0017587F">
      <w:tc>
        <w:tcPr>
          <w:tcW w:w="4250" w:type="dxa"/>
          <w:vMerge/>
          <w:shd w:val="clear" w:color="auto" w:fill="auto"/>
        </w:tcPr>
        <w:p w:rsidR="0017587F" w:rsidRDefault="0017587F">
          <w:pPr>
            <w:rPr>
              <w:rFonts w:ascii="Palatino Linotype" w:hAnsi="Palatino Linotype"/>
              <w:b/>
              <w:sz w:val="22"/>
              <w:szCs w:val="22"/>
              <w:lang w:val="es-ES_tradnl"/>
            </w:rPr>
          </w:pPr>
        </w:p>
      </w:tc>
      <w:tc>
        <w:tcPr>
          <w:tcW w:w="2548" w:type="dxa"/>
          <w:shd w:val="clear" w:color="auto" w:fill="auto"/>
        </w:tcPr>
        <w:p w:rsidR="0017587F" w:rsidRDefault="007E433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17587F" w:rsidRDefault="00C5297F" w:rsidP="00C5297F">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7E4334">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7E4334">
            <w:rPr>
              <w:rFonts w:ascii="Palatino Linotype" w:hAnsi="Palatino Linotype"/>
              <w:b/>
              <w:sz w:val="22"/>
              <w:szCs w:val="22"/>
              <w:lang w:val="es-ES_tradnl"/>
            </w:rPr>
            <w:t xml:space="preserve"> </w:t>
          </w:r>
          <w:r>
            <w:rPr>
              <w:rFonts w:ascii="Palatino Linotype" w:hAnsi="Palatino Linotype"/>
              <w:b/>
              <w:sz w:val="22"/>
              <w:szCs w:val="22"/>
              <w:lang w:val="es-ES_tradnl"/>
            </w:rPr>
            <w:t>xxx</w:t>
          </w:r>
          <w:r w:rsidR="007E4334">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7E4334">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7E4334">
            <w:rPr>
              <w:rFonts w:ascii="Palatino Linotype" w:hAnsi="Palatino Linotype"/>
              <w:b/>
              <w:sz w:val="22"/>
              <w:szCs w:val="22"/>
              <w:lang w:val="es-ES_tradnl"/>
            </w:rPr>
            <w:t xml:space="preserve"> </w:t>
          </w:r>
          <w:r>
            <w:rPr>
              <w:rFonts w:ascii="Palatino Linotype" w:hAnsi="Palatino Linotype"/>
              <w:b/>
              <w:sz w:val="22"/>
              <w:szCs w:val="22"/>
              <w:lang w:val="es-ES_tradnl"/>
            </w:rPr>
            <w:t>Xx Xxxxxxxxxxxxx</w:t>
          </w:r>
        </w:p>
      </w:tc>
    </w:tr>
    <w:tr w:rsidR="0017587F">
      <w:trPr>
        <w:trHeight w:val="228"/>
      </w:trPr>
      <w:tc>
        <w:tcPr>
          <w:tcW w:w="4250" w:type="dxa"/>
          <w:vMerge/>
          <w:shd w:val="clear" w:color="auto" w:fill="auto"/>
        </w:tcPr>
        <w:p w:rsidR="0017587F" w:rsidRDefault="0017587F">
          <w:pPr>
            <w:rPr>
              <w:rFonts w:ascii="Palatino Linotype" w:hAnsi="Palatino Linotype"/>
              <w:b/>
              <w:sz w:val="22"/>
              <w:szCs w:val="22"/>
              <w:lang w:val="es-ES_tradnl"/>
            </w:rPr>
          </w:pPr>
        </w:p>
      </w:tc>
      <w:tc>
        <w:tcPr>
          <w:tcW w:w="2548" w:type="dxa"/>
          <w:shd w:val="clear" w:color="auto" w:fill="auto"/>
        </w:tcPr>
        <w:p w:rsidR="0017587F" w:rsidRDefault="007E433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17587F" w:rsidRDefault="007E4334">
          <w:pPr>
            <w:jc w:val="both"/>
            <w:rPr>
              <w:rFonts w:ascii="Palatino Linotype" w:hAnsi="Palatino Linotype"/>
              <w:b/>
              <w:sz w:val="22"/>
              <w:szCs w:val="22"/>
            </w:rPr>
          </w:pPr>
          <w:r>
            <w:rPr>
              <w:rFonts w:ascii="Palatino Linotype" w:hAnsi="Palatino Linotype"/>
              <w:b/>
              <w:sz w:val="22"/>
              <w:szCs w:val="22"/>
            </w:rPr>
            <w:t>Instituto de Investigación y Fomento de Las Artesanías del Estado de México</w:t>
          </w:r>
        </w:p>
      </w:tc>
    </w:tr>
    <w:tr w:rsidR="0017587F">
      <w:tc>
        <w:tcPr>
          <w:tcW w:w="4250" w:type="dxa"/>
          <w:vMerge/>
          <w:shd w:val="clear" w:color="auto" w:fill="auto"/>
        </w:tcPr>
        <w:p w:rsidR="0017587F" w:rsidRDefault="0017587F">
          <w:pPr>
            <w:rPr>
              <w:rFonts w:ascii="Palatino Linotype" w:hAnsi="Palatino Linotype"/>
              <w:b/>
              <w:sz w:val="22"/>
              <w:szCs w:val="22"/>
              <w:lang w:val="es-ES_tradnl"/>
            </w:rPr>
          </w:pPr>
        </w:p>
      </w:tc>
      <w:tc>
        <w:tcPr>
          <w:tcW w:w="2548" w:type="dxa"/>
          <w:shd w:val="clear" w:color="auto" w:fill="auto"/>
        </w:tcPr>
        <w:p w:rsidR="0017587F" w:rsidRDefault="007E433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17587F" w:rsidRDefault="007E4334">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7587F" w:rsidRDefault="0017587F">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60366"/>
    <w:multiLevelType w:val="multilevel"/>
    <w:tmpl w:val="0290C69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00F5DE1"/>
    <w:multiLevelType w:val="multilevel"/>
    <w:tmpl w:val="B704CD9A"/>
    <w:lvl w:ilvl="0">
      <w:start w:val="9"/>
      <w:numFmt w:val="upperRoman"/>
      <w:lvlText w:val="%1."/>
      <w:lvlJc w:val="left"/>
      <w:pPr>
        <w:tabs>
          <w:tab w:val="num" w:pos="720"/>
        </w:tabs>
        <w:ind w:left="720" w:hanging="360"/>
      </w:pPr>
      <w:rPr>
        <w:b/>
        <w:bCs/>
        <w:sz w:val="28"/>
        <w:szCs w:val="28"/>
      </w:rPr>
    </w:lvl>
    <w:lvl w:ilvl="1">
      <w:start w:val="1"/>
      <w:numFmt w:val="upperRoman"/>
      <w:lvlText w:val="%2."/>
      <w:lvlJc w:val="left"/>
      <w:pPr>
        <w:tabs>
          <w:tab w:val="num" w:pos="1080"/>
        </w:tabs>
        <w:ind w:left="1080" w:hanging="360"/>
      </w:pPr>
      <w:rPr>
        <w:b/>
        <w:bCs/>
        <w:sz w:val="28"/>
        <w:szCs w:val="28"/>
      </w:rPr>
    </w:lvl>
    <w:lvl w:ilvl="2">
      <w:start w:val="1"/>
      <w:numFmt w:val="upperRoman"/>
      <w:lvlText w:val="%3."/>
      <w:lvlJc w:val="left"/>
      <w:pPr>
        <w:tabs>
          <w:tab w:val="num" w:pos="1440"/>
        </w:tabs>
        <w:ind w:left="1440" w:hanging="360"/>
      </w:pPr>
      <w:rPr>
        <w:b/>
        <w:bCs/>
        <w:sz w:val="28"/>
        <w:szCs w:val="28"/>
      </w:rPr>
    </w:lvl>
    <w:lvl w:ilvl="3">
      <w:start w:val="1"/>
      <w:numFmt w:val="upperRoman"/>
      <w:lvlText w:val="%4."/>
      <w:lvlJc w:val="left"/>
      <w:pPr>
        <w:tabs>
          <w:tab w:val="num" w:pos="1800"/>
        </w:tabs>
        <w:ind w:left="1800" w:hanging="360"/>
      </w:pPr>
      <w:rPr>
        <w:b/>
        <w:bCs/>
        <w:sz w:val="28"/>
        <w:szCs w:val="28"/>
      </w:rPr>
    </w:lvl>
    <w:lvl w:ilvl="4">
      <w:start w:val="1"/>
      <w:numFmt w:val="upperRoman"/>
      <w:lvlText w:val="%5."/>
      <w:lvlJc w:val="left"/>
      <w:pPr>
        <w:tabs>
          <w:tab w:val="num" w:pos="2160"/>
        </w:tabs>
        <w:ind w:left="2160" w:hanging="360"/>
      </w:pPr>
      <w:rPr>
        <w:b/>
        <w:bCs/>
        <w:sz w:val="28"/>
        <w:szCs w:val="28"/>
      </w:rPr>
    </w:lvl>
    <w:lvl w:ilvl="5">
      <w:start w:val="1"/>
      <w:numFmt w:val="upperRoman"/>
      <w:lvlText w:val="%6."/>
      <w:lvlJc w:val="left"/>
      <w:pPr>
        <w:tabs>
          <w:tab w:val="num" w:pos="2520"/>
        </w:tabs>
        <w:ind w:left="2520" w:hanging="360"/>
      </w:pPr>
      <w:rPr>
        <w:b/>
        <w:bCs/>
        <w:sz w:val="28"/>
        <w:szCs w:val="28"/>
      </w:rPr>
    </w:lvl>
    <w:lvl w:ilvl="6">
      <w:start w:val="1"/>
      <w:numFmt w:val="upperRoman"/>
      <w:lvlText w:val="%7."/>
      <w:lvlJc w:val="left"/>
      <w:pPr>
        <w:tabs>
          <w:tab w:val="num" w:pos="2880"/>
        </w:tabs>
        <w:ind w:left="2880" w:hanging="360"/>
      </w:pPr>
      <w:rPr>
        <w:b/>
        <w:bCs/>
        <w:sz w:val="28"/>
        <w:szCs w:val="28"/>
      </w:rPr>
    </w:lvl>
    <w:lvl w:ilvl="7">
      <w:start w:val="1"/>
      <w:numFmt w:val="upperRoman"/>
      <w:lvlText w:val="%8."/>
      <w:lvlJc w:val="left"/>
      <w:pPr>
        <w:tabs>
          <w:tab w:val="num" w:pos="3240"/>
        </w:tabs>
        <w:ind w:left="3240" w:hanging="360"/>
      </w:pPr>
      <w:rPr>
        <w:b/>
        <w:bCs/>
        <w:sz w:val="28"/>
        <w:szCs w:val="28"/>
      </w:rPr>
    </w:lvl>
    <w:lvl w:ilvl="8">
      <w:start w:val="1"/>
      <w:numFmt w:val="upperRoman"/>
      <w:lvlText w:val="%9."/>
      <w:lvlJc w:val="left"/>
      <w:pPr>
        <w:tabs>
          <w:tab w:val="num" w:pos="3600"/>
        </w:tabs>
        <w:ind w:left="3600" w:hanging="360"/>
      </w:pPr>
      <w:rPr>
        <w:b/>
        <w:bCs/>
        <w:sz w:val="28"/>
        <w:szCs w:val="28"/>
      </w:rPr>
    </w:lvl>
  </w:abstractNum>
  <w:abstractNum w:abstractNumId="2" w15:restartNumberingAfterBreak="0">
    <w:nsid w:val="3E49348C"/>
    <w:multiLevelType w:val="multilevel"/>
    <w:tmpl w:val="31AAB90A"/>
    <w:lvl w:ilvl="0">
      <w:start w:val="1"/>
      <w:numFmt w:val="ordinalText"/>
      <w:lvlText w:val="%1."/>
      <w:lvlJc w:val="left"/>
      <w:pPr>
        <w:ind w:left="720"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87F"/>
    <w:rsid w:val="0017587F"/>
    <w:rsid w:val="007E4334"/>
    <w:rsid w:val="00A1302E"/>
    <w:rsid w:val="00C5297F"/>
    <w:rsid w:val="00F13256"/>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8DD44-C556-4F8F-81E1-9183690DE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DB932-959D-4614-806B-47B0792D3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8085</Words>
  <Characters>44469</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Itze Hdz.</cp:lastModifiedBy>
  <cp:revision>2</cp:revision>
  <cp:lastPrinted>2020-01-22T19:55:00Z</cp:lastPrinted>
  <dcterms:created xsi:type="dcterms:W3CDTF">2020-08-27T00:24:00Z</dcterms:created>
  <dcterms:modified xsi:type="dcterms:W3CDTF">2020-08-27T00:24:00Z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