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360" w:lineRule="auto"/>
        <w:jc w:val="both"/>
        <w:rPr>
          <w:rFonts w:ascii="Palatino Linotype" w:cs="Palatino Linotype" w:eastAsia="Palatino Linotype" w:hAnsi="Palatino Linotype"/>
        </w:rPr>
      </w:pPr>
      <w:bookmarkStart w:colFirst="0" w:colLast="0" w:name="_heading=h.gjdgxs" w:id="0"/>
      <w:bookmarkEnd w:id="0"/>
      <w:r w:rsidDel="00000000" w:rsidR="00000000" w:rsidRPr="00000000">
        <w:rPr>
          <w:rFonts w:ascii="Palatino Linotype" w:cs="Palatino Linotype" w:eastAsia="Palatino Linotype" w:hAnsi="Palatino Linotype"/>
          <w:rtl w:val="0"/>
        </w:rPr>
        <w:t xml:space="preserve">Resolución del Pleno del Instituto de Transparencia, Acceso a la Información Pública y Protección de Datos Personales del Estado de México y Municipios, con domicilio en Metepec, Estado de México, de fecha uno de diciembre del dos mil veintiuno</w:t>
      </w:r>
    </w:p>
    <w:p w:rsidR="00000000" w:rsidDel="00000000" w:rsidP="00000000" w:rsidRDefault="00000000" w:rsidRPr="00000000" w14:paraId="00000002">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Visto </w:t>
      </w:r>
      <w:r w:rsidDel="00000000" w:rsidR="00000000" w:rsidRPr="00000000">
        <w:rPr>
          <w:rFonts w:ascii="Palatino Linotype" w:cs="Palatino Linotype" w:eastAsia="Palatino Linotype" w:hAnsi="Palatino Linotype"/>
          <w:rtl w:val="0"/>
        </w:rPr>
        <w:t xml:space="preserve">el expediente relativo al recurso de revisión </w:t>
      </w:r>
      <w:r w:rsidDel="00000000" w:rsidR="00000000" w:rsidRPr="00000000">
        <w:rPr>
          <w:rFonts w:ascii="Palatino Linotype" w:cs="Palatino Linotype" w:eastAsia="Palatino Linotype" w:hAnsi="Palatino Linotype"/>
          <w:b w:val="1"/>
          <w:rtl w:val="0"/>
        </w:rPr>
        <w:t xml:space="preserve">05079/INFOEM/IP/RR/2021</w:t>
      </w:r>
      <w:r w:rsidDel="00000000" w:rsidR="00000000" w:rsidRPr="00000000">
        <w:rPr>
          <w:rFonts w:ascii="Palatino Linotype" w:cs="Palatino Linotype" w:eastAsia="Palatino Linotype" w:hAnsi="Palatino Linotype"/>
          <w:rtl w:val="0"/>
        </w:rPr>
        <w:t xml:space="preserve">, interpuesto por </w:t>
      </w:r>
      <w:r w:rsidDel="00000000" w:rsidR="00000000" w:rsidRPr="00000000">
        <w:rPr>
          <w:rFonts w:ascii="Palatino Linotype" w:cs="Palatino Linotype" w:eastAsia="Palatino Linotype" w:hAnsi="Palatino Linotype"/>
          <w:b w:val="1"/>
          <w:rtl w:val="0"/>
        </w:rPr>
        <w:t xml:space="preserve">XXXX XXXXXXX XXXXXXXXX XXXXXX</w:t>
      </w:r>
      <w:r w:rsidDel="00000000" w:rsidR="00000000" w:rsidRPr="00000000">
        <w:rPr>
          <w:rFonts w:ascii="Palatino Linotype" w:cs="Palatino Linotype" w:eastAsia="Palatino Linotype" w:hAnsi="Palatino Linotype"/>
          <w:rtl w:val="0"/>
        </w:rPr>
        <w:t xml:space="preserve">, en lo sucesivo el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en contra de la falta de respuesta a la solicitud de información con número de folio </w:t>
      </w:r>
      <w:r w:rsidDel="00000000" w:rsidR="00000000" w:rsidRPr="00000000">
        <w:rPr>
          <w:rFonts w:ascii="Palatino Linotype" w:cs="Palatino Linotype" w:eastAsia="Palatino Linotype" w:hAnsi="Palatino Linotype"/>
          <w:b w:val="1"/>
          <w:rtl w:val="0"/>
        </w:rPr>
        <w:t xml:space="preserve">00074/AXAPUSCO/IP/2021,</w:t>
      </w:r>
      <w:r w:rsidDel="00000000" w:rsidR="00000000" w:rsidRPr="00000000">
        <w:rPr>
          <w:rFonts w:ascii="Palatino Linotype" w:cs="Palatino Linotype" w:eastAsia="Palatino Linotype" w:hAnsi="Palatino Linotype"/>
          <w:rtl w:val="0"/>
        </w:rPr>
        <w:t xml:space="preserve"> por parte del </w:t>
      </w:r>
      <w:r w:rsidDel="00000000" w:rsidR="00000000" w:rsidRPr="00000000">
        <w:rPr>
          <w:rFonts w:ascii="Palatino Linotype" w:cs="Palatino Linotype" w:eastAsia="Palatino Linotype" w:hAnsi="Palatino Linotype"/>
          <w:b w:val="1"/>
          <w:rtl w:val="0"/>
        </w:rPr>
        <w:t xml:space="preserve">Ayuntamiento de Axapusco</w:t>
      </w:r>
      <w:r w:rsidDel="00000000" w:rsidR="00000000" w:rsidRPr="00000000">
        <w:rPr>
          <w:rFonts w:ascii="Palatino Linotype" w:cs="Palatino Linotype" w:eastAsia="Palatino Linotype" w:hAnsi="Palatino Linotype"/>
          <w:rtl w:val="0"/>
        </w:rPr>
        <w:t xml:space="preserve">, en lo sucesivo 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se procede a dictar la presente resolución, con base en lo siguiente. </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360" w:lineRule="auto"/>
        <w:ind w:left="1077" w:right="0" w:hanging="720"/>
        <w:jc w:val="center"/>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A N T E C E D E N T E S:</w:t>
      </w:r>
    </w:p>
    <w:p w:rsidR="00000000" w:rsidDel="00000000" w:rsidP="00000000" w:rsidRDefault="00000000" w:rsidRPr="00000000" w14:paraId="00000004">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1. Solicitud de acceso a la información. </w:t>
      </w:r>
      <w:r w:rsidDel="00000000" w:rsidR="00000000" w:rsidRPr="00000000">
        <w:rPr>
          <w:rFonts w:ascii="Palatino Linotype" w:cs="Palatino Linotype" w:eastAsia="Palatino Linotype" w:hAnsi="Palatino Linotype"/>
          <w:rtl w:val="0"/>
        </w:rPr>
        <w:t xml:space="preserve">Con fecha veinte de septiembre del dos mil veintiuno, 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formuló solicitud de acceso a información pública al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a través del Sistema de Acceso a la Información Mexiquense, en adelante </w:t>
      </w:r>
      <w:r w:rsidDel="00000000" w:rsidR="00000000" w:rsidRPr="00000000">
        <w:rPr>
          <w:rFonts w:ascii="Palatino Linotype" w:cs="Palatino Linotype" w:eastAsia="Palatino Linotype" w:hAnsi="Palatino Linotype"/>
          <w:b w:val="1"/>
          <w:rtl w:val="0"/>
        </w:rPr>
        <w:t xml:space="preserve">SAIMEX,</w:t>
      </w:r>
      <w:r w:rsidDel="00000000" w:rsidR="00000000" w:rsidRPr="00000000">
        <w:rPr>
          <w:rFonts w:ascii="Palatino Linotype" w:cs="Palatino Linotype" w:eastAsia="Palatino Linotype" w:hAnsi="Palatino Linotype"/>
          <w:rtl w:val="0"/>
        </w:rPr>
        <w:t xml:space="preserve"> requiriéndole lo siguiente: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77" w:right="1043"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“Solicito me informen cuánto se le debe a cada proveedor del Ayuntamiento.” (Sic)</w:t>
      </w:r>
    </w:p>
    <w:p w:rsidR="00000000" w:rsidDel="00000000" w:rsidP="00000000" w:rsidRDefault="00000000" w:rsidRPr="00000000" w14:paraId="00000006">
      <w:pPr>
        <w:ind w:right="1043"/>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07">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Modalidad elegida para la entrega de la información: </w:t>
      </w:r>
      <w:r w:rsidDel="00000000" w:rsidR="00000000" w:rsidRPr="00000000">
        <w:rPr>
          <w:rFonts w:ascii="Palatino Linotype" w:cs="Palatino Linotype" w:eastAsia="Palatino Linotype" w:hAnsi="Palatino Linotype"/>
          <w:rtl w:val="0"/>
        </w:rPr>
        <w:t xml:space="preserve">a través del SAIMEX.</w:t>
      </w:r>
    </w:p>
    <w:p w:rsidR="00000000" w:rsidDel="00000000" w:rsidP="00000000" w:rsidRDefault="00000000" w:rsidRPr="00000000" w14:paraId="00000008">
      <w:pPr>
        <w:spacing w:after="240" w:before="240" w:line="360" w:lineRule="auto"/>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09">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2</w:t>
      </w:r>
      <w:r w:rsidDel="00000000" w:rsidR="00000000" w:rsidRPr="00000000">
        <w:rPr>
          <w:rFonts w:ascii="Palatino Linotype" w:cs="Palatino Linotype" w:eastAsia="Palatino Linotype" w:hAnsi="Palatino Linotype"/>
          <w:b w:val="1"/>
          <w:color w:val="000000"/>
          <w:rtl w:val="0"/>
        </w:rPr>
        <w:t xml:space="preserve">. Requerimiento de aclaración.</w:t>
      </w:r>
      <w:r w:rsidDel="00000000" w:rsidR="00000000" w:rsidRPr="00000000">
        <w:rPr>
          <w:rFonts w:ascii="Palatino Linotype" w:cs="Palatino Linotype" w:eastAsia="Palatino Linotype" w:hAnsi="Palatino Linotype"/>
          <w:color w:val="000000"/>
          <w:rtl w:val="0"/>
        </w:rPr>
        <w:t xml:space="preserve"> </w:t>
      </w:r>
      <w:r w:rsidDel="00000000" w:rsidR="00000000" w:rsidRPr="00000000">
        <w:rPr>
          <w:rFonts w:ascii="Palatino Linotype" w:cs="Palatino Linotype" w:eastAsia="Palatino Linotype" w:hAnsi="Palatino Linotype"/>
          <w:rtl w:val="0"/>
        </w:rPr>
        <w:t xml:space="preserve">De las constancias que obran en </w:t>
      </w:r>
      <w:r w:rsidDel="00000000" w:rsidR="00000000" w:rsidRPr="00000000">
        <w:rPr>
          <w:rFonts w:ascii="Palatino Linotype" w:cs="Palatino Linotype" w:eastAsia="Palatino Linotype" w:hAnsi="Palatino Linotype"/>
          <w:b w:val="1"/>
          <w:rtl w:val="0"/>
        </w:rPr>
        <w:t xml:space="preserve">SAIMEX</w:t>
      </w:r>
      <w:r w:rsidDel="00000000" w:rsidR="00000000" w:rsidRPr="00000000">
        <w:rPr>
          <w:rFonts w:ascii="Palatino Linotype" w:cs="Palatino Linotype" w:eastAsia="Palatino Linotype" w:hAnsi="Palatino Linotype"/>
          <w:rtl w:val="0"/>
        </w:rPr>
        <w:t xml:space="preserve">, se observa que </w:t>
      </w:r>
      <w:r w:rsidDel="00000000" w:rsidR="00000000" w:rsidRPr="00000000">
        <w:rPr>
          <w:rFonts w:ascii="Palatino Linotype" w:cs="Palatino Linotype" w:eastAsia="Palatino Linotype" w:hAnsi="Palatino Linotype"/>
          <w:b w:val="1"/>
          <w:rtl w:val="0"/>
        </w:rPr>
        <w:t xml:space="preserve">el Sujeto Obligado </w:t>
      </w:r>
      <w:r w:rsidDel="00000000" w:rsidR="00000000" w:rsidRPr="00000000">
        <w:rPr>
          <w:rFonts w:ascii="Palatino Linotype" w:cs="Palatino Linotype" w:eastAsia="Palatino Linotype" w:hAnsi="Palatino Linotype"/>
          <w:rtl w:val="0"/>
        </w:rPr>
        <w:t xml:space="preserve">en fecha veintidós de septiembre de dos mil veintiuno, le requirió al solicitante lo siguiente:</w:t>
      </w:r>
    </w:p>
    <w:p w:rsidR="00000000" w:rsidDel="00000000" w:rsidP="00000000" w:rsidRDefault="00000000" w:rsidRPr="00000000" w14:paraId="0000000A">
      <w:pPr>
        <w:ind w:left="851" w:right="851" w:firstLine="0"/>
        <w:jc w:val="both"/>
        <w:rPr>
          <w:rFonts w:ascii="Palatino Linotype" w:cs="Palatino Linotype" w:eastAsia="Palatino Linotype" w:hAnsi="Palatino Linotype"/>
          <w:i w:val="1"/>
          <w:color w:val="000000"/>
          <w:sz w:val="22"/>
          <w:szCs w:val="22"/>
        </w:rPr>
      </w:pPr>
      <w:r w:rsidDel="00000000" w:rsidR="00000000" w:rsidRPr="00000000">
        <w:rPr>
          <w:rFonts w:ascii="Palatino Linotype" w:cs="Palatino Linotype" w:eastAsia="Palatino Linotype" w:hAnsi="Palatino Linotype"/>
          <w:b w:val="1"/>
          <w:i w:val="1"/>
          <w:color w:val="000000"/>
          <w:sz w:val="22"/>
          <w:szCs w:val="22"/>
          <w:u w:val="single"/>
          <w:rtl w:val="0"/>
        </w:rPr>
        <w:t xml:space="preserve">Con fundamento en el articulo 159 de la Ley de Transparencia</w:t>
      </w:r>
      <w:r w:rsidDel="00000000" w:rsidR="00000000" w:rsidRPr="00000000">
        <w:rPr>
          <w:rFonts w:ascii="Palatino Linotype" w:cs="Palatino Linotype" w:eastAsia="Palatino Linotype" w:hAnsi="Palatino Linotype"/>
          <w:i w:val="1"/>
          <w:color w:val="000000"/>
          <w:sz w:val="22"/>
          <w:szCs w:val="22"/>
          <w:rtl w:val="0"/>
        </w:rPr>
        <w:t xml:space="preserve"> y Acceso a la Información Pública del Estado de México y Municipios, </w:t>
      </w:r>
      <w:r w:rsidDel="00000000" w:rsidR="00000000" w:rsidRPr="00000000">
        <w:rPr>
          <w:rFonts w:ascii="Palatino Linotype" w:cs="Palatino Linotype" w:eastAsia="Palatino Linotype" w:hAnsi="Palatino Linotype"/>
          <w:b w:val="1"/>
          <w:i w:val="1"/>
          <w:color w:val="000000"/>
          <w:sz w:val="22"/>
          <w:szCs w:val="22"/>
          <w:u w:val="single"/>
          <w:rtl w:val="0"/>
        </w:rPr>
        <w:t xml:space="preserve">se le requiere para que dentro del plazo de diez días hábiles realice lo siguiente</w:t>
      </w:r>
      <w:r w:rsidDel="00000000" w:rsidR="00000000" w:rsidRPr="00000000">
        <w:rPr>
          <w:rFonts w:ascii="Palatino Linotype" w:cs="Palatino Linotype" w:eastAsia="Palatino Linotype" w:hAnsi="Palatino Linotype"/>
          <w:i w:val="1"/>
          <w:color w:val="000000"/>
          <w:sz w:val="22"/>
          <w:szCs w:val="22"/>
          <w:rtl w:val="0"/>
        </w:rPr>
        <w:t xml:space="preserve">:</w:t>
      </w:r>
    </w:p>
    <w:p w:rsidR="00000000" w:rsidDel="00000000" w:rsidP="00000000" w:rsidRDefault="00000000" w:rsidRPr="00000000" w14:paraId="0000000B">
      <w:pPr>
        <w:ind w:left="851" w:right="851" w:firstLine="0"/>
        <w:jc w:val="both"/>
        <w:rPr>
          <w:rFonts w:ascii="Palatino Linotype" w:cs="Palatino Linotype" w:eastAsia="Palatino Linotype" w:hAnsi="Palatino Linotype"/>
          <w:i w:val="1"/>
          <w:color w:val="000000"/>
          <w:sz w:val="22"/>
          <w:szCs w:val="22"/>
        </w:rPr>
      </w:pPr>
      <w:r w:rsidDel="00000000" w:rsidR="00000000" w:rsidRPr="00000000">
        <w:rPr>
          <w:rtl w:val="0"/>
        </w:rPr>
      </w:r>
    </w:p>
    <w:p w:rsidR="00000000" w:rsidDel="00000000" w:rsidP="00000000" w:rsidRDefault="00000000" w:rsidRPr="00000000" w14:paraId="0000000C">
      <w:pPr>
        <w:ind w:left="851" w:right="851"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i w:val="1"/>
          <w:color w:val="000000"/>
          <w:sz w:val="22"/>
          <w:szCs w:val="22"/>
          <w:rtl w:val="0"/>
        </w:rPr>
        <w:t xml:space="preserve">en cuanto a </w:t>
      </w:r>
      <w:r w:rsidDel="00000000" w:rsidR="00000000" w:rsidRPr="00000000">
        <w:rPr>
          <w:rFonts w:ascii="Palatino Linotype" w:cs="Palatino Linotype" w:eastAsia="Palatino Linotype" w:hAnsi="Palatino Linotype"/>
          <w:b w:val="1"/>
          <w:i w:val="1"/>
          <w:color w:val="000000"/>
          <w:sz w:val="22"/>
          <w:szCs w:val="22"/>
          <w:u w:val="single"/>
          <w:rtl w:val="0"/>
        </w:rPr>
        <w:t xml:space="preserve">la categoría de los proveedores que desea conocer la información</w:t>
      </w:r>
      <w:r w:rsidDel="00000000" w:rsidR="00000000" w:rsidRPr="00000000">
        <w:rPr>
          <w:rFonts w:ascii="Palatino Linotype" w:cs="Palatino Linotype" w:eastAsia="Palatino Linotype" w:hAnsi="Palatino Linotype"/>
          <w:i w:val="1"/>
          <w:color w:val="000000"/>
          <w:sz w:val="22"/>
          <w:szCs w:val="22"/>
          <w:rtl w:val="0"/>
        </w:rPr>
        <w:t xml:space="preserve">.</w:t>
      </w:r>
      <w:r w:rsidDel="00000000" w:rsidR="00000000" w:rsidRPr="00000000">
        <w:rPr>
          <w:rtl w:val="0"/>
        </w:rPr>
      </w:r>
    </w:p>
    <w:p w:rsidR="00000000" w:rsidDel="00000000" w:rsidP="00000000" w:rsidRDefault="00000000" w:rsidRPr="00000000" w14:paraId="0000000D">
      <w:pPr>
        <w:ind w:left="851" w:right="851" w:firstLine="0"/>
        <w:jc w:val="both"/>
        <w:rPr>
          <w:rFonts w:ascii="Palatino Linotype" w:cs="Palatino Linotype" w:eastAsia="Palatino Linotype" w:hAnsi="Palatino Linotype"/>
          <w:i w:val="1"/>
          <w:color w:val="000000"/>
          <w:sz w:val="22"/>
          <w:szCs w:val="22"/>
        </w:rPr>
      </w:pPr>
      <w:r w:rsidDel="00000000" w:rsidR="00000000" w:rsidRPr="00000000">
        <w:rPr>
          <w:rtl w:val="0"/>
        </w:rPr>
      </w:r>
    </w:p>
    <w:p w:rsidR="00000000" w:rsidDel="00000000" w:rsidP="00000000" w:rsidRDefault="00000000" w:rsidRPr="00000000" w14:paraId="0000000E">
      <w:pPr>
        <w:ind w:left="851" w:right="851" w:firstLine="0"/>
        <w:jc w:val="both"/>
        <w:rPr>
          <w:rFonts w:ascii="Palatino Linotype" w:cs="Palatino Linotype" w:eastAsia="Palatino Linotype" w:hAnsi="Palatino Linotype"/>
          <w:i w:val="1"/>
          <w:color w:val="000000"/>
          <w:sz w:val="22"/>
          <w:szCs w:val="22"/>
        </w:rPr>
      </w:pPr>
      <w:r w:rsidDel="00000000" w:rsidR="00000000" w:rsidRPr="00000000">
        <w:rPr>
          <w:rFonts w:ascii="Palatino Linotype" w:cs="Palatino Linotype" w:eastAsia="Palatino Linotype" w:hAnsi="Palatino Linotype"/>
          <w:i w:val="1"/>
          <w:color w:val="000000"/>
          <w:sz w:val="22"/>
          <w:szCs w:val="22"/>
          <w:rtl w:val="0"/>
        </w:rPr>
        <w:t xml:space="preserve">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000000" w:rsidDel="00000000" w:rsidP="00000000" w:rsidRDefault="00000000" w:rsidRPr="00000000" w14:paraId="0000000F">
      <w:pPr>
        <w:ind w:left="851" w:right="851" w:firstLine="0"/>
        <w:jc w:val="both"/>
        <w:rPr>
          <w:rFonts w:ascii="Palatino Linotype" w:cs="Palatino Linotype" w:eastAsia="Palatino Linotype" w:hAnsi="Palatino Linotype"/>
          <w:i w:val="1"/>
          <w:color w:val="000000"/>
          <w:sz w:val="22"/>
          <w:szCs w:val="22"/>
        </w:rPr>
      </w:pPr>
      <w:r w:rsidDel="00000000" w:rsidR="00000000" w:rsidRPr="00000000">
        <w:rPr>
          <w:rtl w:val="0"/>
        </w:rPr>
      </w:r>
    </w:p>
    <w:p w:rsidR="00000000" w:rsidDel="00000000" w:rsidP="00000000" w:rsidRDefault="00000000" w:rsidRPr="00000000" w14:paraId="00000010">
      <w:pPr>
        <w:ind w:left="851" w:right="851" w:firstLine="0"/>
        <w:jc w:val="both"/>
        <w:rPr>
          <w:rFonts w:ascii="Palatino Linotype" w:cs="Palatino Linotype" w:eastAsia="Palatino Linotype" w:hAnsi="Palatino Linotype"/>
          <w:i w:val="1"/>
          <w:color w:val="000000"/>
          <w:sz w:val="22"/>
          <w:szCs w:val="22"/>
        </w:rPr>
      </w:pPr>
      <w:r w:rsidDel="00000000" w:rsidR="00000000" w:rsidRPr="00000000">
        <w:rPr>
          <w:rFonts w:ascii="Palatino Linotype" w:cs="Palatino Linotype" w:eastAsia="Palatino Linotype" w:hAnsi="Palatino Linotype"/>
          <w:i w:val="1"/>
          <w:color w:val="000000"/>
          <w:sz w:val="22"/>
          <w:szCs w:val="22"/>
          <w:rtl w:val="0"/>
        </w:rPr>
        <w:t xml:space="preserve">Énfasis añadido.</w:t>
      </w:r>
    </w:p>
    <w:p w:rsidR="00000000" w:rsidDel="00000000" w:rsidP="00000000" w:rsidRDefault="00000000" w:rsidRPr="00000000" w14:paraId="00000011">
      <w:pPr>
        <w:ind w:left="851" w:right="851" w:firstLine="0"/>
        <w:jc w:val="both"/>
        <w:rPr>
          <w:rFonts w:ascii="Palatino Linotype" w:cs="Palatino Linotype" w:eastAsia="Palatino Linotype" w:hAnsi="Palatino Linotype"/>
          <w:i w:val="1"/>
          <w:color w:val="000000"/>
          <w:sz w:val="22"/>
          <w:szCs w:val="22"/>
        </w:rPr>
      </w:pPr>
      <w:r w:rsidDel="00000000" w:rsidR="00000000" w:rsidRPr="00000000">
        <w:rPr>
          <w:rtl w:val="0"/>
        </w:rPr>
      </w:r>
    </w:p>
    <w:p w:rsidR="00000000" w:rsidDel="00000000" w:rsidP="00000000" w:rsidRDefault="00000000" w:rsidRPr="00000000" w14:paraId="00000012">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3</w:t>
      </w:r>
      <w:r w:rsidDel="00000000" w:rsidR="00000000" w:rsidRPr="00000000">
        <w:rPr>
          <w:rFonts w:ascii="Palatino Linotype" w:cs="Palatino Linotype" w:eastAsia="Palatino Linotype" w:hAnsi="Palatino Linotype"/>
          <w:b w:val="1"/>
          <w:color w:val="000000"/>
          <w:rtl w:val="0"/>
        </w:rPr>
        <w:t xml:space="preserve">. Aclaración.</w:t>
      </w:r>
      <w:r w:rsidDel="00000000" w:rsidR="00000000" w:rsidRPr="00000000">
        <w:rPr>
          <w:rFonts w:ascii="Palatino Linotype" w:cs="Palatino Linotype" w:eastAsia="Palatino Linotype" w:hAnsi="Palatino Linotype"/>
          <w:color w:val="000000"/>
          <w:rtl w:val="0"/>
        </w:rPr>
        <w:t xml:space="preserve"> </w:t>
      </w:r>
      <w:r w:rsidDel="00000000" w:rsidR="00000000" w:rsidRPr="00000000">
        <w:rPr>
          <w:rFonts w:ascii="Palatino Linotype" w:cs="Palatino Linotype" w:eastAsia="Palatino Linotype" w:hAnsi="Palatino Linotype"/>
          <w:rtl w:val="0"/>
        </w:rPr>
        <w:t xml:space="preserve">De las constancias que obran en </w:t>
      </w:r>
      <w:r w:rsidDel="00000000" w:rsidR="00000000" w:rsidRPr="00000000">
        <w:rPr>
          <w:rFonts w:ascii="Palatino Linotype" w:cs="Palatino Linotype" w:eastAsia="Palatino Linotype" w:hAnsi="Palatino Linotype"/>
          <w:b w:val="1"/>
          <w:rtl w:val="0"/>
        </w:rPr>
        <w:t xml:space="preserve">SAIMEX</w:t>
      </w:r>
      <w:r w:rsidDel="00000000" w:rsidR="00000000" w:rsidRPr="00000000">
        <w:rPr>
          <w:rFonts w:ascii="Palatino Linotype" w:cs="Palatino Linotype" w:eastAsia="Palatino Linotype" w:hAnsi="Palatino Linotype"/>
          <w:rtl w:val="0"/>
        </w:rPr>
        <w:t xml:space="preserve">, se observa que </w:t>
      </w:r>
      <w:r w:rsidDel="00000000" w:rsidR="00000000" w:rsidRPr="00000000">
        <w:rPr>
          <w:rFonts w:ascii="Palatino Linotype" w:cs="Palatino Linotype" w:eastAsia="Palatino Linotype" w:hAnsi="Palatino Linotype"/>
          <w:b w:val="1"/>
          <w:rtl w:val="0"/>
        </w:rPr>
        <w:t xml:space="preserve">el Recurrente </w:t>
      </w:r>
      <w:r w:rsidDel="00000000" w:rsidR="00000000" w:rsidRPr="00000000">
        <w:rPr>
          <w:rFonts w:ascii="Palatino Linotype" w:cs="Palatino Linotype" w:eastAsia="Palatino Linotype" w:hAnsi="Palatino Linotype"/>
          <w:rtl w:val="0"/>
        </w:rPr>
        <w:t xml:space="preserve">en fecha veintidós de septiembre de dos mil veintiuno, en atención al requerimiento de aclaración manifestó lo siguiente:</w:t>
      </w:r>
    </w:p>
    <w:p w:rsidR="00000000" w:rsidDel="00000000" w:rsidP="00000000" w:rsidRDefault="00000000" w:rsidRPr="00000000" w14:paraId="00000013">
      <w:pPr>
        <w:ind w:left="851" w:right="851" w:firstLine="0"/>
        <w:jc w:val="both"/>
        <w:rPr>
          <w:rFonts w:ascii="Palatino Linotype" w:cs="Palatino Linotype" w:eastAsia="Palatino Linotype" w:hAnsi="Palatino Linotype"/>
          <w:i w:val="1"/>
          <w:color w:val="000000"/>
          <w:sz w:val="22"/>
          <w:szCs w:val="22"/>
        </w:rPr>
      </w:pPr>
      <w:r w:rsidDel="00000000" w:rsidR="00000000" w:rsidRPr="00000000">
        <w:rPr>
          <w:rFonts w:ascii="Palatino Linotype" w:cs="Palatino Linotype" w:eastAsia="Palatino Linotype" w:hAnsi="Palatino Linotype"/>
          <w:i w:val="1"/>
          <w:color w:val="000000"/>
          <w:sz w:val="22"/>
          <w:szCs w:val="22"/>
          <w:rtl w:val="0"/>
        </w:rPr>
        <w:t xml:space="preserve">Buenas tardes. En vía de aclaración y con relación a su requerimiento, me permito manifestarle lo siguiente: </w:t>
      </w:r>
      <w:r w:rsidDel="00000000" w:rsidR="00000000" w:rsidRPr="00000000">
        <w:rPr>
          <w:rFonts w:ascii="Palatino Linotype" w:cs="Palatino Linotype" w:eastAsia="Palatino Linotype" w:hAnsi="Palatino Linotype"/>
          <w:b w:val="1"/>
          <w:i w:val="1"/>
          <w:color w:val="000000"/>
          <w:sz w:val="22"/>
          <w:szCs w:val="22"/>
          <w:u w:val="single"/>
          <w:rtl w:val="0"/>
        </w:rPr>
        <w:t xml:space="preserve">Me refiero solo a aquéllos proveedores a los que se les adeuda dinero, considerando el listado de 49 registrados en el Padrón de Proveedores publicado en su página como IPO</w:t>
      </w:r>
      <w:r w:rsidDel="00000000" w:rsidR="00000000" w:rsidRPr="00000000">
        <w:rPr>
          <w:rFonts w:ascii="Palatino Linotype" w:cs="Palatino Linotype" w:eastAsia="Palatino Linotype" w:hAnsi="Palatino Linotype"/>
          <w:i w:val="1"/>
          <w:color w:val="000000"/>
          <w:sz w:val="22"/>
          <w:szCs w:val="22"/>
          <w:rtl w:val="0"/>
        </w:rPr>
        <w:t xml:space="preserve"> por el Ayuntamiento. Gracias.</w:t>
      </w:r>
    </w:p>
    <w:p w:rsidR="00000000" w:rsidDel="00000000" w:rsidP="00000000" w:rsidRDefault="00000000" w:rsidRPr="00000000" w14:paraId="00000014">
      <w:pPr>
        <w:ind w:left="851" w:right="851" w:firstLine="0"/>
        <w:jc w:val="both"/>
        <w:rPr>
          <w:rFonts w:ascii="Palatino Linotype" w:cs="Palatino Linotype" w:eastAsia="Palatino Linotype" w:hAnsi="Palatino Linotype"/>
          <w:i w:val="1"/>
          <w:color w:val="000000"/>
          <w:sz w:val="22"/>
          <w:szCs w:val="22"/>
        </w:rPr>
      </w:pPr>
      <w:r w:rsidDel="00000000" w:rsidR="00000000" w:rsidRPr="00000000">
        <w:rPr>
          <w:rtl w:val="0"/>
        </w:rPr>
      </w:r>
    </w:p>
    <w:p w:rsidR="00000000" w:rsidDel="00000000" w:rsidP="00000000" w:rsidRDefault="00000000" w:rsidRPr="00000000" w14:paraId="00000015">
      <w:pPr>
        <w:ind w:left="851" w:right="851" w:firstLine="0"/>
        <w:jc w:val="both"/>
        <w:rPr>
          <w:rFonts w:ascii="Palatino Linotype" w:cs="Palatino Linotype" w:eastAsia="Palatino Linotype" w:hAnsi="Palatino Linotype"/>
          <w:i w:val="1"/>
          <w:color w:val="000000"/>
          <w:sz w:val="22"/>
          <w:szCs w:val="22"/>
        </w:rPr>
      </w:pPr>
      <w:r w:rsidDel="00000000" w:rsidR="00000000" w:rsidRPr="00000000">
        <w:rPr>
          <w:rFonts w:ascii="Palatino Linotype" w:cs="Palatino Linotype" w:eastAsia="Palatino Linotype" w:hAnsi="Palatino Linotype"/>
          <w:i w:val="1"/>
          <w:color w:val="000000"/>
          <w:sz w:val="22"/>
          <w:szCs w:val="22"/>
          <w:rtl w:val="0"/>
        </w:rPr>
        <w:t xml:space="preserve">Énfasis añadido.</w:t>
      </w:r>
    </w:p>
    <w:p w:rsidR="00000000" w:rsidDel="00000000" w:rsidP="00000000" w:rsidRDefault="00000000" w:rsidRPr="00000000" w14:paraId="00000016">
      <w:pPr>
        <w:ind w:left="851" w:right="851" w:firstLine="0"/>
        <w:jc w:val="both"/>
        <w:rPr>
          <w:rFonts w:ascii="Palatino Linotype" w:cs="Palatino Linotype" w:eastAsia="Palatino Linotype" w:hAnsi="Palatino Linotype"/>
          <w:i w:val="1"/>
          <w:color w:val="000000"/>
          <w:sz w:val="22"/>
          <w:szCs w:val="22"/>
        </w:rPr>
      </w:pPr>
      <w:r w:rsidDel="00000000" w:rsidR="00000000" w:rsidRPr="00000000">
        <w:rPr>
          <w:rtl w:val="0"/>
        </w:rPr>
      </w:r>
    </w:p>
    <w:p w:rsidR="00000000" w:rsidDel="00000000" w:rsidP="00000000" w:rsidRDefault="00000000" w:rsidRPr="00000000" w14:paraId="00000017">
      <w:pPr>
        <w:spacing w:after="240" w:before="24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4. Respuesta. </w:t>
      </w:r>
      <w:r w:rsidDel="00000000" w:rsidR="00000000" w:rsidRPr="00000000">
        <w:rPr>
          <w:rFonts w:ascii="Palatino Linotype" w:cs="Palatino Linotype" w:eastAsia="Palatino Linotype" w:hAnsi="Palatino Linotype"/>
          <w:rtl w:val="0"/>
        </w:rPr>
        <w:t xml:space="preserve">De las constancias que obran en </w:t>
      </w:r>
      <w:r w:rsidDel="00000000" w:rsidR="00000000" w:rsidRPr="00000000">
        <w:rPr>
          <w:rFonts w:ascii="Palatino Linotype" w:cs="Palatino Linotype" w:eastAsia="Palatino Linotype" w:hAnsi="Palatino Linotype"/>
          <w:b w:val="1"/>
          <w:rtl w:val="0"/>
        </w:rPr>
        <w:t xml:space="preserve">SAIMEX</w:t>
      </w:r>
      <w:r w:rsidDel="00000000" w:rsidR="00000000" w:rsidRPr="00000000">
        <w:rPr>
          <w:rFonts w:ascii="Palatino Linotype" w:cs="Palatino Linotype" w:eastAsia="Palatino Linotype" w:hAnsi="Palatino Linotype"/>
          <w:rtl w:val="0"/>
        </w:rPr>
        <w:t xml:space="preserve">, se observa que </w:t>
      </w:r>
      <w:r w:rsidDel="00000000" w:rsidR="00000000" w:rsidRPr="00000000">
        <w:rPr>
          <w:rFonts w:ascii="Palatino Linotype" w:cs="Palatino Linotype" w:eastAsia="Palatino Linotype" w:hAnsi="Palatino Linotype"/>
          <w:b w:val="1"/>
          <w:rtl w:val="0"/>
        </w:rPr>
        <w:t xml:space="preserve">el Sujeto Obligado </w:t>
      </w:r>
      <w:r w:rsidDel="00000000" w:rsidR="00000000" w:rsidRPr="00000000">
        <w:rPr>
          <w:rFonts w:ascii="Palatino Linotype" w:cs="Palatino Linotype" w:eastAsia="Palatino Linotype" w:hAnsi="Palatino Linotype"/>
          <w:rtl w:val="0"/>
        </w:rPr>
        <w:t xml:space="preserve">no emitió respuesta a la solicitud de información formulada por el hoy recurrente.</w:t>
      </w:r>
      <w:r w:rsidDel="00000000" w:rsidR="00000000" w:rsidRPr="00000000">
        <w:rPr>
          <w:rtl w:val="0"/>
        </w:rPr>
      </w:r>
    </w:p>
    <w:p w:rsidR="00000000" w:rsidDel="00000000" w:rsidP="00000000" w:rsidRDefault="00000000" w:rsidRPr="00000000" w14:paraId="00000018">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5. Interposición del recurso de revisión. </w:t>
      </w:r>
      <w:r w:rsidDel="00000000" w:rsidR="00000000" w:rsidRPr="00000000">
        <w:rPr>
          <w:rFonts w:ascii="Palatino Linotype" w:cs="Palatino Linotype" w:eastAsia="Palatino Linotype" w:hAnsi="Palatino Linotype"/>
          <w:rtl w:val="0"/>
        </w:rPr>
        <w:t xml:space="preserve">Inconforme el solicitante con la falta de respuesta del Sujeto Obligado, interpuso recurso de revisión a través del SAIMEX en fecha catorce de octubre del año dos mil veintiuno, expresando lo siguiente:</w:t>
      </w:r>
    </w:p>
    <w:p w:rsidR="00000000" w:rsidDel="00000000" w:rsidP="00000000" w:rsidRDefault="00000000" w:rsidRPr="00000000" w14:paraId="00000019">
      <w:pPr>
        <w:spacing w:line="360" w:lineRule="auto"/>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a) Acto impugnado.</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080" w:right="1043"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“La falta de respuesta.” (Sic)</w:t>
      </w:r>
    </w:p>
    <w:p w:rsidR="00000000" w:rsidDel="00000000" w:rsidP="00000000" w:rsidRDefault="00000000" w:rsidRPr="00000000" w14:paraId="0000001B">
      <w:pPr>
        <w:spacing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b) Motivos de inconformidad.</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080" w:right="1043"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 “</w:t>
      </w:r>
      <w:r w:rsidDel="00000000" w:rsidR="00000000" w:rsidRPr="00000000">
        <w:rPr>
          <w:rFonts w:ascii="Palatino Linotype" w:cs="Palatino Linotype" w:eastAsia="Palatino Linotype" w:hAnsi="Palatino Linotype"/>
          <w:b w:val="1"/>
          <w:i w:val="1"/>
          <w:smallCaps w:val="0"/>
          <w:strike w:val="0"/>
          <w:color w:val="000000"/>
          <w:sz w:val="22"/>
          <w:szCs w:val="22"/>
          <w:u w:val="single"/>
          <w:shd w:fill="auto" w:val="clear"/>
          <w:vertAlign w:val="baseline"/>
          <w:rtl w:val="0"/>
        </w:rPr>
        <w:t xml:space="preserve">El sujeto obligado no me dio respuesta</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 a pesar de que me requirió aclaración y lo hice. Lo que pedí se encuentra en su más reciente BALANZA DE COMPROBACION DETALLADA.”(Sic)</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080" w:right="1043"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Énfasis añadido.</w:t>
      </w:r>
    </w:p>
    <w:p w:rsidR="00000000" w:rsidDel="00000000" w:rsidP="00000000" w:rsidRDefault="00000000" w:rsidRPr="00000000" w14:paraId="0000001E">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6. Turno. </w:t>
      </w:r>
      <w:r w:rsidDel="00000000" w:rsidR="00000000" w:rsidRPr="00000000">
        <w:rPr>
          <w:rFonts w:ascii="Palatino Linotype" w:cs="Palatino Linotype" w:eastAsia="Palatino Linotype" w:hAnsi="Palatino Linotype"/>
          <w:rtl w:val="0"/>
        </w:rPr>
        <w:t xml:space="preserve">De conformidad con el artículo 185 Fracción I </w:t>
      </w:r>
      <w:r w:rsidDel="00000000" w:rsidR="00000000" w:rsidRPr="00000000">
        <w:rPr>
          <w:rFonts w:ascii="Palatino Linotype" w:cs="Palatino Linotype" w:eastAsia="Palatino Linotype" w:hAnsi="Palatino Linotype"/>
          <w:highlight w:val="white"/>
          <w:rtl w:val="0"/>
        </w:rPr>
        <w:t xml:space="preserve">de la Ley Transparencia y Acceso a la Información Pública</w:t>
      </w:r>
      <w:r w:rsidDel="00000000" w:rsidR="00000000" w:rsidRPr="00000000">
        <w:rPr>
          <w:rFonts w:ascii="Palatino Linotype" w:cs="Palatino Linotype" w:eastAsia="Palatino Linotype" w:hAnsi="Palatino Linotype"/>
          <w:rtl w:val="0"/>
        </w:rPr>
        <w:t xml:space="preserve">, el recurso de revisión número</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b w:val="1"/>
          <w:sz w:val="23"/>
          <w:szCs w:val="23"/>
          <w:rtl w:val="0"/>
        </w:rPr>
        <w:t xml:space="preserve">05079/INFOEM/IP/RR/2021 </w:t>
      </w:r>
      <w:r w:rsidDel="00000000" w:rsidR="00000000" w:rsidRPr="00000000">
        <w:rPr>
          <w:rFonts w:ascii="Palatino Linotype" w:cs="Palatino Linotype" w:eastAsia="Palatino Linotype" w:hAnsi="Palatino Linotype"/>
          <w:rtl w:val="0"/>
        </w:rPr>
        <w:t xml:space="preserve">fue turnado en fecha catorce de octubre de dos mil veintiuno a la </w:t>
      </w:r>
      <w:r w:rsidDel="00000000" w:rsidR="00000000" w:rsidRPr="00000000">
        <w:rPr>
          <w:rFonts w:ascii="Palatino Linotype" w:cs="Palatino Linotype" w:eastAsia="Palatino Linotype" w:hAnsi="Palatino Linotype"/>
          <w:b w:val="1"/>
          <w:rtl w:val="0"/>
        </w:rPr>
        <w:t xml:space="preserve">Comisionada Ponente Guadalupe Ramírez Peña</w:t>
      </w:r>
      <w:r w:rsidDel="00000000" w:rsidR="00000000" w:rsidRPr="00000000">
        <w:rPr>
          <w:rFonts w:ascii="Palatino Linotype" w:cs="Palatino Linotype" w:eastAsia="Palatino Linotype" w:hAnsi="Palatino Linotype"/>
          <w:rtl w:val="0"/>
        </w:rPr>
        <w:t xml:space="preserve">; a efecto de presentar al Pleno el proyecto de resolución correspondiente.</w:t>
      </w:r>
    </w:p>
    <w:p w:rsidR="00000000" w:rsidDel="00000000" w:rsidP="00000000" w:rsidRDefault="00000000" w:rsidRPr="00000000" w14:paraId="0000001F">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7. Admisión. </w:t>
      </w:r>
      <w:r w:rsidDel="00000000" w:rsidR="00000000" w:rsidRPr="00000000">
        <w:rPr>
          <w:rFonts w:ascii="Palatino Linotype" w:cs="Palatino Linotype" w:eastAsia="Palatino Linotype" w:hAnsi="Palatino Linotype"/>
          <w:rtl w:val="0"/>
        </w:rPr>
        <w:t xml:space="preserve">En fecha diecinueve de octubre del año dos mil veintiuno, en términos de lo dispuesto en el artículo 185 fracciones I, II y IV de la Ley de Transparencia y Acceso a la Información Pública del Estado de México y Municipios, se admitió a trámite el recurso de revisión al rubro indicado.</w:t>
      </w:r>
    </w:p>
    <w:p w:rsidR="00000000" w:rsidDel="00000000" w:rsidP="00000000" w:rsidRDefault="00000000" w:rsidRPr="00000000" w14:paraId="00000020">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8. Manifestaciones. </w:t>
      </w:r>
      <w:r w:rsidDel="00000000" w:rsidR="00000000" w:rsidRPr="00000000">
        <w:rPr>
          <w:rFonts w:ascii="Palatino Linotype" w:cs="Palatino Linotype" w:eastAsia="Palatino Linotype" w:hAnsi="Palatino Linotype"/>
          <w:rtl w:val="0"/>
        </w:rPr>
        <w:t xml:space="preserve">De las constancias que obran en el expediente electrónico del SAIMEX se desprende que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no rindió su informe justificado, del mismo modo el impetrante omitió realizar manifestaciones.</w:t>
      </w:r>
    </w:p>
    <w:p w:rsidR="00000000" w:rsidDel="00000000" w:rsidP="00000000" w:rsidRDefault="00000000" w:rsidRPr="00000000" w14:paraId="00000021">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9. Cierre de Instrucción. </w:t>
      </w:r>
      <w:r w:rsidDel="00000000" w:rsidR="00000000" w:rsidRPr="00000000">
        <w:rPr>
          <w:rFonts w:ascii="Palatino Linotype" w:cs="Palatino Linotype" w:eastAsia="Palatino Linotype" w:hAnsi="Palatino Linotype"/>
          <w:rtl w:val="0"/>
        </w:rPr>
        <w:t xml:space="preserve">En fecha ocho de noviembre del año dos mil veintiuno,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360" w:lineRule="auto"/>
        <w:ind w:left="1080" w:right="0" w:hanging="720"/>
        <w:jc w:val="center"/>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C O N S I D E R A N D O:</w:t>
      </w:r>
    </w:p>
    <w:p w:rsidR="00000000" w:rsidDel="00000000" w:rsidP="00000000" w:rsidRDefault="00000000" w:rsidRPr="00000000" w14:paraId="00000023">
      <w:pPr>
        <w:spacing w:after="240" w:before="240" w:line="360" w:lineRule="auto"/>
        <w:jc w:val="both"/>
        <w:rPr>
          <w:rFonts w:ascii="Palatino Linotype" w:cs="Palatino Linotype" w:eastAsia="Palatino Linotype" w:hAnsi="Palatino Linotype"/>
          <w:highlight w:val="white"/>
        </w:rPr>
      </w:pPr>
      <w:r w:rsidDel="00000000" w:rsidR="00000000" w:rsidRPr="00000000">
        <w:rPr>
          <w:rFonts w:ascii="Palatino Linotype" w:cs="Palatino Linotype" w:eastAsia="Palatino Linotype" w:hAnsi="Palatino Linotype"/>
          <w:b w:val="1"/>
          <w:rtl w:val="0"/>
        </w:rPr>
        <w:t xml:space="preserve">Primero. Competencia. </w:t>
      </w:r>
      <w:r w:rsidDel="00000000" w:rsidR="00000000" w:rsidRPr="00000000">
        <w:rPr>
          <w:rFonts w:ascii="Palatino Linotype" w:cs="Palatino Linotype" w:eastAsia="Palatino Linotype" w:hAnsi="Palatino Linotype"/>
          <w:highlight w:val="white"/>
          <w:rtl w:val="0"/>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noveno, trigésimo y trigésimo primero fracciones IV y V de la Constitución Política del Estado Libre y Soberano de México; 1, 2, fracción II; 13,  29, 36, fracciones I y II; 176, 178, 179, 181 párrafo 3 y 185 de la Ley Transparencia y Acceso a la Información Pública; 7, </w:t>
      </w:r>
      <w:r w:rsidDel="00000000" w:rsidR="00000000" w:rsidRPr="00000000">
        <w:rPr>
          <w:rFonts w:ascii="Palatino Linotype" w:cs="Palatino Linotype" w:eastAsia="Palatino Linotype" w:hAnsi="Palatino Linotype"/>
          <w:rtl w:val="0"/>
        </w:rPr>
        <w:t xml:space="preserve">9, fracciones I y XXIV y 11 </w:t>
      </w:r>
      <w:r w:rsidDel="00000000" w:rsidR="00000000" w:rsidRPr="00000000">
        <w:rPr>
          <w:rFonts w:ascii="Palatino Linotype" w:cs="Palatino Linotype" w:eastAsia="Palatino Linotype" w:hAnsi="Palatino Linotype"/>
          <w:highlight w:val="white"/>
          <w:rtl w:val="0"/>
        </w:rPr>
        <w:t xml:space="preserve">del Reglamento Interior del Instituto de Transparencia, Acceso a la Información Pública y Protección de Datos Personales del Estado de México y Municipios.</w:t>
      </w:r>
    </w:p>
    <w:p w:rsidR="00000000" w:rsidDel="00000000" w:rsidP="00000000" w:rsidRDefault="00000000" w:rsidRPr="00000000" w14:paraId="00000024">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Segundo. Oportunidad y Procedibilidad. </w:t>
      </w:r>
      <w:r w:rsidDel="00000000" w:rsidR="00000000" w:rsidRPr="00000000">
        <w:rPr>
          <w:rFonts w:ascii="Palatino Linotype" w:cs="Palatino Linotype" w:eastAsia="Palatino Linotype" w:hAnsi="Palatino Linotype"/>
          <w:rtl w:val="0"/>
        </w:rPr>
        <w:t xml:space="preserve">Es de precisar que la</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Ley de Transparencia y Acceso a la Información Pública del Estado de México y Municipios, describe el mecanismo de procedencia de los recursos de revisión, como se dispone en los artículos 163 y 166, del tenor literal siguiente: </w:t>
      </w:r>
    </w:p>
    <w:p w:rsidR="00000000" w:rsidDel="00000000" w:rsidP="00000000" w:rsidRDefault="00000000" w:rsidRPr="00000000" w14:paraId="00000025">
      <w:pPr>
        <w:ind w:left="851" w:right="8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 163. </w:t>
      </w:r>
      <w:r w:rsidDel="00000000" w:rsidR="00000000" w:rsidRPr="00000000">
        <w:rPr>
          <w:rFonts w:ascii="Palatino Linotype" w:cs="Palatino Linotype" w:eastAsia="Palatino Linotype" w:hAnsi="Palatino Linotype"/>
          <w:i w:val="1"/>
          <w:sz w:val="22"/>
          <w:szCs w:val="22"/>
          <w:rtl w:val="0"/>
        </w:rPr>
        <w:t xml:space="preserve">La Unidad de Transparencia deberá notificar la respuesta a la solicitud al interesado en el menor tiempo posible, que no podrá exceder de quince días hábiles, contados a partir del día siguiente a la presentación de aquélla. </w:t>
      </w:r>
      <w:r w:rsidDel="00000000" w:rsidR="00000000" w:rsidRPr="00000000">
        <w:rPr>
          <w:rtl w:val="0"/>
        </w:rPr>
      </w:r>
    </w:p>
    <w:p w:rsidR="00000000" w:rsidDel="00000000" w:rsidP="00000000" w:rsidRDefault="00000000" w:rsidRPr="00000000" w14:paraId="00000026">
      <w:pPr>
        <w:ind w:left="851" w:right="8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tl w:val="0"/>
        </w:rPr>
      </w:r>
    </w:p>
    <w:p w:rsidR="00000000" w:rsidDel="00000000" w:rsidP="00000000" w:rsidRDefault="00000000" w:rsidRPr="00000000" w14:paraId="00000027">
      <w:pPr>
        <w:ind w:left="851" w:right="8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sz w:val="22"/>
          <w:szCs w:val="22"/>
          <w:rtl w:val="0"/>
        </w:rPr>
        <w:t xml:space="preserve">Artículo 166.-</w:t>
      </w: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tl w:val="0"/>
        </w:rPr>
      </w:r>
    </w:p>
    <w:p w:rsidR="00000000" w:rsidDel="00000000" w:rsidP="00000000" w:rsidRDefault="00000000" w:rsidRPr="00000000" w14:paraId="00000028">
      <w:pPr>
        <w:ind w:left="851" w:right="8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sz w:val="22"/>
          <w:szCs w:val="22"/>
          <w:rtl w:val="0"/>
        </w:rPr>
        <w:t xml:space="preserve">Cuando el sujeto obligado no entregue la respuesta a la solicitud dentro del plazo previsto en la Ley, la solicitud se entenderá negada y el solicitante podrá interponer el recurso de revisión previsto en este ordenamiento.</w:t>
      </w:r>
      <w:r w:rsidDel="00000000" w:rsidR="00000000" w:rsidRPr="00000000">
        <w:rPr>
          <w:rtl w:val="0"/>
        </w:rPr>
      </w:r>
    </w:p>
    <w:p w:rsidR="00000000" w:rsidDel="00000000" w:rsidP="00000000" w:rsidRDefault="00000000" w:rsidRPr="00000000" w14:paraId="00000029">
      <w:pPr>
        <w:ind w:left="851" w:right="8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tl w:val="0"/>
        </w:rPr>
      </w:r>
    </w:p>
    <w:p w:rsidR="00000000" w:rsidDel="00000000" w:rsidP="00000000" w:rsidRDefault="00000000" w:rsidRPr="00000000" w14:paraId="0000002A">
      <w:pPr>
        <w:ind w:left="851" w:right="8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sz w:val="22"/>
          <w:szCs w:val="22"/>
          <w:rtl w:val="0"/>
        </w:rPr>
        <w:t xml:space="preserve">(Énfasis añadido)</w:t>
      </w:r>
      <w:r w:rsidDel="00000000" w:rsidR="00000000" w:rsidRPr="00000000">
        <w:rPr>
          <w:rtl w:val="0"/>
        </w:rPr>
      </w:r>
    </w:p>
    <w:p w:rsidR="00000000" w:rsidDel="00000000" w:rsidP="00000000" w:rsidRDefault="00000000" w:rsidRPr="00000000" w14:paraId="0000002B">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rsidR="00000000" w:rsidDel="00000000" w:rsidP="00000000" w:rsidRDefault="00000000" w:rsidRPr="00000000" w14:paraId="0000002C">
      <w:pPr>
        <w:spacing w:after="240" w:before="240" w:line="360" w:lineRule="auto"/>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rtl w:val="0"/>
        </w:rPr>
        <w:t xml:space="preserve">Derivado de lo anterior, se constituye lo que en la doctrina se conoce como negativa ficta, figura jurídica cuya esencia consiste en atribuir un efecto negativo al silencio de la autoridad administrativa frente a las instancias y solicitudes que hagan los particulares.</w:t>
      </w:r>
      <w:r w:rsidDel="00000000" w:rsidR="00000000" w:rsidRPr="00000000">
        <w:rPr>
          <w:rtl w:val="0"/>
        </w:rPr>
      </w:r>
    </w:p>
    <w:p w:rsidR="00000000" w:rsidDel="00000000" w:rsidP="00000000" w:rsidRDefault="00000000" w:rsidRPr="00000000" w14:paraId="0000002D">
      <w:pPr>
        <w:spacing w:after="240" w:before="240" w:line="360" w:lineRule="auto"/>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rtl w:val="0"/>
        </w:rPr>
        <w:t xml:space="preserve">Por su parte, el artículo 178 del citado ordenamiento, establece:</w:t>
      </w:r>
      <w:r w:rsidDel="00000000" w:rsidR="00000000" w:rsidRPr="00000000">
        <w:rPr>
          <w:rtl w:val="0"/>
        </w:rPr>
      </w:r>
    </w:p>
    <w:p w:rsidR="00000000" w:rsidDel="00000000" w:rsidP="00000000" w:rsidRDefault="00000000" w:rsidRPr="00000000" w14:paraId="0000002E">
      <w:pPr>
        <w:ind w:left="851" w:right="8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 178. </w:t>
      </w:r>
      <w:r w:rsidDel="00000000" w:rsidR="00000000" w:rsidRPr="00000000">
        <w:rPr>
          <w:rFonts w:ascii="Palatino Linotype" w:cs="Palatino Linotype" w:eastAsia="Palatino Linotype" w:hAnsi="Palatino Linotype"/>
          <w:i w:val="1"/>
          <w:sz w:val="22"/>
          <w:szCs w:val="22"/>
          <w:rtl w:val="0"/>
        </w:rPr>
        <w:t xml:space="preserve">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Del="00000000" w:rsidR="00000000" w:rsidRPr="00000000">
        <w:rPr>
          <w:rFonts w:ascii="Palatino Linotype" w:cs="Palatino Linotype" w:eastAsia="Palatino Linotype" w:hAnsi="Palatino Linotype"/>
          <w:b w:val="1"/>
          <w:i w:val="1"/>
          <w:sz w:val="22"/>
          <w:szCs w:val="22"/>
          <w:rtl w:val="0"/>
        </w:rPr>
        <w:t xml:space="preserve">.”</w:t>
      </w:r>
      <w:r w:rsidDel="00000000" w:rsidR="00000000" w:rsidRPr="00000000">
        <w:rPr>
          <w:rtl w:val="0"/>
        </w:rPr>
      </w:r>
    </w:p>
    <w:p w:rsidR="00000000" w:rsidDel="00000000" w:rsidP="00000000" w:rsidRDefault="00000000" w:rsidRPr="00000000" w14:paraId="0000002F">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lo anterior, se advierte que el recurso de revisión se ha de interponer dentro del plazo de quince días hábiles, a partir de la fecha en que 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rsidR="00000000" w:rsidDel="00000000" w:rsidP="00000000" w:rsidRDefault="00000000" w:rsidRPr="00000000" w14:paraId="00000030">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La negativa ficta constituye una presunción legal, en el entendido de que donde no hubo respuesta por parte del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000000" w:rsidDel="00000000" w:rsidP="00000000" w:rsidRDefault="00000000" w:rsidRPr="00000000" w14:paraId="00000031">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Órgano Garante del derecho de acceso a la información y en aras de privilegiar el principio de máxima publicidad deberá dar entrada al estudio del fondo del recurso interpuesto en dichos casos y no optar por el desechamiento del mismo.</w:t>
      </w:r>
    </w:p>
    <w:p w:rsidR="00000000" w:rsidDel="00000000" w:rsidP="00000000" w:rsidRDefault="00000000" w:rsidRPr="00000000" w14:paraId="00000032">
      <w:pPr>
        <w:spacing w:after="240" w:before="240" w:line="360" w:lineRule="auto"/>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rtl w:val="0"/>
        </w:rPr>
        <w:t xml:space="preserve">Por lo tanto, con la finalidad de no reducir ni limitar el derecho de acceso a la información y concederle una protección más eficaz al solicitante para impugnar el silencio del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r w:rsidDel="00000000" w:rsidR="00000000" w:rsidRPr="00000000">
        <w:rPr>
          <w:rtl w:val="0"/>
        </w:rPr>
      </w:r>
    </w:p>
    <w:p w:rsidR="00000000" w:rsidDel="00000000" w:rsidP="00000000" w:rsidRDefault="00000000" w:rsidRPr="00000000" w14:paraId="00000033">
      <w:pPr>
        <w:spacing w:after="0" w:lineRule="auto"/>
        <w:ind w:left="851" w:right="8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sz w:val="22"/>
          <w:szCs w:val="22"/>
          <w:rtl w:val="0"/>
        </w:rPr>
        <w:t xml:space="preserve">“CRITERIO 0001-15. NEGATIVA FICTA. PLAZO PARA INTERPONER EL RECURSO DE REVISIÓN TRATÁNDOSE DE</w:t>
      </w:r>
      <w:r w:rsidDel="00000000" w:rsidR="00000000" w:rsidRPr="00000000">
        <w:rPr>
          <w:rFonts w:ascii="Palatino Linotype" w:cs="Palatino Linotype" w:eastAsia="Palatino Linotype" w:hAnsi="Palatino Linotype"/>
          <w:i w:val="1"/>
          <w:sz w:val="22"/>
          <w:szCs w:val="22"/>
          <w:rtl w:val="0"/>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Del="00000000" w:rsidR="00000000" w:rsidRPr="00000000">
        <w:rPr>
          <w:rFonts w:ascii="Palatino Linotype" w:cs="Palatino Linotype" w:eastAsia="Palatino Linotype" w:hAnsi="Palatino Linotype"/>
          <w:i w:val="1"/>
          <w:rtl w:val="0"/>
        </w:rPr>
        <w:t xml:space="preserve"> (Sic)</w:t>
      </w:r>
    </w:p>
    <w:p w:rsidR="00000000" w:rsidDel="00000000" w:rsidP="00000000" w:rsidRDefault="00000000" w:rsidRPr="00000000" w14:paraId="00000034">
      <w:pPr>
        <w:spacing w:after="0" w:before="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35">
      <w:pPr>
        <w:spacing w:after="240" w:before="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rtl w:val="0"/>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Del="00000000" w:rsidR="00000000" w:rsidRPr="00000000">
        <w:rPr>
          <w:rFonts w:ascii="Palatino Linotype" w:cs="Palatino Linotype" w:eastAsia="Palatino Linotype" w:hAnsi="Palatino Linotype"/>
          <w:b w:val="1"/>
          <w:rtl w:val="0"/>
        </w:rPr>
        <w:t xml:space="preserve">EL SAIMEX.  </w:t>
      </w:r>
    </w:p>
    <w:p w:rsidR="00000000" w:rsidDel="00000000" w:rsidP="00000000" w:rsidRDefault="00000000" w:rsidRPr="00000000" w14:paraId="00000036">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Antes de entrar al estudio de la presente resolución es preciso determinar si resulta procedente la interposición de los recursos de revisión, toda vez que se actualizan la hipótesis prevista en el artículo 179, fracción VII de la ley de la materia, que a la letra dice:</w:t>
      </w:r>
    </w:p>
    <w:p w:rsidR="00000000" w:rsidDel="00000000" w:rsidP="00000000" w:rsidRDefault="00000000" w:rsidRPr="00000000" w14:paraId="00000037">
      <w:pPr>
        <w:ind w:left="851" w:right="8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 179. </w:t>
      </w:r>
      <w:r w:rsidDel="00000000" w:rsidR="00000000" w:rsidRPr="00000000">
        <w:rPr>
          <w:rFonts w:ascii="Palatino Linotype" w:cs="Palatino Linotype" w:eastAsia="Palatino Linotype" w:hAnsi="Palatino Linotype"/>
          <w:i w:val="1"/>
          <w:sz w:val="22"/>
          <w:szCs w:val="22"/>
          <w:rtl w:val="0"/>
        </w:rPr>
        <w:t xml:space="preserve">El recurso de revisión es un medio de protección que la Ley otorga a los particulares, para hacer valer su derecho de acceso a la información pública, y procederá en contra de las siguientes causas:</w:t>
      </w:r>
      <w:r w:rsidDel="00000000" w:rsidR="00000000" w:rsidRPr="00000000">
        <w:rPr>
          <w:rtl w:val="0"/>
        </w:rPr>
      </w:r>
    </w:p>
    <w:p w:rsidR="00000000" w:rsidDel="00000000" w:rsidP="00000000" w:rsidRDefault="00000000" w:rsidRPr="00000000" w14:paraId="00000038">
      <w:pPr>
        <w:ind w:left="851" w:right="8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39">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VII. </w:t>
      </w:r>
      <w:r w:rsidDel="00000000" w:rsidR="00000000" w:rsidRPr="00000000">
        <w:rPr>
          <w:rFonts w:ascii="Palatino Linotype" w:cs="Palatino Linotype" w:eastAsia="Palatino Linotype" w:hAnsi="Palatino Linotype"/>
          <w:i w:val="1"/>
          <w:sz w:val="22"/>
          <w:szCs w:val="22"/>
          <w:rtl w:val="0"/>
        </w:rPr>
        <w:t xml:space="preserve">La falta de respuesta a una solicitud de acceso a la información;</w:t>
      </w:r>
    </w:p>
    <w:p w:rsidR="00000000" w:rsidDel="00000000" w:rsidP="00000000" w:rsidRDefault="00000000" w:rsidRPr="00000000" w14:paraId="0000003A">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w:t>
      </w: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3B">
      <w:pPr>
        <w:ind w:left="851" w:right="851"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3C">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El precepto legal citado, establece como supuesto de procedencia del recurso de revisión, en aquellos casos en que el </w:t>
      </w:r>
      <w:r w:rsidDel="00000000" w:rsidR="00000000" w:rsidRPr="00000000">
        <w:rPr>
          <w:rFonts w:ascii="Palatino Linotype" w:cs="Palatino Linotype" w:eastAsia="Palatino Linotype" w:hAnsi="Palatino Linotype"/>
          <w:b w:val="1"/>
          <w:rtl w:val="0"/>
        </w:rPr>
        <w:t xml:space="preserve">recurrente </w:t>
      </w:r>
      <w:r w:rsidDel="00000000" w:rsidR="00000000" w:rsidRPr="00000000">
        <w:rPr>
          <w:rFonts w:ascii="Palatino Linotype" w:cs="Palatino Linotype" w:eastAsia="Palatino Linotype" w:hAnsi="Palatino Linotype"/>
          <w:rtl w:val="0"/>
        </w:rPr>
        <w:t xml:space="preserve">estime negado el acceso a la información por la falta de respuesta por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en este asunto se actualiza la hipótesis jurídica citada, en atención a que el </w:t>
      </w:r>
      <w:r w:rsidDel="00000000" w:rsidR="00000000" w:rsidRPr="00000000">
        <w:rPr>
          <w:rFonts w:ascii="Palatino Linotype" w:cs="Palatino Linotype" w:eastAsia="Palatino Linotype" w:hAnsi="Palatino Linotype"/>
          <w:b w:val="1"/>
          <w:rtl w:val="0"/>
        </w:rPr>
        <w:t xml:space="preserve">recurrente </w:t>
      </w:r>
      <w:r w:rsidDel="00000000" w:rsidR="00000000" w:rsidRPr="00000000">
        <w:rPr>
          <w:rFonts w:ascii="Palatino Linotype" w:cs="Palatino Linotype" w:eastAsia="Palatino Linotype" w:hAnsi="Palatino Linotype"/>
          <w:rtl w:val="0"/>
        </w:rPr>
        <w:t xml:space="preserve">combate falta de trámite por 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y expresa motivos de inconformidad en contra de ella.</w:t>
      </w:r>
    </w:p>
    <w:p w:rsidR="00000000" w:rsidDel="00000000" w:rsidP="00000000" w:rsidRDefault="00000000" w:rsidRPr="00000000" w14:paraId="0000003D">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El precepto legal citado, establece como supuesto de procedencia del recurso de revisión, en aquellos casos en que el </w:t>
      </w:r>
      <w:r w:rsidDel="00000000" w:rsidR="00000000" w:rsidRPr="00000000">
        <w:rPr>
          <w:rFonts w:ascii="Palatino Linotype" w:cs="Palatino Linotype" w:eastAsia="Palatino Linotype" w:hAnsi="Palatino Linotype"/>
          <w:b w:val="1"/>
          <w:rtl w:val="0"/>
        </w:rPr>
        <w:t xml:space="preserve">recurrente </w:t>
      </w:r>
      <w:r w:rsidDel="00000000" w:rsidR="00000000" w:rsidRPr="00000000">
        <w:rPr>
          <w:rFonts w:ascii="Palatino Linotype" w:cs="Palatino Linotype" w:eastAsia="Palatino Linotype" w:hAnsi="Palatino Linotype"/>
          <w:rtl w:val="0"/>
        </w:rPr>
        <w:t xml:space="preserve">estime negado el acceso a la información por la falta de respuesta por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luego, en este asunto se actualiza la hipótesis jurídica citada, en atención a que el </w:t>
      </w:r>
      <w:r w:rsidDel="00000000" w:rsidR="00000000" w:rsidRPr="00000000">
        <w:rPr>
          <w:rFonts w:ascii="Palatino Linotype" w:cs="Palatino Linotype" w:eastAsia="Palatino Linotype" w:hAnsi="Palatino Linotype"/>
          <w:b w:val="1"/>
          <w:rtl w:val="0"/>
        </w:rPr>
        <w:t xml:space="preserve">recurrente </w:t>
      </w:r>
      <w:r w:rsidDel="00000000" w:rsidR="00000000" w:rsidRPr="00000000">
        <w:rPr>
          <w:rFonts w:ascii="Palatino Linotype" w:cs="Palatino Linotype" w:eastAsia="Palatino Linotype" w:hAnsi="Palatino Linotype"/>
          <w:rtl w:val="0"/>
        </w:rPr>
        <w:t xml:space="preserve">combate falta de trámite por 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y expresa motivos de inconformidad en contra de ella.</w:t>
      </w:r>
    </w:p>
    <w:p w:rsidR="00000000" w:rsidDel="00000000" w:rsidP="00000000" w:rsidRDefault="00000000" w:rsidRPr="00000000" w14:paraId="0000003E">
      <w:pPr>
        <w:tabs>
          <w:tab w:val="left" w:pos="8647"/>
        </w:tabs>
        <w:spacing w:after="240" w:before="24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Tercero. Materia de la revisión. </w:t>
      </w:r>
      <w:r w:rsidDel="00000000" w:rsidR="00000000" w:rsidRPr="00000000">
        <w:rPr>
          <w:rFonts w:ascii="Palatino Linotype" w:cs="Palatino Linotype" w:eastAsia="Palatino Linotype" w:hAnsi="Palatino Linotype"/>
          <w:rtl w:val="0"/>
        </w:rPr>
        <w:t xml:space="preserve">Este Órgano Garante procede del análisis de los agravios hechos valer por el recurrente, a fin de determinar si se violenta en perjuicio de éste, el derecho de acceso a la información previsto en la Constitución Política de los Estados Unidos Mexicanos y en la Constitución Política del Estado Libre y Soberano de México. </w:t>
      </w:r>
      <w:r w:rsidDel="00000000" w:rsidR="00000000" w:rsidRPr="00000000">
        <w:rPr>
          <w:rtl w:val="0"/>
        </w:rPr>
      </w:r>
    </w:p>
    <w:p w:rsidR="00000000" w:rsidDel="00000000" w:rsidP="00000000" w:rsidRDefault="00000000" w:rsidRPr="00000000" w14:paraId="0000003F">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Cuarto. Estudio del asunto. </w:t>
      </w:r>
      <w:r w:rsidDel="00000000" w:rsidR="00000000" w:rsidRPr="00000000">
        <w:rPr>
          <w:rFonts w:ascii="Palatino Linotype" w:cs="Palatino Linotype" w:eastAsia="Palatino Linotype" w:hAnsi="Palatino Linotype"/>
          <w:rtl w:val="0"/>
        </w:rPr>
        <w:t xml:space="preserve">Una vez determinada la vía sobre la que versará el presente recurso, y previa revisión del expediente del recurso de revisión materia de la presente resolución, se advierte que 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no dio respuesta a la solicitud de información planteada por el</w:t>
      </w:r>
      <w:r w:rsidDel="00000000" w:rsidR="00000000" w:rsidRPr="00000000">
        <w:rPr>
          <w:rFonts w:ascii="Palatino Linotype" w:cs="Palatino Linotype" w:eastAsia="Palatino Linotype" w:hAnsi="Palatino Linotype"/>
          <w:b w:val="1"/>
          <w:rtl w:val="0"/>
        </w:rPr>
        <w:t xml:space="preserve"> recurrente</w:t>
      </w:r>
      <w:r w:rsidDel="00000000" w:rsidR="00000000" w:rsidRPr="00000000">
        <w:rPr>
          <w:rFonts w:ascii="Palatino Linotype" w:cs="Palatino Linotype" w:eastAsia="Palatino Linotype" w:hAnsi="Palatino Linotype"/>
          <w:rtl w:val="0"/>
        </w:rPr>
        <w:t xml:space="preserve">, lo que se traduce como la configuración de la </w:t>
      </w:r>
      <w:r w:rsidDel="00000000" w:rsidR="00000000" w:rsidRPr="00000000">
        <w:rPr>
          <w:rFonts w:ascii="Palatino Linotype" w:cs="Palatino Linotype" w:eastAsia="Palatino Linotype" w:hAnsi="Palatino Linotype"/>
          <w:b w:val="1"/>
          <w:rtl w:val="0"/>
        </w:rPr>
        <w:t xml:space="preserve">NEGATIVA FICTA</w:t>
      </w:r>
      <w:r w:rsidDel="00000000" w:rsidR="00000000" w:rsidRPr="00000000">
        <w:rPr>
          <w:rFonts w:ascii="Palatino Linotype" w:cs="Palatino Linotype" w:eastAsia="Palatino Linotype" w:hAnsi="Palatino Linotype"/>
          <w:rtl w:val="0"/>
        </w:rPr>
        <w:t xml:space="preserve">, situación que demuestra la existencia del acto impugnado y procedencia del motivo de inconformidad, que en términos generales consistente en que el Sujeto Obligado no emitió respuesta a la solicitud </w:t>
      </w:r>
      <w:r w:rsidDel="00000000" w:rsidR="00000000" w:rsidRPr="00000000">
        <w:rPr>
          <w:rFonts w:ascii="Palatino Linotype" w:cs="Palatino Linotype" w:eastAsia="Palatino Linotype" w:hAnsi="Palatino Linotype"/>
          <w:b w:val="1"/>
          <w:rtl w:val="0"/>
        </w:rPr>
        <w:t xml:space="preserve">00074/AXAPUSCO/IP/2021,</w:t>
      </w:r>
      <w:r w:rsidDel="00000000" w:rsidR="00000000" w:rsidRPr="00000000">
        <w:rPr>
          <w:rFonts w:ascii="Palatino Linotype" w:cs="Palatino Linotype" w:eastAsia="Palatino Linotype" w:hAnsi="Palatino Linotype"/>
          <w:rtl w:val="0"/>
        </w:rPr>
        <w:t xml:space="preserve"> dentro del plazo legal previsto para ello.</w:t>
      </w:r>
    </w:p>
    <w:p w:rsidR="00000000" w:rsidDel="00000000" w:rsidP="00000000" w:rsidRDefault="00000000" w:rsidRPr="00000000" w14:paraId="00000040">
      <w:pPr>
        <w:tabs>
          <w:tab w:val="left" w:pos="709"/>
        </w:tabs>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000000" w:rsidDel="00000000" w:rsidP="00000000" w:rsidRDefault="00000000" w:rsidRPr="00000000" w14:paraId="00000041">
      <w:pPr>
        <w:tabs>
          <w:tab w:val="left" w:pos="709"/>
        </w:tabs>
        <w:ind w:left="851" w:right="850" w:firstLine="0"/>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42">
      <w:pPr>
        <w:tabs>
          <w:tab w:val="left" w:pos="709"/>
        </w:tabs>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u w:val="single"/>
          <w:rtl w:val="0"/>
        </w:rPr>
        <w:t xml:space="preserve">“Artículo 1o. En los Estados Unidos Mexicanos todas las personas gozarán de los derechos humanos reconocidos en esta Constitución y en los tratados internacionales de los que el Estado Mexicano sea parte</w:t>
      </w:r>
      <w:r w:rsidDel="00000000" w:rsidR="00000000" w:rsidRPr="00000000">
        <w:rPr>
          <w:rFonts w:ascii="Palatino Linotype" w:cs="Palatino Linotype" w:eastAsia="Palatino Linotype" w:hAnsi="Palatino Linotype"/>
          <w:i w:val="1"/>
          <w:sz w:val="22"/>
          <w:szCs w:val="22"/>
          <w:rtl w:val="0"/>
        </w:rPr>
        <w:t xml:space="preserve">, así como de las garantías para su protección, cuyo ejercicio no podrá restringirse ni suspenderse, salvo en los casos y bajo las condiciones que esta Constitución establece.</w:t>
      </w:r>
    </w:p>
    <w:p w:rsidR="00000000" w:rsidDel="00000000" w:rsidP="00000000" w:rsidRDefault="00000000" w:rsidRPr="00000000" w14:paraId="00000043">
      <w:pPr>
        <w:tabs>
          <w:tab w:val="left" w:pos="709"/>
        </w:tabs>
        <w:ind w:left="851" w:right="851"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Las normas relativas a los derechos humanos se interpretarán de conformidad con esta Constitución y con los tratados internacionales de la materia favoreciendo en todo tiempo a las personas la protección más amplia.</w:t>
      </w:r>
    </w:p>
    <w:p w:rsidR="00000000" w:rsidDel="00000000" w:rsidP="00000000" w:rsidRDefault="00000000" w:rsidRPr="00000000" w14:paraId="00000044">
      <w:pPr>
        <w:tabs>
          <w:tab w:val="left" w:pos="709"/>
        </w:tabs>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u w:val="single"/>
          <w:rtl w:val="0"/>
        </w:rPr>
        <w:t xml:space="preserve">Todas las autoridades, en el ámbito de sus competencias, tienen la obligación de promover, respetar, proteger y garantizar los derechos humanos de conformidad con los principios de universalidad, interdependencia, indivisibilidad y progresividad.</w:t>
      </w:r>
      <w:r w:rsidDel="00000000" w:rsidR="00000000" w:rsidRPr="00000000">
        <w:rPr>
          <w:rFonts w:ascii="Palatino Linotype" w:cs="Palatino Linotype" w:eastAsia="Palatino Linotype" w:hAnsi="Palatino Linotype"/>
          <w:i w:val="1"/>
          <w:sz w:val="22"/>
          <w:szCs w:val="22"/>
          <w:rtl w:val="0"/>
        </w:rPr>
        <w:t xml:space="preserve"> En consecuencia, el Estado deberá prevenir, investigar, sancionar y reparar las violaciones a los derechos humanos, en los términos que establezca la ley</w:t>
      </w:r>
    </w:p>
    <w:p w:rsidR="00000000" w:rsidDel="00000000" w:rsidP="00000000" w:rsidRDefault="00000000" w:rsidRPr="00000000" w14:paraId="00000045">
      <w:pPr>
        <w:tabs>
          <w:tab w:val="left" w:pos="709"/>
        </w:tabs>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46">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6o.</w:t>
      </w:r>
      <w:r w:rsidDel="00000000" w:rsidR="00000000" w:rsidRPr="00000000">
        <w:rPr>
          <w:rtl w:val="0"/>
        </w:rPr>
      </w:r>
    </w:p>
    <w:p w:rsidR="00000000" w:rsidDel="00000000" w:rsidP="00000000" w:rsidRDefault="00000000" w:rsidRPr="00000000" w14:paraId="00000047">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48">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 Para el ejercicio del derecho de acceso a la información, la Federación y </w:t>
      </w:r>
      <w:r w:rsidDel="00000000" w:rsidR="00000000" w:rsidRPr="00000000">
        <w:rPr>
          <w:rFonts w:ascii="Palatino Linotype" w:cs="Palatino Linotype" w:eastAsia="Palatino Linotype" w:hAnsi="Palatino Linotype"/>
          <w:b w:val="1"/>
          <w:i w:val="1"/>
          <w:sz w:val="22"/>
          <w:szCs w:val="22"/>
          <w:u w:val="single"/>
          <w:rtl w:val="0"/>
        </w:rPr>
        <w:t xml:space="preserve">las entidades federativas</w:t>
      </w:r>
      <w:r w:rsidDel="00000000" w:rsidR="00000000" w:rsidRPr="00000000">
        <w:rPr>
          <w:rFonts w:ascii="Palatino Linotype" w:cs="Palatino Linotype" w:eastAsia="Palatino Linotype" w:hAnsi="Palatino Linotype"/>
          <w:b w:val="1"/>
          <w:i w:val="1"/>
          <w:sz w:val="22"/>
          <w:szCs w:val="22"/>
          <w:rtl w:val="0"/>
        </w:rPr>
        <w:t xml:space="preserve">,</w:t>
      </w:r>
      <w:r w:rsidDel="00000000" w:rsidR="00000000" w:rsidRPr="00000000">
        <w:rPr>
          <w:rFonts w:ascii="Palatino Linotype" w:cs="Palatino Linotype" w:eastAsia="Palatino Linotype" w:hAnsi="Palatino Linotype"/>
          <w:i w:val="1"/>
          <w:sz w:val="22"/>
          <w:szCs w:val="22"/>
          <w:rtl w:val="0"/>
        </w:rPr>
        <w:t xml:space="preserve"> en el ámbito de sus respectivas competencias, se regirán por los siguientes principios y bases:</w:t>
      </w:r>
    </w:p>
    <w:p w:rsidR="00000000" w:rsidDel="00000000" w:rsidP="00000000" w:rsidRDefault="00000000" w:rsidRPr="00000000" w14:paraId="00000049">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 </w:t>
      </w:r>
    </w:p>
    <w:p w:rsidR="00000000" w:rsidDel="00000000" w:rsidP="00000000" w:rsidRDefault="00000000" w:rsidRPr="00000000" w14:paraId="0000004A">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 </w:t>
      </w:r>
      <w:r w:rsidDel="00000000" w:rsidR="00000000" w:rsidRPr="00000000">
        <w:rPr>
          <w:rFonts w:ascii="Palatino Linotype" w:cs="Palatino Linotype" w:eastAsia="Palatino Linotype" w:hAnsi="Palatino Linotype"/>
          <w:b w:val="1"/>
          <w:i w:val="1"/>
          <w:sz w:val="22"/>
          <w:szCs w:val="22"/>
          <w:u w:val="single"/>
          <w:rtl w:val="0"/>
        </w:rPr>
        <w:t xml:space="preserve">Toda la información en posesión de cualquier autoridad, entidad, órgano y organismo de los Poderes</w:t>
      </w:r>
      <w:r w:rsidDel="00000000" w:rsidR="00000000" w:rsidRPr="00000000">
        <w:rPr>
          <w:rFonts w:ascii="Palatino Linotype" w:cs="Palatino Linotype" w:eastAsia="Palatino Linotype" w:hAnsi="Palatino Linotype"/>
          <w:i w:val="1"/>
          <w:sz w:val="22"/>
          <w:szCs w:val="22"/>
          <w:rtl w:val="0"/>
        </w:rPr>
        <w:t xml:space="preserve"> Ejecutivo, Legislativo </w:t>
      </w:r>
      <w:r w:rsidDel="00000000" w:rsidR="00000000" w:rsidRPr="00000000">
        <w:rPr>
          <w:rFonts w:ascii="Palatino Linotype" w:cs="Palatino Linotype" w:eastAsia="Palatino Linotype" w:hAnsi="Palatino Linotype"/>
          <w:b w:val="1"/>
          <w:i w:val="1"/>
          <w:sz w:val="22"/>
          <w:szCs w:val="22"/>
          <w:u w:val="single"/>
          <w:rtl w:val="0"/>
        </w:rPr>
        <w:t xml:space="preserve">y Judicial</w:t>
      </w:r>
      <w:r w:rsidDel="00000000" w:rsidR="00000000" w:rsidRPr="00000000">
        <w:rPr>
          <w:rFonts w:ascii="Palatino Linotype" w:cs="Palatino Linotype" w:eastAsia="Palatino Linotype" w:hAnsi="Palatino Linotype"/>
          <w:i w:val="1"/>
          <w:sz w:val="22"/>
          <w:szCs w:val="22"/>
          <w:rtl w:val="0"/>
        </w:rPr>
        <w:t xml:space="preserve">, órganos autónomos, partidos políticos, fideicomisos y fondos públicos, así como de cualquier persona física, moral o sindicato que reciba y ejerza recursos públicos o realice actos de autoridad en el ámbito federal, estatal y municipal, </w:t>
      </w:r>
      <w:r w:rsidDel="00000000" w:rsidR="00000000" w:rsidRPr="00000000">
        <w:rPr>
          <w:rFonts w:ascii="Palatino Linotype" w:cs="Palatino Linotype" w:eastAsia="Palatino Linotype" w:hAnsi="Palatino Linotype"/>
          <w:b w:val="1"/>
          <w:i w:val="1"/>
          <w:sz w:val="22"/>
          <w:szCs w:val="22"/>
          <w:rtl w:val="0"/>
        </w:rPr>
        <w:t xml:space="preserve">es pública y sólo podrá ser reservada temporalmente por razones de interés público y seguridad nacional,</w:t>
      </w:r>
      <w:r w:rsidDel="00000000" w:rsidR="00000000" w:rsidRPr="00000000">
        <w:rPr>
          <w:rFonts w:ascii="Palatino Linotype" w:cs="Palatino Linotype" w:eastAsia="Palatino Linotype" w:hAnsi="Palatino Linotype"/>
          <w:i w:val="1"/>
          <w:sz w:val="22"/>
          <w:szCs w:val="22"/>
          <w:rtl w:val="0"/>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000000" w:rsidDel="00000000" w:rsidP="00000000" w:rsidRDefault="00000000" w:rsidRPr="00000000" w14:paraId="0000004B">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 </w:t>
      </w:r>
    </w:p>
    <w:p w:rsidR="00000000" w:rsidDel="00000000" w:rsidP="00000000" w:rsidRDefault="00000000" w:rsidRPr="00000000" w14:paraId="0000004C">
      <w:pPr>
        <w:ind w:left="851" w:right="851"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II. La información que se refiere a la vida privada y los datos personales será protegida en los términos y con las excepciones que fijen las leyes.</w:t>
      </w:r>
    </w:p>
    <w:p w:rsidR="00000000" w:rsidDel="00000000" w:rsidP="00000000" w:rsidRDefault="00000000" w:rsidRPr="00000000" w14:paraId="0000004D">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 </w:t>
      </w:r>
    </w:p>
    <w:p w:rsidR="00000000" w:rsidDel="00000000" w:rsidP="00000000" w:rsidRDefault="00000000" w:rsidRPr="00000000" w14:paraId="0000004E">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III. </w:t>
      </w:r>
      <w:r w:rsidDel="00000000" w:rsidR="00000000" w:rsidRPr="00000000">
        <w:rPr>
          <w:rFonts w:ascii="Palatino Linotype" w:cs="Palatino Linotype" w:eastAsia="Palatino Linotype" w:hAnsi="Palatino Linotype"/>
          <w:b w:val="1"/>
          <w:i w:val="1"/>
          <w:sz w:val="22"/>
          <w:szCs w:val="22"/>
          <w:u w:val="single"/>
          <w:rtl w:val="0"/>
        </w:rPr>
        <w:t xml:space="preserve">Toda persona, sin necesidad de acreditar interés alguno o justificar su utilización, tendrá acceso gratuito a la información pública,</w:t>
      </w:r>
      <w:r w:rsidDel="00000000" w:rsidR="00000000" w:rsidRPr="00000000">
        <w:rPr>
          <w:rFonts w:ascii="Palatino Linotype" w:cs="Palatino Linotype" w:eastAsia="Palatino Linotype" w:hAnsi="Palatino Linotype"/>
          <w:i w:val="1"/>
          <w:sz w:val="22"/>
          <w:szCs w:val="22"/>
          <w:rtl w:val="0"/>
        </w:rPr>
        <w:t xml:space="preserve"> a sus datos personales o a la rectificación de éstos.</w:t>
      </w:r>
    </w:p>
    <w:p w:rsidR="00000000" w:rsidDel="00000000" w:rsidP="00000000" w:rsidRDefault="00000000" w:rsidRPr="00000000" w14:paraId="0000004F">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 </w:t>
      </w:r>
    </w:p>
    <w:p w:rsidR="00000000" w:rsidDel="00000000" w:rsidP="00000000" w:rsidRDefault="00000000" w:rsidRPr="00000000" w14:paraId="00000050">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IV. </w:t>
      </w:r>
      <w:r w:rsidDel="00000000" w:rsidR="00000000" w:rsidRPr="00000000">
        <w:rPr>
          <w:rFonts w:ascii="Palatino Linotype" w:cs="Palatino Linotype" w:eastAsia="Palatino Linotype" w:hAnsi="Palatino Linotype"/>
          <w:i w:val="1"/>
          <w:sz w:val="22"/>
          <w:szCs w:val="22"/>
          <w:rtl w:val="0"/>
        </w:rPr>
        <w:t xml:space="preserve">Se establecerán mecanismos de acceso a la información y procedimientos de revisión expeditos que se sustanciarán ante los organismos autónomos especializados e imparciales que establece esta Constitución.</w:t>
      </w:r>
    </w:p>
    <w:p w:rsidR="00000000" w:rsidDel="00000000" w:rsidP="00000000" w:rsidRDefault="00000000" w:rsidRPr="00000000" w14:paraId="00000051">
      <w:pPr>
        <w:ind w:left="851" w:right="851"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52">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V. </w:t>
      </w:r>
      <w:r w:rsidDel="00000000" w:rsidR="00000000" w:rsidRPr="00000000">
        <w:rPr>
          <w:rFonts w:ascii="Palatino Linotype" w:cs="Palatino Linotype" w:eastAsia="Palatino Linotype" w:hAnsi="Palatino Linotype"/>
          <w:i w:val="1"/>
          <w:sz w:val="22"/>
          <w:szCs w:val="22"/>
          <w:rtl w:val="0"/>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000000" w:rsidDel="00000000" w:rsidP="00000000" w:rsidRDefault="00000000" w:rsidRPr="00000000" w14:paraId="00000053">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 </w:t>
      </w:r>
    </w:p>
    <w:p w:rsidR="00000000" w:rsidDel="00000000" w:rsidP="00000000" w:rsidRDefault="00000000" w:rsidRPr="00000000" w14:paraId="00000054">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VI. </w:t>
      </w:r>
      <w:r w:rsidDel="00000000" w:rsidR="00000000" w:rsidRPr="00000000">
        <w:rPr>
          <w:rFonts w:ascii="Palatino Linotype" w:cs="Palatino Linotype" w:eastAsia="Palatino Linotype" w:hAnsi="Palatino Linotype"/>
          <w:i w:val="1"/>
          <w:sz w:val="22"/>
          <w:szCs w:val="22"/>
          <w:rtl w:val="0"/>
        </w:rPr>
        <w:t xml:space="preserve">Las leyes determinarán la manera en que los sujetos obligados deberán hacer pública la información relativa a los recursos públicos que entreguen a personas físicas o morales.</w:t>
      </w:r>
    </w:p>
    <w:p w:rsidR="00000000" w:rsidDel="00000000" w:rsidP="00000000" w:rsidRDefault="00000000" w:rsidRPr="00000000" w14:paraId="00000055">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 </w:t>
      </w:r>
    </w:p>
    <w:p w:rsidR="00000000" w:rsidDel="00000000" w:rsidP="00000000" w:rsidRDefault="00000000" w:rsidRPr="00000000" w14:paraId="00000056">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VII. </w:t>
      </w:r>
      <w:r w:rsidDel="00000000" w:rsidR="00000000" w:rsidRPr="00000000">
        <w:rPr>
          <w:rFonts w:ascii="Palatino Linotype" w:cs="Palatino Linotype" w:eastAsia="Palatino Linotype" w:hAnsi="Palatino Linotype"/>
          <w:i w:val="1"/>
          <w:sz w:val="22"/>
          <w:szCs w:val="22"/>
          <w:rtl w:val="0"/>
        </w:rPr>
        <w:t xml:space="preserve">La inobservancia a las disposiciones en materia de acceso a la información pública será sancionada en los términos que dispongan las leyes. [Sic]</w:t>
      </w:r>
    </w:p>
    <w:p w:rsidR="00000000" w:rsidDel="00000000" w:rsidP="00000000" w:rsidRDefault="00000000" w:rsidRPr="00000000" w14:paraId="00000057">
      <w:pPr>
        <w:ind w:left="851" w:right="851"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58">
      <w:pPr>
        <w:tabs>
          <w:tab w:val="left" w:pos="709"/>
        </w:tabs>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000000" w:rsidDel="00000000" w:rsidP="00000000" w:rsidRDefault="00000000" w:rsidRPr="00000000" w14:paraId="00000059">
      <w:pPr>
        <w:spacing w:after="280" w:before="280" w:line="360" w:lineRule="auto"/>
        <w:jc w:val="both"/>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rtl w:val="0"/>
        </w:rPr>
        <w:t xml:space="preserve">En ese orden de ideas, la Ley de Transparencia y Acceso a la Información Pública del Estado de México y Municipios, prevé en su artículo 23, lo siguiente:</w:t>
      </w:r>
      <w:r w:rsidDel="00000000" w:rsidR="00000000" w:rsidRPr="00000000">
        <w:rPr>
          <w:rtl w:val="0"/>
        </w:rPr>
      </w:r>
    </w:p>
    <w:p w:rsidR="00000000" w:rsidDel="00000000" w:rsidP="00000000" w:rsidRDefault="00000000" w:rsidRPr="00000000" w14:paraId="0000005A">
      <w:pP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23.</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Son</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sujetos</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obligados</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a</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transparentar</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y</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permitir</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el</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acceso</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a</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su</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información</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y</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proteger</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los</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datos</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personales</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que</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obren</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en</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su</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poder</w:t>
      </w: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5B">
      <w:pPr>
        <w:ind w:left="851" w:right="902"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i w:val="1"/>
          <w:sz w:val="22"/>
          <w:szCs w:val="22"/>
          <w:rtl w:val="0"/>
        </w:rPr>
        <w:t xml:space="preserve">I.</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El</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Poder</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Ejecutivo</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del</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Estado</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de</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México,</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las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dependencias,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organismos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auxiliares,</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órganos,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entidades,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fideicomisos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y</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fondos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públicos,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así</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como</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la</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Procuraduría</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General</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de</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Justicia;</w:t>
      </w:r>
      <w:r w:rsidDel="00000000" w:rsidR="00000000" w:rsidRPr="00000000">
        <w:rPr>
          <w:rtl w:val="0"/>
        </w:rPr>
      </w:r>
    </w:p>
    <w:p w:rsidR="00000000" w:rsidDel="00000000" w:rsidP="00000000" w:rsidRDefault="00000000" w:rsidRPr="00000000" w14:paraId="0000005C">
      <w:pP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II.</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El</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Poder</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Legislativo</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del</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Estado,</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los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organismos,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órganos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y</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entidades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de</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la</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Legislatura</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y</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sus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dependencias;</w:t>
      </w:r>
    </w:p>
    <w:p w:rsidR="00000000" w:rsidDel="00000000" w:rsidP="00000000" w:rsidRDefault="00000000" w:rsidRPr="00000000" w14:paraId="0000005D">
      <w:pP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III.</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El</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Poder</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Judicial,</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sus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organismos,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órganos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y</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entidades,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así</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como</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el</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Consejo</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de</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la</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Judicatura</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del</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Estado;</w:t>
      </w:r>
    </w:p>
    <w:p w:rsidR="00000000" w:rsidDel="00000000" w:rsidP="00000000" w:rsidRDefault="00000000" w:rsidRPr="00000000" w14:paraId="0000005E">
      <w:pPr>
        <w:ind w:left="851" w:right="902"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IV.</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Los</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ayuntamientos</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y</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las</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dependencias,</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organismos,</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órganos</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y</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entidades</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de</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la</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administración</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municipal;</w:t>
      </w:r>
    </w:p>
    <w:p w:rsidR="00000000" w:rsidDel="00000000" w:rsidP="00000000" w:rsidRDefault="00000000" w:rsidRPr="00000000" w14:paraId="0000005F">
      <w:pP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V.</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Los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órganos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autónomos;</w:t>
      </w:r>
    </w:p>
    <w:p w:rsidR="00000000" w:rsidDel="00000000" w:rsidP="00000000" w:rsidRDefault="00000000" w:rsidRPr="00000000" w14:paraId="00000060">
      <w:pP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VI.</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Los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tribunales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administrativos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y</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autoridades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jurisdiccionales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en</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materia</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laboral;</w:t>
      </w:r>
    </w:p>
    <w:p w:rsidR="00000000" w:rsidDel="00000000" w:rsidP="00000000" w:rsidRDefault="00000000" w:rsidRPr="00000000" w14:paraId="00000061">
      <w:pP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VII.</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Los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partidos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políticos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y</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agrupaciones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políticas,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en</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los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términos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de</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las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disposiciones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aplicables;</w:t>
      </w:r>
    </w:p>
    <w:p w:rsidR="00000000" w:rsidDel="00000000" w:rsidP="00000000" w:rsidRDefault="00000000" w:rsidRPr="00000000" w14:paraId="00000062">
      <w:pP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VIII.</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Los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fideicomisos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y</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fondos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públicos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que</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cuenten</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con</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financiamiento</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público,</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parcial</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o</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total,</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o</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con</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participación</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de</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entidades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de</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gobierno;</w:t>
      </w:r>
    </w:p>
    <w:p w:rsidR="00000000" w:rsidDel="00000000" w:rsidP="00000000" w:rsidRDefault="00000000" w:rsidRPr="00000000" w14:paraId="00000063">
      <w:pP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IX.</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Los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sindicatos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que</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reciban</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y/o</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ejerzan</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recursos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públicos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en</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el</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ámbito</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estatal</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y</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municipal;</w:t>
      </w:r>
    </w:p>
    <w:p w:rsidR="00000000" w:rsidDel="00000000" w:rsidP="00000000" w:rsidRDefault="00000000" w:rsidRPr="00000000" w14:paraId="00000064">
      <w:pP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X.</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Cualquier</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persona</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física</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o</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jurídico</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colectiva</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que</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reciba</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y</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ejerza</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recursos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públicos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en</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el</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ámbito</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estatal</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o</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municipal;</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y</w:t>
      </w:r>
    </w:p>
    <w:p w:rsidR="00000000" w:rsidDel="00000000" w:rsidP="00000000" w:rsidRDefault="00000000" w:rsidRPr="00000000" w14:paraId="00000065">
      <w:pP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XI.</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Cualquier</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otra</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autoridad,</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entidad,</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órgano</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u</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organismo</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de</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los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poderes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estatal</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o</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municipal,</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que</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reciba</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recursos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públicos.</w:t>
      </w:r>
    </w:p>
    <w:p w:rsidR="00000000" w:rsidDel="00000000" w:rsidP="00000000" w:rsidRDefault="00000000" w:rsidRPr="00000000" w14:paraId="00000066">
      <w:pP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Los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sujetos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obligados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deberán</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hacer</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pública</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toda</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aquella</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información</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relativa</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a</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los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montos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y</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las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personas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a</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quienes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entreguen,</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por</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cualquier</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motivo,</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recursos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públicos,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así</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como</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los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informes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que</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dichas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personas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les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entreguen</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sobre</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el</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uso</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y</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destino</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de</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dichos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recursos.</w:t>
      </w:r>
    </w:p>
    <w:p w:rsidR="00000000" w:rsidDel="00000000" w:rsidP="00000000" w:rsidRDefault="00000000" w:rsidRPr="00000000" w14:paraId="00000067">
      <w:pP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Los</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servidores</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públicos</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deberán</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transparentar</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sus</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acciones,</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así</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como</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garantizar</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y</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respetar</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el</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derecho</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de</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acceso</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a</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la</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información</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pública</w:t>
      </w: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(Sic)</w:t>
      </w:r>
    </w:p>
    <w:p w:rsidR="00000000" w:rsidDel="00000000" w:rsidP="00000000" w:rsidRDefault="00000000" w:rsidRPr="00000000" w14:paraId="00000068">
      <w:pPr>
        <w:ind w:left="851" w:right="902" w:firstLine="0"/>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69">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000000" w:rsidDel="00000000" w:rsidP="00000000" w:rsidRDefault="00000000" w:rsidRPr="00000000" w14:paraId="0000006A">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000000" w:rsidDel="00000000" w:rsidP="00000000" w:rsidRDefault="00000000" w:rsidRPr="00000000" w14:paraId="0000006B">
      <w:pPr>
        <w:widowControl w:val="0"/>
        <w:tabs>
          <w:tab w:val="left" w:pos="1276"/>
        </w:tabs>
        <w:spacing w:after="28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000000" w:rsidDel="00000000" w:rsidP="00000000" w:rsidRDefault="00000000" w:rsidRPr="00000000" w14:paraId="0000006C">
      <w:pPr>
        <w:widowControl w:val="0"/>
        <w:tabs>
          <w:tab w:val="left" w:pos="1276"/>
        </w:tabs>
        <w:spacing w:after="28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000000" w:rsidDel="00000000" w:rsidP="00000000" w:rsidRDefault="00000000" w:rsidRPr="00000000" w14:paraId="0000006D">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Asimismo, el diverso artículo 54 de la Ley de Transparencia y Acceso a la Información Pública del Estado de México y Municipios establece que cuando alguna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000000" w:rsidDel="00000000" w:rsidP="00000000" w:rsidRDefault="00000000" w:rsidRPr="00000000" w14:paraId="0000006E">
      <w:pPr>
        <w:widowControl w:val="0"/>
        <w:tabs>
          <w:tab w:val="left" w:pos="1276"/>
        </w:tabs>
        <w:spacing w:after="28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000000" w:rsidDel="00000000" w:rsidP="00000000" w:rsidRDefault="00000000" w:rsidRPr="00000000" w14:paraId="0000006F">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000000" w:rsidDel="00000000" w:rsidP="00000000" w:rsidRDefault="00000000" w:rsidRPr="00000000" w14:paraId="00000070">
      <w:pP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 163. La Unidad de Transparencia deberá notificar la respuesta a la solicitud al interesado en el menor tiempo posible, que no podrá exceder de quince días hábiles</w:t>
      </w:r>
      <w:r w:rsidDel="00000000" w:rsidR="00000000" w:rsidRPr="00000000">
        <w:rPr>
          <w:rFonts w:ascii="Palatino Linotype" w:cs="Palatino Linotype" w:eastAsia="Palatino Linotype" w:hAnsi="Palatino Linotype"/>
          <w:i w:val="1"/>
          <w:sz w:val="22"/>
          <w:szCs w:val="22"/>
          <w:rtl w:val="0"/>
        </w:rPr>
        <w:t xml:space="preserve">, contados a partir del día siguiente a la presentación de aquélla. </w:t>
      </w:r>
    </w:p>
    <w:p w:rsidR="00000000" w:rsidDel="00000000" w:rsidP="00000000" w:rsidRDefault="00000000" w:rsidRPr="00000000" w14:paraId="00000071">
      <w:pP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rsidR="00000000" w:rsidDel="00000000" w:rsidP="00000000" w:rsidRDefault="00000000" w:rsidRPr="00000000" w14:paraId="00000072">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mérito de lo expuesto, es claro que en este caso en particular el Sujeto Obligado incumplió la normatividad en la materia, puesto que no dio trámite ni respuesta a la solicitud de acceso a la información, limitando el derecho de acceso a la información, accionado por el particular.</w:t>
      </w:r>
    </w:p>
    <w:p w:rsidR="00000000" w:rsidDel="00000000" w:rsidP="00000000" w:rsidRDefault="00000000" w:rsidRPr="00000000" w14:paraId="00000073">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Por ello, esta Autoridad como órgano garante del derecho de acceso a la información estima que lo procedente es ordenar al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dé tramité y respuesta a la solicitud del particular.</w:t>
      </w:r>
    </w:p>
    <w:p w:rsidR="00000000" w:rsidDel="00000000" w:rsidP="00000000" w:rsidRDefault="00000000" w:rsidRPr="00000000" w14:paraId="00000074">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Del="00000000" w:rsidR="00000000" w:rsidRPr="00000000">
        <w:rPr>
          <w:rFonts w:ascii="Palatino Linotype" w:cs="Palatino Linotype" w:eastAsia="Palatino Linotype" w:hAnsi="Palatino Linotype"/>
          <w:b w:val="1"/>
          <w:rtl w:val="0"/>
        </w:rPr>
        <w:t xml:space="preserve">EL SUJETO OBLIGADO</w:t>
      </w:r>
      <w:r w:rsidDel="00000000" w:rsidR="00000000" w:rsidRPr="00000000">
        <w:rPr>
          <w:rFonts w:ascii="Palatino Linotype" w:cs="Palatino Linotype" w:eastAsia="Palatino Linotype" w:hAnsi="Palatino Linotype"/>
          <w:rtl w:val="0"/>
        </w:rPr>
        <w:t xml:space="preserve">; por lo que, en caso de no atender de manera positiva</w:t>
      </w:r>
      <w:r w:rsidDel="00000000" w:rsidR="00000000" w:rsidRPr="00000000">
        <w:rPr>
          <w:rFonts w:ascii="Palatino Linotype" w:cs="Palatino Linotype" w:eastAsia="Palatino Linotype" w:hAnsi="Palatino Linotype"/>
          <w:vertAlign w:val="superscript"/>
        </w:rPr>
        <w:footnoteReference w:customMarkFollows="0" w:id="0"/>
      </w:r>
      <w:r w:rsidDel="00000000" w:rsidR="00000000" w:rsidRPr="00000000">
        <w:rPr>
          <w:rFonts w:ascii="Palatino Linotype" w:cs="Palatino Linotype" w:eastAsia="Palatino Linotype" w:hAnsi="Palatino Linotype"/>
          <w:rtl w:val="0"/>
        </w:rPr>
        <w:t xml:space="preserve">, el requerimiento de información deberá manifestarse al respecto.</w:t>
      </w:r>
    </w:p>
    <w:p w:rsidR="00000000" w:rsidDel="00000000" w:rsidP="00000000" w:rsidRDefault="00000000" w:rsidRPr="00000000" w14:paraId="00000075">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Ahora bien, en atención al sentido en que se resuelve el presente medio de impugnación, esta Ponencia Resolutora no omite señalar que, si </w:t>
      </w:r>
      <w:r w:rsidDel="00000000" w:rsidR="00000000" w:rsidRPr="00000000">
        <w:rPr>
          <w:rFonts w:ascii="Palatino Linotype" w:cs="Palatino Linotype" w:eastAsia="Palatino Linotype" w:hAnsi="Palatino Linotype"/>
          <w:b w:val="1"/>
          <w:rtl w:val="0"/>
        </w:rPr>
        <w:t xml:space="preserve">EL SUJETO OBLIGADO</w:t>
      </w:r>
      <w:r w:rsidDel="00000000" w:rsidR="00000000" w:rsidRPr="00000000">
        <w:rPr>
          <w:rFonts w:ascii="Palatino Linotype" w:cs="Palatino Linotype" w:eastAsia="Palatino Linotype" w:hAnsi="Palatino Linotype"/>
          <w:rtl w:val="0"/>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rsidR="00000000" w:rsidDel="00000000" w:rsidP="00000000" w:rsidRDefault="00000000" w:rsidRPr="00000000" w14:paraId="00000076">
      <w:pPr>
        <w:spacing w:after="280" w:before="280" w:line="360" w:lineRule="auto"/>
        <w:ind w:right="51"/>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ese sentido, es de precisar que la clasificación de la información no se da por el simple mandato de la Ley, sino que es necesario que </w:t>
      </w:r>
      <w:r w:rsidDel="00000000" w:rsidR="00000000" w:rsidRPr="00000000">
        <w:rPr>
          <w:rFonts w:ascii="Palatino Linotype" w:cs="Palatino Linotype" w:eastAsia="Palatino Linotype" w:hAnsi="Palatino Linotype"/>
          <w:b w:val="1"/>
          <w:rtl w:val="0"/>
        </w:rPr>
        <w:t xml:space="preserve">EL SUJETO OBLIGADO </w:t>
      </w:r>
      <w:r w:rsidDel="00000000" w:rsidR="00000000" w:rsidRPr="00000000">
        <w:rPr>
          <w:rFonts w:ascii="Palatino Linotype" w:cs="Palatino Linotype" w:eastAsia="Palatino Linotype" w:hAnsi="Palatino Linotype"/>
          <w:rtl w:val="0"/>
        </w:rPr>
        <w:t xml:space="preserve">cuando clasifique algún documento o información, ya sea todo o en parte, debe atender lo dispuesto por la Ley de la materia, siendo que dicha clasificación es un trabajo en conjunto tanto de los Servidores Públicos Habilitados, de las Unidades de Transparencia y del Comité de Transparencia del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000000" w:rsidDel="00000000" w:rsidP="00000000" w:rsidRDefault="00000000" w:rsidRPr="00000000" w14:paraId="00000077">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Así las cosas,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000000" w:rsidDel="00000000" w:rsidP="00000000" w:rsidRDefault="00000000" w:rsidRPr="00000000" w14:paraId="00000078">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000000" w:rsidDel="00000000" w:rsidP="00000000" w:rsidRDefault="00000000" w:rsidRPr="00000000" w14:paraId="00000079">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otra parte, esta Ponencia Resolutora no omite mencionar que, si </w:t>
      </w:r>
      <w:r w:rsidDel="00000000" w:rsidR="00000000" w:rsidRPr="00000000">
        <w:rPr>
          <w:rFonts w:ascii="Palatino Linotype" w:cs="Palatino Linotype" w:eastAsia="Palatino Linotype" w:hAnsi="Palatino Linotype"/>
          <w:b w:val="1"/>
          <w:rtl w:val="0"/>
        </w:rPr>
        <w:t xml:space="preserve">EL SUJETO OBLIGADO</w:t>
      </w:r>
      <w:r w:rsidDel="00000000" w:rsidR="00000000" w:rsidRPr="00000000">
        <w:rPr>
          <w:rFonts w:ascii="Palatino Linotype" w:cs="Palatino Linotype" w:eastAsia="Palatino Linotype" w:hAnsi="Palatino Linotype"/>
          <w:rtl w:val="0"/>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rsidR="00000000" w:rsidDel="00000000" w:rsidP="00000000" w:rsidRDefault="00000000" w:rsidRPr="00000000" w14:paraId="0000007A">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Lo anterior, sin perder de vista que la Constitución Política de los Estados Unidos Mexicanos le otorga a </w:t>
      </w:r>
      <w:r w:rsidDel="00000000" w:rsidR="00000000" w:rsidRPr="00000000">
        <w:rPr>
          <w:rFonts w:ascii="Palatino Linotype" w:cs="Palatino Linotype" w:eastAsia="Palatino Linotype" w:hAnsi="Palatino Linotype"/>
          <w:b w:val="1"/>
          <w:rtl w:val="0"/>
        </w:rPr>
        <w:t xml:space="preserve">todos los documentos</w:t>
      </w:r>
      <w:r w:rsidDel="00000000" w:rsidR="00000000" w:rsidRPr="00000000">
        <w:rPr>
          <w:rFonts w:ascii="Palatino Linotype" w:cs="Palatino Linotype" w:eastAsia="Palatino Linotype" w:hAnsi="Palatino Linotype"/>
          <w:rtl w:val="0"/>
        </w:rPr>
        <w:t xml:space="preserve"> en posesión de las autoridades </w:t>
      </w:r>
      <w:r w:rsidDel="00000000" w:rsidR="00000000" w:rsidRPr="00000000">
        <w:rPr>
          <w:rFonts w:ascii="Palatino Linotype" w:cs="Palatino Linotype" w:eastAsia="Palatino Linotype" w:hAnsi="Palatino Linotype"/>
          <w:b w:val="1"/>
          <w:rtl w:val="0"/>
        </w:rPr>
        <w:t xml:space="preserve">la calidad de públicos</w:t>
      </w:r>
      <w:r w:rsidDel="00000000" w:rsidR="00000000" w:rsidRPr="00000000">
        <w:rPr>
          <w:rFonts w:ascii="Palatino Linotype" w:cs="Palatino Linotype" w:eastAsia="Palatino Linotype" w:hAnsi="Palatino Linotype"/>
          <w:rtl w:val="0"/>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000000" w:rsidDel="00000000" w:rsidP="00000000" w:rsidRDefault="00000000" w:rsidRPr="00000000" w14:paraId="0000007B">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Siendo pertinente aclarar que, la información que se clasifica bajo la premisa de reservada, </w:t>
      </w:r>
      <w:r w:rsidDel="00000000" w:rsidR="00000000" w:rsidRPr="00000000">
        <w:rPr>
          <w:rFonts w:ascii="Palatino Linotype" w:cs="Palatino Linotype" w:eastAsia="Palatino Linotype" w:hAnsi="Palatino Linotype"/>
          <w:b w:val="1"/>
          <w:rtl w:val="0"/>
        </w:rPr>
        <w:t xml:space="preserve">no pierde el carácter de pública</w:t>
      </w:r>
      <w:r w:rsidDel="00000000" w:rsidR="00000000" w:rsidRPr="00000000">
        <w:rPr>
          <w:rFonts w:ascii="Palatino Linotype" w:cs="Palatino Linotype" w:eastAsia="Palatino Linotype" w:hAnsi="Palatino Linotype"/>
          <w:rtl w:val="0"/>
        </w:rPr>
        <w:t xml:space="preserve">, sino que </w:t>
      </w:r>
      <w:r w:rsidDel="00000000" w:rsidR="00000000" w:rsidRPr="00000000">
        <w:rPr>
          <w:rFonts w:ascii="Palatino Linotype" w:cs="Palatino Linotype" w:eastAsia="Palatino Linotype" w:hAnsi="Palatino Linotype"/>
          <w:b w:val="1"/>
          <w:rtl w:val="0"/>
        </w:rPr>
        <w:t xml:space="preserve">se reserva temporalmente</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1"/>
          <w:rtl w:val="0"/>
        </w:rPr>
        <w:t xml:space="preserve">del conocimiento público</w:t>
      </w:r>
      <w:r w:rsidDel="00000000" w:rsidR="00000000" w:rsidRPr="00000000">
        <w:rPr>
          <w:rFonts w:ascii="Palatino Linotype" w:cs="Palatino Linotype" w:eastAsia="Palatino Linotype" w:hAnsi="Palatino Linotype"/>
          <w:rtl w:val="0"/>
        </w:rPr>
        <w:t xml:space="preserve">, es decir, que, </w:t>
      </w:r>
      <w:r w:rsidDel="00000000" w:rsidR="00000000" w:rsidRPr="00000000">
        <w:rPr>
          <w:rFonts w:ascii="Palatino Linotype" w:cs="Palatino Linotype" w:eastAsia="Palatino Linotype" w:hAnsi="Palatino Linotype"/>
          <w:b w:val="1"/>
          <w:rtl w:val="0"/>
        </w:rPr>
        <w:t xml:space="preserve">por un tiempo determinado</w:t>
      </w:r>
      <w:r w:rsidDel="00000000" w:rsidR="00000000" w:rsidRPr="00000000">
        <w:rPr>
          <w:rFonts w:ascii="Palatino Linotype" w:cs="Palatino Linotype" w:eastAsia="Palatino Linotype" w:hAnsi="Palatino Linotype"/>
          <w:rtl w:val="0"/>
        </w:rPr>
        <w:t xml:space="preserve">, se conservará y custodiará la información de manera especial, y una vez transcurrido el plazo de reserva, el documento podrá divulgarse.</w:t>
      </w:r>
    </w:p>
    <w:p w:rsidR="00000000" w:rsidDel="00000000" w:rsidP="00000000" w:rsidRDefault="00000000" w:rsidRPr="00000000" w14:paraId="0000007C">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rsidR="00000000" w:rsidDel="00000000" w:rsidP="00000000" w:rsidRDefault="00000000" w:rsidRPr="00000000" w14:paraId="0000007D">
      <w:pP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INFORMACIÓN RESERVADA. APLICACIÓN DE LA "PRUEBA DE DAÑO E INTERÉS PÚBLICO" PARA DETERMINAR LO ADECUADO DE LA APORTADA CON ESA CLASIFICACIÓN EN EL JUICIO DE AMPARO POR LA AUTORIDAD RESPONSABLE, A EFECTO DE HACER VIABLE LA DEFENSA EFECTIVA DEL QUEJOSO.</w:t>
      </w:r>
      <w:r w:rsidDel="00000000" w:rsidR="00000000" w:rsidRPr="00000000">
        <w:rPr>
          <w:rFonts w:ascii="Palatino Linotype" w:cs="Palatino Linotype" w:eastAsia="Palatino Linotype" w:hAnsi="Palatino Linotype"/>
          <w:i w:val="1"/>
          <w:sz w:val="22"/>
          <w:szCs w:val="22"/>
          <w:rtl w:val="0"/>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000000" w:rsidDel="00000000" w:rsidP="00000000" w:rsidRDefault="00000000" w:rsidRPr="00000000" w14:paraId="0000007E">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todo lo anterior, la reserva de la información implica una clasificación, la cual debe entenderse como el proceso mediante el cual </w:t>
      </w:r>
      <w:r w:rsidDel="00000000" w:rsidR="00000000" w:rsidRPr="00000000">
        <w:rPr>
          <w:rFonts w:ascii="Palatino Linotype" w:cs="Palatino Linotype" w:eastAsia="Palatino Linotype" w:hAnsi="Palatino Linotype"/>
          <w:b w:val="1"/>
          <w:rtl w:val="0"/>
        </w:rPr>
        <w:t xml:space="preserve">EL SUJETO OBLIGADO</w:t>
      </w:r>
      <w:r w:rsidDel="00000000" w:rsidR="00000000" w:rsidRPr="00000000">
        <w:rPr>
          <w:rFonts w:ascii="Palatino Linotype" w:cs="Palatino Linotype" w:eastAsia="Palatino Linotype" w:hAnsi="Palatino Linotype"/>
          <w:rtl w:val="0"/>
        </w:rPr>
        <w:t xml:space="preserve"> determina que la información en su poder, actualiza alguno de los supuestos conforme a las normas aplicables.</w:t>
      </w:r>
    </w:p>
    <w:p w:rsidR="00000000" w:rsidDel="00000000" w:rsidP="00000000" w:rsidRDefault="00000000" w:rsidRPr="00000000" w14:paraId="0000007F">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tal virtud, conforme al artículo 49, fracción VIII de la Ley de Transparencia y Acceso a la Información Pública del Estado de México y Municipios,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a concluir que el caso particular se ajusta al supuesto previsto por la norma legal invocada como fundamento; siendo que, además, </w:t>
      </w:r>
      <w:r w:rsidDel="00000000" w:rsidR="00000000" w:rsidRPr="00000000">
        <w:rPr>
          <w:rFonts w:ascii="Palatino Linotype" w:cs="Palatino Linotype" w:eastAsia="Palatino Linotype" w:hAnsi="Palatino Linotype"/>
          <w:b w:val="1"/>
          <w:rtl w:val="0"/>
        </w:rPr>
        <w:t xml:space="preserve">EL SUJETO OBLIGADO</w:t>
      </w:r>
      <w:r w:rsidDel="00000000" w:rsidR="00000000" w:rsidRPr="00000000">
        <w:rPr>
          <w:rFonts w:ascii="Palatino Linotype" w:cs="Palatino Linotype" w:eastAsia="Palatino Linotype" w:hAnsi="Palatino Linotype"/>
          <w:rtl w:val="0"/>
        </w:rPr>
        <w:t xml:space="preserve"> debe, en todo momento, aplicar una prueba de daño.</w:t>
      </w:r>
    </w:p>
    <w:p w:rsidR="00000000" w:rsidDel="00000000" w:rsidP="00000000" w:rsidRDefault="00000000" w:rsidRPr="00000000" w14:paraId="00000080">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000000" w:rsidDel="00000000" w:rsidP="00000000" w:rsidRDefault="00000000" w:rsidRPr="00000000" w14:paraId="00000081">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000000" w:rsidDel="00000000" w:rsidP="00000000" w:rsidRDefault="00000000" w:rsidRPr="00000000" w14:paraId="00000082">
      <w:pPr>
        <w:numPr>
          <w:ilvl w:val="0"/>
          <w:numId w:val="2"/>
        </w:numPr>
        <w:spacing w:after="0" w:before="280" w:line="360" w:lineRule="auto"/>
        <w:ind w:left="1276" w:hanging="425"/>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Se reciba una solicitud de acceso a la información;</w:t>
      </w:r>
    </w:p>
    <w:p w:rsidR="00000000" w:rsidDel="00000000" w:rsidP="00000000" w:rsidRDefault="00000000" w:rsidRPr="00000000" w14:paraId="00000083">
      <w:pPr>
        <w:numPr>
          <w:ilvl w:val="0"/>
          <w:numId w:val="2"/>
        </w:numPr>
        <w:spacing w:after="0" w:before="0" w:line="360" w:lineRule="auto"/>
        <w:ind w:left="1276" w:hanging="425"/>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Se determine mediante resolución de autoridad competente; y/o</w:t>
      </w:r>
    </w:p>
    <w:p w:rsidR="00000000" w:rsidDel="00000000" w:rsidP="00000000" w:rsidRDefault="00000000" w:rsidRPr="00000000" w14:paraId="00000084">
      <w:pPr>
        <w:numPr>
          <w:ilvl w:val="0"/>
          <w:numId w:val="2"/>
        </w:numPr>
        <w:spacing w:after="280" w:before="0" w:line="360" w:lineRule="auto"/>
        <w:ind w:left="1276" w:hanging="425"/>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Se generen versiones públicas para dar cumplimiento a las obligaciones de transparencia previstas en la Ley.</w:t>
      </w:r>
    </w:p>
    <w:p w:rsidR="00000000" w:rsidDel="00000000" w:rsidP="00000000" w:rsidRDefault="00000000" w:rsidRPr="00000000" w14:paraId="00000085">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Situación que se robustece con el artículo 141 de la misma Ley, que señala que las causales de reserva previstas, se deberán fundar y motivar, a través de la aplicación de la prueba de daño.</w:t>
      </w:r>
    </w:p>
    <w:p w:rsidR="00000000" w:rsidDel="00000000" w:rsidP="00000000" w:rsidRDefault="00000000" w:rsidRPr="00000000" w14:paraId="00000086">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000000" w:rsidDel="00000000" w:rsidP="00000000" w:rsidRDefault="00000000" w:rsidRPr="00000000" w14:paraId="00000087">
      <w:pPr>
        <w:numPr>
          <w:ilvl w:val="0"/>
          <w:numId w:val="3"/>
        </w:numPr>
        <w:spacing w:after="0" w:before="280" w:line="360" w:lineRule="auto"/>
        <w:ind w:left="1134" w:hanging="283"/>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La divulgación de la información representa un </w:t>
      </w:r>
      <w:r w:rsidDel="00000000" w:rsidR="00000000" w:rsidRPr="00000000">
        <w:rPr>
          <w:rFonts w:ascii="Palatino Linotype" w:cs="Palatino Linotype" w:eastAsia="Palatino Linotype" w:hAnsi="Palatino Linotype"/>
          <w:b w:val="1"/>
          <w:rtl w:val="0"/>
        </w:rPr>
        <w:t xml:space="preserve">riesgo real, demostrable e identificable del perjuicio significativo al interés público o a la seguridad pública</w:t>
      </w:r>
      <w:r w:rsidDel="00000000" w:rsidR="00000000" w:rsidRPr="00000000">
        <w:rPr>
          <w:rFonts w:ascii="Palatino Linotype" w:cs="Palatino Linotype" w:eastAsia="Palatino Linotype" w:hAnsi="Palatino Linotype"/>
          <w:rtl w:val="0"/>
        </w:rPr>
        <w:t xml:space="preserve">;</w:t>
      </w:r>
    </w:p>
    <w:p w:rsidR="00000000" w:rsidDel="00000000" w:rsidP="00000000" w:rsidRDefault="00000000" w:rsidRPr="00000000" w14:paraId="00000088">
      <w:pPr>
        <w:numPr>
          <w:ilvl w:val="0"/>
          <w:numId w:val="3"/>
        </w:numPr>
        <w:spacing w:after="0" w:before="0" w:line="360" w:lineRule="auto"/>
        <w:ind w:left="1134" w:hanging="283"/>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El riesgo de perjuicio que supondría la divulgación supera el interés público general de que se difunda; y,</w:t>
      </w:r>
    </w:p>
    <w:p w:rsidR="00000000" w:rsidDel="00000000" w:rsidP="00000000" w:rsidRDefault="00000000" w:rsidRPr="00000000" w14:paraId="00000089">
      <w:pPr>
        <w:numPr>
          <w:ilvl w:val="0"/>
          <w:numId w:val="3"/>
        </w:numPr>
        <w:spacing w:after="280" w:before="0" w:line="360" w:lineRule="auto"/>
        <w:ind w:left="1134" w:hanging="283"/>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La limitación se adecua al principio de proporcionalidad y representa el medio menos restrictivo disponible para evitar el perjuicio.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276"/>
          <w:tab w:val="left" w:pos="1701"/>
          <w:tab w:val="left" w:pos="1843"/>
        </w:tabs>
        <w:spacing w:after="280" w:before="280" w:line="360" w:lineRule="auto"/>
        <w:ind w:left="0" w:right="4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Atento a lo anterior, es necesario hacer hincapié que para el caso de que existan causas presentes que impiden la publicidad de la información durante cierto periodo de tiempo, debe clasificar la información 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000000" w:rsidDel="00000000" w:rsidP="00000000" w:rsidRDefault="00000000" w:rsidRPr="00000000" w14:paraId="0000008B">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Finalmente, este Órgano Garante de la Protección de Datos Personales no omite mencionar que, si dentro de la información que se ordena su entrega, </w:t>
      </w:r>
      <w:r w:rsidDel="00000000" w:rsidR="00000000" w:rsidRPr="00000000">
        <w:rPr>
          <w:rFonts w:ascii="Palatino Linotype" w:cs="Palatino Linotype" w:eastAsia="Palatino Linotype" w:hAnsi="Palatino Linotype"/>
          <w:b w:val="1"/>
          <w:rtl w:val="0"/>
        </w:rPr>
        <w:t xml:space="preserve">EL SUJETO OBLIGADO </w:t>
      </w:r>
      <w:r w:rsidDel="00000000" w:rsidR="00000000" w:rsidRPr="00000000">
        <w:rPr>
          <w:rFonts w:ascii="Palatino Linotype" w:cs="Palatino Linotype" w:eastAsia="Palatino Linotype" w:hAnsi="Palatino Linotype"/>
          <w:rtl w:val="0"/>
        </w:rPr>
        <w:t xml:space="preserve">advierte documentos que por su propia y especial naturaleza son privados, deberá efectuar el Acuerdo de Clasificación como confidencial, en términos de la legislación aplicable y en los términos abordados con antelación.</w:t>
      </w:r>
    </w:p>
    <w:p w:rsidR="00000000" w:rsidDel="00000000" w:rsidP="00000000" w:rsidRDefault="00000000" w:rsidRPr="00000000" w14:paraId="0000008C">
      <w:pPr>
        <w:spacing w:after="280" w:before="280" w:line="360" w:lineRule="auto"/>
        <w:jc w:val="both"/>
        <w:rPr/>
      </w:pPr>
      <w:r w:rsidDel="00000000" w:rsidR="00000000" w:rsidRPr="00000000">
        <w:rPr>
          <w:rFonts w:ascii="Palatino Linotype" w:cs="Palatino Linotype" w:eastAsia="Palatino Linotype" w:hAnsi="Palatino Linotype"/>
          <w:rtl w:val="0"/>
        </w:rPr>
        <w:t xml:space="preserve">Por lo tanto, es importante referir que </w:t>
      </w:r>
      <w:r w:rsidDel="00000000" w:rsidR="00000000" w:rsidRPr="00000000">
        <w:rPr>
          <w:rFonts w:ascii="Palatino Linotype" w:cs="Palatino Linotype" w:eastAsia="Palatino Linotype" w:hAnsi="Palatino Linotype"/>
          <w:b w:val="1"/>
          <w:rtl w:val="0"/>
        </w:rPr>
        <w:t xml:space="preserve">EL SUJETO OBLIGADO</w:t>
      </w:r>
      <w:r w:rsidDel="00000000" w:rsidR="00000000" w:rsidRPr="00000000">
        <w:rPr>
          <w:rFonts w:ascii="Palatino Linotype" w:cs="Palatino Linotype" w:eastAsia="Palatino Linotype" w:hAnsi="Palatino Linotype"/>
          <w:rtl w:val="0"/>
        </w:rPr>
        <w:t xml:space="preserve"> deberá seguir el procedimiento legal establecido para su clasificación, esto es, que su Comité de Transparencia emita un Acuerdo de Clasificación que cumpla con las formalidades antes citadas</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que la sustente, en el que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r w:rsidDel="00000000" w:rsidR="00000000" w:rsidRPr="00000000">
        <w:rPr>
          <w:rtl w:val="0"/>
        </w:rPr>
      </w:r>
    </w:p>
    <w:p w:rsidR="00000000" w:rsidDel="00000000" w:rsidP="00000000" w:rsidRDefault="00000000" w:rsidRPr="00000000" w14:paraId="0000008D">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otra parte, esta Ponencia Resolutora estima prudente señalar al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que, en caso de que la información solicitada, debiera obrar en sus archivos y no cuente con ella, deberá entregar el Acuerdo del Comité de Transparencia, en donde conste la declaratoria de inexistencia de la misma.</w:t>
      </w:r>
    </w:p>
    <w:p w:rsidR="00000000" w:rsidDel="00000000" w:rsidP="00000000" w:rsidRDefault="00000000" w:rsidRPr="00000000" w14:paraId="0000008E">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000000" w:rsidDel="00000000" w:rsidP="00000000" w:rsidRDefault="00000000" w:rsidRPr="00000000" w14:paraId="0000008F">
      <w:pPr>
        <w:shd w:fill="ffffff" w:val="clea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000000" w:rsidDel="00000000" w:rsidP="00000000" w:rsidRDefault="00000000" w:rsidRPr="00000000" w14:paraId="00000090">
      <w:pPr>
        <w:shd w:fill="ffffff" w:val="clea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Resulta aplicable el criterio de interpretación en el orden administrativo número 0008-19 emitido por Acuerdo del Pleno del Instituto de Transparencia y Acceso a la Información Pública del Estado de México y Municipios, que a la letra dice:</w:t>
      </w:r>
    </w:p>
    <w:p w:rsidR="00000000" w:rsidDel="00000000" w:rsidP="00000000" w:rsidRDefault="00000000" w:rsidRPr="00000000" w14:paraId="00000091">
      <w:pPr>
        <w:shd w:fill="ffffff" w:val="clea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“INEXISTENCIA DE LA INFORMACIÓN. SUPUESTOS PARA EMITIR LA RESOLUCIÓN DE LA. </w:t>
      </w:r>
      <w:r w:rsidDel="00000000" w:rsidR="00000000" w:rsidRPr="00000000">
        <w:rPr>
          <w:rFonts w:ascii="Palatino Linotype" w:cs="Palatino Linotype" w:eastAsia="Palatino Linotype" w:hAnsi="Palatino Linotype"/>
          <w:i w:val="1"/>
          <w:sz w:val="22"/>
          <w:szCs w:val="22"/>
          <w:rtl w:val="0"/>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000000" w:rsidDel="00000000" w:rsidP="00000000" w:rsidRDefault="00000000" w:rsidRPr="00000000" w14:paraId="00000092">
      <w:pPr>
        <w:shd w:fill="ffffff" w:val="clea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Precedentes: </w:t>
      </w:r>
    </w:p>
    <w:p w:rsidR="00000000" w:rsidDel="00000000" w:rsidP="00000000" w:rsidRDefault="00000000" w:rsidRPr="00000000" w14:paraId="00000093">
      <w:pPr>
        <w:shd w:fill="ffffff" w:val="clea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000000" w:rsidDel="00000000" w:rsidP="00000000" w:rsidRDefault="00000000" w:rsidRPr="00000000" w14:paraId="00000094">
      <w:pPr>
        <w:shd w:fill="ffffff" w:val="clea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tab/>
        <w:t xml:space="preserve">En materia de acceso a la información pública. 05732/INFOEM/IP/RR/2019. Aprobado por unanimidad de votos. Ayuntamiento de Chicoloapan. Comisionada Ponente Eva Abaid Yapur. </w:t>
      </w:r>
    </w:p>
    <w:p w:rsidR="00000000" w:rsidDel="00000000" w:rsidP="00000000" w:rsidRDefault="00000000" w:rsidRPr="00000000" w14:paraId="00000095">
      <w:pPr>
        <w:shd w:fill="ffffff" w:val="clear"/>
        <w:ind w:left="851" w:right="902" w:firstLine="0"/>
        <w:jc w:val="both"/>
        <w:rPr>
          <w:rFonts w:ascii="Georgia" w:cs="Georgia" w:eastAsia="Georgia" w:hAnsi="Georgia"/>
          <w:b w:val="1"/>
          <w:i w:val="1"/>
          <w:sz w:val="22"/>
          <w:szCs w:val="22"/>
        </w:rPr>
      </w:pPr>
      <w:r w:rsidDel="00000000" w:rsidR="00000000" w:rsidRPr="00000000">
        <w:rPr>
          <w:rFonts w:ascii="Palatino Linotype" w:cs="Palatino Linotype" w:eastAsia="Palatino Linotype" w:hAnsi="Palatino Linotype"/>
          <w:i w:val="1"/>
          <w:sz w:val="22"/>
          <w:szCs w:val="22"/>
          <w:rtl w:val="0"/>
        </w:rPr>
        <w:t xml:space="preserve">•</w:t>
        <w:tab/>
        <w:t xml:space="preserve">En materia de acceso a la información pública. 04749INFOEM/IP/RR/2019 y acumulados. Aprobado por unanimidad de votos, emitiendo voto particular la Comisionada Eva Abaid Yapur. Universidad Politécnica del Valle de Toluca. Comisionado Ponente Javier Martínez Cruz</w:t>
      </w:r>
      <w:r w:rsidDel="00000000" w:rsidR="00000000" w:rsidRPr="00000000">
        <w:rPr>
          <w:rFonts w:ascii="Palatino Linotype" w:cs="Palatino Linotype" w:eastAsia="Palatino Linotype" w:hAnsi="Palatino Linotype"/>
          <w:b w:val="1"/>
          <w:i w:val="1"/>
          <w:sz w:val="22"/>
          <w:szCs w:val="22"/>
          <w:rtl w:val="0"/>
        </w:rPr>
        <w:t xml:space="preserve">.”</w:t>
      </w:r>
      <w:r w:rsidDel="00000000" w:rsidR="00000000" w:rsidRPr="00000000">
        <w:rPr>
          <w:rtl w:val="0"/>
        </w:rPr>
      </w:r>
    </w:p>
    <w:p w:rsidR="00000000" w:rsidDel="00000000" w:rsidP="00000000" w:rsidRDefault="00000000" w:rsidRPr="00000000" w14:paraId="00000096">
      <w:pPr>
        <w:shd w:fill="ffffff" w:val="clear"/>
        <w:ind w:right="902" w:firstLine="851"/>
        <w:jc w:val="both"/>
        <w:rPr>
          <w:rFonts w:ascii="Georgia" w:cs="Georgia" w:eastAsia="Georgia" w:hAnsi="Georgia"/>
          <w:sz w:val="22"/>
          <w:szCs w:val="22"/>
        </w:rPr>
      </w:pPr>
      <w:r w:rsidDel="00000000" w:rsidR="00000000" w:rsidRPr="00000000">
        <w:rPr>
          <w:rFonts w:ascii="Palatino Linotype" w:cs="Palatino Linotype" w:eastAsia="Palatino Linotype" w:hAnsi="Palatino Linotype"/>
          <w:sz w:val="22"/>
          <w:szCs w:val="22"/>
          <w:rtl w:val="0"/>
        </w:rPr>
        <w:t xml:space="preserve">(Énfasis añadido)</w:t>
      </w:r>
      <w:r w:rsidDel="00000000" w:rsidR="00000000" w:rsidRPr="00000000">
        <w:rPr>
          <w:rtl w:val="0"/>
        </w:rPr>
      </w:r>
    </w:p>
    <w:p w:rsidR="00000000" w:rsidDel="00000000" w:rsidP="00000000" w:rsidRDefault="00000000" w:rsidRPr="00000000" w14:paraId="00000097">
      <w:pPr>
        <w:shd w:fill="ffffff" w:val="clear"/>
        <w:ind w:right="902" w:firstLine="851"/>
        <w:jc w:val="both"/>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98">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mérito de todo lo expuesto, ante lo </w:t>
      </w:r>
      <w:r w:rsidDel="00000000" w:rsidR="00000000" w:rsidRPr="00000000">
        <w:rPr>
          <w:rFonts w:ascii="Palatino Linotype" w:cs="Palatino Linotype" w:eastAsia="Palatino Linotype" w:hAnsi="Palatino Linotype"/>
          <w:b w:val="1"/>
          <w:rtl w:val="0"/>
        </w:rPr>
        <w:t xml:space="preserve">fundado</w:t>
      </w:r>
      <w:r w:rsidDel="00000000" w:rsidR="00000000" w:rsidRPr="00000000">
        <w:rPr>
          <w:rFonts w:ascii="Palatino Linotype" w:cs="Palatino Linotype" w:eastAsia="Palatino Linotype" w:hAnsi="Palatino Linotype"/>
          <w:rtl w:val="0"/>
        </w:rPr>
        <w:t xml:space="preserve"> de las razones o motivos de inconformidad hechos valer por </w:t>
      </w:r>
      <w:r w:rsidDel="00000000" w:rsidR="00000000" w:rsidRPr="00000000">
        <w:rPr>
          <w:rFonts w:ascii="Palatino Linotype" w:cs="Palatino Linotype" w:eastAsia="Palatino Linotype" w:hAnsi="Palatino Linotype"/>
          <w:b w:val="1"/>
          <w:rtl w:val="0"/>
        </w:rPr>
        <w:t xml:space="preserve">EL RECURRENTE</w:t>
      </w:r>
      <w:r w:rsidDel="00000000" w:rsidR="00000000" w:rsidRPr="00000000">
        <w:rPr>
          <w:rFonts w:ascii="Palatino Linotype" w:cs="Palatino Linotype" w:eastAsia="Palatino Linotype" w:hAnsi="Palatino Linotype"/>
          <w:rtl w:val="0"/>
        </w:rPr>
        <w:t xml:space="preserve">, este Instituto estima que lo dable es </w:t>
      </w:r>
      <w:r w:rsidDel="00000000" w:rsidR="00000000" w:rsidRPr="00000000">
        <w:rPr>
          <w:rFonts w:ascii="Palatino Linotype" w:cs="Palatino Linotype" w:eastAsia="Palatino Linotype" w:hAnsi="Palatino Linotype"/>
          <w:b w:val="1"/>
          <w:rtl w:val="0"/>
        </w:rPr>
        <w:t xml:space="preserve">ORDENAR</w:t>
      </w:r>
      <w:r w:rsidDel="00000000" w:rsidR="00000000" w:rsidRPr="00000000">
        <w:rPr>
          <w:rFonts w:ascii="Palatino Linotype" w:cs="Palatino Linotype" w:eastAsia="Palatino Linotype" w:hAnsi="Palatino Linotype"/>
          <w:rtl w:val="0"/>
        </w:rPr>
        <w:t xml:space="preserve"> al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dé respuesta a la solicitud de acceso a la información, atendiendo lo señalado en el presente Considerando.</w:t>
      </w:r>
    </w:p>
    <w:p w:rsidR="00000000" w:rsidDel="00000000" w:rsidP="00000000" w:rsidRDefault="00000000" w:rsidRPr="00000000" w14:paraId="00000099">
      <w:pPr>
        <w:spacing w:after="280" w:before="28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Antes de concluir, es de señalar que, como ya se mencionó </w:t>
      </w:r>
      <w:r w:rsidDel="00000000" w:rsidR="00000000" w:rsidRPr="00000000">
        <w:rPr>
          <w:rFonts w:ascii="Palatino Linotype" w:cs="Palatino Linotype" w:eastAsia="Palatino Linotype" w:hAnsi="Palatino Linotype"/>
          <w:b w:val="1"/>
          <w:rtl w:val="0"/>
        </w:rPr>
        <w:t xml:space="preserve">EL SUJETO OBLIGADO</w:t>
      </w:r>
      <w:r w:rsidDel="00000000" w:rsidR="00000000" w:rsidRPr="00000000">
        <w:rPr>
          <w:rFonts w:ascii="Palatino Linotype" w:cs="Palatino Linotype" w:eastAsia="Palatino Linotype" w:hAnsi="Palatino Linotype"/>
          <w:rtl w:val="0"/>
        </w:rPr>
        <w:t xml:space="preserve">, omitió proporcionar la respuesta a su solicitud de acceso a la información pública, en el término contemplado en el ya citado artículo 163 de la Ley de la materia, razón por la que </w:t>
      </w:r>
      <w:r w:rsidDel="00000000" w:rsidR="00000000" w:rsidRPr="00000000">
        <w:rPr>
          <w:rFonts w:ascii="Palatino Linotype" w:cs="Palatino Linotype" w:eastAsia="Palatino Linotype" w:hAnsi="Palatino Linotype"/>
          <w:b w:val="1"/>
          <w:rtl w:val="0"/>
        </w:rPr>
        <w:t xml:space="preserve">se ordena dar vista al Titular de la Contraloría Interna y Órgano de Control y Vigilancia de este Instituto</w:t>
      </w:r>
      <w:r w:rsidDel="00000000" w:rsidR="00000000" w:rsidRPr="00000000">
        <w:rPr>
          <w:rFonts w:ascii="Palatino Linotype" w:cs="Palatino Linotype" w:eastAsia="Palatino Linotype" w:hAnsi="Palatino Linotype"/>
          <w:rtl w:val="0"/>
        </w:rPr>
        <w:t xml:space="preserve">,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000000" w:rsidDel="00000000" w:rsidP="00000000" w:rsidRDefault="00000000" w:rsidRPr="00000000" w14:paraId="0000009A">
      <w:pPr>
        <w:spacing w:after="240" w:before="240" w:line="360" w:lineRule="auto"/>
        <w:jc w:val="both"/>
        <w:rPr>
          <w:rFonts w:ascii="Palatino Linotype" w:cs="Palatino Linotype" w:eastAsia="Palatino Linotype" w:hAnsi="Palatino Linotype"/>
        </w:rPr>
      </w:pPr>
      <w:bookmarkStart w:colFirst="0" w:colLast="0" w:name="_heading=h.30j0zll" w:id="1"/>
      <w:bookmarkEnd w:id="1"/>
      <w:r w:rsidDel="00000000" w:rsidR="00000000" w:rsidRPr="00000000">
        <w:rPr>
          <w:rFonts w:ascii="Palatino Linotype" w:cs="Palatino Linotype" w:eastAsia="Palatino Linotype" w:hAnsi="Palatino Linotype"/>
          <w:rtl w:val="0"/>
        </w:rPr>
        <w:t xml:space="preserve">Así, con fundamento en lo prescrito en los artículos 5 </w:t>
      </w:r>
      <w:r w:rsidDel="00000000" w:rsidR="00000000" w:rsidRPr="00000000">
        <w:rPr>
          <w:rFonts w:ascii="Palatino Linotype" w:cs="Palatino Linotype" w:eastAsia="Palatino Linotype" w:hAnsi="Palatino Linotype"/>
          <w:highlight w:val="white"/>
          <w:rtl w:val="0"/>
        </w:rPr>
        <w:t xml:space="preserve">párrafos vigésimo noveno, trigésimo y trigésimo primero fracciones IV y V </w:t>
      </w:r>
      <w:r w:rsidDel="00000000" w:rsidR="00000000" w:rsidRPr="00000000">
        <w:rPr>
          <w:rFonts w:ascii="Palatino Linotype" w:cs="Palatino Linotype" w:eastAsia="Palatino Linotype" w:hAnsi="Palatino Linotype"/>
          <w:rtl w:val="0"/>
        </w:rPr>
        <w:t xml:space="preserve">de la Constitución Política del Estado Libre y Soberano de México; 2, fracción II; 29, 36 fracciones I y II; 176, 178, 181, 185 de la Ley de Transparencia y Acceso a la Información Pública del Estado de México y Municipios, este Pleno:</w:t>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360" w:lineRule="auto"/>
        <w:ind w:left="1080" w:right="0" w:hanging="720"/>
        <w:jc w:val="center"/>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R E S U E L V E:</w:t>
      </w:r>
    </w:p>
    <w:p w:rsidR="00000000" w:rsidDel="00000000" w:rsidP="00000000" w:rsidRDefault="00000000" w:rsidRPr="00000000" w14:paraId="0000009C">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Primero. </w:t>
      </w:r>
      <w:r w:rsidDel="00000000" w:rsidR="00000000" w:rsidRPr="00000000">
        <w:rPr>
          <w:rFonts w:ascii="Palatino Linotype" w:cs="Palatino Linotype" w:eastAsia="Palatino Linotype" w:hAnsi="Palatino Linotype"/>
          <w:rtl w:val="0"/>
        </w:rPr>
        <w:t xml:space="preserve">Resultan fundados los motivos de inconformidad que arguye el RECURRENTE, en términos del Considerando Cuarto de la presente resolución.</w:t>
      </w:r>
    </w:p>
    <w:p w:rsidR="00000000" w:rsidDel="00000000" w:rsidP="00000000" w:rsidRDefault="00000000" w:rsidRPr="00000000" w14:paraId="0000009D">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Segundo.</w:t>
      </w:r>
      <w:r w:rsidDel="00000000" w:rsidR="00000000" w:rsidRPr="00000000">
        <w:rPr>
          <w:rFonts w:ascii="Palatino Linotype" w:cs="Palatino Linotype" w:eastAsia="Palatino Linotype" w:hAnsi="Palatino Linotype"/>
          <w:rtl w:val="0"/>
        </w:rPr>
        <w:t xml:space="preserve"> Se</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b w:val="1"/>
          <w:color w:val="222222"/>
          <w:rtl w:val="0"/>
        </w:rPr>
        <w:t xml:space="preserve">ORDENA </w:t>
      </w:r>
      <w:r w:rsidDel="00000000" w:rsidR="00000000" w:rsidRPr="00000000">
        <w:rPr>
          <w:rFonts w:ascii="Palatino Linotype" w:cs="Palatino Linotype" w:eastAsia="Palatino Linotype" w:hAnsi="Palatino Linotype"/>
          <w:color w:val="222222"/>
          <w:rtl w:val="0"/>
        </w:rPr>
        <w:t xml:space="preserve">al </w:t>
      </w:r>
      <w:r w:rsidDel="00000000" w:rsidR="00000000" w:rsidRPr="00000000">
        <w:rPr>
          <w:rFonts w:ascii="Palatino Linotype" w:cs="Palatino Linotype" w:eastAsia="Palatino Linotype" w:hAnsi="Palatino Linotype"/>
          <w:b w:val="1"/>
          <w:color w:val="222222"/>
          <w:rtl w:val="0"/>
        </w:rPr>
        <w:t xml:space="preserve">SUJETO OBLIGADO </w:t>
      </w:r>
      <w:r w:rsidDel="00000000" w:rsidR="00000000" w:rsidRPr="00000000">
        <w:rPr>
          <w:rFonts w:ascii="Palatino Linotype" w:cs="Palatino Linotype" w:eastAsia="Palatino Linotype" w:hAnsi="Palatino Linotype"/>
          <w:color w:val="222222"/>
          <w:rtl w:val="0"/>
        </w:rPr>
        <w:t xml:space="preserve">dé trámite a la solicitud de acceso a la información pública que dio origen al recurso de revisión </w:t>
      </w:r>
      <w:r w:rsidDel="00000000" w:rsidR="00000000" w:rsidRPr="00000000">
        <w:rPr>
          <w:rFonts w:ascii="Palatino Linotype" w:cs="Palatino Linotype" w:eastAsia="Palatino Linotype" w:hAnsi="Palatino Linotype"/>
          <w:b w:val="1"/>
          <w:sz w:val="21"/>
          <w:szCs w:val="21"/>
          <w:rtl w:val="0"/>
        </w:rPr>
        <w:t xml:space="preserve">05079/INFOEM/IP/RR/2021</w:t>
      </w:r>
      <w:r w:rsidDel="00000000" w:rsidR="00000000" w:rsidRPr="00000000">
        <w:rPr>
          <w:rFonts w:ascii="Palatino Linotype" w:cs="Palatino Linotype" w:eastAsia="Palatino Linotype" w:hAnsi="Palatino Linotype"/>
          <w:color w:val="222222"/>
          <w:rtl w:val="0"/>
        </w:rPr>
        <w:t xml:space="preserve">,</w:t>
      </w:r>
      <w:r w:rsidDel="00000000" w:rsidR="00000000" w:rsidRPr="00000000">
        <w:rPr>
          <w:rFonts w:ascii="Palatino Linotype" w:cs="Palatino Linotype" w:eastAsia="Palatino Linotype" w:hAnsi="Palatino Linotype"/>
          <w:b w:val="1"/>
          <w:color w:val="222222"/>
          <w:rtl w:val="0"/>
        </w:rPr>
        <w:t xml:space="preserve"> </w:t>
      </w:r>
      <w:r w:rsidDel="00000000" w:rsidR="00000000" w:rsidRPr="00000000">
        <w:rPr>
          <w:rFonts w:ascii="Palatino Linotype" w:cs="Palatino Linotype" w:eastAsia="Palatino Linotype" w:hAnsi="Palatino Linotype"/>
          <w:color w:val="222222"/>
          <w:rtl w:val="0"/>
        </w:rPr>
        <w:t xml:space="preserve">vía </w:t>
      </w:r>
      <w:r w:rsidDel="00000000" w:rsidR="00000000" w:rsidRPr="00000000">
        <w:rPr>
          <w:rFonts w:ascii="Palatino Linotype" w:cs="Palatino Linotype" w:eastAsia="Palatino Linotype" w:hAnsi="Palatino Linotype"/>
          <w:b w:val="1"/>
          <w:color w:val="222222"/>
          <w:rtl w:val="0"/>
        </w:rPr>
        <w:t xml:space="preserve">SAIMEX, </w:t>
      </w:r>
      <w:r w:rsidDel="00000000" w:rsidR="00000000" w:rsidRPr="00000000">
        <w:rPr>
          <w:rFonts w:ascii="Palatino Linotype" w:cs="Palatino Linotype" w:eastAsia="Palatino Linotype" w:hAnsi="Palatino Linotype"/>
          <w:color w:val="222222"/>
          <w:rtl w:val="0"/>
        </w:rPr>
        <w:t xml:space="preserve">en términos del Considerando Cuarto de esta resolución y emita respuesta, debiendo observar las excepciones contenidas en la Ley de Transparencia y Acceso a la Información Pública del Estado de México y Municipios.</w:t>
      </w: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Palatino Linotype" w:cs="Palatino Linotype" w:eastAsia="Palatino Linotype" w:hAnsi="Palatino Linotype"/>
          <w:b w:val="0"/>
          <w:i w:val="0"/>
          <w:smallCaps w:val="0"/>
          <w:strike w:val="0"/>
          <w:color w:val="000000"/>
          <w:sz w:val="24"/>
          <w:szCs w:val="24"/>
          <w:highlight w:val="white"/>
          <w:u w:val="none"/>
          <w:vertAlign w:val="baseline"/>
        </w:rPr>
      </w:pPr>
      <w:bookmarkStart w:colFirst="0" w:colLast="0" w:name="_heading=h.1fob9te" w:id="2"/>
      <w:bookmarkEnd w:id="2"/>
      <w:r w:rsidDel="00000000" w:rsidR="00000000" w:rsidRPr="00000000">
        <w:rPr>
          <w:rFonts w:ascii="Palatino Linotype" w:cs="Palatino Linotype" w:eastAsia="Palatino Linotype" w:hAnsi="Palatino Linotype"/>
          <w:b w:val="1"/>
          <w:i w:val="0"/>
          <w:smallCaps w:val="0"/>
          <w:strike w:val="0"/>
          <w:color w:val="000000"/>
          <w:sz w:val="24"/>
          <w:szCs w:val="24"/>
          <w:highlight w:val="white"/>
          <w:u w:val="none"/>
          <w:vertAlign w:val="baseline"/>
          <w:rtl w:val="0"/>
        </w:rPr>
        <w:t xml:space="preserve">Tercero.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Notifíquese</w:t>
      </w:r>
      <w:r w:rsidDel="00000000" w:rsidR="00000000" w:rsidRPr="00000000">
        <w:rPr>
          <w:rFonts w:ascii="Palatino Linotype" w:cs="Palatino Linotype" w:eastAsia="Palatino Linotype" w:hAnsi="Palatino Linotype"/>
          <w:b w:val="1"/>
          <w:i w:val="0"/>
          <w:smallCaps w:val="0"/>
          <w:strike w:val="0"/>
          <w:color w:val="000000"/>
          <w:sz w:val="24"/>
          <w:szCs w:val="24"/>
          <w:highlight w:val="white"/>
          <w:u w:val="none"/>
          <w:vertAlign w:val="baseline"/>
          <w:rtl w:val="0"/>
        </w:rPr>
        <w:t xml:space="preserve"> vía SAIMEX </w:t>
      </w:r>
      <w:r w:rsidDel="00000000" w:rsidR="00000000" w:rsidRPr="00000000">
        <w:rPr>
          <w:rFonts w:ascii="Palatino Linotype" w:cs="Palatino Linotype" w:eastAsia="Palatino Linotype" w:hAnsi="Palatino Linotype"/>
          <w:b w:val="0"/>
          <w:i w:val="0"/>
          <w:smallCaps w:val="0"/>
          <w:strike w:val="0"/>
          <w:color w:val="000000"/>
          <w:sz w:val="24"/>
          <w:szCs w:val="24"/>
          <w:highlight w:val="white"/>
          <w:u w:val="none"/>
          <w:vertAlign w:val="baseline"/>
          <w:rtl w:val="0"/>
        </w:rPr>
        <w:t xml:space="preserve">al Titular de la Unidad de Transparencia del</w:t>
      </w:r>
      <w:r w:rsidDel="00000000" w:rsidR="00000000" w:rsidRPr="00000000">
        <w:rPr>
          <w:rFonts w:ascii="Palatino Linotype" w:cs="Palatino Linotype" w:eastAsia="Palatino Linotype" w:hAnsi="Palatino Linotype"/>
          <w:b w:val="1"/>
          <w:i w:val="0"/>
          <w:smallCaps w:val="0"/>
          <w:strike w:val="0"/>
          <w:color w:val="000000"/>
          <w:sz w:val="24"/>
          <w:szCs w:val="24"/>
          <w:highlight w:val="white"/>
          <w:u w:val="none"/>
          <w:vertAlign w:val="baseline"/>
          <w:rtl w:val="0"/>
        </w:rPr>
        <w:t xml:space="preserve"> SUJETO OBLIGADO</w:t>
      </w:r>
      <w:r w:rsidDel="00000000" w:rsidR="00000000" w:rsidRPr="00000000">
        <w:rPr>
          <w:rFonts w:ascii="Palatino Linotype" w:cs="Palatino Linotype" w:eastAsia="Palatino Linotype" w:hAnsi="Palatino Linotype"/>
          <w:b w:val="0"/>
          <w:i w:val="0"/>
          <w:smallCaps w:val="0"/>
          <w:strike w:val="0"/>
          <w:color w:val="000000"/>
          <w:sz w:val="24"/>
          <w:szCs w:val="24"/>
          <w:highlight w:val="white"/>
          <w:u w:val="none"/>
          <w:vertAlign w:val="baseline"/>
          <w:rtl w:val="0"/>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000000" w:rsidDel="00000000" w:rsidP="00000000" w:rsidRDefault="00000000" w:rsidRPr="00000000" w14:paraId="0000009F">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Cuarto. Notifíquese</w:t>
      </w:r>
      <w:r w:rsidDel="00000000" w:rsidR="00000000" w:rsidRPr="00000000">
        <w:rPr>
          <w:rFonts w:ascii="Palatino Linotype" w:cs="Palatino Linotype" w:eastAsia="Palatino Linotype" w:hAnsi="Palatino Linotype"/>
          <w:b w:val="1"/>
          <w:highlight w:val="white"/>
          <w:rtl w:val="0"/>
        </w:rPr>
        <w:t xml:space="preserve"> </w:t>
      </w:r>
      <w:r w:rsidDel="00000000" w:rsidR="00000000" w:rsidRPr="00000000">
        <w:rPr>
          <w:rFonts w:ascii="Palatino Linotype" w:cs="Palatino Linotype" w:eastAsia="Palatino Linotype" w:hAnsi="Palatino Linotype"/>
          <w:highlight w:val="white"/>
          <w:rtl w:val="0"/>
        </w:rPr>
        <w:t xml:space="preserve">al </w:t>
      </w:r>
      <w:r w:rsidDel="00000000" w:rsidR="00000000" w:rsidRPr="00000000">
        <w:rPr>
          <w:rFonts w:ascii="Palatino Linotype" w:cs="Palatino Linotype" w:eastAsia="Palatino Linotype" w:hAnsi="Palatino Linotype"/>
          <w:rtl w:val="0"/>
        </w:rPr>
        <w:t xml:space="preserve">recurrente vía SAIMEX</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000000" w:rsidDel="00000000" w:rsidP="00000000" w:rsidRDefault="00000000" w:rsidRPr="00000000" w14:paraId="000000A0">
      <w:pPr>
        <w:spacing w:after="240" w:before="240" w:line="360" w:lineRule="auto"/>
        <w:ind w:right="49"/>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Quinto. </w:t>
      </w:r>
      <w:r w:rsidDel="00000000" w:rsidR="00000000" w:rsidRPr="00000000">
        <w:rPr>
          <w:rFonts w:ascii="Palatino Linotype" w:cs="Palatino Linotype" w:eastAsia="Palatino Linotype" w:hAnsi="Palatino Linotype"/>
          <w:b w:val="1"/>
          <w:color w:val="222222"/>
          <w:rtl w:val="0"/>
        </w:rPr>
        <w:t xml:space="preserve">Hágase del conocimiento </w:t>
      </w:r>
      <w:r w:rsidDel="00000000" w:rsidR="00000000" w:rsidRPr="00000000">
        <w:rPr>
          <w:rFonts w:ascii="Palatino Linotype" w:cs="Palatino Linotype" w:eastAsia="Palatino Linotype" w:hAnsi="Palatino Linotype"/>
          <w:color w:val="222222"/>
          <w:rtl w:val="0"/>
        </w:rPr>
        <w:t xml:space="preserve">del </w:t>
      </w:r>
      <w:r w:rsidDel="00000000" w:rsidR="00000000" w:rsidRPr="00000000">
        <w:rPr>
          <w:rFonts w:ascii="Palatino Linotype" w:cs="Palatino Linotype" w:eastAsia="Palatino Linotype" w:hAnsi="Palatino Linotype"/>
          <w:b w:val="1"/>
          <w:color w:val="222222"/>
          <w:rtl w:val="0"/>
        </w:rPr>
        <w:t xml:space="preserve">RECURRENTE </w:t>
      </w:r>
      <w:r w:rsidDel="00000000" w:rsidR="00000000" w:rsidRPr="00000000">
        <w:rPr>
          <w:rFonts w:ascii="Palatino Linotype" w:cs="Palatino Linotype" w:eastAsia="Palatino Linotype" w:hAnsi="Palatino Linotype"/>
          <w:color w:val="222222"/>
          <w:rtl w:val="0"/>
        </w:rPr>
        <w:t xml:space="preserve">que la respuesta que dé </w:t>
      </w:r>
      <w:r w:rsidDel="00000000" w:rsidR="00000000" w:rsidRPr="00000000">
        <w:rPr>
          <w:rFonts w:ascii="Palatino Linotype" w:cs="Palatino Linotype" w:eastAsia="Palatino Linotype" w:hAnsi="Palatino Linotype"/>
          <w:b w:val="1"/>
          <w:color w:val="222222"/>
          <w:rtl w:val="0"/>
        </w:rPr>
        <w:t xml:space="preserve">EL SUJETO OBLIGADO</w:t>
      </w:r>
      <w:r w:rsidDel="00000000" w:rsidR="00000000" w:rsidRPr="00000000">
        <w:rPr>
          <w:rFonts w:ascii="Palatino Linotype" w:cs="Palatino Linotype" w:eastAsia="Palatino Linotype" w:hAnsi="Palatino Linotype"/>
          <w:color w:val="222222"/>
          <w:rtl w:val="0"/>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r w:rsidDel="00000000" w:rsidR="00000000" w:rsidRPr="00000000">
        <w:rPr>
          <w:rtl w:val="0"/>
        </w:rPr>
      </w:r>
    </w:p>
    <w:p w:rsidR="00000000" w:rsidDel="00000000" w:rsidP="00000000" w:rsidRDefault="00000000" w:rsidRPr="00000000" w14:paraId="000000A1">
      <w:pPr>
        <w:widowControl w:val="0"/>
        <w:tabs>
          <w:tab w:val="left" w:pos="1701"/>
        </w:tabs>
        <w:spacing w:after="0" w:before="240" w:line="360" w:lineRule="auto"/>
        <w:ind w:right="51"/>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Sexto.</w:t>
      </w:r>
      <w:r w:rsidDel="00000000" w:rsidR="00000000" w:rsidRPr="00000000">
        <w:rPr>
          <w:rFonts w:ascii="Palatino Linotype" w:cs="Palatino Linotype" w:eastAsia="Palatino Linotype" w:hAnsi="Palatino Linotype"/>
          <w:b w:val="1"/>
          <w:highlight w:val="white"/>
          <w:rtl w:val="0"/>
        </w:rPr>
        <w:t xml:space="preserve"> </w:t>
      </w:r>
      <w:r w:rsidDel="00000000" w:rsidR="00000000" w:rsidRPr="00000000">
        <w:rPr>
          <w:rFonts w:ascii="Palatino Linotype" w:cs="Palatino Linotype" w:eastAsia="Palatino Linotype" w:hAnsi="Palatino Linotype"/>
          <w:rtl w:val="0"/>
        </w:rPr>
        <w:t xml:space="preserve">Con fundamento en el artículo 198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p>
    <w:p w:rsidR="00000000" w:rsidDel="00000000" w:rsidP="00000000" w:rsidRDefault="00000000" w:rsidRPr="00000000" w14:paraId="000000A2">
      <w:pPr>
        <w:widowControl w:val="0"/>
        <w:tabs>
          <w:tab w:val="left" w:pos="1701"/>
        </w:tabs>
        <w:spacing w:after="0" w:before="0" w:line="360" w:lineRule="auto"/>
        <w:ind w:right="51"/>
        <w:jc w:val="both"/>
        <w:rPr>
          <w:rFonts w:ascii="Palatino Linotype" w:cs="Palatino Linotype" w:eastAsia="Palatino Linotype" w:hAnsi="Palatino Linotype"/>
          <w:highlight w:val="white"/>
        </w:rPr>
      </w:pPr>
      <w:r w:rsidDel="00000000" w:rsidR="00000000" w:rsidRPr="00000000">
        <w:rPr>
          <w:rFonts w:ascii="Palatino Linotype" w:cs="Palatino Linotype" w:eastAsia="Palatino Linotype" w:hAnsi="Palatino Linotype"/>
          <w:b w:val="1"/>
          <w:rtl w:val="0"/>
        </w:rPr>
        <w:t xml:space="preserve">Séptimo. </w:t>
      </w:r>
      <w:r w:rsidDel="00000000" w:rsidR="00000000" w:rsidRPr="00000000">
        <w:rPr>
          <w:rFonts w:ascii="Palatino Linotype" w:cs="Palatino Linotype" w:eastAsia="Palatino Linotype" w:hAnsi="Palatino Linotype"/>
          <w:b w:val="1"/>
          <w:highlight w:val="white"/>
          <w:rtl w:val="0"/>
        </w:rPr>
        <w:t xml:space="preserve">Gírese</w:t>
      </w:r>
      <w:r w:rsidDel="00000000" w:rsidR="00000000" w:rsidRPr="00000000">
        <w:rPr>
          <w:rFonts w:ascii="Palatino Linotype" w:cs="Palatino Linotype" w:eastAsia="Palatino Linotype" w:hAnsi="Palatino Linotype"/>
          <w:highlight w:val="white"/>
          <w:rtl w:val="0"/>
        </w:rPr>
        <w:t xml:space="preserve"> oficio al Contralor Interno de este Instituto para que actúe en razón de su competencia, en términos de lo expuesto en el Considerando Cuarto de la presente resolución.</w:t>
      </w:r>
    </w:p>
    <w:p w:rsidR="00000000" w:rsidDel="00000000" w:rsidP="00000000" w:rsidRDefault="00000000" w:rsidRPr="00000000" w14:paraId="000000A3">
      <w:pPr>
        <w:widowControl w:val="0"/>
        <w:tabs>
          <w:tab w:val="left" w:pos="1701"/>
        </w:tabs>
        <w:spacing w:after="0" w:before="0" w:line="360" w:lineRule="auto"/>
        <w:ind w:right="51"/>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A4">
      <w:pPr>
        <w:spacing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UNO DE DICIEMBRE DE DOS MIL VEINTIUNO, ANTE EL SECRETARIO TÉCNICO DEL PLENO ALEXIS TAPIA RAMÍREZ.</w:t>
      </w:r>
    </w:p>
    <w:p w:rsidR="00000000" w:rsidDel="00000000" w:rsidP="00000000" w:rsidRDefault="00000000" w:rsidRPr="00000000" w14:paraId="000000A5">
      <w:pPr>
        <w:tabs>
          <w:tab w:val="left" w:pos="709"/>
        </w:tabs>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1701" w:top="1985" w:left="1701" w:right="1701"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 w:name="Times New Roman"/>
  <w:font w:name="Courier New"/>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Página </w:t>
    </w: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de </w:t>
    </w: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Página </w:t>
    </w: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de </w:t>
    </w: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708"/>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Palatino Linotype" w:cs="Palatino Linotype" w:eastAsia="Palatino Linotype" w:hAnsi="Palatino Linotype"/>
          <w:b w:val="0"/>
          <w:i w:val="0"/>
          <w:smallCaps w:val="0"/>
          <w:strike w:val="0"/>
          <w:color w:val="000000"/>
          <w:sz w:val="20"/>
          <w:szCs w:val="20"/>
          <w:u w:val="none"/>
          <w:shd w:fill="auto" w:val="clear"/>
          <w:vertAlign w:val="baseline"/>
          <w:rtl w:val="0"/>
        </w:rPr>
        <w:t xml:space="preserve">Al encontrarse en algún supuesto restrictivo, previsto en la normatividad aplicable.</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-438784</wp:posOffset>
          </wp:positionV>
          <wp:extent cx="7635600" cy="9943200"/>
          <wp:effectExtent b="0" l="0" r="0" t="0"/>
          <wp:wrapNone/>
          <wp:docPr id="3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635600" cy="9943200"/>
                  </a:xfrm>
                  <a:prstGeom prst="rect"/>
                  <a:ln/>
                </pic:spPr>
              </pic:pic>
            </a:graphicData>
          </a:graphic>
        </wp:anchor>
      </w:drawing>
    </w:r>
  </w:p>
  <w:tbl>
    <w:tblPr>
      <w:tblStyle w:val="Table1"/>
      <w:tblW w:w="6238.0" w:type="dxa"/>
      <w:jc w:val="left"/>
      <w:tblInd w:w="3119.0" w:type="dxa"/>
      <w:tblLayout w:type="fixed"/>
      <w:tblLook w:val="0400"/>
    </w:tblPr>
    <w:tblGrid>
      <w:gridCol w:w="2551"/>
      <w:gridCol w:w="3687"/>
      <w:tblGridChange w:id="0">
        <w:tblGrid>
          <w:gridCol w:w="2551"/>
          <w:gridCol w:w="3687"/>
        </w:tblGrid>
      </w:tblGridChange>
    </w:tblGrid>
    <w:tr>
      <w:trPr>
        <w:cantSplit w:val="0"/>
        <w:tblHeader w:val="0"/>
      </w:trPr>
      <w:tc>
        <w:tcPr>
          <w:vAlign w:val="center"/>
        </w:tcPr>
        <w:p w:rsidR="00000000" w:rsidDel="00000000" w:rsidP="00000000" w:rsidRDefault="00000000" w:rsidRPr="00000000" w14:paraId="000000AB">
          <w:pPr>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Recurso de Revisión:</w:t>
          </w:r>
        </w:p>
      </w:tc>
      <w:tc>
        <w:tcPr>
          <w:vAlign w:val="center"/>
        </w:tcPr>
        <w:p w:rsidR="00000000" w:rsidDel="00000000" w:rsidP="00000000" w:rsidRDefault="00000000" w:rsidRPr="00000000" w14:paraId="000000AC">
          <w:pPr>
            <w:jc w:val="both"/>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05079/INFOEM/IP/RR/2021</w:t>
          </w:r>
        </w:p>
      </w:tc>
    </w:tr>
    <w:tr>
      <w:trPr>
        <w:cantSplit w:val="0"/>
        <w:tblHeader w:val="0"/>
      </w:trPr>
      <w:tc>
        <w:tcPr>
          <w:vAlign w:val="center"/>
        </w:tcPr>
        <w:p w:rsidR="00000000" w:rsidDel="00000000" w:rsidP="00000000" w:rsidRDefault="00000000" w:rsidRPr="00000000" w14:paraId="000000AD">
          <w:pPr>
            <w:ind w:left="35" w:hanging="35"/>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Recurrente:</w:t>
          </w:r>
        </w:p>
      </w:tc>
      <w:tc>
        <w:tcPr>
          <w:vAlign w:val="center"/>
        </w:tcPr>
        <w:p w:rsidR="00000000" w:rsidDel="00000000" w:rsidP="00000000" w:rsidRDefault="00000000" w:rsidRPr="00000000" w14:paraId="000000AE">
          <w:pPr>
            <w:jc w:val="both"/>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XXXX XXXXXXX XXXXXXXXX XXXXXX</w:t>
          </w:r>
        </w:p>
      </w:tc>
    </w:tr>
    <w:tr>
      <w:trPr>
        <w:cantSplit w:val="0"/>
        <w:trHeight w:val="228" w:hRule="atLeast"/>
        <w:tblHeader w:val="0"/>
      </w:trPr>
      <w:tc>
        <w:tcPr>
          <w:vAlign w:val="center"/>
        </w:tcPr>
        <w:p w:rsidR="00000000" w:rsidDel="00000000" w:rsidP="00000000" w:rsidRDefault="00000000" w:rsidRPr="00000000" w14:paraId="000000AF">
          <w:pPr>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Sujeto obligado:</w:t>
          </w:r>
        </w:p>
      </w:tc>
      <w:tc>
        <w:tcPr>
          <w:vAlign w:val="center"/>
        </w:tcPr>
        <w:p w:rsidR="00000000" w:rsidDel="00000000" w:rsidP="00000000" w:rsidRDefault="00000000" w:rsidRPr="00000000" w14:paraId="000000B0">
          <w:pPr>
            <w:jc w:val="both"/>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Ayuntamiento de Axapusco</w:t>
          </w:r>
        </w:p>
      </w:tc>
    </w:tr>
    <w:tr>
      <w:trPr>
        <w:cantSplit w:val="0"/>
        <w:tblHeader w:val="0"/>
      </w:trPr>
      <w:tc>
        <w:tcPr>
          <w:vAlign w:val="center"/>
        </w:tcPr>
        <w:p w:rsidR="00000000" w:rsidDel="00000000" w:rsidP="00000000" w:rsidRDefault="00000000" w:rsidRPr="00000000" w14:paraId="000000B1">
          <w:pPr>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Comisionado ponente:</w:t>
          </w:r>
        </w:p>
      </w:tc>
      <w:tc>
        <w:tcPr>
          <w:vAlign w:val="center"/>
        </w:tcPr>
        <w:p w:rsidR="00000000" w:rsidDel="00000000" w:rsidP="00000000" w:rsidRDefault="00000000" w:rsidRPr="00000000" w14:paraId="000000B2">
          <w:pPr>
            <w:ind w:right="-533"/>
            <w:jc w:val="both"/>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Guadalupe Ramírez Peña.</w:t>
          </w:r>
        </w:p>
      </w:tc>
    </w:tr>
  </w:tbl>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5528.0" w:type="dxa"/>
      <w:jc w:val="left"/>
      <w:tblInd w:w="3261.0" w:type="dxa"/>
      <w:tblLayout w:type="fixed"/>
      <w:tblLook w:val="0400"/>
    </w:tblPr>
    <w:tblGrid>
      <w:gridCol w:w="2552"/>
      <w:gridCol w:w="2976"/>
      <w:tblGridChange w:id="0">
        <w:tblGrid>
          <w:gridCol w:w="2552"/>
          <w:gridCol w:w="2976"/>
        </w:tblGrid>
      </w:tblGridChange>
    </w:tblGrid>
    <w:tr>
      <w:trPr>
        <w:cantSplit w:val="0"/>
        <w:tblHeader w:val="0"/>
      </w:trPr>
      <w:tc>
        <w:tcPr>
          <w:vAlign w:val="center"/>
        </w:tcPr>
        <w:p w:rsidR="00000000" w:rsidDel="00000000" w:rsidP="00000000" w:rsidRDefault="00000000" w:rsidRPr="00000000" w14:paraId="000000B5">
          <w:pPr>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Recurso de Revisión:</w:t>
          </w:r>
        </w:p>
      </w:tc>
      <w:tc>
        <w:tcPr>
          <w:vAlign w:val="center"/>
        </w:tcPr>
        <w:p w:rsidR="00000000" w:rsidDel="00000000" w:rsidP="00000000" w:rsidRDefault="00000000" w:rsidRPr="00000000" w14:paraId="000000B6">
          <w:pPr>
            <w:jc w:val="both"/>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05079/INFOEM/IP/RR/2021 </w:t>
          </w:r>
        </w:p>
      </w:tc>
    </w:tr>
    <w:tr>
      <w:trPr>
        <w:cantSplit w:val="0"/>
        <w:trHeight w:val="228" w:hRule="atLeast"/>
        <w:tblHeader w:val="0"/>
      </w:trPr>
      <w:tc>
        <w:tcPr>
          <w:vAlign w:val="center"/>
        </w:tcPr>
        <w:p w:rsidR="00000000" w:rsidDel="00000000" w:rsidP="00000000" w:rsidRDefault="00000000" w:rsidRPr="00000000" w14:paraId="000000B7">
          <w:pPr>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Sujeto obligado:</w:t>
          </w:r>
        </w:p>
      </w:tc>
      <w:tc>
        <w:tcPr>
          <w:vAlign w:val="center"/>
        </w:tcPr>
        <w:p w:rsidR="00000000" w:rsidDel="00000000" w:rsidP="00000000" w:rsidRDefault="00000000" w:rsidRPr="00000000" w14:paraId="000000B8">
          <w:pPr>
            <w:jc w:val="both"/>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Ayuntamiento de Axapusco</w:t>
          </w:r>
        </w:p>
      </w:tc>
    </w:tr>
    <w:tr>
      <w:trPr>
        <w:cantSplit w:val="0"/>
        <w:tblHeader w:val="0"/>
      </w:trPr>
      <w:tc>
        <w:tcPr>
          <w:vAlign w:val="center"/>
        </w:tcPr>
        <w:p w:rsidR="00000000" w:rsidDel="00000000" w:rsidP="00000000" w:rsidRDefault="00000000" w:rsidRPr="00000000" w14:paraId="000000B9">
          <w:pPr>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Comisionado ponente:</w:t>
          </w:r>
        </w:p>
      </w:tc>
      <w:tc>
        <w:tcPr>
          <w:vAlign w:val="center"/>
        </w:tcPr>
        <w:p w:rsidR="00000000" w:rsidDel="00000000" w:rsidP="00000000" w:rsidRDefault="00000000" w:rsidRPr="00000000" w14:paraId="000000BA">
          <w:pPr>
            <w:ind w:right="-533"/>
            <w:jc w:val="both"/>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Guadalupe Ramírez Peña.</w:t>
          </w:r>
        </w:p>
      </w:tc>
    </w:tr>
  </w:tbl>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 w:val="left" w:pos="23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-1249679</wp:posOffset>
          </wp:positionV>
          <wp:extent cx="7635163" cy="9944100"/>
          <wp:effectExtent b="0" l="0" r="0" t="0"/>
          <wp:wrapNone/>
          <wp:docPr id="3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635163" cy="99441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B1357"/>
    <w:pPr>
      <w:spacing w:after="0" w:line="240" w:lineRule="auto"/>
    </w:pPr>
    <w:rPr>
      <w:rFonts w:ascii="Times New Roman" w:cs="Times New Roman" w:eastAsia="Times New Roman" w:hAnsi="Times New Roman"/>
      <w:sz w:val="24"/>
      <w:szCs w:val="24"/>
      <w:lang w:eastAsia="es-ES" w:val="es-E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EB1357"/>
    <w:pPr>
      <w:tabs>
        <w:tab w:val="center" w:pos="4252"/>
        <w:tab w:val="right" w:pos="8504"/>
      </w:tabs>
    </w:pPr>
    <w:rPr>
      <w:rFonts w:asciiTheme="minorHAnsi" w:cstheme="minorBidi" w:eastAsiaTheme="minorEastAsia" w:hAnsiTheme="minorHAnsi"/>
      <w:lang w:val="es-ES_tradnl"/>
    </w:rPr>
  </w:style>
  <w:style w:type="character" w:styleId="EncabezadoCar" w:customStyle="1">
    <w:name w:val="Encabezado Car"/>
    <w:basedOn w:val="Fuentedeprrafopredeter"/>
    <w:link w:val="Encabezado"/>
    <w:uiPriority w:val="99"/>
    <w:rsid w:val="00EB1357"/>
    <w:rPr>
      <w:rFonts w:eastAsiaTheme="minorEastAsia"/>
      <w:sz w:val="24"/>
      <w:szCs w:val="24"/>
      <w:lang w:eastAsia="es-ES" w:val="es-ES_tradnl"/>
    </w:rPr>
  </w:style>
  <w:style w:type="paragraph" w:styleId="Piedepgina">
    <w:name w:val="footer"/>
    <w:basedOn w:val="Normal"/>
    <w:link w:val="PiedepginaCar"/>
    <w:uiPriority w:val="99"/>
    <w:unhideWhenUsed w:val="1"/>
    <w:rsid w:val="00EB1357"/>
    <w:pPr>
      <w:tabs>
        <w:tab w:val="center" w:pos="4252"/>
        <w:tab w:val="right" w:pos="8504"/>
      </w:tabs>
    </w:pPr>
    <w:rPr>
      <w:rFonts w:asciiTheme="minorHAnsi" w:cstheme="minorBidi" w:eastAsiaTheme="minorEastAsia" w:hAnsiTheme="minorHAnsi"/>
      <w:lang w:val="es-ES_tradnl"/>
    </w:rPr>
  </w:style>
  <w:style w:type="character" w:styleId="PiedepginaCar" w:customStyle="1">
    <w:name w:val="Pie de página Car"/>
    <w:basedOn w:val="Fuentedeprrafopredeter"/>
    <w:link w:val="Piedepgina"/>
    <w:uiPriority w:val="99"/>
    <w:rsid w:val="00EB1357"/>
    <w:rPr>
      <w:rFonts w:eastAsiaTheme="minorEastAsia"/>
      <w:sz w:val="24"/>
      <w:szCs w:val="24"/>
      <w:lang w:eastAsia="es-ES" w:val="es-ES_tradnl"/>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val="1"/>
    <w:locked w:val="1"/>
    <w:rsid w:val="00EB1357"/>
    <w:rPr>
      <w:rFonts w:ascii="Times New Roman" w:cs="Times New Roman" w:eastAsia="Times New Roman" w:hAnsi="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val="1"/>
    <w:rsid w:val="00EB1357"/>
    <w:pPr>
      <w:ind w:left="708"/>
    </w:pPr>
    <w:rPr>
      <w:sz w:val="22"/>
      <w:szCs w:val="22"/>
      <w:lang w:eastAsia="en-US" w:val="es-MX"/>
    </w:rPr>
  </w:style>
  <w:style w:type="character" w:styleId="normaltextrun" w:customStyle="1">
    <w:name w:val="normaltextrun"/>
    <w:basedOn w:val="Fuentedeprrafopredeter"/>
    <w:rsid w:val="00EB1357"/>
  </w:style>
  <w:style w:type="character" w:styleId="apple-converted-space" w:customStyle="1">
    <w:name w:val="apple-converted-space"/>
    <w:basedOn w:val="Fuentedeprrafopredeter"/>
    <w:rsid w:val="00EB1357"/>
  </w:style>
  <w:style w:type="paragraph" w:styleId="NormalWeb">
    <w:name w:val="Normal (Web)"/>
    <w:basedOn w:val="Normal"/>
    <w:uiPriority w:val="99"/>
    <w:unhideWhenUsed w:val="1"/>
    <w:rsid w:val="00EB1357"/>
    <w:pPr>
      <w:spacing w:after="100" w:afterAutospacing="1" w:before="100" w:beforeAutospacing="1"/>
    </w:pPr>
    <w:rPr>
      <w:lang w:eastAsia="es-MX"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val="1"/>
    <w:qFormat w:val="1"/>
    <w:rsid w:val="00EB1357"/>
    <w:rPr>
      <w:rFonts w:asciiTheme="minorHAnsi" w:cstheme="minorBidi" w:eastAsiaTheme="minorHAnsi" w:hAnsiTheme="minorHAnsi"/>
      <w:sz w:val="20"/>
      <w:szCs w:val="20"/>
      <w:lang w:eastAsia="en-US" w:val="es-MX"/>
    </w:rPr>
  </w:style>
  <w:style w:type="character" w:styleId="TextonotapieCar" w:customStyle="1">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B1357"/>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val="1"/>
    <w:qFormat w:val="1"/>
    <w:rsid w:val="00EB1357"/>
    <w:rPr>
      <w:vertAlign w:val="superscri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7K5dg2c2VzCcBTjosnciTt1c81Q==">AMUW2mXEOkXx1uW+S2kNs+8gaslZGLLR8Gs/aemMSSe9yQuveaDZG1z+qPbjc7MDckZX2lsjCQQc5l2N9Yuiag893OW4cP+uA8CBup9JyrcYICAbvzBVAh8fQRVEBO30/4Y3by0HtLXZUxmFAnSCXZMtorAwiw4KGQ==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2021-11-08T19:35:00Z</dcterms:created>
  <dc:creator>USUARIO</dc:creator>
</cp:coreProperties>
</file>