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5AF978" w14:textId="709BD7CB" w:rsidR="00EF1196" w:rsidRDefault="00F2498E" w:rsidP="001624E8">
      <w:pPr>
        <w:shd w:val="clear" w:color="auto" w:fill="FFFFFF"/>
        <w:spacing w:after="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w:t>
      </w:r>
      <w:r>
        <w:rPr>
          <w:rFonts w:ascii="Palatino Linotype" w:eastAsia="Times New Roman" w:hAnsi="Palatino Linotype" w:cs="Arial"/>
          <w:color w:val="000000"/>
          <w:sz w:val="24"/>
          <w:szCs w:val="24"/>
          <w:lang w:eastAsia="es-MX"/>
        </w:rPr>
        <w:t xml:space="preserve">en </w:t>
      </w:r>
      <w:r w:rsidRPr="0007011C">
        <w:rPr>
          <w:rFonts w:ascii="Palatino Linotype" w:eastAsia="Times New Roman" w:hAnsi="Palatino Linotype" w:cs="Arial"/>
          <w:color w:val="000000"/>
          <w:sz w:val="24"/>
          <w:szCs w:val="24"/>
          <w:lang w:eastAsia="es-MX"/>
        </w:rPr>
        <w:t>Metepec</w:t>
      </w:r>
      <w:r>
        <w:rPr>
          <w:rFonts w:ascii="Palatino Linotype" w:eastAsia="Times New Roman" w:hAnsi="Palatino Linotype" w:cs="Arial"/>
          <w:color w:val="000000"/>
          <w:sz w:val="24"/>
          <w:szCs w:val="24"/>
          <w:lang w:eastAsia="es-MX"/>
        </w:rPr>
        <w:t xml:space="preserve"> Estado de México</w:t>
      </w:r>
      <w:r w:rsidRPr="00CC6625">
        <w:rPr>
          <w:rFonts w:ascii="Palatino Linotype" w:eastAsia="Times New Roman" w:hAnsi="Palatino Linotype" w:cs="Arial"/>
          <w:color w:val="000000"/>
          <w:sz w:val="24"/>
          <w:szCs w:val="24"/>
          <w:lang w:eastAsia="es-MX"/>
        </w:rPr>
        <w:t xml:space="preserve">, </w:t>
      </w:r>
      <w:r w:rsidR="00EF1196" w:rsidRPr="006F3C4B">
        <w:rPr>
          <w:rFonts w:ascii="Palatino Linotype" w:eastAsia="Times New Roman" w:hAnsi="Palatino Linotype" w:cs="Arial"/>
          <w:color w:val="000000"/>
          <w:sz w:val="24"/>
          <w:szCs w:val="24"/>
          <w:lang w:eastAsia="es-MX"/>
        </w:rPr>
        <w:t>a</w:t>
      </w:r>
      <w:r w:rsidR="002E40AD">
        <w:rPr>
          <w:rFonts w:ascii="Palatino Linotype" w:eastAsia="Times New Roman" w:hAnsi="Palatino Linotype" w:cs="Arial"/>
          <w:color w:val="000000"/>
          <w:sz w:val="24"/>
          <w:szCs w:val="24"/>
          <w:lang w:eastAsia="es-MX"/>
        </w:rPr>
        <w:t xml:space="preserve"> </w:t>
      </w:r>
      <w:r w:rsidR="006C47BC">
        <w:rPr>
          <w:rFonts w:ascii="Palatino Linotype" w:eastAsia="Times New Roman" w:hAnsi="Palatino Linotype" w:cs="Arial"/>
          <w:color w:val="000000"/>
          <w:sz w:val="24"/>
          <w:szCs w:val="24"/>
          <w:lang w:eastAsia="es-MX"/>
        </w:rPr>
        <w:t>veinticuatro</w:t>
      </w:r>
      <w:r w:rsidR="00CF1C82">
        <w:rPr>
          <w:rFonts w:ascii="Palatino Linotype" w:eastAsia="Times New Roman" w:hAnsi="Palatino Linotype" w:cs="Arial"/>
          <w:color w:val="000000"/>
          <w:sz w:val="24"/>
          <w:szCs w:val="24"/>
          <w:lang w:eastAsia="es-MX"/>
        </w:rPr>
        <w:t xml:space="preserve"> de noviembre</w:t>
      </w:r>
      <w:r w:rsidR="00BE7A12">
        <w:rPr>
          <w:rFonts w:ascii="Palatino Linotype" w:eastAsia="Times New Roman" w:hAnsi="Palatino Linotype" w:cs="Arial"/>
          <w:color w:val="000000"/>
          <w:sz w:val="24"/>
          <w:szCs w:val="24"/>
          <w:lang w:eastAsia="es-MX"/>
        </w:rPr>
        <w:t xml:space="preserve"> de dos mil veintiuno</w:t>
      </w:r>
      <w:r w:rsidR="00EF1196">
        <w:rPr>
          <w:rFonts w:ascii="Palatino Linotype" w:eastAsia="Times New Roman" w:hAnsi="Palatino Linotype" w:cs="Arial"/>
          <w:color w:val="000000"/>
          <w:sz w:val="24"/>
          <w:szCs w:val="24"/>
          <w:lang w:eastAsia="es-MX"/>
        </w:rPr>
        <w:t>.</w:t>
      </w:r>
    </w:p>
    <w:p w14:paraId="60215DEA" w14:textId="77777777" w:rsidR="00A15E74" w:rsidRPr="009D636F" w:rsidRDefault="00A15E74" w:rsidP="001624E8">
      <w:pPr>
        <w:shd w:val="clear" w:color="auto" w:fill="FFFFFF"/>
        <w:spacing w:after="0" w:line="360" w:lineRule="auto"/>
        <w:jc w:val="both"/>
        <w:rPr>
          <w:rFonts w:ascii="Palatino Linotype" w:eastAsia="Times New Roman" w:hAnsi="Palatino Linotype" w:cs="Arial"/>
          <w:color w:val="000000"/>
          <w:sz w:val="20"/>
          <w:szCs w:val="24"/>
          <w:lang w:eastAsia="es-MX"/>
        </w:rPr>
      </w:pPr>
    </w:p>
    <w:p w14:paraId="7B1CB471" w14:textId="55B05461" w:rsidR="00F2498E" w:rsidRPr="001C087E" w:rsidRDefault="00F2498E" w:rsidP="00824E58">
      <w:pPr>
        <w:spacing w:line="360" w:lineRule="auto"/>
        <w:jc w:val="both"/>
        <w:rPr>
          <w:rFonts w:ascii="Palatino Linotype" w:hAnsi="Palatino Linotype" w:cs="Arial"/>
          <w:b/>
          <w:bCs/>
          <w:sz w:val="24"/>
          <w:szCs w:val="24"/>
          <w:lang w:eastAsia="es-MX"/>
        </w:rPr>
      </w:pPr>
      <w:r w:rsidRPr="00C76CD4">
        <w:rPr>
          <w:rFonts w:ascii="Palatino Linotype" w:hAnsi="Palatino Linotype" w:cs="Arial"/>
          <w:b/>
          <w:sz w:val="28"/>
          <w:szCs w:val="28"/>
        </w:rPr>
        <w:t>VISTO</w:t>
      </w:r>
      <w:r w:rsidRPr="008551ED">
        <w:rPr>
          <w:rFonts w:ascii="Palatino Linotype" w:hAnsi="Palatino Linotype" w:cs="Arial"/>
          <w:sz w:val="24"/>
        </w:rPr>
        <w:t xml:space="preserve"> el expediente electrónico formado con </w:t>
      </w:r>
      <w:r w:rsidRPr="00CB5B7B">
        <w:rPr>
          <w:rFonts w:ascii="Palatino Linotype" w:hAnsi="Palatino Linotype" w:cs="Arial"/>
          <w:sz w:val="24"/>
        </w:rPr>
        <w:t xml:space="preserve">motivo del recurso de revisión número </w:t>
      </w:r>
      <w:r w:rsidR="002C4718" w:rsidRPr="00CB5B7B">
        <w:rPr>
          <w:rFonts w:ascii="Palatino Linotype" w:hAnsi="Palatino Linotype" w:cs="Arial"/>
          <w:b/>
          <w:bCs/>
          <w:sz w:val="24"/>
          <w:lang w:eastAsia="es-MX"/>
        </w:rPr>
        <w:t>0</w:t>
      </w:r>
      <w:r w:rsidR="006C47BC">
        <w:rPr>
          <w:rFonts w:ascii="Palatino Linotype" w:hAnsi="Palatino Linotype" w:cs="Arial"/>
          <w:b/>
          <w:bCs/>
          <w:sz w:val="24"/>
          <w:lang w:eastAsia="es-MX"/>
        </w:rPr>
        <w:t>502</w:t>
      </w:r>
      <w:r w:rsidR="00B02805">
        <w:rPr>
          <w:rFonts w:ascii="Palatino Linotype" w:hAnsi="Palatino Linotype" w:cs="Arial"/>
          <w:b/>
          <w:bCs/>
          <w:sz w:val="24"/>
          <w:lang w:eastAsia="es-MX"/>
        </w:rPr>
        <w:t>0</w:t>
      </w:r>
      <w:r w:rsidRPr="00CB5B7B">
        <w:rPr>
          <w:rFonts w:ascii="Palatino Linotype" w:hAnsi="Palatino Linotype" w:cs="Arial"/>
          <w:b/>
          <w:bCs/>
          <w:sz w:val="24"/>
          <w:lang w:eastAsia="es-MX"/>
        </w:rPr>
        <w:t>/INFOEM/IP/RR/20</w:t>
      </w:r>
      <w:r w:rsidR="0023293E" w:rsidRPr="00CB5B7B">
        <w:rPr>
          <w:rFonts w:ascii="Palatino Linotype" w:hAnsi="Palatino Linotype" w:cs="Arial"/>
          <w:b/>
          <w:bCs/>
          <w:sz w:val="24"/>
          <w:lang w:eastAsia="es-MX"/>
        </w:rPr>
        <w:t>2</w:t>
      </w:r>
      <w:r w:rsidR="00B17577">
        <w:rPr>
          <w:rFonts w:ascii="Palatino Linotype" w:hAnsi="Palatino Linotype" w:cs="Arial"/>
          <w:b/>
          <w:bCs/>
          <w:sz w:val="24"/>
          <w:lang w:eastAsia="es-MX"/>
        </w:rPr>
        <w:t>1</w:t>
      </w:r>
      <w:r w:rsidRPr="00CB5B7B">
        <w:rPr>
          <w:rFonts w:ascii="Palatino Linotype" w:hAnsi="Palatino Linotype" w:cs="Arial"/>
          <w:sz w:val="24"/>
        </w:rPr>
        <w:t xml:space="preserve">, interpuesto </w:t>
      </w:r>
      <w:r w:rsidRPr="00314FA0">
        <w:rPr>
          <w:rFonts w:ascii="Palatino Linotype" w:hAnsi="Palatino Linotype" w:cs="Arial"/>
          <w:sz w:val="24"/>
          <w:szCs w:val="24"/>
        </w:rPr>
        <w:t>por</w:t>
      </w:r>
      <w:r w:rsidR="00BE7CAE" w:rsidRPr="00314FA0">
        <w:rPr>
          <w:rFonts w:ascii="Palatino Linotype" w:hAnsi="Palatino Linotype" w:cs="Arial"/>
          <w:sz w:val="24"/>
          <w:szCs w:val="24"/>
        </w:rPr>
        <w:t xml:space="preserve"> </w:t>
      </w:r>
      <w:r w:rsidR="000C1C64">
        <w:rPr>
          <w:rFonts w:ascii="Palatino Linotype" w:hAnsi="Palatino Linotype" w:cs="Arial"/>
          <w:sz w:val="24"/>
          <w:szCs w:val="24"/>
        </w:rPr>
        <w:t>e</w:t>
      </w:r>
      <w:r w:rsidR="001B00F7" w:rsidRPr="00314FA0">
        <w:rPr>
          <w:rFonts w:ascii="Palatino Linotype" w:hAnsi="Palatino Linotype" w:cs="Arial"/>
          <w:sz w:val="24"/>
          <w:szCs w:val="24"/>
        </w:rPr>
        <w:t xml:space="preserve">l C. </w:t>
      </w:r>
      <w:r w:rsidR="006444C8">
        <w:rPr>
          <w:rFonts w:ascii="Palatino Linotype" w:hAnsi="Palatino Linotype" w:cs="Arial"/>
          <w:b/>
          <w:bCs/>
          <w:lang w:eastAsia="es-MX"/>
        </w:rPr>
        <w:t>xxxxxxxxxxxxxxxxxxxxxxxxxxxxxx</w:t>
      </w:r>
      <w:bookmarkStart w:id="0" w:name="_GoBack"/>
      <w:bookmarkEnd w:id="0"/>
      <w:r w:rsidR="006C47BC" w:rsidRPr="001C087E">
        <w:rPr>
          <w:rFonts w:ascii="Palatino Linotype" w:hAnsi="Palatino Linotype" w:cs="Arial"/>
          <w:sz w:val="24"/>
          <w:szCs w:val="24"/>
        </w:rPr>
        <w:t xml:space="preserve"> </w:t>
      </w:r>
      <w:r w:rsidR="00824E58" w:rsidRPr="001C087E">
        <w:rPr>
          <w:rFonts w:ascii="Palatino Linotype" w:hAnsi="Palatino Linotype" w:cs="Arial"/>
          <w:sz w:val="24"/>
          <w:szCs w:val="24"/>
        </w:rPr>
        <w:t xml:space="preserve">en </w:t>
      </w:r>
      <w:r w:rsidRPr="001C087E">
        <w:rPr>
          <w:rFonts w:ascii="Palatino Linotype" w:hAnsi="Palatino Linotype" w:cs="Arial"/>
          <w:sz w:val="24"/>
          <w:szCs w:val="24"/>
        </w:rPr>
        <w:t xml:space="preserve">lo sucesivo </w:t>
      </w:r>
      <w:r w:rsidR="00CB5B7B" w:rsidRPr="001C087E">
        <w:rPr>
          <w:rFonts w:ascii="Palatino Linotype" w:hAnsi="Palatino Linotype" w:cs="Arial"/>
          <w:sz w:val="24"/>
          <w:szCs w:val="24"/>
        </w:rPr>
        <w:t xml:space="preserve">se le denominará </w:t>
      </w:r>
      <w:r w:rsidR="000C1C64">
        <w:rPr>
          <w:rFonts w:ascii="Palatino Linotype" w:hAnsi="Palatino Linotype" w:cs="Arial"/>
          <w:sz w:val="24"/>
          <w:szCs w:val="24"/>
        </w:rPr>
        <w:t>e</w:t>
      </w:r>
      <w:r w:rsidR="002C4718" w:rsidRPr="001C087E">
        <w:rPr>
          <w:rFonts w:ascii="Palatino Linotype" w:hAnsi="Palatino Linotype" w:cs="Arial"/>
          <w:sz w:val="24"/>
          <w:szCs w:val="24"/>
        </w:rPr>
        <w:t>l</w:t>
      </w:r>
      <w:r w:rsidRPr="001C087E">
        <w:rPr>
          <w:rFonts w:ascii="Palatino Linotype" w:hAnsi="Palatino Linotype" w:cs="Arial"/>
          <w:b/>
          <w:sz w:val="24"/>
          <w:szCs w:val="24"/>
        </w:rPr>
        <w:t xml:space="preserve"> </w:t>
      </w:r>
      <w:r w:rsidR="00BE7CAE" w:rsidRPr="001C087E">
        <w:rPr>
          <w:rFonts w:ascii="Palatino Linotype" w:hAnsi="Palatino Linotype" w:cs="Arial"/>
          <w:b/>
          <w:sz w:val="24"/>
          <w:szCs w:val="24"/>
        </w:rPr>
        <w:t>Recurrente</w:t>
      </w:r>
      <w:r w:rsidRPr="001C087E">
        <w:rPr>
          <w:rFonts w:ascii="Palatino Linotype" w:hAnsi="Palatino Linotype" w:cs="Arial"/>
          <w:sz w:val="24"/>
          <w:szCs w:val="24"/>
        </w:rPr>
        <w:t xml:space="preserve">, en contra de la respuesta otorgada por </w:t>
      </w:r>
      <w:r w:rsidR="000C1C64">
        <w:rPr>
          <w:rFonts w:ascii="Palatino Linotype" w:hAnsi="Palatino Linotype" w:cs="Arial"/>
          <w:sz w:val="24"/>
          <w:szCs w:val="24"/>
        </w:rPr>
        <w:t>el</w:t>
      </w:r>
      <w:r w:rsidR="000C1C64">
        <w:rPr>
          <w:rFonts w:ascii="Palatino Linotype" w:hAnsi="Palatino Linotype" w:cs="Arial"/>
          <w:b/>
          <w:sz w:val="24"/>
          <w:szCs w:val="24"/>
        </w:rPr>
        <w:t xml:space="preserve"> Ayuntamiento de </w:t>
      </w:r>
      <w:r w:rsidR="006C47BC">
        <w:rPr>
          <w:rFonts w:ascii="Palatino Linotype" w:hAnsi="Palatino Linotype" w:cs="Arial"/>
          <w:b/>
          <w:sz w:val="24"/>
          <w:szCs w:val="24"/>
        </w:rPr>
        <w:t>Atizapán</w:t>
      </w:r>
      <w:r w:rsidR="000C2D59" w:rsidRPr="001C087E">
        <w:rPr>
          <w:rFonts w:ascii="Palatino Linotype" w:hAnsi="Palatino Linotype" w:cs="Arial"/>
          <w:b/>
          <w:sz w:val="24"/>
          <w:szCs w:val="24"/>
        </w:rPr>
        <w:t>,</w:t>
      </w:r>
      <w:r w:rsidRPr="001C087E">
        <w:rPr>
          <w:rFonts w:ascii="Palatino Linotype" w:hAnsi="Palatino Linotype" w:cs="Arial"/>
          <w:b/>
          <w:sz w:val="24"/>
          <w:szCs w:val="24"/>
        </w:rPr>
        <w:t xml:space="preserve"> </w:t>
      </w:r>
      <w:r w:rsidRPr="001C087E">
        <w:rPr>
          <w:rFonts w:ascii="Palatino Linotype" w:hAnsi="Palatino Linotype" w:cs="Arial"/>
          <w:sz w:val="24"/>
          <w:szCs w:val="24"/>
        </w:rPr>
        <w:t>en lo subsecuente</w:t>
      </w:r>
      <w:r w:rsidRPr="001C087E">
        <w:rPr>
          <w:rFonts w:ascii="Palatino Linotype" w:hAnsi="Palatino Linotype" w:cs="Arial"/>
          <w:b/>
          <w:sz w:val="24"/>
          <w:szCs w:val="24"/>
        </w:rPr>
        <w:t xml:space="preserve"> </w:t>
      </w:r>
      <w:r w:rsidRPr="001C087E">
        <w:rPr>
          <w:rFonts w:ascii="Palatino Linotype" w:hAnsi="Palatino Linotype" w:cs="Arial"/>
          <w:sz w:val="24"/>
          <w:szCs w:val="24"/>
        </w:rPr>
        <w:t xml:space="preserve">el </w:t>
      </w:r>
      <w:r w:rsidR="000C2D59" w:rsidRPr="001C087E">
        <w:rPr>
          <w:rFonts w:ascii="Palatino Linotype" w:hAnsi="Palatino Linotype" w:cs="Arial"/>
          <w:b/>
          <w:sz w:val="24"/>
          <w:szCs w:val="24"/>
        </w:rPr>
        <w:t>Sujeto Obligado</w:t>
      </w:r>
      <w:r w:rsidRPr="001C087E">
        <w:rPr>
          <w:rFonts w:ascii="Palatino Linotype" w:hAnsi="Palatino Linotype" w:cs="Arial"/>
          <w:b/>
          <w:sz w:val="24"/>
          <w:szCs w:val="24"/>
        </w:rPr>
        <w:t xml:space="preserve">, </w:t>
      </w:r>
      <w:r w:rsidRPr="001C087E">
        <w:rPr>
          <w:rFonts w:ascii="Palatino Linotype" w:hAnsi="Palatino Linotype" w:cs="Arial"/>
          <w:sz w:val="24"/>
          <w:szCs w:val="24"/>
        </w:rPr>
        <w:t>se procede a dictar la presente resolución.</w:t>
      </w:r>
    </w:p>
    <w:p w14:paraId="17435C79" w14:textId="77777777" w:rsidR="00F2498E" w:rsidRPr="008F2554" w:rsidRDefault="00F2498E" w:rsidP="001624E8">
      <w:pPr>
        <w:tabs>
          <w:tab w:val="left" w:pos="1701"/>
        </w:tabs>
        <w:spacing w:after="0" w:line="360" w:lineRule="auto"/>
        <w:jc w:val="both"/>
        <w:rPr>
          <w:rFonts w:ascii="Palatino Linotype" w:hAnsi="Palatino Linotype" w:cs="Arial"/>
          <w:sz w:val="14"/>
        </w:rPr>
      </w:pPr>
    </w:p>
    <w:p w14:paraId="0E3F4688" w14:textId="77777777" w:rsidR="00F2498E" w:rsidRDefault="00F2498E" w:rsidP="001624E8">
      <w:pPr>
        <w:spacing w:after="0" w:line="360" w:lineRule="auto"/>
        <w:jc w:val="center"/>
        <w:rPr>
          <w:rFonts w:ascii="Palatino Linotype" w:hAnsi="Palatino Linotype" w:cs="Arial"/>
          <w:b/>
          <w:sz w:val="28"/>
        </w:rPr>
      </w:pPr>
      <w:r>
        <w:rPr>
          <w:rFonts w:ascii="Palatino Linotype" w:hAnsi="Palatino Linotype" w:cs="Arial"/>
          <w:b/>
          <w:sz w:val="28"/>
        </w:rPr>
        <w:t>A N T E C E D E N T E S</w:t>
      </w:r>
    </w:p>
    <w:p w14:paraId="2C818834" w14:textId="77777777" w:rsidR="001624E8" w:rsidRPr="008F2554" w:rsidRDefault="001624E8" w:rsidP="001624E8">
      <w:pPr>
        <w:spacing w:after="0" w:line="360" w:lineRule="auto"/>
        <w:jc w:val="center"/>
        <w:rPr>
          <w:rFonts w:ascii="Palatino Linotype" w:hAnsi="Palatino Linotype" w:cs="Arial"/>
          <w:b/>
          <w:sz w:val="16"/>
        </w:rPr>
      </w:pPr>
    </w:p>
    <w:p w14:paraId="00530098" w14:textId="77777777" w:rsidR="00F2498E" w:rsidRPr="002C4718" w:rsidRDefault="006E20F9" w:rsidP="001624E8">
      <w:pPr>
        <w:spacing w:after="0" w:line="360" w:lineRule="auto"/>
        <w:jc w:val="both"/>
        <w:rPr>
          <w:rFonts w:ascii="Palatino Linotype" w:hAnsi="Palatino Linotype" w:cs="Arial"/>
          <w:sz w:val="28"/>
          <w:szCs w:val="28"/>
        </w:rPr>
      </w:pPr>
      <w:r w:rsidRPr="002C4718">
        <w:rPr>
          <w:rFonts w:ascii="Palatino Linotype" w:hAnsi="Palatino Linotype"/>
          <w:b/>
          <w:sz w:val="28"/>
          <w:szCs w:val="28"/>
        </w:rPr>
        <w:t>PRIMERO</w:t>
      </w:r>
      <w:r w:rsidR="00F2498E" w:rsidRPr="001F57CD">
        <w:rPr>
          <w:rFonts w:ascii="Palatino Linotype" w:hAnsi="Palatino Linotype"/>
          <w:b/>
          <w:sz w:val="28"/>
          <w:szCs w:val="28"/>
        </w:rPr>
        <w:t xml:space="preserve">. </w:t>
      </w:r>
      <w:r w:rsidR="00F2498E" w:rsidRPr="001F57CD">
        <w:rPr>
          <w:rFonts w:ascii="Palatino Linotype" w:hAnsi="Palatino Linotype"/>
          <w:b/>
          <w:sz w:val="24"/>
          <w:szCs w:val="24"/>
        </w:rPr>
        <w:t>De</w:t>
      </w:r>
      <w:r w:rsidR="00F2498E" w:rsidRPr="000C2D59">
        <w:rPr>
          <w:rFonts w:ascii="Palatino Linotype" w:hAnsi="Palatino Linotype"/>
          <w:b/>
          <w:sz w:val="24"/>
          <w:szCs w:val="24"/>
        </w:rPr>
        <w:t xml:space="preserve"> la solicitud de información.</w:t>
      </w:r>
    </w:p>
    <w:p w14:paraId="0B4A888F" w14:textId="23B3518A" w:rsidR="00F2498E" w:rsidRPr="00837534" w:rsidRDefault="00E120FC" w:rsidP="001624E8">
      <w:pPr>
        <w:spacing w:after="0" w:line="360" w:lineRule="auto"/>
        <w:jc w:val="both"/>
        <w:rPr>
          <w:rFonts w:ascii="Palatino Linotype" w:hAnsi="Palatino Linotype" w:cs="Arial"/>
          <w:sz w:val="24"/>
          <w:szCs w:val="24"/>
        </w:rPr>
      </w:pPr>
      <w:r>
        <w:rPr>
          <w:rFonts w:ascii="Palatino Linotype" w:hAnsi="Palatino Linotype" w:cs="Arial"/>
          <w:sz w:val="24"/>
          <w:szCs w:val="24"/>
        </w:rPr>
        <w:t>Con fecha</w:t>
      </w:r>
      <w:r w:rsidR="00EE447F">
        <w:rPr>
          <w:rFonts w:ascii="Palatino Linotype" w:hAnsi="Palatino Linotype" w:cs="Arial"/>
          <w:sz w:val="24"/>
          <w:szCs w:val="24"/>
        </w:rPr>
        <w:t xml:space="preserve"> </w:t>
      </w:r>
      <w:r w:rsidR="00C05127">
        <w:rPr>
          <w:rFonts w:ascii="Palatino Linotype" w:hAnsi="Palatino Linotype" w:cs="Arial"/>
          <w:sz w:val="24"/>
          <w:szCs w:val="24"/>
        </w:rPr>
        <w:t>veinte</w:t>
      </w:r>
      <w:r w:rsidR="00B02805">
        <w:rPr>
          <w:rFonts w:ascii="Palatino Linotype" w:hAnsi="Palatino Linotype" w:cs="Arial"/>
          <w:sz w:val="24"/>
          <w:szCs w:val="24"/>
        </w:rPr>
        <w:t xml:space="preserve"> de agosto</w:t>
      </w:r>
      <w:r w:rsidR="00C81CD7">
        <w:rPr>
          <w:rFonts w:ascii="Palatino Linotype" w:hAnsi="Palatino Linotype" w:cs="Arial"/>
          <w:sz w:val="24"/>
          <w:szCs w:val="24"/>
        </w:rPr>
        <w:t xml:space="preserve"> de d</w:t>
      </w:r>
      <w:r w:rsidR="00696FD6">
        <w:rPr>
          <w:rFonts w:ascii="Palatino Linotype" w:hAnsi="Palatino Linotype" w:cs="Arial"/>
          <w:sz w:val="24"/>
          <w:szCs w:val="24"/>
        </w:rPr>
        <w:t>os mil veintiuno</w:t>
      </w:r>
      <w:r w:rsidR="00F2498E" w:rsidRPr="000C2D59">
        <w:rPr>
          <w:rFonts w:ascii="Palatino Linotype" w:hAnsi="Palatino Linotype" w:cs="Arial"/>
          <w:sz w:val="24"/>
          <w:szCs w:val="24"/>
        </w:rPr>
        <w:t xml:space="preserve">, </w:t>
      </w:r>
      <w:r w:rsidR="002C4718" w:rsidRPr="000C2D59">
        <w:rPr>
          <w:rFonts w:ascii="Palatino Linotype" w:hAnsi="Palatino Linotype" w:cs="Arial"/>
          <w:sz w:val="24"/>
          <w:szCs w:val="24"/>
        </w:rPr>
        <w:t>l</w:t>
      </w:r>
      <w:r w:rsidR="00B02805">
        <w:rPr>
          <w:rFonts w:ascii="Palatino Linotype" w:hAnsi="Palatino Linotype" w:cs="Arial"/>
          <w:sz w:val="24"/>
          <w:szCs w:val="24"/>
        </w:rPr>
        <w:t>a Recurrente</w:t>
      </w:r>
      <w:r w:rsidR="00F2498E" w:rsidRPr="000C2D59">
        <w:rPr>
          <w:rFonts w:ascii="Palatino Linotype" w:hAnsi="Palatino Linotype" w:cs="Arial"/>
          <w:sz w:val="24"/>
          <w:szCs w:val="24"/>
        </w:rPr>
        <w:t xml:space="preserve">, </w:t>
      </w:r>
      <w:r w:rsidR="006E20F9" w:rsidRPr="000C2D59">
        <w:rPr>
          <w:rFonts w:ascii="Palatino Linotype" w:hAnsi="Palatino Linotype" w:cs="Arial"/>
          <w:sz w:val="24"/>
          <w:szCs w:val="24"/>
        </w:rPr>
        <w:t xml:space="preserve">presentó a través Sistema de Acceso a la Información Mexiquense </w:t>
      </w:r>
      <w:r w:rsidR="006E20F9" w:rsidRPr="007A5B2E">
        <w:rPr>
          <w:rFonts w:ascii="Palatino Linotype" w:hAnsi="Palatino Linotype" w:cs="Arial"/>
          <w:b/>
          <w:sz w:val="24"/>
          <w:szCs w:val="24"/>
        </w:rPr>
        <w:t>(SAIMEX),</w:t>
      </w:r>
      <w:r w:rsidR="006E20F9" w:rsidRPr="000C2D59">
        <w:rPr>
          <w:rFonts w:ascii="Palatino Linotype" w:hAnsi="Palatino Linotype" w:cs="Arial"/>
          <w:sz w:val="24"/>
          <w:szCs w:val="24"/>
        </w:rPr>
        <w:t xml:space="preserve"> ante </w:t>
      </w:r>
      <w:r w:rsidR="002C4718" w:rsidRPr="000C2D59">
        <w:rPr>
          <w:rFonts w:ascii="Palatino Linotype" w:hAnsi="Palatino Linotype" w:cs="Arial"/>
          <w:sz w:val="24"/>
          <w:szCs w:val="24"/>
        </w:rPr>
        <w:t>e</w:t>
      </w:r>
      <w:r w:rsidR="006E20F9" w:rsidRPr="000C2D59">
        <w:rPr>
          <w:rFonts w:ascii="Palatino Linotype" w:hAnsi="Palatino Linotype" w:cs="Arial"/>
          <w:sz w:val="24"/>
          <w:szCs w:val="24"/>
        </w:rPr>
        <w:t xml:space="preserve">l </w:t>
      </w:r>
      <w:r w:rsidR="000C2D59" w:rsidRPr="000C2D59">
        <w:rPr>
          <w:rFonts w:ascii="Palatino Linotype" w:hAnsi="Palatino Linotype" w:cs="Arial"/>
          <w:sz w:val="24"/>
          <w:szCs w:val="24"/>
        </w:rPr>
        <w:t>Sujeto Obligado</w:t>
      </w:r>
      <w:r w:rsidR="006E20F9" w:rsidRPr="000C2D59">
        <w:rPr>
          <w:rFonts w:ascii="Palatino Linotype" w:hAnsi="Palatino Linotype" w:cs="Arial"/>
          <w:sz w:val="24"/>
          <w:szCs w:val="24"/>
        </w:rPr>
        <w:t>, la solicitud de acceso a la in</w:t>
      </w:r>
      <w:r w:rsidR="006E20F9" w:rsidRPr="006E20F9">
        <w:rPr>
          <w:rFonts w:ascii="Palatino Linotype" w:hAnsi="Palatino Linotype" w:cs="Arial"/>
          <w:sz w:val="24"/>
          <w:szCs w:val="24"/>
        </w:rPr>
        <w:t xml:space="preserve">formación pública, registrada bajo el número de </w:t>
      </w:r>
      <w:r w:rsidR="0063593C">
        <w:rPr>
          <w:rFonts w:ascii="Palatino Linotype" w:hAnsi="Palatino Linotype" w:cs="Arial"/>
          <w:sz w:val="24"/>
          <w:szCs w:val="24"/>
        </w:rPr>
        <w:t>f</w:t>
      </w:r>
      <w:r w:rsidR="006E20F9" w:rsidRPr="00B02805">
        <w:rPr>
          <w:rFonts w:ascii="Palatino Linotype" w:hAnsi="Palatino Linotype" w:cs="Arial"/>
          <w:sz w:val="24"/>
          <w:szCs w:val="24"/>
        </w:rPr>
        <w:t>olio</w:t>
      </w:r>
      <w:r w:rsidR="00F2498E" w:rsidRPr="00B02805">
        <w:rPr>
          <w:rFonts w:ascii="Palatino Linotype" w:hAnsi="Palatino Linotype" w:cs="Arial"/>
          <w:sz w:val="24"/>
          <w:szCs w:val="24"/>
        </w:rPr>
        <w:t xml:space="preserve"> </w:t>
      </w:r>
      <w:r w:rsidR="00B02805" w:rsidRPr="00B02805">
        <w:rPr>
          <w:rFonts w:ascii="Palatino Linotype" w:hAnsi="Palatino Linotype" w:cs="Arial"/>
          <w:b/>
          <w:sz w:val="24"/>
          <w:szCs w:val="24"/>
        </w:rPr>
        <w:t> </w:t>
      </w:r>
      <w:r w:rsidR="00C05127" w:rsidRPr="00C05127">
        <w:rPr>
          <w:rFonts w:ascii="Palatino Linotype" w:hAnsi="Palatino Linotype" w:cs="Arial"/>
          <w:b/>
          <w:sz w:val="24"/>
          <w:szCs w:val="24"/>
        </w:rPr>
        <w:t>00082/ATIZAPAN/IP/2021</w:t>
      </w:r>
      <w:r w:rsidR="00F2498E" w:rsidRPr="000C2D59">
        <w:rPr>
          <w:rFonts w:ascii="Palatino Linotype" w:hAnsi="Palatino Linotype" w:cs="Arial"/>
          <w:b/>
          <w:sz w:val="24"/>
          <w:szCs w:val="24"/>
        </w:rPr>
        <w:t>,</w:t>
      </w:r>
      <w:r w:rsidR="00F2498E" w:rsidRPr="000C2D59">
        <w:rPr>
          <w:rFonts w:ascii="Palatino Linotype" w:hAnsi="Palatino Linotype" w:cs="Arial"/>
          <w:sz w:val="24"/>
          <w:szCs w:val="24"/>
        </w:rPr>
        <w:t xml:space="preserve"> </w:t>
      </w:r>
      <w:r w:rsidR="00F2498E" w:rsidRPr="00837534">
        <w:rPr>
          <w:rFonts w:ascii="Palatino Linotype" w:hAnsi="Palatino Linotype" w:cs="Arial"/>
          <w:sz w:val="24"/>
          <w:szCs w:val="24"/>
        </w:rPr>
        <w:t>mediante la cual solicitó lo siguiente:</w:t>
      </w:r>
    </w:p>
    <w:p w14:paraId="45659869" w14:textId="77777777" w:rsidR="001624E8" w:rsidRPr="00837534" w:rsidRDefault="001624E8" w:rsidP="001624E8">
      <w:pPr>
        <w:spacing w:after="0" w:line="360" w:lineRule="auto"/>
        <w:jc w:val="both"/>
        <w:rPr>
          <w:rFonts w:ascii="Palatino Linotype" w:hAnsi="Palatino Linotype" w:cs="Arial"/>
          <w:i/>
        </w:rPr>
      </w:pPr>
    </w:p>
    <w:p w14:paraId="6594E0C7" w14:textId="09EBB2D5" w:rsidR="00D71BF7" w:rsidRPr="00C05127" w:rsidRDefault="0023293E" w:rsidP="00EE447F">
      <w:pPr>
        <w:spacing w:after="120" w:line="240" w:lineRule="auto"/>
        <w:ind w:left="851" w:right="851"/>
        <w:jc w:val="both"/>
        <w:rPr>
          <w:rFonts w:ascii="Palatino Linotype" w:hAnsi="Palatino Linotype"/>
          <w:i/>
          <w:color w:val="000000"/>
          <w:sz w:val="24"/>
          <w:szCs w:val="24"/>
        </w:rPr>
      </w:pPr>
      <w:r w:rsidRPr="00C05127">
        <w:rPr>
          <w:rFonts w:ascii="Palatino Linotype" w:hAnsi="Palatino Linotype"/>
          <w:i/>
          <w:color w:val="000000"/>
          <w:sz w:val="24"/>
          <w:szCs w:val="24"/>
        </w:rPr>
        <w:t>“</w:t>
      </w:r>
      <w:r w:rsidR="00C05127" w:rsidRPr="00C05127">
        <w:rPr>
          <w:rFonts w:ascii="Palatino Linotype" w:hAnsi="Palatino Linotype"/>
          <w:i/>
          <w:color w:val="000000"/>
          <w:sz w:val="24"/>
          <w:szCs w:val="24"/>
        </w:rPr>
        <w:t>Solicito me informen cuánto se le debe a cada proveedor del Ayuntamiento.</w:t>
      </w:r>
      <w:r w:rsidR="000C1C64" w:rsidRPr="00C05127">
        <w:rPr>
          <w:rFonts w:ascii="Palatino Linotype" w:hAnsi="Palatino Linotype"/>
          <w:i/>
          <w:color w:val="000000"/>
          <w:sz w:val="24"/>
          <w:szCs w:val="24"/>
        </w:rPr>
        <w:t xml:space="preserve"> </w:t>
      </w:r>
      <w:r w:rsidR="002155ED" w:rsidRPr="00C05127">
        <w:rPr>
          <w:rFonts w:ascii="Palatino Linotype" w:hAnsi="Palatino Linotype"/>
          <w:i/>
          <w:color w:val="000000"/>
          <w:sz w:val="24"/>
          <w:szCs w:val="24"/>
        </w:rPr>
        <w:t>(Sic).</w:t>
      </w:r>
    </w:p>
    <w:p w14:paraId="1B8031C0" w14:textId="236CD61A" w:rsidR="00F5643F" w:rsidRPr="009D636F" w:rsidRDefault="009558AA" w:rsidP="009558AA">
      <w:pPr>
        <w:tabs>
          <w:tab w:val="left" w:pos="1680"/>
        </w:tabs>
        <w:spacing w:after="0" w:line="360" w:lineRule="auto"/>
        <w:jc w:val="both"/>
        <w:rPr>
          <w:rFonts w:ascii="Palatino Linotype" w:hAnsi="Palatino Linotype" w:cs="Arial"/>
          <w:sz w:val="20"/>
          <w:szCs w:val="24"/>
        </w:rPr>
      </w:pPr>
      <w:r>
        <w:rPr>
          <w:rFonts w:ascii="Palatino Linotype" w:hAnsi="Palatino Linotype" w:cs="Arial"/>
          <w:sz w:val="24"/>
          <w:szCs w:val="24"/>
        </w:rPr>
        <w:tab/>
      </w:r>
    </w:p>
    <w:p w14:paraId="57F1F4A5" w14:textId="048FDAD4" w:rsidR="00637F6F" w:rsidRDefault="006834AD" w:rsidP="006834AD">
      <w:pPr>
        <w:spacing w:after="0" w:line="360" w:lineRule="auto"/>
        <w:jc w:val="both"/>
        <w:rPr>
          <w:rFonts w:ascii="Palatino Linotype" w:hAnsi="Palatino Linotype" w:cs="Arial"/>
          <w:sz w:val="24"/>
          <w:szCs w:val="24"/>
        </w:rPr>
      </w:pPr>
      <w:r w:rsidRPr="00201765">
        <w:rPr>
          <w:rFonts w:ascii="Palatino Linotype" w:hAnsi="Palatino Linotype" w:cs="Arial"/>
          <w:sz w:val="24"/>
          <w:szCs w:val="24"/>
        </w:rPr>
        <w:t>Haciéndose constar que de</w:t>
      </w:r>
      <w:r w:rsidR="0063593C">
        <w:rPr>
          <w:rFonts w:ascii="Palatino Linotype" w:hAnsi="Palatino Linotype" w:cs="Arial"/>
          <w:sz w:val="24"/>
          <w:szCs w:val="24"/>
        </w:rPr>
        <w:t>l</w:t>
      </w:r>
      <w:r>
        <w:rPr>
          <w:rFonts w:ascii="Palatino Linotype" w:hAnsi="Palatino Linotype" w:cs="Arial"/>
          <w:sz w:val="24"/>
          <w:szCs w:val="24"/>
        </w:rPr>
        <w:t xml:space="preserve"> </w:t>
      </w:r>
      <w:r w:rsidRPr="00201765">
        <w:rPr>
          <w:rFonts w:ascii="Palatino Linotype" w:hAnsi="Palatino Linotype" w:cs="Arial"/>
          <w:sz w:val="24"/>
          <w:szCs w:val="24"/>
        </w:rPr>
        <w:t xml:space="preserve">acuse de </w:t>
      </w:r>
      <w:r w:rsidR="0063593C">
        <w:rPr>
          <w:rFonts w:ascii="Palatino Linotype" w:hAnsi="Palatino Linotype" w:cs="Arial"/>
          <w:sz w:val="24"/>
          <w:szCs w:val="24"/>
        </w:rPr>
        <w:t xml:space="preserve">la </w:t>
      </w:r>
      <w:r w:rsidRPr="00201765">
        <w:rPr>
          <w:rFonts w:ascii="Palatino Linotype" w:hAnsi="Palatino Linotype" w:cs="Arial"/>
          <w:sz w:val="24"/>
          <w:szCs w:val="24"/>
        </w:rPr>
        <w:t>solicit</w:t>
      </w:r>
      <w:r>
        <w:rPr>
          <w:rFonts w:ascii="Palatino Linotype" w:hAnsi="Palatino Linotype" w:cs="Arial"/>
          <w:sz w:val="24"/>
          <w:szCs w:val="24"/>
        </w:rPr>
        <w:t xml:space="preserve">ud de información contenida en </w:t>
      </w:r>
      <w:r w:rsidR="0063593C">
        <w:rPr>
          <w:rFonts w:ascii="Palatino Linotype" w:hAnsi="Palatino Linotype" w:cs="Arial"/>
          <w:sz w:val="24"/>
          <w:szCs w:val="24"/>
        </w:rPr>
        <w:t xml:space="preserve">el </w:t>
      </w:r>
      <w:r w:rsidRPr="00201765">
        <w:rPr>
          <w:rFonts w:ascii="Palatino Linotype" w:hAnsi="Palatino Linotype" w:cs="Arial"/>
          <w:sz w:val="24"/>
          <w:szCs w:val="24"/>
        </w:rPr>
        <w:t xml:space="preserve"> expediente electrónico del SAIMEX, se aprecia que</w:t>
      </w:r>
      <w:r>
        <w:rPr>
          <w:rFonts w:ascii="Palatino Linotype" w:hAnsi="Palatino Linotype" w:cs="Arial"/>
          <w:sz w:val="24"/>
          <w:szCs w:val="24"/>
        </w:rPr>
        <w:t xml:space="preserve"> e</w:t>
      </w:r>
      <w:r w:rsidRPr="00201765">
        <w:rPr>
          <w:rFonts w:ascii="Palatino Linotype" w:hAnsi="Palatino Linotype" w:cs="Arial"/>
          <w:sz w:val="24"/>
          <w:szCs w:val="24"/>
        </w:rPr>
        <w:t>l Recurrente eligió como modalidad de entrega</w:t>
      </w:r>
      <w:r>
        <w:rPr>
          <w:rFonts w:ascii="Palatino Linotype" w:hAnsi="Palatino Linotype" w:cs="Arial"/>
          <w:sz w:val="24"/>
          <w:szCs w:val="24"/>
        </w:rPr>
        <w:t xml:space="preserve">: </w:t>
      </w:r>
      <w:r w:rsidRPr="00201765">
        <w:rPr>
          <w:rFonts w:ascii="Palatino Linotype" w:hAnsi="Palatino Linotype" w:cs="Arial"/>
          <w:sz w:val="24"/>
          <w:szCs w:val="24"/>
        </w:rPr>
        <w:t>“</w:t>
      </w:r>
      <w:r w:rsidR="00EE447F">
        <w:rPr>
          <w:rFonts w:ascii="Palatino Linotype" w:hAnsi="Palatino Linotype" w:cs="Arial"/>
          <w:i/>
          <w:sz w:val="24"/>
          <w:szCs w:val="24"/>
        </w:rPr>
        <w:t>a través del SAIMEX</w:t>
      </w:r>
      <w:r w:rsidR="00637F6F">
        <w:rPr>
          <w:rFonts w:ascii="Palatino Linotype" w:hAnsi="Palatino Linotype" w:cs="Arial"/>
          <w:sz w:val="24"/>
          <w:szCs w:val="24"/>
        </w:rPr>
        <w:t>”.</w:t>
      </w:r>
    </w:p>
    <w:p w14:paraId="6A6C70B0" w14:textId="77777777" w:rsidR="00637F6F" w:rsidRPr="009D636F" w:rsidRDefault="00637F6F" w:rsidP="006834AD">
      <w:pPr>
        <w:spacing w:after="0" w:line="360" w:lineRule="auto"/>
        <w:jc w:val="both"/>
        <w:rPr>
          <w:rFonts w:ascii="Palatino Linotype" w:hAnsi="Palatino Linotype" w:cs="Arial"/>
          <w:sz w:val="20"/>
          <w:szCs w:val="24"/>
        </w:rPr>
      </w:pPr>
    </w:p>
    <w:p w14:paraId="22FB65DA" w14:textId="0966DDC9" w:rsidR="004E3959" w:rsidRDefault="000A110B" w:rsidP="001624E8">
      <w:pPr>
        <w:spacing w:after="0" w:line="360" w:lineRule="auto"/>
        <w:jc w:val="both"/>
        <w:rPr>
          <w:rFonts w:ascii="Palatino Linotype" w:hAnsi="Palatino Linotype"/>
          <w:b/>
          <w:sz w:val="24"/>
          <w:szCs w:val="24"/>
        </w:rPr>
      </w:pPr>
      <w:r w:rsidRPr="00C76CD4">
        <w:rPr>
          <w:rFonts w:ascii="Palatino Linotype" w:hAnsi="Palatino Linotype"/>
          <w:b/>
          <w:sz w:val="28"/>
          <w:szCs w:val="28"/>
        </w:rPr>
        <w:lastRenderedPageBreak/>
        <w:t>SEGUNDO</w:t>
      </w:r>
      <w:r w:rsidRPr="00201765">
        <w:rPr>
          <w:rFonts w:ascii="Palatino Linotype" w:hAnsi="Palatino Linotype"/>
          <w:b/>
          <w:sz w:val="24"/>
          <w:szCs w:val="24"/>
        </w:rPr>
        <w:t xml:space="preserve">. </w:t>
      </w:r>
      <w:r w:rsidR="004E3959">
        <w:rPr>
          <w:rFonts w:ascii="Palatino Linotype" w:hAnsi="Palatino Linotype"/>
          <w:b/>
          <w:sz w:val="24"/>
          <w:szCs w:val="24"/>
        </w:rPr>
        <w:t xml:space="preserve">De la </w:t>
      </w:r>
      <w:r w:rsidR="00C05127">
        <w:rPr>
          <w:rFonts w:ascii="Palatino Linotype" w:hAnsi="Palatino Linotype"/>
          <w:b/>
          <w:sz w:val="24"/>
          <w:szCs w:val="24"/>
        </w:rPr>
        <w:t>incompetencia parcial del</w:t>
      </w:r>
      <w:r w:rsidR="00314FA0">
        <w:rPr>
          <w:rFonts w:ascii="Palatino Linotype" w:hAnsi="Palatino Linotype"/>
          <w:b/>
          <w:sz w:val="24"/>
          <w:szCs w:val="24"/>
        </w:rPr>
        <w:t xml:space="preserve"> Sujeto Obligado.</w:t>
      </w:r>
    </w:p>
    <w:p w14:paraId="603B2A0A" w14:textId="518260F4" w:rsidR="00766A73" w:rsidRDefault="00766A73" w:rsidP="001624E8">
      <w:pPr>
        <w:spacing w:after="0" w:line="360" w:lineRule="auto"/>
        <w:jc w:val="both"/>
        <w:rPr>
          <w:rFonts w:ascii="Palatino Linotype" w:hAnsi="Palatino Linotype"/>
          <w:sz w:val="24"/>
          <w:szCs w:val="24"/>
        </w:rPr>
      </w:pPr>
      <w:r w:rsidRPr="00766A73">
        <w:rPr>
          <w:rFonts w:ascii="Palatino Linotype" w:hAnsi="Palatino Linotype"/>
          <w:sz w:val="24"/>
          <w:szCs w:val="24"/>
        </w:rPr>
        <w:t xml:space="preserve">En </w:t>
      </w:r>
      <w:r>
        <w:rPr>
          <w:rFonts w:ascii="Palatino Linotype" w:hAnsi="Palatino Linotype"/>
          <w:sz w:val="24"/>
          <w:szCs w:val="24"/>
        </w:rPr>
        <w:t xml:space="preserve">fecha </w:t>
      </w:r>
      <w:r w:rsidR="00C05127">
        <w:rPr>
          <w:rFonts w:ascii="Palatino Linotype" w:hAnsi="Palatino Linotype"/>
          <w:sz w:val="24"/>
          <w:szCs w:val="24"/>
        </w:rPr>
        <w:t>ocho</w:t>
      </w:r>
      <w:r w:rsidR="000C1C64">
        <w:rPr>
          <w:rFonts w:ascii="Palatino Linotype" w:hAnsi="Palatino Linotype"/>
          <w:sz w:val="24"/>
          <w:szCs w:val="24"/>
        </w:rPr>
        <w:t xml:space="preserve"> de octubre</w:t>
      </w:r>
      <w:r w:rsidR="004E3959">
        <w:rPr>
          <w:rFonts w:ascii="Palatino Linotype" w:hAnsi="Palatino Linotype"/>
          <w:sz w:val="24"/>
          <w:szCs w:val="24"/>
        </w:rPr>
        <w:t xml:space="preserve"> </w:t>
      </w:r>
      <w:r>
        <w:rPr>
          <w:rFonts w:ascii="Palatino Linotype" w:hAnsi="Palatino Linotype"/>
          <w:sz w:val="24"/>
          <w:szCs w:val="24"/>
        </w:rPr>
        <w:t>de dos m</w:t>
      </w:r>
      <w:r w:rsidR="002F3AAF">
        <w:rPr>
          <w:rFonts w:ascii="Palatino Linotype" w:hAnsi="Palatino Linotype"/>
          <w:sz w:val="24"/>
          <w:szCs w:val="24"/>
        </w:rPr>
        <w:t xml:space="preserve">il veintiuno, el Sujeto Obligado </w:t>
      </w:r>
      <w:r w:rsidR="00C05127">
        <w:rPr>
          <w:rFonts w:ascii="Palatino Linotype" w:hAnsi="Palatino Linotype"/>
          <w:sz w:val="24"/>
          <w:szCs w:val="24"/>
        </w:rPr>
        <w:t xml:space="preserve">informó su incompetencia parcial </w:t>
      </w:r>
      <w:r w:rsidR="004E3959">
        <w:rPr>
          <w:rFonts w:ascii="Palatino Linotype" w:hAnsi="Palatino Linotype"/>
          <w:sz w:val="24"/>
          <w:szCs w:val="24"/>
        </w:rPr>
        <w:t>en los siguientes términos:</w:t>
      </w:r>
    </w:p>
    <w:p w14:paraId="6BCC8D67" w14:textId="77777777" w:rsidR="00314FA0" w:rsidRPr="00314FA0" w:rsidRDefault="00314FA0" w:rsidP="001624E8">
      <w:pPr>
        <w:spacing w:after="0" w:line="360" w:lineRule="auto"/>
        <w:jc w:val="both"/>
        <w:rPr>
          <w:rFonts w:ascii="Palatino Linotype" w:hAnsi="Palatino Linotype"/>
          <w:sz w:val="14"/>
          <w:szCs w:val="24"/>
        </w:rPr>
      </w:pPr>
    </w:p>
    <w:p w14:paraId="3EA30A33" w14:textId="223C0E13" w:rsidR="000C1C64" w:rsidRPr="00C05127" w:rsidRDefault="00C05127" w:rsidP="00FB64C1">
      <w:pPr>
        <w:spacing w:after="0" w:line="240" w:lineRule="auto"/>
        <w:ind w:left="851" w:right="850"/>
        <w:jc w:val="right"/>
        <w:rPr>
          <w:rFonts w:ascii="Palatino Linotype" w:hAnsi="Palatino Linotype"/>
          <w:i/>
          <w:color w:val="000000"/>
          <w:sz w:val="24"/>
          <w:szCs w:val="24"/>
        </w:rPr>
      </w:pPr>
      <w:r w:rsidRPr="00C05127">
        <w:rPr>
          <w:rFonts w:ascii="Palatino Linotype" w:hAnsi="Palatino Linotype"/>
          <w:i/>
          <w:color w:val="000000"/>
          <w:sz w:val="24"/>
          <w:szCs w:val="24"/>
        </w:rPr>
        <w:t>Folio de la solicitud: 00082/ATIZAPAN/IP/2021</w:t>
      </w:r>
    </w:p>
    <w:p w14:paraId="74F4AA18" w14:textId="77777777" w:rsidR="00C05127" w:rsidRPr="00C05127" w:rsidRDefault="00C05127" w:rsidP="003F65B5">
      <w:pPr>
        <w:spacing w:after="0" w:line="240" w:lineRule="auto"/>
        <w:ind w:left="851" w:right="850"/>
        <w:jc w:val="both"/>
        <w:rPr>
          <w:rFonts w:ascii="Palatino Linotype" w:hAnsi="Palatino Linotype"/>
          <w:i/>
          <w:color w:val="000000"/>
          <w:sz w:val="24"/>
          <w:szCs w:val="24"/>
        </w:rPr>
      </w:pPr>
    </w:p>
    <w:p w14:paraId="1EBCCE80" w14:textId="10E3476F" w:rsidR="000C1C64" w:rsidRPr="00C05127" w:rsidRDefault="007B675B" w:rsidP="003F65B5">
      <w:pPr>
        <w:spacing w:after="0" w:line="240" w:lineRule="auto"/>
        <w:ind w:left="851" w:right="850"/>
        <w:jc w:val="both"/>
        <w:rPr>
          <w:rFonts w:ascii="Palatino Linotype" w:hAnsi="Palatino Linotype"/>
          <w:i/>
          <w:color w:val="000000"/>
          <w:sz w:val="24"/>
          <w:szCs w:val="24"/>
        </w:rPr>
      </w:pPr>
      <w:r w:rsidRPr="00C05127">
        <w:rPr>
          <w:rFonts w:ascii="Palatino Linotype" w:hAnsi="Palatino Linotype"/>
          <w:i/>
          <w:color w:val="000000"/>
          <w:sz w:val="24"/>
          <w:szCs w:val="24"/>
        </w:rPr>
        <w:t>Únicamente</w:t>
      </w:r>
      <w:r w:rsidR="00C05127" w:rsidRPr="00C05127">
        <w:rPr>
          <w:rFonts w:ascii="Palatino Linotype" w:hAnsi="Palatino Linotype"/>
          <w:i/>
          <w:color w:val="000000"/>
          <w:sz w:val="24"/>
          <w:szCs w:val="24"/>
        </w:rPr>
        <w:t xml:space="preserve"> para manifestar si la información que solicita es para el municipio de SANTA CRUZ ATIZAPÁN, ESTADO DE MEXICO.</w:t>
      </w:r>
      <w:r w:rsidR="000C1C64" w:rsidRPr="00C05127">
        <w:rPr>
          <w:rFonts w:ascii="Palatino Linotype" w:hAnsi="Palatino Linotype"/>
          <w:i/>
          <w:color w:val="000000"/>
          <w:sz w:val="24"/>
          <w:szCs w:val="24"/>
        </w:rPr>
        <w:t xml:space="preserve"> </w:t>
      </w:r>
    </w:p>
    <w:p w14:paraId="6ACB549E" w14:textId="77777777" w:rsidR="000C1C64" w:rsidRPr="00C05127" w:rsidRDefault="000C1C64" w:rsidP="003F65B5">
      <w:pPr>
        <w:spacing w:after="0" w:line="240" w:lineRule="auto"/>
        <w:ind w:left="851" w:right="850"/>
        <w:jc w:val="both"/>
        <w:rPr>
          <w:rFonts w:ascii="Palatino Linotype" w:hAnsi="Palatino Linotype"/>
          <w:i/>
          <w:color w:val="000000"/>
          <w:sz w:val="24"/>
          <w:szCs w:val="24"/>
        </w:rPr>
      </w:pPr>
    </w:p>
    <w:p w14:paraId="2B836990" w14:textId="35A9F079" w:rsidR="00D53161" w:rsidRPr="00C05127" w:rsidRDefault="00D53161" w:rsidP="003F65B5">
      <w:pPr>
        <w:ind w:left="851" w:right="850"/>
        <w:jc w:val="both"/>
        <w:rPr>
          <w:rFonts w:ascii="Palatino Linotype" w:hAnsi="Palatino Linotype"/>
          <w:i/>
          <w:color w:val="000000"/>
          <w:sz w:val="24"/>
          <w:szCs w:val="24"/>
        </w:rPr>
      </w:pPr>
      <w:r w:rsidRPr="00C05127">
        <w:rPr>
          <w:rFonts w:ascii="Palatino Linotype" w:hAnsi="Palatino Linotype"/>
          <w:i/>
          <w:color w:val="000000"/>
          <w:sz w:val="24"/>
          <w:szCs w:val="24"/>
        </w:rPr>
        <w:t>ATENTAMENTE</w:t>
      </w:r>
    </w:p>
    <w:p w14:paraId="19A9EB11" w14:textId="75958552" w:rsidR="007A20A8" w:rsidRPr="00C05127" w:rsidRDefault="00C05127" w:rsidP="003F65B5">
      <w:pPr>
        <w:spacing w:after="0" w:line="360" w:lineRule="auto"/>
        <w:ind w:left="851" w:right="850"/>
        <w:jc w:val="both"/>
        <w:rPr>
          <w:rFonts w:ascii="Palatino Linotype" w:hAnsi="Palatino Linotype"/>
          <w:i/>
          <w:color w:val="000000"/>
          <w:sz w:val="24"/>
          <w:szCs w:val="24"/>
        </w:rPr>
      </w:pPr>
      <w:r w:rsidRPr="00C05127">
        <w:rPr>
          <w:rFonts w:ascii="Palatino Linotype" w:hAnsi="Palatino Linotype"/>
          <w:i/>
          <w:color w:val="000000"/>
          <w:sz w:val="24"/>
          <w:szCs w:val="24"/>
        </w:rPr>
        <w:t>ALEJANDRO REYES ESQUIVE</w:t>
      </w:r>
    </w:p>
    <w:p w14:paraId="2F1B9AFC" w14:textId="77777777" w:rsidR="003F65B5" w:rsidRDefault="003F65B5" w:rsidP="003F65B5">
      <w:pPr>
        <w:spacing w:after="0" w:line="360" w:lineRule="auto"/>
        <w:ind w:left="851" w:right="850"/>
        <w:jc w:val="both"/>
        <w:rPr>
          <w:rFonts w:ascii="Palatino Linotype" w:hAnsi="Palatino Linotype"/>
          <w:i/>
        </w:rPr>
      </w:pPr>
    </w:p>
    <w:p w14:paraId="43800076" w14:textId="68333BEF" w:rsidR="007B675B" w:rsidRDefault="007B675B" w:rsidP="007B675B">
      <w:pPr>
        <w:tabs>
          <w:tab w:val="left" w:pos="7230"/>
        </w:tabs>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El Sujeto Obligado adjuntó un archivo denominado </w:t>
      </w:r>
      <w:r>
        <w:rPr>
          <w:rFonts w:ascii="Palatino Linotype" w:hAnsi="Palatino Linotype" w:cs="Arial"/>
          <w:b/>
          <w:sz w:val="24"/>
          <w:szCs w:val="24"/>
        </w:rPr>
        <w:t xml:space="preserve">Aclaración de competencia.docx, </w:t>
      </w:r>
      <w:r>
        <w:rPr>
          <w:rFonts w:ascii="Palatino Linotype" w:hAnsi="Palatino Linotype" w:cs="Arial"/>
          <w:sz w:val="24"/>
          <w:szCs w:val="24"/>
        </w:rPr>
        <w:t>el cual no se inserta por ser del conocimiento de las partes, no obstante el contenido del documento será de análisis más adelante.</w:t>
      </w:r>
    </w:p>
    <w:p w14:paraId="5D67F2D0" w14:textId="77777777" w:rsidR="007B675B" w:rsidRDefault="007B675B" w:rsidP="007B675B">
      <w:pPr>
        <w:tabs>
          <w:tab w:val="left" w:pos="7230"/>
        </w:tabs>
        <w:spacing w:after="0" w:line="360" w:lineRule="auto"/>
        <w:jc w:val="both"/>
        <w:rPr>
          <w:rFonts w:ascii="Palatino Linotype" w:hAnsi="Palatino Linotype" w:cs="Arial"/>
          <w:sz w:val="24"/>
          <w:szCs w:val="24"/>
        </w:rPr>
      </w:pPr>
    </w:p>
    <w:p w14:paraId="391D9A0C" w14:textId="15ACE7EB" w:rsidR="00F2498E" w:rsidRPr="00E67455" w:rsidRDefault="00021122" w:rsidP="001624E8">
      <w:pPr>
        <w:spacing w:after="0" w:line="360" w:lineRule="auto"/>
        <w:jc w:val="both"/>
        <w:rPr>
          <w:rFonts w:ascii="Palatino Linotype" w:hAnsi="Palatino Linotype" w:cs="Arial"/>
          <w:sz w:val="28"/>
          <w:szCs w:val="28"/>
        </w:rPr>
      </w:pPr>
      <w:r>
        <w:rPr>
          <w:rFonts w:ascii="Palatino Linotype" w:hAnsi="Palatino Linotype"/>
          <w:b/>
          <w:sz w:val="28"/>
          <w:szCs w:val="28"/>
        </w:rPr>
        <w:t xml:space="preserve">TERCERO. </w:t>
      </w:r>
      <w:r w:rsidR="00F2498E" w:rsidRPr="00E67455">
        <w:rPr>
          <w:rFonts w:ascii="Palatino Linotype" w:hAnsi="Palatino Linotype"/>
          <w:b/>
          <w:sz w:val="24"/>
          <w:szCs w:val="24"/>
        </w:rPr>
        <w:t xml:space="preserve">De </w:t>
      </w:r>
      <w:r w:rsidR="00F2498E" w:rsidRPr="00DB7485">
        <w:rPr>
          <w:rFonts w:ascii="Palatino Linotype" w:hAnsi="Palatino Linotype"/>
          <w:b/>
          <w:sz w:val="24"/>
          <w:szCs w:val="24"/>
        </w:rPr>
        <w:t>la impugnación de la respuesta</w:t>
      </w:r>
      <w:r w:rsidR="00F2498E" w:rsidRPr="00E67455">
        <w:rPr>
          <w:rFonts w:ascii="Palatino Linotype" w:hAnsi="Palatino Linotype"/>
          <w:b/>
          <w:sz w:val="24"/>
          <w:szCs w:val="24"/>
        </w:rPr>
        <w:t>.</w:t>
      </w:r>
    </w:p>
    <w:p w14:paraId="3FAB8B50" w14:textId="2B81245B" w:rsidR="00F2498E" w:rsidRPr="00F86271" w:rsidRDefault="0063593C" w:rsidP="001624E8">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El Recurrente inconforme </w:t>
      </w:r>
      <w:r w:rsidR="00F2498E" w:rsidRPr="00E67455">
        <w:rPr>
          <w:rFonts w:ascii="Palatino Linotype" w:hAnsi="Palatino Linotype" w:cs="Arial"/>
          <w:sz w:val="24"/>
          <w:szCs w:val="24"/>
        </w:rPr>
        <w:t xml:space="preserve">con la respuesta notificada por el </w:t>
      </w:r>
      <w:r w:rsidR="0019584A" w:rsidRPr="00E67455">
        <w:rPr>
          <w:rFonts w:ascii="Palatino Linotype" w:hAnsi="Palatino Linotype" w:cs="Arial"/>
          <w:sz w:val="24"/>
          <w:szCs w:val="24"/>
        </w:rPr>
        <w:t>Sujeto Obligado</w:t>
      </w:r>
      <w:r w:rsidR="007B675B">
        <w:rPr>
          <w:rFonts w:ascii="Palatino Linotype" w:hAnsi="Palatino Linotype" w:cs="Arial"/>
          <w:sz w:val="24"/>
          <w:szCs w:val="24"/>
        </w:rPr>
        <w:t xml:space="preserve">, en fecha doce </w:t>
      </w:r>
      <w:r w:rsidR="00377AC5">
        <w:rPr>
          <w:rFonts w:ascii="Palatino Linotype" w:hAnsi="Palatino Linotype" w:cs="Arial"/>
          <w:sz w:val="24"/>
          <w:szCs w:val="24"/>
        </w:rPr>
        <w:t>de octubre</w:t>
      </w:r>
      <w:r w:rsidR="00680D15" w:rsidRPr="00E67455">
        <w:rPr>
          <w:rFonts w:ascii="Palatino Linotype" w:hAnsi="Palatino Linotype" w:cs="Arial"/>
          <w:sz w:val="24"/>
          <w:szCs w:val="24"/>
        </w:rPr>
        <w:t xml:space="preserve"> de dos mil </w:t>
      </w:r>
      <w:r w:rsidR="005660D0" w:rsidRPr="00E67455">
        <w:rPr>
          <w:rFonts w:ascii="Palatino Linotype" w:hAnsi="Palatino Linotype" w:cs="Arial"/>
          <w:sz w:val="24"/>
          <w:szCs w:val="24"/>
        </w:rPr>
        <w:t>veintiuno</w:t>
      </w:r>
      <w:r w:rsidR="00F2498E" w:rsidRPr="00E67455">
        <w:rPr>
          <w:rFonts w:ascii="Palatino Linotype" w:hAnsi="Palatino Linotype" w:cs="Arial"/>
          <w:sz w:val="24"/>
          <w:szCs w:val="24"/>
        </w:rPr>
        <w:t>, interpuso el recurso de revisión, el cual fue registrado</w:t>
      </w:r>
      <w:r w:rsidR="00F2498E" w:rsidRPr="00E67455">
        <w:rPr>
          <w:rFonts w:ascii="Palatino Linotype" w:hAnsi="Palatino Linotype" w:cs="Arial"/>
          <w:b/>
          <w:sz w:val="24"/>
          <w:szCs w:val="24"/>
        </w:rPr>
        <w:t xml:space="preserve"> </w:t>
      </w:r>
      <w:r w:rsidR="00F2498E" w:rsidRPr="00E67455">
        <w:rPr>
          <w:rFonts w:ascii="Palatino Linotype" w:hAnsi="Palatino Linotype" w:cs="Arial"/>
          <w:sz w:val="24"/>
          <w:szCs w:val="24"/>
        </w:rPr>
        <w:t xml:space="preserve">en el sistema electrónico con el expediente número </w:t>
      </w:r>
      <w:r w:rsidR="00F2498E" w:rsidRPr="00E67455">
        <w:rPr>
          <w:rFonts w:ascii="Palatino Linotype" w:hAnsi="Palatino Linotype" w:cs="Arial"/>
          <w:b/>
          <w:bCs/>
          <w:sz w:val="24"/>
          <w:szCs w:val="24"/>
          <w:lang w:eastAsia="es-MX"/>
        </w:rPr>
        <w:t>0</w:t>
      </w:r>
      <w:r w:rsidR="007B675B">
        <w:rPr>
          <w:rFonts w:ascii="Palatino Linotype" w:hAnsi="Palatino Linotype" w:cs="Arial"/>
          <w:b/>
          <w:bCs/>
          <w:sz w:val="24"/>
          <w:szCs w:val="24"/>
          <w:lang w:eastAsia="es-MX"/>
        </w:rPr>
        <w:t>502</w:t>
      </w:r>
      <w:r w:rsidR="00A00B48">
        <w:rPr>
          <w:rFonts w:ascii="Palatino Linotype" w:hAnsi="Palatino Linotype" w:cs="Arial"/>
          <w:b/>
          <w:bCs/>
          <w:sz w:val="24"/>
          <w:szCs w:val="24"/>
          <w:lang w:eastAsia="es-MX"/>
        </w:rPr>
        <w:t>0</w:t>
      </w:r>
      <w:r w:rsidR="00F2498E" w:rsidRPr="00E67455">
        <w:rPr>
          <w:rFonts w:ascii="Palatino Linotype" w:hAnsi="Palatino Linotype" w:cs="Arial"/>
          <w:b/>
          <w:bCs/>
          <w:sz w:val="24"/>
          <w:szCs w:val="24"/>
          <w:lang w:eastAsia="es-MX"/>
        </w:rPr>
        <w:t>/INFOEM/IP/RR/20</w:t>
      </w:r>
      <w:r w:rsidR="00680D15" w:rsidRPr="00E67455">
        <w:rPr>
          <w:rFonts w:ascii="Palatino Linotype" w:hAnsi="Palatino Linotype" w:cs="Arial"/>
          <w:b/>
          <w:bCs/>
          <w:sz w:val="24"/>
          <w:szCs w:val="24"/>
          <w:lang w:eastAsia="es-MX"/>
        </w:rPr>
        <w:t>2</w:t>
      </w:r>
      <w:r w:rsidR="005660D0" w:rsidRPr="00E67455">
        <w:rPr>
          <w:rFonts w:ascii="Palatino Linotype" w:hAnsi="Palatino Linotype" w:cs="Arial"/>
          <w:b/>
          <w:bCs/>
          <w:sz w:val="24"/>
          <w:szCs w:val="24"/>
          <w:lang w:eastAsia="es-MX"/>
        </w:rPr>
        <w:t>1</w:t>
      </w:r>
      <w:r w:rsidR="00F2498E" w:rsidRPr="00E67455">
        <w:rPr>
          <w:rFonts w:ascii="Palatino Linotype" w:hAnsi="Palatino Linotype" w:cs="Arial"/>
          <w:sz w:val="24"/>
          <w:szCs w:val="24"/>
        </w:rPr>
        <w:t xml:space="preserve">, en el cual </w:t>
      </w:r>
      <w:r w:rsidR="009845F3" w:rsidRPr="00E67455">
        <w:rPr>
          <w:rFonts w:ascii="Palatino Linotype" w:hAnsi="Palatino Linotype" w:cs="Arial"/>
          <w:sz w:val="24"/>
          <w:szCs w:val="24"/>
        </w:rPr>
        <w:t>cita</w:t>
      </w:r>
      <w:r w:rsidR="00F2498E" w:rsidRPr="00E67455">
        <w:rPr>
          <w:rFonts w:ascii="Palatino Linotype" w:hAnsi="Palatino Linotype" w:cs="Arial"/>
          <w:sz w:val="24"/>
          <w:szCs w:val="24"/>
        </w:rPr>
        <w:t>, las siguientes manifestaciones:</w:t>
      </w:r>
    </w:p>
    <w:p w14:paraId="330C4472" w14:textId="77777777" w:rsidR="00F2498E" w:rsidRPr="00DB1035" w:rsidRDefault="00F2498E" w:rsidP="001624E8">
      <w:pPr>
        <w:spacing w:after="0" w:line="360" w:lineRule="auto"/>
        <w:jc w:val="both"/>
        <w:rPr>
          <w:rFonts w:ascii="Palatino Linotype" w:hAnsi="Palatino Linotype" w:cs="Arial"/>
          <w:sz w:val="8"/>
          <w:szCs w:val="24"/>
        </w:rPr>
      </w:pPr>
    </w:p>
    <w:p w14:paraId="78AA8EB8" w14:textId="77777777" w:rsidR="00F2498E" w:rsidRPr="00154F75" w:rsidRDefault="00F2498E" w:rsidP="001624E8">
      <w:pPr>
        <w:spacing w:after="0" w:line="360" w:lineRule="auto"/>
        <w:jc w:val="both"/>
        <w:rPr>
          <w:rFonts w:ascii="Palatino Linotype" w:hAnsi="Palatino Linotype" w:cs="Arial"/>
          <w:b/>
          <w:sz w:val="24"/>
          <w:szCs w:val="24"/>
        </w:rPr>
      </w:pPr>
      <w:r w:rsidRPr="00154F75">
        <w:rPr>
          <w:rFonts w:ascii="Palatino Linotype" w:hAnsi="Palatino Linotype" w:cs="Arial"/>
          <w:b/>
          <w:sz w:val="24"/>
          <w:szCs w:val="24"/>
        </w:rPr>
        <w:t>Acto Impugnado:</w:t>
      </w:r>
    </w:p>
    <w:p w14:paraId="423229B8" w14:textId="590A5430" w:rsidR="00841673" w:rsidRPr="007B675B" w:rsidRDefault="00841673" w:rsidP="00C73ED0">
      <w:pPr>
        <w:tabs>
          <w:tab w:val="left" w:pos="1405"/>
        </w:tabs>
        <w:spacing w:after="0" w:line="240" w:lineRule="auto"/>
        <w:ind w:left="851" w:right="850"/>
        <w:jc w:val="both"/>
        <w:rPr>
          <w:rFonts w:ascii="Palatino Linotype" w:hAnsi="Palatino Linotype"/>
          <w:i/>
          <w:color w:val="000000"/>
          <w:sz w:val="24"/>
          <w:szCs w:val="24"/>
        </w:rPr>
      </w:pPr>
      <w:r w:rsidRPr="007B675B">
        <w:rPr>
          <w:rFonts w:ascii="Palatino Linotype" w:hAnsi="Palatino Linotype"/>
          <w:i/>
          <w:color w:val="000000"/>
          <w:sz w:val="24"/>
          <w:szCs w:val="24"/>
        </w:rPr>
        <w:t>“</w:t>
      </w:r>
      <w:r w:rsidR="007B675B" w:rsidRPr="007B675B">
        <w:rPr>
          <w:rFonts w:ascii="Palatino Linotype" w:hAnsi="Palatino Linotype"/>
          <w:i/>
          <w:color w:val="000000"/>
          <w:sz w:val="24"/>
          <w:szCs w:val="24"/>
        </w:rPr>
        <w:t>La falta de respuesta</w:t>
      </w:r>
      <w:proofErr w:type="gramStart"/>
      <w:r w:rsidRPr="007B675B">
        <w:rPr>
          <w:rFonts w:ascii="Palatino Linotype" w:hAnsi="Palatino Linotype"/>
          <w:i/>
          <w:color w:val="000000"/>
          <w:sz w:val="24"/>
          <w:szCs w:val="24"/>
        </w:rPr>
        <w:t>”(</w:t>
      </w:r>
      <w:proofErr w:type="gramEnd"/>
      <w:r w:rsidRPr="007B675B">
        <w:rPr>
          <w:rFonts w:ascii="Palatino Linotype" w:hAnsi="Palatino Linotype"/>
          <w:i/>
          <w:color w:val="000000"/>
          <w:sz w:val="24"/>
          <w:szCs w:val="24"/>
        </w:rPr>
        <w:t>Sic).</w:t>
      </w:r>
    </w:p>
    <w:p w14:paraId="197761DF" w14:textId="77777777" w:rsidR="00841673" w:rsidRPr="00154F75" w:rsidRDefault="00841673" w:rsidP="001624E8">
      <w:pPr>
        <w:spacing w:after="0" w:line="360" w:lineRule="auto"/>
        <w:jc w:val="both"/>
        <w:rPr>
          <w:rFonts w:ascii="Palatino Linotype" w:hAnsi="Palatino Linotype" w:cs="Arial"/>
          <w:b/>
          <w:sz w:val="24"/>
          <w:szCs w:val="24"/>
        </w:rPr>
      </w:pPr>
    </w:p>
    <w:p w14:paraId="13F25C51" w14:textId="77777777" w:rsidR="00F2498E" w:rsidRPr="00BC66EE" w:rsidRDefault="00F2498E" w:rsidP="001624E8">
      <w:pPr>
        <w:spacing w:after="0" w:line="360" w:lineRule="auto"/>
        <w:jc w:val="both"/>
        <w:rPr>
          <w:rFonts w:ascii="Palatino Linotype" w:hAnsi="Palatino Linotype" w:cs="Arial"/>
          <w:b/>
          <w:i/>
          <w:sz w:val="24"/>
          <w:szCs w:val="24"/>
        </w:rPr>
      </w:pPr>
      <w:r w:rsidRPr="00154F75">
        <w:rPr>
          <w:rFonts w:ascii="Palatino Linotype" w:hAnsi="Palatino Linotype" w:cs="Arial"/>
          <w:b/>
          <w:sz w:val="24"/>
          <w:szCs w:val="24"/>
        </w:rPr>
        <w:t>Razones o Motivos de Inconformidad:</w:t>
      </w:r>
    </w:p>
    <w:p w14:paraId="53CC3AA9" w14:textId="64FB49E6" w:rsidR="00296E92" w:rsidRPr="007B675B" w:rsidRDefault="00296E92" w:rsidP="00C73ED0">
      <w:pPr>
        <w:spacing w:line="240" w:lineRule="auto"/>
        <w:ind w:left="851" w:right="850"/>
        <w:jc w:val="both"/>
        <w:rPr>
          <w:rFonts w:ascii="Palatino Linotype" w:eastAsia="Times New Roman" w:hAnsi="Palatino Linotype" w:cs="Times New Roman"/>
          <w:i/>
          <w:sz w:val="24"/>
          <w:szCs w:val="24"/>
          <w:lang w:eastAsia="es-MX"/>
        </w:rPr>
      </w:pPr>
      <w:r w:rsidRPr="007B675B">
        <w:rPr>
          <w:rFonts w:ascii="Palatino Linotype" w:hAnsi="Palatino Linotype"/>
          <w:i/>
          <w:color w:val="000000"/>
          <w:sz w:val="24"/>
          <w:szCs w:val="24"/>
        </w:rPr>
        <w:lastRenderedPageBreak/>
        <w:t>“</w:t>
      </w:r>
      <w:r w:rsidR="007B675B" w:rsidRPr="007B675B">
        <w:rPr>
          <w:rFonts w:ascii="Palatino Linotype" w:hAnsi="Palatino Linotype"/>
          <w:i/>
          <w:color w:val="000000"/>
          <w:sz w:val="24"/>
          <w:szCs w:val="24"/>
        </w:rPr>
        <w:t>El sujeto obligado no me entregó la información solicitada y ya se venció el término para el efecto. Lo que pedí se encuentra en su BALANZA DE COMPROBACION DETALLADA actualizada al mes de septiembre de 2021.</w:t>
      </w:r>
      <w:r w:rsidRPr="007B675B">
        <w:rPr>
          <w:rFonts w:ascii="Palatino Linotype" w:hAnsi="Palatino Linotype"/>
          <w:i/>
          <w:color w:val="000000"/>
          <w:sz w:val="24"/>
          <w:szCs w:val="24"/>
        </w:rPr>
        <w:t>”</w:t>
      </w:r>
      <w:r w:rsidR="00B84A8A" w:rsidRPr="007B675B">
        <w:rPr>
          <w:rFonts w:ascii="Palatino Linotype" w:hAnsi="Palatino Linotype"/>
          <w:i/>
          <w:color w:val="000000"/>
          <w:sz w:val="24"/>
          <w:szCs w:val="24"/>
        </w:rPr>
        <w:t>(Sic).</w:t>
      </w:r>
    </w:p>
    <w:p w14:paraId="5CF337D0" w14:textId="77777777" w:rsidR="00181A9D" w:rsidRPr="009D636F" w:rsidRDefault="00181A9D" w:rsidP="00181A9D">
      <w:pPr>
        <w:tabs>
          <w:tab w:val="left" w:pos="1405"/>
        </w:tabs>
        <w:spacing w:after="0" w:line="360" w:lineRule="auto"/>
        <w:ind w:right="850"/>
        <w:jc w:val="both"/>
        <w:rPr>
          <w:rFonts w:ascii="Palatino Linotype" w:hAnsi="Palatino Linotype"/>
          <w:i/>
          <w:color w:val="000000"/>
          <w:sz w:val="18"/>
          <w:szCs w:val="24"/>
        </w:rPr>
      </w:pPr>
    </w:p>
    <w:p w14:paraId="584553D9" w14:textId="61EBA034" w:rsidR="00400915" w:rsidRPr="00AD2A55" w:rsidRDefault="00314FA0" w:rsidP="001624E8">
      <w:pPr>
        <w:spacing w:after="0" w:line="360" w:lineRule="auto"/>
        <w:jc w:val="both"/>
        <w:rPr>
          <w:rFonts w:ascii="Palatino Linotype" w:hAnsi="Palatino Linotype" w:cs="Arial"/>
          <w:b/>
          <w:sz w:val="24"/>
          <w:szCs w:val="24"/>
        </w:rPr>
      </w:pPr>
      <w:r>
        <w:rPr>
          <w:rFonts w:ascii="Palatino Linotype" w:hAnsi="Palatino Linotype" w:cs="Arial"/>
          <w:b/>
          <w:sz w:val="28"/>
          <w:szCs w:val="28"/>
        </w:rPr>
        <w:t>CUART</w:t>
      </w:r>
      <w:r w:rsidR="00400915" w:rsidRPr="00C76CD4">
        <w:rPr>
          <w:rFonts w:ascii="Palatino Linotype" w:hAnsi="Palatino Linotype" w:cs="Arial"/>
          <w:b/>
          <w:sz w:val="28"/>
          <w:szCs w:val="28"/>
        </w:rPr>
        <w:t>O.</w:t>
      </w:r>
      <w:r w:rsidR="00400915" w:rsidRPr="00AD2A55">
        <w:rPr>
          <w:rFonts w:ascii="Palatino Linotype" w:hAnsi="Palatino Linotype" w:cs="Arial"/>
          <w:b/>
          <w:sz w:val="24"/>
          <w:szCs w:val="24"/>
        </w:rPr>
        <w:t xml:space="preserve"> Del turno del recurso de revisión.</w:t>
      </w:r>
    </w:p>
    <w:p w14:paraId="76AE88E4" w14:textId="0A3ECA72" w:rsidR="00400915" w:rsidRDefault="00400915" w:rsidP="001624E8">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Medio de impugnación que le fue turnado al</w:t>
      </w:r>
      <w:r w:rsidR="00C23082">
        <w:rPr>
          <w:rFonts w:ascii="Palatino Linotype" w:hAnsi="Palatino Linotype" w:cs="Arial"/>
          <w:sz w:val="24"/>
          <w:szCs w:val="24"/>
        </w:rPr>
        <w:t xml:space="preserve"> Comisionado </w:t>
      </w:r>
      <w:r w:rsidR="00C23082">
        <w:rPr>
          <w:rFonts w:ascii="Palatino Linotype" w:hAnsi="Palatino Linotype" w:cs="Arial"/>
          <w:b/>
          <w:sz w:val="24"/>
          <w:szCs w:val="24"/>
        </w:rPr>
        <w:t>José Martínez Vilchis</w:t>
      </w:r>
      <w:r w:rsidRPr="00AD2A55">
        <w:rPr>
          <w:rFonts w:ascii="Palatino Linotype" w:hAnsi="Palatino Linotype" w:cs="Arial"/>
          <w:sz w:val="24"/>
          <w:szCs w:val="24"/>
        </w:rPr>
        <w:t>, por medio del sistema electrónico, en términos del ar</w:t>
      </w:r>
      <w:r w:rsidR="0063593C">
        <w:rPr>
          <w:rFonts w:ascii="Palatino Linotype" w:hAnsi="Palatino Linotype" w:cs="Arial"/>
          <w:sz w:val="24"/>
          <w:szCs w:val="24"/>
        </w:rPr>
        <w:t>tículo</w:t>
      </w:r>
      <w:r w:rsidRPr="00AD2A55">
        <w:rPr>
          <w:rFonts w:ascii="Palatino Linotype" w:hAnsi="Palatino Linotype" w:cs="Arial"/>
          <w:sz w:val="24"/>
          <w:szCs w:val="24"/>
        </w:rPr>
        <w:t xml:space="preserve"> 185 fracción I de la Ley de Transparencia y Acceso a la información Pública del Estado de México y Municipios, </w:t>
      </w:r>
      <w:r w:rsidR="0063593C">
        <w:rPr>
          <w:rFonts w:ascii="Palatino Linotype" w:hAnsi="Palatino Linotype" w:cs="Arial"/>
          <w:sz w:val="24"/>
          <w:szCs w:val="24"/>
        </w:rPr>
        <w:t xml:space="preserve">al </w:t>
      </w:r>
      <w:r w:rsidRPr="00AD2A55">
        <w:rPr>
          <w:rFonts w:ascii="Palatino Linotype" w:hAnsi="Palatino Linotype" w:cs="Arial"/>
          <w:sz w:val="24"/>
          <w:szCs w:val="24"/>
        </w:rPr>
        <w:t>cual recayó acuerdo de admisión en fecha</w:t>
      </w:r>
      <w:r>
        <w:rPr>
          <w:rFonts w:ascii="Palatino Linotype" w:hAnsi="Palatino Linotype" w:cs="Arial"/>
          <w:sz w:val="24"/>
          <w:szCs w:val="24"/>
        </w:rPr>
        <w:t xml:space="preserve"> </w:t>
      </w:r>
      <w:r w:rsidR="007B675B">
        <w:rPr>
          <w:rFonts w:ascii="Palatino Linotype" w:hAnsi="Palatino Linotype" w:cs="Arial"/>
          <w:sz w:val="24"/>
          <w:szCs w:val="24"/>
        </w:rPr>
        <w:t>dieci</w:t>
      </w:r>
      <w:r w:rsidR="00377AC5">
        <w:rPr>
          <w:rFonts w:ascii="Palatino Linotype" w:hAnsi="Palatino Linotype" w:cs="Arial"/>
          <w:sz w:val="24"/>
          <w:szCs w:val="24"/>
        </w:rPr>
        <w:t>ocho de octubre</w:t>
      </w:r>
      <w:r w:rsidR="0072149D">
        <w:rPr>
          <w:rFonts w:ascii="Palatino Linotype" w:hAnsi="Palatino Linotype" w:cs="Arial"/>
          <w:sz w:val="24"/>
          <w:szCs w:val="24"/>
        </w:rPr>
        <w:t xml:space="preserve"> de </w:t>
      </w:r>
      <w:r w:rsidR="0072149D" w:rsidRPr="00AD2A55">
        <w:rPr>
          <w:rFonts w:ascii="Palatino Linotype" w:hAnsi="Palatino Linotype" w:cs="Arial"/>
          <w:sz w:val="24"/>
          <w:szCs w:val="24"/>
        </w:rPr>
        <w:t xml:space="preserve"> </w:t>
      </w:r>
      <w:r w:rsidRPr="00AD2A55">
        <w:rPr>
          <w:rFonts w:ascii="Palatino Linotype" w:hAnsi="Palatino Linotype" w:cs="Arial"/>
          <w:sz w:val="24"/>
          <w:szCs w:val="24"/>
        </w:rPr>
        <w:t xml:space="preserve">la presente anualidad, </w:t>
      </w:r>
      <w:r w:rsidR="007B675B">
        <w:rPr>
          <w:rFonts w:ascii="Palatino Linotype" w:hAnsi="Palatino Linotype" w:cs="Arial"/>
          <w:sz w:val="24"/>
          <w:szCs w:val="24"/>
        </w:rPr>
        <w:t>otorgándose</w:t>
      </w:r>
      <w:r w:rsidR="0063593C">
        <w:rPr>
          <w:rFonts w:ascii="Palatino Linotype" w:hAnsi="Palatino Linotype" w:cs="Arial"/>
          <w:sz w:val="24"/>
          <w:szCs w:val="24"/>
        </w:rPr>
        <w:t xml:space="preserve"> a las partes </w:t>
      </w:r>
      <w:r w:rsidRPr="00AD2A55">
        <w:rPr>
          <w:rFonts w:ascii="Palatino Linotype" w:hAnsi="Palatino Linotype" w:cs="Arial"/>
          <w:sz w:val="24"/>
          <w:szCs w:val="24"/>
        </w:rPr>
        <w:t xml:space="preserve">un plazo de siete días para que manifestaran </w:t>
      </w:r>
      <w:r w:rsidR="0063593C" w:rsidRPr="00D731D0">
        <w:rPr>
          <w:rFonts w:ascii="Palatino Linotype" w:hAnsi="Palatino Linotype"/>
          <w:sz w:val="24"/>
          <w:szCs w:val="24"/>
        </w:rPr>
        <w:t>lo que a su derecho conviniera, el Sujeto Obligado rindiera el informe justificado correspondiente, ofrecieran pruebas que estimaran convenientes y esgrimieran alegatos</w:t>
      </w:r>
      <w:r w:rsidR="0063593C" w:rsidRPr="00AD2A55">
        <w:rPr>
          <w:rFonts w:ascii="Palatino Linotype" w:hAnsi="Palatino Linotype" w:cs="Arial"/>
          <w:sz w:val="24"/>
          <w:szCs w:val="24"/>
        </w:rPr>
        <w:t xml:space="preserve"> </w:t>
      </w:r>
      <w:r w:rsidRPr="00AD2A55">
        <w:rPr>
          <w:rFonts w:ascii="Palatino Linotype" w:hAnsi="Palatino Linotype" w:cs="Arial"/>
          <w:sz w:val="24"/>
          <w:szCs w:val="24"/>
        </w:rPr>
        <w:t xml:space="preserve">en términos del </w:t>
      </w:r>
      <w:r w:rsidR="0063593C">
        <w:rPr>
          <w:rFonts w:ascii="Palatino Linotype" w:hAnsi="Palatino Linotype" w:cs="Arial"/>
          <w:sz w:val="24"/>
          <w:szCs w:val="24"/>
        </w:rPr>
        <w:t>precepto legal referido</w:t>
      </w:r>
      <w:r w:rsidRPr="00AD2A55">
        <w:rPr>
          <w:rFonts w:ascii="Palatino Linotype" w:hAnsi="Palatino Linotype" w:cs="Arial"/>
          <w:sz w:val="24"/>
          <w:szCs w:val="24"/>
        </w:rPr>
        <w:t>.</w:t>
      </w:r>
    </w:p>
    <w:p w14:paraId="5CC69FB0" w14:textId="77777777" w:rsidR="00A00B48" w:rsidRPr="00377AC5" w:rsidRDefault="00A00B48" w:rsidP="001624E8">
      <w:pPr>
        <w:spacing w:after="0" w:line="360" w:lineRule="auto"/>
        <w:jc w:val="both"/>
        <w:rPr>
          <w:rFonts w:ascii="Palatino Linotype" w:hAnsi="Palatino Linotype" w:cs="Arial"/>
          <w:b/>
          <w:sz w:val="24"/>
          <w:szCs w:val="28"/>
        </w:rPr>
      </w:pPr>
    </w:p>
    <w:p w14:paraId="7AB3464A" w14:textId="60BE25EC" w:rsidR="00400915" w:rsidRDefault="000708BF" w:rsidP="001624E8">
      <w:pPr>
        <w:spacing w:after="0" w:line="360" w:lineRule="auto"/>
        <w:jc w:val="both"/>
        <w:rPr>
          <w:rFonts w:ascii="Palatino Linotype" w:hAnsi="Palatino Linotype" w:cs="Arial"/>
          <w:b/>
          <w:sz w:val="24"/>
          <w:szCs w:val="24"/>
        </w:rPr>
      </w:pPr>
      <w:r>
        <w:rPr>
          <w:rFonts w:ascii="Palatino Linotype" w:hAnsi="Palatino Linotype" w:cs="Arial"/>
          <w:b/>
          <w:sz w:val="28"/>
          <w:szCs w:val="28"/>
        </w:rPr>
        <w:t>QUIN</w:t>
      </w:r>
      <w:r w:rsidR="00400915" w:rsidRPr="00C76CD4">
        <w:rPr>
          <w:rFonts w:ascii="Palatino Linotype" w:hAnsi="Palatino Linotype" w:cs="Arial"/>
          <w:b/>
          <w:sz w:val="28"/>
          <w:szCs w:val="28"/>
        </w:rPr>
        <w:t>TO</w:t>
      </w:r>
      <w:r w:rsidR="00400915" w:rsidRPr="00DF6006">
        <w:rPr>
          <w:rFonts w:ascii="Palatino Linotype" w:hAnsi="Palatino Linotype" w:cs="Arial"/>
          <w:b/>
          <w:sz w:val="24"/>
          <w:szCs w:val="24"/>
        </w:rPr>
        <w:t>. De la etapa de manifestaciones y/o alegatos.</w:t>
      </w:r>
    </w:p>
    <w:p w14:paraId="6A177FDD" w14:textId="77777777" w:rsidR="007B675B" w:rsidRDefault="0063593C" w:rsidP="007B675B">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De las constancias </w:t>
      </w:r>
      <w:r w:rsidR="005660D0" w:rsidRPr="004A6D54">
        <w:rPr>
          <w:rFonts w:ascii="Palatino Linotype" w:hAnsi="Palatino Linotype" w:cs="Arial"/>
          <w:sz w:val="24"/>
          <w:szCs w:val="24"/>
        </w:rPr>
        <w:t xml:space="preserve">que obran en el expediente del recurso de revisión </w:t>
      </w:r>
      <w:r w:rsidR="007A1AB6" w:rsidRPr="004A6D54">
        <w:rPr>
          <w:rFonts w:ascii="Palatino Linotype" w:hAnsi="Palatino Linotype" w:cs="Arial"/>
          <w:b/>
          <w:bCs/>
          <w:sz w:val="24"/>
          <w:szCs w:val="24"/>
          <w:lang w:eastAsia="es-MX"/>
        </w:rPr>
        <w:t>0</w:t>
      </w:r>
      <w:r w:rsidR="007B675B">
        <w:rPr>
          <w:rFonts w:ascii="Palatino Linotype" w:hAnsi="Palatino Linotype" w:cs="Arial"/>
          <w:b/>
          <w:bCs/>
          <w:sz w:val="24"/>
          <w:szCs w:val="24"/>
          <w:lang w:eastAsia="es-MX"/>
        </w:rPr>
        <w:t>5020</w:t>
      </w:r>
      <w:r w:rsidR="007A1AB6" w:rsidRPr="004A6D54">
        <w:rPr>
          <w:rFonts w:ascii="Palatino Linotype" w:hAnsi="Palatino Linotype" w:cs="Arial"/>
          <w:b/>
          <w:bCs/>
          <w:sz w:val="24"/>
          <w:szCs w:val="24"/>
          <w:lang w:eastAsia="es-MX"/>
        </w:rPr>
        <w:t>/</w:t>
      </w:r>
      <w:r w:rsidR="005660D0" w:rsidRPr="004A6D54">
        <w:rPr>
          <w:rFonts w:ascii="Palatino Linotype" w:hAnsi="Palatino Linotype" w:cs="Arial"/>
          <w:b/>
          <w:bCs/>
          <w:sz w:val="24"/>
          <w:szCs w:val="24"/>
          <w:lang w:eastAsia="es-MX"/>
        </w:rPr>
        <w:t>INFOEM/IP/RR/2021</w:t>
      </w:r>
      <w:r w:rsidR="005660D0" w:rsidRPr="004A6D54">
        <w:rPr>
          <w:rFonts w:ascii="Palatino Linotype" w:hAnsi="Palatino Linotype" w:cs="Arial"/>
          <w:sz w:val="24"/>
          <w:szCs w:val="24"/>
        </w:rPr>
        <w:t>,</w:t>
      </w:r>
      <w:r w:rsidR="0072149D" w:rsidRPr="004A6D54">
        <w:rPr>
          <w:rFonts w:ascii="Palatino Linotype" w:hAnsi="Palatino Linotype" w:cs="Arial"/>
          <w:sz w:val="24"/>
          <w:szCs w:val="24"/>
        </w:rPr>
        <w:t xml:space="preserve"> se aprecia </w:t>
      </w:r>
      <w:r w:rsidR="00AB289D">
        <w:rPr>
          <w:rFonts w:ascii="Palatino Linotype" w:hAnsi="Palatino Linotype" w:cs="Arial"/>
          <w:sz w:val="24"/>
          <w:szCs w:val="24"/>
        </w:rPr>
        <w:t>que</w:t>
      </w:r>
      <w:r w:rsidR="007B675B">
        <w:rPr>
          <w:rFonts w:ascii="Palatino Linotype" w:hAnsi="Palatino Linotype" w:cs="Arial"/>
          <w:sz w:val="24"/>
          <w:szCs w:val="24"/>
        </w:rPr>
        <w:t xml:space="preserve"> tanto</w:t>
      </w:r>
      <w:r w:rsidR="00AB289D">
        <w:rPr>
          <w:rFonts w:ascii="Palatino Linotype" w:hAnsi="Palatino Linotype" w:cs="Arial"/>
          <w:sz w:val="24"/>
          <w:szCs w:val="24"/>
        </w:rPr>
        <w:t xml:space="preserve"> </w:t>
      </w:r>
      <w:r w:rsidR="0072149D" w:rsidRPr="004A6D54">
        <w:rPr>
          <w:rFonts w:ascii="Palatino Linotype" w:hAnsi="Palatino Linotype" w:cs="Arial"/>
          <w:sz w:val="24"/>
          <w:szCs w:val="24"/>
        </w:rPr>
        <w:t>el</w:t>
      </w:r>
      <w:r w:rsidR="00FC5CDF" w:rsidRPr="004A6D54">
        <w:rPr>
          <w:rFonts w:ascii="Palatino Linotype" w:hAnsi="Palatino Linotype" w:cs="Arial"/>
          <w:sz w:val="24"/>
          <w:szCs w:val="24"/>
        </w:rPr>
        <w:t xml:space="preserve"> Sujeto Obligado</w:t>
      </w:r>
      <w:r w:rsidR="00AB289D">
        <w:rPr>
          <w:rFonts w:ascii="Palatino Linotype" w:hAnsi="Palatino Linotype" w:cs="Arial"/>
          <w:sz w:val="24"/>
          <w:szCs w:val="24"/>
        </w:rPr>
        <w:t xml:space="preserve">, </w:t>
      </w:r>
      <w:r w:rsidR="007B675B">
        <w:rPr>
          <w:rFonts w:ascii="Palatino Linotype" w:hAnsi="Palatino Linotype" w:cs="Arial"/>
          <w:sz w:val="24"/>
          <w:szCs w:val="24"/>
        </w:rPr>
        <w:t xml:space="preserve">como </w:t>
      </w:r>
      <w:r w:rsidR="003A51A5">
        <w:rPr>
          <w:rFonts w:ascii="Palatino Linotype" w:hAnsi="Palatino Linotype" w:cs="Arial"/>
          <w:sz w:val="24"/>
          <w:szCs w:val="24"/>
        </w:rPr>
        <w:t>el Re</w:t>
      </w:r>
      <w:r w:rsidR="007B675B">
        <w:rPr>
          <w:rFonts w:ascii="Palatino Linotype" w:hAnsi="Palatino Linotype" w:cs="Arial"/>
          <w:sz w:val="24"/>
          <w:szCs w:val="24"/>
        </w:rPr>
        <w:t>currente no emitieron manifestaciones que a su derecho convinieran, como se muestra en la siguiente imagen:</w:t>
      </w:r>
    </w:p>
    <w:p w14:paraId="01C99C44" w14:textId="2D9D67BC" w:rsidR="00AB289D" w:rsidRPr="00337638" w:rsidRDefault="007B675B" w:rsidP="00FB64C1">
      <w:pPr>
        <w:spacing w:after="0" w:line="360" w:lineRule="auto"/>
        <w:jc w:val="center"/>
        <w:rPr>
          <w:rFonts w:ascii="Palatino Linotype" w:hAnsi="Palatino Linotype" w:cs="Arial"/>
          <w:i/>
        </w:rPr>
      </w:pPr>
      <w:r>
        <w:rPr>
          <w:noProof/>
          <w:lang w:eastAsia="es-MX"/>
        </w:rPr>
        <w:drawing>
          <wp:inline distT="0" distB="0" distL="0" distR="0" wp14:anchorId="1320E202" wp14:editId="203D0CC5">
            <wp:extent cx="3652065" cy="1209675"/>
            <wp:effectExtent l="190500" t="190500" r="196215" b="1809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809" t="28806" r="23777" b="40329"/>
                    <a:stretch/>
                  </pic:blipFill>
                  <pic:spPr bwMode="auto">
                    <a:xfrm>
                      <a:off x="0" y="0"/>
                      <a:ext cx="3698139" cy="122493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63AB5F6E" w14:textId="611FA839" w:rsidR="00400915" w:rsidRPr="00B40DF9" w:rsidRDefault="00565921" w:rsidP="00FB64C1">
      <w:pPr>
        <w:spacing w:after="0" w:line="360" w:lineRule="auto"/>
        <w:jc w:val="both"/>
        <w:rPr>
          <w:rFonts w:ascii="Palatino Linotype" w:hAnsi="Palatino Linotype" w:cs="Arial"/>
          <w:b/>
          <w:sz w:val="24"/>
          <w:szCs w:val="24"/>
        </w:rPr>
      </w:pPr>
      <w:r>
        <w:rPr>
          <w:rFonts w:ascii="Palatino Linotype" w:hAnsi="Palatino Linotype" w:cs="Arial"/>
          <w:sz w:val="24"/>
          <w:szCs w:val="24"/>
        </w:rPr>
        <w:lastRenderedPageBreak/>
        <w:t xml:space="preserve"> </w:t>
      </w:r>
      <w:r w:rsidR="0063593C" w:rsidRPr="00F76FAE">
        <w:rPr>
          <w:rFonts w:ascii="Palatino Linotype" w:hAnsi="Palatino Linotype" w:cs="Arial"/>
          <w:b/>
          <w:sz w:val="28"/>
          <w:szCs w:val="28"/>
        </w:rPr>
        <w:t>SEXTO</w:t>
      </w:r>
      <w:r w:rsidR="0063593C">
        <w:rPr>
          <w:rFonts w:ascii="Palatino Linotype" w:hAnsi="Palatino Linotype" w:cs="Arial"/>
          <w:b/>
          <w:sz w:val="24"/>
          <w:szCs w:val="24"/>
        </w:rPr>
        <w:t xml:space="preserve">. </w:t>
      </w:r>
      <w:r w:rsidR="00400915" w:rsidRPr="00B40DF9">
        <w:rPr>
          <w:rFonts w:ascii="Palatino Linotype" w:hAnsi="Palatino Linotype" w:cs="Arial"/>
          <w:b/>
          <w:sz w:val="24"/>
          <w:szCs w:val="24"/>
        </w:rPr>
        <w:t>Del cierre de instrucción.</w:t>
      </w:r>
      <w:r w:rsidR="00400915" w:rsidRPr="00B40DF9">
        <w:rPr>
          <w:rFonts w:ascii="Palatino Linotype" w:hAnsi="Palatino Linotype" w:cs="Arial"/>
          <w:b/>
          <w:sz w:val="24"/>
          <w:szCs w:val="24"/>
        </w:rPr>
        <w:tab/>
      </w:r>
    </w:p>
    <w:p w14:paraId="4078EA2F" w14:textId="4280235B" w:rsidR="00400915" w:rsidRPr="003A51A5" w:rsidRDefault="00400915" w:rsidP="001624E8">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Así, una vez transcurrido el término legal, se decret</w:t>
      </w:r>
      <w:r w:rsidR="004E173C">
        <w:rPr>
          <w:rFonts w:ascii="Palatino Linotype" w:hAnsi="Palatino Linotype" w:cs="Arial"/>
          <w:sz w:val="24"/>
          <w:szCs w:val="24"/>
        </w:rPr>
        <w:t>ó</w:t>
      </w:r>
      <w:r w:rsidRPr="00AD2A55">
        <w:rPr>
          <w:rFonts w:ascii="Palatino Linotype" w:hAnsi="Palatino Linotype" w:cs="Arial"/>
          <w:sz w:val="24"/>
          <w:szCs w:val="24"/>
        </w:rPr>
        <w:t xml:space="preserve"> el cierre de instrucción en fecha </w:t>
      </w:r>
      <w:r w:rsidR="00377AC5">
        <w:rPr>
          <w:rFonts w:ascii="Palatino Linotype" w:hAnsi="Palatino Linotype" w:cs="Arial"/>
          <w:sz w:val="24"/>
          <w:szCs w:val="24"/>
        </w:rPr>
        <w:t xml:space="preserve">veintinueve </w:t>
      </w:r>
      <w:r w:rsidR="00B30BD3">
        <w:rPr>
          <w:rFonts w:ascii="Palatino Linotype" w:hAnsi="Palatino Linotype" w:cs="Arial"/>
          <w:sz w:val="24"/>
          <w:szCs w:val="24"/>
        </w:rPr>
        <w:t>de octubre</w:t>
      </w:r>
      <w:r w:rsidR="003A51A5">
        <w:rPr>
          <w:rFonts w:ascii="Palatino Linotype" w:hAnsi="Palatino Linotype" w:cs="Arial"/>
          <w:sz w:val="24"/>
          <w:szCs w:val="24"/>
        </w:rPr>
        <w:t xml:space="preserve"> </w:t>
      </w:r>
      <w:r w:rsidR="00F51EAB">
        <w:rPr>
          <w:rFonts w:ascii="Palatino Linotype" w:hAnsi="Palatino Linotype" w:cs="Arial"/>
          <w:sz w:val="24"/>
          <w:szCs w:val="24"/>
        </w:rPr>
        <w:t>de dos mil veintiuno</w:t>
      </w:r>
      <w:r w:rsidRPr="00AD2A55">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r w:rsidR="00D92668" w:rsidRPr="00D92668">
        <w:rPr>
          <w:noProof/>
          <w:lang w:eastAsia="es-MX"/>
        </w:rPr>
        <w:t xml:space="preserve"> </w:t>
      </w:r>
    </w:p>
    <w:p w14:paraId="589BE41E" w14:textId="77777777" w:rsidR="00896EDC" w:rsidRDefault="00896EDC" w:rsidP="001624E8">
      <w:pPr>
        <w:spacing w:after="0" w:line="360" w:lineRule="auto"/>
        <w:jc w:val="both"/>
        <w:rPr>
          <w:noProof/>
          <w:lang w:eastAsia="es-MX"/>
        </w:rPr>
      </w:pPr>
    </w:p>
    <w:p w14:paraId="5E891577" w14:textId="77777777" w:rsidR="00A45454" w:rsidRDefault="00A45454" w:rsidP="001624E8">
      <w:pPr>
        <w:spacing w:after="0" w:line="360" w:lineRule="auto"/>
        <w:jc w:val="center"/>
        <w:rPr>
          <w:rFonts w:ascii="Palatino Linotype" w:hAnsi="Palatino Linotype" w:cs="Arial"/>
          <w:b/>
          <w:sz w:val="24"/>
        </w:rPr>
      </w:pPr>
      <w:r w:rsidRPr="00152075">
        <w:rPr>
          <w:rFonts w:ascii="Palatino Linotype" w:hAnsi="Palatino Linotype" w:cs="Arial"/>
          <w:b/>
          <w:sz w:val="24"/>
        </w:rPr>
        <w:t xml:space="preserve">C O N S I D E R A N D O </w:t>
      </w:r>
    </w:p>
    <w:p w14:paraId="4C094EB8" w14:textId="77777777" w:rsidR="00A45454" w:rsidRPr="0096071A" w:rsidRDefault="00A45454" w:rsidP="001624E8">
      <w:pPr>
        <w:spacing w:after="0" w:line="360" w:lineRule="auto"/>
        <w:jc w:val="center"/>
        <w:rPr>
          <w:rFonts w:ascii="Palatino Linotype" w:hAnsi="Palatino Linotype" w:cs="Arial"/>
          <w:b/>
          <w:sz w:val="16"/>
        </w:rPr>
      </w:pPr>
    </w:p>
    <w:p w14:paraId="1C1DD68B" w14:textId="77777777" w:rsidR="00A45454" w:rsidRDefault="00A45454" w:rsidP="001624E8">
      <w:pPr>
        <w:spacing w:after="0" w:line="360" w:lineRule="auto"/>
        <w:jc w:val="both"/>
        <w:rPr>
          <w:rFonts w:ascii="Palatino Linotype" w:hAnsi="Palatino Linotype" w:cs="Arial"/>
          <w:sz w:val="24"/>
          <w:szCs w:val="24"/>
        </w:rPr>
      </w:pPr>
      <w:r w:rsidRPr="00152075">
        <w:rPr>
          <w:rFonts w:ascii="Palatino Linotype" w:hAnsi="Palatino Linotype" w:cs="Arial"/>
          <w:b/>
          <w:sz w:val="28"/>
        </w:rPr>
        <w:t>PRIMERO.</w:t>
      </w:r>
      <w:r w:rsidRPr="00152075">
        <w:rPr>
          <w:rFonts w:ascii="Palatino Linotype" w:hAnsi="Palatino Linotype" w:cs="Arial"/>
          <w:b/>
        </w:rPr>
        <w:t xml:space="preserve"> </w:t>
      </w:r>
      <w:r w:rsidR="00CF6431">
        <w:rPr>
          <w:rFonts w:ascii="Palatino Linotype" w:hAnsi="Palatino Linotype" w:cs="Arial"/>
          <w:b/>
        </w:rPr>
        <w:t>De la C</w:t>
      </w:r>
      <w:r w:rsidRPr="00152075">
        <w:rPr>
          <w:rFonts w:ascii="Palatino Linotype" w:hAnsi="Palatino Linotype" w:cs="Arial"/>
          <w:b/>
          <w:sz w:val="24"/>
          <w:szCs w:val="24"/>
        </w:rPr>
        <w:t>ompetencia</w:t>
      </w:r>
      <w:r w:rsidRPr="00152075">
        <w:rPr>
          <w:rFonts w:ascii="Palatino Linotype" w:hAnsi="Palatino Linotype" w:cs="Arial"/>
          <w:sz w:val="24"/>
          <w:szCs w:val="24"/>
        </w:rPr>
        <w:t>.</w:t>
      </w:r>
    </w:p>
    <w:p w14:paraId="01E3C8E0" w14:textId="54E68C96" w:rsidR="00007857" w:rsidRPr="00007857" w:rsidRDefault="00007857" w:rsidP="00007857">
      <w:pPr>
        <w:spacing w:after="0" w:line="360" w:lineRule="auto"/>
        <w:jc w:val="both"/>
        <w:rPr>
          <w:rFonts w:ascii="Palatino Linotype" w:eastAsia="Calibri" w:hAnsi="Palatino Linotype"/>
          <w:color w:val="000000" w:themeColor="text1"/>
          <w:sz w:val="24"/>
          <w:szCs w:val="24"/>
        </w:rPr>
      </w:pPr>
      <w:r w:rsidRPr="00007857">
        <w:rPr>
          <w:rFonts w:ascii="Palatino Linotype" w:hAnsi="Palatino Linotype" w:cs="Arial"/>
          <w:sz w:val="24"/>
          <w:lang w:val="es-ES"/>
        </w:rPr>
        <w:t xml:space="preserve">Este Instituto de </w:t>
      </w:r>
      <w:r w:rsidRPr="00007857">
        <w:rPr>
          <w:rFonts w:ascii="Palatino Linotype" w:hAnsi="Palatino Linotype" w:cs="Arial"/>
          <w:sz w:val="24"/>
          <w:szCs w:val="24"/>
          <w:lang w:val="es-ES"/>
        </w:rPr>
        <w:t xml:space="preserve">Transparencia, Acceso a la Información Pública y Protección de Datos Personales del Estado de México, es competente para conocer y resolver el presente recurso de revisión interpuesto por la parte recurrente conforme a lo dispuesto en los artículos 1, párrafos segundo y tercero, </w:t>
      </w:r>
      <w:r w:rsidRPr="00007857">
        <w:rPr>
          <w:rFonts w:ascii="Palatino Linotype" w:eastAsia="Calibri" w:hAnsi="Palatino Linotype"/>
          <w:color w:val="000000" w:themeColor="text1"/>
          <w:sz w:val="24"/>
          <w:szCs w:val="24"/>
        </w:rPr>
        <w:t xml:space="preserve">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w:t>
      </w:r>
      <w:r w:rsidRPr="00007857">
        <w:rPr>
          <w:rFonts w:ascii="Palatino Linotype" w:eastAsia="Calibri" w:hAnsi="Palatino Linotype" w:cs="Arial"/>
          <w:color w:val="000000" w:themeColor="text1"/>
          <w:sz w:val="24"/>
          <w:szCs w:val="24"/>
        </w:rPr>
        <w:t>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1A9DDB78" w14:textId="77777777" w:rsidR="00007857" w:rsidRPr="009D636F" w:rsidRDefault="00007857" w:rsidP="00007857">
      <w:pPr>
        <w:rPr>
          <w:sz w:val="20"/>
          <w:lang w:val="es-ES"/>
        </w:rPr>
      </w:pPr>
    </w:p>
    <w:p w14:paraId="73AEF738" w14:textId="77777777" w:rsidR="00A45454" w:rsidRDefault="00A45454" w:rsidP="001624E8">
      <w:pPr>
        <w:autoSpaceDE w:val="0"/>
        <w:autoSpaceDN w:val="0"/>
        <w:adjustRightInd w:val="0"/>
        <w:spacing w:after="0" w:line="360" w:lineRule="auto"/>
        <w:rPr>
          <w:rFonts w:ascii="Palatino Linotype" w:hAnsi="Palatino Linotype" w:cs="Arial"/>
          <w:b/>
          <w:sz w:val="24"/>
          <w:szCs w:val="24"/>
        </w:rPr>
      </w:pPr>
      <w:r w:rsidRPr="00152075">
        <w:rPr>
          <w:rFonts w:ascii="Palatino Linotype" w:hAnsi="Palatino Linotype" w:cs="Arial"/>
          <w:b/>
          <w:sz w:val="28"/>
        </w:rPr>
        <w:t>SEGUNDO</w:t>
      </w:r>
      <w:r w:rsidRPr="00152075">
        <w:rPr>
          <w:rFonts w:ascii="Palatino Linotype" w:hAnsi="Palatino Linotype" w:cs="Arial"/>
          <w:b/>
        </w:rPr>
        <w:t xml:space="preserve">. </w:t>
      </w:r>
      <w:r>
        <w:rPr>
          <w:rFonts w:ascii="Palatino Linotype" w:hAnsi="Palatino Linotype" w:cs="Arial"/>
          <w:b/>
        </w:rPr>
        <w:t xml:space="preserve"> </w:t>
      </w:r>
      <w:r w:rsidRPr="00CF6431">
        <w:rPr>
          <w:rFonts w:ascii="Palatino Linotype" w:hAnsi="Palatino Linotype" w:cs="Arial"/>
          <w:b/>
          <w:sz w:val="24"/>
          <w:szCs w:val="24"/>
        </w:rPr>
        <w:t>De los alcances del Recurso de Revisión</w:t>
      </w:r>
      <w:r w:rsidRPr="00152075">
        <w:rPr>
          <w:rFonts w:ascii="Palatino Linotype" w:hAnsi="Palatino Linotype" w:cs="Arial"/>
          <w:b/>
          <w:sz w:val="24"/>
          <w:szCs w:val="24"/>
        </w:rPr>
        <w:t xml:space="preserve">. </w:t>
      </w:r>
    </w:p>
    <w:p w14:paraId="1A4F2458" w14:textId="0C70B033" w:rsidR="00A45454" w:rsidRPr="00152075" w:rsidRDefault="00A45454" w:rsidP="001624E8">
      <w:pPr>
        <w:autoSpaceDE w:val="0"/>
        <w:autoSpaceDN w:val="0"/>
        <w:adjustRightInd w:val="0"/>
        <w:spacing w:after="0" w:line="360" w:lineRule="auto"/>
        <w:jc w:val="both"/>
        <w:rPr>
          <w:rFonts w:ascii="Palatino Linotype" w:hAnsi="Palatino Linotype" w:cs="Arial"/>
          <w:sz w:val="24"/>
          <w:szCs w:val="24"/>
        </w:rPr>
      </w:pPr>
      <w:r w:rsidRPr="00152075">
        <w:rPr>
          <w:rFonts w:ascii="Palatino Linotype" w:hAnsi="Palatino Linotype" w:cs="Arial"/>
          <w:sz w:val="24"/>
          <w:szCs w:val="24"/>
        </w:rPr>
        <w:t>Anterior a todo debe destacarse que el recurso de revisión tiene el fin y alcance que señalan los numerales 176, 179</w:t>
      </w:r>
      <w:r w:rsidR="00CF6431">
        <w:rPr>
          <w:rFonts w:ascii="Palatino Linotype" w:hAnsi="Palatino Linotype" w:cs="Arial"/>
          <w:sz w:val="24"/>
          <w:szCs w:val="24"/>
        </w:rPr>
        <w:t xml:space="preserve"> fracción V</w:t>
      </w:r>
      <w:r w:rsidRPr="00152075">
        <w:rPr>
          <w:rFonts w:ascii="Palatino Linotype" w:hAnsi="Palatino Linotype" w:cs="Arial"/>
          <w:sz w:val="24"/>
          <w:szCs w:val="24"/>
        </w:rPr>
        <w:t xml:space="preserve">, 181 párrafo cuarto, 194 y 195 y demás </w:t>
      </w:r>
    </w:p>
    <w:p w14:paraId="1887251B" w14:textId="77777777" w:rsidR="00777527" w:rsidRPr="00AD2A55" w:rsidRDefault="00777527" w:rsidP="00777527">
      <w:pPr>
        <w:autoSpaceDE w:val="0"/>
        <w:autoSpaceDN w:val="0"/>
        <w:adjustRightInd w:val="0"/>
        <w:spacing w:after="0" w:line="360" w:lineRule="auto"/>
        <w:jc w:val="both"/>
        <w:rPr>
          <w:rFonts w:ascii="Palatino Linotype" w:hAnsi="Palatino Linotype" w:cs="Arial"/>
          <w:b/>
          <w:sz w:val="24"/>
          <w:szCs w:val="24"/>
        </w:rPr>
      </w:pPr>
      <w:r w:rsidRPr="00E47B7A">
        <w:rPr>
          <w:rFonts w:ascii="Palatino Linotype" w:hAnsi="Palatino Linotype" w:cs="Arial"/>
          <w:b/>
          <w:sz w:val="28"/>
          <w:szCs w:val="28"/>
        </w:rPr>
        <w:lastRenderedPageBreak/>
        <w:t>TERCERO</w:t>
      </w:r>
      <w:r w:rsidRPr="00AD2A55">
        <w:rPr>
          <w:rFonts w:ascii="Palatino Linotype" w:hAnsi="Palatino Linotype" w:cs="Arial"/>
          <w:b/>
          <w:sz w:val="24"/>
          <w:szCs w:val="24"/>
        </w:rPr>
        <w:t xml:space="preserve">. Del estudio de las causas de improcedencia. </w:t>
      </w:r>
    </w:p>
    <w:p w14:paraId="13A737DB" w14:textId="77777777" w:rsidR="00777527" w:rsidRPr="00AD2A55" w:rsidRDefault="00777527" w:rsidP="00777527">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14:paraId="11168522" w14:textId="77777777" w:rsidR="00777527" w:rsidRPr="009736B2" w:rsidRDefault="00777527" w:rsidP="00777527">
      <w:pPr>
        <w:autoSpaceDE w:val="0"/>
        <w:autoSpaceDN w:val="0"/>
        <w:adjustRightInd w:val="0"/>
        <w:spacing w:after="0" w:line="360" w:lineRule="auto"/>
        <w:jc w:val="both"/>
        <w:rPr>
          <w:rFonts w:ascii="Palatino Linotype" w:hAnsi="Palatino Linotype" w:cs="Arial"/>
          <w:sz w:val="16"/>
          <w:szCs w:val="24"/>
        </w:rPr>
      </w:pPr>
    </w:p>
    <w:p w14:paraId="27FE2226" w14:textId="77777777" w:rsidR="00777527" w:rsidRPr="00AD2A55" w:rsidRDefault="00777527" w:rsidP="00777527">
      <w:pPr>
        <w:spacing w:after="0" w:line="240" w:lineRule="auto"/>
        <w:ind w:left="851" w:right="851"/>
        <w:jc w:val="both"/>
        <w:rPr>
          <w:rFonts w:ascii="Palatino Linotype" w:hAnsi="Palatino Linotype"/>
          <w:b/>
          <w:bCs/>
          <w:i/>
          <w:lang w:eastAsia="es-MX"/>
        </w:rPr>
      </w:pPr>
      <w:r w:rsidRPr="00AD2A55">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14:paraId="5B70D981" w14:textId="77777777" w:rsidR="00777527" w:rsidRPr="00AD2A55" w:rsidRDefault="00777527" w:rsidP="00777527">
      <w:pPr>
        <w:pStyle w:val="Prrafodelista"/>
        <w:autoSpaceDE w:val="0"/>
        <w:autoSpaceDN w:val="0"/>
        <w:adjustRightInd w:val="0"/>
        <w:ind w:left="851" w:right="851"/>
        <w:jc w:val="both"/>
        <w:rPr>
          <w:rFonts w:ascii="Palatino Linotype" w:hAnsi="Palatino Linotype" w:cs="Arial"/>
          <w:sz w:val="22"/>
          <w:szCs w:val="22"/>
        </w:rPr>
      </w:pPr>
      <w:r w:rsidRPr="00AD2A55">
        <w:rPr>
          <w:rFonts w:ascii="Palatino Linotype" w:hAnsi="Palatino Linotype"/>
          <w:i/>
          <w:sz w:val="22"/>
          <w:szCs w:val="22"/>
        </w:rPr>
        <w:t>Del examen de compatibilidad de los artículos</w:t>
      </w:r>
      <w:r w:rsidRPr="00AD2A55">
        <w:rPr>
          <w:rStyle w:val="apple-converted-space"/>
          <w:rFonts w:ascii="Palatino Linotype" w:hAnsi="Palatino Linotype"/>
          <w:i/>
          <w:sz w:val="22"/>
          <w:szCs w:val="22"/>
        </w:rPr>
        <w:t> </w:t>
      </w:r>
      <w:hyperlink r:id="rId9" w:history="1">
        <w:r w:rsidRPr="00AD2A55">
          <w:rPr>
            <w:rStyle w:val="Hipervnculo"/>
            <w:rFonts w:ascii="Palatino Linotype" w:eastAsia="Calibri" w:hAnsi="Palatino Linotype"/>
            <w:i/>
            <w:sz w:val="22"/>
            <w:szCs w:val="22"/>
          </w:rPr>
          <w:t>73 y 74 de la Ley de Amparo</w:t>
        </w:r>
      </w:hyperlink>
      <w:r w:rsidRPr="00AD2A55">
        <w:rPr>
          <w:rStyle w:val="apple-converted-space"/>
          <w:rFonts w:ascii="Palatino Linotype" w:hAnsi="Palatino Linotype"/>
          <w:i/>
          <w:sz w:val="22"/>
          <w:szCs w:val="22"/>
        </w:rPr>
        <w:t> </w:t>
      </w:r>
      <w:r w:rsidRPr="00AD2A55">
        <w:rPr>
          <w:rFonts w:ascii="Palatino Linotype" w:hAnsi="Palatino Linotype"/>
          <w:i/>
          <w:sz w:val="22"/>
          <w:szCs w:val="22"/>
        </w:rPr>
        <w:t>con el artículo</w:t>
      </w:r>
      <w:r w:rsidRPr="00AD2A55">
        <w:rPr>
          <w:rStyle w:val="apple-converted-space"/>
          <w:rFonts w:ascii="Palatino Linotype" w:hAnsi="Palatino Linotype"/>
          <w:i/>
          <w:sz w:val="22"/>
          <w:szCs w:val="22"/>
        </w:rPr>
        <w:t> </w:t>
      </w:r>
      <w:hyperlink r:id="rId10" w:history="1">
        <w:r w:rsidRPr="00AD2A55">
          <w:rPr>
            <w:rStyle w:val="Hipervnculo"/>
            <w:rFonts w:ascii="Palatino Linotype" w:eastAsia="Calibri" w:hAnsi="Palatino Linotype"/>
            <w:i/>
            <w:sz w:val="22"/>
            <w:szCs w:val="22"/>
          </w:rPr>
          <w:t>25.1 de la Convención Americana sobre Derechos Humanos</w:t>
        </w:r>
      </w:hyperlink>
      <w:r w:rsidRPr="00AD2A55">
        <w:rPr>
          <w:rStyle w:val="apple-converted-space"/>
          <w:rFonts w:ascii="Palatino Linotype" w:hAnsi="Palatino Linotype"/>
          <w:i/>
          <w:sz w:val="22"/>
          <w:szCs w:val="22"/>
        </w:rPr>
        <w:t> </w:t>
      </w:r>
      <w:r w:rsidRPr="00AD2A55">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AD2A55">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w:t>
      </w:r>
      <w:r w:rsidRPr="00AD2A55">
        <w:rPr>
          <w:rFonts w:ascii="Palatino Linotype" w:hAnsi="Palatino Linotype"/>
          <w:i/>
          <w:sz w:val="22"/>
          <w:szCs w:val="22"/>
        </w:rPr>
        <w:lastRenderedPageBreak/>
        <w:t>tanto, las indicadas causas de improcedencia y sobreseimiento no son incompatibles con el citado precepto 25.1, pues no impiden decidir sencilla, rápida y efectivamente sobre los derechos fundamentales reclamados como violados dentro del juicio de garantías.</w:t>
      </w:r>
    </w:p>
    <w:p w14:paraId="13551191" w14:textId="77777777" w:rsidR="00777527" w:rsidRPr="00DB1035" w:rsidRDefault="00777527" w:rsidP="00777527">
      <w:pPr>
        <w:pStyle w:val="Prrafodelista"/>
        <w:autoSpaceDE w:val="0"/>
        <w:autoSpaceDN w:val="0"/>
        <w:adjustRightInd w:val="0"/>
        <w:spacing w:line="360" w:lineRule="auto"/>
        <w:ind w:left="0"/>
        <w:jc w:val="both"/>
        <w:rPr>
          <w:rFonts w:ascii="Palatino Linotype" w:hAnsi="Palatino Linotype" w:cs="Arial"/>
          <w:sz w:val="18"/>
        </w:rPr>
      </w:pPr>
    </w:p>
    <w:p w14:paraId="418FAA23" w14:textId="77777777" w:rsidR="00777527" w:rsidRPr="00AD2A55" w:rsidRDefault="00777527" w:rsidP="00777527">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Por lo que una vez que se analizó el expediente en estudio se cae en la cuenta de que no se actualiza ninguna de las casuales a continuación transcritas:</w:t>
      </w:r>
    </w:p>
    <w:p w14:paraId="3F7EDEFA" w14:textId="77777777" w:rsidR="00777527" w:rsidRPr="00DB1035" w:rsidRDefault="00777527" w:rsidP="00777527">
      <w:pPr>
        <w:pStyle w:val="Prrafodelista"/>
        <w:autoSpaceDE w:val="0"/>
        <w:autoSpaceDN w:val="0"/>
        <w:adjustRightInd w:val="0"/>
        <w:spacing w:line="360" w:lineRule="auto"/>
        <w:ind w:left="0"/>
        <w:jc w:val="both"/>
        <w:rPr>
          <w:rFonts w:ascii="Palatino Linotype" w:hAnsi="Palatino Linotype" w:cs="Arial"/>
          <w:sz w:val="10"/>
        </w:rPr>
      </w:pPr>
    </w:p>
    <w:p w14:paraId="013CE3A2" w14:textId="77777777" w:rsidR="00777527" w:rsidRPr="00AD2A55" w:rsidRDefault="00777527" w:rsidP="00777527">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“Artículo 191. El recurso será desechado por improcedente cuando:  </w:t>
      </w:r>
    </w:p>
    <w:p w14:paraId="17F563EB" w14:textId="77777777" w:rsidR="00777527" w:rsidRPr="00AD2A55" w:rsidRDefault="00777527" w:rsidP="00777527">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 Sea extemporáneo por haber transcurrido el plazo establecido en la presente Ley, a partir de la respuesta;  </w:t>
      </w:r>
    </w:p>
    <w:p w14:paraId="3C06EC57" w14:textId="77777777" w:rsidR="00777527" w:rsidRPr="00AD2A55" w:rsidRDefault="00777527" w:rsidP="00777527">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 Se esté tramitando ante el Poder Judicial de la Federación algún recurso o medio de defensa interpuesto por el recurrente;  </w:t>
      </w:r>
    </w:p>
    <w:p w14:paraId="70A58CE6" w14:textId="77777777" w:rsidR="00777527" w:rsidRPr="00AD2A55" w:rsidRDefault="00777527" w:rsidP="00777527">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III. No actualice alguno de los supuestos previstos en la presente Ley;  </w:t>
      </w:r>
    </w:p>
    <w:p w14:paraId="1A1B3A0F" w14:textId="77777777" w:rsidR="00777527" w:rsidRPr="00AD2A55" w:rsidRDefault="00777527" w:rsidP="00777527">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IV. No se haya desahogado la prevención en los términos establecidos en la presente Ley;  </w:t>
      </w:r>
    </w:p>
    <w:p w14:paraId="218F1782" w14:textId="77777777" w:rsidR="00777527" w:rsidRPr="00AD2A55" w:rsidRDefault="00777527" w:rsidP="00777527">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 Se impugne la veracidad de la información proporcionada;  </w:t>
      </w:r>
    </w:p>
    <w:p w14:paraId="0985A9B3" w14:textId="77777777" w:rsidR="00777527" w:rsidRPr="00AD2A55" w:rsidRDefault="00777527" w:rsidP="00777527">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VI. Se trate de una consulta, o trámite en específico; y  </w:t>
      </w:r>
    </w:p>
    <w:p w14:paraId="67CBF8D7" w14:textId="77777777" w:rsidR="00777527" w:rsidRPr="00AD2A55" w:rsidRDefault="00777527" w:rsidP="00777527">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VII. El recurrente amplíe su solicitud en el recurso de revisión, únicamente respecto de los nuevos contenidos.”</w:t>
      </w:r>
    </w:p>
    <w:p w14:paraId="17162E85" w14:textId="77777777" w:rsidR="00777527" w:rsidRPr="0096071A" w:rsidRDefault="00777527" w:rsidP="00777527">
      <w:pPr>
        <w:pStyle w:val="Prrafodelista"/>
        <w:autoSpaceDE w:val="0"/>
        <w:autoSpaceDN w:val="0"/>
        <w:adjustRightInd w:val="0"/>
        <w:spacing w:line="360" w:lineRule="auto"/>
        <w:ind w:right="850"/>
        <w:jc w:val="both"/>
        <w:rPr>
          <w:rFonts w:ascii="Palatino Linotype" w:hAnsi="Palatino Linotype" w:cs="Arial"/>
          <w:i/>
          <w:sz w:val="20"/>
        </w:rPr>
      </w:pPr>
    </w:p>
    <w:p w14:paraId="490352B2" w14:textId="77777777" w:rsidR="00777527" w:rsidRDefault="00777527" w:rsidP="00777527">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Ya que no fue interpuesto de forma extemporánea, no se está tramitando ante el Poder Judicial Federal, no es una consulta, o trámite en específi</w:t>
      </w:r>
      <w:r>
        <w:rPr>
          <w:rFonts w:ascii="Palatino Linotype" w:hAnsi="Palatino Linotype" w:cs="Arial"/>
          <w:sz w:val="24"/>
          <w:szCs w:val="24"/>
        </w:rPr>
        <w:t>co, ni tampoco se advierte que e</w:t>
      </w:r>
      <w:r w:rsidRPr="00AD2A55">
        <w:rPr>
          <w:rFonts w:ascii="Palatino Linotype" w:hAnsi="Palatino Linotype" w:cs="Arial"/>
          <w:sz w:val="24"/>
          <w:szCs w:val="24"/>
        </w:rPr>
        <w:t>l recurrente amplíe su solicitud en el recurso de revisión, por lo que al no existir causas de improcedencia invocadas por las partes ni advertidas de oficio</w:t>
      </w:r>
      <w:r>
        <w:rPr>
          <w:rFonts w:ascii="Palatino Linotype" w:hAnsi="Palatino Linotype" w:cs="Arial"/>
          <w:sz w:val="24"/>
          <w:szCs w:val="24"/>
        </w:rPr>
        <w:t>.</w:t>
      </w:r>
    </w:p>
    <w:p w14:paraId="1F886137" w14:textId="77777777" w:rsidR="00777527" w:rsidRPr="0096071A" w:rsidRDefault="00777527" w:rsidP="00777527">
      <w:pPr>
        <w:autoSpaceDE w:val="0"/>
        <w:autoSpaceDN w:val="0"/>
        <w:adjustRightInd w:val="0"/>
        <w:spacing w:after="0" w:line="360" w:lineRule="auto"/>
        <w:jc w:val="both"/>
        <w:rPr>
          <w:rFonts w:ascii="Palatino Linotype" w:hAnsi="Palatino Linotype" w:cs="Arial"/>
          <w:sz w:val="12"/>
          <w:szCs w:val="24"/>
        </w:rPr>
      </w:pPr>
    </w:p>
    <w:p w14:paraId="4E0639B2" w14:textId="77777777" w:rsidR="00777527" w:rsidRDefault="00777527" w:rsidP="00777527">
      <w:pPr>
        <w:pStyle w:val="Prrafodelista"/>
        <w:autoSpaceDE w:val="0"/>
        <w:autoSpaceDN w:val="0"/>
        <w:adjustRightInd w:val="0"/>
        <w:spacing w:line="360" w:lineRule="auto"/>
        <w:ind w:left="0"/>
        <w:jc w:val="both"/>
        <w:rPr>
          <w:rFonts w:ascii="Palatino Linotype" w:hAnsi="Palatino Linotype" w:cs="Arial"/>
        </w:rPr>
      </w:pPr>
      <w:r w:rsidRPr="00AD2A55">
        <w:rPr>
          <w:rFonts w:ascii="Palatino Linotype" w:hAnsi="Palatino Linotype" w:cs="Arial"/>
        </w:rPr>
        <w:t xml:space="preserve">Así las cosas, al no existir causas de improcedencia invocadas por las partes ni advertidas de oficio por este Resolutor, se </w:t>
      </w:r>
      <w:proofErr w:type="gramStart"/>
      <w:r w:rsidRPr="00AD2A55">
        <w:rPr>
          <w:rFonts w:ascii="Palatino Linotype" w:hAnsi="Palatino Linotype" w:cs="Arial"/>
        </w:rPr>
        <w:t>procede</w:t>
      </w:r>
      <w:proofErr w:type="gramEnd"/>
      <w:r w:rsidRPr="00AD2A55">
        <w:rPr>
          <w:rFonts w:ascii="Palatino Linotype" w:hAnsi="Palatino Linotype" w:cs="Arial"/>
        </w:rPr>
        <w:t xml:space="preserve"> al análisis del fondo de los asuntos en los siguientes términos.</w:t>
      </w:r>
    </w:p>
    <w:p w14:paraId="7F165B0E" w14:textId="77777777" w:rsidR="00896EDC" w:rsidRDefault="00896EDC" w:rsidP="00777527">
      <w:pPr>
        <w:pStyle w:val="Prrafodelista"/>
        <w:autoSpaceDE w:val="0"/>
        <w:autoSpaceDN w:val="0"/>
        <w:adjustRightInd w:val="0"/>
        <w:spacing w:line="360" w:lineRule="auto"/>
        <w:ind w:left="0"/>
        <w:jc w:val="both"/>
        <w:rPr>
          <w:rFonts w:ascii="Palatino Linotype" w:hAnsi="Palatino Linotype" w:cs="Arial"/>
        </w:rPr>
      </w:pPr>
    </w:p>
    <w:p w14:paraId="1DAB3140" w14:textId="77777777" w:rsidR="0080185B" w:rsidRPr="00A64804" w:rsidRDefault="0080185B" w:rsidP="001624E8">
      <w:pPr>
        <w:pStyle w:val="Prrafodelista"/>
        <w:autoSpaceDE w:val="0"/>
        <w:autoSpaceDN w:val="0"/>
        <w:adjustRightInd w:val="0"/>
        <w:spacing w:line="360" w:lineRule="auto"/>
        <w:ind w:left="0"/>
        <w:jc w:val="both"/>
        <w:rPr>
          <w:rFonts w:ascii="Palatino Linotype" w:hAnsi="Palatino Linotype" w:cs="Arial"/>
        </w:rPr>
      </w:pPr>
      <w:r w:rsidRPr="00A64804">
        <w:rPr>
          <w:rFonts w:ascii="Palatino Linotype" w:hAnsi="Palatino Linotype" w:cs="Arial"/>
          <w:b/>
          <w:sz w:val="28"/>
          <w:szCs w:val="28"/>
        </w:rPr>
        <w:t>CUARTO.</w:t>
      </w:r>
      <w:r w:rsidRPr="00A64804">
        <w:rPr>
          <w:rFonts w:ascii="Palatino Linotype" w:hAnsi="Palatino Linotype" w:cs="Arial"/>
          <w:b/>
        </w:rPr>
        <w:t xml:space="preserve"> Del estudio y resolución del asunto.</w:t>
      </w:r>
      <w:r w:rsidRPr="00A64804">
        <w:rPr>
          <w:rFonts w:ascii="Palatino Linotype" w:hAnsi="Palatino Linotype" w:cs="Arial"/>
        </w:rPr>
        <w:t xml:space="preserve"> </w:t>
      </w:r>
    </w:p>
    <w:p w14:paraId="4B8D27FC" w14:textId="77777777" w:rsidR="0080185B" w:rsidRPr="00A64804" w:rsidRDefault="0080185B" w:rsidP="001624E8">
      <w:pPr>
        <w:autoSpaceDE w:val="0"/>
        <w:autoSpaceDN w:val="0"/>
        <w:adjustRightInd w:val="0"/>
        <w:spacing w:after="0" w:line="360" w:lineRule="auto"/>
        <w:jc w:val="both"/>
        <w:rPr>
          <w:rFonts w:ascii="Palatino Linotype" w:hAnsi="Palatino Linotype" w:cs="Arial"/>
          <w:sz w:val="24"/>
          <w:szCs w:val="24"/>
        </w:rPr>
      </w:pPr>
      <w:r w:rsidRPr="00A64804">
        <w:rPr>
          <w:rFonts w:ascii="Palatino Linotype" w:hAnsi="Palatino Linotype" w:cs="Arial"/>
          <w:sz w:val="24"/>
          <w:szCs w:val="24"/>
        </w:rPr>
        <w:lastRenderedPageBreak/>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0143D02F" w14:textId="77777777" w:rsidR="0080185B" w:rsidRPr="00587B1E" w:rsidRDefault="0080185B" w:rsidP="001624E8">
      <w:pPr>
        <w:pStyle w:val="Prrafodelista"/>
        <w:spacing w:line="360" w:lineRule="auto"/>
        <w:ind w:left="0"/>
        <w:jc w:val="both"/>
        <w:rPr>
          <w:rFonts w:ascii="Palatino Linotype" w:hAnsi="Palatino Linotype" w:cs="Arial"/>
        </w:rPr>
      </w:pPr>
    </w:p>
    <w:p w14:paraId="21964230" w14:textId="445829D4" w:rsidR="0080185B" w:rsidRPr="00A64804" w:rsidRDefault="0080185B" w:rsidP="001C087E">
      <w:pPr>
        <w:tabs>
          <w:tab w:val="left" w:pos="709"/>
        </w:tabs>
        <w:spacing w:after="0" w:line="360" w:lineRule="auto"/>
        <w:jc w:val="both"/>
        <w:rPr>
          <w:rFonts w:ascii="Palatino Linotype" w:hAnsi="Palatino Linotype"/>
          <w:sz w:val="24"/>
          <w:szCs w:val="24"/>
        </w:rPr>
      </w:pPr>
      <w:r w:rsidRPr="00A64804">
        <w:rPr>
          <w:rFonts w:ascii="Palatino Linotype" w:hAnsi="Palatino Linotype" w:cs="Arial"/>
          <w:sz w:val="24"/>
          <w:szCs w:val="24"/>
        </w:rPr>
        <w:t xml:space="preserve">Con el propósito de realizar un mejor proveer por parte de este Órgano Garante, es conveniente </w:t>
      </w:r>
      <w:r w:rsidRPr="00A64804">
        <w:rPr>
          <w:rFonts w:ascii="Palatino Linotype" w:hAnsi="Palatino Linotype"/>
          <w:sz w:val="24"/>
          <w:szCs w:val="24"/>
        </w:rPr>
        <w:t xml:space="preserve">hacer alusión a lo que </w:t>
      </w:r>
      <w:r w:rsidR="00A86406">
        <w:rPr>
          <w:rFonts w:ascii="Palatino Linotype" w:hAnsi="Palatino Linotype"/>
          <w:sz w:val="24"/>
          <w:szCs w:val="24"/>
        </w:rPr>
        <w:t>e</w:t>
      </w:r>
      <w:r w:rsidRPr="00A64804">
        <w:rPr>
          <w:rFonts w:ascii="Palatino Linotype" w:hAnsi="Palatino Linotype"/>
          <w:sz w:val="24"/>
          <w:szCs w:val="24"/>
        </w:rPr>
        <w:t>l hoy Recurrente requirió, le fuese entregado por parte del Sujeto Obligado, a efecto de establecer la materia del presente asunto, ya que de ella deriva el procedimiento de acceso a la información ante el sujeto obligado, y por otro lado la materia sobre la que versará el recurso de revisión ante este Órgano Garante.</w:t>
      </w:r>
    </w:p>
    <w:p w14:paraId="1C75FE3D" w14:textId="77777777" w:rsidR="0080185B" w:rsidRPr="00A24F60" w:rsidRDefault="0080185B" w:rsidP="001C087E">
      <w:pPr>
        <w:tabs>
          <w:tab w:val="left" w:pos="709"/>
        </w:tabs>
        <w:spacing w:after="0" w:line="360" w:lineRule="auto"/>
        <w:jc w:val="both"/>
        <w:rPr>
          <w:rFonts w:ascii="Palatino Linotype" w:hAnsi="Palatino Linotype"/>
          <w:sz w:val="18"/>
          <w:szCs w:val="24"/>
        </w:rPr>
      </w:pPr>
    </w:p>
    <w:p w14:paraId="635CFD1E" w14:textId="7B2B0081" w:rsidR="002A5FDF" w:rsidRDefault="00CF2459" w:rsidP="00E31001">
      <w:pPr>
        <w:tabs>
          <w:tab w:val="left" w:pos="709"/>
        </w:tabs>
        <w:spacing w:after="0" w:line="360" w:lineRule="auto"/>
        <w:jc w:val="both"/>
        <w:rPr>
          <w:rFonts w:ascii="Palatino Linotype" w:hAnsi="Palatino Linotype"/>
          <w:sz w:val="24"/>
          <w:szCs w:val="24"/>
        </w:rPr>
      </w:pPr>
      <w:r>
        <w:rPr>
          <w:rFonts w:ascii="Palatino Linotype" w:hAnsi="Palatino Linotype"/>
          <w:sz w:val="24"/>
          <w:szCs w:val="24"/>
          <w:lang w:val="es-ES"/>
        </w:rPr>
        <w:t xml:space="preserve">En ese sentido, primeramente referir que de </w:t>
      </w:r>
      <w:r w:rsidR="00953B7B" w:rsidRPr="00007857">
        <w:rPr>
          <w:rFonts w:ascii="Palatino Linotype" w:hAnsi="Palatino Linotype"/>
          <w:sz w:val="24"/>
          <w:szCs w:val="24"/>
        </w:rPr>
        <w:t xml:space="preserve">la solicitud de información, </w:t>
      </w:r>
      <w:r>
        <w:rPr>
          <w:rFonts w:ascii="Palatino Linotype" w:hAnsi="Palatino Linotype"/>
          <w:sz w:val="24"/>
          <w:szCs w:val="24"/>
        </w:rPr>
        <w:t>se desprenden</w:t>
      </w:r>
      <w:r w:rsidR="00953B7B" w:rsidRPr="00406793">
        <w:rPr>
          <w:rFonts w:ascii="Palatino Linotype" w:hAnsi="Palatino Linotype"/>
          <w:sz w:val="24"/>
          <w:szCs w:val="24"/>
        </w:rPr>
        <w:t xml:space="preserve"> los requerimientos los siguientes:</w:t>
      </w:r>
      <w:r w:rsidR="001C087E" w:rsidRPr="009558AA">
        <w:rPr>
          <w:rFonts w:ascii="Palatino Linotype" w:hAnsi="Palatino Linotype"/>
          <w:sz w:val="24"/>
          <w:szCs w:val="24"/>
        </w:rPr>
        <w:t xml:space="preserve"> </w:t>
      </w:r>
    </w:p>
    <w:p w14:paraId="76C17DA6" w14:textId="77777777" w:rsidR="00833E3C" w:rsidRDefault="00833E3C" w:rsidP="00E31001">
      <w:pPr>
        <w:tabs>
          <w:tab w:val="left" w:pos="709"/>
        </w:tabs>
        <w:spacing w:after="0" w:line="360" w:lineRule="auto"/>
        <w:jc w:val="both"/>
        <w:rPr>
          <w:rFonts w:ascii="Palatino Linotype" w:hAnsi="Palatino Linotype"/>
          <w:sz w:val="24"/>
          <w:szCs w:val="24"/>
        </w:rPr>
      </w:pPr>
    </w:p>
    <w:p w14:paraId="6EE33087" w14:textId="77777777" w:rsidR="00693E25" w:rsidRPr="00693E25" w:rsidRDefault="00693E25" w:rsidP="00693E25">
      <w:pPr>
        <w:pStyle w:val="Prrafodelista"/>
        <w:numPr>
          <w:ilvl w:val="0"/>
          <w:numId w:val="17"/>
        </w:numPr>
        <w:tabs>
          <w:tab w:val="left" w:pos="709"/>
        </w:tabs>
        <w:spacing w:line="360" w:lineRule="auto"/>
        <w:ind w:left="993" w:hanging="426"/>
        <w:jc w:val="both"/>
        <w:rPr>
          <w:rFonts w:ascii="Palatino Linotype" w:hAnsi="Palatino Linotype"/>
          <w:color w:val="000000"/>
        </w:rPr>
      </w:pPr>
      <w:r w:rsidRPr="00693E25">
        <w:rPr>
          <w:rFonts w:ascii="Palatino Linotype" w:hAnsi="Palatino Linotype"/>
          <w:color w:val="000000"/>
        </w:rPr>
        <w:t xml:space="preserve">Solicito me informen cuánto se le debe a cada proveedor del Ayuntamiento </w:t>
      </w:r>
    </w:p>
    <w:p w14:paraId="16E6BC09" w14:textId="77777777" w:rsidR="00D119CF" w:rsidRPr="00B30BD3" w:rsidRDefault="00D119CF" w:rsidP="00A01227">
      <w:pPr>
        <w:pStyle w:val="Prrafodelista"/>
        <w:tabs>
          <w:tab w:val="left" w:pos="709"/>
        </w:tabs>
        <w:spacing w:line="360" w:lineRule="auto"/>
        <w:ind w:left="426"/>
        <w:jc w:val="both"/>
        <w:rPr>
          <w:rFonts w:ascii="Palatino Linotype" w:hAnsi="Palatino Linotype"/>
          <w:i/>
          <w:color w:val="000000"/>
          <w:sz w:val="22"/>
          <w:szCs w:val="22"/>
        </w:rPr>
      </w:pPr>
    </w:p>
    <w:p w14:paraId="2EB5032C" w14:textId="77777777" w:rsidR="00833E3C" w:rsidRDefault="00693E25" w:rsidP="00A01227">
      <w:pPr>
        <w:spacing w:line="360" w:lineRule="auto"/>
        <w:jc w:val="both"/>
        <w:rPr>
          <w:rFonts w:ascii="Palatino Linotype" w:hAnsi="Palatino Linotype"/>
          <w:bCs/>
          <w:sz w:val="24"/>
          <w:szCs w:val="24"/>
        </w:rPr>
      </w:pPr>
      <w:r>
        <w:rPr>
          <w:rFonts w:ascii="Palatino Linotype" w:hAnsi="Palatino Linotype"/>
          <w:bCs/>
          <w:sz w:val="24"/>
          <w:szCs w:val="24"/>
        </w:rPr>
        <w:t>El</w:t>
      </w:r>
      <w:r w:rsidR="0057285B" w:rsidRPr="00A01227">
        <w:rPr>
          <w:rFonts w:ascii="Palatino Linotype" w:hAnsi="Palatino Linotype"/>
          <w:bCs/>
          <w:sz w:val="24"/>
          <w:szCs w:val="24"/>
        </w:rPr>
        <w:t xml:space="preserve"> Sujeto Obligado </w:t>
      </w:r>
      <w:r w:rsidR="00F600E4">
        <w:rPr>
          <w:rFonts w:ascii="Palatino Linotype" w:hAnsi="Palatino Linotype"/>
          <w:bCs/>
          <w:sz w:val="24"/>
          <w:szCs w:val="24"/>
        </w:rPr>
        <w:t>hizo del conocimiento</w:t>
      </w:r>
      <w:r w:rsidR="00D67F90">
        <w:rPr>
          <w:rFonts w:ascii="Palatino Linotype" w:hAnsi="Palatino Linotype"/>
          <w:bCs/>
          <w:sz w:val="24"/>
          <w:szCs w:val="24"/>
        </w:rPr>
        <w:t xml:space="preserve"> </w:t>
      </w:r>
      <w:r w:rsidR="00833E3C">
        <w:rPr>
          <w:rFonts w:ascii="Palatino Linotype" w:hAnsi="Palatino Linotype"/>
          <w:bCs/>
          <w:sz w:val="24"/>
          <w:szCs w:val="24"/>
        </w:rPr>
        <w:t>lo siguiente:</w:t>
      </w:r>
    </w:p>
    <w:p w14:paraId="5E730E2E" w14:textId="4C00190C" w:rsidR="00833E3C" w:rsidRDefault="00833E3C" w:rsidP="00833E3C">
      <w:pPr>
        <w:spacing w:line="360" w:lineRule="auto"/>
        <w:jc w:val="center"/>
        <w:rPr>
          <w:rFonts w:ascii="Palatino Linotype" w:hAnsi="Palatino Linotype"/>
          <w:bCs/>
          <w:sz w:val="24"/>
          <w:szCs w:val="24"/>
        </w:rPr>
      </w:pPr>
      <w:r>
        <w:rPr>
          <w:noProof/>
          <w:lang w:eastAsia="es-MX"/>
        </w:rPr>
        <w:lastRenderedPageBreak/>
        <w:drawing>
          <wp:inline distT="0" distB="0" distL="0" distR="0" wp14:anchorId="3ACDB0DC" wp14:editId="52F074AD">
            <wp:extent cx="4250131" cy="1286736"/>
            <wp:effectExtent l="190500" t="190500" r="188595" b="1993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243" t="29199" r="26698" b="44934"/>
                    <a:stretch/>
                  </pic:blipFill>
                  <pic:spPr bwMode="auto">
                    <a:xfrm>
                      <a:off x="0" y="0"/>
                      <a:ext cx="4262288" cy="129041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5FBE6702" w14:textId="259A47C0" w:rsidR="00D67F90" w:rsidRDefault="00833E3C" w:rsidP="00A01227">
      <w:pPr>
        <w:spacing w:line="360" w:lineRule="auto"/>
        <w:jc w:val="both"/>
        <w:rPr>
          <w:rFonts w:ascii="Palatino Linotype" w:hAnsi="Palatino Linotype"/>
          <w:bCs/>
          <w:sz w:val="24"/>
          <w:szCs w:val="24"/>
        </w:rPr>
      </w:pPr>
      <w:r>
        <w:rPr>
          <w:rFonts w:ascii="Palatino Linotype" w:hAnsi="Palatino Linotype"/>
          <w:bCs/>
          <w:sz w:val="24"/>
          <w:szCs w:val="24"/>
        </w:rPr>
        <w:t xml:space="preserve">Adjuntando </w:t>
      </w:r>
      <w:r w:rsidR="00693E25">
        <w:rPr>
          <w:rFonts w:ascii="Palatino Linotype" w:hAnsi="Palatino Linotype"/>
          <w:bCs/>
          <w:sz w:val="24"/>
          <w:szCs w:val="24"/>
        </w:rPr>
        <w:t>la siguiente imagen</w:t>
      </w:r>
      <w:r w:rsidR="00D67F90">
        <w:rPr>
          <w:rFonts w:ascii="Palatino Linotype" w:hAnsi="Palatino Linotype"/>
          <w:bCs/>
          <w:sz w:val="24"/>
          <w:szCs w:val="24"/>
        </w:rPr>
        <w:t>.</w:t>
      </w:r>
    </w:p>
    <w:p w14:paraId="1B6FD648" w14:textId="2C7C4E84" w:rsidR="00693E25" w:rsidRDefault="00693E25" w:rsidP="00693E25">
      <w:pPr>
        <w:spacing w:line="360" w:lineRule="auto"/>
        <w:jc w:val="center"/>
        <w:rPr>
          <w:rFonts w:ascii="Palatino Linotype" w:hAnsi="Palatino Linotype"/>
          <w:bCs/>
          <w:sz w:val="24"/>
          <w:szCs w:val="24"/>
        </w:rPr>
      </w:pPr>
      <w:r>
        <w:rPr>
          <w:noProof/>
          <w:lang w:eastAsia="es-MX"/>
        </w:rPr>
        <w:drawing>
          <wp:inline distT="0" distB="0" distL="0" distR="0" wp14:anchorId="37DCE6EF" wp14:editId="0C6F9EE5">
            <wp:extent cx="1934205" cy="2150669"/>
            <wp:effectExtent l="190500" t="190500" r="200025" b="1930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5934" t="21360" r="33532" b="18283"/>
                    <a:stretch/>
                  </pic:blipFill>
                  <pic:spPr bwMode="auto">
                    <a:xfrm>
                      <a:off x="0" y="0"/>
                      <a:ext cx="1946876" cy="216475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1D08E13" w14:textId="68B87870" w:rsidR="00833E3C" w:rsidRDefault="00833E3C" w:rsidP="00DA4850">
      <w:pPr>
        <w:spacing w:after="0" w:line="360" w:lineRule="auto"/>
        <w:jc w:val="both"/>
        <w:rPr>
          <w:rFonts w:ascii="Palatino Linotype" w:hAnsi="Palatino Linotype"/>
          <w:bCs/>
          <w:sz w:val="24"/>
          <w:szCs w:val="24"/>
        </w:rPr>
      </w:pPr>
      <w:r>
        <w:rPr>
          <w:rFonts w:ascii="Palatino Linotype" w:hAnsi="Palatino Linotype"/>
          <w:bCs/>
          <w:sz w:val="24"/>
          <w:szCs w:val="24"/>
        </w:rPr>
        <w:t xml:space="preserve">De lo anterior, </w:t>
      </w:r>
      <w:r w:rsidR="00FB64C1">
        <w:rPr>
          <w:rFonts w:ascii="Palatino Linotype" w:hAnsi="Palatino Linotype"/>
          <w:bCs/>
          <w:sz w:val="24"/>
          <w:szCs w:val="24"/>
        </w:rPr>
        <w:t>es evidente</w:t>
      </w:r>
      <w:r>
        <w:rPr>
          <w:rFonts w:ascii="Palatino Linotype" w:hAnsi="Palatino Linotype"/>
          <w:bCs/>
          <w:sz w:val="24"/>
          <w:szCs w:val="24"/>
        </w:rPr>
        <w:t xml:space="preserve"> que el Titular de la Unidad de Transparencia </w:t>
      </w:r>
      <w:r w:rsidR="00D873C0">
        <w:rPr>
          <w:rFonts w:ascii="Palatino Linotype" w:hAnsi="Palatino Linotype"/>
          <w:bCs/>
          <w:sz w:val="24"/>
          <w:szCs w:val="24"/>
        </w:rPr>
        <w:t>solicitó una aclaración, la cual fue suscrita en el apartado de “</w:t>
      </w:r>
      <w:r w:rsidR="00D873C0" w:rsidRPr="00D873C0">
        <w:rPr>
          <w:rFonts w:ascii="Palatino Linotype" w:hAnsi="Palatino Linotype"/>
          <w:bCs/>
          <w:sz w:val="24"/>
          <w:szCs w:val="24"/>
        </w:rPr>
        <w:t>incompetencia parcial de</w:t>
      </w:r>
      <w:r w:rsidR="00D873C0">
        <w:rPr>
          <w:rFonts w:ascii="Palatino Linotype" w:hAnsi="Palatino Linotype"/>
          <w:bCs/>
          <w:sz w:val="24"/>
          <w:szCs w:val="24"/>
        </w:rPr>
        <w:t>l Sujeto O</w:t>
      </w:r>
      <w:r w:rsidR="00D873C0" w:rsidRPr="00D873C0">
        <w:rPr>
          <w:rFonts w:ascii="Palatino Linotype" w:hAnsi="Palatino Linotype"/>
          <w:bCs/>
          <w:sz w:val="24"/>
          <w:szCs w:val="24"/>
        </w:rPr>
        <w:t>bligado</w:t>
      </w:r>
      <w:r w:rsidR="00D873C0">
        <w:rPr>
          <w:rFonts w:ascii="Palatino Linotype" w:hAnsi="Palatino Linotype"/>
          <w:bCs/>
          <w:sz w:val="24"/>
          <w:szCs w:val="24"/>
        </w:rPr>
        <w:t>,</w:t>
      </w:r>
      <w:r w:rsidR="00D873C0" w:rsidRPr="00D873C0">
        <w:rPr>
          <w:rFonts w:ascii="Palatino Linotype" w:hAnsi="Palatino Linotype"/>
          <w:bCs/>
          <w:sz w:val="24"/>
          <w:szCs w:val="24"/>
        </w:rPr>
        <w:t xml:space="preserve"> procede orientación</w:t>
      </w:r>
      <w:r w:rsidR="00D873C0">
        <w:rPr>
          <w:rFonts w:ascii="Palatino Linotype" w:hAnsi="Palatino Linotype"/>
          <w:bCs/>
          <w:sz w:val="24"/>
          <w:szCs w:val="24"/>
        </w:rPr>
        <w:t>”.</w:t>
      </w:r>
    </w:p>
    <w:p w14:paraId="28E737CF" w14:textId="77777777" w:rsidR="00833E3C" w:rsidRDefault="00833E3C" w:rsidP="00DA4850">
      <w:pPr>
        <w:spacing w:after="0" w:line="360" w:lineRule="auto"/>
        <w:jc w:val="both"/>
        <w:rPr>
          <w:rFonts w:ascii="Palatino Linotype" w:hAnsi="Palatino Linotype"/>
          <w:bCs/>
          <w:sz w:val="24"/>
          <w:szCs w:val="24"/>
        </w:rPr>
      </w:pPr>
    </w:p>
    <w:p w14:paraId="696A4F45" w14:textId="08A6EB83" w:rsidR="00D67F90" w:rsidRDefault="00693E25" w:rsidP="00DA4850">
      <w:pPr>
        <w:spacing w:after="0" w:line="360" w:lineRule="auto"/>
        <w:jc w:val="both"/>
        <w:rPr>
          <w:rFonts w:ascii="Palatino Linotype" w:hAnsi="Palatino Linotype"/>
          <w:color w:val="000000"/>
          <w:sz w:val="24"/>
          <w:szCs w:val="24"/>
        </w:rPr>
      </w:pPr>
      <w:r>
        <w:rPr>
          <w:rFonts w:ascii="Palatino Linotype" w:hAnsi="Palatino Linotype"/>
          <w:bCs/>
          <w:sz w:val="24"/>
          <w:szCs w:val="24"/>
        </w:rPr>
        <w:t>Posterior a ello, el R</w:t>
      </w:r>
      <w:r w:rsidR="00D67F90">
        <w:rPr>
          <w:rFonts w:ascii="Palatino Linotype" w:hAnsi="Palatino Linotype"/>
          <w:bCs/>
          <w:sz w:val="24"/>
          <w:szCs w:val="24"/>
        </w:rPr>
        <w:t>ecurrente interpuso recurso de revisión en donde manif</w:t>
      </w:r>
      <w:r w:rsidR="00CF2459">
        <w:rPr>
          <w:rFonts w:ascii="Palatino Linotype" w:hAnsi="Palatino Linotype"/>
          <w:bCs/>
          <w:sz w:val="24"/>
          <w:szCs w:val="24"/>
        </w:rPr>
        <w:t xml:space="preserve">estó </w:t>
      </w:r>
      <w:r w:rsidR="00D67F90">
        <w:rPr>
          <w:rFonts w:ascii="Palatino Linotype" w:hAnsi="Palatino Linotype"/>
          <w:bCs/>
          <w:sz w:val="24"/>
          <w:szCs w:val="24"/>
        </w:rPr>
        <w:t xml:space="preserve"> que </w:t>
      </w:r>
      <w:r w:rsidRPr="00D42C2D">
        <w:rPr>
          <w:rFonts w:ascii="Palatino Linotype" w:hAnsi="Palatino Linotype"/>
          <w:color w:val="000000"/>
          <w:sz w:val="24"/>
          <w:szCs w:val="24"/>
        </w:rPr>
        <w:t>no se entregó la información solicitada y</w:t>
      </w:r>
      <w:r w:rsidR="00D42C2D" w:rsidRPr="00D42C2D">
        <w:rPr>
          <w:rFonts w:ascii="Palatino Linotype" w:hAnsi="Palatino Linotype"/>
          <w:color w:val="000000"/>
          <w:sz w:val="24"/>
          <w:szCs w:val="24"/>
        </w:rPr>
        <w:t>a que el termino para dar respuesta ya había fenecido, así mismo manifestó que la información solicitada</w:t>
      </w:r>
      <w:r w:rsidRPr="00D42C2D">
        <w:rPr>
          <w:rFonts w:ascii="Palatino Linotype" w:hAnsi="Palatino Linotype"/>
          <w:color w:val="000000"/>
          <w:sz w:val="24"/>
          <w:szCs w:val="24"/>
        </w:rPr>
        <w:t xml:space="preserve"> se encuentra en </w:t>
      </w:r>
      <w:r w:rsidR="00D42C2D" w:rsidRPr="00D42C2D">
        <w:rPr>
          <w:rFonts w:ascii="Palatino Linotype" w:hAnsi="Palatino Linotype"/>
          <w:color w:val="000000"/>
          <w:sz w:val="24"/>
          <w:szCs w:val="24"/>
        </w:rPr>
        <w:t>la</w:t>
      </w:r>
      <w:r w:rsidRPr="00D42C2D">
        <w:rPr>
          <w:rFonts w:ascii="Palatino Linotype" w:hAnsi="Palatino Linotype"/>
          <w:color w:val="000000"/>
          <w:sz w:val="24"/>
          <w:szCs w:val="24"/>
        </w:rPr>
        <w:t xml:space="preserve"> </w:t>
      </w:r>
      <w:r w:rsidR="00D42C2D">
        <w:rPr>
          <w:rFonts w:ascii="Palatino Linotype" w:hAnsi="Palatino Linotype"/>
          <w:color w:val="000000"/>
          <w:sz w:val="24"/>
          <w:szCs w:val="24"/>
        </w:rPr>
        <w:t>balanza de comprobació</w:t>
      </w:r>
      <w:r w:rsidR="00D42C2D" w:rsidRPr="00D42C2D">
        <w:rPr>
          <w:rFonts w:ascii="Palatino Linotype" w:hAnsi="Palatino Linotype"/>
          <w:color w:val="000000"/>
          <w:sz w:val="24"/>
          <w:szCs w:val="24"/>
        </w:rPr>
        <w:t xml:space="preserve">n detallada </w:t>
      </w:r>
      <w:r w:rsidRPr="00D42C2D">
        <w:rPr>
          <w:rFonts w:ascii="Palatino Linotype" w:hAnsi="Palatino Linotype"/>
          <w:color w:val="000000"/>
          <w:sz w:val="24"/>
          <w:szCs w:val="24"/>
        </w:rPr>
        <w:t>actualizada al mes de septiembre de 2021</w:t>
      </w:r>
      <w:r w:rsidR="001E1497">
        <w:rPr>
          <w:rFonts w:ascii="Palatino Linotype" w:hAnsi="Palatino Linotype"/>
          <w:color w:val="000000"/>
          <w:sz w:val="24"/>
          <w:szCs w:val="24"/>
        </w:rPr>
        <w:t>.</w:t>
      </w:r>
    </w:p>
    <w:p w14:paraId="67B46995" w14:textId="77777777" w:rsidR="00717040" w:rsidRDefault="00717040" w:rsidP="00717040">
      <w:pPr>
        <w:pStyle w:val="Prrafodelista"/>
        <w:autoSpaceDE w:val="0"/>
        <w:autoSpaceDN w:val="0"/>
        <w:adjustRightInd w:val="0"/>
        <w:spacing w:line="360" w:lineRule="auto"/>
        <w:ind w:left="0"/>
        <w:jc w:val="both"/>
        <w:rPr>
          <w:rFonts w:ascii="Palatino Linotype" w:hAnsi="Palatino Linotype" w:cs="Arial"/>
        </w:rPr>
      </w:pPr>
      <w:r w:rsidRPr="007938AE">
        <w:rPr>
          <w:rFonts w:ascii="Palatino Linotype" w:hAnsi="Palatino Linotype" w:cs="Arial"/>
        </w:rPr>
        <w:lastRenderedPageBreak/>
        <w:t>En este sentido</w:t>
      </w:r>
      <w:r>
        <w:rPr>
          <w:rFonts w:ascii="Palatino Linotype" w:hAnsi="Palatino Linotype" w:cs="Arial"/>
        </w:rPr>
        <w:t>,</w:t>
      </w:r>
      <w:r w:rsidRPr="007938AE">
        <w:rPr>
          <w:rFonts w:ascii="Palatino Linotype" w:hAnsi="Palatino Linotype" w:cs="Arial"/>
        </w:rPr>
        <w:t xml:space="preserve"> nuestro estudio versará en </w:t>
      </w:r>
      <w:r>
        <w:rPr>
          <w:rFonts w:ascii="Palatino Linotype" w:hAnsi="Palatino Linotype" w:cs="Arial"/>
        </w:rPr>
        <w:t>determinar si el Sujeto Obligado es competente para contar con la información solicitada y de ser el caso, analizar el marco normativo que lo rige para definir cuál es la documentación en donde consta la información peticionada.</w:t>
      </w:r>
    </w:p>
    <w:p w14:paraId="430962E3" w14:textId="77777777" w:rsidR="00717040" w:rsidRDefault="00717040" w:rsidP="00DA4850">
      <w:pPr>
        <w:spacing w:after="0" w:line="360" w:lineRule="auto"/>
        <w:jc w:val="both"/>
        <w:rPr>
          <w:rFonts w:ascii="Palatino Linotype" w:hAnsi="Palatino Linotype"/>
          <w:bCs/>
          <w:sz w:val="24"/>
          <w:szCs w:val="24"/>
        </w:rPr>
      </w:pPr>
    </w:p>
    <w:p w14:paraId="082666E8" w14:textId="110663B3" w:rsidR="00F600E4" w:rsidRDefault="00F600E4" w:rsidP="00DA4850">
      <w:pPr>
        <w:spacing w:after="0" w:line="360" w:lineRule="auto"/>
        <w:jc w:val="both"/>
        <w:rPr>
          <w:rFonts w:ascii="Palatino Linotype" w:hAnsi="Palatino Linotype"/>
          <w:bCs/>
          <w:sz w:val="24"/>
          <w:szCs w:val="24"/>
        </w:rPr>
      </w:pPr>
      <w:r>
        <w:rPr>
          <w:rFonts w:ascii="Palatino Linotype" w:hAnsi="Palatino Linotype"/>
          <w:bCs/>
          <w:sz w:val="24"/>
          <w:szCs w:val="24"/>
        </w:rPr>
        <w:t>Conforme al padrón de Sujetos Obl</w:t>
      </w:r>
      <w:r w:rsidR="00DB2C48">
        <w:rPr>
          <w:rFonts w:ascii="Palatino Linotype" w:hAnsi="Palatino Linotype"/>
          <w:bCs/>
          <w:sz w:val="24"/>
          <w:szCs w:val="24"/>
        </w:rPr>
        <w:t>igados vigente, encontramos lo siguiente:</w:t>
      </w:r>
    </w:p>
    <w:p w14:paraId="703F6CC4" w14:textId="49048954" w:rsidR="00F600E4" w:rsidRDefault="00DB2C48" w:rsidP="00DA4850">
      <w:pPr>
        <w:spacing w:after="0" w:line="360" w:lineRule="auto"/>
        <w:jc w:val="both"/>
        <w:rPr>
          <w:rFonts w:ascii="Palatino Linotype" w:hAnsi="Palatino Linotype"/>
          <w:bCs/>
          <w:sz w:val="24"/>
          <w:szCs w:val="24"/>
        </w:rPr>
      </w:pPr>
      <w:r>
        <w:rPr>
          <w:noProof/>
          <w:lang w:eastAsia="es-MX"/>
        </w:rPr>
        <mc:AlternateContent>
          <mc:Choice Requires="wps">
            <w:drawing>
              <wp:anchor distT="0" distB="0" distL="114300" distR="114300" simplePos="0" relativeHeight="251664384" behindDoc="0" locked="0" layoutInCell="1" allowOverlap="1" wp14:anchorId="4E152EE9" wp14:editId="05E4913E">
                <wp:simplePos x="0" y="0"/>
                <wp:positionH relativeFrom="column">
                  <wp:posOffset>227965</wp:posOffset>
                </wp:positionH>
                <wp:positionV relativeFrom="paragraph">
                  <wp:posOffset>1384300</wp:posOffset>
                </wp:positionV>
                <wp:extent cx="5213350" cy="215900"/>
                <wp:effectExtent l="0" t="0" r="25400" b="12700"/>
                <wp:wrapNone/>
                <wp:docPr id="10" name="Rectángulo 10"/>
                <wp:cNvGraphicFramePr/>
                <a:graphic xmlns:a="http://schemas.openxmlformats.org/drawingml/2006/main">
                  <a:graphicData uri="http://schemas.microsoft.com/office/word/2010/wordprocessingShape">
                    <wps:wsp>
                      <wps:cNvSpPr/>
                      <wps:spPr>
                        <a:xfrm>
                          <a:off x="0" y="0"/>
                          <a:ext cx="5213350" cy="2159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550AA4" id="Rectángulo 10" o:spid="_x0000_s1026" style="position:absolute;margin-left:17.95pt;margin-top:109pt;width:410.5pt;height:17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" filled="f" strokecolor="red" strokeweight="1.5pt"/>
            </w:pict>
          </mc:Fallback>
        </mc:AlternateContent>
      </w:r>
      <w:r w:rsidR="00F600E4">
        <w:rPr>
          <w:noProof/>
          <w:lang w:eastAsia="es-MX"/>
        </w:rPr>
        <w:drawing>
          <wp:inline distT="0" distB="0" distL="0" distR="0" wp14:anchorId="1E34BAC2" wp14:editId="5B0AFB11">
            <wp:extent cx="5294630" cy="2196972"/>
            <wp:effectExtent l="190500" t="190500" r="191770" b="1847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636" t="16059" r="32540" b="57515"/>
                    <a:stretch/>
                  </pic:blipFill>
                  <pic:spPr bwMode="auto">
                    <a:xfrm>
                      <a:off x="0" y="0"/>
                      <a:ext cx="5300725" cy="219950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6E8B29BA" w14:textId="36CD02CE" w:rsidR="00E10A6E" w:rsidRDefault="00DB2C48" w:rsidP="00E10A6E">
      <w:pPr>
        <w:spacing w:after="0" w:line="360" w:lineRule="auto"/>
        <w:jc w:val="both"/>
        <w:rPr>
          <w:rFonts w:ascii="Palatino Linotype" w:hAnsi="Palatino Linotype"/>
          <w:bCs/>
          <w:sz w:val="24"/>
          <w:szCs w:val="24"/>
        </w:rPr>
      </w:pPr>
      <w:r>
        <w:rPr>
          <w:rFonts w:ascii="Palatino Linotype" w:hAnsi="Palatino Linotype"/>
          <w:bCs/>
          <w:sz w:val="24"/>
          <w:szCs w:val="24"/>
        </w:rPr>
        <w:t>De la imagen inserta</w:t>
      </w:r>
      <w:r w:rsidR="00E10A6E">
        <w:rPr>
          <w:rFonts w:ascii="Palatino Linotype" w:hAnsi="Palatino Linotype"/>
          <w:bCs/>
          <w:sz w:val="24"/>
          <w:szCs w:val="24"/>
        </w:rPr>
        <w:t>,</w:t>
      </w:r>
      <w:r>
        <w:rPr>
          <w:rFonts w:ascii="Palatino Linotype" w:hAnsi="Palatino Linotype"/>
          <w:bCs/>
          <w:sz w:val="24"/>
          <w:szCs w:val="24"/>
        </w:rPr>
        <w:t xml:space="preserve"> se puede advertir que el Municipio de Atizapán se encuentra establecido como Sujeto O</w:t>
      </w:r>
      <w:r w:rsidR="00833E3C">
        <w:rPr>
          <w:rFonts w:ascii="Palatino Linotype" w:hAnsi="Palatino Linotype"/>
          <w:bCs/>
          <w:sz w:val="24"/>
          <w:szCs w:val="24"/>
        </w:rPr>
        <w:t>bligado</w:t>
      </w:r>
      <w:r w:rsidR="00A8365E">
        <w:rPr>
          <w:rFonts w:ascii="Palatino Linotype" w:hAnsi="Palatino Linotype"/>
          <w:bCs/>
          <w:sz w:val="24"/>
          <w:szCs w:val="24"/>
        </w:rPr>
        <w:t xml:space="preserve"> y si bien, este requer</w:t>
      </w:r>
      <w:r w:rsidR="00656E3B">
        <w:rPr>
          <w:rFonts w:ascii="Palatino Linotype" w:hAnsi="Palatino Linotype"/>
          <w:bCs/>
          <w:sz w:val="24"/>
          <w:szCs w:val="24"/>
        </w:rPr>
        <w:t>ía</w:t>
      </w:r>
      <w:r w:rsidR="00A8365E">
        <w:rPr>
          <w:rFonts w:ascii="Palatino Linotype" w:hAnsi="Palatino Linotype"/>
          <w:bCs/>
          <w:sz w:val="24"/>
          <w:szCs w:val="24"/>
        </w:rPr>
        <w:t xml:space="preserve"> realizar una aclaraci</w:t>
      </w:r>
      <w:r w:rsidR="00656E3B">
        <w:rPr>
          <w:rFonts w:ascii="Palatino Linotype" w:hAnsi="Palatino Linotype"/>
          <w:bCs/>
          <w:sz w:val="24"/>
          <w:szCs w:val="24"/>
        </w:rPr>
        <w:t xml:space="preserve">ón, esta se debió sustanciar </w:t>
      </w:r>
      <w:r w:rsidR="00A8365E">
        <w:rPr>
          <w:rFonts w:ascii="Palatino Linotype" w:hAnsi="Palatino Linotype"/>
          <w:bCs/>
          <w:sz w:val="24"/>
          <w:szCs w:val="24"/>
        </w:rPr>
        <w:t xml:space="preserve">en el momento </w:t>
      </w:r>
      <w:r w:rsidR="00656E3B">
        <w:rPr>
          <w:rFonts w:ascii="Palatino Linotype" w:hAnsi="Palatino Linotype"/>
          <w:bCs/>
          <w:sz w:val="24"/>
          <w:szCs w:val="24"/>
        </w:rPr>
        <w:t xml:space="preserve">procedimental </w:t>
      </w:r>
      <w:r w:rsidR="00A8365E">
        <w:rPr>
          <w:rFonts w:ascii="Palatino Linotype" w:hAnsi="Palatino Linotype"/>
          <w:bCs/>
          <w:sz w:val="24"/>
          <w:szCs w:val="24"/>
        </w:rPr>
        <w:t>oportun</w:t>
      </w:r>
      <w:r w:rsidR="00656E3B">
        <w:rPr>
          <w:rFonts w:ascii="Palatino Linotype" w:hAnsi="Palatino Linotype"/>
          <w:bCs/>
          <w:sz w:val="24"/>
          <w:szCs w:val="24"/>
        </w:rPr>
        <w:t>o</w:t>
      </w:r>
      <w:r w:rsidR="00A8365E">
        <w:rPr>
          <w:rFonts w:ascii="Palatino Linotype" w:hAnsi="Palatino Linotype"/>
          <w:bCs/>
          <w:sz w:val="24"/>
          <w:szCs w:val="24"/>
        </w:rPr>
        <w:t xml:space="preserve">, mismo que se establece </w:t>
      </w:r>
      <w:r w:rsidR="00656E3B">
        <w:rPr>
          <w:rFonts w:ascii="Palatino Linotype" w:hAnsi="Palatino Linotype"/>
          <w:bCs/>
          <w:sz w:val="24"/>
          <w:szCs w:val="24"/>
        </w:rPr>
        <w:t>en el artículo 159</w:t>
      </w:r>
      <w:r w:rsidR="00D958DC">
        <w:rPr>
          <w:rStyle w:val="Refdenotaalpie"/>
          <w:rFonts w:ascii="Palatino Linotype" w:hAnsi="Palatino Linotype"/>
          <w:bCs/>
          <w:sz w:val="24"/>
          <w:szCs w:val="24"/>
        </w:rPr>
        <w:footnoteReference w:id="1"/>
      </w:r>
      <w:r w:rsidR="00656E3B">
        <w:rPr>
          <w:rFonts w:ascii="Palatino Linotype" w:hAnsi="Palatino Linotype"/>
          <w:bCs/>
          <w:sz w:val="24"/>
          <w:szCs w:val="24"/>
        </w:rPr>
        <w:t xml:space="preserve"> de la Ley de Transparencia y Acceso a la Información Pública del </w:t>
      </w:r>
      <w:r w:rsidR="00656E3B">
        <w:rPr>
          <w:rFonts w:ascii="Palatino Linotype" w:hAnsi="Palatino Linotype"/>
          <w:bCs/>
          <w:sz w:val="24"/>
          <w:szCs w:val="24"/>
        </w:rPr>
        <w:lastRenderedPageBreak/>
        <w:t>Estado de México y Municipios</w:t>
      </w:r>
      <w:r w:rsidR="00D958DC">
        <w:rPr>
          <w:rFonts w:ascii="Palatino Linotype" w:hAnsi="Palatino Linotype"/>
          <w:bCs/>
          <w:sz w:val="24"/>
          <w:szCs w:val="24"/>
        </w:rPr>
        <w:t xml:space="preserve">, el cual señala que cuando los datos sean insuficientes, se podrá requerir al solicitante en un plazo que no exceda de cinco días hábiles después de suscrita la solicitud de información, indique otros elementos </w:t>
      </w:r>
      <w:r w:rsidR="00D958DC" w:rsidRPr="00D958DC">
        <w:rPr>
          <w:rFonts w:ascii="Palatino Linotype" w:hAnsi="Palatino Linotype"/>
          <w:bCs/>
          <w:sz w:val="24"/>
          <w:szCs w:val="24"/>
        </w:rPr>
        <w:t>que complementen, corrijan o amplíen los datos proporcionados</w:t>
      </w:r>
      <w:r w:rsidR="00D958DC">
        <w:rPr>
          <w:rFonts w:ascii="Palatino Linotype" w:hAnsi="Palatino Linotype"/>
          <w:bCs/>
          <w:sz w:val="24"/>
          <w:szCs w:val="24"/>
        </w:rPr>
        <w:t xml:space="preserve">, situación que no </w:t>
      </w:r>
      <w:r w:rsidR="00C17B71">
        <w:rPr>
          <w:rFonts w:ascii="Palatino Linotype" w:hAnsi="Palatino Linotype"/>
          <w:bCs/>
          <w:sz w:val="24"/>
          <w:szCs w:val="24"/>
        </w:rPr>
        <w:t>aconteció</w:t>
      </w:r>
      <w:r w:rsidR="00D958DC">
        <w:rPr>
          <w:rFonts w:ascii="Palatino Linotype" w:hAnsi="Palatino Linotype"/>
          <w:bCs/>
          <w:sz w:val="24"/>
          <w:szCs w:val="24"/>
        </w:rPr>
        <w:t xml:space="preserve">, pues </w:t>
      </w:r>
      <w:r w:rsidR="00C17B71">
        <w:rPr>
          <w:rFonts w:ascii="Palatino Linotype" w:hAnsi="Palatino Linotype"/>
          <w:bCs/>
          <w:sz w:val="24"/>
          <w:szCs w:val="24"/>
        </w:rPr>
        <w:t xml:space="preserve">en el apartado </w:t>
      </w:r>
      <w:r w:rsidR="009A631A">
        <w:rPr>
          <w:rFonts w:ascii="Palatino Linotype" w:hAnsi="Palatino Linotype"/>
          <w:bCs/>
          <w:sz w:val="24"/>
          <w:szCs w:val="24"/>
        </w:rPr>
        <w:t xml:space="preserve">de </w:t>
      </w:r>
      <w:r w:rsidR="00E10A6E">
        <w:rPr>
          <w:rFonts w:ascii="Palatino Linotype" w:hAnsi="Palatino Linotype"/>
          <w:bCs/>
          <w:sz w:val="24"/>
          <w:szCs w:val="24"/>
        </w:rPr>
        <w:t>“</w:t>
      </w:r>
      <w:r w:rsidR="00E10A6E" w:rsidRPr="00D873C0">
        <w:rPr>
          <w:rFonts w:ascii="Palatino Linotype" w:hAnsi="Palatino Linotype"/>
          <w:bCs/>
          <w:sz w:val="24"/>
          <w:szCs w:val="24"/>
        </w:rPr>
        <w:t>incompetencia parcial de</w:t>
      </w:r>
      <w:r w:rsidR="00E10A6E">
        <w:rPr>
          <w:rFonts w:ascii="Palatino Linotype" w:hAnsi="Palatino Linotype"/>
          <w:bCs/>
          <w:sz w:val="24"/>
          <w:szCs w:val="24"/>
        </w:rPr>
        <w:t>l Sujeto O</w:t>
      </w:r>
      <w:r w:rsidR="00E10A6E" w:rsidRPr="00D873C0">
        <w:rPr>
          <w:rFonts w:ascii="Palatino Linotype" w:hAnsi="Palatino Linotype"/>
          <w:bCs/>
          <w:sz w:val="24"/>
          <w:szCs w:val="24"/>
        </w:rPr>
        <w:t>bligado</w:t>
      </w:r>
      <w:r w:rsidR="00E10A6E">
        <w:rPr>
          <w:rFonts w:ascii="Palatino Linotype" w:hAnsi="Palatino Linotype"/>
          <w:bCs/>
          <w:sz w:val="24"/>
          <w:szCs w:val="24"/>
        </w:rPr>
        <w:t>,</w:t>
      </w:r>
      <w:r w:rsidR="00E10A6E" w:rsidRPr="00D873C0">
        <w:rPr>
          <w:rFonts w:ascii="Palatino Linotype" w:hAnsi="Palatino Linotype"/>
          <w:bCs/>
          <w:sz w:val="24"/>
          <w:szCs w:val="24"/>
        </w:rPr>
        <w:t xml:space="preserve"> procede orientación</w:t>
      </w:r>
      <w:r w:rsidR="00B948A1">
        <w:rPr>
          <w:rFonts w:ascii="Palatino Linotype" w:hAnsi="Palatino Linotype"/>
          <w:bCs/>
          <w:sz w:val="24"/>
          <w:szCs w:val="24"/>
        </w:rPr>
        <w:t>”, refi</w:t>
      </w:r>
      <w:r w:rsidR="00E10A6E">
        <w:rPr>
          <w:rFonts w:ascii="Palatino Linotype" w:hAnsi="Palatino Linotype"/>
          <w:bCs/>
          <w:sz w:val="24"/>
          <w:szCs w:val="24"/>
        </w:rPr>
        <w:t>ri</w:t>
      </w:r>
      <w:r w:rsidR="00B948A1">
        <w:rPr>
          <w:rFonts w:ascii="Palatino Linotype" w:hAnsi="Palatino Linotype"/>
          <w:bCs/>
          <w:sz w:val="24"/>
          <w:szCs w:val="24"/>
        </w:rPr>
        <w:t>e</w:t>
      </w:r>
      <w:r w:rsidR="00E10A6E">
        <w:rPr>
          <w:rFonts w:ascii="Palatino Linotype" w:hAnsi="Palatino Linotype"/>
          <w:bCs/>
          <w:sz w:val="24"/>
          <w:szCs w:val="24"/>
        </w:rPr>
        <w:t xml:space="preserve">ndo que si la información requerida era al Municipio de Atizapán Santa Cruz, Estado de México. Al respecto cabe señalar que dentro de los Municipios del Estado de México </w:t>
      </w:r>
      <w:r w:rsidR="00B948A1">
        <w:rPr>
          <w:rFonts w:ascii="Palatino Linotype" w:hAnsi="Palatino Linotype"/>
          <w:bCs/>
          <w:sz w:val="24"/>
          <w:szCs w:val="24"/>
        </w:rPr>
        <w:t>existe el Municipio y la Cabecera Municipal, como se muestra a continuación:</w:t>
      </w:r>
    </w:p>
    <w:p w14:paraId="4EDE075B" w14:textId="47920335" w:rsidR="00B948A1" w:rsidRDefault="000D276D" w:rsidP="000D276D">
      <w:pPr>
        <w:spacing w:after="0" w:line="360" w:lineRule="auto"/>
        <w:jc w:val="center"/>
        <w:rPr>
          <w:rFonts w:ascii="Palatino Linotype" w:hAnsi="Palatino Linotype"/>
          <w:bCs/>
          <w:sz w:val="24"/>
          <w:szCs w:val="24"/>
        </w:rPr>
      </w:pPr>
      <w:r>
        <w:rPr>
          <w:noProof/>
          <w:lang w:eastAsia="es-MX"/>
        </w:rPr>
        <mc:AlternateContent>
          <mc:Choice Requires="wps">
            <w:drawing>
              <wp:anchor distT="0" distB="0" distL="114300" distR="114300" simplePos="0" relativeHeight="251665408" behindDoc="0" locked="0" layoutInCell="1" allowOverlap="1" wp14:anchorId="4791F221" wp14:editId="3DDC63C1">
                <wp:simplePos x="0" y="0"/>
                <wp:positionH relativeFrom="column">
                  <wp:posOffset>159690</wp:posOffset>
                </wp:positionH>
                <wp:positionV relativeFrom="paragraph">
                  <wp:posOffset>2954020</wp:posOffset>
                </wp:positionV>
                <wp:extent cx="2136038" cy="87783"/>
                <wp:effectExtent l="0" t="0" r="17145" b="26670"/>
                <wp:wrapNone/>
                <wp:docPr id="13" name="Rectángulo 13"/>
                <wp:cNvGraphicFramePr/>
                <a:graphic xmlns:a="http://schemas.openxmlformats.org/drawingml/2006/main">
                  <a:graphicData uri="http://schemas.microsoft.com/office/word/2010/wordprocessingShape">
                    <wps:wsp>
                      <wps:cNvSpPr/>
                      <wps:spPr>
                        <a:xfrm>
                          <a:off x="0" y="0"/>
                          <a:ext cx="2136038" cy="87783"/>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6021AA" id="Rectángulo 13" o:spid="_x0000_s1026" style="position:absolute;margin-left:12.55pt;margin-top:232.6pt;width:168.2pt;height:6.9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" filled="f" strokecolor="red" strokeweight="1.5pt"/>
            </w:pict>
          </mc:Fallback>
        </mc:AlternateContent>
      </w:r>
      <w:r w:rsidR="00B948A1">
        <w:rPr>
          <w:noProof/>
          <w:lang w:eastAsia="es-MX"/>
        </w:rPr>
        <w:drawing>
          <wp:inline distT="0" distB="0" distL="0" distR="0" wp14:anchorId="6B8E82FB" wp14:editId="2AC4319A">
            <wp:extent cx="5502101" cy="3372307"/>
            <wp:effectExtent l="190500" t="190500" r="194310" b="19050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3062" t="4703" r="14516" b="8583"/>
                    <a:stretch/>
                  </pic:blipFill>
                  <pic:spPr bwMode="auto">
                    <a:xfrm>
                      <a:off x="0" y="0"/>
                      <a:ext cx="5532525" cy="339095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618E959" w14:textId="55DE45AF" w:rsidR="00D958DC" w:rsidRDefault="000D276D" w:rsidP="00D873C0">
      <w:pPr>
        <w:spacing w:after="0" w:line="360" w:lineRule="auto"/>
        <w:jc w:val="both"/>
        <w:rPr>
          <w:rFonts w:ascii="Palatino Linotype" w:hAnsi="Palatino Linotype"/>
          <w:bCs/>
          <w:sz w:val="24"/>
          <w:szCs w:val="24"/>
        </w:rPr>
      </w:pPr>
      <w:r>
        <w:rPr>
          <w:rFonts w:ascii="Palatino Linotype" w:hAnsi="Palatino Linotype"/>
          <w:bCs/>
          <w:sz w:val="24"/>
          <w:szCs w:val="24"/>
        </w:rPr>
        <w:t xml:space="preserve">De la imagen anterior, </w:t>
      </w:r>
      <w:r w:rsidR="004B6719">
        <w:rPr>
          <w:rFonts w:ascii="Palatino Linotype" w:hAnsi="Palatino Linotype"/>
          <w:bCs/>
          <w:sz w:val="24"/>
          <w:szCs w:val="24"/>
        </w:rPr>
        <w:t>se establece que la Cabecera Municipal del Municipio de Atizapán es Santa Cruz Atizapán, por lo que es improcedente la aclaración que requería el Titular de la Unidad de Transparencia.</w:t>
      </w:r>
    </w:p>
    <w:p w14:paraId="3A1BB25E" w14:textId="3752A7FE" w:rsidR="00F600E4" w:rsidRPr="00A8365E" w:rsidRDefault="004B6719" w:rsidP="00D873C0">
      <w:pPr>
        <w:spacing w:after="0" w:line="360" w:lineRule="auto"/>
        <w:jc w:val="both"/>
        <w:rPr>
          <w:rFonts w:ascii="Palatino Linotype" w:hAnsi="Palatino Linotype"/>
          <w:bCs/>
          <w:sz w:val="24"/>
          <w:szCs w:val="24"/>
        </w:rPr>
      </w:pPr>
      <w:r>
        <w:rPr>
          <w:rFonts w:ascii="Palatino Linotype" w:hAnsi="Palatino Linotype"/>
          <w:bCs/>
          <w:sz w:val="24"/>
          <w:szCs w:val="24"/>
        </w:rPr>
        <w:lastRenderedPageBreak/>
        <w:t xml:space="preserve">En este sentido, la obligación del Sujeto Obligado se establece </w:t>
      </w:r>
      <w:r w:rsidR="00D873C0">
        <w:rPr>
          <w:rFonts w:ascii="Palatino Linotype" w:hAnsi="Palatino Linotype"/>
          <w:bCs/>
          <w:sz w:val="24"/>
          <w:szCs w:val="24"/>
        </w:rPr>
        <w:t xml:space="preserve">en </w:t>
      </w:r>
      <w:r w:rsidR="00F600E4" w:rsidRPr="004B6719">
        <w:rPr>
          <w:rFonts w:ascii="Palatino Linotype" w:eastAsia="Times New Roman" w:hAnsi="Palatino Linotype"/>
          <w:sz w:val="24"/>
          <w:szCs w:val="24"/>
          <w:lang w:val="es-ES_tradnl" w:eastAsia="es-ES"/>
        </w:rPr>
        <w:t>la Ley de Transparencia y Acceso a la Información Pública del Estado de México y Municipios, cuyo objeto es establecer principio</w:t>
      </w:r>
      <w:r w:rsidR="00F600E4" w:rsidRPr="00486BDF">
        <w:rPr>
          <w:rFonts w:ascii="Palatino Linotype" w:eastAsia="Times New Roman" w:hAnsi="Palatino Linotype"/>
          <w:sz w:val="24"/>
          <w:szCs w:val="24"/>
          <w:lang w:val="es-ES_tradnl" w:eastAsia="es-ES"/>
        </w:rPr>
        <w:t>s, bases generales y procedimientos para tutelar y garantizar la transparencia y el derecho humano de acceso a la información pública en posesión de los Sujetos Obligados; en su artículo 176</w:t>
      </w:r>
      <w:r w:rsidR="00F600E4" w:rsidRPr="00486BDF">
        <w:rPr>
          <w:rFonts w:ascii="Palatino Linotype" w:eastAsia="Times New Roman" w:hAnsi="Palatino Linotype"/>
          <w:b/>
          <w:sz w:val="24"/>
          <w:szCs w:val="24"/>
          <w:lang w:val="es-ES_tradnl" w:eastAsia="es-ES"/>
        </w:rPr>
        <w:t xml:space="preserve"> </w:t>
      </w:r>
      <w:r w:rsidR="00F600E4" w:rsidRPr="00486BDF">
        <w:rPr>
          <w:rFonts w:ascii="Palatino Linotype" w:eastAsia="Times New Roman" w:hAnsi="Palatino Linotype"/>
          <w:sz w:val="24"/>
          <w:szCs w:val="24"/>
          <w:lang w:val="es-ES_tradnl" w:eastAsia="es-ES"/>
        </w:rPr>
        <w:t xml:space="preserve">establece que </w:t>
      </w:r>
      <w:r w:rsidR="00F600E4" w:rsidRPr="004B6719">
        <w:rPr>
          <w:rFonts w:ascii="Palatino Linotype" w:eastAsia="Times New Roman" w:hAnsi="Palatino Linotype"/>
          <w:sz w:val="24"/>
          <w:szCs w:val="24"/>
          <w:lang w:val="es-ES_tradnl" w:eastAsia="es-ES"/>
        </w:rPr>
        <w:t>el recurso de revisión es la garantía secundaria mediante la cual se pretende reparar cualquier posible afectación al derecho de acceso a la información pública</w:t>
      </w:r>
      <w:r w:rsidR="00F600E4" w:rsidRPr="004B6719">
        <w:rPr>
          <w:rFonts w:ascii="Palatino Linotype" w:eastAsia="Times New Roman" w:hAnsi="Palatino Linotype"/>
          <w:bCs/>
          <w:sz w:val="24"/>
          <w:szCs w:val="24"/>
          <w:lang w:val="es-ES_tradnl" w:eastAsia="es-ES"/>
        </w:rPr>
        <w:t>, s</w:t>
      </w:r>
      <w:r w:rsidR="00F600E4" w:rsidRPr="004B6719">
        <w:rPr>
          <w:rFonts w:ascii="Palatino Linotype" w:eastAsia="Times New Roman" w:hAnsi="Palatino Linotype"/>
          <w:sz w:val="24"/>
          <w:szCs w:val="24"/>
          <w:lang w:val="es-ES_tradnl" w:eastAsia="es-ES"/>
        </w:rPr>
        <w:t>iendo</w:t>
      </w:r>
      <w:r w:rsidR="00F600E4" w:rsidRPr="00486BDF">
        <w:rPr>
          <w:rFonts w:ascii="Palatino Linotype" w:eastAsia="Times New Roman" w:hAnsi="Palatino Linotype"/>
          <w:sz w:val="24"/>
          <w:szCs w:val="24"/>
          <w:lang w:val="es-ES_tradnl" w:eastAsia="es-ES"/>
        </w:rPr>
        <w:t xml:space="preserve"> </w:t>
      </w:r>
      <w:r w:rsidR="00F600E4">
        <w:rPr>
          <w:rFonts w:ascii="Palatino Linotype" w:eastAsia="Times New Roman" w:hAnsi="Palatino Linotype"/>
          <w:sz w:val="24"/>
          <w:szCs w:val="24"/>
          <w:lang w:val="es-ES_tradnl" w:eastAsia="es-ES"/>
        </w:rPr>
        <w:t>e</w:t>
      </w:r>
      <w:r w:rsidR="00F600E4" w:rsidRPr="00486BDF">
        <w:rPr>
          <w:rFonts w:ascii="Palatino Linotype" w:eastAsia="Times New Roman" w:hAnsi="Palatino Linotype"/>
          <w:sz w:val="24"/>
          <w:szCs w:val="24"/>
          <w:lang w:val="es-ES_tradnl" w:eastAsia="es-ES"/>
        </w:rPr>
        <w:t xml:space="preserve">ste el medio a través del cual, este Órgano Garante después de realizar el análisis al procedimiento de acceso a la información, podrá determinar la posible afectación y de ser el caso ordenar la reparación a la violación del derecho en cuestión. </w:t>
      </w:r>
    </w:p>
    <w:p w14:paraId="79037B7C" w14:textId="77777777" w:rsidR="004B6719" w:rsidRDefault="004B6719" w:rsidP="004B6719">
      <w:pPr>
        <w:tabs>
          <w:tab w:val="left" w:pos="426"/>
        </w:tabs>
        <w:spacing w:before="240" w:after="240" w:line="360" w:lineRule="auto"/>
        <w:contextualSpacing/>
        <w:jc w:val="both"/>
        <w:rPr>
          <w:rFonts w:ascii="Palatino Linotype" w:eastAsia="MS Mincho" w:hAnsi="Palatino Linotype" w:cs="Arial"/>
          <w:sz w:val="24"/>
          <w:szCs w:val="24"/>
          <w:lang w:val="es-ES_tradnl" w:eastAsia="es-ES"/>
        </w:rPr>
      </w:pPr>
    </w:p>
    <w:p w14:paraId="5099135F" w14:textId="6230EC28" w:rsidR="00F600E4" w:rsidRPr="00486BDF" w:rsidRDefault="00F600E4" w:rsidP="004B6719">
      <w:pPr>
        <w:tabs>
          <w:tab w:val="left" w:pos="426"/>
        </w:tabs>
        <w:spacing w:before="240" w:after="240" w:line="360" w:lineRule="auto"/>
        <w:contextualSpacing/>
        <w:jc w:val="both"/>
        <w:rPr>
          <w:rFonts w:ascii="Palatino Linotype" w:eastAsia="Calibri" w:hAnsi="Palatino Linotype" w:cs="Times New Roman"/>
          <w:sz w:val="24"/>
          <w:szCs w:val="24"/>
          <w:lang w:val="es-ES_tradnl" w:eastAsia="es-ES"/>
        </w:rPr>
      </w:pPr>
      <w:r w:rsidRPr="00486BDF">
        <w:rPr>
          <w:rFonts w:ascii="Palatino Linotype" w:eastAsia="Calibri" w:hAnsi="Palatino Linotype" w:cs="Times New Roman"/>
          <w:sz w:val="24"/>
          <w:szCs w:val="24"/>
          <w:lang w:val="es-ES_tradnl" w:eastAsia="es-ES"/>
        </w:rPr>
        <w:t xml:space="preserve">Establecido lo anterior, resulta evidente que las razones o motivos de inconformidad hechos valer en el recurso de revisión resultan </w:t>
      </w:r>
      <w:r w:rsidRPr="00486BDF">
        <w:rPr>
          <w:rFonts w:ascii="Palatino Linotype" w:eastAsia="Calibri" w:hAnsi="Palatino Linotype" w:cs="Times New Roman"/>
          <w:b/>
          <w:sz w:val="24"/>
          <w:szCs w:val="24"/>
          <w:lang w:val="es-ES_tradnl" w:eastAsia="es-ES"/>
        </w:rPr>
        <w:t>fundadas</w:t>
      </w:r>
      <w:r w:rsidRPr="00486BDF">
        <w:rPr>
          <w:rFonts w:ascii="Palatino Linotype" w:eastAsia="Calibri" w:hAnsi="Palatino Linotype" w:cs="Times New Roman"/>
          <w:sz w:val="24"/>
          <w:szCs w:val="24"/>
          <w:lang w:val="es-ES_tradnl" w:eastAsia="es-ES"/>
        </w:rPr>
        <w:t xml:space="preserve">, debido a que el </w:t>
      </w:r>
      <w:r w:rsidR="004B6719" w:rsidRPr="004B6719">
        <w:rPr>
          <w:rFonts w:ascii="Palatino Linotype" w:eastAsia="Calibri" w:hAnsi="Palatino Linotype" w:cs="Times New Roman"/>
          <w:sz w:val="24"/>
          <w:szCs w:val="24"/>
          <w:lang w:val="es-ES_tradnl" w:eastAsia="es-ES"/>
        </w:rPr>
        <w:t>Sujeto Obligado</w:t>
      </w:r>
      <w:r w:rsidR="004B6719" w:rsidRPr="00486BDF">
        <w:rPr>
          <w:rFonts w:ascii="Palatino Linotype" w:eastAsia="Calibri" w:hAnsi="Palatino Linotype" w:cs="Times New Roman"/>
          <w:sz w:val="24"/>
          <w:szCs w:val="24"/>
          <w:lang w:val="es-ES_tradnl" w:eastAsia="es-ES"/>
        </w:rPr>
        <w:t xml:space="preserve"> </w:t>
      </w:r>
      <w:r w:rsidR="007D1739">
        <w:rPr>
          <w:rFonts w:ascii="Palatino Linotype" w:eastAsia="Calibri" w:hAnsi="Palatino Linotype" w:cs="Times New Roman"/>
          <w:sz w:val="24"/>
          <w:szCs w:val="24"/>
          <w:lang w:val="es-ES_tradnl" w:eastAsia="es-ES"/>
        </w:rPr>
        <w:t>no proporcionó una respuesta que satisficiera el requerimientos solicitado</w:t>
      </w:r>
      <w:r w:rsidRPr="00486BDF">
        <w:rPr>
          <w:rFonts w:ascii="Palatino Linotype" w:eastAsia="Calibri" w:hAnsi="Palatino Linotype" w:cs="Times New Roman"/>
          <w:sz w:val="24"/>
          <w:szCs w:val="24"/>
          <w:lang w:val="es-ES_tradnl" w:eastAsia="es-ES"/>
        </w:rPr>
        <w:t xml:space="preserve">, negando así el acceso a cualquier tipo de información sin ofrecer mayores explicaciones, es decir, no fundó ni motivó su omisión, su falta de actuación en relación a sus obligaciones de garantizar el acceso a la información pública. </w:t>
      </w:r>
    </w:p>
    <w:p w14:paraId="1B88F8EF" w14:textId="77777777" w:rsidR="00F600E4" w:rsidRPr="00486BDF" w:rsidRDefault="00F600E4" w:rsidP="00F600E4">
      <w:pPr>
        <w:tabs>
          <w:tab w:val="left" w:pos="426"/>
        </w:tabs>
        <w:spacing w:before="240" w:after="240" w:line="360" w:lineRule="auto"/>
        <w:contextualSpacing/>
        <w:jc w:val="both"/>
        <w:rPr>
          <w:rFonts w:ascii="Palatino Linotype" w:eastAsia="Calibri" w:hAnsi="Palatino Linotype" w:cs="Times New Roman"/>
          <w:sz w:val="24"/>
          <w:szCs w:val="24"/>
          <w:lang w:val="es-ES_tradnl" w:eastAsia="es-ES"/>
        </w:rPr>
      </w:pPr>
    </w:p>
    <w:p w14:paraId="70C29EFF" w14:textId="3D079801" w:rsidR="00F600E4" w:rsidRPr="00486BDF" w:rsidRDefault="00F600E4" w:rsidP="007D1739">
      <w:pPr>
        <w:tabs>
          <w:tab w:val="left" w:pos="426"/>
        </w:tabs>
        <w:spacing w:before="240" w:after="240" w:line="360" w:lineRule="auto"/>
        <w:contextualSpacing/>
        <w:jc w:val="both"/>
        <w:rPr>
          <w:rFonts w:ascii="Palatino Linotype" w:eastAsia="Calibri" w:hAnsi="Palatino Linotype" w:cs="Times New Roman"/>
          <w:sz w:val="24"/>
          <w:szCs w:val="24"/>
          <w:lang w:val="es-ES_tradnl" w:eastAsia="es-ES"/>
        </w:rPr>
      </w:pPr>
      <w:r w:rsidRPr="00486BDF">
        <w:rPr>
          <w:rFonts w:ascii="Palatino Linotype" w:eastAsia="Calibri" w:hAnsi="Palatino Linotype" w:cs="Times New Roman"/>
          <w:sz w:val="24"/>
          <w:szCs w:val="24"/>
          <w:lang w:val="es-ES_tradnl" w:eastAsia="es-ES"/>
        </w:rPr>
        <w:t xml:space="preserve">Dicha </w:t>
      </w:r>
      <w:r w:rsidR="007D1739">
        <w:rPr>
          <w:rFonts w:ascii="Palatino Linotype" w:eastAsia="Calibri" w:hAnsi="Palatino Linotype" w:cs="Times New Roman"/>
          <w:sz w:val="24"/>
          <w:szCs w:val="24"/>
          <w:lang w:val="es-ES_tradnl" w:eastAsia="es-ES"/>
        </w:rPr>
        <w:t>negativa</w:t>
      </w:r>
      <w:r w:rsidRPr="00486BDF">
        <w:rPr>
          <w:rFonts w:ascii="Palatino Linotype" w:eastAsia="Calibri" w:hAnsi="Palatino Linotype" w:cs="Times New Roman"/>
          <w:sz w:val="24"/>
          <w:szCs w:val="24"/>
          <w:lang w:val="es-ES_tradnl" w:eastAsia="es-ES"/>
        </w:rPr>
        <w:t xml:space="preserve"> implica un incumplimiento de las obligaciones que la Ley de Transparencia y Acceso a la Información del Estado de México y Municipios le impone al </w:t>
      </w:r>
      <w:r w:rsidRPr="007D1739">
        <w:rPr>
          <w:rFonts w:ascii="Palatino Linotype" w:eastAsia="Calibri" w:hAnsi="Palatino Linotype" w:cs="Times New Roman"/>
          <w:sz w:val="24"/>
          <w:szCs w:val="24"/>
          <w:lang w:val="es-ES_tradnl" w:eastAsia="es-ES"/>
        </w:rPr>
        <w:t xml:space="preserve">Ayuntamiento de </w:t>
      </w:r>
      <w:r w:rsidR="007D1739" w:rsidRPr="007D1739">
        <w:rPr>
          <w:rFonts w:ascii="Palatino Linotype" w:eastAsia="Calibri" w:hAnsi="Palatino Linotype" w:cs="Times New Roman"/>
          <w:sz w:val="24"/>
          <w:szCs w:val="24"/>
          <w:lang w:val="es-ES_tradnl" w:eastAsia="es-ES"/>
        </w:rPr>
        <w:t>A</w:t>
      </w:r>
      <w:r w:rsidR="007D1739">
        <w:rPr>
          <w:rFonts w:ascii="Palatino Linotype" w:eastAsia="Calibri" w:hAnsi="Palatino Linotype" w:cs="Times New Roman"/>
          <w:sz w:val="24"/>
          <w:szCs w:val="24"/>
          <w:lang w:val="es-ES_tradnl" w:eastAsia="es-ES"/>
        </w:rPr>
        <w:t>tizapá</w:t>
      </w:r>
      <w:r w:rsidR="007D1739" w:rsidRPr="007D1739">
        <w:rPr>
          <w:rFonts w:ascii="Palatino Linotype" w:eastAsia="Calibri" w:hAnsi="Palatino Linotype" w:cs="Times New Roman"/>
          <w:sz w:val="24"/>
          <w:szCs w:val="24"/>
          <w:lang w:val="es-ES_tradnl" w:eastAsia="es-ES"/>
        </w:rPr>
        <w:t>n</w:t>
      </w:r>
      <w:r w:rsidRPr="00486BDF">
        <w:rPr>
          <w:rFonts w:ascii="Palatino Linotype" w:eastAsia="Calibri" w:hAnsi="Palatino Linotype" w:cs="Times New Roman"/>
          <w:b/>
          <w:sz w:val="24"/>
          <w:szCs w:val="24"/>
          <w:lang w:val="es-ES_tradnl" w:eastAsia="es-ES"/>
        </w:rPr>
        <w:t xml:space="preserve"> </w:t>
      </w:r>
      <w:r w:rsidRPr="00486BDF">
        <w:rPr>
          <w:rFonts w:ascii="Palatino Linotype" w:eastAsia="Calibri" w:hAnsi="Palatino Linotype" w:cs="Times New Roman"/>
          <w:sz w:val="24"/>
          <w:szCs w:val="24"/>
          <w:lang w:val="es-ES_tradnl" w:eastAsia="es-ES"/>
        </w:rPr>
        <w:t xml:space="preserve">como </w:t>
      </w:r>
      <w:r w:rsidR="007D1739" w:rsidRPr="007D1739">
        <w:rPr>
          <w:rFonts w:ascii="Palatino Linotype" w:eastAsia="Calibri" w:hAnsi="Palatino Linotype" w:cs="Times New Roman"/>
          <w:bCs/>
          <w:sz w:val="24"/>
          <w:szCs w:val="24"/>
          <w:lang w:val="es-ES_tradnl" w:eastAsia="es-ES"/>
        </w:rPr>
        <w:t>Sujeto Obligado</w:t>
      </w:r>
      <w:r w:rsidRPr="00486BDF">
        <w:rPr>
          <w:rFonts w:ascii="Palatino Linotype" w:eastAsia="Calibri" w:hAnsi="Palatino Linotype" w:cs="Times New Roman"/>
          <w:sz w:val="24"/>
          <w:szCs w:val="24"/>
          <w:lang w:val="es-ES_tradnl" w:eastAsia="es-ES"/>
        </w:rPr>
        <w:t>, de conformidad con el artículo 23 fracción IV, que a la letra dice:</w:t>
      </w:r>
    </w:p>
    <w:p w14:paraId="755A82FC" w14:textId="77777777" w:rsidR="00F600E4" w:rsidRPr="00486BDF" w:rsidRDefault="00F600E4" w:rsidP="00F600E4">
      <w:pPr>
        <w:spacing w:after="0" w:line="240" w:lineRule="auto"/>
        <w:ind w:left="720"/>
        <w:contextualSpacing/>
        <w:rPr>
          <w:rFonts w:ascii="Palatino Linotype" w:eastAsia="Calibri" w:hAnsi="Palatino Linotype" w:cs="Times New Roman"/>
          <w:sz w:val="24"/>
          <w:szCs w:val="24"/>
          <w:lang w:val="es-ES_tradnl" w:eastAsia="es-ES"/>
        </w:rPr>
      </w:pPr>
    </w:p>
    <w:p w14:paraId="2C60028C" w14:textId="77777777" w:rsidR="00F600E4" w:rsidRPr="00E4235F" w:rsidRDefault="00F600E4" w:rsidP="00F600E4">
      <w:pPr>
        <w:spacing w:before="240" w:after="240" w:line="276" w:lineRule="auto"/>
        <w:ind w:left="567" w:right="567"/>
        <w:contextualSpacing/>
        <w:rPr>
          <w:rFonts w:ascii="Palatino Linotype" w:eastAsia="Calibri" w:hAnsi="Palatino Linotype" w:cs="Times New Roman"/>
          <w:b/>
          <w:bCs/>
          <w:i/>
          <w:lang w:val="es-ES_tradnl" w:eastAsia="es-ES"/>
        </w:rPr>
      </w:pPr>
      <w:r w:rsidRPr="00E4235F">
        <w:rPr>
          <w:rFonts w:ascii="Palatino Linotype" w:eastAsia="Calibri" w:hAnsi="Palatino Linotype" w:cs="Times New Roman"/>
          <w:b/>
          <w:bCs/>
          <w:i/>
          <w:lang w:val="es-ES_tradnl" w:eastAsia="es-ES"/>
        </w:rPr>
        <w:t>“Artículo 23.</w:t>
      </w:r>
      <w:r w:rsidRPr="00E4235F">
        <w:rPr>
          <w:rFonts w:ascii="Palatino Linotype" w:eastAsia="Calibri" w:hAnsi="Palatino Linotype" w:cs="Times New Roman"/>
          <w:bCs/>
          <w:i/>
          <w:lang w:val="es-ES_tradnl" w:eastAsia="es-ES"/>
        </w:rPr>
        <w:t xml:space="preserve"> </w:t>
      </w:r>
      <w:r w:rsidRPr="00E4235F">
        <w:rPr>
          <w:rFonts w:ascii="Palatino Linotype" w:eastAsia="Calibri" w:hAnsi="Palatino Linotype" w:cs="Times New Roman"/>
          <w:b/>
          <w:bCs/>
          <w:i/>
          <w:lang w:val="es-ES_tradnl" w:eastAsia="es-ES"/>
        </w:rPr>
        <w:t xml:space="preserve">Son </w:t>
      </w:r>
      <w:r w:rsidRPr="00E4235F">
        <w:rPr>
          <w:rFonts w:ascii="Palatino Linotype" w:eastAsia="Calibri" w:hAnsi="Palatino Linotype" w:cs="Times New Roman"/>
          <w:b/>
          <w:bCs/>
          <w:i/>
          <w:u w:val="single"/>
          <w:lang w:val="es-ES_tradnl" w:eastAsia="es-ES"/>
        </w:rPr>
        <w:t>sujetos obligados a transparentar y permitir el acceso a su información</w:t>
      </w:r>
      <w:r w:rsidRPr="00E4235F">
        <w:rPr>
          <w:rFonts w:ascii="Palatino Linotype" w:eastAsia="Calibri" w:hAnsi="Palatino Linotype" w:cs="Times New Roman"/>
          <w:b/>
          <w:bCs/>
          <w:i/>
          <w:lang w:val="es-ES_tradnl" w:eastAsia="es-ES"/>
        </w:rPr>
        <w:t xml:space="preserve"> y proteger los datos personales que obren en su poder: </w:t>
      </w:r>
    </w:p>
    <w:p w14:paraId="7A4E7837" w14:textId="77777777" w:rsidR="00F600E4" w:rsidRPr="00E4235F" w:rsidRDefault="00F600E4" w:rsidP="00F600E4">
      <w:pPr>
        <w:spacing w:before="240" w:after="240" w:line="276" w:lineRule="auto"/>
        <w:ind w:left="567" w:right="567"/>
        <w:contextualSpacing/>
        <w:rPr>
          <w:rFonts w:ascii="Palatino Linotype" w:eastAsia="Calibri" w:hAnsi="Palatino Linotype" w:cs="Times New Roman"/>
          <w:bCs/>
          <w:i/>
          <w:lang w:val="es-ES_tradnl" w:eastAsia="es-ES"/>
        </w:rPr>
      </w:pPr>
      <w:r>
        <w:rPr>
          <w:rFonts w:ascii="Palatino Linotype" w:eastAsia="Calibri" w:hAnsi="Palatino Linotype" w:cs="Times New Roman"/>
          <w:bCs/>
          <w:i/>
          <w:lang w:val="es-ES_tradnl" w:eastAsia="es-ES"/>
        </w:rPr>
        <w:lastRenderedPageBreak/>
        <w:t>(…)</w:t>
      </w:r>
    </w:p>
    <w:p w14:paraId="2F66E180" w14:textId="77777777" w:rsidR="00F600E4" w:rsidRDefault="00F600E4" w:rsidP="00F600E4">
      <w:pPr>
        <w:spacing w:before="240" w:after="240" w:line="276" w:lineRule="auto"/>
        <w:ind w:left="567" w:right="567"/>
        <w:contextualSpacing/>
        <w:rPr>
          <w:rFonts w:ascii="Palatino Linotype" w:eastAsia="Calibri" w:hAnsi="Palatino Linotype" w:cs="Times New Roman"/>
          <w:bCs/>
          <w:i/>
          <w:lang w:val="es-ES_tradnl" w:eastAsia="es-ES"/>
        </w:rPr>
      </w:pPr>
      <w:r w:rsidRPr="00E4235F">
        <w:rPr>
          <w:rFonts w:ascii="Palatino Linotype" w:eastAsia="Calibri" w:hAnsi="Palatino Linotype" w:cs="Times New Roman"/>
          <w:b/>
          <w:i/>
          <w:lang w:val="es-ES_tradnl" w:eastAsia="es-ES"/>
        </w:rPr>
        <w:t>IV.</w:t>
      </w:r>
      <w:r w:rsidRPr="00E4235F">
        <w:rPr>
          <w:rFonts w:ascii="Palatino Linotype" w:eastAsia="Calibri" w:hAnsi="Palatino Linotype" w:cs="Times New Roman"/>
          <w:bCs/>
          <w:i/>
          <w:lang w:val="es-ES_tradnl" w:eastAsia="es-ES"/>
        </w:rPr>
        <w:t xml:space="preserve"> </w:t>
      </w:r>
      <w:r w:rsidRPr="00E4235F">
        <w:rPr>
          <w:rFonts w:ascii="Palatino Linotype" w:eastAsia="Calibri" w:hAnsi="Palatino Linotype" w:cs="Times New Roman"/>
          <w:b/>
          <w:i/>
          <w:lang w:val="es-ES_tradnl" w:eastAsia="es-ES"/>
        </w:rPr>
        <w:t>Los ayuntamientos</w:t>
      </w:r>
      <w:r w:rsidRPr="00E4235F">
        <w:rPr>
          <w:rFonts w:ascii="Palatino Linotype" w:eastAsia="Calibri" w:hAnsi="Palatino Linotype" w:cs="Times New Roman"/>
          <w:bCs/>
          <w:i/>
          <w:lang w:val="es-ES_tradnl" w:eastAsia="es-ES"/>
        </w:rPr>
        <w:t xml:space="preserve"> y las dependencias, organismos, órganos y entidades de la administración municipal;</w:t>
      </w:r>
    </w:p>
    <w:p w14:paraId="18E5A75F" w14:textId="77777777" w:rsidR="00F600E4" w:rsidRDefault="00F600E4" w:rsidP="00F600E4">
      <w:pPr>
        <w:spacing w:before="240" w:after="240" w:line="276" w:lineRule="auto"/>
        <w:ind w:left="567" w:right="567"/>
        <w:contextualSpacing/>
        <w:rPr>
          <w:rFonts w:ascii="Palatino Linotype" w:eastAsia="Calibri" w:hAnsi="Palatino Linotype" w:cs="Times New Roman"/>
          <w:bCs/>
          <w:iCs/>
          <w:lang w:val="es-ES_tradnl" w:eastAsia="es-ES"/>
        </w:rPr>
      </w:pPr>
      <w:r>
        <w:rPr>
          <w:rFonts w:ascii="Palatino Linotype" w:eastAsia="Calibri" w:hAnsi="Palatino Linotype" w:cs="Times New Roman"/>
          <w:bCs/>
          <w:i/>
          <w:lang w:val="es-ES_tradnl" w:eastAsia="es-ES"/>
        </w:rPr>
        <w:t>(…)</w:t>
      </w:r>
      <w:r w:rsidRPr="00E4235F">
        <w:rPr>
          <w:rFonts w:ascii="Palatino Linotype" w:eastAsia="Calibri" w:hAnsi="Palatino Linotype" w:cs="Times New Roman"/>
          <w:bCs/>
          <w:i/>
          <w:lang w:val="es-ES_tradnl" w:eastAsia="es-ES"/>
        </w:rPr>
        <w:t>”</w:t>
      </w:r>
    </w:p>
    <w:p w14:paraId="3D52A002" w14:textId="77777777" w:rsidR="00F600E4" w:rsidRPr="0044737D" w:rsidRDefault="00F600E4" w:rsidP="00F600E4">
      <w:pPr>
        <w:spacing w:before="240" w:after="240" w:line="276" w:lineRule="auto"/>
        <w:ind w:left="567" w:right="567"/>
        <w:contextualSpacing/>
        <w:rPr>
          <w:rFonts w:ascii="Palatino Linotype" w:eastAsia="Calibri" w:hAnsi="Palatino Linotype" w:cs="Times New Roman"/>
          <w:bCs/>
          <w:iCs/>
          <w:lang w:val="es-ES_tradnl" w:eastAsia="es-ES"/>
        </w:rPr>
      </w:pPr>
      <w:r>
        <w:rPr>
          <w:rFonts w:ascii="Palatino Linotype" w:eastAsia="Calibri" w:hAnsi="Palatino Linotype" w:cs="Times New Roman"/>
          <w:bCs/>
          <w:iCs/>
          <w:lang w:val="es-ES_tradnl" w:eastAsia="es-ES"/>
        </w:rPr>
        <w:t>(Énfasis añadido)</w:t>
      </w:r>
    </w:p>
    <w:p w14:paraId="25D144EB" w14:textId="77777777" w:rsidR="00F600E4" w:rsidRPr="00486BDF" w:rsidRDefault="00F600E4" w:rsidP="00F600E4">
      <w:pPr>
        <w:spacing w:after="0" w:line="240" w:lineRule="auto"/>
        <w:ind w:left="720"/>
        <w:contextualSpacing/>
        <w:rPr>
          <w:rFonts w:ascii="Palatino Linotype" w:eastAsia="Calibri" w:hAnsi="Palatino Linotype" w:cs="Times New Roman"/>
          <w:sz w:val="24"/>
          <w:szCs w:val="24"/>
          <w:lang w:val="es-ES_tradnl" w:eastAsia="es-ES"/>
        </w:rPr>
      </w:pPr>
    </w:p>
    <w:p w14:paraId="684DBD31" w14:textId="1E7AE366" w:rsidR="00F600E4" w:rsidRPr="00486BDF" w:rsidRDefault="00F600E4" w:rsidP="007D1739">
      <w:pPr>
        <w:tabs>
          <w:tab w:val="left" w:pos="426"/>
        </w:tabs>
        <w:spacing w:before="240" w:after="240" w:line="360" w:lineRule="auto"/>
        <w:contextualSpacing/>
        <w:jc w:val="both"/>
        <w:rPr>
          <w:rFonts w:ascii="Palatino Linotype" w:eastAsia="Calibri" w:hAnsi="Palatino Linotype" w:cs="Times New Roman"/>
          <w:sz w:val="24"/>
          <w:szCs w:val="24"/>
          <w:lang w:val="es-ES_tradnl" w:eastAsia="es-ES"/>
        </w:rPr>
      </w:pPr>
      <w:r w:rsidRPr="00486BDF">
        <w:rPr>
          <w:rFonts w:ascii="Palatino Linotype" w:eastAsia="Calibri" w:hAnsi="Palatino Linotype" w:cs="Times New Roman"/>
          <w:sz w:val="24"/>
          <w:szCs w:val="24"/>
          <w:lang w:val="es-ES_tradnl" w:eastAsia="es-ES"/>
        </w:rPr>
        <w:t>Así</w:t>
      </w:r>
      <w:r>
        <w:rPr>
          <w:rFonts w:ascii="Palatino Linotype" w:eastAsia="Calibri" w:hAnsi="Palatino Linotype" w:cs="Times New Roman"/>
          <w:sz w:val="24"/>
          <w:szCs w:val="24"/>
          <w:lang w:val="es-ES_tradnl" w:eastAsia="es-ES"/>
        </w:rPr>
        <w:t>,</w:t>
      </w:r>
      <w:r w:rsidRPr="00486BDF">
        <w:rPr>
          <w:rFonts w:ascii="Palatino Linotype" w:eastAsia="Calibri" w:hAnsi="Palatino Linotype" w:cs="Times New Roman"/>
          <w:sz w:val="24"/>
          <w:szCs w:val="24"/>
          <w:lang w:val="es-ES_tradnl" w:eastAsia="es-ES"/>
        </w:rPr>
        <w:t xml:space="preserve"> en calidad de </w:t>
      </w:r>
      <w:r w:rsidR="007D1739" w:rsidRPr="007D1739">
        <w:rPr>
          <w:rFonts w:ascii="Palatino Linotype" w:eastAsia="Calibri" w:hAnsi="Palatino Linotype" w:cs="Times New Roman"/>
          <w:sz w:val="24"/>
          <w:szCs w:val="24"/>
          <w:lang w:val="es-ES_tradnl" w:eastAsia="es-ES"/>
        </w:rPr>
        <w:t>Sujeto Obligado</w:t>
      </w:r>
      <w:r w:rsidRPr="00486BDF">
        <w:rPr>
          <w:rFonts w:ascii="Palatino Linotype" w:eastAsia="Calibri" w:hAnsi="Palatino Linotype" w:cs="Times New Roman"/>
          <w:sz w:val="24"/>
          <w:szCs w:val="24"/>
          <w:lang w:val="es-ES_tradnl" w:eastAsia="es-ES"/>
        </w:rPr>
        <w:t xml:space="preserve">, el </w:t>
      </w:r>
      <w:r w:rsidRPr="007D1739">
        <w:rPr>
          <w:rFonts w:ascii="Palatino Linotype" w:eastAsia="Calibri" w:hAnsi="Palatino Linotype" w:cs="Times New Roman"/>
          <w:sz w:val="24"/>
          <w:szCs w:val="24"/>
          <w:lang w:val="es-ES_tradnl" w:eastAsia="es-ES"/>
        </w:rPr>
        <w:t xml:space="preserve">Ayuntamiento de </w:t>
      </w:r>
      <w:r w:rsidR="007D1739" w:rsidRPr="007D1739">
        <w:rPr>
          <w:rFonts w:ascii="Palatino Linotype" w:eastAsia="Calibri" w:hAnsi="Palatino Linotype" w:cs="Times New Roman"/>
          <w:sz w:val="24"/>
          <w:szCs w:val="24"/>
          <w:lang w:val="es-ES_tradnl" w:eastAsia="es-ES"/>
        </w:rPr>
        <w:t>Atizapán</w:t>
      </w:r>
      <w:r w:rsidRPr="00486BDF">
        <w:rPr>
          <w:rFonts w:ascii="Palatino Linotype" w:eastAsia="Calibri" w:hAnsi="Palatino Linotype" w:cs="Times New Roman"/>
          <w:b/>
          <w:sz w:val="24"/>
          <w:szCs w:val="24"/>
          <w:lang w:val="es-ES_tradnl" w:eastAsia="es-ES"/>
        </w:rPr>
        <w:t xml:space="preserve"> </w:t>
      </w:r>
      <w:r w:rsidRPr="00486BDF">
        <w:rPr>
          <w:rFonts w:ascii="Palatino Linotype" w:eastAsia="Calibri" w:hAnsi="Palatino Linotype" w:cs="Times New Roman"/>
          <w:sz w:val="24"/>
          <w:szCs w:val="24"/>
          <w:lang w:val="es-ES_tradnl" w:eastAsia="es-ES"/>
        </w:rPr>
        <w:t xml:space="preserve">se encuentra constreñido a respetar y cumplir el Derecho Humano de Acceso a la Información Pública consignado de igual forma como ya se refirió por la Constitución Política de los Estados Unidos Mexicanos y la Constitución Política del Estado Libre y Soberano de México respectivamente: </w:t>
      </w:r>
    </w:p>
    <w:p w14:paraId="095FE821" w14:textId="77777777" w:rsidR="00F600E4" w:rsidRPr="00486BDF" w:rsidRDefault="00F600E4" w:rsidP="00F600E4">
      <w:pPr>
        <w:spacing w:before="240" w:after="240" w:line="360" w:lineRule="auto"/>
        <w:contextualSpacing/>
        <w:jc w:val="both"/>
        <w:rPr>
          <w:rFonts w:ascii="Palatino Linotype" w:eastAsia="Calibri" w:hAnsi="Palatino Linotype" w:cs="Times New Roman"/>
          <w:sz w:val="24"/>
          <w:szCs w:val="24"/>
          <w:lang w:val="es-ES_tradnl" w:eastAsia="es-ES"/>
        </w:rPr>
      </w:pPr>
    </w:p>
    <w:p w14:paraId="3F58FFF9" w14:textId="77777777" w:rsidR="00F600E4" w:rsidRPr="00486BDF" w:rsidRDefault="00F600E4" w:rsidP="00F600E4">
      <w:pPr>
        <w:spacing w:after="0" w:line="276" w:lineRule="auto"/>
        <w:ind w:left="567" w:right="567"/>
        <w:jc w:val="center"/>
        <w:rPr>
          <w:rFonts w:ascii="Palatino Linotype" w:eastAsiaTheme="minorEastAsia" w:hAnsi="Palatino Linotype" w:cs="Arial"/>
          <w:b/>
          <w:bCs/>
          <w:i/>
          <w:lang w:val="es-ES_tradnl" w:eastAsia="es-ES"/>
        </w:rPr>
      </w:pPr>
      <w:r w:rsidRPr="00486BDF">
        <w:rPr>
          <w:rFonts w:ascii="Palatino Linotype" w:eastAsiaTheme="minorEastAsia" w:hAnsi="Palatino Linotype" w:cs="Arial"/>
          <w:b/>
          <w:bCs/>
          <w:i/>
          <w:lang w:val="es-ES_tradnl" w:eastAsia="es-ES"/>
        </w:rPr>
        <w:t>Constitución Política de los Estados Unidos Mexicanos</w:t>
      </w:r>
    </w:p>
    <w:p w14:paraId="5460BFF5" w14:textId="77777777" w:rsidR="00F600E4" w:rsidRPr="00486BDF" w:rsidRDefault="00F600E4" w:rsidP="00F600E4">
      <w:pPr>
        <w:spacing w:after="0" w:line="276" w:lineRule="auto"/>
        <w:ind w:left="567" w:right="567"/>
        <w:jc w:val="both"/>
        <w:rPr>
          <w:rFonts w:ascii="Palatino Linotype" w:eastAsiaTheme="minorEastAsia" w:hAnsi="Palatino Linotype" w:cs="Arial"/>
          <w:bCs/>
          <w:i/>
          <w:lang w:val="es-ES_tradnl" w:eastAsia="es-ES"/>
        </w:rPr>
      </w:pPr>
    </w:p>
    <w:p w14:paraId="1EB1054E" w14:textId="77777777" w:rsidR="00F600E4" w:rsidRPr="00486BDF" w:rsidRDefault="00F600E4" w:rsidP="00F600E4">
      <w:pPr>
        <w:spacing w:after="0" w:line="276" w:lineRule="auto"/>
        <w:ind w:left="567" w:right="567"/>
        <w:jc w:val="both"/>
        <w:rPr>
          <w:rFonts w:ascii="Palatino Linotype" w:eastAsiaTheme="minorEastAsia" w:hAnsi="Palatino Linotype" w:cs="Arial"/>
          <w:b/>
          <w:bCs/>
          <w:i/>
          <w:lang w:val="es-ES_tradnl" w:eastAsia="es-ES"/>
        </w:rPr>
      </w:pPr>
      <w:r w:rsidRPr="00486BDF">
        <w:rPr>
          <w:rFonts w:ascii="Palatino Linotype" w:eastAsiaTheme="minorEastAsia" w:hAnsi="Palatino Linotype" w:cs="Arial"/>
          <w:b/>
          <w:bCs/>
          <w:i/>
          <w:lang w:val="es-ES_tradnl" w:eastAsia="es-ES"/>
        </w:rPr>
        <w:t>“Artículo 6.</w:t>
      </w:r>
      <w:r w:rsidRPr="00486BDF">
        <w:rPr>
          <w:rFonts w:ascii="Palatino Linotype" w:eastAsiaTheme="minorEastAsia" w:hAnsi="Palatino Linotype" w:cs="Arial"/>
          <w:bCs/>
          <w:i/>
          <w:lang w:val="es-ES_tradnl" w:eastAsia="es-ES"/>
        </w:rPr>
        <w:t xml:space="preserve"> …</w:t>
      </w:r>
    </w:p>
    <w:p w14:paraId="08253903" w14:textId="77777777" w:rsidR="00F600E4" w:rsidRPr="00486BDF" w:rsidRDefault="00F600E4" w:rsidP="00F600E4">
      <w:pPr>
        <w:spacing w:after="0" w:line="276" w:lineRule="auto"/>
        <w:ind w:left="567" w:right="567"/>
        <w:jc w:val="both"/>
        <w:rPr>
          <w:rFonts w:ascii="Palatino Linotype" w:eastAsiaTheme="minorEastAsia" w:hAnsi="Palatino Linotype" w:cs="Arial"/>
          <w:bCs/>
          <w:i/>
          <w:lang w:val="es-ES_tradnl" w:eastAsia="es-ES"/>
        </w:rPr>
      </w:pPr>
      <w:r w:rsidRPr="00486BDF">
        <w:rPr>
          <w:rFonts w:ascii="Palatino Linotype" w:eastAsiaTheme="minorEastAsia" w:hAnsi="Palatino Linotype" w:cs="Arial"/>
          <w:bCs/>
          <w:i/>
          <w:lang w:val="es-ES_tradnl" w:eastAsia="es-ES"/>
        </w:rPr>
        <w:t>…</w:t>
      </w:r>
    </w:p>
    <w:p w14:paraId="1708D9FF" w14:textId="77777777" w:rsidR="00F600E4" w:rsidRPr="00486BDF" w:rsidRDefault="00F600E4" w:rsidP="00F600E4">
      <w:pPr>
        <w:spacing w:after="0" w:line="276" w:lineRule="auto"/>
        <w:ind w:left="567" w:right="567"/>
        <w:jc w:val="both"/>
        <w:rPr>
          <w:rFonts w:ascii="Palatino Linotype" w:eastAsiaTheme="minorEastAsia" w:hAnsi="Palatino Linotype" w:cs="Arial"/>
          <w:bCs/>
          <w:i/>
          <w:lang w:val="es-ES_tradnl" w:eastAsia="es-ES"/>
        </w:rPr>
      </w:pPr>
      <w:r w:rsidRPr="00486BDF">
        <w:rPr>
          <w:rFonts w:ascii="Palatino Linotype" w:eastAsiaTheme="minorEastAsia" w:hAnsi="Palatino Linotype" w:cs="Arial"/>
          <w:bCs/>
          <w:i/>
          <w:lang w:val="es-ES_tradnl" w:eastAsia="es-ES"/>
        </w:rPr>
        <w:t>Para efectos de lo dispuesto en el presente artículo se observará lo siguiente:</w:t>
      </w:r>
    </w:p>
    <w:p w14:paraId="499FBE10" w14:textId="77777777" w:rsidR="00F600E4" w:rsidRPr="00486BDF" w:rsidRDefault="00F600E4" w:rsidP="00F600E4">
      <w:pPr>
        <w:spacing w:after="0" w:line="276" w:lineRule="auto"/>
        <w:ind w:left="567" w:right="567"/>
        <w:jc w:val="both"/>
        <w:rPr>
          <w:rFonts w:ascii="Palatino Linotype" w:eastAsiaTheme="minorEastAsia" w:hAnsi="Palatino Linotype" w:cs="Arial"/>
          <w:b/>
          <w:bCs/>
          <w:i/>
          <w:lang w:val="es-ES_tradnl" w:eastAsia="es-ES"/>
        </w:rPr>
      </w:pPr>
      <w:r w:rsidRPr="00486BDF">
        <w:rPr>
          <w:rFonts w:ascii="Palatino Linotype" w:eastAsiaTheme="minorEastAsia" w:hAnsi="Palatino Linotype" w:cs="Arial"/>
          <w:b/>
          <w:bCs/>
          <w:i/>
          <w:lang w:val="es-ES_tradnl" w:eastAsia="es-ES"/>
        </w:rPr>
        <w:t>A</w:t>
      </w:r>
      <w:r w:rsidRPr="00486BDF">
        <w:rPr>
          <w:rFonts w:ascii="Palatino Linotype" w:eastAsiaTheme="minorEastAsia" w:hAnsi="Palatino Linotype" w:cs="Arial"/>
          <w:bCs/>
          <w:i/>
          <w:lang w:val="es-ES_tradnl" w:eastAsia="es-ES"/>
        </w:rPr>
        <w:t xml:space="preserve">. </w:t>
      </w:r>
      <w:r w:rsidRPr="00486BDF">
        <w:rPr>
          <w:rFonts w:ascii="Palatino Linotype" w:eastAsiaTheme="minorEastAsia" w:hAnsi="Palatino Linotype" w:cs="Arial"/>
          <w:b/>
          <w:bCs/>
          <w:i/>
          <w:lang w:val="es-ES_tradnl" w:eastAsia="es-ES"/>
        </w:rPr>
        <w:t>Para el ejercicio del derecho de acceso a la información</w:t>
      </w:r>
      <w:r w:rsidRPr="00486BDF">
        <w:rPr>
          <w:rFonts w:ascii="Palatino Linotype" w:eastAsiaTheme="minorEastAsia" w:hAnsi="Palatino Linotype" w:cs="Arial"/>
          <w:bCs/>
          <w:i/>
          <w:lang w:val="es-ES_tradnl" w:eastAsia="es-ES"/>
        </w:rPr>
        <w:t xml:space="preserve">, la Federación y </w:t>
      </w:r>
      <w:r w:rsidRPr="00486BDF">
        <w:rPr>
          <w:rFonts w:ascii="Palatino Linotype" w:eastAsiaTheme="minorEastAsia" w:hAnsi="Palatino Linotype" w:cs="Arial"/>
          <w:b/>
          <w:bCs/>
          <w:i/>
          <w:lang w:val="es-ES_tradnl" w:eastAsia="es-ES"/>
        </w:rPr>
        <w:t>las entidades federativas, en el ámbito de sus respectivas competencias, se regirán por los siguientes principios y bases:</w:t>
      </w:r>
    </w:p>
    <w:p w14:paraId="104B4F05" w14:textId="77777777" w:rsidR="00F600E4" w:rsidRPr="00486BDF" w:rsidRDefault="00F600E4" w:rsidP="00F600E4">
      <w:pPr>
        <w:spacing w:after="0" w:line="276" w:lineRule="auto"/>
        <w:ind w:left="567" w:right="567"/>
        <w:jc w:val="both"/>
        <w:rPr>
          <w:rFonts w:ascii="Palatino Linotype" w:eastAsiaTheme="minorEastAsia" w:hAnsi="Palatino Linotype" w:cs="Arial"/>
          <w:b/>
          <w:bCs/>
          <w:i/>
          <w:lang w:val="es-ES_tradnl" w:eastAsia="es-ES"/>
        </w:rPr>
      </w:pPr>
    </w:p>
    <w:p w14:paraId="3423392D" w14:textId="77777777" w:rsidR="00F600E4" w:rsidRPr="00486BDF" w:rsidRDefault="00F600E4" w:rsidP="00F600E4">
      <w:pPr>
        <w:spacing w:after="0" w:line="276" w:lineRule="auto"/>
        <w:ind w:left="567" w:right="567"/>
        <w:jc w:val="both"/>
        <w:rPr>
          <w:rFonts w:ascii="Palatino Linotype" w:eastAsiaTheme="minorEastAsia" w:hAnsi="Palatino Linotype" w:cs="Arial"/>
          <w:bCs/>
          <w:i/>
          <w:lang w:val="es-ES_tradnl" w:eastAsia="es-ES"/>
        </w:rPr>
      </w:pPr>
      <w:r w:rsidRPr="00486BDF">
        <w:rPr>
          <w:rFonts w:ascii="Palatino Linotype" w:eastAsiaTheme="minorEastAsia" w:hAnsi="Palatino Linotype" w:cs="Arial"/>
          <w:b/>
          <w:bCs/>
          <w:i/>
          <w:lang w:val="es-ES_tradnl" w:eastAsia="es-ES"/>
        </w:rPr>
        <w:t>I.</w:t>
      </w:r>
      <w:r>
        <w:rPr>
          <w:rFonts w:ascii="Palatino Linotype" w:eastAsiaTheme="minorEastAsia" w:hAnsi="Palatino Linotype" w:cs="Arial"/>
          <w:b/>
          <w:bCs/>
          <w:i/>
          <w:lang w:val="es-ES_tradnl" w:eastAsia="es-ES"/>
        </w:rPr>
        <w:t xml:space="preserve"> </w:t>
      </w:r>
      <w:r w:rsidRPr="00486BDF">
        <w:rPr>
          <w:rFonts w:ascii="Palatino Linotype" w:eastAsiaTheme="minorEastAsia" w:hAnsi="Palatino Linotype" w:cs="Arial"/>
          <w:b/>
          <w:bCs/>
          <w:i/>
          <w:lang w:val="es-ES_tradnl" w:eastAsia="es-ES"/>
        </w:rPr>
        <w:t>Toda la información en posesión de cualquier</w:t>
      </w:r>
      <w:r w:rsidRPr="00486BDF">
        <w:rPr>
          <w:rFonts w:ascii="Palatino Linotype" w:eastAsiaTheme="minorEastAsia" w:hAnsi="Palatino Linotype" w:cs="Arial"/>
          <w:bCs/>
          <w:i/>
          <w:lang w:val="es-ES_tradnl" w:eastAsia="es-ES"/>
        </w:rPr>
        <w:t xml:space="preserve"> </w:t>
      </w:r>
      <w:r w:rsidRPr="00486BDF">
        <w:rPr>
          <w:rFonts w:ascii="Palatino Linotype" w:eastAsiaTheme="minorEastAsia" w:hAnsi="Palatino Linotype" w:cs="Arial"/>
          <w:b/>
          <w:bCs/>
          <w:i/>
          <w:lang w:val="es-ES_tradnl" w:eastAsia="es-ES"/>
        </w:rPr>
        <w:t>autoridad</w:t>
      </w:r>
      <w:r w:rsidRPr="00486BDF">
        <w:rPr>
          <w:rFonts w:ascii="Palatino Linotype" w:eastAsiaTheme="minorEastAsia" w:hAnsi="Palatino Linotype" w:cs="Arial"/>
          <w:bCs/>
          <w:i/>
          <w:lang w:val="es-ES_tradnl" w:eastAsia="es-E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486BDF">
        <w:rPr>
          <w:rFonts w:ascii="Palatino Linotype" w:eastAsiaTheme="minorEastAsia" w:hAnsi="Palatino Linotype" w:cs="Arial"/>
          <w:b/>
          <w:bCs/>
          <w:i/>
          <w:lang w:val="es-ES_tradnl" w:eastAsia="es-ES"/>
        </w:rPr>
        <w:t>municipal</w:t>
      </w:r>
      <w:r w:rsidRPr="00486BDF">
        <w:rPr>
          <w:rFonts w:ascii="Palatino Linotype" w:eastAsiaTheme="minorEastAsia" w:hAnsi="Palatino Linotype" w:cs="Arial"/>
          <w:bCs/>
          <w:i/>
          <w:lang w:val="es-ES_tradnl" w:eastAsia="es-ES"/>
        </w:rPr>
        <w:t xml:space="preserve">, </w:t>
      </w:r>
      <w:r w:rsidRPr="00486BDF">
        <w:rPr>
          <w:rFonts w:ascii="Palatino Linotype" w:eastAsiaTheme="minorEastAsia" w:hAnsi="Palatino Linotype" w:cs="Arial"/>
          <w:b/>
          <w:bCs/>
          <w:i/>
          <w:lang w:val="es-ES_tradnl" w:eastAsia="es-ES"/>
        </w:rPr>
        <w:t>es pública</w:t>
      </w:r>
      <w:r w:rsidRPr="00486BDF">
        <w:rPr>
          <w:rFonts w:ascii="Palatino Linotype" w:eastAsiaTheme="minorEastAsia" w:hAnsi="Palatino Linotype" w:cs="Arial"/>
          <w:bCs/>
          <w:i/>
          <w:lang w:val="es-ES_tradnl" w:eastAsia="es-ES"/>
        </w:rPr>
        <w:t xml:space="preserve"> y sólo podrá ser reservada temporalmente por razones de interés público y seguridad nacional, en los términos que fijen las leyes. </w:t>
      </w:r>
      <w:r w:rsidRPr="00486BDF">
        <w:rPr>
          <w:rFonts w:ascii="Palatino Linotype" w:eastAsiaTheme="minorEastAsia" w:hAnsi="Palatino Linotype" w:cs="Arial"/>
          <w:b/>
          <w:bCs/>
          <w:i/>
          <w:lang w:val="es-ES_tradnl" w:eastAsia="es-ES"/>
        </w:rPr>
        <w:t>En la interpretación de este derecho deberá prevalecer el principio de máxima publicidad. Los sujetos obligados deberán documentar todo acto que derive del ejercicio de sus facultades, competencias o funciones</w:t>
      </w:r>
      <w:r w:rsidRPr="00486BDF">
        <w:rPr>
          <w:rFonts w:ascii="Palatino Linotype" w:eastAsiaTheme="minorEastAsia" w:hAnsi="Palatino Linotype" w:cs="Arial"/>
          <w:bCs/>
          <w:i/>
          <w:lang w:val="es-ES_tradnl" w:eastAsia="es-ES"/>
        </w:rPr>
        <w:t>, la ley determinará los supuestos específicos bajo los cuales procederá la declaración de inexistencia de la información.”</w:t>
      </w:r>
    </w:p>
    <w:p w14:paraId="46553C54" w14:textId="77777777" w:rsidR="00F600E4" w:rsidRPr="00484317" w:rsidRDefault="00F600E4" w:rsidP="00F600E4">
      <w:pPr>
        <w:spacing w:after="0" w:line="276" w:lineRule="auto"/>
        <w:ind w:left="567" w:right="567"/>
        <w:jc w:val="both"/>
        <w:rPr>
          <w:rFonts w:ascii="Palatino Linotype" w:eastAsiaTheme="minorEastAsia" w:hAnsi="Palatino Linotype" w:cs="Arial"/>
          <w:bCs/>
          <w:iCs/>
          <w:lang w:val="es-ES_tradnl" w:eastAsia="es-ES"/>
        </w:rPr>
      </w:pPr>
      <w:r w:rsidRPr="00484317">
        <w:rPr>
          <w:rFonts w:ascii="Palatino Linotype" w:eastAsiaTheme="minorEastAsia" w:hAnsi="Palatino Linotype" w:cs="Arial"/>
          <w:bCs/>
          <w:iCs/>
          <w:lang w:val="es-ES_tradnl" w:eastAsia="es-ES"/>
        </w:rPr>
        <w:t xml:space="preserve">(Énfasis añadido) </w:t>
      </w:r>
    </w:p>
    <w:p w14:paraId="48A958DC" w14:textId="77777777" w:rsidR="00F600E4" w:rsidRPr="00486BDF" w:rsidRDefault="00F600E4" w:rsidP="00F600E4">
      <w:pPr>
        <w:spacing w:after="0" w:line="276" w:lineRule="auto"/>
        <w:ind w:left="567" w:right="567"/>
        <w:jc w:val="center"/>
        <w:rPr>
          <w:rFonts w:ascii="Palatino Linotype" w:eastAsiaTheme="minorEastAsia" w:hAnsi="Palatino Linotype" w:cs="Arial"/>
          <w:b/>
          <w:bCs/>
          <w:i/>
          <w:lang w:val="es-ES_tradnl" w:eastAsia="es-ES"/>
        </w:rPr>
      </w:pPr>
      <w:r w:rsidRPr="00486BDF">
        <w:rPr>
          <w:rFonts w:ascii="Palatino Linotype" w:eastAsiaTheme="minorEastAsia" w:hAnsi="Palatino Linotype" w:cs="Arial"/>
          <w:b/>
          <w:bCs/>
          <w:i/>
          <w:lang w:val="es-ES_tradnl" w:eastAsia="es-ES"/>
        </w:rPr>
        <w:lastRenderedPageBreak/>
        <w:t>Constitución Política del Estado Libre y Soberano de México</w:t>
      </w:r>
    </w:p>
    <w:p w14:paraId="23C2DC7F" w14:textId="77777777" w:rsidR="00F600E4" w:rsidRPr="00486BDF" w:rsidRDefault="00F600E4" w:rsidP="00F600E4">
      <w:pPr>
        <w:spacing w:after="0" w:line="276" w:lineRule="auto"/>
        <w:ind w:left="567" w:right="567"/>
        <w:jc w:val="both"/>
        <w:rPr>
          <w:rFonts w:ascii="Palatino Linotype" w:eastAsiaTheme="minorEastAsia" w:hAnsi="Palatino Linotype" w:cs="Arial"/>
          <w:b/>
          <w:bCs/>
          <w:i/>
          <w:lang w:val="es-ES_tradnl" w:eastAsia="es-ES"/>
        </w:rPr>
      </w:pPr>
    </w:p>
    <w:p w14:paraId="0591AF2F" w14:textId="77777777" w:rsidR="00F600E4" w:rsidRPr="00486BDF" w:rsidRDefault="00F600E4" w:rsidP="00F600E4">
      <w:pPr>
        <w:spacing w:after="0" w:line="276" w:lineRule="auto"/>
        <w:ind w:left="567" w:right="567"/>
        <w:jc w:val="both"/>
        <w:rPr>
          <w:rFonts w:ascii="Palatino Linotype" w:eastAsiaTheme="minorEastAsia" w:hAnsi="Palatino Linotype" w:cs="Arial"/>
          <w:bCs/>
          <w:i/>
          <w:lang w:val="es-ES_tradnl" w:eastAsia="es-ES"/>
        </w:rPr>
      </w:pPr>
      <w:r w:rsidRPr="00486BDF">
        <w:rPr>
          <w:rFonts w:ascii="Palatino Linotype" w:eastAsiaTheme="minorEastAsia" w:hAnsi="Palatino Linotype" w:cs="Arial"/>
          <w:b/>
          <w:bCs/>
          <w:i/>
          <w:lang w:val="es-ES_tradnl" w:eastAsia="es-ES"/>
        </w:rPr>
        <w:t>“Artículo 5</w:t>
      </w:r>
      <w:r w:rsidRPr="00486BDF">
        <w:rPr>
          <w:rFonts w:ascii="Palatino Linotype" w:eastAsiaTheme="minorEastAsia" w:hAnsi="Palatino Linotype" w:cs="Arial"/>
          <w:bCs/>
          <w:i/>
          <w:lang w:val="es-ES_tradnl" w:eastAsia="es-ES"/>
        </w:rPr>
        <w:t>.</w:t>
      </w:r>
      <w:proofErr w:type="gramStart"/>
      <w:r w:rsidRPr="00486BDF">
        <w:rPr>
          <w:rFonts w:ascii="Palatino Linotype" w:eastAsiaTheme="minorEastAsia" w:hAnsi="Palatino Linotype" w:cs="Arial"/>
          <w:bCs/>
          <w:i/>
          <w:lang w:val="es-ES_tradnl" w:eastAsia="es-ES"/>
        </w:rPr>
        <w:t>- …</w:t>
      </w:r>
      <w:proofErr w:type="gramEnd"/>
    </w:p>
    <w:p w14:paraId="40FA56A5" w14:textId="77777777" w:rsidR="00F600E4" w:rsidRPr="00486BDF" w:rsidRDefault="00F600E4" w:rsidP="00F600E4">
      <w:pPr>
        <w:spacing w:after="0" w:line="276" w:lineRule="auto"/>
        <w:ind w:left="567" w:right="567"/>
        <w:jc w:val="both"/>
        <w:rPr>
          <w:rFonts w:ascii="Palatino Linotype" w:eastAsiaTheme="minorEastAsia" w:hAnsi="Palatino Linotype" w:cs="Arial"/>
          <w:bCs/>
          <w:i/>
          <w:lang w:val="es-ES_tradnl" w:eastAsia="es-ES"/>
        </w:rPr>
      </w:pPr>
      <w:r w:rsidRPr="00486BDF">
        <w:rPr>
          <w:rFonts w:ascii="Palatino Linotype" w:eastAsiaTheme="minorEastAsia" w:hAnsi="Palatino Linotype" w:cs="Arial"/>
          <w:bCs/>
          <w:i/>
          <w:lang w:val="es-ES_tradnl" w:eastAsia="es-ES"/>
        </w:rPr>
        <w:t>…</w:t>
      </w:r>
    </w:p>
    <w:p w14:paraId="5EDAD719" w14:textId="77777777" w:rsidR="00F600E4" w:rsidRPr="00486BDF" w:rsidRDefault="00F600E4" w:rsidP="00F600E4">
      <w:pPr>
        <w:spacing w:after="0" w:line="276" w:lineRule="auto"/>
        <w:ind w:left="567" w:right="567"/>
        <w:jc w:val="both"/>
        <w:rPr>
          <w:rFonts w:ascii="Palatino Linotype" w:eastAsiaTheme="minorEastAsia" w:hAnsi="Palatino Linotype" w:cs="Arial"/>
          <w:bCs/>
          <w:i/>
          <w:lang w:val="es-ES_tradnl" w:eastAsia="es-ES"/>
        </w:rPr>
      </w:pPr>
      <w:r w:rsidRPr="00486BDF">
        <w:rPr>
          <w:rFonts w:ascii="Palatino Linotype" w:eastAsiaTheme="minorEastAsia" w:hAnsi="Palatino Linotype" w:cs="Arial"/>
          <w:b/>
          <w:bCs/>
          <w:i/>
          <w:lang w:val="es-ES_tradnl" w:eastAsia="es-ES"/>
        </w:rPr>
        <w:t>El derecho a la información será garantizado por el Estado. La ley establecerá las previsiones que permitan asegurar la protección, el respeto y la difusión de este derecho</w:t>
      </w:r>
      <w:r w:rsidRPr="00486BDF">
        <w:rPr>
          <w:rFonts w:ascii="Palatino Linotype" w:eastAsiaTheme="minorEastAsia" w:hAnsi="Palatino Linotype" w:cs="Arial"/>
          <w:bCs/>
          <w:i/>
          <w:lang w:val="es-ES_tradnl" w:eastAsia="es-ES"/>
        </w:rPr>
        <w:t>.</w:t>
      </w:r>
    </w:p>
    <w:p w14:paraId="0C7ACE26" w14:textId="77777777" w:rsidR="00F600E4" w:rsidRPr="00486BDF" w:rsidRDefault="00F600E4" w:rsidP="00F600E4">
      <w:pPr>
        <w:spacing w:after="0" w:line="276" w:lineRule="auto"/>
        <w:ind w:left="567" w:right="567"/>
        <w:jc w:val="both"/>
        <w:rPr>
          <w:rFonts w:ascii="Palatino Linotype" w:eastAsiaTheme="minorEastAsia" w:hAnsi="Palatino Linotype" w:cs="Arial"/>
          <w:bCs/>
          <w:i/>
          <w:lang w:val="es-ES_tradnl" w:eastAsia="es-ES"/>
        </w:rPr>
      </w:pPr>
      <w:r w:rsidRPr="00486BDF">
        <w:rPr>
          <w:rFonts w:ascii="Palatino Linotype" w:eastAsiaTheme="minorEastAsia" w:hAnsi="Palatino Linotype" w:cs="Arial"/>
          <w:bCs/>
          <w:i/>
          <w:lang w:val="es-ES_tradnl"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5E434924" w14:textId="77777777" w:rsidR="00F600E4" w:rsidRPr="00486BDF" w:rsidRDefault="00F600E4" w:rsidP="00F600E4">
      <w:pPr>
        <w:spacing w:after="0" w:line="276" w:lineRule="auto"/>
        <w:ind w:left="567" w:right="567"/>
        <w:jc w:val="both"/>
        <w:rPr>
          <w:rFonts w:ascii="Palatino Linotype" w:eastAsiaTheme="minorEastAsia" w:hAnsi="Palatino Linotype" w:cs="Arial"/>
          <w:bCs/>
          <w:i/>
          <w:lang w:val="es-ES_tradnl" w:eastAsia="es-ES"/>
        </w:rPr>
      </w:pPr>
      <w:r w:rsidRPr="00486BDF">
        <w:rPr>
          <w:rFonts w:ascii="Palatino Linotype" w:eastAsiaTheme="minorEastAsia" w:hAnsi="Palatino Linotype" w:cs="Arial"/>
          <w:b/>
          <w:bCs/>
          <w:i/>
          <w:lang w:val="es-ES_tradnl" w:eastAsia="es-ES"/>
        </w:rPr>
        <w:t>Este derecho se regirá por los principios y bases siguientes</w:t>
      </w:r>
      <w:r w:rsidRPr="00486BDF">
        <w:rPr>
          <w:rFonts w:ascii="Palatino Linotype" w:eastAsiaTheme="minorEastAsia" w:hAnsi="Palatino Linotype" w:cs="Arial"/>
          <w:bCs/>
          <w:i/>
          <w:lang w:val="es-ES_tradnl" w:eastAsia="es-ES"/>
        </w:rPr>
        <w:t>:</w:t>
      </w:r>
    </w:p>
    <w:p w14:paraId="5659D2E7" w14:textId="77777777" w:rsidR="00F600E4" w:rsidRPr="00486BDF" w:rsidRDefault="00F600E4" w:rsidP="00F600E4">
      <w:pPr>
        <w:spacing w:after="0" w:line="276" w:lineRule="auto"/>
        <w:ind w:left="567" w:right="567"/>
        <w:jc w:val="both"/>
        <w:rPr>
          <w:rFonts w:ascii="Palatino Linotype" w:eastAsiaTheme="minorEastAsia" w:hAnsi="Palatino Linotype" w:cs="Arial"/>
          <w:bCs/>
          <w:i/>
          <w:lang w:val="es-ES_tradnl" w:eastAsia="es-ES"/>
        </w:rPr>
      </w:pPr>
      <w:r w:rsidRPr="00486BDF">
        <w:rPr>
          <w:rFonts w:ascii="Palatino Linotype" w:eastAsiaTheme="minorEastAsia" w:hAnsi="Palatino Linotype" w:cs="Arial"/>
          <w:b/>
          <w:bCs/>
          <w:i/>
          <w:lang w:val="es-ES_tradnl" w:eastAsia="es-ES"/>
        </w:rPr>
        <w:t>I. Toda la información en posesión de cualquier autoridad, entidad, órgano y organismos de los</w:t>
      </w:r>
      <w:r w:rsidRPr="00486BDF">
        <w:rPr>
          <w:rFonts w:ascii="Palatino Linotype" w:eastAsiaTheme="minorEastAsia" w:hAnsi="Palatino Linotype" w:cs="Arial"/>
          <w:bCs/>
          <w:i/>
          <w:lang w:val="es-ES_tradnl" w:eastAsia="es-ES"/>
        </w:rPr>
        <w:t xml:space="preserve"> Poderes Ejecutivo, Legislativo y Judicial, órganos autónomos, partidos políticos, fideicomisos y fondos públicos estatales y </w:t>
      </w:r>
      <w:r w:rsidRPr="00486BDF">
        <w:rPr>
          <w:rFonts w:ascii="Palatino Linotype" w:eastAsiaTheme="minorEastAsia" w:hAnsi="Palatino Linotype" w:cs="Arial"/>
          <w:b/>
          <w:bCs/>
          <w:i/>
          <w:lang w:val="es-ES_tradnl" w:eastAsia="es-ES"/>
        </w:rPr>
        <w:t>municipales</w:t>
      </w:r>
      <w:r w:rsidRPr="00486BDF">
        <w:rPr>
          <w:rFonts w:ascii="Palatino Linotype" w:eastAsiaTheme="minorEastAsia" w:hAnsi="Palatino Linotype" w:cs="Arial"/>
          <w:bCs/>
          <w:i/>
          <w:lang w:val="es-ES_tradnl" w:eastAsia="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486BDF">
        <w:rPr>
          <w:rFonts w:ascii="Palatino Linotype" w:eastAsiaTheme="minorEastAsia" w:hAnsi="Palatino Linotype" w:cs="Arial"/>
          <w:b/>
          <w:bCs/>
          <w:i/>
          <w:lang w:val="es-ES_tradnl" w:eastAsia="es-ES"/>
        </w:rPr>
        <w:t>es pública</w:t>
      </w:r>
      <w:r w:rsidRPr="00486BDF">
        <w:rPr>
          <w:rFonts w:ascii="Palatino Linotype" w:eastAsiaTheme="minorEastAsia" w:hAnsi="Palatino Linotype" w:cs="Arial"/>
          <w:bCs/>
          <w:i/>
          <w:lang w:val="es-ES_tradnl" w:eastAsia="es-ES"/>
        </w:rPr>
        <w:t xml:space="preserve"> y sólo podrá ser reservada temporalmente por razones previstas en la Constitución Política de los Estados Unidos Mexicanos de interés público y seguridad, en los términos que fijen las leyes. </w:t>
      </w:r>
      <w:r w:rsidRPr="00486BDF">
        <w:rPr>
          <w:rFonts w:ascii="Palatino Linotype" w:eastAsiaTheme="minorEastAsia" w:hAnsi="Palatino Linotype" w:cs="Arial"/>
          <w:b/>
          <w:bCs/>
          <w:i/>
          <w:lang w:val="es-ES_tradnl" w:eastAsia="es-ES"/>
        </w:rPr>
        <w:t>En la interpretación de este derecho deberá prevalecer el principio de máxima publicidad</w:t>
      </w:r>
      <w:r w:rsidRPr="00486BDF">
        <w:rPr>
          <w:rFonts w:ascii="Palatino Linotype" w:eastAsiaTheme="minorEastAsia" w:hAnsi="Palatino Linotype" w:cs="Arial"/>
          <w:bCs/>
          <w:i/>
          <w:lang w:val="es-ES_tradnl" w:eastAsia="es-ES"/>
        </w:rPr>
        <w:t xml:space="preserve">. </w:t>
      </w:r>
      <w:r w:rsidRPr="00486BDF">
        <w:rPr>
          <w:rFonts w:ascii="Palatino Linotype" w:eastAsiaTheme="minorEastAsia" w:hAnsi="Palatino Linotype" w:cs="Arial"/>
          <w:b/>
          <w:bCs/>
          <w:i/>
          <w:lang w:val="es-ES_tradnl" w:eastAsia="es-ES"/>
        </w:rPr>
        <w:t>Los sujetos obligados deberán documentar todo acto que derive del ejercicio de sus facultades, competencias o funciones</w:t>
      </w:r>
      <w:r w:rsidRPr="00486BDF">
        <w:rPr>
          <w:rFonts w:ascii="Palatino Linotype" w:eastAsiaTheme="minorEastAsia" w:hAnsi="Palatino Linotype" w:cs="Arial"/>
          <w:bCs/>
          <w:i/>
          <w:lang w:val="es-ES_tradnl" w:eastAsia="es-ES"/>
        </w:rPr>
        <w:t>, la ley determinará los supuestos específicos bajo los cuales procederá la declaración de inexistencia de la información.”</w:t>
      </w:r>
    </w:p>
    <w:p w14:paraId="4EFCC62D" w14:textId="77777777" w:rsidR="00F600E4" w:rsidRPr="00484317" w:rsidRDefault="00F600E4" w:rsidP="00F600E4">
      <w:pPr>
        <w:spacing w:after="0" w:line="276" w:lineRule="auto"/>
        <w:ind w:left="567" w:right="567"/>
        <w:jc w:val="both"/>
        <w:rPr>
          <w:rFonts w:ascii="Palatino Linotype" w:eastAsiaTheme="minorEastAsia" w:hAnsi="Palatino Linotype" w:cs="Arial"/>
          <w:bCs/>
          <w:iCs/>
          <w:lang w:val="es-ES_tradnl" w:eastAsia="es-ES"/>
        </w:rPr>
      </w:pPr>
      <w:r w:rsidRPr="00484317">
        <w:rPr>
          <w:rFonts w:ascii="Palatino Linotype" w:eastAsiaTheme="minorEastAsia" w:hAnsi="Palatino Linotype" w:cs="Arial"/>
          <w:bCs/>
          <w:iCs/>
          <w:lang w:val="es-ES_tradnl" w:eastAsia="es-ES"/>
        </w:rPr>
        <w:t xml:space="preserve">(Énfasis añadido) </w:t>
      </w:r>
    </w:p>
    <w:p w14:paraId="524B9984" w14:textId="77777777" w:rsidR="00F600E4" w:rsidRPr="00486BDF" w:rsidRDefault="00F600E4" w:rsidP="00F600E4">
      <w:pPr>
        <w:spacing w:after="0" w:line="240" w:lineRule="auto"/>
        <w:ind w:left="720"/>
        <w:contextualSpacing/>
        <w:rPr>
          <w:rFonts w:ascii="Palatino Linotype" w:eastAsia="Calibri" w:hAnsi="Palatino Linotype" w:cs="Times New Roman"/>
          <w:sz w:val="24"/>
          <w:szCs w:val="24"/>
          <w:lang w:val="es-ES_tradnl" w:eastAsia="es-ES"/>
        </w:rPr>
      </w:pPr>
    </w:p>
    <w:p w14:paraId="394D4FBE" w14:textId="77777777" w:rsidR="00F600E4" w:rsidRPr="00486BDF" w:rsidRDefault="00F600E4" w:rsidP="007D1739">
      <w:pPr>
        <w:tabs>
          <w:tab w:val="left" w:pos="426"/>
        </w:tabs>
        <w:spacing w:before="240" w:after="240" w:line="360" w:lineRule="auto"/>
        <w:contextualSpacing/>
        <w:jc w:val="both"/>
        <w:rPr>
          <w:rFonts w:ascii="Palatino Linotype" w:eastAsiaTheme="minorEastAsia" w:hAnsi="Palatino Linotype" w:cs="Arial"/>
          <w:sz w:val="24"/>
          <w:szCs w:val="24"/>
          <w:lang w:val="es-ES_tradnl" w:eastAsia="es-ES"/>
        </w:rPr>
      </w:pPr>
      <w:r w:rsidRPr="00486BDF">
        <w:rPr>
          <w:rFonts w:ascii="Palatino Linotype" w:eastAsiaTheme="minorEastAsia" w:hAnsi="Palatino Linotype" w:cs="Arial"/>
          <w:sz w:val="24"/>
          <w:szCs w:val="24"/>
          <w:lang w:val="es-ES_tradnl" w:eastAsia="es-ES"/>
        </w:rPr>
        <w:t xml:space="preserve">En virtud de ello, la información en posesión de cualquier organismo o dependencia municipal tiene el carácter de pública, en ese sentido, debe privilegiarse en todo momento el principio de máxima publicidad, establecido en el artículo 8 de la multicitada Ley de Transparencia: </w:t>
      </w:r>
    </w:p>
    <w:p w14:paraId="65F9105A" w14:textId="77777777" w:rsidR="00F600E4" w:rsidRPr="00486BDF" w:rsidRDefault="00F600E4" w:rsidP="00F600E4">
      <w:pPr>
        <w:spacing w:before="240" w:after="240" w:line="360" w:lineRule="auto"/>
        <w:contextualSpacing/>
        <w:jc w:val="both"/>
        <w:rPr>
          <w:rFonts w:ascii="Palatino Linotype" w:eastAsiaTheme="minorEastAsia" w:hAnsi="Palatino Linotype" w:cs="Arial"/>
          <w:sz w:val="24"/>
          <w:szCs w:val="24"/>
          <w:lang w:val="es-ES_tradnl" w:eastAsia="es-ES"/>
        </w:rPr>
      </w:pPr>
    </w:p>
    <w:p w14:paraId="1EF52EDB" w14:textId="77777777" w:rsidR="00F600E4" w:rsidRPr="00486BDF" w:rsidRDefault="00F600E4" w:rsidP="00F600E4">
      <w:pPr>
        <w:spacing w:before="240" w:after="240" w:line="276" w:lineRule="auto"/>
        <w:ind w:left="567" w:right="567"/>
        <w:contextualSpacing/>
        <w:jc w:val="both"/>
        <w:rPr>
          <w:rFonts w:ascii="Palatino Linotype" w:eastAsiaTheme="minorEastAsia" w:hAnsi="Palatino Linotype" w:cs="Arial"/>
          <w:i/>
          <w:lang w:val="es-ES_tradnl" w:eastAsia="es-ES"/>
        </w:rPr>
      </w:pPr>
      <w:r w:rsidRPr="00486BDF">
        <w:rPr>
          <w:rFonts w:ascii="Palatino Linotype" w:eastAsiaTheme="minorEastAsia" w:hAnsi="Palatino Linotype" w:cs="Arial"/>
          <w:i/>
          <w:lang w:val="es-ES_tradnl" w:eastAsia="es-ES"/>
        </w:rPr>
        <w:lastRenderedPageBreak/>
        <w:t>“</w:t>
      </w:r>
      <w:r w:rsidRPr="00486BDF">
        <w:rPr>
          <w:rFonts w:ascii="Palatino Linotype" w:eastAsiaTheme="minorEastAsia" w:hAnsi="Palatino Linotype" w:cs="Arial"/>
          <w:b/>
          <w:i/>
          <w:lang w:val="es-ES_tradnl" w:eastAsia="es-ES"/>
        </w:rPr>
        <w:t>Artículo 8.</w:t>
      </w:r>
      <w:r w:rsidRPr="00486BDF">
        <w:rPr>
          <w:rFonts w:ascii="Palatino Linotype" w:eastAsiaTheme="minorEastAsia" w:hAnsi="Palatino Linotype" w:cs="Arial"/>
          <w:i/>
          <w:lang w:val="es-ES_tradnl" w:eastAsia="es-E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 </w:t>
      </w:r>
    </w:p>
    <w:p w14:paraId="3F133916" w14:textId="77777777" w:rsidR="00F600E4" w:rsidRPr="00486BDF" w:rsidRDefault="00F600E4" w:rsidP="00F600E4">
      <w:pPr>
        <w:spacing w:before="240" w:after="240" w:line="276" w:lineRule="auto"/>
        <w:ind w:left="567" w:right="567"/>
        <w:contextualSpacing/>
        <w:jc w:val="both"/>
        <w:rPr>
          <w:rFonts w:ascii="Palatino Linotype" w:eastAsiaTheme="minorEastAsia" w:hAnsi="Palatino Linotype" w:cs="Arial"/>
          <w:i/>
          <w:lang w:val="es-ES_tradnl" w:eastAsia="es-ES"/>
        </w:rPr>
      </w:pPr>
    </w:p>
    <w:p w14:paraId="5F81DD4D" w14:textId="77777777" w:rsidR="00F600E4" w:rsidRPr="00486BDF" w:rsidRDefault="00F600E4" w:rsidP="00F600E4">
      <w:pPr>
        <w:spacing w:before="240" w:after="240" w:line="276" w:lineRule="auto"/>
        <w:ind w:left="567" w:right="567"/>
        <w:contextualSpacing/>
        <w:jc w:val="both"/>
        <w:rPr>
          <w:rFonts w:ascii="Palatino Linotype" w:eastAsiaTheme="minorEastAsia" w:hAnsi="Palatino Linotype" w:cs="Arial"/>
          <w:i/>
          <w:lang w:val="es-ES_tradnl" w:eastAsia="es-ES"/>
        </w:rPr>
      </w:pPr>
      <w:r w:rsidRPr="00486BDF">
        <w:rPr>
          <w:rFonts w:ascii="Palatino Linotype" w:eastAsiaTheme="minorEastAsia" w:hAnsi="Palatino Linotype" w:cs="Arial"/>
          <w:b/>
          <w:i/>
          <w:lang w:val="es-ES_tradnl" w:eastAsia="es-ES"/>
        </w:rPr>
        <w:t>En la aplicación e interpretación de la presente Ley deberá prevalecer el principio de máxima publicidad</w:t>
      </w:r>
      <w:r w:rsidRPr="00486BDF">
        <w:rPr>
          <w:rFonts w:ascii="Palatino Linotype" w:eastAsiaTheme="minorEastAsia" w:hAnsi="Palatino Linotype" w:cs="Arial"/>
          <w:i/>
          <w:lang w:val="es-ES_tradnl" w:eastAsia="es-ES"/>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w:t>
      </w:r>
      <w:proofErr w:type="spellStart"/>
      <w:r w:rsidRPr="00486BDF">
        <w:rPr>
          <w:rFonts w:ascii="Palatino Linotype" w:eastAsiaTheme="minorEastAsia" w:hAnsi="Palatino Linotype" w:cs="Arial"/>
          <w:i/>
          <w:lang w:val="es-ES_tradnl" w:eastAsia="es-ES"/>
        </w:rPr>
        <w:t>pro</w:t>
      </w:r>
      <w:proofErr w:type="spellEnd"/>
      <w:r w:rsidRPr="00486BDF">
        <w:rPr>
          <w:rFonts w:ascii="Palatino Linotype" w:eastAsiaTheme="minorEastAsia" w:hAnsi="Palatino Linotype" w:cs="Arial"/>
          <w:i/>
          <w:lang w:val="es-ES_tradnl" w:eastAsia="es-ES"/>
        </w:rPr>
        <w:t xml:space="preserve"> persona.</w:t>
      </w:r>
    </w:p>
    <w:p w14:paraId="1413CAC9" w14:textId="77777777" w:rsidR="00F600E4" w:rsidRPr="00486BDF" w:rsidRDefault="00F600E4" w:rsidP="00F600E4">
      <w:pPr>
        <w:spacing w:before="240" w:after="240" w:line="276" w:lineRule="auto"/>
        <w:ind w:left="567" w:right="567"/>
        <w:contextualSpacing/>
        <w:jc w:val="both"/>
        <w:rPr>
          <w:rFonts w:ascii="Palatino Linotype" w:eastAsiaTheme="minorEastAsia" w:hAnsi="Palatino Linotype" w:cs="Arial"/>
          <w:i/>
          <w:lang w:val="es-ES_tradnl" w:eastAsia="es-ES"/>
        </w:rPr>
      </w:pPr>
    </w:p>
    <w:p w14:paraId="56574581" w14:textId="77777777" w:rsidR="00F600E4" w:rsidRPr="00486BDF" w:rsidRDefault="00F600E4" w:rsidP="00F600E4">
      <w:pPr>
        <w:spacing w:before="240" w:after="240" w:line="276" w:lineRule="auto"/>
        <w:ind w:left="567" w:right="567"/>
        <w:contextualSpacing/>
        <w:jc w:val="both"/>
        <w:rPr>
          <w:rFonts w:ascii="Palatino Linotype" w:eastAsiaTheme="minorEastAsia" w:hAnsi="Palatino Linotype" w:cs="Arial"/>
          <w:i/>
          <w:lang w:val="es-ES_tradnl" w:eastAsia="es-ES"/>
        </w:rPr>
      </w:pPr>
      <w:r w:rsidRPr="00486BDF">
        <w:rPr>
          <w:rFonts w:ascii="Palatino Linotype" w:eastAsiaTheme="minorEastAsia" w:hAnsi="Palatino Linotype" w:cs="Arial"/>
          <w:i/>
          <w:lang w:val="es-ES_tradnl" w:eastAsia="es-ES"/>
        </w:rPr>
        <w:t xml:space="preserve"> Para el caso de la interpretación se podrá tomar en cuenta los criterios, determinaciones y opiniones de los organismos nacionales e internacionales, en materia de transparencia y el derecho de acceso a la información.”</w:t>
      </w:r>
    </w:p>
    <w:p w14:paraId="6D124073" w14:textId="77777777" w:rsidR="00F600E4" w:rsidRPr="00362A50" w:rsidRDefault="00F600E4" w:rsidP="00362A50">
      <w:pPr>
        <w:spacing w:before="240" w:after="240" w:line="276" w:lineRule="auto"/>
        <w:ind w:left="567" w:right="567"/>
        <w:contextualSpacing/>
        <w:jc w:val="right"/>
        <w:rPr>
          <w:rFonts w:ascii="Palatino Linotype" w:eastAsiaTheme="minorEastAsia" w:hAnsi="Palatino Linotype" w:cs="Arial"/>
          <w:b/>
          <w:i/>
          <w:iCs/>
          <w:lang w:val="es-ES_tradnl" w:eastAsia="es-ES"/>
        </w:rPr>
      </w:pPr>
      <w:r w:rsidRPr="00362A50">
        <w:rPr>
          <w:rFonts w:ascii="Palatino Linotype" w:eastAsiaTheme="minorEastAsia" w:hAnsi="Palatino Linotype" w:cs="Arial"/>
          <w:b/>
          <w:i/>
          <w:iCs/>
          <w:lang w:val="es-ES_tradnl" w:eastAsia="es-ES"/>
        </w:rPr>
        <w:t xml:space="preserve">(Énfasis añadido) </w:t>
      </w:r>
    </w:p>
    <w:p w14:paraId="0097953B" w14:textId="77777777" w:rsidR="00F600E4" w:rsidRDefault="00F600E4" w:rsidP="00DA4850">
      <w:pPr>
        <w:spacing w:after="0" w:line="360" w:lineRule="auto"/>
        <w:jc w:val="both"/>
        <w:rPr>
          <w:rFonts w:ascii="Palatino Linotype" w:hAnsi="Palatino Linotype"/>
          <w:bCs/>
          <w:sz w:val="24"/>
          <w:szCs w:val="24"/>
        </w:rPr>
      </w:pPr>
    </w:p>
    <w:p w14:paraId="46F0A1AD" w14:textId="77777777" w:rsidR="00362A50" w:rsidRPr="00362A50" w:rsidRDefault="00362A50" w:rsidP="00362A50">
      <w:pPr>
        <w:spacing w:before="100" w:beforeAutospacing="1" w:after="100" w:afterAutospacing="1" w:line="360" w:lineRule="auto"/>
        <w:contextualSpacing/>
        <w:jc w:val="both"/>
        <w:rPr>
          <w:rFonts w:ascii="Palatino Linotype" w:hAnsi="Palatino Linotype" w:cs="Arial"/>
          <w:sz w:val="24"/>
          <w:szCs w:val="24"/>
          <w:lang w:val="es-ES"/>
        </w:rPr>
      </w:pPr>
      <w:r w:rsidRPr="00362A50">
        <w:rPr>
          <w:rFonts w:ascii="Palatino Linotype" w:hAnsi="Palatino Linotype" w:cs="Arial"/>
          <w:sz w:val="24"/>
          <w:szCs w:val="24"/>
          <w:lang w:val="es-ES"/>
        </w:rPr>
        <w:t xml:space="preserve">De lo anterior podemos advertir que el Titular de la Unidad de Transparencia, omitió observar lo dispuesto en el artículo 162 de la Ley de Transparencia y Acceso a la Información Pública del Estado de México y Municipios, es decir, turnar a todas las áreas correspondientes que de acuerdo a sus atribuciones pudieran generar, poseer o administrar la información solicitada, con el objeto de que realizaran una búsqueda exhaustiva y razonable de la información solicitada. </w:t>
      </w:r>
    </w:p>
    <w:p w14:paraId="18773215" w14:textId="77777777" w:rsidR="00362A50" w:rsidRPr="00362A50" w:rsidRDefault="00362A50" w:rsidP="00362A50">
      <w:pPr>
        <w:spacing w:before="100" w:beforeAutospacing="1" w:after="100" w:afterAutospacing="1" w:line="360" w:lineRule="auto"/>
        <w:ind w:right="51"/>
        <w:contextualSpacing/>
        <w:jc w:val="both"/>
        <w:rPr>
          <w:rFonts w:ascii="Palatino Linotype" w:hAnsi="Palatino Linotype" w:cs="Arial"/>
          <w:sz w:val="24"/>
          <w:szCs w:val="24"/>
          <w:lang w:val="es-ES"/>
        </w:rPr>
      </w:pPr>
    </w:p>
    <w:p w14:paraId="2FC90701" w14:textId="45F14843" w:rsidR="00362A50" w:rsidRPr="00362A50" w:rsidRDefault="00362A50" w:rsidP="00362A50">
      <w:pPr>
        <w:spacing w:before="100" w:beforeAutospacing="1" w:after="100" w:afterAutospacing="1" w:line="360" w:lineRule="auto"/>
        <w:ind w:right="51"/>
        <w:contextualSpacing/>
        <w:jc w:val="both"/>
        <w:rPr>
          <w:rFonts w:ascii="Palatino Linotype" w:hAnsi="Palatino Linotype" w:cs="Arial"/>
          <w:sz w:val="24"/>
          <w:szCs w:val="24"/>
          <w:lang w:val="es-ES"/>
        </w:rPr>
      </w:pPr>
      <w:r w:rsidRPr="00362A50">
        <w:rPr>
          <w:rFonts w:ascii="Palatino Linotype" w:hAnsi="Palatino Linotype" w:cs="Arial"/>
          <w:sz w:val="24"/>
          <w:szCs w:val="24"/>
          <w:lang w:val="es-ES"/>
        </w:rPr>
        <w:t>En este sentido, es necesario tomar en cuenta las siguientes disposiciones de la Ley de la materia, que a la letra señalan:</w:t>
      </w:r>
    </w:p>
    <w:p w14:paraId="4E1E6DC1" w14:textId="77777777" w:rsidR="00362A50" w:rsidRPr="000662CA" w:rsidRDefault="00362A50" w:rsidP="00362A50">
      <w:pPr>
        <w:spacing w:before="100" w:beforeAutospacing="1" w:after="100" w:afterAutospacing="1"/>
        <w:ind w:right="51"/>
        <w:contextualSpacing/>
        <w:jc w:val="both"/>
        <w:rPr>
          <w:rFonts w:ascii="Palatino Linotype" w:hAnsi="Palatino Linotype" w:cs="Arial"/>
          <w:lang w:val="es-ES"/>
        </w:rPr>
      </w:pPr>
    </w:p>
    <w:p w14:paraId="00656E64" w14:textId="77777777" w:rsidR="00362A50" w:rsidRPr="000662CA" w:rsidRDefault="00362A50" w:rsidP="00362A50">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w:t>
      </w:r>
      <w:r w:rsidRPr="000662CA">
        <w:rPr>
          <w:rFonts w:ascii="Palatino Linotype" w:hAnsi="Palatino Linotype"/>
          <w:b/>
          <w:i/>
          <w:lang w:val="es-ES"/>
        </w:rPr>
        <w:t>Artículo 50.</w:t>
      </w:r>
      <w:r w:rsidRPr="000662CA">
        <w:rPr>
          <w:rFonts w:ascii="Palatino Linotype" w:hAnsi="Palatino Linotype"/>
          <w:i/>
          <w:lang w:val="es-ES"/>
        </w:rPr>
        <w:t xml:space="preserve"> Los sujetos obligados contarán con un área responsable para la atención de las solicitudes de </w:t>
      </w:r>
      <w:r w:rsidRPr="000662CA">
        <w:rPr>
          <w:rFonts w:ascii="Palatino Linotype" w:hAnsi="Palatino Linotype" w:cs="Arial"/>
          <w:i/>
          <w:lang w:val="es-ES" w:eastAsia="es-MX"/>
        </w:rPr>
        <w:t>información</w:t>
      </w:r>
      <w:r w:rsidRPr="000662CA">
        <w:rPr>
          <w:rFonts w:ascii="Palatino Linotype" w:hAnsi="Palatino Linotype"/>
          <w:i/>
          <w:lang w:val="es-ES"/>
        </w:rPr>
        <w:t>, a la que se le denominará Unidad de Transparencia.</w:t>
      </w:r>
    </w:p>
    <w:p w14:paraId="4E48ADAC" w14:textId="77777777" w:rsidR="00362A50" w:rsidRPr="000662CA" w:rsidRDefault="00362A50" w:rsidP="00362A50">
      <w:pPr>
        <w:spacing w:before="100" w:beforeAutospacing="1" w:after="100" w:afterAutospacing="1"/>
        <w:ind w:left="567" w:right="618"/>
        <w:contextualSpacing/>
        <w:jc w:val="both"/>
        <w:rPr>
          <w:rFonts w:ascii="Palatino Linotype" w:hAnsi="Palatino Linotype"/>
          <w:i/>
          <w:lang w:val="es-ES"/>
        </w:rPr>
      </w:pPr>
    </w:p>
    <w:p w14:paraId="553B73EE" w14:textId="77777777" w:rsidR="00362A50" w:rsidRPr="000662CA" w:rsidRDefault="00362A50" w:rsidP="00362A50">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b/>
          <w:i/>
          <w:lang w:val="es-ES"/>
        </w:rPr>
        <w:t>Artículo 51</w:t>
      </w:r>
      <w:r w:rsidRPr="000662CA">
        <w:rPr>
          <w:rFonts w:ascii="Palatino Linotype" w:hAnsi="Palatino Linotype"/>
          <w:i/>
          <w:lang w:val="es-ES"/>
        </w:rPr>
        <w:t xml:space="preserve">. Los sujetos obligados designaran a un responsable para atender la Unidad de Transparencia, quien fungirá como enlace entre éstos y los solicitantes. Dicha Unidad será la encargada de tramitar </w:t>
      </w:r>
      <w:r w:rsidRPr="000662CA">
        <w:rPr>
          <w:rFonts w:ascii="Palatino Linotype" w:hAnsi="Palatino Linotype" w:cs="Arial"/>
          <w:i/>
          <w:lang w:val="es-ES" w:eastAsia="es-MX"/>
        </w:rPr>
        <w:t>internamente</w:t>
      </w:r>
      <w:r w:rsidRPr="000662CA">
        <w:rPr>
          <w:rFonts w:ascii="Palatino Linotype" w:hAnsi="Palatino Linotype"/>
          <w:i/>
          <w:lang w:val="es-ES"/>
        </w:rPr>
        <w:t xml:space="preserv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64DB4E85" w14:textId="77777777" w:rsidR="00362A50" w:rsidRPr="000662CA" w:rsidRDefault="00362A50" w:rsidP="00362A50">
      <w:pPr>
        <w:spacing w:before="100" w:beforeAutospacing="1" w:after="100" w:afterAutospacing="1"/>
        <w:ind w:left="567" w:right="618"/>
        <w:contextualSpacing/>
        <w:jc w:val="both"/>
        <w:rPr>
          <w:rFonts w:ascii="Palatino Linotype" w:hAnsi="Palatino Linotype"/>
          <w:i/>
          <w:lang w:val="es-ES"/>
        </w:rPr>
      </w:pPr>
    </w:p>
    <w:p w14:paraId="4C603515" w14:textId="77777777" w:rsidR="00362A50" w:rsidRPr="000662CA" w:rsidRDefault="00362A50" w:rsidP="00362A50">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b/>
          <w:i/>
          <w:lang w:val="es-ES"/>
        </w:rPr>
        <w:t>Artículo 53</w:t>
      </w:r>
      <w:r w:rsidRPr="000662CA">
        <w:rPr>
          <w:rFonts w:ascii="Palatino Linotype" w:hAnsi="Palatino Linotype"/>
          <w:i/>
          <w:lang w:val="es-ES"/>
        </w:rPr>
        <w:t xml:space="preserve">. Las Unidades de </w:t>
      </w:r>
      <w:r w:rsidRPr="000662CA">
        <w:rPr>
          <w:rFonts w:ascii="Palatino Linotype" w:hAnsi="Palatino Linotype" w:cs="Arial"/>
          <w:i/>
          <w:lang w:val="es-ES" w:eastAsia="es-MX"/>
        </w:rPr>
        <w:t>Transparencia</w:t>
      </w:r>
      <w:r w:rsidRPr="000662CA">
        <w:rPr>
          <w:rFonts w:ascii="Palatino Linotype" w:hAnsi="Palatino Linotype"/>
          <w:i/>
          <w:lang w:val="es-ES"/>
        </w:rPr>
        <w:t xml:space="preserve"> tendrán las siguientes funciones:</w:t>
      </w:r>
    </w:p>
    <w:p w14:paraId="21E14EA2" w14:textId="77777777" w:rsidR="00362A50" w:rsidRPr="000662CA" w:rsidRDefault="00362A50" w:rsidP="00362A50">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 xml:space="preserve">I. Recabar, difundir y actualizar la información relativa a las obligaciones de transparencia comunes y específicas a la </w:t>
      </w:r>
      <w:r w:rsidRPr="000662CA">
        <w:rPr>
          <w:rFonts w:ascii="Palatino Linotype" w:hAnsi="Palatino Linotype" w:cs="Arial"/>
          <w:i/>
          <w:lang w:val="es-ES" w:eastAsia="es-MX"/>
        </w:rPr>
        <w:t>que</w:t>
      </w:r>
      <w:r w:rsidRPr="000662CA">
        <w:rPr>
          <w:rFonts w:ascii="Palatino Linotype" w:hAnsi="Palatino Linotype"/>
          <w:i/>
          <w:lang w:val="es-ES"/>
        </w:rPr>
        <w:t xml:space="preserve"> se refiere la Ley General, esta Ley, la que determine el Instituto y las demás disposiciones de la materia, así como propiciar que las áreas la actualicen periódicamente conforme a la normatividad aplicable;</w:t>
      </w:r>
    </w:p>
    <w:p w14:paraId="5B9254D2" w14:textId="77777777" w:rsidR="00362A50" w:rsidRPr="000662CA" w:rsidRDefault="00362A50" w:rsidP="00362A50">
      <w:pPr>
        <w:spacing w:before="100" w:beforeAutospacing="1" w:after="100" w:afterAutospacing="1"/>
        <w:ind w:left="851" w:right="901"/>
        <w:contextualSpacing/>
        <w:jc w:val="both"/>
        <w:rPr>
          <w:rFonts w:ascii="Palatino Linotype" w:hAnsi="Palatino Linotype"/>
          <w:b/>
          <w:i/>
          <w:lang w:val="es-ES"/>
        </w:rPr>
      </w:pPr>
      <w:r w:rsidRPr="000662CA">
        <w:rPr>
          <w:rFonts w:ascii="Palatino Linotype" w:hAnsi="Palatino Linotype"/>
          <w:b/>
          <w:i/>
          <w:lang w:val="es-ES"/>
        </w:rPr>
        <w:t xml:space="preserve">II. Recibir, </w:t>
      </w:r>
      <w:r w:rsidRPr="000662CA">
        <w:rPr>
          <w:rFonts w:ascii="Palatino Linotype" w:hAnsi="Palatino Linotype"/>
          <w:b/>
          <w:i/>
          <w:u w:val="single"/>
          <w:lang w:val="es-ES"/>
        </w:rPr>
        <w:t>tramitar</w:t>
      </w:r>
      <w:r w:rsidRPr="000662CA">
        <w:rPr>
          <w:rFonts w:ascii="Palatino Linotype" w:hAnsi="Palatino Linotype"/>
          <w:b/>
          <w:i/>
          <w:lang w:val="es-ES"/>
        </w:rPr>
        <w:t xml:space="preserve"> y dar respuesta a las solicitudes de acceso a la información;</w:t>
      </w:r>
    </w:p>
    <w:p w14:paraId="17CCF06E" w14:textId="77777777" w:rsidR="00362A50" w:rsidRPr="000662CA" w:rsidRDefault="00362A50" w:rsidP="00362A50">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 xml:space="preserve">III. Auxiliar a los particulares en la elaboración de solicitudes de acceso a la información y, en su caso, orientarlos sobre los sujetos </w:t>
      </w:r>
      <w:r w:rsidRPr="000662CA">
        <w:rPr>
          <w:rFonts w:ascii="Palatino Linotype" w:hAnsi="Palatino Linotype" w:cs="Arial"/>
          <w:i/>
          <w:lang w:val="es-ES" w:eastAsia="es-MX"/>
        </w:rPr>
        <w:t>obligados</w:t>
      </w:r>
      <w:r w:rsidRPr="000662CA">
        <w:rPr>
          <w:rFonts w:ascii="Palatino Linotype" w:hAnsi="Palatino Linotype"/>
          <w:i/>
          <w:lang w:val="es-ES"/>
        </w:rPr>
        <w:t xml:space="preserve"> competentes conforme a la normatividad aplicable;</w:t>
      </w:r>
    </w:p>
    <w:p w14:paraId="2C307445" w14:textId="77777777" w:rsidR="00362A50" w:rsidRPr="000662CA" w:rsidRDefault="00362A50" w:rsidP="00362A50">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IV. Realizar, con efectividad, los trámites internos necesarios para la atención de las solicitudes de acceso a la información;</w:t>
      </w:r>
    </w:p>
    <w:p w14:paraId="59E93968" w14:textId="77777777" w:rsidR="00362A50" w:rsidRPr="000662CA" w:rsidRDefault="00362A50" w:rsidP="00362A50">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V. Entregar, en su caso, a los particulares la información solicitada;</w:t>
      </w:r>
    </w:p>
    <w:p w14:paraId="634C296A" w14:textId="77777777" w:rsidR="00362A50" w:rsidRPr="000662CA" w:rsidRDefault="00362A50" w:rsidP="00362A50">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VI. Efectuar las notificaciones a los solicitantes;</w:t>
      </w:r>
    </w:p>
    <w:p w14:paraId="7BDDB127" w14:textId="77777777" w:rsidR="00362A50" w:rsidRPr="000662CA" w:rsidRDefault="00362A50" w:rsidP="00362A50">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VII. Proponer al Comité de Transparencia, los procedimientos internos que aseguren la mayor eficiencia en la gestión de las solicitudes de acceso a la información, conforme a la normatividad aplicable;</w:t>
      </w:r>
    </w:p>
    <w:p w14:paraId="02E229B8" w14:textId="77777777" w:rsidR="00362A50" w:rsidRPr="000662CA" w:rsidRDefault="00362A50" w:rsidP="00362A50">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VIII. Proponer a quien preside el Comité de Transparencia, personal habilitado que sea necesario para recibir y dar trámite a las solicitudes de acceso a la información;</w:t>
      </w:r>
    </w:p>
    <w:p w14:paraId="396737C2" w14:textId="77777777" w:rsidR="00362A50" w:rsidRPr="000662CA" w:rsidRDefault="00362A50" w:rsidP="00362A50">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IX. Llevar un registro de las solicitudes de acceso a la información, sus respuestas, resultados, costos de reproducción y envío, resolución a los recursos de revisión que se hayan emitido en contra de sus respuestas y del cumplimiento de las mismas;</w:t>
      </w:r>
    </w:p>
    <w:p w14:paraId="47D2E4FF" w14:textId="77777777" w:rsidR="00362A50" w:rsidRPr="000662CA" w:rsidRDefault="00362A50" w:rsidP="00362A50">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X. Presentar ante el Comité, el proyecto de clasificación de información;</w:t>
      </w:r>
    </w:p>
    <w:p w14:paraId="00A7DB1D" w14:textId="77777777" w:rsidR="00362A50" w:rsidRPr="000662CA" w:rsidRDefault="00362A50" w:rsidP="00362A50">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XI. Promover e implementar políticas de transparencia proactiva procurando su accesibilidad;</w:t>
      </w:r>
    </w:p>
    <w:p w14:paraId="428D9E28" w14:textId="77777777" w:rsidR="00362A50" w:rsidRPr="000662CA" w:rsidRDefault="00362A50" w:rsidP="00362A50">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XII. Fomentar la transparencia y accesibilidad al interior del sujeto obligado;</w:t>
      </w:r>
    </w:p>
    <w:p w14:paraId="4DF94E55" w14:textId="77777777" w:rsidR="00362A50" w:rsidRPr="000662CA" w:rsidRDefault="00362A50" w:rsidP="00362A50">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lastRenderedPageBreak/>
        <w:t>XIII. Hacer del conocimiento de la instancia competente la probable responsabilidad por el incumplimiento de las obligaciones previstas en la presente Ley; y</w:t>
      </w:r>
    </w:p>
    <w:p w14:paraId="703EE419" w14:textId="77777777" w:rsidR="00362A50" w:rsidRPr="000662CA" w:rsidRDefault="00362A50" w:rsidP="00362A50">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XIV. Las demás que resulten necesarias para facilitar el acceso a la información y aquellas que se desprenden de la presente Ley y demás disposiciones jurídicas aplicables.</w:t>
      </w:r>
    </w:p>
    <w:p w14:paraId="37C18F64" w14:textId="77777777" w:rsidR="00362A50" w:rsidRPr="000662CA" w:rsidRDefault="00362A50" w:rsidP="00362A50">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14:paraId="17A6AFFE" w14:textId="77777777" w:rsidR="00362A50" w:rsidRPr="000662CA" w:rsidRDefault="00362A50" w:rsidP="00362A50">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14:paraId="70BA73BE" w14:textId="77777777" w:rsidR="00362A50" w:rsidRPr="000662CA" w:rsidRDefault="00362A50" w:rsidP="00362A50">
      <w:pPr>
        <w:spacing w:before="100" w:beforeAutospacing="1" w:after="100" w:afterAutospacing="1"/>
        <w:ind w:left="567" w:right="618"/>
        <w:contextualSpacing/>
        <w:jc w:val="both"/>
        <w:rPr>
          <w:rFonts w:ascii="Palatino Linotype" w:hAnsi="Palatino Linotype"/>
          <w:i/>
          <w:lang w:val="es-ES"/>
        </w:rPr>
      </w:pPr>
    </w:p>
    <w:p w14:paraId="3BF74360" w14:textId="77777777" w:rsidR="00362A50" w:rsidRPr="000662CA" w:rsidRDefault="00362A50" w:rsidP="00362A50">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b/>
          <w:i/>
          <w:lang w:val="es-ES"/>
        </w:rPr>
        <w:t>Artículo 59</w:t>
      </w:r>
      <w:r w:rsidRPr="000662CA">
        <w:rPr>
          <w:rFonts w:ascii="Palatino Linotype" w:hAnsi="Palatino Linotype"/>
          <w:i/>
          <w:lang w:val="es-ES"/>
        </w:rPr>
        <w:t>. Los servidores públicos habilitados tendrán las funciones siguientes:</w:t>
      </w:r>
    </w:p>
    <w:p w14:paraId="17E07D63" w14:textId="77777777" w:rsidR="00362A50" w:rsidRPr="000662CA" w:rsidRDefault="00362A50" w:rsidP="00362A50">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I. Localizar la información que le solicite la Unidad de Transparencia;</w:t>
      </w:r>
    </w:p>
    <w:p w14:paraId="1A370BB2" w14:textId="77777777" w:rsidR="00362A50" w:rsidRPr="000662CA" w:rsidRDefault="00362A50" w:rsidP="00362A50">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II. Proporcionar la información que obre en los archivos y que le sea solicitada por la Unidad de Transparencia;</w:t>
      </w:r>
    </w:p>
    <w:p w14:paraId="4CC85F24" w14:textId="77777777" w:rsidR="00362A50" w:rsidRPr="000662CA" w:rsidRDefault="00362A50" w:rsidP="00362A50">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III. Apoyar a la Unidad de Transparencia en lo que esta le solicite para el cumplimiento de sus funciones;</w:t>
      </w:r>
    </w:p>
    <w:p w14:paraId="3DF6B9C0" w14:textId="77777777" w:rsidR="00362A50" w:rsidRPr="000662CA" w:rsidRDefault="00362A50" w:rsidP="00362A50">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IV. Proporcionar a la Unidad de Transparencia, las modificaciones a la información pública de oficio que obre en su poder;</w:t>
      </w:r>
    </w:p>
    <w:p w14:paraId="3D40D424" w14:textId="77777777" w:rsidR="00362A50" w:rsidRPr="000662CA" w:rsidRDefault="00362A50" w:rsidP="00362A50">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V. Integrar y presentar al responsable de la Unidad de Transparencia la propuesta de clasificación de información, la cual tendrá los fundamentos y argumentos en que se basa dicha propuesta;</w:t>
      </w:r>
    </w:p>
    <w:p w14:paraId="7B17374D" w14:textId="77777777" w:rsidR="00362A50" w:rsidRPr="000662CA" w:rsidRDefault="00362A50" w:rsidP="00362A50">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VI. Verificar, una vez analizado el contenido de la información, que no se encuentre en los supuestos de información clasificada; y</w:t>
      </w:r>
    </w:p>
    <w:p w14:paraId="44B17717" w14:textId="77777777" w:rsidR="00362A50" w:rsidRPr="000662CA" w:rsidRDefault="00362A50" w:rsidP="00362A50">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VII. Dar cuenta a la Unidad de Transparencia del vencimiento de los plazos de reserva.</w:t>
      </w:r>
    </w:p>
    <w:p w14:paraId="67327968" w14:textId="77777777" w:rsidR="00362A50" w:rsidRPr="000662CA" w:rsidRDefault="00362A50" w:rsidP="00362A50">
      <w:pPr>
        <w:spacing w:before="100" w:beforeAutospacing="1" w:after="100" w:afterAutospacing="1"/>
        <w:ind w:left="567" w:right="618"/>
        <w:contextualSpacing/>
        <w:jc w:val="both"/>
        <w:rPr>
          <w:rFonts w:ascii="Palatino Linotype" w:hAnsi="Palatino Linotype"/>
          <w:i/>
          <w:lang w:val="es-ES"/>
        </w:rPr>
      </w:pPr>
    </w:p>
    <w:p w14:paraId="166872A2" w14:textId="77777777" w:rsidR="00362A50" w:rsidRPr="000662CA" w:rsidRDefault="00362A50" w:rsidP="00362A50">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b/>
          <w:i/>
          <w:lang w:val="es-ES"/>
        </w:rPr>
        <w:lastRenderedPageBreak/>
        <w:t>Artículo 162</w:t>
      </w:r>
      <w:r w:rsidRPr="000662CA">
        <w:rPr>
          <w:rFonts w:ascii="Palatino Linotype" w:hAnsi="Palatino Linotype"/>
          <w:i/>
          <w:lang w:val="es-ES"/>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40028140" w14:textId="77777777" w:rsidR="00362A50" w:rsidRPr="000662CA" w:rsidRDefault="00362A50" w:rsidP="00362A50">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(Énfasis añadido)</w:t>
      </w:r>
    </w:p>
    <w:p w14:paraId="3B254A45" w14:textId="77777777" w:rsidR="00362A50" w:rsidRPr="000662CA" w:rsidRDefault="00362A50" w:rsidP="00362A50">
      <w:pPr>
        <w:spacing w:before="100" w:beforeAutospacing="1" w:after="100" w:afterAutospacing="1"/>
        <w:contextualSpacing/>
        <w:jc w:val="both"/>
        <w:rPr>
          <w:rFonts w:ascii="Palatino Linotype" w:hAnsi="Palatino Linotype" w:cs="Arial"/>
          <w:lang w:val="es-ES"/>
        </w:rPr>
      </w:pPr>
    </w:p>
    <w:p w14:paraId="209F00A0" w14:textId="2A8554E9" w:rsidR="00362A50" w:rsidRPr="00362A50" w:rsidRDefault="00362A50" w:rsidP="00362A50">
      <w:pPr>
        <w:spacing w:before="100" w:beforeAutospacing="1" w:after="100" w:afterAutospacing="1" w:line="360" w:lineRule="auto"/>
        <w:contextualSpacing/>
        <w:jc w:val="both"/>
        <w:rPr>
          <w:rFonts w:ascii="Palatino Linotype" w:eastAsia="Calibri" w:hAnsi="Palatino Linotype"/>
          <w:sz w:val="24"/>
          <w:szCs w:val="24"/>
          <w:lang w:val="es-ES"/>
        </w:rPr>
      </w:pPr>
      <w:r w:rsidRPr="00362A50">
        <w:rPr>
          <w:rFonts w:ascii="Palatino Linotype" w:eastAsia="Calibri" w:hAnsi="Palatino Linotype"/>
          <w:sz w:val="24"/>
          <w:szCs w:val="24"/>
          <w:lang w:val="es-ES"/>
        </w:rPr>
        <w:t>De los preceptos legales citados, se desprende que las Unidades de Transparencia, se le atribuye como el área responsable de cada Sujeto Obligado el tener a su cargo la atención de las solicitudes de información que se realicen al amparo de la Ley, el responsable de dicha área funge como enlace entre el Sujeto Obligado y los solicitantes ya que tienen bajo su responsabilidad el tramitar internamente la solicitud de información.</w:t>
      </w:r>
    </w:p>
    <w:p w14:paraId="0EE7BF83" w14:textId="77777777" w:rsidR="00362A50" w:rsidRPr="00362A50" w:rsidRDefault="00362A50" w:rsidP="00362A50">
      <w:pPr>
        <w:spacing w:before="100" w:beforeAutospacing="1" w:after="100" w:afterAutospacing="1" w:line="360" w:lineRule="auto"/>
        <w:ind w:left="426"/>
        <w:contextualSpacing/>
        <w:jc w:val="both"/>
        <w:rPr>
          <w:rFonts w:ascii="Palatino Linotype" w:eastAsia="Calibri" w:hAnsi="Palatino Linotype"/>
          <w:sz w:val="24"/>
          <w:szCs w:val="24"/>
          <w:lang w:val="es-ES"/>
        </w:rPr>
      </w:pPr>
    </w:p>
    <w:p w14:paraId="6BAABFB5" w14:textId="77777777" w:rsidR="00362A50" w:rsidRPr="00362A50" w:rsidRDefault="00362A50" w:rsidP="00362A50">
      <w:pPr>
        <w:spacing w:before="100" w:beforeAutospacing="1" w:after="100" w:afterAutospacing="1" w:line="360" w:lineRule="auto"/>
        <w:contextualSpacing/>
        <w:jc w:val="both"/>
        <w:rPr>
          <w:rFonts w:ascii="Palatino Linotype" w:eastAsia="Calibri" w:hAnsi="Palatino Linotype"/>
          <w:sz w:val="24"/>
          <w:szCs w:val="24"/>
          <w:lang w:val="es-ES"/>
        </w:rPr>
      </w:pPr>
      <w:r w:rsidRPr="00362A50">
        <w:rPr>
          <w:rFonts w:ascii="Palatino Linotype" w:eastAsia="Calibri" w:hAnsi="Palatino Linotype"/>
          <w:sz w:val="24"/>
          <w:szCs w:val="24"/>
          <w:lang w:val="es-ES"/>
        </w:rPr>
        <w:t>De tal manera que, si bien, el Titular de la Unidad de Transparencia no tiene bajo su resguardo el archivo que contiene la documentación en donde consta la información requerida, sino que puede obrar en las distintas áreas que conforman la estructura del Sujeto Obligado, es por ello que debe turnar la solicitud a los servidores públicos habilitados que pudieran generar, administrar o poseer la información; pues los mismos, tienen como función, buscar, localizar y poseer la información, así como entregarla.</w:t>
      </w:r>
    </w:p>
    <w:p w14:paraId="108968A9" w14:textId="77777777" w:rsidR="00362A50" w:rsidRPr="00362A50" w:rsidRDefault="00362A50" w:rsidP="00362A50">
      <w:pPr>
        <w:spacing w:before="100" w:beforeAutospacing="1" w:after="100" w:afterAutospacing="1" w:line="360" w:lineRule="auto"/>
        <w:contextualSpacing/>
        <w:jc w:val="both"/>
        <w:rPr>
          <w:rFonts w:ascii="Palatino Linotype" w:eastAsia="Calibri" w:hAnsi="Palatino Linotype"/>
          <w:sz w:val="24"/>
          <w:szCs w:val="24"/>
          <w:lang w:val="es-ES"/>
        </w:rPr>
      </w:pPr>
    </w:p>
    <w:p w14:paraId="0280D013" w14:textId="77777777" w:rsidR="00362A50" w:rsidRPr="00362A50" w:rsidRDefault="00362A50" w:rsidP="00362A50">
      <w:pPr>
        <w:spacing w:before="100" w:beforeAutospacing="1" w:after="100" w:afterAutospacing="1" w:line="360" w:lineRule="auto"/>
        <w:contextualSpacing/>
        <w:jc w:val="both"/>
        <w:rPr>
          <w:rFonts w:ascii="Palatino Linotype" w:eastAsia="Calibri" w:hAnsi="Palatino Linotype"/>
          <w:sz w:val="24"/>
          <w:szCs w:val="24"/>
          <w:lang w:val="es-ES"/>
        </w:rPr>
      </w:pPr>
      <w:r w:rsidRPr="00362A50">
        <w:rPr>
          <w:rFonts w:ascii="Palatino Linotype" w:eastAsia="Calibri" w:hAnsi="Palatino Linotype"/>
          <w:sz w:val="24"/>
          <w:szCs w:val="24"/>
          <w:lang w:val="es-ES"/>
        </w:rPr>
        <w:t>Es por ello, que corresponde al Titular de la Unidad de Transparencia el garantizar que las solicitudes se turnen a todas las áreas competentes que puedan contar con la información, con el objeto de que se realice una búsqueda exhaustiva y razonable de la misma.</w:t>
      </w:r>
    </w:p>
    <w:p w14:paraId="22BB109E" w14:textId="77777777" w:rsidR="00362A50" w:rsidRPr="000662CA" w:rsidRDefault="00362A50" w:rsidP="00362A50">
      <w:pPr>
        <w:spacing w:before="100" w:beforeAutospacing="1" w:after="100" w:afterAutospacing="1" w:line="360" w:lineRule="auto"/>
        <w:contextualSpacing/>
        <w:jc w:val="both"/>
        <w:rPr>
          <w:rFonts w:ascii="Palatino Linotype" w:eastAsia="Calibri" w:hAnsi="Palatino Linotype"/>
          <w:lang w:val="es-ES"/>
        </w:rPr>
      </w:pPr>
    </w:p>
    <w:p w14:paraId="50FADA90" w14:textId="0E9E73C2" w:rsidR="00B9029F" w:rsidRDefault="007D1739" w:rsidP="00B9029F">
      <w:pPr>
        <w:spacing w:after="0" w:line="360" w:lineRule="auto"/>
        <w:jc w:val="both"/>
        <w:rPr>
          <w:rFonts w:ascii="Palatino Linotype" w:hAnsi="Palatino Linotype"/>
          <w:bCs/>
          <w:sz w:val="24"/>
          <w:szCs w:val="24"/>
        </w:rPr>
      </w:pPr>
      <w:r>
        <w:rPr>
          <w:rFonts w:ascii="Palatino Linotype" w:hAnsi="Palatino Linotype"/>
          <w:bCs/>
          <w:sz w:val="24"/>
          <w:szCs w:val="24"/>
        </w:rPr>
        <w:lastRenderedPageBreak/>
        <w:t>Ahora bien</w:t>
      </w:r>
      <w:r w:rsidR="00B9029F">
        <w:rPr>
          <w:rFonts w:ascii="Palatino Linotype" w:hAnsi="Palatino Linotype"/>
          <w:bCs/>
          <w:sz w:val="24"/>
          <w:szCs w:val="24"/>
        </w:rPr>
        <w:t xml:space="preserve">, </w:t>
      </w:r>
      <w:r>
        <w:rPr>
          <w:rFonts w:ascii="Palatino Linotype" w:hAnsi="Palatino Linotype"/>
          <w:bCs/>
          <w:sz w:val="24"/>
          <w:szCs w:val="24"/>
        </w:rPr>
        <w:t xml:space="preserve">recordemos que el solicitante requiere el saldo que </w:t>
      </w:r>
      <w:r w:rsidR="00B20410">
        <w:rPr>
          <w:rFonts w:ascii="Palatino Linotype" w:hAnsi="Palatino Linotype"/>
          <w:bCs/>
          <w:sz w:val="24"/>
          <w:szCs w:val="24"/>
        </w:rPr>
        <w:t xml:space="preserve">el Municipio de Atizapán </w:t>
      </w:r>
      <w:r>
        <w:rPr>
          <w:rFonts w:ascii="Palatino Linotype" w:hAnsi="Palatino Linotype"/>
          <w:bCs/>
          <w:sz w:val="24"/>
          <w:szCs w:val="24"/>
        </w:rPr>
        <w:t>tiene con los provee</w:t>
      </w:r>
      <w:r w:rsidR="00B9029F">
        <w:rPr>
          <w:rFonts w:ascii="Palatino Linotype" w:hAnsi="Palatino Linotype"/>
          <w:bCs/>
          <w:sz w:val="24"/>
          <w:szCs w:val="24"/>
        </w:rPr>
        <w:t xml:space="preserve">dores, para ello, es necesario citar lo que establece el </w:t>
      </w:r>
      <w:r w:rsidR="00B9029F" w:rsidRPr="00B9029F">
        <w:rPr>
          <w:rFonts w:ascii="Palatino Linotype" w:hAnsi="Palatino Linotype"/>
          <w:bCs/>
          <w:sz w:val="24"/>
          <w:szCs w:val="24"/>
        </w:rPr>
        <w:t>acuerdo 008/2021 por el que se emiten las políticas, fechas de capacitación y calendarización de entrega de los Informes Trimestrales de los Sujetos de Fiscalización del Estado de México, del Ejercicio Fiscal 2021.</w:t>
      </w:r>
    </w:p>
    <w:p w14:paraId="429F9D1D" w14:textId="77777777" w:rsidR="00B9029F" w:rsidRDefault="00B9029F" w:rsidP="00B9029F">
      <w:pPr>
        <w:spacing w:after="0" w:line="360" w:lineRule="auto"/>
        <w:jc w:val="both"/>
        <w:rPr>
          <w:rFonts w:ascii="Palatino Linotype" w:hAnsi="Palatino Linotype"/>
          <w:bCs/>
          <w:sz w:val="24"/>
          <w:szCs w:val="24"/>
        </w:rPr>
      </w:pPr>
    </w:p>
    <w:p w14:paraId="0507F3E7" w14:textId="15377068" w:rsidR="008803B7" w:rsidRPr="002B23E2" w:rsidRDefault="00B9029F" w:rsidP="002B23E2">
      <w:pPr>
        <w:spacing w:after="0" w:line="240" w:lineRule="auto"/>
        <w:ind w:left="851" w:right="850"/>
        <w:jc w:val="both"/>
        <w:rPr>
          <w:rFonts w:ascii="Palatino Linotype" w:hAnsi="Palatino Linotype"/>
          <w:i/>
        </w:rPr>
      </w:pPr>
      <w:r w:rsidRPr="002B23E2">
        <w:rPr>
          <w:rFonts w:ascii="Palatino Linotype" w:hAnsi="Palatino Linotype"/>
          <w:i/>
        </w:rPr>
        <w:t>PRIMERO. Los Informes Trimestrales de los sujetos de fiscalización, se deben realizar conforme a lo establecido en el Requerimiento anual para la entrega de los Informes Trimestrales de las entidades fiscalizables estatales y municipales del ejercicio 2021, y a las “Políticas para la Integración del Informe Trimestral de los Sujetos de Fiscalización Estatales para el ejercicio 2021”, mismas que se integran en el anexo uno, así como a las “Políticas para la Integración del Informe Trimestral de los Sujetos de Fiscalización Municipales para el ejercicio 2021”, establecidas en el anexo dos, ambos anexos publicados a través de este Acuerdo, también disponibles en el sitio electrónico del Órgano Superior de Fiscalización.</w:t>
      </w:r>
    </w:p>
    <w:p w14:paraId="0ADFF451" w14:textId="3701FC82" w:rsidR="00B9029F" w:rsidRPr="002B23E2" w:rsidRDefault="00B9029F" w:rsidP="002B23E2">
      <w:pPr>
        <w:spacing w:after="0" w:line="240" w:lineRule="auto"/>
        <w:ind w:left="851" w:right="850"/>
        <w:jc w:val="both"/>
        <w:rPr>
          <w:rFonts w:ascii="Palatino Linotype" w:hAnsi="Palatino Linotype"/>
          <w:i/>
        </w:rPr>
      </w:pPr>
      <w:r w:rsidRPr="002B23E2">
        <w:rPr>
          <w:rFonts w:ascii="Palatino Linotype" w:hAnsi="Palatino Linotype"/>
          <w:i/>
        </w:rPr>
        <w:t>…</w:t>
      </w:r>
    </w:p>
    <w:p w14:paraId="5DF7BC48" w14:textId="77777777" w:rsidR="002B23E2" w:rsidRPr="002B23E2" w:rsidRDefault="00B9029F" w:rsidP="002B23E2">
      <w:pPr>
        <w:spacing w:after="0" w:line="240" w:lineRule="auto"/>
        <w:ind w:left="851" w:right="850"/>
        <w:jc w:val="both"/>
        <w:rPr>
          <w:rFonts w:ascii="Palatino Linotype" w:hAnsi="Palatino Linotype"/>
          <w:i/>
        </w:rPr>
      </w:pPr>
      <w:r w:rsidRPr="002B23E2">
        <w:rPr>
          <w:rFonts w:ascii="Palatino Linotype" w:hAnsi="Palatino Linotype"/>
          <w:i/>
        </w:rPr>
        <w:t xml:space="preserve">CUARTO. Se les requiere a los sujetos de fiscalización, cumplir con la presentación de la información referida de forma pertinente, completa, veraz, oportuna y correcta, que guarde plena relación con lo solicitado; a fin de que este Órgano Superior de Fiscalización dé cumplimiento a sus atribuciones conferidas en términos constitucionales y legales. </w:t>
      </w:r>
    </w:p>
    <w:p w14:paraId="6240D53A" w14:textId="03FEFED6" w:rsidR="00B9029F" w:rsidRPr="002B23E2" w:rsidRDefault="00B9029F" w:rsidP="002B23E2">
      <w:pPr>
        <w:spacing w:after="0" w:line="240" w:lineRule="auto"/>
        <w:ind w:left="851" w:right="850"/>
        <w:jc w:val="both"/>
        <w:rPr>
          <w:rFonts w:ascii="Palatino Linotype" w:hAnsi="Palatino Linotype"/>
          <w:bCs/>
          <w:i/>
        </w:rPr>
      </w:pPr>
      <w:r w:rsidRPr="002B23E2">
        <w:rPr>
          <w:rFonts w:ascii="Palatino Linotype" w:hAnsi="Palatino Linotype"/>
          <w:i/>
        </w:rPr>
        <w:t>Por lo que, ante la negativa a entregar información o aportar información falsa al Órgano Superior de Fiscalización, así como llevar a cabo actos de simulación para entorpecer y obstaculizar la actividad fiscalizadora, los responsables serán sancionados conforme a la Ley General de Responsabilidades Administrativas, la Ley de Responsabilidades Administrativas del Estado de México y Municipios, y en su caso, de la legislación penal aplicable.</w:t>
      </w:r>
    </w:p>
    <w:p w14:paraId="1D2496F9" w14:textId="77777777" w:rsidR="008803B7" w:rsidRDefault="008803B7" w:rsidP="00DA4850">
      <w:pPr>
        <w:spacing w:after="0" w:line="360" w:lineRule="auto"/>
        <w:jc w:val="both"/>
        <w:rPr>
          <w:rFonts w:ascii="Palatino Linotype" w:hAnsi="Palatino Linotype"/>
          <w:bCs/>
          <w:sz w:val="24"/>
          <w:szCs w:val="24"/>
        </w:rPr>
      </w:pPr>
    </w:p>
    <w:p w14:paraId="1FC08ED3" w14:textId="0060F7D6" w:rsidR="008803B7" w:rsidRDefault="00C738ED" w:rsidP="00DA4850">
      <w:pPr>
        <w:spacing w:after="0" w:line="360" w:lineRule="auto"/>
        <w:jc w:val="both"/>
        <w:rPr>
          <w:rFonts w:ascii="Palatino Linotype" w:hAnsi="Palatino Linotype"/>
          <w:bCs/>
          <w:sz w:val="24"/>
          <w:szCs w:val="24"/>
        </w:rPr>
      </w:pPr>
      <w:r>
        <w:rPr>
          <w:rFonts w:ascii="Palatino Linotype" w:hAnsi="Palatino Linotype"/>
          <w:bCs/>
          <w:sz w:val="24"/>
          <w:szCs w:val="24"/>
        </w:rPr>
        <w:t>De los preceptos legales insertos, se advierte que las Entidades Fiscalizables Municipales deben cumplir con la presentación de la información relativa al informe trimestral y esta deberá ser de manera completa veraz y oportuna.</w:t>
      </w:r>
    </w:p>
    <w:p w14:paraId="38009F32" w14:textId="77777777" w:rsidR="00C738ED" w:rsidRDefault="00C738ED" w:rsidP="00DA4850">
      <w:pPr>
        <w:spacing w:after="0" w:line="360" w:lineRule="auto"/>
        <w:jc w:val="both"/>
        <w:rPr>
          <w:rFonts w:ascii="Palatino Linotype" w:hAnsi="Palatino Linotype"/>
          <w:bCs/>
          <w:sz w:val="24"/>
          <w:szCs w:val="24"/>
        </w:rPr>
      </w:pPr>
    </w:p>
    <w:p w14:paraId="1B05B0A3" w14:textId="0605F842" w:rsidR="00C738ED" w:rsidRDefault="00C738ED" w:rsidP="00DA4850">
      <w:pPr>
        <w:spacing w:after="0" w:line="360" w:lineRule="auto"/>
        <w:jc w:val="both"/>
        <w:rPr>
          <w:rFonts w:ascii="Palatino Linotype" w:hAnsi="Palatino Linotype"/>
          <w:sz w:val="24"/>
          <w:szCs w:val="24"/>
        </w:rPr>
      </w:pPr>
      <w:r>
        <w:rPr>
          <w:rFonts w:ascii="Palatino Linotype" w:hAnsi="Palatino Linotype"/>
          <w:bCs/>
          <w:sz w:val="24"/>
          <w:szCs w:val="24"/>
        </w:rPr>
        <w:lastRenderedPageBreak/>
        <w:t xml:space="preserve">Estos informes </w:t>
      </w:r>
      <w:r w:rsidRPr="00C738ED">
        <w:rPr>
          <w:rFonts w:ascii="Palatino Linotype" w:hAnsi="Palatino Linotype"/>
          <w:bCs/>
          <w:sz w:val="24"/>
          <w:szCs w:val="24"/>
        </w:rPr>
        <w:t xml:space="preserve">trimestrales se refieren al </w:t>
      </w:r>
      <w:r w:rsidRPr="00C738ED">
        <w:rPr>
          <w:rFonts w:ascii="Palatino Linotype" w:hAnsi="Palatino Linotype"/>
          <w:sz w:val="24"/>
          <w:szCs w:val="24"/>
        </w:rPr>
        <w:t>documento físico y/o electrónico que trimestralmente presentarán las entidades fiscalizables sobre la situación económica, las finanzas públicas, y en su caso deuda pública para su análisis al Órgano Superior, a través de las Tesorerías Municipales y la Secretaría de Finanzas y en su caso, las áreas competentes y deberán se</w:t>
      </w:r>
      <w:r>
        <w:rPr>
          <w:rFonts w:ascii="Palatino Linotype" w:hAnsi="Palatino Linotype"/>
          <w:sz w:val="24"/>
          <w:szCs w:val="24"/>
        </w:rPr>
        <w:t>r</w:t>
      </w:r>
      <w:r w:rsidRPr="00C738ED">
        <w:rPr>
          <w:rFonts w:ascii="Palatino Linotype" w:hAnsi="Palatino Linotype"/>
          <w:sz w:val="24"/>
          <w:szCs w:val="24"/>
        </w:rPr>
        <w:t xml:space="preserve"> presentados dentro de los vei</w:t>
      </w:r>
      <w:r>
        <w:rPr>
          <w:rFonts w:ascii="Palatino Linotype" w:hAnsi="Palatino Linotype"/>
          <w:sz w:val="24"/>
          <w:szCs w:val="24"/>
        </w:rPr>
        <w:t>n</w:t>
      </w:r>
      <w:r w:rsidRPr="00C738ED">
        <w:rPr>
          <w:rFonts w:ascii="Palatino Linotype" w:hAnsi="Palatino Linotype"/>
          <w:sz w:val="24"/>
          <w:szCs w:val="24"/>
        </w:rPr>
        <w:t>te días hábiles posteriores al termino del trimestre correspondiente.</w:t>
      </w:r>
    </w:p>
    <w:p w14:paraId="531B1825" w14:textId="77777777" w:rsidR="00F87EB4" w:rsidRDefault="00F87EB4" w:rsidP="00DA4850">
      <w:pPr>
        <w:spacing w:after="0" w:line="360" w:lineRule="auto"/>
        <w:jc w:val="both"/>
        <w:rPr>
          <w:rFonts w:ascii="Palatino Linotype" w:hAnsi="Palatino Linotype"/>
          <w:sz w:val="24"/>
          <w:szCs w:val="24"/>
        </w:rPr>
      </w:pPr>
    </w:p>
    <w:p w14:paraId="4867F132" w14:textId="6471EA93" w:rsidR="00F87EB4" w:rsidRDefault="00F87EB4" w:rsidP="00DA4850">
      <w:pPr>
        <w:spacing w:after="0" w:line="360" w:lineRule="auto"/>
        <w:jc w:val="both"/>
        <w:rPr>
          <w:rFonts w:ascii="Palatino Linotype" w:hAnsi="Palatino Linotype"/>
          <w:sz w:val="24"/>
          <w:szCs w:val="24"/>
        </w:rPr>
      </w:pPr>
      <w:r>
        <w:rPr>
          <w:rFonts w:ascii="Palatino Linotype" w:hAnsi="Palatino Linotype"/>
          <w:sz w:val="24"/>
          <w:szCs w:val="24"/>
        </w:rPr>
        <w:t>El informe trimestral, contiene información contable y financiera, información presupuestaria, información programática e información administrativa.</w:t>
      </w:r>
    </w:p>
    <w:p w14:paraId="569CD558" w14:textId="77777777" w:rsidR="00F87EB4" w:rsidRDefault="00F87EB4" w:rsidP="00DA4850">
      <w:pPr>
        <w:spacing w:after="0" w:line="360" w:lineRule="auto"/>
        <w:jc w:val="both"/>
        <w:rPr>
          <w:rFonts w:ascii="Palatino Linotype" w:hAnsi="Palatino Linotype"/>
          <w:sz w:val="24"/>
          <w:szCs w:val="24"/>
        </w:rPr>
      </w:pPr>
    </w:p>
    <w:p w14:paraId="2E11BC57" w14:textId="6ACA8D30" w:rsidR="00F87EB4" w:rsidRDefault="00F87EB4" w:rsidP="00DA4850">
      <w:pPr>
        <w:spacing w:after="0" w:line="360" w:lineRule="auto"/>
        <w:jc w:val="both"/>
        <w:rPr>
          <w:rFonts w:ascii="Palatino Linotype" w:hAnsi="Palatino Linotype"/>
          <w:sz w:val="24"/>
          <w:szCs w:val="24"/>
        </w:rPr>
      </w:pPr>
      <w:r>
        <w:rPr>
          <w:rFonts w:ascii="Palatino Linotype" w:hAnsi="Palatino Linotype"/>
          <w:sz w:val="24"/>
          <w:szCs w:val="24"/>
        </w:rPr>
        <w:t>Dentro de la información contable financiera, tenemos que el Sujeto Obligado deberá remitir la balanza de comprobación acumulada trimestral y la balanza de comprobación detallada Acumulada Trimestral, como se muestra a continuación:</w:t>
      </w:r>
    </w:p>
    <w:p w14:paraId="77974BC4" w14:textId="2EE3F6D0" w:rsidR="00F87EB4" w:rsidRDefault="00F87EB4" w:rsidP="00DA4850">
      <w:pPr>
        <w:spacing w:after="0" w:line="360" w:lineRule="auto"/>
        <w:jc w:val="both"/>
        <w:rPr>
          <w:rFonts w:ascii="Palatino Linotype" w:hAnsi="Palatino Linotype"/>
          <w:sz w:val="24"/>
          <w:szCs w:val="24"/>
        </w:rPr>
      </w:pPr>
      <w:r>
        <w:rPr>
          <w:noProof/>
          <w:lang w:eastAsia="es-MX"/>
        </w:rPr>
        <mc:AlternateContent>
          <mc:Choice Requires="wps">
            <w:drawing>
              <wp:anchor distT="0" distB="0" distL="114300" distR="114300" simplePos="0" relativeHeight="251668480" behindDoc="0" locked="0" layoutInCell="1" allowOverlap="1" wp14:anchorId="7A80456D" wp14:editId="4DEFFDA5">
                <wp:simplePos x="0" y="0"/>
                <wp:positionH relativeFrom="page">
                  <wp:posOffset>2933700</wp:posOffset>
                </wp:positionH>
                <wp:positionV relativeFrom="paragraph">
                  <wp:posOffset>1646926</wp:posOffset>
                </wp:positionV>
                <wp:extent cx="1866900" cy="209550"/>
                <wp:effectExtent l="0" t="0" r="19050" b="19050"/>
                <wp:wrapNone/>
                <wp:docPr id="17" name="Rectángulo 17"/>
                <wp:cNvGraphicFramePr/>
                <a:graphic xmlns:a="http://schemas.openxmlformats.org/drawingml/2006/main">
                  <a:graphicData uri="http://schemas.microsoft.com/office/word/2010/wordprocessingShape">
                    <wps:wsp>
                      <wps:cNvSpPr/>
                      <wps:spPr>
                        <a:xfrm>
                          <a:off x="0" y="0"/>
                          <a:ext cx="1866900" cy="2095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A6A6C5" id="Rectángulo 17" o:spid="_x0000_s1026" style="position:absolute;margin-left:231pt;margin-top:129.7pt;width:147pt;height:16.5pt;z-index:251668480;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" filled="f" strokecolor="red" strokeweight="1.5pt">
                <w10:wrap anchorx="page"/>
              </v:rect>
            </w:pict>
          </mc:Fallback>
        </mc:AlternateContent>
      </w:r>
      <w:r>
        <w:rPr>
          <w:noProof/>
          <w:lang w:eastAsia="es-MX"/>
        </w:rPr>
        <w:drawing>
          <wp:inline distT="0" distB="0" distL="0" distR="0" wp14:anchorId="00521BDA" wp14:editId="19E3C227">
            <wp:extent cx="4896339" cy="3071004"/>
            <wp:effectExtent l="190500" t="190500" r="190500" b="18669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6369" t="8819" r="17990" b="17990"/>
                    <a:stretch/>
                  </pic:blipFill>
                  <pic:spPr bwMode="auto">
                    <a:xfrm>
                      <a:off x="0" y="0"/>
                      <a:ext cx="4914956" cy="308268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4560B39" w14:textId="5A3FA127" w:rsidR="00C738ED" w:rsidRDefault="00F87EB4" w:rsidP="00DA4850">
      <w:pPr>
        <w:spacing w:after="0" w:line="360" w:lineRule="auto"/>
        <w:jc w:val="both"/>
        <w:rPr>
          <w:rFonts w:ascii="Palatino Linotype" w:hAnsi="Palatino Linotype"/>
          <w:bCs/>
          <w:sz w:val="24"/>
          <w:szCs w:val="24"/>
        </w:rPr>
      </w:pPr>
      <w:r>
        <w:rPr>
          <w:noProof/>
          <w:lang w:eastAsia="es-MX"/>
        </w:rPr>
        <w:lastRenderedPageBreak/>
        <w:drawing>
          <wp:inline distT="0" distB="0" distL="0" distR="0" wp14:anchorId="56163586" wp14:editId="61B2F24B">
            <wp:extent cx="4962525" cy="3191092"/>
            <wp:effectExtent l="190500" t="190500" r="180975" b="2000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7527" t="16167" r="17163" b="9171"/>
                    <a:stretch/>
                  </pic:blipFill>
                  <pic:spPr bwMode="auto">
                    <a:xfrm>
                      <a:off x="0" y="0"/>
                      <a:ext cx="4964093" cy="31921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A650723" w14:textId="32DE416E" w:rsidR="00F87EB4" w:rsidRDefault="00F87EB4" w:rsidP="00DA4850">
      <w:pPr>
        <w:spacing w:after="0" w:line="360" w:lineRule="auto"/>
        <w:jc w:val="both"/>
        <w:rPr>
          <w:rFonts w:ascii="Palatino Linotype" w:hAnsi="Palatino Linotype"/>
          <w:bCs/>
          <w:sz w:val="24"/>
          <w:szCs w:val="24"/>
        </w:rPr>
      </w:pPr>
      <w:r>
        <w:rPr>
          <w:noProof/>
          <w:lang w:eastAsia="es-MX"/>
        </w:rPr>
        <w:drawing>
          <wp:inline distT="0" distB="0" distL="0" distR="0" wp14:anchorId="1380DC79" wp14:editId="17881681">
            <wp:extent cx="4972050" cy="3400638"/>
            <wp:effectExtent l="190500" t="190500" r="190500" b="2000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5541" t="14111" r="17494" b="4467"/>
                    <a:stretch/>
                  </pic:blipFill>
                  <pic:spPr bwMode="auto">
                    <a:xfrm>
                      <a:off x="0" y="0"/>
                      <a:ext cx="4979782" cy="340592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F3F88F5" w14:textId="6676A5C1" w:rsidR="008803B7" w:rsidRDefault="008803B7" w:rsidP="008803B7">
      <w:pPr>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De la imagen anterior, podemos aseverar que efectivamente de manera trimestral se entrega al Órgano Superior de Fiscalización la información relativa a la balanza de comprobación acumulada y detallada, misma que contiene la información referente a </w:t>
      </w:r>
      <w:r w:rsidR="00E53357">
        <w:rPr>
          <w:rFonts w:ascii="Palatino Linotype" w:hAnsi="Palatino Linotype" w:cs="Arial"/>
          <w:sz w:val="24"/>
          <w:szCs w:val="24"/>
        </w:rPr>
        <w:t>todos y cada uno de los movimientos que se registran con motivo de la afectación a las cuentas contables concerniente entre otras a los proveedores</w:t>
      </w:r>
      <w:r w:rsidRPr="001205A0">
        <w:rPr>
          <w:rFonts w:ascii="Palatino Linotype" w:hAnsi="Palatino Linotype" w:cs="Arial"/>
          <w:sz w:val="24"/>
          <w:szCs w:val="24"/>
        </w:rPr>
        <w:t>.</w:t>
      </w:r>
    </w:p>
    <w:p w14:paraId="5DB56024" w14:textId="77777777" w:rsidR="008803B7" w:rsidRDefault="008803B7" w:rsidP="00DA4850">
      <w:pPr>
        <w:spacing w:after="0" w:line="360" w:lineRule="auto"/>
        <w:jc w:val="both"/>
        <w:rPr>
          <w:rFonts w:ascii="Palatino Linotype" w:hAnsi="Palatino Linotype"/>
          <w:bCs/>
          <w:sz w:val="24"/>
          <w:szCs w:val="24"/>
        </w:rPr>
      </w:pPr>
    </w:p>
    <w:p w14:paraId="05C83A35" w14:textId="6D6DA425" w:rsidR="00332896" w:rsidRDefault="00362A50" w:rsidP="00DA4850">
      <w:pPr>
        <w:spacing w:after="0" w:line="360" w:lineRule="auto"/>
        <w:jc w:val="both"/>
        <w:rPr>
          <w:rFonts w:ascii="Palatino Linotype" w:hAnsi="Palatino Linotype"/>
          <w:bCs/>
          <w:sz w:val="24"/>
          <w:szCs w:val="24"/>
        </w:rPr>
      </w:pPr>
      <w:r>
        <w:rPr>
          <w:rFonts w:ascii="Palatino Linotype" w:hAnsi="Palatino Linotype"/>
          <w:bCs/>
          <w:sz w:val="24"/>
          <w:szCs w:val="24"/>
        </w:rPr>
        <w:t xml:space="preserve">De tal manera, se determina que el Sujeto Obligado si es competente para atender la solicitud de información y toda vez que de un análisis a la normatividad referida con anterioridad, se advierte que efectivamente, el Ayuntamiento de Atizapán tiene la obligación de presentar los Informes Trimestrales al Órgano Superior de Fiscalización, en donde se encuentran las balanzas de comprobación, documentos que dan cuenta del saldo que el Sujeto Obligado tiene con los proveedores, es dable ordenar la entrega de dicha información actualizada a la fecha que en que se </w:t>
      </w:r>
      <w:r w:rsidR="00EC39C2">
        <w:rPr>
          <w:rFonts w:ascii="Palatino Linotype" w:hAnsi="Palatino Linotype"/>
          <w:bCs/>
          <w:sz w:val="24"/>
          <w:szCs w:val="24"/>
        </w:rPr>
        <w:t>dé</w:t>
      </w:r>
      <w:r>
        <w:rPr>
          <w:rFonts w:ascii="Palatino Linotype" w:hAnsi="Palatino Linotype"/>
          <w:bCs/>
          <w:sz w:val="24"/>
          <w:szCs w:val="24"/>
        </w:rPr>
        <w:t xml:space="preserve"> cumplimiento a la presente resolución, es decir al tercer trimestre de dos mil veintiuno. </w:t>
      </w:r>
    </w:p>
    <w:p w14:paraId="223F15AE" w14:textId="77777777" w:rsidR="00332896" w:rsidRDefault="00332896" w:rsidP="00DA4850">
      <w:pPr>
        <w:spacing w:after="0" w:line="360" w:lineRule="auto"/>
        <w:jc w:val="both"/>
        <w:rPr>
          <w:rFonts w:ascii="Palatino Linotype" w:hAnsi="Palatino Linotype"/>
          <w:bCs/>
          <w:sz w:val="24"/>
          <w:szCs w:val="24"/>
        </w:rPr>
      </w:pPr>
    </w:p>
    <w:p w14:paraId="49D9CB5A" w14:textId="77777777" w:rsidR="00332896" w:rsidRPr="000177F8" w:rsidRDefault="00332896" w:rsidP="00332896">
      <w:pPr>
        <w:pStyle w:val="Prrafodelista"/>
        <w:numPr>
          <w:ilvl w:val="0"/>
          <w:numId w:val="19"/>
        </w:numPr>
        <w:spacing w:line="360" w:lineRule="auto"/>
        <w:jc w:val="both"/>
        <w:rPr>
          <w:rFonts w:ascii="Palatino Linotype" w:hAnsi="Palatino Linotype"/>
          <w:b/>
          <w:i/>
          <w:color w:val="000000"/>
        </w:rPr>
      </w:pPr>
      <w:r w:rsidRPr="000177F8">
        <w:rPr>
          <w:rFonts w:ascii="Palatino Linotype" w:hAnsi="Palatino Linotype"/>
          <w:b/>
          <w:i/>
          <w:color w:val="000000"/>
        </w:rPr>
        <w:t>De la Versión Pública</w:t>
      </w:r>
    </w:p>
    <w:p w14:paraId="435B0859" w14:textId="77777777" w:rsidR="00332896" w:rsidRPr="005423DF" w:rsidRDefault="00332896" w:rsidP="00332896">
      <w:pPr>
        <w:autoSpaceDE w:val="0"/>
        <w:autoSpaceDN w:val="0"/>
        <w:adjustRightInd w:val="0"/>
        <w:spacing w:after="0" w:line="360" w:lineRule="auto"/>
        <w:jc w:val="both"/>
        <w:rPr>
          <w:rFonts w:ascii="Palatino Linotype" w:hAnsi="Palatino Linotype" w:cs="Arial"/>
          <w:sz w:val="20"/>
          <w:szCs w:val="24"/>
        </w:rPr>
      </w:pPr>
    </w:p>
    <w:p w14:paraId="165C1135" w14:textId="77777777" w:rsidR="00332896" w:rsidRDefault="00332896" w:rsidP="00332896">
      <w:pPr>
        <w:tabs>
          <w:tab w:val="left" w:pos="709"/>
        </w:tabs>
        <w:spacing w:after="0" w:line="360" w:lineRule="auto"/>
        <w:jc w:val="both"/>
        <w:rPr>
          <w:rFonts w:ascii="Palatino Linotype" w:hAnsi="Palatino Linotype" w:cs="Arial"/>
          <w:sz w:val="24"/>
          <w:szCs w:val="24"/>
        </w:rPr>
      </w:pPr>
      <w:r w:rsidRPr="00822149">
        <w:rPr>
          <w:rFonts w:ascii="Palatino Linotype" w:hAnsi="Palatino Linotype" w:cs="Arial"/>
          <w:sz w:val="24"/>
          <w:szCs w:val="24"/>
        </w:rPr>
        <w:t>Respecto de los documentos que se ordena</w:t>
      </w:r>
      <w:r>
        <w:rPr>
          <w:rFonts w:ascii="Palatino Linotype" w:hAnsi="Palatino Linotype" w:cs="Arial"/>
          <w:sz w:val="24"/>
          <w:szCs w:val="24"/>
        </w:rPr>
        <w:t xml:space="preserve"> </w:t>
      </w:r>
      <w:r w:rsidRPr="00822149">
        <w:rPr>
          <w:rFonts w:ascii="Palatino Linotype" w:hAnsi="Palatino Linotype" w:cs="Arial"/>
          <w:sz w:val="24"/>
          <w:szCs w:val="24"/>
        </w:rPr>
        <w:t xml:space="preserve">su entrega cabe señalar que el derecho de acceso a la información pública tiene como limitante el respeto a la intimidad y a la vida privada de las personas, por lo que la entrega de la información, en caso de contener datos personales, deberá ser en versión pública en la que se suprima aquella información relacionada con la vida privada de los particulares y de los servidores públicos, de acuerdo </w:t>
      </w:r>
      <w:r>
        <w:rPr>
          <w:rFonts w:ascii="Palatino Linotype" w:hAnsi="Palatino Linotype" w:cs="Arial"/>
          <w:sz w:val="24"/>
          <w:szCs w:val="24"/>
        </w:rPr>
        <w:t>a lo</w:t>
      </w:r>
      <w:r w:rsidRPr="00822149">
        <w:rPr>
          <w:rFonts w:ascii="Palatino Linotype" w:hAnsi="Palatino Linotype" w:cs="Arial"/>
          <w:sz w:val="24"/>
          <w:szCs w:val="24"/>
        </w:rPr>
        <w:t xml:space="preserve"> dispuesto en los artículos 3, fracciones IX, XX, XXI</w:t>
      </w:r>
      <w:r>
        <w:rPr>
          <w:rFonts w:ascii="Palatino Linotype" w:hAnsi="Palatino Linotype" w:cs="Arial"/>
          <w:sz w:val="24"/>
          <w:szCs w:val="24"/>
        </w:rPr>
        <w:t xml:space="preserve"> </w:t>
      </w:r>
      <w:r w:rsidRPr="00822149">
        <w:rPr>
          <w:rFonts w:ascii="Palatino Linotype" w:hAnsi="Palatino Linotype" w:cs="Arial"/>
          <w:sz w:val="24"/>
          <w:szCs w:val="24"/>
        </w:rPr>
        <w:t xml:space="preserve">y XLV; 91, </w:t>
      </w:r>
      <w:r>
        <w:rPr>
          <w:rFonts w:ascii="Palatino Linotype" w:hAnsi="Palatino Linotype" w:cs="Arial"/>
          <w:sz w:val="24"/>
          <w:szCs w:val="24"/>
        </w:rPr>
        <w:lastRenderedPageBreak/>
        <w:t xml:space="preserve">122, </w:t>
      </w:r>
      <w:r w:rsidRPr="00822149">
        <w:rPr>
          <w:rFonts w:ascii="Palatino Linotype" w:hAnsi="Palatino Linotype" w:cs="Arial"/>
          <w:sz w:val="24"/>
          <w:szCs w:val="24"/>
        </w:rPr>
        <w:t>13</w:t>
      </w:r>
      <w:r>
        <w:rPr>
          <w:rFonts w:ascii="Palatino Linotype" w:hAnsi="Palatino Linotype" w:cs="Arial"/>
          <w:sz w:val="24"/>
          <w:szCs w:val="24"/>
        </w:rPr>
        <w:t xml:space="preserve">2, 137, </w:t>
      </w:r>
      <w:r w:rsidRPr="00822149">
        <w:rPr>
          <w:rFonts w:ascii="Palatino Linotype" w:hAnsi="Palatino Linotype" w:cs="Arial"/>
          <w:sz w:val="24"/>
          <w:szCs w:val="24"/>
        </w:rPr>
        <w:t>143</w:t>
      </w:r>
      <w:r>
        <w:rPr>
          <w:rFonts w:ascii="Palatino Linotype" w:hAnsi="Palatino Linotype" w:cs="Arial"/>
          <w:sz w:val="24"/>
          <w:szCs w:val="24"/>
        </w:rPr>
        <w:t xml:space="preserve"> fracción I,</w:t>
      </w:r>
      <w:r w:rsidRPr="00822149">
        <w:rPr>
          <w:rFonts w:ascii="Palatino Linotype" w:hAnsi="Palatino Linotype" w:cs="Arial"/>
          <w:sz w:val="24"/>
          <w:szCs w:val="24"/>
        </w:rPr>
        <w:t xml:space="preserve"> de la Ley de Transparencia y Acceso a la Información Pública del Estado de México y Municipios.</w:t>
      </w:r>
    </w:p>
    <w:p w14:paraId="528EEF95" w14:textId="77777777" w:rsidR="00332896" w:rsidRDefault="00332896" w:rsidP="00332896">
      <w:pPr>
        <w:tabs>
          <w:tab w:val="left" w:pos="709"/>
        </w:tabs>
        <w:spacing w:after="0" w:line="360" w:lineRule="auto"/>
        <w:jc w:val="both"/>
        <w:rPr>
          <w:rFonts w:ascii="Palatino Linotype" w:hAnsi="Palatino Linotype" w:cs="Arial"/>
          <w:sz w:val="24"/>
          <w:szCs w:val="24"/>
        </w:rPr>
      </w:pPr>
    </w:p>
    <w:p w14:paraId="650CCDAE" w14:textId="77777777" w:rsidR="00332896" w:rsidRPr="00542DCC" w:rsidRDefault="00332896" w:rsidP="00332896">
      <w:pPr>
        <w:autoSpaceDE w:val="0"/>
        <w:autoSpaceDN w:val="0"/>
        <w:adjustRightInd w:val="0"/>
        <w:spacing w:after="0" w:line="276" w:lineRule="auto"/>
        <w:ind w:left="567" w:right="284"/>
        <w:jc w:val="both"/>
        <w:rPr>
          <w:rFonts w:ascii="Palatino Linotype" w:hAnsi="Palatino Linotype" w:cs="Arial"/>
          <w:i/>
          <w:szCs w:val="24"/>
        </w:rPr>
      </w:pPr>
      <w:r>
        <w:rPr>
          <w:rFonts w:ascii="Palatino Linotype" w:hAnsi="Palatino Linotype" w:cs="Arial"/>
          <w:b/>
          <w:i/>
          <w:szCs w:val="24"/>
        </w:rPr>
        <w:t>“</w:t>
      </w:r>
      <w:r w:rsidRPr="00075BC0">
        <w:rPr>
          <w:rFonts w:ascii="Palatino Linotype" w:hAnsi="Palatino Linotype" w:cs="Arial"/>
          <w:b/>
          <w:i/>
          <w:szCs w:val="24"/>
        </w:rPr>
        <w:t>Artículo 3.</w:t>
      </w:r>
      <w:r w:rsidRPr="00542DCC">
        <w:rPr>
          <w:rFonts w:ascii="Palatino Linotype" w:hAnsi="Palatino Linotype" w:cs="Arial"/>
          <w:i/>
          <w:szCs w:val="24"/>
        </w:rPr>
        <w:t xml:space="preserve"> Para los efectos de la presente Ley se entenderá por:</w:t>
      </w:r>
    </w:p>
    <w:p w14:paraId="373B8B97" w14:textId="77777777" w:rsidR="00332896" w:rsidRPr="00542DCC" w:rsidRDefault="00332896" w:rsidP="00332896">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w:t>
      </w:r>
    </w:p>
    <w:p w14:paraId="0266F19B" w14:textId="77777777" w:rsidR="00332896" w:rsidRPr="00542DCC" w:rsidRDefault="00332896" w:rsidP="00332896">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IX. Datos personales: La información concerniente a una persona, identificada o identificable según lo dispuesto por la Ley de Protección de Datos Personales del Estado de México;</w:t>
      </w:r>
    </w:p>
    <w:p w14:paraId="424F814E" w14:textId="77777777" w:rsidR="00332896" w:rsidRDefault="00332896" w:rsidP="00332896">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w:t>
      </w:r>
    </w:p>
    <w:p w14:paraId="7F205770" w14:textId="77777777" w:rsidR="00332896" w:rsidRDefault="00332896" w:rsidP="00332896">
      <w:pPr>
        <w:autoSpaceDE w:val="0"/>
        <w:autoSpaceDN w:val="0"/>
        <w:adjustRightInd w:val="0"/>
        <w:spacing w:after="0" w:line="276" w:lineRule="auto"/>
        <w:ind w:left="567" w:right="284"/>
        <w:jc w:val="both"/>
        <w:rPr>
          <w:rFonts w:ascii="Palatino Linotype" w:hAnsi="Palatino Linotype" w:cs="Arial"/>
          <w:i/>
          <w:szCs w:val="24"/>
        </w:rPr>
      </w:pPr>
      <w:r w:rsidRPr="00A31C1A">
        <w:rPr>
          <w:rFonts w:ascii="Palatino Linotype" w:hAnsi="Palatino Linotype" w:cs="Arial"/>
          <w:i/>
          <w:szCs w:val="24"/>
        </w:rPr>
        <w:t>XX. Información clasificada: Aquella considerada por la presente Ley como reservada o confidencial;</w:t>
      </w:r>
    </w:p>
    <w:p w14:paraId="16C76D2F" w14:textId="77777777" w:rsidR="00332896" w:rsidRPr="00A31C1A" w:rsidRDefault="00332896" w:rsidP="00332896">
      <w:pPr>
        <w:autoSpaceDE w:val="0"/>
        <w:autoSpaceDN w:val="0"/>
        <w:adjustRightInd w:val="0"/>
        <w:spacing w:after="0" w:line="276" w:lineRule="auto"/>
        <w:ind w:left="567" w:right="284"/>
        <w:jc w:val="both"/>
        <w:rPr>
          <w:rFonts w:ascii="Palatino Linotype" w:hAnsi="Palatino Linotype" w:cs="Arial"/>
          <w:i/>
          <w:szCs w:val="24"/>
        </w:rPr>
      </w:pPr>
      <w:r w:rsidRPr="00A31C1A">
        <w:rPr>
          <w:rFonts w:ascii="Palatino Linotype" w:hAnsi="Palatino Linotype" w:cs="Arial"/>
          <w:i/>
          <w:szCs w:val="24"/>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BB46389" w14:textId="77777777" w:rsidR="00332896" w:rsidRDefault="00332896" w:rsidP="00332896">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w:t>
      </w:r>
    </w:p>
    <w:p w14:paraId="525B7934" w14:textId="77777777" w:rsidR="00332896" w:rsidRPr="00542DCC" w:rsidRDefault="00332896" w:rsidP="00332896">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XLV. Versión pública: Documento en el que se elimine, suprime o borra la información clasificada como reservada o confidencial para permitir su acceso.</w:t>
      </w:r>
    </w:p>
    <w:p w14:paraId="1A45923D" w14:textId="77777777" w:rsidR="00332896" w:rsidRDefault="00332896" w:rsidP="00332896">
      <w:pPr>
        <w:autoSpaceDE w:val="0"/>
        <w:autoSpaceDN w:val="0"/>
        <w:adjustRightInd w:val="0"/>
        <w:spacing w:after="0" w:line="276" w:lineRule="auto"/>
        <w:ind w:left="567" w:right="284"/>
        <w:jc w:val="both"/>
        <w:rPr>
          <w:rFonts w:ascii="Palatino Linotype" w:hAnsi="Palatino Linotype" w:cs="Arial"/>
          <w:i/>
          <w:szCs w:val="24"/>
        </w:rPr>
      </w:pPr>
    </w:p>
    <w:p w14:paraId="7A07F989" w14:textId="77777777" w:rsidR="00332896" w:rsidRPr="00A31C1A" w:rsidRDefault="00332896" w:rsidP="00332896">
      <w:pPr>
        <w:autoSpaceDE w:val="0"/>
        <w:autoSpaceDN w:val="0"/>
        <w:adjustRightInd w:val="0"/>
        <w:spacing w:after="0" w:line="276" w:lineRule="auto"/>
        <w:ind w:left="567" w:right="284"/>
        <w:jc w:val="both"/>
        <w:rPr>
          <w:rFonts w:ascii="Palatino Linotype" w:hAnsi="Palatino Linotype" w:cs="Arial"/>
          <w:i/>
        </w:rPr>
      </w:pPr>
      <w:r w:rsidRPr="00A31C1A">
        <w:rPr>
          <w:rFonts w:ascii="Palatino Linotype" w:hAnsi="Palatino Linotype"/>
          <w:b/>
          <w:i/>
        </w:rPr>
        <w:t>Artículo 91</w:t>
      </w:r>
      <w:r w:rsidRPr="00A31C1A">
        <w:rPr>
          <w:rFonts w:ascii="Palatino Linotype" w:hAnsi="Palatino Linotype"/>
          <w:i/>
        </w:rPr>
        <w:t>. El acceso a la información pública será restringido excepcionalmente, cuando ésta sea clasificada como reservada o confidencial.</w:t>
      </w:r>
    </w:p>
    <w:p w14:paraId="1EFCF2A2" w14:textId="77777777" w:rsidR="00332896" w:rsidRDefault="00332896" w:rsidP="00332896">
      <w:pPr>
        <w:autoSpaceDE w:val="0"/>
        <w:autoSpaceDN w:val="0"/>
        <w:adjustRightInd w:val="0"/>
        <w:spacing w:after="0" w:line="276" w:lineRule="auto"/>
        <w:ind w:left="567" w:right="284"/>
        <w:jc w:val="both"/>
        <w:rPr>
          <w:rFonts w:ascii="Palatino Linotype" w:hAnsi="Palatino Linotype" w:cs="Arial"/>
          <w:b/>
          <w:i/>
          <w:szCs w:val="24"/>
        </w:rPr>
      </w:pPr>
    </w:p>
    <w:p w14:paraId="68F5000C" w14:textId="77777777" w:rsidR="00332896" w:rsidRPr="00542DCC" w:rsidRDefault="00332896" w:rsidP="00332896">
      <w:pPr>
        <w:autoSpaceDE w:val="0"/>
        <w:autoSpaceDN w:val="0"/>
        <w:adjustRightInd w:val="0"/>
        <w:spacing w:after="0" w:line="276" w:lineRule="auto"/>
        <w:ind w:left="567" w:right="284"/>
        <w:jc w:val="both"/>
        <w:rPr>
          <w:rFonts w:ascii="Palatino Linotype" w:hAnsi="Palatino Linotype" w:cs="Arial"/>
          <w:i/>
          <w:szCs w:val="24"/>
        </w:rPr>
      </w:pPr>
      <w:r w:rsidRPr="00075BC0">
        <w:rPr>
          <w:rFonts w:ascii="Palatino Linotype" w:hAnsi="Palatino Linotype" w:cs="Arial"/>
          <w:b/>
          <w:i/>
          <w:szCs w:val="24"/>
        </w:rPr>
        <w:t>Artículo 122</w:t>
      </w:r>
      <w:r w:rsidRPr="00542DCC">
        <w:rPr>
          <w:rFonts w:ascii="Palatino Linotype" w:hAnsi="Palatino Linotype" w:cs="Arial"/>
          <w:i/>
          <w:szCs w:val="24"/>
        </w:rPr>
        <w:t xml:space="preserve">. La clasificación es el proceso mediante el cual el sujeto obligado determina que la información en su poder </w:t>
      </w:r>
      <w:proofErr w:type="spellStart"/>
      <w:r w:rsidRPr="00542DCC">
        <w:rPr>
          <w:rFonts w:ascii="Palatino Linotype" w:hAnsi="Palatino Linotype" w:cs="Arial"/>
          <w:i/>
          <w:szCs w:val="24"/>
        </w:rPr>
        <w:t>actualiza</w:t>
      </w:r>
      <w:proofErr w:type="spellEnd"/>
      <w:r w:rsidRPr="00542DCC">
        <w:rPr>
          <w:rFonts w:ascii="Palatino Linotype" w:hAnsi="Palatino Linotype" w:cs="Arial"/>
          <w:i/>
          <w:szCs w:val="24"/>
        </w:rPr>
        <w:t xml:space="preserve"> alguno de los supuestos de reserva o confidencialidad, de conformidad con lo dispuesto en el presente título.</w:t>
      </w:r>
    </w:p>
    <w:p w14:paraId="1A0FCC57" w14:textId="77777777" w:rsidR="00332896" w:rsidRPr="00542DCC" w:rsidRDefault="00332896" w:rsidP="00332896">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w:t>
      </w:r>
    </w:p>
    <w:p w14:paraId="6B1EE25F" w14:textId="77777777" w:rsidR="00332896" w:rsidRPr="00542DCC" w:rsidRDefault="00332896" w:rsidP="00332896">
      <w:pPr>
        <w:autoSpaceDE w:val="0"/>
        <w:autoSpaceDN w:val="0"/>
        <w:adjustRightInd w:val="0"/>
        <w:spacing w:after="0" w:line="276" w:lineRule="auto"/>
        <w:ind w:left="567" w:right="284"/>
        <w:jc w:val="both"/>
        <w:rPr>
          <w:rFonts w:ascii="Palatino Linotype" w:hAnsi="Palatino Linotype" w:cs="Arial"/>
          <w:i/>
          <w:szCs w:val="24"/>
        </w:rPr>
      </w:pPr>
      <w:r w:rsidRPr="00075BC0">
        <w:rPr>
          <w:rFonts w:ascii="Palatino Linotype" w:hAnsi="Palatino Linotype" w:cs="Arial"/>
          <w:b/>
          <w:i/>
          <w:szCs w:val="24"/>
        </w:rPr>
        <w:t>Artículo 132</w:t>
      </w:r>
      <w:r w:rsidRPr="00542DCC">
        <w:rPr>
          <w:rFonts w:ascii="Palatino Linotype" w:hAnsi="Palatino Linotype" w:cs="Arial"/>
          <w:i/>
          <w:szCs w:val="24"/>
        </w:rPr>
        <w:t>. La clasificación de la información se llevará a cabo en el momento en que:</w:t>
      </w:r>
    </w:p>
    <w:p w14:paraId="1ADF3C44" w14:textId="77777777" w:rsidR="00332896" w:rsidRPr="00542DCC" w:rsidRDefault="00332896" w:rsidP="00332896">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w:t>
      </w:r>
    </w:p>
    <w:p w14:paraId="0117C9F5" w14:textId="77777777" w:rsidR="00332896" w:rsidRPr="00542DCC" w:rsidRDefault="00332896" w:rsidP="00332896">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II. Se determine mediante resolución de autoridad competente; o</w:t>
      </w:r>
    </w:p>
    <w:p w14:paraId="08AB79E6" w14:textId="77777777" w:rsidR="00332896" w:rsidRPr="005809C0" w:rsidRDefault="00332896" w:rsidP="00332896">
      <w:pPr>
        <w:autoSpaceDE w:val="0"/>
        <w:autoSpaceDN w:val="0"/>
        <w:adjustRightInd w:val="0"/>
        <w:spacing w:after="0" w:line="360" w:lineRule="auto"/>
        <w:jc w:val="both"/>
        <w:rPr>
          <w:rFonts w:ascii="Palatino Linotype" w:hAnsi="Palatino Linotype" w:cs="Arial"/>
          <w:sz w:val="12"/>
          <w:szCs w:val="24"/>
        </w:rPr>
      </w:pPr>
    </w:p>
    <w:p w14:paraId="35702162" w14:textId="77777777" w:rsidR="00332896" w:rsidRDefault="00332896" w:rsidP="00332896">
      <w:pPr>
        <w:autoSpaceDE w:val="0"/>
        <w:autoSpaceDN w:val="0"/>
        <w:adjustRightInd w:val="0"/>
        <w:spacing w:after="0" w:line="240" w:lineRule="auto"/>
        <w:ind w:left="567" w:right="284"/>
        <w:jc w:val="both"/>
        <w:rPr>
          <w:rFonts w:ascii="Palatino Linotype" w:hAnsi="Palatino Linotype" w:cs="Arial"/>
          <w:i/>
          <w:szCs w:val="24"/>
        </w:rPr>
      </w:pPr>
      <w:r w:rsidRPr="00075BC0">
        <w:rPr>
          <w:rFonts w:ascii="Palatino Linotype" w:hAnsi="Palatino Linotype" w:cs="Arial"/>
          <w:b/>
          <w:i/>
          <w:szCs w:val="24"/>
        </w:rPr>
        <w:t>Artículo 137</w:t>
      </w:r>
      <w:r w:rsidRPr="00542DCC">
        <w:rPr>
          <w:rFonts w:ascii="Palatino Linotype" w:hAnsi="Palatino Linotype" w:cs="Arial"/>
          <w:i/>
          <w:szCs w:val="24"/>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29BD6DC1" w14:textId="77777777" w:rsidR="00332896" w:rsidRDefault="00332896" w:rsidP="00332896">
      <w:pPr>
        <w:autoSpaceDE w:val="0"/>
        <w:autoSpaceDN w:val="0"/>
        <w:adjustRightInd w:val="0"/>
        <w:spacing w:after="0" w:line="240" w:lineRule="auto"/>
        <w:ind w:left="567" w:right="284"/>
        <w:jc w:val="both"/>
        <w:rPr>
          <w:rFonts w:ascii="Palatino Linotype" w:hAnsi="Palatino Linotype" w:cs="Arial"/>
          <w:i/>
          <w:szCs w:val="24"/>
        </w:rPr>
      </w:pPr>
    </w:p>
    <w:p w14:paraId="6328494C" w14:textId="77777777" w:rsidR="00332896" w:rsidRPr="00A31C1A" w:rsidRDefault="00332896" w:rsidP="00332896">
      <w:pPr>
        <w:autoSpaceDE w:val="0"/>
        <w:autoSpaceDN w:val="0"/>
        <w:adjustRightInd w:val="0"/>
        <w:spacing w:after="0" w:line="240" w:lineRule="auto"/>
        <w:ind w:left="567" w:right="284"/>
        <w:jc w:val="both"/>
        <w:rPr>
          <w:rFonts w:ascii="Palatino Linotype" w:hAnsi="Palatino Linotype" w:cs="Arial"/>
          <w:i/>
          <w:szCs w:val="24"/>
        </w:rPr>
      </w:pPr>
      <w:r w:rsidRPr="00A31C1A">
        <w:rPr>
          <w:rFonts w:ascii="Palatino Linotype" w:hAnsi="Palatino Linotype" w:cs="Arial"/>
          <w:b/>
          <w:i/>
          <w:szCs w:val="24"/>
        </w:rPr>
        <w:t>Artículo 143</w:t>
      </w:r>
      <w:r w:rsidRPr="00A31C1A">
        <w:rPr>
          <w:rFonts w:ascii="Palatino Linotype" w:hAnsi="Palatino Linotype" w:cs="Arial"/>
          <w:i/>
          <w:szCs w:val="24"/>
        </w:rPr>
        <w:t xml:space="preserve">. Para los efectos de esta Ley se considera información confidencial, la clasificada como tal, de manera permanente, por su naturaleza, cuando: </w:t>
      </w:r>
    </w:p>
    <w:p w14:paraId="1B90CDB1" w14:textId="77777777" w:rsidR="00332896" w:rsidRDefault="00332896" w:rsidP="00332896">
      <w:pPr>
        <w:autoSpaceDE w:val="0"/>
        <w:autoSpaceDN w:val="0"/>
        <w:adjustRightInd w:val="0"/>
        <w:spacing w:after="0" w:line="240" w:lineRule="auto"/>
        <w:ind w:left="567" w:right="284"/>
        <w:jc w:val="both"/>
        <w:rPr>
          <w:rFonts w:ascii="Palatino Linotype" w:hAnsi="Palatino Linotype" w:cs="Arial"/>
          <w:i/>
          <w:szCs w:val="24"/>
        </w:rPr>
      </w:pPr>
      <w:r w:rsidRPr="00A31C1A">
        <w:rPr>
          <w:rFonts w:ascii="Palatino Linotype" w:hAnsi="Palatino Linotype" w:cs="Arial"/>
          <w:b/>
          <w:i/>
          <w:szCs w:val="24"/>
        </w:rPr>
        <w:t>I.</w:t>
      </w:r>
      <w:r w:rsidRPr="00A31C1A">
        <w:rPr>
          <w:rFonts w:ascii="Palatino Linotype" w:hAnsi="Palatino Linotype" w:cs="Arial"/>
          <w:i/>
          <w:szCs w:val="24"/>
        </w:rPr>
        <w:t xml:space="preserve"> Se refiera a la información privada y los datos personales concernientes a una persona física o jurídica colectiva identificada o identificable;</w:t>
      </w:r>
    </w:p>
    <w:p w14:paraId="1D2FB40E" w14:textId="77777777" w:rsidR="00332896" w:rsidRDefault="00332896" w:rsidP="00332896">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w:t>
      </w:r>
    </w:p>
    <w:p w14:paraId="4A1B2BC4" w14:textId="77777777" w:rsidR="00332896" w:rsidRPr="00C34442" w:rsidRDefault="00332896" w:rsidP="00332896">
      <w:pPr>
        <w:autoSpaceDE w:val="0"/>
        <w:autoSpaceDN w:val="0"/>
        <w:adjustRightInd w:val="0"/>
        <w:spacing w:after="0" w:line="276" w:lineRule="auto"/>
        <w:ind w:left="567" w:right="284"/>
        <w:jc w:val="both"/>
        <w:rPr>
          <w:rFonts w:ascii="Palatino Linotype" w:hAnsi="Palatino Linotype" w:cs="Arial"/>
          <w:i/>
          <w:sz w:val="12"/>
          <w:szCs w:val="24"/>
        </w:rPr>
      </w:pPr>
    </w:p>
    <w:p w14:paraId="0F6ADE44" w14:textId="77777777" w:rsidR="00332896" w:rsidRPr="00E06153" w:rsidRDefault="00332896" w:rsidP="00332896">
      <w:pPr>
        <w:pStyle w:val="Ttulo1"/>
        <w:spacing w:before="0" w:line="360" w:lineRule="auto"/>
        <w:jc w:val="both"/>
        <w:rPr>
          <w:rFonts w:ascii="Palatino Linotype" w:eastAsia="Calibri" w:hAnsi="Palatino Linotype" w:cs="Times New Roman"/>
          <w:color w:val="auto"/>
          <w:sz w:val="24"/>
          <w:szCs w:val="24"/>
        </w:rPr>
      </w:pPr>
      <w:r>
        <w:rPr>
          <w:rFonts w:ascii="Palatino Linotype" w:eastAsia="Calibri" w:hAnsi="Palatino Linotype" w:cs="Times New Roman"/>
          <w:color w:val="auto"/>
          <w:sz w:val="24"/>
          <w:szCs w:val="24"/>
        </w:rPr>
        <w:t>Ahora bien l</w:t>
      </w:r>
      <w:r w:rsidRPr="00822149">
        <w:rPr>
          <w:rFonts w:ascii="Palatino Linotype" w:eastAsia="Calibri" w:hAnsi="Palatino Linotype" w:cs="Times New Roman"/>
          <w:color w:val="auto"/>
          <w:sz w:val="24"/>
          <w:szCs w:val="24"/>
        </w:rPr>
        <w:t>os Lineamientos Generales en materia de Clasificación y Desclasificación de la información, así como para la elaboración de versiones públicas,</w:t>
      </w:r>
      <w:r>
        <w:rPr>
          <w:rFonts w:ascii="Palatino Linotype" w:eastAsia="Calibri" w:hAnsi="Palatino Linotype" w:cs="Times New Roman"/>
          <w:color w:val="auto"/>
          <w:sz w:val="24"/>
          <w:szCs w:val="24"/>
        </w:rPr>
        <w:t xml:space="preserve"> </w:t>
      </w:r>
      <w:r w:rsidRPr="00822149">
        <w:rPr>
          <w:rFonts w:ascii="Palatino Linotype" w:eastAsia="Calibri" w:hAnsi="Palatino Linotype" w:cs="Times New Roman"/>
          <w:color w:val="auto"/>
          <w:sz w:val="24"/>
          <w:szCs w:val="24"/>
        </w:rPr>
        <w:t>emitidos por el Sistema Nacional de Transparencia, Acceso a la Información Pública y Protección de Datos Personales, establecen lo siguiente:</w:t>
      </w:r>
    </w:p>
    <w:p w14:paraId="11DD84F0" w14:textId="77777777" w:rsidR="00332896" w:rsidRPr="00C34442" w:rsidRDefault="00332896" w:rsidP="00332896">
      <w:pPr>
        <w:rPr>
          <w:sz w:val="10"/>
          <w:lang w:val="es-ES" w:eastAsia="es-ES"/>
        </w:rPr>
      </w:pPr>
    </w:p>
    <w:p w14:paraId="7A41A16F" w14:textId="77777777" w:rsidR="00332896" w:rsidRPr="00AD2A55" w:rsidRDefault="00332896" w:rsidP="00332896">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“Cuarto. </w:t>
      </w:r>
      <w:r w:rsidRPr="00AD2A55">
        <w:rPr>
          <w:rFonts w:ascii="Palatino Linotype" w:eastAsia="Times New Roman" w:hAnsi="Palatino Linotype" w:cs="Arial"/>
          <w:i/>
          <w:iCs/>
          <w:color w:val="222222"/>
          <w:u w:val="single"/>
          <w:lang w:eastAsia="es-MX"/>
        </w:rPr>
        <w:t>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w:t>
      </w:r>
      <w:r w:rsidRPr="00AD2A55">
        <w:rPr>
          <w:rFonts w:ascii="Palatino Linotype" w:eastAsia="Times New Roman" w:hAnsi="Palatino Linotype" w:cs="Arial"/>
          <w:i/>
          <w:iCs/>
          <w:color w:val="222222"/>
          <w:lang w:eastAsia="es-MX"/>
        </w:rPr>
        <w:t>, en tanto estas últimas no contravengan lo dispuesto en la Ley General.</w:t>
      </w:r>
    </w:p>
    <w:p w14:paraId="42DB0CA5" w14:textId="77777777" w:rsidR="00332896" w:rsidRPr="00AD2A55" w:rsidRDefault="00332896" w:rsidP="00332896">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Los sujetos obligados deberán aplicar, de manera estricta, las excepciones al derecho de acceso a la información y sólo podrán invocarlas cuando acrediten su procedencia.</w:t>
      </w:r>
    </w:p>
    <w:p w14:paraId="6880F061" w14:textId="77777777" w:rsidR="00332896" w:rsidRPr="00AD2A55" w:rsidRDefault="00332896" w:rsidP="00332896">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w:t>
      </w:r>
    </w:p>
    <w:p w14:paraId="35929C4B" w14:textId="77777777" w:rsidR="00332896" w:rsidRPr="00AD2A55" w:rsidRDefault="00332896" w:rsidP="00332896">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Quinto. </w:t>
      </w:r>
      <w:r w:rsidRPr="00AD2A55">
        <w:rPr>
          <w:rFonts w:ascii="Palatino Linotype" w:eastAsia="Times New Roman" w:hAnsi="Palatino Linotype" w:cs="Arial"/>
          <w:i/>
          <w:iCs/>
          <w:color w:val="222222"/>
          <w:u w:val="single"/>
          <w:lang w:eastAsia="es-MX"/>
        </w:rPr>
        <w:t>La carga de la prueba para justificar toda negativa de acceso a la información, por actualizarse cualquiera de los supuestos de clasificación</w:t>
      </w:r>
      <w:r w:rsidRPr="00AD2A55">
        <w:rPr>
          <w:rFonts w:ascii="Palatino Linotype" w:eastAsia="Times New Roman" w:hAnsi="Palatino Linotype" w:cs="Arial"/>
          <w:i/>
          <w:iCs/>
          <w:color w:val="222222"/>
          <w:sz w:val="24"/>
          <w:szCs w:val="24"/>
          <w:u w:val="single"/>
          <w:lang w:eastAsia="es-MX"/>
        </w:rPr>
        <w:t xml:space="preserve"> </w:t>
      </w:r>
      <w:r w:rsidRPr="00AD2A55">
        <w:rPr>
          <w:rFonts w:ascii="Palatino Linotype" w:eastAsia="Times New Roman" w:hAnsi="Palatino Linotype" w:cs="Arial"/>
          <w:i/>
          <w:iCs/>
          <w:color w:val="222222"/>
          <w:u w:val="single"/>
          <w:lang w:eastAsia="es-MX"/>
        </w:rPr>
        <w:t>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w:t>
      </w:r>
      <w:r w:rsidRPr="00AD2A55">
        <w:rPr>
          <w:rFonts w:ascii="Palatino Linotype" w:eastAsia="Times New Roman" w:hAnsi="Palatino Linotype" w:cs="Arial"/>
          <w:i/>
          <w:iCs/>
          <w:color w:val="222222"/>
          <w:lang w:eastAsia="es-MX"/>
        </w:rPr>
        <w:t>, observando lo dispuesto en la Ley General y las demás disposiciones aplicables en la materia.</w:t>
      </w:r>
    </w:p>
    <w:p w14:paraId="5482C808" w14:textId="77777777" w:rsidR="00332896" w:rsidRPr="00AD2A55" w:rsidRDefault="00332896" w:rsidP="00332896">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Octavo. </w:t>
      </w:r>
      <w:r w:rsidRPr="00AD2A55">
        <w:rPr>
          <w:rFonts w:ascii="Palatino Linotype" w:eastAsia="Times New Roman" w:hAnsi="Palatino Linotype" w:cs="Arial"/>
          <w:i/>
          <w:iCs/>
          <w:color w:val="222222"/>
          <w:u w:val="single"/>
          <w:lang w:eastAsia="es-MX"/>
        </w:rPr>
        <w:t>Para fundar la clasificación de la información se debe señalar el artículo, fracción, inciso, párrafo o numeral de la ley o tratado internacional suscrito por el Estado mexicano que expresamente le otorga el carácter de reservada o confidencial</w:t>
      </w:r>
      <w:r w:rsidRPr="00AD2A55">
        <w:rPr>
          <w:rFonts w:ascii="Palatino Linotype" w:eastAsia="Times New Roman" w:hAnsi="Palatino Linotype" w:cs="Arial"/>
          <w:i/>
          <w:iCs/>
          <w:color w:val="222222"/>
          <w:lang w:eastAsia="es-MX"/>
        </w:rPr>
        <w:t>.</w:t>
      </w:r>
    </w:p>
    <w:p w14:paraId="3840AC21" w14:textId="77777777" w:rsidR="00332896" w:rsidRPr="00AD2A55" w:rsidRDefault="00332896" w:rsidP="00332896">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 </w:t>
      </w:r>
      <w:r w:rsidRPr="00AD2A55">
        <w:rPr>
          <w:rFonts w:ascii="Palatino Linotype" w:eastAsia="Times New Roman" w:hAnsi="Palatino Linotype" w:cs="Arial"/>
          <w:i/>
          <w:iCs/>
          <w:color w:val="222222"/>
          <w:u w:val="single"/>
          <w:lang w:eastAsia="es-MX"/>
        </w:rPr>
        <w:t>Para motivar la clasificación se deberán señalar las razones o circunstancias especiales que lo llevaron a concluir que el caso particular se ajusta al supuesto previsto por la norma legal invocada como fundamento</w:t>
      </w:r>
      <w:r w:rsidRPr="00AD2A55">
        <w:rPr>
          <w:rFonts w:ascii="Palatino Linotype" w:eastAsia="Times New Roman" w:hAnsi="Palatino Linotype" w:cs="Arial"/>
          <w:i/>
          <w:iCs/>
          <w:color w:val="222222"/>
          <w:lang w:eastAsia="es-MX"/>
        </w:rPr>
        <w:t>.</w:t>
      </w:r>
    </w:p>
    <w:p w14:paraId="241843EF" w14:textId="77777777" w:rsidR="00332896" w:rsidRDefault="00332896" w:rsidP="00332896">
      <w:pPr>
        <w:shd w:val="clear" w:color="auto" w:fill="FFFFFF"/>
        <w:spacing w:after="0" w:line="240" w:lineRule="auto"/>
        <w:ind w:left="851" w:right="851"/>
        <w:jc w:val="both"/>
        <w:rPr>
          <w:rFonts w:ascii="Palatino Linotype" w:eastAsia="Times New Roman" w:hAnsi="Palatino Linotype" w:cs="Arial"/>
          <w:i/>
          <w:iCs/>
          <w:color w:val="222222"/>
          <w:lang w:eastAsia="es-MX"/>
        </w:rPr>
      </w:pPr>
      <w:r w:rsidRPr="00AD2A55">
        <w:rPr>
          <w:rFonts w:ascii="Palatino Linotype" w:eastAsia="Times New Roman" w:hAnsi="Palatino Linotype" w:cs="Arial"/>
          <w:i/>
          <w:iCs/>
          <w:color w:val="222222"/>
          <w:lang w:eastAsia="es-MX"/>
        </w:rPr>
        <w:t>…</w:t>
      </w:r>
    </w:p>
    <w:p w14:paraId="51F2E869" w14:textId="77777777" w:rsidR="00332896" w:rsidRPr="005809C0" w:rsidRDefault="00332896" w:rsidP="00332896">
      <w:pPr>
        <w:shd w:val="clear" w:color="auto" w:fill="FFFFFF"/>
        <w:spacing w:after="0" w:line="240" w:lineRule="auto"/>
        <w:ind w:left="851" w:right="851"/>
        <w:jc w:val="both"/>
        <w:rPr>
          <w:rFonts w:ascii="Palatino Linotype" w:eastAsia="Times New Roman" w:hAnsi="Palatino Linotype" w:cs="Arial"/>
          <w:i/>
          <w:iCs/>
          <w:color w:val="222222"/>
          <w:sz w:val="2"/>
          <w:lang w:eastAsia="es-MX"/>
        </w:rPr>
      </w:pPr>
    </w:p>
    <w:p w14:paraId="6ECAF403" w14:textId="77777777" w:rsidR="00332896" w:rsidRPr="0020745E" w:rsidRDefault="00332896" w:rsidP="00332896">
      <w:pPr>
        <w:shd w:val="clear" w:color="auto" w:fill="FFFFFF"/>
        <w:spacing w:after="101" w:line="240" w:lineRule="auto"/>
        <w:ind w:hanging="576"/>
        <w:jc w:val="both"/>
        <w:rPr>
          <w:rFonts w:ascii="Arial" w:eastAsia="Times New Roman" w:hAnsi="Arial" w:cs="Arial"/>
          <w:color w:val="2F2F2F"/>
          <w:sz w:val="18"/>
          <w:szCs w:val="18"/>
          <w:lang w:eastAsia="es-MX"/>
        </w:rPr>
      </w:pPr>
    </w:p>
    <w:p w14:paraId="7AFFF832" w14:textId="77777777" w:rsidR="00332896" w:rsidRPr="00AD2A55" w:rsidRDefault="00332896" w:rsidP="00332896">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DE LA INFORMACIÓN CONFIDENCIAL</w:t>
      </w:r>
    </w:p>
    <w:p w14:paraId="48E17F97" w14:textId="77777777" w:rsidR="00332896" w:rsidRPr="00AD2A55" w:rsidRDefault="00332896" w:rsidP="00332896">
      <w:pPr>
        <w:shd w:val="clear" w:color="auto" w:fill="FFFFFF"/>
        <w:spacing w:after="0" w:line="240" w:lineRule="auto"/>
        <w:ind w:left="851" w:right="851"/>
        <w:jc w:val="both"/>
        <w:rPr>
          <w:rFonts w:ascii="Palatino Linotype" w:eastAsia="Times New Roman" w:hAnsi="Palatino Linotype" w:cs="Arial"/>
          <w:lang w:eastAsia="es-MX"/>
        </w:rPr>
      </w:pPr>
      <w:r w:rsidRPr="00AD2A55">
        <w:rPr>
          <w:rFonts w:ascii="Palatino Linotype" w:eastAsia="Times New Roman" w:hAnsi="Palatino Linotype" w:cs="Arial"/>
          <w:i/>
          <w:iCs/>
          <w:lang w:eastAsia="es-MX"/>
        </w:rPr>
        <w:lastRenderedPageBreak/>
        <w:t>Trigésimo octavo. Se considera información confidencial:</w:t>
      </w:r>
    </w:p>
    <w:p w14:paraId="0DE88D37" w14:textId="77777777" w:rsidR="00332896" w:rsidRPr="00AD2A55" w:rsidRDefault="00332896" w:rsidP="00332896">
      <w:pPr>
        <w:shd w:val="clear" w:color="auto" w:fill="FFFFFF"/>
        <w:tabs>
          <w:tab w:val="left" w:pos="1134"/>
        </w:tabs>
        <w:spacing w:after="0" w:line="240" w:lineRule="auto"/>
        <w:ind w:left="851" w:right="851"/>
        <w:jc w:val="both"/>
        <w:rPr>
          <w:rFonts w:ascii="Palatino Linotype" w:eastAsia="Times New Roman" w:hAnsi="Palatino Linotype" w:cs="Arial"/>
          <w:lang w:eastAsia="es-MX"/>
        </w:rPr>
      </w:pPr>
      <w:r w:rsidRPr="00AD2A55">
        <w:rPr>
          <w:rFonts w:ascii="Palatino Linotype" w:eastAsia="Times New Roman" w:hAnsi="Palatino Linotype" w:cs="Arial"/>
          <w:i/>
          <w:iCs/>
          <w:lang w:eastAsia="es-MX"/>
        </w:rPr>
        <w:t>I.        </w:t>
      </w:r>
      <w:r w:rsidRPr="00AD2A55">
        <w:rPr>
          <w:rFonts w:ascii="Palatino Linotype" w:eastAsia="Times New Roman" w:hAnsi="Palatino Linotype" w:cs="Arial"/>
          <w:i/>
          <w:iCs/>
          <w:u w:val="single"/>
          <w:lang w:eastAsia="es-MX"/>
        </w:rPr>
        <w:t>Los datos personales en los términos de la norma aplicable</w:t>
      </w:r>
      <w:r w:rsidRPr="00AD2A55">
        <w:rPr>
          <w:rFonts w:ascii="Palatino Linotype" w:eastAsia="Times New Roman" w:hAnsi="Palatino Linotype" w:cs="Arial"/>
          <w:i/>
          <w:iCs/>
          <w:lang w:eastAsia="es-MX"/>
        </w:rPr>
        <w:t>;</w:t>
      </w:r>
    </w:p>
    <w:p w14:paraId="2D7E23CA" w14:textId="77777777" w:rsidR="00332896" w:rsidRPr="00AD2A55" w:rsidRDefault="00332896" w:rsidP="00332896">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AD2A55">
        <w:rPr>
          <w:rFonts w:ascii="Palatino Linotype" w:eastAsia="Times New Roman" w:hAnsi="Palatino Linotype"/>
          <w:i/>
          <w:color w:val="auto"/>
          <w:sz w:val="22"/>
          <w:szCs w:val="22"/>
          <w:lang w:val="es-MX" w:eastAsia="es-MX"/>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14:paraId="5B2FC7AF" w14:textId="77777777" w:rsidR="00332896" w:rsidRPr="00AD2A55" w:rsidRDefault="00332896" w:rsidP="00332896">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AD2A55">
        <w:rPr>
          <w:rFonts w:ascii="Palatino Linotype" w:eastAsia="Times New Roman" w:hAnsi="Palatino Linotype"/>
          <w:i/>
          <w:color w:val="auto"/>
          <w:sz w:val="22"/>
          <w:szCs w:val="22"/>
          <w:lang w:val="es-MX" w:eastAsia="es-MX"/>
        </w:rPr>
        <w:t>III</w:t>
      </w:r>
      <w:proofErr w:type="gramStart"/>
      <w:r w:rsidRPr="00AD2A55">
        <w:rPr>
          <w:rFonts w:ascii="Palatino Linotype" w:eastAsia="Times New Roman" w:hAnsi="Palatino Linotype"/>
          <w:i/>
          <w:color w:val="auto"/>
          <w:sz w:val="22"/>
          <w:szCs w:val="22"/>
          <w:lang w:val="es-MX" w:eastAsia="es-MX"/>
        </w:rPr>
        <w:t>.  …</w:t>
      </w:r>
      <w:proofErr w:type="gramEnd"/>
    </w:p>
    <w:p w14:paraId="530C7378" w14:textId="77777777" w:rsidR="00332896" w:rsidRPr="00AD2A55" w:rsidRDefault="00332896" w:rsidP="00332896">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AD2A55">
        <w:rPr>
          <w:rFonts w:ascii="Palatino Linotype" w:eastAsia="Times New Roman" w:hAnsi="Palatino Linotype"/>
          <w:i/>
          <w:color w:val="auto"/>
          <w:sz w:val="22"/>
          <w:szCs w:val="22"/>
          <w:lang w:val="es-MX" w:eastAsia="es-MX"/>
        </w:rPr>
        <w:t>La información confidencial no estará sujeta a temporalidad alguna y sólo podrán tener acceso a ella los titulares de la misma, sus representantes y los servidores públicos facultados para ello.”</w:t>
      </w:r>
    </w:p>
    <w:p w14:paraId="1FB695D7" w14:textId="77777777" w:rsidR="00332896" w:rsidRDefault="00332896" w:rsidP="00332896">
      <w:pPr>
        <w:shd w:val="clear" w:color="auto" w:fill="FFFFFF"/>
        <w:spacing w:after="0" w:line="240" w:lineRule="auto"/>
        <w:ind w:left="851" w:right="851"/>
        <w:jc w:val="both"/>
        <w:rPr>
          <w:rFonts w:ascii="Palatino Linotype" w:eastAsia="Times New Roman" w:hAnsi="Palatino Linotype" w:cs="Arial"/>
          <w:i/>
          <w:iCs/>
          <w:lang w:eastAsia="es-MX"/>
        </w:rPr>
      </w:pPr>
      <w:r w:rsidRPr="00AD2A55">
        <w:rPr>
          <w:rFonts w:ascii="Palatino Linotype" w:eastAsia="Times New Roman" w:hAnsi="Palatino Linotype" w:cs="Arial"/>
          <w:i/>
          <w:iCs/>
          <w:lang w:eastAsia="es-MX"/>
        </w:rPr>
        <w:t>(Énfasis añadido)</w:t>
      </w:r>
    </w:p>
    <w:p w14:paraId="3A9F2B61" w14:textId="77777777" w:rsidR="00332896" w:rsidRPr="00AD2A55" w:rsidRDefault="00332896" w:rsidP="00332896">
      <w:pPr>
        <w:shd w:val="clear" w:color="auto" w:fill="FFFFFF"/>
        <w:spacing w:after="0" w:line="240" w:lineRule="auto"/>
        <w:ind w:left="851" w:right="851"/>
        <w:jc w:val="both"/>
        <w:rPr>
          <w:rFonts w:ascii="Palatino Linotype" w:eastAsia="Times New Roman" w:hAnsi="Palatino Linotype" w:cs="Arial"/>
          <w:lang w:eastAsia="es-MX"/>
        </w:rPr>
      </w:pPr>
    </w:p>
    <w:p w14:paraId="074FECA7" w14:textId="77777777" w:rsidR="00332896" w:rsidRDefault="00332896" w:rsidP="00332896">
      <w:pPr>
        <w:autoSpaceDE w:val="0"/>
        <w:autoSpaceDN w:val="0"/>
        <w:adjustRightInd w:val="0"/>
        <w:spacing w:after="0" w:line="360" w:lineRule="auto"/>
        <w:jc w:val="both"/>
        <w:rPr>
          <w:rFonts w:ascii="Palatino Linotype" w:hAnsi="Palatino Linotype"/>
          <w:color w:val="2E2E2E"/>
          <w:sz w:val="24"/>
          <w:szCs w:val="24"/>
        </w:rPr>
      </w:pPr>
      <w:r w:rsidRPr="00AD2A55">
        <w:rPr>
          <w:rFonts w:ascii="Palatino Linotype" w:hAnsi="Palatino Linotype" w:cs="Arial"/>
          <w:bCs/>
          <w:sz w:val="24"/>
          <w:szCs w:val="24"/>
        </w:rPr>
        <w:t xml:space="preserve">De los lineamientos antes transcritos se advierte claramente que específicamente en el numeral </w:t>
      </w:r>
      <w:r w:rsidRPr="00822149">
        <w:rPr>
          <w:rFonts w:ascii="Palatino Linotype" w:hAnsi="Palatino Linotype" w:cs="Arial"/>
          <w:bCs/>
          <w:sz w:val="24"/>
          <w:szCs w:val="24"/>
        </w:rPr>
        <w:t xml:space="preserve">OCTAVO, se establece que para fundar la clasificación de la </w:t>
      </w:r>
      <w:r w:rsidRPr="00822149">
        <w:rPr>
          <w:rFonts w:ascii="Palatino Linotype" w:hAnsi="Palatino Linotype"/>
          <w:sz w:val="24"/>
          <w:szCs w:val="24"/>
        </w:rPr>
        <w:t xml:space="preserve">información se debe señalar el artículo, fracción, inciso, párrafo o numeral de la ley o tratado internacional suscrito por el Estado mexicano que expresamente le otorga el carácter de </w:t>
      </w:r>
      <w:r w:rsidRPr="00C34442">
        <w:rPr>
          <w:rFonts w:ascii="Palatino Linotype" w:hAnsi="Palatino Linotype"/>
          <w:szCs w:val="24"/>
        </w:rPr>
        <w:t>reservada</w:t>
      </w:r>
      <w:r w:rsidRPr="00822149">
        <w:rPr>
          <w:rFonts w:ascii="Palatino Linotype" w:hAnsi="Palatino Linotype"/>
          <w:sz w:val="24"/>
          <w:szCs w:val="24"/>
        </w:rPr>
        <w:t xml:space="preserve"> o confidencial.</w:t>
      </w:r>
    </w:p>
    <w:p w14:paraId="20366FED" w14:textId="77777777" w:rsidR="00332896" w:rsidRPr="00C34442" w:rsidRDefault="00332896" w:rsidP="00332896">
      <w:pPr>
        <w:autoSpaceDE w:val="0"/>
        <w:autoSpaceDN w:val="0"/>
        <w:adjustRightInd w:val="0"/>
        <w:spacing w:after="0" w:line="360" w:lineRule="auto"/>
        <w:jc w:val="both"/>
        <w:rPr>
          <w:rFonts w:ascii="Palatino Linotype" w:hAnsi="Palatino Linotype" w:cs="Arial"/>
          <w:bCs/>
          <w:sz w:val="12"/>
          <w:szCs w:val="24"/>
        </w:rPr>
      </w:pPr>
    </w:p>
    <w:p w14:paraId="6370A5D8" w14:textId="77777777" w:rsidR="00332896" w:rsidRDefault="00332896" w:rsidP="00332896">
      <w:pPr>
        <w:autoSpaceDE w:val="0"/>
        <w:autoSpaceDN w:val="0"/>
        <w:adjustRightInd w:val="0"/>
        <w:spacing w:after="0" w:line="360" w:lineRule="auto"/>
        <w:jc w:val="both"/>
        <w:rPr>
          <w:rFonts w:ascii="Palatino Linotype" w:hAnsi="Palatino Linotype" w:cs="Arial"/>
          <w:bCs/>
          <w:sz w:val="24"/>
          <w:szCs w:val="24"/>
        </w:rPr>
      </w:pPr>
      <w:r w:rsidRPr="00AD2A55">
        <w:rPr>
          <w:rFonts w:ascii="Palatino Linotype" w:hAnsi="Palatino Linotype" w:cs="Arial"/>
          <w:bCs/>
          <w:sz w:val="24"/>
          <w:szCs w:val="24"/>
        </w:rPr>
        <w:t xml:space="preserve">Así, los Acuerdos de Clasificación emitidos por los Comités de Transparencia de los Sujetos Obligados deben cumplir los ordenamientos anteriormente citados para generar certeza jurídica a los particulares, y por ende, que se cumpla con la debida fundamentación y motivación. </w:t>
      </w:r>
    </w:p>
    <w:p w14:paraId="73974BFF" w14:textId="77777777" w:rsidR="00332896" w:rsidRPr="00C34442" w:rsidRDefault="00332896" w:rsidP="00332896">
      <w:pPr>
        <w:autoSpaceDE w:val="0"/>
        <w:autoSpaceDN w:val="0"/>
        <w:adjustRightInd w:val="0"/>
        <w:spacing w:after="0" w:line="360" w:lineRule="auto"/>
        <w:jc w:val="both"/>
        <w:rPr>
          <w:rFonts w:ascii="Palatino Linotype" w:hAnsi="Palatino Linotype" w:cs="Arial"/>
          <w:bCs/>
          <w:sz w:val="16"/>
          <w:szCs w:val="24"/>
        </w:rPr>
      </w:pPr>
    </w:p>
    <w:p w14:paraId="0E4B717F" w14:textId="77777777" w:rsidR="00332896" w:rsidRDefault="00332896" w:rsidP="00332896">
      <w:pPr>
        <w:autoSpaceDE w:val="0"/>
        <w:autoSpaceDN w:val="0"/>
        <w:adjustRightInd w:val="0"/>
        <w:spacing w:after="0" w:line="360" w:lineRule="auto"/>
        <w:jc w:val="both"/>
        <w:rPr>
          <w:rFonts w:ascii="Palatino Linotype" w:hAnsi="Palatino Linotype" w:cs="Arial"/>
          <w:bCs/>
          <w:sz w:val="24"/>
          <w:szCs w:val="24"/>
        </w:rPr>
      </w:pPr>
      <w:r w:rsidRPr="00AD2A55">
        <w:rPr>
          <w:rFonts w:ascii="Palatino Linotype" w:hAnsi="Palatino Linotype" w:cs="Arial"/>
          <w:bCs/>
          <w:sz w:val="24"/>
          <w:szCs w:val="24"/>
        </w:rPr>
        <w:t xml:space="preserve">En esa tesitura, al hablar de fundamentación y motivación es necesario destacar que el primer concepto se vincula con la cita del precepto legal aplicable al caso en concreto y la motivación tiene como fin que el solicitante conozca a detalle y de manera completa todas y cada una de las circunstancias y condiciones que determinaron la clasificación como reservada de la información, de tal manera que sea evidente y muy claro para el particular cuestionar y controvertir el mérito de la decisión permitiéndole una real y auténtica defensa. </w:t>
      </w:r>
    </w:p>
    <w:p w14:paraId="7F4DD259" w14:textId="77777777" w:rsidR="00332896" w:rsidRPr="00C34442" w:rsidRDefault="00332896" w:rsidP="00332896">
      <w:pPr>
        <w:spacing w:after="0" w:line="360" w:lineRule="auto"/>
        <w:jc w:val="both"/>
        <w:rPr>
          <w:rFonts w:ascii="Palatino Linotype" w:hAnsi="Palatino Linotype" w:cs="Arial"/>
          <w:bCs/>
          <w:sz w:val="8"/>
          <w:szCs w:val="24"/>
        </w:rPr>
      </w:pPr>
    </w:p>
    <w:p w14:paraId="678BAFE4" w14:textId="77777777" w:rsidR="00332896" w:rsidRDefault="00332896" w:rsidP="00332896">
      <w:pPr>
        <w:spacing w:after="0" w:line="360" w:lineRule="auto"/>
        <w:jc w:val="both"/>
        <w:rPr>
          <w:rFonts w:ascii="Palatino Linotype" w:hAnsi="Palatino Linotype" w:cs="Arial"/>
          <w:bCs/>
          <w:sz w:val="24"/>
          <w:szCs w:val="24"/>
        </w:rPr>
      </w:pPr>
      <w:r w:rsidRPr="00AD2A55">
        <w:rPr>
          <w:rFonts w:ascii="Palatino Linotype" w:hAnsi="Palatino Linotype" w:cs="Arial"/>
          <w:bCs/>
          <w:sz w:val="24"/>
          <w:szCs w:val="24"/>
        </w:rPr>
        <w:t>Sirven de sustento, a lo anterior las tesis jurisprudenciales números I.4º.A. J/43 y VI. 2º. J/43, publicadas en el Semanario Judicial de la Federación y su Gaceta, con el número de registro 175,082 y 203,143, respectivamente, cuyo texto y sentido literal es el siguiente:</w:t>
      </w:r>
    </w:p>
    <w:p w14:paraId="74E7BEED" w14:textId="77777777" w:rsidR="00332896" w:rsidRPr="00AD2A55" w:rsidRDefault="00332896" w:rsidP="00332896">
      <w:pPr>
        <w:spacing w:after="0" w:line="240" w:lineRule="auto"/>
        <w:ind w:left="851" w:right="850"/>
        <w:jc w:val="both"/>
        <w:rPr>
          <w:rFonts w:ascii="Palatino Linotype" w:hAnsi="Palatino Linotype" w:cs="Arial"/>
          <w:bCs/>
          <w:i/>
          <w:iCs/>
        </w:rPr>
      </w:pPr>
      <w:r w:rsidRPr="00AD2A55">
        <w:rPr>
          <w:rFonts w:ascii="Palatino Linotype" w:hAnsi="Palatino Linotype" w:cs="Arial"/>
          <w:bCs/>
          <w:i/>
          <w:iCs/>
        </w:rPr>
        <w:t>“</w:t>
      </w:r>
      <w:r w:rsidRPr="00AD2A55">
        <w:rPr>
          <w:rFonts w:ascii="Palatino Linotype" w:hAnsi="Palatino Linotype" w:cs="Arial"/>
          <w:b/>
          <w:bCs/>
          <w:i/>
          <w:iCs/>
        </w:rPr>
        <w:t>FUNDAMENTACIÓN Y MOTIVACIÓN. EL ASPECTO FORMAL DE LA GARANTÍA Y SU FINALIDAD SE TRADUCEN EN EXPLICAR, JUSTIFICAR, POSIBILITAR LA DEFENSA Y COMUNICAR LA DECISIÓN. </w:t>
      </w:r>
      <w:r w:rsidRPr="00AD2A55">
        <w:rPr>
          <w:rFonts w:ascii="Palatino Linotype" w:hAnsi="Palatino Linotype" w:cs="Arial"/>
          <w:bCs/>
          <w:i/>
          <w:iCs/>
        </w:rPr>
        <w:t>El contenido formal de la garantía de legalidad prevista en el artículo 16 constitucional relativa a la fundamentación y motivación tiene como propósito primordial y ratio que el justiciable </w:t>
      </w:r>
      <w:r w:rsidRPr="00AD2A55">
        <w:rPr>
          <w:rFonts w:ascii="Palatino Linotype" w:hAnsi="Palatino Linotype" w:cs="Arial"/>
          <w:bCs/>
          <w:i/>
          <w:iCs/>
          <w:u w:val="single"/>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AD2A55">
        <w:rPr>
          <w:rFonts w:ascii="Palatino Linotype" w:hAnsi="Palatino Linotype" w:cs="Arial"/>
          <w:bCs/>
          <w:i/>
          <w:iCs/>
        </w:rPr>
        <w:t>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AD2A55">
        <w:rPr>
          <w:rFonts w:ascii="Palatino Linotype" w:hAnsi="Palatino Linotype" w:cs="Arial"/>
          <w:bCs/>
          <w:i/>
          <w:iCs/>
          <w:u w:val="single"/>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AD2A55">
        <w:rPr>
          <w:rFonts w:ascii="Palatino Linotype" w:hAnsi="Palatino Linotype" w:cs="Arial"/>
          <w:bCs/>
          <w:i/>
          <w:iCs/>
        </w:rPr>
        <w:t> del que se deduzca la relación de pertenencia lógica de los hechos al derecho invocado, que es la subsunción.”</w:t>
      </w:r>
    </w:p>
    <w:p w14:paraId="79948906" w14:textId="77777777" w:rsidR="00332896" w:rsidRDefault="00332896" w:rsidP="00332896">
      <w:pPr>
        <w:spacing w:after="0" w:line="240" w:lineRule="auto"/>
        <w:ind w:left="851" w:right="850"/>
        <w:jc w:val="both"/>
        <w:rPr>
          <w:rFonts w:ascii="Palatino Linotype" w:hAnsi="Palatino Linotype" w:cs="Arial"/>
          <w:bCs/>
          <w:i/>
          <w:iCs/>
        </w:rPr>
      </w:pPr>
      <w:r w:rsidRPr="00AD2A55">
        <w:rPr>
          <w:rFonts w:ascii="Palatino Linotype" w:hAnsi="Palatino Linotype" w:cs="Arial"/>
          <w:bCs/>
          <w:i/>
          <w:iCs/>
        </w:rPr>
        <w:t>“</w:t>
      </w:r>
      <w:r w:rsidRPr="00AD2A55">
        <w:rPr>
          <w:rFonts w:ascii="Palatino Linotype" w:hAnsi="Palatino Linotype" w:cs="Arial"/>
          <w:b/>
          <w:bCs/>
          <w:i/>
          <w:iCs/>
        </w:rPr>
        <w:t>FUNDAMENTACION Y MOTIVACION. </w:t>
      </w:r>
      <w:r w:rsidRPr="00AD2A55">
        <w:rPr>
          <w:rFonts w:ascii="Palatino Linotype" w:hAnsi="Palatino Linotype" w:cs="Arial"/>
          <w:bCs/>
          <w:i/>
          <w:iCs/>
        </w:rPr>
        <w:t>La debida fundamentación y motivación legal, deben entenderse, por lo primero</w:t>
      </w:r>
      <w:r w:rsidRPr="00AD2A55">
        <w:rPr>
          <w:rFonts w:ascii="Palatino Linotype" w:hAnsi="Palatino Linotype" w:cs="Arial"/>
          <w:b/>
          <w:bCs/>
          <w:i/>
          <w:iCs/>
        </w:rPr>
        <w:t xml:space="preserve">, </w:t>
      </w:r>
      <w:r w:rsidRPr="00AD2A55">
        <w:rPr>
          <w:rFonts w:ascii="Palatino Linotype" w:hAnsi="Palatino Linotype" w:cs="Arial"/>
          <w:bCs/>
          <w:i/>
          <w:iCs/>
          <w:u w:val="single"/>
        </w:rPr>
        <w:t>la cita del precepto legal aplicable al caso, y por lo segundo, las razones, motivos o circunstancias especiales que llevaron a la autoridad a concluir que el caso particular encuadra en el supuesto previsto por la norma</w:t>
      </w:r>
      <w:r w:rsidRPr="00AD2A55">
        <w:rPr>
          <w:rFonts w:ascii="Palatino Linotype" w:hAnsi="Palatino Linotype" w:cs="Arial"/>
          <w:bCs/>
          <w:i/>
          <w:iCs/>
        </w:rPr>
        <w:t> legal invocada como fundamento.”</w:t>
      </w:r>
    </w:p>
    <w:p w14:paraId="52599FFE" w14:textId="77777777" w:rsidR="00332896" w:rsidRDefault="00332896" w:rsidP="00332896">
      <w:pPr>
        <w:spacing w:after="0" w:line="240" w:lineRule="auto"/>
        <w:ind w:left="851" w:right="850"/>
        <w:jc w:val="both"/>
        <w:rPr>
          <w:rFonts w:ascii="Palatino Linotype" w:hAnsi="Palatino Linotype" w:cs="Arial"/>
          <w:bCs/>
          <w:i/>
          <w:iCs/>
        </w:rPr>
      </w:pPr>
    </w:p>
    <w:p w14:paraId="535BB401" w14:textId="77777777" w:rsidR="00332896" w:rsidRPr="005809C0" w:rsidRDefault="00332896" w:rsidP="00332896">
      <w:pPr>
        <w:spacing w:after="0" w:line="240" w:lineRule="auto"/>
        <w:ind w:left="851" w:right="850"/>
        <w:jc w:val="both"/>
        <w:rPr>
          <w:rFonts w:ascii="Palatino Linotype" w:hAnsi="Palatino Linotype" w:cs="Arial"/>
          <w:bCs/>
          <w:i/>
          <w:iCs/>
          <w:sz w:val="18"/>
        </w:rPr>
      </w:pPr>
    </w:p>
    <w:p w14:paraId="00157750" w14:textId="77777777" w:rsidR="00332896" w:rsidRDefault="00332896" w:rsidP="00332896">
      <w:pPr>
        <w:spacing w:after="0" w:line="360" w:lineRule="auto"/>
        <w:jc w:val="both"/>
      </w:pPr>
      <w:r w:rsidRPr="00AD2A55">
        <w:rPr>
          <w:rFonts w:ascii="Palatino Linotype" w:eastAsia="Calibri" w:hAnsi="Palatino Linotype" w:cs="Arial"/>
          <w:sz w:val="24"/>
          <w:szCs w:val="24"/>
        </w:rPr>
        <w:t xml:space="preserve">Entonces, el Sujeto Obligado debe seguir el procedimiento legal establecido para su clasificación, es decir, es necesario que el Comité de Transparencia emita un Acuerdo de Clasificación que cumpla con las formalidades previstas en los artículos 137, </w:t>
      </w:r>
      <w:r>
        <w:rPr>
          <w:rFonts w:ascii="Palatino Linotype" w:eastAsia="Calibri" w:hAnsi="Palatino Linotype" w:cs="Arial"/>
          <w:sz w:val="24"/>
          <w:szCs w:val="24"/>
        </w:rPr>
        <w:t xml:space="preserve">140, </w:t>
      </w:r>
      <w:r w:rsidRPr="00AD2A55">
        <w:rPr>
          <w:rFonts w:ascii="Palatino Linotype" w:eastAsia="Calibri" w:hAnsi="Palatino Linotype" w:cs="Arial"/>
          <w:sz w:val="24"/>
          <w:szCs w:val="24"/>
        </w:rPr>
        <w:lastRenderedPageBreak/>
        <w:t>143 y 149 de la Ley de Transparencia y Acceso a la Información Pública del Estado de México y Municipios.</w:t>
      </w:r>
    </w:p>
    <w:p w14:paraId="692F7FF6" w14:textId="77777777" w:rsidR="00332896" w:rsidRDefault="00332896" w:rsidP="00DA4850">
      <w:pPr>
        <w:spacing w:after="0" w:line="360" w:lineRule="auto"/>
        <w:jc w:val="both"/>
        <w:rPr>
          <w:rFonts w:ascii="Palatino Linotype" w:hAnsi="Palatino Linotype"/>
          <w:bCs/>
          <w:sz w:val="24"/>
          <w:szCs w:val="24"/>
        </w:rPr>
      </w:pPr>
    </w:p>
    <w:p w14:paraId="70583DDF" w14:textId="3D14CE2D" w:rsidR="00270F03" w:rsidRPr="00F842B2" w:rsidRDefault="00270F03" w:rsidP="007915C7">
      <w:pPr>
        <w:tabs>
          <w:tab w:val="left" w:pos="709"/>
        </w:tabs>
        <w:spacing w:after="0" w:line="360" w:lineRule="auto"/>
        <w:ind w:left="709" w:hanging="709"/>
        <w:jc w:val="both"/>
        <w:rPr>
          <w:rFonts w:ascii="Palatino Linotype" w:hAnsi="Palatino Linotype"/>
          <w:bCs/>
          <w:sz w:val="24"/>
          <w:szCs w:val="24"/>
        </w:rPr>
      </w:pPr>
      <w:r w:rsidRPr="00F842B2">
        <w:rPr>
          <w:rFonts w:ascii="Palatino Linotype" w:hAnsi="Palatino Linotype"/>
          <w:bCs/>
          <w:sz w:val="24"/>
          <w:szCs w:val="24"/>
        </w:rPr>
        <w:t xml:space="preserve">De ahí que deba arribarse a las siguientes consideraciones: </w:t>
      </w:r>
    </w:p>
    <w:p w14:paraId="7EF0D2B1" w14:textId="436D113E" w:rsidR="00F21A7F" w:rsidRPr="00F21A7F" w:rsidRDefault="00270F03" w:rsidP="004E4839">
      <w:pPr>
        <w:pStyle w:val="Prrafodelista"/>
        <w:numPr>
          <w:ilvl w:val="0"/>
          <w:numId w:val="1"/>
        </w:numPr>
        <w:tabs>
          <w:tab w:val="left" w:pos="709"/>
        </w:tabs>
        <w:spacing w:line="360" w:lineRule="auto"/>
        <w:contextualSpacing/>
        <w:jc w:val="both"/>
        <w:rPr>
          <w:rFonts w:ascii="Palatino Linotype" w:hAnsi="Palatino Linotype"/>
        </w:rPr>
      </w:pPr>
      <w:r w:rsidRPr="00F21A7F">
        <w:rPr>
          <w:rFonts w:ascii="Palatino Linotype" w:hAnsi="Palatino Linotype"/>
          <w:bCs/>
        </w:rPr>
        <w:t>A través del derecho de acceso a la i</w:t>
      </w:r>
      <w:r w:rsidR="00F83482" w:rsidRPr="00F21A7F">
        <w:rPr>
          <w:rFonts w:ascii="Palatino Linotype" w:hAnsi="Palatino Linotype"/>
          <w:bCs/>
        </w:rPr>
        <w:t xml:space="preserve">nformación pública </w:t>
      </w:r>
      <w:r w:rsidR="00EC39C2">
        <w:rPr>
          <w:rFonts w:ascii="Palatino Linotype" w:hAnsi="Palatino Linotype"/>
          <w:bCs/>
        </w:rPr>
        <w:t>se requirió que se informe sobre el monto que se debe a cada proveedor del Ayuntamiento.</w:t>
      </w:r>
    </w:p>
    <w:p w14:paraId="3EA67A4D" w14:textId="0BA06012" w:rsidR="00F21A7F" w:rsidRPr="00F21A7F" w:rsidRDefault="00082D24" w:rsidP="004E4839">
      <w:pPr>
        <w:pStyle w:val="Prrafodelista"/>
        <w:numPr>
          <w:ilvl w:val="0"/>
          <w:numId w:val="1"/>
        </w:numPr>
        <w:tabs>
          <w:tab w:val="left" w:pos="709"/>
        </w:tabs>
        <w:spacing w:line="360" w:lineRule="auto"/>
        <w:contextualSpacing/>
        <w:jc w:val="both"/>
        <w:rPr>
          <w:rFonts w:ascii="Palatino Linotype" w:hAnsi="Palatino Linotype"/>
        </w:rPr>
      </w:pPr>
      <w:r w:rsidRPr="00F21A7F">
        <w:rPr>
          <w:rFonts w:ascii="Palatino Linotype" w:hAnsi="Palatino Linotype"/>
          <w:bCs/>
        </w:rPr>
        <w:t>En respuesta el Sujeto Obligado</w:t>
      </w:r>
      <w:r w:rsidR="00F21A7F" w:rsidRPr="00F21A7F">
        <w:rPr>
          <w:rFonts w:ascii="Palatino Linotype" w:hAnsi="Palatino Linotype"/>
          <w:bCs/>
        </w:rPr>
        <w:t xml:space="preserve"> </w:t>
      </w:r>
      <w:r w:rsidR="00EC39C2">
        <w:rPr>
          <w:rFonts w:ascii="Palatino Linotype" w:hAnsi="Palatino Linotype"/>
          <w:bCs/>
        </w:rPr>
        <w:t>intento hacer una solicitud de aclaración, manifestando que si la información se requería a Atizapán Santa Cruz, Estado de México.</w:t>
      </w:r>
    </w:p>
    <w:p w14:paraId="097DD662" w14:textId="4E5B5F3A" w:rsidR="00F21A7F" w:rsidRPr="00EC39C2" w:rsidRDefault="00EC39C2" w:rsidP="004E4839">
      <w:pPr>
        <w:pStyle w:val="Prrafodelista"/>
        <w:numPr>
          <w:ilvl w:val="0"/>
          <w:numId w:val="1"/>
        </w:numPr>
        <w:spacing w:line="360" w:lineRule="auto"/>
        <w:contextualSpacing/>
        <w:jc w:val="both"/>
        <w:rPr>
          <w:rFonts w:ascii="Palatino Linotype" w:hAnsi="Palatino Linotype"/>
        </w:rPr>
      </w:pPr>
      <w:r>
        <w:rPr>
          <w:rFonts w:ascii="Palatino Linotype" w:hAnsi="Palatino Linotype"/>
          <w:bCs/>
        </w:rPr>
        <w:t>Deriva</w:t>
      </w:r>
      <w:r w:rsidR="004E173C">
        <w:rPr>
          <w:rFonts w:ascii="Palatino Linotype" w:hAnsi="Palatino Linotype"/>
          <w:bCs/>
        </w:rPr>
        <w:t xml:space="preserve">do de lo anterior, el hoy Recurrente interpuso </w:t>
      </w:r>
      <w:r>
        <w:rPr>
          <w:rFonts w:ascii="Palatino Linotype" w:hAnsi="Palatino Linotype"/>
          <w:bCs/>
        </w:rPr>
        <w:t>recurso de revisión, en</w:t>
      </w:r>
      <w:r w:rsidR="004E173C">
        <w:rPr>
          <w:rFonts w:ascii="Palatino Linotype" w:hAnsi="Palatino Linotype"/>
          <w:bCs/>
        </w:rPr>
        <w:t xml:space="preserve"> el cual manifestó que </w:t>
      </w:r>
      <w:r>
        <w:rPr>
          <w:rFonts w:ascii="Palatino Linotype" w:hAnsi="Palatino Linotype"/>
          <w:bCs/>
        </w:rPr>
        <w:t xml:space="preserve"> ya había fenecido el término para dar respuesta a la solicitud de información.</w:t>
      </w:r>
    </w:p>
    <w:p w14:paraId="2698B59E" w14:textId="7C67A0AA" w:rsidR="00EC39C2" w:rsidRPr="00EC39C2" w:rsidRDefault="00EC39C2" w:rsidP="004E4839">
      <w:pPr>
        <w:pStyle w:val="Prrafodelista"/>
        <w:numPr>
          <w:ilvl w:val="0"/>
          <w:numId w:val="1"/>
        </w:numPr>
        <w:spacing w:line="360" w:lineRule="auto"/>
        <w:contextualSpacing/>
        <w:jc w:val="both"/>
        <w:rPr>
          <w:rFonts w:ascii="Palatino Linotype" w:hAnsi="Palatino Linotype"/>
        </w:rPr>
      </w:pPr>
      <w:r>
        <w:rPr>
          <w:rFonts w:ascii="Palatino Linotype" w:hAnsi="Palatino Linotype"/>
          <w:bCs/>
        </w:rPr>
        <w:t xml:space="preserve">De </w:t>
      </w:r>
      <w:r w:rsidR="004E173C">
        <w:rPr>
          <w:rFonts w:ascii="Palatino Linotype" w:hAnsi="Palatino Linotype"/>
          <w:bCs/>
        </w:rPr>
        <w:t xml:space="preserve">conformidad con la </w:t>
      </w:r>
      <w:r>
        <w:rPr>
          <w:rFonts w:ascii="Palatino Linotype" w:hAnsi="Palatino Linotype"/>
          <w:bCs/>
        </w:rPr>
        <w:t xml:space="preserve">normatividad en materia de transparencia, se advirtió que el Ayuntamiento de Atizapán es competente para dar respuesta a la solicitud de información, </w:t>
      </w:r>
      <w:r w:rsidR="004E173C">
        <w:rPr>
          <w:rFonts w:ascii="Palatino Linotype" w:hAnsi="Palatino Linotype"/>
          <w:bCs/>
        </w:rPr>
        <w:t xml:space="preserve">además de que </w:t>
      </w:r>
      <w:r>
        <w:rPr>
          <w:rFonts w:ascii="Palatino Linotype" w:hAnsi="Palatino Linotype"/>
          <w:bCs/>
        </w:rPr>
        <w:t>encuentra obligado a presentar informes trimestrales ante el Órgano Superior de Fiscalización, dentro de los cuales se puede conocer la información solicitada</w:t>
      </w:r>
      <w:r w:rsidR="004E173C">
        <w:rPr>
          <w:rFonts w:ascii="Palatino Linotype" w:hAnsi="Palatino Linotype"/>
          <w:bCs/>
        </w:rPr>
        <w:t xml:space="preserve"> en la balanza de comprobación acumulada y detallada</w:t>
      </w:r>
    </w:p>
    <w:p w14:paraId="424C73A6" w14:textId="2E8B97CA" w:rsidR="00EC39C2" w:rsidRPr="00F21A7F" w:rsidRDefault="00EC39C2" w:rsidP="004E4839">
      <w:pPr>
        <w:pStyle w:val="Prrafodelista"/>
        <w:numPr>
          <w:ilvl w:val="0"/>
          <w:numId w:val="1"/>
        </w:numPr>
        <w:spacing w:line="360" w:lineRule="auto"/>
        <w:contextualSpacing/>
        <w:jc w:val="both"/>
        <w:rPr>
          <w:rFonts w:ascii="Palatino Linotype" w:hAnsi="Palatino Linotype"/>
        </w:rPr>
      </w:pPr>
      <w:r>
        <w:rPr>
          <w:rFonts w:ascii="Palatino Linotype" w:hAnsi="Palatino Linotype"/>
          <w:bCs/>
        </w:rPr>
        <w:t xml:space="preserve">Por lo que se </w:t>
      </w:r>
      <w:r w:rsidR="004E173C">
        <w:rPr>
          <w:rFonts w:ascii="Palatino Linotype" w:hAnsi="Palatino Linotype"/>
          <w:bCs/>
        </w:rPr>
        <w:t xml:space="preserve">determina </w:t>
      </w:r>
      <w:r>
        <w:rPr>
          <w:rFonts w:ascii="Palatino Linotype" w:hAnsi="Palatino Linotype"/>
          <w:bCs/>
        </w:rPr>
        <w:t>revoca</w:t>
      </w:r>
      <w:r w:rsidR="004E173C">
        <w:rPr>
          <w:rFonts w:ascii="Palatino Linotype" w:hAnsi="Palatino Linotype"/>
          <w:bCs/>
        </w:rPr>
        <w:t>r</w:t>
      </w:r>
      <w:r>
        <w:rPr>
          <w:rFonts w:ascii="Palatino Linotype" w:hAnsi="Palatino Linotype"/>
          <w:bCs/>
        </w:rPr>
        <w:t xml:space="preserve"> la respuesta y se ordena </w:t>
      </w:r>
      <w:r w:rsidR="004E173C">
        <w:rPr>
          <w:rFonts w:ascii="Palatino Linotype" w:hAnsi="Palatino Linotype"/>
          <w:bCs/>
        </w:rPr>
        <w:t xml:space="preserve">la entrega de </w:t>
      </w:r>
      <w:r>
        <w:rPr>
          <w:rFonts w:ascii="Palatino Linotype" w:hAnsi="Palatino Linotype"/>
          <w:bCs/>
        </w:rPr>
        <w:t>la información solicitada correspondiente al tercer trimestre de dos mil veintiuno.</w:t>
      </w:r>
    </w:p>
    <w:p w14:paraId="205FFB07" w14:textId="77777777" w:rsidR="00BE46DF" w:rsidRPr="00F21A7F" w:rsidRDefault="00BE46DF" w:rsidP="00F21A7F">
      <w:pPr>
        <w:pStyle w:val="Prrafodelista"/>
        <w:spacing w:line="360" w:lineRule="auto"/>
        <w:ind w:left="720"/>
        <w:contextualSpacing/>
        <w:jc w:val="both"/>
        <w:rPr>
          <w:rFonts w:ascii="Palatino Linotype" w:hAnsi="Palatino Linotype" w:cs="Arial"/>
          <w:lang w:eastAsia="es-MX"/>
        </w:rPr>
      </w:pPr>
    </w:p>
    <w:p w14:paraId="6D980049" w14:textId="13B57C48" w:rsidR="00294892" w:rsidRDefault="00675D66" w:rsidP="00675D66">
      <w:pPr>
        <w:spacing w:after="0" w:line="360" w:lineRule="auto"/>
        <w:jc w:val="both"/>
        <w:rPr>
          <w:rFonts w:ascii="Palatino Linotype" w:hAnsi="Palatino Linotype"/>
          <w:sz w:val="24"/>
          <w:szCs w:val="24"/>
        </w:rPr>
      </w:pPr>
      <w:r>
        <w:rPr>
          <w:rFonts w:ascii="Palatino Linotype" w:hAnsi="Palatino Linotype" w:cs="Arial"/>
          <w:sz w:val="24"/>
          <w:szCs w:val="24"/>
          <w:lang w:eastAsia="es-MX"/>
        </w:rPr>
        <w:t>F</w:t>
      </w:r>
      <w:r w:rsidR="00294892" w:rsidRPr="00A64804">
        <w:rPr>
          <w:rFonts w:ascii="Palatino Linotype" w:hAnsi="Palatino Linotype" w:cs="Arial"/>
          <w:sz w:val="24"/>
          <w:szCs w:val="24"/>
          <w:lang w:eastAsia="es-MX"/>
        </w:rPr>
        <w:t>inal</w:t>
      </w:r>
      <w:r w:rsidR="00294892" w:rsidRPr="00A64804">
        <w:rPr>
          <w:rFonts w:ascii="Palatino Linotype" w:hAnsi="Palatino Linotype"/>
          <w:sz w:val="24"/>
          <w:szCs w:val="24"/>
        </w:rPr>
        <w:t>mente y en mérito de lo expuesto en líneas anteriores, resultan</w:t>
      </w:r>
      <w:r w:rsidR="000D1944">
        <w:rPr>
          <w:rFonts w:ascii="Palatino Linotype" w:hAnsi="Palatino Linotype"/>
          <w:sz w:val="24"/>
          <w:szCs w:val="24"/>
        </w:rPr>
        <w:t xml:space="preserve"> </w:t>
      </w:r>
      <w:r w:rsidR="00294892" w:rsidRPr="00A64804">
        <w:rPr>
          <w:rFonts w:ascii="Palatino Linotype" w:hAnsi="Palatino Linotype"/>
          <w:sz w:val="24"/>
          <w:szCs w:val="24"/>
        </w:rPr>
        <w:t xml:space="preserve">fundados los motivos de inconformidad vertidos por el Recurrente, por ello con fundamento en el artículo 186 fracción III de la Ley de Transparencia y Acceso a la Información Pública </w:t>
      </w:r>
      <w:r w:rsidR="00294892" w:rsidRPr="00A64804">
        <w:rPr>
          <w:rFonts w:ascii="Palatino Linotype" w:hAnsi="Palatino Linotype"/>
          <w:sz w:val="24"/>
          <w:szCs w:val="24"/>
        </w:rPr>
        <w:lastRenderedPageBreak/>
        <w:t xml:space="preserve">del Estado de México y Municipios, se </w:t>
      </w:r>
      <w:r w:rsidR="009C6D05" w:rsidRPr="009C6D05">
        <w:rPr>
          <w:rFonts w:ascii="Palatino Linotype" w:hAnsi="Palatino Linotype"/>
          <w:b/>
          <w:sz w:val="24"/>
          <w:szCs w:val="24"/>
        </w:rPr>
        <w:t>REVOCA</w:t>
      </w:r>
      <w:r w:rsidR="009B1548">
        <w:rPr>
          <w:rFonts w:ascii="Palatino Linotype" w:hAnsi="Palatino Linotype"/>
          <w:sz w:val="24"/>
          <w:szCs w:val="24"/>
        </w:rPr>
        <w:t xml:space="preserve"> </w:t>
      </w:r>
      <w:r w:rsidR="00294892" w:rsidRPr="00A64804">
        <w:rPr>
          <w:rFonts w:ascii="Palatino Linotype" w:hAnsi="Palatino Linotype"/>
          <w:sz w:val="24"/>
          <w:szCs w:val="24"/>
        </w:rPr>
        <w:t xml:space="preserve">la respuesta a la solicitud de información </w:t>
      </w:r>
      <w:r w:rsidR="00A86406">
        <w:rPr>
          <w:rFonts w:ascii="Palatino Linotype" w:hAnsi="Palatino Linotype" w:cs="Arial"/>
          <w:b/>
          <w:sz w:val="24"/>
          <w:szCs w:val="24"/>
        </w:rPr>
        <w:t xml:space="preserve"> </w:t>
      </w:r>
      <w:r w:rsidR="00EC39C2" w:rsidRPr="00C05127">
        <w:rPr>
          <w:rFonts w:ascii="Palatino Linotype" w:hAnsi="Palatino Linotype" w:cs="Arial"/>
          <w:b/>
          <w:sz w:val="24"/>
          <w:szCs w:val="24"/>
        </w:rPr>
        <w:t>00082/ATIZAPAN/IP/2021</w:t>
      </w:r>
      <w:r w:rsidR="00294892" w:rsidRPr="00A64804">
        <w:rPr>
          <w:rFonts w:ascii="Palatino Linotype" w:hAnsi="Palatino Linotype" w:cs="Arial"/>
          <w:b/>
          <w:sz w:val="24"/>
          <w:szCs w:val="24"/>
        </w:rPr>
        <w:t xml:space="preserve">, </w:t>
      </w:r>
      <w:r w:rsidR="00294892" w:rsidRPr="00A64804">
        <w:rPr>
          <w:rFonts w:ascii="Palatino Linotype" w:hAnsi="Palatino Linotype"/>
          <w:sz w:val="24"/>
          <w:szCs w:val="24"/>
        </w:rPr>
        <w:t>que han sido materia del presente fallo.</w:t>
      </w:r>
    </w:p>
    <w:p w14:paraId="4DAECCA6" w14:textId="77777777" w:rsidR="009C6D05" w:rsidRDefault="009C6D05" w:rsidP="00675D66">
      <w:pPr>
        <w:spacing w:after="0" w:line="360" w:lineRule="auto"/>
        <w:jc w:val="both"/>
        <w:rPr>
          <w:rFonts w:ascii="Palatino Linotype" w:hAnsi="Palatino Linotype"/>
          <w:sz w:val="24"/>
          <w:szCs w:val="24"/>
        </w:rPr>
      </w:pPr>
    </w:p>
    <w:p w14:paraId="43EFA519" w14:textId="77777777" w:rsidR="00A45454" w:rsidRPr="002C6934" w:rsidRDefault="00A45454" w:rsidP="007E3C2E">
      <w:pPr>
        <w:tabs>
          <w:tab w:val="left" w:pos="3437"/>
        </w:tabs>
        <w:spacing w:after="0" w:line="360" w:lineRule="auto"/>
        <w:jc w:val="center"/>
        <w:rPr>
          <w:rFonts w:ascii="Palatino Linotype" w:eastAsia="Times New Roman" w:hAnsi="Palatino Linotype"/>
          <w:b/>
          <w:bCs/>
          <w:spacing w:val="60"/>
          <w:sz w:val="24"/>
          <w:szCs w:val="24"/>
          <w:lang w:val="es-ES_tradnl"/>
        </w:rPr>
      </w:pPr>
      <w:r w:rsidRPr="002C6934">
        <w:rPr>
          <w:rFonts w:ascii="Palatino Linotype" w:eastAsia="Times New Roman" w:hAnsi="Palatino Linotype"/>
          <w:b/>
          <w:bCs/>
          <w:spacing w:val="60"/>
          <w:sz w:val="24"/>
          <w:szCs w:val="24"/>
          <w:lang w:val="es-ES_tradnl"/>
        </w:rPr>
        <w:t>SE    RESUELVE</w:t>
      </w:r>
    </w:p>
    <w:p w14:paraId="5B9D75D7" w14:textId="77777777" w:rsidR="00A45454" w:rsidRPr="00ED28F4" w:rsidRDefault="00A45454" w:rsidP="007E3C2E">
      <w:pPr>
        <w:spacing w:after="0" w:line="360" w:lineRule="auto"/>
        <w:jc w:val="both"/>
        <w:rPr>
          <w:rFonts w:ascii="Palatino Linotype" w:eastAsia="Times New Roman" w:hAnsi="Palatino Linotype"/>
          <w:b/>
          <w:bCs/>
          <w:spacing w:val="60"/>
          <w:sz w:val="12"/>
          <w:szCs w:val="24"/>
          <w:lang w:val="es-ES_tradnl"/>
        </w:rPr>
      </w:pPr>
    </w:p>
    <w:p w14:paraId="42BE9711" w14:textId="0FBC229C" w:rsidR="00294892" w:rsidRDefault="00294892" w:rsidP="00294892">
      <w:pPr>
        <w:spacing w:after="0" w:line="360" w:lineRule="auto"/>
        <w:jc w:val="both"/>
        <w:rPr>
          <w:rFonts w:ascii="Palatino Linotype" w:hAnsi="Palatino Linotype" w:cs="Arial"/>
          <w:sz w:val="24"/>
          <w:szCs w:val="24"/>
        </w:rPr>
      </w:pPr>
      <w:r>
        <w:rPr>
          <w:rFonts w:ascii="Palatino Linotype" w:hAnsi="Palatino Linotype" w:cs="Arial"/>
          <w:b/>
          <w:sz w:val="28"/>
          <w:szCs w:val="28"/>
          <w:lang w:val="es-ES_tradnl"/>
        </w:rPr>
        <w:t>PRIMER</w:t>
      </w:r>
      <w:r w:rsidRPr="00A64804">
        <w:rPr>
          <w:rFonts w:ascii="Palatino Linotype" w:hAnsi="Palatino Linotype" w:cs="Arial"/>
          <w:b/>
          <w:sz w:val="28"/>
          <w:szCs w:val="28"/>
          <w:lang w:val="es-ES_tradnl"/>
        </w:rPr>
        <w:t>O</w:t>
      </w:r>
      <w:r w:rsidRPr="00A64804">
        <w:rPr>
          <w:rFonts w:ascii="Palatino Linotype" w:hAnsi="Palatino Linotype" w:cs="Arial"/>
          <w:sz w:val="24"/>
          <w:szCs w:val="24"/>
        </w:rPr>
        <w:t xml:space="preserve">. Se </w:t>
      </w:r>
      <w:r w:rsidR="009C6D05" w:rsidRPr="002D1002">
        <w:rPr>
          <w:rFonts w:ascii="Palatino Linotype" w:hAnsi="Palatino Linotype" w:cs="Arial"/>
          <w:b/>
          <w:sz w:val="24"/>
          <w:szCs w:val="24"/>
        </w:rPr>
        <w:t>REVOCA</w:t>
      </w:r>
      <w:r w:rsidR="009C6D05">
        <w:rPr>
          <w:rFonts w:ascii="Palatino Linotype" w:hAnsi="Palatino Linotype" w:cs="Arial"/>
          <w:sz w:val="24"/>
          <w:szCs w:val="24"/>
        </w:rPr>
        <w:t xml:space="preserve"> </w:t>
      </w:r>
      <w:r w:rsidRPr="00A64804">
        <w:rPr>
          <w:rFonts w:ascii="Palatino Linotype" w:hAnsi="Palatino Linotype" w:cs="Arial"/>
          <w:sz w:val="24"/>
          <w:szCs w:val="24"/>
        </w:rPr>
        <w:t xml:space="preserve">la respuesta entregada por el Sujeto Obligado, a la solicitud de información </w:t>
      </w:r>
      <w:r w:rsidR="00180E18" w:rsidRPr="00C05127">
        <w:rPr>
          <w:rFonts w:ascii="Palatino Linotype" w:hAnsi="Palatino Linotype" w:cs="Arial"/>
          <w:b/>
          <w:sz w:val="24"/>
          <w:szCs w:val="24"/>
        </w:rPr>
        <w:t>00082/ATIZAPAN/IP/2021</w:t>
      </w:r>
      <w:r w:rsidRPr="00A64804">
        <w:rPr>
          <w:rFonts w:ascii="Palatino Linotype" w:hAnsi="Palatino Linotype" w:cs="Arial"/>
          <w:sz w:val="24"/>
          <w:szCs w:val="24"/>
        </w:rPr>
        <w:t>, por resultar</w:t>
      </w:r>
      <w:r>
        <w:rPr>
          <w:rFonts w:ascii="Palatino Linotype" w:hAnsi="Palatino Linotype" w:cs="Arial"/>
          <w:sz w:val="24"/>
          <w:szCs w:val="24"/>
        </w:rPr>
        <w:t xml:space="preserve"> </w:t>
      </w:r>
      <w:r w:rsidR="003505D0">
        <w:rPr>
          <w:rFonts w:ascii="Palatino Linotype" w:hAnsi="Palatino Linotype" w:cs="Arial"/>
          <w:sz w:val="24"/>
          <w:szCs w:val="24"/>
        </w:rPr>
        <w:t>f</w:t>
      </w:r>
      <w:r w:rsidRPr="00A64804">
        <w:rPr>
          <w:rFonts w:ascii="Palatino Linotype" w:hAnsi="Palatino Linotype" w:cs="Arial"/>
          <w:sz w:val="24"/>
          <w:szCs w:val="24"/>
        </w:rPr>
        <w:t xml:space="preserve">undados los motivos de inconformidad que arguye </w:t>
      </w:r>
      <w:r w:rsidR="00A86406">
        <w:rPr>
          <w:rFonts w:ascii="Palatino Linotype" w:hAnsi="Palatino Linotype" w:cs="Arial"/>
          <w:sz w:val="24"/>
          <w:szCs w:val="24"/>
        </w:rPr>
        <w:t>e</w:t>
      </w:r>
      <w:r w:rsidRPr="00A64804">
        <w:rPr>
          <w:rFonts w:ascii="Palatino Linotype" w:hAnsi="Palatino Linotype" w:cs="Arial"/>
          <w:sz w:val="24"/>
          <w:szCs w:val="24"/>
        </w:rPr>
        <w:t xml:space="preserve">l recurrente, en términos del considerando </w:t>
      </w:r>
      <w:r w:rsidR="009C6D05" w:rsidRPr="002D1002">
        <w:rPr>
          <w:rFonts w:ascii="Palatino Linotype" w:hAnsi="Palatino Linotype" w:cs="Arial"/>
          <w:b/>
          <w:sz w:val="24"/>
          <w:szCs w:val="24"/>
        </w:rPr>
        <w:t>CUARTO</w:t>
      </w:r>
      <w:r w:rsidRPr="00A64804">
        <w:rPr>
          <w:rFonts w:ascii="Palatino Linotype" w:hAnsi="Palatino Linotype" w:cs="Arial"/>
          <w:sz w:val="24"/>
          <w:szCs w:val="24"/>
        </w:rPr>
        <w:t xml:space="preserve"> de la presente resolución.</w:t>
      </w:r>
    </w:p>
    <w:p w14:paraId="776466FB" w14:textId="77777777" w:rsidR="00D36BE0" w:rsidRPr="00A64804" w:rsidRDefault="00D36BE0" w:rsidP="00294892">
      <w:pPr>
        <w:spacing w:after="0" w:line="360" w:lineRule="auto"/>
        <w:jc w:val="both"/>
        <w:rPr>
          <w:rFonts w:ascii="Palatino Linotype" w:hAnsi="Palatino Linotype" w:cs="Arial"/>
          <w:sz w:val="24"/>
          <w:szCs w:val="24"/>
        </w:rPr>
      </w:pPr>
    </w:p>
    <w:p w14:paraId="7DA156DD" w14:textId="69DDB8B5" w:rsidR="00294892" w:rsidRDefault="00294892" w:rsidP="00294892">
      <w:pPr>
        <w:spacing w:after="0" w:line="360" w:lineRule="auto"/>
        <w:jc w:val="both"/>
        <w:rPr>
          <w:rFonts w:ascii="Palatino Linotype" w:hAnsi="Palatino Linotype" w:cs="Arial"/>
          <w:sz w:val="24"/>
          <w:szCs w:val="24"/>
        </w:rPr>
      </w:pPr>
      <w:r w:rsidRPr="00A64804">
        <w:rPr>
          <w:rFonts w:ascii="Palatino Linotype" w:hAnsi="Palatino Linotype" w:cs="Arial"/>
          <w:b/>
          <w:sz w:val="28"/>
          <w:szCs w:val="28"/>
          <w:lang w:val="es-ES_tradnl"/>
        </w:rPr>
        <w:t>SEGUNDO</w:t>
      </w:r>
      <w:r w:rsidRPr="00A64804">
        <w:rPr>
          <w:rFonts w:ascii="Palatino Linotype" w:hAnsi="Palatino Linotype" w:cs="Arial"/>
          <w:sz w:val="24"/>
          <w:szCs w:val="24"/>
        </w:rPr>
        <w:t xml:space="preserve">. Se ordena al Sujeto Obligado haga entrega al Recurrente, </w:t>
      </w:r>
      <w:r>
        <w:rPr>
          <w:rFonts w:ascii="Palatino Linotype" w:hAnsi="Palatino Linotype" w:cs="Arial"/>
          <w:sz w:val="24"/>
          <w:szCs w:val="24"/>
        </w:rPr>
        <w:t xml:space="preserve">en términos del considerando </w:t>
      </w:r>
      <w:r w:rsidR="009C6D05" w:rsidRPr="009C6D05">
        <w:rPr>
          <w:rFonts w:ascii="Palatino Linotype" w:hAnsi="Palatino Linotype" w:cs="Arial"/>
          <w:b/>
          <w:sz w:val="24"/>
          <w:szCs w:val="24"/>
        </w:rPr>
        <w:t>CUARTO</w:t>
      </w:r>
      <w:r>
        <w:rPr>
          <w:rFonts w:ascii="Palatino Linotype" w:hAnsi="Palatino Linotype" w:cs="Arial"/>
          <w:sz w:val="24"/>
          <w:szCs w:val="24"/>
        </w:rPr>
        <w:t xml:space="preserve"> de la presente resolución,</w:t>
      </w:r>
      <w:r w:rsidR="00A86406">
        <w:rPr>
          <w:rFonts w:ascii="Palatino Linotype" w:hAnsi="Palatino Linotype" w:cs="Arial"/>
          <w:sz w:val="24"/>
          <w:szCs w:val="24"/>
        </w:rPr>
        <w:t xml:space="preserve"> </w:t>
      </w:r>
      <w:r>
        <w:rPr>
          <w:rFonts w:ascii="Palatino Linotype" w:hAnsi="Palatino Linotype" w:cs="Arial"/>
          <w:sz w:val="24"/>
          <w:szCs w:val="24"/>
        </w:rPr>
        <w:t>mediante</w:t>
      </w:r>
      <w:r w:rsidR="006A7E3C">
        <w:rPr>
          <w:rFonts w:ascii="Palatino Linotype" w:hAnsi="Palatino Linotype" w:cs="Arial"/>
          <w:sz w:val="24"/>
          <w:szCs w:val="24"/>
        </w:rPr>
        <w:t xml:space="preserve"> </w:t>
      </w:r>
      <w:r w:rsidR="009B1548">
        <w:rPr>
          <w:rFonts w:ascii="Palatino Linotype" w:hAnsi="Palatino Linotype" w:cs="Arial"/>
          <w:sz w:val="24"/>
          <w:szCs w:val="24"/>
        </w:rPr>
        <w:t>el</w:t>
      </w:r>
      <w:r w:rsidR="009D636F">
        <w:rPr>
          <w:rFonts w:ascii="Palatino Linotype" w:hAnsi="Palatino Linotype" w:cs="Arial"/>
          <w:sz w:val="24"/>
          <w:szCs w:val="24"/>
        </w:rPr>
        <w:t xml:space="preserve"> </w:t>
      </w:r>
      <w:r w:rsidR="009D636F" w:rsidRPr="009D636F">
        <w:rPr>
          <w:rFonts w:ascii="Palatino Linotype" w:hAnsi="Palatino Linotype" w:cs="Arial"/>
          <w:sz w:val="24"/>
          <w:szCs w:val="24"/>
        </w:rPr>
        <w:t>Sistema de Acceso a la Información Mexiquense</w:t>
      </w:r>
      <w:r w:rsidR="009B1548">
        <w:rPr>
          <w:rFonts w:ascii="Palatino Linotype" w:hAnsi="Palatino Linotype" w:cs="Arial"/>
          <w:sz w:val="24"/>
          <w:szCs w:val="24"/>
        </w:rPr>
        <w:t xml:space="preserve"> </w:t>
      </w:r>
      <w:r w:rsidR="009C6D05">
        <w:rPr>
          <w:rFonts w:ascii="Palatino Linotype" w:hAnsi="Palatino Linotype" w:cs="Arial"/>
          <w:sz w:val="24"/>
          <w:szCs w:val="24"/>
        </w:rPr>
        <w:t>(</w:t>
      </w:r>
      <w:r w:rsidR="009B1548">
        <w:rPr>
          <w:rFonts w:ascii="Palatino Linotype" w:hAnsi="Palatino Linotype" w:cs="Arial"/>
          <w:sz w:val="24"/>
          <w:szCs w:val="24"/>
        </w:rPr>
        <w:t>SAIMEX</w:t>
      </w:r>
      <w:r w:rsidR="009C6D05">
        <w:rPr>
          <w:rFonts w:ascii="Palatino Linotype" w:hAnsi="Palatino Linotype" w:cs="Arial"/>
          <w:sz w:val="24"/>
          <w:szCs w:val="24"/>
        </w:rPr>
        <w:t>)</w:t>
      </w:r>
      <w:r w:rsidR="009B1548">
        <w:rPr>
          <w:rFonts w:ascii="Palatino Linotype" w:hAnsi="Palatino Linotype" w:cs="Arial"/>
          <w:sz w:val="24"/>
          <w:szCs w:val="24"/>
        </w:rPr>
        <w:t xml:space="preserve">, </w:t>
      </w:r>
      <w:r w:rsidR="00332896">
        <w:rPr>
          <w:rFonts w:ascii="Palatino Linotype" w:hAnsi="Palatino Linotype" w:cs="Arial"/>
          <w:sz w:val="24"/>
          <w:szCs w:val="24"/>
        </w:rPr>
        <w:t xml:space="preserve">de ser procedente en versión pública, de </w:t>
      </w:r>
      <w:r w:rsidRPr="00A64804">
        <w:rPr>
          <w:rFonts w:ascii="Palatino Linotype" w:hAnsi="Palatino Linotype" w:cs="Arial"/>
          <w:sz w:val="24"/>
          <w:szCs w:val="24"/>
        </w:rPr>
        <w:t xml:space="preserve">lo siguiente: </w:t>
      </w:r>
    </w:p>
    <w:p w14:paraId="62078CF8" w14:textId="3C4AFEDE" w:rsidR="00274D33" w:rsidRPr="00332896" w:rsidRDefault="00180E18" w:rsidP="00F21A7F">
      <w:pPr>
        <w:pStyle w:val="Prrafodelista"/>
        <w:numPr>
          <w:ilvl w:val="0"/>
          <w:numId w:val="10"/>
        </w:numPr>
        <w:spacing w:line="360" w:lineRule="auto"/>
        <w:jc w:val="both"/>
        <w:rPr>
          <w:rFonts w:ascii="Palatino Linotype" w:hAnsi="Palatino Linotype" w:cs="Arial"/>
          <w:i/>
        </w:rPr>
      </w:pPr>
      <w:r>
        <w:rPr>
          <w:rFonts w:ascii="Palatino Linotype" w:hAnsi="Palatino Linotype" w:cs="Arial"/>
          <w:i/>
        </w:rPr>
        <w:t xml:space="preserve">Documento en donde conste el saldo que el Sujeto Obligado tiene con </w:t>
      </w:r>
      <w:r w:rsidR="004E173C">
        <w:rPr>
          <w:rFonts w:ascii="Palatino Linotype" w:hAnsi="Palatino Linotype" w:cs="Arial"/>
          <w:i/>
        </w:rPr>
        <w:t>p</w:t>
      </w:r>
      <w:r>
        <w:rPr>
          <w:rFonts w:ascii="Palatino Linotype" w:hAnsi="Palatino Linotype" w:cs="Arial"/>
          <w:i/>
        </w:rPr>
        <w:t xml:space="preserve">roveedores al </w:t>
      </w:r>
      <w:r w:rsidRPr="00332896">
        <w:rPr>
          <w:rFonts w:ascii="Palatino Linotype" w:hAnsi="Palatino Linotype" w:cs="Arial"/>
          <w:i/>
        </w:rPr>
        <w:t>veinte de agosto de dos mil veintiuno.</w:t>
      </w:r>
    </w:p>
    <w:p w14:paraId="335FC248" w14:textId="77777777" w:rsidR="00332896" w:rsidRPr="00332896" w:rsidRDefault="00332896" w:rsidP="00332896">
      <w:pPr>
        <w:spacing w:line="360" w:lineRule="auto"/>
        <w:jc w:val="both"/>
        <w:rPr>
          <w:rFonts w:ascii="Palatino Linotype" w:hAnsi="Palatino Linotype" w:cs="Arial"/>
          <w:i/>
          <w:sz w:val="24"/>
          <w:szCs w:val="24"/>
        </w:rPr>
      </w:pPr>
    </w:p>
    <w:p w14:paraId="5E93CE5E" w14:textId="77777777" w:rsidR="00332896" w:rsidRPr="00332896" w:rsidRDefault="00332896" w:rsidP="00332896">
      <w:pPr>
        <w:spacing w:line="360" w:lineRule="auto"/>
        <w:jc w:val="both"/>
        <w:rPr>
          <w:rFonts w:ascii="Palatino Linotype" w:hAnsi="Palatino Linotype" w:cs="Arial"/>
          <w:i/>
          <w:sz w:val="24"/>
          <w:szCs w:val="24"/>
        </w:rPr>
      </w:pPr>
      <w:r w:rsidRPr="00332896">
        <w:rPr>
          <w:rFonts w:ascii="Palatino Linotype" w:hAnsi="Palatino Linotype" w:cs="Arial"/>
          <w:i/>
          <w:sz w:val="24"/>
          <w:szCs w:val="24"/>
        </w:rPr>
        <w:t>Acuerdo de clasificación que respalde la versión pública de la información que sea entregada para dar cumplimiento a la presente resolución, en términos de los artículos 49, fracción VIII, 134 y 149 de la Ley de Transparencia y Acceso a la Información Pública del Estado de México y Municipios y demás normatividades aplicables y demás normatividades aplicables.</w:t>
      </w:r>
    </w:p>
    <w:p w14:paraId="7A03D663" w14:textId="77777777" w:rsidR="00332896" w:rsidRPr="005E2A0D" w:rsidRDefault="00332896" w:rsidP="00332896">
      <w:pPr>
        <w:pStyle w:val="Prrafodelista"/>
        <w:spacing w:line="360" w:lineRule="auto"/>
        <w:ind w:left="720"/>
        <w:jc w:val="both"/>
        <w:rPr>
          <w:rFonts w:ascii="Palatino Linotype" w:hAnsi="Palatino Linotype" w:cs="Arial"/>
          <w:i/>
        </w:rPr>
      </w:pPr>
    </w:p>
    <w:p w14:paraId="64F954F6" w14:textId="77777777" w:rsidR="00180E18" w:rsidRDefault="00180E18" w:rsidP="00294892">
      <w:pPr>
        <w:autoSpaceDE w:val="0"/>
        <w:autoSpaceDN w:val="0"/>
        <w:adjustRightInd w:val="0"/>
        <w:spacing w:after="0" w:line="360" w:lineRule="auto"/>
        <w:jc w:val="both"/>
        <w:rPr>
          <w:rFonts w:ascii="Palatino Linotype" w:hAnsi="Palatino Linotype" w:cs="Arial"/>
          <w:b/>
          <w:sz w:val="28"/>
          <w:szCs w:val="28"/>
        </w:rPr>
      </w:pPr>
    </w:p>
    <w:p w14:paraId="3F375FC9" w14:textId="3DFCF94B" w:rsidR="00294892" w:rsidRDefault="00294892" w:rsidP="00294892">
      <w:pPr>
        <w:autoSpaceDE w:val="0"/>
        <w:autoSpaceDN w:val="0"/>
        <w:adjustRightInd w:val="0"/>
        <w:spacing w:after="0" w:line="360" w:lineRule="auto"/>
        <w:jc w:val="both"/>
        <w:rPr>
          <w:rFonts w:ascii="Palatino Linotype" w:hAnsi="Palatino Linotype" w:cs="Arial"/>
          <w:sz w:val="24"/>
          <w:szCs w:val="24"/>
        </w:rPr>
      </w:pPr>
      <w:r w:rsidRPr="00AB26D5">
        <w:rPr>
          <w:rFonts w:ascii="Palatino Linotype" w:hAnsi="Palatino Linotype" w:cs="Arial"/>
          <w:b/>
          <w:sz w:val="28"/>
          <w:szCs w:val="28"/>
        </w:rPr>
        <w:lastRenderedPageBreak/>
        <w:t>TERCERO.</w:t>
      </w:r>
      <w:r w:rsidRPr="00A64804">
        <w:rPr>
          <w:rFonts w:ascii="Palatino Linotype" w:hAnsi="Palatino Linotype" w:cs="Arial"/>
          <w:b/>
          <w:sz w:val="24"/>
          <w:szCs w:val="24"/>
        </w:rPr>
        <w:t xml:space="preserve"> </w:t>
      </w:r>
      <w:r w:rsidRPr="002D1002">
        <w:rPr>
          <w:rFonts w:ascii="Palatino Linotype" w:hAnsi="Palatino Linotype" w:cs="Arial"/>
          <w:b/>
          <w:sz w:val="24"/>
          <w:szCs w:val="24"/>
        </w:rPr>
        <w:t>Notifíquese</w:t>
      </w:r>
      <w:r w:rsidRPr="00A64804">
        <w:rPr>
          <w:rFonts w:ascii="Palatino Linotype" w:hAnsi="Palatino Linotype" w:cs="Arial"/>
          <w:i/>
          <w:sz w:val="24"/>
          <w:szCs w:val="24"/>
        </w:rPr>
        <w:t xml:space="preserve"> </w:t>
      </w:r>
      <w:r w:rsidRPr="00A64804">
        <w:rPr>
          <w:rFonts w:ascii="Palatino Linotype" w:hAnsi="Palatino Linotype" w:cs="Arial"/>
          <w:sz w:val="24"/>
          <w:szCs w:val="24"/>
        </w:rPr>
        <w:t xml:space="preserve">al </w:t>
      </w:r>
      <w:r w:rsidR="008C1D60">
        <w:rPr>
          <w:rFonts w:ascii="Palatino Linotype" w:hAnsi="Palatino Linotype" w:cs="Arial"/>
          <w:sz w:val="24"/>
          <w:szCs w:val="24"/>
        </w:rPr>
        <w:t>T</w:t>
      </w:r>
      <w:r w:rsidRPr="00A64804">
        <w:rPr>
          <w:rFonts w:ascii="Palatino Linotype" w:hAnsi="Palatino Linotype" w:cs="Arial"/>
          <w:sz w:val="24"/>
          <w:szCs w:val="24"/>
        </w:rPr>
        <w:t xml:space="preserve">itular de la </w:t>
      </w:r>
      <w:r w:rsidR="008C1D60">
        <w:rPr>
          <w:rFonts w:ascii="Palatino Linotype" w:hAnsi="Palatino Linotype" w:cs="Arial"/>
          <w:sz w:val="24"/>
          <w:szCs w:val="24"/>
        </w:rPr>
        <w:t>U</w:t>
      </w:r>
      <w:r w:rsidRPr="00A64804">
        <w:rPr>
          <w:rFonts w:ascii="Palatino Linotype" w:hAnsi="Palatino Linotype" w:cs="Arial"/>
          <w:sz w:val="24"/>
          <w:szCs w:val="24"/>
        </w:rPr>
        <w:t xml:space="preserve">nidad de </w:t>
      </w:r>
      <w:r w:rsidR="008C1D60">
        <w:rPr>
          <w:rFonts w:ascii="Palatino Linotype" w:hAnsi="Palatino Linotype" w:cs="Arial"/>
          <w:sz w:val="24"/>
          <w:szCs w:val="24"/>
        </w:rPr>
        <w:t>T</w:t>
      </w:r>
      <w:r w:rsidRPr="00A64804">
        <w:rPr>
          <w:rFonts w:ascii="Palatino Linotype" w:hAnsi="Palatino Linotype" w:cs="Arial"/>
          <w:sz w:val="24"/>
          <w:szCs w:val="24"/>
        </w:rPr>
        <w:t xml:space="preserve">ransparencia del Sujeto Obligado, para que conforme al artículo 186 último párrafo, 189 segundo párrafo y 194 de la Ley de Transparencia y Acceso a la Información Pública del Estado de México y Municipios; dé cumplimiento a lo ordenado dentro del plazo de </w:t>
      </w:r>
      <w:r w:rsidR="007F5BB9">
        <w:rPr>
          <w:rFonts w:ascii="Palatino Linotype" w:hAnsi="Palatino Linotype" w:cs="Arial"/>
          <w:sz w:val="24"/>
          <w:szCs w:val="24"/>
        </w:rPr>
        <w:t>diez</w:t>
      </w:r>
      <w:r w:rsidR="00C10243" w:rsidRPr="00A64804">
        <w:rPr>
          <w:rFonts w:ascii="Palatino Linotype" w:hAnsi="Palatino Linotype" w:cs="Arial"/>
          <w:sz w:val="24"/>
          <w:szCs w:val="24"/>
        </w:rPr>
        <w:t xml:space="preserve"> </w:t>
      </w:r>
      <w:r w:rsidRPr="00A64804">
        <w:rPr>
          <w:rFonts w:ascii="Palatino Linotype" w:hAnsi="Palatino Linotype" w:cs="Arial"/>
          <w:sz w:val="24"/>
          <w:szCs w:val="24"/>
        </w:rPr>
        <w:t>días hábiles, debiendo informar a este Instituto en un plazo de tres días hábiles siguientes sobre el cumplimiento dado a la presente resolución.</w:t>
      </w:r>
    </w:p>
    <w:p w14:paraId="4A628141" w14:textId="77777777" w:rsidR="00294892" w:rsidRPr="001624E8" w:rsidRDefault="00294892" w:rsidP="00294892">
      <w:pPr>
        <w:autoSpaceDE w:val="0"/>
        <w:autoSpaceDN w:val="0"/>
        <w:adjustRightInd w:val="0"/>
        <w:spacing w:after="0" w:line="360" w:lineRule="auto"/>
        <w:jc w:val="both"/>
        <w:rPr>
          <w:rFonts w:ascii="Palatino Linotype" w:hAnsi="Palatino Linotype" w:cs="Arial"/>
          <w:sz w:val="24"/>
          <w:szCs w:val="24"/>
        </w:rPr>
      </w:pPr>
    </w:p>
    <w:p w14:paraId="40056F48" w14:textId="77777777" w:rsidR="00294892" w:rsidRPr="002121F2" w:rsidRDefault="00294892" w:rsidP="00294892">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b/>
          <w:sz w:val="28"/>
          <w:szCs w:val="24"/>
        </w:rPr>
        <w:t>CUAR</w:t>
      </w:r>
      <w:r w:rsidRPr="004220C0">
        <w:rPr>
          <w:rFonts w:ascii="Palatino Linotype" w:hAnsi="Palatino Linotype" w:cs="Arial"/>
          <w:b/>
          <w:sz w:val="28"/>
          <w:szCs w:val="24"/>
        </w:rPr>
        <w:t xml:space="preserve">TO. </w:t>
      </w:r>
      <w:r w:rsidRPr="004220C0">
        <w:rPr>
          <w:rFonts w:ascii="Palatino Linotype" w:hAnsi="Palatino Linotype" w:cs="Arial"/>
          <w:sz w:val="24"/>
          <w:szCs w:val="24"/>
        </w:rPr>
        <w:t>De conformidad con el artículo 198</w:t>
      </w:r>
      <w:r>
        <w:rPr>
          <w:rFonts w:ascii="Palatino Linotype" w:hAnsi="Palatino Linotype" w:cs="Arial"/>
          <w:sz w:val="24"/>
          <w:szCs w:val="24"/>
        </w:rPr>
        <w:t>,</w:t>
      </w:r>
      <w:r w:rsidRPr="004220C0">
        <w:rPr>
          <w:rFonts w:ascii="Palatino Linotype" w:hAnsi="Palatino Linotype" w:cs="Arial"/>
          <w:sz w:val="24"/>
          <w:szCs w:val="24"/>
        </w:rPr>
        <w:t xml:space="preserve"> de la Ley de Transparencia y Acceso a la Información Pública del Estado de México y Municipios, de considerarlo procedente, el </w:t>
      </w:r>
      <w:r w:rsidRPr="00A34451">
        <w:rPr>
          <w:rFonts w:ascii="Palatino Linotype" w:hAnsi="Palatino Linotype" w:cs="Arial"/>
          <w:sz w:val="24"/>
          <w:szCs w:val="24"/>
        </w:rPr>
        <w:t>Sujeto Obligado</w:t>
      </w:r>
      <w:r w:rsidRPr="004220C0">
        <w:rPr>
          <w:rFonts w:ascii="Palatino Linotype" w:hAnsi="Palatino Linotype" w:cs="Arial"/>
          <w:sz w:val="24"/>
          <w:szCs w:val="24"/>
        </w:rPr>
        <w:t xml:space="preserve"> de manera fundada y motivada, podrá solicitar una ampliación de plazo para el cumplimiento de la presente resolución.</w:t>
      </w:r>
    </w:p>
    <w:p w14:paraId="2B8B00BD" w14:textId="77777777" w:rsidR="00294892" w:rsidRPr="001624E8" w:rsidRDefault="00294892" w:rsidP="00294892">
      <w:pPr>
        <w:autoSpaceDE w:val="0"/>
        <w:autoSpaceDN w:val="0"/>
        <w:adjustRightInd w:val="0"/>
        <w:spacing w:after="0" w:line="360" w:lineRule="auto"/>
        <w:jc w:val="both"/>
        <w:rPr>
          <w:rFonts w:ascii="Palatino Linotype" w:hAnsi="Palatino Linotype" w:cs="Arial"/>
          <w:sz w:val="24"/>
          <w:szCs w:val="24"/>
        </w:rPr>
      </w:pPr>
    </w:p>
    <w:p w14:paraId="0EA81580" w14:textId="3EEBB162" w:rsidR="00294892" w:rsidRDefault="00294892" w:rsidP="00294892">
      <w:pPr>
        <w:spacing w:after="0" w:line="360" w:lineRule="auto"/>
        <w:jc w:val="both"/>
        <w:rPr>
          <w:rFonts w:ascii="Palatino Linotype" w:hAnsi="Palatino Linotype" w:cs="Arial"/>
          <w:bCs/>
          <w:sz w:val="24"/>
          <w:szCs w:val="24"/>
        </w:rPr>
      </w:pPr>
      <w:r>
        <w:rPr>
          <w:rFonts w:ascii="Palatino Linotype" w:hAnsi="Palatino Linotype" w:cs="Arial"/>
          <w:b/>
          <w:sz w:val="28"/>
          <w:szCs w:val="24"/>
        </w:rPr>
        <w:t>QUIN</w:t>
      </w:r>
      <w:r w:rsidRPr="00A64804">
        <w:rPr>
          <w:rFonts w:ascii="Palatino Linotype" w:hAnsi="Palatino Linotype" w:cs="Arial"/>
          <w:b/>
          <w:sz w:val="28"/>
          <w:szCs w:val="24"/>
        </w:rPr>
        <w:t>TO</w:t>
      </w:r>
      <w:r w:rsidRPr="00A64804">
        <w:rPr>
          <w:rFonts w:ascii="Palatino Linotype" w:hAnsi="Palatino Linotype" w:cs="Arial"/>
          <w:sz w:val="28"/>
          <w:szCs w:val="24"/>
        </w:rPr>
        <w:t>.</w:t>
      </w:r>
      <w:r w:rsidRPr="00A64804">
        <w:rPr>
          <w:rFonts w:ascii="Palatino Linotype" w:hAnsi="Palatino Linotype" w:cs="Arial"/>
          <w:sz w:val="24"/>
          <w:szCs w:val="24"/>
        </w:rPr>
        <w:t xml:space="preserve"> </w:t>
      </w:r>
      <w:r w:rsidRPr="002D1002">
        <w:rPr>
          <w:rFonts w:ascii="Palatino Linotype" w:hAnsi="Palatino Linotype" w:cs="Arial"/>
          <w:b/>
          <w:sz w:val="24"/>
          <w:szCs w:val="24"/>
        </w:rPr>
        <w:t>Notifíquese</w:t>
      </w:r>
      <w:r w:rsidRPr="00A64804">
        <w:rPr>
          <w:rFonts w:ascii="Palatino Linotype" w:hAnsi="Palatino Linotype" w:cs="Arial"/>
          <w:sz w:val="24"/>
          <w:szCs w:val="24"/>
        </w:rPr>
        <w:t xml:space="preserve"> </w:t>
      </w:r>
      <w:r w:rsidRPr="00A64804">
        <w:rPr>
          <w:rFonts w:ascii="Palatino Linotype" w:hAnsi="Palatino Linotype" w:cs="Arial"/>
          <w:bCs/>
          <w:sz w:val="24"/>
          <w:szCs w:val="24"/>
        </w:rPr>
        <w:t>al Recurrente</w:t>
      </w:r>
      <w:r w:rsidRPr="00A64804">
        <w:rPr>
          <w:rFonts w:ascii="Palatino Linotype" w:hAnsi="Palatino Linotype" w:cs="Arial"/>
          <w:sz w:val="24"/>
          <w:szCs w:val="24"/>
        </w:rPr>
        <w:t xml:space="preserve"> </w:t>
      </w:r>
      <w:r w:rsidRPr="00A64804">
        <w:rPr>
          <w:rFonts w:ascii="Palatino Linotype" w:hAnsi="Palatino Linotype" w:cs="Arial"/>
          <w:bCs/>
          <w:sz w:val="24"/>
          <w:szCs w:val="24"/>
        </w:rPr>
        <w:t>la presente resolución vía</w:t>
      </w:r>
      <w:r w:rsidR="009D636F">
        <w:rPr>
          <w:rFonts w:ascii="Palatino Linotype" w:hAnsi="Palatino Linotype" w:cs="Arial"/>
          <w:bCs/>
          <w:sz w:val="24"/>
          <w:szCs w:val="24"/>
        </w:rPr>
        <w:t xml:space="preserve"> </w:t>
      </w:r>
      <w:r w:rsidR="009D636F" w:rsidRPr="009D636F">
        <w:rPr>
          <w:rFonts w:ascii="Palatino Linotype" w:hAnsi="Palatino Linotype" w:cs="Arial"/>
          <w:sz w:val="24"/>
          <w:szCs w:val="24"/>
        </w:rPr>
        <w:t>Sistema de Acceso a la Información Mexiquense</w:t>
      </w:r>
      <w:r w:rsidRPr="00A64804">
        <w:rPr>
          <w:rFonts w:ascii="Palatino Linotype" w:hAnsi="Palatino Linotype" w:cs="Arial"/>
          <w:bCs/>
          <w:sz w:val="24"/>
          <w:szCs w:val="24"/>
        </w:rPr>
        <w:t xml:space="preserve"> </w:t>
      </w:r>
      <w:r w:rsidR="008C1D60">
        <w:rPr>
          <w:rFonts w:ascii="Palatino Linotype" w:hAnsi="Palatino Linotype" w:cs="Arial"/>
          <w:bCs/>
          <w:sz w:val="24"/>
          <w:szCs w:val="24"/>
        </w:rPr>
        <w:t>(</w:t>
      </w:r>
      <w:r w:rsidRPr="00A64804">
        <w:rPr>
          <w:rFonts w:ascii="Palatino Linotype" w:hAnsi="Palatino Linotype" w:cs="Arial"/>
          <w:bCs/>
          <w:sz w:val="24"/>
          <w:szCs w:val="24"/>
        </w:rPr>
        <w:t>SAIMEX</w:t>
      </w:r>
      <w:r w:rsidR="008C1D60">
        <w:rPr>
          <w:rFonts w:ascii="Palatino Linotype" w:hAnsi="Palatino Linotype" w:cs="Arial"/>
          <w:bCs/>
          <w:sz w:val="24"/>
          <w:szCs w:val="24"/>
        </w:rPr>
        <w:t>)</w:t>
      </w:r>
      <w:r w:rsidRPr="00A64804">
        <w:rPr>
          <w:rFonts w:ascii="Palatino Linotype" w:hAnsi="Palatino Linotype" w:cs="Arial"/>
          <w:bCs/>
          <w:sz w:val="24"/>
          <w:szCs w:val="24"/>
        </w:rPr>
        <w:t xml:space="preserve"> y hágase de su conocimiento, que en caso de que considere que le causa algún perjuicio, podrá impugnar vía Juicio de Amparo en los términos de las leyes aplicables, de conformidad con lo establecido en el artículo 196 de la Ley de Transparencia y Acceso a la Información Pública del Estado de México y Municipios.</w:t>
      </w:r>
    </w:p>
    <w:p w14:paraId="33A5F958" w14:textId="77777777" w:rsidR="008D01A5" w:rsidRDefault="008D01A5" w:rsidP="00294892">
      <w:pPr>
        <w:spacing w:after="0" w:line="360" w:lineRule="auto"/>
        <w:jc w:val="both"/>
        <w:rPr>
          <w:rFonts w:ascii="Palatino Linotype" w:hAnsi="Palatino Linotype" w:cs="Arial"/>
          <w:bCs/>
          <w:sz w:val="24"/>
          <w:szCs w:val="24"/>
        </w:rPr>
      </w:pPr>
    </w:p>
    <w:p w14:paraId="75C900F0" w14:textId="4CF94853" w:rsidR="003A3A32" w:rsidRDefault="009D636F" w:rsidP="00411F8F">
      <w:pPr>
        <w:spacing w:after="0" w:line="360" w:lineRule="auto"/>
        <w:jc w:val="both"/>
        <w:rPr>
          <w:rFonts w:ascii="Palatino Linotype" w:hAnsi="Palatino Linotype" w:cs="Arial"/>
          <w:sz w:val="24"/>
          <w:szCs w:val="24"/>
        </w:rPr>
      </w:pPr>
      <w:r w:rsidRPr="007D53C0">
        <w:rPr>
          <w:rFonts w:ascii="Palatino Linotype" w:hAnsi="Palatino Linotype" w:cs="Arial"/>
          <w:sz w:val="24"/>
          <w:szCs w:val="24"/>
        </w:rPr>
        <w:t xml:space="preserve">ASÍ LO RESUELVE, POR </w:t>
      </w:r>
      <w:r w:rsidRPr="00B65F12">
        <w:rPr>
          <w:rFonts w:ascii="Palatino Linotype" w:hAnsi="Palatino Linotype" w:cs="Arial"/>
          <w:sz w:val="24"/>
          <w:szCs w:val="24"/>
        </w:rPr>
        <w:t>UNANIMIDAD DE VOTOS</w:t>
      </w:r>
      <w:r>
        <w:rPr>
          <w:rFonts w:ascii="Palatino Linotype" w:hAnsi="Palatino Linotype" w:cs="Arial"/>
          <w:sz w:val="24"/>
          <w:szCs w:val="24"/>
        </w:rPr>
        <w:t xml:space="preserve"> </w:t>
      </w:r>
      <w:r w:rsidRPr="007D53C0">
        <w:rPr>
          <w:rFonts w:ascii="Palatino Linotype" w:hAnsi="Palatino Linotype" w:cs="Arial"/>
          <w:sz w:val="24"/>
          <w:szCs w:val="24"/>
        </w:rPr>
        <w:t>EL PLENO DEL</w:t>
      </w:r>
      <w:r w:rsidRPr="007D53C0">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7D53C0">
        <w:rPr>
          <w:rFonts w:ascii="Palatino Linotype" w:hAnsi="Palatino Linotype" w:cs="Arial"/>
          <w:sz w:val="24"/>
          <w:szCs w:val="24"/>
        </w:rPr>
        <w:t>, CONFORMADO POR LOS COMISIONADOS</w:t>
      </w:r>
      <w:r>
        <w:rPr>
          <w:rFonts w:ascii="Palatino Linotype" w:hAnsi="Palatino Linotype" w:cs="Arial"/>
          <w:sz w:val="24"/>
          <w:szCs w:val="24"/>
        </w:rPr>
        <w:t xml:space="preserve"> JOSÉ MARTÍNEZ VILCHIS, </w:t>
      </w:r>
      <w:r w:rsidRPr="001B71AD">
        <w:rPr>
          <w:rFonts w:ascii="Palatino Linotype" w:hAnsi="Palatino Linotype" w:cs="Arial"/>
          <w:sz w:val="24"/>
          <w:szCs w:val="24"/>
        </w:rPr>
        <w:t>MARÍA DEL ROSARIO MEJÍA AYALA, SHARON CRISTINA MORALES MARTÍNEZ</w:t>
      </w:r>
      <w:r>
        <w:rPr>
          <w:rFonts w:ascii="Palatino Linotype" w:hAnsi="Palatino Linotype" w:cs="Arial"/>
          <w:sz w:val="24"/>
          <w:szCs w:val="24"/>
        </w:rPr>
        <w:t xml:space="preserve">, LUIS </w:t>
      </w:r>
      <w:r>
        <w:rPr>
          <w:rFonts w:ascii="Palatino Linotype" w:hAnsi="Palatino Linotype" w:cs="Arial"/>
          <w:sz w:val="24"/>
          <w:szCs w:val="24"/>
        </w:rPr>
        <w:lastRenderedPageBreak/>
        <w:t xml:space="preserve">GUSTAVO PARRA NORIEGA </w:t>
      </w:r>
      <w:r w:rsidR="00CF1C82">
        <w:rPr>
          <w:rFonts w:ascii="Palatino Linotype" w:hAnsi="Palatino Linotype" w:cs="Arial"/>
          <w:sz w:val="24"/>
          <w:szCs w:val="24"/>
        </w:rPr>
        <w:t>Y</w:t>
      </w:r>
      <w:r w:rsidRPr="00AF16E9">
        <w:rPr>
          <w:rFonts w:ascii="Palatino Linotype" w:hAnsi="Palatino Linotype" w:cs="Arial"/>
          <w:sz w:val="24"/>
          <w:szCs w:val="24"/>
        </w:rPr>
        <w:t xml:space="preserve"> </w:t>
      </w:r>
      <w:r w:rsidRPr="001B71AD">
        <w:rPr>
          <w:rFonts w:ascii="Palatino Linotype" w:hAnsi="Palatino Linotype" w:cs="Arial"/>
          <w:sz w:val="24"/>
          <w:szCs w:val="24"/>
        </w:rPr>
        <w:t xml:space="preserve">GUADALUPE RAMÍREZ PEÑA, </w:t>
      </w:r>
      <w:r w:rsidRPr="00C43242">
        <w:rPr>
          <w:rFonts w:ascii="Palatino Linotype" w:hAnsi="Palatino Linotype" w:cs="Arial"/>
          <w:sz w:val="24"/>
          <w:szCs w:val="24"/>
        </w:rPr>
        <w:t>EN LA</w:t>
      </w:r>
      <w:r>
        <w:rPr>
          <w:rFonts w:ascii="Palatino Linotype" w:hAnsi="Palatino Linotype" w:cs="Arial"/>
          <w:sz w:val="24"/>
          <w:szCs w:val="24"/>
        </w:rPr>
        <w:t xml:space="preserve"> </w:t>
      </w:r>
      <w:r w:rsidR="000C1C64">
        <w:rPr>
          <w:rFonts w:ascii="Palatino Linotype" w:hAnsi="Palatino Linotype" w:cs="Arial"/>
          <w:sz w:val="24"/>
          <w:szCs w:val="24"/>
        </w:rPr>
        <w:t xml:space="preserve">CUADRAGÉSIMA </w:t>
      </w:r>
      <w:r w:rsidR="008D01A5">
        <w:rPr>
          <w:rFonts w:ascii="Palatino Linotype" w:hAnsi="Palatino Linotype" w:cs="Arial"/>
          <w:sz w:val="24"/>
          <w:szCs w:val="24"/>
        </w:rPr>
        <w:t xml:space="preserve">SEGUNDA </w:t>
      </w:r>
      <w:r>
        <w:rPr>
          <w:rFonts w:ascii="Palatino Linotype" w:hAnsi="Palatino Linotype" w:cs="Arial"/>
          <w:sz w:val="24"/>
          <w:szCs w:val="24"/>
        </w:rPr>
        <w:t xml:space="preserve">SESIÓN </w:t>
      </w:r>
      <w:r w:rsidRPr="0028671D">
        <w:rPr>
          <w:rFonts w:ascii="Palatino Linotype" w:hAnsi="Palatino Linotype" w:cs="Arial"/>
          <w:sz w:val="24"/>
          <w:szCs w:val="24"/>
        </w:rPr>
        <w:t xml:space="preserve">ORDINARIA CELEBRADA EL </w:t>
      </w:r>
      <w:r w:rsidR="008D01A5">
        <w:rPr>
          <w:rFonts w:ascii="Palatino Linotype" w:hAnsi="Palatino Linotype" w:cs="Arial"/>
          <w:sz w:val="24"/>
          <w:szCs w:val="24"/>
        </w:rPr>
        <w:t xml:space="preserve">VEINTICUATRO </w:t>
      </w:r>
      <w:r w:rsidR="00CF1C82">
        <w:rPr>
          <w:rFonts w:ascii="Palatino Linotype" w:hAnsi="Palatino Linotype" w:cs="Arial"/>
          <w:sz w:val="24"/>
          <w:szCs w:val="24"/>
        </w:rPr>
        <w:t>DE NOVIEMBRE</w:t>
      </w:r>
      <w:r>
        <w:rPr>
          <w:rFonts w:ascii="Palatino Linotype" w:hAnsi="Palatino Linotype" w:cs="Arial"/>
          <w:sz w:val="24"/>
          <w:szCs w:val="24"/>
        </w:rPr>
        <w:t xml:space="preserve"> DE DOS MIL VEINTIUNO ANTE EL SECRETARIO TÉCNICO</w:t>
      </w:r>
      <w:r w:rsidRPr="00167B6B">
        <w:rPr>
          <w:rFonts w:ascii="Palatino Linotype" w:hAnsi="Palatino Linotype" w:cs="Arial"/>
          <w:sz w:val="24"/>
          <w:szCs w:val="24"/>
        </w:rPr>
        <w:t xml:space="preserve"> DEL PLENO, </w:t>
      </w:r>
      <w:r>
        <w:rPr>
          <w:rFonts w:ascii="Palatino Linotype" w:hAnsi="Palatino Linotype" w:cs="Arial"/>
          <w:sz w:val="24"/>
          <w:szCs w:val="24"/>
        </w:rPr>
        <w:t>ALEXIS TAPIA RAMÍREZ</w:t>
      </w:r>
      <w:r w:rsidR="00411F8F">
        <w:rPr>
          <w:rFonts w:ascii="Palatino Linotype" w:hAnsi="Palatino Linotype" w:cs="Arial"/>
          <w:sz w:val="24"/>
          <w:szCs w:val="24"/>
        </w:rPr>
        <w:t>. ----</w:t>
      </w:r>
      <w:r w:rsidR="003A4F3A">
        <w:rPr>
          <w:rFonts w:ascii="Palatino Linotype" w:hAnsi="Palatino Linotype" w:cs="Arial"/>
          <w:sz w:val="24"/>
          <w:szCs w:val="24"/>
        </w:rPr>
        <w:t>--------------------------------------------------------------------------------------------------------------------------------------------------------------------------------------------------------------------------------------------------------------------------------------------------------------------------------------------------------------------------------------------------------------------------------------------------------------------------------------------------------------------------------------------------------------------------------------------------------------------------------------------------------------------------------------------------------------------------------------------------------</w:t>
      </w:r>
      <w:r w:rsidR="00332896">
        <w:rPr>
          <w:rFonts w:ascii="Palatino Linotype" w:hAnsi="Palatino Linotype" w:cs="Arial"/>
          <w:sz w:val="24"/>
          <w:szCs w:val="24"/>
        </w:rPr>
        <w:t>------------------------------------------------------------------------------------------------------------------------------------------------------------------------------------------------------------------------------------------------------------------------------------------------------------------------------------------------------------------------------------------------------------------------------------------------------------------------------------------------------------------------------------------------------------------------------------------------------------------------------------------------------------------------------------------------------------------------------------------------------------------------------------------------------------------------------------------------------------------------------------------------------------------------------------------------------------------------------------------------------------------------------------------------------------------------------------------------------------------------------------------------------------------------------------------------------------------------------------------------------------------------------------------------------------------------------------------------------------------------------------------------------------------------------------------------------------------</w:t>
      </w:r>
      <w:r w:rsidR="003A4F3A">
        <w:rPr>
          <w:rFonts w:ascii="Palatino Linotype" w:hAnsi="Palatino Linotype" w:cs="Arial"/>
          <w:sz w:val="24"/>
          <w:szCs w:val="24"/>
        </w:rPr>
        <w:t>-----------------------------</w:t>
      </w:r>
      <w:r w:rsidR="00411F8F">
        <w:rPr>
          <w:rFonts w:ascii="Palatino Linotype" w:hAnsi="Palatino Linotype" w:cs="Arial"/>
          <w:sz w:val="24"/>
          <w:szCs w:val="24"/>
        </w:rPr>
        <w:t>CC</w:t>
      </w:r>
      <w:r>
        <w:rPr>
          <w:rFonts w:ascii="Palatino Linotype" w:hAnsi="Palatino Linotype" w:cs="Arial"/>
          <w:sz w:val="24"/>
          <w:szCs w:val="24"/>
        </w:rPr>
        <w:t>R</w:t>
      </w:r>
      <w:r w:rsidR="00411F8F">
        <w:rPr>
          <w:rFonts w:ascii="Palatino Linotype" w:hAnsi="Palatino Linotype" w:cs="Arial"/>
          <w:sz w:val="24"/>
          <w:szCs w:val="24"/>
        </w:rPr>
        <w:t>/MOC.</w:t>
      </w:r>
    </w:p>
    <w:p w14:paraId="27D3902D" w14:textId="77777777" w:rsidR="003A4F3A" w:rsidRPr="00152075" w:rsidRDefault="003A4F3A" w:rsidP="00411F8F">
      <w:pPr>
        <w:spacing w:after="0" w:line="360" w:lineRule="auto"/>
        <w:jc w:val="both"/>
        <w:rPr>
          <w:rFonts w:ascii="Palatino Linotype" w:hAnsi="Palatino Linotype"/>
        </w:rPr>
      </w:pPr>
    </w:p>
    <w:sectPr w:rsidR="003A4F3A" w:rsidRPr="00152075" w:rsidSect="00DF6006">
      <w:headerReference w:type="default" r:id="rId18"/>
      <w:footerReference w:type="default" r:id="rId19"/>
      <w:headerReference w:type="first" r:id="rId20"/>
      <w:footerReference w:type="first" r:id="rId21"/>
      <w:pgSz w:w="12240" w:h="15840"/>
      <w:pgMar w:top="1417" w:right="1467" w:bottom="1417" w:left="1701" w:header="708" w:footer="708"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A754479" w16cid:durableId="2531FE55"/>
  <w16cid:commentId w16cid:paraId="1F9D8EFF" w16cid:durableId="2531FE80"/>
  <w16cid:commentId w16cid:paraId="19AB6CCA" w16cid:durableId="2531FFF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7FE64F" w14:textId="77777777" w:rsidR="00962876" w:rsidRDefault="00962876" w:rsidP="00F2498E">
      <w:pPr>
        <w:spacing w:after="0" w:line="240" w:lineRule="auto"/>
      </w:pPr>
      <w:r>
        <w:separator/>
      </w:r>
    </w:p>
  </w:endnote>
  <w:endnote w:type="continuationSeparator" w:id="0">
    <w:p w14:paraId="475BDB54" w14:textId="77777777" w:rsidR="00962876" w:rsidRDefault="00962876" w:rsidP="00F249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B2B344" w14:textId="2BE46632" w:rsidR="00C738ED" w:rsidRPr="000B69FA" w:rsidRDefault="00C738ED" w:rsidP="00F5642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7075A">
      <w:rPr>
        <w:rFonts w:ascii="Palatino Linotype" w:hAnsi="Palatino Linotype"/>
        <w:bCs/>
        <w:noProof/>
        <w:sz w:val="20"/>
      </w:rPr>
      <w:t>9</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D7075A">
      <w:rPr>
        <w:rFonts w:ascii="Palatino Linotype" w:hAnsi="Palatino Linotype"/>
        <w:bCs/>
        <w:noProof/>
        <w:sz w:val="20"/>
      </w:rPr>
      <w:t>30</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F88008" w14:textId="77777777" w:rsidR="00C738ED" w:rsidRPr="000B69FA" w:rsidRDefault="00C738ED" w:rsidP="00F5642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444C8">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6444C8">
      <w:rPr>
        <w:rFonts w:ascii="Palatino Linotype" w:hAnsi="Palatino Linotype"/>
        <w:bCs/>
        <w:noProof/>
        <w:sz w:val="20"/>
      </w:rPr>
      <w:t>30</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487541" w14:textId="77777777" w:rsidR="00962876" w:rsidRDefault="00962876" w:rsidP="00F2498E">
      <w:pPr>
        <w:spacing w:after="0" w:line="240" w:lineRule="auto"/>
      </w:pPr>
      <w:r>
        <w:separator/>
      </w:r>
    </w:p>
  </w:footnote>
  <w:footnote w:type="continuationSeparator" w:id="0">
    <w:p w14:paraId="597C0276" w14:textId="77777777" w:rsidR="00962876" w:rsidRDefault="00962876" w:rsidP="00F2498E">
      <w:pPr>
        <w:spacing w:after="0" w:line="240" w:lineRule="auto"/>
      </w:pPr>
      <w:r>
        <w:continuationSeparator/>
      </w:r>
    </w:p>
  </w:footnote>
  <w:footnote w:id="1">
    <w:p w14:paraId="2D17084C" w14:textId="77777777" w:rsidR="00C738ED" w:rsidRPr="00D958DC" w:rsidRDefault="00C738ED" w:rsidP="00D958DC">
      <w:pPr>
        <w:pStyle w:val="Textonotapie"/>
        <w:jc w:val="both"/>
        <w:rPr>
          <w:rFonts w:ascii="Palatino Linotype" w:hAnsi="Palatino Linotype"/>
          <w:sz w:val="18"/>
          <w:szCs w:val="18"/>
        </w:rPr>
      </w:pPr>
      <w:r w:rsidRPr="00D958DC">
        <w:rPr>
          <w:rStyle w:val="Refdenotaalpie"/>
          <w:rFonts w:ascii="Palatino Linotype" w:hAnsi="Palatino Linotype"/>
          <w:b/>
          <w:sz w:val="18"/>
          <w:szCs w:val="18"/>
        </w:rPr>
        <w:footnoteRef/>
      </w:r>
      <w:r w:rsidRPr="00D958DC">
        <w:rPr>
          <w:rFonts w:ascii="Palatino Linotype" w:hAnsi="Palatino Linotype"/>
          <w:b/>
          <w:sz w:val="18"/>
          <w:szCs w:val="18"/>
        </w:rPr>
        <w:t xml:space="preserve"> Artículo 159</w:t>
      </w:r>
      <w:r w:rsidRPr="00D958DC">
        <w:rPr>
          <w:rFonts w:ascii="Palatino Linotype" w:hAnsi="Palatino Linotype"/>
          <w:sz w:val="18"/>
          <w:szCs w:val="18"/>
        </w:rPr>
        <w:t xml:space="preserve">. Cuando los detalles proporcionados para localizar los documentos resulten insuficientes, incompletos o sean erróneos, la Unidad de Transparencia podrá requerir al solicitante, por una sola vez y dentro de un plazo que no podrá exceder de cinco días hábiles contados a partir de la presentación de la solicitud, para que, en un término de hasta diez días hábiles, indique otros elementos que complementen, corrijan o amplíen los datos proporcionados o bien, precise uno o varios requerimientos de información. </w:t>
      </w:r>
    </w:p>
    <w:p w14:paraId="5E2477AB" w14:textId="67A60DC5" w:rsidR="00C738ED" w:rsidRPr="00D958DC" w:rsidRDefault="00C738ED" w:rsidP="00D958DC">
      <w:pPr>
        <w:pStyle w:val="Textonotapie"/>
        <w:jc w:val="both"/>
        <w:rPr>
          <w:rFonts w:ascii="Palatino Linotype" w:hAnsi="Palatino Linotype"/>
          <w:sz w:val="18"/>
          <w:szCs w:val="18"/>
        </w:rPr>
      </w:pPr>
      <w:r w:rsidRPr="00D958DC">
        <w:rPr>
          <w:rFonts w:ascii="Palatino Linotype" w:hAnsi="Palatino Linotype"/>
          <w:sz w:val="18"/>
          <w:szCs w:val="18"/>
        </w:rPr>
        <w:t>En este requerimiento interrumpirá el plazo de respuesta establecido en el artículo 163 de la presente Ley, por lo que comenzará a computarse nuevamente al día siguiente del desahogo por parte del particular. En este caso, el sujeto obligado atenderá la solicitud en los términos en que fue desahogado el requerimiento de información adicional.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F4837D" w14:textId="74315F7B" w:rsidR="00C738ED" w:rsidRDefault="00C738ED">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2C75945F" wp14:editId="249F5847">
          <wp:simplePos x="0" y="0"/>
          <wp:positionH relativeFrom="margin">
            <wp:posOffset>-1125855</wp:posOffset>
          </wp:positionH>
          <wp:positionV relativeFrom="page">
            <wp:posOffset>25400</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9640" w:type="dxa"/>
      <w:tblInd w:w="-851" w:type="dxa"/>
      <w:tblLayout w:type="fixed"/>
      <w:tblCellMar>
        <w:left w:w="70" w:type="dxa"/>
        <w:right w:w="70" w:type="dxa"/>
      </w:tblCellMar>
      <w:tblLook w:val="04A0" w:firstRow="1" w:lastRow="0" w:firstColumn="1" w:lastColumn="0" w:noHBand="0" w:noVBand="1"/>
    </w:tblPr>
    <w:tblGrid>
      <w:gridCol w:w="5529"/>
      <w:gridCol w:w="4111"/>
    </w:tblGrid>
    <w:tr w:rsidR="00C738ED" w:rsidRPr="00B17577" w14:paraId="37B9EBDE" w14:textId="77777777" w:rsidTr="004E3959">
      <w:trPr>
        <w:trHeight w:val="227"/>
      </w:trPr>
      <w:tc>
        <w:tcPr>
          <w:tcW w:w="5529" w:type="dxa"/>
          <w:hideMark/>
        </w:tcPr>
        <w:p w14:paraId="4964FBC5" w14:textId="77777777" w:rsidR="00C738ED" w:rsidRDefault="00C738ED" w:rsidP="00A15E74">
          <w:pPr>
            <w:spacing w:after="120" w:line="256" w:lineRule="auto"/>
            <w:ind w:right="-70"/>
            <w:jc w:val="right"/>
            <w:rPr>
              <w:rFonts w:ascii="Palatino Linotype" w:hAnsi="Palatino Linotype" w:cs="Arial"/>
              <w:b/>
              <w:szCs w:val="20"/>
            </w:rPr>
          </w:pPr>
          <w:r>
            <w:rPr>
              <w:rFonts w:ascii="Palatino Linotype" w:hAnsi="Palatino Linotype" w:cs="Arial"/>
              <w:b/>
              <w:szCs w:val="20"/>
            </w:rPr>
            <w:t>Recurso de Revisión N°:</w:t>
          </w:r>
        </w:p>
      </w:tc>
      <w:tc>
        <w:tcPr>
          <w:tcW w:w="4111" w:type="dxa"/>
          <w:hideMark/>
        </w:tcPr>
        <w:p w14:paraId="421B9899" w14:textId="07CBBA6A" w:rsidR="00C738ED" w:rsidRPr="00B17577" w:rsidRDefault="00C738ED" w:rsidP="006C47BC">
          <w:pPr>
            <w:jc w:val="right"/>
            <w:rPr>
              <w:rFonts w:ascii="Palatino Linotype" w:hAnsi="Palatino Linotype" w:cs="Arial"/>
              <w:b/>
            </w:rPr>
          </w:pPr>
          <w:r w:rsidRPr="00F63239">
            <w:rPr>
              <w:rFonts w:ascii="Palatino Linotype" w:hAnsi="Palatino Linotype" w:cs="Arial"/>
              <w:b/>
              <w:bCs/>
              <w:lang w:eastAsia="es-MX"/>
            </w:rPr>
            <w:t>0</w:t>
          </w:r>
          <w:r>
            <w:rPr>
              <w:rFonts w:ascii="Palatino Linotype" w:hAnsi="Palatino Linotype" w:cs="Arial"/>
              <w:b/>
              <w:bCs/>
              <w:lang w:eastAsia="es-MX"/>
            </w:rPr>
            <w:t>5020/INFOEM/IP/RR/2021</w:t>
          </w:r>
        </w:p>
      </w:tc>
    </w:tr>
    <w:tr w:rsidR="00C738ED" w14:paraId="7591D3C9" w14:textId="77777777" w:rsidTr="004E3959">
      <w:trPr>
        <w:trHeight w:val="242"/>
      </w:trPr>
      <w:tc>
        <w:tcPr>
          <w:tcW w:w="5529" w:type="dxa"/>
          <w:vAlign w:val="center"/>
          <w:hideMark/>
        </w:tcPr>
        <w:p w14:paraId="729A65A8" w14:textId="77777777" w:rsidR="00C738ED" w:rsidRDefault="00C738ED" w:rsidP="001F57CD">
          <w:pPr>
            <w:spacing w:after="120" w:line="256" w:lineRule="auto"/>
            <w:ind w:right="-70"/>
            <w:jc w:val="right"/>
            <w:rPr>
              <w:rFonts w:ascii="Palatino Linotype" w:hAnsi="Palatino Linotype" w:cs="Arial"/>
              <w:b/>
              <w:szCs w:val="20"/>
            </w:rPr>
          </w:pPr>
          <w:r>
            <w:rPr>
              <w:rFonts w:ascii="Palatino Linotype" w:hAnsi="Palatino Linotype" w:cs="Arial"/>
              <w:b/>
              <w:szCs w:val="20"/>
            </w:rPr>
            <w:t>Sujeto Obligado:</w:t>
          </w:r>
        </w:p>
      </w:tc>
      <w:tc>
        <w:tcPr>
          <w:tcW w:w="4111" w:type="dxa"/>
          <w:hideMark/>
        </w:tcPr>
        <w:p w14:paraId="283ADF36" w14:textId="6F309F62" w:rsidR="00C738ED" w:rsidRPr="00F63239" w:rsidRDefault="00C738ED" w:rsidP="001F57CD">
          <w:pPr>
            <w:jc w:val="right"/>
            <w:rPr>
              <w:rFonts w:ascii="Palatino Linotype" w:hAnsi="Palatino Linotype" w:cs="Arial"/>
              <w:b/>
            </w:rPr>
          </w:pPr>
          <w:r>
            <w:rPr>
              <w:rFonts w:ascii="Palatino Linotype" w:hAnsi="Palatino Linotype" w:cs="Arial"/>
              <w:b/>
              <w:bCs/>
              <w:lang w:eastAsia="es-MX"/>
            </w:rPr>
            <w:t>Ayuntamiento de Atizapán</w:t>
          </w:r>
        </w:p>
      </w:tc>
    </w:tr>
    <w:tr w:rsidR="00C738ED" w:rsidRPr="00F63239" w14:paraId="037E914D" w14:textId="77777777" w:rsidTr="004E3959">
      <w:trPr>
        <w:trHeight w:val="342"/>
      </w:trPr>
      <w:tc>
        <w:tcPr>
          <w:tcW w:w="5529" w:type="dxa"/>
          <w:hideMark/>
        </w:tcPr>
        <w:p w14:paraId="7676B68F" w14:textId="2DADC982" w:rsidR="00C738ED" w:rsidRDefault="00C738ED" w:rsidP="001B00F7">
          <w:pPr>
            <w:tabs>
              <w:tab w:val="left" w:pos="4892"/>
            </w:tabs>
            <w:spacing w:after="120" w:line="256" w:lineRule="auto"/>
            <w:ind w:right="-70"/>
            <w:jc w:val="right"/>
            <w:rPr>
              <w:rFonts w:ascii="Palatino Linotype" w:hAnsi="Palatino Linotype" w:cs="Arial"/>
              <w:b/>
              <w:szCs w:val="20"/>
            </w:rPr>
          </w:pPr>
          <w:r>
            <w:rPr>
              <w:rFonts w:ascii="Palatino Linotype" w:hAnsi="Palatino Linotype" w:cs="Arial"/>
              <w:b/>
              <w:szCs w:val="20"/>
            </w:rPr>
            <w:t>Comisionado Ponente:</w:t>
          </w:r>
        </w:p>
      </w:tc>
      <w:tc>
        <w:tcPr>
          <w:tcW w:w="4111" w:type="dxa"/>
          <w:hideMark/>
        </w:tcPr>
        <w:p w14:paraId="4346858F" w14:textId="20D6873D" w:rsidR="00C738ED" w:rsidRPr="00F63239" w:rsidRDefault="00C738ED" w:rsidP="001F57CD">
          <w:pPr>
            <w:spacing w:after="120" w:line="256" w:lineRule="auto"/>
            <w:ind w:left="-486" w:right="72" w:firstLine="567"/>
            <w:jc w:val="right"/>
            <w:rPr>
              <w:rFonts w:ascii="Palatino Linotype" w:hAnsi="Palatino Linotype" w:cs="Arial"/>
              <w:b/>
              <w:szCs w:val="20"/>
            </w:rPr>
          </w:pPr>
          <w:r>
            <w:rPr>
              <w:rFonts w:ascii="Palatino Linotype" w:hAnsi="Palatino Linotype" w:cs="Arial"/>
              <w:b/>
            </w:rPr>
            <w:t>José Martínez Vilchis</w:t>
          </w:r>
        </w:p>
      </w:tc>
    </w:tr>
  </w:tbl>
  <w:p w14:paraId="2998DBFD" w14:textId="77777777" w:rsidR="00C738ED" w:rsidRDefault="00C738E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40" w:type="dxa"/>
      <w:tblInd w:w="-851" w:type="dxa"/>
      <w:tblLayout w:type="fixed"/>
      <w:tblCellMar>
        <w:left w:w="70" w:type="dxa"/>
        <w:right w:w="70" w:type="dxa"/>
      </w:tblCellMar>
      <w:tblLook w:val="04A0" w:firstRow="1" w:lastRow="0" w:firstColumn="1" w:lastColumn="0" w:noHBand="0" w:noVBand="1"/>
    </w:tblPr>
    <w:tblGrid>
      <w:gridCol w:w="5666"/>
      <w:gridCol w:w="3974"/>
    </w:tblGrid>
    <w:tr w:rsidR="00C738ED" w14:paraId="0F9FE9B6" w14:textId="77777777" w:rsidTr="004E3959">
      <w:trPr>
        <w:trHeight w:val="227"/>
      </w:trPr>
      <w:tc>
        <w:tcPr>
          <w:tcW w:w="5666" w:type="dxa"/>
          <w:hideMark/>
        </w:tcPr>
        <w:p w14:paraId="6D1D9D71" w14:textId="0B85CE08" w:rsidR="00C738ED" w:rsidRDefault="00C738ED"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Recurso de Revisión N°:</w:t>
          </w:r>
        </w:p>
      </w:tc>
      <w:tc>
        <w:tcPr>
          <w:tcW w:w="3974" w:type="dxa"/>
          <w:hideMark/>
        </w:tcPr>
        <w:p w14:paraId="242DE466" w14:textId="5ED750CA" w:rsidR="00C738ED" w:rsidRPr="00F63239" w:rsidRDefault="00C738ED" w:rsidP="006C47BC">
          <w:pPr>
            <w:spacing w:after="120" w:line="256" w:lineRule="auto"/>
            <w:ind w:left="-486" w:firstLine="558"/>
            <w:jc w:val="right"/>
            <w:rPr>
              <w:rFonts w:ascii="Palatino Linotype" w:hAnsi="Palatino Linotype" w:cs="Arial"/>
              <w:b/>
            </w:rPr>
          </w:pPr>
          <w:r w:rsidRPr="00F63239">
            <w:rPr>
              <w:rFonts w:ascii="Palatino Linotype" w:hAnsi="Palatino Linotype" w:cs="Arial"/>
              <w:b/>
              <w:bCs/>
              <w:lang w:eastAsia="es-MX"/>
            </w:rPr>
            <w:t>0</w:t>
          </w:r>
          <w:r>
            <w:rPr>
              <w:rFonts w:ascii="Palatino Linotype" w:hAnsi="Palatino Linotype" w:cs="Arial"/>
              <w:b/>
              <w:bCs/>
              <w:lang w:eastAsia="es-MX"/>
            </w:rPr>
            <w:t>5020/INFOEM/IP/RR/2021</w:t>
          </w:r>
        </w:p>
      </w:tc>
    </w:tr>
    <w:tr w:rsidR="00C738ED" w:rsidRPr="001F57CD" w14:paraId="1377D264" w14:textId="77777777" w:rsidTr="004E3959">
      <w:trPr>
        <w:trHeight w:val="196"/>
      </w:trPr>
      <w:tc>
        <w:tcPr>
          <w:tcW w:w="5666" w:type="dxa"/>
          <w:hideMark/>
        </w:tcPr>
        <w:p w14:paraId="04D597A1" w14:textId="77777777" w:rsidR="00C738ED" w:rsidRDefault="00C738ED"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Recurrente:</w:t>
          </w:r>
        </w:p>
      </w:tc>
      <w:tc>
        <w:tcPr>
          <w:tcW w:w="3974" w:type="dxa"/>
          <w:hideMark/>
        </w:tcPr>
        <w:p w14:paraId="1126AAEC" w14:textId="616E3557" w:rsidR="00C738ED" w:rsidRPr="00753ACF" w:rsidRDefault="006444C8" w:rsidP="006C47BC">
          <w:pPr>
            <w:spacing w:after="120" w:line="256" w:lineRule="auto"/>
            <w:ind w:left="-486" w:firstLine="486"/>
            <w:jc w:val="right"/>
            <w:rPr>
              <w:rFonts w:ascii="Palatino Linotype" w:hAnsi="Palatino Linotype" w:cs="Arial"/>
              <w:b/>
              <w:bCs/>
              <w:lang w:eastAsia="es-MX"/>
            </w:rPr>
          </w:pPr>
          <w:proofErr w:type="spellStart"/>
          <w:r>
            <w:rPr>
              <w:rFonts w:ascii="Palatino Linotype" w:hAnsi="Palatino Linotype" w:cs="Arial"/>
              <w:b/>
              <w:bCs/>
              <w:lang w:eastAsia="es-MX"/>
            </w:rPr>
            <w:t>xxxxxxxxxxxxxxxxxxxxxxxxxxxxx</w:t>
          </w:r>
          <w:proofErr w:type="spellEnd"/>
        </w:p>
      </w:tc>
    </w:tr>
    <w:tr w:rsidR="00C738ED" w14:paraId="4DC11993" w14:textId="77777777" w:rsidTr="004E3959">
      <w:trPr>
        <w:trHeight w:val="242"/>
      </w:trPr>
      <w:tc>
        <w:tcPr>
          <w:tcW w:w="5666" w:type="dxa"/>
          <w:vAlign w:val="center"/>
          <w:hideMark/>
        </w:tcPr>
        <w:p w14:paraId="76CEF1B5" w14:textId="77777777" w:rsidR="00C738ED" w:rsidRDefault="00C738ED"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Sujeto Obligado:</w:t>
          </w:r>
        </w:p>
      </w:tc>
      <w:tc>
        <w:tcPr>
          <w:tcW w:w="3974" w:type="dxa"/>
          <w:hideMark/>
        </w:tcPr>
        <w:p w14:paraId="7C1BB379" w14:textId="1D5F8004" w:rsidR="00C738ED" w:rsidRPr="00824E58" w:rsidRDefault="00C738ED" w:rsidP="006C47BC">
          <w:pPr>
            <w:ind w:left="-70"/>
            <w:jc w:val="right"/>
            <w:rPr>
              <w:rFonts w:ascii="Palatino Linotype" w:hAnsi="Palatino Linotype" w:cs="Arial"/>
              <w:b/>
              <w:bCs/>
              <w:lang w:eastAsia="es-MX"/>
            </w:rPr>
          </w:pPr>
          <w:r>
            <w:rPr>
              <w:rFonts w:ascii="Palatino Linotype" w:hAnsi="Palatino Linotype" w:cs="Arial"/>
              <w:b/>
              <w:bCs/>
              <w:lang w:eastAsia="es-MX"/>
            </w:rPr>
            <w:t>Ayuntamiento de Atizapán</w:t>
          </w:r>
        </w:p>
      </w:tc>
    </w:tr>
    <w:tr w:rsidR="00C738ED" w14:paraId="5C2B511D" w14:textId="77777777" w:rsidTr="004E3959">
      <w:trPr>
        <w:trHeight w:val="342"/>
      </w:trPr>
      <w:tc>
        <w:tcPr>
          <w:tcW w:w="5666" w:type="dxa"/>
          <w:hideMark/>
        </w:tcPr>
        <w:p w14:paraId="03FEF68C" w14:textId="72BEC063" w:rsidR="00C738ED" w:rsidRDefault="00C738ED" w:rsidP="001B00F7">
          <w:pPr>
            <w:tabs>
              <w:tab w:val="left" w:pos="4892"/>
            </w:tabs>
            <w:spacing w:after="120" w:line="256" w:lineRule="auto"/>
            <w:ind w:right="-70"/>
            <w:jc w:val="right"/>
            <w:rPr>
              <w:rFonts w:ascii="Palatino Linotype" w:hAnsi="Palatino Linotype" w:cs="Arial"/>
              <w:b/>
              <w:szCs w:val="20"/>
            </w:rPr>
          </w:pPr>
          <w:r>
            <w:rPr>
              <w:rFonts w:ascii="Palatino Linotype" w:hAnsi="Palatino Linotype" w:cs="Arial"/>
              <w:b/>
              <w:szCs w:val="20"/>
            </w:rPr>
            <w:t>Comisionado Ponente:</w:t>
          </w:r>
        </w:p>
      </w:tc>
      <w:tc>
        <w:tcPr>
          <w:tcW w:w="3974" w:type="dxa"/>
          <w:hideMark/>
        </w:tcPr>
        <w:p w14:paraId="6744F9AD" w14:textId="1AF88FD3" w:rsidR="00C738ED" w:rsidRPr="00F63239" w:rsidRDefault="00C738ED" w:rsidP="00F56426">
          <w:pPr>
            <w:spacing w:after="120" w:line="256" w:lineRule="auto"/>
            <w:ind w:left="-486" w:right="72" w:firstLine="567"/>
            <w:jc w:val="right"/>
            <w:rPr>
              <w:rFonts w:ascii="Palatino Linotype" w:hAnsi="Palatino Linotype" w:cs="Arial"/>
              <w:b/>
            </w:rPr>
          </w:pPr>
          <w:r>
            <w:rPr>
              <w:rFonts w:ascii="Palatino Linotype" w:hAnsi="Palatino Linotype" w:cs="Arial"/>
              <w:b/>
            </w:rPr>
            <w:t>José Martínez Vilchis</w:t>
          </w:r>
        </w:p>
      </w:tc>
    </w:tr>
  </w:tbl>
  <w:p w14:paraId="04D3BBA0" w14:textId="734F2227" w:rsidR="00C738ED" w:rsidRDefault="00C738ED">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10D7AC2" wp14:editId="03F93DCC">
          <wp:simplePos x="0" y="0"/>
          <wp:positionH relativeFrom="margin">
            <wp:align>center</wp:align>
          </wp:positionH>
          <wp:positionV relativeFrom="page">
            <wp:posOffset>9203</wp:posOffset>
          </wp:positionV>
          <wp:extent cx="7705725" cy="10048875"/>
          <wp:effectExtent l="0" t="0" r="9525" b="9525"/>
          <wp:wrapNone/>
          <wp:docPr id="8" name="Imagen 8"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E464833"/>
    <w:multiLevelType w:val="hybridMultilevel"/>
    <w:tmpl w:val="7D56F47E"/>
    <w:lvl w:ilvl="0" w:tplc="A600C1DA">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nsid w:val="0EF04846"/>
    <w:multiLevelType w:val="hybridMultilevel"/>
    <w:tmpl w:val="D166C698"/>
    <w:lvl w:ilvl="0" w:tplc="45983B38">
      <w:start w:val="1"/>
      <w:numFmt w:val="upperRoman"/>
      <w:lvlText w:val="%1."/>
      <w:lvlJc w:val="left"/>
      <w:pPr>
        <w:ind w:left="1425" w:hanging="720"/>
      </w:pPr>
      <w:rPr>
        <w:rFonts w:hint="default"/>
        <w:b/>
        <w:i/>
        <w:color w:val="auto"/>
        <w:sz w:val="24"/>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3">
    <w:nsid w:val="15632E8E"/>
    <w:multiLevelType w:val="hybridMultilevel"/>
    <w:tmpl w:val="63C845C8"/>
    <w:lvl w:ilvl="0" w:tplc="9BBE712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7FF40CA"/>
    <w:multiLevelType w:val="hybridMultilevel"/>
    <w:tmpl w:val="AB94EB9C"/>
    <w:lvl w:ilvl="0" w:tplc="080A0017">
      <w:start w:val="1"/>
      <w:numFmt w:val="lowerLetter"/>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5">
    <w:nsid w:val="1A3C1712"/>
    <w:multiLevelType w:val="hybridMultilevel"/>
    <w:tmpl w:val="8A9E734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A4208D4"/>
    <w:multiLevelType w:val="hybridMultilevel"/>
    <w:tmpl w:val="18D276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CF103C4"/>
    <w:multiLevelType w:val="hybridMultilevel"/>
    <w:tmpl w:val="56C2E2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4317490"/>
    <w:multiLevelType w:val="hybridMultilevel"/>
    <w:tmpl w:val="DDB04FF0"/>
    <w:lvl w:ilvl="0" w:tplc="92BE0B36">
      <w:start w:val="1"/>
      <w:numFmt w:val="decimal"/>
      <w:lvlText w:val="%1."/>
      <w:lvlJc w:val="left"/>
      <w:pPr>
        <w:ind w:left="360" w:hanging="360"/>
      </w:pPr>
      <w:rPr>
        <w:rFonts w:ascii="Palatino Linotype" w:hAnsi="Palatino Linotype" w:hint="default"/>
        <w:b/>
        <w:i w:val="0"/>
        <w:color w:val="auto"/>
        <w:sz w:val="24"/>
      </w:rPr>
    </w:lvl>
    <w:lvl w:ilvl="1" w:tplc="080A0013">
      <w:start w:val="1"/>
      <w:numFmt w:val="upperRoman"/>
      <w:lvlText w:val="%2."/>
      <w:lvlJc w:val="right"/>
      <w:pPr>
        <w:ind w:left="1800" w:hanging="720"/>
      </w:pPr>
      <w:rPr>
        <w:rFonts w:hint="default"/>
        <w:b/>
        <w:bCs/>
        <w:i w:val="0"/>
        <w:iCs/>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418F3DC7"/>
    <w:multiLevelType w:val="hybridMultilevel"/>
    <w:tmpl w:val="9AAE9B96"/>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0">
    <w:nsid w:val="4383401F"/>
    <w:multiLevelType w:val="hybridMultilevel"/>
    <w:tmpl w:val="46E65618"/>
    <w:lvl w:ilvl="0" w:tplc="891C611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4A915824"/>
    <w:multiLevelType w:val="hybridMultilevel"/>
    <w:tmpl w:val="A356C32C"/>
    <w:lvl w:ilvl="0" w:tplc="A600C1DA">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2">
    <w:nsid w:val="54F03B05"/>
    <w:multiLevelType w:val="hybridMultilevel"/>
    <w:tmpl w:val="D500024A"/>
    <w:lvl w:ilvl="0" w:tplc="EA2AD69C">
      <w:start w:val="1"/>
      <w:numFmt w:val="upperLetter"/>
      <w:lvlText w:val="%1)"/>
      <w:lvlJc w:val="left"/>
      <w:pPr>
        <w:ind w:left="720" w:hanging="360"/>
      </w:pPr>
      <w:rPr>
        <w:rFonts w:cstheme="minorBidi"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nsid w:val="61B9371F"/>
    <w:multiLevelType w:val="hybridMultilevel"/>
    <w:tmpl w:val="83B0892C"/>
    <w:lvl w:ilvl="0" w:tplc="B81C931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6E37748F"/>
    <w:multiLevelType w:val="hybridMultilevel"/>
    <w:tmpl w:val="4508CDFC"/>
    <w:lvl w:ilvl="0" w:tplc="ADC025B0">
      <w:start w:val="1"/>
      <w:numFmt w:val="upperRoman"/>
      <w:lvlText w:val="%1."/>
      <w:lvlJc w:val="left"/>
      <w:pPr>
        <w:ind w:left="1080" w:hanging="720"/>
      </w:pPr>
      <w:rPr>
        <w:rFonts w:hint="default"/>
        <w:b/>
        <w:color w:val="000000"/>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757014C4"/>
    <w:multiLevelType w:val="hybridMultilevel"/>
    <w:tmpl w:val="A52292D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77C04822"/>
    <w:multiLevelType w:val="hybridMultilevel"/>
    <w:tmpl w:val="D6620472"/>
    <w:lvl w:ilvl="0" w:tplc="B81C931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78BA58AC"/>
    <w:multiLevelType w:val="hybridMultilevel"/>
    <w:tmpl w:val="EF54F4AE"/>
    <w:lvl w:ilvl="0" w:tplc="080A000F">
      <w:start w:val="1"/>
      <w:numFmt w:val="decimal"/>
      <w:lvlText w:val="%1."/>
      <w:lvlJc w:val="left"/>
      <w:pPr>
        <w:ind w:left="1506" w:hanging="360"/>
      </w:pPr>
    </w:lvl>
    <w:lvl w:ilvl="1" w:tplc="080A0019" w:tentative="1">
      <w:start w:val="1"/>
      <w:numFmt w:val="lowerLetter"/>
      <w:lvlText w:val="%2."/>
      <w:lvlJc w:val="left"/>
      <w:pPr>
        <w:ind w:left="2226" w:hanging="360"/>
      </w:pPr>
    </w:lvl>
    <w:lvl w:ilvl="2" w:tplc="080A001B" w:tentative="1">
      <w:start w:val="1"/>
      <w:numFmt w:val="lowerRoman"/>
      <w:lvlText w:val="%3."/>
      <w:lvlJc w:val="right"/>
      <w:pPr>
        <w:ind w:left="2946" w:hanging="180"/>
      </w:pPr>
    </w:lvl>
    <w:lvl w:ilvl="3" w:tplc="080A000F" w:tentative="1">
      <w:start w:val="1"/>
      <w:numFmt w:val="decimal"/>
      <w:lvlText w:val="%4."/>
      <w:lvlJc w:val="left"/>
      <w:pPr>
        <w:ind w:left="3666" w:hanging="360"/>
      </w:pPr>
    </w:lvl>
    <w:lvl w:ilvl="4" w:tplc="080A0019" w:tentative="1">
      <w:start w:val="1"/>
      <w:numFmt w:val="lowerLetter"/>
      <w:lvlText w:val="%5."/>
      <w:lvlJc w:val="left"/>
      <w:pPr>
        <w:ind w:left="4386" w:hanging="360"/>
      </w:pPr>
    </w:lvl>
    <w:lvl w:ilvl="5" w:tplc="080A001B" w:tentative="1">
      <w:start w:val="1"/>
      <w:numFmt w:val="lowerRoman"/>
      <w:lvlText w:val="%6."/>
      <w:lvlJc w:val="right"/>
      <w:pPr>
        <w:ind w:left="5106" w:hanging="180"/>
      </w:pPr>
    </w:lvl>
    <w:lvl w:ilvl="6" w:tplc="080A000F" w:tentative="1">
      <w:start w:val="1"/>
      <w:numFmt w:val="decimal"/>
      <w:lvlText w:val="%7."/>
      <w:lvlJc w:val="left"/>
      <w:pPr>
        <w:ind w:left="5826" w:hanging="360"/>
      </w:pPr>
    </w:lvl>
    <w:lvl w:ilvl="7" w:tplc="080A0019" w:tentative="1">
      <w:start w:val="1"/>
      <w:numFmt w:val="lowerLetter"/>
      <w:lvlText w:val="%8."/>
      <w:lvlJc w:val="left"/>
      <w:pPr>
        <w:ind w:left="6546" w:hanging="360"/>
      </w:pPr>
    </w:lvl>
    <w:lvl w:ilvl="8" w:tplc="080A001B" w:tentative="1">
      <w:start w:val="1"/>
      <w:numFmt w:val="lowerRoman"/>
      <w:lvlText w:val="%9."/>
      <w:lvlJc w:val="right"/>
      <w:pPr>
        <w:ind w:left="7266" w:hanging="180"/>
      </w:pPr>
    </w:lvl>
  </w:abstractNum>
  <w:abstractNum w:abstractNumId="18">
    <w:nsid w:val="7F065D5B"/>
    <w:multiLevelType w:val="hybridMultilevel"/>
    <w:tmpl w:val="5882C87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8"/>
  </w:num>
  <w:num w:numId="2">
    <w:abstractNumId w:val="10"/>
  </w:num>
  <w:num w:numId="3">
    <w:abstractNumId w:val="9"/>
  </w:num>
  <w:num w:numId="4">
    <w:abstractNumId w:val="11"/>
  </w:num>
  <w:num w:numId="5">
    <w:abstractNumId w:val="4"/>
  </w:num>
  <w:num w:numId="6">
    <w:abstractNumId w:val="6"/>
  </w:num>
  <w:num w:numId="7">
    <w:abstractNumId w:val="0"/>
  </w:num>
  <w:num w:numId="8">
    <w:abstractNumId w:val="14"/>
  </w:num>
  <w:num w:numId="9">
    <w:abstractNumId w:val="15"/>
  </w:num>
  <w:num w:numId="10">
    <w:abstractNumId w:val="5"/>
  </w:num>
  <w:num w:numId="11">
    <w:abstractNumId w:val="12"/>
  </w:num>
  <w:num w:numId="12">
    <w:abstractNumId w:val="1"/>
  </w:num>
  <w:num w:numId="13">
    <w:abstractNumId w:val="16"/>
  </w:num>
  <w:num w:numId="14">
    <w:abstractNumId w:val="13"/>
  </w:num>
  <w:num w:numId="15">
    <w:abstractNumId w:val="7"/>
  </w:num>
  <w:num w:numId="16">
    <w:abstractNumId w:val="3"/>
  </w:num>
  <w:num w:numId="17">
    <w:abstractNumId w:val="17"/>
  </w:num>
  <w:num w:numId="18">
    <w:abstractNumId w:val="8"/>
  </w:num>
  <w:num w:numId="19">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29A9"/>
    <w:rsid w:val="00002C6A"/>
    <w:rsid w:val="000034AA"/>
    <w:rsid w:val="00007857"/>
    <w:rsid w:val="00011CCA"/>
    <w:rsid w:val="00012BEE"/>
    <w:rsid w:val="00012D78"/>
    <w:rsid w:val="00015487"/>
    <w:rsid w:val="00021122"/>
    <w:rsid w:val="00021165"/>
    <w:rsid w:val="00024A6D"/>
    <w:rsid w:val="00026582"/>
    <w:rsid w:val="00031BA3"/>
    <w:rsid w:val="00033562"/>
    <w:rsid w:val="00035A30"/>
    <w:rsid w:val="00036D5F"/>
    <w:rsid w:val="00040A10"/>
    <w:rsid w:val="00041670"/>
    <w:rsid w:val="00041AE7"/>
    <w:rsid w:val="00041DEA"/>
    <w:rsid w:val="00042C95"/>
    <w:rsid w:val="00045F86"/>
    <w:rsid w:val="00046666"/>
    <w:rsid w:val="00047B49"/>
    <w:rsid w:val="00051732"/>
    <w:rsid w:val="0005480B"/>
    <w:rsid w:val="00054F6A"/>
    <w:rsid w:val="000550D8"/>
    <w:rsid w:val="00055C90"/>
    <w:rsid w:val="000564B5"/>
    <w:rsid w:val="000575E4"/>
    <w:rsid w:val="0005787D"/>
    <w:rsid w:val="00057B42"/>
    <w:rsid w:val="00060716"/>
    <w:rsid w:val="00063CA8"/>
    <w:rsid w:val="00065463"/>
    <w:rsid w:val="000666B3"/>
    <w:rsid w:val="000708BF"/>
    <w:rsid w:val="0007107B"/>
    <w:rsid w:val="000739AF"/>
    <w:rsid w:val="00075D5E"/>
    <w:rsid w:val="00076332"/>
    <w:rsid w:val="00077A55"/>
    <w:rsid w:val="000802BA"/>
    <w:rsid w:val="00082D24"/>
    <w:rsid w:val="00082E5D"/>
    <w:rsid w:val="00083498"/>
    <w:rsid w:val="0008496A"/>
    <w:rsid w:val="00085EA2"/>
    <w:rsid w:val="0008737D"/>
    <w:rsid w:val="00092681"/>
    <w:rsid w:val="00092D82"/>
    <w:rsid w:val="0009609D"/>
    <w:rsid w:val="00096B5C"/>
    <w:rsid w:val="00097240"/>
    <w:rsid w:val="000A05A8"/>
    <w:rsid w:val="000A110B"/>
    <w:rsid w:val="000A3F41"/>
    <w:rsid w:val="000B15B7"/>
    <w:rsid w:val="000B1F27"/>
    <w:rsid w:val="000B4AFE"/>
    <w:rsid w:val="000B51CE"/>
    <w:rsid w:val="000B5608"/>
    <w:rsid w:val="000B5A17"/>
    <w:rsid w:val="000C0203"/>
    <w:rsid w:val="000C02B6"/>
    <w:rsid w:val="000C1C64"/>
    <w:rsid w:val="000C2D59"/>
    <w:rsid w:val="000C51AF"/>
    <w:rsid w:val="000C661C"/>
    <w:rsid w:val="000C7F8F"/>
    <w:rsid w:val="000D14DA"/>
    <w:rsid w:val="000D1944"/>
    <w:rsid w:val="000D276D"/>
    <w:rsid w:val="000D5634"/>
    <w:rsid w:val="000D5C00"/>
    <w:rsid w:val="000D60C5"/>
    <w:rsid w:val="000D772A"/>
    <w:rsid w:val="000E0BE1"/>
    <w:rsid w:val="000E0D32"/>
    <w:rsid w:val="000E183E"/>
    <w:rsid w:val="000E1FD4"/>
    <w:rsid w:val="000E4EBC"/>
    <w:rsid w:val="000E74D7"/>
    <w:rsid w:val="000F114E"/>
    <w:rsid w:val="000F146C"/>
    <w:rsid w:val="000F196A"/>
    <w:rsid w:val="000F78E0"/>
    <w:rsid w:val="00101CC2"/>
    <w:rsid w:val="00103C89"/>
    <w:rsid w:val="001050A9"/>
    <w:rsid w:val="001116B7"/>
    <w:rsid w:val="00115495"/>
    <w:rsid w:val="00116E4B"/>
    <w:rsid w:val="00116F6B"/>
    <w:rsid w:val="00117796"/>
    <w:rsid w:val="001235A0"/>
    <w:rsid w:val="00123899"/>
    <w:rsid w:val="00123D0B"/>
    <w:rsid w:val="001306D8"/>
    <w:rsid w:val="00131C6C"/>
    <w:rsid w:val="00131F2D"/>
    <w:rsid w:val="00136A94"/>
    <w:rsid w:val="00142D35"/>
    <w:rsid w:val="00144BA8"/>
    <w:rsid w:val="001464CD"/>
    <w:rsid w:val="00150293"/>
    <w:rsid w:val="001502AD"/>
    <w:rsid w:val="001509C0"/>
    <w:rsid w:val="00151431"/>
    <w:rsid w:val="00154F75"/>
    <w:rsid w:val="00155CC6"/>
    <w:rsid w:val="00155F53"/>
    <w:rsid w:val="001568D5"/>
    <w:rsid w:val="001624E8"/>
    <w:rsid w:val="0016322B"/>
    <w:rsid w:val="0016339A"/>
    <w:rsid w:val="00165898"/>
    <w:rsid w:val="00165A99"/>
    <w:rsid w:val="001751BB"/>
    <w:rsid w:val="0017523B"/>
    <w:rsid w:val="00175B42"/>
    <w:rsid w:val="00176522"/>
    <w:rsid w:val="00177233"/>
    <w:rsid w:val="00180E18"/>
    <w:rsid w:val="00181A9D"/>
    <w:rsid w:val="00182FC0"/>
    <w:rsid w:val="00184AEA"/>
    <w:rsid w:val="00185222"/>
    <w:rsid w:val="00185C61"/>
    <w:rsid w:val="00192D02"/>
    <w:rsid w:val="001957E6"/>
    <w:rsid w:val="00195845"/>
    <w:rsid w:val="0019584A"/>
    <w:rsid w:val="001960AD"/>
    <w:rsid w:val="001A057E"/>
    <w:rsid w:val="001A0AFD"/>
    <w:rsid w:val="001A0E96"/>
    <w:rsid w:val="001A1BDB"/>
    <w:rsid w:val="001A316F"/>
    <w:rsid w:val="001A3C5F"/>
    <w:rsid w:val="001A4BDF"/>
    <w:rsid w:val="001A6849"/>
    <w:rsid w:val="001A773B"/>
    <w:rsid w:val="001A78AA"/>
    <w:rsid w:val="001B00F7"/>
    <w:rsid w:val="001B3FD2"/>
    <w:rsid w:val="001B6C2D"/>
    <w:rsid w:val="001B6D74"/>
    <w:rsid w:val="001C087E"/>
    <w:rsid w:val="001C0F32"/>
    <w:rsid w:val="001C2C72"/>
    <w:rsid w:val="001C3387"/>
    <w:rsid w:val="001C438D"/>
    <w:rsid w:val="001C4B27"/>
    <w:rsid w:val="001C54A1"/>
    <w:rsid w:val="001C7697"/>
    <w:rsid w:val="001D1B77"/>
    <w:rsid w:val="001D3563"/>
    <w:rsid w:val="001D3EE2"/>
    <w:rsid w:val="001D6CA8"/>
    <w:rsid w:val="001E1497"/>
    <w:rsid w:val="001E2186"/>
    <w:rsid w:val="001E5453"/>
    <w:rsid w:val="001E678B"/>
    <w:rsid w:val="001E7937"/>
    <w:rsid w:val="001F408E"/>
    <w:rsid w:val="001F4860"/>
    <w:rsid w:val="001F4EDD"/>
    <w:rsid w:val="001F57CD"/>
    <w:rsid w:val="001F5E58"/>
    <w:rsid w:val="001F7890"/>
    <w:rsid w:val="00201765"/>
    <w:rsid w:val="00205FAC"/>
    <w:rsid w:val="00207E11"/>
    <w:rsid w:val="00210714"/>
    <w:rsid w:val="0021327B"/>
    <w:rsid w:val="002155ED"/>
    <w:rsid w:val="0021627B"/>
    <w:rsid w:val="00216D13"/>
    <w:rsid w:val="00217729"/>
    <w:rsid w:val="00224FEA"/>
    <w:rsid w:val="00227DBC"/>
    <w:rsid w:val="0023118D"/>
    <w:rsid w:val="00232621"/>
    <w:rsid w:val="0023293E"/>
    <w:rsid w:val="00232A7A"/>
    <w:rsid w:val="00232DA5"/>
    <w:rsid w:val="00234061"/>
    <w:rsid w:val="0023573F"/>
    <w:rsid w:val="00236B9A"/>
    <w:rsid w:val="00240046"/>
    <w:rsid w:val="002432E1"/>
    <w:rsid w:val="00245AC1"/>
    <w:rsid w:val="002547B2"/>
    <w:rsid w:val="0025565C"/>
    <w:rsid w:val="00256CE0"/>
    <w:rsid w:val="0026506A"/>
    <w:rsid w:val="00270F03"/>
    <w:rsid w:val="002710B5"/>
    <w:rsid w:val="002729A0"/>
    <w:rsid w:val="00273F5F"/>
    <w:rsid w:val="00273F7C"/>
    <w:rsid w:val="00274D33"/>
    <w:rsid w:val="0027555F"/>
    <w:rsid w:val="00275719"/>
    <w:rsid w:val="00277F18"/>
    <w:rsid w:val="00280398"/>
    <w:rsid w:val="00280B50"/>
    <w:rsid w:val="00282431"/>
    <w:rsid w:val="00283D5E"/>
    <w:rsid w:val="00284245"/>
    <w:rsid w:val="00285034"/>
    <w:rsid w:val="00286511"/>
    <w:rsid w:val="0029133B"/>
    <w:rsid w:val="002913C5"/>
    <w:rsid w:val="0029208D"/>
    <w:rsid w:val="0029225E"/>
    <w:rsid w:val="00293F85"/>
    <w:rsid w:val="00294227"/>
    <w:rsid w:val="0029482F"/>
    <w:rsid w:val="00294892"/>
    <w:rsid w:val="00296626"/>
    <w:rsid w:val="002967DD"/>
    <w:rsid w:val="00296E92"/>
    <w:rsid w:val="00297212"/>
    <w:rsid w:val="002A51B8"/>
    <w:rsid w:val="002A5ADD"/>
    <w:rsid w:val="002A5FDF"/>
    <w:rsid w:val="002A6FCE"/>
    <w:rsid w:val="002A7501"/>
    <w:rsid w:val="002B0EA1"/>
    <w:rsid w:val="002B23E2"/>
    <w:rsid w:val="002B317E"/>
    <w:rsid w:val="002B40FF"/>
    <w:rsid w:val="002B7549"/>
    <w:rsid w:val="002C0E65"/>
    <w:rsid w:val="002C1DAF"/>
    <w:rsid w:val="002C26CD"/>
    <w:rsid w:val="002C4718"/>
    <w:rsid w:val="002C6010"/>
    <w:rsid w:val="002C6052"/>
    <w:rsid w:val="002C7329"/>
    <w:rsid w:val="002C7EC4"/>
    <w:rsid w:val="002D1002"/>
    <w:rsid w:val="002D2F05"/>
    <w:rsid w:val="002D4953"/>
    <w:rsid w:val="002D5CCE"/>
    <w:rsid w:val="002E1484"/>
    <w:rsid w:val="002E40AD"/>
    <w:rsid w:val="002E416D"/>
    <w:rsid w:val="002E72F0"/>
    <w:rsid w:val="002F368E"/>
    <w:rsid w:val="002F3AAF"/>
    <w:rsid w:val="002F40FF"/>
    <w:rsid w:val="002F5101"/>
    <w:rsid w:val="002F713F"/>
    <w:rsid w:val="00300919"/>
    <w:rsid w:val="00302BF3"/>
    <w:rsid w:val="00303F92"/>
    <w:rsid w:val="00310322"/>
    <w:rsid w:val="00310825"/>
    <w:rsid w:val="00312106"/>
    <w:rsid w:val="003135FD"/>
    <w:rsid w:val="00314FA0"/>
    <w:rsid w:val="00315AE3"/>
    <w:rsid w:val="00315CA2"/>
    <w:rsid w:val="00316A7B"/>
    <w:rsid w:val="00324F09"/>
    <w:rsid w:val="00327392"/>
    <w:rsid w:val="0033070B"/>
    <w:rsid w:val="00331513"/>
    <w:rsid w:val="0033166F"/>
    <w:rsid w:val="00332896"/>
    <w:rsid w:val="00332F99"/>
    <w:rsid w:val="0033489F"/>
    <w:rsid w:val="0033491A"/>
    <w:rsid w:val="00337638"/>
    <w:rsid w:val="00340ADD"/>
    <w:rsid w:val="00341178"/>
    <w:rsid w:val="00341309"/>
    <w:rsid w:val="00341B42"/>
    <w:rsid w:val="00344766"/>
    <w:rsid w:val="00344AD3"/>
    <w:rsid w:val="00345687"/>
    <w:rsid w:val="00345708"/>
    <w:rsid w:val="003467CD"/>
    <w:rsid w:val="003505D0"/>
    <w:rsid w:val="0036188D"/>
    <w:rsid w:val="00362A50"/>
    <w:rsid w:val="00366CFB"/>
    <w:rsid w:val="00370D27"/>
    <w:rsid w:val="0037172A"/>
    <w:rsid w:val="0037526D"/>
    <w:rsid w:val="003754BA"/>
    <w:rsid w:val="003766B4"/>
    <w:rsid w:val="00377AC5"/>
    <w:rsid w:val="00383184"/>
    <w:rsid w:val="003839F9"/>
    <w:rsid w:val="003856ED"/>
    <w:rsid w:val="00386A48"/>
    <w:rsid w:val="00387CF3"/>
    <w:rsid w:val="00392022"/>
    <w:rsid w:val="0039214E"/>
    <w:rsid w:val="0039256B"/>
    <w:rsid w:val="00394BDB"/>
    <w:rsid w:val="003A0547"/>
    <w:rsid w:val="003A0B24"/>
    <w:rsid w:val="003A3A32"/>
    <w:rsid w:val="003A4F3A"/>
    <w:rsid w:val="003A51A5"/>
    <w:rsid w:val="003A59A6"/>
    <w:rsid w:val="003A6D5C"/>
    <w:rsid w:val="003A7ED9"/>
    <w:rsid w:val="003B10FB"/>
    <w:rsid w:val="003B1752"/>
    <w:rsid w:val="003B3474"/>
    <w:rsid w:val="003B5164"/>
    <w:rsid w:val="003B595A"/>
    <w:rsid w:val="003D0AE2"/>
    <w:rsid w:val="003D115B"/>
    <w:rsid w:val="003D2513"/>
    <w:rsid w:val="003D3477"/>
    <w:rsid w:val="003D5450"/>
    <w:rsid w:val="003D6552"/>
    <w:rsid w:val="003E13A1"/>
    <w:rsid w:val="003E2955"/>
    <w:rsid w:val="003E44DA"/>
    <w:rsid w:val="003E468A"/>
    <w:rsid w:val="003E6E17"/>
    <w:rsid w:val="003F2491"/>
    <w:rsid w:val="003F308A"/>
    <w:rsid w:val="003F5D5C"/>
    <w:rsid w:val="003F6192"/>
    <w:rsid w:val="003F65B5"/>
    <w:rsid w:val="003F6A76"/>
    <w:rsid w:val="00400915"/>
    <w:rsid w:val="00403319"/>
    <w:rsid w:val="00406793"/>
    <w:rsid w:val="00407DB3"/>
    <w:rsid w:val="00411F8F"/>
    <w:rsid w:val="00413652"/>
    <w:rsid w:val="00414020"/>
    <w:rsid w:val="0041428D"/>
    <w:rsid w:val="004176BF"/>
    <w:rsid w:val="004204D0"/>
    <w:rsid w:val="00420AC4"/>
    <w:rsid w:val="004232C6"/>
    <w:rsid w:val="00426124"/>
    <w:rsid w:val="00433E65"/>
    <w:rsid w:val="00434628"/>
    <w:rsid w:val="00434C3F"/>
    <w:rsid w:val="00444E7F"/>
    <w:rsid w:val="00445514"/>
    <w:rsid w:val="00445853"/>
    <w:rsid w:val="00447748"/>
    <w:rsid w:val="00447A90"/>
    <w:rsid w:val="0045354B"/>
    <w:rsid w:val="00453687"/>
    <w:rsid w:val="004558BD"/>
    <w:rsid w:val="00460C5B"/>
    <w:rsid w:val="0046281E"/>
    <w:rsid w:val="004664F1"/>
    <w:rsid w:val="004728C4"/>
    <w:rsid w:val="00473C7A"/>
    <w:rsid w:val="00474C35"/>
    <w:rsid w:val="004750A1"/>
    <w:rsid w:val="004769A4"/>
    <w:rsid w:val="004774B5"/>
    <w:rsid w:val="00480212"/>
    <w:rsid w:val="00480D99"/>
    <w:rsid w:val="00483EC9"/>
    <w:rsid w:val="004841AE"/>
    <w:rsid w:val="00484C7F"/>
    <w:rsid w:val="00485194"/>
    <w:rsid w:val="0049095E"/>
    <w:rsid w:val="004933FC"/>
    <w:rsid w:val="004A6D54"/>
    <w:rsid w:val="004B0090"/>
    <w:rsid w:val="004B05C6"/>
    <w:rsid w:val="004B1A74"/>
    <w:rsid w:val="004B3514"/>
    <w:rsid w:val="004B3867"/>
    <w:rsid w:val="004B6719"/>
    <w:rsid w:val="004B7BAA"/>
    <w:rsid w:val="004C0799"/>
    <w:rsid w:val="004C09C8"/>
    <w:rsid w:val="004C3C1C"/>
    <w:rsid w:val="004C43C9"/>
    <w:rsid w:val="004C45FA"/>
    <w:rsid w:val="004C4707"/>
    <w:rsid w:val="004C6779"/>
    <w:rsid w:val="004C7D54"/>
    <w:rsid w:val="004D0CC4"/>
    <w:rsid w:val="004D4AA9"/>
    <w:rsid w:val="004D5A03"/>
    <w:rsid w:val="004D6095"/>
    <w:rsid w:val="004D66AD"/>
    <w:rsid w:val="004E07A1"/>
    <w:rsid w:val="004E1729"/>
    <w:rsid w:val="004E173C"/>
    <w:rsid w:val="004E1B3C"/>
    <w:rsid w:val="004E3959"/>
    <w:rsid w:val="004E3F86"/>
    <w:rsid w:val="004E4839"/>
    <w:rsid w:val="004E4AD1"/>
    <w:rsid w:val="004E5659"/>
    <w:rsid w:val="004E77E1"/>
    <w:rsid w:val="004F0AB7"/>
    <w:rsid w:val="004F3291"/>
    <w:rsid w:val="004F32D0"/>
    <w:rsid w:val="004F6671"/>
    <w:rsid w:val="004F78C4"/>
    <w:rsid w:val="00500E29"/>
    <w:rsid w:val="005025C7"/>
    <w:rsid w:val="00504B42"/>
    <w:rsid w:val="0050545E"/>
    <w:rsid w:val="00510870"/>
    <w:rsid w:val="00513D8C"/>
    <w:rsid w:val="005159EC"/>
    <w:rsid w:val="00515E8C"/>
    <w:rsid w:val="00516A4D"/>
    <w:rsid w:val="00516F03"/>
    <w:rsid w:val="005179FE"/>
    <w:rsid w:val="00521628"/>
    <w:rsid w:val="00523D75"/>
    <w:rsid w:val="005263F7"/>
    <w:rsid w:val="0052661E"/>
    <w:rsid w:val="00526627"/>
    <w:rsid w:val="00531016"/>
    <w:rsid w:val="00532218"/>
    <w:rsid w:val="00533D56"/>
    <w:rsid w:val="00535912"/>
    <w:rsid w:val="005367E7"/>
    <w:rsid w:val="00537374"/>
    <w:rsid w:val="00541BB0"/>
    <w:rsid w:val="00542CDB"/>
    <w:rsid w:val="005449D0"/>
    <w:rsid w:val="00550ECE"/>
    <w:rsid w:val="005515F8"/>
    <w:rsid w:val="00553B9B"/>
    <w:rsid w:val="005543AF"/>
    <w:rsid w:val="00554BD4"/>
    <w:rsid w:val="0055603D"/>
    <w:rsid w:val="00562117"/>
    <w:rsid w:val="0056402C"/>
    <w:rsid w:val="00564DDB"/>
    <w:rsid w:val="00565921"/>
    <w:rsid w:val="005660D0"/>
    <w:rsid w:val="00566380"/>
    <w:rsid w:val="005701EF"/>
    <w:rsid w:val="00571527"/>
    <w:rsid w:val="005727FC"/>
    <w:rsid w:val="0057285B"/>
    <w:rsid w:val="00572C2A"/>
    <w:rsid w:val="00572F6A"/>
    <w:rsid w:val="00573B96"/>
    <w:rsid w:val="00574D31"/>
    <w:rsid w:val="0057666D"/>
    <w:rsid w:val="005807A8"/>
    <w:rsid w:val="00580D15"/>
    <w:rsid w:val="00584C51"/>
    <w:rsid w:val="00587B1E"/>
    <w:rsid w:val="00587E84"/>
    <w:rsid w:val="005964D7"/>
    <w:rsid w:val="00596D61"/>
    <w:rsid w:val="00597018"/>
    <w:rsid w:val="005A0521"/>
    <w:rsid w:val="005A2F92"/>
    <w:rsid w:val="005A43E8"/>
    <w:rsid w:val="005A4480"/>
    <w:rsid w:val="005A7E33"/>
    <w:rsid w:val="005B10CC"/>
    <w:rsid w:val="005B1679"/>
    <w:rsid w:val="005B52A0"/>
    <w:rsid w:val="005B6FFD"/>
    <w:rsid w:val="005B72D5"/>
    <w:rsid w:val="005C26E4"/>
    <w:rsid w:val="005C3DF3"/>
    <w:rsid w:val="005C5501"/>
    <w:rsid w:val="005C7AFE"/>
    <w:rsid w:val="005D01B4"/>
    <w:rsid w:val="005D10B3"/>
    <w:rsid w:val="005D158D"/>
    <w:rsid w:val="005D3A5F"/>
    <w:rsid w:val="005D571C"/>
    <w:rsid w:val="005D6CE0"/>
    <w:rsid w:val="005D742D"/>
    <w:rsid w:val="005E1AEC"/>
    <w:rsid w:val="005E21DE"/>
    <w:rsid w:val="005E24C2"/>
    <w:rsid w:val="005E2A0D"/>
    <w:rsid w:val="005E34E9"/>
    <w:rsid w:val="005E35AB"/>
    <w:rsid w:val="005F1439"/>
    <w:rsid w:val="005F21B0"/>
    <w:rsid w:val="005F4D3D"/>
    <w:rsid w:val="005F5B10"/>
    <w:rsid w:val="0060244C"/>
    <w:rsid w:val="00602636"/>
    <w:rsid w:val="006077C8"/>
    <w:rsid w:val="006107CB"/>
    <w:rsid w:val="00610A95"/>
    <w:rsid w:val="00613081"/>
    <w:rsid w:val="00613401"/>
    <w:rsid w:val="0061516D"/>
    <w:rsid w:val="00615B10"/>
    <w:rsid w:val="006168EB"/>
    <w:rsid w:val="00616DEB"/>
    <w:rsid w:val="006175B7"/>
    <w:rsid w:val="00620DE2"/>
    <w:rsid w:val="00623121"/>
    <w:rsid w:val="00624E9E"/>
    <w:rsid w:val="00625A95"/>
    <w:rsid w:val="006263D3"/>
    <w:rsid w:val="0062694E"/>
    <w:rsid w:val="00630030"/>
    <w:rsid w:val="00630426"/>
    <w:rsid w:val="00632DF3"/>
    <w:rsid w:val="0063593C"/>
    <w:rsid w:val="00635C2F"/>
    <w:rsid w:val="00636EB3"/>
    <w:rsid w:val="0063788D"/>
    <w:rsid w:val="00637F6F"/>
    <w:rsid w:val="00640B7A"/>
    <w:rsid w:val="00640E61"/>
    <w:rsid w:val="00642A8B"/>
    <w:rsid w:val="006444C8"/>
    <w:rsid w:val="006468ED"/>
    <w:rsid w:val="006512F6"/>
    <w:rsid w:val="00653B0F"/>
    <w:rsid w:val="0065599C"/>
    <w:rsid w:val="00656E3B"/>
    <w:rsid w:val="006609B3"/>
    <w:rsid w:val="0066148E"/>
    <w:rsid w:val="00661B3F"/>
    <w:rsid w:val="00665A8F"/>
    <w:rsid w:val="00667860"/>
    <w:rsid w:val="0067157E"/>
    <w:rsid w:val="00675D66"/>
    <w:rsid w:val="00676D1D"/>
    <w:rsid w:val="00680D15"/>
    <w:rsid w:val="006818D9"/>
    <w:rsid w:val="00681B66"/>
    <w:rsid w:val="006834AD"/>
    <w:rsid w:val="006838C7"/>
    <w:rsid w:val="006838E9"/>
    <w:rsid w:val="0068643A"/>
    <w:rsid w:val="00690135"/>
    <w:rsid w:val="00690405"/>
    <w:rsid w:val="00690944"/>
    <w:rsid w:val="006914D2"/>
    <w:rsid w:val="00691C06"/>
    <w:rsid w:val="00693E25"/>
    <w:rsid w:val="0069448A"/>
    <w:rsid w:val="00696FD6"/>
    <w:rsid w:val="006A4224"/>
    <w:rsid w:val="006A585F"/>
    <w:rsid w:val="006A7CE2"/>
    <w:rsid w:val="006A7E3C"/>
    <w:rsid w:val="006B113B"/>
    <w:rsid w:val="006B4CA4"/>
    <w:rsid w:val="006B55E7"/>
    <w:rsid w:val="006B643B"/>
    <w:rsid w:val="006B6498"/>
    <w:rsid w:val="006B64AA"/>
    <w:rsid w:val="006B7074"/>
    <w:rsid w:val="006B7FFC"/>
    <w:rsid w:val="006C410C"/>
    <w:rsid w:val="006C47BC"/>
    <w:rsid w:val="006C52D3"/>
    <w:rsid w:val="006C55C2"/>
    <w:rsid w:val="006C6C41"/>
    <w:rsid w:val="006C6FF6"/>
    <w:rsid w:val="006D1EC8"/>
    <w:rsid w:val="006D3F59"/>
    <w:rsid w:val="006D6830"/>
    <w:rsid w:val="006D719C"/>
    <w:rsid w:val="006D7DF3"/>
    <w:rsid w:val="006E15A2"/>
    <w:rsid w:val="006E20F9"/>
    <w:rsid w:val="006E4D58"/>
    <w:rsid w:val="006E6076"/>
    <w:rsid w:val="006F0222"/>
    <w:rsid w:val="006F04A3"/>
    <w:rsid w:val="006F114C"/>
    <w:rsid w:val="006F1A99"/>
    <w:rsid w:val="00700C90"/>
    <w:rsid w:val="00704693"/>
    <w:rsid w:val="00704AB9"/>
    <w:rsid w:val="007054D8"/>
    <w:rsid w:val="00706D47"/>
    <w:rsid w:val="00711791"/>
    <w:rsid w:val="007130D2"/>
    <w:rsid w:val="007130DA"/>
    <w:rsid w:val="00713BA7"/>
    <w:rsid w:val="00715013"/>
    <w:rsid w:val="0071601C"/>
    <w:rsid w:val="00717040"/>
    <w:rsid w:val="00717CE4"/>
    <w:rsid w:val="00720D8F"/>
    <w:rsid w:val="0072149D"/>
    <w:rsid w:val="007214D9"/>
    <w:rsid w:val="00723C6D"/>
    <w:rsid w:val="0072514D"/>
    <w:rsid w:val="00725C5A"/>
    <w:rsid w:val="007263E6"/>
    <w:rsid w:val="007264EA"/>
    <w:rsid w:val="00732AB3"/>
    <w:rsid w:val="00732F6F"/>
    <w:rsid w:val="007332CF"/>
    <w:rsid w:val="00735DE9"/>
    <w:rsid w:val="00736F47"/>
    <w:rsid w:val="00737D20"/>
    <w:rsid w:val="00740DFE"/>
    <w:rsid w:val="007410C2"/>
    <w:rsid w:val="00746DD6"/>
    <w:rsid w:val="00752886"/>
    <w:rsid w:val="00753ACF"/>
    <w:rsid w:val="007550BD"/>
    <w:rsid w:val="00755E42"/>
    <w:rsid w:val="0075799A"/>
    <w:rsid w:val="0076064B"/>
    <w:rsid w:val="00761C38"/>
    <w:rsid w:val="00761EE8"/>
    <w:rsid w:val="00762053"/>
    <w:rsid w:val="00762151"/>
    <w:rsid w:val="0076215F"/>
    <w:rsid w:val="00762D4B"/>
    <w:rsid w:val="007632C5"/>
    <w:rsid w:val="00763A37"/>
    <w:rsid w:val="00764010"/>
    <w:rsid w:val="00764368"/>
    <w:rsid w:val="00764B5B"/>
    <w:rsid w:val="00766A73"/>
    <w:rsid w:val="00766F19"/>
    <w:rsid w:val="00772B65"/>
    <w:rsid w:val="0077455A"/>
    <w:rsid w:val="00777372"/>
    <w:rsid w:val="00777527"/>
    <w:rsid w:val="0078020D"/>
    <w:rsid w:val="00781849"/>
    <w:rsid w:val="00781B6F"/>
    <w:rsid w:val="00782890"/>
    <w:rsid w:val="007833CB"/>
    <w:rsid w:val="00783B56"/>
    <w:rsid w:val="00791490"/>
    <w:rsid w:val="007915C7"/>
    <w:rsid w:val="00791C7A"/>
    <w:rsid w:val="00791D59"/>
    <w:rsid w:val="00792D4C"/>
    <w:rsid w:val="007938AE"/>
    <w:rsid w:val="00793B7C"/>
    <w:rsid w:val="00793E70"/>
    <w:rsid w:val="007A0385"/>
    <w:rsid w:val="007A19E0"/>
    <w:rsid w:val="007A1AB6"/>
    <w:rsid w:val="007A20A8"/>
    <w:rsid w:val="007A23F8"/>
    <w:rsid w:val="007A2D52"/>
    <w:rsid w:val="007A391E"/>
    <w:rsid w:val="007A550A"/>
    <w:rsid w:val="007A5B2E"/>
    <w:rsid w:val="007B4416"/>
    <w:rsid w:val="007B46BF"/>
    <w:rsid w:val="007B675B"/>
    <w:rsid w:val="007B6E59"/>
    <w:rsid w:val="007C05DC"/>
    <w:rsid w:val="007C0FF7"/>
    <w:rsid w:val="007C14EE"/>
    <w:rsid w:val="007C3BA4"/>
    <w:rsid w:val="007D07B3"/>
    <w:rsid w:val="007D1739"/>
    <w:rsid w:val="007D1B1E"/>
    <w:rsid w:val="007D4712"/>
    <w:rsid w:val="007E197B"/>
    <w:rsid w:val="007E3C2E"/>
    <w:rsid w:val="007E781F"/>
    <w:rsid w:val="007F1538"/>
    <w:rsid w:val="007F3D8B"/>
    <w:rsid w:val="007F5BB9"/>
    <w:rsid w:val="007F5C41"/>
    <w:rsid w:val="007F5E4F"/>
    <w:rsid w:val="007F7273"/>
    <w:rsid w:val="007F7965"/>
    <w:rsid w:val="00800EF1"/>
    <w:rsid w:val="008017D6"/>
    <w:rsid w:val="0080185B"/>
    <w:rsid w:val="00802AC9"/>
    <w:rsid w:val="00810E97"/>
    <w:rsid w:val="008110E0"/>
    <w:rsid w:val="0081123B"/>
    <w:rsid w:val="00813435"/>
    <w:rsid w:val="00816C5A"/>
    <w:rsid w:val="00816C9B"/>
    <w:rsid w:val="00817678"/>
    <w:rsid w:val="0082049D"/>
    <w:rsid w:val="008217BC"/>
    <w:rsid w:val="00822BA1"/>
    <w:rsid w:val="00824E58"/>
    <w:rsid w:val="0082782F"/>
    <w:rsid w:val="00827FC3"/>
    <w:rsid w:val="00831D6C"/>
    <w:rsid w:val="00832F6C"/>
    <w:rsid w:val="00833E3C"/>
    <w:rsid w:val="008341ED"/>
    <w:rsid w:val="00835E1B"/>
    <w:rsid w:val="00837534"/>
    <w:rsid w:val="00841673"/>
    <w:rsid w:val="00841963"/>
    <w:rsid w:val="00845B52"/>
    <w:rsid w:val="008477B9"/>
    <w:rsid w:val="00852364"/>
    <w:rsid w:val="008523FA"/>
    <w:rsid w:val="008529E6"/>
    <w:rsid w:val="00852CDD"/>
    <w:rsid w:val="00853474"/>
    <w:rsid w:val="00855E11"/>
    <w:rsid w:val="008575E1"/>
    <w:rsid w:val="00863328"/>
    <w:rsid w:val="00864D6E"/>
    <w:rsid w:val="008659A2"/>
    <w:rsid w:val="0086690B"/>
    <w:rsid w:val="008710F8"/>
    <w:rsid w:val="00871B94"/>
    <w:rsid w:val="008755C2"/>
    <w:rsid w:val="008803B7"/>
    <w:rsid w:val="00881947"/>
    <w:rsid w:val="00881D64"/>
    <w:rsid w:val="00882C01"/>
    <w:rsid w:val="00882E02"/>
    <w:rsid w:val="008841DB"/>
    <w:rsid w:val="008853EC"/>
    <w:rsid w:val="00891CFC"/>
    <w:rsid w:val="008921AE"/>
    <w:rsid w:val="00895187"/>
    <w:rsid w:val="0089565C"/>
    <w:rsid w:val="00895BD3"/>
    <w:rsid w:val="00896EDC"/>
    <w:rsid w:val="008A0C9F"/>
    <w:rsid w:val="008A14F6"/>
    <w:rsid w:val="008A1645"/>
    <w:rsid w:val="008A3E6F"/>
    <w:rsid w:val="008A7EF2"/>
    <w:rsid w:val="008B02EA"/>
    <w:rsid w:val="008B0DFB"/>
    <w:rsid w:val="008B6842"/>
    <w:rsid w:val="008B70C4"/>
    <w:rsid w:val="008B7F11"/>
    <w:rsid w:val="008C18C1"/>
    <w:rsid w:val="008C1D60"/>
    <w:rsid w:val="008C3DC2"/>
    <w:rsid w:val="008C442E"/>
    <w:rsid w:val="008C4943"/>
    <w:rsid w:val="008C5658"/>
    <w:rsid w:val="008D01A5"/>
    <w:rsid w:val="008D344B"/>
    <w:rsid w:val="008D346A"/>
    <w:rsid w:val="008D370B"/>
    <w:rsid w:val="008D41FC"/>
    <w:rsid w:val="008D4ED9"/>
    <w:rsid w:val="008D6B04"/>
    <w:rsid w:val="008E2654"/>
    <w:rsid w:val="008F1C22"/>
    <w:rsid w:val="008F2554"/>
    <w:rsid w:val="008F47DC"/>
    <w:rsid w:val="00900C29"/>
    <w:rsid w:val="009025FB"/>
    <w:rsid w:val="009029DB"/>
    <w:rsid w:val="009064CF"/>
    <w:rsid w:val="00913003"/>
    <w:rsid w:val="00914986"/>
    <w:rsid w:val="00914DFE"/>
    <w:rsid w:val="0091614B"/>
    <w:rsid w:val="00916655"/>
    <w:rsid w:val="00917C6C"/>
    <w:rsid w:val="0092131F"/>
    <w:rsid w:val="00925583"/>
    <w:rsid w:val="00926716"/>
    <w:rsid w:val="00932A0B"/>
    <w:rsid w:val="00932A82"/>
    <w:rsid w:val="00933540"/>
    <w:rsid w:val="00933E6E"/>
    <w:rsid w:val="00934877"/>
    <w:rsid w:val="00935439"/>
    <w:rsid w:val="009357D5"/>
    <w:rsid w:val="009358C4"/>
    <w:rsid w:val="00935CD9"/>
    <w:rsid w:val="0093773A"/>
    <w:rsid w:val="00941D0E"/>
    <w:rsid w:val="00946522"/>
    <w:rsid w:val="00946796"/>
    <w:rsid w:val="0095183B"/>
    <w:rsid w:val="0095204C"/>
    <w:rsid w:val="009520FE"/>
    <w:rsid w:val="00953424"/>
    <w:rsid w:val="00953B51"/>
    <w:rsid w:val="00953B7B"/>
    <w:rsid w:val="009558AA"/>
    <w:rsid w:val="009603E5"/>
    <w:rsid w:val="0096071A"/>
    <w:rsid w:val="00960C91"/>
    <w:rsid w:val="00961AEB"/>
    <w:rsid w:val="00961B6D"/>
    <w:rsid w:val="00962876"/>
    <w:rsid w:val="00963717"/>
    <w:rsid w:val="00965CC4"/>
    <w:rsid w:val="0096624D"/>
    <w:rsid w:val="00970B7F"/>
    <w:rsid w:val="00970C38"/>
    <w:rsid w:val="00971614"/>
    <w:rsid w:val="00972340"/>
    <w:rsid w:val="009752FA"/>
    <w:rsid w:val="00977693"/>
    <w:rsid w:val="00977B6A"/>
    <w:rsid w:val="00982494"/>
    <w:rsid w:val="009845F3"/>
    <w:rsid w:val="009855A6"/>
    <w:rsid w:val="00990935"/>
    <w:rsid w:val="00990AFD"/>
    <w:rsid w:val="00996257"/>
    <w:rsid w:val="00996BCA"/>
    <w:rsid w:val="009A216A"/>
    <w:rsid w:val="009A35C9"/>
    <w:rsid w:val="009A3604"/>
    <w:rsid w:val="009A473C"/>
    <w:rsid w:val="009A631A"/>
    <w:rsid w:val="009A640D"/>
    <w:rsid w:val="009A7F00"/>
    <w:rsid w:val="009B0AB2"/>
    <w:rsid w:val="009B1548"/>
    <w:rsid w:val="009B3A1D"/>
    <w:rsid w:val="009B41F0"/>
    <w:rsid w:val="009B54A0"/>
    <w:rsid w:val="009B7FFD"/>
    <w:rsid w:val="009C0905"/>
    <w:rsid w:val="009C4284"/>
    <w:rsid w:val="009C539B"/>
    <w:rsid w:val="009C5DC4"/>
    <w:rsid w:val="009C61A3"/>
    <w:rsid w:val="009C6B84"/>
    <w:rsid w:val="009C6D05"/>
    <w:rsid w:val="009D0BC2"/>
    <w:rsid w:val="009D0E1F"/>
    <w:rsid w:val="009D5A24"/>
    <w:rsid w:val="009D5B2E"/>
    <w:rsid w:val="009D636F"/>
    <w:rsid w:val="009D7D83"/>
    <w:rsid w:val="009E19CB"/>
    <w:rsid w:val="009E426E"/>
    <w:rsid w:val="009E439C"/>
    <w:rsid w:val="009E620D"/>
    <w:rsid w:val="009E7CAF"/>
    <w:rsid w:val="009E7F49"/>
    <w:rsid w:val="009F0B98"/>
    <w:rsid w:val="009F4BE1"/>
    <w:rsid w:val="00A004D3"/>
    <w:rsid w:val="00A00B48"/>
    <w:rsid w:val="00A01227"/>
    <w:rsid w:val="00A13413"/>
    <w:rsid w:val="00A14320"/>
    <w:rsid w:val="00A151A5"/>
    <w:rsid w:val="00A15263"/>
    <w:rsid w:val="00A15E74"/>
    <w:rsid w:val="00A164FB"/>
    <w:rsid w:val="00A175E5"/>
    <w:rsid w:val="00A17EA1"/>
    <w:rsid w:val="00A24F60"/>
    <w:rsid w:val="00A254EA"/>
    <w:rsid w:val="00A27D07"/>
    <w:rsid w:val="00A27FC9"/>
    <w:rsid w:val="00A30DB1"/>
    <w:rsid w:val="00A31101"/>
    <w:rsid w:val="00A34451"/>
    <w:rsid w:val="00A35D0A"/>
    <w:rsid w:val="00A42629"/>
    <w:rsid w:val="00A43D39"/>
    <w:rsid w:val="00A4524B"/>
    <w:rsid w:val="00A45454"/>
    <w:rsid w:val="00A4637B"/>
    <w:rsid w:val="00A476D0"/>
    <w:rsid w:val="00A50EE4"/>
    <w:rsid w:val="00A53511"/>
    <w:rsid w:val="00A541FE"/>
    <w:rsid w:val="00A5495E"/>
    <w:rsid w:val="00A60841"/>
    <w:rsid w:val="00A60A01"/>
    <w:rsid w:val="00A63700"/>
    <w:rsid w:val="00A65A26"/>
    <w:rsid w:val="00A67625"/>
    <w:rsid w:val="00A67EF4"/>
    <w:rsid w:val="00A7034D"/>
    <w:rsid w:val="00A73EF9"/>
    <w:rsid w:val="00A74322"/>
    <w:rsid w:val="00A765C7"/>
    <w:rsid w:val="00A801D9"/>
    <w:rsid w:val="00A80BB6"/>
    <w:rsid w:val="00A80C68"/>
    <w:rsid w:val="00A8190F"/>
    <w:rsid w:val="00A8365E"/>
    <w:rsid w:val="00A85106"/>
    <w:rsid w:val="00A855BE"/>
    <w:rsid w:val="00A86406"/>
    <w:rsid w:val="00A87937"/>
    <w:rsid w:val="00A9014B"/>
    <w:rsid w:val="00A90A87"/>
    <w:rsid w:val="00A915AB"/>
    <w:rsid w:val="00A9222E"/>
    <w:rsid w:val="00A92DD2"/>
    <w:rsid w:val="00A93911"/>
    <w:rsid w:val="00A939FA"/>
    <w:rsid w:val="00A93EFE"/>
    <w:rsid w:val="00A9454C"/>
    <w:rsid w:val="00A94751"/>
    <w:rsid w:val="00A95B2A"/>
    <w:rsid w:val="00AA1BBB"/>
    <w:rsid w:val="00AA24D2"/>
    <w:rsid w:val="00AA4666"/>
    <w:rsid w:val="00AA4C56"/>
    <w:rsid w:val="00AA580E"/>
    <w:rsid w:val="00AA7316"/>
    <w:rsid w:val="00AA78CE"/>
    <w:rsid w:val="00AB0C12"/>
    <w:rsid w:val="00AB0FA7"/>
    <w:rsid w:val="00AB26D5"/>
    <w:rsid w:val="00AB289D"/>
    <w:rsid w:val="00AB3885"/>
    <w:rsid w:val="00AB5F3B"/>
    <w:rsid w:val="00AB72CD"/>
    <w:rsid w:val="00AC38A9"/>
    <w:rsid w:val="00AC6797"/>
    <w:rsid w:val="00AC6A7A"/>
    <w:rsid w:val="00AC6F68"/>
    <w:rsid w:val="00AD124D"/>
    <w:rsid w:val="00AD1EAE"/>
    <w:rsid w:val="00AD2280"/>
    <w:rsid w:val="00AD2C56"/>
    <w:rsid w:val="00AD4839"/>
    <w:rsid w:val="00AD4B18"/>
    <w:rsid w:val="00AD76EF"/>
    <w:rsid w:val="00AE19D1"/>
    <w:rsid w:val="00AE2666"/>
    <w:rsid w:val="00AE5D09"/>
    <w:rsid w:val="00AF4EE4"/>
    <w:rsid w:val="00B00169"/>
    <w:rsid w:val="00B0036F"/>
    <w:rsid w:val="00B00C8E"/>
    <w:rsid w:val="00B025B3"/>
    <w:rsid w:val="00B02805"/>
    <w:rsid w:val="00B02AA5"/>
    <w:rsid w:val="00B04F50"/>
    <w:rsid w:val="00B1033C"/>
    <w:rsid w:val="00B1073D"/>
    <w:rsid w:val="00B11CD7"/>
    <w:rsid w:val="00B1553A"/>
    <w:rsid w:val="00B17577"/>
    <w:rsid w:val="00B20410"/>
    <w:rsid w:val="00B21CD1"/>
    <w:rsid w:val="00B22B51"/>
    <w:rsid w:val="00B23256"/>
    <w:rsid w:val="00B244CA"/>
    <w:rsid w:val="00B24CF5"/>
    <w:rsid w:val="00B269CE"/>
    <w:rsid w:val="00B302BD"/>
    <w:rsid w:val="00B30BD3"/>
    <w:rsid w:val="00B32B21"/>
    <w:rsid w:val="00B373AA"/>
    <w:rsid w:val="00B40DF9"/>
    <w:rsid w:val="00B42083"/>
    <w:rsid w:val="00B43455"/>
    <w:rsid w:val="00B435F8"/>
    <w:rsid w:val="00B4620E"/>
    <w:rsid w:val="00B46CB0"/>
    <w:rsid w:val="00B5462A"/>
    <w:rsid w:val="00B57348"/>
    <w:rsid w:val="00B61E5E"/>
    <w:rsid w:val="00B63807"/>
    <w:rsid w:val="00B64F6D"/>
    <w:rsid w:val="00B6630B"/>
    <w:rsid w:val="00B66649"/>
    <w:rsid w:val="00B67741"/>
    <w:rsid w:val="00B67A61"/>
    <w:rsid w:val="00B71006"/>
    <w:rsid w:val="00B73176"/>
    <w:rsid w:val="00B75683"/>
    <w:rsid w:val="00B7667D"/>
    <w:rsid w:val="00B8179C"/>
    <w:rsid w:val="00B84A8A"/>
    <w:rsid w:val="00B9029F"/>
    <w:rsid w:val="00B934BE"/>
    <w:rsid w:val="00B948A1"/>
    <w:rsid w:val="00B952E1"/>
    <w:rsid w:val="00B962BB"/>
    <w:rsid w:val="00BA2861"/>
    <w:rsid w:val="00BA6707"/>
    <w:rsid w:val="00BA7C0B"/>
    <w:rsid w:val="00BB0F85"/>
    <w:rsid w:val="00BB1940"/>
    <w:rsid w:val="00BB5301"/>
    <w:rsid w:val="00BB57E8"/>
    <w:rsid w:val="00BB7349"/>
    <w:rsid w:val="00BC0196"/>
    <w:rsid w:val="00BC0367"/>
    <w:rsid w:val="00BC0CE0"/>
    <w:rsid w:val="00BC219A"/>
    <w:rsid w:val="00BC3F09"/>
    <w:rsid w:val="00BC42A8"/>
    <w:rsid w:val="00BC59DE"/>
    <w:rsid w:val="00BC66EE"/>
    <w:rsid w:val="00BC69F2"/>
    <w:rsid w:val="00BC7FFB"/>
    <w:rsid w:val="00BD034D"/>
    <w:rsid w:val="00BD5782"/>
    <w:rsid w:val="00BD780A"/>
    <w:rsid w:val="00BE0CEB"/>
    <w:rsid w:val="00BE346A"/>
    <w:rsid w:val="00BE46DF"/>
    <w:rsid w:val="00BE635E"/>
    <w:rsid w:val="00BE6364"/>
    <w:rsid w:val="00BE6D71"/>
    <w:rsid w:val="00BE718D"/>
    <w:rsid w:val="00BE7A12"/>
    <w:rsid w:val="00BE7CAE"/>
    <w:rsid w:val="00BF05E1"/>
    <w:rsid w:val="00BF3C6C"/>
    <w:rsid w:val="00BF3F31"/>
    <w:rsid w:val="00BF60AA"/>
    <w:rsid w:val="00BF6362"/>
    <w:rsid w:val="00BF7637"/>
    <w:rsid w:val="00C05127"/>
    <w:rsid w:val="00C05398"/>
    <w:rsid w:val="00C056BE"/>
    <w:rsid w:val="00C06182"/>
    <w:rsid w:val="00C06249"/>
    <w:rsid w:val="00C07B7F"/>
    <w:rsid w:val="00C07EC8"/>
    <w:rsid w:val="00C10243"/>
    <w:rsid w:val="00C13C38"/>
    <w:rsid w:val="00C1424F"/>
    <w:rsid w:val="00C14933"/>
    <w:rsid w:val="00C17B71"/>
    <w:rsid w:val="00C2027F"/>
    <w:rsid w:val="00C227A3"/>
    <w:rsid w:val="00C23082"/>
    <w:rsid w:val="00C233B3"/>
    <w:rsid w:val="00C235D5"/>
    <w:rsid w:val="00C238FB"/>
    <w:rsid w:val="00C25B3F"/>
    <w:rsid w:val="00C2627B"/>
    <w:rsid w:val="00C31B1C"/>
    <w:rsid w:val="00C32ACE"/>
    <w:rsid w:val="00C32F37"/>
    <w:rsid w:val="00C33352"/>
    <w:rsid w:val="00C34DB4"/>
    <w:rsid w:val="00C35A64"/>
    <w:rsid w:val="00C35E7C"/>
    <w:rsid w:val="00C36B0D"/>
    <w:rsid w:val="00C37EA0"/>
    <w:rsid w:val="00C409F6"/>
    <w:rsid w:val="00C40C1E"/>
    <w:rsid w:val="00C41479"/>
    <w:rsid w:val="00C439F1"/>
    <w:rsid w:val="00C536D2"/>
    <w:rsid w:val="00C54179"/>
    <w:rsid w:val="00C54558"/>
    <w:rsid w:val="00C559CD"/>
    <w:rsid w:val="00C609FC"/>
    <w:rsid w:val="00C61FEC"/>
    <w:rsid w:val="00C62B4F"/>
    <w:rsid w:val="00C65393"/>
    <w:rsid w:val="00C65918"/>
    <w:rsid w:val="00C72F35"/>
    <w:rsid w:val="00C738ED"/>
    <w:rsid w:val="00C73B1E"/>
    <w:rsid w:val="00C73ED0"/>
    <w:rsid w:val="00C74F2A"/>
    <w:rsid w:val="00C7503B"/>
    <w:rsid w:val="00C75061"/>
    <w:rsid w:val="00C76CD4"/>
    <w:rsid w:val="00C77686"/>
    <w:rsid w:val="00C80B05"/>
    <w:rsid w:val="00C81AD2"/>
    <w:rsid w:val="00C81CD7"/>
    <w:rsid w:val="00C84348"/>
    <w:rsid w:val="00C8742E"/>
    <w:rsid w:val="00C9443B"/>
    <w:rsid w:val="00C96E34"/>
    <w:rsid w:val="00C9717B"/>
    <w:rsid w:val="00C97586"/>
    <w:rsid w:val="00CA39B7"/>
    <w:rsid w:val="00CB2149"/>
    <w:rsid w:val="00CB2159"/>
    <w:rsid w:val="00CB4BBD"/>
    <w:rsid w:val="00CB5B7B"/>
    <w:rsid w:val="00CB6418"/>
    <w:rsid w:val="00CC3DCA"/>
    <w:rsid w:val="00CC4F1E"/>
    <w:rsid w:val="00CC5FBE"/>
    <w:rsid w:val="00CD19DB"/>
    <w:rsid w:val="00CD30FC"/>
    <w:rsid w:val="00CD3346"/>
    <w:rsid w:val="00CD39A2"/>
    <w:rsid w:val="00CD4B87"/>
    <w:rsid w:val="00CD55DB"/>
    <w:rsid w:val="00CD612F"/>
    <w:rsid w:val="00CD63AD"/>
    <w:rsid w:val="00CE4450"/>
    <w:rsid w:val="00CE49B6"/>
    <w:rsid w:val="00CE4A28"/>
    <w:rsid w:val="00CE6841"/>
    <w:rsid w:val="00CF0972"/>
    <w:rsid w:val="00CF0AE0"/>
    <w:rsid w:val="00CF1C82"/>
    <w:rsid w:val="00CF2459"/>
    <w:rsid w:val="00CF31B4"/>
    <w:rsid w:val="00CF31F6"/>
    <w:rsid w:val="00CF4CEF"/>
    <w:rsid w:val="00CF6431"/>
    <w:rsid w:val="00D01DCF"/>
    <w:rsid w:val="00D04514"/>
    <w:rsid w:val="00D076D9"/>
    <w:rsid w:val="00D119CF"/>
    <w:rsid w:val="00D11A35"/>
    <w:rsid w:val="00D13A5F"/>
    <w:rsid w:val="00D15145"/>
    <w:rsid w:val="00D17FF6"/>
    <w:rsid w:val="00D20EF6"/>
    <w:rsid w:val="00D219AA"/>
    <w:rsid w:val="00D2237A"/>
    <w:rsid w:val="00D23979"/>
    <w:rsid w:val="00D24BD1"/>
    <w:rsid w:val="00D2588A"/>
    <w:rsid w:val="00D26217"/>
    <w:rsid w:val="00D26D82"/>
    <w:rsid w:val="00D26F5C"/>
    <w:rsid w:val="00D278F0"/>
    <w:rsid w:val="00D338DB"/>
    <w:rsid w:val="00D3511F"/>
    <w:rsid w:val="00D36BE0"/>
    <w:rsid w:val="00D36DB6"/>
    <w:rsid w:val="00D40470"/>
    <w:rsid w:val="00D42BF9"/>
    <w:rsid w:val="00D42C2D"/>
    <w:rsid w:val="00D4415E"/>
    <w:rsid w:val="00D4515E"/>
    <w:rsid w:val="00D461DE"/>
    <w:rsid w:val="00D52933"/>
    <w:rsid w:val="00D52FF0"/>
    <w:rsid w:val="00D53161"/>
    <w:rsid w:val="00D56683"/>
    <w:rsid w:val="00D6001A"/>
    <w:rsid w:val="00D608AB"/>
    <w:rsid w:val="00D61E4F"/>
    <w:rsid w:val="00D65159"/>
    <w:rsid w:val="00D65C56"/>
    <w:rsid w:val="00D66CBB"/>
    <w:rsid w:val="00D67F90"/>
    <w:rsid w:val="00D70514"/>
    <w:rsid w:val="00D7075A"/>
    <w:rsid w:val="00D70EE1"/>
    <w:rsid w:val="00D71305"/>
    <w:rsid w:val="00D71BF7"/>
    <w:rsid w:val="00D7230A"/>
    <w:rsid w:val="00D731D0"/>
    <w:rsid w:val="00D738D2"/>
    <w:rsid w:val="00D766B4"/>
    <w:rsid w:val="00D809E4"/>
    <w:rsid w:val="00D81B85"/>
    <w:rsid w:val="00D8486E"/>
    <w:rsid w:val="00D8663B"/>
    <w:rsid w:val="00D873C0"/>
    <w:rsid w:val="00D878B6"/>
    <w:rsid w:val="00D902C4"/>
    <w:rsid w:val="00D90C1B"/>
    <w:rsid w:val="00D90FB3"/>
    <w:rsid w:val="00D925D1"/>
    <w:rsid w:val="00D92668"/>
    <w:rsid w:val="00D94F27"/>
    <w:rsid w:val="00D958DC"/>
    <w:rsid w:val="00D95B37"/>
    <w:rsid w:val="00D979CF"/>
    <w:rsid w:val="00DA1F2A"/>
    <w:rsid w:val="00DA4850"/>
    <w:rsid w:val="00DB08A2"/>
    <w:rsid w:val="00DB0D6D"/>
    <w:rsid w:val="00DB1035"/>
    <w:rsid w:val="00DB154B"/>
    <w:rsid w:val="00DB2C48"/>
    <w:rsid w:val="00DB44A1"/>
    <w:rsid w:val="00DB4FA7"/>
    <w:rsid w:val="00DB5CD7"/>
    <w:rsid w:val="00DB6647"/>
    <w:rsid w:val="00DB69BB"/>
    <w:rsid w:val="00DB7485"/>
    <w:rsid w:val="00DC0C9F"/>
    <w:rsid w:val="00DC1867"/>
    <w:rsid w:val="00DC4957"/>
    <w:rsid w:val="00DC4AE2"/>
    <w:rsid w:val="00DC63B3"/>
    <w:rsid w:val="00DC65BA"/>
    <w:rsid w:val="00DC6B6C"/>
    <w:rsid w:val="00DD0D91"/>
    <w:rsid w:val="00DD2877"/>
    <w:rsid w:val="00DD2EDE"/>
    <w:rsid w:val="00DD5052"/>
    <w:rsid w:val="00DD6681"/>
    <w:rsid w:val="00DD7FD2"/>
    <w:rsid w:val="00DE0F3E"/>
    <w:rsid w:val="00DE1DEE"/>
    <w:rsid w:val="00DE3218"/>
    <w:rsid w:val="00DF0347"/>
    <w:rsid w:val="00DF06C4"/>
    <w:rsid w:val="00DF0BD1"/>
    <w:rsid w:val="00DF1156"/>
    <w:rsid w:val="00DF1173"/>
    <w:rsid w:val="00DF2CB0"/>
    <w:rsid w:val="00DF451B"/>
    <w:rsid w:val="00DF6006"/>
    <w:rsid w:val="00DF6955"/>
    <w:rsid w:val="00DF75A4"/>
    <w:rsid w:val="00DF7B01"/>
    <w:rsid w:val="00E0443E"/>
    <w:rsid w:val="00E05FCE"/>
    <w:rsid w:val="00E0758B"/>
    <w:rsid w:val="00E076EA"/>
    <w:rsid w:val="00E10A6E"/>
    <w:rsid w:val="00E120FC"/>
    <w:rsid w:val="00E12AD8"/>
    <w:rsid w:val="00E14BA9"/>
    <w:rsid w:val="00E15FE9"/>
    <w:rsid w:val="00E1701F"/>
    <w:rsid w:val="00E22FD4"/>
    <w:rsid w:val="00E23EE3"/>
    <w:rsid w:val="00E245A1"/>
    <w:rsid w:val="00E24831"/>
    <w:rsid w:val="00E31001"/>
    <w:rsid w:val="00E34A4E"/>
    <w:rsid w:val="00E41D0D"/>
    <w:rsid w:val="00E42271"/>
    <w:rsid w:val="00E46685"/>
    <w:rsid w:val="00E50A06"/>
    <w:rsid w:val="00E5265D"/>
    <w:rsid w:val="00E53357"/>
    <w:rsid w:val="00E55C26"/>
    <w:rsid w:val="00E55EA0"/>
    <w:rsid w:val="00E600CD"/>
    <w:rsid w:val="00E67455"/>
    <w:rsid w:val="00E701AC"/>
    <w:rsid w:val="00E719E2"/>
    <w:rsid w:val="00E72096"/>
    <w:rsid w:val="00E730F3"/>
    <w:rsid w:val="00E75386"/>
    <w:rsid w:val="00E758A1"/>
    <w:rsid w:val="00E77015"/>
    <w:rsid w:val="00E807E8"/>
    <w:rsid w:val="00E80AD6"/>
    <w:rsid w:val="00E8267D"/>
    <w:rsid w:val="00E8653F"/>
    <w:rsid w:val="00E86C05"/>
    <w:rsid w:val="00E90C8F"/>
    <w:rsid w:val="00E91006"/>
    <w:rsid w:val="00E92106"/>
    <w:rsid w:val="00E92204"/>
    <w:rsid w:val="00E93F35"/>
    <w:rsid w:val="00EA02E7"/>
    <w:rsid w:val="00EA08B3"/>
    <w:rsid w:val="00EA4C1F"/>
    <w:rsid w:val="00EA7EA7"/>
    <w:rsid w:val="00EB2BE8"/>
    <w:rsid w:val="00EB4897"/>
    <w:rsid w:val="00EB5F05"/>
    <w:rsid w:val="00EC1362"/>
    <w:rsid w:val="00EC238F"/>
    <w:rsid w:val="00EC291E"/>
    <w:rsid w:val="00EC2EEA"/>
    <w:rsid w:val="00EC39C2"/>
    <w:rsid w:val="00EC5C4E"/>
    <w:rsid w:val="00EC6ABB"/>
    <w:rsid w:val="00EC7B44"/>
    <w:rsid w:val="00ED10D9"/>
    <w:rsid w:val="00ED2530"/>
    <w:rsid w:val="00ED28F4"/>
    <w:rsid w:val="00ED30A9"/>
    <w:rsid w:val="00ED323F"/>
    <w:rsid w:val="00ED43C6"/>
    <w:rsid w:val="00ED5476"/>
    <w:rsid w:val="00ED75D8"/>
    <w:rsid w:val="00EE1465"/>
    <w:rsid w:val="00EE2C69"/>
    <w:rsid w:val="00EE34DD"/>
    <w:rsid w:val="00EE3C92"/>
    <w:rsid w:val="00EE447F"/>
    <w:rsid w:val="00EE47C6"/>
    <w:rsid w:val="00EE4A98"/>
    <w:rsid w:val="00EE4D84"/>
    <w:rsid w:val="00EE76B1"/>
    <w:rsid w:val="00EF05D0"/>
    <w:rsid w:val="00EF0F59"/>
    <w:rsid w:val="00EF1196"/>
    <w:rsid w:val="00EF157D"/>
    <w:rsid w:val="00EF27AC"/>
    <w:rsid w:val="00EF2B23"/>
    <w:rsid w:val="00EF3A01"/>
    <w:rsid w:val="00EF6F58"/>
    <w:rsid w:val="00EF7935"/>
    <w:rsid w:val="00F004D9"/>
    <w:rsid w:val="00F01526"/>
    <w:rsid w:val="00F039E2"/>
    <w:rsid w:val="00F04A95"/>
    <w:rsid w:val="00F058D3"/>
    <w:rsid w:val="00F0619E"/>
    <w:rsid w:val="00F12FB0"/>
    <w:rsid w:val="00F16039"/>
    <w:rsid w:val="00F20B24"/>
    <w:rsid w:val="00F20DCF"/>
    <w:rsid w:val="00F21A7F"/>
    <w:rsid w:val="00F2498E"/>
    <w:rsid w:val="00F3332A"/>
    <w:rsid w:val="00F34068"/>
    <w:rsid w:val="00F3421F"/>
    <w:rsid w:val="00F35ED7"/>
    <w:rsid w:val="00F43916"/>
    <w:rsid w:val="00F466E6"/>
    <w:rsid w:val="00F46979"/>
    <w:rsid w:val="00F47AAD"/>
    <w:rsid w:val="00F508F3"/>
    <w:rsid w:val="00F51C42"/>
    <w:rsid w:val="00F51CC4"/>
    <w:rsid w:val="00F51EAB"/>
    <w:rsid w:val="00F54A5C"/>
    <w:rsid w:val="00F55B3B"/>
    <w:rsid w:val="00F56426"/>
    <w:rsid w:val="00F5643F"/>
    <w:rsid w:val="00F564B5"/>
    <w:rsid w:val="00F600E4"/>
    <w:rsid w:val="00F62371"/>
    <w:rsid w:val="00F63239"/>
    <w:rsid w:val="00F656E5"/>
    <w:rsid w:val="00F65718"/>
    <w:rsid w:val="00F65F15"/>
    <w:rsid w:val="00F70856"/>
    <w:rsid w:val="00F70B12"/>
    <w:rsid w:val="00F7452D"/>
    <w:rsid w:val="00F74FB9"/>
    <w:rsid w:val="00F76FAE"/>
    <w:rsid w:val="00F77D38"/>
    <w:rsid w:val="00F83482"/>
    <w:rsid w:val="00F842B2"/>
    <w:rsid w:val="00F86C5F"/>
    <w:rsid w:val="00F86D62"/>
    <w:rsid w:val="00F874BB"/>
    <w:rsid w:val="00F87EB4"/>
    <w:rsid w:val="00F9118F"/>
    <w:rsid w:val="00F914C6"/>
    <w:rsid w:val="00F92B59"/>
    <w:rsid w:val="00F97115"/>
    <w:rsid w:val="00F97289"/>
    <w:rsid w:val="00F97B3C"/>
    <w:rsid w:val="00F97DE7"/>
    <w:rsid w:val="00FA00A8"/>
    <w:rsid w:val="00FA1F4B"/>
    <w:rsid w:val="00FA3644"/>
    <w:rsid w:val="00FA39A8"/>
    <w:rsid w:val="00FA4493"/>
    <w:rsid w:val="00FA4DC7"/>
    <w:rsid w:val="00FA5D15"/>
    <w:rsid w:val="00FB06D0"/>
    <w:rsid w:val="00FB6398"/>
    <w:rsid w:val="00FB64C1"/>
    <w:rsid w:val="00FC3FBD"/>
    <w:rsid w:val="00FC54A4"/>
    <w:rsid w:val="00FC5CDF"/>
    <w:rsid w:val="00FD0A58"/>
    <w:rsid w:val="00FD160B"/>
    <w:rsid w:val="00FD39C9"/>
    <w:rsid w:val="00FD4378"/>
    <w:rsid w:val="00FD75C0"/>
    <w:rsid w:val="00FE10DF"/>
    <w:rsid w:val="00FE1867"/>
    <w:rsid w:val="00FE26EC"/>
    <w:rsid w:val="00FE2DFF"/>
    <w:rsid w:val="00FE35A8"/>
    <w:rsid w:val="00FE599A"/>
    <w:rsid w:val="00FE663C"/>
    <w:rsid w:val="00FE76FD"/>
    <w:rsid w:val="00FF299D"/>
    <w:rsid w:val="00FF32F4"/>
    <w:rsid w:val="00FF47CD"/>
    <w:rsid w:val="00FF5A7D"/>
    <w:rsid w:val="00FF67D7"/>
    <w:rsid w:val="00FF689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339F6C0"/>
  <w15:chartTrackingRefBased/>
  <w15:docId w15:val="{20332C06-7943-4CC3-96C6-8E87C1B9F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498E"/>
  </w:style>
  <w:style w:type="paragraph" w:styleId="Ttulo1">
    <w:name w:val="heading 1"/>
    <w:basedOn w:val="Normal"/>
    <w:next w:val="Normal"/>
    <w:link w:val="Ttulo1Car"/>
    <w:uiPriority w:val="9"/>
    <w:qFormat/>
    <w:rsid w:val="00ED28F4"/>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ED28F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2498E"/>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2498E"/>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2498E"/>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F2498E"/>
    <w:rPr>
      <w:vertAlign w:val="superscript"/>
    </w:rPr>
  </w:style>
  <w:style w:type="table" w:styleId="Tablaconcuadrcula">
    <w:name w:val="Table Grid"/>
    <w:basedOn w:val="Tablanormal"/>
    <w:uiPriority w:val="39"/>
    <w:rsid w:val="00F249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INAI"/>
    <w:link w:val="SinespaciadoCar"/>
    <w:uiPriority w:val="1"/>
    <w:qFormat/>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1Car">
    <w:name w:val="Título 1 Car"/>
    <w:basedOn w:val="Fuentedeprrafopredeter"/>
    <w:link w:val="Ttulo1"/>
    <w:uiPriority w:val="9"/>
    <w:rsid w:val="00ED28F4"/>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ED28F4"/>
    <w:rPr>
      <w:rFonts w:asciiTheme="majorHAnsi" w:eastAsiaTheme="majorEastAsia" w:hAnsiTheme="majorHAnsi" w:cstheme="majorBidi"/>
      <w:color w:val="2E74B5" w:themeColor="accent1" w:themeShade="BF"/>
      <w:sz w:val="26"/>
      <w:szCs w:val="26"/>
    </w:rPr>
  </w:style>
  <w:style w:type="paragraph" w:styleId="Textoindependiente">
    <w:name w:val="Body Text"/>
    <w:basedOn w:val="Normal"/>
    <w:link w:val="TextoindependienteCar"/>
    <w:uiPriority w:val="99"/>
    <w:semiHidden/>
    <w:unhideWhenUsed/>
    <w:rsid w:val="00661B3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extoindependienteCar">
    <w:name w:val="Texto independiente Car"/>
    <w:basedOn w:val="Fuentedeprrafopredeter"/>
    <w:link w:val="Textoindependiente"/>
    <w:uiPriority w:val="99"/>
    <w:semiHidden/>
    <w:rsid w:val="00661B3F"/>
    <w:rPr>
      <w:rFonts w:ascii="Times New Roman" w:eastAsia="Times New Roman" w:hAnsi="Times New Roman" w:cs="Times New Roman"/>
      <w:sz w:val="24"/>
      <w:szCs w:val="24"/>
      <w:lang w:eastAsia="es-MX"/>
    </w:rPr>
  </w:style>
  <w:style w:type="character" w:styleId="Refdecomentario">
    <w:name w:val="annotation reference"/>
    <w:basedOn w:val="Fuentedeprrafopredeter"/>
    <w:uiPriority w:val="99"/>
    <w:semiHidden/>
    <w:unhideWhenUsed/>
    <w:rsid w:val="0065599C"/>
    <w:rPr>
      <w:sz w:val="16"/>
      <w:szCs w:val="16"/>
    </w:rPr>
  </w:style>
  <w:style w:type="paragraph" w:styleId="Textocomentario">
    <w:name w:val="annotation text"/>
    <w:basedOn w:val="Normal"/>
    <w:link w:val="TextocomentarioCar"/>
    <w:uiPriority w:val="99"/>
    <w:semiHidden/>
    <w:unhideWhenUsed/>
    <w:rsid w:val="006559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5599C"/>
    <w:rPr>
      <w:sz w:val="20"/>
      <w:szCs w:val="20"/>
    </w:rPr>
  </w:style>
  <w:style w:type="paragraph" w:styleId="Asuntodelcomentario">
    <w:name w:val="annotation subject"/>
    <w:basedOn w:val="Textocomentario"/>
    <w:next w:val="Textocomentario"/>
    <w:link w:val="AsuntodelcomentarioCar"/>
    <w:uiPriority w:val="99"/>
    <w:semiHidden/>
    <w:unhideWhenUsed/>
    <w:rsid w:val="0065599C"/>
    <w:rPr>
      <w:b/>
      <w:bCs/>
    </w:rPr>
  </w:style>
  <w:style w:type="character" w:customStyle="1" w:styleId="AsuntodelcomentarioCar">
    <w:name w:val="Asunto del comentario Car"/>
    <w:basedOn w:val="TextocomentarioCar"/>
    <w:link w:val="Asuntodelcomentario"/>
    <w:uiPriority w:val="99"/>
    <w:semiHidden/>
    <w:rsid w:val="0065599C"/>
    <w:rPr>
      <w:b/>
      <w:bCs/>
      <w:sz w:val="20"/>
      <w:szCs w:val="20"/>
    </w:rPr>
  </w:style>
  <w:style w:type="paragraph" w:customStyle="1" w:styleId="j">
    <w:name w:val="j"/>
    <w:basedOn w:val="Normal"/>
    <w:rsid w:val="002A5FDF"/>
    <w:pPr>
      <w:spacing w:before="100" w:beforeAutospacing="1" w:after="100" w:afterAutospacing="1" w:line="240" w:lineRule="auto"/>
    </w:pPr>
    <w:rPr>
      <w:rFonts w:ascii="Times New Roman" w:hAnsi="Times New Roman" w:cs="Times New Roman"/>
      <w:sz w:val="24"/>
      <w:szCs w:val="24"/>
      <w:lang w:val="es-ES_tradnl" w:eastAsia="es-ES_tradnl"/>
    </w:rPr>
  </w:style>
  <w:style w:type="character" w:styleId="Textoennegrita">
    <w:name w:val="Strong"/>
    <w:uiPriority w:val="22"/>
    <w:qFormat/>
    <w:rsid w:val="007F3D8B"/>
    <w:rPr>
      <w:b/>
      <w:bCs/>
    </w:rPr>
  </w:style>
  <w:style w:type="character" w:customStyle="1" w:styleId="liststyle1202354666level1">
    <w:name w:val="liststyle_1202354666_level_1"/>
    <w:basedOn w:val="Fuentedeprrafopredeter"/>
    <w:rsid w:val="00383184"/>
  </w:style>
  <w:style w:type="paragraph" w:customStyle="1" w:styleId="rtejustify">
    <w:name w:val="rtejustify"/>
    <w:basedOn w:val="Normal"/>
    <w:rsid w:val="00280B50"/>
    <w:pPr>
      <w:spacing w:before="100" w:beforeAutospacing="1" w:after="100" w:afterAutospacing="1" w:line="240" w:lineRule="auto"/>
    </w:pPr>
    <w:rPr>
      <w:rFonts w:ascii="Times New Roman" w:eastAsia="Times New Roman" w:hAnsi="Times New Roman" w:cs="Times New Roman"/>
      <w:sz w:val="24"/>
      <w:szCs w:val="24"/>
      <w:lang w:eastAsia="es-MX"/>
    </w:rPr>
  </w:style>
  <w:style w:type="table" w:customStyle="1" w:styleId="Tabladelista1clara-nfasis111">
    <w:name w:val="Tabla de lista 1 clara - Énfasis 111"/>
    <w:basedOn w:val="Tablanormal"/>
    <w:next w:val="Tabladelista1clara-nfasis1"/>
    <w:uiPriority w:val="46"/>
    <w:rsid w:val="00286511"/>
    <w:pPr>
      <w:spacing w:after="0" w:line="240" w:lineRule="auto"/>
    </w:pPr>
    <w:rPr>
      <w:rFonts w:eastAsia="MS Mincho"/>
      <w:sz w:val="24"/>
      <w:szCs w:val="24"/>
      <w:lang w:val="es-ES_tradnl" w:eastAsia="es-E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286511"/>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75891">
      <w:bodyDiv w:val="1"/>
      <w:marLeft w:val="0"/>
      <w:marRight w:val="0"/>
      <w:marTop w:val="0"/>
      <w:marBottom w:val="0"/>
      <w:divBdr>
        <w:top w:val="none" w:sz="0" w:space="0" w:color="auto"/>
        <w:left w:val="none" w:sz="0" w:space="0" w:color="auto"/>
        <w:bottom w:val="none" w:sz="0" w:space="0" w:color="auto"/>
        <w:right w:val="none" w:sz="0" w:space="0" w:color="auto"/>
      </w:divBdr>
    </w:div>
    <w:div w:id="55590431">
      <w:bodyDiv w:val="1"/>
      <w:marLeft w:val="0"/>
      <w:marRight w:val="0"/>
      <w:marTop w:val="0"/>
      <w:marBottom w:val="0"/>
      <w:divBdr>
        <w:top w:val="none" w:sz="0" w:space="0" w:color="auto"/>
        <w:left w:val="none" w:sz="0" w:space="0" w:color="auto"/>
        <w:bottom w:val="none" w:sz="0" w:space="0" w:color="auto"/>
        <w:right w:val="none" w:sz="0" w:space="0" w:color="auto"/>
      </w:divBdr>
    </w:div>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68237940">
      <w:bodyDiv w:val="1"/>
      <w:marLeft w:val="0"/>
      <w:marRight w:val="0"/>
      <w:marTop w:val="0"/>
      <w:marBottom w:val="0"/>
      <w:divBdr>
        <w:top w:val="none" w:sz="0" w:space="0" w:color="auto"/>
        <w:left w:val="none" w:sz="0" w:space="0" w:color="auto"/>
        <w:bottom w:val="none" w:sz="0" w:space="0" w:color="auto"/>
        <w:right w:val="none" w:sz="0" w:space="0" w:color="auto"/>
      </w:divBdr>
    </w:div>
    <w:div w:id="133570488">
      <w:bodyDiv w:val="1"/>
      <w:marLeft w:val="0"/>
      <w:marRight w:val="0"/>
      <w:marTop w:val="0"/>
      <w:marBottom w:val="0"/>
      <w:divBdr>
        <w:top w:val="none" w:sz="0" w:space="0" w:color="auto"/>
        <w:left w:val="none" w:sz="0" w:space="0" w:color="auto"/>
        <w:bottom w:val="none" w:sz="0" w:space="0" w:color="auto"/>
        <w:right w:val="none" w:sz="0" w:space="0" w:color="auto"/>
      </w:divBdr>
      <w:divsChild>
        <w:div w:id="539515201">
          <w:marLeft w:val="720"/>
          <w:marRight w:val="0"/>
          <w:marTop w:val="0"/>
          <w:marBottom w:val="101"/>
          <w:divBdr>
            <w:top w:val="none" w:sz="0" w:space="0" w:color="auto"/>
            <w:left w:val="none" w:sz="0" w:space="0" w:color="auto"/>
            <w:bottom w:val="none" w:sz="0" w:space="0" w:color="auto"/>
            <w:right w:val="none" w:sz="0" w:space="0" w:color="auto"/>
          </w:divBdr>
        </w:div>
        <w:div w:id="783965813">
          <w:marLeft w:val="720"/>
          <w:marRight w:val="0"/>
          <w:marTop w:val="0"/>
          <w:marBottom w:val="101"/>
          <w:divBdr>
            <w:top w:val="none" w:sz="0" w:space="0" w:color="auto"/>
            <w:left w:val="none" w:sz="0" w:space="0" w:color="auto"/>
            <w:bottom w:val="none" w:sz="0" w:space="0" w:color="auto"/>
            <w:right w:val="none" w:sz="0" w:space="0" w:color="auto"/>
          </w:divBdr>
        </w:div>
        <w:div w:id="1687634545">
          <w:marLeft w:val="720"/>
          <w:marRight w:val="0"/>
          <w:marTop w:val="0"/>
          <w:marBottom w:val="101"/>
          <w:divBdr>
            <w:top w:val="none" w:sz="0" w:space="0" w:color="auto"/>
            <w:left w:val="none" w:sz="0" w:space="0" w:color="auto"/>
            <w:bottom w:val="none" w:sz="0" w:space="0" w:color="auto"/>
            <w:right w:val="none" w:sz="0" w:space="0" w:color="auto"/>
          </w:divBdr>
        </w:div>
      </w:divsChild>
    </w:div>
    <w:div w:id="134371283">
      <w:bodyDiv w:val="1"/>
      <w:marLeft w:val="0"/>
      <w:marRight w:val="0"/>
      <w:marTop w:val="0"/>
      <w:marBottom w:val="0"/>
      <w:divBdr>
        <w:top w:val="none" w:sz="0" w:space="0" w:color="auto"/>
        <w:left w:val="none" w:sz="0" w:space="0" w:color="auto"/>
        <w:bottom w:val="none" w:sz="0" w:space="0" w:color="auto"/>
        <w:right w:val="none" w:sz="0" w:space="0" w:color="auto"/>
      </w:divBdr>
    </w:div>
    <w:div w:id="160318186">
      <w:bodyDiv w:val="1"/>
      <w:marLeft w:val="0"/>
      <w:marRight w:val="0"/>
      <w:marTop w:val="0"/>
      <w:marBottom w:val="0"/>
      <w:divBdr>
        <w:top w:val="none" w:sz="0" w:space="0" w:color="auto"/>
        <w:left w:val="none" w:sz="0" w:space="0" w:color="auto"/>
        <w:bottom w:val="none" w:sz="0" w:space="0" w:color="auto"/>
        <w:right w:val="none" w:sz="0" w:space="0" w:color="auto"/>
      </w:divBdr>
    </w:div>
    <w:div w:id="172577386">
      <w:bodyDiv w:val="1"/>
      <w:marLeft w:val="0"/>
      <w:marRight w:val="0"/>
      <w:marTop w:val="0"/>
      <w:marBottom w:val="0"/>
      <w:divBdr>
        <w:top w:val="none" w:sz="0" w:space="0" w:color="auto"/>
        <w:left w:val="none" w:sz="0" w:space="0" w:color="auto"/>
        <w:bottom w:val="none" w:sz="0" w:space="0" w:color="auto"/>
        <w:right w:val="none" w:sz="0" w:space="0" w:color="auto"/>
      </w:divBdr>
      <w:divsChild>
        <w:div w:id="1484157943">
          <w:marLeft w:val="0"/>
          <w:marRight w:val="0"/>
          <w:marTop w:val="0"/>
          <w:marBottom w:val="101"/>
          <w:divBdr>
            <w:top w:val="none" w:sz="0" w:space="0" w:color="auto"/>
            <w:left w:val="none" w:sz="0" w:space="0" w:color="auto"/>
            <w:bottom w:val="none" w:sz="0" w:space="0" w:color="auto"/>
            <w:right w:val="none" w:sz="0" w:space="0" w:color="auto"/>
          </w:divBdr>
        </w:div>
        <w:div w:id="1879735675">
          <w:marLeft w:val="0"/>
          <w:marRight w:val="0"/>
          <w:marTop w:val="0"/>
          <w:marBottom w:val="101"/>
          <w:divBdr>
            <w:top w:val="none" w:sz="0" w:space="0" w:color="auto"/>
            <w:left w:val="none" w:sz="0" w:space="0" w:color="auto"/>
            <w:bottom w:val="none" w:sz="0" w:space="0" w:color="auto"/>
            <w:right w:val="none" w:sz="0" w:space="0" w:color="auto"/>
          </w:divBdr>
        </w:div>
      </w:divsChild>
    </w:div>
    <w:div w:id="193007548">
      <w:bodyDiv w:val="1"/>
      <w:marLeft w:val="0"/>
      <w:marRight w:val="0"/>
      <w:marTop w:val="0"/>
      <w:marBottom w:val="0"/>
      <w:divBdr>
        <w:top w:val="none" w:sz="0" w:space="0" w:color="auto"/>
        <w:left w:val="none" w:sz="0" w:space="0" w:color="auto"/>
        <w:bottom w:val="none" w:sz="0" w:space="0" w:color="auto"/>
        <w:right w:val="none" w:sz="0" w:space="0" w:color="auto"/>
      </w:divBdr>
    </w:div>
    <w:div w:id="229536590">
      <w:bodyDiv w:val="1"/>
      <w:marLeft w:val="0"/>
      <w:marRight w:val="0"/>
      <w:marTop w:val="0"/>
      <w:marBottom w:val="0"/>
      <w:divBdr>
        <w:top w:val="none" w:sz="0" w:space="0" w:color="auto"/>
        <w:left w:val="none" w:sz="0" w:space="0" w:color="auto"/>
        <w:bottom w:val="none" w:sz="0" w:space="0" w:color="auto"/>
        <w:right w:val="none" w:sz="0" w:space="0" w:color="auto"/>
      </w:divBdr>
    </w:div>
    <w:div w:id="298809436">
      <w:bodyDiv w:val="1"/>
      <w:marLeft w:val="0"/>
      <w:marRight w:val="0"/>
      <w:marTop w:val="0"/>
      <w:marBottom w:val="0"/>
      <w:divBdr>
        <w:top w:val="none" w:sz="0" w:space="0" w:color="auto"/>
        <w:left w:val="none" w:sz="0" w:space="0" w:color="auto"/>
        <w:bottom w:val="none" w:sz="0" w:space="0" w:color="auto"/>
        <w:right w:val="none" w:sz="0" w:space="0" w:color="auto"/>
      </w:divBdr>
      <w:divsChild>
        <w:div w:id="1298606554">
          <w:marLeft w:val="0"/>
          <w:marRight w:val="0"/>
          <w:marTop w:val="0"/>
          <w:marBottom w:val="101"/>
          <w:divBdr>
            <w:top w:val="none" w:sz="0" w:space="0" w:color="auto"/>
            <w:left w:val="none" w:sz="0" w:space="0" w:color="auto"/>
            <w:bottom w:val="none" w:sz="0" w:space="0" w:color="auto"/>
            <w:right w:val="none" w:sz="0" w:space="0" w:color="auto"/>
          </w:divBdr>
        </w:div>
        <w:div w:id="525484787">
          <w:marLeft w:val="0"/>
          <w:marRight w:val="0"/>
          <w:marTop w:val="0"/>
          <w:marBottom w:val="101"/>
          <w:divBdr>
            <w:top w:val="none" w:sz="0" w:space="0" w:color="auto"/>
            <w:left w:val="none" w:sz="0" w:space="0" w:color="auto"/>
            <w:bottom w:val="none" w:sz="0" w:space="0" w:color="auto"/>
            <w:right w:val="none" w:sz="0" w:space="0" w:color="auto"/>
          </w:divBdr>
        </w:div>
      </w:divsChild>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358822690">
      <w:bodyDiv w:val="1"/>
      <w:marLeft w:val="0"/>
      <w:marRight w:val="0"/>
      <w:marTop w:val="0"/>
      <w:marBottom w:val="0"/>
      <w:divBdr>
        <w:top w:val="none" w:sz="0" w:space="0" w:color="auto"/>
        <w:left w:val="none" w:sz="0" w:space="0" w:color="auto"/>
        <w:bottom w:val="none" w:sz="0" w:space="0" w:color="auto"/>
        <w:right w:val="none" w:sz="0" w:space="0" w:color="auto"/>
      </w:divBdr>
    </w:div>
    <w:div w:id="416708791">
      <w:bodyDiv w:val="1"/>
      <w:marLeft w:val="0"/>
      <w:marRight w:val="0"/>
      <w:marTop w:val="0"/>
      <w:marBottom w:val="0"/>
      <w:divBdr>
        <w:top w:val="none" w:sz="0" w:space="0" w:color="auto"/>
        <w:left w:val="none" w:sz="0" w:space="0" w:color="auto"/>
        <w:bottom w:val="none" w:sz="0" w:space="0" w:color="auto"/>
        <w:right w:val="none" w:sz="0" w:space="0" w:color="auto"/>
      </w:divBdr>
    </w:div>
    <w:div w:id="439105283">
      <w:bodyDiv w:val="1"/>
      <w:marLeft w:val="0"/>
      <w:marRight w:val="0"/>
      <w:marTop w:val="0"/>
      <w:marBottom w:val="0"/>
      <w:divBdr>
        <w:top w:val="none" w:sz="0" w:space="0" w:color="auto"/>
        <w:left w:val="none" w:sz="0" w:space="0" w:color="auto"/>
        <w:bottom w:val="none" w:sz="0" w:space="0" w:color="auto"/>
        <w:right w:val="none" w:sz="0" w:space="0" w:color="auto"/>
      </w:divBdr>
    </w:div>
    <w:div w:id="515925202">
      <w:bodyDiv w:val="1"/>
      <w:marLeft w:val="0"/>
      <w:marRight w:val="0"/>
      <w:marTop w:val="0"/>
      <w:marBottom w:val="0"/>
      <w:divBdr>
        <w:top w:val="none" w:sz="0" w:space="0" w:color="auto"/>
        <w:left w:val="none" w:sz="0" w:space="0" w:color="auto"/>
        <w:bottom w:val="none" w:sz="0" w:space="0" w:color="auto"/>
        <w:right w:val="none" w:sz="0" w:space="0" w:color="auto"/>
      </w:divBdr>
    </w:div>
    <w:div w:id="542599648">
      <w:bodyDiv w:val="1"/>
      <w:marLeft w:val="0"/>
      <w:marRight w:val="0"/>
      <w:marTop w:val="0"/>
      <w:marBottom w:val="0"/>
      <w:divBdr>
        <w:top w:val="none" w:sz="0" w:space="0" w:color="auto"/>
        <w:left w:val="none" w:sz="0" w:space="0" w:color="auto"/>
        <w:bottom w:val="none" w:sz="0" w:space="0" w:color="auto"/>
        <w:right w:val="none" w:sz="0" w:space="0" w:color="auto"/>
      </w:divBdr>
    </w:div>
    <w:div w:id="562368748">
      <w:bodyDiv w:val="1"/>
      <w:marLeft w:val="0"/>
      <w:marRight w:val="0"/>
      <w:marTop w:val="0"/>
      <w:marBottom w:val="0"/>
      <w:divBdr>
        <w:top w:val="none" w:sz="0" w:space="0" w:color="auto"/>
        <w:left w:val="none" w:sz="0" w:space="0" w:color="auto"/>
        <w:bottom w:val="none" w:sz="0" w:space="0" w:color="auto"/>
        <w:right w:val="none" w:sz="0" w:space="0" w:color="auto"/>
      </w:divBdr>
      <w:divsChild>
        <w:div w:id="462966274">
          <w:marLeft w:val="0"/>
          <w:marRight w:val="0"/>
          <w:marTop w:val="0"/>
          <w:marBottom w:val="101"/>
          <w:divBdr>
            <w:top w:val="none" w:sz="0" w:space="0" w:color="auto"/>
            <w:left w:val="none" w:sz="0" w:space="0" w:color="auto"/>
            <w:bottom w:val="none" w:sz="0" w:space="0" w:color="auto"/>
            <w:right w:val="none" w:sz="0" w:space="0" w:color="auto"/>
          </w:divBdr>
        </w:div>
        <w:div w:id="1207446829">
          <w:marLeft w:val="0"/>
          <w:marRight w:val="0"/>
          <w:marTop w:val="0"/>
          <w:marBottom w:val="101"/>
          <w:divBdr>
            <w:top w:val="none" w:sz="0" w:space="0" w:color="auto"/>
            <w:left w:val="none" w:sz="0" w:space="0" w:color="auto"/>
            <w:bottom w:val="none" w:sz="0" w:space="0" w:color="auto"/>
            <w:right w:val="none" w:sz="0" w:space="0" w:color="auto"/>
          </w:divBdr>
        </w:div>
      </w:divsChild>
    </w:div>
    <w:div w:id="577522272">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38091878">
      <w:bodyDiv w:val="1"/>
      <w:marLeft w:val="0"/>
      <w:marRight w:val="0"/>
      <w:marTop w:val="0"/>
      <w:marBottom w:val="0"/>
      <w:divBdr>
        <w:top w:val="none" w:sz="0" w:space="0" w:color="auto"/>
        <w:left w:val="none" w:sz="0" w:space="0" w:color="auto"/>
        <w:bottom w:val="none" w:sz="0" w:space="0" w:color="auto"/>
        <w:right w:val="none" w:sz="0" w:space="0" w:color="auto"/>
      </w:divBdr>
    </w:div>
    <w:div w:id="77097121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877161912">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032917842">
      <w:bodyDiv w:val="1"/>
      <w:marLeft w:val="0"/>
      <w:marRight w:val="0"/>
      <w:marTop w:val="0"/>
      <w:marBottom w:val="0"/>
      <w:divBdr>
        <w:top w:val="none" w:sz="0" w:space="0" w:color="auto"/>
        <w:left w:val="none" w:sz="0" w:space="0" w:color="auto"/>
        <w:bottom w:val="none" w:sz="0" w:space="0" w:color="auto"/>
        <w:right w:val="none" w:sz="0" w:space="0" w:color="auto"/>
      </w:divBdr>
      <w:divsChild>
        <w:div w:id="838547555">
          <w:marLeft w:val="0"/>
          <w:marRight w:val="0"/>
          <w:marTop w:val="0"/>
          <w:marBottom w:val="101"/>
          <w:divBdr>
            <w:top w:val="none" w:sz="0" w:space="0" w:color="auto"/>
            <w:left w:val="none" w:sz="0" w:space="0" w:color="auto"/>
            <w:bottom w:val="none" w:sz="0" w:space="0" w:color="auto"/>
            <w:right w:val="none" w:sz="0" w:space="0" w:color="auto"/>
          </w:divBdr>
        </w:div>
        <w:div w:id="993067403">
          <w:marLeft w:val="0"/>
          <w:marRight w:val="0"/>
          <w:marTop w:val="0"/>
          <w:marBottom w:val="101"/>
          <w:divBdr>
            <w:top w:val="none" w:sz="0" w:space="0" w:color="auto"/>
            <w:left w:val="none" w:sz="0" w:space="0" w:color="auto"/>
            <w:bottom w:val="none" w:sz="0" w:space="0" w:color="auto"/>
            <w:right w:val="none" w:sz="0" w:space="0" w:color="auto"/>
          </w:divBdr>
        </w:div>
      </w:divsChild>
    </w:div>
    <w:div w:id="1114860503">
      <w:bodyDiv w:val="1"/>
      <w:marLeft w:val="0"/>
      <w:marRight w:val="0"/>
      <w:marTop w:val="0"/>
      <w:marBottom w:val="0"/>
      <w:divBdr>
        <w:top w:val="none" w:sz="0" w:space="0" w:color="auto"/>
        <w:left w:val="none" w:sz="0" w:space="0" w:color="auto"/>
        <w:bottom w:val="none" w:sz="0" w:space="0" w:color="auto"/>
        <w:right w:val="none" w:sz="0" w:space="0" w:color="auto"/>
      </w:divBdr>
      <w:divsChild>
        <w:div w:id="11346349">
          <w:marLeft w:val="1701"/>
          <w:marRight w:val="902"/>
          <w:marTop w:val="0"/>
          <w:marBottom w:val="88"/>
          <w:divBdr>
            <w:top w:val="none" w:sz="0" w:space="0" w:color="auto"/>
            <w:left w:val="none" w:sz="0" w:space="0" w:color="auto"/>
            <w:bottom w:val="none" w:sz="0" w:space="0" w:color="auto"/>
            <w:right w:val="none" w:sz="0" w:space="0" w:color="auto"/>
          </w:divBdr>
        </w:div>
        <w:div w:id="62601727">
          <w:marLeft w:val="1701"/>
          <w:marRight w:val="899"/>
          <w:marTop w:val="0"/>
          <w:marBottom w:val="88"/>
          <w:divBdr>
            <w:top w:val="none" w:sz="0" w:space="0" w:color="auto"/>
            <w:left w:val="none" w:sz="0" w:space="0" w:color="auto"/>
            <w:bottom w:val="none" w:sz="0" w:space="0" w:color="auto"/>
            <w:right w:val="none" w:sz="0" w:space="0" w:color="auto"/>
          </w:divBdr>
        </w:div>
        <w:div w:id="65998605">
          <w:marLeft w:val="1701"/>
          <w:marRight w:val="899"/>
          <w:marTop w:val="0"/>
          <w:marBottom w:val="88"/>
          <w:divBdr>
            <w:top w:val="none" w:sz="0" w:space="0" w:color="auto"/>
            <w:left w:val="none" w:sz="0" w:space="0" w:color="auto"/>
            <w:bottom w:val="none" w:sz="0" w:space="0" w:color="auto"/>
            <w:right w:val="none" w:sz="0" w:space="0" w:color="auto"/>
          </w:divBdr>
        </w:div>
        <w:div w:id="79523126">
          <w:marLeft w:val="1701"/>
          <w:marRight w:val="902"/>
          <w:marTop w:val="0"/>
          <w:marBottom w:val="88"/>
          <w:divBdr>
            <w:top w:val="none" w:sz="0" w:space="0" w:color="auto"/>
            <w:left w:val="none" w:sz="0" w:space="0" w:color="auto"/>
            <w:bottom w:val="none" w:sz="0" w:space="0" w:color="auto"/>
            <w:right w:val="none" w:sz="0" w:space="0" w:color="auto"/>
          </w:divBdr>
        </w:div>
        <w:div w:id="82990364">
          <w:marLeft w:val="0"/>
          <w:marRight w:val="902"/>
          <w:marTop w:val="0"/>
          <w:marBottom w:val="101"/>
          <w:divBdr>
            <w:top w:val="none" w:sz="0" w:space="0" w:color="auto"/>
            <w:left w:val="none" w:sz="0" w:space="0" w:color="auto"/>
            <w:bottom w:val="none" w:sz="0" w:space="0" w:color="auto"/>
            <w:right w:val="none" w:sz="0" w:space="0" w:color="auto"/>
          </w:divBdr>
        </w:div>
        <w:div w:id="117338514">
          <w:marLeft w:val="1701"/>
          <w:marRight w:val="902"/>
          <w:marTop w:val="0"/>
          <w:marBottom w:val="101"/>
          <w:divBdr>
            <w:top w:val="none" w:sz="0" w:space="0" w:color="auto"/>
            <w:left w:val="none" w:sz="0" w:space="0" w:color="auto"/>
            <w:bottom w:val="none" w:sz="0" w:space="0" w:color="auto"/>
            <w:right w:val="none" w:sz="0" w:space="0" w:color="auto"/>
          </w:divBdr>
        </w:div>
        <w:div w:id="134417540">
          <w:marLeft w:val="0"/>
          <w:marRight w:val="850"/>
          <w:marTop w:val="0"/>
          <w:marBottom w:val="88"/>
          <w:divBdr>
            <w:top w:val="none" w:sz="0" w:space="0" w:color="auto"/>
            <w:left w:val="none" w:sz="0" w:space="0" w:color="auto"/>
            <w:bottom w:val="none" w:sz="0" w:space="0" w:color="auto"/>
            <w:right w:val="none" w:sz="0" w:space="0" w:color="auto"/>
          </w:divBdr>
        </w:div>
        <w:div w:id="156505964">
          <w:marLeft w:val="1701"/>
          <w:marRight w:val="850"/>
          <w:marTop w:val="0"/>
          <w:marBottom w:val="88"/>
          <w:divBdr>
            <w:top w:val="none" w:sz="0" w:space="0" w:color="auto"/>
            <w:left w:val="none" w:sz="0" w:space="0" w:color="auto"/>
            <w:bottom w:val="none" w:sz="0" w:space="0" w:color="auto"/>
            <w:right w:val="none" w:sz="0" w:space="0" w:color="auto"/>
          </w:divBdr>
        </w:div>
        <w:div w:id="189072577">
          <w:marLeft w:val="1701"/>
          <w:marRight w:val="902"/>
          <w:marTop w:val="0"/>
          <w:marBottom w:val="101"/>
          <w:divBdr>
            <w:top w:val="none" w:sz="0" w:space="0" w:color="auto"/>
            <w:left w:val="none" w:sz="0" w:space="0" w:color="auto"/>
            <w:bottom w:val="none" w:sz="0" w:space="0" w:color="auto"/>
            <w:right w:val="none" w:sz="0" w:space="0" w:color="auto"/>
          </w:divBdr>
        </w:div>
        <w:div w:id="225142537">
          <w:marLeft w:val="1701"/>
          <w:marRight w:val="899"/>
          <w:marTop w:val="0"/>
          <w:marBottom w:val="88"/>
          <w:divBdr>
            <w:top w:val="none" w:sz="0" w:space="0" w:color="auto"/>
            <w:left w:val="none" w:sz="0" w:space="0" w:color="auto"/>
            <w:bottom w:val="none" w:sz="0" w:space="0" w:color="auto"/>
            <w:right w:val="none" w:sz="0" w:space="0" w:color="auto"/>
          </w:divBdr>
        </w:div>
        <w:div w:id="327905685">
          <w:marLeft w:val="1701"/>
          <w:marRight w:val="902"/>
          <w:marTop w:val="0"/>
          <w:marBottom w:val="88"/>
          <w:divBdr>
            <w:top w:val="none" w:sz="0" w:space="0" w:color="auto"/>
            <w:left w:val="none" w:sz="0" w:space="0" w:color="auto"/>
            <w:bottom w:val="none" w:sz="0" w:space="0" w:color="auto"/>
            <w:right w:val="none" w:sz="0" w:space="0" w:color="auto"/>
          </w:divBdr>
        </w:div>
        <w:div w:id="507596562">
          <w:marLeft w:val="1701"/>
          <w:marRight w:val="902"/>
          <w:marTop w:val="0"/>
          <w:marBottom w:val="88"/>
          <w:divBdr>
            <w:top w:val="none" w:sz="0" w:space="0" w:color="auto"/>
            <w:left w:val="none" w:sz="0" w:space="0" w:color="auto"/>
            <w:bottom w:val="none" w:sz="0" w:space="0" w:color="auto"/>
            <w:right w:val="none" w:sz="0" w:space="0" w:color="auto"/>
          </w:divBdr>
        </w:div>
        <w:div w:id="535895955">
          <w:marLeft w:val="0"/>
          <w:marRight w:val="850"/>
          <w:marTop w:val="0"/>
          <w:marBottom w:val="88"/>
          <w:divBdr>
            <w:top w:val="none" w:sz="0" w:space="0" w:color="auto"/>
            <w:left w:val="none" w:sz="0" w:space="0" w:color="auto"/>
            <w:bottom w:val="none" w:sz="0" w:space="0" w:color="auto"/>
            <w:right w:val="none" w:sz="0" w:space="0" w:color="auto"/>
          </w:divBdr>
        </w:div>
        <w:div w:id="559753525">
          <w:marLeft w:val="1701"/>
          <w:marRight w:val="902"/>
          <w:marTop w:val="0"/>
          <w:marBottom w:val="101"/>
          <w:divBdr>
            <w:top w:val="none" w:sz="0" w:space="0" w:color="auto"/>
            <w:left w:val="none" w:sz="0" w:space="0" w:color="auto"/>
            <w:bottom w:val="none" w:sz="0" w:space="0" w:color="auto"/>
            <w:right w:val="none" w:sz="0" w:space="0" w:color="auto"/>
          </w:divBdr>
        </w:div>
        <w:div w:id="581791210">
          <w:marLeft w:val="1701"/>
          <w:marRight w:val="902"/>
          <w:marTop w:val="0"/>
          <w:marBottom w:val="101"/>
          <w:divBdr>
            <w:top w:val="none" w:sz="0" w:space="0" w:color="auto"/>
            <w:left w:val="none" w:sz="0" w:space="0" w:color="auto"/>
            <w:bottom w:val="none" w:sz="0" w:space="0" w:color="auto"/>
            <w:right w:val="none" w:sz="0" w:space="0" w:color="auto"/>
          </w:divBdr>
        </w:div>
        <w:div w:id="614557604">
          <w:marLeft w:val="1701"/>
          <w:marRight w:val="899"/>
          <w:marTop w:val="0"/>
          <w:marBottom w:val="88"/>
          <w:divBdr>
            <w:top w:val="none" w:sz="0" w:space="0" w:color="auto"/>
            <w:left w:val="none" w:sz="0" w:space="0" w:color="auto"/>
            <w:bottom w:val="none" w:sz="0" w:space="0" w:color="auto"/>
            <w:right w:val="none" w:sz="0" w:space="0" w:color="auto"/>
          </w:divBdr>
        </w:div>
        <w:div w:id="691230024">
          <w:marLeft w:val="1701"/>
          <w:marRight w:val="902"/>
          <w:marTop w:val="0"/>
          <w:marBottom w:val="101"/>
          <w:divBdr>
            <w:top w:val="none" w:sz="0" w:space="0" w:color="auto"/>
            <w:left w:val="none" w:sz="0" w:space="0" w:color="auto"/>
            <w:bottom w:val="none" w:sz="0" w:space="0" w:color="auto"/>
            <w:right w:val="none" w:sz="0" w:space="0" w:color="auto"/>
          </w:divBdr>
        </w:div>
        <w:div w:id="785546312">
          <w:marLeft w:val="1701"/>
          <w:marRight w:val="899"/>
          <w:marTop w:val="0"/>
          <w:marBottom w:val="88"/>
          <w:divBdr>
            <w:top w:val="none" w:sz="0" w:space="0" w:color="auto"/>
            <w:left w:val="none" w:sz="0" w:space="0" w:color="auto"/>
            <w:bottom w:val="none" w:sz="0" w:space="0" w:color="auto"/>
            <w:right w:val="none" w:sz="0" w:space="0" w:color="auto"/>
          </w:divBdr>
        </w:div>
        <w:div w:id="826290687">
          <w:marLeft w:val="1701"/>
          <w:marRight w:val="899"/>
          <w:marTop w:val="0"/>
          <w:marBottom w:val="88"/>
          <w:divBdr>
            <w:top w:val="none" w:sz="0" w:space="0" w:color="auto"/>
            <w:left w:val="none" w:sz="0" w:space="0" w:color="auto"/>
            <w:bottom w:val="none" w:sz="0" w:space="0" w:color="auto"/>
            <w:right w:val="none" w:sz="0" w:space="0" w:color="auto"/>
          </w:divBdr>
        </w:div>
        <w:div w:id="954098519">
          <w:marLeft w:val="1701"/>
          <w:marRight w:val="899"/>
          <w:marTop w:val="0"/>
          <w:marBottom w:val="88"/>
          <w:divBdr>
            <w:top w:val="none" w:sz="0" w:space="0" w:color="auto"/>
            <w:left w:val="none" w:sz="0" w:space="0" w:color="auto"/>
            <w:bottom w:val="none" w:sz="0" w:space="0" w:color="auto"/>
            <w:right w:val="none" w:sz="0" w:space="0" w:color="auto"/>
          </w:divBdr>
        </w:div>
        <w:div w:id="1111171328">
          <w:marLeft w:val="1701"/>
          <w:marRight w:val="902"/>
          <w:marTop w:val="0"/>
          <w:marBottom w:val="88"/>
          <w:divBdr>
            <w:top w:val="none" w:sz="0" w:space="0" w:color="auto"/>
            <w:left w:val="none" w:sz="0" w:space="0" w:color="auto"/>
            <w:bottom w:val="none" w:sz="0" w:space="0" w:color="auto"/>
            <w:right w:val="none" w:sz="0" w:space="0" w:color="auto"/>
          </w:divBdr>
        </w:div>
        <w:div w:id="1184517465">
          <w:marLeft w:val="1701"/>
          <w:marRight w:val="902"/>
          <w:marTop w:val="0"/>
          <w:marBottom w:val="88"/>
          <w:divBdr>
            <w:top w:val="none" w:sz="0" w:space="0" w:color="auto"/>
            <w:left w:val="none" w:sz="0" w:space="0" w:color="auto"/>
            <w:bottom w:val="none" w:sz="0" w:space="0" w:color="auto"/>
            <w:right w:val="none" w:sz="0" w:space="0" w:color="auto"/>
          </w:divBdr>
        </w:div>
        <w:div w:id="1191651073">
          <w:marLeft w:val="1701"/>
          <w:marRight w:val="902"/>
          <w:marTop w:val="0"/>
          <w:marBottom w:val="101"/>
          <w:divBdr>
            <w:top w:val="none" w:sz="0" w:space="0" w:color="auto"/>
            <w:left w:val="none" w:sz="0" w:space="0" w:color="auto"/>
            <w:bottom w:val="none" w:sz="0" w:space="0" w:color="auto"/>
            <w:right w:val="none" w:sz="0" w:space="0" w:color="auto"/>
          </w:divBdr>
        </w:div>
        <w:div w:id="1323041634">
          <w:marLeft w:val="1701"/>
          <w:marRight w:val="899"/>
          <w:marTop w:val="0"/>
          <w:marBottom w:val="88"/>
          <w:divBdr>
            <w:top w:val="none" w:sz="0" w:space="0" w:color="auto"/>
            <w:left w:val="none" w:sz="0" w:space="0" w:color="auto"/>
            <w:bottom w:val="none" w:sz="0" w:space="0" w:color="auto"/>
            <w:right w:val="none" w:sz="0" w:space="0" w:color="auto"/>
          </w:divBdr>
        </w:div>
        <w:div w:id="1398631408">
          <w:marLeft w:val="0"/>
          <w:marRight w:val="899"/>
          <w:marTop w:val="0"/>
          <w:marBottom w:val="88"/>
          <w:divBdr>
            <w:top w:val="none" w:sz="0" w:space="0" w:color="auto"/>
            <w:left w:val="none" w:sz="0" w:space="0" w:color="auto"/>
            <w:bottom w:val="none" w:sz="0" w:space="0" w:color="auto"/>
            <w:right w:val="none" w:sz="0" w:space="0" w:color="auto"/>
          </w:divBdr>
        </w:div>
        <w:div w:id="1582065219">
          <w:marLeft w:val="1701"/>
          <w:marRight w:val="899"/>
          <w:marTop w:val="0"/>
          <w:marBottom w:val="88"/>
          <w:divBdr>
            <w:top w:val="none" w:sz="0" w:space="0" w:color="auto"/>
            <w:left w:val="none" w:sz="0" w:space="0" w:color="auto"/>
            <w:bottom w:val="none" w:sz="0" w:space="0" w:color="auto"/>
            <w:right w:val="none" w:sz="0" w:space="0" w:color="auto"/>
          </w:divBdr>
        </w:div>
        <w:div w:id="1604069922">
          <w:marLeft w:val="1701"/>
          <w:marRight w:val="902"/>
          <w:marTop w:val="0"/>
          <w:marBottom w:val="101"/>
          <w:divBdr>
            <w:top w:val="none" w:sz="0" w:space="0" w:color="auto"/>
            <w:left w:val="none" w:sz="0" w:space="0" w:color="auto"/>
            <w:bottom w:val="none" w:sz="0" w:space="0" w:color="auto"/>
            <w:right w:val="none" w:sz="0" w:space="0" w:color="auto"/>
          </w:divBdr>
        </w:div>
        <w:div w:id="1610317244">
          <w:marLeft w:val="1701"/>
          <w:marRight w:val="899"/>
          <w:marTop w:val="0"/>
          <w:marBottom w:val="101"/>
          <w:divBdr>
            <w:top w:val="none" w:sz="0" w:space="0" w:color="auto"/>
            <w:left w:val="none" w:sz="0" w:space="0" w:color="auto"/>
            <w:bottom w:val="none" w:sz="0" w:space="0" w:color="auto"/>
            <w:right w:val="none" w:sz="0" w:space="0" w:color="auto"/>
          </w:divBdr>
        </w:div>
        <w:div w:id="1743940723">
          <w:marLeft w:val="1701"/>
          <w:marRight w:val="902"/>
          <w:marTop w:val="0"/>
          <w:marBottom w:val="101"/>
          <w:divBdr>
            <w:top w:val="none" w:sz="0" w:space="0" w:color="auto"/>
            <w:left w:val="none" w:sz="0" w:space="0" w:color="auto"/>
            <w:bottom w:val="none" w:sz="0" w:space="0" w:color="auto"/>
            <w:right w:val="none" w:sz="0" w:space="0" w:color="auto"/>
          </w:divBdr>
        </w:div>
        <w:div w:id="1767921043">
          <w:marLeft w:val="1701"/>
          <w:marRight w:val="902"/>
          <w:marTop w:val="0"/>
          <w:marBottom w:val="88"/>
          <w:divBdr>
            <w:top w:val="none" w:sz="0" w:space="0" w:color="auto"/>
            <w:left w:val="none" w:sz="0" w:space="0" w:color="auto"/>
            <w:bottom w:val="none" w:sz="0" w:space="0" w:color="auto"/>
            <w:right w:val="none" w:sz="0" w:space="0" w:color="auto"/>
          </w:divBdr>
        </w:div>
        <w:div w:id="1877083557">
          <w:marLeft w:val="1701"/>
          <w:marRight w:val="902"/>
          <w:marTop w:val="0"/>
          <w:marBottom w:val="101"/>
          <w:divBdr>
            <w:top w:val="none" w:sz="0" w:space="0" w:color="auto"/>
            <w:left w:val="none" w:sz="0" w:space="0" w:color="auto"/>
            <w:bottom w:val="none" w:sz="0" w:space="0" w:color="auto"/>
            <w:right w:val="none" w:sz="0" w:space="0" w:color="auto"/>
          </w:divBdr>
        </w:div>
        <w:div w:id="2014674759">
          <w:marLeft w:val="1701"/>
          <w:marRight w:val="902"/>
          <w:marTop w:val="0"/>
          <w:marBottom w:val="101"/>
          <w:divBdr>
            <w:top w:val="none" w:sz="0" w:space="0" w:color="auto"/>
            <w:left w:val="none" w:sz="0" w:space="0" w:color="auto"/>
            <w:bottom w:val="none" w:sz="0" w:space="0" w:color="auto"/>
            <w:right w:val="none" w:sz="0" w:space="0" w:color="auto"/>
          </w:divBdr>
        </w:div>
        <w:div w:id="2060467996">
          <w:marLeft w:val="1701"/>
          <w:marRight w:val="902"/>
          <w:marTop w:val="0"/>
          <w:marBottom w:val="88"/>
          <w:divBdr>
            <w:top w:val="none" w:sz="0" w:space="0" w:color="auto"/>
            <w:left w:val="none" w:sz="0" w:space="0" w:color="auto"/>
            <w:bottom w:val="none" w:sz="0" w:space="0" w:color="auto"/>
            <w:right w:val="none" w:sz="0" w:space="0" w:color="auto"/>
          </w:divBdr>
        </w:div>
        <w:div w:id="2094626306">
          <w:marLeft w:val="1701"/>
          <w:marRight w:val="899"/>
          <w:marTop w:val="0"/>
          <w:marBottom w:val="88"/>
          <w:divBdr>
            <w:top w:val="none" w:sz="0" w:space="0" w:color="auto"/>
            <w:left w:val="none" w:sz="0" w:space="0" w:color="auto"/>
            <w:bottom w:val="none" w:sz="0" w:space="0" w:color="auto"/>
            <w:right w:val="none" w:sz="0" w:space="0" w:color="auto"/>
          </w:divBdr>
        </w:div>
        <w:div w:id="2121993092">
          <w:marLeft w:val="1701"/>
          <w:marRight w:val="899"/>
          <w:marTop w:val="0"/>
          <w:marBottom w:val="88"/>
          <w:divBdr>
            <w:top w:val="none" w:sz="0" w:space="0" w:color="auto"/>
            <w:left w:val="none" w:sz="0" w:space="0" w:color="auto"/>
            <w:bottom w:val="none" w:sz="0" w:space="0" w:color="auto"/>
            <w:right w:val="none" w:sz="0" w:space="0" w:color="auto"/>
          </w:divBdr>
        </w:div>
      </w:divsChild>
    </w:div>
    <w:div w:id="1128816654">
      <w:bodyDiv w:val="1"/>
      <w:marLeft w:val="0"/>
      <w:marRight w:val="0"/>
      <w:marTop w:val="0"/>
      <w:marBottom w:val="0"/>
      <w:divBdr>
        <w:top w:val="none" w:sz="0" w:space="0" w:color="auto"/>
        <w:left w:val="none" w:sz="0" w:space="0" w:color="auto"/>
        <w:bottom w:val="none" w:sz="0" w:space="0" w:color="auto"/>
        <w:right w:val="none" w:sz="0" w:space="0" w:color="auto"/>
      </w:divBdr>
      <w:divsChild>
        <w:div w:id="1127049040">
          <w:marLeft w:val="720"/>
          <w:marRight w:val="0"/>
          <w:marTop w:val="0"/>
          <w:marBottom w:val="101"/>
          <w:divBdr>
            <w:top w:val="none" w:sz="0" w:space="0" w:color="auto"/>
            <w:left w:val="none" w:sz="0" w:space="0" w:color="auto"/>
            <w:bottom w:val="none" w:sz="0" w:space="0" w:color="auto"/>
            <w:right w:val="none" w:sz="0" w:space="0" w:color="auto"/>
          </w:divBdr>
        </w:div>
        <w:div w:id="325137679">
          <w:marLeft w:val="720"/>
          <w:marRight w:val="0"/>
          <w:marTop w:val="0"/>
          <w:marBottom w:val="101"/>
          <w:divBdr>
            <w:top w:val="none" w:sz="0" w:space="0" w:color="auto"/>
            <w:left w:val="none" w:sz="0" w:space="0" w:color="auto"/>
            <w:bottom w:val="none" w:sz="0" w:space="0" w:color="auto"/>
            <w:right w:val="none" w:sz="0" w:space="0" w:color="auto"/>
          </w:divBdr>
        </w:div>
        <w:div w:id="180896027">
          <w:marLeft w:val="720"/>
          <w:marRight w:val="0"/>
          <w:marTop w:val="0"/>
          <w:marBottom w:val="101"/>
          <w:divBdr>
            <w:top w:val="none" w:sz="0" w:space="0" w:color="auto"/>
            <w:left w:val="none" w:sz="0" w:space="0" w:color="auto"/>
            <w:bottom w:val="none" w:sz="0" w:space="0" w:color="auto"/>
            <w:right w:val="none" w:sz="0" w:space="0" w:color="auto"/>
          </w:divBdr>
        </w:div>
      </w:divsChild>
    </w:div>
    <w:div w:id="1136029410">
      <w:bodyDiv w:val="1"/>
      <w:marLeft w:val="0"/>
      <w:marRight w:val="0"/>
      <w:marTop w:val="0"/>
      <w:marBottom w:val="0"/>
      <w:divBdr>
        <w:top w:val="none" w:sz="0" w:space="0" w:color="auto"/>
        <w:left w:val="none" w:sz="0" w:space="0" w:color="auto"/>
        <w:bottom w:val="none" w:sz="0" w:space="0" w:color="auto"/>
        <w:right w:val="none" w:sz="0" w:space="0" w:color="auto"/>
      </w:divBdr>
    </w:div>
    <w:div w:id="1140416407">
      <w:bodyDiv w:val="1"/>
      <w:marLeft w:val="0"/>
      <w:marRight w:val="0"/>
      <w:marTop w:val="0"/>
      <w:marBottom w:val="0"/>
      <w:divBdr>
        <w:top w:val="none" w:sz="0" w:space="0" w:color="auto"/>
        <w:left w:val="none" w:sz="0" w:space="0" w:color="auto"/>
        <w:bottom w:val="none" w:sz="0" w:space="0" w:color="auto"/>
        <w:right w:val="none" w:sz="0" w:space="0" w:color="auto"/>
      </w:divBdr>
      <w:divsChild>
        <w:div w:id="1752778890">
          <w:marLeft w:val="0"/>
          <w:marRight w:val="0"/>
          <w:marTop w:val="0"/>
          <w:marBottom w:val="101"/>
          <w:divBdr>
            <w:top w:val="none" w:sz="0" w:space="0" w:color="auto"/>
            <w:left w:val="none" w:sz="0" w:space="0" w:color="auto"/>
            <w:bottom w:val="none" w:sz="0" w:space="0" w:color="auto"/>
            <w:right w:val="none" w:sz="0" w:space="0" w:color="auto"/>
          </w:divBdr>
        </w:div>
        <w:div w:id="2002807766">
          <w:marLeft w:val="720"/>
          <w:marRight w:val="0"/>
          <w:marTop w:val="0"/>
          <w:marBottom w:val="101"/>
          <w:divBdr>
            <w:top w:val="none" w:sz="0" w:space="0" w:color="auto"/>
            <w:left w:val="none" w:sz="0" w:space="0" w:color="auto"/>
            <w:bottom w:val="none" w:sz="0" w:space="0" w:color="auto"/>
            <w:right w:val="none" w:sz="0" w:space="0" w:color="auto"/>
          </w:divBdr>
        </w:div>
        <w:div w:id="355354829">
          <w:marLeft w:val="720"/>
          <w:marRight w:val="0"/>
          <w:marTop w:val="0"/>
          <w:marBottom w:val="101"/>
          <w:divBdr>
            <w:top w:val="none" w:sz="0" w:space="0" w:color="auto"/>
            <w:left w:val="none" w:sz="0" w:space="0" w:color="auto"/>
            <w:bottom w:val="none" w:sz="0" w:space="0" w:color="auto"/>
            <w:right w:val="none" w:sz="0" w:space="0" w:color="auto"/>
          </w:divBdr>
        </w:div>
        <w:div w:id="243422416">
          <w:marLeft w:val="720"/>
          <w:marRight w:val="0"/>
          <w:marTop w:val="0"/>
          <w:marBottom w:val="101"/>
          <w:divBdr>
            <w:top w:val="none" w:sz="0" w:space="0" w:color="auto"/>
            <w:left w:val="none" w:sz="0" w:space="0" w:color="auto"/>
            <w:bottom w:val="none" w:sz="0" w:space="0" w:color="auto"/>
            <w:right w:val="none" w:sz="0" w:space="0" w:color="auto"/>
          </w:divBdr>
        </w:div>
      </w:divsChild>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75097063">
      <w:bodyDiv w:val="1"/>
      <w:marLeft w:val="0"/>
      <w:marRight w:val="0"/>
      <w:marTop w:val="0"/>
      <w:marBottom w:val="0"/>
      <w:divBdr>
        <w:top w:val="none" w:sz="0" w:space="0" w:color="auto"/>
        <w:left w:val="none" w:sz="0" w:space="0" w:color="auto"/>
        <w:bottom w:val="none" w:sz="0" w:space="0" w:color="auto"/>
        <w:right w:val="none" w:sz="0" w:space="0" w:color="auto"/>
      </w:divBdr>
    </w:div>
    <w:div w:id="1288316718">
      <w:bodyDiv w:val="1"/>
      <w:marLeft w:val="0"/>
      <w:marRight w:val="0"/>
      <w:marTop w:val="0"/>
      <w:marBottom w:val="0"/>
      <w:divBdr>
        <w:top w:val="none" w:sz="0" w:space="0" w:color="auto"/>
        <w:left w:val="none" w:sz="0" w:space="0" w:color="auto"/>
        <w:bottom w:val="none" w:sz="0" w:space="0" w:color="auto"/>
        <w:right w:val="none" w:sz="0" w:space="0" w:color="auto"/>
      </w:divBdr>
      <w:divsChild>
        <w:div w:id="322126034">
          <w:marLeft w:val="0"/>
          <w:marRight w:val="0"/>
          <w:marTop w:val="0"/>
          <w:marBottom w:val="0"/>
          <w:divBdr>
            <w:top w:val="none" w:sz="0" w:space="0" w:color="auto"/>
            <w:left w:val="none" w:sz="0" w:space="0" w:color="auto"/>
            <w:bottom w:val="none" w:sz="0" w:space="0" w:color="auto"/>
            <w:right w:val="none" w:sz="0" w:space="0" w:color="auto"/>
          </w:divBdr>
        </w:div>
      </w:divsChild>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331563967">
      <w:bodyDiv w:val="1"/>
      <w:marLeft w:val="0"/>
      <w:marRight w:val="0"/>
      <w:marTop w:val="0"/>
      <w:marBottom w:val="0"/>
      <w:divBdr>
        <w:top w:val="none" w:sz="0" w:space="0" w:color="auto"/>
        <w:left w:val="none" w:sz="0" w:space="0" w:color="auto"/>
        <w:bottom w:val="none" w:sz="0" w:space="0" w:color="auto"/>
        <w:right w:val="none" w:sz="0" w:space="0" w:color="auto"/>
      </w:divBdr>
    </w:div>
    <w:div w:id="1342394571">
      <w:bodyDiv w:val="1"/>
      <w:marLeft w:val="0"/>
      <w:marRight w:val="0"/>
      <w:marTop w:val="0"/>
      <w:marBottom w:val="0"/>
      <w:divBdr>
        <w:top w:val="none" w:sz="0" w:space="0" w:color="auto"/>
        <w:left w:val="none" w:sz="0" w:space="0" w:color="auto"/>
        <w:bottom w:val="none" w:sz="0" w:space="0" w:color="auto"/>
        <w:right w:val="none" w:sz="0" w:space="0" w:color="auto"/>
      </w:divBdr>
    </w:div>
    <w:div w:id="1407268274">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5513144">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464733948">
      <w:bodyDiv w:val="1"/>
      <w:marLeft w:val="0"/>
      <w:marRight w:val="0"/>
      <w:marTop w:val="0"/>
      <w:marBottom w:val="0"/>
      <w:divBdr>
        <w:top w:val="none" w:sz="0" w:space="0" w:color="auto"/>
        <w:left w:val="none" w:sz="0" w:space="0" w:color="auto"/>
        <w:bottom w:val="none" w:sz="0" w:space="0" w:color="auto"/>
        <w:right w:val="none" w:sz="0" w:space="0" w:color="auto"/>
      </w:divBdr>
    </w:div>
    <w:div w:id="1543637891">
      <w:bodyDiv w:val="1"/>
      <w:marLeft w:val="0"/>
      <w:marRight w:val="0"/>
      <w:marTop w:val="0"/>
      <w:marBottom w:val="0"/>
      <w:divBdr>
        <w:top w:val="none" w:sz="0" w:space="0" w:color="auto"/>
        <w:left w:val="none" w:sz="0" w:space="0" w:color="auto"/>
        <w:bottom w:val="none" w:sz="0" w:space="0" w:color="auto"/>
        <w:right w:val="none" w:sz="0" w:space="0" w:color="auto"/>
      </w:divBdr>
      <w:divsChild>
        <w:div w:id="482770327">
          <w:marLeft w:val="0"/>
          <w:marRight w:val="48"/>
          <w:marTop w:val="0"/>
          <w:marBottom w:val="101"/>
          <w:divBdr>
            <w:top w:val="none" w:sz="0" w:space="0" w:color="auto"/>
            <w:left w:val="none" w:sz="0" w:space="0" w:color="auto"/>
            <w:bottom w:val="none" w:sz="0" w:space="0" w:color="auto"/>
            <w:right w:val="none" w:sz="0" w:space="0" w:color="auto"/>
          </w:divBdr>
        </w:div>
        <w:div w:id="571547338">
          <w:marLeft w:val="0"/>
          <w:marRight w:val="48"/>
          <w:marTop w:val="0"/>
          <w:marBottom w:val="101"/>
          <w:divBdr>
            <w:top w:val="none" w:sz="0" w:space="0" w:color="auto"/>
            <w:left w:val="none" w:sz="0" w:space="0" w:color="auto"/>
            <w:bottom w:val="none" w:sz="0" w:space="0" w:color="auto"/>
            <w:right w:val="none" w:sz="0" w:space="0" w:color="auto"/>
          </w:divBdr>
        </w:div>
        <w:div w:id="647326967">
          <w:marLeft w:val="1134"/>
          <w:marRight w:val="850"/>
          <w:marTop w:val="0"/>
          <w:marBottom w:val="101"/>
          <w:divBdr>
            <w:top w:val="none" w:sz="0" w:space="0" w:color="auto"/>
            <w:left w:val="none" w:sz="0" w:space="0" w:color="auto"/>
            <w:bottom w:val="none" w:sz="0" w:space="0" w:color="auto"/>
            <w:right w:val="none" w:sz="0" w:space="0" w:color="auto"/>
          </w:divBdr>
        </w:div>
        <w:div w:id="696810630">
          <w:marLeft w:val="0"/>
          <w:marRight w:val="48"/>
          <w:marTop w:val="0"/>
          <w:marBottom w:val="101"/>
          <w:divBdr>
            <w:top w:val="none" w:sz="0" w:space="0" w:color="auto"/>
            <w:left w:val="none" w:sz="0" w:space="0" w:color="auto"/>
            <w:bottom w:val="none" w:sz="0" w:space="0" w:color="auto"/>
            <w:right w:val="none" w:sz="0" w:space="0" w:color="auto"/>
          </w:divBdr>
        </w:div>
        <w:div w:id="992947824">
          <w:marLeft w:val="0"/>
          <w:marRight w:val="48"/>
          <w:marTop w:val="0"/>
          <w:marBottom w:val="101"/>
          <w:divBdr>
            <w:top w:val="none" w:sz="0" w:space="0" w:color="auto"/>
            <w:left w:val="none" w:sz="0" w:space="0" w:color="auto"/>
            <w:bottom w:val="none" w:sz="0" w:space="0" w:color="auto"/>
            <w:right w:val="none" w:sz="0" w:space="0" w:color="auto"/>
          </w:divBdr>
        </w:div>
        <w:div w:id="1185166004">
          <w:marLeft w:val="0"/>
          <w:marRight w:val="48"/>
          <w:marTop w:val="0"/>
          <w:marBottom w:val="101"/>
          <w:divBdr>
            <w:top w:val="none" w:sz="0" w:space="0" w:color="auto"/>
            <w:left w:val="none" w:sz="0" w:space="0" w:color="auto"/>
            <w:bottom w:val="none" w:sz="0" w:space="0" w:color="auto"/>
            <w:right w:val="none" w:sz="0" w:space="0" w:color="auto"/>
          </w:divBdr>
        </w:div>
        <w:div w:id="1206140998">
          <w:marLeft w:val="0"/>
          <w:marRight w:val="48"/>
          <w:marTop w:val="0"/>
          <w:marBottom w:val="101"/>
          <w:divBdr>
            <w:top w:val="none" w:sz="0" w:space="0" w:color="auto"/>
            <w:left w:val="none" w:sz="0" w:space="0" w:color="auto"/>
            <w:bottom w:val="none" w:sz="0" w:space="0" w:color="auto"/>
            <w:right w:val="none" w:sz="0" w:space="0" w:color="auto"/>
          </w:divBdr>
        </w:div>
        <w:div w:id="1868565951">
          <w:marLeft w:val="0"/>
          <w:marRight w:val="48"/>
          <w:marTop w:val="0"/>
          <w:marBottom w:val="101"/>
          <w:divBdr>
            <w:top w:val="none" w:sz="0" w:space="0" w:color="auto"/>
            <w:left w:val="none" w:sz="0" w:space="0" w:color="auto"/>
            <w:bottom w:val="none" w:sz="0" w:space="0" w:color="auto"/>
            <w:right w:val="none" w:sz="0" w:space="0" w:color="auto"/>
          </w:divBdr>
        </w:div>
        <w:div w:id="1971934361">
          <w:marLeft w:val="0"/>
          <w:marRight w:val="48"/>
          <w:marTop w:val="0"/>
          <w:marBottom w:val="101"/>
          <w:divBdr>
            <w:top w:val="none" w:sz="0" w:space="0" w:color="auto"/>
            <w:left w:val="none" w:sz="0" w:space="0" w:color="auto"/>
            <w:bottom w:val="none" w:sz="0" w:space="0" w:color="auto"/>
            <w:right w:val="none" w:sz="0" w:space="0" w:color="auto"/>
          </w:divBdr>
        </w:div>
      </w:divsChild>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585382584">
      <w:bodyDiv w:val="1"/>
      <w:marLeft w:val="0"/>
      <w:marRight w:val="0"/>
      <w:marTop w:val="0"/>
      <w:marBottom w:val="0"/>
      <w:divBdr>
        <w:top w:val="none" w:sz="0" w:space="0" w:color="auto"/>
        <w:left w:val="none" w:sz="0" w:space="0" w:color="auto"/>
        <w:bottom w:val="none" w:sz="0" w:space="0" w:color="auto"/>
        <w:right w:val="none" w:sz="0" w:space="0" w:color="auto"/>
      </w:divBdr>
      <w:divsChild>
        <w:div w:id="1446382566">
          <w:marLeft w:val="1627"/>
          <w:marRight w:val="0"/>
          <w:marTop w:val="0"/>
          <w:marBottom w:val="0"/>
          <w:divBdr>
            <w:top w:val="none" w:sz="0" w:space="0" w:color="auto"/>
            <w:left w:val="none" w:sz="0" w:space="0" w:color="auto"/>
            <w:bottom w:val="none" w:sz="0" w:space="0" w:color="auto"/>
            <w:right w:val="none" w:sz="0" w:space="0" w:color="auto"/>
          </w:divBdr>
        </w:div>
        <w:div w:id="221797068">
          <w:marLeft w:val="1620"/>
          <w:marRight w:val="0"/>
          <w:marTop w:val="0"/>
          <w:marBottom w:val="101"/>
          <w:divBdr>
            <w:top w:val="none" w:sz="0" w:space="0" w:color="auto"/>
            <w:left w:val="none" w:sz="0" w:space="0" w:color="auto"/>
            <w:bottom w:val="none" w:sz="0" w:space="0" w:color="auto"/>
            <w:right w:val="none" w:sz="0" w:space="0" w:color="auto"/>
          </w:divBdr>
        </w:div>
      </w:divsChild>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615333303">
      <w:bodyDiv w:val="1"/>
      <w:marLeft w:val="0"/>
      <w:marRight w:val="0"/>
      <w:marTop w:val="0"/>
      <w:marBottom w:val="0"/>
      <w:divBdr>
        <w:top w:val="none" w:sz="0" w:space="0" w:color="auto"/>
        <w:left w:val="none" w:sz="0" w:space="0" w:color="auto"/>
        <w:bottom w:val="none" w:sz="0" w:space="0" w:color="auto"/>
        <w:right w:val="none" w:sz="0" w:space="0" w:color="auto"/>
      </w:divBdr>
    </w:div>
    <w:div w:id="1630041333">
      <w:bodyDiv w:val="1"/>
      <w:marLeft w:val="0"/>
      <w:marRight w:val="0"/>
      <w:marTop w:val="0"/>
      <w:marBottom w:val="0"/>
      <w:divBdr>
        <w:top w:val="none" w:sz="0" w:space="0" w:color="auto"/>
        <w:left w:val="none" w:sz="0" w:space="0" w:color="auto"/>
        <w:bottom w:val="none" w:sz="0" w:space="0" w:color="auto"/>
        <w:right w:val="none" w:sz="0" w:space="0" w:color="auto"/>
      </w:divBdr>
      <w:divsChild>
        <w:div w:id="1905992045">
          <w:marLeft w:val="0"/>
          <w:marRight w:val="0"/>
          <w:marTop w:val="0"/>
          <w:marBottom w:val="101"/>
          <w:divBdr>
            <w:top w:val="none" w:sz="0" w:space="0" w:color="auto"/>
            <w:left w:val="none" w:sz="0" w:space="0" w:color="auto"/>
            <w:bottom w:val="none" w:sz="0" w:space="0" w:color="auto"/>
            <w:right w:val="none" w:sz="0" w:space="0" w:color="auto"/>
          </w:divBdr>
        </w:div>
        <w:div w:id="1605188778">
          <w:marLeft w:val="0"/>
          <w:marRight w:val="0"/>
          <w:marTop w:val="0"/>
          <w:marBottom w:val="101"/>
          <w:divBdr>
            <w:top w:val="none" w:sz="0" w:space="0" w:color="auto"/>
            <w:left w:val="none" w:sz="0" w:space="0" w:color="auto"/>
            <w:bottom w:val="none" w:sz="0" w:space="0" w:color="auto"/>
            <w:right w:val="none" w:sz="0" w:space="0" w:color="auto"/>
          </w:divBdr>
        </w:div>
      </w:divsChild>
    </w:div>
    <w:div w:id="1670019975">
      <w:bodyDiv w:val="1"/>
      <w:marLeft w:val="0"/>
      <w:marRight w:val="0"/>
      <w:marTop w:val="0"/>
      <w:marBottom w:val="0"/>
      <w:divBdr>
        <w:top w:val="none" w:sz="0" w:space="0" w:color="auto"/>
        <w:left w:val="none" w:sz="0" w:space="0" w:color="auto"/>
        <w:bottom w:val="none" w:sz="0" w:space="0" w:color="auto"/>
        <w:right w:val="none" w:sz="0" w:space="0" w:color="auto"/>
      </w:divBdr>
    </w:div>
    <w:div w:id="1673797451">
      <w:bodyDiv w:val="1"/>
      <w:marLeft w:val="0"/>
      <w:marRight w:val="0"/>
      <w:marTop w:val="0"/>
      <w:marBottom w:val="0"/>
      <w:divBdr>
        <w:top w:val="none" w:sz="0" w:space="0" w:color="auto"/>
        <w:left w:val="none" w:sz="0" w:space="0" w:color="auto"/>
        <w:bottom w:val="none" w:sz="0" w:space="0" w:color="auto"/>
        <w:right w:val="none" w:sz="0" w:space="0" w:color="auto"/>
      </w:divBdr>
      <w:divsChild>
        <w:div w:id="890266771">
          <w:marLeft w:val="1627"/>
          <w:marRight w:val="0"/>
          <w:marTop w:val="0"/>
          <w:marBottom w:val="0"/>
          <w:divBdr>
            <w:top w:val="none" w:sz="0" w:space="0" w:color="auto"/>
            <w:left w:val="none" w:sz="0" w:space="0" w:color="auto"/>
            <w:bottom w:val="none" w:sz="0" w:space="0" w:color="auto"/>
            <w:right w:val="none" w:sz="0" w:space="0" w:color="auto"/>
          </w:divBdr>
        </w:div>
        <w:div w:id="275334141">
          <w:marLeft w:val="1620"/>
          <w:marRight w:val="0"/>
          <w:marTop w:val="0"/>
          <w:marBottom w:val="101"/>
          <w:divBdr>
            <w:top w:val="none" w:sz="0" w:space="0" w:color="auto"/>
            <w:left w:val="none" w:sz="0" w:space="0" w:color="auto"/>
            <w:bottom w:val="none" w:sz="0" w:space="0" w:color="auto"/>
            <w:right w:val="none" w:sz="0" w:space="0" w:color="auto"/>
          </w:divBdr>
        </w:div>
      </w:divsChild>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897738510">
      <w:bodyDiv w:val="1"/>
      <w:marLeft w:val="0"/>
      <w:marRight w:val="0"/>
      <w:marTop w:val="0"/>
      <w:marBottom w:val="0"/>
      <w:divBdr>
        <w:top w:val="none" w:sz="0" w:space="0" w:color="auto"/>
        <w:left w:val="none" w:sz="0" w:space="0" w:color="auto"/>
        <w:bottom w:val="none" w:sz="0" w:space="0" w:color="auto"/>
        <w:right w:val="none" w:sz="0" w:space="0" w:color="auto"/>
      </w:divBdr>
    </w:div>
    <w:div w:id="1913735606">
      <w:bodyDiv w:val="1"/>
      <w:marLeft w:val="0"/>
      <w:marRight w:val="0"/>
      <w:marTop w:val="0"/>
      <w:marBottom w:val="0"/>
      <w:divBdr>
        <w:top w:val="none" w:sz="0" w:space="0" w:color="auto"/>
        <w:left w:val="none" w:sz="0" w:space="0" w:color="auto"/>
        <w:bottom w:val="none" w:sz="0" w:space="0" w:color="auto"/>
        <w:right w:val="none" w:sz="0" w:space="0" w:color="auto"/>
      </w:divBdr>
    </w:div>
    <w:div w:id="1916865099">
      <w:bodyDiv w:val="1"/>
      <w:marLeft w:val="0"/>
      <w:marRight w:val="0"/>
      <w:marTop w:val="0"/>
      <w:marBottom w:val="0"/>
      <w:divBdr>
        <w:top w:val="none" w:sz="0" w:space="0" w:color="auto"/>
        <w:left w:val="none" w:sz="0" w:space="0" w:color="auto"/>
        <w:bottom w:val="none" w:sz="0" w:space="0" w:color="auto"/>
        <w:right w:val="none" w:sz="0" w:space="0" w:color="auto"/>
      </w:divBdr>
      <w:divsChild>
        <w:div w:id="1245578030">
          <w:marLeft w:val="0"/>
          <w:marRight w:val="0"/>
          <w:marTop w:val="0"/>
          <w:marBottom w:val="101"/>
          <w:divBdr>
            <w:top w:val="none" w:sz="0" w:space="0" w:color="auto"/>
            <w:left w:val="none" w:sz="0" w:space="0" w:color="auto"/>
            <w:bottom w:val="none" w:sz="0" w:space="0" w:color="auto"/>
            <w:right w:val="none" w:sz="0" w:space="0" w:color="auto"/>
          </w:divBdr>
        </w:div>
        <w:div w:id="379785483">
          <w:marLeft w:val="0"/>
          <w:marRight w:val="0"/>
          <w:marTop w:val="0"/>
          <w:marBottom w:val="101"/>
          <w:divBdr>
            <w:top w:val="none" w:sz="0" w:space="0" w:color="auto"/>
            <w:left w:val="none" w:sz="0" w:space="0" w:color="auto"/>
            <w:bottom w:val="none" w:sz="0" w:space="0" w:color="auto"/>
            <w:right w:val="none" w:sz="0" w:space="0" w:color="auto"/>
          </w:divBdr>
        </w:div>
      </w:divsChild>
    </w:div>
    <w:div w:id="2037078038">
      <w:bodyDiv w:val="1"/>
      <w:marLeft w:val="0"/>
      <w:marRight w:val="0"/>
      <w:marTop w:val="0"/>
      <w:marBottom w:val="0"/>
      <w:divBdr>
        <w:top w:val="none" w:sz="0" w:space="0" w:color="auto"/>
        <w:left w:val="none" w:sz="0" w:space="0" w:color="auto"/>
        <w:bottom w:val="none" w:sz="0" w:space="0" w:color="auto"/>
        <w:right w:val="none" w:sz="0" w:space="0" w:color="auto"/>
      </w:divBdr>
      <w:divsChild>
        <w:div w:id="1145467648">
          <w:marLeft w:val="0"/>
          <w:marRight w:val="0"/>
          <w:marTop w:val="0"/>
          <w:marBottom w:val="0"/>
          <w:divBdr>
            <w:top w:val="none" w:sz="0" w:space="0" w:color="auto"/>
            <w:left w:val="none" w:sz="0" w:space="0" w:color="auto"/>
            <w:bottom w:val="none" w:sz="0" w:space="0" w:color="auto"/>
            <w:right w:val="none" w:sz="0" w:space="0" w:color="auto"/>
          </w:divBdr>
        </w:div>
      </w:divsChild>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 w:id="2079474835">
      <w:bodyDiv w:val="1"/>
      <w:marLeft w:val="0"/>
      <w:marRight w:val="0"/>
      <w:marTop w:val="0"/>
      <w:marBottom w:val="0"/>
      <w:divBdr>
        <w:top w:val="none" w:sz="0" w:space="0" w:color="auto"/>
        <w:left w:val="none" w:sz="0" w:space="0" w:color="auto"/>
        <w:bottom w:val="none" w:sz="0" w:space="0" w:color="auto"/>
        <w:right w:val="none" w:sz="0" w:space="0" w:color="auto"/>
      </w:divBdr>
      <w:divsChild>
        <w:div w:id="1544712196">
          <w:marLeft w:val="720"/>
          <w:marRight w:val="0"/>
          <w:marTop w:val="0"/>
          <w:marBottom w:val="101"/>
          <w:divBdr>
            <w:top w:val="none" w:sz="0" w:space="0" w:color="auto"/>
            <w:left w:val="none" w:sz="0" w:space="0" w:color="auto"/>
            <w:bottom w:val="none" w:sz="0" w:space="0" w:color="auto"/>
            <w:right w:val="none" w:sz="0" w:space="0" w:color="auto"/>
          </w:divBdr>
        </w:div>
        <w:div w:id="1755466707">
          <w:marLeft w:val="720"/>
          <w:marRight w:val="0"/>
          <w:marTop w:val="0"/>
          <w:marBottom w:val="101"/>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hyperlink" Target="javascript:AbrirModal(2)"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javascript:AbrirModal(1)" TargetMode="External"/><Relationship Id="rId14" Type="http://schemas.openxmlformats.org/officeDocument/2006/relationships/image" Target="media/image5.png"/><Relationship Id="rId22" Type="http://schemas.openxmlformats.org/officeDocument/2006/relationships/fontTable" Target="fontTable.xml"/><Relationship Id="rId27" Type="http://schemas.microsoft.com/office/2016/09/relationships/commentsIds" Target="commentsIds.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EBD0F2-5875-4659-8DFC-6A485F1135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30</Pages>
  <Words>6984</Words>
  <Characters>38414</Characters>
  <Application>Microsoft Office Word</Application>
  <DocSecurity>0</DocSecurity>
  <Lines>320</Lines>
  <Paragraphs>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45308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USUARIO-INFOEM</cp:lastModifiedBy>
  <cp:revision>5</cp:revision>
  <cp:lastPrinted>2019-06-13T15:30:00Z</cp:lastPrinted>
  <dcterms:created xsi:type="dcterms:W3CDTF">2021-11-16T23:18:00Z</dcterms:created>
  <dcterms:modified xsi:type="dcterms:W3CDTF">2021-12-01T15:05:00Z</dcterms:modified>
</cp:coreProperties>
</file>