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419A1" w14:textId="312112BA" w:rsidR="003257F3" w:rsidRDefault="00D45CA3" w:rsidP="003257F3">
      <w:pPr>
        <w:spacing w:line="360" w:lineRule="auto"/>
        <w:ind w:left="567"/>
        <w:jc w:val="both"/>
        <w:rPr>
          <w:rFonts w:ascii="Palatino Linotype" w:hAnsi="Palatino Linotype" w:cs="Arial"/>
          <w:b/>
          <w:bCs/>
        </w:rPr>
      </w:pPr>
      <w:r w:rsidRPr="009565F9">
        <w:rPr>
          <w:rFonts w:ascii="Palatino Linotype" w:hAnsi="Palatino Linotype" w:cs="Arial"/>
          <w:b/>
        </w:rPr>
        <w:t xml:space="preserve">VOTO </w:t>
      </w:r>
      <w:r w:rsidR="00FA3F69" w:rsidRPr="009565F9">
        <w:rPr>
          <w:rFonts w:ascii="Palatino Linotype" w:hAnsi="Palatino Linotype" w:cs="Arial"/>
          <w:b/>
        </w:rPr>
        <w:t>PARTICULAR</w:t>
      </w:r>
      <w:r w:rsidRPr="009565F9">
        <w:rPr>
          <w:rFonts w:ascii="Palatino Linotype" w:hAnsi="Palatino Linotype" w:cs="Arial"/>
          <w:b/>
        </w:rPr>
        <w:t xml:space="preserve"> DE</w:t>
      </w:r>
      <w:r w:rsidR="005D2361" w:rsidRPr="009565F9">
        <w:rPr>
          <w:rFonts w:ascii="Palatino Linotype" w:hAnsi="Palatino Linotype" w:cs="Arial"/>
          <w:b/>
        </w:rPr>
        <w:t xml:space="preserve"> </w:t>
      </w:r>
      <w:r w:rsidRPr="009565F9">
        <w:rPr>
          <w:rFonts w:ascii="Palatino Linotype" w:hAnsi="Palatino Linotype" w:cs="Arial"/>
          <w:b/>
        </w:rPr>
        <w:t>L</w:t>
      </w:r>
      <w:r w:rsidR="005D2361" w:rsidRPr="009565F9">
        <w:rPr>
          <w:rFonts w:ascii="Palatino Linotype" w:hAnsi="Palatino Linotype" w:cs="Arial"/>
          <w:b/>
        </w:rPr>
        <w:t>A COMISIONADA</w:t>
      </w:r>
      <w:r w:rsidRPr="009565F9">
        <w:rPr>
          <w:rFonts w:ascii="Palatino Linotype" w:hAnsi="Palatino Linotype" w:cs="Arial"/>
          <w:b/>
        </w:rPr>
        <w:t xml:space="preserve"> </w:t>
      </w:r>
      <w:r w:rsidR="005D2361" w:rsidRPr="009565F9">
        <w:rPr>
          <w:rFonts w:ascii="Palatino Linotype" w:hAnsi="Palatino Linotype" w:cs="Arial"/>
          <w:b/>
        </w:rPr>
        <w:t>MARÍA DEL ROSARIO MEJÍA AYALA</w:t>
      </w:r>
      <w:r w:rsidRPr="009565F9">
        <w:rPr>
          <w:rFonts w:ascii="Palatino Linotype" w:hAnsi="Palatino Linotype" w:cs="Arial"/>
          <w:b/>
        </w:rPr>
        <w:t xml:space="preserve"> EN EL RECURSO DE REVISIÓN </w:t>
      </w:r>
      <w:r w:rsidR="002C7669">
        <w:rPr>
          <w:rFonts w:ascii="Palatino Linotype" w:hAnsi="Palatino Linotype" w:cs="Arial"/>
          <w:b/>
          <w:bCs/>
          <w:lang w:eastAsia="es-MX"/>
        </w:rPr>
        <w:t>05995/INFOEM/IP/RR/2021</w:t>
      </w:r>
      <w:r w:rsidR="00DF0CCA">
        <w:rPr>
          <w:rFonts w:ascii="Palatino Linotype" w:hAnsi="Palatino Linotype" w:cs="Arial"/>
          <w:b/>
          <w:bCs/>
        </w:rPr>
        <w:t>.</w:t>
      </w:r>
    </w:p>
    <w:p w14:paraId="508E2B42" w14:textId="77777777" w:rsidR="00DF0CCA" w:rsidRPr="009565F9" w:rsidRDefault="00DF0CCA" w:rsidP="003257F3">
      <w:pPr>
        <w:spacing w:line="360" w:lineRule="auto"/>
        <w:ind w:left="567"/>
        <w:jc w:val="both"/>
        <w:rPr>
          <w:rFonts w:ascii="Palatino Linotype" w:eastAsiaTheme="majorEastAsia" w:hAnsi="Palatino Linotype"/>
          <w:b/>
        </w:rPr>
      </w:pPr>
    </w:p>
    <w:p w14:paraId="4A589CB5" w14:textId="77777777" w:rsidR="00767232" w:rsidRDefault="0024476F" w:rsidP="00767232">
      <w:pPr>
        <w:tabs>
          <w:tab w:val="left" w:pos="709"/>
        </w:tabs>
        <w:spacing w:line="360" w:lineRule="auto"/>
        <w:ind w:left="567"/>
        <w:jc w:val="both"/>
        <w:rPr>
          <w:rFonts w:ascii="Palatino Linotype" w:hAnsi="Palatino Linotype"/>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sidR="00F77D6A">
        <w:rPr>
          <w:rFonts w:ascii="Palatino Linotype" w:hAnsi="Palatino Linotype" w:cs="Arial"/>
        </w:rPr>
        <w:t>,</w:t>
      </w:r>
      <w:r w:rsidRPr="0024476F">
        <w:rPr>
          <w:rFonts w:ascii="Palatino Linotype" w:hAnsi="Palatino Linotype" w:cs="Arial"/>
        </w:rPr>
        <w:t xml:space="preserve"> por no compartir en su totalidad las consideraciones</w:t>
      </w:r>
      <w:r w:rsidR="009C03BD">
        <w:rPr>
          <w:rFonts w:ascii="Palatino Linotype" w:hAnsi="Palatino Linotype" w:cs="Arial"/>
        </w:rPr>
        <w:t xml:space="preserve"> que sustentan la Resolución de</w:t>
      </w:r>
      <w:r w:rsidR="00676649">
        <w:rPr>
          <w:rFonts w:ascii="Palatino Linotype" w:hAnsi="Palatino Linotype" w:cs="Arial"/>
        </w:rPr>
        <w:t xml:space="preserve">l </w:t>
      </w:r>
      <w:r w:rsidRPr="0024476F">
        <w:rPr>
          <w:rFonts w:ascii="Palatino Linotype" w:hAnsi="Palatino Linotype" w:cs="Arial"/>
        </w:rPr>
        <w:t xml:space="preserve">Recurso de Revisión </w:t>
      </w:r>
      <w:bookmarkStart w:id="0" w:name="_Toc88136404"/>
      <w:r w:rsidR="00767232">
        <w:rPr>
          <w:rFonts w:ascii="Palatino Linotype" w:hAnsi="Palatino Linotype" w:cs="Arial"/>
          <w:b/>
          <w:bCs/>
          <w:lang w:eastAsia="es-MX"/>
        </w:rPr>
        <w:t>05995/INFOEM/IP/RR/2021</w:t>
      </w:r>
      <w:r w:rsidR="002A6D0E">
        <w:rPr>
          <w:rFonts w:ascii="Palatino Linotype" w:hAnsi="Palatino Linotype" w:cs="Arial"/>
          <w:b/>
        </w:rPr>
        <w:t xml:space="preserve">, </w:t>
      </w:r>
      <w:r w:rsidRPr="0024476F">
        <w:rPr>
          <w:rFonts w:ascii="Palatino Linotype" w:hAnsi="Palatino Linotype" w:cs="Arial"/>
        </w:rPr>
        <w:t>promovido en contra de</w:t>
      </w:r>
      <w:r w:rsidR="003257F3">
        <w:rPr>
          <w:rFonts w:ascii="Palatino Linotype" w:hAnsi="Palatino Linotype" w:cs="Arial"/>
        </w:rPr>
        <w:t xml:space="preserve">l </w:t>
      </w:r>
      <w:r w:rsidR="00D83F3E">
        <w:rPr>
          <w:rFonts w:ascii="Palatino Linotype" w:hAnsi="Palatino Linotype" w:cs="Arial"/>
        </w:rPr>
        <w:t xml:space="preserve"> </w:t>
      </w:r>
      <w:r w:rsidR="00767232">
        <w:rPr>
          <w:rFonts w:ascii="Palatino Linotype" w:hAnsi="Palatino Linotype" w:cs="Arial"/>
          <w:b/>
        </w:rPr>
        <w:t>Ayuntamiento de Atenco</w:t>
      </w:r>
      <w:r w:rsidRPr="0024476F">
        <w:rPr>
          <w:rFonts w:ascii="Palatino Linotype" w:hAnsi="Palatino Linotype" w:cs="Arial"/>
        </w:rPr>
        <w:t>, esto es</w:t>
      </w:r>
      <w:r w:rsidR="002A6D0E">
        <w:rPr>
          <w:rFonts w:ascii="Palatino Linotype" w:hAnsi="Palatino Linotype" w:cs="Arial"/>
        </w:rPr>
        <w:t xml:space="preserve"> al </w:t>
      </w:r>
      <w:r w:rsidR="002A6D0E" w:rsidRPr="00ED1CC8">
        <w:rPr>
          <w:rFonts w:ascii="Palatino Linotype" w:hAnsi="Palatino Linotype" w:cs="Arial"/>
        </w:rPr>
        <w:t xml:space="preserve">ordenar </w:t>
      </w:r>
      <w:r w:rsidR="00767232">
        <w:rPr>
          <w:rFonts w:ascii="Palatino Linotype" w:hAnsi="Palatino Linotype"/>
        </w:rPr>
        <w:t>para el caso de los procedimientos de sanciones graves absolutorias, concluidos, se procede a clasificar como confidencial el nombre y cargo del servidor público, al poder causar un perjuicio a la vida privada de estos.</w:t>
      </w:r>
    </w:p>
    <w:p w14:paraId="177CFCF6" w14:textId="77777777" w:rsidR="00767232" w:rsidRDefault="00767232" w:rsidP="00767232">
      <w:pPr>
        <w:tabs>
          <w:tab w:val="left" w:pos="709"/>
        </w:tabs>
        <w:spacing w:line="360" w:lineRule="auto"/>
        <w:ind w:left="567"/>
        <w:jc w:val="both"/>
        <w:rPr>
          <w:rFonts w:ascii="Palatino Linotype" w:hAnsi="Palatino Linotype"/>
        </w:rPr>
      </w:pPr>
    </w:p>
    <w:p w14:paraId="52D116B5" w14:textId="4480AD16" w:rsidR="00767232" w:rsidRDefault="00767232" w:rsidP="00767232">
      <w:pPr>
        <w:tabs>
          <w:tab w:val="left" w:pos="709"/>
        </w:tabs>
        <w:spacing w:line="360" w:lineRule="auto"/>
        <w:ind w:left="567"/>
        <w:jc w:val="both"/>
        <w:rPr>
          <w:rFonts w:ascii="Palatino Linotype" w:hAnsi="Palatino Linotype" w:cs="Arial"/>
        </w:rPr>
      </w:pPr>
      <w:r>
        <w:rPr>
          <w:rFonts w:ascii="Palatino Linotype" w:hAnsi="Palatino Linotype" w:cs="Arial"/>
        </w:rPr>
        <w:t>El</w:t>
      </w:r>
      <w:r>
        <w:rPr>
          <w:rFonts w:ascii="Palatino Linotype" w:hAnsi="Palatino Linotype" w:cs="Arial"/>
        </w:rPr>
        <w:t xml:space="preserve"> cinco de noviembre de dos mil veintiuno, </w:t>
      </w:r>
      <w:r>
        <w:rPr>
          <w:rFonts w:ascii="Palatino Linotype" w:hAnsi="Palatino Linotype" w:cs="Arial"/>
          <w:b/>
        </w:rPr>
        <w:t>la parte solicitante</w:t>
      </w:r>
      <w:r>
        <w:rPr>
          <w:rFonts w:ascii="Palatino Linotype" w:hAnsi="Palatino Linotype" w:cs="Arial"/>
        </w:rPr>
        <w:t>, presentó a través del Sistema de Acceso a la Información Mexiquense (</w:t>
      </w:r>
      <w:r>
        <w:rPr>
          <w:rFonts w:ascii="Palatino Linotype" w:hAnsi="Palatino Linotype" w:cs="Arial"/>
          <w:b/>
        </w:rPr>
        <w:t>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rPr>
        <w:t>, solicitud de acceso a la información pública, registrada bajo el número de expediente</w:t>
      </w:r>
      <w:r>
        <w:rPr>
          <w:rFonts w:ascii="Palatino Linotype" w:hAnsi="Palatino Linotype" w:cs="Arial"/>
          <w:b/>
        </w:rPr>
        <w:t xml:space="preserve"> 00120/ATENCO/IP/2021</w:t>
      </w:r>
      <w:r>
        <w:rPr>
          <w:rFonts w:ascii="Palatino Linotype" w:hAnsi="Palatino Linotype" w:cs="Arial"/>
          <w:b/>
          <w:lang w:eastAsia="es-MX"/>
        </w:rPr>
        <w:t xml:space="preserve">, </w:t>
      </w:r>
      <w:r>
        <w:rPr>
          <w:rFonts w:ascii="Palatino Linotype" w:hAnsi="Palatino Linotype" w:cs="Arial"/>
        </w:rPr>
        <w:t>mediante la cual solicitó información en el tenor siguiente:</w:t>
      </w:r>
    </w:p>
    <w:p w14:paraId="31012649" w14:textId="77777777" w:rsidR="00767232" w:rsidRDefault="00767232" w:rsidP="00767232">
      <w:pPr>
        <w:tabs>
          <w:tab w:val="left" w:pos="709"/>
        </w:tabs>
        <w:spacing w:line="360" w:lineRule="auto"/>
        <w:ind w:left="567"/>
        <w:jc w:val="both"/>
        <w:rPr>
          <w:rFonts w:ascii="Palatino Linotype" w:hAnsi="Palatino Linotype" w:cs="Arial"/>
        </w:rPr>
      </w:pPr>
    </w:p>
    <w:p w14:paraId="3A60EEAD" w14:textId="77777777" w:rsidR="00767232" w:rsidRDefault="00767232" w:rsidP="00767232">
      <w:pPr>
        <w:ind w:left="1418" w:right="850"/>
        <w:jc w:val="both"/>
        <w:rPr>
          <w:rFonts w:ascii="Palatino Linotype" w:hAnsi="Palatino Linotype"/>
          <w:i/>
          <w:sz w:val="22"/>
        </w:rPr>
      </w:pPr>
      <w:r>
        <w:rPr>
          <w:rFonts w:ascii="Palatino Linotype" w:hAnsi="Palatino Linotype"/>
          <w:i/>
        </w:rPr>
        <w:t>“</w:t>
      </w:r>
      <w:r>
        <w:rPr>
          <w:rFonts w:ascii="Palatino Linotype" w:hAnsi="Palatino Linotype"/>
          <w:i/>
          <w:color w:val="000000"/>
        </w:rPr>
        <w:t>solicito La investigación por la presunta responsabilidad de faltas administrativas que s ehyan iniciado por oficio, Por denuncia y Derivado de las auditorías practicadas por parte de las autoridades competentes o en su caso, de auditores externos.</w:t>
      </w:r>
      <w:r>
        <w:rPr>
          <w:rFonts w:ascii="Palatino Linotype" w:hAnsi="Palatino Linotype"/>
          <w:i/>
        </w:rPr>
        <w:t>” [Sic]</w:t>
      </w:r>
    </w:p>
    <w:p w14:paraId="551482AD" w14:textId="77777777" w:rsidR="00676649" w:rsidRDefault="00676649" w:rsidP="002A6D0E">
      <w:pPr>
        <w:spacing w:before="240" w:after="240" w:line="360" w:lineRule="auto"/>
        <w:ind w:left="567" w:right="49"/>
        <w:jc w:val="both"/>
        <w:rPr>
          <w:rFonts w:ascii="Palatino Linotype" w:hAnsi="Palatino Linotype"/>
          <w:szCs w:val="32"/>
        </w:rPr>
      </w:pPr>
    </w:p>
    <w:p w14:paraId="2AA8EC1D" w14:textId="77777777" w:rsidR="00767232" w:rsidRDefault="00676649" w:rsidP="00767232">
      <w:pPr>
        <w:spacing w:before="240" w:line="360" w:lineRule="auto"/>
        <w:ind w:left="567"/>
        <w:jc w:val="both"/>
        <w:rPr>
          <w:rFonts w:ascii="Palatino Linotype" w:hAnsi="Palatino Linotype" w:cs="Arial"/>
        </w:rPr>
      </w:pPr>
      <w:r>
        <w:rPr>
          <w:rFonts w:ascii="Palatino Linotype" w:hAnsi="Palatino Linotype"/>
          <w:szCs w:val="32"/>
        </w:rPr>
        <w:t>E</w:t>
      </w:r>
      <w:r w:rsidR="002A6D0E">
        <w:rPr>
          <w:rFonts w:ascii="Palatino Linotype" w:hAnsi="Palatino Linotype"/>
          <w:szCs w:val="32"/>
        </w:rPr>
        <w:t xml:space="preserve">l Sujeto Obligado </w:t>
      </w:r>
      <w:r w:rsidR="00767232">
        <w:rPr>
          <w:rFonts w:ascii="Palatino Linotype" w:hAnsi="Palatino Linotype" w:cs="Arial"/>
        </w:rPr>
        <w:t xml:space="preserve">dio respuesta a la solicitud de información en fecha veintinueve de noviembre de dos mil veintiuno, adjuntando para tales efectos tres archivos electrónicos </w:t>
      </w:r>
      <w:r w:rsidR="00767232">
        <w:rPr>
          <w:rFonts w:ascii="Palatino Linotype" w:hAnsi="Palatino Linotype" w:cs="Arial"/>
        </w:rPr>
        <w:t>indicando:</w:t>
      </w:r>
    </w:p>
    <w:p w14:paraId="46F164AF" w14:textId="43734F47" w:rsidR="00767232" w:rsidRDefault="00767232" w:rsidP="00767232">
      <w:pPr>
        <w:spacing w:before="240" w:line="360" w:lineRule="auto"/>
        <w:ind w:left="567"/>
        <w:jc w:val="both"/>
        <w:rPr>
          <w:rFonts w:ascii="Palatino Linotype" w:hAnsi="Palatino Linotype" w:cs="Arial"/>
        </w:rPr>
      </w:pPr>
    </w:p>
    <w:p w14:paraId="35B05C40" w14:textId="77777777" w:rsidR="00767232" w:rsidRDefault="00767232" w:rsidP="00767232">
      <w:pPr>
        <w:spacing w:before="240" w:line="360" w:lineRule="auto"/>
        <w:ind w:left="1418"/>
        <w:jc w:val="both"/>
        <w:rPr>
          <w:rFonts w:ascii="Palatino Linotype" w:hAnsi="Palatino Linotype" w:cs="Arial"/>
          <w:i/>
        </w:rPr>
      </w:pPr>
      <w:r>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CFD273" w14:textId="77777777" w:rsidR="00767232" w:rsidRDefault="00767232" w:rsidP="00767232">
      <w:pPr>
        <w:spacing w:before="240" w:line="360" w:lineRule="auto"/>
        <w:ind w:left="1418"/>
        <w:jc w:val="both"/>
        <w:rPr>
          <w:rFonts w:ascii="Palatino Linotype" w:hAnsi="Palatino Linotype" w:cs="Arial"/>
          <w:i/>
        </w:rPr>
      </w:pPr>
      <w:r>
        <w:rPr>
          <w:rFonts w:ascii="Palatino Linotype" w:hAnsi="Palatino Linotype" w:cs="Arial"/>
          <w:i/>
        </w:rPr>
        <w:t>De conformidad con los artículos 1, 2, 3, fracción XLIV, 4, 12, 16, 23 fracción IV, 24 fracción XI y último párrafo, 50, 51 y 53 de la Ley de Transparencia y Acceso a la Información Pública del Estado de México y Municipios; me permito comentar a usted lo siguiente: En atención a la solicitud de información registrada con el folio número 00120/ATENCO/IP/2021,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w:t>
      </w:r>
    </w:p>
    <w:p w14:paraId="3530B389" w14:textId="77777777" w:rsidR="00FB6B77" w:rsidRDefault="00FB6B77" w:rsidP="00676649">
      <w:pPr>
        <w:spacing w:line="360" w:lineRule="auto"/>
        <w:ind w:left="567"/>
        <w:jc w:val="both"/>
        <w:rPr>
          <w:rFonts w:ascii="Palatino Linotype" w:hAnsi="Palatino Linotype"/>
          <w:szCs w:val="32"/>
        </w:rPr>
      </w:pPr>
    </w:p>
    <w:p w14:paraId="41B7F644" w14:textId="2FCF371B" w:rsidR="00767232" w:rsidRDefault="00767232" w:rsidP="00767232">
      <w:pPr>
        <w:spacing w:before="240" w:line="360" w:lineRule="auto"/>
        <w:ind w:left="567"/>
        <w:jc w:val="both"/>
        <w:rPr>
          <w:rFonts w:ascii="Palatino Linotype" w:hAnsi="Palatino Linotype" w:cstheme="minorBidi"/>
          <w:i/>
          <w:color w:val="000000"/>
          <w:sz w:val="22"/>
        </w:rPr>
      </w:pPr>
      <w:r>
        <w:rPr>
          <w:rFonts w:ascii="Palatino Linotype" w:hAnsi="Palatino Linotype" w:cs="Arial"/>
        </w:rPr>
        <w:lastRenderedPageBreak/>
        <w:t>L</w:t>
      </w:r>
      <w:r>
        <w:rPr>
          <w:rFonts w:ascii="Palatino Linotype" w:hAnsi="Palatino Linotype" w:cs="Arial"/>
        </w:rPr>
        <w:t xml:space="preserve">a parte </w:t>
      </w:r>
      <w:r>
        <w:rPr>
          <w:rFonts w:ascii="Palatino Linotype" w:hAnsi="Palatino Linotype" w:cs="Arial"/>
          <w:b/>
        </w:rPr>
        <w:t xml:space="preserve">recurrente </w:t>
      </w:r>
      <w:r>
        <w:rPr>
          <w:rFonts w:ascii="Palatino Linotype" w:hAnsi="Palatino Linotype" w:cs="Arial"/>
        </w:rPr>
        <w:t>interpuso el recurso de revisión, en fecha treinta de noviembre de dos mil veintiuno, el cual fue registrado</w:t>
      </w:r>
      <w:r>
        <w:rPr>
          <w:rFonts w:ascii="Palatino Linotype" w:hAnsi="Palatino Linotype" w:cs="Arial"/>
          <w:b/>
        </w:rPr>
        <w:t xml:space="preserve"> </w:t>
      </w:r>
      <w:r>
        <w:rPr>
          <w:rFonts w:ascii="Palatino Linotype" w:hAnsi="Palatino Linotype" w:cs="Arial"/>
        </w:rPr>
        <w:t xml:space="preserve">en el sistema electrónico con el expediente número </w:t>
      </w:r>
      <w:r>
        <w:rPr>
          <w:rFonts w:ascii="Palatino Linotype" w:hAnsi="Palatino Linotype" w:cs="Arial"/>
          <w:b/>
          <w:bCs/>
          <w:lang w:eastAsia="es-MX"/>
        </w:rPr>
        <w:t>05995/INFOEM/IP/RR/2021</w:t>
      </w:r>
      <w:r>
        <w:rPr>
          <w:rFonts w:ascii="Palatino Linotype" w:hAnsi="Palatino Linotype" w:cs="Arial"/>
        </w:rPr>
        <w:t xml:space="preserve">, en el cual </w:t>
      </w:r>
      <w:r>
        <w:rPr>
          <w:rFonts w:ascii="Palatino Linotype" w:hAnsi="Palatino Linotype" w:cs="Arial"/>
        </w:rPr>
        <w:t>refiere como motivos de inconformidad:</w:t>
      </w:r>
      <w:r>
        <w:rPr>
          <w:rFonts w:ascii="Palatino Linotype" w:hAnsi="Palatino Linotype"/>
          <w:i/>
          <w:color w:val="000000"/>
        </w:rPr>
        <w:t>“no es causa de ser clasificado como reservado pues la información solicitada no causa algún efecto, al clasificar la información podría presumirse que existen actos de corrupción en la Contraloria interna municipal."[Sic]</w:t>
      </w:r>
    </w:p>
    <w:p w14:paraId="553BFB97" w14:textId="7651A4A5" w:rsidR="00767232" w:rsidRDefault="0024476F" w:rsidP="00767232">
      <w:pPr>
        <w:pStyle w:val="Prrafodelista"/>
        <w:spacing w:before="240" w:after="240" w:line="360" w:lineRule="auto"/>
        <w:ind w:left="567" w:right="49"/>
        <w:jc w:val="both"/>
        <w:rPr>
          <w:rFonts w:ascii="Palatino Linotype" w:hAnsi="Palatino Linotype" w:cs="Arial"/>
          <w:sz w:val="24"/>
          <w:szCs w:val="24"/>
          <w:lang w:val="es-ES"/>
        </w:rPr>
      </w:pPr>
      <w:r w:rsidRPr="009C03BD">
        <w:rPr>
          <w:rFonts w:ascii="Palatino Linotype" w:eastAsia="Times New Roman" w:hAnsi="Palatino Linotype" w:cs="Times New Roman"/>
          <w:sz w:val="24"/>
          <w:szCs w:val="32"/>
          <w:lang w:val="es-ES" w:eastAsia="es-ES"/>
        </w:rPr>
        <w:t xml:space="preserve">Por lo que previa sustanciación del recurso,  </w:t>
      </w:r>
      <w:r w:rsidR="00767232">
        <w:rPr>
          <w:rFonts w:ascii="Palatino Linotype" w:hAnsi="Palatino Linotype" w:cs="Arial"/>
          <w:sz w:val="24"/>
          <w:szCs w:val="24"/>
          <w:lang w:val="es-ES"/>
        </w:rPr>
        <w:t>ordena al sujeto obligado, haga entrega vía el Sistema de Acceso a la Información Mexiquense (SAIMEX) y en versión pública en caso de ser procedente lo siguiente:</w:t>
      </w:r>
    </w:p>
    <w:p w14:paraId="792FC378" w14:textId="77777777" w:rsidR="00767232" w:rsidRDefault="00767232" w:rsidP="00767232">
      <w:pPr>
        <w:autoSpaceDE w:val="0"/>
        <w:autoSpaceDN w:val="0"/>
        <w:adjustRightInd w:val="0"/>
        <w:spacing w:before="240" w:line="360" w:lineRule="auto"/>
        <w:ind w:left="1418"/>
        <w:jc w:val="both"/>
        <w:rPr>
          <w:rFonts w:ascii="Palatino Linotype" w:eastAsia="Batang" w:hAnsi="Palatino Linotype" w:cs="Tahoma"/>
          <w:bCs/>
          <w:i/>
          <w:iCs/>
        </w:rPr>
      </w:pPr>
      <w:r>
        <w:rPr>
          <w:rFonts w:ascii="Palatino Linotype" w:eastAsia="Batang" w:hAnsi="Palatino Linotype" w:cs="Tahoma"/>
          <w:bCs/>
          <w:i/>
          <w:iCs/>
        </w:rPr>
        <w:t xml:space="preserve">1.- El o los expedientes concluidos y que hayan causado estado con motivo de los procedimientos de responsabilidad administrativa, iniciados por oficio, denuncia y derivado de auditorias practicadas por las autoridades competentes o en su caso, auditores externos; </w:t>
      </w:r>
      <w:r>
        <w:rPr>
          <w:rFonts w:ascii="Palatino Linotype" w:hAnsi="Palatino Linotype"/>
          <w:i/>
          <w:iCs/>
        </w:rPr>
        <w:t xml:space="preserve">así como, de aquellos que se encuentran en trámite y que se relacionen con actos de corrupción, delitos de lesa humanidad o posibles violaciones graves a derechos humanos, con motivo de procedimientos de responsabilidad administrativa instaurados en la Contraloría Municipal por daño a la hacienda pública, así como por la omisión o entrega extemporánea de la Declaración de Situación Patrimonial y de Intereses a servidores y exservidores públicos u otro tipo de faltas administrativas de servidores públicos del periodo que comprende del </w:t>
      </w:r>
      <w:r>
        <w:rPr>
          <w:rFonts w:ascii="Palatino Linotype" w:eastAsia="Batang" w:hAnsi="Palatino Linotype" w:cs="Tahoma"/>
          <w:bCs/>
          <w:i/>
          <w:iCs/>
        </w:rPr>
        <w:t xml:space="preserve">l cinco de noviembre de dos mil veinte al cinco de noviembre de dos mil veintiuno. </w:t>
      </w:r>
    </w:p>
    <w:p w14:paraId="386ACDDA" w14:textId="77777777" w:rsidR="00767232" w:rsidRDefault="00767232" w:rsidP="00767232">
      <w:pPr>
        <w:autoSpaceDE w:val="0"/>
        <w:autoSpaceDN w:val="0"/>
        <w:adjustRightInd w:val="0"/>
        <w:spacing w:before="240" w:line="360" w:lineRule="auto"/>
        <w:ind w:left="1418"/>
        <w:jc w:val="both"/>
        <w:rPr>
          <w:rFonts w:ascii="Palatino Linotype" w:eastAsia="Batang" w:hAnsi="Palatino Linotype" w:cs="Tahoma"/>
          <w:bCs/>
          <w:i/>
          <w:iCs/>
        </w:rPr>
      </w:pPr>
      <w:r>
        <w:rPr>
          <w:rFonts w:ascii="Palatino Linotype" w:eastAsia="Batang" w:hAnsi="Palatino Linotype" w:cs="Tahoma"/>
          <w:bCs/>
          <w:i/>
          <w:iCs/>
        </w:rPr>
        <w:lastRenderedPageBreak/>
        <w:t>Para la versión pública, el Sujeto Obligado deberá emitir el Acuerdo del Comité de Transparencia en términos del artículo 49 fracción VIII y 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7467F664" w14:textId="77777777" w:rsidR="00767232" w:rsidRDefault="00767232" w:rsidP="00767232">
      <w:pPr>
        <w:autoSpaceDE w:val="0"/>
        <w:autoSpaceDN w:val="0"/>
        <w:adjustRightInd w:val="0"/>
        <w:spacing w:before="240" w:line="360" w:lineRule="auto"/>
        <w:ind w:left="1418"/>
        <w:jc w:val="both"/>
        <w:rPr>
          <w:rFonts w:ascii="Palatino Linotype" w:eastAsia="Batang" w:hAnsi="Palatino Linotype" w:cs="Tahoma"/>
          <w:bCs/>
          <w:i/>
          <w:iCs/>
        </w:rPr>
      </w:pPr>
      <w:r>
        <w:rPr>
          <w:rFonts w:ascii="Palatino Linotype" w:eastAsia="Batang" w:hAnsi="Palatino Linotype" w:cs="Tahoma"/>
          <w:bCs/>
          <w:i/>
          <w:iCs/>
        </w:rPr>
        <w:t xml:space="preserve">Para el caso de que el o los documentos referidos en el numeral 1 corresponda a un procedimiento administrativo por faltas no graves y que no haya causado estado, deberá emitirse el Acuerdo de Clasificación respectivo en el que se funden y motiven las razones de su RESERVA, mismo que se hará del conocimiento de la parte recurrente. </w:t>
      </w:r>
    </w:p>
    <w:p w14:paraId="24F7FFAF" w14:textId="77777777" w:rsidR="00767232" w:rsidRDefault="00767232" w:rsidP="00767232">
      <w:pPr>
        <w:autoSpaceDE w:val="0"/>
        <w:autoSpaceDN w:val="0"/>
        <w:adjustRightInd w:val="0"/>
        <w:spacing w:before="240" w:line="360" w:lineRule="auto"/>
        <w:ind w:left="1418"/>
        <w:jc w:val="both"/>
        <w:rPr>
          <w:rFonts w:ascii="Palatino Linotype" w:eastAsia="Batang" w:hAnsi="Palatino Linotype" w:cs="Tahoma"/>
          <w:bCs/>
          <w:i/>
          <w:iCs/>
        </w:rPr>
      </w:pPr>
    </w:p>
    <w:p w14:paraId="0B1DE4FE" w14:textId="59875FA9" w:rsidR="00767232" w:rsidRDefault="00767232" w:rsidP="00767232">
      <w:pPr>
        <w:tabs>
          <w:tab w:val="left" w:pos="709"/>
        </w:tabs>
        <w:spacing w:line="360" w:lineRule="auto"/>
        <w:ind w:left="567"/>
        <w:jc w:val="both"/>
        <w:rPr>
          <w:rFonts w:ascii="Palatino Linotype" w:hAnsi="Palatino Linotype"/>
          <w:lang w:val="es-MX"/>
        </w:rPr>
      </w:pPr>
      <w:r>
        <w:rPr>
          <w:rFonts w:ascii="Palatino Linotype" w:hAnsi="Palatino Linotype"/>
        </w:rPr>
        <w:t>P</w:t>
      </w:r>
      <w:r>
        <w:rPr>
          <w:rFonts w:ascii="Palatino Linotype" w:hAnsi="Palatino Linotype"/>
        </w:rPr>
        <w:t>ara el caso de los procedimientos de sanciones graves absolutorias, concluidos,</w:t>
      </w:r>
      <w:r>
        <w:rPr>
          <w:rFonts w:ascii="Palatino Linotype" w:hAnsi="Palatino Linotype"/>
        </w:rPr>
        <w:t xml:space="preserve"> determina qué; </w:t>
      </w:r>
      <w:r>
        <w:rPr>
          <w:rFonts w:ascii="Palatino Linotype" w:hAnsi="Palatino Linotype"/>
        </w:rPr>
        <w:t xml:space="preserve">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53643E22" w14:textId="77777777" w:rsidR="00767232" w:rsidRDefault="00767232" w:rsidP="00767232">
      <w:pPr>
        <w:autoSpaceDE w:val="0"/>
        <w:autoSpaceDN w:val="0"/>
        <w:adjustRightInd w:val="0"/>
        <w:spacing w:before="240" w:line="360" w:lineRule="auto"/>
        <w:ind w:left="567"/>
        <w:jc w:val="both"/>
        <w:rPr>
          <w:rFonts w:ascii="Palatino Linotype" w:eastAsia="Batang" w:hAnsi="Palatino Linotype" w:cs="Tahoma"/>
          <w:bCs/>
          <w:i/>
          <w:iCs/>
        </w:rPr>
      </w:pPr>
    </w:p>
    <w:p w14:paraId="0A2783B5" w14:textId="77777777" w:rsidR="00835FCE" w:rsidRDefault="00835FCE" w:rsidP="00835FCE">
      <w:pPr>
        <w:spacing w:before="240" w:after="240" w:line="360" w:lineRule="auto"/>
        <w:ind w:left="567" w:right="49"/>
        <w:contextualSpacing/>
        <w:jc w:val="both"/>
        <w:rPr>
          <w:rFonts w:ascii="Palatino Linotype" w:eastAsia="Calibri" w:hAnsi="Palatino Linotype" w:cs="Tahoma"/>
          <w:iCs/>
          <w:lang w:eastAsia="es-ES_tradnl"/>
        </w:rPr>
      </w:pPr>
    </w:p>
    <w:p w14:paraId="4679BD0F" w14:textId="53A63963" w:rsidR="00FE5F5E" w:rsidRDefault="009C03BD" w:rsidP="00835FCE">
      <w:pPr>
        <w:autoSpaceDE w:val="0"/>
        <w:autoSpaceDN w:val="0"/>
        <w:adjustRightInd w:val="0"/>
        <w:spacing w:line="360" w:lineRule="auto"/>
        <w:ind w:left="567"/>
        <w:jc w:val="both"/>
        <w:rPr>
          <w:rFonts w:ascii="Palatino Linotype" w:hAnsi="Palatino Linotype"/>
        </w:rPr>
      </w:pPr>
      <w:r>
        <w:rPr>
          <w:rFonts w:ascii="Palatino Linotype" w:hAnsi="Palatino Linotype"/>
        </w:rPr>
        <w:lastRenderedPageBreak/>
        <w:t>Sin embargo</w:t>
      </w:r>
      <w:r w:rsidR="003721F5">
        <w:rPr>
          <w:rFonts w:ascii="Palatino Linotype" w:hAnsi="Palatino Linotype"/>
        </w:rPr>
        <w:t xml:space="preserve">, </w:t>
      </w:r>
      <w:r w:rsidR="00FE5F5E" w:rsidRPr="00FE5F5E">
        <w:rPr>
          <w:rFonts w:ascii="Palatino Linotype" w:hAnsi="Palatino Linotype"/>
        </w:rPr>
        <w:t xml:space="preserve"> no se comparte </w:t>
      </w:r>
      <w:r w:rsidR="00D9475B">
        <w:rPr>
          <w:rFonts w:ascii="Palatino Linotype" w:hAnsi="Palatino Linotype"/>
        </w:rPr>
        <w:t>por esta P</w:t>
      </w:r>
      <w:r>
        <w:rPr>
          <w:rFonts w:ascii="Palatino Linotype" w:hAnsi="Palatino Linotype"/>
        </w:rPr>
        <w:t xml:space="preserve">onencia </w:t>
      </w:r>
      <w:r w:rsidR="00835FCE">
        <w:rPr>
          <w:rFonts w:ascii="Palatino Linotype" w:hAnsi="Palatino Linotype"/>
        </w:rPr>
        <w:t>tal criterio</w:t>
      </w:r>
      <w:r w:rsidR="00241BC4">
        <w:rPr>
          <w:rFonts w:ascii="Palatino Linotype" w:hAnsi="Palatino Linotype"/>
        </w:rPr>
        <w:t xml:space="preserve">, </w:t>
      </w:r>
      <w:r w:rsidR="00FE5F5E" w:rsidRPr="00FE5F5E">
        <w:rPr>
          <w:rFonts w:ascii="Palatino Linotype" w:hAnsi="Palatino Linotype"/>
        </w:rPr>
        <w:t xml:space="preserve">toda vez que </w:t>
      </w:r>
      <w:bookmarkEnd w:id="0"/>
      <w:r w:rsidR="00FE5F5E" w:rsidRPr="00FE5F5E">
        <w:rPr>
          <w:rFonts w:ascii="Palatino Linotype" w:hAnsi="Palatino Linotype"/>
        </w:rPr>
        <w:t>l</w:t>
      </w:r>
      <w:r w:rsidR="00912C77" w:rsidRPr="009565F9">
        <w:rPr>
          <w:rFonts w:ascii="Palatino Linotype" w:hAnsi="Palatino Linotype"/>
        </w:rPr>
        <w:t xml:space="preserve">as </w:t>
      </w:r>
      <w:r w:rsidR="00A02002" w:rsidRPr="009565F9">
        <w:rPr>
          <w:rFonts w:ascii="Palatino Linotype" w:hAnsi="Palatino Linotype"/>
        </w:rPr>
        <w:t xml:space="preserve">determinaciones en donde la conducta investigada no fue contraria en derecho; </w:t>
      </w:r>
      <w:r w:rsidR="00D9475B">
        <w:rPr>
          <w:rFonts w:ascii="Palatino Linotype" w:hAnsi="Palatino Linotype"/>
        </w:rPr>
        <w:t xml:space="preserve">en las que </w:t>
      </w:r>
      <w:r w:rsidR="00912C77" w:rsidRPr="009565F9">
        <w:rPr>
          <w:rFonts w:ascii="Palatino Linotype" w:hAnsi="Palatino Linotype"/>
        </w:rPr>
        <w:t xml:space="preserve">se </w:t>
      </w:r>
      <w:r w:rsidR="00A02002" w:rsidRPr="009565F9">
        <w:rPr>
          <w:rFonts w:ascii="Palatino Linotype" w:hAnsi="Palatino Linotype"/>
        </w:rPr>
        <w:t>logra apreciar los elementos y las circunstancias que llevaron a concluir que a l</w:t>
      </w:r>
      <w:r w:rsidR="00912C77" w:rsidRPr="009565F9">
        <w:rPr>
          <w:rFonts w:ascii="Palatino Linotype" w:hAnsi="Palatino Linotype"/>
        </w:rPr>
        <w:t>os servidores públicos</w:t>
      </w:r>
      <w:r w:rsidR="00A02002" w:rsidRPr="009565F9">
        <w:rPr>
          <w:rFonts w:ascii="Palatino Linotype" w:hAnsi="Palatino Linotype"/>
        </w:rPr>
        <w:t>, no le eran imputables las conductas</w:t>
      </w:r>
      <w:r w:rsidR="00912C77" w:rsidRPr="009565F9">
        <w:rPr>
          <w:rFonts w:ascii="Palatino Linotype" w:hAnsi="Palatino Linotype"/>
        </w:rPr>
        <w:t xml:space="preserve"> que se le atribuían, permite</w:t>
      </w:r>
      <w:r w:rsidR="00A02002" w:rsidRPr="009565F9">
        <w:rPr>
          <w:rFonts w:ascii="Palatino Linotype" w:hAnsi="Palatino Linotype"/>
        </w:rPr>
        <w:t xml:space="preserve"> la rendición de cuentas del servidor público, pues se podría observar, que dicho </w:t>
      </w:r>
      <w:r w:rsidR="003721F5">
        <w:rPr>
          <w:rFonts w:ascii="Palatino Linotype" w:hAnsi="Palatino Linotype"/>
        </w:rPr>
        <w:t>servidor público</w:t>
      </w:r>
      <w:r w:rsidR="00A02002" w:rsidRPr="009565F9">
        <w:rPr>
          <w:rFonts w:ascii="Palatino Linotype" w:hAnsi="Palatino Linotype"/>
        </w:rPr>
        <w:t xml:space="preserve">, </w:t>
      </w:r>
      <w:r w:rsidR="00912C77" w:rsidRPr="009565F9">
        <w:rPr>
          <w:rFonts w:ascii="Palatino Linotype" w:hAnsi="Palatino Linotype"/>
        </w:rPr>
        <w:t>ha cumplido con sus obligaciones y no</w:t>
      </w:r>
      <w:r w:rsidR="00A02002" w:rsidRPr="009565F9">
        <w:rPr>
          <w:rFonts w:ascii="Palatino Linotype" w:hAnsi="Palatino Linotype"/>
        </w:rPr>
        <w:t xml:space="preserve"> ha cometido actos irregulares y ha actuado conforme a las normatividad aplicable. </w:t>
      </w:r>
    </w:p>
    <w:p w14:paraId="3D258503"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24F922D7" w14:textId="77777777" w:rsidR="0028544C" w:rsidRDefault="00A02002" w:rsidP="0028544C">
      <w:pPr>
        <w:pStyle w:val="NormalWeb"/>
        <w:spacing w:before="0" w:beforeAutospacing="0" w:after="0" w:afterAutospacing="0" w:line="360" w:lineRule="auto"/>
        <w:ind w:left="567"/>
        <w:jc w:val="both"/>
        <w:rPr>
          <w:rFonts w:ascii="Palatino Linotype" w:hAnsi="Palatino Linotype"/>
        </w:rPr>
      </w:pPr>
      <w:r w:rsidRPr="00FE5F5E">
        <w:rPr>
          <w:rFonts w:ascii="Palatino Linotype" w:hAnsi="Palatino Linotype"/>
        </w:rPr>
        <w:t xml:space="preserve">Además, proporcionar dicha información, </w:t>
      </w:r>
      <w:r w:rsidR="003721F5">
        <w:rPr>
          <w:rFonts w:ascii="Palatino Linotype" w:hAnsi="Palatino Linotype"/>
        </w:rPr>
        <w:t>no genera</w:t>
      </w:r>
      <w:r w:rsidRPr="00FE5F5E">
        <w:rPr>
          <w:rFonts w:ascii="Palatino Linotype" w:hAnsi="Palatino Linotype"/>
        </w:rPr>
        <w:t xml:space="preserve"> una afectación a su honor, intimidad o buena imagen, pues contrario a esto, a través de la resolución, es posible conocer que la actuación de</w:t>
      </w:r>
      <w:r w:rsidR="003721F5">
        <w:rPr>
          <w:rFonts w:ascii="Palatino Linotype" w:hAnsi="Palatino Linotype"/>
        </w:rPr>
        <w:t>l  servidor público</w:t>
      </w:r>
      <w:r w:rsidRPr="00FE5F5E">
        <w:rPr>
          <w:rFonts w:ascii="Palatino Linotype" w:hAnsi="Palatino Linotype"/>
        </w:rPr>
        <w:t xml:space="preserve">, fue apegada a la normatividad aplicable, esto es, que ha ejercido su cargo, de manera honesta, responsable y conforme a lo establecido en las diversas disposiciones. </w:t>
      </w:r>
    </w:p>
    <w:p w14:paraId="087ABADA" w14:textId="77777777" w:rsidR="0028544C" w:rsidRDefault="0028544C" w:rsidP="0028544C">
      <w:pPr>
        <w:pStyle w:val="NormalWeb"/>
        <w:spacing w:before="0" w:beforeAutospacing="0" w:after="0" w:afterAutospacing="0" w:line="360" w:lineRule="auto"/>
        <w:ind w:left="567"/>
        <w:jc w:val="both"/>
        <w:rPr>
          <w:rFonts w:ascii="Palatino Linotype" w:hAnsi="Palatino Linotype"/>
        </w:rPr>
      </w:pPr>
    </w:p>
    <w:p w14:paraId="752DC6F3" w14:textId="04BA558B" w:rsidR="0028544C" w:rsidRDefault="0028544C" w:rsidP="00332FDF">
      <w:pPr>
        <w:pStyle w:val="NormalWeb"/>
        <w:spacing w:before="0" w:beforeAutospacing="0" w:after="0" w:afterAutospacing="0" w:line="360" w:lineRule="auto"/>
        <w:ind w:left="567"/>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4CBCBFFD" w14:textId="77777777" w:rsidR="00332FDF" w:rsidRPr="0028544C" w:rsidRDefault="00332FDF" w:rsidP="00332FDF">
      <w:pPr>
        <w:pStyle w:val="NormalWeb"/>
        <w:spacing w:before="0" w:beforeAutospacing="0" w:after="0" w:afterAutospacing="0" w:line="360" w:lineRule="auto"/>
        <w:ind w:left="567"/>
        <w:jc w:val="both"/>
        <w:rPr>
          <w:rFonts w:ascii="Palatino Linotype" w:hAnsi="Palatino Linotype"/>
        </w:rPr>
      </w:pPr>
    </w:p>
    <w:p w14:paraId="78364332"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t xml:space="preserve">I. El cohecho. </w:t>
      </w:r>
    </w:p>
    <w:p w14:paraId="54BCDD28"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lastRenderedPageBreak/>
        <w:t xml:space="preserve">II. El peculado. </w:t>
      </w:r>
    </w:p>
    <w:p w14:paraId="63438DFA" w14:textId="77777777" w:rsidR="00332FDF" w:rsidRPr="0028544C" w:rsidRDefault="00332FDF" w:rsidP="00332FDF">
      <w:pPr>
        <w:pStyle w:val="Default"/>
        <w:ind w:left="567"/>
        <w:rPr>
          <w:rFonts w:cs="Times New Roman"/>
          <w:color w:val="auto"/>
          <w:lang w:eastAsia="es-MX"/>
        </w:rPr>
      </w:pPr>
    </w:p>
    <w:p w14:paraId="6C7D3B71"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31AA9C05" w14:textId="77777777" w:rsidR="00332FDF" w:rsidRPr="0028544C" w:rsidRDefault="00332FDF" w:rsidP="00332FDF">
      <w:pPr>
        <w:pStyle w:val="Default"/>
        <w:ind w:left="567"/>
        <w:rPr>
          <w:rFonts w:cs="Times New Roman"/>
          <w:color w:val="auto"/>
          <w:lang w:eastAsia="es-MX"/>
        </w:rPr>
      </w:pPr>
    </w:p>
    <w:p w14:paraId="1B5E5E2E"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79302A61" w14:textId="77777777" w:rsidR="00332FDF" w:rsidRPr="0028544C" w:rsidRDefault="00332FDF" w:rsidP="00332FDF">
      <w:pPr>
        <w:pStyle w:val="Default"/>
        <w:ind w:left="567"/>
        <w:rPr>
          <w:rFonts w:cs="Times New Roman"/>
          <w:color w:val="auto"/>
          <w:lang w:eastAsia="es-MX"/>
        </w:rPr>
      </w:pPr>
    </w:p>
    <w:p w14:paraId="0E4FD591"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t xml:space="preserve">V. El abuso de funciones. </w:t>
      </w:r>
    </w:p>
    <w:p w14:paraId="47D6BEC7" w14:textId="77777777" w:rsidR="00332FDF" w:rsidRPr="0028544C" w:rsidRDefault="00332FDF" w:rsidP="00332FDF">
      <w:pPr>
        <w:pStyle w:val="Default"/>
        <w:ind w:left="567"/>
        <w:rPr>
          <w:rFonts w:cs="Times New Roman"/>
          <w:color w:val="auto"/>
          <w:lang w:eastAsia="es-MX"/>
        </w:rPr>
      </w:pPr>
    </w:p>
    <w:p w14:paraId="27C0E0C3"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1461B5BB" w14:textId="77777777" w:rsidR="00332FDF" w:rsidRPr="0028544C" w:rsidRDefault="00332FDF" w:rsidP="00332FDF">
      <w:pPr>
        <w:pStyle w:val="Default"/>
        <w:ind w:left="567"/>
        <w:rPr>
          <w:rFonts w:cs="Times New Roman"/>
          <w:color w:val="auto"/>
          <w:lang w:eastAsia="es-MX"/>
        </w:rPr>
      </w:pPr>
    </w:p>
    <w:p w14:paraId="2D7B5E73" w14:textId="77777777" w:rsidR="0028544C" w:rsidRDefault="0028544C" w:rsidP="00332FDF">
      <w:pPr>
        <w:pStyle w:val="Default"/>
        <w:ind w:left="567"/>
        <w:rPr>
          <w:rFonts w:cs="Times New Roman"/>
          <w:color w:val="auto"/>
          <w:lang w:eastAsia="es-MX"/>
        </w:rPr>
      </w:pPr>
      <w:r w:rsidRPr="0028544C">
        <w:rPr>
          <w:rFonts w:cs="Times New Roman"/>
          <w:color w:val="auto"/>
          <w:lang w:eastAsia="es-MX"/>
        </w:rPr>
        <w:t xml:space="preserve">VII. El actuar bajo conflicto de interés. </w:t>
      </w:r>
    </w:p>
    <w:p w14:paraId="03858DD2" w14:textId="77777777" w:rsidR="00332FDF" w:rsidRPr="0028544C" w:rsidRDefault="00332FDF" w:rsidP="00332FDF">
      <w:pPr>
        <w:pStyle w:val="Default"/>
        <w:ind w:left="567"/>
        <w:rPr>
          <w:rFonts w:cs="Times New Roman"/>
          <w:color w:val="auto"/>
          <w:lang w:eastAsia="es-MX"/>
        </w:rPr>
      </w:pPr>
    </w:p>
    <w:p w14:paraId="22ACC3CD" w14:textId="77777777" w:rsidR="00332FDF" w:rsidRDefault="0028544C" w:rsidP="00332FDF">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359E5E52" w14:textId="77777777" w:rsidR="00332FDF" w:rsidRDefault="00332FDF" w:rsidP="00332FDF">
      <w:pPr>
        <w:pStyle w:val="Default"/>
        <w:ind w:left="567"/>
        <w:rPr>
          <w:rFonts w:cs="Times New Roman"/>
          <w:color w:val="auto"/>
          <w:lang w:eastAsia="es-MX"/>
        </w:rPr>
      </w:pPr>
    </w:p>
    <w:p w14:paraId="562ACC2B" w14:textId="77777777" w:rsidR="00332FDF" w:rsidRDefault="0028544C" w:rsidP="00332FDF">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41A714FB" w14:textId="77777777" w:rsidR="00332FDF" w:rsidRDefault="00332FDF" w:rsidP="00332FDF">
      <w:pPr>
        <w:pStyle w:val="Default"/>
        <w:ind w:left="567"/>
        <w:rPr>
          <w:rFonts w:cs="Times New Roman"/>
          <w:color w:val="auto"/>
          <w:lang w:eastAsia="es-MX"/>
        </w:rPr>
      </w:pPr>
    </w:p>
    <w:p w14:paraId="2FC2D619" w14:textId="77777777" w:rsidR="00332FDF" w:rsidRPr="00332FDF" w:rsidRDefault="0028544C" w:rsidP="00332FDF">
      <w:pPr>
        <w:pStyle w:val="Default"/>
        <w:ind w:left="567"/>
        <w:rPr>
          <w:rFonts w:cs="Times New Roman"/>
          <w:color w:val="auto"/>
          <w:lang w:eastAsia="es-MX"/>
        </w:rPr>
      </w:pPr>
      <w:r w:rsidRPr="00332FDF">
        <w:rPr>
          <w:rFonts w:cs="Times New Roman"/>
          <w:color w:val="auto"/>
          <w:lang w:eastAsia="es-MX"/>
        </w:rPr>
        <w:t xml:space="preserve">X. El tráfico de influencias. </w:t>
      </w:r>
    </w:p>
    <w:p w14:paraId="67DF377E" w14:textId="77777777" w:rsidR="00332FDF" w:rsidRPr="00332FDF" w:rsidRDefault="00332FDF" w:rsidP="00332FDF">
      <w:pPr>
        <w:pStyle w:val="Default"/>
        <w:ind w:left="567"/>
        <w:rPr>
          <w:rFonts w:cs="Times New Roman"/>
          <w:color w:val="auto"/>
          <w:lang w:eastAsia="es-MX"/>
        </w:rPr>
      </w:pPr>
    </w:p>
    <w:p w14:paraId="1066DE66" w14:textId="77777777" w:rsidR="00332FDF" w:rsidRPr="00332FDF" w:rsidRDefault="0028544C" w:rsidP="00332FDF">
      <w:pPr>
        <w:pStyle w:val="Default"/>
        <w:ind w:left="567"/>
        <w:rPr>
          <w:rFonts w:cs="Times New Roman"/>
          <w:color w:val="auto"/>
          <w:lang w:eastAsia="es-MX"/>
        </w:rPr>
      </w:pPr>
      <w:r w:rsidRPr="00332FDF">
        <w:rPr>
          <w:rFonts w:cs="Times New Roman"/>
          <w:color w:val="auto"/>
          <w:lang w:eastAsia="es-MX"/>
        </w:rPr>
        <w:t xml:space="preserve">XI. El encubrimiento. </w:t>
      </w:r>
    </w:p>
    <w:p w14:paraId="0F331A88" w14:textId="77777777" w:rsidR="00332FDF" w:rsidRPr="00332FDF" w:rsidRDefault="00332FDF" w:rsidP="00332FDF">
      <w:pPr>
        <w:pStyle w:val="Default"/>
        <w:ind w:left="567"/>
        <w:rPr>
          <w:rFonts w:cs="Times New Roman"/>
          <w:color w:val="auto"/>
          <w:lang w:eastAsia="es-MX"/>
        </w:rPr>
      </w:pPr>
    </w:p>
    <w:p w14:paraId="6F68132B" w14:textId="77777777" w:rsidR="00332FDF" w:rsidRDefault="0028544C" w:rsidP="00332FDF">
      <w:pPr>
        <w:pStyle w:val="Default"/>
        <w:ind w:left="567"/>
        <w:rPr>
          <w:rFonts w:cs="Times New Roman"/>
          <w:color w:val="auto"/>
          <w:lang w:eastAsia="es-MX"/>
        </w:rPr>
      </w:pPr>
      <w:r w:rsidRPr="00332FDF">
        <w:rPr>
          <w:rFonts w:cs="Times New Roman"/>
          <w:color w:val="auto"/>
          <w:lang w:eastAsia="es-MX"/>
        </w:rPr>
        <w:t xml:space="preserve">XII. El desacato. </w:t>
      </w:r>
    </w:p>
    <w:p w14:paraId="1801A02B" w14:textId="77777777" w:rsidR="00332FDF" w:rsidRPr="00332FDF" w:rsidRDefault="00332FDF" w:rsidP="00332FDF">
      <w:pPr>
        <w:pStyle w:val="Default"/>
        <w:ind w:left="567"/>
        <w:rPr>
          <w:rFonts w:cs="Times New Roman"/>
          <w:color w:val="auto"/>
          <w:lang w:eastAsia="es-MX"/>
        </w:rPr>
      </w:pPr>
    </w:p>
    <w:p w14:paraId="636CABCA" w14:textId="06B4395B" w:rsidR="00B15CF6" w:rsidRPr="00332FDF" w:rsidRDefault="0028544C" w:rsidP="00332FDF">
      <w:pPr>
        <w:pStyle w:val="Default"/>
        <w:ind w:left="567"/>
        <w:rPr>
          <w:rFonts w:cs="Times New Roman"/>
          <w:color w:val="auto"/>
          <w:lang w:eastAsia="es-MX"/>
        </w:rPr>
      </w:pPr>
      <w:r w:rsidRPr="00332FDF">
        <w:rPr>
          <w:rFonts w:cs="Times New Roman"/>
          <w:color w:val="auto"/>
          <w:lang w:eastAsia="es-MX"/>
        </w:rPr>
        <w:t>XIII. La obstrucción de la Justicia.</w:t>
      </w:r>
    </w:p>
    <w:p w14:paraId="4B091EB7" w14:textId="77777777" w:rsidR="00332FDF" w:rsidRPr="00332FDF" w:rsidRDefault="00332FDF" w:rsidP="00332FDF">
      <w:pPr>
        <w:pStyle w:val="Default"/>
        <w:ind w:left="567"/>
        <w:rPr>
          <w:rFonts w:cs="Times New Roman"/>
          <w:color w:val="auto"/>
          <w:lang w:eastAsia="es-MX"/>
        </w:rPr>
      </w:pPr>
    </w:p>
    <w:p w14:paraId="08AFDFCB" w14:textId="77777777" w:rsidR="00FE5F5E" w:rsidRDefault="00A02002" w:rsidP="00835FCE">
      <w:pPr>
        <w:pStyle w:val="NormalWeb"/>
        <w:spacing w:before="0" w:beforeAutospacing="0" w:after="0" w:afterAutospacing="0" w:line="360" w:lineRule="auto"/>
        <w:ind w:left="567"/>
        <w:jc w:val="both"/>
        <w:rPr>
          <w:rFonts w:ascii="Palatino Linotype" w:hAnsi="Palatino Linotype"/>
        </w:rPr>
      </w:pPr>
      <w:r w:rsidRPr="009565F9">
        <w:rPr>
          <w:rFonts w:ascii="Palatino Linotype" w:hAnsi="Palatino Linotype"/>
        </w:rPr>
        <w:t>En ese orden de ideas, dar a conocer la información relativa a las resoluciones absolutorias</w:t>
      </w:r>
      <w:r w:rsidR="00B754F1">
        <w:rPr>
          <w:rFonts w:ascii="Palatino Linotype" w:hAnsi="Palatino Linotype"/>
        </w:rPr>
        <w:t xml:space="preserve"> por responsabilidades administrativas graves</w:t>
      </w:r>
      <w:r w:rsidRPr="009565F9">
        <w:rPr>
          <w:rFonts w:ascii="Palatino Linotype" w:hAnsi="Palatino Linotype"/>
        </w:rPr>
        <w:t xml:space="preserve">, esto es, que no hayan decretado alguna responsabilidad o culpabilidad, en caso de su existencia, en relación con un servidor público no implica una vulneración a su honor o intimidad, ya que dichos procedimientos </w:t>
      </w:r>
      <w:r w:rsidR="0096112E">
        <w:rPr>
          <w:rFonts w:ascii="Palatino Linotype" w:hAnsi="Palatino Linotype"/>
        </w:rPr>
        <w:t>determinan</w:t>
      </w:r>
      <w:r w:rsidRPr="009565F9">
        <w:rPr>
          <w:rFonts w:ascii="Palatino Linotype" w:hAnsi="Palatino Linotype"/>
        </w:rPr>
        <w:t xml:space="preserve"> la falta de elementos para sancionarlo. </w:t>
      </w:r>
    </w:p>
    <w:p w14:paraId="5B074D35" w14:textId="77777777" w:rsidR="00B15CF6" w:rsidRDefault="00B15CF6" w:rsidP="00835FCE">
      <w:pPr>
        <w:pStyle w:val="NormalWeb"/>
        <w:spacing w:before="0" w:beforeAutospacing="0" w:after="0" w:afterAutospacing="0" w:line="360" w:lineRule="auto"/>
        <w:ind w:left="567"/>
        <w:jc w:val="both"/>
        <w:rPr>
          <w:rFonts w:ascii="Palatino Linotype" w:hAnsi="Palatino Linotype"/>
        </w:rPr>
      </w:pPr>
    </w:p>
    <w:p w14:paraId="44511757" w14:textId="379681DD" w:rsidR="00FE5F5E" w:rsidRDefault="003F0A6A" w:rsidP="00835FCE">
      <w:pPr>
        <w:pStyle w:val="NormalWeb"/>
        <w:spacing w:before="0" w:beforeAutospacing="0" w:after="0" w:afterAutospacing="0" w:line="360" w:lineRule="auto"/>
        <w:ind w:left="567"/>
        <w:jc w:val="both"/>
        <w:rPr>
          <w:rFonts w:ascii="Palatino Linotype" w:hAnsi="Palatino Linotype"/>
        </w:rPr>
      </w:pPr>
      <w:r>
        <w:rPr>
          <w:rFonts w:ascii="Palatino Linotype" w:hAnsi="Palatino Linotype"/>
        </w:rPr>
        <w:lastRenderedPageBreak/>
        <w:t xml:space="preserve">Lo anterior de conformidad con </w:t>
      </w:r>
      <w:r w:rsidR="00A02002" w:rsidRPr="009565F9">
        <w:rPr>
          <w:rFonts w:ascii="Palatino Linotype" w:hAnsi="Palatino Linotype"/>
        </w:rPr>
        <w:t xml:space="preserve">la jurisprudencia con el rubro </w:t>
      </w:r>
      <w:r w:rsidR="00A02002" w:rsidRPr="00E1757A">
        <w:rPr>
          <w:rFonts w:ascii="Palatino Linotype" w:hAnsi="Palatino Linotype"/>
          <w:b/>
        </w:rPr>
        <w:t>LIBERTAD DE EXPRESIÓN Y DERECHO AL HONOR. EXPRESIONES QUE SE ENCUENTRAN PROTEGIDAS CONSTITUCIONALMENTE</w:t>
      </w:r>
      <w:r w:rsidR="00A02002" w:rsidRPr="009565F9">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4229C884" w14:textId="77777777" w:rsidR="00B15CF6" w:rsidRDefault="00B15CF6" w:rsidP="003721F5">
      <w:pPr>
        <w:pStyle w:val="NormalWeb"/>
        <w:spacing w:before="0" w:beforeAutospacing="0" w:after="0" w:afterAutospacing="0" w:line="360" w:lineRule="auto"/>
        <w:ind w:left="357"/>
        <w:jc w:val="both"/>
        <w:rPr>
          <w:rFonts w:ascii="Palatino Linotype" w:hAnsi="Palatino Linotype"/>
        </w:rPr>
      </w:pPr>
    </w:p>
    <w:p w14:paraId="5C69D18D" w14:textId="7F37E3FB" w:rsidR="00912C77" w:rsidRDefault="00A02002" w:rsidP="00835FCE">
      <w:pPr>
        <w:pStyle w:val="NormalWeb"/>
        <w:spacing w:before="0" w:beforeAutospacing="0" w:after="0" w:afterAutospacing="0" w:line="360" w:lineRule="auto"/>
        <w:ind w:left="567"/>
        <w:jc w:val="both"/>
        <w:rPr>
          <w:rFonts w:ascii="Palatino Linotype" w:hAnsi="Palatino Linotype"/>
        </w:rPr>
      </w:pPr>
      <w:r w:rsidRPr="009565F9">
        <w:rPr>
          <w:rFonts w:ascii="Palatino Linotype" w:hAnsi="Palatino Linotype"/>
        </w:rPr>
        <w:t xml:space="preserve">Por otro lado, en la tesis aislada con el rubro </w:t>
      </w:r>
      <w:r w:rsidRPr="00E1757A">
        <w:rPr>
          <w:rFonts w:ascii="Palatino Linotype" w:hAnsi="Palatino Linotype"/>
          <w:b/>
        </w:rPr>
        <w:t>DERECHO A SER INFORMADO Y DERECHO AL HONOR. ESTÁNDAR PARA DETERMINAR SU PREVALENCIA</w:t>
      </w:r>
      <w:r w:rsidRPr="009565F9">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w:t>
      </w:r>
      <w:r w:rsidRPr="009565F9">
        <w:rPr>
          <w:rFonts w:ascii="Palatino Linotype" w:hAnsi="Palatino Linotype"/>
        </w:rPr>
        <w:lastRenderedPageBreak/>
        <w:t xml:space="preserve">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B230447" w14:textId="77777777" w:rsidR="00ED1CC8" w:rsidRPr="009565F9" w:rsidRDefault="00ED1CC8" w:rsidP="00835FCE">
      <w:pPr>
        <w:pStyle w:val="NormalWeb"/>
        <w:spacing w:before="0" w:beforeAutospacing="0" w:after="0" w:afterAutospacing="0" w:line="360" w:lineRule="auto"/>
        <w:ind w:left="567"/>
        <w:jc w:val="both"/>
        <w:rPr>
          <w:rFonts w:ascii="Palatino Linotype" w:eastAsia="Calibri" w:hAnsi="Palatino Linotype" w:cs="Arial"/>
        </w:rPr>
      </w:pPr>
    </w:p>
    <w:p w14:paraId="02AF84AB" w14:textId="2D12CA7D" w:rsidR="00FE5F5E" w:rsidRPr="00FE5F5E" w:rsidRDefault="00A02002" w:rsidP="009C03BD">
      <w:pPr>
        <w:pStyle w:val="Prrafodelista"/>
        <w:spacing w:after="0" w:line="360" w:lineRule="auto"/>
        <w:ind w:left="567"/>
        <w:jc w:val="both"/>
        <w:rPr>
          <w:rFonts w:ascii="Palatino Linotype" w:eastAsia="Calibri" w:hAnsi="Palatino Linotype" w:cs="Arial"/>
          <w:sz w:val="24"/>
          <w:szCs w:val="24"/>
        </w:rPr>
      </w:pPr>
      <w:r w:rsidRPr="00FE5F5E">
        <w:rPr>
          <w:rFonts w:ascii="Palatino Linotype" w:hAnsi="Palatino Linotype"/>
          <w:sz w:val="24"/>
          <w:szCs w:val="24"/>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 </w:t>
      </w:r>
    </w:p>
    <w:p w14:paraId="55C11D74" w14:textId="77777777" w:rsidR="00FE5F5E" w:rsidRPr="00FE5F5E" w:rsidRDefault="00FE5F5E" w:rsidP="009C03BD">
      <w:pPr>
        <w:pStyle w:val="Prrafodelista"/>
        <w:spacing w:after="0" w:line="360" w:lineRule="auto"/>
        <w:ind w:left="567"/>
        <w:jc w:val="both"/>
        <w:rPr>
          <w:rFonts w:ascii="Palatino Linotype" w:eastAsia="Calibri" w:hAnsi="Palatino Linotype" w:cs="Arial"/>
          <w:sz w:val="24"/>
          <w:szCs w:val="24"/>
        </w:rPr>
      </w:pPr>
    </w:p>
    <w:p w14:paraId="5222D709" w14:textId="60AC2A85" w:rsidR="00A02002" w:rsidRPr="00FE5F5E" w:rsidRDefault="00A02002" w:rsidP="009C03BD">
      <w:pPr>
        <w:pStyle w:val="Prrafodelista"/>
        <w:spacing w:after="0" w:line="360" w:lineRule="auto"/>
        <w:ind w:left="567"/>
        <w:jc w:val="both"/>
        <w:rPr>
          <w:rFonts w:ascii="Palatino Linotype" w:eastAsia="Calibri" w:hAnsi="Palatino Linotype" w:cs="Arial"/>
          <w:sz w:val="24"/>
          <w:szCs w:val="24"/>
        </w:rPr>
      </w:pPr>
      <w:r w:rsidRPr="00FE5F5E">
        <w:rPr>
          <w:rFonts w:ascii="Palatino Linotype" w:hAnsi="Palatino Linotype"/>
          <w:sz w:val="24"/>
          <w:szCs w:val="24"/>
        </w:rPr>
        <w:t xml:space="preserve">Por lo anterior, dar a conocer </w:t>
      </w:r>
      <w:r w:rsidR="00ED1CC8">
        <w:rPr>
          <w:rFonts w:ascii="Palatino Linotype" w:eastAsiaTheme="minorEastAsia" w:hAnsi="Palatino Linotype"/>
          <w:bCs/>
        </w:rPr>
        <w:t xml:space="preserve">el nombre y cargo del servidor público en </w:t>
      </w:r>
      <w:r w:rsidR="00ED1CC8" w:rsidRPr="00FE5F5E">
        <w:rPr>
          <w:rFonts w:ascii="Palatino Linotype" w:hAnsi="Palatino Linotype"/>
          <w:sz w:val="24"/>
          <w:szCs w:val="24"/>
        </w:rPr>
        <w:t xml:space="preserve"> </w:t>
      </w:r>
      <w:r w:rsidRPr="00FE5F5E">
        <w:rPr>
          <w:rFonts w:ascii="Palatino Linotype" w:hAnsi="Palatino Linotype"/>
          <w:sz w:val="24"/>
          <w:szCs w:val="24"/>
        </w:rPr>
        <w:t>las resoluciones absolutorias,  derivadas de procedimientos de responsabilidades administrativas</w:t>
      </w:r>
      <w:r w:rsidR="00B754F1" w:rsidRPr="00FE5F5E">
        <w:rPr>
          <w:rFonts w:ascii="Palatino Linotype" w:hAnsi="Palatino Linotype"/>
          <w:sz w:val="24"/>
          <w:szCs w:val="24"/>
        </w:rPr>
        <w:t xml:space="preserve"> graves</w:t>
      </w:r>
      <w:r w:rsidRPr="00FE5F5E">
        <w:rPr>
          <w:rFonts w:ascii="Palatino Linotype" w:hAnsi="Palatino Linotype"/>
          <w:sz w:val="24"/>
          <w:szCs w:val="24"/>
        </w:rPr>
        <w:t xml:space="preserve">,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34D23702" w14:textId="77777777" w:rsidR="00332FDF" w:rsidRDefault="00332FDF" w:rsidP="009C03BD">
      <w:pPr>
        <w:pStyle w:val="Ttulo1"/>
        <w:ind w:left="567"/>
        <w:rPr>
          <w:rFonts w:eastAsia="Calibri" w:cs="Arial"/>
          <w:szCs w:val="22"/>
        </w:rPr>
      </w:pPr>
      <w:bookmarkStart w:id="1" w:name="_Toc88136406"/>
    </w:p>
    <w:p w14:paraId="7F9526E2" w14:textId="77777777" w:rsidR="00332FDF" w:rsidRPr="00332FDF" w:rsidRDefault="00332FDF" w:rsidP="00332FDF">
      <w:pPr>
        <w:rPr>
          <w:rFonts w:eastAsia="Calibri"/>
          <w:lang w:val="es-MX" w:eastAsia="en-US"/>
        </w:rPr>
      </w:pPr>
    </w:p>
    <w:p w14:paraId="7A114E08" w14:textId="3399E1B7" w:rsidR="00E1757A" w:rsidRPr="00241BC4" w:rsidRDefault="00E1757A" w:rsidP="009C03BD">
      <w:pPr>
        <w:pStyle w:val="Ttulo1"/>
        <w:ind w:left="567"/>
        <w:rPr>
          <w:rFonts w:eastAsia="Calibri" w:cs="Arial"/>
          <w:szCs w:val="22"/>
        </w:rPr>
      </w:pPr>
      <w:bookmarkStart w:id="2" w:name="_GoBack"/>
      <w:r w:rsidRPr="00241BC4">
        <w:rPr>
          <w:rFonts w:eastAsia="Calibri" w:cs="Arial"/>
          <w:szCs w:val="22"/>
        </w:rPr>
        <w:lastRenderedPageBreak/>
        <w:t>CONCLUSIÓN</w:t>
      </w:r>
      <w:bookmarkEnd w:id="1"/>
    </w:p>
    <w:p w14:paraId="41D5C9C0" w14:textId="77777777" w:rsidR="00E1757A" w:rsidRPr="00E1757A" w:rsidRDefault="00E1757A" w:rsidP="009C03BD">
      <w:pPr>
        <w:pStyle w:val="Prrafodelista"/>
        <w:ind w:left="567"/>
        <w:rPr>
          <w:rFonts w:ascii="Palatino Linotype" w:eastAsia="Calibri" w:hAnsi="Palatino Linotype" w:cs="Arial"/>
          <w:sz w:val="24"/>
          <w:szCs w:val="24"/>
        </w:rPr>
      </w:pPr>
    </w:p>
    <w:p w14:paraId="04BBEC00" w14:textId="19A27F80" w:rsidR="009C03BD" w:rsidRDefault="00E1757A" w:rsidP="009C03BD">
      <w:pPr>
        <w:spacing w:line="360" w:lineRule="auto"/>
        <w:ind w:left="567"/>
        <w:jc w:val="both"/>
        <w:rPr>
          <w:rFonts w:ascii="Palatino Linotype" w:eastAsia="Calibri" w:hAnsi="Palatino Linotype" w:cs="Arial"/>
        </w:rPr>
      </w:pPr>
      <w:r w:rsidRPr="00E1757A">
        <w:rPr>
          <w:rFonts w:ascii="Palatino Linotype" w:eastAsia="Calibri" w:hAnsi="Palatino Linotype" w:cs="Arial"/>
        </w:rPr>
        <w:t xml:space="preserve">No se comparte el criterio </w:t>
      </w:r>
      <w:bookmarkEnd w:id="2"/>
      <w:r w:rsidRPr="00E1757A">
        <w:rPr>
          <w:rFonts w:ascii="Palatino Linotype" w:eastAsia="Calibri" w:hAnsi="Palatino Linotype" w:cs="Arial"/>
        </w:rPr>
        <w:t xml:space="preserve">de que se clasifique </w:t>
      </w:r>
      <w:r w:rsidR="009C03BD">
        <w:rPr>
          <w:rFonts w:ascii="Palatino Linotype" w:eastAsiaTheme="minorHAnsi" w:hAnsi="Palatino Linotype" w:cstheme="minorBidi"/>
          <w:lang w:val="es-MX" w:eastAsia="en-US"/>
        </w:rPr>
        <w:t xml:space="preserve">como confidencial el nombre y cargo de los servidores públicos, absueltos, en los procedimientos por faltas graves y que hayan causado estado, </w:t>
      </w:r>
      <w:r w:rsidRPr="00E1757A">
        <w:rPr>
          <w:rFonts w:ascii="Palatino Linotype" w:eastAsia="Calibri" w:hAnsi="Palatino Linotype" w:cs="Arial"/>
        </w:rPr>
        <w:t xml:space="preserve"> en razón de que, al no existir una sanción impuesta, no existe afectación alguna al honor </w:t>
      </w:r>
      <w:r>
        <w:rPr>
          <w:rFonts w:ascii="Palatino Linotype" w:eastAsia="Calibri" w:hAnsi="Palatino Linotype" w:cs="Arial"/>
        </w:rPr>
        <w:t xml:space="preserve">y buen nombre </w:t>
      </w:r>
      <w:r w:rsidR="00835FCE">
        <w:rPr>
          <w:rFonts w:ascii="Palatino Linotype" w:eastAsia="Calibri" w:hAnsi="Palatino Linotype" w:cs="Arial"/>
        </w:rPr>
        <w:t>de los</w:t>
      </w:r>
      <w:r w:rsidRPr="00E1757A">
        <w:rPr>
          <w:rFonts w:ascii="Palatino Linotype" w:eastAsia="Calibri" w:hAnsi="Palatino Linotype" w:cs="Arial"/>
        </w:rPr>
        <w:t xml:space="preserve"> servidor</w:t>
      </w:r>
      <w:r w:rsidR="00835FCE">
        <w:rPr>
          <w:rFonts w:ascii="Palatino Linotype" w:eastAsia="Calibri" w:hAnsi="Palatino Linotype" w:cs="Arial"/>
        </w:rPr>
        <w:t>es</w:t>
      </w:r>
      <w:r w:rsidR="00241BC4">
        <w:rPr>
          <w:rFonts w:ascii="Palatino Linotype" w:eastAsia="Calibri" w:hAnsi="Palatino Linotype" w:cs="Arial"/>
        </w:rPr>
        <w:t xml:space="preserve"> públic</w:t>
      </w:r>
      <w:r w:rsidR="00835FCE">
        <w:rPr>
          <w:rFonts w:ascii="Palatino Linotype" w:eastAsia="Calibri" w:hAnsi="Palatino Linotype" w:cs="Arial"/>
        </w:rPr>
        <w:t>os</w:t>
      </w:r>
      <w:r w:rsidR="00241BC4">
        <w:rPr>
          <w:rFonts w:ascii="Palatino Linotype" w:eastAsia="Calibri" w:hAnsi="Palatino Linotype" w:cs="Arial"/>
        </w:rPr>
        <w:t>.</w:t>
      </w:r>
    </w:p>
    <w:p w14:paraId="5B0AC200" w14:textId="77777777" w:rsidR="009C03BD" w:rsidRDefault="009C03BD" w:rsidP="009C03BD">
      <w:pPr>
        <w:spacing w:line="360" w:lineRule="auto"/>
        <w:ind w:left="567"/>
        <w:jc w:val="both"/>
        <w:rPr>
          <w:rFonts w:ascii="Palatino Linotype" w:eastAsia="Calibri" w:hAnsi="Palatino Linotype" w:cs="Arial"/>
        </w:rPr>
      </w:pPr>
    </w:p>
    <w:p w14:paraId="752B4D40" w14:textId="385975D8" w:rsidR="00E1757A" w:rsidRPr="00E1757A" w:rsidRDefault="00E1757A" w:rsidP="009C03BD">
      <w:pPr>
        <w:spacing w:line="360" w:lineRule="auto"/>
        <w:ind w:left="567"/>
        <w:jc w:val="both"/>
        <w:rPr>
          <w:rFonts w:ascii="Palatino Linotype" w:eastAsia="Calibri" w:hAnsi="Palatino Linotype" w:cs="Arial"/>
          <w:sz w:val="28"/>
        </w:rPr>
      </w:pPr>
      <w:r w:rsidRPr="00E1757A">
        <w:rPr>
          <w:rFonts w:ascii="Palatino Linotype" w:eastAsia="Calibri" w:hAnsi="Palatino Linotype" w:cs="Arial"/>
        </w:rPr>
        <w:t>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3B80EEA6" w14:textId="2134B393" w:rsidR="009565F9" w:rsidRPr="00D65F5F" w:rsidRDefault="00241BC4" w:rsidP="009565F9">
      <w:pPr>
        <w:spacing w:line="360" w:lineRule="auto"/>
        <w:ind w:left="567"/>
        <w:contextualSpacing/>
        <w:jc w:val="both"/>
        <w:rPr>
          <w:rFonts w:ascii="Palatino Linotype" w:hAnsi="Palatino Linotype"/>
          <w:b/>
        </w:rPr>
      </w:pPr>
      <w:r>
        <w:rPr>
          <w:rFonts w:ascii="Palatino Linotype" w:hAnsi="Palatino Linotype"/>
          <w:b/>
        </w:rPr>
        <w:t>MRMA</w:t>
      </w:r>
    </w:p>
    <w:p w14:paraId="28B8013E" w14:textId="77777777" w:rsidR="00FA3F69" w:rsidRDefault="00FA3F69" w:rsidP="009565F9">
      <w:pPr>
        <w:tabs>
          <w:tab w:val="left" w:pos="0"/>
          <w:tab w:val="left" w:pos="851"/>
        </w:tabs>
        <w:spacing w:line="360" w:lineRule="auto"/>
        <w:ind w:right="616"/>
        <w:jc w:val="both"/>
        <w:rPr>
          <w:rFonts w:ascii="Palatino Linotype" w:hAnsi="Palatino Linotype" w:cs="Arial"/>
          <w:b/>
        </w:rPr>
      </w:pPr>
    </w:p>
    <w:p w14:paraId="68672B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4E1539E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1F5A2430"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02B08C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FD5F43"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C3C6F6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258B533C" w14:textId="77777777" w:rsidR="00E1757A" w:rsidRDefault="00E1757A" w:rsidP="009565F9">
      <w:pPr>
        <w:tabs>
          <w:tab w:val="left" w:pos="0"/>
          <w:tab w:val="left" w:pos="851"/>
        </w:tabs>
        <w:spacing w:line="360" w:lineRule="auto"/>
        <w:ind w:right="616"/>
        <w:jc w:val="both"/>
        <w:rPr>
          <w:rFonts w:ascii="Palatino Linotype" w:hAnsi="Palatino Linotype" w:cs="Arial"/>
          <w:b/>
        </w:rPr>
      </w:pPr>
    </w:p>
    <w:p w14:paraId="6D04E5D5" w14:textId="77777777" w:rsidR="00E1757A" w:rsidRPr="009565F9" w:rsidRDefault="00E1757A" w:rsidP="009565F9">
      <w:pPr>
        <w:tabs>
          <w:tab w:val="left" w:pos="0"/>
          <w:tab w:val="left" w:pos="851"/>
        </w:tabs>
        <w:spacing w:line="360" w:lineRule="auto"/>
        <w:ind w:right="616"/>
        <w:jc w:val="both"/>
        <w:rPr>
          <w:rFonts w:ascii="Palatino Linotype" w:hAnsi="Palatino Linotype" w:cs="Arial"/>
          <w:b/>
        </w:rPr>
      </w:pPr>
    </w:p>
    <w:p w14:paraId="4940FAA6" w14:textId="31AB0C5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0A062FD1" w14:textId="2A652B36"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063778A2" w14:textId="77777777" w:rsidR="00CA07CB" w:rsidRPr="009565F9" w:rsidRDefault="00CA07CB" w:rsidP="009565F9">
      <w:pPr>
        <w:tabs>
          <w:tab w:val="left" w:pos="0"/>
          <w:tab w:val="left" w:pos="851"/>
        </w:tabs>
        <w:spacing w:line="360" w:lineRule="auto"/>
        <w:ind w:right="616"/>
        <w:jc w:val="both"/>
        <w:rPr>
          <w:rFonts w:ascii="Palatino Linotype" w:hAnsi="Palatino Linotype" w:cs="Arial"/>
          <w:b/>
        </w:rPr>
      </w:pPr>
    </w:p>
    <w:p w14:paraId="164F1E37" w14:textId="7446F02E" w:rsidR="00FA3F69" w:rsidRPr="009565F9" w:rsidRDefault="00FA3F69" w:rsidP="009565F9">
      <w:pPr>
        <w:tabs>
          <w:tab w:val="left" w:pos="0"/>
          <w:tab w:val="left" w:pos="851"/>
        </w:tabs>
        <w:spacing w:line="360" w:lineRule="auto"/>
        <w:ind w:right="616"/>
        <w:jc w:val="both"/>
        <w:rPr>
          <w:rFonts w:ascii="Palatino Linotype" w:hAnsi="Palatino Linotype" w:cs="Arial"/>
          <w:b/>
        </w:rPr>
      </w:pPr>
    </w:p>
    <w:p w14:paraId="60790A7F" w14:textId="77777777" w:rsidR="00FA3F69" w:rsidRPr="009565F9" w:rsidRDefault="00FA3F69" w:rsidP="009565F9">
      <w:pPr>
        <w:tabs>
          <w:tab w:val="left" w:pos="0"/>
          <w:tab w:val="left" w:pos="851"/>
        </w:tabs>
        <w:spacing w:line="360" w:lineRule="auto"/>
        <w:ind w:right="616"/>
        <w:jc w:val="both"/>
        <w:rPr>
          <w:rFonts w:ascii="Palatino Linotype" w:hAnsi="Palatino Linotype"/>
        </w:rPr>
      </w:pPr>
    </w:p>
    <w:sectPr w:rsidR="00FA3F69" w:rsidRPr="009565F9" w:rsidSect="00B754F1">
      <w:headerReference w:type="even" r:id="rId8"/>
      <w:headerReference w:type="default" r:id="rId9"/>
      <w:footerReference w:type="default" r:id="rId10"/>
      <w:headerReference w:type="first" r:id="rId11"/>
      <w:pgSz w:w="12240" w:h="15840"/>
      <w:pgMar w:top="2410" w:right="1134" w:bottom="269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4F4DF" w14:textId="77777777" w:rsidR="00815525" w:rsidRDefault="00815525" w:rsidP="00C80F8C">
      <w:r>
        <w:separator/>
      </w:r>
    </w:p>
  </w:endnote>
  <w:endnote w:type="continuationSeparator" w:id="0">
    <w:p w14:paraId="097A6EF1" w14:textId="77777777" w:rsidR="00815525" w:rsidRDefault="008155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ED3F" w14:textId="77777777" w:rsidR="00CA07CB" w:rsidRDefault="00815525" w:rsidP="00CA07CB">
    <w:pPr>
      <w:pStyle w:val="Piedepgina"/>
      <w:jc w:val="right"/>
    </w:pPr>
    <w:sdt>
      <w:sdtPr>
        <w:rPr>
          <w:rFonts w:ascii="Palatino Linotype" w:hAnsi="Palatino Linotype"/>
        </w:rPr>
        <w:id w:val="-1769616900"/>
        <w:docPartObj>
          <w:docPartGallery w:val="Page Numbers (Top of Page)"/>
          <w:docPartUnique/>
        </w:docPartObj>
      </w:sdtPr>
      <w:sdtEndPr/>
      <w:sdtContent>
        <w:r w:rsidR="00CA07CB" w:rsidRPr="000A2541">
          <w:rPr>
            <w:rFonts w:ascii="Palatino Linotype" w:hAnsi="Palatino Linotype"/>
            <w:lang w:val="es-ES"/>
          </w:rPr>
          <w:t xml:space="preserve">Página </w:t>
        </w:r>
        <w:r w:rsidR="00CA07CB" w:rsidRPr="000A2541">
          <w:rPr>
            <w:rFonts w:ascii="Palatino Linotype" w:hAnsi="Palatino Linotype"/>
            <w:b/>
            <w:bCs/>
          </w:rPr>
          <w:fldChar w:fldCharType="begin"/>
        </w:r>
        <w:r w:rsidR="00CA07CB" w:rsidRPr="000A2541">
          <w:rPr>
            <w:rFonts w:ascii="Palatino Linotype" w:hAnsi="Palatino Linotype"/>
            <w:b/>
            <w:bCs/>
          </w:rPr>
          <w:instrText>PAGE</w:instrText>
        </w:r>
        <w:r w:rsidR="00CA07CB" w:rsidRPr="000A2541">
          <w:rPr>
            <w:rFonts w:ascii="Palatino Linotype" w:hAnsi="Palatino Linotype"/>
            <w:b/>
            <w:bCs/>
          </w:rPr>
          <w:fldChar w:fldCharType="separate"/>
        </w:r>
        <w:r w:rsidR="00FD2786">
          <w:rPr>
            <w:rFonts w:ascii="Palatino Linotype" w:hAnsi="Palatino Linotype"/>
            <w:b/>
            <w:bCs/>
            <w:noProof/>
          </w:rPr>
          <w:t>10</w:t>
        </w:r>
        <w:r w:rsidR="00CA07CB" w:rsidRPr="000A2541">
          <w:rPr>
            <w:rFonts w:ascii="Palatino Linotype" w:hAnsi="Palatino Linotype"/>
            <w:b/>
            <w:bCs/>
          </w:rPr>
          <w:fldChar w:fldCharType="end"/>
        </w:r>
        <w:r w:rsidR="00CA07CB" w:rsidRPr="000A2541">
          <w:rPr>
            <w:rFonts w:ascii="Palatino Linotype" w:hAnsi="Palatino Linotype"/>
            <w:lang w:val="es-ES"/>
          </w:rPr>
          <w:t xml:space="preserve"> de </w:t>
        </w:r>
        <w:r w:rsidR="00CA07CB" w:rsidRPr="000A2541">
          <w:rPr>
            <w:rFonts w:ascii="Palatino Linotype" w:hAnsi="Palatino Linotype"/>
            <w:b/>
            <w:bCs/>
          </w:rPr>
          <w:fldChar w:fldCharType="begin"/>
        </w:r>
        <w:r w:rsidR="00CA07CB" w:rsidRPr="000A2541">
          <w:rPr>
            <w:rFonts w:ascii="Palatino Linotype" w:hAnsi="Palatino Linotype"/>
            <w:b/>
            <w:bCs/>
          </w:rPr>
          <w:instrText>NUMPAGES</w:instrText>
        </w:r>
        <w:r w:rsidR="00CA07CB" w:rsidRPr="000A2541">
          <w:rPr>
            <w:rFonts w:ascii="Palatino Linotype" w:hAnsi="Palatino Linotype"/>
            <w:b/>
            <w:bCs/>
          </w:rPr>
          <w:fldChar w:fldCharType="separate"/>
        </w:r>
        <w:r w:rsidR="00FD2786">
          <w:rPr>
            <w:rFonts w:ascii="Palatino Linotype" w:hAnsi="Palatino Linotype"/>
            <w:b/>
            <w:bCs/>
            <w:noProof/>
          </w:rPr>
          <w:t>10</w:t>
        </w:r>
        <w:r w:rsidR="00CA07CB" w:rsidRPr="000A2541">
          <w:rPr>
            <w:rFonts w:ascii="Palatino Linotype" w:hAnsi="Palatino Linotype"/>
            <w:b/>
            <w:bCs/>
          </w:rPr>
          <w:fldChar w:fldCharType="end"/>
        </w:r>
      </w:sdtContent>
    </w:sdt>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8A0E2" w14:textId="77777777" w:rsidR="00815525" w:rsidRDefault="00815525" w:rsidP="00C80F8C">
      <w:r>
        <w:separator/>
      </w:r>
    </w:p>
  </w:footnote>
  <w:footnote w:type="continuationSeparator" w:id="0">
    <w:p w14:paraId="2CC64FB6" w14:textId="77777777" w:rsidR="00815525" w:rsidRDefault="0081552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8D647" w14:textId="6D5F2363" w:rsidR="00EF62DD" w:rsidRDefault="00815525">
    <w:pPr>
      <w:pStyle w:val="Encabezado"/>
    </w:pPr>
    <w:r>
      <w:rPr>
        <w:noProof/>
      </w:rPr>
      <w:pict w14:anchorId="040C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7" o:spid="_x0000_s2050" type="#_x0000_t136" style="position:absolute;margin-left:0;margin-top:0;width:628.95pt;height:73.95pt;rotation:315;z-index:-251654144;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5EACE9" w:rsidR="00634485" w:rsidRPr="00A81140" w:rsidRDefault="00815525" w:rsidP="00C80F8C">
    <w:pPr>
      <w:pStyle w:val="Encabezado"/>
      <w:tabs>
        <w:tab w:val="clear" w:pos="4252"/>
        <w:tab w:val="clear" w:pos="8504"/>
        <w:tab w:val="left" w:pos="2326"/>
      </w:tabs>
      <w:rPr>
        <w:rFonts w:ascii="Palatino Linotype" w:hAnsi="Palatino Linotype"/>
      </w:rPr>
    </w:pPr>
    <w:r>
      <w:rPr>
        <w:noProof/>
      </w:rPr>
      <w:pict w14:anchorId="574B3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8" o:spid="_x0000_s2051" type="#_x0000_t136" style="position:absolute;margin-left:0;margin-top:0;width:628.95pt;height:73.95pt;rotation:315;z-index:-251652096;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25CE6" w14:textId="7AAAE2E6" w:rsidR="00EF62DD" w:rsidRDefault="00815525">
    <w:pPr>
      <w:pStyle w:val="Encabezado"/>
    </w:pPr>
    <w:r>
      <w:rPr>
        <w:noProof/>
      </w:rPr>
      <w:pict w14:anchorId="23F7F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9796" o:spid="_x0000_s2049" type="#_x0000_t136" style="position:absolute;margin-left:0;margin-top:0;width:628.95pt;height:73.95pt;rotation:315;z-index:-251656192;mso-position-horizontal:center;mso-position-horizontal-relative:margin;mso-position-vertical:center;mso-position-vertical-relative:margin" o:allowincell="f" fillcolor="silver"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22DD"/>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6D54985"/>
    <w:multiLevelType w:val="hybridMultilevel"/>
    <w:tmpl w:val="40EAAF58"/>
    <w:lvl w:ilvl="0" w:tplc="5DF61380">
      <w:start w:val="1"/>
      <w:numFmt w:val="decimal"/>
      <w:lvlText w:val="%1."/>
      <w:lvlJc w:val="left"/>
      <w:pPr>
        <w:ind w:left="720" w:hanging="360"/>
      </w:pPr>
      <w:rPr>
        <w:b/>
        <w:bCs/>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02466"/>
    <w:multiLevelType w:val="hybridMultilevel"/>
    <w:tmpl w:val="7068BCEC"/>
    <w:lvl w:ilvl="0" w:tplc="A96C0A9C">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282843EE"/>
    <w:multiLevelType w:val="hybridMultilevel"/>
    <w:tmpl w:val="6F348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B8E2722"/>
    <w:multiLevelType w:val="hybridMultilevel"/>
    <w:tmpl w:val="BEB844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1B5325"/>
    <w:multiLevelType w:val="hybridMultilevel"/>
    <w:tmpl w:val="D50607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403E5810"/>
    <w:multiLevelType w:val="hybridMultilevel"/>
    <w:tmpl w:val="99329EB8"/>
    <w:lvl w:ilvl="0" w:tplc="A754DEA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280C84"/>
    <w:multiLevelType w:val="multilevel"/>
    <w:tmpl w:val="3B84863E"/>
    <w:lvl w:ilvl="0">
      <w:start w:val="1"/>
      <w:numFmt w:val="lowerLetter"/>
      <w:lvlText w:val="%1."/>
      <w:lvlJc w:val="left"/>
      <w:pPr>
        <w:ind w:left="9575" w:hanging="360"/>
      </w:pPr>
      <w:rPr>
        <w:b/>
        <w:bCs/>
      </w:rPr>
    </w:lvl>
    <w:lvl w:ilvl="1">
      <w:start w:val="1"/>
      <w:numFmt w:val="decimal"/>
      <w:isLgl/>
      <w:lvlText w:val="%1.%2."/>
      <w:lvlJc w:val="left"/>
      <w:pPr>
        <w:ind w:left="10010" w:hanging="435"/>
      </w:pPr>
      <w:rPr>
        <w:rFonts w:hint="default"/>
      </w:rPr>
    </w:lvl>
    <w:lvl w:ilvl="2">
      <w:start w:val="1"/>
      <w:numFmt w:val="decimal"/>
      <w:isLgl/>
      <w:lvlText w:val="%1.%2.%3."/>
      <w:lvlJc w:val="left"/>
      <w:pPr>
        <w:ind w:left="10655" w:hanging="720"/>
      </w:pPr>
      <w:rPr>
        <w:rFonts w:hint="default"/>
      </w:rPr>
    </w:lvl>
    <w:lvl w:ilvl="3">
      <w:start w:val="1"/>
      <w:numFmt w:val="decimal"/>
      <w:isLgl/>
      <w:lvlText w:val="%1.%2.%3.%4."/>
      <w:lvlJc w:val="left"/>
      <w:pPr>
        <w:ind w:left="11015" w:hanging="720"/>
      </w:pPr>
      <w:rPr>
        <w:rFonts w:hint="default"/>
      </w:rPr>
    </w:lvl>
    <w:lvl w:ilvl="4">
      <w:start w:val="1"/>
      <w:numFmt w:val="decimal"/>
      <w:isLgl/>
      <w:lvlText w:val="%1.%2.%3.%4.%5."/>
      <w:lvlJc w:val="left"/>
      <w:pPr>
        <w:ind w:left="11735" w:hanging="1080"/>
      </w:pPr>
      <w:rPr>
        <w:rFonts w:hint="default"/>
      </w:rPr>
    </w:lvl>
    <w:lvl w:ilvl="5">
      <w:start w:val="1"/>
      <w:numFmt w:val="decimal"/>
      <w:isLgl/>
      <w:lvlText w:val="%1.%2.%3.%4.%5.%6."/>
      <w:lvlJc w:val="left"/>
      <w:pPr>
        <w:ind w:left="12095" w:hanging="1080"/>
      </w:pPr>
      <w:rPr>
        <w:rFonts w:hint="default"/>
      </w:rPr>
    </w:lvl>
    <w:lvl w:ilvl="6">
      <w:start w:val="1"/>
      <w:numFmt w:val="decimal"/>
      <w:isLgl/>
      <w:lvlText w:val="%1.%2.%3.%4.%5.%6.%7."/>
      <w:lvlJc w:val="left"/>
      <w:pPr>
        <w:ind w:left="12815"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3895" w:hanging="1800"/>
      </w:pPr>
      <w:rPr>
        <w:rFonts w:hint="default"/>
      </w:rPr>
    </w:lvl>
  </w:abstractNum>
  <w:abstractNum w:abstractNumId="9">
    <w:nsid w:val="475F4CF6"/>
    <w:multiLevelType w:val="hybridMultilevel"/>
    <w:tmpl w:val="FC04E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471ABE"/>
    <w:multiLevelType w:val="hybridMultilevel"/>
    <w:tmpl w:val="4326625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1">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AA7948"/>
    <w:multiLevelType w:val="hybridMultilevel"/>
    <w:tmpl w:val="15189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6A47B92"/>
    <w:multiLevelType w:val="hybridMultilevel"/>
    <w:tmpl w:val="8534B0A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5"/>
  </w:num>
  <w:num w:numId="4">
    <w:abstractNumId w:val="13"/>
  </w:num>
  <w:num w:numId="5">
    <w:abstractNumId w:val="19"/>
  </w:num>
  <w:num w:numId="6">
    <w:abstractNumId w:val="1"/>
  </w:num>
  <w:num w:numId="7">
    <w:abstractNumId w:val="2"/>
  </w:num>
  <w:num w:numId="8">
    <w:abstractNumId w:val="18"/>
  </w:num>
  <w:num w:numId="9">
    <w:abstractNumId w:val="15"/>
  </w:num>
  <w:num w:numId="10">
    <w:abstractNumId w:val="3"/>
  </w:num>
  <w:num w:numId="11">
    <w:abstractNumId w:val="9"/>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6"/>
  </w:num>
  <w:num w:numId="16">
    <w:abstractNumId w:val="16"/>
  </w:num>
  <w:num w:numId="17">
    <w:abstractNumId w:val="1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55841"/>
    <w:rsid w:val="0008542A"/>
    <w:rsid w:val="00090985"/>
    <w:rsid w:val="000A6E4B"/>
    <w:rsid w:val="000B3FFD"/>
    <w:rsid w:val="000C4453"/>
    <w:rsid w:val="00111AE8"/>
    <w:rsid w:val="00116DE7"/>
    <w:rsid w:val="00132AC5"/>
    <w:rsid w:val="00166447"/>
    <w:rsid w:val="00186E33"/>
    <w:rsid w:val="001C57DE"/>
    <w:rsid w:val="001E70EE"/>
    <w:rsid w:val="00241BC4"/>
    <w:rsid w:val="0024476F"/>
    <w:rsid w:val="00263858"/>
    <w:rsid w:val="0028544C"/>
    <w:rsid w:val="002874D1"/>
    <w:rsid w:val="00290929"/>
    <w:rsid w:val="002A6D0E"/>
    <w:rsid w:val="002C7669"/>
    <w:rsid w:val="003257F3"/>
    <w:rsid w:val="00332FDF"/>
    <w:rsid w:val="00343410"/>
    <w:rsid w:val="00360C08"/>
    <w:rsid w:val="003721F5"/>
    <w:rsid w:val="00387059"/>
    <w:rsid w:val="003907F3"/>
    <w:rsid w:val="003B3BFB"/>
    <w:rsid w:val="003E7406"/>
    <w:rsid w:val="003F0A6A"/>
    <w:rsid w:val="004112A3"/>
    <w:rsid w:val="00426E22"/>
    <w:rsid w:val="00430DD5"/>
    <w:rsid w:val="004360B3"/>
    <w:rsid w:val="00463477"/>
    <w:rsid w:val="00473AB7"/>
    <w:rsid w:val="004D0A26"/>
    <w:rsid w:val="004E383A"/>
    <w:rsid w:val="005373E8"/>
    <w:rsid w:val="00542EE3"/>
    <w:rsid w:val="00575235"/>
    <w:rsid w:val="00591350"/>
    <w:rsid w:val="005B20F9"/>
    <w:rsid w:val="005C64CC"/>
    <w:rsid w:val="005D1946"/>
    <w:rsid w:val="005D2361"/>
    <w:rsid w:val="00634485"/>
    <w:rsid w:val="006622F4"/>
    <w:rsid w:val="00672E7C"/>
    <w:rsid w:val="00676649"/>
    <w:rsid w:val="006A04B1"/>
    <w:rsid w:val="006B5505"/>
    <w:rsid w:val="006E6389"/>
    <w:rsid w:val="006F30F8"/>
    <w:rsid w:val="0071093C"/>
    <w:rsid w:val="007238B0"/>
    <w:rsid w:val="00736C06"/>
    <w:rsid w:val="007443FC"/>
    <w:rsid w:val="00746AEF"/>
    <w:rsid w:val="007547D7"/>
    <w:rsid w:val="00762C20"/>
    <w:rsid w:val="00762FD6"/>
    <w:rsid w:val="00767232"/>
    <w:rsid w:val="007F3B57"/>
    <w:rsid w:val="00815525"/>
    <w:rsid w:val="00835FCE"/>
    <w:rsid w:val="0089124C"/>
    <w:rsid w:val="00892AFC"/>
    <w:rsid w:val="008C4B6B"/>
    <w:rsid w:val="008D1526"/>
    <w:rsid w:val="009046BF"/>
    <w:rsid w:val="00912C77"/>
    <w:rsid w:val="009565F9"/>
    <w:rsid w:val="0096112E"/>
    <w:rsid w:val="00970D11"/>
    <w:rsid w:val="00975EB9"/>
    <w:rsid w:val="009C03BD"/>
    <w:rsid w:val="009E0F9C"/>
    <w:rsid w:val="00A02002"/>
    <w:rsid w:val="00A44C01"/>
    <w:rsid w:val="00A47DA4"/>
    <w:rsid w:val="00A81140"/>
    <w:rsid w:val="00A84529"/>
    <w:rsid w:val="00B15CF6"/>
    <w:rsid w:val="00B17515"/>
    <w:rsid w:val="00B4428F"/>
    <w:rsid w:val="00B53290"/>
    <w:rsid w:val="00B73667"/>
    <w:rsid w:val="00B754F1"/>
    <w:rsid w:val="00B76282"/>
    <w:rsid w:val="00BA6C4E"/>
    <w:rsid w:val="00BD7483"/>
    <w:rsid w:val="00BE6285"/>
    <w:rsid w:val="00C51A45"/>
    <w:rsid w:val="00C666C8"/>
    <w:rsid w:val="00C80F8C"/>
    <w:rsid w:val="00CA07CB"/>
    <w:rsid w:val="00CB50F4"/>
    <w:rsid w:val="00D45CA3"/>
    <w:rsid w:val="00D65F5F"/>
    <w:rsid w:val="00D728E2"/>
    <w:rsid w:val="00D76106"/>
    <w:rsid w:val="00D83F3E"/>
    <w:rsid w:val="00D9475B"/>
    <w:rsid w:val="00DF0CCA"/>
    <w:rsid w:val="00E1757A"/>
    <w:rsid w:val="00E30D07"/>
    <w:rsid w:val="00E9134A"/>
    <w:rsid w:val="00EB35BD"/>
    <w:rsid w:val="00EB780C"/>
    <w:rsid w:val="00ED1CC8"/>
    <w:rsid w:val="00EE7341"/>
    <w:rsid w:val="00EF5B95"/>
    <w:rsid w:val="00EF62DD"/>
    <w:rsid w:val="00F1720D"/>
    <w:rsid w:val="00F77D6A"/>
    <w:rsid w:val="00FA3F69"/>
    <w:rsid w:val="00FB48D6"/>
    <w:rsid w:val="00FB6B77"/>
    <w:rsid w:val="00FD2786"/>
    <w:rsid w:val="00FE5F5E"/>
    <w:rsid w:val="00FE74C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5:docId w15:val="{010E1544-B770-4297-A49D-3A97B394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426E22"/>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E74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Ttulo1Car">
    <w:name w:val="Título 1 Car"/>
    <w:basedOn w:val="Fuentedeprrafopredeter"/>
    <w:link w:val="Ttulo1"/>
    <w:uiPriority w:val="9"/>
    <w:rsid w:val="00426E22"/>
    <w:rPr>
      <w:rFonts w:ascii="Palatino Linotype" w:eastAsiaTheme="majorEastAsia" w:hAnsi="Palatino Linotype" w:cstheme="majorBidi"/>
      <w:b/>
      <w:szCs w:val="3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6E22"/>
    <w:pPr>
      <w:pBdr>
        <w:top w:val="nil"/>
        <w:left w:val="nil"/>
        <w:bottom w:val="nil"/>
        <w:right w:val="nil"/>
        <w:between w:val="nil"/>
        <w:bar w:val="nil"/>
      </w:pBdr>
    </w:pPr>
    <w:rPr>
      <w:rFonts w:eastAsia="Arial Unicode MS"/>
      <w:sz w:val="20"/>
      <w:szCs w:val="20"/>
      <w:bdr w:val="nil"/>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426E22"/>
    <w:rPr>
      <w:rFonts w:ascii="Times New Roman" w:eastAsia="Arial Unicode MS" w:hAnsi="Times New Roman" w:cs="Times New Roman"/>
      <w:sz w:val="20"/>
      <w:szCs w:val="20"/>
      <w:bdr w:val="nil"/>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6E22"/>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E22"/>
    <w:pPr>
      <w:spacing w:after="160" w:line="259" w:lineRule="auto"/>
      <w:ind w:left="720"/>
      <w:contextualSpacing/>
    </w:pPr>
    <w:rPr>
      <w:rFonts w:asciiTheme="minorHAnsi" w:eastAsiaTheme="minorHAnsi" w:hAnsiTheme="minorHAnsi" w:cstheme="minorBidi"/>
      <w:sz w:val="22"/>
      <w:szCs w:val="22"/>
      <w:lang w:val="es-MX"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6E22"/>
    <w:rPr>
      <w:rFonts w:eastAsiaTheme="minorHAnsi"/>
      <w:sz w:val="22"/>
      <w:szCs w:val="22"/>
      <w:lang w:val="es-MX" w:eastAsia="en-US"/>
    </w:rPr>
  </w:style>
  <w:style w:type="paragraph" w:styleId="TtulodeTDC">
    <w:name w:val="TOC Heading"/>
    <w:basedOn w:val="Ttulo1"/>
    <w:next w:val="Normal"/>
    <w:uiPriority w:val="39"/>
    <w:unhideWhenUsed/>
    <w:qFormat/>
    <w:rsid w:val="00426E22"/>
    <w:pPr>
      <w:outlineLvl w:val="9"/>
    </w:pPr>
    <w:rPr>
      <w:lang w:eastAsia="es-MX"/>
    </w:rPr>
  </w:style>
  <w:style w:type="paragraph" w:styleId="TDC1">
    <w:name w:val="toc 1"/>
    <w:basedOn w:val="Normal"/>
    <w:next w:val="Normal"/>
    <w:autoRedefine/>
    <w:uiPriority w:val="39"/>
    <w:unhideWhenUsed/>
    <w:rsid w:val="00426E22"/>
    <w:pPr>
      <w:tabs>
        <w:tab w:val="left" w:pos="660"/>
        <w:tab w:val="right" w:leader="dot" w:pos="8828"/>
      </w:tabs>
      <w:spacing w:after="100"/>
    </w:pPr>
    <w:rPr>
      <w:rFonts w:asciiTheme="minorHAnsi" w:eastAsiaTheme="minorHAnsi" w:hAnsiTheme="minorHAnsi" w:cstheme="minorBidi"/>
      <w:sz w:val="22"/>
      <w:szCs w:val="22"/>
      <w:lang w:val="es-MX" w:eastAsia="en-US"/>
    </w:rPr>
  </w:style>
  <w:style w:type="character" w:styleId="Hipervnculo">
    <w:name w:val="Hyperlink"/>
    <w:aliases w:val="Hipervínculo1,Hipervínculo11,Hipervínculo12,Hipervínculo13,Hipervínculo14,Hipervínculo15"/>
    <w:basedOn w:val="Fuentedeprrafopredeter"/>
    <w:uiPriority w:val="99"/>
    <w:unhideWhenUsed/>
    <w:rsid w:val="00426E22"/>
    <w:rPr>
      <w:color w:val="0000FF" w:themeColor="hyperlink"/>
      <w:u w:val="single"/>
    </w:rPr>
  </w:style>
  <w:style w:type="paragraph" w:styleId="Sinespaciado">
    <w:name w:val="No Spacing"/>
    <w:aliases w:val="Francesa"/>
    <w:link w:val="SinespaciadoCar"/>
    <w:uiPriority w:val="1"/>
    <w:qFormat/>
    <w:rsid w:val="00426E22"/>
    <w:rPr>
      <w:rFonts w:eastAsiaTheme="minorHAnsi"/>
      <w:sz w:val="22"/>
      <w:szCs w:val="22"/>
      <w:lang w:val="es-MX" w:eastAsia="en-US"/>
    </w:rPr>
  </w:style>
  <w:style w:type="character" w:customStyle="1" w:styleId="SinespaciadoCar">
    <w:name w:val="Sin espaciado Car"/>
    <w:aliases w:val="Francesa Car"/>
    <w:link w:val="Sinespaciado"/>
    <w:uiPriority w:val="1"/>
    <w:locked/>
    <w:rsid w:val="00426E22"/>
    <w:rPr>
      <w:rFonts w:eastAsiaTheme="minorHAnsi"/>
      <w:sz w:val="22"/>
      <w:szCs w:val="22"/>
      <w:lang w:val="es-MX" w:eastAsia="en-US"/>
    </w:rPr>
  </w:style>
  <w:style w:type="paragraph" w:customStyle="1" w:styleId="m5907675151158779931gmail-msolistparagraph">
    <w:name w:val="m_5907675151158779931gmail-msolistparagraph"/>
    <w:basedOn w:val="Normal"/>
    <w:rsid w:val="00186E33"/>
    <w:pPr>
      <w:spacing w:before="100" w:beforeAutospacing="1" w:after="100" w:afterAutospacing="1"/>
    </w:pPr>
    <w:rPr>
      <w:lang w:val="es-MX" w:eastAsia="es-MX"/>
    </w:rPr>
  </w:style>
  <w:style w:type="paragraph" w:styleId="TDC2">
    <w:name w:val="toc 2"/>
    <w:basedOn w:val="Normal"/>
    <w:next w:val="Normal"/>
    <w:autoRedefine/>
    <w:uiPriority w:val="39"/>
    <w:unhideWhenUsed/>
    <w:rsid w:val="007F3B57"/>
    <w:pPr>
      <w:spacing w:after="100"/>
      <w:ind w:left="240"/>
    </w:pPr>
  </w:style>
  <w:style w:type="paragraph" w:styleId="NormalWeb">
    <w:name w:val="Normal (Web)"/>
    <w:basedOn w:val="Normal"/>
    <w:uiPriority w:val="99"/>
    <w:unhideWhenUsed/>
    <w:rsid w:val="007F3B57"/>
    <w:pPr>
      <w:spacing w:before="100" w:beforeAutospacing="1" w:after="100" w:afterAutospacing="1"/>
    </w:pPr>
    <w:rPr>
      <w:rFonts w:eastAsiaTheme="minorEastAsia"/>
      <w:lang w:val="es-MX" w:eastAsia="es-MX"/>
    </w:rPr>
  </w:style>
  <w:style w:type="paragraph" w:customStyle="1" w:styleId="j">
    <w:name w:val="j"/>
    <w:basedOn w:val="Normal"/>
    <w:rsid w:val="007F3B57"/>
    <w:pPr>
      <w:spacing w:before="100" w:beforeAutospacing="1" w:after="100" w:afterAutospacing="1"/>
    </w:pPr>
    <w:rPr>
      <w:rFonts w:eastAsiaTheme="minorHAnsi"/>
      <w:lang w:val="es-ES_tradnl" w:eastAsia="es-ES_tradnl"/>
    </w:rPr>
  </w:style>
  <w:style w:type="table" w:styleId="Tablanormal1">
    <w:name w:val="Plain Table 1"/>
    <w:basedOn w:val="Tablanormal"/>
    <w:uiPriority w:val="41"/>
    <w:rsid w:val="007F3B5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FE74C4"/>
    <w:rPr>
      <w:rFonts w:asciiTheme="majorHAnsi" w:eastAsiaTheme="majorEastAsia" w:hAnsiTheme="majorHAnsi" w:cstheme="majorBidi"/>
      <w:color w:val="365F91" w:themeColor="accent1" w:themeShade="BF"/>
      <w:sz w:val="26"/>
      <w:szCs w:val="26"/>
      <w:lang w:val="es-ES"/>
    </w:rPr>
  </w:style>
  <w:style w:type="paragraph" w:customStyle="1" w:styleId="Default">
    <w:name w:val="Default"/>
    <w:rsid w:val="0028544C"/>
    <w:pPr>
      <w:autoSpaceDE w:val="0"/>
      <w:autoSpaceDN w:val="0"/>
      <w:adjustRightInd w:val="0"/>
    </w:pPr>
    <w:rPr>
      <w:rFonts w:ascii="Palatino Linotype" w:hAnsi="Palatino Linotype" w:cs="Palatino Linotype"/>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2826">
      <w:bodyDiv w:val="1"/>
      <w:marLeft w:val="0"/>
      <w:marRight w:val="0"/>
      <w:marTop w:val="0"/>
      <w:marBottom w:val="0"/>
      <w:divBdr>
        <w:top w:val="none" w:sz="0" w:space="0" w:color="auto"/>
        <w:left w:val="none" w:sz="0" w:space="0" w:color="auto"/>
        <w:bottom w:val="none" w:sz="0" w:space="0" w:color="auto"/>
        <w:right w:val="none" w:sz="0" w:space="0" w:color="auto"/>
      </w:divBdr>
    </w:div>
    <w:div w:id="265239759">
      <w:bodyDiv w:val="1"/>
      <w:marLeft w:val="0"/>
      <w:marRight w:val="0"/>
      <w:marTop w:val="0"/>
      <w:marBottom w:val="0"/>
      <w:divBdr>
        <w:top w:val="none" w:sz="0" w:space="0" w:color="auto"/>
        <w:left w:val="none" w:sz="0" w:space="0" w:color="auto"/>
        <w:bottom w:val="none" w:sz="0" w:space="0" w:color="auto"/>
        <w:right w:val="none" w:sz="0" w:space="0" w:color="auto"/>
      </w:divBdr>
    </w:div>
    <w:div w:id="267932149">
      <w:bodyDiv w:val="1"/>
      <w:marLeft w:val="0"/>
      <w:marRight w:val="0"/>
      <w:marTop w:val="0"/>
      <w:marBottom w:val="0"/>
      <w:divBdr>
        <w:top w:val="none" w:sz="0" w:space="0" w:color="auto"/>
        <w:left w:val="none" w:sz="0" w:space="0" w:color="auto"/>
        <w:bottom w:val="none" w:sz="0" w:space="0" w:color="auto"/>
        <w:right w:val="none" w:sz="0" w:space="0" w:color="auto"/>
      </w:divBdr>
    </w:div>
    <w:div w:id="401174603">
      <w:bodyDiv w:val="1"/>
      <w:marLeft w:val="0"/>
      <w:marRight w:val="0"/>
      <w:marTop w:val="0"/>
      <w:marBottom w:val="0"/>
      <w:divBdr>
        <w:top w:val="none" w:sz="0" w:space="0" w:color="auto"/>
        <w:left w:val="none" w:sz="0" w:space="0" w:color="auto"/>
        <w:bottom w:val="none" w:sz="0" w:space="0" w:color="auto"/>
        <w:right w:val="none" w:sz="0" w:space="0" w:color="auto"/>
      </w:divBdr>
    </w:div>
    <w:div w:id="499663873">
      <w:bodyDiv w:val="1"/>
      <w:marLeft w:val="0"/>
      <w:marRight w:val="0"/>
      <w:marTop w:val="0"/>
      <w:marBottom w:val="0"/>
      <w:divBdr>
        <w:top w:val="none" w:sz="0" w:space="0" w:color="auto"/>
        <w:left w:val="none" w:sz="0" w:space="0" w:color="auto"/>
        <w:bottom w:val="none" w:sz="0" w:space="0" w:color="auto"/>
        <w:right w:val="none" w:sz="0" w:space="0" w:color="auto"/>
      </w:divBdr>
    </w:div>
    <w:div w:id="517160610">
      <w:bodyDiv w:val="1"/>
      <w:marLeft w:val="0"/>
      <w:marRight w:val="0"/>
      <w:marTop w:val="0"/>
      <w:marBottom w:val="0"/>
      <w:divBdr>
        <w:top w:val="none" w:sz="0" w:space="0" w:color="auto"/>
        <w:left w:val="none" w:sz="0" w:space="0" w:color="auto"/>
        <w:bottom w:val="none" w:sz="0" w:space="0" w:color="auto"/>
        <w:right w:val="none" w:sz="0" w:space="0" w:color="auto"/>
      </w:divBdr>
    </w:div>
    <w:div w:id="563637337">
      <w:bodyDiv w:val="1"/>
      <w:marLeft w:val="0"/>
      <w:marRight w:val="0"/>
      <w:marTop w:val="0"/>
      <w:marBottom w:val="0"/>
      <w:divBdr>
        <w:top w:val="none" w:sz="0" w:space="0" w:color="auto"/>
        <w:left w:val="none" w:sz="0" w:space="0" w:color="auto"/>
        <w:bottom w:val="none" w:sz="0" w:space="0" w:color="auto"/>
        <w:right w:val="none" w:sz="0" w:space="0" w:color="auto"/>
      </w:divBdr>
    </w:div>
    <w:div w:id="579488023">
      <w:bodyDiv w:val="1"/>
      <w:marLeft w:val="0"/>
      <w:marRight w:val="0"/>
      <w:marTop w:val="0"/>
      <w:marBottom w:val="0"/>
      <w:divBdr>
        <w:top w:val="none" w:sz="0" w:space="0" w:color="auto"/>
        <w:left w:val="none" w:sz="0" w:space="0" w:color="auto"/>
        <w:bottom w:val="none" w:sz="0" w:space="0" w:color="auto"/>
        <w:right w:val="none" w:sz="0" w:space="0" w:color="auto"/>
      </w:divBdr>
    </w:div>
    <w:div w:id="581451874">
      <w:bodyDiv w:val="1"/>
      <w:marLeft w:val="0"/>
      <w:marRight w:val="0"/>
      <w:marTop w:val="0"/>
      <w:marBottom w:val="0"/>
      <w:divBdr>
        <w:top w:val="none" w:sz="0" w:space="0" w:color="auto"/>
        <w:left w:val="none" w:sz="0" w:space="0" w:color="auto"/>
        <w:bottom w:val="none" w:sz="0" w:space="0" w:color="auto"/>
        <w:right w:val="none" w:sz="0" w:space="0" w:color="auto"/>
      </w:divBdr>
    </w:div>
    <w:div w:id="619410257">
      <w:bodyDiv w:val="1"/>
      <w:marLeft w:val="0"/>
      <w:marRight w:val="0"/>
      <w:marTop w:val="0"/>
      <w:marBottom w:val="0"/>
      <w:divBdr>
        <w:top w:val="none" w:sz="0" w:space="0" w:color="auto"/>
        <w:left w:val="none" w:sz="0" w:space="0" w:color="auto"/>
        <w:bottom w:val="none" w:sz="0" w:space="0" w:color="auto"/>
        <w:right w:val="none" w:sz="0" w:space="0" w:color="auto"/>
      </w:divBdr>
    </w:div>
    <w:div w:id="656616942">
      <w:bodyDiv w:val="1"/>
      <w:marLeft w:val="0"/>
      <w:marRight w:val="0"/>
      <w:marTop w:val="0"/>
      <w:marBottom w:val="0"/>
      <w:divBdr>
        <w:top w:val="none" w:sz="0" w:space="0" w:color="auto"/>
        <w:left w:val="none" w:sz="0" w:space="0" w:color="auto"/>
        <w:bottom w:val="none" w:sz="0" w:space="0" w:color="auto"/>
        <w:right w:val="none" w:sz="0" w:space="0" w:color="auto"/>
      </w:divBdr>
    </w:div>
    <w:div w:id="867446032">
      <w:bodyDiv w:val="1"/>
      <w:marLeft w:val="0"/>
      <w:marRight w:val="0"/>
      <w:marTop w:val="0"/>
      <w:marBottom w:val="0"/>
      <w:divBdr>
        <w:top w:val="none" w:sz="0" w:space="0" w:color="auto"/>
        <w:left w:val="none" w:sz="0" w:space="0" w:color="auto"/>
        <w:bottom w:val="none" w:sz="0" w:space="0" w:color="auto"/>
        <w:right w:val="none" w:sz="0" w:space="0" w:color="auto"/>
      </w:divBdr>
    </w:div>
    <w:div w:id="951085851">
      <w:bodyDiv w:val="1"/>
      <w:marLeft w:val="0"/>
      <w:marRight w:val="0"/>
      <w:marTop w:val="0"/>
      <w:marBottom w:val="0"/>
      <w:divBdr>
        <w:top w:val="none" w:sz="0" w:space="0" w:color="auto"/>
        <w:left w:val="none" w:sz="0" w:space="0" w:color="auto"/>
        <w:bottom w:val="none" w:sz="0" w:space="0" w:color="auto"/>
        <w:right w:val="none" w:sz="0" w:space="0" w:color="auto"/>
      </w:divBdr>
    </w:div>
    <w:div w:id="1027874717">
      <w:bodyDiv w:val="1"/>
      <w:marLeft w:val="0"/>
      <w:marRight w:val="0"/>
      <w:marTop w:val="0"/>
      <w:marBottom w:val="0"/>
      <w:divBdr>
        <w:top w:val="none" w:sz="0" w:space="0" w:color="auto"/>
        <w:left w:val="none" w:sz="0" w:space="0" w:color="auto"/>
        <w:bottom w:val="none" w:sz="0" w:space="0" w:color="auto"/>
        <w:right w:val="none" w:sz="0" w:space="0" w:color="auto"/>
      </w:divBdr>
    </w:div>
    <w:div w:id="1039623364">
      <w:bodyDiv w:val="1"/>
      <w:marLeft w:val="0"/>
      <w:marRight w:val="0"/>
      <w:marTop w:val="0"/>
      <w:marBottom w:val="0"/>
      <w:divBdr>
        <w:top w:val="none" w:sz="0" w:space="0" w:color="auto"/>
        <w:left w:val="none" w:sz="0" w:space="0" w:color="auto"/>
        <w:bottom w:val="none" w:sz="0" w:space="0" w:color="auto"/>
        <w:right w:val="none" w:sz="0" w:space="0" w:color="auto"/>
      </w:divBdr>
    </w:div>
    <w:div w:id="1129863877">
      <w:bodyDiv w:val="1"/>
      <w:marLeft w:val="0"/>
      <w:marRight w:val="0"/>
      <w:marTop w:val="0"/>
      <w:marBottom w:val="0"/>
      <w:divBdr>
        <w:top w:val="none" w:sz="0" w:space="0" w:color="auto"/>
        <w:left w:val="none" w:sz="0" w:space="0" w:color="auto"/>
        <w:bottom w:val="none" w:sz="0" w:space="0" w:color="auto"/>
        <w:right w:val="none" w:sz="0" w:space="0" w:color="auto"/>
      </w:divBdr>
    </w:div>
    <w:div w:id="1140999047">
      <w:bodyDiv w:val="1"/>
      <w:marLeft w:val="0"/>
      <w:marRight w:val="0"/>
      <w:marTop w:val="0"/>
      <w:marBottom w:val="0"/>
      <w:divBdr>
        <w:top w:val="none" w:sz="0" w:space="0" w:color="auto"/>
        <w:left w:val="none" w:sz="0" w:space="0" w:color="auto"/>
        <w:bottom w:val="none" w:sz="0" w:space="0" w:color="auto"/>
        <w:right w:val="none" w:sz="0" w:space="0" w:color="auto"/>
      </w:divBdr>
    </w:div>
    <w:div w:id="1258248888">
      <w:bodyDiv w:val="1"/>
      <w:marLeft w:val="0"/>
      <w:marRight w:val="0"/>
      <w:marTop w:val="0"/>
      <w:marBottom w:val="0"/>
      <w:divBdr>
        <w:top w:val="none" w:sz="0" w:space="0" w:color="auto"/>
        <w:left w:val="none" w:sz="0" w:space="0" w:color="auto"/>
        <w:bottom w:val="none" w:sz="0" w:space="0" w:color="auto"/>
        <w:right w:val="none" w:sz="0" w:space="0" w:color="auto"/>
      </w:divBdr>
    </w:div>
    <w:div w:id="1293290688">
      <w:bodyDiv w:val="1"/>
      <w:marLeft w:val="0"/>
      <w:marRight w:val="0"/>
      <w:marTop w:val="0"/>
      <w:marBottom w:val="0"/>
      <w:divBdr>
        <w:top w:val="none" w:sz="0" w:space="0" w:color="auto"/>
        <w:left w:val="none" w:sz="0" w:space="0" w:color="auto"/>
        <w:bottom w:val="none" w:sz="0" w:space="0" w:color="auto"/>
        <w:right w:val="none" w:sz="0" w:space="0" w:color="auto"/>
      </w:divBdr>
    </w:div>
    <w:div w:id="1329332564">
      <w:bodyDiv w:val="1"/>
      <w:marLeft w:val="0"/>
      <w:marRight w:val="0"/>
      <w:marTop w:val="0"/>
      <w:marBottom w:val="0"/>
      <w:divBdr>
        <w:top w:val="none" w:sz="0" w:space="0" w:color="auto"/>
        <w:left w:val="none" w:sz="0" w:space="0" w:color="auto"/>
        <w:bottom w:val="none" w:sz="0" w:space="0" w:color="auto"/>
        <w:right w:val="none" w:sz="0" w:space="0" w:color="auto"/>
      </w:divBdr>
    </w:div>
    <w:div w:id="1538619235">
      <w:bodyDiv w:val="1"/>
      <w:marLeft w:val="0"/>
      <w:marRight w:val="0"/>
      <w:marTop w:val="0"/>
      <w:marBottom w:val="0"/>
      <w:divBdr>
        <w:top w:val="none" w:sz="0" w:space="0" w:color="auto"/>
        <w:left w:val="none" w:sz="0" w:space="0" w:color="auto"/>
        <w:bottom w:val="none" w:sz="0" w:space="0" w:color="auto"/>
        <w:right w:val="none" w:sz="0" w:space="0" w:color="auto"/>
      </w:divBdr>
    </w:div>
    <w:div w:id="1618638286">
      <w:bodyDiv w:val="1"/>
      <w:marLeft w:val="0"/>
      <w:marRight w:val="0"/>
      <w:marTop w:val="0"/>
      <w:marBottom w:val="0"/>
      <w:divBdr>
        <w:top w:val="none" w:sz="0" w:space="0" w:color="auto"/>
        <w:left w:val="none" w:sz="0" w:space="0" w:color="auto"/>
        <w:bottom w:val="none" w:sz="0" w:space="0" w:color="auto"/>
        <w:right w:val="none" w:sz="0" w:space="0" w:color="auto"/>
      </w:divBdr>
    </w:div>
    <w:div w:id="1622541178">
      <w:bodyDiv w:val="1"/>
      <w:marLeft w:val="0"/>
      <w:marRight w:val="0"/>
      <w:marTop w:val="0"/>
      <w:marBottom w:val="0"/>
      <w:divBdr>
        <w:top w:val="none" w:sz="0" w:space="0" w:color="auto"/>
        <w:left w:val="none" w:sz="0" w:space="0" w:color="auto"/>
        <w:bottom w:val="none" w:sz="0" w:space="0" w:color="auto"/>
        <w:right w:val="none" w:sz="0" w:space="0" w:color="auto"/>
      </w:divBdr>
    </w:div>
    <w:div w:id="1679649389">
      <w:bodyDiv w:val="1"/>
      <w:marLeft w:val="0"/>
      <w:marRight w:val="0"/>
      <w:marTop w:val="0"/>
      <w:marBottom w:val="0"/>
      <w:divBdr>
        <w:top w:val="none" w:sz="0" w:space="0" w:color="auto"/>
        <w:left w:val="none" w:sz="0" w:space="0" w:color="auto"/>
        <w:bottom w:val="none" w:sz="0" w:space="0" w:color="auto"/>
        <w:right w:val="none" w:sz="0" w:space="0" w:color="auto"/>
      </w:divBdr>
    </w:div>
    <w:div w:id="1806240296">
      <w:bodyDiv w:val="1"/>
      <w:marLeft w:val="0"/>
      <w:marRight w:val="0"/>
      <w:marTop w:val="0"/>
      <w:marBottom w:val="0"/>
      <w:divBdr>
        <w:top w:val="none" w:sz="0" w:space="0" w:color="auto"/>
        <w:left w:val="none" w:sz="0" w:space="0" w:color="auto"/>
        <w:bottom w:val="none" w:sz="0" w:space="0" w:color="auto"/>
        <w:right w:val="none" w:sz="0" w:space="0" w:color="auto"/>
      </w:divBdr>
    </w:div>
    <w:div w:id="1887599509">
      <w:bodyDiv w:val="1"/>
      <w:marLeft w:val="0"/>
      <w:marRight w:val="0"/>
      <w:marTop w:val="0"/>
      <w:marBottom w:val="0"/>
      <w:divBdr>
        <w:top w:val="none" w:sz="0" w:space="0" w:color="auto"/>
        <w:left w:val="none" w:sz="0" w:space="0" w:color="auto"/>
        <w:bottom w:val="none" w:sz="0" w:space="0" w:color="auto"/>
        <w:right w:val="none" w:sz="0" w:space="0" w:color="auto"/>
      </w:divBdr>
    </w:div>
    <w:div w:id="1914468087">
      <w:bodyDiv w:val="1"/>
      <w:marLeft w:val="0"/>
      <w:marRight w:val="0"/>
      <w:marTop w:val="0"/>
      <w:marBottom w:val="0"/>
      <w:divBdr>
        <w:top w:val="none" w:sz="0" w:space="0" w:color="auto"/>
        <w:left w:val="none" w:sz="0" w:space="0" w:color="auto"/>
        <w:bottom w:val="none" w:sz="0" w:space="0" w:color="auto"/>
        <w:right w:val="none" w:sz="0" w:space="0" w:color="auto"/>
      </w:divBdr>
    </w:div>
    <w:div w:id="1936818009">
      <w:bodyDiv w:val="1"/>
      <w:marLeft w:val="0"/>
      <w:marRight w:val="0"/>
      <w:marTop w:val="0"/>
      <w:marBottom w:val="0"/>
      <w:divBdr>
        <w:top w:val="none" w:sz="0" w:space="0" w:color="auto"/>
        <w:left w:val="none" w:sz="0" w:space="0" w:color="auto"/>
        <w:bottom w:val="none" w:sz="0" w:space="0" w:color="auto"/>
        <w:right w:val="none" w:sz="0" w:space="0" w:color="auto"/>
      </w:divBdr>
    </w:div>
    <w:div w:id="1966308002">
      <w:bodyDiv w:val="1"/>
      <w:marLeft w:val="0"/>
      <w:marRight w:val="0"/>
      <w:marTop w:val="0"/>
      <w:marBottom w:val="0"/>
      <w:divBdr>
        <w:top w:val="none" w:sz="0" w:space="0" w:color="auto"/>
        <w:left w:val="none" w:sz="0" w:space="0" w:color="auto"/>
        <w:bottom w:val="none" w:sz="0" w:space="0" w:color="auto"/>
        <w:right w:val="none" w:sz="0" w:space="0" w:color="auto"/>
      </w:divBdr>
    </w:div>
    <w:div w:id="2018576897">
      <w:bodyDiv w:val="1"/>
      <w:marLeft w:val="0"/>
      <w:marRight w:val="0"/>
      <w:marTop w:val="0"/>
      <w:marBottom w:val="0"/>
      <w:divBdr>
        <w:top w:val="none" w:sz="0" w:space="0" w:color="auto"/>
        <w:left w:val="none" w:sz="0" w:space="0" w:color="auto"/>
        <w:bottom w:val="none" w:sz="0" w:space="0" w:color="auto"/>
        <w:right w:val="none" w:sz="0" w:space="0" w:color="auto"/>
      </w:divBdr>
    </w:div>
    <w:div w:id="2022967259">
      <w:bodyDiv w:val="1"/>
      <w:marLeft w:val="0"/>
      <w:marRight w:val="0"/>
      <w:marTop w:val="0"/>
      <w:marBottom w:val="0"/>
      <w:divBdr>
        <w:top w:val="none" w:sz="0" w:space="0" w:color="auto"/>
        <w:left w:val="none" w:sz="0" w:space="0" w:color="auto"/>
        <w:bottom w:val="none" w:sz="0" w:space="0" w:color="auto"/>
        <w:right w:val="none" w:sz="0" w:space="0" w:color="auto"/>
      </w:divBdr>
    </w:div>
    <w:div w:id="2045254674">
      <w:bodyDiv w:val="1"/>
      <w:marLeft w:val="0"/>
      <w:marRight w:val="0"/>
      <w:marTop w:val="0"/>
      <w:marBottom w:val="0"/>
      <w:divBdr>
        <w:top w:val="none" w:sz="0" w:space="0" w:color="auto"/>
        <w:left w:val="none" w:sz="0" w:space="0" w:color="auto"/>
        <w:bottom w:val="none" w:sz="0" w:space="0" w:color="auto"/>
        <w:right w:val="none" w:sz="0" w:space="0" w:color="auto"/>
      </w:divBdr>
    </w:div>
    <w:div w:id="2046368400">
      <w:bodyDiv w:val="1"/>
      <w:marLeft w:val="0"/>
      <w:marRight w:val="0"/>
      <w:marTop w:val="0"/>
      <w:marBottom w:val="0"/>
      <w:divBdr>
        <w:top w:val="none" w:sz="0" w:space="0" w:color="auto"/>
        <w:left w:val="none" w:sz="0" w:space="0" w:color="auto"/>
        <w:bottom w:val="none" w:sz="0" w:space="0" w:color="auto"/>
        <w:right w:val="none" w:sz="0" w:space="0" w:color="auto"/>
      </w:divBdr>
    </w:div>
    <w:div w:id="209207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D6426-1450-4AEA-A264-3AEB2CB8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1879</Words>
  <Characters>10340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2</cp:revision>
  <cp:lastPrinted>2022-01-24T18:55:00Z</cp:lastPrinted>
  <dcterms:created xsi:type="dcterms:W3CDTF">2022-02-10T19:37:00Z</dcterms:created>
  <dcterms:modified xsi:type="dcterms:W3CDTF">2022-02-10T19:37:00Z</dcterms:modified>
</cp:coreProperties>
</file>