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spacing w:line="360" w:lineRule="auto"/>
        <w:ind w:right="239" w:firstLine="0"/>
        <w:rPr/>
      </w:pPr>
      <w:r w:rsidDel="00000000" w:rsidR="00000000" w:rsidRPr="00000000">
        <w:rPr>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VIGÉSIMA OCTAVA SESIÓN ORDINARIA CELEBRADA EL DIEZ DE AGOSTO DE DOS MIL VEINTIDÓS, EN EL RECURSO DE REVISIÓN 05299/INFOEM/IP/RR/2022.</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360" w:lineRule="auto"/>
        <w:ind w:left="879" w:right="2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DISIDENTE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05299/INFOEM/IP/RR/2022</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pronunciada por el Pleno de este Instituto ante el proyecto presentado por la suscrita, el cual fue engrosado conforme al criterio mayoritario del pleno, al tenor siguiente:</w:t>
      </w:r>
    </w:p>
    <w:p w:rsidR="00000000" w:rsidDel="00000000" w:rsidP="00000000" w:rsidRDefault="00000000" w:rsidRPr="00000000" w14:paraId="00000009">
      <w:pPr>
        <w:pStyle w:val="Heading1"/>
        <w:numPr>
          <w:ilvl w:val="0"/>
          <w:numId w:val="2"/>
        </w:numPr>
        <w:tabs>
          <w:tab w:val="left" w:leader="none" w:pos="1813"/>
        </w:tabs>
        <w:spacing w:after="0" w:before="243" w:line="240" w:lineRule="auto"/>
        <w:ind w:left="1812" w:right="0" w:hanging="214.00000000000006"/>
        <w:jc w:val="both"/>
        <w:rPr/>
      </w:pPr>
      <w:r w:rsidDel="00000000" w:rsidR="00000000" w:rsidRPr="00000000">
        <w:rPr>
          <w:rtl w:val="0"/>
        </w:rPr>
        <w:t xml:space="preserve">Antecedentes.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879" w:right="2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Como quedó debidamente asentado en la resolución, materia del presente voto disidente, la persona solicitante requirió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entrega del conflicto de intereses presentado ante el órgano interno de control o similar de todos los servidores públicos que trabajan y que son familia.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0">
      <w:pPr>
        <w:spacing w:before="93" w:lineRule="auto"/>
        <w:ind w:left="0" w:right="100" w:firstLine="0"/>
        <w:jc w:val="right"/>
        <w:rPr>
          <w:rFonts w:ascii="Times New Roman" w:cs="Times New Roman" w:eastAsia="Times New Roman" w:hAnsi="Times New Roman"/>
          <w:b w:val="1"/>
          <w:sz w:val="20"/>
          <w:szCs w:val="20"/>
        </w:rPr>
        <w:sectPr>
          <w:pgSz w:h="15840" w:w="12240" w:orient="portrait"/>
          <w:pgMar w:bottom="0" w:top="680" w:left="820" w:right="1600" w:header="360" w:footer="360"/>
          <w:pgNumType w:start="1"/>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12">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60" w:lineRule="auto"/>
        <w:ind w:left="879" w:right="1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respuesta,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remitió el oficio número ATE/CIM/078/2021, de fecha uno de marzo de dos mil veintidós, suscrito y signado por la Encargada del Despacho de la Contraloría Interna Municipal, mediante la cual señala lo siguiente:</w:t>
      </w:r>
    </w:p>
    <w:p w:rsidR="00000000" w:rsidDel="00000000" w:rsidP="00000000" w:rsidRDefault="00000000" w:rsidRPr="00000000" w14:paraId="00000016">
      <w:pPr>
        <w:spacing w:before="239" w:line="276" w:lineRule="auto"/>
        <w:ind w:left="2013" w:right="996" w:firstLine="0"/>
        <w:jc w:val="both"/>
        <w:rPr>
          <w:i w:val="1"/>
          <w:sz w:val="22"/>
          <w:szCs w:val="22"/>
        </w:rPr>
      </w:pPr>
      <w:r w:rsidDel="00000000" w:rsidR="00000000" w:rsidRPr="00000000">
        <w:rPr>
          <w:i w:val="1"/>
          <w:sz w:val="22"/>
          <w:szCs w:val="22"/>
          <w:rtl w:val="0"/>
        </w:rPr>
        <w:t xml:space="preserve">“En este sentido, se hace de su conocimiento que, de conformidad a lo establecido -en el artículo 3 fracción V de la Ley de Responsabilidades Administrativas del Estado de México y Municipios, se entenderá por "Conflicto de interés: A la posible afectación del desempeño imparcial y objetivo de las funciones de los Servidores Públicos en razón de intereses personales, familiares o de negocios." (sic), que forma parte de la obligación de. los servidores públicos de presentar declaración de situación patrimonial y de intereses, de: acuerdo con el artículo 33 y 44 de la Ley en cita, debiéndose presentar a través de medios' electrónicos, siendo para tal efecto la utilización de la plataforma digital estatal, que estará a cargo de la Secretaría Ejecutiva del Sistema Estatal y Municipal Anticorrupción, en términos del artículo 27 de la Ley citada, señalando que estará a cargo del sistema de evolución patrimonial, de declaración de intereses y constancia de presentación de declaración fiscal, a través de la plataforma digital estatal que al efecto se establezca, siendo la plataforma Sistema Decl@raNET-EDOMÉX, siendo responsabilidad de está Contraloría Interna Municipal inscribir y mantener actualizada en el sistema la información correspondiente a sus servidores públicos declarantes, es decir el padrón de servidores públicos obligados a presentar la declaración.</w:t>
      </w:r>
    </w:p>
    <w:p w:rsidR="00000000" w:rsidDel="00000000" w:rsidP="00000000" w:rsidRDefault="00000000" w:rsidRPr="00000000" w14:paraId="00000017">
      <w:pPr>
        <w:spacing w:before="245" w:line="276" w:lineRule="auto"/>
        <w:ind w:left="2013" w:right="995" w:firstLine="0"/>
        <w:jc w:val="both"/>
        <w:rPr>
          <w:i w:val="1"/>
          <w:sz w:val="22"/>
          <w:szCs w:val="22"/>
        </w:rPr>
      </w:pPr>
      <w:r w:rsidDel="00000000" w:rsidR="00000000" w:rsidRPr="00000000">
        <w:rPr>
          <w:i w:val="1"/>
          <w:sz w:val="22"/>
          <w:szCs w:val="22"/>
          <w:rtl w:val="0"/>
        </w:rPr>
        <w:t xml:space="preserve">Los servidores públicos obligados presentan su declaración ingresando al Sistema Decl@raNET-EDOMÉX, a través de la dirección electrónica https:l/declaranet.secogem.gob.mxly digitando los datos relativos a su CURP y Contraseña que se envió mediante correo electrónico por el mismo Sistema Decl@raNET-EDOMÉX, por lo que la presentación de la declaración de situación patrimonial y de intereses, no se presenta ante está Contraloría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spacing w:before="0"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1F">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2">
      <w:pPr>
        <w:spacing w:before="101" w:line="276" w:lineRule="auto"/>
        <w:ind w:left="2013" w:right="997" w:firstLine="0"/>
        <w:jc w:val="both"/>
        <w:rPr>
          <w:i w:val="1"/>
          <w:sz w:val="22"/>
          <w:szCs w:val="22"/>
        </w:rPr>
      </w:pPr>
      <w:r w:rsidDel="00000000" w:rsidR="00000000" w:rsidRPr="00000000">
        <w:rPr>
          <w:i w:val="1"/>
          <w:sz w:val="22"/>
          <w:szCs w:val="22"/>
          <w:rtl w:val="0"/>
        </w:rPr>
        <w:t xml:space="preserve">Interna Municipal, puntualizando en que la declaración la presenta directamente el servidor público a la plataforma, por lo cual, está plataforma alberga toda la información que los servidores públicos registran en el sistema de evolución patrimonial, de declaración de intereses y constancia de presentación de declaración fiscal, es importante referir que es la Secretaria de la Contraloría del Gobierno del Estado de México, a través de Dirección General de Responsabilidades Administrativas quien opera y maneja el Sistema Decl@raNET-EDOMÉX.</w:t>
      </w:r>
    </w:p>
    <w:p w:rsidR="00000000" w:rsidDel="00000000" w:rsidP="00000000" w:rsidRDefault="00000000" w:rsidRPr="00000000" w14:paraId="00000023">
      <w:pPr>
        <w:spacing w:before="240" w:line="276" w:lineRule="auto"/>
        <w:ind w:left="2013" w:right="996" w:firstLine="0"/>
        <w:jc w:val="both"/>
        <w:rPr>
          <w:i w:val="1"/>
          <w:sz w:val="22"/>
          <w:szCs w:val="22"/>
        </w:rPr>
      </w:pPr>
      <w:r w:rsidDel="00000000" w:rsidR="00000000" w:rsidRPr="00000000">
        <w:rPr>
          <w:i w:val="1"/>
          <w:sz w:val="22"/>
          <w:szCs w:val="22"/>
          <w:rtl w:val="0"/>
        </w:rPr>
        <w:t xml:space="preserve">Derivado de lo anterior, la información solicitada no es información generada o administrada por esta Contraloría Interna Municipal, y no obra información al respecto en los archivos de esta dependencia, por lo que la Contraloría Interna Municipal no es competente para atender la solicitud de información, sirve de apoyo a lo anterior el Criterio 13-17, emitido por el Instituto Nacional de Transparencia a la Información y Protección de Datos Personales (INAI) el cual señala lo siguiente:</w:t>
      </w:r>
    </w:p>
    <w:p w:rsidR="00000000" w:rsidDel="00000000" w:rsidP="00000000" w:rsidRDefault="00000000" w:rsidRPr="00000000" w14:paraId="00000024">
      <w:pPr>
        <w:spacing w:before="242" w:line="276" w:lineRule="auto"/>
        <w:ind w:left="2013" w:right="997" w:firstLine="0"/>
        <w:jc w:val="both"/>
        <w:rPr>
          <w:i w:val="1"/>
          <w:sz w:val="22"/>
          <w:szCs w:val="22"/>
        </w:rPr>
      </w:pPr>
      <w:r w:rsidDel="00000000" w:rsidR="00000000" w:rsidRPr="00000000">
        <w:rPr>
          <w:i w:val="1"/>
          <w:sz w:val="22"/>
          <w:szCs w:val="22"/>
          <w:rtl w:val="0"/>
        </w:rPr>
        <w:t xml:space="preserve">"Incompetencia.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(Sic)</w:t>
      </w:r>
    </w:p>
    <w:p w:rsidR="00000000" w:rsidDel="00000000" w:rsidP="00000000" w:rsidRDefault="00000000" w:rsidRPr="00000000" w14:paraId="00000025">
      <w:pPr>
        <w:spacing w:before="237" w:line="276" w:lineRule="auto"/>
        <w:ind w:left="2013" w:right="998" w:firstLine="0"/>
        <w:jc w:val="both"/>
        <w:rPr>
          <w:b w:val="1"/>
          <w:i w:val="1"/>
          <w:sz w:val="22"/>
          <w:szCs w:val="22"/>
        </w:rPr>
      </w:pPr>
      <w:r w:rsidDel="00000000" w:rsidR="00000000" w:rsidRPr="00000000">
        <w:rPr>
          <w:i w:val="1"/>
          <w:sz w:val="22"/>
          <w:szCs w:val="22"/>
          <w:rtl w:val="0"/>
        </w:rPr>
        <w:t xml:space="preserve">Añadiendo que, al tratarse de información requerida de la declaración de intereses, que obra en el Sistema Decl@raNET-EDOMÉX, </w:t>
      </w:r>
      <w:r w:rsidDel="00000000" w:rsidR="00000000" w:rsidRPr="00000000">
        <w:rPr>
          <w:b w:val="1"/>
          <w:i w:val="1"/>
          <w:sz w:val="22"/>
          <w:szCs w:val="22"/>
          <w:rtl w:val="0"/>
        </w:rPr>
        <w:t xml:space="preserve">esta puede encontrarse en la dependencia de la Secretaria de la contraloría del Gobierno del Estado de México, la cual se puede solicitar de modo semejante al que ingreso la presente solicitud que se atiende, mediante el sistema SAIMEX, eligiendo en el apartado de "El sujeto obligado del cual requiere la información" la opción "Poder Ejecutivo", posteriormente se desplegara un listado del apartado "Dependencia"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spacing w:before="93"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777083</wp:posOffset>
                </wp:positionH>
                <wp:positionV relativeFrom="page">
                  <wp:posOffset>430325</wp:posOffset>
                </wp:positionV>
                <wp:extent cx="6149975" cy="9605010"/>
                <wp:effectExtent b="0" l="0" r="0" t="0"/>
                <wp:wrapNone/>
                <wp:docPr id="25" name=""/>
                <a:graphic>
                  <a:graphicData uri="http://schemas.microsoft.com/office/word/2010/wordprocessingGroup">
                    <wpg:wgp>
                      <wpg:cNvGrpSpPr/>
                      <wpg:grpSpPr>
                        <a:xfrm>
                          <a:off x="2271000" y="0"/>
                          <a:ext cx="6149975" cy="9605010"/>
                          <a:chOff x="2271000" y="0"/>
                          <a:chExt cx="6150000" cy="7560000"/>
                        </a:xfrm>
                      </wpg:grpSpPr>
                      <wpg:grpSp>
                        <wpg:cNvGrpSpPr/>
                        <wpg:grpSpPr>
                          <a:xfrm>
                            <a:off x="2271013" y="0"/>
                            <a:ext cx="6149975" cy="7559992"/>
                            <a:chOff x="0" y="0"/>
                            <a:chExt cx="6149975" cy="9605000"/>
                          </a:xfrm>
                        </wpg:grpSpPr>
                        <wps:wsp>
                          <wps:cNvSpPr/>
                          <wps:cNvPr id="3" name="Shape 3"/>
                          <wps:spPr>
                            <a:xfrm>
                              <a:off x="0" y="0"/>
                              <a:ext cx="6149975" cy="96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01625" y="7378065"/>
                              <a:ext cx="1828799"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777083</wp:posOffset>
                </wp:positionH>
                <wp:positionV relativeFrom="page">
                  <wp:posOffset>430325</wp:posOffset>
                </wp:positionV>
                <wp:extent cx="6149975" cy="9605010"/>
                <wp:effectExtent b="0" l="0" r="0" t="0"/>
                <wp:wrapNone/>
                <wp:docPr id="2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49975" cy="9605010"/>
                        </a:xfrm>
                        <a:prstGeom prst="rect"/>
                        <a:ln/>
                      </pic:spPr>
                    </pic:pic>
                  </a:graphicData>
                </a:graphic>
              </wp:anchor>
            </w:drawing>
          </mc:Fallback>
        </mc:AlternateContent>
      </w:r>
      <w:r w:rsidDel="00000000" w:rsidR="00000000" w:rsidRPr="00000000">
        <w:rPr>
          <w:rtl w:val="0"/>
        </w:rPr>
      </w:r>
      <w:r w:rsidDel="00000000" w:rsidR="00000000" w:rsidRPr="00000000"/>
    </w:p>
    <w:p w:rsidR="00000000" w:rsidDel="00000000" w:rsidP="00000000" w:rsidRDefault="00000000" w:rsidRPr="00000000" w14:paraId="0000002D">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0">
      <w:pPr>
        <w:spacing w:before="101" w:line="276" w:lineRule="auto"/>
        <w:ind w:left="2013" w:right="998" w:firstLine="0"/>
        <w:jc w:val="both"/>
        <w:rPr>
          <w:i w:val="1"/>
          <w:sz w:val="22"/>
          <w:szCs w:val="22"/>
        </w:rPr>
      </w:pPr>
      <w:r w:rsidDel="00000000" w:rsidR="00000000" w:rsidRPr="00000000">
        <w:rPr>
          <w:b w:val="1"/>
          <w:i w:val="1"/>
          <w:sz w:val="22"/>
          <w:szCs w:val="22"/>
          <w:rtl w:val="0"/>
        </w:rPr>
        <w:t xml:space="preserve">en el que deberá de elegir entre las opciones a la "Secretaria de la Contraloría"</w:t>
      </w:r>
      <w:r w:rsidDel="00000000" w:rsidR="00000000" w:rsidRPr="00000000">
        <w:rPr>
          <w:i w:val="1"/>
          <w:sz w:val="22"/>
          <w:szCs w:val="22"/>
          <w:rtl w:val="0"/>
        </w:rPr>
        <w:t xml:space="preserve">. …” (Sic)</w:t>
      </w:r>
    </w:p>
    <w:p w:rsidR="00000000" w:rsidDel="00000000" w:rsidP="00000000" w:rsidRDefault="00000000" w:rsidRPr="00000000" w14:paraId="00000031">
      <w:pPr>
        <w:spacing w:before="237" w:line="360" w:lineRule="auto"/>
        <w:ind w:left="879" w:right="239" w:firstLine="0"/>
        <w:jc w:val="both"/>
        <w:rPr>
          <w:b w:val="1"/>
          <w:sz w:val="24"/>
          <w:szCs w:val="24"/>
        </w:rPr>
      </w:pPr>
      <w:r w:rsidDel="00000000" w:rsidR="00000000" w:rsidRPr="00000000">
        <w:rPr>
          <w:sz w:val="24"/>
          <w:szCs w:val="24"/>
          <w:rtl w:val="0"/>
        </w:rPr>
        <w:t xml:space="preserve">Una vez conocida la respuesta del </w:t>
      </w:r>
      <w:r w:rsidDel="00000000" w:rsidR="00000000" w:rsidRPr="00000000">
        <w:rPr>
          <w:b w:val="1"/>
          <w:sz w:val="24"/>
          <w:szCs w:val="24"/>
          <w:rtl w:val="0"/>
        </w:rPr>
        <w:t xml:space="preserve">Sujeto Obligado</w:t>
      </w:r>
      <w:r w:rsidDel="00000000" w:rsidR="00000000" w:rsidRPr="00000000">
        <w:rPr>
          <w:sz w:val="24"/>
          <w:szCs w:val="24"/>
          <w:rtl w:val="0"/>
        </w:rPr>
        <w:t xml:space="preserve">, la parte </w:t>
      </w:r>
      <w:r w:rsidDel="00000000" w:rsidR="00000000" w:rsidRPr="00000000">
        <w:rPr>
          <w:b w:val="1"/>
          <w:sz w:val="24"/>
          <w:szCs w:val="24"/>
          <w:rtl w:val="0"/>
        </w:rPr>
        <w:t xml:space="preserve">Recurrente </w:t>
      </w:r>
      <w:r w:rsidDel="00000000" w:rsidR="00000000" w:rsidRPr="00000000">
        <w:rPr>
          <w:sz w:val="24"/>
          <w:szCs w:val="24"/>
          <w:rtl w:val="0"/>
        </w:rPr>
        <w:t xml:space="preserve">interpuso el medio de impugnación citado al rubro, expresando que </w:t>
      </w:r>
      <w:r w:rsidDel="00000000" w:rsidR="00000000" w:rsidRPr="00000000">
        <w:rPr>
          <w:b w:val="1"/>
          <w:sz w:val="24"/>
          <w:szCs w:val="24"/>
          <w:rtl w:val="0"/>
        </w:rPr>
        <w:t xml:space="preserve">si es competencia del órgano de control.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60" w:lineRule="auto"/>
        <w:ind w:left="879" w:right="2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Admitido el recurso de revisión, en términos del artículo 185 fracción II</w:t>
      </w:r>
      <w:r w:rsidDel="00000000" w:rsidR="00000000" w:rsidRPr="00000000">
        <w:rPr>
          <w:rFonts w:ascii="Palatino Linotype" w:cs="Palatino Linotype" w:eastAsia="Palatino Linotype" w:hAnsi="Palatino Linotype"/>
          <w:b w:val="0"/>
          <w:i w:val="0"/>
          <w:smallCaps w:val="0"/>
          <w:strike w:val="0"/>
          <w:color w:val="000000"/>
          <w:sz w:val="23.333333333333336"/>
          <w:szCs w:val="23.333333333333336"/>
          <w:u w:val="none"/>
          <w:shd w:fill="auto" w:val="clear"/>
          <w:vertAlign w:val="superscript"/>
          <w:rtl w:val="0"/>
        </w:rPr>
        <w:t xml:space="preserve">1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omisas en ejercer dicha prerrogativa.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879" w:right="2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tal sentido, derivado del análisis efectuado, se consideró por mayoría de los integrantes del Pleno de este Instituto, que los motivos de inconformidad aducidos por la persona solicitante resultaban parcialmente fundados, y determinó modificar la respuesta emitida, procediendo a ordenar la entrega de lo siguiente:</w:t>
      </w:r>
    </w:p>
    <w:p w:rsidR="00000000" w:rsidDel="00000000" w:rsidP="00000000" w:rsidRDefault="00000000" w:rsidRPr="00000000" w14:paraId="00000034">
      <w:pPr>
        <w:spacing w:before="238" w:line="360" w:lineRule="auto"/>
        <w:ind w:left="2013" w:right="999" w:firstLine="0"/>
        <w:jc w:val="both"/>
        <w:rPr>
          <w:i w:val="1"/>
          <w:sz w:val="22"/>
          <w:szCs w:val="22"/>
        </w:rPr>
      </w:pPr>
      <w:r w:rsidDel="00000000" w:rsidR="00000000" w:rsidRPr="00000000">
        <w:rPr>
          <w:i w:val="1"/>
          <w:sz w:val="22"/>
          <w:szCs w:val="22"/>
          <w:rtl w:val="0"/>
        </w:rPr>
        <w:t xml:space="preserve">“SEGUNDO. Se ORDENA al SUJETO OBLIGADO a que, en términos del Considerando Cuarto, haga entrega vía SAIMEX, de lo siguiente: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B">
      <w:pPr>
        <w:spacing w:before="0" w:lineRule="auto"/>
        <w:ind w:left="879" w:right="0" w:firstLine="0"/>
        <w:jc w:val="left"/>
        <w:rPr>
          <w:sz w:val="16"/>
          <w:szCs w:val="16"/>
        </w:rPr>
      </w:pPr>
      <w:r w:rsidDel="00000000" w:rsidR="00000000" w:rsidRPr="00000000">
        <w:rPr>
          <w:rFonts w:ascii="Times New Roman" w:cs="Times New Roman" w:eastAsia="Times New Roman" w:hAnsi="Times New Roman"/>
          <w:sz w:val="16.666666666666668"/>
          <w:szCs w:val="16.666666666666668"/>
          <w:vertAlign w:val="superscript"/>
          <w:rtl w:val="0"/>
        </w:rPr>
        <w:t xml:space="preserve">1 </w:t>
      </w:r>
      <w:r w:rsidDel="00000000" w:rsidR="00000000" w:rsidRPr="00000000">
        <w:rPr>
          <w:sz w:val="16"/>
          <w:szCs w:val="16"/>
          <w:rtl w:val="0"/>
        </w:rPr>
        <w:t xml:space="preserve">“</w:t>
      </w:r>
      <w:r w:rsidDel="00000000" w:rsidR="00000000" w:rsidRPr="00000000">
        <w:rPr>
          <w:b w:val="1"/>
          <w:sz w:val="16"/>
          <w:szCs w:val="16"/>
          <w:rtl w:val="0"/>
        </w:rPr>
        <w:t xml:space="preserve">Artículo 185. </w:t>
      </w:r>
      <w:r w:rsidDel="00000000" w:rsidR="00000000" w:rsidRPr="00000000">
        <w:rPr>
          <w:sz w:val="16"/>
          <w:szCs w:val="16"/>
          <w:rtl w:val="0"/>
        </w:rPr>
        <w:t xml:space="preserve">El Instituto resolverá el recurso de revisión conforme a lo siguiente: (…)</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7"/>
        </w:tabs>
        <w:spacing w:after="0" w:before="0" w:line="240" w:lineRule="auto"/>
        <w:ind w:left="879" w:right="98"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Admitido el recurso de revisión, la o el Comisionado ponente deberá integrar un expediente y ponerlo a disposición de las partes, para que, en un plazo máximo de siete días hábiles, manifiesten lo que a su derecho convenga;”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1">
      <w:pPr>
        <w:spacing w:before="93"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3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43">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320"/>
        </w:tabs>
        <w:spacing w:after="0" w:before="101" w:line="360" w:lineRule="auto"/>
        <w:ind w:left="2013" w:right="100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Acuerdo que emita el Comité de Transparencia mediante el que confirme la declaratoria de incompetencia del SUJETO OBLIGADO, respecto de la información solicitada.”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(Sic)</w:t>
      </w:r>
    </w:p>
    <w:p w:rsidR="00000000" w:rsidDel="00000000" w:rsidP="00000000" w:rsidRDefault="00000000" w:rsidRPr="00000000" w14:paraId="00000047">
      <w:pPr>
        <w:pStyle w:val="Heading1"/>
        <w:numPr>
          <w:ilvl w:val="0"/>
          <w:numId w:val="1"/>
        </w:numPr>
        <w:tabs>
          <w:tab w:val="left" w:leader="none" w:pos="1187"/>
        </w:tabs>
        <w:spacing w:after="0" w:before="237" w:line="240" w:lineRule="auto"/>
        <w:ind w:left="1186" w:right="0" w:hanging="308"/>
        <w:jc w:val="left"/>
        <w:rPr/>
      </w:pPr>
      <w:r w:rsidDel="00000000" w:rsidR="00000000" w:rsidRPr="00000000">
        <w:rPr>
          <w:rtl w:val="0"/>
        </w:rPr>
        <w:t xml:space="preserve">Razones del Voto Disidente.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9">
      <w:pPr>
        <w:spacing w:before="1" w:line="360" w:lineRule="auto"/>
        <w:ind w:left="879" w:right="100" w:firstLine="0"/>
        <w:jc w:val="both"/>
        <w:rPr>
          <w:sz w:val="24"/>
          <w:szCs w:val="24"/>
        </w:rPr>
      </w:pPr>
      <w:r w:rsidDel="00000000" w:rsidR="00000000" w:rsidRPr="00000000">
        <w:rPr>
          <w:sz w:val="24"/>
          <w:szCs w:val="24"/>
          <w:rtl w:val="0"/>
        </w:rPr>
        <w:t xml:space="preserve">Para iniciar la emisión del presente voto, conviene mencionar, que de manera respetuosa, la suscrita </w:t>
      </w:r>
      <w:r w:rsidDel="00000000" w:rsidR="00000000" w:rsidRPr="00000000">
        <w:rPr>
          <w:b w:val="1"/>
          <w:sz w:val="24"/>
          <w:szCs w:val="24"/>
          <w:rtl w:val="0"/>
        </w:rPr>
        <w:t xml:space="preserve">no comparte las consideraciones que fueron vertidas en la presente resolución</w:t>
      </w:r>
      <w:r w:rsidDel="00000000" w:rsidR="00000000" w:rsidRPr="00000000">
        <w:rPr>
          <w:sz w:val="24"/>
          <w:szCs w:val="24"/>
          <w:rtl w:val="0"/>
        </w:rPr>
        <w:t xml:space="preserve">, por los argumentos que se exponen a continuación: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60" w:lineRule="auto"/>
        <w:ind w:left="879" w:right="10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Respecto a la Declaración de Incompetencia la Ley de Transparencia y Acceso a la Información Pública del Estado de México, establece, en los artículos 49, fracción II y 167, lo siguiente:</w:t>
      </w:r>
    </w:p>
    <w:p w:rsidR="00000000" w:rsidDel="00000000" w:rsidP="00000000" w:rsidRDefault="00000000" w:rsidRPr="00000000" w14:paraId="0000004B">
      <w:pPr>
        <w:spacing w:before="239" w:line="278.00000000000006" w:lineRule="auto"/>
        <w:ind w:left="1730" w:right="1003" w:firstLine="0"/>
        <w:jc w:val="both"/>
        <w:rPr>
          <w:i w:val="1"/>
          <w:sz w:val="22"/>
          <w:szCs w:val="22"/>
        </w:rPr>
      </w:pPr>
      <w:r w:rsidDel="00000000" w:rsidR="00000000" w:rsidRPr="00000000">
        <w:rPr>
          <w:i w:val="1"/>
          <w:sz w:val="22"/>
          <w:szCs w:val="22"/>
          <w:rtl w:val="0"/>
        </w:rPr>
        <w:t xml:space="preserve">“</w:t>
      </w:r>
      <w:r w:rsidDel="00000000" w:rsidR="00000000" w:rsidRPr="00000000">
        <w:rPr>
          <w:b w:val="1"/>
          <w:i w:val="1"/>
          <w:sz w:val="22"/>
          <w:szCs w:val="22"/>
          <w:rtl w:val="0"/>
        </w:rPr>
        <w:t xml:space="preserve">Artículo 49. Los Comités de Transparencia </w:t>
      </w:r>
      <w:r w:rsidDel="00000000" w:rsidR="00000000" w:rsidRPr="00000000">
        <w:rPr>
          <w:i w:val="1"/>
          <w:sz w:val="22"/>
          <w:szCs w:val="22"/>
          <w:rtl w:val="0"/>
        </w:rPr>
        <w:t xml:space="preserve">tendrán las siguientes atribuciones:</w:t>
      </w:r>
    </w:p>
    <w:p w:rsidR="00000000" w:rsidDel="00000000" w:rsidP="00000000" w:rsidRDefault="00000000" w:rsidRPr="00000000" w14:paraId="0000004C">
      <w:pPr>
        <w:spacing w:before="118" w:lineRule="auto"/>
        <w:ind w:left="2013" w:right="0" w:firstLine="0"/>
        <w:jc w:val="left"/>
        <w:rPr>
          <w:b w:val="1"/>
          <w:i w:val="1"/>
          <w:sz w:val="22"/>
          <w:szCs w:val="22"/>
        </w:rPr>
      </w:pPr>
      <w:r w:rsidDel="00000000" w:rsidR="00000000" w:rsidRPr="00000000">
        <w:rPr>
          <w:b w:val="1"/>
          <w:i w:val="1"/>
          <w:sz w:val="22"/>
          <w:szCs w:val="22"/>
          <w:rtl w:val="0"/>
        </w:rPr>
        <w:t xml:space="preserve">...</w:t>
      </w:r>
    </w:p>
    <w:p w:rsidR="00000000" w:rsidDel="00000000" w:rsidP="00000000" w:rsidRDefault="00000000" w:rsidRPr="00000000" w14:paraId="000000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303"/>
        </w:tabs>
        <w:spacing w:after="0" w:before="164" w:line="276" w:lineRule="auto"/>
        <w:ind w:left="2013" w:right="1002"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Confirmar, modificar o revocar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determinaciones que en materia de ampliación del plazo de respuesta, clasificación de la información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y declaración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inexistencia o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 incompetencia realicen los titulares de las áreas de los sujetos obligados;</w:t>
      </w:r>
    </w:p>
    <w:p w:rsidR="00000000" w:rsidDel="00000000" w:rsidP="00000000" w:rsidRDefault="00000000" w:rsidRPr="00000000" w14:paraId="0000004E">
      <w:pPr>
        <w:spacing w:before="118" w:lineRule="auto"/>
        <w:ind w:left="1730" w:right="0" w:firstLine="0"/>
        <w:jc w:val="left"/>
        <w:rPr>
          <w:b w:val="1"/>
          <w:i w:val="1"/>
          <w:sz w:val="22"/>
          <w:szCs w:val="22"/>
        </w:rPr>
      </w:pPr>
      <w:r w:rsidDel="00000000" w:rsidR="00000000" w:rsidRPr="00000000">
        <w:rPr>
          <w:b w:val="1"/>
          <w:i w:val="1"/>
          <w:sz w:val="22"/>
          <w:szCs w:val="22"/>
          <w:rtl w:val="0"/>
        </w:rPr>
        <w:t xml:space="preserve">...</w:t>
      </w:r>
    </w:p>
    <w:p w:rsidR="00000000" w:rsidDel="00000000" w:rsidP="00000000" w:rsidRDefault="00000000" w:rsidRPr="00000000" w14:paraId="0000004F">
      <w:pPr>
        <w:spacing w:before="164" w:line="276" w:lineRule="auto"/>
        <w:ind w:left="1730" w:right="1000" w:firstLine="0"/>
        <w:jc w:val="both"/>
        <w:rPr>
          <w:b w:val="1"/>
          <w:i w:val="1"/>
          <w:sz w:val="22"/>
          <w:szCs w:val="22"/>
        </w:rPr>
      </w:pPr>
      <w:r w:rsidDel="00000000" w:rsidR="00000000" w:rsidRPr="00000000">
        <w:rPr>
          <w:b w:val="1"/>
          <w:i w:val="1"/>
          <w:sz w:val="22"/>
          <w:szCs w:val="22"/>
          <w:rtl w:val="0"/>
        </w:rPr>
        <w:t xml:space="preserve">Artículo 167</w:t>
      </w:r>
      <w:r w:rsidDel="00000000" w:rsidR="00000000" w:rsidRPr="00000000">
        <w:rPr>
          <w:i w:val="1"/>
          <w:sz w:val="22"/>
          <w:szCs w:val="22"/>
          <w:rtl w:val="0"/>
        </w:rPr>
        <w:t xml:space="preserve">. </w:t>
      </w:r>
      <w:r w:rsidDel="00000000" w:rsidR="00000000" w:rsidRPr="00000000">
        <w:rPr>
          <w:b w:val="1"/>
          <w:i w:val="1"/>
          <w:sz w:val="22"/>
          <w:szCs w:val="22"/>
          <w:rtl w:val="0"/>
        </w:rPr>
        <w:t xml:space="preserve">Cuando las unidades de transparencia determinen la notoria incompetencia </w:t>
      </w:r>
      <w:r w:rsidDel="00000000" w:rsidR="00000000" w:rsidRPr="00000000">
        <w:rPr>
          <w:i w:val="1"/>
          <w:sz w:val="22"/>
          <w:szCs w:val="22"/>
          <w:rtl w:val="0"/>
        </w:rPr>
        <w:t xml:space="preserve">por parte de los sujetos obligados, dentro del ámbito de aplicación, para atender la solicitud de acceso a la información, </w:t>
      </w:r>
      <w:r w:rsidDel="00000000" w:rsidR="00000000" w:rsidRPr="00000000">
        <w:rPr>
          <w:b w:val="1"/>
          <w:i w:val="1"/>
          <w:sz w:val="22"/>
          <w:szCs w:val="22"/>
          <w:rtl w:val="0"/>
        </w:rPr>
        <w:t xml:space="preserve">deberán comunicarlo al solicitante, dentro de los tres días hábiles posteriores a la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spacing w:before="93"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57">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A">
      <w:pPr>
        <w:spacing w:before="101" w:line="276" w:lineRule="auto"/>
        <w:ind w:left="1730" w:right="998" w:firstLine="0"/>
        <w:jc w:val="left"/>
        <w:rPr>
          <w:b w:val="1"/>
          <w:i w:val="1"/>
          <w:sz w:val="22"/>
          <w:szCs w:val="22"/>
        </w:rPr>
      </w:pPr>
      <w:r w:rsidDel="00000000" w:rsidR="00000000" w:rsidRPr="00000000">
        <w:rPr>
          <w:b w:val="1"/>
          <w:i w:val="1"/>
          <w:sz w:val="22"/>
          <w:szCs w:val="22"/>
          <w:rtl w:val="0"/>
        </w:rPr>
        <w:t xml:space="preserve">recepción de la solicitud </w:t>
      </w:r>
      <w:r w:rsidDel="00000000" w:rsidR="00000000" w:rsidRPr="00000000">
        <w:rPr>
          <w:i w:val="1"/>
          <w:sz w:val="22"/>
          <w:szCs w:val="22"/>
          <w:rtl w:val="0"/>
        </w:rPr>
        <w:t xml:space="preserve">y, </w:t>
      </w:r>
      <w:r w:rsidDel="00000000" w:rsidR="00000000" w:rsidRPr="00000000">
        <w:rPr>
          <w:b w:val="1"/>
          <w:i w:val="1"/>
          <w:sz w:val="22"/>
          <w:szCs w:val="22"/>
          <w:rtl w:val="0"/>
        </w:rPr>
        <w:t xml:space="preserve">en su caso orientar al solicitante, el o los sujetos obligados competentes.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1"/>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79" w:right="10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los preceptos citados se desprende que es atribución del Comité de Transparencia confirmar, modificar o revocar, en su caso, la declaración de incompetencia, asimismo, que las Unidades de Transparencia, al ser el primer filtro en la atención de las solicitudes de información, cuando determinen una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notoria</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incompetencia</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parte de los Sujetos Obligados, para atender dichas solicitudes, cuenta con la facultad de hacer saber dicha circunstancia a las personas solicitantes, dentro de los tres días hábiles posteriores a recepción de las solicitudes.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79" w:right="10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para su aprobación.</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60" w:lineRule="auto"/>
        <w:ind w:left="879" w:right="101"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De acuerdo a las disposiciones normativas antes invocadas, corresponde al Comité</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de Transparencia confirmar, modificar o revocar, la declaratoria de incompetencia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respecto de aquellos casos en los que la competencia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no sea notoria</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60" w:lineRule="auto"/>
        <w:ind w:left="879" w:right="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Como sustento de lo anterior, resulta aplicable el Criterio 20/20, emitido por el Instituto Nacional de Transparencia, Acceso a la Información, y Protección de Datos Personales, INAI, que lleva por rubro y texto los siguientes: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spacing w:before="0"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69">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C">
      <w:pPr>
        <w:spacing w:before="101" w:line="276" w:lineRule="auto"/>
        <w:ind w:left="1730" w:right="995" w:firstLine="0"/>
        <w:jc w:val="both"/>
        <w:rPr>
          <w:i w:val="1"/>
          <w:sz w:val="22"/>
          <w:szCs w:val="22"/>
        </w:rPr>
      </w:pPr>
      <w:r w:rsidDel="00000000" w:rsidR="00000000" w:rsidRPr="00000000">
        <w:rPr>
          <w:b w:val="1"/>
          <w:i w:val="1"/>
          <w:sz w:val="22"/>
          <w:szCs w:val="22"/>
          <w:rtl w:val="0"/>
        </w:rPr>
        <w:t xml:space="preserve">“Declaración de incompetencia por parte del Comité, cuando no sea notoria o manifiesta. </w:t>
      </w:r>
      <w:r w:rsidDel="00000000" w:rsidR="00000000" w:rsidRPr="00000000">
        <w:rPr>
          <w:i w:val="1"/>
          <w:sz w:val="22"/>
          <w:szCs w:val="22"/>
          <w:rtl w:val="0"/>
        </w:rPr>
        <w:t xml:space="preserve">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879" w:right="10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duda razonable sobre la administración del</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documento materia de la solicitud de información</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como se lee enseguida: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F">
      <w:pPr>
        <w:spacing w:before="101" w:line="276" w:lineRule="auto"/>
        <w:ind w:left="1730" w:right="1000" w:firstLine="0"/>
        <w:jc w:val="both"/>
        <w:rPr>
          <w:b w:val="1"/>
          <w:i w:val="1"/>
          <w:sz w:val="22"/>
          <w:szCs w:val="22"/>
        </w:rPr>
      </w:pPr>
      <w:r w:rsidDel="00000000" w:rsidR="00000000" w:rsidRPr="00000000">
        <w:rPr>
          <w:b w:val="1"/>
          <w:i w:val="1"/>
          <w:sz w:val="22"/>
          <w:szCs w:val="22"/>
          <w:rtl w:val="0"/>
        </w:rPr>
        <w:t xml:space="preserve">“DECLARATORIA DE INCOMPETENCIA DEL SUJETO OBLIGADO. SUPUESTO PARA CONFIRMARLA POR ACUERDO DEL COMITÉ DE</w:t>
      </w:r>
    </w:p>
    <w:p w:rsidR="00000000" w:rsidDel="00000000" w:rsidP="00000000" w:rsidRDefault="00000000" w:rsidRPr="00000000" w14:paraId="00000070">
      <w:pPr>
        <w:spacing w:before="0" w:line="276" w:lineRule="auto"/>
        <w:ind w:left="1730" w:right="996" w:firstLine="0"/>
        <w:jc w:val="both"/>
        <w:rPr>
          <w:i w:val="1"/>
          <w:sz w:val="22"/>
          <w:szCs w:val="22"/>
        </w:rPr>
      </w:pPr>
      <w:r w:rsidDel="00000000" w:rsidR="00000000" w:rsidRPr="00000000">
        <w:rPr>
          <w:b w:val="1"/>
          <w:i w:val="1"/>
          <w:sz w:val="22"/>
          <w:szCs w:val="22"/>
          <w:rtl w:val="0"/>
        </w:rPr>
        <w:t xml:space="preserve">TRANSPARENCIA. </w:t>
      </w:r>
      <w:r w:rsidDel="00000000" w:rsidR="00000000" w:rsidRPr="00000000">
        <w:rPr>
          <w:i w:val="1"/>
          <w:sz w:val="22"/>
          <w:szCs w:val="22"/>
          <w:rtl w:val="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Del="00000000" w:rsidR="00000000" w:rsidRPr="00000000">
        <w:rPr>
          <w:b w:val="1"/>
          <w:i w:val="1"/>
          <w:sz w:val="22"/>
          <w:szCs w:val="22"/>
          <w:rtl w:val="0"/>
        </w:rPr>
        <w:t xml:space="preserve">al ejercer el derecho de acceso a la información pública cabe la posibilidad de que existan atribuciones concurrentes entre dos o más Sujetos Obligados que </w:t>
      </w:r>
      <w:r w:rsidDel="00000000" w:rsidR="00000000" w:rsidRPr="00000000">
        <w:rPr>
          <w:b w:val="1"/>
          <w:i w:val="1"/>
          <w:sz w:val="22"/>
          <w:szCs w:val="22"/>
          <w:u w:val="single"/>
          <w:rtl w:val="0"/>
        </w:rPr>
        <w:t xml:space="preserve">impiden determinar dentro del término</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legal de tres días hábiles</w:t>
      </w:r>
      <w:r w:rsidDel="00000000" w:rsidR="00000000" w:rsidRPr="00000000">
        <w:rPr>
          <w:b w:val="1"/>
          <w:i w:val="1"/>
          <w:sz w:val="22"/>
          <w:szCs w:val="22"/>
          <w:rtl w:val="0"/>
        </w:rPr>
        <w:t xml:space="preserve">, si se posee o no la información por el Sujeto Obligado requerid</w:t>
      </w:r>
      <w:r w:rsidDel="00000000" w:rsidR="00000000" w:rsidRPr="00000000">
        <w:rPr>
          <w:i w:val="1"/>
          <w:sz w:val="22"/>
          <w:szCs w:val="22"/>
          <w:rtl w:val="0"/>
        </w:rPr>
        <w:t xml:space="preserve">o; en virtud de ello, en aras de disipar toda duda razonable sobre la administración del documento materia de la solicitud de información, el Sujeto Obligado deberá dar el trámite correspondiente a la solicitud de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5">
      <w:pPr>
        <w:spacing w:before="93"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77">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A">
      <w:pPr>
        <w:spacing w:before="101" w:line="276" w:lineRule="auto"/>
        <w:ind w:left="1730" w:right="997" w:firstLine="0"/>
        <w:jc w:val="both"/>
        <w:rPr>
          <w:i w:val="1"/>
          <w:sz w:val="22"/>
          <w:szCs w:val="22"/>
        </w:rPr>
      </w:pPr>
      <w:r w:rsidDel="00000000" w:rsidR="00000000" w:rsidRPr="00000000">
        <w:rPr>
          <w:i w:val="1"/>
          <w:sz w:val="22"/>
          <w:szCs w:val="22"/>
          <w:rtl w:val="0"/>
        </w:rPr>
        <w:t xml:space="preserve">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360" w:lineRule="auto"/>
        <w:ind w:left="879" w:right="10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caso particular se señala y destaca en el proyecto de manera textual lo siguiente:</w:t>
      </w:r>
    </w:p>
    <w:p w:rsidR="00000000" w:rsidDel="00000000" w:rsidP="00000000" w:rsidRDefault="00000000" w:rsidRPr="00000000" w14:paraId="0000007C">
      <w:pPr>
        <w:spacing w:before="244" w:line="276" w:lineRule="auto"/>
        <w:ind w:left="2013" w:right="996" w:firstLine="0"/>
        <w:jc w:val="both"/>
        <w:rPr>
          <w:i w:val="1"/>
          <w:sz w:val="22"/>
          <w:szCs w:val="22"/>
        </w:rPr>
      </w:pPr>
      <w:r w:rsidDel="00000000" w:rsidR="00000000" w:rsidRPr="00000000">
        <w:rPr>
          <w:i w:val="1"/>
          <w:sz w:val="22"/>
          <w:szCs w:val="22"/>
          <w:rtl w:val="0"/>
        </w:rPr>
        <w:t xml:space="preserve">“Conforme al marco normativo planteado, es indispensable traer a colación lo previsto en el artículo 38 bis, fracción XVII de la Ley Orgánica de la Administración Pública del Estado de México, en el que se establece como competencia de la Secretaría de la Contraloría, recibir y registrar la declaración de intereses y determinar el Conflicto de Intereses de los servidores públicos del Estado y municipios.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tabs>
          <w:tab w:val="left" w:leader="none" w:pos="2475"/>
          <w:tab w:val="left" w:leader="none" w:pos="3010"/>
          <w:tab w:val="left" w:leader="none" w:pos="3906"/>
          <w:tab w:val="left" w:leader="none" w:pos="4258"/>
          <w:tab w:val="left" w:leader="none" w:pos="5515"/>
          <w:tab w:val="left" w:leader="none" w:pos="6404"/>
          <w:tab w:val="left" w:leader="none" w:pos="6805"/>
          <w:tab w:val="left" w:leader="none" w:pos="7169"/>
          <w:tab w:val="left" w:leader="none" w:pos="8258"/>
          <w:tab w:val="left" w:leader="none" w:pos="8659"/>
        </w:tabs>
        <w:spacing w:before="1" w:line="276" w:lineRule="auto"/>
        <w:ind w:left="2013" w:right="998" w:firstLine="0"/>
        <w:jc w:val="left"/>
        <w:rPr>
          <w:i w:val="1"/>
          <w:sz w:val="22"/>
          <w:szCs w:val="22"/>
        </w:rPr>
      </w:pPr>
      <w:r w:rsidDel="00000000" w:rsidR="00000000" w:rsidRPr="00000000">
        <w:rPr>
          <w:i w:val="1"/>
          <w:sz w:val="22"/>
          <w:szCs w:val="22"/>
          <w:rtl w:val="0"/>
        </w:rPr>
        <w:t xml:space="preserve">En</w:t>
        <w:tab/>
        <w:t xml:space="preserve">este</w:t>
        <w:tab/>
        <w:t xml:space="preserve">sentido,</w:t>
        <w:tab/>
        <w:t xml:space="preserve">el</w:t>
        <w:tab/>
        <w:t xml:space="preserve">Reglamento</w:t>
        <w:tab/>
        <w:t xml:space="preserve">Interior</w:t>
        <w:tab/>
        <w:t xml:space="preserve">de</w:t>
        <w:tab/>
        <w:t xml:space="preserve">la</w:t>
        <w:tab/>
        <w:t xml:space="preserve">Secretaría</w:t>
        <w:tab/>
        <w:t xml:space="preserve">de</w:t>
        <w:tab/>
        <w:t xml:space="preserve">la Contraloría, señala lo siguiente:</w:t>
      </w:r>
    </w:p>
    <w:p w:rsidR="00000000" w:rsidDel="00000000" w:rsidP="00000000" w:rsidRDefault="00000000" w:rsidRPr="00000000" w14:paraId="0000007F">
      <w:pPr>
        <w:spacing w:before="5" w:line="278.00000000000006" w:lineRule="auto"/>
        <w:ind w:left="2580" w:right="998" w:firstLine="0"/>
        <w:jc w:val="left"/>
        <w:rPr>
          <w:i w:val="1"/>
          <w:sz w:val="20"/>
          <w:szCs w:val="20"/>
        </w:rPr>
      </w:pPr>
      <w:r w:rsidDel="00000000" w:rsidR="00000000" w:rsidRPr="00000000">
        <w:rPr>
          <w:i w:val="1"/>
          <w:sz w:val="20"/>
          <w:szCs w:val="20"/>
          <w:rtl w:val="0"/>
        </w:rPr>
        <w:t xml:space="preserve">“</w:t>
      </w:r>
      <w:r w:rsidDel="00000000" w:rsidR="00000000" w:rsidRPr="00000000">
        <w:rPr>
          <w:b w:val="1"/>
          <w:i w:val="1"/>
          <w:sz w:val="20"/>
          <w:szCs w:val="20"/>
          <w:rtl w:val="0"/>
        </w:rPr>
        <w:t xml:space="preserve">Artículo 24. </w:t>
      </w:r>
      <w:r w:rsidDel="00000000" w:rsidR="00000000" w:rsidRPr="00000000">
        <w:rPr>
          <w:i w:val="1"/>
          <w:sz w:val="20"/>
          <w:szCs w:val="20"/>
          <w:rtl w:val="0"/>
        </w:rPr>
        <w:t xml:space="preserve">A la Dirección General de Responsabilidades Administrativas, corresponden las atribuciones siguientes:</w:t>
      </w:r>
    </w:p>
    <w:p w:rsidR="00000000" w:rsidDel="00000000" w:rsidP="00000000" w:rsidRDefault="00000000" w:rsidRPr="00000000" w14:paraId="00000080">
      <w:pPr>
        <w:spacing w:before="0" w:line="263.00000000000006" w:lineRule="auto"/>
        <w:ind w:left="2580" w:right="0" w:firstLine="0"/>
        <w:jc w:val="left"/>
        <w:rPr>
          <w:i w:val="1"/>
          <w:sz w:val="20"/>
          <w:szCs w:val="20"/>
        </w:rPr>
      </w:pPr>
      <w:r w:rsidDel="00000000" w:rsidR="00000000" w:rsidRPr="00000000">
        <w:rPr>
          <w:i w:val="1"/>
          <w:sz w:val="20"/>
          <w:szCs w:val="20"/>
          <w:rtl w:val="0"/>
        </w:rPr>
        <w:t xml:space="preserve">…</w:t>
      </w:r>
    </w:p>
    <w:p w:rsidR="00000000" w:rsidDel="00000000" w:rsidP="00000000" w:rsidRDefault="00000000" w:rsidRPr="00000000" w14:paraId="0000008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881"/>
        </w:tabs>
        <w:spacing w:after="0" w:before="42" w:line="240" w:lineRule="auto"/>
        <w:ind w:left="2880" w:right="0" w:hanging="301.0000000000002"/>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Recibir las declaraciones </w:t>
      </w: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de situación patrimonial, </w:t>
      </w: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de intereses</w:t>
      </w:r>
    </w:p>
    <w:p w:rsidR="00000000" w:rsidDel="00000000" w:rsidP="00000000" w:rsidRDefault="00000000" w:rsidRPr="00000000" w14:paraId="00000082">
      <w:pPr>
        <w:spacing w:before="43" w:lineRule="auto"/>
        <w:ind w:left="2580" w:right="0" w:firstLine="0"/>
        <w:jc w:val="left"/>
        <w:rPr>
          <w:b w:val="1"/>
          <w:i w:val="1"/>
          <w:sz w:val="20"/>
          <w:szCs w:val="20"/>
        </w:rPr>
      </w:pPr>
      <w:r w:rsidDel="00000000" w:rsidR="00000000" w:rsidRPr="00000000">
        <w:rPr>
          <w:i w:val="1"/>
          <w:sz w:val="20"/>
          <w:szCs w:val="20"/>
          <w:rtl w:val="0"/>
        </w:rPr>
        <w:t xml:space="preserve">y el </w:t>
      </w:r>
      <w:r w:rsidDel="00000000" w:rsidR="00000000" w:rsidRPr="00000000">
        <w:rPr>
          <w:b w:val="1"/>
          <w:i w:val="1"/>
          <w:sz w:val="20"/>
          <w:szCs w:val="20"/>
          <w:rtl w:val="0"/>
        </w:rPr>
        <w:t xml:space="preserve">acuse de la presentación de la declaración fiscal de los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spacing w:before="93"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8B">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8E">
      <w:pPr>
        <w:spacing w:before="101" w:line="278.00000000000006" w:lineRule="auto"/>
        <w:ind w:left="2580" w:right="998" w:firstLine="0"/>
        <w:jc w:val="left"/>
        <w:rPr>
          <w:i w:val="1"/>
          <w:sz w:val="20"/>
          <w:szCs w:val="20"/>
        </w:rPr>
      </w:pPr>
      <w:r w:rsidDel="00000000" w:rsidR="00000000" w:rsidRPr="00000000">
        <w:rPr>
          <w:b w:val="1"/>
          <w:i w:val="1"/>
          <w:sz w:val="20"/>
          <w:szCs w:val="20"/>
          <w:rtl w:val="0"/>
        </w:rPr>
        <w:t xml:space="preserve">servidores públicos de la Administración Pública Estatal y Municipal</w:t>
      </w:r>
      <w:r w:rsidDel="00000000" w:rsidR="00000000" w:rsidRPr="00000000">
        <w:rPr>
          <w:i w:val="1"/>
          <w:sz w:val="20"/>
          <w:szCs w:val="20"/>
          <w:rtl w:val="0"/>
        </w:rPr>
        <w:t xml:space="preser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063"/>
        </w:tabs>
        <w:spacing w:after="0" w:before="0" w:line="276" w:lineRule="auto"/>
        <w:ind w:left="2580" w:right="1565" w:firstLine="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Coordinar y llevar el registro y resguardo de las declaraciones de </w:t>
      </w: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situación patrimonial</w:t>
      </w: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 de intereses </w:t>
      </w: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y el acuse de la presentación de la declaración fiscal </w:t>
      </w: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de los servidores públicos de la Administración Pública Estatal y Municipal</w:t>
      </w: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 para su publicitación conforme a las disposiciones jurídicas aplicables, así como para suministrar la información correspondiente a la Plataforma Digital Nacional y Estatal del Sistema Nacional y Estatal Anticorrupción;…”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spacing w:before="0" w:line="276" w:lineRule="auto"/>
        <w:ind w:left="2013" w:right="998" w:firstLine="0"/>
        <w:jc w:val="both"/>
        <w:rPr>
          <w:i w:val="1"/>
          <w:sz w:val="24"/>
          <w:szCs w:val="24"/>
        </w:rPr>
      </w:pPr>
      <w:r w:rsidDel="00000000" w:rsidR="00000000" w:rsidRPr="00000000">
        <w:rPr>
          <w:i w:val="1"/>
          <w:sz w:val="22"/>
          <w:szCs w:val="22"/>
          <w:rtl w:val="0"/>
        </w:rPr>
        <w:t xml:space="preserve">Con lo referido, </w:t>
      </w:r>
      <w:r w:rsidDel="00000000" w:rsidR="00000000" w:rsidRPr="00000000">
        <w:rPr>
          <w:b w:val="1"/>
          <w:i w:val="1"/>
          <w:sz w:val="22"/>
          <w:szCs w:val="22"/>
          <w:u w:val="single"/>
          <w:rtl w:val="0"/>
        </w:rPr>
        <w:t xml:space="preserve">queda de manifiesto que el SUJETO OBLIGADO no</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cuenta con competencia para atender los requerimientos señalados por</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el particular, por ende, no se encuentra constreñido a entregar la</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información requerida ante la falta de atribuciones para generar,</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poseer o administrar lo solicitado</w:t>
      </w:r>
      <w:r w:rsidDel="00000000" w:rsidR="00000000" w:rsidRPr="00000000">
        <w:rPr>
          <w:b w:val="1"/>
          <w:i w:val="1"/>
          <w:sz w:val="24"/>
          <w:szCs w:val="24"/>
          <w:u w:val="single"/>
          <w:rtl w:val="0"/>
        </w:rPr>
        <w:t xml:space="preserve">.</w:t>
      </w:r>
      <w:r w:rsidDel="00000000" w:rsidR="00000000" w:rsidRPr="00000000">
        <w:rPr>
          <w:i w:val="1"/>
          <w:sz w:val="24"/>
          <w:szCs w:val="24"/>
          <w:rtl w:val="0"/>
        </w:rPr>
        <w:t xml:space="preserve">” (sic)</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60" w:lineRule="auto"/>
        <w:ind w:left="879" w:right="10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Advirtiéndose que la Dirección General de Responsabilidades Administrativas, de la Secretaría de la Contraloría, entre otras atribuciones, tiene las de recibir las declaraciones de intereses de los servidores públicos de la Administración Pública Estatal y Municipal, así como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coordinar y llevar el registro y resguardo de las declaraciones de intereses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por ello la Suscrita estima que no resultaba procedente ordenar la emisión del acuerdo de incompetencia</w:t>
      </w:r>
      <w:r w:rsidDel="00000000" w:rsidR="00000000" w:rsidRPr="00000000">
        <w:rPr>
          <w:rFonts w:ascii="Palatino Linotype" w:cs="Palatino Linotype" w:eastAsia="Palatino Linotype" w:hAnsi="Palatino Linotype"/>
          <w:b w:val="0"/>
          <w:i w:val="0"/>
          <w:smallCaps w:val="0"/>
          <w:strike w:val="0"/>
          <w:color w:val="000000"/>
          <w:sz w:val="18"/>
          <w:szCs w:val="18"/>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aún cuando la Unidad de Transparencia efectuó la declaración de la notoria incompetencia por parte del Sujeto Obligado para atender favorablemente la solicitud de información, de manera posterior a los tres días de haberse recibido la solicitud de información.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A">
      <w:pPr>
        <w:spacing w:before="93"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9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11</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777082</wp:posOffset>
            </wp:positionH>
            <wp:positionV relativeFrom="page">
              <wp:posOffset>430325</wp:posOffset>
            </wp:positionV>
            <wp:extent cx="6149361" cy="9604576"/>
            <wp:effectExtent b="0" l="0" r="0" t="0"/>
            <wp:wrapNone/>
            <wp:docPr id="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361" cy="9604576"/>
                    </a:xfrm>
                    <a:prstGeom prst="rect"/>
                    <a:ln/>
                  </pic:spPr>
                </pic:pic>
              </a:graphicData>
            </a:graphic>
          </wp:anchor>
        </w:drawing>
      </w:r>
      <w:r w:rsidDel="00000000" w:rsidR="00000000" w:rsidRPr="00000000">
        <w:rPr>
          <w:rtl w:val="0"/>
        </w:rPr>
      </w:r>
    </w:p>
    <w:p w:rsidR="00000000" w:rsidDel="00000000" w:rsidP="00000000" w:rsidRDefault="00000000" w:rsidRPr="00000000" w14:paraId="0000009C">
      <w:pPr>
        <w:spacing w:before="224" w:lineRule="auto"/>
        <w:ind w:left="4787" w:right="84" w:firstLine="3103.999999999999"/>
        <w:jc w:val="left"/>
        <w:rPr>
          <w:b w:val="1"/>
          <w:sz w:val="20"/>
          <w:szCs w:val="20"/>
        </w:rPr>
      </w:pPr>
      <w:r w:rsidDel="00000000" w:rsidR="00000000" w:rsidRPr="00000000">
        <w:rPr>
          <w:b w:val="1"/>
          <w:sz w:val="20"/>
          <w:szCs w:val="20"/>
          <w:rtl w:val="0"/>
        </w:rPr>
        <w:t xml:space="preserve">VOTO DISIDENTE RECURSO DE REVISIÓN 05299/INFOEM/IP/RR/2022</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9F">
      <w:pPr>
        <w:spacing w:before="100" w:line="360" w:lineRule="auto"/>
        <w:ind w:left="879" w:right="100" w:firstLine="0"/>
        <w:jc w:val="both"/>
        <w:rPr>
          <w:b w:val="1"/>
          <w:i w:val="1"/>
          <w:sz w:val="24"/>
          <w:szCs w:val="24"/>
        </w:rPr>
      </w:pPr>
      <w:r w:rsidDel="00000000" w:rsidR="00000000" w:rsidRPr="00000000">
        <w:rPr>
          <w:sz w:val="24"/>
          <w:szCs w:val="24"/>
          <w:rtl w:val="0"/>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Recurrente no obtendrá la información que es de su interés por ésta vía, en virtud de que el Instituto ha determinado que </w:t>
      </w:r>
      <w:r w:rsidDel="00000000" w:rsidR="00000000" w:rsidRPr="00000000">
        <w:rPr>
          <w:b w:val="1"/>
          <w:i w:val="1"/>
          <w:sz w:val="24"/>
          <w:szCs w:val="24"/>
          <w:u w:val="single"/>
          <w:rtl w:val="0"/>
        </w:rPr>
        <w:t xml:space="preserve">el Sujeto Obligado no cuenta con competencia para atender los</w:t>
      </w:r>
      <w:r w:rsidDel="00000000" w:rsidR="00000000" w:rsidRPr="00000000">
        <w:rPr>
          <w:b w:val="1"/>
          <w:i w:val="1"/>
          <w:sz w:val="24"/>
          <w:szCs w:val="24"/>
          <w:rtl w:val="0"/>
        </w:rPr>
        <w:t xml:space="preserve"> </w:t>
      </w:r>
      <w:r w:rsidDel="00000000" w:rsidR="00000000" w:rsidRPr="00000000">
        <w:rPr>
          <w:b w:val="1"/>
          <w:i w:val="1"/>
          <w:sz w:val="24"/>
          <w:szCs w:val="24"/>
          <w:u w:val="single"/>
          <w:rtl w:val="0"/>
        </w:rPr>
        <w:t xml:space="preserve">requerimientos señalados por el particular, por ende no se encuentra constreñido a</w:t>
      </w:r>
      <w:r w:rsidDel="00000000" w:rsidR="00000000" w:rsidRPr="00000000">
        <w:rPr>
          <w:b w:val="1"/>
          <w:i w:val="1"/>
          <w:sz w:val="24"/>
          <w:szCs w:val="24"/>
          <w:rtl w:val="0"/>
        </w:rPr>
        <w:t xml:space="preserve"> </w:t>
      </w:r>
      <w:r w:rsidDel="00000000" w:rsidR="00000000" w:rsidRPr="00000000">
        <w:rPr>
          <w:b w:val="1"/>
          <w:i w:val="1"/>
          <w:sz w:val="24"/>
          <w:szCs w:val="24"/>
          <w:u w:val="single"/>
          <w:rtl w:val="0"/>
        </w:rPr>
        <w:t xml:space="preserve">entregar la información requerida ante la falta de atribuciones para generar, poseer</w:t>
      </w:r>
      <w:r w:rsidDel="00000000" w:rsidR="00000000" w:rsidRPr="00000000">
        <w:rPr>
          <w:b w:val="1"/>
          <w:i w:val="1"/>
          <w:sz w:val="24"/>
          <w:szCs w:val="24"/>
          <w:rtl w:val="0"/>
        </w:rPr>
        <w:t xml:space="preserve"> </w:t>
      </w:r>
      <w:r w:rsidDel="00000000" w:rsidR="00000000" w:rsidRPr="00000000">
        <w:rPr>
          <w:b w:val="1"/>
          <w:i w:val="1"/>
          <w:sz w:val="24"/>
          <w:szCs w:val="24"/>
          <w:u w:val="single"/>
          <w:rtl w:val="0"/>
        </w:rPr>
        <w:t xml:space="preserve">o administrar lo solicitado.</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60" w:lineRule="auto"/>
        <w:ind w:left="879" w:right="10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60" w:lineRule="auto"/>
        <w:ind w:left="879" w:right="2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todo lo vertido en líneas anteriores que la Suscrita no comparte el sentido de la resolución, y formula el presente voto disidente.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spacing w:before="93" w:lineRule="auto"/>
        <w:ind w:left="0" w:right="100" w:firstLine="0"/>
        <w:jc w:val="right"/>
        <w:rPr>
          <w:rFonts w:ascii="Times New Roman" w:cs="Times New Roman" w:eastAsia="Times New Roman" w:hAnsi="Times New Roman"/>
          <w:b w:val="1"/>
          <w:sz w:val="20"/>
          <w:szCs w:val="20"/>
        </w:rPr>
        <w:sectPr>
          <w:type w:val="nextPage"/>
          <w:pgSz w:h="15840" w:w="12240" w:orient="portrait"/>
          <w:pgMar w:bottom="0" w:top="680" w:left="820" w:right="160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10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10</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5321300</wp:posOffset>
                </wp:positionH>
                <wp:positionV relativeFrom="page">
                  <wp:posOffset>5996940</wp:posOffset>
                </wp:positionV>
                <wp:extent cx="2263775" cy="3921760"/>
                <wp:effectExtent b="0" l="0" r="0" t="0"/>
                <wp:wrapNone/>
                <wp:docPr id="24" name=""/>
                <a:graphic>
                  <a:graphicData uri="http://schemas.microsoft.com/office/word/2010/wordprocessingGroup">
                    <wpg:wgp>
                      <wpg:cNvGrpSpPr/>
                      <wpg:grpSpPr>
                        <a:xfrm>
                          <a:off x="4214100" y="1819100"/>
                          <a:ext cx="2263775" cy="3921760"/>
                          <a:chOff x="4214100" y="1819100"/>
                          <a:chExt cx="2263800" cy="3921775"/>
                        </a:xfrm>
                      </wpg:grpSpPr>
                      <wpg:grpSp>
                        <wpg:cNvGrpSpPr/>
                        <wpg:grpSpPr>
                          <a:xfrm>
                            <a:off x="4214113" y="1819120"/>
                            <a:ext cx="2263775" cy="3921750"/>
                            <a:chOff x="0" y="0"/>
                            <a:chExt cx="2263775" cy="3921750"/>
                          </a:xfrm>
                        </wpg:grpSpPr>
                        <wps:wsp>
                          <wps:cNvSpPr/>
                          <wps:cNvPr id="3" name="Shape 3"/>
                          <wps:spPr>
                            <a:xfrm>
                              <a:off x="0" y="0"/>
                              <a:ext cx="2263775" cy="3921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06400" y="3507105"/>
                              <a:ext cx="929640" cy="135255"/>
                            </a:xfrm>
                            <a:custGeom>
                              <a:rect b="b" l="l" r="r" t="t"/>
                              <a:pathLst>
                                <a:path extrusionOk="0" h="135255" w="929640">
                                  <a:moveTo>
                                    <a:pt x="0" y="0"/>
                                  </a:moveTo>
                                  <a:lnTo>
                                    <a:pt x="0" y="135255"/>
                                  </a:lnTo>
                                  <a:lnTo>
                                    <a:pt x="929640" y="135255"/>
                                  </a:lnTo>
                                  <a:lnTo>
                                    <a:pt x="929640" y="0"/>
                                  </a:lnTo>
                                  <a:close/>
                                </a:path>
                              </a:pathLst>
                            </a:custGeom>
                            <a:solidFill>
                              <a:srgbClr val="FFFFFF"/>
                            </a:solid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11 de 11</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5321300</wp:posOffset>
                </wp:positionH>
                <wp:positionV relativeFrom="page">
                  <wp:posOffset>5996940</wp:posOffset>
                </wp:positionV>
                <wp:extent cx="2263775" cy="3921760"/>
                <wp:effectExtent b="0" l="0" r="0" t="0"/>
                <wp:wrapNone/>
                <wp:docPr id="2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63775" cy="39217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sectPr>
      <w:type w:val="nextPage"/>
      <w:pgSz w:h="15840" w:w="12240" w:orient="portrait"/>
      <w:pgMar w:bottom="0" w:top="500" w:left="820" w:right="16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1186" w:hanging="307.0000000000001"/>
      </w:pPr>
      <w:rPr>
        <w:rFonts w:ascii="Palatino Linotype" w:cs="Palatino Linotype" w:eastAsia="Palatino Linotype" w:hAnsi="Palatino Linotype"/>
        <w:b w:val="1"/>
        <w:sz w:val="24"/>
        <w:szCs w:val="24"/>
      </w:rPr>
    </w:lvl>
    <w:lvl w:ilvl="1">
      <w:start w:val="2"/>
      <w:numFmt w:val="upperRoman"/>
      <w:lvlText w:val="%2."/>
      <w:lvlJc w:val="left"/>
      <w:pPr>
        <w:ind w:left="2013" w:hanging="290"/>
      </w:pPr>
      <w:rPr>
        <w:rFonts w:ascii="Palatino Linotype" w:cs="Palatino Linotype" w:eastAsia="Palatino Linotype" w:hAnsi="Palatino Linotype"/>
        <w:b w:val="1"/>
        <w:i w:val="1"/>
        <w:sz w:val="22"/>
        <w:szCs w:val="22"/>
      </w:rPr>
    </w:lvl>
    <w:lvl w:ilvl="2">
      <w:start w:val="6"/>
      <w:numFmt w:val="upperRoman"/>
      <w:lvlText w:val="%3."/>
      <w:lvlJc w:val="left"/>
      <w:pPr>
        <w:ind w:left="2880" w:hanging="301"/>
      </w:pPr>
      <w:rPr>
        <w:rFonts w:ascii="Palatino Linotype" w:cs="Palatino Linotype" w:eastAsia="Palatino Linotype" w:hAnsi="Palatino Linotype"/>
        <w:i w:val="1"/>
        <w:sz w:val="20"/>
        <w:szCs w:val="20"/>
      </w:rPr>
    </w:lvl>
    <w:lvl w:ilvl="3">
      <w:start w:val="0"/>
      <w:numFmt w:val="bullet"/>
      <w:lvlText w:val="•"/>
      <w:lvlJc w:val="left"/>
      <w:pPr>
        <w:ind w:left="3747" w:hanging="301.00000000000045"/>
      </w:pPr>
      <w:rPr/>
    </w:lvl>
    <w:lvl w:ilvl="4">
      <w:start w:val="0"/>
      <w:numFmt w:val="bullet"/>
      <w:lvlText w:val="•"/>
      <w:lvlJc w:val="left"/>
      <w:pPr>
        <w:ind w:left="4615" w:hanging="301"/>
      </w:pPr>
      <w:rPr/>
    </w:lvl>
    <w:lvl w:ilvl="5">
      <w:start w:val="0"/>
      <w:numFmt w:val="bullet"/>
      <w:lvlText w:val="•"/>
      <w:lvlJc w:val="left"/>
      <w:pPr>
        <w:ind w:left="5482" w:hanging="301"/>
      </w:pPr>
      <w:rPr/>
    </w:lvl>
    <w:lvl w:ilvl="6">
      <w:start w:val="0"/>
      <w:numFmt w:val="bullet"/>
      <w:lvlText w:val="•"/>
      <w:lvlJc w:val="left"/>
      <w:pPr>
        <w:ind w:left="6350" w:hanging="301"/>
      </w:pPr>
      <w:rPr/>
    </w:lvl>
    <w:lvl w:ilvl="7">
      <w:start w:val="0"/>
      <w:numFmt w:val="bullet"/>
      <w:lvlText w:val="•"/>
      <w:lvlJc w:val="left"/>
      <w:pPr>
        <w:ind w:left="7217" w:hanging="301"/>
      </w:pPr>
      <w:rPr/>
    </w:lvl>
    <w:lvl w:ilvl="8">
      <w:start w:val="0"/>
      <w:numFmt w:val="bullet"/>
      <w:lvlText w:val="•"/>
      <w:lvlJc w:val="left"/>
      <w:pPr>
        <w:ind w:left="8085" w:hanging="301"/>
      </w:pPr>
      <w:rPr/>
    </w:lvl>
  </w:abstractNum>
  <w:abstractNum w:abstractNumId="2">
    <w:lvl w:ilvl="0">
      <w:start w:val="1"/>
      <w:numFmt w:val="upperRoman"/>
      <w:lvlText w:val="%1."/>
      <w:lvlJc w:val="left"/>
      <w:pPr>
        <w:ind w:left="1812" w:hanging="214.00000000000023"/>
      </w:pPr>
      <w:rPr>
        <w:b w:val="1"/>
      </w:rPr>
    </w:lvl>
    <w:lvl w:ilvl="1">
      <w:start w:val="1"/>
      <w:numFmt w:val="decimal"/>
      <w:lvlText w:val="%2."/>
      <w:lvlJc w:val="left"/>
      <w:pPr>
        <w:ind w:left="2013" w:hanging="305.9999999999998"/>
      </w:pPr>
      <w:rPr>
        <w:rFonts w:ascii="Palatino Linotype" w:cs="Palatino Linotype" w:eastAsia="Palatino Linotype" w:hAnsi="Palatino Linotype"/>
        <w:i w:val="1"/>
        <w:sz w:val="22"/>
        <w:szCs w:val="22"/>
      </w:rPr>
    </w:lvl>
    <w:lvl w:ilvl="2">
      <w:start w:val="0"/>
      <w:numFmt w:val="bullet"/>
      <w:lvlText w:val="•"/>
      <w:lvlJc w:val="left"/>
      <w:pPr>
        <w:ind w:left="2886" w:hanging="306"/>
      </w:pPr>
      <w:rPr/>
    </w:lvl>
    <w:lvl w:ilvl="3">
      <w:start w:val="0"/>
      <w:numFmt w:val="bullet"/>
      <w:lvlText w:val="•"/>
      <w:lvlJc w:val="left"/>
      <w:pPr>
        <w:ind w:left="3753" w:hanging="306"/>
      </w:pPr>
      <w:rPr/>
    </w:lvl>
    <w:lvl w:ilvl="4">
      <w:start w:val="0"/>
      <w:numFmt w:val="bullet"/>
      <w:lvlText w:val="•"/>
      <w:lvlJc w:val="left"/>
      <w:pPr>
        <w:ind w:left="4620" w:hanging="306"/>
      </w:pPr>
      <w:rPr/>
    </w:lvl>
    <w:lvl w:ilvl="5">
      <w:start w:val="0"/>
      <w:numFmt w:val="bullet"/>
      <w:lvlText w:val="•"/>
      <w:lvlJc w:val="left"/>
      <w:pPr>
        <w:ind w:left="5486" w:hanging="306"/>
      </w:pPr>
      <w:rPr/>
    </w:lvl>
    <w:lvl w:ilvl="6">
      <w:start w:val="0"/>
      <w:numFmt w:val="bullet"/>
      <w:lvlText w:val="•"/>
      <w:lvlJc w:val="left"/>
      <w:pPr>
        <w:ind w:left="6353" w:hanging="306.0000000000009"/>
      </w:pPr>
      <w:rPr/>
    </w:lvl>
    <w:lvl w:ilvl="7">
      <w:start w:val="0"/>
      <w:numFmt w:val="bullet"/>
      <w:lvlText w:val="•"/>
      <w:lvlJc w:val="left"/>
      <w:pPr>
        <w:ind w:left="7220" w:hanging="306"/>
      </w:pPr>
      <w:rPr/>
    </w:lvl>
    <w:lvl w:ilvl="8">
      <w:start w:val="0"/>
      <w:numFmt w:val="bullet"/>
      <w:lvlText w:val="•"/>
      <w:lvlJc w:val="left"/>
      <w:pPr>
        <w:ind w:left="8086" w:hanging="30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00" w:lineRule="auto"/>
      <w:ind w:left="879" w:hanging="308"/>
      <w:jc w:val="both"/>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spacing w:before="100"/>
      <w:ind w:left="879" w:hanging="308"/>
      <w:jc w:val="both"/>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ind w:left="2013"/>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y6wJuApBwks/9ICwG8C9jZuEw==">CgMxLjA4AHIhMWxHOWNCbG5MM3c0WXVpZUlfUU50bGdsNHlOcC1HVjlr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2023-11-08T23:49:35Z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Word</vt:lpwstr>
  </property>
  <property fmtid="{D5CDD505-2E9C-101B-9397-08002B2CF9AE}" pid="4" name="LastSaved">
    <vt:filetime>2023-11-08T00:00:00Z</vt:filetime>
  </property>
</Properties>
</file>