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9702" w14:textId="5B62C0C7" w:rsidR="008B0A68" w:rsidRDefault="007B1CFA" w:rsidP="00CF3F65">
      <w:pPr>
        <w:spacing w:line="360" w:lineRule="auto"/>
        <w:jc w:val="both"/>
        <w:rPr>
          <w:rFonts w:ascii="Palatino Linotype" w:eastAsia="Palatino Linotype" w:hAnsi="Palatino Linotype" w:cs="Palatino Linotype"/>
          <w:b/>
        </w:rPr>
      </w:pPr>
      <w:r w:rsidRPr="00CF3F65">
        <w:rPr>
          <w:rFonts w:ascii="Palatino Linotype" w:hAnsi="Palatino Linotype" w:cs="Arial"/>
          <w:b/>
        </w:rPr>
        <w:t xml:space="preserve">VOTO </w:t>
      </w:r>
      <w:r w:rsidR="00445879" w:rsidRPr="00CF3F65">
        <w:rPr>
          <w:rFonts w:ascii="Palatino Linotype" w:hAnsi="Palatino Linotype" w:cs="Arial"/>
          <w:b/>
        </w:rPr>
        <w:t xml:space="preserve">PARTICULAR DE LA COMISIONADA MARÍA DEL ROSARIO MEJÍA AYALA EN EL RECURSO DE REVISIÓN </w:t>
      </w:r>
      <w:r w:rsidR="00445879">
        <w:rPr>
          <w:rFonts w:ascii="Palatino Linotype" w:eastAsia="Palatino Linotype" w:hAnsi="Palatino Linotype" w:cs="Palatino Linotype"/>
          <w:b/>
        </w:rPr>
        <w:t>02809/INFOEM/IP/RR/2022 Y ACUMULADOS.</w:t>
      </w:r>
    </w:p>
    <w:p w14:paraId="259E9B1D" w14:textId="77777777" w:rsidR="00445879" w:rsidRPr="00CF3F65" w:rsidRDefault="00445879"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EC27884" w14:textId="76F64157" w:rsidR="008F67BC" w:rsidRDefault="00CF3F65" w:rsidP="008F67BC">
      <w:pPr>
        <w:spacing w:line="360" w:lineRule="auto"/>
        <w:jc w:val="both"/>
        <w:rPr>
          <w:rFonts w:ascii="Palatino Linotype" w:hAnsi="Palatino Linotype" w:cs="Arial"/>
          <w:lang w:val="es-ES_tradn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445879">
        <w:rPr>
          <w:rFonts w:ascii="Palatino Linotype" w:eastAsia="Palatino Linotype" w:hAnsi="Palatino Linotype" w:cs="Palatino Linotype"/>
          <w:b/>
        </w:rPr>
        <w:t>02809/INFOEM/IP/RR/2022 y acumulados</w:t>
      </w:r>
      <w:r w:rsidRPr="00BC1756">
        <w:rPr>
          <w:rFonts w:ascii="Palatino Linotype" w:hAnsi="Palatino Linotype" w:cs="Arial"/>
        </w:rPr>
        <w:t xml:space="preserve">, </w:t>
      </w:r>
      <w:r w:rsidR="008B0A68">
        <w:rPr>
          <w:rFonts w:ascii="Palatino Linotype" w:hAnsi="Palatino Linotype" w:cs="Arial"/>
        </w:rPr>
        <w:t xml:space="preserve">presentado por la </w:t>
      </w:r>
      <w:r w:rsidR="008B0A68" w:rsidRPr="008B0A68">
        <w:rPr>
          <w:rFonts w:ascii="Palatino Linotype" w:hAnsi="Palatino Linotype" w:cs="Arial"/>
        </w:rPr>
        <w:t>Comision</w:t>
      </w:r>
      <w:r w:rsidR="008B0A68">
        <w:rPr>
          <w:rFonts w:ascii="Palatino Linotype" w:hAnsi="Palatino Linotype" w:cs="Arial"/>
        </w:rPr>
        <w:t>ada</w:t>
      </w:r>
      <w:r w:rsidR="008B0A68" w:rsidRPr="008B0A68">
        <w:rPr>
          <w:rFonts w:ascii="Palatino Linotype" w:hAnsi="Palatino Linotype" w:cs="Arial"/>
        </w:rPr>
        <w:t xml:space="preserve"> </w:t>
      </w:r>
      <w:r w:rsidR="008B0A68">
        <w:rPr>
          <w:rFonts w:ascii="Palatino Linotype" w:hAnsi="Palatino Linotype" w:cs="Arial"/>
        </w:rPr>
        <w:t>Guadalupe Rodríguez Peña,</w:t>
      </w:r>
      <w:r w:rsidR="008B0A68" w:rsidRPr="008B0A68">
        <w:rPr>
          <w:rFonts w:ascii="Palatino Linotype" w:hAnsi="Palatino Linotype" w:cs="Arial"/>
        </w:rPr>
        <w:t xml:space="preserve"> 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445879">
        <w:rPr>
          <w:rFonts w:ascii="Palatino Linotype" w:eastAsia="Palatino Linotype" w:hAnsi="Palatino Linotype" w:cs="Palatino Linotype"/>
          <w:b/>
        </w:rPr>
        <w:t>Sistema Municipal Para el Desarrollo Integral de la Familia de Metepec.</w:t>
      </w:r>
    </w:p>
    <w:p w14:paraId="7E8EA2E5" w14:textId="0CD51D67" w:rsidR="00445879" w:rsidRDefault="00CF3F65" w:rsidP="00445879">
      <w:pPr>
        <w:spacing w:before="240" w:after="240" w:line="360" w:lineRule="auto"/>
        <w:ind w:right="49"/>
        <w:jc w:val="both"/>
        <w:rPr>
          <w:rFonts w:ascii="Palatino Linotype" w:eastAsia="Calibri" w:hAnsi="Palatino Linotype" w:cs="Arial"/>
        </w:rPr>
      </w:pPr>
      <w:r>
        <w:rPr>
          <w:rFonts w:ascii="Palatino Linotype" w:eastAsia="Calibri" w:hAnsi="Palatino Linotype" w:cs="Arial"/>
        </w:rPr>
        <w:t>Esto porque l</w:t>
      </w:r>
      <w:r w:rsidR="00F614DA" w:rsidRPr="00CF3F65">
        <w:rPr>
          <w:rFonts w:ascii="Palatino Linotype" w:eastAsia="Calibri" w:hAnsi="Palatino Linotype" w:cs="Arial"/>
        </w:rPr>
        <w:t xml:space="preserve">a resolución </w:t>
      </w:r>
      <w:r w:rsidR="008B0A68">
        <w:rPr>
          <w:rFonts w:ascii="Palatino Linotype" w:eastAsia="Calibri" w:hAnsi="Palatino Linotype" w:cs="Arial"/>
        </w:rPr>
        <w:t xml:space="preserve">ordena </w:t>
      </w:r>
      <w:r w:rsidR="00445879">
        <w:rPr>
          <w:rFonts w:ascii="Palatino Linotype" w:eastAsia="Calibri" w:hAnsi="Palatino Linotype" w:cs="Arial"/>
        </w:rPr>
        <w:t xml:space="preserve">la entrega </w:t>
      </w:r>
      <w:r w:rsidR="00445879" w:rsidRPr="00445879">
        <w:rPr>
          <w:rFonts w:ascii="Palatino Linotype" w:eastAsia="Calibri" w:hAnsi="Palatino Linotype" w:cs="Arial"/>
        </w:rPr>
        <w:t xml:space="preserve">en versión pública y en formato </w:t>
      </w:r>
      <w:proofErr w:type="spellStart"/>
      <w:r w:rsidR="00445879" w:rsidRPr="00445879">
        <w:rPr>
          <w:rFonts w:ascii="Palatino Linotype" w:eastAsia="Calibri" w:hAnsi="Palatino Linotype" w:cs="Arial"/>
        </w:rPr>
        <w:t>pdf</w:t>
      </w:r>
      <w:proofErr w:type="spellEnd"/>
      <w:r w:rsidR="00445879" w:rsidRPr="00445879">
        <w:rPr>
          <w:rFonts w:ascii="Palatino Linotype" w:eastAsia="Calibri" w:hAnsi="Palatino Linotype" w:cs="Arial"/>
        </w:rPr>
        <w:t>, respecto a los oficios de la órgano interno de control, en caso de estar relacionados o formar parte de las actuaciones de procedimientos administrativos seguidos en forma de juicio procederá su entrega en caso de que dichos procedimientos hayan causado estado, protegiendo el nombre de los servidores públicos relacionados con procedimientos en los que no se determinó responsabilidad administrativa.</w:t>
      </w:r>
    </w:p>
    <w:p w14:paraId="05CE0344" w14:textId="77777777" w:rsidR="00445879" w:rsidRDefault="00445879" w:rsidP="00445879">
      <w:pPr>
        <w:pStyle w:val="NormalWeb"/>
        <w:spacing w:before="0" w:beforeAutospacing="0" w:after="0" w:afterAutospacing="0" w:line="360" w:lineRule="auto"/>
        <w:jc w:val="both"/>
        <w:rPr>
          <w:rFonts w:ascii="Palatino Linotype" w:hAnsi="Palatino Linotype"/>
        </w:rPr>
      </w:pPr>
      <w:r w:rsidRPr="009565F9">
        <w:rPr>
          <w:rFonts w:ascii="Palatino Linotype" w:hAnsi="Palatino Linotype"/>
        </w:rPr>
        <w:lastRenderedPageBreak/>
        <w:t>En ese orden de ideas, dar a conocer la información relativa a las resoluciones absolutorias</w:t>
      </w:r>
      <w:r>
        <w:rPr>
          <w:rFonts w:ascii="Palatino Linotype" w:hAnsi="Palatino Linotype"/>
        </w:rPr>
        <w:t xml:space="preserve"> por faltas administrativas graves</w:t>
      </w:r>
      <w:r w:rsidRPr="009565F9">
        <w:rPr>
          <w:rFonts w:ascii="Palatino Linotype" w:hAnsi="Palatino Linotype"/>
        </w:rPr>
        <w:t xml:space="preserve">, </w:t>
      </w:r>
      <w:r w:rsidRPr="00CF3F65">
        <w:rPr>
          <w:rFonts w:ascii="Palatino Linotype" w:hAnsi="Palatino Linotype"/>
        </w:rPr>
        <w:t xml:space="preserve">transparenta la gestión pública y la rendición de cuentas, </w:t>
      </w:r>
      <w:r w:rsidRPr="00B703D7">
        <w:rPr>
          <w:rFonts w:ascii="Palatino Linotype" w:hAnsi="Palatino Linotype"/>
        </w:rPr>
        <w:t>pues se observa, que los servidores públicos, han observado en el desempeño de su empleo, cargo o comisión, los principios de disciplina, legalidad, objetividad, profesionalismo, honradez, lealtad, imparcialidad, integridad, rendición de cuentas, eficacia y eficiencia que rigen el servicio público.</w:t>
      </w:r>
    </w:p>
    <w:p w14:paraId="4B600B37" w14:textId="77777777" w:rsidR="00445879" w:rsidRPr="00CF3F65" w:rsidRDefault="00445879" w:rsidP="00445879">
      <w:pPr>
        <w:pStyle w:val="NormalWeb"/>
        <w:spacing w:before="0" w:beforeAutospacing="0" w:after="0" w:afterAutospacing="0" w:line="360" w:lineRule="auto"/>
        <w:jc w:val="both"/>
        <w:rPr>
          <w:rFonts w:ascii="Palatino Linotype" w:eastAsia="Calibri" w:hAnsi="Palatino Linotype" w:cs="Tahoma"/>
          <w:iCs/>
          <w:lang w:eastAsia="es-ES_tradnl"/>
        </w:rPr>
      </w:pPr>
    </w:p>
    <w:p w14:paraId="3E9B09B5" w14:textId="77777777" w:rsidR="00445879" w:rsidRPr="00CF3F65" w:rsidRDefault="00445879" w:rsidP="00445879">
      <w:pPr>
        <w:autoSpaceDE w:val="0"/>
        <w:autoSpaceDN w:val="0"/>
        <w:adjustRightInd w:val="0"/>
        <w:spacing w:line="360" w:lineRule="auto"/>
        <w:jc w:val="both"/>
        <w:rPr>
          <w:rFonts w:ascii="Palatino Linotype" w:hAnsi="Palatino Linotype"/>
        </w:rPr>
      </w:pPr>
      <w:r>
        <w:rPr>
          <w:rFonts w:ascii="Palatino Linotype" w:hAnsi="Palatino Linotype"/>
        </w:rPr>
        <w:t>E</w:t>
      </w:r>
      <w:r w:rsidRPr="00CF3F65">
        <w:rPr>
          <w:rFonts w:ascii="Palatino Linotype" w:hAnsi="Palatino Linotype"/>
        </w:rPr>
        <w:t xml:space="preserve">sta Ponencia </w:t>
      </w:r>
      <w:r>
        <w:rPr>
          <w:rFonts w:ascii="Palatino Linotype" w:hAnsi="Palatino Linotype"/>
        </w:rPr>
        <w:t xml:space="preserve">sostiene </w:t>
      </w:r>
      <w:r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61DF9E12" w14:textId="5270BA30" w:rsidR="00135555" w:rsidRDefault="00D03369" w:rsidP="00445879">
      <w:pPr>
        <w:spacing w:before="240" w:after="240" w:line="360" w:lineRule="auto"/>
        <w:ind w:right="49"/>
        <w:jc w:val="both"/>
        <w:rPr>
          <w:rFonts w:ascii="Palatino Linotype" w:hAnsi="Palatino Linotype"/>
        </w:rPr>
      </w:pPr>
      <w:r w:rsidRPr="0028544C">
        <w:rPr>
          <w:rFonts w:ascii="Palatino Linotype" w:hAnsi="Palatino Linotype"/>
        </w:rPr>
        <w:t>Lo anterior tomando en consideración la trascendencia de las conductas investigadas en tales procedimientos, toda vez</w:t>
      </w:r>
      <w:r w:rsidR="00DD45AC">
        <w:rPr>
          <w:rFonts w:ascii="Palatino Linotype" w:hAnsi="Palatino Linotype"/>
        </w:rPr>
        <w:t xml:space="preserve"> que </w:t>
      </w:r>
      <w:bookmarkStart w:id="1" w:name="_GoBack"/>
      <w:bookmarkEnd w:id="1"/>
      <w:r w:rsidRPr="0028544C">
        <w:rPr>
          <w:rFonts w:ascii="Palatino Linotype" w:hAnsi="Palatino Linotype"/>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0D656A">
        <w:rPr>
          <w:rFonts w:ascii="Palatino Linotype" w:hAnsi="Palatino Linotype"/>
        </w:rPr>
        <w:t xml:space="preserve">el cohecho, peculado, desvío de recursos públicos, utilización indebida de información, abuso de funciones, cometer o tolerar conductas de hostigamiento y acoso sexual, actuar bajo </w:t>
      </w:r>
      <w:r w:rsidR="000D656A" w:rsidRPr="000D656A">
        <w:rPr>
          <w:rFonts w:ascii="Palatino Linotype" w:hAnsi="Palatino Linotype"/>
        </w:rPr>
        <w:lastRenderedPageBreak/>
        <w:t>conflicto de interés, contratación indebida, enriquecimiento oculto u ocultamiento de conflicto de interés, tráfico de influencias, encubrimiento, desacato, obstrucción de la Justicia.</w:t>
      </w:r>
    </w:p>
    <w:p w14:paraId="5CD03E97" w14:textId="77777777" w:rsidR="00445879" w:rsidRDefault="00445879" w:rsidP="000D656A">
      <w:pPr>
        <w:pStyle w:val="NormalWeb"/>
        <w:spacing w:before="0" w:beforeAutospacing="0" w:after="0" w:afterAutospacing="0" w:line="360" w:lineRule="auto"/>
        <w:jc w:val="both"/>
        <w:rPr>
          <w:rFonts w:ascii="Palatino Linotype" w:hAnsi="Palatino Linotype"/>
        </w:rPr>
      </w:pPr>
    </w:p>
    <w:p w14:paraId="49B07B45" w14:textId="706352F6" w:rsidR="00B703D7" w:rsidRDefault="00B703D7" w:rsidP="000D656A">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004BEAD0" w14:textId="77777777" w:rsidR="00B703D7" w:rsidRDefault="00B703D7" w:rsidP="000D656A">
      <w:pPr>
        <w:pStyle w:val="NormalWeb"/>
        <w:spacing w:before="0" w:beforeAutospacing="0" w:after="0" w:afterAutospacing="0" w:line="360" w:lineRule="auto"/>
        <w:jc w:val="both"/>
        <w:rPr>
          <w:rFonts w:ascii="Palatino Linotype" w:hAnsi="Palatino Linotype"/>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Y no solo eso, sino que la corrupción afecta también el sector económico del país. De acuerdo con el Estudio de la OCDE sobre Integridad en México, el Instituto </w:t>
      </w:r>
      <w:r w:rsidRPr="00B703D7">
        <w:rPr>
          <w:rFonts w:ascii="Palatino Linotype" w:hAnsi="Palatino Linotype"/>
        </w:rPr>
        <w:lastRenderedPageBreak/>
        <w:t>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lastRenderedPageBreak/>
        <w:t>C</w:t>
      </w:r>
      <w:r w:rsidR="00CF3F65" w:rsidRPr="00CF3F65">
        <w:rPr>
          <w:rFonts w:ascii="Palatino Linotype" w:eastAsia="Calibri" w:hAnsi="Palatino Linotype" w:cs="Arial"/>
          <w:color w:val="000000" w:themeColor="text1"/>
          <w:sz w:val="24"/>
          <w:szCs w:val="24"/>
        </w:rPr>
        <w:t>onclusión</w:t>
      </w:r>
      <w:bookmarkEnd w:id="2"/>
    </w:p>
    <w:p w14:paraId="5E5637E0" w14:textId="2CAA6205" w:rsidR="00445879" w:rsidRDefault="00B703D7" w:rsidP="00445879">
      <w:pPr>
        <w:spacing w:before="240" w:after="240" w:line="360" w:lineRule="auto"/>
        <w:ind w:right="49"/>
        <w:jc w:val="both"/>
        <w:rPr>
          <w:rFonts w:ascii="Palatino Linotype" w:eastAsia="Palatino Linotype" w:hAnsi="Palatino Linotype" w:cs="Palatino Linotype"/>
        </w:rPr>
      </w:pPr>
      <w:r>
        <w:rPr>
          <w:rFonts w:ascii="Palatino Linotype" w:eastAsia="Calibri" w:hAnsi="Palatino Linotype" w:cs="Arial"/>
        </w:rPr>
        <w:t>L</w:t>
      </w:r>
      <w:r w:rsidRPr="00B703D7">
        <w:rPr>
          <w:rFonts w:ascii="Palatino Linotype" w:eastAsia="Calibri" w:hAnsi="Palatino Linotype" w:cs="Arial"/>
        </w:rPr>
        <w:t xml:space="preserve">a resolución ordena </w:t>
      </w:r>
      <w:r w:rsidR="00445879">
        <w:rPr>
          <w:rFonts w:ascii="Palatino Linotype" w:eastAsia="Calibri" w:hAnsi="Palatino Linotype" w:cs="Arial"/>
        </w:rPr>
        <w:t xml:space="preserve">la </w:t>
      </w:r>
      <w:r w:rsidR="00445879" w:rsidRPr="00445879">
        <w:rPr>
          <w:rFonts w:ascii="Palatino Linotype" w:eastAsia="Calibri" w:hAnsi="Palatino Linotype" w:cs="Arial"/>
        </w:rPr>
        <w:t xml:space="preserve">entrega </w:t>
      </w:r>
      <w:r w:rsidR="00445879" w:rsidRPr="00445879">
        <w:rPr>
          <w:rFonts w:ascii="Palatino Linotype" w:eastAsia="Palatino Linotype" w:hAnsi="Palatino Linotype" w:cs="Palatino Linotype"/>
          <w:b/>
        </w:rPr>
        <w:t xml:space="preserve">en versión pública y en formato </w:t>
      </w:r>
      <w:proofErr w:type="spellStart"/>
      <w:r w:rsidR="00445879" w:rsidRPr="00445879">
        <w:rPr>
          <w:rFonts w:ascii="Palatino Linotype" w:eastAsia="Palatino Linotype" w:hAnsi="Palatino Linotype" w:cs="Palatino Linotype"/>
          <w:b/>
        </w:rPr>
        <w:t>pdf</w:t>
      </w:r>
      <w:proofErr w:type="spellEnd"/>
      <w:r w:rsidR="00445879" w:rsidRPr="00445879">
        <w:rPr>
          <w:rFonts w:ascii="Palatino Linotype" w:eastAsia="Palatino Linotype" w:hAnsi="Palatino Linotype" w:cs="Palatino Linotype"/>
          <w:b/>
        </w:rPr>
        <w:t xml:space="preserve">, </w:t>
      </w:r>
      <w:r w:rsidR="00445879" w:rsidRPr="00445879">
        <w:rPr>
          <w:rFonts w:ascii="Palatino Linotype" w:eastAsia="Palatino Linotype" w:hAnsi="Palatino Linotype" w:cs="Palatino Linotype"/>
        </w:rPr>
        <w:t>respecto a los oficios de la órgano interno de control, en caso de estar relacionados o formar parte de las actuaciones de procedimientos administrativos seguidos en forma de juicio procederá su entrega en caso de que dichos procedimientos hayan causado estado, protegiendo el nombre de los servidores públicos relacionados con procedimientos en los que no se determinó responsabilidad administrativa.</w:t>
      </w:r>
    </w:p>
    <w:p w14:paraId="2BB842F2" w14:textId="0A1BBA98" w:rsidR="00685B0E" w:rsidRDefault="00445879" w:rsidP="00CF3F65">
      <w:pPr>
        <w:spacing w:line="360" w:lineRule="auto"/>
        <w:jc w:val="both"/>
        <w:rPr>
          <w:rFonts w:ascii="Palatino Linotype" w:eastAsia="Calibri" w:hAnsi="Palatino Linotype" w:cs="Arial"/>
        </w:rPr>
      </w:pPr>
      <w:r>
        <w:rPr>
          <w:rFonts w:ascii="Palatino Linotype" w:eastAsia="Calibri" w:hAnsi="Palatino Linotype" w:cs="Arial"/>
        </w:rPr>
        <w:t>Sin embargo; l</w:t>
      </w:r>
      <w:r w:rsidR="00524594" w:rsidRPr="00CF3F65">
        <w:rPr>
          <w:rFonts w:ascii="Palatino Linotype" w:eastAsia="Calibri" w:hAnsi="Palatino Linotype" w:cs="Arial"/>
        </w:rPr>
        <w:t xml:space="preserve">a publicidad </w:t>
      </w:r>
      <w:r w:rsidR="00135555">
        <w:rPr>
          <w:rFonts w:ascii="Palatino Linotype" w:eastAsia="Calibri" w:hAnsi="Palatino Linotype" w:cs="Arial"/>
        </w:rPr>
        <w:t>de las</w:t>
      </w:r>
      <w:r w:rsidR="00524594" w:rsidRPr="00CF3F65">
        <w:rPr>
          <w:rFonts w:ascii="Palatino Linotype" w:eastAsia="Calibri" w:hAnsi="Palatino Linotype" w:cs="Arial"/>
        </w:rPr>
        <w:t xml:space="preserve"> resoluciones absolutorias de procedimientos administrativos</w:t>
      </w:r>
      <w:r w:rsidR="00D03369">
        <w:rPr>
          <w:rFonts w:ascii="Palatino Linotype" w:eastAsia="Calibri" w:hAnsi="Palatino Linotype" w:cs="Arial"/>
        </w:rPr>
        <w:t xml:space="preserve"> iniciados por faltas graves </w:t>
      </w:r>
      <w:r w:rsidR="00524594" w:rsidRPr="00CF3F65">
        <w:rPr>
          <w:rFonts w:ascii="Palatino Linotype" w:eastAsia="Calibri" w:hAnsi="Palatino Linotype" w:cs="Arial"/>
        </w:rPr>
        <w:t xml:space="preserve">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A9431" w14:textId="77777777" w:rsidR="00B7360E" w:rsidRDefault="00B7360E" w:rsidP="00C80F8C">
      <w:r>
        <w:separator/>
      </w:r>
    </w:p>
  </w:endnote>
  <w:endnote w:type="continuationSeparator" w:id="0">
    <w:p w14:paraId="69F0F41A" w14:textId="77777777" w:rsidR="00B7360E" w:rsidRDefault="00B736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97917" w14:textId="77777777" w:rsidR="00B7360E" w:rsidRDefault="00B7360E" w:rsidP="00C80F8C">
      <w:r>
        <w:separator/>
      </w:r>
    </w:p>
  </w:footnote>
  <w:footnote w:type="continuationSeparator" w:id="0">
    <w:p w14:paraId="500E1FD5" w14:textId="77777777" w:rsidR="00B7360E" w:rsidRDefault="00B7360E"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w:t>
      </w:r>
      <w:proofErr w:type="gramStart"/>
      <w:r>
        <w:t>B0dY4l3 .</w:t>
      </w:r>
      <w:proofErr w:type="gramEnd"/>
    </w:p>
  </w:footnote>
  <w:footnote w:id="2">
    <w:p w14:paraId="3059BB03" w14:textId="108484BA" w:rsidR="00B05E5A" w:rsidRDefault="00B05E5A">
      <w:pPr>
        <w:pStyle w:val="Textonotapie"/>
      </w:pPr>
      <w:r>
        <w:rPr>
          <w:rStyle w:val="Refdenotaalpie"/>
        </w:rPr>
        <w:footnoteRef/>
      </w:r>
      <w:r>
        <w:t xml:space="preserve"> </w:t>
      </w:r>
      <w:proofErr w:type="spellStart"/>
      <w:r>
        <w:t>Ibidem</w:t>
      </w:r>
      <w:proofErr w:type="spellEnd"/>
      <w:r>
        <w:t>,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proofErr w:type="gramStart"/>
      <w:r>
        <w:t>:/</w:t>
      </w:r>
      <w:proofErr w:type="gramEnd"/>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proofErr w:type="gramStart"/>
      <w:r>
        <w:t>:/</w:t>
      </w:r>
      <w:proofErr w:type="gramEnd"/>
      <w:r>
        <w:t>/www.oecd.org/corruption/ethics/estudio-integridad-mexico-aspectos-claves.p</w:t>
      </w:r>
      <w:r w:rsidR="00B05E5A">
        <w:t xml:space="preserve">df, p.3. </w:t>
      </w:r>
    </w:p>
  </w:footnote>
  <w:footnote w:id="5">
    <w:p w14:paraId="0B030E72" w14:textId="3129FDD7" w:rsidR="00B703D7" w:rsidRDefault="00B703D7" w:rsidP="00B703D7">
      <w:pPr>
        <w:pStyle w:val="Textonotapie"/>
        <w:jc w:val="both"/>
      </w:pPr>
      <w:r>
        <w:rPr>
          <w:rStyle w:val="Refdenotaalpie"/>
        </w:rPr>
        <w:footnoteRef/>
      </w:r>
      <w:proofErr w:type="spellStart"/>
      <w:r>
        <w:t>Transparency</w:t>
      </w:r>
      <w:proofErr w:type="spellEnd"/>
      <w:r>
        <w:t xml:space="preserve"> International, </w:t>
      </w:r>
      <w:proofErr w:type="spellStart"/>
      <w:r>
        <w:t>Corruption</w:t>
      </w:r>
      <w:proofErr w:type="spellEnd"/>
      <w:r>
        <w:t xml:space="preserve"> </w:t>
      </w:r>
      <w:proofErr w:type="spellStart"/>
      <w:r>
        <w:t>perceptions</w:t>
      </w:r>
      <w:proofErr w:type="spellEnd"/>
      <w:r>
        <w:t xml:space="preserve"> </w:t>
      </w:r>
      <w:proofErr w:type="spellStart"/>
      <w:r>
        <w:t>index</w:t>
      </w:r>
      <w:proofErr w:type="spellEnd"/>
      <w:r>
        <w:t xml:space="preserve">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7360E">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B7360E"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7360E">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0D656A"/>
    <w:rsid w:val="001112E6"/>
    <w:rsid w:val="00135555"/>
    <w:rsid w:val="0018216B"/>
    <w:rsid w:val="001B3D11"/>
    <w:rsid w:val="001C7B07"/>
    <w:rsid w:val="00216C06"/>
    <w:rsid w:val="002378AC"/>
    <w:rsid w:val="00284217"/>
    <w:rsid w:val="00294490"/>
    <w:rsid w:val="002D5B21"/>
    <w:rsid w:val="00312863"/>
    <w:rsid w:val="003D1F47"/>
    <w:rsid w:val="00411692"/>
    <w:rsid w:val="00430304"/>
    <w:rsid w:val="00445879"/>
    <w:rsid w:val="0047213D"/>
    <w:rsid w:val="004807CC"/>
    <w:rsid w:val="00484A47"/>
    <w:rsid w:val="004D0A26"/>
    <w:rsid w:val="004E305D"/>
    <w:rsid w:val="004E7984"/>
    <w:rsid w:val="00502EE6"/>
    <w:rsid w:val="0050559A"/>
    <w:rsid w:val="00513782"/>
    <w:rsid w:val="00524594"/>
    <w:rsid w:val="00524DDD"/>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E2D4F"/>
    <w:rsid w:val="007E70F8"/>
    <w:rsid w:val="00820022"/>
    <w:rsid w:val="00820034"/>
    <w:rsid w:val="00861117"/>
    <w:rsid w:val="00861A61"/>
    <w:rsid w:val="00892AFC"/>
    <w:rsid w:val="008B0A68"/>
    <w:rsid w:val="008D1526"/>
    <w:rsid w:val="008F67BC"/>
    <w:rsid w:val="00961995"/>
    <w:rsid w:val="00975EB9"/>
    <w:rsid w:val="009E155A"/>
    <w:rsid w:val="009F0D8D"/>
    <w:rsid w:val="00A16950"/>
    <w:rsid w:val="00A303B0"/>
    <w:rsid w:val="00A53363"/>
    <w:rsid w:val="00A610D3"/>
    <w:rsid w:val="00A74BB7"/>
    <w:rsid w:val="00A81140"/>
    <w:rsid w:val="00AC0680"/>
    <w:rsid w:val="00AE7763"/>
    <w:rsid w:val="00B014D8"/>
    <w:rsid w:val="00B05E5A"/>
    <w:rsid w:val="00B53290"/>
    <w:rsid w:val="00B64CFB"/>
    <w:rsid w:val="00B703D7"/>
    <w:rsid w:val="00B7360E"/>
    <w:rsid w:val="00B868A5"/>
    <w:rsid w:val="00BB11DB"/>
    <w:rsid w:val="00BC1756"/>
    <w:rsid w:val="00BD07E6"/>
    <w:rsid w:val="00BD7483"/>
    <w:rsid w:val="00BF68F0"/>
    <w:rsid w:val="00BF6974"/>
    <w:rsid w:val="00C27236"/>
    <w:rsid w:val="00C65950"/>
    <w:rsid w:val="00C80F8C"/>
    <w:rsid w:val="00C85F1D"/>
    <w:rsid w:val="00C8760D"/>
    <w:rsid w:val="00CF3F65"/>
    <w:rsid w:val="00D03369"/>
    <w:rsid w:val="00D20156"/>
    <w:rsid w:val="00D36ABC"/>
    <w:rsid w:val="00DD45AC"/>
    <w:rsid w:val="00DD5CD5"/>
    <w:rsid w:val="00DE1629"/>
    <w:rsid w:val="00DE5C27"/>
    <w:rsid w:val="00F05A30"/>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6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C300-FE6E-45A9-BC26-22A2F7D3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1401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2022-06-06T17:36:00Z</cp:lastPrinted>
  <dcterms:created xsi:type="dcterms:W3CDTF">2022-05-17T01:52:00Z</dcterms:created>
  <dcterms:modified xsi:type="dcterms:W3CDTF">2022-06-06T17:38:00Z</dcterms:modified>
</cp:coreProperties>
</file>