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2D8D0" w14:textId="4412F36F" w:rsidR="00F02E23" w:rsidRDefault="00F02E23" w:rsidP="00F02E2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E25C75">
        <w:rPr>
          <w:rFonts w:ascii="Palatino Linotype" w:eastAsia="Times New Roman" w:hAnsi="Palatino Linotype" w:cs="Arial"/>
          <w:color w:val="000000"/>
          <w:sz w:val="24"/>
          <w:szCs w:val="24"/>
          <w:lang w:eastAsia="es-MX"/>
        </w:rPr>
        <w:t>uno de marzo</w:t>
      </w:r>
      <w:r>
        <w:rPr>
          <w:rFonts w:ascii="Palatino Linotype" w:eastAsia="Times New Roman" w:hAnsi="Palatino Linotype" w:cs="Arial"/>
          <w:color w:val="000000"/>
          <w:sz w:val="24"/>
          <w:szCs w:val="24"/>
          <w:lang w:eastAsia="es-MX"/>
        </w:rPr>
        <w:t xml:space="preserve"> de dos mil veintitrés.            </w:t>
      </w:r>
    </w:p>
    <w:p w14:paraId="50D5C9C4" w14:textId="2319EB05" w:rsidR="00293F10" w:rsidRPr="00293F10" w:rsidRDefault="00F02E23" w:rsidP="00F02E23">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números</w:t>
      </w:r>
      <w:r>
        <w:rPr>
          <w:rFonts w:ascii="Palatino Linotype" w:hAnsi="Palatino Linotype" w:cs="Arial"/>
          <w:sz w:val="24"/>
        </w:rPr>
        <w:t xml:space="preserve"> </w:t>
      </w:r>
      <w:r w:rsidR="00293F10">
        <w:rPr>
          <w:rFonts w:ascii="Palatino Linotype" w:hAnsi="Palatino Linotype" w:cs="Arial"/>
          <w:b/>
          <w:bCs/>
          <w:sz w:val="24"/>
        </w:rPr>
        <w:t xml:space="preserve">17185/INFOEM/IP/RR/2022, 17195/INFOEM/IP/RR/2022, 17196/INFOEM/IP/RR/2022 </w:t>
      </w:r>
      <w:r w:rsidR="00293F10">
        <w:rPr>
          <w:rFonts w:ascii="Palatino Linotype" w:hAnsi="Palatino Linotype" w:cs="Arial"/>
          <w:sz w:val="24"/>
        </w:rPr>
        <w:t xml:space="preserve">y </w:t>
      </w:r>
      <w:r w:rsidR="00293F10">
        <w:rPr>
          <w:rFonts w:ascii="Palatino Linotype" w:hAnsi="Palatino Linotype" w:cs="Arial"/>
          <w:b/>
          <w:bCs/>
          <w:sz w:val="24"/>
        </w:rPr>
        <w:t xml:space="preserve">17197/INFOEM/IP/RR/2022 </w:t>
      </w:r>
      <w:r w:rsidR="00293F10">
        <w:rPr>
          <w:rFonts w:ascii="Palatino Linotype" w:hAnsi="Palatino Linotype" w:cs="Arial"/>
          <w:sz w:val="24"/>
        </w:rPr>
        <w:t xml:space="preserve">interpuestos por la </w:t>
      </w:r>
      <w:r w:rsidR="00293F10">
        <w:rPr>
          <w:rFonts w:ascii="Palatino Linotype" w:hAnsi="Palatino Linotype" w:cs="Arial"/>
          <w:b/>
          <w:bCs/>
          <w:sz w:val="24"/>
        </w:rPr>
        <w:t xml:space="preserve">C. </w:t>
      </w:r>
      <w:r w:rsidR="007F4966">
        <w:rPr>
          <w:rFonts w:ascii="Palatino Linotype" w:hAnsi="Palatino Linotype" w:cs="Arial"/>
          <w:b/>
          <w:bCs/>
          <w:sz w:val="24"/>
        </w:rPr>
        <w:t>XXXXXXXXXXXX</w:t>
      </w:r>
      <w:r w:rsidR="00293F10">
        <w:rPr>
          <w:rFonts w:ascii="Palatino Linotype" w:hAnsi="Palatino Linotype" w:cs="Arial"/>
          <w:b/>
          <w:bCs/>
          <w:sz w:val="24"/>
        </w:rPr>
        <w:t xml:space="preserve">, </w:t>
      </w:r>
      <w:r w:rsidR="00293F10">
        <w:rPr>
          <w:rFonts w:ascii="Palatino Linotype" w:hAnsi="Palatino Linotype" w:cs="Arial"/>
          <w:sz w:val="24"/>
        </w:rPr>
        <w:t xml:space="preserve">en lo sucesivo </w:t>
      </w:r>
      <w:r w:rsidR="00293F10">
        <w:rPr>
          <w:rFonts w:ascii="Palatino Linotype" w:hAnsi="Palatino Linotype" w:cs="Arial"/>
          <w:b/>
          <w:bCs/>
          <w:sz w:val="24"/>
        </w:rPr>
        <w:t xml:space="preserve">La Recurrente, </w:t>
      </w:r>
      <w:r w:rsidR="00293F10">
        <w:rPr>
          <w:rFonts w:ascii="Palatino Linotype" w:hAnsi="Palatino Linotype" w:cs="Arial"/>
          <w:sz w:val="24"/>
        </w:rPr>
        <w:t xml:space="preserve">en contra de las respuestas del </w:t>
      </w:r>
      <w:r w:rsidR="00293F10">
        <w:rPr>
          <w:rFonts w:ascii="Palatino Linotype" w:hAnsi="Palatino Linotype" w:cs="Arial"/>
          <w:b/>
          <w:bCs/>
          <w:sz w:val="24"/>
        </w:rPr>
        <w:t xml:space="preserve">Ayuntamiento de Amecameca, </w:t>
      </w:r>
      <w:r w:rsidR="00293F10">
        <w:rPr>
          <w:rFonts w:ascii="Palatino Linotype" w:hAnsi="Palatino Linotype" w:cs="Arial"/>
          <w:sz w:val="24"/>
        </w:rPr>
        <w:t xml:space="preserve">en lo subsecuente </w:t>
      </w:r>
      <w:r w:rsidR="00293F10">
        <w:rPr>
          <w:rFonts w:ascii="Palatino Linotype" w:hAnsi="Palatino Linotype" w:cs="Arial"/>
          <w:b/>
          <w:bCs/>
          <w:sz w:val="24"/>
        </w:rPr>
        <w:t xml:space="preserve">El Sujeto Obligado, </w:t>
      </w:r>
      <w:r w:rsidR="00293F10">
        <w:rPr>
          <w:rFonts w:ascii="Palatino Linotype" w:hAnsi="Palatino Linotype" w:cs="Arial"/>
          <w:sz w:val="24"/>
        </w:rPr>
        <w:t xml:space="preserve">se procede a dictar la presente resolución. </w:t>
      </w:r>
    </w:p>
    <w:p w14:paraId="032371C6" w14:textId="77777777" w:rsidR="00293F10" w:rsidRDefault="00293F10" w:rsidP="00F02E23">
      <w:pPr>
        <w:tabs>
          <w:tab w:val="left" w:pos="1701"/>
        </w:tabs>
        <w:spacing w:before="240" w:line="360" w:lineRule="auto"/>
        <w:jc w:val="both"/>
        <w:rPr>
          <w:rFonts w:ascii="Palatino Linotype" w:hAnsi="Palatino Linotype" w:cs="Arial"/>
          <w:sz w:val="24"/>
        </w:rPr>
      </w:pPr>
    </w:p>
    <w:p w14:paraId="77944010" w14:textId="5BED8AD9" w:rsidR="00F02E23" w:rsidRPr="00D3218F" w:rsidRDefault="00F02E23" w:rsidP="00F02E23">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D6AA4D2" w14:textId="77777777" w:rsidR="00F02E23" w:rsidRPr="00D3218F" w:rsidRDefault="00F02E23" w:rsidP="00F02E23">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47888079" w14:textId="6224D1B2" w:rsidR="00293F10" w:rsidRPr="00293F10" w:rsidRDefault="00F02E23" w:rsidP="00F02E23">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293F10">
        <w:rPr>
          <w:rFonts w:ascii="Palatino Linotype" w:hAnsi="Palatino Linotype" w:cs="Arial"/>
          <w:sz w:val="24"/>
        </w:rPr>
        <w:t xml:space="preserve">s once y catorce de noviembre de dos mil veintidós, </w:t>
      </w:r>
      <w:r w:rsidR="00293F10">
        <w:rPr>
          <w:rFonts w:ascii="Palatino Linotype" w:hAnsi="Palatino Linotype" w:cs="Arial"/>
          <w:b/>
          <w:bCs/>
          <w:sz w:val="24"/>
        </w:rPr>
        <w:t xml:space="preserve">La Recurrente, </w:t>
      </w:r>
      <w:r w:rsidR="00293F10">
        <w:rPr>
          <w:rFonts w:ascii="Palatino Linotype" w:hAnsi="Palatino Linotype" w:cs="Arial"/>
          <w:sz w:val="24"/>
        </w:rPr>
        <w:t xml:space="preserve">presentó a través del Sistema de Acceso a la Información Mexiquense </w:t>
      </w:r>
      <w:r w:rsidR="00293F10" w:rsidRPr="00D3218F">
        <w:rPr>
          <w:rFonts w:ascii="Palatino Linotype" w:hAnsi="Palatino Linotype" w:cs="Arial"/>
          <w:sz w:val="24"/>
        </w:rPr>
        <w:t>(</w:t>
      </w:r>
      <w:r w:rsidR="00293F10" w:rsidRPr="00D3218F">
        <w:rPr>
          <w:rFonts w:ascii="Palatino Linotype" w:hAnsi="Palatino Linotype" w:cs="Arial"/>
          <w:b/>
          <w:sz w:val="24"/>
        </w:rPr>
        <w:t>SAIMEX)</w:t>
      </w:r>
      <w:r w:rsidR="00293F10" w:rsidRPr="00D3218F">
        <w:rPr>
          <w:rFonts w:ascii="Palatino Linotype" w:hAnsi="Palatino Linotype" w:cs="Arial"/>
          <w:sz w:val="24"/>
        </w:rPr>
        <w:t xml:space="preserve"> ante </w:t>
      </w:r>
      <w:r w:rsidR="00293F10" w:rsidRPr="00D3218F">
        <w:rPr>
          <w:rFonts w:ascii="Palatino Linotype" w:hAnsi="Palatino Linotype" w:cs="Arial"/>
          <w:b/>
          <w:sz w:val="24"/>
        </w:rPr>
        <w:t>El Sujeto Obligado</w:t>
      </w:r>
      <w:r w:rsidR="00293F10" w:rsidRPr="00D3218F">
        <w:rPr>
          <w:rFonts w:ascii="Palatino Linotype" w:hAnsi="Palatino Linotype" w:cs="Arial"/>
          <w:sz w:val="24"/>
        </w:rPr>
        <w:t xml:space="preserve">, las solicitudes de acceso a la información pública, registradas bajo los números de </w:t>
      </w:r>
      <w:r w:rsidR="00293F10" w:rsidRPr="00124807">
        <w:rPr>
          <w:rFonts w:ascii="Palatino Linotype" w:hAnsi="Palatino Linotype" w:cs="Arial"/>
          <w:sz w:val="24"/>
        </w:rPr>
        <w:t>expediente</w:t>
      </w:r>
      <w:r w:rsidR="00293F10">
        <w:rPr>
          <w:rFonts w:ascii="Palatino Linotype" w:hAnsi="Palatino Linotype" w:cs="Arial"/>
          <w:sz w:val="24"/>
        </w:rPr>
        <w:t xml:space="preserve"> </w:t>
      </w:r>
      <w:r w:rsidR="00293F10">
        <w:rPr>
          <w:rFonts w:ascii="Palatino Linotype" w:hAnsi="Palatino Linotype" w:cs="Arial"/>
          <w:b/>
          <w:bCs/>
          <w:sz w:val="24"/>
        </w:rPr>
        <w:t xml:space="preserve">02007/AMECAMEC/IP/2022, 02005/AMECAMEC/IP/2022, 02004/AMECAMEC/IP/2022 </w:t>
      </w:r>
      <w:r w:rsidR="00293F10">
        <w:rPr>
          <w:rFonts w:ascii="Palatino Linotype" w:hAnsi="Palatino Linotype" w:cs="Arial"/>
          <w:sz w:val="24"/>
        </w:rPr>
        <w:t xml:space="preserve">y </w:t>
      </w:r>
      <w:r w:rsidR="00293F10">
        <w:rPr>
          <w:rFonts w:ascii="Palatino Linotype" w:hAnsi="Palatino Linotype" w:cs="Arial"/>
          <w:b/>
          <w:bCs/>
          <w:sz w:val="24"/>
        </w:rPr>
        <w:t xml:space="preserve">02003/AMECAMEC/IP/2022, </w:t>
      </w:r>
      <w:r w:rsidR="00293F10">
        <w:rPr>
          <w:rFonts w:ascii="Palatino Linotype" w:hAnsi="Palatino Linotype" w:cs="Arial"/>
          <w:sz w:val="24"/>
        </w:rPr>
        <w:t>mediante los cuales solicitó información en el tenor siguiente:</w:t>
      </w:r>
    </w:p>
    <w:p w14:paraId="00E7C0F0" w14:textId="398D7E12" w:rsidR="00293F10" w:rsidRDefault="00293F10" w:rsidP="00F02E23">
      <w:pPr>
        <w:spacing w:before="240" w:line="360" w:lineRule="auto"/>
        <w:jc w:val="both"/>
        <w:rPr>
          <w:rFonts w:ascii="Palatino Linotype" w:hAnsi="Palatino Linotype" w:cs="Arial"/>
          <w:sz w:val="24"/>
        </w:rPr>
      </w:pPr>
    </w:p>
    <w:p w14:paraId="586B41F9" w14:textId="01608489" w:rsidR="00293F10" w:rsidRPr="0096202C" w:rsidRDefault="00293F10" w:rsidP="00F02E23">
      <w:pPr>
        <w:spacing w:before="240" w:line="360" w:lineRule="auto"/>
        <w:jc w:val="both"/>
        <w:rPr>
          <w:rFonts w:ascii="Palatino Linotype" w:hAnsi="Palatino Linotype" w:cs="Arial"/>
          <w:b/>
          <w:bCs/>
          <w:sz w:val="24"/>
        </w:rPr>
      </w:pPr>
      <w:r w:rsidRPr="0096202C">
        <w:rPr>
          <w:rFonts w:ascii="Palatino Linotype" w:hAnsi="Palatino Linotype" w:cs="Arial"/>
          <w:b/>
          <w:bCs/>
          <w:sz w:val="24"/>
        </w:rPr>
        <w:lastRenderedPageBreak/>
        <w:t>02007/AMECAMEC/IP/2022</w:t>
      </w:r>
    </w:p>
    <w:p w14:paraId="6EC91CBC" w14:textId="0EFC03E0" w:rsidR="00293F10" w:rsidRPr="0096202C" w:rsidRDefault="0096202C" w:rsidP="00ED35EC">
      <w:pPr>
        <w:pStyle w:val="Citas"/>
        <w:rPr>
          <w:b/>
          <w:bCs/>
          <w:sz w:val="24"/>
        </w:rPr>
      </w:pPr>
      <w:r>
        <w:t>“</w:t>
      </w:r>
      <w:r w:rsidR="00ED35EC">
        <w:t xml:space="preserve">Solicito la información de forma clara, precisa, sencilla y entendible en relación a los instructivos que emite el OSFEM para la integración de los informes trimestrales de los sujetos de fiscalización estatal en el cuál se advierte que el sujeto obligado debe seguir lo señalado en el Artículo VI mismo que tiene como contenido en submodulo Obra, el cuál tiene como finalidad concentrar el avance físico y financiero de cada una de las obras que tiene como características está modalidad y son ejecutadas por los municipios, por los organismos descentralizados a través de sus dependencias técnicas.El instructivo para la integración del informe trimestral de los sujetos de fiscalizaciones estatales el cuál tiene como objeto establecer las especificaciones que las entidades fiscalizables deben cumplir para la elaboración y presentación de los informes mensuales instructivos que es de observancia general para todos los servidores públicos de las entidades fiscalizables que desempeñen un empleo, cargo o comisión de cualquier naturaleza en la administración pública municipal y que manejen recursos públicos como los municipios en atención a ello.El informé mensual deberá ser presentado al órgano superior de fiscalización durante los veinte días posterior al término correspondiente tal como lo </w:t>
      </w:r>
      <w:r w:rsidR="00ED35EC" w:rsidRPr="0096202C">
        <w:t>señala el Artículo 32 de la Ley de Fiscalización del Estado de México. Para la Presidenta Municipal de la Administración Pública Municipal de Amecameca 2022-2924</w:t>
      </w:r>
      <w:r w:rsidR="00ED35EC">
        <w:t>. Gobierno para Todos.</w:t>
      </w:r>
      <w:r>
        <w:t xml:space="preserve">” </w:t>
      </w:r>
      <w:r>
        <w:rPr>
          <w:b/>
          <w:bCs/>
        </w:rPr>
        <w:t>(Sic)</w:t>
      </w:r>
    </w:p>
    <w:p w14:paraId="49D01902" w14:textId="34605581" w:rsidR="00293F10" w:rsidRPr="0096202C" w:rsidRDefault="00293F10" w:rsidP="00F02E23">
      <w:pPr>
        <w:spacing w:before="240" w:line="360" w:lineRule="auto"/>
        <w:jc w:val="both"/>
        <w:rPr>
          <w:rFonts w:ascii="Palatino Linotype" w:hAnsi="Palatino Linotype" w:cs="Arial"/>
          <w:b/>
          <w:bCs/>
          <w:sz w:val="24"/>
        </w:rPr>
      </w:pPr>
      <w:r w:rsidRPr="0096202C">
        <w:rPr>
          <w:rFonts w:ascii="Palatino Linotype" w:hAnsi="Palatino Linotype" w:cs="Arial"/>
          <w:b/>
          <w:bCs/>
          <w:sz w:val="24"/>
        </w:rPr>
        <w:t xml:space="preserve"> 02005/AMECAMEC/IP/2022</w:t>
      </w:r>
    </w:p>
    <w:p w14:paraId="6EBD08F5" w14:textId="3193A429" w:rsidR="00293F10" w:rsidRPr="0096202C" w:rsidRDefault="0096202C" w:rsidP="0096202C">
      <w:pPr>
        <w:pStyle w:val="Citas"/>
        <w:rPr>
          <w:b/>
          <w:bCs/>
          <w:sz w:val="24"/>
        </w:rPr>
      </w:pPr>
      <w:r>
        <w:t xml:space="preserve">“Solicito la información de forma clara, precisa, sencilla y entendible en relación a los instructivos que emite el OSFEM para la integración de los informes trimestrales de los sujetos de fiscalización estatal en el cuál se advierte que el sujeto obligado debe </w:t>
      </w:r>
      <w:r>
        <w:lastRenderedPageBreak/>
        <w:t xml:space="preserve">seguir lo señalado en el Artículo VI. Mismo que tiene como contenido en submodulo Obra, el cuál tiene como finalidad concentrar el avance físico y financiero de cada una de las obras que tiene como característica está modalidad y son ejecutadas por los municipios, por los organismos descentralizados a través de sus dependencias técnicas.El instructivo para la integración del informe trimestral de los sujetos de fiscalizaciones estatales, cuál tiene como objeto establecer las especificaciones que las entidades fiscalizables deben cumplir para la elaboración y presentación de los informes mensuales, instructivos que es de observancia general para todos los servidores públicos de las entidades fiscalizables que desempeñen un empleo, cargo o comisión de cualquier naturaleza en la administración Pública Municipal y que manejen recursos públicos como los municipios.El informe mensual deberá ser presentado al órgano superior de fiscalización durante los veinte días posterior al término del mes correspondiente tal como señala el Artículo 32 de la Ley de Fiscalización del Estado de México. Para la Contraloría Municipal. Administración Pública Municipal de Amecameca 2022-2024.Gobierno para Todos” </w:t>
      </w:r>
      <w:r>
        <w:rPr>
          <w:b/>
          <w:bCs/>
        </w:rPr>
        <w:t>(Sic)</w:t>
      </w:r>
    </w:p>
    <w:p w14:paraId="4A107CF2" w14:textId="650D89B3" w:rsidR="00293F10" w:rsidRPr="0096202C" w:rsidRDefault="00293F10" w:rsidP="00F02E23">
      <w:pPr>
        <w:spacing w:before="240" w:line="360" w:lineRule="auto"/>
        <w:jc w:val="both"/>
        <w:rPr>
          <w:rFonts w:ascii="Palatino Linotype" w:hAnsi="Palatino Linotype" w:cs="Arial"/>
          <w:b/>
          <w:bCs/>
          <w:sz w:val="24"/>
        </w:rPr>
      </w:pPr>
      <w:r w:rsidRPr="0096202C">
        <w:rPr>
          <w:rFonts w:ascii="Palatino Linotype" w:hAnsi="Palatino Linotype" w:cs="Arial"/>
          <w:b/>
          <w:bCs/>
          <w:sz w:val="24"/>
        </w:rPr>
        <w:t xml:space="preserve"> 02004/AMECAMEC/IP/2022 </w:t>
      </w:r>
    </w:p>
    <w:p w14:paraId="53688B0B" w14:textId="56310B33" w:rsidR="00293F10" w:rsidRPr="0096202C" w:rsidRDefault="0096202C" w:rsidP="0096202C">
      <w:pPr>
        <w:pStyle w:val="Citas"/>
        <w:rPr>
          <w:b/>
          <w:bCs/>
          <w:sz w:val="24"/>
        </w:rPr>
      </w:pPr>
      <w:r>
        <w:t xml:space="preserve">“Solicito la información de forma clara, precisa, sencilla y entendible en relación a los instructivos que emite el OSFEM para la integración de los informes trimestrales de los sujetos de fiscalización estatal en el cuál se advierte que el sujeto obligado debe seguir lo señalado en el Artículo VI. Mismo que tiene como contenido en submodulo Obra, el cuál tiene como finalidad concentrar el avance físico y financiero de cada una de las obras que tiene como característica está modalidad y son ejecutadas por los municipios, por los organismos descentralizados a través de sus dependencias técnicas . El instructivo para la integración del informe trimestral de los sujetos de </w:t>
      </w:r>
      <w:r>
        <w:lastRenderedPageBreak/>
        <w:t xml:space="preserve">fiscalizaciones estatales el cuál tiene como objeto establecer las especificaciones que las entidades fiscalizables deben cumplir para la elaboración y presentación de los informes mensuales instructivos que es de observancia general para todos los servidores públicos de las entidades fiscalizables que desempeñen un empleo,cargo o comisión de cualquier naturaleza en la administración pública municipal y que manejen recursos públicos como los municipios, en atención. El informe mensual deberá ser presentado al órgano superior de fiscalización durante los veinte días posterior al término del mes correspondiente tal como lo señala el Artículo 32 de la Ley de Fiscalización del Estado de México. Para el Tesorero Municipal Administración Pública Municipal de Amecameca 2022-2024. Gobierno para Todos” </w:t>
      </w:r>
      <w:r>
        <w:rPr>
          <w:b/>
          <w:bCs/>
        </w:rPr>
        <w:t>(Sic)</w:t>
      </w:r>
    </w:p>
    <w:p w14:paraId="042A3B4E" w14:textId="7C452461" w:rsidR="00293F10" w:rsidRDefault="00293F10" w:rsidP="00F02E23">
      <w:pPr>
        <w:spacing w:before="240" w:line="360" w:lineRule="auto"/>
        <w:jc w:val="both"/>
        <w:rPr>
          <w:rFonts w:ascii="Palatino Linotype" w:hAnsi="Palatino Linotype" w:cs="Arial"/>
          <w:b/>
          <w:bCs/>
          <w:sz w:val="24"/>
        </w:rPr>
      </w:pPr>
      <w:r w:rsidRPr="0096202C">
        <w:rPr>
          <w:rFonts w:ascii="Palatino Linotype" w:hAnsi="Palatino Linotype" w:cs="Arial"/>
          <w:sz w:val="24"/>
        </w:rPr>
        <w:t xml:space="preserve"> </w:t>
      </w:r>
      <w:r>
        <w:rPr>
          <w:rFonts w:ascii="Palatino Linotype" w:hAnsi="Palatino Linotype" w:cs="Arial"/>
          <w:b/>
          <w:bCs/>
          <w:sz w:val="24"/>
        </w:rPr>
        <w:t>02003/AMECAMEC/IP/2022</w:t>
      </w:r>
    </w:p>
    <w:p w14:paraId="039185EB" w14:textId="74DF8124" w:rsidR="0096202C" w:rsidRPr="0096202C" w:rsidRDefault="0096202C" w:rsidP="0096202C">
      <w:pPr>
        <w:pStyle w:val="Citas"/>
        <w:rPr>
          <w:b/>
          <w:bCs/>
          <w:sz w:val="24"/>
        </w:rPr>
      </w:pPr>
      <w:r>
        <w:t xml:space="preserve">“Solicito la información de forma clara, precisa, sencilla y entendible en relación a los instructivos que emite el OSFEM para la integración de los informes trimestrales de los sujetos de fiscalización estatal en el cuál se advierte que el sujeto obligado debe seguir lo señalado en el Artículo VI. Mismo que tiene como contenido en submodulo Obra, el cuál tiene como finalidad concentrar el avance físico y financiero de cada una de las obras que tiene como característica está modalidad y son ejecutadas por los municipios, por los organismos descentralizados a través de sus dependencias técnicas . El instructivo para la integración del informe trimestral de los sujetos de fiscalizaciones estatales el cuál tiene como objeto establecer las especificaciones que las entidades fiscalizables deben cumplir para la elaboración y presentación de los informes mensuales instructivos que es de observancia general para todos los servidores públicos de las entidades fiscalizables que desempeñen un empleo,cargo o </w:t>
      </w:r>
      <w:r>
        <w:lastRenderedPageBreak/>
        <w:t xml:space="preserve">comisión de cualquier naturaleza en la administración pública municipal y que manejen recursos públicos como los municipios, en atención. El informe mensual deberá ser presentado al órgano superior de fiscalización durante los veinte días posterior al término del mes correspondiente tal como lo señala el Artículo 32 de la Ley de Fiscalización del Estado de México. Para el Tesorero Municipal Administración Pública Municipal de Amecameca 2022-2024. Gobierno para Todos” </w:t>
      </w:r>
      <w:r>
        <w:rPr>
          <w:b/>
          <w:bCs/>
        </w:rPr>
        <w:t>(Sic)</w:t>
      </w:r>
    </w:p>
    <w:p w14:paraId="6A6FA74C" w14:textId="5482C91E" w:rsidR="00DD6E83" w:rsidRDefault="00F02E23" w:rsidP="00F02E23">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96202C">
        <w:rPr>
          <w:rFonts w:ascii="Palatino Linotype" w:eastAsia="Times New Roman" w:hAnsi="Palatino Linotype" w:cs="Times New Roman"/>
          <w:sz w:val="24"/>
          <w:szCs w:val="24"/>
          <w:lang w:val="es-ES_tradnl" w:eastAsia="es-ES"/>
        </w:rPr>
        <w:t xml:space="preserve">cuatro casos. </w:t>
      </w:r>
      <w:r w:rsidR="00DD6E83">
        <w:rPr>
          <w:rFonts w:ascii="Palatino Linotype" w:eastAsia="Times New Roman" w:hAnsi="Palatino Linotype" w:cs="Times New Roman"/>
          <w:sz w:val="24"/>
          <w:szCs w:val="24"/>
          <w:lang w:val="es-ES_tradnl" w:eastAsia="es-ES"/>
        </w:rPr>
        <w:t xml:space="preserve"> </w:t>
      </w:r>
    </w:p>
    <w:p w14:paraId="5800BC3A" w14:textId="28A8AFDE" w:rsidR="00F02E23" w:rsidRDefault="00F02E23" w:rsidP="00F02E2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   </w:t>
      </w:r>
    </w:p>
    <w:p w14:paraId="2FB1AA17" w14:textId="302DB682" w:rsidR="00F02E23" w:rsidRDefault="0096202C" w:rsidP="00F02E23">
      <w:pPr>
        <w:spacing w:before="240" w:line="360" w:lineRule="auto"/>
        <w:jc w:val="both"/>
        <w:rPr>
          <w:rFonts w:ascii="Palatino Linotype" w:hAnsi="Palatino Linotype" w:cs="Arial"/>
          <w:b/>
          <w:sz w:val="28"/>
        </w:rPr>
      </w:pPr>
      <w:r>
        <w:rPr>
          <w:rFonts w:ascii="Palatino Linotype" w:hAnsi="Palatino Linotype" w:cs="Arial"/>
          <w:b/>
          <w:sz w:val="28"/>
        </w:rPr>
        <w:t>SEGUNDO</w:t>
      </w:r>
      <w:r w:rsidR="00F02E23">
        <w:rPr>
          <w:rFonts w:ascii="Palatino Linotype" w:hAnsi="Palatino Linotype" w:cs="Arial"/>
          <w:b/>
          <w:sz w:val="28"/>
        </w:rPr>
        <w:t xml:space="preserve">. </w:t>
      </w:r>
      <w:r w:rsidR="00F02E23" w:rsidRPr="00165D6E">
        <w:rPr>
          <w:rFonts w:ascii="Palatino Linotype" w:hAnsi="Palatino Linotype" w:cs="Arial"/>
          <w:b/>
          <w:sz w:val="28"/>
          <w:szCs w:val="20"/>
        </w:rPr>
        <w:t xml:space="preserve">De la respuesta </w:t>
      </w:r>
      <w:r w:rsidR="00F02E23">
        <w:rPr>
          <w:rFonts w:ascii="Palatino Linotype" w:hAnsi="Palatino Linotype" w:cs="Arial"/>
          <w:b/>
          <w:sz w:val="28"/>
          <w:szCs w:val="20"/>
        </w:rPr>
        <w:t>del Sujeto Obligado</w:t>
      </w:r>
      <w:r w:rsidR="00F02E23" w:rsidRPr="00165D6E">
        <w:rPr>
          <w:rFonts w:ascii="Palatino Linotype" w:hAnsi="Palatino Linotype" w:cs="Arial"/>
          <w:b/>
          <w:sz w:val="28"/>
          <w:szCs w:val="20"/>
        </w:rPr>
        <w:t>.</w:t>
      </w:r>
    </w:p>
    <w:p w14:paraId="0530B4A2" w14:textId="50B28626" w:rsidR="0096202C" w:rsidRDefault="00F02E23" w:rsidP="00F02E23">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coincidentes a las solicitudes de información, en fecha</w:t>
      </w:r>
      <w:r w:rsidR="0096202C">
        <w:rPr>
          <w:rFonts w:ascii="Palatino Linotype" w:hAnsi="Palatino Linotype" w:cs="Arial"/>
        </w:rPr>
        <w:t xml:space="preserve">s </w:t>
      </w:r>
      <w:r w:rsidR="0096202C">
        <w:rPr>
          <w:rFonts w:ascii="Palatino Linotype" w:hAnsi="Palatino Linotype" w:cs="Arial"/>
          <w:b/>
          <w:bCs/>
        </w:rPr>
        <w:t xml:space="preserve">cinco y seis de diciembre de dos mil veintidós, </w:t>
      </w:r>
      <w:r w:rsidR="0096202C">
        <w:rPr>
          <w:rFonts w:ascii="Palatino Linotype" w:hAnsi="Palatino Linotype" w:cs="Arial"/>
        </w:rPr>
        <w:t>resultando de nuestro interés lo siguiente:</w:t>
      </w:r>
    </w:p>
    <w:p w14:paraId="6BD14F25" w14:textId="0758F774" w:rsidR="00B5509D" w:rsidRDefault="00B5509D" w:rsidP="00F02E23">
      <w:pPr>
        <w:pStyle w:val="Prrafodelista"/>
        <w:spacing w:after="240" w:line="360" w:lineRule="auto"/>
        <w:ind w:left="0"/>
        <w:jc w:val="both"/>
        <w:rPr>
          <w:rFonts w:ascii="Palatino Linotype" w:hAnsi="Palatino Linotype" w:cs="Arial"/>
          <w:b/>
          <w:bCs/>
        </w:rPr>
      </w:pPr>
      <w:r>
        <w:rPr>
          <w:rFonts w:ascii="Palatino Linotype" w:hAnsi="Palatino Linotype" w:cs="Arial"/>
          <w:b/>
          <w:bCs/>
        </w:rPr>
        <w:t>02007/AMECAMEC/IP/2022</w:t>
      </w:r>
    </w:p>
    <w:p w14:paraId="7B19DF73" w14:textId="4F639A69" w:rsidR="00B5509D" w:rsidRPr="00B5509D" w:rsidRDefault="00B5509D" w:rsidP="00B5509D">
      <w:pPr>
        <w:pStyle w:val="Citas"/>
      </w:pPr>
      <w:r w:rsidRPr="00B5509D">
        <w:t xml:space="preserve">“En </w:t>
      </w:r>
      <w:r w:rsidRPr="0096202C">
        <w:t>respuesta a la solicitud recibida, nos permitimos hacer de su conocimiento que con fundamento en el artículo 53, Fracciones: II, V y VI de la Ley de Transparencia y Acceso a la Información Pública del Estado de México y Municipios, le contestamos que</w:t>
      </w:r>
      <w:r w:rsidRPr="00B5509D">
        <w:t>:</w:t>
      </w:r>
    </w:p>
    <w:p w14:paraId="3B2785D0" w14:textId="0397974E" w:rsidR="00B5509D" w:rsidRPr="00B5509D" w:rsidRDefault="00B5509D" w:rsidP="00B5509D">
      <w:pPr>
        <w:pStyle w:val="Citas"/>
        <w:rPr>
          <w:b/>
          <w:bCs/>
        </w:rPr>
      </w:pPr>
      <w:r w:rsidRPr="0096202C">
        <w:t xml:space="preserve">En relación a los instructivos que emite el OSFEM para la integración de los informes trimestrales, contenido en el submodulo Obra, se entregan: Formato 26. </w:t>
      </w:r>
      <w:r w:rsidRPr="0096202C">
        <w:lastRenderedPageBreak/>
        <w:t>Conciliación de Obra Pública que contiene los anticipos y estimaciones pagadas en el mes. Finalidad identificar que la inversión pública que se ejerce sea coherente con los registros contables. Entrega Mensual. 1. Informe Mensual de Obras por contrato. Finalidad concentrar el avance físico y financiero de cada obra ejecutadas por contrato hasta la entrega recepción. Entrega mensual. 2.- Informe Mensual de Obras por Adminsitración. Finalidad concentrar el avance físico y financiero de cada obra ejecutadas por contrato hasta la entrega recepción. Entrega mensual. 3.- Informe Mensual de REparación y Mantenimientos. Finalidad concentrar el avance físico y financiero de cada obra ejecutadas por contrato hasta la entrega recepción. Entrega mensual. Formato Mensual. Sin más por el momento, quedo a sus órdenes para cualquier duda o aclaración</w:t>
      </w:r>
      <w:r>
        <w:t xml:space="preserve">” </w:t>
      </w:r>
      <w:r>
        <w:rPr>
          <w:b/>
          <w:bCs/>
        </w:rPr>
        <w:t>(Sic)</w:t>
      </w:r>
    </w:p>
    <w:p w14:paraId="5EFD7A69" w14:textId="6CEF9EA8" w:rsidR="0096202C" w:rsidRDefault="0096202C" w:rsidP="00F02E23">
      <w:pPr>
        <w:pStyle w:val="Prrafodelista"/>
        <w:spacing w:after="240" w:line="360" w:lineRule="auto"/>
        <w:ind w:left="0"/>
        <w:jc w:val="both"/>
        <w:rPr>
          <w:rFonts w:ascii="Palatino Linotype" w:hAnsi="Palatino Linotype" w:cs="Arial"/>
          <w:lang w:val="es-MX"/>
        </w:rPr>
      </w:pPr>
    </w:p>
    <w:p w14:paraId="1A7FFCA1" w14:textId="0181C9E5" w:rsidR="0096202C" w:rsidRDefault="0096202C" w:rsidP="00F02E23">
      <w:pPr>
        <w:pStyle w:val="Prrafodelista"/>
        <w:spacing w:after="240" w:line="360" w:lineRule="auto"/>
        <w:ind w:left="0"/>
        <w:jc w:val="both"/>
        <w:rPr>
          <w:rFonts w:ascii="Palatino Linotype" w:hAnsi="Palatino Linotype" w:cs="Arial"/>
          <w:b/>
          <w:bCs/>
          <w:lang w:val="es-MX"/>
        </w:rPr>
      </w:pPr>
      <w:r w:rsidRPr="00B5509D">
        <w:rPr>
          <w:rFonts w:ascii="Palatino Linotype" w:hAnsi="Palatino Linotype" w:cs="Arial"/>
          <w:b/>
          <w:bCs/>
          <w:lang w:val="es-MX"/>
        </w:rPr>
        <w:t>02005</w:t>
      </w:r>
      <w:r w:rsidR="00B5509D">
        <w:rPr>
          <w:rFonts w:ascii="Palatino Linotype" w:hAnsi="Palatino Linotype" w:cs="Arial"/>
          <w:b/>
          <w:bCs/>
          <w:lang w:val="es-MX"/>
        </w:rPr>
        <w:t>/AMECAMEC/IP/2022</w:t>
      </w:r>
    </w:p>
    <w:p w14:paraId="6B2AF9DB" w14:textId="02306FBF" w:rsidR="00B5509D" w:rsidRPr="00B5509D" w:rsidRDefault="00B5509D" w:rsidP="00B5509D">
      <w:pPr>
        <w:pStyle w:val="Citas"/>
      </w:pPr>
      <w:r w:rsidRPr="00B5509D">
        <w:t xml:space="preserve">“En respuesta </w:t>
      </w:r>
      <w:r w:rsidRPr="0096202C">
        <w:t>a la solicitud recibida, nos permitimos hacer de su conocimiento que con fundamento en el artículo 53, Fracciones: II, V y VI de la Ley de Transparencia y Acceso a la Información Pública del Estado de México y Municipios, le contestamos que</w:t>
      </w:r>
      <w:r w:rsidRPr="00B5509D">
        <w:t>:</w:t>
      </w:r>
    </w:p>
    <w:p w14:paraId="173BB620" w14:textId="508139E3" w:rsidR="00B5509D" w:rsidRDefault="00B5509D" w:rsidP="00B5509D">
      <w:pPr>
        <w:pStyle w:val="Citas"/>
        <w:rPr>
          <w:b/>
          <w:bCs/>
        </w:rPr>
      </w:pPr>
      <w:r w:rsidRPr="00B5509D">
        <w:t xml:space="preserve">En respuesta </w:t>
      </w:r>
      <w:r w:rsidRPr="0096202C">
        <w:t xml:space="preserve">a su solicitud, se le hace de conocimineto lo siguiente: derivado de la solicitud emitida en esta plataforma para la contraloría se le hace del conocimiento que no se cuenta con esa información toda vez que no somos el área facultada para emitir dichos documentos. por lo tanto, no se le puede proporcionar la documentación de acuerdo al artículo 12 de la ley de transparencia y acceso a la información pública del estado de México, y municipios, ya que los sujetos obligados solo proporcionaran </w:t>
      </w:r>
      <w:r w:rsidRPr="0096202C">
        <w:lastRenderedPageBreak/>
        <w:t>la información pública que les requiera y que obre en sus archivos y en el estado en que esta se encuentre. toda vez que la obligación de proporcionar información no comprende el procesamiento de la misma, ni el presentarla conforme al interés del solicitante; no estarán obligados a generarla, resumirla, efectuar cálculos o practicar investigaciones, sin embargo, la Contraloría Municipal cumple con sus facultades de verificar y/o supervisar que las áreas correspondientes cumplan con sus funciones, establecidas en ley. Sin más por el momento, quedo a sus órdenes para cualquer duda o</w:t>
      </w:r>
      <w:r w:rsidRPr="00B5509D">
        <w:t xml:space="preserve"> aclaración”</w:t>
      </w:r>
      <w:r>
        <w:t xml:space="preserve"> </w:t>
      </w:r>
      <w:r>
        <w:rPr>
          <w:b/>
          <w:bCs/>
        </w:rPr>
        <w:t>(Sic)</w:t>
      </w:r>
    </w:p>
    <w:p w14:paraId="089692B5" w14:textId="23527117" w:rsidR="00B5509D" w:rsidRPr="00B5509D" w:rsidRDefault="00B5509D" w:rsidP="00B5509D">
      <w:pPr>
        <w:pStyle w:val="Citas"/>
        <w:ind w:left="0"/>
        <w:rPr>
          <w:i w:val="0"/>
          <w:iCs/>
        </w:rPr>
      </w:pPr>
      <w:r>
        <w:rPr>
          <w:i w:val="0"/>
          <w:iCs/>
        </w:rPr>
        <w:t xml:space="preserve">Adicionalmente, </w:t>
      </w:r>
      <w:r>
        <w:rPr>
          <w:b/>
          <w:bCs/>
          <w:i w:val="0"/>
          <w:iCs/>
        </w:rPr>
        <w:t xml:space="preserve">El Sujeto Obligado </w:t>
      </w:r>
      <w:r>
        <w:rPr>
          <w:i w:val="0"/>
          <w:iCs/>
        </w:rPr>
        <w:t xml:space="preserve">adjuntó el documento electrónico </w:t>
      </w:r>
      <w:r>
        <w:rPr>
          <w:b/>
          <w:bCs/>
          <w:i w:val="0"/>
          <w:iCs/>
        </w:rPr>
        <w:t xml:space="preserve">“pficio contraloria.pdf” </w:t>
      </w:r>
      <w:r>
        <w:rPr>
          <w:i w:val="0"/>
          <w:iCs/>
        </w:rPr>
        <w:t xml:space="preserve">cuyo contenido será materia en el considerando respectivo. </w:t>
      </w:r>
    </w:p>
    <w:p w14:paraId="516CB7A4" w14:textId="4B6CE4EC" w:rsidR="0096202C" w:rsidRDefault="0096202C" w:rsidP="00F02E23">
      <w:pPr>
        <w:pStyle w:val="Prrafodelista"/>
        <w:spacing w:after="240" w:line="360" w:lineRule="auto"/>
        <w:ind w:left="0"/>
        <w:jc w:val="both"/>
        <w:rPr>
          <w:rFonts w:ascii="Palatino Linotype" w:hAnsi="Palatino Linotype" w:cs="Arial"/>
          <w:lang w:val="es-MX"/>
        </w:rPr>
      </w:pPr>
    </w:p>
    <w:p w14:paraId="52F64A02" w14:textId="6BCE0DEA" w:rsidR="0096202C" w:rsidRDefault="00B5509D" w:rsidP="00F02E23">
      <w:pPr>
        <w:pStyle w:val="Prrafodelista"/>
        <w:spacing w:after="240" w:line="360" w:lineRule="auto"/>
        <w:ind w:left="0"/>
        <w:jc w:val="both"/>
        <w:rPr>
          <w:rFonts w:ascii="Palatino Linotype" w:hAnsi="Palatino Linotype"/>
          <w:b/>
          <w:bCs/>
        </w:rPr>
      </w:pPr>
      <w:r>
        <w:rPr>
          <w:rFonts w:ascii="Palatino Linotype" w:hAnsi="Palatino Linotype"/>
          <w:b/>
          <w:bCs/>
        </w:rPr>
        <w:t>0</w:t>
      </w:r>
      <w:r w:rsidR="0096202C" w:rsidRPr="00B5509D">
        <w:rPr>
          <w:rFonts w:ascii="Palatino Linotype" w:hAnsi="Palatino Linotype"/>
          <w:b/>
          <w:bCs/>
        </w:rPr>
        <w:t>2004</w:t>
      </w:r>
      <w:r>
        <w:rPr>
          <w:rFonts w:ascii="Palatino Linotype" w:hAnsi="Palatino Linotype"/>
          <w:b/>
          <w:bCs/>
        </w:rPr>
        <w:t>/AMECAMEC/IP/2022</w:t>
      </w:r>
    </w:p>
    <w:p w14:paraId="5AF8C0FE" w14:textId="00EE30B4" w:rsidR="00B5509D" w:rsidRPr="00B5509D" w:rsidRDefault="00B5509D" w:rsidP="00B5509D">
      <w:pPr>
        <w:pStyle w:val="Citas"/>
      </w:pPr>
      <w:r w:rsidRPr="00B5509D">
        <w:t xml:space="preserve">“En </w:t>
      </w:r>
      <w:r w:rsidRPr="0096202C">
        <w:t>respuesta a la solicitud recibida, nos permitimos hacer de su conocimiento que con fundamento en el artículo 53, Fracciones: II, V y VI de la Ley de Transparencia y Acceso a la Información Pública del Estado de México y Municipios, le contestamos que</w:t>
      </w:r>
      <w:r w:rsidRPr="00B5509D">
        <w:t>:</w:t>
      </w:r>
    </w:p>
    <w:p w14:paraId="4CCF1C0B" w14:textId="57F37635" w:rsidR="00B5509D" w:rsidRPr="00B5509D" w:rsidRDefault="00B5509D" w:rsidP="00B5509D">
      <w:pPr>
        <w:pStyle w:val="Citas"/>
        <w:rPr>
          <w:b/>
          <w:bCs/>
        </w:rPr>
      </w:pPr>
      <w:r w:rsidRPr="00B5509D">
        <w:t xml:space="preserve">En atención </w:t>
      </w:r>
      <w:r w:rsidRPr="0096202C">
        <w:t xml:space="preserve">a la solicitud 02004/AMECAMEC/IP/2022, me permito informar que la información solicitada no es aplicable de acuerdo a lo que se solicita “En relación a los instructivos que emite el OSFEM para la integración de los informes trimestrales de los sujetos de fiscalización estatal” esta información es obligatoria para el Gobierno del Estado de México y sus descentralizados, no así para los Municipios esto da conformidad con el ámbito de aplicación de los lineamientos para integración y entrega del informe trimestral estatal 2022, contestación que se apega </w:t>
      </w:r>
      <w:r w:rsidRPr="0096202C">
        <w:lastRenderedPageBreak/>
        <w:t>artículo 12 de la Ley de Trasparencia y Acceso a la Información Pública del Estado de México. Sin más por el moemento, quedo a sus órdenes para cualquier duda o aclaració</w:t>
      </w:r>
      <w:r w:rsidRPr="00B5509D">
        <w:t xml:space="preserve">n” </w:t>
      </w:r>
      <w:r>
        <w:rPr>
          <w:b/>
          <w:bCs/>
        </w:rPr>
        <w:t>(Sic)</w:t>
      </w:r>
    </w:p>
    <w:p w14:paraId="2F0E053B" w14:textId="77777777" w:rsidR="0096202C" w:rsidRPr="0096202C" w:rsidRDefault="0096202C" w:rsidP="00F02E23">
      <w:pPr>
        <w:pStyle w:val="Prrafodelista"/>
        <w:spacing w:after="240" w:line="360" w:lineRule="auto"/>
        <w:ind w:left="0"/>
        <w:jc w:val="both"/>
        <w:rPr>
          <w:rFonts w:ascii="Palatino Linotype" w:hAnsi="Palatino Linotype" w:cs="Arial"/>
          <w:lang w:val="es-MX"/>
        </w:rPr>
      </w:pPr>
    </w:p>
    <w:p w14:paraId="4B54F0B3" w14:textId="3129FA67" w:rsidR="0096202C" w:rsidRDefault="00B5509D" w:rsidP="00F02E23">
      <w:pPr>
        <w:pStyle w:val="Prrafodelista"/>
        <w:spacing w:after="240" w:line="360" w:lineRule="auto"/>
        <w:ind w:left="0"/>
        <w:jc w:val="both"/>
        <w:rPr>
          <w:rFonts w:ascii="Palatino Linotype" w:hAnsi="Palatino Linotype" w:cs="Arial"/>
          <w:b/>
          <w:bCs/>
        </w:rPr>
      </w:pPr>
      <w:r w:rsidRPr="00B5509D">
        <w:rPr>
          <w:rFonts w:ascii="Palatino Linotype" w:hAnsi="Palatino Linotype" w:cs="Arial"/>
          <w:b/>
          <w:bCs/>
        </w:rPr>
        <w:t>0</w:t>
      </w:r>
      <w:r w:rsidR="0096202C" w:rsidRPr="00B5509D">
        <w:rPr>
          <w:rFonts w:ascii="Palatino Linotype" w:hAnsi="Palatino Linotype" w:cs="Arial"/>
          <w:b/>
          <w:bCs/>
        </w:rPr>
        <w:t>2003</w:t>
      </w:r>
      <w:r>
        <w:rPr>
          <w:rFonts w:ascii="Palatino Linotype" w:hAnsi="Palatino Linotype" w:cs="Arial"/>
          <w:b/>
          <w:bCs/>
        </w:rPr>
        <w:t>/AMECAMEC/IP/2022</w:t>
      </w:r>
    </w:p>
    <w:p w14:paraId="32781D48" w14:textId="08E471D5" w:rsidR="00B5509D" w:rsidRPr="0050351F" w:rsidRDefault="00B5509D" w:rsidP="0050351F">
      <w:pPr>
        <w:pStyle w:val="Citas"/>
      </w:pPr>
      <w:r w:rsidRPr="0050351F">
        <w:t xml:space="preserve">“En respuesta </w:t>
      </w:r>
      <w:r w:rsidR="0050351F" w:rsidRPr="0096202C">
        <w:t>a la solicitud recibida, nos permitimos hacer de su conocimiento que con fundamento en el artículo 53, Fracciones: II, V y VI de la Ley de Transparencia y Acceso a la Información Pública del Estado de México y Municipios, le contestamos que</w:t>
      </w:r>
      <w:r w:rsidR="0050351F" w:rsidRPr="0050351F">
        <w:t>:</w:t>
      </w:r>
    </w:p>
    <w:p w14:paraId="3EEFB30D" w14:textId="35F9F181" w:rsidR="0050351F" w:rsidRPr="0050351F" w:rsidRDefault="0050351F" w:rsidP="0050351F">
      <w:pPr>
        <w:pStyle w:val="Citas"/>
        <w:rPr>
          <w:b/>
          <w:bCs/>
        </w:rPr>
      </w:pPr>
      <w:r w:rsidRPr="0050351F">
        <w:t xml:space="preserve">En </w:t>
      </w:r>
      <w:r w:rsidRPr="0096202C">
        <w:t>atención a la solicitud 02003/AMECAMEC/IP/2022, me permito informar que la información solicitada no es aplicable de acuerdo a lo que se solicita “En relación a los instructivos que emite el OSFEM para la integración de los informes trimestrales de los sujetos de fiscalización estatal” esta información es obligatoria para el Gobierno del Estado de México y sus descentralizados, no así para los Municipios esto da conformidad con el ámbito de aplicación de los lineamientos para integración y entrega del informe trimestral estatal 2022, contestación que se apega artículo 12 de la Ley de Trasparencia y Acceso a la Información Pública del Estado de México. sin más por el momento, quedo a sus órdenes para cualquier duda o aclaración</w:t>
      </w:r>
      <w:r>
        <w:t xml:space="preserve">” </w:t>
      </w:r>
      <w:r>
        <w:rPr>
          <w:b/>
          <w:bCs/>
        </w:rPr>
        <w:t>(Sic)</w:t>
      </w:r>
    </w:p>
    <w:p w14:paraId="0B54B50D" w14:textId="77777777" w:rsidR="0096202C" w:rsidRPr="0096202C" w:rsidRDefault="0096202C" w:rsidP="00F02E23">
      <w:pPr>
        <w:pStyle w:val="Prrafodelista"/>
        <w:spacing w:after="240" w:line="360" w:lineRule="auto"/>
        <w:ind w:left="0"/>
        <w:jc w:val="both"/>
        <w:rPr>
          <w:rFonts w:ascii="Palatino Linotype" w:hAnsi="Palatino Linotype" w:cs="Arial"/>
          <w:lang w:val="es-MX"/>
        </w:rPr>
      </w:pPr>
    </w:p>
    <w:p w14:paraId="17A44F44" w14:textId="61E00E98" w:rsidR="00F02E23" w:rsidRDefault="0050351F" w:rsidP="0050351F">
      <w:pPr>
        <w:pStyle w:val="Prrafodelista"/>
        <w:spacing w:after="240" w:line="360" w:lineRule="auto"/>
        <w:ind w:left="0"/>
        <w:jc w:val="both"/>
        <w:rPr>
          <w:rFonts w:ascii="Palatino Linotype" w:hAnsi="Palatino Linotype" w:cs="Arial"/>
          <w:b/>
          <w:sz w:val="28"/>
        </w:rPr>
      </w:pPr>
      <w:r>
        <w:rPr>
          <w:rFonts w:ascii="Palatino Linotype" w:hAnsi="Palatino Linotype" w:cs="Arial"/>
          <w:b/>
          <w:sz w:val="28"/>
        </w:rPr>
        <w:t>TERCERO</w:t>
      </w:r>
      <w:r w:rsidR="00F02E23">
        <w:rPr>
          <w:rFonts w:ascii="Palatino Linotype" w:hAnsi="Palatino Linotype" w:cs="Arial"/>
          <w:b/>
          <w:sz w:val="28"/>
        </w:rPr>
        <w:t xml:space="preserve">. </w:t>
      </w:r>
      <w:r w:rsidR="00F02E23">
        <w:rPr>
          <w:rFonts w:ascii="Palatino Linotype" w:hAnsi="Palatino Linotype"/>
          <w:b/>
          <w:sz w:val="28"/>
        </w:rPr>
        <w:t>Del recurso de revisión.</w:t>
      </w:r>
    </w:p>
    <w:p w14:paraId="7AE7756A" w14:textId="297BCC2B" w:rsidR="0050351F" w:rsidRDefault="00F02E23" w:rsidP="00F02E23">
      <w:pPr>
        <w:spacing w:before="240" w:line="360" w:lineRule="auto"/>
        <w:jc w:val="both"/>
        <w:rPr>
          <w:rFonts w:ascii="Palatino Linotype" w:hAnsi="Palatino Linotype" w:cs="Arial"/>
          <w:sz w:val="24"/>
        </w:rPr>
      </w:pPr>
      <w:r w:rsidRPr="00B94CCE">
        <w:rPr>
          <w:rFonts w:ascii="Palatino Linotype" w:hAnsi="Palatino Linotype" w:cs="Arial"/>
          <w:sz w:val="24"/>
          <w:szCs w:val="24"/>
        </w:rPr>
        <w:lastRenderedPageBreak/>
        <w:t xml:space="preserve">Inconforme con las respuestas notificadas por </w:t>
      </w:r>
      <w:r w:rsidRPr="00B94CCE">
        <w:rPr>
          <w:rFonts w:ascii="Palatino Linotype" w:hAnsi="Palatino Linotype" w:cs="Arial"/>
          <w:b/>
          <w:sz w:val="24"/>
          <w:szCs w:val="24"/>
        </w:rPr>
        <w:t xml:space="preserve">El Sujeto Obligado, </w:t>
      </w:r>
      <w:r w:rsidR="002B1E84">
        <w:rPr>
          <w:rFonts w:ascii="Palatino Linotype" w:hAnsi="Palatino Linotype" w:cs="Arial"/>
          <w:b/>
          <w:sz w:val="24"/>
          <w:szCs w:val="24"/>
        </w:rPr>
        <w:t>La</w:t>
      </w:r>
      <w:r w:rsidRPr="00B94CCE">
        <w:rPr>
          <w:rFonts w:ascii="Palatino Linotype" w:hAnsi="Palatino Linotype" w:cs="Arial"/>
          <w:b/>
          <w:sz w:val="24"/>
          <w:szCs w:val="24"/>
        </w:rPr>
        <w:t xml:space="preserve"> Recurrente </w:t>
      </w:r>
      <w:r w:rsidR="00B94CCE" w:rsidRPr="00B94CCE">
        <w:rPr>
          <w:rFonts w:ascii="Palatino Linotype" w:hAnsi="Palatino Linotype" w:cs="Arial"/>
          <w:sz w:val="24"/>
          <w:szCs w:val="24"/>
        </w:rPr>
        <w:t>interpuso recursos</w:t>
      </w:r>
      <w:r w:rsidRPr="00B94CCE">
        <w:rPr>
          <w:rFonts w:ascii="Palatino Linotype" w:hAnsi="Palatino Linotype" w:cs="Arial"/>
          <w:sz w:val="24"/>
          <w:szCs w:val="24"/>
        </w:rPr>
        <w:t xml:space="preserve"> de revisión, </w:t>
      </w:r>
      <w:r w:rsidRPr="006661D5">
        <w:rPr>
          <w:rFonts w:ascii="Palatino Linotype" w:hAnsi="Palatino Linotype" w:cs="Arial"/>
          <w:sz w:val="24"/>
          <w:szCs w:val="24"/>
        </w:rPr>
        <w:t>en fecha</w:t>
      </w:r>
      <w:r w:rsidR="0050351F" w:rsidRPr="006661D5">
        <w:rPr>
          <w:rFonts w:ascii="Palatino Linotype" w:hAnsi="Palatino Linotype" w:cs="Arial"/>
          <w:sz w:val="24"/>
          <w:szCs w:val="24"/>
        </w:rPr>
        <w:t xml:space="preserve"> </w:t>
      </w:r>
      <w:r w:rsidR="0050351F" w:rsidRPr="006661D5">
        <w:rPr>
          <w:rFonts w:ascii="Palatino Linotype" w:hAnsi="Palatino Linotype" w:cs="Arial"/>
          <w:b/>
          <w:bCs/>
          <w:sz w:val="24"/>
          <w:szCs w:val="24"/>
        </w:rPr>
        <w:t xml:space="preserve">siete de diciembre de dos mil veintidós, </w:t>
      </w:r>
      <w:r w:rsidR="0050351F" w:rsidRPr="006661D5">
        <w:rPr>
          <w:rFonts w:ascii="Palatino Linotype" w:hAnsi="Palatino Linotype" w:cs="Arial"/>
          <w:sz w:val="24"/>
          <w:szCs w:val="24"/>
        </w:rPr>
        <w:t xml:space="preserve">los cuales fueron registrados en el sistema electrónico con los expedientes </w:t>
      </w:r>
      <w:r w:rsidR="00EA29A4" w:rsidRPr="006661D5">
        <w:rPr>
          <w:rFonts w:ascii="Palatino Linotype" w:hAnsi="Palatino Linotype" w:cs="Arial"/>
          <w:b/>
          <w:bCs/>
          <w:sz w:val="24"/>
        </w:rPr>
        <w:t xml:space="preserve">17185/INFOEM/IP/RR/2022, 17195/INFOEM/IP/RR/2022, 17196/INFOEM/IP/RR/2022 </w:t>
      </w:r>
      <w:r w:rsidR="00EA29A4" w:rsidRPr="006661D5">
        <w:rPr>
          <w:rFonts w:ascii="Palatino Linotype" w:hAnsi="Palatino Linotype" w:cs="Arial"/>
          <w:sz w:val="24"/>
        </w:rPr>
        <w:t xml:space="preserve">y </w:t>
      </w:r>
      <w:r w:rsidR="00EA29A4" w:rsidRPr="006661D5">
        <w:rPr>
          <w:rFonts w:ascii="Palatino Linotype" w:hAnsi="Palatino Linotype" w:cs="Arial"/>
          <w:b/>
          <w:bCs/>
          <w:sz w:val="24"/>
        </w:rPr>
        <w:t>17197/INFOEM/IP/RR/2022</w:t>
      </w:r>
      <w:r w:rsidR="006661D5">
        <w:rPr>
          <w:rFonts w:ascii="Palatino Linotype" w:hAnsi="Palatino Linotype" w:cs="Arial"/>
          <w:b/>
          <w:bCs/>
          <w:sz w:val="24"/>
        </w:rPr>
        <w:t xml:space="preserve">, </w:t>
      </w:r>
      <w:r w:rsidR="006661D5">
        <w:rPr>
          <w:rFonts w:ascii="Palatino Linotype" w:hAnsi="Palatino Linotype" w:cs="Arial"/>
          <w:sz w:val="24"/>
        </w:rPr>
        <w:t>en los cuales arguye las siguientes manifestaciones:</w:t>
      </w:r>
    </w:p>
    <w:p w14:paraId="6D4EE42E" w14:textId="0360B22B" w:rsidR="006661D5" w:rsidRDefault="006661D5" w:rsidP="00F02E23">
      <w:pPr>
        <w:spacing w:before="240" w:line="360" w:lineRule="auto"/>
        <w:jc w:val="both"/>
        <w:rPr>
          <w:rFonts w:ascii="Palatino Linotype" w:hAnsi="Palatino Linotype" w:cs="Arial"/>
          <w:sz w:val="24"/>
        </w:rPr>
      </w:pPr>
      <w:r w:rsidRPr="006661D5">
        <w:rPr>
          <w:rFonts w:ascii="Palatino Linotype" w:hAnsi="Palatino Linotype" w:cs="Arial"/>
          <w:b/>
          <w:bCs/>
          <w:sz w:val="24"/>
        </w:rPr>
        <w:t>17185/INFOEM/IP/RR/2022</w:t>
      </w:r>
    </w:p>
    <w:p w14:paraId="27B12FF6" w14:textId="77777777" w:rsidR="00F02E23" w:rsidRDefault="00F02E23" w:rsidP="00F02E23">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389C2CA" w14:textId="7C5F746F" w:rsidR="00F02E23" w:rsidRPr="00684130" w:rsidRDefault="00F02E23" w:rsidP="00F02E23">
      <w:pPr>
        <w:pStyle w:val="Citas"/>
      </w:pPr>
      <w:r w:rsidRPr="006661D5">
        <w:t>“</w:t>
      </w:r>
      <w:r w:rsidR="006661D5" w:rsidRPr="006661D5">
        <w:t>Se impugna la respuesta de la Solicitud No. 2007</w:t>
      </w:r>
      <w:r w:rsidRPr="006661D5">
        <w:t>”</w:t>
      </w:r>
      <w:r w:rsidRPr="00684130">
        <w:t xml:space="preserve"> </w:t>
      </w:r>
      <w:r w:rsidR="006661D5">
        <w:rPr>
          <w:b/>
          <w:bCs/>
        </w:rPr>
        <w:t>(Sic)</w:t>
      </w:r>
    </w:p>
    <w:p w14:paraId="670291BA" w14:textId="77777777" w:rsidR="00F02E23" w:rsidRDefault="00F02E23" w:rsidP="00F02E2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89D7E4F" w14:textId="15170B92" w:rsidR="00F02E23" w:rsidRPr="00684130" w:rsidRDefault="00F02E23" w:rsidP="00F02E23">
      <w:pPr>
        <w:pStyle w:val="Citas"/>
      </w:pPr>
      <w:r w:rsidRPr="006661D5">
        <w:t>“</w:t>
      </w:r>
      <w:r w:rsidR="006661D5" w:rsidRPr="006661D5">
        <w:t>No me entregó la información que solicité.</w:t>
      </w:r>
      <w:r w:rsidRPr="006661D5">
        <w:t>”</w:t>
      </w:r>
      <w:r w:rsidRPr="00684130">
        <w:t xml:space="preserve"> </w:t>
      </w:r>
      <w:r w:rsidR="006661D5">
        <w:rPr>
          <w:b/>
          <w:bCs/>
        </w:rPr>
        <w:t>(Sic)</w:t>
      </w:r>
    </w:p>
    <w:p w14:paraId="7D03928F" w14:textId="2F9FBB51" w:rsidR="00F02E23" w:rsidRDefault="00F02E23" w:rsidP="00F02E23">
      <w:pPr>
        <w:spacing w:before="240" w:line="360" w:lineRule="auto"/>
        <w:jc w:val="both"/>
        <w:rPr>
          <w:rFonts w:ascii="Palatino Linotype" w:hAnsi="Palatino Linotype" w:cs="Arial"/>
          <w:sz w:val="24"/>
          <w:szCs w:val="24"/>
        </w:rPr>
      </w:pPr>
    </w:p>
    <w:p w14:paraId="1DE1E5E6" w14:textId="0F755325" w:rsidR="006661D5" w:rsidRDefault="006661D5" w:rsidP="00F02E23">
      <w:pPr>
        <w:spacing w:before="240" w:line="360" w:lineRule="auto"/>
        <w:jc w:val="both"/>
        <w:rPr>
          <w:rFonts w:ascii="Palatino Linotype" w:hAnsi="Palatino Linotype" w:cs="Arial"/>
          <w:b/>
          <w:bCs/>
          <w:sz w:val="24"/>
        </w:rPr>
      </w:pPr>
      <w:r w:rsidRPr="006661D5">
        <w:rPr>
          <w:rFonts w:ascii="Palatino Linotype" w:hAnsi="Palatino Linotype" w:cs="Arial"/>
          <w:b/>
          <w:bCs/>
          <w:sz w:val="24"/>
        </w:rPr>
        <w:t>17195/INFOEM/IP/RR/2022</w:t>
      </w:r>
    </w:p>
    <w:p w14:paraId="56DF3DB8" w14:textId="7A944E5C" w:rsidR="006661D5" w:rsidRDefault="006661D5" w:rsidP="006661D5">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68F2013" w14:textId="1C1BF6AE" w:rsidR="006661D5" w:rsidRDefault="006661D5" w:rsidP="006661D5">
      <w:pPr>
        <w:pStyle w:val="Citas"/>
        <w:rPr>
          <w:b/>
          <w:sz w:val="24"/>
        </w:rPr>
      </w:pPr>
      <w:r>
        <w:t xml:space="preserve">“Se impugna la respuesta de la Solicitud No.02005” </w:t>
      </w:r>
      <w:r>
        <w:rPr>
          <w:b/>
          <w:bCs/>
        </w:rPr>
        <w:t>(Sic)</w:t>
      </w:r>
    </w:p>
    <w:p w14:paraId="7A9E24D4" w14:textId="77777777" w:rsidR="006661D5" w:rsidRDefault="006661D5" w:rsidP="006661D5">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496DCB7" w14:textId="52587CAB" w:rsidR="006661D5" w:rsidRPr="006661D5" w:rsidRDefault="006661D5" w:rsidP="006661D5">
      <w:pPr>
        <w:pStyle w:val="Citas"/>
        <w:rPr>
          <w:b/>
          <w:bCs/>
          <w:sz w:val="24"/>
        </w:rPr>
      </w:pPr>
      <w:r>
        <w:t xml:space="preserve">“No me entregó la información que solicité” </w:t>
      </w:r>
      <w:r>
        <w:rPr>
          <w:b/>
          <w:bCs/>
        </w:rPr>
        <w:t>(Sic)</w:t>
      </w:r>
    </w:p>
    <w:p w14:paraId="23037654" w14:textId="77777777" w:rsidR="006661D5" w:rsidRDefault="006661D5" w:rsidP="00F02E23">
      <w:pPr>
        <w:spacing w:before="240" w:line="360" w:lineRule="auto"/>
        <w:jc w:val="both"/>
        <w:rPr>
          <w:rFonts w:ascii="Palatino Linotype" w:hAnsi="Palatino Linotype" w:cs="Arial"/>
          <w:sz w:val="24"/>
          <w:szCs w:val="24"/>
        </w:rPr>
      </w:pPr>
    </w:p>
    <w:p w14:paraId="15001990" w14:textId="5278FF0B" w:rsidR="006661D5" w:rsidRDefault="006661D5" w:rsidP="00F02E23">
      <w:pPr>
        <w:spacing w:before="240" w:line="360" w:lineRule="auto"/>
        <w:jc w:val="both"/>
        <w:rPr>
          <w:rFonts w:ascii="Palatino Linotype" w:hAnsi="Palatino Linotype" w:cs="Arial"/>
          <w:b/>
          <w:bCs/>
          <w:sz w:val="24"/>
        </w:rPr>
      </w:pPr>
      <w:r w:rsidRPr="006661D5">
        <w:rPr>
          <w:rFonts w:ascii="Palatino Linotype" w:hAnsi="Palatino Linotype" w:cs="Arial"/>
          <w:b/>
          <w:bCs/>
          <w:sz w:val="24"/>
        </w:rPr>
        <w:lastRenderedPageBreak/>
        <w:t>17196/INFOEM/IP/RR/2022</w:t>
      </w:r>
    </w:p>
    <w:p w14:paraId="4B429AC9" w14:textId="77777777" w:rsidR="006661D5" w:rsidRDefault="006661D5" w:rsidP="006661D5">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6DD2B02" w14:textId="2EBE431B" w:rsidR="006661D5" w:rsidRPr="006661D5" w:rsidRDefault="006661D5" w:rsidP="006661D5">
      <w:pPr>
        <w:pStyle w:val="Citas"/>
        <w:rPr>
          <w:b/>
          <w:bCs/>
          <w:sz w:val="24"/>
        </w:rPr>
      </w:pPr>
      <w:r>
        <w:t xml:space="preserve">“Se impugna la respuesta de la Solicitud No. 02004” </w:t>
      </w:r>
      <w:r>
        <w:rPr>
          <w:b/>
          <w:bCs/>
        </w:rPr>
        <w:t>(Sic)</w:t>
      </w:r>
    </w:p>
    <w:p w14:paraId="5016378F" w14:textId="77777777" w:rsidR="006661D5" w:rsidRDefault="006661D5" w:rsidP="006661D5">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573F621" w14:textId="03BD8C58" w:rsidR="006661D5" w:rsidRDefault="006661D5" w:rsidP="006661D5">
      <w:pPr>
        <w:pStyle w:val="Citas"/>
        <w:rPr>
          <w:b/>
          <w:bCs/>
        </w:rPr>
      </w:pPr>
      <w:r>
        <w:t xml:space="preserve">“No me entregó la información que solicité” </w:t>
      </w:r>
      <w:r>
        <w:rPr>
          <w:b/>
          <w:bCs/>
        </w:rPr>
        <w:t>(Sic)</w:t>
      </w:r>
    </w:p>
    <w:p w14:paraId="289375F5" w14:textId="3C210182" w:rsidR="006661D5" w:rsidRDefault="006661D5" w:rsidP="006661D5">
      <w:pPr>
        <w:pStyle w:val="Citas"/>
        <w:ind w:left="0"/>
        <w:rPr>
          <w:b/>
          <w:bCs/>
          <w:sz w:val="24"/>
        </w:rPr>
      </w:pPr>
    </w:p>
    <w:p w14:paraId="5943B955" w14:textId="6536ACDF" w:rsidR="006661D5" w:rsidRDefault="006661D5" w:rsidP="006661D5">
      <w:pPr>
        <w:pStyle w:val="Citas"/>
        <w:ind w:left="0"/>
        <w:rPr>
          <w:b/>
          <w:bCs/>
          <w:i w:val="0"/>
          <w:iCs/>
          <w:sz w:val="24"/>
        </w:rPr>
      </w:pPr>
      <w:r w:rsidRPr="006661D5">
        <w:rPr>
          <w:b/>
          <w:bCs/>
          <w:i w:val="0"/>
          <w:iCs/>
          <w:sz w:val="24"/>
        </w:rPr>
        <w:t>17197/INFOEM/IP/RR/2022</w:t>
      </w:r>
    </w:p>
    <w:p w14:paraId="04618153" w14:textId="77777777" w:rsidR="006661D5" w:rsidRDefault="006661D5" w:rsidP="006661D5">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D92D0CF" w14:textId="07A928FF" w:rsidR="006661D5" w:rsidRPr="006661D5" w:rsidRDefault="006661D5" w:rsidP="006661D5">
      <w:pPr>
        <w:pStyle w:val="Citas"/>
        <w:rPr>
          <w:b/>
          <w:bCs/>
        </w:rPr>
      </w:pPr>
      <w:r>
        <w:t>“</w:t>
      </w:r>
      <w:r w:rsidRPr="006661D5">
        <w:t>Se impugna la respuesta de la Solicitud No.02003</w:t>
      </w:r>
      <w:r>
        <w:t xml:space="preserve">” </w:t>
      </w:r>
      <w:r>
        <w:rPr>
          <w:b/>
          <w:bCs/>
        </w:rPr>
        <w:t>(Sic)</w:t>
      </w:r>
    </w:p>
    <w:p w14:paraId="03FFB5CF" w14:textId="77777777" w:rsidR="006661D5" w:rsidRDefault="006661D5" w:rsidP="006661D5">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E4EAEB" w14:textId="4D436A15" w:rsidR="006661D5" w:rsidRPr="006661D5" w:rsidRDefault="006661D5" w:rsidP="006661D5">
      <w:pPr>
        <w:pStyle w:val="Citas"/>
        <w:rPr>
          <w:b/>
          <w:bCs/>
        </w:rPr>
      </w:pPr>
      <w:r>
        <w:t>“</w:t>
      </w:r>
      <w:r w:rsidRPr="006661D5">
        <w:t>No me entregó la información que solicité</w:t>
      </w:r>
      <w:r>
        <w:t xml:space="preserve">” </w:t>
      </w:r>
      <w:r>
        <w:rPr>
          <w:b/>
          <w:bCs/>
        </w:rPr>
        <w:t>(Sic)</w:t>
      </w:r>
    </w:p>
    <w:p w14:paraId="1BD1FAFB" w14:textId="61964008" w:rsidR="006661D5" w:rsidRDefault="006661D5" w:rsidP="00F02E23">
      <w:pPr>
        <w:spacing w:before="240" w:line="360" w:lineRule="auto"/>
        <w:jc w:val="both"/>
        <w:rPr>
          <w:rFonts w:ascii="Palatino Linotype" w:hAnsi="Palatino Linotype" w:cs="Arial"/>
          <w:b/>
          <w:bCs/>
          <w:sz w:val="24"/>
        </w:rPr>
      </w:pPr>
    </w:p>
    <w:p w14:paraId="0D1A6D71" w14:textId="17A576B3" w:rsidR="00F02E23" w:rsidRPr="000316DC" w:rsidRDefault="00F02E23" w:rsidP="00F02E23">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006661D5">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49E53455" w14:textId="3B826532" w:rsidR="00F02E23" w:rsidRDefault="00F02E23" w:rsidP="00F02E23">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José Martínez Vilchis</w:t>
      </w:r>
      <w:r w:rsidR="006661D5">
        <w:rPr>
          <w:rFonts w:ascii="Palatino Linotype" w:hAnsi="Palatino Linotype" w:cs="Arial"/>
        </w:rPr>
        <w:t xml:space="preserve">, Luis Gustavo Parra Noriega y Sharon Cristina Morales Martínez, </w:t>
      </w:r>
      <w:r>
        <w:rPr>
          <w:rFonts w:ascii="Palatino Linotype" w:hAnsi="Palatino Linotype" w:cs="Arial"/>
        </w:rPr>
        <w:t xml:space="preserve">en   </w:t>
      </w:r>
      <w:r w:rsidRPr="000316DC">
        <w:rPr>
          <w:rFonts w:ascii="Palatino Linotype" w:hAnsi="Palatino Linotype" w:cs="Arial"/>
        </w:rPr>
        <w:t xml:space="preserve">términos del arábigo 185 fracción I de la Ley de Transparencia y Acceso a la información Pública del Estado de México y Municipios, de los cuales </w:t>
      </w:r>
      <w:r w:rsidRPr="000316DC">
        <w:rPr>
          <w:rFonts w:ascii="Palatino Linotype" w:hAnsi="Palatino Linotype" w:cs="Arial"/>
        </w:rPr>
        <w:lastRenderedPageBreak/>
        <w:t>recayeron en acuerdos de admisión en fechas</w:t>
      </w:r>
      <w:r>
        <w:rPr>
          <w:rFonts w:ascii="Palatino Linotype" w:hAnsi="Palatino Linotype" w:cs="Arial"/>
        </w:rPr>
        <w:t xml:space="preserve"> </w:t>
      </w:r>
      <w:r w:rsidR="006661D5">
        <w:rPr>
          <w:rFonts w:ascii="Palatino Linotype" w:hAnsi="Palatino Linotype" w:cs="Arial"/>
          <w:b/>
          <w:bCs/>
        </w:rPr>
        <w:t xml:space="preserve">ocho, doce y trece de diciembre de dos mil veintidós, </w:t>
      </w:r>
      <w:r w:rsidRPr="000316DC">
        <w:rPr>
          <w:rFonts w:ascii="Palatino Linotype" w:hAnsi="Palatino Linotype" w:cs="Arial"/>
        </w:rPr>
        <w:t>determinándose, un plazo de siete días para que las partes manifestaran lo que a su derecho corresponda en términos de los numerales ya citados.</w:t>
      </w:r>
      <w:r>
        <w:rPr>
          <w:rFonts w:ascii="Palatino Linotype" w:hAnsi="Palatino Linotype" w:cs="Arial"/>
        </w:rPr>
        <w:t xml:space="preserve"> </w:t>
      </w:r>
    </w:p>
    <w:p w14:paraId="79158820" w14:textId="77777777" w:rsidR="00F02E23" w:rsidRDefault="00F02E23" w:rsidP="00F02E23">
      <w:pPr>
        <w:pStyle w:val="Prrafodelista"/>
        <w:spacing w:line="360" w:lineRule="auto"/>
        <w:ind w:left="0"/>
        <w:jc w:val="both"/>
        <w:rPr>
          <w:rFonts w:ascii="Palatino Linotype" w:hAnsi="Palatino Linotype" w:cs="Arial"/>
        </w:rPr>
      </w:pPr>
    </w:p>
    <w:p w14:paraId="4A143F5E" w14:textId="54771E77" w:rsidR="00F02E23" w:rsidRPr="00696379" w:rsidRDefault="006661D5" w:rsidP="00F02E23">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F02E23" w:rsidRPr="00696379">
        <w:rPr>
          <w:rFonts w:ascii="Palatino Linotype" w:hAnsi="Palatino Linotype" w:cs="Arial"/>
          <w:b/>
          <w:sz w:val="28"/>
          <w:szCs w:val="28"/>
        </w:rPr>
        <w:t>. De la acumulación.</w:t>
      </w:r>
    </w:p>
    <w:p w14:paraId="28B61B62" w14:textId="165DA6D8" w:rsidR="006661D5" w:rsidRPr="006661D5" w:rsidRDefault="00F02E23" w:rsidP="00F02E23">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6661D5">
        <w:rPr>
          <w:rFonts w:ascii="Palatino Linotype" w:hAnsi="Palatino Linotype" w:cs="Arial"/>
        </w:rPr>
        <w:t xml:space="preserve">Primera Sesión Ordinaria, de fecha </w:t>
      </w:r>
      <w:r w:rsidR="006661D5">
        <w:rPr>
          <w:rFonts w:ascii="Palatino Linotype" w:hAnsi="Palatino Linotype" w:cs="Arial"/>
          <w:b/>
          <w:bCs/>
        </w:rPr>
        <w:t xml:space="preserve">once de enero de dos mil veintitrés, </w:t>
      </w:r>
      <w:r w:rsidR="006661D5">
        <w:rPr>
          <w:rFonts w:ascii="Palatino Linotype" w:hAnsi="Palatino Linotype" w:cs="Arial"/>
        </w:rPr>
        <w:t xml:space="preserve">se determinó acumular los recursos de revisión en estudio, ya que existe identidad del solicitante, del sujeto obligado y similitud de causas y objeto de solicitud. </w:t>
      </w:r>
    </w:p>
    <w:p w14:paraId="1761C41B" w14:textId="77777777" w:rsidR="006661D5" w:rsidRDefault="006661D5" w:rsidP="00F02E23">
      <w:pPr>
        <w:pStyle w:val="Prrafodelista"/>
        <w:spacing w:line="360" w:lineRule="auto"/>
        <w:ind w:left="0"/>
        <w:jc w:val="both"/>
        <w:rPr>
          <w:rFonts w:ascii="Palatino Linotype" w:hAnsi="Palatino Linotype" w:cs="Arial"/>
        </w:rPr>
      </w:pPr>
    </w:p>
    <w:p w14:paraId="22FA87DC" w14:textId="77777777" w:rsidR="00F02E23" w:rsidRPr="00CA418F" w:rsidRDefault="00F02E23" w:rsidP="00F02E23">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03AC9CF" w14:textId="77777777" w:rsidR="00F02E23" w:rsidRPr="007D54D0" w:rsidRDefault="00F02E23" w:rsidP="00F02E23">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6A5CB73B" w14:textId="3D65CE95" w:rsidR="00F02E23" w:rsidRDefault="00F02E23" w:rsidP="00F02E23">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sidR="006661D5">
        <w:rPr>
          <w:rFonts w:ascii="Palatino Linotype" w:hAnsi="Palatino Linotype"/>
          <w:b/>
          <w:i/>
        </w:rPr>
        <w:t>(Sic)</w:t>
      </w:r>
    </w:p>
    <w:p w14:paraId="3825D8D8" w14:textId="77777777" w:rsidR="006661D5" w:rsidRDefault="006661D5" w:rsidP="00F02E23">
      <w:pPr>
        <w:spacing w:before="240" w:line="360" w:lineRule="auto"/>
        <w:ind w:left="851" w:right="851"/>
        <w:jc w:val="center"/>
        <w:rPr>
          <w:rFonts w:ascii="Palatino Linotype" w:hAnsi="Palatino Linotype"/>
          <w:b/>
          <w:i/>
        </w:rPr>
      </w:pPr>
    </w:p>
    <w:p w14:paraId="01EE32A6" w14:textId="21D65FCC" w:rsidR="00F02E23" w:rsidRPr="001D1D00" w:rsidRDefault="00F02E23" w:rsidP="00F02E23">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2A19AE7F" w14:textId="2F0D063F" w:rsidR="00F02E23" w:rsidRPr="006F2470" w:rsidRDefault="00F02E23" w:rsidP="00F02E23">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006661D5">
        <w:rPr>
          <w:rFonts w:ascii="Palatino Linotype" w:hAnsi="Palatino Linotype"/>
          <w:b/>
          <w:i/>
        </w:rPr>
        <w:t>(Sic)</w:t>
      </w:r>
    </w:p>
    <w:p w14:paraId="36480DB7" w14:textId="77777777" w:rsidR="00F02E23" w:rsidRDefault="00F02E23" w:rsidP="00F02E23">
      <w:pPr>
        <w:spacing w:before="240" w:line="360" w:lineRule="auto"/>
        <w:jc w:val="both"/>
        <w:rPr>
          <w:rFonts w:ascii="Palatino Linotype" w:hAnsi="Palatino Linotype" w:cs="Arial"/>
          <w:sz w:val="24"/>
          <w:szCs w:val="24"/>
        </w:rPr>
      </w:pPr>
    </w:p>
    <w:p w14:paraId="2AD5B03A" w14:textId="76707229" w:rsidR="00480E26" w:rsidRDefault="006661D5" w:rsidP="00F02E23">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F02E23" w:rsidRPr="008551ED">
        <w:rPr>
          <w:rFonts w:ascii="Palatino Linotype" w:hAnsi="Palatino Linotype" w:cs="Arial"/>
          <w:b/>
          <w:sz w:val="24"/>
          <w:szCs w:val="24"/>
        </w:rPr>
        <w:t>.</w:t>
      </w:r>
      <w:r w:rsidR="00F02E23">
        <w:rPr>
          <w:rFonts w:ascii="Palatino Linotype" w:hAnsi="Palatino Linotype" w:cs="Arial"/>
          <w:b/>
          <w:sz w:val="24"/>
          <w:szCs w:val="24"/>
        </w:rPr>
        <w:t xml:space="preserve"> </w:t>
      </w:r>
      <w:r w:rsidR="00F02E23" w:rsidRPr="0087163A">
        <w:rPr>
          <w:rFonts w:ascii="Palatino Linotype" w:hAnsi="Palatino Linotype" w:cs="Arial"/>
          <w:b/>
          <w:sz w:val="28"/>
          <w:szCs w:val="28"/>
        </w:rPr>
        <w:t>De la etapa de instrucción.</w:t>
      </w:r>
    </w:p>
    <w:p w14:paraId="56102B11" w14:textId="77777777" w:rsidR="006C65A9" w:rsidRDefault="00F02E23" w:rsidP="00F02E23">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6661D5">
        <w:rPr>
          <w:rFonts w:ascii="Palatino Linotype" w:hAnsi="Palatino Linotype" w:cs="Arial"/>
          <w:bCs/>
          <w:sz w:val="24"/>
          <w:szCs w:val="24"/>
        </w:rPr>
        <w:t xml:space="preserve">presentó sus informes justificados en fecha </w:t>
      </w:r>
      <w:r w:rsidR="006C65A9">
        <w:rPr>
          <w:rFonts w:ascii="Palatino Linotype" w:hAnsi="Palatino Linotype" w:cs="Arial"/>
          <w:b/>
          <w:sz w:val="24"/>
          <w:szCs w:val="24"/>
        </w:rPr>
        <w:t>veintiuno de diciembre de dos mil veintidós.</w:t>
      </w:r>
    </w:p>
    <w:p w14:paraId="37A7BBBD" w14:textId="38FA2F6A" w:rsidR="006C65A9" w:rsidRPr="006C65A9" w:rsidRDefault="006C65A9" w:rsidP="006C65A9">
      <w:pPr>
        <w:spacing w:before="240" w:line="360" w:lineRule="auto"/>
        <w:jc w:val="both"/>
        <w:rPr>
          <w:rFonts w:ascii="Palatino Linotype" w:hAnsi="Palatino Linotype" w:cs="Arial"/>
          <w:b/>
          <w:bCs/>
          <w:sz w:val="24"/>
          <w:szCs w:val="24"/>
        </w:rPr>
      </w:pPr>
      <w:r>
        <w:rPr>
          <w:rFonts w:ascii="Palatino Linotype" w:hAnsi="Palatino Linotype" w:cs="Arial"/>
          <w:bCs/>
          <w:sz w:val="24"/>
          <w:szCs w:val="24"/>
        </w:rPr>
        <w:t xml:space="preserve">Por su parte, únicamente en los expedientes electrónicos de los recursos de revisión </w:t>
      </w:r>
      <w:r>
        <w:rPr>
          <w:rFonts w:ascii="Palatino Linotype" w:hAnsi="Palatino Linotype" w:cs="Arial"/>
          <w:b/>
          <w:bCs/>
          <w:sz w:val="24"/>
        </w:rPr>
        <w:t xml:space="preserve">17195/INFOEM/IP/RR/2022, 17196/INFOEM/IP/RR/2022 </w:t>
      </w:r>
      <w:r>
        <w:rPr>
          <w:rFonts w:ascii="Palatino Linotype" w:hAnsi="Palatino Linotype" w:cs="Arial"/>
          <w:sz w:val="24"/>
        </w:rPr>
        <w:t xml:space="preserve">y </w:t>
      </w:r>
      <w:r>
        <w:rPr>
          <w:rFonts w:ascii="Palatino Linotype" w:hAnsi="Palatino Linotype" w:cs="Arial"/>
          <w:b/>
          <w:bCs/>
          <w:sz w:val="24"/>
        </w:rPr>
        <w:t xml:space="preserve">17197/INFOEM/IP/RR/2022, </w:t>
      </w:r>
      <w:r w:rsidR="002B1E84">
        <w:rPr>
          <w:rFonts w:ascii="Palatino Linotype" w:hAnsi="Palatino Linotype" w:cs="Arial"/>
          <w:b/>
          <w:bCs/>
          <w:sz w:val="24"/>
        </w:rPr>
        <w:t>La</w:t>
      </w:r>
      <w:r>
        <w:rPr>
          <w:rFonts w:ascii="Palatino Linotype" w:hAnsi="Palatino Linotype" w:cs="Arial"/>
          <w:b/>
          <w:bCs/>
          <w:sz w:val="24"/>
        </w:rPr>
        <w:t xml:space="preserve"> Recurrente </w:t>
      </w:r>
      <w:r>
        <w:rPr>
          <w:rFonts w:ascii="Palatino Linotype" w:hAnsi="Palatino Linotype" w:cs="Arial"/>
          <w:sz w:val="24"/>
        </w:rPr>
        <w:t xml:space="preserve">presentó los alegatos, pruebas o manifestaciones estimadas pertinentes, en fecha </w:t>
      </w:r>
      <w:r>
        <w:rPr>
          <w:rFonts w:ascii="Palatino Linotype" w:hAnsi="Palatino Linotype" w:cs="Arial"/>
          <w:b/>
          <w:bCs/>
          <w:sz w:val="24"/>
        </w:rPr>
        <w:t xml:space="preserve">veinticinco de diciembre de dos mil veintidós. </w:t>
      </w:r>
    </w:p>
    <w:p w14:paraId="54422DB2" w14:textId="71EB43B6" w:rsidR="006C65A9" w:rsidRPr="006C65A9" w:rsidRDefault="006C65A9" w:rsidP="00F02E23">
      <w:pPr>
        <w:spacing w:before="240" w:line="360" w:lineRule="auto"/>
        <w:jc w:val="both"/>
        <w:rPr>
          <w:rFonts w:ascii="Palatino Linotype" w:hAnsi="Palatino Linotype" w:cs="Arial"/>
          <w:b/>
          <w:sz w:val="24"/>
          <w:szCs w:val="24"/>
        </w:rPr>
      </w:pPr>
      <w:r>
        <w:rPr>
          <w:rFonts w:ascii="Palatino Linotype" w:hAnsi="Palatino Linotype" w:cs="Arial"/>
          <w:bCs/>
          <w:sz w:val="24"/>
          <w:szCs w:val="24"/>
        </w:rPr>
        <w:t xml:space="preserve">Asimismo, los informes justificados rendidos por </w:t>
      </w:r>
      <w:r>
        <w:rPr>
          <w:rFonts w:ascii="Palatino Linotype" w:hAnsi="Palatino Linotype" w:cs="Arial"/>
          <w:b/>
          <w:sz w:val="24"/>
          <w:szCs w:val="24"/>
        </w:rPr>
        <w:t xml:space="preserve">El Sujeto Obligado </w:t>
      </w:r>
      <w:r>
        <w:rPr>
          <w:rFonts w:ascii="Palatino Linotype" w:hAnsi="Palatino Linotype" w:cs="Arial"/>
          <w:bCs/>
          <w:sz w:val="24"/>
          <w:szCs w:val="24"/>
        </w:rPr>
        <w:t xml:space="preserve">fueron puestos a la vista en fechas </w:t>
      </w:r>
      <w:r>
        <w:rPr>
          <w:rFonts w:ascii="Palatino Linotype" w:hAnsi="Palatino Linotype" w:cs="Arial"/>
          <w:b/>
          <w:sz w:val="24"/>
          <w:szCs w:val="24"/>
        </w:rPr>
        <w:t xml:space="preserve">nueve de </w:t>
      </w:r>
      <w:r w:rsidR="007D65EE">
        <w:rPr>
          <w:rFonts w:ascii="Palatino Linotype" w:hAnsi="Palatino Linotype" w:cs="Arial"/>
          <w:b/>
          <w:sz w:val="24"/>
          <w:szCs w:val="24"/>
        </w:rPr>
        <w:t>enero</w:t>
      </w:r>
      <w:r>
        <w:rPr>
          <w:rFonts w:ascii="Palatino Linotype" w:hAnsi="Palatino Linotype" w:cs="Arial"/>
          <w:b/>
          <w:sz w:val="24"/>
          <w:szCs w:val="24"/>
        </w:rPr>
        <w:t xml:space="preserve"> y siete de febrero de dos mil veintitrés. </w:t>
      </w:r>
    </w:p>
    <w:p w14:paraId="4B1BF006" w14:textId="09D3E05D" w:rsidR="006C65A9" w:rsidRDefault="006C65A9" w:rsidP="00F02E23">
      <w:pPr>
        <w:spacing w:before="240" w:line="360" w:lineRule="auto"/>
        <w:jc w:val="both"/>
        <w:rPr>
          <w:rFonts w:ascii="Palatino Linotype" w:hAnsi="Palatino Linotype" w:cs="Arial"/>
          <w:b/>
          <w:sz w:val="24"/>
          <w:szCs w:val="24"/>
        </w:rPr>
      </w:pPr>
    </w:p>
    <w:p w14:paraId="2DF91424" w14:textId="7F59AB9F" w:rsidR="00F02E23" w:rsidRDefault="00F02E23" w:rsidP="00F02E23">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lastRenderedPageBreak/>
        <w:t xml:space="preserve">Por lo que una vez transcurrido el plazo establecido para que las partes manifestaran lo que a </w:t>
      </w:r>
      <w:r>
        <w:rPr>
          <w:rFonts w:ascii="Palatino Linotype" w:hAnsi="Palatino Linotype" w:cs="Arial"/>
          <w:sz w:val="24"/>
          <w:szCs w:val="24"/>
        </w:rPr>
        <w:t>su derecho conviniera, en fecha</w:t>
      </w:r>
      <w:r w:rsidR="006C65A9">
        <w:rPr>
          <w:rFonts w:ascii="Palatino Linotype" w:hAnsi="Palatino Linotype" w:cs="Arial"/>
          <w:sz w:val="24"/>
          <w:szCs w:val="24"/>
        </w:rPr>
        <w:t xml:space="preserve"> </w:t>
      </w:r>
      <w:r w:rsidR="006C65A9">
        <w:rPr>
          <w:rFonts w:ascii="Palatino Linotype" w:hAnsi="Palatino Linotype" w:cs="Arial"/>
          <w:b/>
          <w:bCs/>
          <w:sz w:val="24"/>
          <w:szCs w:val="24"/>
        </w:rPr>
        <w:t xml:space="preserve">quince de febrero de los corrientes, </w:t>
      </w:r>
      <w:r>
        <w:rPr>
          <w:rFonts w:ascii="Palatino Linotype" w:hAnsi="Palatino Linotype" w:cs="Arial"/>
          <w:sz w:val="24"/>
          <w:szCs w:val="24"/>
        </w:rPr>
        <w:t xml:space="preserve">se decretó el cierre de instrucción, </w:t>
      </w:r>
      <w:r w:rsidRPr="0003734B">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A6CE96E" w14:textId="4FF4F8B7" w:rsidR="000E6122" w:rsidRDefault="000E6122" w:rsidP="000E6122">
      <w:pPr>
        <w:spacing w:before="240" w:line="360" w:lineRule="auto"/>
        <w:jc w:val="both"/>
        <w:rPr>
          <w:rFonts w:ascii="Palatino Linotype" w:hAnsi="Palatino Linotype" w:cs="Arial"/>
          <w:sz w:val="24"/>
          <w:szCs w:val="24"/>
        </w:rPr>
      </w:pPr>
      <w:r>
        <w:rPr>
          <w:rFonts w:ascii="Palatino Linotype" w:hAnsi="Palatino Linotype" w:cs="Arial"/>
          <w:sz w:val="24"/>
          <w:szCs w:val="24"/>
        </w:rPr>
        <w:t>Por otra parte</w:t>
      </w:r>
      <w:r w:rsidRPr="0036654D">
        <w:rPr>
          <w:rFonts w:ascii="Palatino Linotype" w:hAnsi="Palatino Linotype" w:cs="Arial"/>
          <w:sz w:val="24"/>
          <w:szCs w:val="24"/>
        </w:rPr>
        <w:t>, en fecha</w:t>
      </w:r>
      <w:r>
        <w:rPr>
          <w:rFonts w:ascii="Palatino Linotype" w:hAnsi="Palatino Linotype" w:cs="Arial"/>
          <w:sz w:val="24"/>
          <w:szCs w:val="24"/>
        </w:rPr>
        <w:t xml:space="preserve"> </w:t>
      </w:r>
      <w:r>
        <w:rPr>
          <w:rFonts w:ascii="Palatino Linotype" w:hAnsi="Palatino Linotype" w:cs="Arial"/>
          <w:b/>
          <w:bCs/>
          <w:sz w:val="24"/>
          <w:szCs w:val="24"/>
        </w:rPr>
        <w:t xml:space="preserve">quince de febrero de los corrientes, </w:t>
      </w:r>
      <w:r w:rsidRPr="005C7C26">
        <w:rPr>
          <w:rFonts w:ascii="Palatino Linotype" w:hAnsi="Palatino Linotype" w:cs="Arial"/>
          <w:sz w:val="24"/>
          <w:szCs w:val="24"/>
        </w:rPr>
        <w:t>e</w:t>
      </w:r>
      <w:r>
        <w:rPr>
          <w:rFonts w:ascii="Palatino Linotype" w:hAnsi="Palatino Linotype" w:cs="Arial"/>
          <w:sz w:val="24"/>
          <w:szCs w:val="24"/>
        </w:rPr>
        <w:t xml:space="preserv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0F43E1A1"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338799"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que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5E5D591"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D3F057A"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5C1DF14"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excepcionalmente, si un asunto es resuelto con posterioridad a los plazos señalados por la norma debe analizarse la razonabilidad del tiempo necesario para su resolución, atentos a los siguientes criterios:  </w:t>
      </w:r>
    </w:p>
    <w:p w14:paraId="6997E039"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0281E25F"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BD60D0F"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6DBFDB48"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44C3A09"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1F3B43">
        <w:rPr>
          <w:rFonts w:ascii="Palatino Linotype" w:hAnsi="Palatino Linotype" w:cstheme="majorHAnsi"/>
          <w:sz w:val="24"/>
          <w:szCs w:val="24"/>
        </w:rPr>
        <w:lastRenderedPageBreak/>
        <w:t>considerarse normal, debe concluirse que es una excluyente de responsabilidad en relación con la actuación del funcionario, como ha acontecido en el caso que nos ocupa.</w:t>
      </w:r>
    </w:p>
    <w:p w14:paraId="2B5B663A"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C6D9BC1"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FD2F67"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31058A9"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052627DC" w14:textId="77777777" w:rsidR="000E6122" w:rsidRPr="001F3B43" w:rsidRDefault="000E6122" w:rsidP="000E6122">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HUMANOS.”, visible en el Seminario Judicial de la Federación y su gaceta, con el registro digital 2002350.</w:t>
      </w:r>
    </w:p>
    <w:p w14:paraId="23D3DBF2" w14:textId="77777777" w:rsidR="000E6122" w:rsidRPr="00B01D73" w:rsidRDefault="000E6122" w:rsidP="000E6122">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1E8FF5D3" w14:textId="77777777" w:rsidR="000E6122" w:rsidRDefault="000E6122" w:rsidP="006D5803">
      <w:pPr>
        <w:spacing w:before="240" w:line="360" w:lineRule="auto"/>
        <w:jc w:val="center"/>
        <w:rPr>
          <w:rFonts w:ascii="Palatino Linotype" w:hAnsi="Palatino Linotype" w:cs="Arial"/>
          <w:b/>
          <w:sz w:val="24"/>
        </w:rPr>
      </w:pPr>
    </w:p>
    <w:p w14:paraId="0D4A17DB" w14:textId="03F66511"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 xml:space="preserve">Ley de Transparencia y Acceso a la Información </w:t>
      </w:r>
      <w:r>
        <w:rPr>
          <w:rFonts w:ascii="Palatino Linotype" w:eastAsia="Calibri" w:hAnsi="Palatino Linotype" w:cs="Arial"/>
          <w:b/>
          <w:color w:val="000000" w:themeColor="text1"/>
          <w:sz w:val="24"/>
          <w:szCs w:val="24"/>
        </w:rPr>
        <w:lastRenderedPageBreak/>
        <w:t>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08C25F9" w14:textId="77777777" w:rsidR="000E6122" w:rsidRDefault="000E6122" w:rsidP="000E612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B998723" w14:textId="77777777" w:rsidR="000E6122" w:rsidRPr="00514E66" w:rsidRDefault="000E6122" w:rsidP="000E6122">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14E66">
        <w:rPr>
          <w:rFonts w:ascii="Palatino Linotype" w:hAnsi="Palatino Linotype" w:cs="Arial"/>
        </w:rPr>
        <w:lastRenderedPageBreak/>
        <w:t>Información Pública del Estado de México y Municipios, en correlación con la seguridad jurídica que debe generar lo actuado ante este Organismo garante.</w:t>
      </w:r>
    </w:p>
    <w:p w14:paraId="7BE24711" w14:textId="77777777" w:rsidR="000E6122" w:rsidRDefault="000E6122" w:rsidP="000E6122">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879D459" w14:textId="364CC3A8"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297E3B9" w14:textId="77777777" w:rsidR="000E6122" w:rsidRDefault="000E6122" w:rsidP="00871F78">
      <w:pPr>
        <w:spacing w:before="240" w:line="360" w:lineRule="auto"/>
        <w:jc w:val="both"/>
        <w:rPr>
          <w:rFonts w:ascii="Palatino Linotype" w:hAnsi="Palatino Linotype"/>
          <w:sz w:val="24"/>
          <w:szCs w:val="24"/>
        </w:rPr>
      </w:pPr>
    </w:p>
    <w:p w14:paraId="136B6E97" w14:textId="7A675FB1" w:rsidR="000E6122" w:rsidRDefault="0072378A" w:rsidP="00871F78">
      <w:pPr>
        <w:spacing w:before="240" w:line="360" w:lineRule="auto"/>
        <w:jc w:val="both"/>
        <w:rPr>
          <w:rFonts w:ascii="Palatino Linotype" w:hAnsi="Palatino Linotype" w:cs="Arial"/>
          <w:sz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 xml:space="preserve">dente mencionar que </w:t>
      </w:r>
      <w:r w:rsidR="006446E9">
        <w:rPr>
          <w:rFonts w:ascii="Palatino Linotype" w:hAnsi="Palatino Linotype"/>
          <w:sz w:val="24"/>
          <w:szCs w:val="24"/>
        </w:rPr>
        <w:t xml:space="preserve">mediante las solicitudes de información </w:t>
      </w:r>
      <w:r w:rsidR="000E6122">
        <w:rPr>
          <w:rFonts w:ascii="Palatino Linotype" w:hAnsi="Palatino Linotype" w:cs="Arial"/>
          <w:b/>
          <w:bCs/>
          <w:sz w:val="24"/>
        </w:rPr>
        <w:t xml:space="preserve">02007/AMECAMEC/IP/2022, 02005/AMECAMEC/IP/2022, 02004/AMECAMEC/IP/2022 </w:t>
      </w:r>
      <w:r w:rsidR="000E6122">
        <w:rPr>
          <w:rFonts w:ascii="Palatino Linotype" w:hAnsi="Palatino Linotype" w:cs="Arial"/>
          <w:sz w:val="24"/>
        </w:rPr>
        <w:t xml:space="preserve">y </w:t>
      </w:r>
      <w:r w:rsidR="000E6122">
        <w:rPr>
          <w:rFonts w:ascii="Palatino Linotype" w:hAnsi="Palatino Linotype" w:cs="Arial"/>
          <w:b/>
          <w:bCs/>
          <w:sz w:val="24"/>
        </w:rPr>
        <w:t xml:space="preserve">02003/AMECAMEC/IP/2022 </w:t>
      </w:r>
      <w:r w:rsidR="000E6122">
        <w:rPr>
          <w:rFonts w:ascii="Palatino Linotype" w:hAnsi="Palatino Linotype" w:cs="Arial"/>
          <w:sz w:val="24"/>
        </w:rPr>
        <w:t xml:space="preserve">fue formulado </w:t>
      </w:r>
      <w:r w:rsidR="000E6122">
        <w:rPr>
          <w:rFonts w:ascii="Palatino Linotype" w:hAnsi="Palatino Linotype" w:cs="Arial"/>
          <w:b/>
          <w:bCs/>
          <w:sz w:val="24"/>
        </w:rPr>
        <w:t xml:space="preserve">1 -un- </w:t>
      </w:r>
      <w:r w:rsidR="000E6122">
        <w:rPr>
          <w:rFonts w:ascii="Palatino Linotype" w:hAnsi="Palatino Linotype" w:cs="Arial"/>
          <w:sz w:val="24"/>
        </w:rPr>
        <w:t xml:space="preserve">requerimiento respecto del cual se desprenden las siguientes consideraciones: </w:t>
      </w:r>
    </w:p>
    <w:p w14:paraId="6ACF00E2" w14:textId="10A35CAD" w:rsidR="000E6122" w:rsidRDefault="00D7203B" w:rsidP="000E6122">
      <w:pPr>
        <w:pStyle w:val="Prrafodelista"/>
        <w:numPr>
          <w:ilvl w:val="0"/>
          <w:numId w:val="32"/>
        </w:numPr>
        <w:spacing w:before="240" w:line="360" w:lineRule="auto"/>
        <w:jc w:val="both"/>
        <w:rPr>
          <w:rFonts w:ascii="Palatino Linotype" w:hAnsi="Palatino Linotype"/>
        </w:rPr>
      </w:pPr>
      <w:r>
        <w:rPr>
          <w:rFonts w:ascii="Palatino Linotype" w:hAnsi="Palatino Linotype"/>
        </w:rPr>
        <w:lastRenderedPageBreak/>
        <w:t xml:space="preserve">Que de una interpretación gramatical y literal a las solicitudes de información se desprende que fue requerido el submódulo de obra del informe trimestral rendido por el Ayuntamiento de Amecameca ante el Órgano Superior de Fiscalización del Estado de México, es decir, de manera indirecta fueron requeridos diversos soportes documentales, los cuales se abordarán en párrafos subsecuentes. </w:t>
      </w:r>
    </w:p>
    <w:p w14:paraId="6CC6E386" w14:textId="560C30CD" w:rsidR="00D7203B" w:rsidRPr="000E6122" w:rsidRDefault="00D7203B" w:rsidP="000E6122">
      <w:pPr>
        <w:pStyle w:val="Prrafodelista"/>
        <w:numPr>
          <w:ilvl w:val="0"/>
          <w:numId w:val="32"/>
        </w:numPr>
        <w:spacing w:before="240" w:line="360" w:lineRule="auto"/>
        <w:jc w:val="both"/>
        <w:rPr>
          <w:rFonts w:ascii="Palatino Linotype" w:hAnsi="Palatino Linotype"/>
        </w:rPr>
      </w:pPr>
      <w:r>
        <w:rPr>
          <w:rFonts w:ascii="Palatino Linotype" w:hAnsi="Palatino Linotype"/>
        </w:rPr>
        <w:t xml:space="preserve">Que las solicitudes de información fueron rendidas los días once y catorce de noviembre de dos mil veintidós, luego entonces, el último informe trimestral disponible a le fecha en que se ejerció el derecho de acceso a la información pública es el correspondiente al tercer trimestre (julio, agosto, septiembre de dos mil veintidós). </w:t>
      </w:r>
    </w:p>
    <w:p w14:paraId="0F951294" w14:textId="77777777" w:rsidR="000E6122" w:rsidRDefault="000E6122" w:rsidP="00871F78">
      <w:pPr>
        <w:spacing w:before="240" w:line="360" w:lineRule="auto"/>
        <w:jc w:val="both"/>
        <w:rPr>
          <w:rFonts w:ascii="Palatino Linotype" w:hAnsi="Palatino Linotype"/>
          <w:b/>
          <w:bCs/>
          <w:sz w:val="24"/>
          <w:szCs w:val="24"/>
        </w:rPr>
      </w:pPr>
    </w:p>
    <w:p w14:paraId="7BFB3D35" w14:textId="2C7F9C23" w:rsidR="006E6525" w:rsidRPr="0051062B" w:rsidRDefault="00D7203B" w:rsidP="006E6525">
      <w:pPr>
        <w:spacing w:before="240" w:line="360" w:lineRule="auto"/>
        <w:jc w:val="both"/>
        <w:rPr>
          <w:rFonts w:ascii="Palatino Linotype" w:hAnsi="Palatino Linotype"/>
          <w:sz w:val="24"/>
          <w:szCs w:val="24"/>
        </w:rPr>
      </w:pPr>
      <w:r>
        <w:rPr>
          <w:rFonts w:ascii="Palatino Linotype" w:hAnsi="Palatino Linotype"/>
          <w:sz w:val="24"/>
          <w:szCs w:val="24"/>
        </w:rPr>
        <w:t>Dichas precisiones</w:t>
      </w:r>
      <w:r w:rsidR="006E6525">
        <w:rPr>
          <w:rFonts w:ascii="Palatino Linotype" w:hAnsi="Palatino Linotype"/>
          <w:sz w:val="24"/>
          <w:szCs w:val="24"/>
        </w:rPr>
        <w:t xml:space="preserve">, con fundamento </w:t>
      </w:r>
      <w:r w:rsidR="006E6525" w:rsidRPr="0051062B">
        <w:rPr>
          <w:rFonts w:ascii="Palatino Linotype" w:hAnsi="Palatino Linotype"/>
          <w:sz w:val="24"/>
          <w:szCs w:val="24"/>
        </w:rPr>
        <w:t xml:space="preserve">en los artículos 13 y 181 cuarto párrafo de la Ley en materia, los cuales a la letra rezan: </w:t>
      </w:r>
    </w:p>
    <w:p w14:paraId="706816DB" w14:textId="77777777" w:rsidR="006E6525" w:rsidRPr="0051062B" w:rsidRDefault="006E6525" w:rsidP="006E6525">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6441D275" w14:textId="77777777" w:rsidR="006E6525" w:rsidRPr="0051062B" w:rsidRDefault="006E6525" w:rsidP="006E6525">
      <w:pPr>
        <w:pStyle w:val="Citas"/>
        <w:rPr>
          <w:b/>
        </w:rPr>
      </w:pPr>
      <w:r w:rsidRPr="0051062B">
        <w:rPr>
          <w:b/>
        </w:rPr>
        <w:t xml:space="preserve">Artículo 181. … </w:t>
      </w:r>
    </w:p>
    <w:p w14:paraId="4C33B8EE" w14:textId="77777777" w:rsidR="006E6525" w:rsidRDefault="006E6525" w:rsidP="006E6525">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C815398" w14:textId="2D2B3175" w:rsidR="006E6525" w:rsidRDefault="006E6525" w:rsidP="006E6525">
      <w:pPr>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w:t>
      </w:r>
      <w:r w:rsidR="002B1E84">
        <w:rPr>
          <w:rFonts w:ascii="Palatino Linotype" w:hAnsi="Palatino Linotype"/>
          <w:sz w:val="24"/>
          <w:szCs w:val="24"/>
        </w:rPr>
        <w:t>la</w:t>
      </w:r>
      <w:r>
        <w:rPr>
          <w:rFonts w:ascii="Palatino Linotype" w:hAnsi="Palatino Linotype"/>
          <w:sz w:val="24"/>
          <w:szCs w:val="24"/>
        </w:rPr>
        <w:t xml:space="preserve">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7BEC082C" w14:textId="483FE480" w:rsidR="00DE06C3" w:rsidRDefault="00D7203B" w:rsidP="006E6525">
      <w:pPr>
        <w:pStyle w:val="Prrafodelista"/>
        <w:numPr>
          <w:ilvl w:val="0"/>
          <w:numId w:val="20"/>
        </w:numPr>
        <w:spacing w:before="240" w:line="360" w:lineRule="auto"/>
        <w:jc w:val="both"/>
        <w:rPr>
          <w:rFonts w:ascii="Palatino Linotype" w:hAnsi="Palatino Linotype"/>
        </w:rPr>
      </w:pPr>
      <w:r>
        <w:rPr>
          <w:rFonts w:ascii="Palatino Linotype" w:hAnsi="Palatino Linotype"/>
        </w:rPr>
        <w:t xml:space="preserve">El o los documentos que integran el submódulo obra del informe trimestral rendido ante el Órgano Superior de Fiscalización del Estado de México, correspondiente al tercer trimestre del año dos mil veintidós. </w:t>
      </w:r>
    </w:p>
    <w:p w14:paraId="26ADA514" w14:textId="77777777" w:rsidR="0068677F" w:rsidRPr="006E6525" w:rsidRDefault="0068677F" w:rsidP="0068677F">
      <w:pPr>
        <w:pStyle w:val="Prrafodelista"/>
        <w:spacing w:before="240" w:line="360" w:lineRule="auto"/>
        <w:ind w:left="720"/>
        <w:jc w:val="both"/>
        <w:rPr>
          <w:rFonts w:ascii="Palatino Linotype" w:hAnsi="Palatino Linotype"/>
        </w:rPr>
      </w:pPr>
    </w:p>
    <w:p w14:paraId="1A95D46A" w14:textId="77777777" w:rsidR="00DE06C3" w:rsidRDefault="00DE06C3" w:rsidP="00DE06C3">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102AA2D"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E472549"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A6E506A" w14:textId="77777777" w:rsidR="00DE06C3" w:rsidRPr="00C231A5" w:rsidRDefault="00DE06C3" w:rsidP="00DE06C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250FD138" w14:textId="77777777" w:rsidR="00DE06C3" w:rsidRPr="009535E0" w:rsidRDefault="00DE06C3" w:rsidP="00DE06C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w:t>
      </w:r>
      <w:r w:rsidRPr="009535E0">
        <w:rPr>
          <w:rFonts w:ascii="Palatino Linotype" w:hAnsi="Palatino Linotype"/>
          <w:i/>
        </w:rPr>
        <w:lastRenderedPageBreak/>
        <w:t>social, según corresponda, la información, por lo menos, de los temas, documentos y políticas que a continuación se señalan:</w:t>
      </w:r>
    </w:p>
    <w:p w14:paraId="6ADA1B98" w14:textId="77777777" w:rsidR="00DE06C3" w:rsidRDefault="00DE06C3" w:rsidP="00DE06C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4C6196A5" w14:textId="77777777" w:rsidR="00DE06C3" w:rsidRDefault="00DE06C3" w:rsidP="00DE06C3">
      <w:pPr>
        <w:pStyle w:val="Citas"/>
        <w:rPr>
          <w:bCs/>
          <w:sz w:val="24"/>
          <w:szCs w:val="24"/>
        </w:rPr>
      </w:pPr>
      <w:r>
        <w:t xml:space="preserve"> (…)” </w:t>
      </w:r>
      <w:r>
        <w:rPr>
          <w:b/>
          <w:bCs/>
        </w:rPr>
        <w:t>(Sic)</w:t>
      </w:r>
    </w:p>
    <w:p w14:paraId="09B1A6D6" w14:textId="77777777" w:rsidR="00480E26" w:rsidRDefault="00480E26" w:rsidP="00DE06C3">
      <w:pPr>
        <w:spacing w:before="240" w:line="360" w:lineRule="auto"/>
        <w:jc w:val="both"/>
        <w:rPr>
          <w:rFonts w:ascii="Palatino Linotype" w:hAnsi="Palatino Linotype"/>
          <w:sz w:val="24"/>
          <w:szCs w:val="24"/>
        </w:rPr>
      </w:pPr>
    </w:p>
    <w:p w14:paraId="7BEE6115" w14:textId="77249B6C" w:rsidR="00DE06C3" w:rsidRDefault="00DE06C3" w:rsidP="00DE06C3">
      <w:pPr>
        <w:spacing w:before="240" w:line="360" w:lineRule="auto"/>
        <w:jc w:val="both"/>
        <w:rPr>
          <w:rFonts w:ascii="Palatino Linotype" w:hAnsi="Palatino Linotype"/>
          <w:sz w:val="24"/>
          <w:szCs w:val="24"/>
        </w:rPr>
      </w:pPr>
      <w:r>
        <w:rPr>
          <w:rFonts w:ascii="Palatino Linotype" w:hAnsi="Palatino Linotype"/>
          <w:sz w:val="24"/>
          <w:szCs w:val="24"/>
        </w:rPr>
        <w:t>Sirven de sustento las siguientes imágenes ilustrativas:</w:t>
      </w:r>
    </w:p>
    <w:p w14:paraId="48508C0F" w14:textId="4D4287FE" w:rsidR="00D7203B" w:rsidRDefault="002E6FEF" w:rsidP="00DE06C3">
      <w:pPr>
        <w:spacing w:before="240" w:line="360" w:lineRule="auto"/>
        <w:jc w:val="both"/>
        <w:rPr>
          <w:rFonts w:ascii="Palatino Linotype" w:hAnsi="Palatino Linotype"/>
          <w:sz w:val="24"/>
          <w:szCs w:val="24"/>
        </w:rPr>
      </w:pPr>
      <w:r>
        <w:rPr>
          <w:noProof/>
          <w:lang w:eastAsia="es-MX"/>
        </w:rPr>
        <w:drawing>
          <wp:anchor distT="0" distB="0" distL="114300" distR="114300" simplePos="0" relativeHeight="251698176" behindDoc="0" locked="0" layoutInCell="1" allowOverlap="1" wp14:anchorId="4949740E" wp14:editId="1AFE8742">
            <wp:simplePos x="0" y="0"/>
            <wp:positionH relativeFrom="column">
              <wp:posOffset>-40005</wp:posOffset>
            </wp:positionH>
            <wp:positionV relativeFrom="paragraph">
              <wp:posOffset>346710</wp:posOffset>
            </wp:positionV>
            <wp:extent cx="5759450" cy="3186430"/>
            <wp:effectExtent l="19050" t="19050" r="12700" b="13970"/>
            <wp:wrapThrough wrapText="bothSides">
              <wp:wrapPolygon edited="0">
                <wp:start x="-71" y="-129"/>
                <wp:lineTo x="-71" y="21566"/>
                <wp:lineTo x="21576" y="21566"/>
                <wp:lineTo x="21576" y="-129"/>
                <wp:lineTo x="-71" y="-129"/>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F964D0B" w14:textId="5A0F0139" w:rsidR="00D7203B" w:rsidRDefault="00D7203B" w:rsidP="00DE06C3">
      <w:pPr>
        <w:spacing w:before="240" w:line="360" w:lineRule="auto"/>
        <w:jc w:val="both"/>
        <w:rPr>
          <w:rFonts w:ascii="Palatino Linotype" w:hAnsi="Palatino Linotype"/>
          <w:sz w:val="24"/>
          <w:szCs w:val="24"/>
        </w:rPr>
      </w:pPr>
    </w:p>
    <w:p w14:paraId="12426093" w14:textId="7A95F01B" w:rsidR="00D7203B" w:rsidRDefault="002E6FEF" w:rsidP="00DE06C3">
      <w:pPr>
        <w:spacing w:before="240" w:line="360" w:lineRule="auto"/>
        <w:jc w:val="both"/>
        <w:rPr>
          <w:rFonts w:ascii="Palatino Linotype" w:hAnsi="Palatino Linotype"/>
          <w:sz w:val="24"/>
          <w:szCs w:val="24"/>
        </w:rPr>
      </w:pPr>
      <w:r>
        <w:rPr>
          <w:noProof/>
          <w:lang w:eastAsia="es-MX"/>
        </w:rPr>
        <w:lastRenderedPageBreak/>
        <w:drawing>
          <wp:anchor distT="0" distB="0" distL="114300" distR="114300" simplePos="0" relativeHeight="251699200" behindDoc="0" locked="0" layoutInCell="1" allowOverlap="1" wp14:anchorId="7A805E5B" wp14:editId="3E833238">
            <wp:simplePos x="0" y="0"/>
            <wp:positionH relativeFrom="column">
              <wp:posOffset>2200275</wp:posOffset>
            </wp:positionH>
            <wp:positionV relativeFrom="paragraph">
              <wp:posOffset>19050</wp:posOffset>
            </wp:positionV>
            <wp:extent cx="1289050" cy="1320800"/>
            <wp:effectExtent l="19050" t="19050" r="25400" b="12700"/>
            <wp:wrapThrough wrapText="bothSides">
              <wp:wrapPolygon edited="0">
                <wp:start x="-319" y="-312"/>
                <wp:lineTo x="-319" y="21496"/>
                <wp:lineTo x="21706" y="21496"/>
                <wp:lineTo x="21706" y="-312"/>
                <wp:lineTo x="-319" y="-312"/>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1320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609540B" w14:textId="42A48844" w:rsidR="00D7203B" w:rsidRDefault="00D7203B" w:rsidP="00DE06C3">
      <w:pPr>
        <w:spacing w:before="240" w:line="360" w:lineRule="auto"/>
        <w:jc w:val="both"/>
        <w:rPr>
          <w:rFonts w:ascii="Palatino Linotype" w:hAnsi="Palatino Linotype"/>
          <w:sz w:val="24"/>
          <w:szCs w:val="24"/>
        </w:rPr>
      </w:pPr>
    </w:p>
    <w:p w14:paraId="6C1BE58D" w14:textId="1D239F77" w:rsidR="00D7203B" w:rsidRDefault="00D7203B" w:rsidP="00DE06C3">
      <w:pPr>
        <w:spacing w:before="240" w:line="360" w:lineRule="auto"/>
        <w:jc w:val="both"/>
        <w:rPr>
          <w:rFonts w:ascii="Palatino Linotype" w:hAnsi="Palatino Linotype"/>
          <w:sz w:val="24"/>
          <w:szCs w:val="24"/>
        </w:rPr>
      </w:pPr>
    </w:p>
    <w:p w14:paraId="58F158EB" w14:textId="7FB042C4" w:rsidR="00D7203B" w:rsidRDefault="00D7203B" w:rsidP="00DE06C3">
      <w:pPr>
        <w:spacing w:before="240" w:line="360" w:lineRule="auto"/>
        <w:jc w:val="both"/>
        <w:rPr>
          <w:rFonts w:ascii="Palatino Linotype" w:hAnsi="Palatino Linotype"/>
          <w:sz w:val="24"/>
          <w:szCs w:val="24"/>
        </w:rPr>
      </w:pPr>
    </w:p>
    <w:p w14:paraId="782E6FA5" w14:textId="4EADEBB1" w:rsidR="006E0E33" w:rsidRDefault="006E0E33" w:rsidP="006E0E33">
      <w:pPr>
        <w:spacing w:before="240" w:line="360" w:lineRule="auto"/>
        <w:jc w:val="both"/>
        <w:rPr>
          <w:rFonts w:ascii="Palatino Linotype" w:hAnsi="Palatino Linotype"/>
          <w:sz w:val="24"/>
          <w:szCs w:val="24"/>
        </w:rPr>
      </w:pPr>
      <w:r w:rsidRPr="00B86B44">
        <w:rPr>
          <w:rFonts w:ascii="Palatino Linotype" w:hAnsi="Palatino Linotype"/>
          <w:sz w:val="24"/>
          <w:szCs w:val="24"/>
        </w:rPr>
        <w:t xml:space="preserve">De lo expuesto con anterioridad, se desprende que </w:t>
      </w:r>
      <w:r w:rsidRPr="00B86B44">
        <w:rPr>
          <w:rFonts w:ascii="Palatino Linotype" w:hAnsi="Palatino Linotype"/>
          <w:b/>
          <w:sz w:val="24"/>
          <w:szCs w:val="24"/>
        </w:rPr>
        <w:t xml:space="preserve">El Sujeto Obligado </w:t>
      </w:r>
      <w:r w:rsidRPr="00B86B44">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sz w:val="24"/>
          <w:szCs w:val="24"/>
        </w:rPr>
        <w:t xml:space="preserve">Dirección de Obras Públicas y Desarrollo Urbano. </w:t>
      </w:r>
    </w:p>
    <w:p w14:paraId="274B6DBB" w14:textId="35AE2A32" w:rsidR="006E0E33" w:rsidRPr="00B86B44" w:rsidRDefault="006E0E33" w:rsidP="006E0E33">
      <w:pPr>
        <w:spacing w:before="240" w:line="360" w:lineRule="auto"/>
        <w:jc w:val="both"/>
        <w:rPr>
          <w:rFonts w:ascii="Palatino Linotype" w:hAnsi="Palatino Linotype"/>
          <w:b/>
          <w:sz w:val="24"/>
          <w:szCs w:val="24"/>
        </w:rPr>
      </w:pPr>
      <w:r w:rsidRPr="00F551DE">
        <w:rPr>
          <w:rFonts w:ascii="Palatino Linotype" w:hAnsi="Palatino Linotype"/>
          <w:iCs/>
          <w:sz w:val="24"/>
          <w:szCs w:val="24"/>
        </w:rPr>
        <w:t xml:space="preserve">De manera complementaria, a efecto de ilustrar la esfera competencial </w:t>
      </w:r>
      <w:r w:rsidR="009E59E7">
        <w:rPr>
          <w:rFonts w:ascii="Palatino Linotype" w:hAnsi="Palatino Linotype"/>
          <w:iCs/>
          <w:sz w:val="24"/>
          <w:szCs w:val="24"/>
        </w:rPr>
        <w:t xml:space="preserve">de </w:t>
      </w:r>
      <w:r w:rsidR="002E6FEF">
        <w:rPr>
          <w:rFonts w:ascii="Palatino Linotype" w:hAnsi="Palatino Linotype"/>
          <w:iCs/>
          <w:sz w:val="24"/>
          <w:szCs w:val="24"/>
        </w:rPr>
        <w:t xml:space="preserve">la </w:t>
      </w:r>
      <w:r w:rsidR="002E6FEF" w:rsidRPr="00F551DE">
        <w:rPr>
          <w:rFonts w:ascii="Palatino Linotype" w:hAnsi="Palatino Linotype"/>
          <w:iCs/>
          <w:sz w:val="24"/>
          <w:szCs w:val="24"/>
        </w:rPr>
        <w:t>unidad</w:t>
      </w:r>
      <w:r w:rsidRPr="00F551DE">
        <w:rPr>
          <w:rFonts w:ascii="Palatino Linotype" w:hAnsi="Palatino Linotype"/>
          <w:iCs/>
          <w:sz w:val="24"/>
          <w:szCs w:val="24"/>
        </w:rPr>
        <w:t xml:space="preserve"> administrativa en cita, resulta oportuno traer </w:t>
      </w:r>
      <w:r>
        <w:rPr>
          <w:rFonts w:ascii="Palatino Linotype" w:hAnsi="Palatino Linotype"/>
          <w:iCs/>
          <w:sz w:val="24"/>
          <w:szCs w:val="24"/>
        </w:rPr>
        <w:t>a colación los artículos 87 y 96 Bis, fracción XXIV de la Ley Orgánica Municipal del Estado de México</w:t>
      </w:r>
      <w:r w:rsidR="004056E1">
        <w:rPr>
          <w:rFonts w:ascii="Palatino Linotype" w:hAnsi="Palatino Linotype"/>
          <w:iCs/>
          <w:sz w:val="24"/>
          <w:szCs w:val="24"/>
        </w:rPr>
        <w:t>; así como el numeral 84, fracciones II y VII del Bando Municipal de Amecameca, porciones normativas que disponen a la literalidad lo siguiente:</w:t>
      </w:r>
      <w:r>
        <w:rPr>
          <w:rFonts w:ascii="Palatino Linotype" w:hAnsi="Palatino Linotype"/>
          <w:sz w:val="24"/>
          <w:szCs w:val="24"/>
        </w:rPr>
        <w:t xml:space="preserve"> </w:t>
      </w:r>
      <w:r w:rsidRPr="00B86B44">
        <w:rPr>
          <w:rFonts w:ascii="Palatino Linotype" w:hAnsi="Palatino Linotype"/>
          <w:sz w:val="24"/>
          <w:szCs w:val="24"/>
        </w:rPr>
        <w:t xml:space="preserve"> </w:t>
      </w:r>
    </w:p>
    <w:p w14:paraId="316C7279" w14:textId="0238D1F1" w:rsidR="006E0E33" w:rsidRPr="004056E1" w:rsidRDefault="004056E1" w:rsidP="004056E1">
      <w:pPr>
        <w:pStyle w:val="Citas"/>
        <w:jc w:val="center"/>
        <w:rPr>
          <w:b/>
          <w:bCs/>
        </w:rPr>
      </w:pPr>
      <w:r w:rsidRPr="004056E1">
        <w:rPr>
          <w:b/>
          <w:bCs/>
        </w:rPr>
        <w:t>LEY ORGÁNICA MUNICIPAL DEL ESTADO DE MÉXICO</w:t>
      </w:r>
      <w:bookmarkStart w:id="1" w:name="_GoBack"/>
      <w:bookmarkEnd w:id="1"/>
    </w:p>
    <w:p w14:paraId="7A408525" w14:textId="4AC621C4" w:rsidR="004056E1" w:rsidRDefault="004056E1" w:rsidP="004056E1">
      <w:pPr>
        <w:pStyle w:val="Citas"/>
      </w:pPr>
      <w:r>
        <w:t>“</w:t>
      </w:r>
      <w:r w:rsidR="006E0E33">
        <w:t xml:space="preserve">Artículo 87.- Para el despacho, estudio y planeación de los diversos asuntos de la administración municipal, el ayuntamiento contará por lo menos con las siguientes Dependencias: </w:t>
      </w:r>
    </w:p>
    <w:p w14:paraId="0CBC27EA" w14:textId="77777777" w:rsidR="004056E1" w:rsidRDefault="006E0E33" w:rsidP="004056E1">
      <w:pPr>
        <w:pStyle w:val="Citas"/>
      </w:pPr>
      <w:r>
        <w:t>I. La secretaría del ayuntamiento;</w:t>
      </w:r>
    </w:p>
    <w:p w14:paraId="4839111F" w14:textId="77777777" w:rsidR="004056E1" w:rsidRDefault="006E0E33" w:rsidP="004056E1">
      <w:pPr>
        <w:pStyle w:val="Citas"/>
      </w:pPr>
      <w:r>
        <w:t xml:space="preserve"> II. La tesorería municipal. </w:t>
      </w:r>
    </w:p>
    <w:p w14:paraId="0CAD09A0" w14:textId="77777777" w:rsidR="004056E1" w:rsidRPr="009E59E7" w:rsidRDefault="006E0E33" w:rsidP="004056E1">
      <w:pPr>
        <w:pStyle w:val="Citas"/>
        <w:rPr>
          <w:b/>
          <w:bCs/>
          <w:u w:val="single"/>
        </w:rPr>
      </w:pPr>
      <w:r w:rsidRPr="009E59E7">
        <w:rPr>
          <w:b/>
          <w:bCs/>
          <w:u w:val="single"/>
        </w:rPr>
        <w:lastRenderedPageBreak/>
        <w:t xml:space="preserve">III. La Dirección de Obras Públicas o equivalente. </w:t>
      </w:r>
    </w:p>
    <w:p w14:paraId="51CE64D3" w14:textId="77777777" w:rsidR="004056E1" w:rsidRDefault="006E0E33" w:rsidP="004056E1">
      <w:pPr>
        <w:pStyle w:val="Citas"/>
      </w:pPr>
      <w:r>
        <w:t xml:space="preserve">IV. La Dirección de Desarrollo Económico o equivalente. </w:t>
      </w:r>
    </w:p>
    <w:p w14:paraId="4E72E75B" w14:textId="77777777" w:rsidR="004056E1" w:rsidRDefault="006E0E33" w:rsidP="004056E1">
      <w:pPr>
        <w:pStyle w:val="Citas"/>
      </w:pPr>
      <w:r>
        <w:t xml:space="preserve">V. La Dirección de Desarrollo Urbano o equivalente; </w:t>
      </w:r>
    </w:p>
    <w:p w14:paraId="262CC8EC" w14:textId="77777777" w:rsidR="004056E1" w:rsidRDefault="006E0E33" w:rsidP="004056E1">
      <w:pPr>
        <w:pStyle w:val="Citas"/>
      </w:pPr>
      <w:r>
        <w:t xml:space="preserve">VI. La Dirección de Ecología o equivalente; y </w:t>
      </w:r>
    </w:p>
    <w:p w14:paraId="141B528D" w14:textId="29225BE9" w:rsidR="006E0E33" w:rsidRDefault="006E0E33" w:rsidP="004056E1">
      <w:pPr>
        <w:pStyle w:val="Citas"/>
      </w:pPr>
      <w:r>
        <w:t>VII. Unidad Municipal de Protección Civil o equivalente</w:t>
      </w:r>
    </w:p>
    <w:p w14:paraId="62D71C6E" w14:textId="7A867AA0" w:rsidR="00DE06C3" w:rsidRDefault="00D7203B" w:rsidP="004056E1">
      <w:pPr>
        <w:pStyle w:val="Citas"/>
      </w:pPr>
      <w:r>
        <w:t>Artículo 96 Bis.- El Director de Obras Públicas o el Titular de la Unidad Administrativa equivalente, tiene las siguientes atribuciones:</w:t>
      </w:r>
    </w:p>
    <w:p w14:paraId="1556ACBA" w14:textId="236BDF85" w:rsidR="00D7203B" w:rsidRDefault="00D7203B" w:rsidP="004056E1">
      <w:pPr>
        <w:pStyle w:val="Citas"/>
      </w:pPr>
      <w:r>
        <w:t>(…)</w:t>
      </w:r>
    </w:p>
    <w:p w14:paraId="21975DE4" w14:textId="1F24BFF5" w:rsidR="00DE06C3" w:rsidRPr="004056E1" w:rsidRDefault="00D7203B" w:rsidP="004056E1">
      <w:pPr>
        <w:pStyle w:val="Citas"/>
        <w:rPr>
          <w:b/>
          <w:bCs/>
          <w:u w:val="single"/>
        </w:rPr>
      </w:pPr>
      <w:r w:rsidRPr="004056E1">
        <w:rPr>
          <w:b/>
          <w:bCs/>
          <w:u w:val="single"/>
        </w:rPr>
        <w:t>XXIV. Integrar y autorizar con su firma, la documentación que en materia de obra pública, deba presentarse al Órgano Superior de Fiscalización del Estado de México;</w:t>
      </w:r>
    </w:p>
    <w:p w14:paraId="5FE4D2A6" w14:textId="706A5348" w:rsidR="004056E1" w:rsidRPr="00380B0D" w:rsidRDefault="004056E1" w:rsidP="004056E1">
      <w:pPr>
        <w:pStyle w:val="Citas"/>
      </w:pPr>
      <w:r>
        <w:t>(…)</w:t>
      </w:r>
    </w:p>
    <w:p w14:paraId="7B75F655" w14:textId="3F5491DA" w:rsidR="007F6466" w:rsidRDefault="007F6466" w:rsidP="00BB1C32">
      <w:pPr>
        <w:spacing w:after="0" w:line="360" w:lineRule="auto"/>
        <w:jc w:val="both"/>
        <w:rPr>
          <w:rFonts w:ascii="Palatino Linotype" w:hAnsi="Palatino Linotype"/>
          <w:bCs/>
          <w:sz w:val="24"/>
          <w:szCs w:val="24"/>
        </w:rPr>
      </w:pPr>
    </w:p>
    <w:p w14:paraId="3FB589AB" w14:textId="344B8E52" w:rsidR="00513861" w:rsidRPr="004056E1" w:rsidRDefault="004056E1" w:rsidP="004056E1">
      <w:pPr>
        <w:pStyle w:val="Citas"/>
        <w:jc w:val="center"/>
        <w:rPr>
          <w:b/>
          <w:bCs/>
        </w:rPr>
      </w:pPr>
      <w:r w:rsidRPr="004056E1">
        <w:rPr>
          <w:b/>
          <w:bCs/>
        </w:rPr>
        <w:t>BANDO MUNICIPAL DE AMECAMECA</w:t>
      </w:r>
    </w:p>
    <w:p w14:paraId="20C88C92" w14:textId="578A8D6E" w:rsidR="004056E1" w:rsidRDefault="004056E1" w:rsidP="004056E1">
      <w:pPr>
        <w:pStyle w:val="Citas"/>
      </w:pPr>
      <w:r>
        <w:t>“Artículo 84. Son atribuciones de las autoridades municipales en materia de obra pública las siguientes:</w:t>
      </w:r>
    </w:p>
    <w:p w14:paraId="5B20DAA3" w14:textId="4D5C2F68" w:rsidR="004056E1" w:rsidRDefault="004056E1" w:rsidP="004056E1">
      <w:pPr>
        <w:pStyle w:val="Citas"/>
      </w:pPr>
      <w:r>
        <w:t>(…)</w:t>
      </w:r>
    </w:p>
    <w:p w14:paraId="649390A2" w14:textId="06A93CFA" w:rsidR="004056E1" w:rsidRPr="004056E1" w:rsidRDefault="004056E1" w:rsidP="004056E1">
      <w:pPr>
        <w:pStyle w:val="Citas"/>
        <w:rPr>
          <w:b/>
          <w:bCs/>
          <w:u w:val="single"/>
        </w:rPr>
      </w:pPr>
      <w:r w:rsidRPr="004056E1">
        <w:rPr>
          <w:b/>
          <w:bCs/>
          <w:u w:val="single"/>
        </w:rPr>
        <w:t>II. Ejecutar las obras públicas que aumenten y mantengan la infraestructura municipal y que estén consideradas en los planes y programas respectivos;</w:t>
      </w:r>
    </w:p>
    <w:p w14:paraId="2594FD7E" w14:textId="37CBF6D0" w:rsidR="004056E1" w:rsidRDefault="004056E1" w:rsidP="004056E1">
      <w:pPr>
        <w:pStyle w:val="Citas"/>
      </w:pPr>
      <w:r>
        <w:lastRenderedPageBreak/>
        <w:t>(…)</w:t>
      </w:r>
    </w:p>
    <w:p w14:paraId="26C8656D" w14:textId="4AC10D73" w:rsidR="004056E1" w:rsidRPr="004056E1" w:rsidRDefault="004056E1" w:rsidP="004056E1">
      <w:pPr>
        <w:pStyle w:val="Citas"/>
        <w:rPr>
          <w:b/>
          <w:bCs/>
          <w:sz w:val="24"/>
          <w:szCs w:val="24"/>
        </w:rPr>
      </w:pPr>
      <w:r>
        <w:t xml:space="preserve">VII. Las demás previstas en el Libro Décimo Segundo del Código Administrativo del Estado de México y sus reglamentos, la Ley Orgánica Municipal del Estado de México y otras disposiciones legales” </w:t>
      </w:r>
      <w:r>
        <w:rPr>
          <w:b/>
          <w:bCs/>
        </w:rPr>
        <w:t>(Sic)</w:t>
      </w:r>
    </w:p>
    <w:p w14:paraId="62BB3441" w14:textId="6B2DD6C8" w:rsidR="00DE06C3" w:rsidRDefault="00DE06C3" w:rsidP="00BB1C32">
      <w:pPr>
        <w:spacing w:after="0" w:line="360" w:lineRule="auto"/>
        <w:jc w:val="both"/>
        <w:rPr>
          <w:rFonts w:ascii="Palatino Linotype" w:hAnsi="Palatino Linotype"/>
          <w:sz w:val="24"/>
          <w:szCs w:val="24"/>
        </w:rPr>
      </w:pPr>
    </w:p>
    <w:p w14:paraId="55366AA1" w14:textId="4D86A609" w:rsidR="00DE06C3" w:rsidRDefault="004056E1" w:rsidP="00BB1C32">
      <w:pPr>
        <w:spacing w:after="0" w:line="360" w:lineRule="auto"/>
        <w:jc w:val="both"/>
        <w:rPr>
          <w:rFonts w:ascii="Palatino Linotype" w:hAnsi="Palatino Linotype"/>
          <w:sz w:val="24"/>
          <w:szCs w:val="24"/>
        </w:rPr>
      </w:pPr>
      <w:r>
        <w:rPr>
          <w:rFonts w:ascii="Palatino Linotype" w:hAnsi="Palatino Linotype"/>
          <w:sz w:val="24"/>
          <w:szCs w:val="24"/>
        </w:rPr>
        <w:t>De ahí que deba arribarse a la premisa de que la Dirección de Obras Públicas y Desarrollo Urbano es la unidad administrativa competente para:</w:t>
      </w:r>
    </w:p>
    <w:p w14:paraId="419C7F4F" w14:textId="0FAFB1FD" w:rsidR="004056E1" w:rsidRDefault="004056E1" w:rsidP="004056E1">
      <w:pPr>
        <w:pStyle w:val="Prrafodelista"/>
        <w:numPr>
          <w:ilvl w:val="0"/>
          <w:numId w:val="33"/>
        </w:numPr>
        <w:spacing w:line="360" w:lineRule="auto"/>
        <w:jc w:val="both"/>
        <w:rPr>
          <w:rFonts w:ascii="Palatino Linotype" w:hAnsi="Palatino Linotype"/>
        </w:rPr>
      </w:pPr>
      <w:r>
        <w:rPr>
          <w:rFonts w:ascii="Palatino Linotype" w:hAnsi="Palatino Linotype"/>
        </w:rPr>
        <w:t>Programar y ejecutar el programa de obra pública</w:t>
      </w:r>
    </w:p>
    <w:p w14:paraId="624BE8BC" w14:textId="0CBCAA90" w:rsidR="004056E1" w:rsidRDefault="004056E1" w:rsidP="004056E1">
      <w:pPr>
        <w:pStyle w:val="Prrafodelista"/>
        <w:numPr>
          <w:ilvl w:val="0"/>
          <w:numId w:val="33"/>
        </w:numPr>
        <w:spacing w:line="360" w:lineRule="auto"/>
        <w:jc w:val="both"/>
        <w:rPr>
          <w:rFonts w:ascii="Palatino Linotype" w:hAnsi="Palatino Linotype"/>
        </w:rPr>
      </w:pPr>
      <w:r>
        <w:rPr>
          <w:rFonts w:ascii="Palatino Linotype" w:hAnsi="Palatino Linotype"/>
        </w:rPr>
        <w:t>Promover la participación de testigos sociales</w:t>
      </w:r>
    </w:p>
    <w:p w14:paraId="3CE804D8" w14:textId="01DF5CD4" w:rsidR="004056E1" w:rsidRDefault="004056E1" w:rsidP="004056E1">
      <w:pPr>
        <w:pStyle w:val="Prrafodelista"/>
        <w:numPr>
          <w:ilvl w:val="0"/>
          <w:numId w:val="33"/>
        </w:numPr>
        <w:spacing w:line="360" w:lineRule="auto"/>
        <w:jc w:val="both"/>
        <w:rPr>
          <w:rFonts w:ascii="Palatino Linotype" w:hAnsi="Palatino Linotype"/>
        </w:rPr>
      </w:pPr>
      <w:r>
        <w:rPr>
          <w:rFonts w:ascii="Palatino Linotype" w:hAnsi="Palatino Linotype"/>
        </w:rPr>
        <w:t xml:space="preserve">Integrar y autorizar con firma autógrafa la documentación de obra pública correspondiente al informe trimestral remitido al Órgano Superior de Fiscalización del Estado de México. </w:t>
      </w:r>
    </w:p>
    <w:p w14:paraId="70F8EAEF" w14:textId="715729DA" w:rsidR="004056E1" w:rsidRDefault="004056E1" w:rsidP="004056E1">
      <w:pPr>
        <w:pStyle w:val="Prrafodelista"/>
        <w:numPr>
          <w:ilvl w:val="0"/>
          <w:numId w:val="33"/>
        </w:numPr>
        <w:spacing w:line="360" w:lineRule="auto"/>
        <w:jc w:val="both"/>
        <w:rPr>
          <w:rFonts w:ascii="Palatino Linotype" w:hAnsi="Palatino Linotype"/>
        </w:rPr>
      </w:pPr>
      <w:r>
        <w:rPr>
          <w:rFonts w:ascii="Palatino Linotype" w:hAnsi="Palatino Linotype"/>
        </w:rPr>
        <w:t xml:space="preserve">Otras. </w:t>
      </w:r>
    </w:p>
    <w:p w14:paraId="37ED7367" w14:textId="63F8866E" w:rsidR="004056E1" w:rsidRDefault="004056E1" w:rsidP="004056E1">
      <w:pPr>
        <w:spacing w:line="360" w:lineRule="auto"/>
        <w:jc w:val="both"/>
        <w:rPr>
          <w:rFonts w:ascii="Palatino Linotype" w:hAnsi="Palatino Linotype"/>
        </w:rPr>
      </w:pPr>
    </w:p>
    <w:p w14:paraId="58063D75" w14:textId="77777777" w:rsidR="004056E1" w:rsidRPr="003E0BC5" w:rsidRDefault="004056E1" w:rsidP="004056E1">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02708B32" w14:textId="77777777" w:rsidR="004056E1" w:rsidRPr="00F975C8" w:rsidRDefault="004056E1" w:rsidP="004056E1">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3298C0E6" w14:textId="77777777" w:rsidR="004056E1" w:rsidRPr="00F975C8" w:rsidRDefault="004056E1" w:rsidP="004056E1">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14:paraId="292D1931" w14:textId="77777777" w:rsidR="004056E1" w:rsidRPr="00F975C8" w:rsidRDefault="004056E1" w:rsidP="004056E1">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422C2AEB" w14:textId="77777777" w:rsidR="004056E1" w:rsidRDefault="004056E1" w:rsidP="004056E1">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3377431A" w14:textId="77777777" w:rsidR="004056E1" w:rsidRDefault="004056E1" w:rsidP="004056E1">
      <w:pPr>
        <w:autoSpaceDE w:val="0"/>
        <w:autoSpaceDN w:val="0"/>
        <w:adjustRightInd w:val="0"/>
        <w:spacing w:before="240" w:line="360" w:lineRule="auto"/>
        <w:ind w:left="851" w:right="851"/>
        <w:jc w:val="both"/>
        <w:rPr>
          <w:rStyle w:val="apple-style-span"/>
          <w:rFonts w:ascii="Palatino Linotype" w:hAnsi="Palatino Linotype" w:cs="Arial"/>
          <w:b/>
          <w:color w:val="000000"/>
        </w:rPr>
      </w:pPr>
    </w:p>
    <w:p w14:paraId="504A1688" w14:textId="7A32C946" w:rsidR="004056E1" w:rsidRDefault="004056E1" w:rsidP="004056E1">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w:t>
      </w:r>
      <w:r w:rsidR="009E59E7" w:rsidRPr="003E0BC5">
        <w:rPr>
          <w:rFonts w:ascii="Palatino Linotype" w:hAnsi="Palatino Linotype"/>
          <w:sz w:val="24"/>
          <w:szCs w:val="24"/>
        </w:rPr>
        <w:t>), emite</w:t>
      </w:r>
      <w:r w:rsidRPr="003E0BC5">
        <w:rPr>
          <w:rFonts w:ascii="Palatino Linotype" w:hAnsi="Palatino Linotype"/>
          <w:sz w:val="24"/>
          <w:szCs w:val="24"/>
        </w:rPr>
        <w:t xml:space="preserv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w:t>
      </w:r>
      <w:r>
        <w:rPr>
          <w:rFonts w:ascii="Palatino Linotype" w:hAnsi="Palatino Linotype"/>
          <w:sz w:val="24"/>
          <w:szCs w:val="24"/>
        </w:rPr>
        <w:t xml:space="preserve"> el submódulo de obra. </w:t>
      </w:r>
    </w:p>
    <w:p w14:paraId="7F4B3D38" w14:textId="77777777" w:rsidR="004056E1" w:rsidRPr="003E0BC5" w:rsidRDefault="004056E1" w:rsidP="004056E1">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4789CC3" w14:textId="77777777" w:rsidR="004056E1" w:rsidRPr="00F975C8" w:rsidRDefault="004056E1" w:rsidP="004056E1">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2228B6E" w14:textId="77777777" w:rsidR="004056E1" w:rsidRPr="00A535E3" w:rsidRDefault="004056E1" w:rsidP="004056E1">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w:t>
      </w:r>
      <w:r w:rsidRPr="00F975C8">
        <w:rPr>
          <w:rFonts w:ascii="Palatino Linotype" w:hAnsi="Palatino Linotype"/>
          <w:i/>
        </w:rPr>
        <w:lastRenderedPageBreak/>
        <w:t xml:space="preserve">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224BC358" w14:textId="77777777" w:rsidR="004056E1" w:rsidRPr="00F975C8" w:rsidRDefault="004056E1" w:rsidP="004056E1">
      <w:pPr>
        <w:ind w:left="851" w:right="758"/>
        <w:jc w:val="both"/>
        <w:rPr>
          <w:rFonts w:ascii="Palatino Linotype" w:hAnsi="Palatino Linotype"/>
          <w:i/>
        </w:rPr>
      </w:pPr>
    </w:p>
    <w:p w14:paraId="39EEC8D5" w14:textId="71918120" w:rsidR="006E3842" w:rsidRPr="003E0BC5" w:rsidRDefault="00211623" w:rsidP="004056E1">
      <w:pPr>
        <w:spacing w:before="240" w:after="240" w:line="360" w:lineRule="auto"/>
        <w:ind w:right="-9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03296" behindDoc="0" locked="0" layoutInCell="1" allowOverlap="1" wp14:anchorId="7613963E" wp14:editId="5990865B">
                <wp:simplePos x="0" y="0"/>
                <wp:positionH relativeFrom="column">
                  <wp:posOffset>-66675</wp:posOffset>
                </wp:positionH>
                <wp:positionV relativeFrom="paragraph">
                  <wp:posOffset>1770380</wp:posOffset>
                </wp:positionV>
                <wp:extent cx="5981700" cy="4373880"/>
                <wp:effectExtent l="0" t="0" r="19050" b="26670"/>
                <wp:wrapNone/>
                <wp:docPr id="4" name="Straight Connector 4"/>
                <wp:cNvGraphicFramePr/>
                <a:graphic xmlns:a="http://schemas.openxmlformats.org/drawingml/2006/main">
                  <a:graphicData uri="http://schemas.microsoft.com/office/word/2010/wordprocessingShape">
                    <wps:wsp>
                      <wps:cNvCnPr/>
                      <wps:spPr>
                        <a:xfrm>
                          <a:off x="0" y="0"/>
                          <a:ext cx="5981700" cy="4373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14612D"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5.25pt,139.4pt" to="465.75pt,4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" strokecolor="#5b9bd5 [3204]" strokeweight=".5pt">
                <v:stroke joinstyle="miter"/>
              </v:line>
            </w:pict>
          </mc:Fallback>
        </mc:AlternateContent>
      </w:r>
      <w:r w:rsidR="004056E1" w:rsidRPr="003E0BC5">
        <w:rPr>
          <w:rFonts w:ascii="Palatino Linotype" w:hAnsi="Palatino Linotype"/>
          <w:sz w:val="24"/>
          <w:szCs w:val="24"/>
        </w:rPr>
        <w:t xml:space="preserve">La información </w:t>
      </w:r>
      <w:r w:rsidR="004056E1" w:rsidRPr="003E0BC5">
        <w:rPr>
          <w:rFonts w:ascii="Palatino Linotype" w:hAnsi="Palatino Linotype"/>
          <w:b/>
          <w:sz w:val="24"/>
          <w:szCs w:val="24"/>
        </w:rPr>
        <w:t>documental comprobatoria</w:t>
      </w:r>
      <w:r w:rsidR="004056E1" w:rsidRPr="003E0BC5">
        <w:rPr>
          <w:rFonts w:ascii="Palatino Linotype" w:hAnsi="Palatino Linotype"/>
          <w:sz w:val="24"/>
          <w:szCs w:val="24"/>
        </w:rPr>
        <w:t xml:space="preserve">, </w:t>
      </w:r>
      <w:r w:rsidR="004056E1" w:rsidRPr="003E0BC5">
        <w:rPr>
          <w:rFonts w:ascii="Palatino Linotype" w:hAnsi="Palatino Linotype"/>
          <w:b/>
          <w:sz w:val="24"/>
          <w:szCs w:val="24"/>
          <w:u w:val="single"/>
        </w:rPr>
        <w:t>deberá conservarse en los archivos de la entidad fiscalizada –Municipio</w:t>
      </w:r>
      <w:r w:rsidR="004056E1"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r w:rsidR="006E3842">
        <w:rPr>
          <w:rFonts w:ascii="Palatino Linotype" w:hAnsi="Palatino Linotype"/>
          <w:sz w:val="24"/>
          <w:szCs w:val="24"/>
        </w:rPr>
        <w:t xml:space="preserve"> Una vez puntualizado esto, se advierte que el submódulo de obra se nutre de los siguientes soportes documentales: </w:t>
      </w:r>
    </w:p>
    <w:p w14:paraId="6477BF86" w14:textId="6070CAE6" w:rsidR="004056E1" w:rsidRDefault="006E3842" w:rsidP="004056E1">
      <w:pPr>
        <w:spacing w:line="360" w:lineRule="auto"/>
        <w:jc w:val="both"/>
        <w:rPr>
          <w:rFonts w:ascii="Palatino Linotype" w:hAnsi="Palatino Linotype"/>
        </w:rPr>
      </w:pPr>
      <w:r>
        <w:rPr>
          <w:rFonts w:ascii="Palatino Linotype" w:hAnsi="Palatino Linotype"/>
          <w:noProof/>
          <w:lang w:eastAsia="es-MX"/>
        </w:rPr>
        <w:lastRenderedPageBreak/>
        <w:drawing>
          <wp:anchor distT="0" distB="0" distL="114300" distR="114300" simplePos="0" relativeHeight="251700224" behindDoc="0" locked="0" layoutInCell="1" allowOverlap="1" wp14:anchorId="27D8DBB7" wp14:editId="72EEA606">
            <wp:simplePos x="0" y="0"/>
            <wp:positionH relativeFrom="column">
              <wp:posOffset>22225</wp:posOffset>
            </wp:positionH>
            <wp:positionV relativeFrom="paragraph">
              <wp:posOffset>19050</wp:posOffset>
            </wp:positionV>
            <wp:extent cx="5753100" cy="7156450"/>
            <wp:effectExtent l="19050" t="19050" r="19050" b="25400"/>
            <wp:wrapThrough wrapText="bothSides">
              <wp:wrapPolygon edited="0">
                <wp:start x="-72" y="-57"/>
                <wp:lineTo x="-72" y="21619"/>
                <wp:lineTo x="21600" y="21619"/>
                <wp:lineTo x="21600" y="-57"/>
                <wp:lineTo x="-72" y="-57"/>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7156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465B5EE" w14:textId="51B0C768" w:rsidR="006E3842" w:rsidRDefault="006E3842" w:rsidP="006E3842">
      <w:pPr>
        <w:spacing w:before="240" w:after="240" w:line="360" w:lineRule="auto"/>
        <w:jc w:val="both"/>
        <w:rPr>
          <w:rFonts w:ascii="Palatino Linotype" w:hAnsi="Palatino Linotype" w:cs="Arial"/>
          <w:b/>
          <w:bCs/>
          <w:sz w:val="24"/>
          <w:szCs w:val="24"/>
          <w:lang w:val="es-ES"/>
        </w:rPr>
      </w:pPr>
      <w:r>
        <w:rPr>
          <w:rFonts w:ascii="Palatino Linotype" w:hAnsi="Palatino Linotype"/>
          <w:i/>
          <w:noProof/>
          <w:sz w:val="24"/>
          <w:szCs w:val="24"/>
          <w:lang w:eastAsia="es-MX"/>
        </w:rPr>
        <w:lastRenderedPageBreak/>
        <mc:AlternateContent>
          <mc:Choice Requires="wps">
            <w:drawing>
              <wp:anchor distT="0" distB="0" distL="114300" distR="114300" simplePos="0" relativeHeight="251702272" behindDoc="0" locked="0" layoutInCell="1" allowOverlap="1" wp14:anchorId="01EDDB12" wp14:editId="1CF9EC1A">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F343A0" id="Rectángulo 16" o:spid="_x0000_s1026" style="position:absolute;margin-left:24.95pt;margin-top:704.3pt;width:372pt;height:21.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al submódulo de obra, en consecuencia, la información solicitada debe obrar en los archivos del </w:t>
      </w:r>
      <w:r>
        <w:rPr>
          <w:rFonts w:ascii="Palatino Linotype" w:hAnsi="Palatino Linotype" w:cs="Arial"/>
          <w:b/>
          <w:bCs/>
          <w:sz w:val="24"/>
          <w:szCs w:val="24"/>
          <w:lang w:val="es-ES"/>
        </w:rPr>
        <w:t xml:space="preserve">Sujeto Obligado. </w:t>
      </w:r>
    </w:p>
    <w:p w14:paraId="05DECC9B" w14:textId="637CA219" w:rsidR="006E3842" w:rsidRDefault="006E3842" w:rsidP="006E3842">
      <w:pPr>
        <w:spacing w:before="240" w:after="240"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permite transparentar la aplicación de los recursos públicos que son otorgados para el cumplimiento de sus funciones</w:t>
      </w:r>
      <w:r>
        <w:rPr>
          <w:rFonts w:ascii="Palatino Linotype" w:hAnsi="Palatino Linotype" w:cs="Arial"/>
          <w:bCs/>
          <w:sz w:val="24"/>
          <w:szCs w:val="24"/>
          <w:lang w:val="es-ES"/>
        </w:rPr>
        <w:t xml:space="preserve">. </w:t>
      </w:r>
    </w:p>
    <w:p w14:paraId="60D9F639" w14:textId="77777777" w:rsidR="004B7163" w:rsidRDefault="004B7163" w:rsidP="004B7163">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4C7D462" w14:textId="77777777" w:rsidR="004B7163" w:rsidRDefault="004B7163" w:rsidP="004B7163">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212B67C1" w14:textId="77777777" w:rsidR="004B7163" w:rsidRDefault="004B7163" w:rsidP="004B7163">
      <w:pPr>
        <w:pStyle w:val="Citas"/>
      </w:pPr>
      <w:r>
        <w:t xml:space="preserve">Artículo 19. Se presume que la información debe existir si se refiere a las facultades, competencias y funciones que los ordenamientos jurídicos aplicables otorgan a los sujetos obligados. </w:t>
      </w:r>
    </w:p>
    <w:p w14:paraId="19381AC7" w14:textId="77777777" w:rsidR="004B7163" w:rsidRDefault="004B7163" w:rsidP="004B7163">
      <w:pPr>
        <w:pStyle w:val="Citas"/>
      </w:pPr>
      <w:r>
        <w:lastRenderedPageBreak/>
        <w:t xml:space="preserve">En los casos en que ciertas facultades, competencias o funciones no se hayan ejercido, se debe motivar la respuesta en función de las causas que motiven tal circunstancia. </w:t>
      </w:r>
    </w:p>
    <w:p w14:paraId="1867F898" w14:textId="77777777" w:rsidR="004B7163" w:rsidRPr="00407C65" w:rsidRDefault="004B7163" w:rsidP="004B7163">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FD8CBD1" w14:textId="77777777" w:rsidR="00A34857" w:rsidRPr="00A34857" w:rsidRDefault="00A34857" w:rsidP="009F1AC5">
      <w:pPr>
        <w:spacing w:after="240" w:line="360" w:lineRule="auto"/>
        <w:jc w:val="both"/>
        <w:rPr>
          <w:rFonts w:ascii="Palatino Linotype" w:hAnsi="Palatino Linotype" w:cs="Arial"/>
          <w:b/>
          <w:sz w:val="24"/>
          <w:szCs w:val="24"/>
        </w:rPr>
      </w:pPr>
    </w:p>
    <w:p w14:paraId="2D9C695F" w14:textId="76781D43" w:rsidR="006E3842" w:rsidRDefault="002D0C68" w:rsidP="009F1AC5">
      <w:pPr>
        <w:spacing w:after="240" w:line="360" w:lineRule="auto"/>
        <w:jc w:val="both"/>
        <w:rPr>
          <w:rFonts w:ascii="Palatino Linotype" w:hAnsi="Palatino Linotype" w:cs="Arial"/>
          <w:sz w:val="24"/>
          <w:szCs w:val="24"/>
        </w:rPr>
      </w:pPr>
      <w:r w:rsidRPr="006E3842">
        <w:rPr>
          <w:rFonts w:ascii="Palatino Linotype" w:hAnsi="Palatino Linotype" w:cs="Arial"/>
          <w:color w:val="000000"/>
          <w:sz w:val="24"/>
          <w:szCs w:val="24"/>
          <w:lang w:val="es-ES_tradnl"/>
        </w:rPr>
        <w:t xml:space="preserve">Una vez sentado lo anterior, como se mencionó en el antecedente </w:t>
      </w:r>
      <w:r w:rsidR="006E3842" w:rsidRPr="006E3842">
        <w:rPr>
          <w:rFonts w:ascii="Palatino Linotype" w:hAnsi="Palatino Linotype" w:cs="Arial"/>
          <w:color w:val="000000"/>
          <w:sz w:val="24"/>
          <w:szCs w:val="24"/>
          <w:lang w:val="es-ES_tradnl"/>
        </w:rPr>
        <w:t>segundo</w:t>
      </w:r>
      <w:r w:rsidRPr="006E3842">
        <w:rPr>
          <w:rFonts w:ascii="Palatino Linotype" w:hAnsi="Palatino Linotype" w:cs="Arial"/>
          <w:color w:val="000000"/>
          <w:sz w:val="24"/>
          <w:szCs w:val="24"/>
          <w:lang w:val="es-ES_tradnl"/>
        </w:rPr>
        <w:t xml:space="preserve">, </w:t>
      </w:r>
      <w:r w:rsidRPr="006E3842">
        <w:rPr>
          <w:rFonts w:ascii="Palatino Linotype" w:hAnsi="Palatino Linotype" w:cs="Arial"/>
          <w:b/>
          <w:color w:val="000000"/>
          <w:sz w:val="24"/>
          <w:szCs w:val="24"/>
          <w:lang w:val="es-ES_tradnl"/>
        </w:rPr>
        <w:t xml:space="preserve">El Sujeto Obligado </w:t>
      </w:r>
      <w:r w:rsidRPr="006E3842">
        <w:rPr>
          <w:rFonts w:ascii="Palatino Linotype" w:hAnsi="Palatino Linotype" w:cs="Arial"/>
          <w:color w:val="000000"/>
          <w:sz w:val="24"/>
          <w:szCs w:val="24"/>
          <w:lang w:val="es-ES_tradnl"/>
        </w:rPr>
        <w:t>en fecha</w:t>
      </w:r>
      <w:r w:rsidR="006E3842" w:rsidRPr="006E3842">
        <w:rPr>
          <w:rFonts w:ascii="Palatino Linotype" w:hAnsi="Palatino Linotype" w:cs="Arial"/>
          <w:color w:val="000000"/>
          <w:sz w:val="24"/>
          <w:szCs w:val="24"/>
          <w:lang w:val="es-ES_tradnl"/>
        </w:rPr>
        <w:t xml:space="preserve">s </w:t>
      </w:r>
      <w:r w:rsidR="006E3842" w:rsidRPr="006E3842">
        <w:rPr>
          <w:rFonts w:ascii="Palatino Linotype" w:hAnsi="Palatino Linotype" w:cs="Arial"/>
          <w:b/>
          <w:bCs/>
          <w:sz w:val="24"/>
          <w:szCs w:val="24"/>
        </w:rPr>
        <w:t xml:space="preserve">cinco y seis de diciembre de dos mil veintidós, </w:t>
      </w:r>
      <w:r w:rsidR="006E3842">
        <w:rPr>
          <w:rFonts w:ascii="Palatino Linotype" w:hAnsi="Palatino Linotype" w:cs="Arial"/>
          <w:sz w:val="24"/>
          <w:szCs w:val="24"/>
        </w:rPr>
        <w:t>rindió sus respuestas a las solicitudes de información formuladas por el particular, respecto de las cuales se infiere lo siguiente:</w:t>
      </w:r>
    </w:p>
    <w:tbl>
      <w:tblPr>
        <w:tblStyle w:val="Tablaconcuadrcula"/>
        <w:tblW w:w="0" w:type="auto"/>
        <w:tblLook w:val="04A0" w:firstRow="1" w:lastRow="0" w:firstColumn="1" w:lastColumn="0" w:noHBand="0" w:noVBand="1"/>
      </w:tblPr>
      <w:tblGrid>
        <w:gridCol w:w="4531"/>
        <w:gridCol w:w="4531"/>
      </w:tblGrid>
      <w:tr w:rsidR="006E3842" w14:paraId="7DEFD784" w14:textId="77777777" w:rsidTr="009E59E7">
        <w:tc>
          <w:tcPr>
            <w:tcW w:w="4531" w:type="dxa"/>
            <w:tcBorders>
              <w:right w:val="single" w:sz="4" w:space="0" w:color="FFFFFF" w:themeColor="background1"/>
            </w:tcBorders>
            <w:shd w:val="clear" w:color="auto" w:fill="000000" w:themeFill="text1"/>
            <w:vAlign w:val="center"/>
          </w:tcPr>
          <w:p w14:paraId="1B9FD048" w14:textId="77777777" w:rsidR="00951103" w:rsidRDefault="00951103" w:rsidP="00951103">
            <w:pPr>
              <w:spacing w:after="240" w:line="360" w:lineRule="auto"/>
              <w:jc w:val="center"/>
              <w:rPr>
                <w:rFonts w:ascii="Palatino Linotype" w:hAnsi="Palatino Linotype" w:cs="Arial"/>
                <w:b/>
                <w:bCs/>
                <w:color w:val="FFFFFF" w:themeColor="background1"/>
                <w:sz w:val="24"/>
                <w:szCs w:val="24"/>
                <w:lang w:val="es-ES_tradnl"/>
              </w:rPr>
            </w:pPr>
          </w:p>
          <w:p w14:paraId="00BFD7E1" w14:textId="304D2C0E" w:rsidR="006E3842" w:rsidRPr="00951103" w:rsidRDefault="00951103" w:rsidP="00951103">
            <w:pPr>
              <w:spacing w:after="240" w:line="360" w:lineRule="auto"/>
              <w:jc w:val="center"/>
              <w:rPr>
                <w:rFonts w:ascii="Palatino Linotype" w:hAnsi="Palatino Linotype" w:cs="Arial"/>
                <w:b/>
                <w:bCs/>
                <w:color w:val="FFFFFF" w:themeColor="background1"/>
                <w:sz w:val="24"/>
                <w:szCs w:val="24"/>
                <w:lang w:val="es-ES_tradnl"/>
              </w:rPr>
            </w:pPr>
            <w:r w:rsidRPr="00951103">
              <w:rPr>
                <w:rFonts w:ascii="Palatino Linotype" w:hAnsi="Palatino Linotype" w:cs="Arial"/>
                <w:b/>
                <w:bCs/>
                <w:color w:val="FFFFFF" w:themeColor="background1"/>
                <w:sz w:val="24"/>
                <w:szCs w:val="24"/>
                <w:lang w:val="es-ES_tradnl"/>
              </w:rPr>
              <w:t>SOLICITUD DE INFORMACIÓN</w:t>
            </w:r>
          </w:p>
        </w:tc>
        <w:tc>
          <w:tcPr>
            <w:tcW w:w="4531" w:type="dxa"/>
            <w:tcBorders>
              <w:left w:val="single" w:sz="4" w:space="0" w:color="FFFFFF" w:themeColor="background1"/>
            </w:tcBorders>
            <w:shd w:val="clear" w:color="auto" w:fill="000000" w:themeFill="text1"/>
            <w:vAlign w:val="center"/>
          </w:tcPr>
          <w:p w14:paraId="4F1FF0AD" w14:textId="77777777" w:rsidR="00951103" w:rsidRDefault="00951103" w:rsidP="00951103">
            <w:pPr>
              <w:spacing w:after="240" w:line="360" w:lineRule="auto"/>
              <w:jc w:val="center"/>
              <w:rPr>
                <w:rFonts w:ascii="Palatino Linotype" w:hAnsi="Palatino Linotype" w:cs="Arial"/>
                <w:b/>
                <w:bCs/>
                <w:color w:val="FFFFFF" w:themeColor="background1"/>
                <w:sz w:val="24"/>
                <w:szCs w:val="24"/>
                <w:lang w:val="es-ES_tradnl"/>
              </w:rPr>
            </w:pPr>
          </w:p>
          <w:p w14:paraId="5AC9773A" w14:textId="5D0620AA" w:rsidR="006E3842" w:rsidRPr="00951103" w:rsidRDefault="00951103" w:rsidP="00951103">
            <w:pPr>
              <w:spacing w:after="240" w:line="360" w:lineRule="auto"/>
              <w:jc w:val="center"/>
              <w:rPr>
                <w:rFonts w:ascii="Palatino Linotype" w:hAnsi="Palatino Linotype" w:cs="Arial"/>
                <w:b/>
                <w:bCs/>
                <w:color w:val="FFFFFF" w:themeColor="background1"/>
                <w:sz w:val="24"/>
                <w:szCs w:val="24"/>
                <w:lang w:val="es-ES_tradnl"/>
              </w:rPr>
            </w:pPr>
            <w:r w:rsidRPr="00951103">
              <w:rPr>
                <w:rFonts w:ascii="Palatino Linotype" w:hAnsi="Palatino Linotype" w:cs="Arial"/>
                <w:b/>
                <w:bCs/>
                <w:color w:val="FFFFFF" w:themeColor="background1"/>
                <w:sz w:val="24"/>
                <w:szCs w:val="24"/>
                <w:lang w:val="es-ES_tradnl"/>
              </w:rPr>
              <w:t>RESPUESTA</w:t>
            </w:r>
          </w:p>
        </w:tc>
      </w:tr>
      <w:tr w:rsidR="006E3842" w14:paraId="18ADC9E4" w14:textId="77777777" w:rsidTr="00951103">
        <w:tc>
          <w:tcPr>
            <w:tcW w:w="4531" w:type="dxa"/>
            <w:vAlign w:val="center"/>
          </w:tcPr>
          <w:p w14:paraId="752BDA63" w14:textId="4B294663" w:rsidR="006E3842" w:rsidRPr="00951103" w:rsidRDefault="006E3842" w:rsidP="00951103">
            <w:pPr>
              <w:spacing w:after="240" w:line="360" w:lineRule="auto"/>
              <w:jc w:val="center"/>
              <w:rPr>
                <w:rFonts w:ascii="Palatino Linotype" w:hAnsi="Palatino Linotype" w:cs="Arial"/>
                <w:b/>
                <w:bCs/>
                <w:color w:val="000000"/>
                <w:sz w:val="24"/>
                <w:szCs w:val="24"/>
                <w:lang w:val="es-ES_tradnl"/>
              </w:rPr>
            </w:pPr>
            <w:r w:rsidRPr="00951103">
              <w:rPr>
                <w:rFonts w:ascii="Palatino Linotype" w:hAnsi="Palatino Linotype" w:cs="Arial"/>
                <w:b/>
                <w:bCs/>
                <w:color w:val="000000"/>
                <w:sz w:val="24"/>
                <w:szCs w:val="24"/>
                <w:lang w:val="es-ES_tradnl"/>
              </w:rPr>
              <w:t>02007/AMECAMEC/IP/2022</w:t>
            </w:r>
          </w:p>
        </w:tc>
        <w:tc>
          <w:tcPr>
            <w:tcW w:w="4531" w:type="dxa"/>
          </w:tcPr>
          <w:p w14:paraId="2E65F67C" w14:textId="6750DB06" w:rsidR="006E3842" w:rsidRDefault="006E3842" w:rsidP="009F1AC5">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En lo medular se refiere en abstracto cu</w:t>
            </w:r>
            <w:r w:rsidR="009E59E7">
              <w:rPr>
                <w:rFonts w:ascii="Palatino Linotype" w:hAnsi="Palatino Linotype" w:cs="Arial"/>
                <w:color w:val="000000"/>
                <w:sz w:val="24"/>
                <w:szCs w:val="24"/>
                <w:lang w:val="es-ES_tradnl"/>
              </w:rPr>
              <w:t>á</w:t>
            </w:r>
            <w:r>
              <w:rPr>
                <w:rFonts w:ascii="Palatino Linotype" w:hAnsi="Palatino Linotype" w:cs="Arial"/>
                <w:color w:val="000000"/>
                <w:sz w:val="24"/>
                <w:szCs w:val="24"/>
                <w:lang w:val="es-ES_tradnl"/>
              </w:rPr>
              <w:t xml:space="preserve">les son los soportes documentales que integran el </w:t>
            </w:r>
            <w:r w:rsidR="00951103">
              <w:rPr>
                <w:rFonts w:ascii="Palatino Linotype" w:hAnsi="Palatino Linotype" w:cs="Arial"/>
                <w:color w:val="000000"/>
                <w:sz w:val="24"/>
                <w:szCs w:val="24"/>
                <w:lang w:val="es-ES_tradnl"/>
              </w:rPr>
              <w:t>submódulo</w:t>
            </w:r>
            <w:r>
              <w:rPr>
                <w:rFonts w:ascii="Palatino Linotype" w:hAnsi="Palatino Linotype" w:cs="Arial"/>
                <w:color w:val="000000"/>
                <w:sz w:val="24"/>
                <w:szCs w:val="24"/>
                <w:lang w:val="es-ES_tradnl"/>
              </w:rPr>
              <w:t xml:space="preserve"> de obra respecto de los informes trimestrales municipales. </w:t>
            </w:r>
          </w:p>
        </w:tc>
      </w:tr>
      <w:tr w:rsidR="006E3842" w14:paraId="18D00BED" w14:textId="77777777" w:rsidTr="00951103">
        <w:tc>
          <w:tcPr>
            <w:tcW w:w="4531" w:type="dxa"/>
            <w:vAlign w:val="center"/>
          </w:tcPr>
          <w:p w14:paraId="5E26F74F" w14:textId="584D5235" w:rsidR="006E3842" w:rsidRPr="00951103" w:rsidRDefault="006E3842" w:rsidP="00951103">
            <w:pPr>
              <w:spacing w:after="240" w:line="360" w:lineRule="auto"/>
              <w:jc w:val="center"/>
              <w:rPr>
                <w:rFonts w:ascii="Palatino Linotype" w:hAnsi="Palatino Linotype" w:cs="Arial"/>
                <w:b/>
                <w:bCs/>
                <w:color w:val="000000"/>
                <w:sz w:val="24"/>
                <w:szCs w:val="24"/>
                <w:lang w:val="es-ES_tradnl"/>
              </w:rPr>
            </w:pPr>
            <w:r w:rsidRPr="00951103">
              <w:rPr>
                <w:rFonts w:ascii="Palatino Linotype" w:hAnsi="Palatino Linotype" w:cs="Arial"/>
                <w:b/>
                <w:bCs/>
                <w:color w:val="000000"/>
                <w:sz w:val="24"/>
                <w:szCs w:val="24"/>
                <w:lang w:val="es-ES_tradnl"/>
              </w:rPr>
              <w:t>02005/AMECAMEC/IP/2022</w:t>
            </w:r>
          </w:p>
        </w:tc>
        <w:tc>
          <w:tcPr>
            <w:tcW w:w="4531" w:type="dxa"/>
          </w:tcPr>
          <w:p w14:paraId="1E20746D" w14:textId="77777777" w:rsidR="006E3842" w:rsidRPr="00602E2E" w:rsidRDefault="00602E2E" w:rsidP="00602E2E">
            <w:pPr>
              <w:pStyle w:val="Prrafodelista"/>
              <w:numPr>
                <w:ilvl w:val="0"/>
                <w:numId w:val="34"/>
              </w:numPr>
              <w:spacing w:after="240"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“pficio contraloria.pdf”: </w:t>
            </w: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AMECA/CM/787/2022 </w:t>
            </w:r>
            <w:r>
              <w:rPr>
                <w:rFonts w:ascii="Palatino Linotype" w:hAnsi="Palatino Linotype" w:cs="Arial"/>
                <w:color w:val="000000"/>
                <w:lang w:val="es-ES_tradnl"/>
              </w:rPr>
              <w:lastRenderedPageBreak/>
              <w:t xml:space="preserve">signado por el Contralor Municipal y dirigido al Titular de la Unidad de Transparencia, de fecha uno de diciembre de dos mil veintidós, en lo medular refiere que ya dio contestación a la solicitud de información como se muestra en los anexos. </w:t>
            </w:r>
          </w:p>
          <w:p w14:paraId="292B71FF" w14:textId="77777777" w:rsidR="00602E2E" w:rsidRDefault="00602E2E" w:rsidP="00602E2E">
            <w:pPr>
              <w:spacing w:after="240" w:line="360" w:lineRule="auto"/>
              <w:jc w:val="both"/>
              <w:rPr>
                <w:rFonts w:ascii="Palatino Linotype" w:hAnsi="Palatino Linotype" w:cs="Arial"/>
                <w:color w:val="000000"/>
                <w:sz w:val="24"/>
                <w:szCs w:val="24"/>
                <w:lang w:val="es-ES_tradnl"/>
              </w:rPr>
            </w:pPr>
          </w:p>
          <w:p w14:paraId="17EA767B" w14:textId="5676F1EB" w:rsidR="00602E2E" w:rsidRPr="00602E2E" w:rsidRDefault="00602E2E" w:rsidP="00602E2E">
            <w:pPr>
              <w:spacing w:after="240" w:line="360" w:lineRule="auto"/>
              <w:jc w:val="both"/>
              <w:rPr>
                <w:rFonts w:ascii="Palatino Linotype" w:hAnsi="Palatino Linotype" w:cs="Arial"/>
                <w:color w:val="000000"/>
                <w:sz w:val="24"/>
                <w:szCs w:val="24"/>
                <w:lang w:val="es-ES_tradnl"/>
              </w:rPr>
            </w:pPr>
            <w:r w:rsidRPr="00602E2E">
              <w:rPr>
                <w:rFonts w:ascii="Palatino Linotype" w:hAnsi="Palatino Linotype" w:cs="Arial"/>
                <w:color w:val="000000"/>
                <w:sz w:val="24"/>
                <w:szCs w:val="24"/>
                <w:lang w:val="es-ES_tradnl"/>
              </w:rPr>
              <w:t xml:space="preserve">Por otra parte, en el acuse </w:t>
            </w:r>
            <w:r w:rsidR="00951103">
              <w:rPr>
                <w:rFonts w:ascii="Palatino Linotype" w:hAnsi="Palatino Linotype" w:cs="Arial"/>
                <w:color w:val="000000"/>
                <w:sz w:val="24"/>
                <w:szCs w:val="24"/>
                <w:lang w:val="es-ES_tradnl"/>
              </w:rPr>
              <w:t xml:space="preserve">de respuesta la contraloría municipal refiere que no es el área facultada para emitir dichos documentos. </w:t>
            </w:r>
          </w:p>
        </w:tc>
      </w:tr>
      <w:tr w:rsidR="006E3842" w14:paraId="65F5743C" w14:textId="77777777" w:rsidTr="00951103">
        <w:tc>
          <w:tcPr>
            <w:tcW w:w="4531" w:type="dxa"/>
            <w:vAlign w:val="center"/>
          </w:tcPr>
          <w:p w14:paraId="00664244" w14:textId="65DD4E70" w:rsidR="006E3842" w:rsidRPr="00951103" w:rsidRDefault="006E3842" w:rsidP="00951103">
            <w:pPr>
              <w:spacing w:after="240" w:line="360" w:lineRule="auto"/>
              <w:jc w:val="center"/>
              <w:rPr>
                <w:rFonts w:ascii="Palatino Linotype" w:hAnsi="Palatino Linotype" w:cs="Arial"/>
                <w:b/>
                <w:bCs/>
                <w:color w:val="000000"/>
                <w:sz w:val="24"/>
                <w:szCs w:val="24"/>
                <w:lang w:val="es-ES_tradnl"/>
              </w:rPr>
            </w:pPr>
            <w:r w:rsidRPr="00951103">
              <w:rPr>
                <w:rFonts w:ascii="Palatino Linotype" w:hAnsi="Palatino Linotype" w:cs="Arial"/>
                <w:b/>
                <w:bCs/>
                <w:color w:val="000000"/>
                <w:sz w:val="24"/>
                <w:szCs w:val="24"/>
                <w:lang w:val="es-ES_tradnl"/>
              </w:rPr>
              <w:lastRenderedPageBreak/>
              <w:t>02004/AMECAMEC/IP/2022</w:t>
            </w:r>
          </w:p>
        </w:tc>
        <w:tc>
          <w:tcPr>
            <w:tcW w:w="4531" w:type="dxa"/>
          </w:tcPr>
          <w:p w14:paraId="6E08E2E6" w14:textId="5A27BE1C" w:rsidR="006E3842" w:rsidRPr="001E3111" w:rsidRDefault="001E3111" w:rsidP="009F1AC5">
            <w:pPr>
              <w:spacing w:after="240" w:line="360" w:lineRule="auto"/>
              <w:jc w:val="both"/>
              <w:rPr>
                <w:rFonts w:ascii="Palatino Linotype" w:hAnsi="Palatino Linotype" w:cs="Arial"/>
                <w:i/>
                <w:iCs/>
                <w:color w:val="000000"/>
                <w:sz w:val="24"/>
                <w:szCs w:val="24"/>
                <w:lang w:val="es-ES_tradnl"/>
              </w:rPr>
            </w:pPr>
            <w:r>
              <w:rPr>
                <w:rFonts w:ascii="Palatino Linotype" w:hAnsi="Palatino Linotype" w:cs="Arial"/>
                <w:color w:val="000000"/>
                <w:sz w:val="24"/>
                <w:szCs w:val="24"/>
                <w:lang w:val="es-ES_tradnl"/>
              </w:rPr>
              <w:t xml:space="preserve">En síntesis, refiere que la información solicitada no le resulta aplicable ya que el particular refirió </w:t>
            </w:r>
            <w:r>
              <w:rPr>
                <w:rFonts w:ascii="Palatino Linotype" w:hAnsi="Palatino Linotype" w:cs="Arial"/>
                <w:i/>
                <w:iCs/>
                <w:color w:val="000000"/>
                <w:sz w:val="24"/>
                <w:szCs w:val="24"/>
                <w:lang w:val="es-ES_tradnl"/>
              </w:rPr>
              <w:t xml:space="preserve">“informes trimestrales de los sujetos de fiscalización </w:t>
            </w:r>
            <w:r w:rsidRPr="001E3111">
              <w:rPr>
                <w:rFonts w:ascii="Palatino Linotype" w:hAnsi="Palatino Linotype" w:cs="Arial"/>
                <w:b/>
                <w:bCs/>
                <w:i/>
                <w:iCs/>
                <w:color w:val="000000"/>
                <w:sz w:val="24"/>
                <w:szCs w:val="24"/>
                <w:lang w:val="es-ES_tradnl"/>
              </w:rPr>
              <w:t>estatal”</w:t>
            </w:r>
            <w:r>
              <w:rPr>
                <w:rFonts w:ascii="Palatino Linotype" w:hAnsi="Palatino Linotype" w:cs="Arial"/>
                <w:i/>
                <w:iCs/>
                <w:color w:val="000000"/>
                <w:sz w:val="24"/>
                <w:szCs w:val="24"/>
                <w:lang w:val="es-ES_tradnl"/>
              </w:rPr>
              <w:t xml:space="preserve"> </w:t>
            </w:r>
          </w:p>
        </w:tc>
      </w:tr>
      <w:tr w:rsidR="006E3842" w14:paraId="78610965" w14:textId="77777777" w:rsidTr="00951103">
        <w:tc>
          <w:tcPr>
            <w:tcW w:w="4531" w:type="dxa"/>
            <w:vAlign w:val="center"/>
          </w:tcPr>
          <w:p w14:paraId="14791291" w14:textId="7EEEE8A0" w:rsidR="006E3842" w:rsidRPr="00951103" w:rsidRDefault="006E3842" w:rsidP="00951103">
            <w:pPr>
              <w:spacing w:after="240" w:line="360" w:lineRule="auto"/>
              <w:jc w:val="center"/>
              <w:rPr>
                <w:rFonts w:ascii="Palatino Linotype" w:hAnsi="Palatino Linotype" w:cs="Arial"/>
                <w:b/>
                <w:bCs/>
                <w:color w:val="000000"/>
                <w:sz w:val="24"/>
                <w:szCs w:val="24"/>
                <w:lang w:val="es-ES_tradnl"/>
              </w:rPr>
            </w:pPr>
            <w:r w:rsidRPr="00951103">
              <w:rPr>
                <w:rFonts w:ascii="Palatino Linotype" w:hAnsi="Palatino Linotype" w:cs="Arial"/>
                <w:b/>
                <w:bCs/>
                <w:color w:val="000000"/>
                <w:sz w:val="24"/>
                <w:szCs w:val="24"/>
                <w:lang w:val="es-ES_tradnl"/>
              </w:rPr>
              <w:t>02003/AMECAMEC/IP/2022</w:t>
            </w:r>
          </w:p>
        </w:tc>
        <w:tc>
          <w:tcPr>
            <w:tcW w:w="4531" w:type="dxa"/>
          </w:tcPr>
          <w:p w14:paraId="03CA0651" w14:textId="6EDE9A38" w:rsidR="006E3842" w:rsidRDefault="001E3111" w:rsidP="009F1AC5">
            <w:pPr>
              <w:spacing w:after="240" w:line="360" w:lineRule="auto"/>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En síntesis, refiere que la información solicitada no le resulta aplicable ya que el particular refirió </w:t>
            </w:r>
            <w:r>
              <w:rPr>
                <w:rFonts w:ascii="Palatino Linotype" w:hAnsi="Palatino Linotype" w:cs="Arial"/>
                <w:i/>
                <w:iCs/>
                <w:color w:val="000000"/>
                <w:sz w:val="24"/>
                <w:szCs w:val="24"/>
                <w:lang w:val="es-ES_tradnl"/>
              </w:rPr>
              <w:t xml:space="preserve">“informes trimestrales de los sujetos de fiscalización </w:t>
            </w:r>
            <w:r w:rsidRPr="001E3111">
              <w:rPr>
                <w:rFonts w:ascii="Palatino Linotype" w:hAnsi="Palatino Linotype" w:cs="Arial"/>
                <w:b/>
                <w:bCs/>
                <w:i/>
                <w:iCs/>
                <w:color w:val="000000"/>
                <w:sz w:val="24"/>
                <w:szCs w:val="24"/>
                <w:lang w:val="es-ES_tradnl"/>
              </w:rPr>
              <w:t>estatal”</w:t>
            </w:r>
          </w:p>
        </w:tc>
      </w:tr>
    </w:tbl>
    <w:p w14:paraId="79078D78" w14:textId="2DDC8AD0" w:rsidR="006E3842" w:rsidRPr="001E3111" w:rsidRDefault="001E3111" w:rsidP="009F1AC5">
      <w:pPr>
        <w:spacing w:after="240" w:line="360" w:lineRule="auto"/>
        <w:jc w:val="both"/>
        <w:rPr>
          <w:rFonts w:ascii="Palatino Linotype" w:hAnsi="Palatino Linotype" w:cs="Arial"/>
          <w:color w:val="000000"/>
          <w:sz w:val="24"/>
          <w:szCs w:val="24"/>
          <w:lang w:val="es-ES_tradnl"/>
        </w:rPr>
      </w:pPr>
      <w:r w:rsidRPr="001E3111">
        <w:rPr>
          <w:rFonts w:ascii="Palatino Linotype" w:hAnsi="Palatino Linotype" w:cs="Arial"/>
          <w:color w:val="000000"/>
          <w:sz w:val="24"/>
          <w:szCs w:val="24"/>
          <w:lang w:val="es-ES_tradnl"/>
        </w:rPr>
        <w:lastRenderedPageBreak/>
        <w:t xml:space="preserve">Inconforme con las respuestas rendidas por </w:t>
      </w:r>
      <w:r w:rsidRPr="001E3111">
        <w:rPr>
          <w:rFonts w:ascii="Palatino Linotype" w:hAnsi="Palatino Linotype" w:cs="Arial"/>
          <w:b/>
          <w:bCs/>
          <w:color w:val="000000"/>
          <w:sz w:val="24"/>
          <w:szCs w:val="24"/>
          <w:lang w:val="es-ES_tradnl"/>
        </w:rPr>
        <w:t xml:space="preserve">El Sujeto Obligado, La Recurrente </w:t>
      </w:r>
      <w:r w:rsidRPr="001E3111">
        <w:rPr>
          <w:rFonts w:ascii="Palatino Linotype" w:hAnsi="Palatino Linotype" w:cs="Arial"/>
          <w:color w:val="000000"/>
          <w:sz w:val="24"/>
          <w:szCs w:val="24"/>
          <w:lang w:val="es-ES_tradnl"/>
        </w:rPr>
        <w:t xml:space="preserve">interpuso recursos de revisión en fecha </w:t>
      </w:r>
      <w:r w:rsidRPr="001E3111">
        <w:rPr>
          <w:rFonts w:ascii="Palatino Linotype" w:hAnsi="Palatino Linotype" w:cs="Arial"/>
          <w:b/>
          <w:bCs/>
          <w:color w:val="000000"/>
          <w:sz w:val="24"/>
          <w:szCs w:val="24"/>
          <w:lang w:val="es-ES_tradnl"/>
        </w:rPr>
        <w:t xml:space="preserve">siete de diciembre, </w:t>
      </w:r>
      <w:r w:rsidRPr="001E3111">
        <w:rPr>
          <w:rFonts w:ascii="Palatino Linotype" w:hAnsi="Palatino Linotype" w:cs="Arial"/>
          <w:color w:val="000000"/>
          <w:sz w:val="24"/>
          <w:szCs w:val="24"/>
          <w:lang w:val="es-ES_tradnl"/>
        </w:rPr>
        <w:t xml:space="preserve">admitiéndose los días </w:t>
      </w:r>
      <w:r w:rsidRPr="001E3111">
        <w:rPr>
          <w:rFonts w:ascii="Palatino Linotype" w:hAnsi="Palatino Linotype" w:cs="Arial"/>
          <w:b/>
          <w:bCs/>
          <w:sz w:val="24"/>
          <w:szCs w:val="24"/>
        </w:rPr>
        <w:t>ocho, doce y trece de diciembre</w:t>
      </w:r>
      <w:r>
        <w:rPr>
          <w:rFonts w:ascii="Palatino Linotype" w:hAnsi="Palatino Linotype" w:cs="Arial"/>
          <w:b/>
          <w:bCs/>
          <w:sz w:val="24"/>
          <w:szCs w:val="24"/>
        </w:rPr>
        <w:t xml:space="preserve">, todos de dos mil veintidós. </w:t>
      </w:r>
      <w:r>
        <w:rPr>
          <w:rFonts w:ascii="Palatino Linotype" w:hAnsi="Palatino Linotype" w:cs="Arial"/>
          <w:sz w:val="24"/>
          <w:szCs w:val="24"/>
        </w:rPr>
        <w:t xml:space="preserve">Señalando </w:t>
      </w:r>
      <w:r w:rsidR="00CA172C">
        <w:rPr>
          <w:rFonts w:ascii="Palatino Linotype" w:hAnsi="Palatino Linotype" w:cs="Arial"/>
          <w:sz w:val="24"/>
          <w:szCs w:val="24"/>
        </w:rPr>
        <w:t>como razones</w:t>
      </w:r>
      <w:r>
        <w:rPr>
          <w:rFonts w:ascii="Palatino Linotype" w:hAnsi="Palatino Linotype" w:cs="Arial"/>
          <w:sz w:val="24"/>
          <w:szCs w:val="24"/>
        </w:rPr>
        <w:t xml:space="preserve"> o motivos de inconformidad:</w:t>
      </w:r>
    </w:p>
    <w:p w14:paraId="67F866A1" w14:textId="77777777" w:rsidR="001E3111" w:rsidRPr="00684130" w:rsidRDefault="001E3111" w:rsidP="001E3111">
      <w:pPr>
        <w:pStyle w:val="Citas"/>
      </w:pPr>
      <w:r w:rsidRPr="006661D5">
        <w:t>“No me entregó la información que solicité.”</w:t>
      </w:r>
      <w:r w:rsidRPr="00684130">
        <w:t xml:space="preserve"> </w:t>
      </w:r>
      <w:r>
        <w:rPr>
          <w:b/>
          <w:bCs/>
        </w:rPr>
        <w:t>(Sic)</w:t>
      </w:r>
    </w:p>
    <w:p w14:paraId="3F862F4A" w14:textId="18204EE0" w:rsidR="001E3111" w:rsidRDefault="001E3111" w:rsidP="001E3111">
      <w:pPr>
        <w:spacing w:before="240" w:line="360" w:lineRule="auto"/>
        <w:jc w:val="both"/>
        <w:rPr>
          <w:rFonts w:ascii="Palatino Linotype" w:hAnsi="Palatino Linotype" w:cs="Arial"/>
          <w:sz w:val="24"/>
          <w:szCs w:val="24"/>
        </w:rPr>
      </w:pPr>
    </w:p>
    <w:p w14:paraId="63138385" w14:textId="29BADE63" w:rsidR="004B0DB0" w:rsidRDefault="004B0DB0" w:rsidP="004B0DB0">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002B1E84">
        <w:rPr>
          <w:rFonts w:cs="Arial"/>
          <w:b/>
          <w:i w:val="0"/>
          <w:noProof/>
          <w:color w:val="000000"/>
          <w:sz w:val="24"/>
          <w:lang w:eastAsia="es-MX"/>
        </w:rPr>
        <w:t>La</w:t>
      </w:r>
      <w:r w:rsidRPr="004B0DB0">
        <w:rPr>
          <w:rFonts w:cs="Arial"/>
          <w:b/>
          <w:i w:val="0"/>
          <w:noProof/>
          <w:color w:val="000000"/>
          <w:sz w:val="24"/>
          <w:lang w:eastAsia="es-MX"/>
        </w:rPr>
        <w:t xml:space="preserve"> Recurrente, </w:t>
      </w:r>
      <w:r w:rsidRPr="004B0DB0">
        <w:rPr>
          <w:rFonts w:cs="Arial"/>
          <w:i w:val="0"/>
          <w:noProof/>
          <w:color w:val="000000"/>
          <w:sz w:val="24"/>
          <w:lang w:eastAsia="es-MX"/>
        </w:rPr>
        <w:t>al tenerse por actualizada la hipotesi</w:t>
      </w:r>
      <w:r w:rsidR="008C7D2E">
        <w:rPr>
          <w:rFonts w:cs="Arial"/>
          <w:i w:val="0"/>
          <w:noProof/>
          <w:color w:val="000000"/>
          <w:sz w:val="24"/>
          <w:lang w:eastAsia="es-MX"/>
        </w:rPr>
        <w:t>s</w:t>
      </w:r>
      <w:r w:rsidRPr="004B0DB0">
        <w:rPr>
          <w:rFonts w:cs="Arial"/>
          <w:i w:val="0"/>
          <w:noProof/>
          <w:color w:val="000000"/>
          <w:sz w:val="24"/>
          <w:lang w:eastAsia="es-MX"/>
        </w:rPr>
        <w:t xml:space="preserve"> normativa prevista en el artículo 179, fracción I</w:t>
      </w:r>
      <w:r>
        <w:rPr>
          <w:rFonts w:cs="Arial"/>
          <w:noProof/>
          <w:color w:val="000000"/>
          <w:sz w:val="24"/>
          <w:lang w:eastAsia="es-MX"/>
        </w:rPr>
        <w:t xml:space="preserve"> </w:t>
      </w:r>
      <w:r>
        <w:rPr>
          <w:rFonts w:cs="Arial"/>
          <w:i w:val="0"/>
          <w:noProof/>
          <w:color w:val="000000"/>
          <w:sz w:val="24"/>
          <w:lang w:eastAsia="es-MX"/>
        </w:rPr>
        <w:t xml:space="preserve">de la Ley de Transparencia y Acceso a la Información Pública del Estado de Mexico y Municipios, cuyo contenido literal es el siguiente: </w:t>
      </w:r>
    </w:p>
    <w:p w14:paraId="7EA97BB3" w14:textId="77777777" w:rsidR="004B0DB0" w:rsidRDefault="004B0DB0" w:rsidP="004B0DB0">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6FB81EE" w14:textId="2252A34D" w:rsidR="004B0DB0" w:rsidRDefault="004B0DB0" w:rsidP="004B0DB0">
      <w:pPr>
        <w:pStyle w:val="Citas"/>
      </w:pPr>
      <w:r>
        <w:t>I. La negativa a la información solicitada;</w:t>
      </w:r>
    </w:p>
    <w:p w14:paraId="574F768C" w14:textId="6EA58B8D" w:rsidR="004B0DB0" w:rsidRPr="004B0DB0" w:rsidRDefault="004B0DB0" w:rsidP="004B0DB0">
      <w:pPr>
        <w:pStyle w:val="Citas"/>
        <w:rPr>
          <w:b/>
          <w:bCs/>
        </w:rPr>
      </w:pPr>
      <w:r>
        <w:t xml:space="preserve">(…)” </w:t>
      </w:r>
      <w:r>
        <w:rPr>
          <w:b/>
          <w:bCs/>
        </w:rPr>
        <w:t>(Sic)</w:t>
      </w:r>
    </w:p>
    <w:p w14:paraId="6B4772B3" w14:textId="39B463B3" w:rsidR="004B0DB0" w:rsidRPr="004B0DB0" w:rsidRDefault="004B0DB0" w:rsidP="009C2E17">
      <w:pPr>
        <w:spacing w:after="0" w:line="360" w:lineRule="auto"/>
        <w:jc w:val="both"/>
        <w:rPr>
          <w:rFonts w:ascii="Palatino Linotype" w:hAnsi="Palatino Linotype" w:cs="Arial"/>
          <w:color w:val="000000"/>
          <w:sz w:val="24"/>
        </w:rPr>
      </w:pPr>
    </w:p>
    <w:p w14:paraId="63C0CF49" w14:textId="702A82CE" w:rsidR="001E3111" w:rsidRDefault="004B0DB0" w:rsidP="004B0DB0">
      <w:pPr>
        <w:pStyle w:val="Citas"/>
        <w:tabs>
          <w:tab w:val="left" w:pos="7470"/>
        </w:tabs>
        <w:ind w:left="0" w:right="72"/>
        <w:rPr>
          <w:bCs/>
          <w:i w:val="0"/>
          <w:sz w:val="24"/>
          <w:szCs w:val="24"/>
        </w:rPr>
      </w:pPr>
      <w:r w:rsidRPr="00EA1BA1">
        <w:rPr>
          <w:i w:val="0"/>
          <w:sz w:val="24"/>
          <w:szCs w:val="24"/>
        </w:rPr>
        <w:t xml:space="preserve">Por otra parte, como fue referido en el antecedente quinto, </w:t>
      </w:r>
      <w:r w:rsidRPr="00EA1BA1">
        <w:rPr>
          <w:b/>
          <w:i w:val="0"/>
          <w:sz w:val="24"/>
          <w:szCs w:val="24"/>
        </w:rPr>
        <w:t xml:space="preserve">El Sujeto Obligado </w:t>
      </w:r>
      <w:r w:rsidR="001E3111">
        <w:rPr>
          <w:bCs/>
          <w:i w:val="0"/>
          <w:sz w:val="24"/>
          <w:szCs w:val="24"/>
        </w:rPr>
        <w:t>rindió sus informes justificados en los siguientes términos:</w:t>
      </w:r>
    </w:p>
    <w:p w14:paraId="4124812C" w14:textId="76435576" w:rsidR="001E3111" w:rsidRPr="001E3111" w:rsidRDefault="001E3111" w:rsidP="001E3111">
      <w:pPr>
        <w:pStyle w:val="Citas"/>
        <w:numPr>
          <w:ilvl w:val="0"/>
          <w:numId w:val="35"/>
        </w:numPr>
        <w:tabs>
          <w:tab w:val="left" w:pos="7470"/>
        </w:tabs>
        <w:ind w:right="72"/>
        <w:rPr>
          <w:b/>
          <w:bCs/>
          <w:i w:val="0"/>
          <w:iCs/>
          <w:sz w:val="24"/>
        </w:rPr>
      </w:pPr>
      <w:r w:rsidRPr="001E3111">
        <w:rPr>
          <w:b/>
          <w:bCs/>
          <w:i w:val="0"/>
          <w:iCs/>
          <w:sz w:val="24"/>
        </w:rPr>
        <w:lastRenderedPageBreak/>
        <w:t xml:space="preserve">“respuesta.pdf”: </w:t>
      </w:r>
      <w:r w:rsidRPr="001E3111">
        <w:rPr>
          <w:i w:val="0"/>
          <w:iCs/>
          <w:sz w:val="24"/>
        </w:rPr>
        <w:t>Escrito libre s</w:t>
      </w:r>
      <w:r>
        <w:rPr>
          <w:i w:val="0"/>
          <w:iCs/>
          <w:sz w:val="24"/>
        </w:rPr>
        <w:t>in remitente ni destinatario. Resulta de nuestro interés el siguiente extracto:</w:t>
      </w:r>
    </w:p>
    <w:p w14:paraId="10329312" w14:textId="123E81DC" w:rsidR="001E3111" w:rsidRPr="001E3111" w:rsidRDefault="001E3111" w:rsidP="001E3111">
      <w:pPr>
        <w:pStyle w:val="Citas"/>
        <w:rPr>
          <w:b/>
          <w:bCs/>
        </w:rPr>
      </w:pPr>
      <w:r>
        <w:t>“</w:t>
      </w:r>
      <w:r w:rsidRPr="001E3111">
        <w:t>En respuesta a su inconformidad, se le hace de conocimiento que la información solicitada no es aplicable de acuerdo a lo que se solicita “En relación a los instructivos que emite el OSFEM para la integración de los informes trimestrales de los sujetos de fiscalización estatal” esta información es obligatoria para el Gobierno del Estado de México y sus descentralizados, no así para los Municipios esto da conformidad con el ámbito de aplicación de los lineamientos para integración y entrega del informe trimestral estatal 2022, contestación que se apega artículo 12 de la Ley de Trasparencia y Acceso a la Información Pública del Estado de México, así como al criterio 03-17, emitido por el Instituto Nacional de Transparencia, Acceso a la Información y Protección de Datos Personales, que dice: “No existe obligación de elaborar documentos ad hoc para atender las solicitudes de acceso a la información. Los artículos 129 de la Ley General de Transparencia y Acceso a la Información Pública</w:t>
      </w:r>
      <w:r>
        <w:t xml:space="preserve">” </w:t>
      </w:r>
      <w:r>
        <w:rPr>
          <w:b/>
          <w:bCs/>
        </w:rPr>
        <w:t>(Sic)</w:t>
      </w:r>
    </w:p>
    <w:p w14:paraId="54EC3CDA" w14:textId="77777777" w:rsidR="001E3111" w:rsidRDefault="001E3111" w:rsidP="001E3111">
      <w:pPr>
        <w:pStyle w:val="Citas"/>
        <w:tabs>
          <w:tab w:val="left" w:pos="7470"/>
        </w:tabs>
        <w:ind w:left="0" w:right="72"/>
        <w:rPr>
          <w:b/>
          <w:bCs/>
          <w:i w:val="0"/>
          <w:iCs/>
          <w:sz w:val="24"/>
        </w:rPr>
      </w:pPr>
    </w:p>
    <w:p w14:paraId="194EC3A6" w14:textId="47C3E0C5" w:rsidR="001E3111" w:rsidRDefault="001E3111" w:rsidP="001E3111">
      <w:pPr>
        <w:pStyle w:val="Citas"/>
        <w:tabs>
          <w:tab w:val="left" w:pos="7470"/>
        </w:tabs>
        <w:ind w:left="0" w:right="72"/>
        <w:rPr>
          <w:i w:val="0"/>
          <w:iCs/>
          <w:sz w:val="24"/>
        </w:rPr>
      </w:pPr>
      <w:r>
        <w:rPr>
          <w:i w:val="0"/>
          <w:iCs/>
          <w:sz w:val="24"/>
        </w:rPr>
        <w:t xml:space="preserve">En contraste, </w:t>
      </w:r>
      <w:r w:rsidR="002B1E84">
        <w:rPr>
          <w:b/>
          <w:bCs/>
          <w:i w:val="0"/>
          <w:iCs/>
          <w:sz w:val="24"/>
        </w:rPr>
        <w:t>La</w:t>
      </w:r>
      <w:r>
        <w:rPr>
          <w:b/>
          <w:bCs/>
          <w:i w:val="0"/>
          <w:iCs/>
          <w:sz w:val="24"/>
        </w:rPr>
        <w:t xml:space="preserve"> Recurrente </w:t>
      </w:r>
      <w:r>
        <w:rPr>
          <w:i w:val="0"/>
          <w:iCs/>
          <w:sz w:val="24"/>
        </w:rPr>
        <w:t>rindió las siguientes manifestaciones:</w:t>
      </w:r>
    </w:p>
    <w:p w14:paraId="0213BEB5" w14:textId="7DE12A64" w:rsidR="001E3111" w:rsidRDefault="00186EE8" w:rsidP="001E3111">
      <w:pPr>
        <w:pStyle w:val="Citas"/>
        <w:tabs>
          <w:tab w:val="left" w:pos="7470"/>
        </w:tabs>
        <w:ind w:left="0" w:right="72"/>
        <w:rPr>
          <w:b/>
          <w:bCs/>
          <w:i w:val="0"/>
          <w:iCs/>
          <w:sz w:val="24"/>
        </w:rPr>
      </w:pPr>
      <w:r>
        <w:rPr>
          <w:b/>
          <w:bCs/>
          <w:i w:val="0"/>
          <w:iCs/>
          <w:sz w:val="24"/>
        </w:rPr>
        <w:t>17195/INFOEM/IP/RR/2022</w:t>
      </w:r>
    </w:p>
    <w:p w14:paraId="422431CB" w14:textId="741377FE" w:rsidR="00186EE8" w:rsidRPr="00186EE8" w:rsidRDefault="00186EE8" w:rsidP="00186EE8">
      <w:pPr>
        <w:pStyle w:val="Citas"/>
        <w:numPr>
          <w:ilvl w:val="0"/>
          <w:numId w:val="36"/>
        </w:numPr>
        <w:tabs>
          <w:tab w:val="left" w:pos="7470"/>
        </w:tabs>
        <w:ind w:right="72"/>
        <w:rPr>
          <w:b/>
          <w:bCs/>
          <w:i w:val="0"/>
          <w:iCs/>
          <w:sz w:val="24"/>
        </w:rPr>
      </w:pPr>
      <w:r>
        <w:rPr>
          <w:b/>
          <w:bCs/>
          <w:i w:val="0"/>
          <w:iCs/>
          <w:sz w:val="24"/>
        </w:rPr>
        <w:t xml:space="preserve">“16720226341201592579052644500003.jpg”: </w:t>
      </w:r>
      <w:r>
        <w:rPr>
          <w:i w:val="0"/>
          <w:iCs/>
          <w:sz w:val="24"/>
        </w:rPr>
        <w:t>Imagen correspondiente a párrafo de resolución emitida por el Órgano garante local, resulta de nuestro interés el siguiente extracto:</w:t>
      </w:r>
    </w:p>
    <w:p w14:paraId="29EF45A2" w14:textId="521B5AC5" w:rsidR="00186EE8" w:rsidRPr="00837CB5" w:rsidRDefault="00186EE8" w:rsidP="00186EE8">
      <w:pPr>
        <w:pStyle w:val="Citas"/>
        <w:tabs>
          <w:tab w:val="left" w:pos="7470"/>
        </w:tabs>
        <w:ind w:left="720" w:right="72"/>
        <w:rPr>
          <w:b/>
          <w:bCs/>
          <w:sz w:val="24"/>
        </w:rPr>
      </w:pPr>
      <w:r>
        <w:rPr>
          <w:sz w:val="24"/>
        </w:rPr>
        <w:lastRenderedPageBreak/>
        <w:t xml:space="preserve">“Aunado a lo anterior, por lo que hace al dos mil veintiuno el Órgano Superior de Fiscalización del Estado de México emitió el Instructivo para la Integración del </w:t>
      </w:r>
      <w:r w:rsidR="00837CB5">
        <w:rPr>
          <w:sz w:val="24"/>
        </w:rPr>
        <w:t xml:space="preserve">Informe Trimestral de los Sujetos de Fiscalización Estatales, en el cual se advierte que el Sujeto Obligado debe seguir lo señalado en el módulo 4, mismo que tiene como contenido el Submódulo Obra, el cual tiene como finalidad concentrar el avance físico y financiero de cada una de las obras que tienen como característica esta modalidad, y son ejecutadas por los Municipios o por los Organismos Descentralizados a través de sus Dependencias Técnicas. Dicha información comprende datos relevantes acerca de la Autorización, Contratación, Ejecución, así como también de su Acto de” </w:t>
      </w:r>
      <w:r w:rsidR="00837CB5">
        <w:rPr>
          <w:b/>
          <w:bCs/>
          <w:sz w:val="24"/>
        </w:rPr>
        <w:t>(Sic)</w:t>
      </w:r>
    </w:p>
    <w:p w14:paraId="304F3257" w14:textId="732300EB" w:rsidR="00837CB5" w:rsidRDefault="00837CB5" w:rsidP="00186EE8">
      <w:pPr>
        <w:jc w:val="both"/>
        <w:rPr>
          <w:rFonts w:ascii="Arial" w:hAnsi="Arial" w:cs="Arial"/>
        </w:rPr>
      </w:pPr>
    </w:p>
    <w:p w14:paraId="20E73EEB" w14:textId="178C388A" w:rsidR="00837CB5" w:rsidRDefault="00837CB5" w:rsidP="00186EE8">
      <w:pPr>
        <w:jc w:val="both"/>
        <w:rPr>
          <w:rFonts w:ascii="Palatino Linotype" w:hAnsi="Palatino Linotype" w:cs="Arial"/>
          <w:b/>
          <w:bCs/>
          <w:sz w:val="24"/>
          <w:szCs w:val="24"/>
        </w:rPr>
      </w:pPr>
      <w:r w:rsidRPr="00186EE8">
        <w:rPr>
          <w:rFonts w:ascii="Palatino Linotype" w:hAnsi="Palatino Linotype" w:cs="Arial"/>
          <w:b/>
          <w:bCs/>
          <w:sz w:val="24"/>
          <w:szCs w:val="24"/>
        </w:rPr>
        <w:t>1719</w:t>
      </w:r>
      <w:r>
        <w:rPr>
          <w:rFonts w:ascii="Palatino Linotype" w:hAnsi="Palatino Linotype" w:cs="Arial"/>
          <w:b/>
          <w:bCs/>
          <w:sz w:val="24"/>
          <w:szCs w:val="24"/>
        </w:rPr>
        <w:t>6</w:t>
      </w:r>
      <w:r w:rsidRPr="00186EE8">
        <w:rPr>
          <w:rFonts w:ascii="Palatino Linotype" w:hAnsi="Palatino Linotype" w:cs="Arial"/>
          <w:b/>
          <w:bCs/>
          <w:sz w:val="24"/>
          <w:szCs w:val="24"/>
        </w:rPr>
        <w:t>/INFOEM/IP/RR/2022</w:t>
      </w:r>
    </w:p>
    <w:p w14:paraId="7961D494" w14:textId="42787F4B" w:rsidR="00837CB5" w:rsidRPr="007C3E62" w:rsidRDefault="00837CB5" w:rsidP="007C3E62">
      <w:pPr>
        <w:pStyle w:val="Prrafodelista"/>
        <w:numPr>
          <w:ilvl w:val="0"/>
          <w:numId w:val="39"/>
        </w:numPr>
        <w:spacing w:line="360" w:lineRule="auto"/>
        <w:jc w:val="both"/>
        <w:rPr>
          <w:rFonts w:ascii="Palatino Linotype" w:hAnsi="Palatino Linotype" w:cs="Arial"/>
          <w:b/>
          <w:bCs/>
        </w:rPr>
      </w:pPr>
      <w:r w:rsidRPr="007C3E62">
        <w:rPr>
          <w:rFonts w:ascii="Palatino Linotype" w:hAnsi="Palatino Linotype" w:cs="Arial"/>
          <w:b/>
          <w:bCs/>
        </w:rPr>
        <w:t>“</w:t>
      </w:r>
      <w:r w:rsidR="007C3E62">
        <w:rPr>
          <w:rFonts w:ascii="Palatino Linotype" w:hAnsi="Palatino Linotype" w:cs="Arial"/>
          <w:b/>
          <w:bCs/>
        </w:rPr>
        <w:t xml:space="preserve">16720227507435527180518123779878.jpg”: </w:t>
      </w:r>
      <w:r w:rsidR="007C3E62">
        <w:rPr>
          <w:rFonts w:ascii="Palatino Linotype" w:hAnsi="Palatino Linotype" w:cs="Arial"/>
        </w:rPr>
        <w:t xml:space="preserve">Imagen correspondiente a párrafo de resolución emitida por el Órgano garante local, cuyo texto fue referido a la literalidad en párrafos precedentes. </w:t>
      </w:r>
    </w:p>
    <w:p w14:paraId="43D7363C" w14:textId="77777777" w:rsidR="007C3E62" w:rsidRDefault="007F4966" w:rsidP="00186EE8">
      <w:pPr>
        <w:jc w:val="both"/>
        <w:rPr>
          <w:rFonts w:ascii="Arial" w:hAnsi="Arial" w:cs="Arial"/>
        </w:rPr>
      </w:pPr>
      <w:hyperlink r:id="rId11" w:history="1">
        <w:r w:rsidR="00186EE8">
          <w:rPr>
            <w:rFonts w:ascii="Arial" w:hAnsi="Arial" w:cs="Arial"/>
            <w:b/>
            <w:bCs/>
            <w:color w:val="67C19D"/>
            <w:sz w:val="17"/>
            <w:szCs w:val="17"/>
          </w:rPr>
          <w:br/>
        </w:r>
      </w:hyperlink>
    </w:p>
    <w:p w14:paraId="331B29A7" w14:textId="6783BC2F" w:rsidR="00186EE8" w:rsidRPr="00186EE8" w:rsidRDefault="00186EE8" w:rsidP="00186EE8">
      <w:pPr>
        <w:jc w:val="both"/>
        <w:rPr>
          <w:rFonts w:ascii="Palatino Linotype" w:hAnsi="Palatino Linotype" w:cs="Arial"/>
          <w:b/>
          <w:bCs/>
          <w:sz w:val="24"/>
          <w:szCs w:val="24"/>
        </w:rPr>
      </w:pPr>
      <w:r w:rsidRPr="00186EE8">
        <w:rPr>
          <w:rFonts w:ascii="Palatino Linotype" w:hAnsi="Palatino Linotype" w:cs="Arial"/>
          <w:b/>
          <w:bCs/>
          <w:sz w:val="24"/>
          <w:szCs w:val="24"/>
        </w:rPr>
        <w:t>17197/INFOEM/IP/RR/2022</w:t>
      </w:r>
    </w:p>
    <w:p w14:paraId="1933F668" w14:textId="143A3D73" w:rsidR="00186EE8" w:rsidRPr="00186EE8" w:rsidRDefault="00186EE8" w:rsidP="007C3E62">
      <w:pPr>
        <w:pStyle w:val="Prrafodelista"/>
        <w:numPr>
          <w:ilvl w:val="0"/>
          <w:numId w:val="38"/>
        </w:numPr>
        <w:spacing w:line="360" w:lineRule="auto"/>
        <w:jc w:val="both"/>
        <w:rPr>
          <w:rFonts w:ascii="Palatino Linotype" w:hAnsi="Palatino Linotype" w:cs="Arial"/>
          <w:b/>
          <w:bCs/>
        </w:rPr>
      </w:pPr>
      <w:r w:rsidRPr="00186EE8">
        <w:rPr>
          <w:rFonts w:ascii="Palatino Linotype" w:hAnsi="Palatino Linotype" w:cs="Arial"/>
          <w:b/>
          <w:bCs/>
        </w:rPr>
        <w:t>“1672</w:t>
      </w:r>
      <w:r>
        <w:rPr>
          <w:rFonts w:ascii="Palatino Linotype" w:hAnsi="Palatino Linotype" w:cs="Arial"/>
          <w:b/>
          <w:bCs/>
        </w:rPr>
        <w:t xml:space="preserve">0228603453215095066093347047.jpg”: </w:t>
      </w:r>
      <w:r w:rsidR="007C3E62">
        <w:rPr>
          <w:rFonts w:ascii="Palatino Linotype" w:hAnsi="Palatino Linotype" w:cs="Arial"/>
        </w:rPr>
        <w:t xml:space="preserve">Imagen correspondiente a párrafo de resolución emitida por el Órgano garante local, cuyo texto fue referido a la literalidad en párrafos precedentes. </w:t>
      </w:r>
    </w:p>
    <w:p w14:paraId="4BA3423C" w14:textId="77777777" w:rsidR="007C3E62" w:rsidRDefault="007C3E62" w:rsidP="004B0DB0">
      <w:pPr>
        <w:pStyle w:val="Citas"/>
        <w:tabs>
          <w:tab w:val="left" w:pos="7470"/>
        </w:tabs>
        <w:ind w:left="0" w:right="72"/>
        <w:rPr>
          <w:bCs/>
          <w:i w:val="0"/>
          <w:sz w:val="24"/>
          <w:szCs w:val="24"/>
        </w:rPr>
      </w:pPr>
    </w:p>
    <w:p w14:paraId="56B81514" w14:textId="7097975E" w:rsidR="007C3E62" w:rsidRDefault="007C3E62" w:rsidP="004B0DB0">
      <w:pPr>
        <w:pStyle w:val="Citas"/>
        <w:tabs>
          <w:tab w:val="left" w:pos="7470"/>
        </w:tabs>
        <w:ind w:left="0" w:right="72"/>
        <w:rPr>
          <w:bCs/>
          <w:i w:val="0"/>
          <w:sz w:val="24"/>
          <w:szCs w:val="24"/>
        </w:rPr>
      </w:pPr>
      <w:r>
        <w:rPr>
          <w:bCs/>
          <w:i w:val="0"/>
          <w:sz w:val="24"/>
          <w:szCs w:val="24"/>
        </w:rPr>
        <w:t>Hasta aquí lo expuesto, se desprenden las siguientes consideraciones:</w:t>
      </w:r>
    </w:p>
    <w:p w14:paraId="403EC067" w14:textId="660D2C63" w:rsidR="00E26BEE" w:rsidRPr="00EA1BA1" w:rsidRDefault="00E26BEE" w:rsidP="00E26BEE">
      <w:pPr>
        <w:pStyle w:val="Sinespaciado"/>
        <w:numPr>
          <w:ilvl w:val="0"/>
          <w:numId w:val="21"/>
        </w:numPr>
        <w:spacing w:line="360" w:lineRule="auto"/>
        <w:jc w:val="both"/>
        <w:rPr>
          <w:rFonts w:ascii="Palatino Linotype" w:hAnsi="Palatino Linotype"/>
        </w:rPr>
      </w:pPr>
      <w:r w:rsidRPr="00EA1BA1">
        <w:rPr>
          <w:rFonts w:ascii="Palatino Linotype" w:hAnsi="Palatino Linotype"/>
        </w:rPr>
        <w:lastRenderedPageBreak/>
        <w:t xml:space="preserve">El derecho de acceso a la información versa esencialmente en acceder a información registrada en cualquier soporte documental que en ejercicio de las atribuciones conferidas sea generada, poseída o administrada por los </w:t>
      </w:r>
      <w:r w:rsidRPr="00EA1BA1">
        <w:rPr>
          <w:rFonts w:ascii="Palatino Linotype" w:hAnsi="Palatino Linotype"/>
          <w:b/>
          <w:bCs/>
        </w:rPr>
        <w:t xml:space="preserve">Sujetos Obligados. </w:t>
      </w:r>
    </w:p>
    <w:p w14:paraId="07A7F8B9" w14:textId="37EE4C32" w:rsidR="007C3E62" w:rsidRDefault="00CA172C" w:rsidP="0072363D">
      <w:pPr>
        <w:pStyle w:val="Prrafodelista"/>
        <w:numPr>
          <w:ilvl w:val="0"/>
          <w:numId w:val="21"/>
        </w:numPr>
        <w:autoSpaceDE w:val="0"/>
        <w:autoSpaceDN w:val="0"/>
        <w:adjustRightInd w:val="0"/>
        <w:spacing w:before="240" w:line="360" w:lineRule="auto"/>
        <w:jc w:val="both"/>
        <w:rPr>
          <w:rFonts w:ascii="Palatino Linotype" w:hAnsi="Palatino Linotype"/>
        </w:rPr>
      </w:pPr>
      <w:r>
        <w:rPr>
          <w:rFonts w:ascii="Palatino Linotype" w:hAnsi="Palatino Linotype"/>
        </w:rPr>
        <w:t>A través de</w:t>
      </w:r>
      <w:r w:rsidR="00E26BEE" w:rsidRPr="00883768">
        <w:rPr>
          <w:rFonts w:ascii="Palatino Linotype" w:hAnsi="Palatino Linotype"/>
        </w:rPr>
        <w:t xml:space="preserve"> la</w:t>
      </w:r>
      <w:r w:rsidR="00883768" w:rsidRPr="00883768">
        <w:rPr>
          <w:rFonts w:ascii="Palatino Linotype" w:hAnsi="Palatino Linotype"/>
        </w:rPr>
        <w:t>s</w:t>
      </w:r>
      <w:r w:rsidR="00E26BEE" w:rsidRPr="00883768">
        <w:rPr>
          <w:rFonts w:ascii="Palatino Linotype" w:hAnsi="Palatino Linotype"/>
        </w:rPr>
        <w:t xml:space="preserve"> solicitud</w:t>
      </w:r>
      <w:r w:rsidR="00883768" w:rsidRPr="00883768">
        <w:rPr>
          <w:rFonts w:ascii="Palatino Linotype" w:hAnsi="Palatino Linotype"/>
        </w:rPr>
        <w:t>es</w:t>
      </w:r>
      <w:r w:rsidR="00E26BEE" w:rsidRPr="00883768">
        <w:rPr>
          <w:rFonts w:ascii="Palatino Linotype" w:hAnsi="Palatino Linotype"/>
        </w:rPr>
        <w:t xml:space="preserve"> de información </w:t>
      </w:r>
      <w:r w:rsidR="007C3E62">
        <w:rPr>
          <w:rFonts w:ascii="Palatino Linotype" w:hAnsi="Palatino Linotype"/>
        </w:rPr>
        <w:t xml:space="preserve">fue requerido el submódulo de obra del informe trimestral rendido ante el Órgano Superior de Fiscalización del Estado de México, correspondiente al tercer trimestre del ejercicio dos mil veintidós. </w:t>
      </w:r>
    </w:p>
    <w:p w14:paraId="5439ED5C" w14:textId="77777777" w:rsidR="00CA172C" w:rsidRPr="00CA172C" w:rsidRDefault="00E26BEE" w:rsidP="00E26BEE">
      <w:pPr>
        <w:pStyle w:val="Sinespaciado"/>
        <w:numPr>
          <w:ilvl w:val="0"/>
          <w:numId w:val="21"/>
        </w:numPr>
        <w:spacing w:line="360" w:lineRule="auto"/>
        <w:jc w:val="both"/>
        <w:rPr>
          <w:rFonts w:ascii="Palatino Linotype" w:hAnsi="Palatino Linotype"/>
        </w:rPr>
      </w:pPr>
      <w:r w:rsidRPr="00EA1BA1">
        <w:rPr>
          <w:rFonts w:ascii="Palatino Linotype" w:hAnsi="Palatino Linotype"/>
        </w:rPr>
        <w:t>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w:t>
      </w:r>
      <w:r w:rsidR="00EA1BA1">
        <w:rPr>
          <w:rFonts w:ascii="Palatino Linotype" w:hAnsi="Palatino Linotype"/>
        </w:rPr>
        <w:t xml:space="preserve">, porción normativa inobservada por </w:t>
      </w:r>
      <w:r w:rsidR="00EA1BA1">
        <w:rPr>
          <w:rFonts w:ascii="Palatino Linotype" w:hAnsi="Palatino Linotype"/>
          <w:b/>
          <w:bCs/>
        </w:rPr>
        <w:t>El Sujeto Obligado</w:t>
      </w:r>
      <w:r w:rsidR="00CA172C">
        <w:rPr>
          <w:rFonts w:ascii="Palatino Linotype" w:hAnsi="Palatino Linotype"/>
          <w:b/>
          <w:bCs/>
        </w:rPr>
        <w:t>.</w:t>
      </w:r>
    </w:p>
    <w:p w14:paraId="47A571BC" w14:textId="3CD16C96" w:rsidR="00CA172C" w:rsidRPr="00A40460" w:rsidRDefault="00CA172C" w:rsidP="00A8097C">
      <w:pPr>
        <w:pStyle w:val="Sinespaciado"/>
        <w:numPr>
          <w:ilvl w:val="0"/>
          <w:numId w:val="21"/>
        </w:numPr>
        <w:spacing w:line="360" w:lineRule="auto"/>
        <w:jc w:val="both"/>
        <w:rPr>
          <w:rFonts w:ascii="Palatino Linotype" w:hAnsi="Palatino Linotype"/>
        </w:rPr>
      </w:pPr>
      <w:r w:rsidRPr="00CA172C">
        <w:rPr>
          <w:rFonts w:ascii="Palatino Linotype" w:hAnsi="Palatino Linotype"/>
        </w:rPr>
        <w:t xml:space="preserve">Que de una interpretación sistemática a los artículos </w:t>
      </w:r>
      <w:r w:rsidRPr="00CA172C">
        <w:rPr>
          <w:rFonts w:ascii="Palatino Linotype" w:hAnsi="Palatino Linotype"/>
          <w:iCs/>
        </w:rPr>
        <w:t>87 y 96 Bis, fracción XXIV de la Ley Orgánica Municipal del Estado de México; así como el numeral 84, fracciones II y VII del Bando Municipal de Amecameca</w:t>
      </w:r>
      <w:r>
        <w:rPr>
          <w:rFonts w:ascii="Palatino Linotype" w:hAnsi="Palatino Linotype"/>
          <w:iCs/>
        </w:rPr>
        <w:t xml:space="preserve">, se advierte que la Dirección de Obras Públicas y Desarrollo Urbano resulta competente para atender las solicitudes de información. </w:t>
      </w:r>
    </w:p>
    <w:p w14:paraId="27C470B7" w14:textId="77777777" w:rsidR="00A40460" w:rsidRPr="00CA172C" w:rsidRDefault="00A40460" w:rsidP="00A40460">
      <w:pPr>
        <w:pStyle w:val="Prrafodelista"/>
        <w:numPr>
          <w:ilvl w:val="0"/>
          <w:numId w:val="21"/>
        </w:numPr>
        <w:autoSpaceDE w:val="0"/>
        <w:autoSpaceDN w:val="0"/>
        <w:adjustRightInd w:val="0"/>
        <w:spacing w:before="240" w:line="360" w:lineRule="auto"/>
        <w:jc w:val="both"/>
        <w:rPr>
          <w:rFonts w:ascii="Palatino Linotype" w:hAnsi="Palatino Linotype"/>
        </w:rPr>
      </w:pPr>
      <w:r>
        <w:rPr>
          <w:rFonts w:ascii="Palatino Linotype" w:hAnsi="Palatino Linotype"/>
        </w:rPr>
        <w:t>M</w:t>
      </w:r>
      <w:r w:rsidRPr="00CA172C">
        <w:rPr>
          <w:rFonts w:ascii="Palatino Linotype" w:hAnsi="Palatino Linotype"/>
        </w:rPr>
        <w:t xml:space="preserve">ediante respuesta a la solicitud de información </w:t>
      </w:r>
      <w:r w:rsidRPr="00CA172C">
        <w:rPr>
          <w:rFonts w:ascii="Palatino Linotype" w:hAnsi="Palatino Linotype"/>
          <w:b/>
          <w:bCs/>
        </w:rPr>
        <w:t xml:space="preserve">02007/AMECAMEC/IP/2022, El Sujeto Obligado </w:t>
      </w:r>
      <w:r w:rsidRPr="00CA172C">
        <w:rPr>
          <w:rFonts w:ascii="Palatino Linotype" w:hAnsi="Palatino Linotype"/>
        </w:rPr>
        <w:t xml:space="preserve">se limitó a referir en abstracto algunos de los documentos que integran el submódulo de obra. En contraste, respecto de la solicitud de información </w:t>
      </w:r>
      <w:r w:rsidRPr="00CA172C">
        <w:rPr>
          <w:rFonts w:ascii="Palatino Linotype" w:hAnsi="Palatino Linotype" w:cs="Arial"/>
          <w:b/>
          <w:bCs/>
        </w:rPr>
        <w:t xml:space="preserve">02005/AMECAMEC/IP/2022, </w:t>
      </w:r>
      <w:r w:rsidRPr="00CA172C">
        <w:rPr>
          <w:rFonts w:ascii="Palatino Linotype" w:hAnsi="Palatino Linotype" w:cs="Arial"/>
        </w:rPr>
        <w:t xml:space="preserve">el servidor público habilitado </w:t>
      </w:r>
      <w:r w:rsidRPr="00CA172C">
        <w:rPr>
          <w:rFonts w:ascii="Palatino Linotype" w:hAnsi="Palatino Linotype" w:cs="Arial"/>
        </w:rPr>
        <w:lastRenderedPageBreak/>
        <w:t xml:space="preserve">adscrito a la Contraloría Municipal señaló que la información de obra no resulta ámbito de su competencia. Finalmente, respecto de las solicitudes de información </w:t>
      </w:r>
      <w:r w:rsidRPr="00CA172C">
        <w:rPr>
          <w:rFonts w:ascii="Palatino Linotype" w:hAnsi="Palatino Linotype" w:cs="Arial"/>
          <w:b/>
          <w:bCs/>
        </w:rPr>
        <w:t xml:space="preserve">02004/AMECAMEC/IP/2022 </w:t>
      </w:r>
      <w:r w:rsidRPr="00CA172C">
        <w:rPr>
          <w:rFonts w:ascii="Palatino Linotype" w:hAnsi="Palatino Linotype" w:cs="Arial"/>
        </w:rPr>
        <w:t xml:space="preserve">y </w:t>
      </w:r>
      <w:r w:rsidRPr="00CA172C">
        <w:rPr>
          <w:rFonts w:ascii="Palatino Linotype" w:hAnsi="Palatino Linotype" w:cs="Arial"/>
          <w:b/>
          <w:bCs/>
        </w:rPr>
        <w:t>02003/AMECAMEC/IP/2022</w:t>
      </w:r>
      <w:r>
        <w:rPr>
          <w:rFonts w:ascii="Palatino Linotype" w:hAnsi="Palatino Linotype" w:cs="Arial"/>
          <w:b/>
          <w:bCs/>
        </w:rPr>
        <w:t xml:space="preserve">, El Sujeto Obligado </w:t>
      </w:r>
      <w:r>
        <w:rPr>
          <w:rFonts w:ascii="Palatino Linotype" w:hAnsi="Palatino Linotype" w:cs="Arial"/>
        </w:rPr>
        <w:t xml:space="preserve">refirió que no resulta ámbito de su competencia la integración de informe trimestral estatal. </w:t>
      </w:r>
    </w:p>
    <w:p w14:paraId="0695BD94" w14:textId="47B7CCB2" w:rsidR="00E26BEE" w:rsidRDefault="00A40460" w:rsidP="00E26BEE">
      <w:pPr>
        <w:pStyle w:val="Sinespaciado"/>
        <w:numPr>
          <w:ilvl w:val="0"/>
          <w:numId w:val="21"/>
        </w:numPr>
        <w:spacing w:line="360" w:lineRule="auto"/>
        <w:jc w:val="both"/>
        <w:rPr>
          <w:rFonts w:ascii="Palatino Linotype" w:hAnsi="Palatino Linotype"/>
        </w:rPr>
      </w:pPr>
      <w:r>
        <w:rPr>
          <w:rFonts w:ascii="Palatino Linotype" w:hAnsi="Palatino Linotype"/>
        </w:rPr>
        <w:t>Por otra parte,</w:t>
      </w:r>
      <w:r w:rsidR="00E26BEE" w:rsidRPr="00EA1BA1">
        <w:rPr>
          <w:rFonts w:ascii="Palatino Linotype" w:hAnsi="Palatino Linotype"/>
        </w:rPr>
        <w:t xml:space="preserve"> se destaca </w:t>
      </w:r>
      <w:r w:rsidR="00480E26" w:rsidRPr="00EA1BA1">
        <w:rPr>
          <w:rFonts w:ascii="Palatino Linotype" w:hAnsi="Palatino Linotype"/>
        </w:rPr>
        <w:t>que,</w:t>
      </w:r>
      <w:r w:rsidR="00E26BEE" w:rsidRPr="00EA1BA1">
        <w:rPr>
          <w:rFonts w:ascii="Palatino Linotype" w:hAnsi="Palatino Linotype"/>
        </w:rPr>
        <w:t xml:space="preserve"> </w:t>
      </w:r>
      <w:r w:rsidR="00235909" w:rsidRPr="00EA1BA1">
        <w:rPr>
          <w:rFonts w:ascii="Palatino Linotype" w:hAnsi="Palatino Linotype"/>
        </w:rPr>
        <w:t xml:space="preserve">mediante etapa de manifestaciones, </w:t>
      </w:r>
      <w:r w:rsidR="00235909" w:rsidRPr="00EA1BA1">
        <w:rPr>
          <w:rFonts w:ascii="Palatino Linotype" w:hAnsi="Palatino Linotype"/>
          <w:b/>
          <w:bCs/>
        </w:rPr>
        <w:t xml:space="preserve">El Sujeto Obligado </w:t>
      </w:r>
      <w:r>
        <w:rPr>
          <w:rFonts w:ascii="Palatino Linotype" w:hAnsi="Palatino Linotype"/>
        </w:rPr>
        <w:t>se limitó a señalar que en sus archivos no obra la información referente a los “</w:t>
      </w:r>
      <w:r>
        <w:rPr>
          <w:rFonts w:ascii="Palatino Linotype" w:hAnsi="Palatino Linotype"/>
          <w:i/>
          <w:iCs/>
        </w:rPr>
        <w:t xml:space="preserve">informes trimestrales de los sujetos de fiscalización </w:t>
      </w:r>
      <w:r>
        <w:rPr>
          <w:rFonts w:ascii="Palatino Linotype" w:hAnsi="Palatino Linotype"/>
          <w:b/>
          <w:bCs/>
          <w:i/>
          <w:iCs/>
        </w:rPr>
        <w:t xml:space="preserve">estatal”. </w:t>
      </w:r>
    </w:p>
    <w:p w14:paraId="553BB1CB" w14:textId="1D42274D" w:rsidR="00A40460" w:rsidRPr="00A40460" w:rsidRDefault="00A40460" w:rsidP="00E26BEE">
      <w:pPr>
        <w:pStyle w:val="Sinespaciado"/>
        <w:numPr>
          <w:ilvl w:val="0"/>
          <w:numId w:val="21"/>
        </w:numPr>
        <w:spacing w:line="360" w:lineRule="auto"/>
        <w:jc w:val="both"/>
        <w:rPr>
          <w:rFonts w:ascii="Palatino Linotype" w:hAnsi="Palatino Linotype"/>
        </w:rPr>
      </w:pPr>
      <w:r>
        <w:rPr>
          <w:rFonts w:ascii="Palatino Linotype" w:hAnsi="Palatino Linotype" w:cs="Arial"/>
          <w:color w:val="000000"/>
          <w:lang w:val="es-ES_tradnl"/>
        </w:rPr>
        <w:t xml:space="preserve">Que el particular no resulta experto en la terminología usada en la administración pública o materia de transparencia, por ello, al solicitarle al Ayuntamiento de Amecameca, información del submódulo de obra respecto del </w:t>
      </w:r>
      <w:r>
        <w:rPr>
          <w:rFonts w:ascii="Palatino Linotype" w:hAnsi="Palatino Linotype" w:cs="Arial"/>
          <w:i/>
          <w:iCs/>
          <w:color w:val="000000"/>
          <w:lang w:val="es-ES_tradnl"/>
        </w:rPr>
        <w:t xml:space="preserve">“informe trimestrales de los sujetos de fiscalización </w:t>
      </w:r>
      <w:r>
        <w:rPr>
          <w:rFonts w:ascii="Palatino Linotype" w:hAnsi="Palatino Linotype" w:cs="Arial"/>
          <w:b/>
          <w:bCs/>
          <w:i/>
          <w:iCs/>
          <w:color w:val="000000"/>
          <w:lang w:val="es-ES_tradnl"/>
        </w:rPr>
        <w:t xml:space="preserve">estatal”,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se encontraba constreñido a garantizar las solicitudes de información a la luz del principio de suplencia de la queja deficiente imperante en la materia, resultando conducente la entrega del multicitado apartado del informe trimestral </w:t>
      </w:r>
      <w:r w:rsidRPr="009E59E7">
        <w:rPr>
          <w:rFonts w:ascii="Palatino Linotype" w:hAnsi="Palatino Linotype" w:cs="Arial"/>
          <w:b/>
          <w:bCs/>
          <w:color w:val="000000"/>
          <w:u w:val="single"/>
          <w:lang w:val="es-ES_tradnl"/>
        </w:rPr>
        <w:t>municipal</w:t>
      </w:r>
      <w:r>
        <w:rPr>
          <w:rFonts w:ascii="Palatino Linotype" w:hAnsi="Palatino Linotype" w:cs="Arial"/>
          <w:color w:val="000000"/>
          <w:lang w:val="es-ES_tradnl"/>
        </w:rPr>
        <w:t xml:space="preserve">. </w:t>
      </w:r>
    </w:p>
    <w:p w14:paraId="7971D4F0" w14:textId="77777777" w:rsidR="00A40460" w:rsidRDefault="00A40460" w:rsidP="004B0DB0">
      <w:pPr>
        <w:pStyle w:val="Citas"/>
        <w:tabs>
          <w:tab w:val="left" w:pos="7470"/>
        </w:tabs>
        <w:ind w:left="0" w:right="72"/>
        <w:rPr>
          <w:bCs/>
          <w:i w:val="0"/>
          <w:sz w:val="24"/>
          <w:szCs w:val="24"/>
        </w:rPr>
      </w:pPr>
    </w:p>
    <w:p w14:paraId="106005CF" w14:textId="4F0477B9" w:rsidR="004B0DB0" w:rsidRDefault="00A40460" w:rsidP="004B0DB0">
      <w:pPr>
        <w:pStyle w:val="Citas"/>
        <w:tabs>
          <w:tab w:val="left" w:pos="7470"/>
        </w:tabs>
        <w:ind w:left="0" w:right="72"/>
        <w:rPr>
          <w:bCs/>
          <w:i w:val="0"/>
          <w:sz w:val="24"/>
          <w:szCs w:val="24"/>
        </w:rPr>
      </w:pPr>
      <w:r>
        <w:rPr>
          <w:bCs/>
          <w:i w:val="0"/>
          <w:sz w:val="24"/>
          <w:szCs w:val="24"/>
        </w:rPr>
        <w:t>Con base en lo anteriormente expuesto, resulta</w:t>
      </w:r>
      <w:r w:rsidR="004B0DB0">
        <w:rPr>
          <w:bCs/>
          <w:i w:val="0"/>
          <w:sz w:val="24"/>
          <w:szCs w:val="24"/>
        </w:rPr>
        <w:t xml:space="preserve"> procedente ordenar una búsqueda exhaustiva y razonable, a efecto de hacer entrega vía </w:t>
      </w:r>
      <w:r w:rsidR="004B0DB0" w:rsidRPr="007169EF">
        <w:rPr>
          <w:b/>
          <w:i w:val="0"/>
          <w:sz w:val="24"/>
          <w:szCs w:val="24"/>
        </w:rPr>
        <w:t>SAIMEX</w:t>
      </w:r>
      <w:r w:rsidR="004B0DB0">
        <w:rPr>
          <w:bCs/>
          <w:i w:val="0"/>
          <w:sz w:val="24"/>
          <w:szCs w:val="24"/>
        </w:rPr>
        <w:t xml:space="preserve">, en versión pública de ser procedente, de la siguiente información: </w:t>
      </w:r>
    </w:p>
    <w:p w14:paraId="028931EB" w14:textId="77777777" w:rsidR="00A40460" w:rsidRDefault="00A40460" w:rsidP="00A40460">
      <w:pPr>
        <w:pStyle w:val="Prrafodelista"/>
        <w:numPr>
          <w:ilvl w:val="0"/>
          <w:numId w:val="17"/>
        </w:numPr>
        <w:spacing w:before="240" w:line="360" w:lineRule="auto"/>
        <w:jc w:val="both"/>
        <w:rPr>
          <w:rFonts w:ascii="Palatino Linotype" w:hAnsi="Palatino Linotype"/>
        </w:rPr>
      </w:pPr>
      <w:r>
        <w:rPr>
          <w:rFonts w:ascii="Palatino Linotype" w:hAnsi="Palatino Linotype"/>
        </w:rPr>
        <w:lastRenderedPageBreak/>
        <w:t xml:space="preserve">El o los documentos que integran el submódulo obra del informe trimestral rendido ante el Órgano Superior de Fiscalización del Estado de México, correspondiente al tercer trimestre del año dos mil veintidós. </w:t>
      </w:r>
    </w:p>
    <w:p w14:paraId="35FE9439" w14:textId="77777777" w:rsidR="00A40460" w:rsidRDefault="00A40460" w:rsidP="00A40460">
      <w:pPr>
        <w:pStyle w:val="Prrafodelista"/>
        <w:spacing w:before="240" w:line="360" w:lineRule="auto"/>
        <w:ind w:left="720"/>
        <w:jc w:val="both"/>
        <w:rPr>
          <w:rFonts w:ascii="Palatino Linotype" w:hAnsi="Palatino Linotype"/>
        </w:rPr>
      </w:pPr>
    </w:p>
    <w:p w14:paraId="07306ED3" w14:textId="77777777" w:rsidR="004B0DB0" w:rsidRPr="00C22506" w:rsidRDefault="004B0DB0" w:rsidP="004B0DB0">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44B9ABC2" w14:textId="77777777" w:rsidR="00692B10" w:rsidRPr="001571EB" w:rsidRDefault="00692B10" w:rsidP="00692B1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1FF076C" w14:textId="77777777" w:rsidR="00692B10" w:rsidRPr="00E60DEF" w:rsidRDefault="00692B10" w:rsidP="00692B1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FCC7AD2" w14:textId="77777777" w:rsidR="00692B10" w:rsidRPr="00E60DEF" w:rsidRDefault="00692B10" w:rsidP="00692B1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7290BA27" w14:textId="77777777" w:rsidR="00692B10" w:rsidRPr="001571EB"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54271A4" w14:textId="77777777" w:rsidR="00692B10" w:rsidRPr="001571EB" w:rsidRDefault="00692B10" w:rsidP="00692B1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510E63A3" w14:textId="77777777" w:rsidR="00692B10" w:rsidRPr="001571EB"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01153DC" w14:textId="77777777" w:rsidR="00692B10" w:rsidRPr="001571EB" w:rsidRDefault="00692B10" w:rsidP="00692B1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3CAEB20"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AAAFA0D"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C478CE1" w14:textId="77777777" w:rsidR="00692B10" w:rsidRPr="001571EB" w:rsidRDefault="00692B10" w:rsidP="00692B1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FF46A81" w14:textId="77777777" w:rsidR="00692B10" w:rsidRPr="00E60DEF" w:rsidRDefault="00692B10" w:rsidP="00692B1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EA6BDBE" w14:textId="77777777" w:rsidR="00692B10" w:rsidRPr="001571EB" w:rsidRDefault="00692B10" w:rsidP="00692B1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DC9E4A3" w14:textId="77777777" w:rsidR="00692B10" w:rsidRDefault="00692B10" w:rsidP="00692B1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555070D" w14:textId="77777777" w:rsidR="00692B10" w:rsidRPr="00E60DEF" w:rsidRDefault="00692B10" w:rsidP="00692B10">
      <w:pPr>
        <w:spacing w:before="240" w:line="360" w:lineRule="auto"/>
        <w:ind w:left="851" w:right="851"/>
        <w:jc w:val="both"/>
        <w:rPr>
          <w:rFonts w:ascii="Palatino Linotype" w:hAnsi="Palatino Linotype" w:cs="Arial"/>
          <w:b/>
          <w:i/>
        </w:rPr>
      </w:pPr>
    </w:p>
    <w:p w14:paraId="19FC3C4A" w14:textId="77777777" w:rsidR="00692B10" w:rsidRPr="001571EB" w:rsidRDefault="00692B10" w:rsidP="00692B1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w:t>
      </w:r>
      <w:r w:rsidRPr="001571EB">
        <w:rPr>
          <w:rFonts w:ascii="Palatino Linotype" w:hAnsi="Palatino Linotype" w:cs="Arial"/>
          <w:sz w:val="24"/>
          <w:szCs w:val="24"/>
        </w:rPr>
        <w:lastRenderedPageBreak/>
        <w:t>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CA1B00E" w14:textId="77777777" w:rsidR="00692B10" w:rsidRPr="001571EB" w:rsidRDefault="00692B10" w:rsidP="00692B1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EC0CBC" w14:textId="77777777" w:rsidR="00692B10" w:rsidRPr="001571EB"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7B167AE" w14:textId="77777777" w:rsidR="00692B10" w:rsidRDefault="00692B10" w:rsidP="00692B1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2BE360D1" w14:textId="77777777" w:rsidR="00692B1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4D060D43"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7C37AD49"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EFFC393"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4FEDA8F"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3013790A" w14:textId="77777777" w:rsidR="00692B10" w:rsidRPr="00EE0180"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6174D58" w14:textId="77777777" w:rsidR="00692B10" w:rsidRPr="001571EB" w:rsidRDefault="00692B10" w:rsidP="00692B10">
      <w:pPr>
        <w:autoSpaceDE w:val="0"/>
        <w:autoSpaceDN w:val="0"/>
        <w:adjustRightInd w:val="0"/>
        <w:spacing w:before="120" w:after="120"/>
        <w:ind w:left="567" w:right="850"/>
        <w:jc w:val="both"/>
        <w:rPr>
          <w:rFonts w:ascii="Palatino Linotype" w:eastAsia="Times New Roman" w:hAnsi="Palatino Linotype" w:cs="Arial"/>
          <w:i/>
        </w:rPr>
      </w:pPr>
    </w:p>
    <w:p w14:paraId="76FF2B91" w14:textId="77777777" w:rsidR="00692B10" w:rsidRPr="001571EB" w:rsidRDefault="00692B10" w:rsidP="00692B1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36374A98" w14:textId="77777777" w:rsidR="00692B10" w:rsidRPr="001571EB" w:rsidRDefault="00692B10" w:rsidP="00692B1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23578DF" w14:textId="77777777" w:rsidR="00692B10" w:rsidRDefault="00692B10" w:rsidP="00692B1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86AB9B5" w14:textId="77777777" w:rsidR="00692B10" w:rsidRDefault="00692B10" w:rsidP="00692B1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1634587"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6EFE52"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51F650F"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6074BF0C" w14:textId="77777777" w:rsidR="00692B10" w:rsidRPr="001571EB"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79D21DF3" w14:textId="77777777" w:rsidR="00692B10" w:rsidRPr="00151D16" w:rsidRDefault="00692B10" w:rsidP="00692B10">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CD3F761" w14:textId="77777777" w:rsidR="00692B10" w:rsidRPr="00151D16" w:rsidRDefault="00692B10" w:rsidP="00692B10">
      <w:pPr>
        <w:spacing w:after="0" w:line="360" w:lineRule="auto"/>
        <w:ind w:right="51"/>
        <w:jc w:val="both"/>
        <w:rPr>
          <w:rFonts w:ascii="Palatino Linotype" w:hAnsi="Palatino Linotype" w:cs="Arial"/>
          <w:sz w:val="24"/>
          <w:szCs w:val="24"/>
        </w:rPr>
      </w:pPr>
    </w:p>
    <w:p w14:paraId="3AC600B5" w14:textId="644CA45D" w:rsidR="00692B10" w:rsidRDefault="00692B10" w:rsidP="00692B1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w:t>
      </w:r>
      <w:r w:rsidRPr="001571EB">
        <w:rPr>
          <w:rFonts w:ascii="Palatino Linotype" w:hAnsi="Palatino Linotype" w:cs="Arial"/>
          <w:sz w:val="24"/>
          <w:szCs w:val="24"/>
        </w:rPr>
        <w:lastRenderedPageBreak/>
        <w:t xml:space="preserve">mediante Acuerdo del Consejo Nacional del Sistema Nacional de Transparencia, Acceso a la Información Pública y Protección de Datos Personales. </w:t>
      </w:r>
    </w:p>
    <w:p w14:paraId="678AE4CF" w14:textId="39183E4B" w:rsidR="00A40460" w:rsidRPr="00A40460" w:rsidRDefault="00A40460" w:rsidP="00A40460">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2B1E84">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Pr="00A40460">
        <w:rPr>
          <w:rFonts w:ascii="Palatino Linotype" w:hAnsi="Palatino Linotype"/>
          <w:b/>
          <w:bCs/>
          <w:sz w:val="24"/>
          <w:szCs w:val="24"/>
        </w:rPr>
        <w:t>02007/AMECAMEC/IP/2022,</w:t>
      </w:r>
      <w:r>
        <w:rPr>
          <w:rFonts w:ascii="Palatino Linotype" w:hAnsi="Palatino Linotype"/>
          <w:sz w:val="24"/>
          <w:szCs w:val="24"/>
        </w:rPr>
        <w:t xml:space="preserve"> que ha sido materia del presente fallo. </w:t>
      </w:r>
    </w:p>
    <w:p w14:paraId="66FFAE26" w14:textId="56EE65CE" w:rsidR="002B1E84" w:rsidRPr="002B1E84" w:rsidRDefault="00A40460" w:rsidP="002B1E84">
      <w:pPr>
        <w:spacing w:after="0" w:line="360" w:lineRule="auto"/>
        <w:jc w:val="both"/>
        <w:rPr>
          <w:rFonts w:ascii="Palatino Linotype" w:eastAsia="Times New Roman" w:hAnsi="Palatino Linotype" w:cs="Arial"/>
          <w:sz w:val="24"/>
          <w:szCs w:val="24"/>
          <w:lang w:eastAsia="es-ES"/>
        </w:rPr>
      </w:pPr>
      <w:r>
        <w:rPr>
          <w:rFonts w:ascii="Palatino Linotype" w:hAnsi="Palatino Linotype"/>
          <w:sz w:val="24"/>
          <w:szCs w:val="24"/>
        </w:rPr>
        <w:t xml:space="preserve">Por otra parte, </w:t>
      </w:r>
      <w:r w:rsidR="002B1E84" w:rsidRPr="000F5B7E">
        <w:rPr>
          <w:rFonts w:ascii="Palatino Linotype" w:eastAsia="Times New Roman" w:hAnsi="Palatino Linotype" w:cs="Times New Roman"/>
          <w:sz w:val="24"/>
          <w:szCs w:val="24"/>
          <w:lang w:eastAsia="es-ES"/>
        </w:rPr>
        <w:t xml:space="preserve">resultan fundados los motivos de inconformidad que arguye </w:t>
      </w:r>
      <w:r w:rsidR="002B1E84">
        <w:rPr>
          <w:rFonts w:ascii="Palatino Linotype" w:eastAsia="Times New Roman" w:hAnsi="Palatino Linotype" w:cs="Times New Roman"/>
          <w:b/>
          <w:bCs/>
          <w:sz w:val="24"/>
          <w:szCs w:val="24"/>
          <w:lang w:eastAsia="es-ES"/>
        </w:rPr>
        <w:t xml:space="preserve">La </w:t>
      </w:r>
      <w:r w:rsidR="002B1E84" w:rsidRPr="000F5B7E">
        <w:rPr>
          <w:rFonts w:ascii="Palatino Linotype" w:eastAsia="Times New Roman" w:hAnsi="Palatino Linotype" w:cs="Times New Roman"/>
          <w:b/>
          <w:sz w:val="24"/>
          <w:szCs w:val="24"/>
          <w:lang w:eastAsia="es-ES"/>
        </w:rPr>
        <w:t>Recurrente</w:t>
      </w:r>
      <w:r w:rsidR="002B1E84" w:rsidRPr="000F5B7E">
        <w:rPr>
          <w:rFonts w:ascii="Palatino Linotype" w:eastAsia="Times New Roman" w:hAnsi="Palatino Linotype" w:cs="Times New Roman"/>
          <w:sz w:val="24"/>
          <w:szCs w:val="24"/>
          <w:lang w:eastAsia="es-ES"/>
        </w:rPr>
        <w:t xml:space="preserve"> en su medio de impugnación que fue materia de estudio, por ello </w:t>
      </w:r>
      <w:r w:rsidR="002B1E84" w:rsidRPr="000F5B7E">
        <w:rPr>
          <w:rFonts w:ascii="Palatino Linotype" w:eastAsia="Times New Roman" w:hAnsi="Palatino Linotype" w:cs="Arial"/>
          <w:sz w:val="24"/>
          <w:szCs w:val="24"/>
          <w:lang w:eastAsia="es-ES"/>
        </w:rPr>
        <w:t>con fundamento en la</w:t>
      </w:r>
      <w:r w:rsidR="002B1E84" w:rsidRPr="000F5B7E">
        <w:rPr>
          <w:rFonts w:ascii="Palatino Linotype" w:eastAsia="Times New Roman" w:hAnsi="Palatino Linotype" w:cs="Arial"/>
          <w:b/>
          <w:sz w:val="24"/>
          <w:szCs w:val="24"/>
          <w:lang w:eastAsia="es-ES"/>
        </w:rPr>
        <w:t xml:space="preserve"> </w:t>
      </w:r>
      <w:r w:rsidR="002B1E84" w:rsidRPr="003B3A02">
        <w:rPr>
          <w:rFonts w:ascii="Palatino Linotype" w:eastAsia="Times New Roman" w:hAnsi="Palatino Linotype" w:cs="Arial"/>
          <w:b/>
          <w:bCs/>
          <w:i/>
          <w:sz w:val="24"/>
          <w:szCs w:val="24"/>
          <w:lang w:eastAsia="es-ES"/>
        </w:rPr>
        <w:t>primera hipótesis</w:t>
      </w:r>
      <w:r w:rsidR="002B1E84" w:rsidRPr="000F5B7E">
        <w:rPr>
          <w:rFonts w:ascii="Palatino Linotype" w:eastAsia="Times New Roman" w:hAnsi="Palatino Linotype" w:cs="Arial"/>
          <w:b/>
          <w:sz w:val="24"/>
          <w:szCs w:val="24"/>
          <w:lang w:eastAsia="es-ES"/>
        </w:rPr>
        <w:t xml:space="preserve"> </w:t>
      </w:r>
      <w:r w:rsidR="002B1E84" w:rsidRPr="000F5B7E">
        <w:rPr>
          <w:rFonts w:ascii="Palatino Linotype" w:eastAsia="Times New Roman" w:hAnsi="Palatino Linotype" w:cs="Arial"/>
          <w:sz w:val="24"/>
          <w:szCs w:val="24"/>
          <w:lang w:eastAsia="es-ES"/>
        </w:rPr>
        <w:t>de la fracción</w:t>
      </w:r>
      <w:r w:rsidR="002B1E84" w:rsidRPr="000F5B7E">
        <w:rPr>
          <w:rFonts w:ascii="Palatino Linotype" w:eastAsia="Times New Roman" w:hAnsi="Palatino Linotype" w:cs="Arial"/>
          <w:b/>
          <w:sz w:val="24"/>
          <w:szCs w:val="24"/>
          <w:lang w:eastAsia="es-ES"/>
        </w:rPr>
        <w:t xml:space="preserve"> </w:t>
      </w:r>
      <w:r w:rsidR="002B1E84" w:rsidRPr="000F5B7E">
        <w:rPr>
          <w:rFonts w:ascii="Palatino Linotype" w:eastAsia="Times New Roman" w:hAnsi="Palatino Linotype" w:cs="Arial"/>
          <w:sz w:val="24"/>
          <w:szCs w:val="24"/>
          <w:lang w:eastAsia="es-ES"/>
        </w:rPr>
        <w:t>III, del artículo 186,</w:t>
      </w:r>
      <w:r w:rsidR="002B1E84" w:rsidRPr="000F5B7E">
        <w:rPr>
          <w:rFonts w:ascii="Palatino Linotype" w:eastAsia="Times New Roman" w:hAnsi="Palatino Linotype" w:cs="Arial"/>
          <w:b/>
          <w:sz w:val="24"/>
          <w:szCs w:val="24"/>
          <w:lang w:eastAsia="es-ES"/>
        </w:rPr>
        <w:t xml:space="preserve"> </w:t>
      </w:r>
      <w:r w:rsidR="002B1E84"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2B1E84" w:rsidRPr="000F5B7E">
        <w:rPr>
          <w:rFonts w:ascii="Palatino Linotype" w:eastAsia="Times New Roman" w:hAnsi="Palatino Linotype" w:cs="Arial"/>
          <w:b/>
          <w:sz w:val="24"/>
          <w:szCs w:val="24"/>
          <w:lang w:eastAsia="es-ES"/>
        </w:rPr>
        <w:t>REVOCA</w:t>
      </w:r>
      <w:r w:rsidR="002B1E84">
        <w:rPr>
          <w:rFonts w:ascii="Palatino Linotype" w:eastAsia="Times New Roman" w:hAnsi="Palatino Linotype" w:cs="Arial"/>
          <w:b/>
          <w:sz w:val="24"/>
          <w:szCs w:val="24"/>
          <w:lang w:eastAsia="es-ES"/>
        </w:rPr>
        <w:t xml:space="preserve">N </w:t>
      </w:r>
      <w:r w:rsidR="002B1E84">
        <w:rPr>
          <w:rFonts w:ascii="Palatino Linotype" w:eastAsia="Times New Roman" w:hAnsi="Palatino Linotype" w:cs="Arial"/>
          <w:bCs/>
          <w:sz w:val="24"/>
          <w:szCs w:val="24"/>
          <w:lang w:eastAsia="es-ES"/>
        </w:rPr>
        <w:t xml:space="preserve">las respuestas a las solicitudes de información números </w:t>
      </w:r>
      <w:r w:rsidR="002B1E84">
        <w:rPr>
          <w:rFonts w:ascii="Palatino Linotype" w:hAnsi="Palatino Linotype" w:cs="Arial"/>
          <w:b/>
          <w:bCs/>
          <w:sz w:val="24"/>
        </w:rPr>
        <w:t xml:space="preserve">02005/AMECAMEC/IP/2022, 02004/AMECAMEC/IP/2022 </w:t>
      </w:r>
      <w:r w:rsidR="002B1E84">
        <w:rPr>
          <w:rFonts w:ascii="Palatino Linotype" w:hAnsi="Palatino Linotype" w:cs="Arial"/>
          <w:sz w:val="24"/>
        </w:rPr>
        <w:t xml:space="preserve">y </w:t>
      </w:r>
      <w:r w:rsidR="002B1E84">
        <w:rPr>
          <w:rFonts w:ascii="Palatino Linotype" w:hAnsi="Palatino Linotype" w:cs="Arial"/>
          <w:b/>
          <w:bCs/>
          <w:sz w:val="24"/>
        </w:rPr>
        <w:t xml:space="preserve">02003/AMECAMEC/IP/2022 </w:t>
      </w:r>
      <w:r w:rsidR="002B1E84">
        <w:rPr>
          <w:rFonts w:ascii="Palatino Linotype" w:hAnsi="Palatino Linotype" w:cs="Arial"/>
          <w:sz w:val="24"/>
        </w:rPr>
        <w:t xml:space="preserve">que han sido materia del presente fallo. </w:t>
      </w:r>
    </w:p>
    <w:p w14:paraId="637AF09B" w14:textId="0EF4F75D" w:rsidR="00B30D66" w:rsidRPr="00B30D66" w:rsidRDefault="00B30D66" w:rsidP="00A40460">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t xml:space="preserve">Por lo antes expuesto y fundado es de resolverse y, </w:t>
      </w:r>
    </w:p>
    <w:p w14:paraId="587AE0A9" w14:textId="77777777" w:rsidR="004B0DB0" w:rsidRPr="004B0DB0" w:rsidRDefault="004B0DB0" w:rsidP="004B0DB0">
      <w:pPr>
        <w:pStyle w:val="Prrafodelista"/>
        <w:spacing w:before="240" w:after="240" w:line="360" w:lineRule="auto"/>
        <w:ind w:left="0"/>
        <w:jc w:val="both"/>
        <w:rPr>
          <w:rFonts w:ascii="Palatino Linotype" w:hAnsi="Palatino Linotype"/>
          <w:lang w:val="es-MX"/>
        </w:rPr>
      </w:pPr>
    </w:p>
    <w:p w14:paraId="3B18FC2E" w14:textId="77777777" w:rsidR="00B07F0A" w:rsidRPr="00413327" w:rsidRDefault="00B07F0A" w:rsidP="00B07F0A">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107B6BE5" w14:textId="5EADBCF7" w:rsidR="00B30D66" w:rsidRDefault="00B07F0A" w:rsidP="00B07F0A">
      <w:pPr>
        <w:spacing w:before="240" w:line="360" w:lineRule="auto"/>
        <w:jc w:val="both"/>
        <w:rPr>
          <w:rFonts w:ascii="Palatino Linotype" w:hAnsi="Palatino Linotype" w:cs="Arial"/>
          <w:sz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B30D66">
        <w:rPr>
          <w:rFonts w:ascii="Palatino Linotype" w:hAnsi="Palatino Linotype" w:cs="Arial"/>
          <w:b/>
          <w:sz w:val="24"/>
          <w:szCs w:val="24"/>
        </w:rPr>
        <w:t xml:space="preserve">MODIFICA </w:t>
      </w:r>
      <w:r w:rsidR="00B30D66">
        <w:rPr>
          <w:rFonts w:ascii="Palatino Linotype" w:hAnsi="Palatino Linotype" w:cs="Arial"/>
          <w:bCs/>
          <w:sz w:val="24"/>
          <w:szCs w:val="24"/>
        </w:rPr>
        <w:t xml:space="preserve">la respuesta entregada por </w:t>
      </w:r>
      <w:r w:rsidR="00B30D66">
        <w:rPr>
          <w:rFonts w:ascii="Palatino Linotype" w:hAnsi="Palatino Linotype" w:cs="Arial"/>
          <w:b/>
          <w:sz w:val="24"/>
          <w:szCs w:val="24"/>
        </w:rPr>
        <w:t xml:space="preserve">EL SUJETO OBLIGADO, </w:t>
      </w:r>
      <w:r w:rsidR="00B30D66">
        <w:rPr>
          <w:rFonts w:ascii="Palatino Linotype" w:hAnsi="Palatino Linotype" w:cs="Arial"/>
          <w:bCs/>
          <w:sz w:val="24"/>
          <w:szCs w:val="24"/>
        </w:rPr>
        <w:t xml:space="preserve">a la solicitud de información número </w:t>
      </w:r>
      <w:r w:rsidR="00B30D66">
        <w:rPr>
          <w:rFonts w:ascii="Palatino Linotype" w:hAnsi="Palatino Linotype" w:cs="Arial"/>
          <w:b/>
          <w:sz w:val="24"/>
          <w:szCs w:val="24"/>
        </w:rPr>
        <w:t xml:space="preserve">02007/AMECAMEC/IP/2022 </w:t>
      </w:r>
      <w:r w:rsidR="00B30D66">
        <w:rPr>
          <w:rFonts w:ascii="Palatino Linotype" w:hAnsi="Palatino Linotype" w:cs="Arial"/>
          <w:sz w:val="24"/>
        </w:rPr>
        <w:t xml:space="preserve">por resultar </w:t>
      </w:r>
      <w:r w:rsidR="00B30D66">
        <w:rPr>
          <w:rFonts w:ascii="Palatino Linotype" w:hAnsi="Palatino Linotype" w:cs="Arial"/>
          <w:sz w:val="24"/>
        </w:rPr>
        <w:lastRenderedPageBreak/>
        <w:t xml:space="preserve">parcialmente fundados los motivos de inconformidad que arguye </w:t>
      </w:r>
      <w:r w:rsidR="002B1E84">
        <w:rPr>
          <w:rFonts w:ascii="Palatino Linotype" w:hAnsi="Palatino Linotype" w:cs="Arial"/>
          <w:b/>
          <w:sz w:val="24"/>
        </w:rPr>
        <w:t>LA</w:t>
      </w:r>
      <w:r w:rsidR="00B30D66">
        <w:rPr>
          <w:rFonts w:ascii="Palatino Linotype" w:hAnsi="Palatino Linotype" w:cs="Arial"/>
          <w:b/>
          <w:sz w:val="24"/>
        </w:rPr>
        <w:t xml:space="preserve"> RECURRENTE, </w:t>
      </w:r>
      <w:r w:rsidR="00B30D66">
        <w:rPr>
          <w:rFonts w:ascii="Palatino Linotype" w:hAnsi="Palatino Linotype" w:cs="Arial"/>
          <w:sz w:val="24"/>
        </w:rPr>
        <w:t xml:space="preserve">en términos del </w:t>
      </w:r>
      <w:r w:rsidR="00B30D66" w:rsidRPr="0012305B">
        <w:rPr>
          <w:rFonts w:ascii="Palatino Linotype" w:hAnsi="Palatino Linotype" w:cs="Arial"/>
          <w:b/>
          <w:sz w:val="24"/>
        </w:rPr>
        <w:t xml:space="preserve">Considerando </w:t>
      </w:r>
      <w:r w:rsidR="00B30D66">
        <w:rPr>
          <w:rFonts w:ascii="Palatino Linotype" w:hAnsi="Palatino Linotype" w:cs="Arial"/>
          <w:b/>
          <w:sz w:val="24"/>
        </w:rPr>
        <w:t xml:space="preserve">CUARTO </w:t>
      </w:r>
      <w:r w:rsidR="00B30D66">
        <w:rPr>
          <w:rFonts w:ascii="Palatino Linotype" w:hAnsi="Palatino Linotype" w:cs="Arial"/>
          <w:sz w:val="24"/>
        </w:rPr>
        <w:t>de la presente resolución.</w:t>
      </w:r>
    </w:p>
    <w:p w14:paraId="7DA336CF" w14:textId="77777777" w:rsidR="002B1E84" w:rsidRDefault="002B1E84" w:rsidP="00B07F0A">
      <w:pPr>
        <w:spacing w:before="240" w:line="360" w:lineRule="auto"/>
        <w:jc w:val="both"/>
        <w:rPr>
          <w:rFonts w:ascii="Palatino Linotype" w:hAnsi="Palatino Linotype" w:cs="Arial"/>
          <w:b/>
          <w:sz w:val="24"/>
          <w:szCs w:val="24"/>
        </w:rPr>
      </w:pPr>
    </w:p>
    <w:p w14:paraId="279B59D1" w14:textId="54DD211C" w:rsidR="00B30D66" w:rsidRDefault="00B30D66" w:rsidP="00B30D66">
      <w:pPr>
        <w:spacing w:before="240" w:line="360" w:lineRule="auto"/>
        <w:jc w:val="both"/>
        <w:rPr>
          <w:rFonts w:ascii="Palatino Linotype" w:hAnsi="Palatino Linotype" w:cs="Arial"/>
          <w:sz w:val="24"/>
          <w:szCs w:val="24"/>
        </w:rPr>
      </w:pPr>
      <w:r>
        <w:rPr>
          <w:rFonts w:ascii="Palatino Linotype" w:hAnsi="Palatino Linotype" w:cs="Arial"/>
          <w:b/>
          <w:sz w:val="28"/>
          <w:szCs w:val="28"/>
          <w:lang w:val="es-ES_tradnl"/>
        </w:rPr>
        <w:t>SEGUNDO</w:t>
      </w:r>
      <w:r w:rsidRPr="00D62F3F">
        <w:rPr>
          <w:rFonts w:ascii="Palatino Linotype" w:hAnsi="Palatino Linotype" w:cs="Arial"/>
          <w:b/>
          <w:sz w:val="28"/>
          <w:szCs w:val="28"/>
          <w:lang w:val="es-ES_tradnl"/>
        </w:rPr>
        <w:t>.</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Pr>
          <w:rFonts w:ascii="Palatino Linotype" w:hAnsi="Palatino Linotype" w:cs="Arial"/>
          <w:sz w:val="24"/>
          <w:szCs w:val="24"/>
        </w:rPr>
        <w:t>s</w:t>
      </w:r>
      <w:r w:rsidRPr="00413327">
        <w:rPr>
          <w:rFonts w:ascii="Palatino Linotype" w:hAnsi="Palatino Linotype" w:cs="Arial"/>
          <w:sz w:val="24"/>
          <w:szCs w:val="24"/>
        </w:rPr>
        <w:t xml:space="preserve"> respuesta</w:t>
      </w:r>
      <w:r>
        <w:rPr>
          <w:rFonts w:ascii="Palatino Linotype" w:hAnsi="Palatino Linotype" w:cs="Arial"/>
          <w:sz w:val="24"/>
          <w:szCs w:val="24"/>
        </w:rPr>
        <w:t>s</w:t>
      </w:r>
      <w:r w:rsidRPr="00413327">
        <w:rPr>
          <w:rFonts w:ascii="Palatino Linotype" w:hAnsi="Palatino Linotype" w:cs="Arial"/>
          <w:sz w:val="24"/>
          <w:szCs w:val="24"/>
        </w:rPr>
        <w:t xml:space="preserve"> entregada</w:t>
      </w:r>
      <w:r>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Pr>
          <w:rFonts w:ascii="Palatino Linotype" w:hAnsi="Palatino Linotype" w:cs="Arial"/>
          <w:b/>
          <w:bCs/>
          <w:sz w:val="24"/>
        </w:rPr>
        <w:t xml:space="preserve">02005/AMECAMEC/IP/2022, 02004/AMECAMEC/IP/2022 </w:t>
      </w:r>
      <w:r>
        <w:rPr>
          <w:rFonts w:ascii="Palatino Linotype" w:hAnsi="Palatino Linotype" w:cs="Arial"/>
          <w:sz w:val="24"/>
        </w:rPr>
        <w:t xml:space="preserve">y </w:t>
      </w:r>
      <w:r>
        <w:rPr>
          <w:rFonts w:ascii="Palatino Linotype" w:hAnsi="Palatino Linotype" w:cs="Arial"/>
          <w:b/>
          <w:bCs/>
          <w:sz w:val="24"/>
        </w:rPr>
        <w:t xml:space="preserve">02003/AMECAMEC/IP/2022, </w:t>
      </w:r>
      <w:r>
        <w:rPr>
          <w:rFonts w:ascii="Palatino Linotype" w:hAnsi="Palatino Linotype" w:cs="Arial"/>
          <w:bCs/>
          <w:sz w:val="24"/>
          <w:szCs w:val="24"/>
        </w:rPr>
        <w:t xml:space="preserve">por resultar fundados los motivos de inconformidad que arguye </w:t>
      </w:r>
      <w:r w:rsidR="002B1E84">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bCs/>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bCs/>
          <w:sz w:val="24"/>
          <w:szCs w:val="24"/>
        </w:rPr>
        <w:t xml:space="preserve">de la presente resolución. </w:t>
      </w:r>
    </w:p>
    <w:p w14:paraId="67E0D1BE" w14:textId="77777777" w:rsidR="00B30D66" w:rsidRDefault="00B30D66" w:rsidP="00B07F0A">
      <w:pPr>
        <w:spacing w:before="240" w:line="360" w:lineRule="auto"/>
        <w:jc w:val="both"/>
        <w:rPr>
          <w:rFonts w:ascii="Palatino Linotype" w:hAnsi="Palatino Linotype" w:cs="Arial"/>
          <w:sz w:val="24"/>
          <w:szCs w:val="24"/>
        </w:rPr>
      </w:pPr>
    </w:p>
    <w:p w14:paraId="7CBE464F" w14:textId="7955B68E" w:rsidR="00E761C2" w:rsidRPr="006633BF" w:rsidRDefault="00B30D66" w:rsidP="00E761C2">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4"/>
          <w:szCs w:val="24"/>
          <w:lang w:val="es-ES_tradnl"/>
        </w:rPr>
        <w:t>TERCERO</w:t>
      </w:r>
      <w:r w:rsidR="00E761C2" w:rsidRPr="006633BF">
        <w:rPr>
          <w:rFonts w:ascii="Palatino Linotype" w:hAnsi="Palatino Linotype" w:cs="Arial"/>
          <w:b/>
          <w:sz w:val="24"/>
          <w:szCs w:val="24"/>
          <w:lang w:val="es-ES_tradnl"/>
        </w:rPr>
        <w:t>.</w:t>
      </w:r>
      <w:r w:rsidR="00E761C2" w:rsidRPr="006633BF">
        <w:rPr>
          <w:rFonts w:ascii="Palatino Linotype" w:hAnsi="Palatino Linotype" w:cs="Arial"/>
          <w:sz w:val="24"/>
          <w:szCs w:val="24"/>
        </w:rPr>
        <w:t xml:space="preserve"> Se </w:t>
      </w:r>
      <w:r w:rsidR="00E761C2" w:rsidRPr="006633BF">
        <w:rPr>
          <w:rFonts w:ascii="Palatino Linotype" w:hAnsi="Palatino Linotype" w:cs="Arial"/>
          <w:b/>
          <w:sz w:val="24"/>
          <w:szCs w:val="24"/>
        </w:rPr>
        <w:t>ORDENA</w:t>
      </w:r>
      <w:r w:rsidR="00E761C2" w:rsidRPr="006633BF">
        <w:rPr>
          <w:rFonts w:ascii="Palatino Linotype" w:hAnsi="Palatino Linotype" w:cs="Arial"/>
          <w:sz w:val="24"/>
          <w:szCs w:val="24"/>
        </w:rPr>
        <w:t xml:space="preserve"> al </w:t>
      </w:r>
      <w:r w:rsidR="00E761C2" w:rsidRPr="006633BF">
        <w:rPr>
          <w:rFonts w:ascii="Palatino Linotype" w:hAnsi="Palatino Linotype" w:cs="Arial"/>
          <w:b/>
          <w:sz w:val="24"/>
          <w:szCs w:val="24"/>
        </w:rPr>
        <w:t>SUJETO OBLIGADO</w:t>
      </w:r>
      <w:r w:rsidR="00E761C2" w:rsidRPr="006633BF">
        <w:rPr>
          <w:rFonts w:ascii="Palatino Linotype" w:hAnsi="Palatino Linotype" w:cs="Arial"/>
          <w:sz w:val="24"/>
          <w:szCs w:val="24"/>
        </w:rPr>
        <w:t xml:space="preserve"> </w:t>
      </w:r>
      <w:r w:rsidR="00AE427F">
        <w:rPr>
          <w:rFonts w:ascii="Palatino Linotype" w:hAnsi="Palatino Linotype" w:cs="Arial"/>
          <w:sz w:val="24"/>
          <w:szCs w:val="24"/>
        </w:rPr>
        <w:t>realizar una búsqueda exhaustiva y razonable a fin de entregar</w:t>
      </w:r>
      <w:r w:rsidR="00E761C2" w:rsidRPr="006633BF">
        <w:rPr>
          <w:rFonts w:ascii="Palatino Linotype" w:hAnsi="Palatino Linotype" w:cs="Arial"/>
          <w:sz w:val="24"/>
          <w:szCs w:val="24"/>
        </w:rPr>
        <w:t xml:space="preserve"> a</w:t>
      </w:r>
      <w:r w:rsidR="002B1E84">
        <w:rPr>
          <w:rFonts w:ascii="Palatino Linotype" w:hAnsi="Palatino Linotype" w:cs="Arial"/>
          <w:sz w:val="24"/>
          <w:szCs w:val="24"/>
        </w:rPr>
        <w:t xml:space="preserve"> </w:t>
      </w:r>
      <w:r w:rsidR="002B1E84">
        <w:rPr>
          <w:rFonts w:ascii="Palatino Linotype" w:hAnsi="Palatino Linotype" w:cs="Arial"/>
          <w:b/>
          <w:bCs/>
          <w:sz w:val="24"/>
          <w:szCs w:val="24"/>
        </w:rPr>
        <w:t>LA</w:t>
      </w:r>
      <w:r w:rsidR="00E761C2" w:rsidRPr="006633BF">
        <w:rPr>
          <w:rFonts w:ascii="Palatino Linotype" w:hAnsi="Palatino Linotype" w:cs="Arial"/>
          <w:b/>
          <w:sz w:val="24"/>
          <w:szCs w:val="24"/>
        </w:rPr>
        <w:t xml:space="preserve"> RECURRENTE </w:t>
      </w:r>
      <w:r w:rsidR="00E761C2" w:rsidRPr="006633BF">
        <w:rPr>
          <w:rFonts w:ascii="Palatino Linotype" w:hAnsi="Palatino Linotype" w:cs="Arial"/>
          <w:sz w:val="24"/>
          <w:szCs w:val="24"/>
        </w:rPr>
        <w:t xml:space="preserve">en términos del Considerando </w:t>
      </w:r>
      <w:r w:rsidR="00E761C2" w:rsidRPr="006633BF">
        <w:rPr>
          <w:rFonts w:ascii="Palatino Linotype" w:hAnsi="Palatino Linotype" w:cs="Arial"/>
          <w:b/>
          <w:sz w:val="24"/>
          <w:szCs w:val="24"/>
        </w:rPr>
        <w:t xml:space="preserve">CUARTO </w:t>
      </w:r>
      <w:r w:rsidR="00E761C2" w:rsidRPr="006633BF">
        <w:rPr>
          <w:rFonts w:ascii="Palatino Linotype" w:hAnsi="Palatino Linotype" w:cs="Arial"/>
          <w:sz w:val="24"/>
          <w:szCs w:val="24"/>
        </w:rPr>
        <w:t>de esta resolución</w:t>
      </w:r>
      <w:r w:rsidR="00E761C2" w:rsidRPr="006633BF">
        <w:rPr>
          <w:rFonts w:ascii="Palatino Linotype" w:hAnsi="Palatino Linotype" w:cs="Arial"/>
          <w:b/>
          <w:sz w:val="24"/>
          <w:szCs w:val="24"/>
        </w:rPr>
        <w:t xml:space="preserve">, </w:t>
      </w:r>
      <w:r w:rsidR="00E761C2" w:rsidRPr="006633BF">
        <w:rPr>
          <w:rFonts w:ascii="Palatino Linotype" w:hAnsi="Palatino Linotype" w:cs="Arial"/>
          <w:sz w:val="24"/>
          <w:szCs w:val="24"/>
        </w:rPr>
        <w:t xml:space="preserve">en versión pública de ser procedente, a través del Sistema de Acceso a la Información Mexiquense </w:t>
      </w:r>
      <w:r w:rsidR="00E761C2" w:rsidRPr="006633BF">
        <w:rPr>
          <w:rFonts w:ascii="Palatino Linotype" w:hAnsi="Palatino Linotype" w:cs="Arial"/>
          <w:b/>
          <w:sz w:val="24"/>
          <w:szCs w:val="24"/>
        </w:rPr>
        <w:t xml:space="preserve">(SAIMEX), </w:t>
      </w:r>
      <w:r w:rsidR="00E761C2" w:rsidRPr="006633BF">
        <w:rPr>
          <w:rFonts w:ascii="Palatino Linotype" w:hAnsi="Palatino Linotype" w:cs="Arial"/>
          <w:sz w:val="24"/>
          <w:szCs w:val="24"/>
        </w:rPr>
        <w:t xml:space="preserve">de lo siguiente: </w:t>
      </w:r>
    </w:p>
    <w:p w14:paraId="42798CF9" w14:textId="77777777" w:rsidR="00B30D66" w:rsidRPr="00B30D66" w:rsidRDefault="00B30D66" w:rsidP="00B30D66">
      <w:pPr>
        <w:pStyle w:val="Prrafodelista"/>
        <w:numPr>
          <w:ilvl w:val="0"/>
          <w:numId w:val="2"/>
        </w:numPr>
        <w:spacing w:before="240" w:line="360" w:lineRule="auto"/>
        <w:jc w:val="both"/>
        <w:rPr>
          <w:rFonts w:ascii="Palatino Linotype" w:hAnsi="Palatino Linotype"/>
          <w:i/>
          <w:iCs/>
        </w:rPr>
      </w:pPr>
      <w:r w:rsidRPr="00B30D66">
        <w:rPr>
          <w:rFonts w:ascii="Palatino Linotype" w:hAnsi="Palatino Linotype"/>
          <w:i/>
          <w:iCs/>
        </w:rPr>
        <w:t xml:space="preserve">El o los documentos que integran el submódulo obra del informe trimestral rendido ante el Órgano Superior de Fiscalización del Estado de México, correspondiente al tercer trimestre del año dos mil veintidós. </w:t>
      </w:r>
    </w:p>
    <w:p w14:paraId="2B73FE2F" w14:textId="3D0810FE" w:rsidR="00B07F0A" w:rsidRDefault="009F151B" w:rsidP="00B07F0A">
      <w:pPr>
        <w:pStyle w:val="Prrafodelista"/>
        <w:spacing w:before="240" w:line="360" w:lineRule="auto"/>
        <w:ind w:left="709"/>
        <w:jc w:val="both"/>
        <w:rPr>
          <w:rFonts w:ascii="Palatino Linotype" w:hAnsi="Palatino Linotype" w:cs="Arial"/>
          <w:i/>
        </w:rPr>
      </w:pPr>
      <w:r>
        <w:rPr>
          <w:rFonts w:ascii="Palatino Linotype" w:hAnsi="Palatino Linotype" w:cs="Arial"/>
          <w:i/>
        </w:rPr>
        <w:t>Para</w:t>
      </w:r>
      <w:r w:rsidR="00B07F0A">
        <w:rPr>
          <w:rFonts w:ascii="Palatino Linotype" w:hAnsi="Palatino Linotype" w:cs="Arial"/>
          <w:i/>
        </w:rPr>
        <w:t xml:space="preserve"> la entrega en versión pública deberá emitir el Acuerdo del Comité de Transparencia en términos de los artículos 49, fracción VIII</w:t>
      </w:r>
      <w:r w:rsidR="00015C81">
        <w:rPr>
          <w:rFonts w:ascii="Palatino Linotype" w:hAnsi="Palatino Linotype" w:cs="Arial"/>
          <w:i/>
        </w:rPr>
        <w:t xml:space="preserve"> y </w:t>
      </w:r>
      <w:r w:rsidR="00B07F0A">
        <w:rPr>
          <w:rFonts w:ascii="Palatino Linotype" w:hAnsi="Palatino Linotype" w:cs="Arial"/>
          <w:i/>
        </w:rPr>
        <w:t xml:space="preserve">132 fracción II de la Ley de Transparencia y Acceso a la Información Pública del Estado de México y Municipios, en el que funde </w:t>
      </w:r>
      <w:r w:rsidR="00B07F0A">
        <w:rPr>
          <w:rFonts w:ascii="Palatino Linotype" w:hAnsi="Palatino Linotype" w:cs="Arial"/>
          <w:i/>
        </w:rPr>
        <w:lastRenderedPageBreak/>
        <w:t>y motive las razones sobre los datos que se supriman o eliminen y se ponga a disposición de</w:t>
      </w:r>
      <w:r w:rsidR="002B1E84">
        <w:rPr>
          <w:rFonts w:ascii="Palatino Linotype" w:hAnsi="Palatino Linotype" w:cs="Arial"/>
          <w:i/>
        </w:rPr>
        <w:t xml:space="preserve"> la</w:t>
      </w:r>
      <w:r w:rsidR="00B07F0A">
        <w:rPr>
          <w:rFonts w:ascii="Palatino Linotype" w:hAnsi="Palatino Linotype" w:cs="Arial"/>
          <w:i/>
        </w:rPr>
        <w:t xml:space="preserve"> recurrente.</w:t>
      </w:r>
    </w:p>
    <w:p w14:paraId="7250D7F8" w14:textId="77777777" w:rsidR="0003628E" w:rsidRDefault="0003628E" w:rsidP="00B07F0A">
      <w:pPr>
        <w:pStyle w:val="Prrafodelista"/>
        <w:spacing w:before="240" w:line="360" w:lineRule="auto"/>
        <w:ind w:left="709"/>
        <w:jc w:val="both"/>
        <w:rPr>
          <w:rFonts w:ascii="Palatino Linotype" w:hAnsi="Palatino Linotype" w:cs="Arial"/>
          <w:i/>
        </w:rPr>
      </w:pPr>
    </w:p>
    <w:p w14:paraId="329857FA" w14:textId="4CE9D233" w:rsidR="00B07F0A" w:rsidRDefault="00B30D66" w:rsidP="00B07F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sidR="00B07F0A" w:rsidRPr="00D62F3F">
        <w:rPr>
          <w:rFonts w:ascii="Palatino Linotype" w:hAnsi="Palatino Linotype" w:cs="Arial"/>
          <w:b/>
          <w:sz w:val="28"/>
          <w:szCs w:val="28"/>
        </w:rPr>
        <w:t>.</w:t>
      </w:r>
      <w:r w:rsidR="00B07F0A">
        <w:rPr>
          <w:rFonts w:ascii="Palatino Linotype" w:hAnsi="Palatino Linotype" w:cs="Arial"/>
          <w:b/>
          <w:sz w:val="24"/>
          <w:szCs w:val="24"/>
        </w:rPr>
        <w:t xml:space="preserve"> </w:t>
      </w:r>
      <w:r w:rsidR="00B07F0A" w:rsidRPr="002A12F5">
        <w:rPr>
          <w:rFonts w:ascii="Palatino Linotype" w:hAnsi="Palatino Linotype" w:cs="Arial"/>
          <w:b/>
          <w:sz w:val="24"/>
          <w:szCs w:val="24"/>
        </w:rPr>
        <w:t>Notifíquese</w:t>
      </w:r>
      <w:r w:rsidR="00B07F0A" w:rsidRPr="002A12F5">
        <w:rPr>
          <w:rFonts w:ascii="Palatino Linotype" w:hAnsi="Palatino Linotype" w:cs="Arial"/>
          <w:b/>
          <w:i/>
          <w:sz w:val="24"/>
          <w:szCs w:val="24"/>
        </w:rPr>
        <w:t xml:space="preserve"> </w:t>
      </w:r>
      <w:r w:rsidR="00B07F0A" w:rsidRPr="002A12F5">
        <w:rPr>
          <w:rFonts w:ascii="Palatino Linotype" w:hAnsi="Palatino Linotype" w:cs="Arial"/>
          <w:sz w:val="24"/>
          <w:szCs w:val="24"/>
        </w:rPr>
        <w:t>al Titular de la Unidad de Transparencia del</w:t>
      </w:r>
      <w:r w:rsidR="00B07F0A" w:rsidRPr="002A12F5">
        <w:rPr>
          <w:rFonts w:ascii="Palatino Linotype" w:hAnsi="Palatino Linotype" w:cs="Arial"/>
          <w:b/>
          <w:sz w:val="24"/>
          <w:szCs w:val="24"/>
        </w:rPr>
        <w:t xml:space="preserve"> SUJETO OBLIGADO</w:t>
      </w:r>
      <w:r w:rsidR="00B07F0A"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00B07F0A" w:rsidRPr="00D05C83">
        <w:rPr>
          <w:rFonts w:ascii="Palatino Linotype" w:hAnsi="Palatino Linotype" w:cs="Arial"/>
          <w:sz w:val="24"/>
          <w:szCs w:val="24"/>
        </w:rPr>
        <w:t xml:space="preserve">o del plazo de </w:t>
      </w:r>
      <w:r w:rsidR="00B07F0A">
        <w:rPr>
          <w:rFonts w:ascii="Palatino Linotype" w:hAnsi="Palatino Linotype" w:cs="Arial"/>
          <w:sz w:val="24"/>
          <w:szCs w:val="24"/>
        </w:rPr>
        <w:t>diez</w:t>
      </w:r>
      <w:r w:rsidR="00B07F0A"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1973DE06"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p>
    <w:p w14:paraId="0D195B9B" w14:textId="6FA921C9" w:rsidR="00B07F0A" w:rsidRDefault="00B30D66"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6"/>
          <w:szCs w:val="26"/>
          <w:lang w:eastAsia="es-ES"/>
        </w:rPr>
        <w:t>QUINTO</w:t>
      </w:r>
      <w:r w:rsidR="00B07F0A" w:rsidRPr="000F5B7E">
        <w:rPr>
          <w:rFonts w:ascii="Palatino Linotype" w:eastAsia="Times New Roman" w:hAnsi="Palatino Linotype" w:cs="Arial"/>
          <w:b/>
          <w:sz w:val="26"/>
          <w:szCs w:val="26"/>
          <w:lang w:eastAsia="es-ES"/>
        </w:rPr>
        <w:t>.</w:t>
      </w:r>
      <w:r w:rsidR="00B07F0A" w:rsidRPr="000F5B7E">
        <w:rPr>
          <w:rFonts w:ascii="Palatino Linotype" w:eastAsia="Times New Roman" w:hAnsi="Palatino Linotype" w:cs="Arial"/>
          <w:b/>
          <w:sz w:val="24"/>
          <w:szCs w:val="24"/>
          <w:lang w:eastAsia="es-ES"/>
        </w:rPr>
        <w:t xml:space="preserve"> </w:t>
      </w:r>
      <w:r w:rsidR="00B07F0A"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01F3C664" w:rsidR="00B07F0A" w:rsidRDefault="00B30D66"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Pr>
          <w:rFonts w:ascii="Palatino Linotype" w:eastAsia="Times New Roman" w:hAnsi="Palatino Linotype" w:cs="Arial"/>
          <w:b/>
          <w:sz w:val="24"/>
          <w:szCs w:val="24"/>
          <w:lang w:eastAsia="es-ES"/>
        </w:rPr>
        <w:t>SEXTO</w:t>
      </w:r>
      <w:r w:rsidR="00B07F0A" w:rsidRPr="00C1625D">
        <w:rPr>
          <w:rFonts w:ascii="Palatino Linotype" w:eastAsia="Times New Roman" w:hAnsi="Palatino Linotype" w:cs="Arial"/>
          <w:b/>
          <w:sz w:val="24"/>
          <w:szCs w:val="24"/>
          <w:lang w:eastAsia="es-ES"/>
        </w:rPr>
        <w:t xml:space="preserve">. NOTIFÍQUESE </w:t>
      </w:r>
      <w:r w:rsidR="00B07F0A" w:rsidRPr="00C1625D">
        <w:rPr>
          <w:rFonts w:ascii="Palatino Linotype" w:eastAsia="Times New Roman" w:hAnsi="Palatino Linotype" w:cs="Arial"/>
          <w:sz w:val="24"/>
          <w:szCs w:val="24"/>
          <w:lang w:eastAsia="es-ES"/>
        </w:rPr>
        <w:t>la presente resolución a</w:t>
      </w:r>
      <w:r w:rsidR="002B1E84">
        <w:rPr>
          <w:rFonts w:ascii="Palatino Linotype" w:eastAsia="Times New Roman" w:hAnsi="Palatino Linotype" w:cs="Arial"/>
          <w:sz w:val="24"/>
          <w:szCs w:val="24"/>
          <w:lang w:eastAsia="es-ES"/>
        </w:rPr>
        <w:t xml:space="preserve"> </w:t>
      </w:r>
      <w:r w:rsidR="002B1E84">
        <w:rPr>
          <w:rFonts w:ascii="Palatino Linotype" w:eastAsia="Times New Roman" w:hAnsi="Palatino Linotype" w:cs="Arial"/>
          <w:b/>
          <w:bCs/>
          <w:sz w:val="24"/>
          <w:szCs w:val="24"/>
          <w:lang w:eastAsia="es-ES"/>
        </w:rPr>
        <w:t>LA</w:t>
      </w:r>
      <w:r w:rsidR="00B07F0A" w:rsidRPr="00C1625D">
        <w:rPr>
          <w:rFonts w:ascii="Palatino Linotype" w:eastAsia="Times New Roman" w:hAnsi="Palatino Linotype" w:cs="Arial"/>
          <w:sz w:val="24"/>
          <w:szCs w:val="24"/>
          <w:lang w:eastAsia="es-ES"/>
        </w:rPr>
        <w:t xml:space="preserve"> </w:t>
      </w:r>
      <w:r w:rsidR="00B07F0A" w:rsidRPr="00C1625D">
        <w:rPr>
          <w:rFonts w:ascii="Palatino Linotype" w:eastAsia="Times New Roman" w:hAnsi="Palatino Linotype" w:cs="Arial"/>
          <w:b/>
          <w:sz w:val="24"/>
          <w:szCs w:val="24"/>
          <w:lang w:eastAsia="es-ES"/>
        </w:rPr>
        <w:t>RECURRENTE</w:t>
      </w:r>
      <w:r w:rsidR="00B07F0A" w:rsidRPr="00C1625D">
        <w:rPr>
          <w:rFonts w:ascii="Palatino Linotype" w:eastAsia="Times New Roman" w:hAnsi="Palatino Linotype" w:cs="Arial"/>
          <w:sz w:val="24"/>
          <w:szCs w:val="24"/>
          <w:lang w:eastAsia="es-ES"/>
        </w:rPr>
        <w:t xml:space="preserve"> </w:t>
      </w:r>
      <w:r w:rsidR="00B07F0A" w:rsidRPr="00C1625D">
        <w:rPr>
          <w:rFonts w:ascii="Palatino Linotype" w:hAnsi="Palatino Linotype" w:cs="Arial"/>
          <w:sz w:val="24"/>
          <w:szCs w:val="24"/>
        </w:rPr>
        <w:t xml:space="preserve">a través del Sistema de Acceso a la Información </w:t>
      </w:r>
      <w:r w:rsidR="00B07F0A" w:rsidRPr="00151D16">
        <w:rPr>
          <w:rFonts w:ascii="Palatino Linotype" w:hAnsi="Palatino Linotype" w:cs="Arial"/>
          <w:sz w:val="24"/>
          <w:szCs w:val="24"/>
        </w:rPr>
        <w:t>Mexiquense</w:t>
      </w:r>
      <w:r w:rsidR="00B07F0A"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00B07F0A" w:rsidRPr="00151D16">
        <w:rPr>
          <w:rFonts w:ascii="Palatino Linotype" w:eastAsia="Times New Roman" w:hAnsi="Palatino Linotype" w:cs="Arial"/>
          <w:sz w:val="24"/>
          <w:szCs w:val="24"/>
          <w:lang w:eastAsia="es-ES"/>
        </w:rPr>
        <w:t xml:space="preserve">y hágase de su conocimiento que, </w:t>
      </w:r>
      <w:r w:rsidR="00B07F0A"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00B07F0A"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5820AB4D" w14:textId="77777777" w:rsidR="00BB1C32"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E540884" w14:textId="7284D5F7" w:rsidR="00692B10" w:rsidRPr="00502595" w:rsidRDefault="00692B10" w:rsidP="00692B10">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502595">
        <w:rPr>
          <w:rFonts w:ascii="Palatino Linotype" w:hAnsi="Palatino Linotype" w:cs="Arial"/>
          <w:sz w:val="22"/>
          <w:szCs w:val="22"/>
        </w:rPr>
        <w:lastRenderedPageBreak/>
        <w:t>ASÍ LO ACORDÓ, POR UNANIMIDAD DE VOTOS, EL PLENO DEL</w:t>
      </w:r>
      <w:r w:rsidRPr="00502595">
        <w:rPr>
          <w:rFonts w:ascii="Palatino Linotype" w:eastAsia="Arial Unicode MS" w:hAnsi="Palatino Linotype" w:cs="Arial"/>
          <w:sz w:val="22"/>
          <w:szCs w:val="22"/>
        </w:rPr>
        <w:t xml:space="preserve"> INSTITUTO DE TRANSPARENCIA, ACCESO A LA INFORMACIÓN PÚBLICA Y PROTECCIÓN DE DATOS PERSONALES DEL ESTADO DE MÉXICO Y MUNICIPIOS</w:t>
      </w:r>
      <w:r w:rsidRPr="00502595">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w:t>
      </w:r>
      <w:r w:rsidR="006C3A72">
        <w:rPr>
          <w:rFonts w:ascii="Palatino Linotype" w:hAnsi="Palatino Linotype" w:cs="Arial"/>
          <w:sz w:val="22"/>
          <w:szCs w:val="22"/>
        </w:rPr>
        <w:t>OCTAVA</w:t>
      </w:r>
      <w:r w:rsidR="003E616E">
        <w:rPr>
          <w:rFonts w:ascii="Palatino Linotype" w:hAnsi="Palatino Linotype" w:cs="Arial"/>
          <w:sz w:val="22"/>
          <w:szCs w:val="22"/>
        </w:rPr>
        <w:t xml:space="preserve"> </w:t>
      </w:r>
      <w:r>
        <w:rPr>
          <w:rFonts w:ascii="Palatino Linotype" w:hAnsi="Palatino Linotype" w:cs="Arial"/>
          <w:sz w:val="22"/>
          <w:szCs w:val="22"/>
        </w:rPr>
        <w:t xml:space="preserve">SESIÓN ORDINARIA CELEBRADA EL </w:t>
      </w:r>
      <w:r w:rsidR="006C3A72">
        <w:rPr>
          <w:rFonts w:ascii="Palatino Linotype" w:hAnsi="Palatino Linotype" w:cs="Arial"/>
          <w:sz w:val="22"/>
          <w:szCs w:val="22"/>
        </w:rPr>
        <w:t>UNO DE MARZO</w:t>
      </w:r>
      <w:r>
        <w:rPr>
          <w:rFonts w:ascii="Palatino Linotype" w:hAnsi="Palatino Linotype" w:cs="Arial"/>
          <w:sz w:val="22"/>
          <w:szCs w:val="22"/>
        </w:rPr>
        <w:t xml:space="preserve"> DE DOS MIL VEINTITRÉS, </w:t>
      </w:r>
      <w:r w:rsidRPr="00502595">
        <w:rPr>
          <w:rFonts w:ascii="Palatino Linotype" w:hAnsi="Palatino Linotype" w:cs="Arial"/>
          <w:sz w:val="22"/>
          <w:szCs w:val="22"/>
        </w:rPr>
        <w:t xml:space="preserve">ANTE </w:t>
      </w:r>
      <w:r w:rsidR="00B27E16" w:rsidRPr="00502595">
        <w:rPr>
          <w:rFonts w:ascii="Palatino Linotype" w:hAnsi="Palatino Linotype" w:cs="Arial"/>
          <w:sz w:val="22"/>
          <w:szCs w:val="22"/>
        </w:rPr>
        <w:t>EL SECRETARIO</w:t>
      </w:r>
      <w:r w:rsidRPr="00502595">
        <w:rPr>
          <w:rFonts w:ascii="Palatino Linotype" w:hAnsi="Palatino Linotype" w:cs="Arial"/>
          <w:sz w:val="22"/>
          <w:szCs w:val="22"/>
        </w:rPr>
        <w:t xml:space="preserve"> TÉCNICO DEL PLENO, ALEXIS TAPIA RAMÍREZ. </w:t>
      </w:r>
    </w:p>
    <w:p w14:paraId="08D79A21" w14:textId="77777777" w:rsidR="00692B10" w:rsidRDefault="00692B10" w:rsidP="00692B10">
      <w:pPr>
        <w:pStyle w:val="Prrafodelista"/>
        <w:autoSpaceDE w:val="0"/>
        <w:autoSpaceDN w:val="0"/>
        <w:adjustRightInd w:val="0"/>
        <w:spacing w:before="240" w:after="160" w:line="360" w:lineRule="auto"/>
        <w:ind w:left="0"/>
        <w:jc w:val="both"/>
        <w:rPr>
          <w:rFonts w:ascii="Palatino Linotype" w:hAnsi="Palatino Linotype"/>
          <w:bCs/>
          <w:sz w:val="22"/>
          <w:szCs w:val="22"/>
        </w:rPr>
      </w:pPr>
      <w:r w:rsidRPr="00502595">
        <w:rPr>
          <w:rFonts w:ascii="Palatino Linotype" w:hAnsi="Palatino Linotype"/>
          <w:bCs/>
          <w:sz w:val="22"/>
          <w:szCs w:val="22"/>
        </w:rPr>
        <w:t>CCR/JCMA</w:t>
      </w:r>
    </w:p>
    <w:p w14:paraId="5026FF84" w14:textId="54A8054F" w:rsidR="00CB4788" w:rsidRDefault="00692B10" w:rsidP="00CB478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95104" behindDoc="0" locked="0" layoutInCell="1" allowOverlap="1" wp14:anchorId="4CE09432" wp14:editId="579D10A1">
                <wp:simplePos x="0" y="0"/>
                <wp:positionH relativeFrom="column">
                  <wp:posOffset>-165735</wp:posOffset>
                </wp:positionH>
                <wp:positionV relativeFrom="paragraph">
                  <wp:posOffset>98244</wp:posOffset>
                </wp:positionV>
                <wp:extent cx="6106886" cy="4637314"/>
                <wp:effectExtent l="0" t="0" r="27305" b="30480"/>
                <wp:wrapNone/>
                <wp:docPr id="10" name="Straight Connector 10"/>
                <wp:cNvGraphicFramePr/>
                <a:graphic xmlns:a="http://schemas.openxmlformats.org/drawingml/2006/main">
                  <a:graphicData uri="http://schemas.microsoft.com/office/word/2010/wordprocessingShape">
                    <wps:wsp>
                      <wps:cNvCnPr/>
                      <wps:spPr>
                        <a:xfrm>
                          <a:off x="0" y="0"/>
                          <a:ext cx="6106886" cy="46373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96B0DA" id="Straight Connector 1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7.75pt" to="467.8pt,3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" strokecolor="#5b9bd5 [3204]" strokeweight=".5pt">
                <v:stroke joinstyle="miter"/>
              </v:line>
            </w:pict>
          </mc:Fallback>
        </mc:AlternateContent>
      </w: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2E3C7F49"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1EBDC33" w14:textId="306B71B6"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4F61D26" w14:textId="77777777" w:rsidR="007C61F5" w:rsidRDefault="007C61F5"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7C61F5"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8F1966" w14:textId="77777777" w:rsidR="000807BD" w:rsidRDefault="000807BD" w:rsidP="006168E4">
      <w:pPr>
        <w:spacing w:after="0" w:line="240" w:lineRule="auto"/>
      </w:pPr>
      <w:r>
        <w:separator/>
      </w:r>
    </w:p>
  </w:endnote>
  <w:endnote w:type="continuationSeparator" w:id="0">
    <w:p w14:paraId="431F9A5B" w14:textId="77777777" w:rsidR="000807BD" w:rsidRDefault="000807B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4966">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4966">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49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4966">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20238" w14:textId="77777777" w:rsidR="000807BD" w:rsidRDefault="000807BD" w:rsidP="006168E4">
      <w:pPr>
        <w:spacing w:after="0" w:line="240" w:lineRule="auto"/>
      </w:pPr>
      <w:r>
        <w:separator/>
      </w:r>
    </w:p>
  </w:footnote>
  <w:footnote w:type="continuationSeparator" w:id="0">
    <w:p w14:paraId="31357F8E" w14:textId="77777777" w:rsidR="000807BD" w:rsidRDefault="000807BD" w:rsidP="006168E4">
      <w:pPr>
        <w:spacing w:after="0" w:line="240" w:lineRule="auto"/>
      </w:pPr>
      <w:r>
        <w:continuationSeparator/>
      </w:r>
    </w:p>
  </w:footnote>
  <w:footnote w:id="1">
    <w:p w14:paraId="32CD5309" w14:textId="77777777" w:rsidR="000E6122" w:rsidRPr="005552A8" w:rsidRDefault="000E6122" w:rsidP="000E612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9F73D7D" w14:textId="77777777" w:rsidR="000E6122" w:rsidRPr="005552A8" w:rsidRDefault="000E6122" w:rsidP="000E612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9A1C1BA" w:rsidR="00E761C2" w:rsidRPr="00B4142F" w:rsidRDefault="00293F1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17185</w:t>
          </w:r>
          <w:r w:rsidR="00E761C2">
            <w:rPr>
              <w:rFonts w:ascii="Palatino Linotype" w:hAnsi="Palatino Linotype" w:cs="Arial"/>
              <w:bCs/>
              <w:sz w:val="24"/>
              <w:lang w:eastAsia="es-MX"/>
            </w:rPr>
            <w:t>/INFOEM/IP/RR/202</w:t>
          </w:r>
          <w:r>
            <w:rPr>
              <w:rFonts w:ascii="Palatino Linotype" w:hAnsi="Palatino Linotype" w:cs="Arial"/>
              <w:bCs/>
              <w:sz w:val="24"/>
              <w:lang w:eastAsia="es-MX"/>
            </w:rPr>
            <w:t>2</w:t>
          </w:r>
          <w:r w:rsidR="00980CC8">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A2659ED" w:rsidR="00E761C2" w:rsidRPr="00F06FED" w:rsidRDefault="00BA604C" w:rsidP="0034605F">
          <w:pPr>
            <w:spacing w:after="120" w:line="256" w:lineRule="auto"/>
            <w:ind w:left="639" w:right="214"/>
            <w:jc w:val="both"/>
            <w:rPr>
              <w:rFonts w:ascii="Palatino Linotype" w:hAnsi="Palatino Linotype" w:cs="Arial"/>
            </w:rPr>
          </w:pPr>
          <w:r>
            <w:rPr>
              <w:rFonts w:ascii="Palatino Linotype" w:hAnsi="Palatino Linotype" w:cs="Arial"/>
            </w:rPr>
            <w:t xml:space="preserve">Ayuntamiento de </w:t>
          </w:r>
          <w:r w:rsidR="00293F10">
            <w:rPr>
              <w:rFonts w:ascii="Palatino Linotype" w:hAnsi="Palatino Linotype" w:cs="Arial"/>
            </w:rPr>
            <w:t>Amecameca</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BD1CE12" w:rsidR="00E761C2" w:rsidRPr="00B4142F" w:rsidRDefault="00293F1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17185</w:t>
          </w:r>
          <w:r w:rsidR="00E761C2">
            <w:rPr>
              <w:rFonts w:ascii="Palatino Linotype" w:hAnsi="Palatino Linotype" w:cs="Arial"/>
              <w:bCs/>
              <w:sz w:val="24"/>
              <w:lang w:eastAsia="es-MX"/>
            </w:rPr>
            <w:t>/INFOEM/IP/RR/202</w:t>
          </w:r>
          <w:r>
            <w:rPr>
              <w:rFonts w:ascii="Palatino Linotype" w:hAnsi="Palatino Linotype" w:cs="Arial"/>
              <w:bCs/>
              <w:sz w:val="24"/>
              <w:lang w:eastAsia="es-MX"/>
            </w:rPr>
            <w:t>2</w:t>
          </w:r>
          <w:r w:rsidR="00F02E23">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3D6B410" w:rsidR="00E761C2" w:rsidRPr="00F06FED" w:rsidRDefault="007F4966" w:rsidP="007A3BB5">
          <w:pPr>
            <w:spacing w:after="120" w:line="256" w:lineRule="auto"/>
            <w:ind w:left="639" w:right="214"/>
            <w:jc w:val="both"/>
            <w:rPr>
              <w:rFonts w:ascii="Palatino Linotype" w:hAnsi="Palatino Linotype" w:cs="Arial"/>
            </w:rPr>
          </w:pPr>
          <w:r>
            <w:rPr>
              <w:rFonts w:ascii="Palatino Linotype" w:hAnsi="Palatino Linotype" w:cs="Arial"/>
            </w:rPr>
            <w:t>XXXXXXXXXXXXXXXX</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8AB2E49" w:rsidR="00E761C2" w:rsidRDefault="00BA604C"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293F10">
            <w:rPr>
              <w:rFonts w:ascii="Palatino Linotype" w:hAnsi="Palatino Linotype" w:cs="Arial"/>
              <w:szCs w:val="20"/>
            </w:rPr>
            <w:t>Amecameca</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F015B38"/>
    <w:multiLevelType w:val="hybridMultilevel"/>
    <w:tmpl w:val="54F8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248711D1"/>
    <w:multiLevelType w:val="hybridMultilevel"/>
    <w:tmpl w:val="E2322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981259"/>
    <w:multiLevelType w:val="hybridMultilevel"/>
    <w:tmpl w:val="3828E6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6C34F9"/>
    <w:multiLevelType w:val="hybridMultilevel"/>
    <w:tmpl w:val="7DC0B42C"/>
    <w:lvl w:ilvl="0" w:tplc="D9F29C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453C14"/>
    <w:multiLevelType w:val="hybridMultilevel"/>
    <w:tmpl w:val="1BCA7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A0842"/>
    <w:multiLevelType w:val="hybridMultilevel"/>
    <w:tmpl w:val="1CA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75AB0"/>
    <w:multiLevelType w:val="hybridMultilevel"/>
    <w:tmpl w:val="C282AE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DB7937"/>
    <w:multiLevelType w:val="hybridMultilevel"/>
    <w:tmpl w:val="26A6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E211C"/>
    <w:multiLevelType w:val="hybridMultilevel"/>
    <w:tmpl w:val="241CCCC8"/>
    <w:lvl w:ilvl="0" w:tplc="8F0C21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D91F7E"/>
    <w:multiLevelType w:val="hybridMultilevel"/>
    <w:tmpl w:val="A85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52007DCA"/>
    <w:multiLevelType w:val="hybridMultilevel"/>
    <w:tmpl w:val="06C28B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AF1A11"/>
    <w:multiLevelType w:val="hybridMultilevel"/>
    <w:tmpl w:val="D7042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014B3"/>
    <w:multiLevelType w:val="hybridMultilevel"/>
    <w:tmpl w:val="917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0543AD"/>
    <w:multiLevelType w:val="hybridMultilevel"/>
    <w:tmpl w:val="A328D09C"/>
    <w:lvl w:ilvl="0" w:tplc="4348A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3" w15:restartNumberingAfterBreak="0">
    <w:nsid w:val="6647013A"/>
    <w:multiLevelType w:val="hybridMultilevel"/>
    <w:tmpl w:val="5E0C75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0716FD"/>
    <w:multiLevelType w:val="hybridMultilevel"/>
    <w:tmpl w:val="6226C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9E182E"/>
    <w:multiLevelType w:val="hybridMultilevel"/>
    <w:tmpl w:val="AC748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8D01832"/>
    <w:multiLevelType w:val="hybridMultilevel"/>
    <w:tmpl w:val="B8342D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5"/>
  </w:num>
  <w:num w:numId="3">
    <w:abstractNumId w:val="22"/>
  </w:num>
  <w:num w:numId="4">
    <w:abstractNumId w:val="2"/>
  </w:num>
  <w:num w:numId="5">
    <w:abstractNumId w:val="26"/>
  </w:num>
  <w:num w:numId="6">
    <w:abstractNumId w:val="21"/>
  </w:num>
  <w:num w:numId="7">
    <w:abstractNumId w:val="6"/>
  </w:num>
  <w:num w:numId="8">
    <w:abstractNumId w:val="24"/>
  </w:num>
  <w:num w:numId="9">
    <w:abstractNumId w:val="1"/>
  </w:num>
  <w:num w:numId="10">
    <w:abstractNumId w:val="20"/>
  </w:num>
  <w:num w:numId="11">
    <w:abstractNumId w:val="39"/>
  </w:num>
  <w:num w:numId="12">
    <w:abstractNumId w:val="25"/>
  </w:num>
  <w:num w:numId="13">
    <w:abstractNumId w:val="13"/>
  </w:num>
  <w:num w:numId="14">
    <w:abstractNumId w:val="19"/>
  </w:num>
  <w:num w:numId="15">
    <w:abstractNumId w:val="31"/>
  </w:num>
  <w:num w:numId="16">
    <w:abstractNumId w:val="11"/>
  </w:num>
  <w:num w:numId="17">
    <w:abstractNumId w:val="8"/>
  </w:num>
  <w:num w:numId="18">
    <w:abstractNumId w:val="32"/>
  </w:num>
  <w:num w:numId="19">
    <w:abstractNumId w:val="23"/>
  </w:num>
  <w:num w:numId="20">
    <w:abstractNumId w:val="0"/>
  </w:num>
  <w:num w:numId="21">
    <w:abstractNumId w:val="28"/>
  </w:num>
  <w:num w:numId="22">
    <w:abstractNumId w:val="30"/>
  </w:num>
  <w:num w:numId="23">
    <w:abstractNumId w:val="9"/>
  </w:num>
  <w:num w:numId="24">
    <w:abstractNumId w:val="12"/>
  </w:num>
  <w:num w:numId="25">
    <w:abstractNumId w:val="5"/>
  </w:num>
  <w:num w:numId="26">
    <w:abstractNumId w:val="37"/>
  </w:num>
  <w:num w:numId="27">
    <w:abstractNumId w:val="3"/>
  </w:num>
  <w:num w:numId="28">
    <w:abstractNumId w:val="7"/>
  </w:num>
  <w:num w:numId="29">
    <w:abstractNumId w:val="14"/>
  </w:num>
  <w:num w:numId="30">
    <w:abstractNumId w:val="34"/>
  </w:num>
  <w:num w:numId="31">
    <w:abstractNumId w:val="27"/>
  </w:num>
  <w:num w:numId="32">
    <w:abstractNumId w:val="18"/>
  </w:num>
  <w:num w:numId="33">
    <w:abstractNumId w:val="16"/>
  </w:num>
  <w:num w:numId="34">
    <w:abstractNumId w:val="36"/>
  </w:num>
  <w:num w:numId="35">
    <w:abstractNumId w:val="29"/>
  </w:num>
  <w:num w:numId="36">
    <w:abstractNumId w:val="15"/>
  </w:num>
  <w:num w:numId="37">
    <w:abstractNumId w:val="33"/>
  </w:num>
  <w:num w:numId="38">
    <w:abstractNumId w:val="38"/>
  </w:num>
  <w:num w:numId="39">
    <w:abstractNumId w:val="17"/>
  </w:num>
  <w:num w:numId="4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5C81"/>
    <w:rsid w:val="000171B7"/>
    <w:rsid w:val="00020E74"/>
    <w:rsid w:val="00022B41"/>
    <w:rsid w:val="000240C8"/>
    <w:rsid w:val="0002560B"/>
    <w:rsid w:val="00027921"/>
    <w:rsid w:val="000306A7"/>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07B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122"/>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C5"/>
    <w:rsid w:val="001829BE"/>
    <w:rsid w:val="00182C4E"/>
    <w:rsid w:val="00184E8E"/>
    <w:rsid w:val="001854E1"/>
    <w:rsid w:val="0018577F"/>
    <w:rsid w:val="00186EE8"/>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5BB2"/>
    <w:rsid w:val="001D627A"/>
    <w:rsid w:val="001D6B60"/>
    <w:rsid w:val="001E0820"/>
    <w:rsid w:val="001E0C3F"/>
    <w:rsid w:val="001E11BF"/>
    <w:rsid w:val="001E2C56"/>
    <w:rsid w:val="001E3111"/>
    <w:rsid w:val="001E3960"/>
    <w:rsid w:val="001E5168"/>
    <w:rsid w:val="001E58D8"/>
    <w:rsid w:val="001E6631"/>
    <w:rsid w:val="001E78AA"/>
    <w:rsid w:val="001F2101"/>
    <w:rsid w:val="001F2360"/>
    <w:rsid w:val="001F3969"/>
    <w:rsid w:val="001F607C"/>
    <w:rsid w:val="001F61DA"/>
    <w:rsid w:val="00204420"/>
    <w:rsid w:val="00205ACD"/>
    <w:rsid w:val="002075A5"/>
    <w:rsid w:val="00211623"/>
    <w:rsid w:val="00212797"/>
    <w:rsid w:val="00212A9D"/>
    <w:rsid w:val="0021501E"/>
    <w:rsid w:val="00215192"/>
    <w:rsid w:val="0021530C"/>
    <w:rsid w:val="00215A5F"/>
    <w:rsid w:val="002167CF"/>
    <w:rsid w:val="002205C0"/>
    <w:rsid w:val="00221889"/>
    <w:rsid w:val="00221AB3"/>
    <w:rsid w:val="002231E6"/>
    <w:rsid w:val="002248AC"/>
    <w:rsid w:val="00226AF5"/>
    <w:rsid w:val="0023220E"/>
    <w:rsid w:val="0023373D"/>
    <w:rsid w:val="0023423C"/>
    <w:rsid w:val="00235909"/>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0D84"/>
    <w:rsid w:val="00292BF6"/>
    <w:rsid w:val="00292EB0"/>
    <w:rsid w:val="00293F1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1E84"/>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E6FEF"/>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6A69"/>
    <w:rsid w:val="00337BA5"/>
    <w:rsid w:val="003412D2"/>
    <w:rsid w:val="0034179E"/>
    <w:rsid w:val="00341AC3"/>
    <w:rsid w:val="0034299B"/>
    <w:rsid w:val="003430A8"/>
    <w:rsid w:val="003442C8"/>
    <w:rsid w:val="003443B2"/>
    <w:rsid w:val="00344E3B"/>
    <w:rsid w:val="00345B43"/>
    <w:rsid w:val="0034605F"/>
    <w:rsid w:val="00346B14"/>
    <w:rsid w:val="003549DC"/>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E616E"/>
    <w:rsid w:val="003F0DF5"/>
    <w:rsid w:val="003F332C"/>
    <w:rsid w:val="003F3BA1"/>
    <w:rsid w:val="003F659A"/>
    <w:rsid w:val="003F6CB2"/>
    <w:rsid w:val="00400E16"/>
    <w:rsid w:val="004012CF"/>
    <w:rsid w:val="004012E1"/>
    <w:rsid w:val="004020B1"/>
    <w:rsid w:val="004028F5"/>
    <w:rsid w:val="00402FF3"/>
    <w:rsid w:val="00404627"/>
    <w:rsid w:val="00405192"/>
    <w:rsid w:val="004056E1"/>
    <w:rsid w:val="00405EAB"/>
    <w:rsid w:val="00406265"/>
    <w:rsid w:val="004069EB"/>
    <w:rsid w:val="004072AA"/>
    <w:rsid w:val="004109EC"/>
    <w:rsid w:val="004111DA"/>
    <w:rsid w:val="00413327"/>
    <w:rsid w:val="00413F1C"/>
    <w:rsid w:val="0041440A"/>
    <w:rsid w:val="00423213"/>
    <w:rsid w:val="0042416D"/>
    <w:rsid w:val="00431A8E"/>
    <w:rsid w:val="00431DF7"/>
    <w:rsid w:val="00431FD9"/>
    <w:rsid w:val="00433507"/>
    <w:rsid w:val="00433652"/>
    <w:rsid w:val="004336AE"/>
    <w:rsid w:val="00433FA1"/>
    <w:rsid w:val="00437A0E"/>
    <w:rsid w:val="00441566"/>
    <w:rsid w:val="00443B76"/>
    <w:rsid w:val="0044504F"/>
    <w:rsid w:val="004460C0"/>
    <w:rsid w:val="004502F1"/>
    <w:rsid w:val="004516EB"/>
    <w:rsid w:val="00451F0E"/>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0E26"/>
    <w:rsid w:val="00481325"/>
    <w:rsid w:val="0048180A"/>
    <w:rsid w:val="00481C7A"/>
    <w:rsid w:val="004836B3"/>
    <w:rsid w:val="00485906"/>
    <w:rsid w:val="00486CC8"/>
    <w:rsid w:val="004906C8"/>
    <w:rsid w:val="0049255A"/>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163"/>
    <w:rsid w:val="004B7F32"/>
    <w:rsid w:val="004C1DF1"/>
    <w:rsid w:val="004C4E77"/>
    <w:rsid w:val="004C74FD"/>
    <w:rsid w:val="004D08EB"/>
    <w:rsid w:val="004D6029"/>
    <w:rsid w:val="004D6663"/>
    <w:rsid w:val="004E004F"/>
    <w:rsid w:val="004E0166"/>
    <w:rsid w:val="004E0679"/>
    <w:rsid w:val="004E0B32"/>
    <w:rsid w:val="004E1AC5"/>
    <w:rsid w:val="004E1B1C"/>
    <w:rsid w:val="004E2371"/>
    <w:rsid w:val="004E6BE9"/>
    <w:rsid w:val="004E79A4"/>
    <w:rsid w:val="004F26CF"/>
    <w:rsid w:val="004F3264"/>
    <w:rsid w:val="004F3E8F"/>
    <w:rsid w:val="004F4792"/>
    <w:rsid w:val="004F4DF1"/>
    <w:rsid w:val="004F74F7"/>
    <w:rsid w:val="00502F50"/>
    <w:rsid w:val="0050351F"/>
    <w:rsid w:val="00503655"/>
    <w:rsid w:val="00505759"/>
    <w:rsid w:val="00505784"/>
    <w:rsid w:val="0050578D"/>
    <w:rsid w:val="0051107C"/>
    <w:rsid w:val="00513251"/>
    <w:rsid w:val="00513861"/>
    <w:rsid w:val="00514187"/>
    <w:rsid w:val="00515090"/>
    <w:rsid w:val="0051725F"/>
    <w:rsid w:val="00517F23"/>
    <w:rsid w:val="00521A89"/>
    <w:rsid w:val="00521E57"/>
    <w:rsid w:val="005245BF"/>
    <w:rsid w:val="00525E83"/>
    <w:rsid w:val="005268A3"/>
    <w:rsid w:val="00527A22"/>
    <w:rsid w:val="00527EBC"/>
    <w:rsid w:val="005305EA"/>
    <w:rsid w:val="00530E3E"/>
    <w:rsid w:val="005311BB"/>
    <w:rsid w:val="00535C9F"/>
    <w:rsid w:val="00536723"/>
    <w:rsid w:val="00536920"/>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0467"/>
    <w:rsid w:val="00591165"/>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2E2E"/>
    <w:rsid w:val="00606FDA"/>
    <w:rsid w:val="00607FE5"/>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3161"/>
    <w:rsid w:val="006446E9"/>
    <w:rsid w:val="006466F5"/>
    <w:rsid w:val="006468D6"/>
    <w:rsid w:val="006478C6"/>
    <w:rsid w:val="0065025F"/>
    <w:rsid w:val="006529A5"/>
    <w:rsid w:val="0065450F"/>
    <w:rsid w:val="00655735"/>
    <w:rsid w:val="00656A17"/>
    <w:rsid w:val="00660155"/>
    <w:rsid w:val="00661404"/>
    <w:rsid w:val="00661753"/>
    <w:rsid w:val="00661F44"/>
    <w:rsid w:val="0066369C"/>
    <w:rsid w:val="006646AC"/>
    <w:rsid w:val="00664D5B"/>
    <w:rsid w:val="006661D5"/>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77F"/>
    <w:rsid w:val="00686FC2"/>
    <w:rsid w:val="0068792F"/>
    <w:rsid w:val="00690736"/>
    <w:rsid w:val="00692B10"/>
    <w:rsid w:val="0069391E"/>
    <w:rsid w:val="00694735"/>
    <w:rsid w:val="00694D2D"/>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1288"/>
    <w:rsid w:val="006C32EE"/>
    <w:rsid w:val="006C3831"/>
    <w:rsid w:val="006C3A72"/>
    <w:rsid w:val="006C65A9"/>
    <w:rsid w:val="006C6A05"/>
    <w:rsid w:val="006D23FC"/>
    <w:rsid w:val="006D3CD7"/>
    <w:rsid w:val="006D5719"/>
    <w:rsid w:val="006D5803"/>
    <w:rsid w:val="006E01D1"/>
    <w:rsid w:val="006E0E33"/>
    <w:rsid w:val="006E113D"/>
    <w:rsid w:val="006E2644"/>
    <w:rsid w:val="006E3842"/>
    <w:rsid w:val="006E594D"/>
    <w:rsid w:val="006E5C99"/>
    <w:rsid w:val="006E6525"/>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247F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3E62"/>
    <w:rsid w:val="007C4C73"/>
    <w:rsid w:val="007C53E1"/>
    <w:rsid w:val="007C61F5"/>
    <w:rsid w:val="007C7FF1"/>
    <w:rsid w:val="007D0D01"/>
    <w:rsid w:val="007D15EF"/>
    <w:rsid w:val="007D1A27"/>
    <w:rsid w:val="007D1B24"/>
    <w:rsid w:val="007D1F15"/>
    <w:rsid w:val="007D25B1"/>
    <w:rsid w:val="007D2878"/>
    <w:rsid w:val="007D300A"/>
    <w:rsid w:val="007D4430"/>
    <w:rsid w:val="007D4DD9"/>
    <w:rsid w:val="007D65EE"/>
    <w:rsid w:val="007D661B"/>
    <w:rsid w:val="007E1016"/>
    <w:rsid w:val="007E24F0"/>
    <w:rsid w:val="007E26F8"/>
    <w:rsid w:val="007E3A35"/>
    <w:rsid w:val="007E5726"/>
    <w:rsid w:val="007E7BAB"/>
    <w:rsid w:val="007E7C17"/>
    <w:rsid w:val="007E7DCE"/>
    <w:rsid w:val="007F0560"/>
    <w:rsid w:val="007F0DF4"/>
    <w:rsid w:val="007F1347"/>
    <w:rsid w:val="007F18CC"/>
    <w:rsid w:val="007F19BF"/>
    <w:rsid w:val="007F19D7"/>
    <w:rsid w:val="007F1C99"/>
    <w:rsid w:val="007F20AC"/>
    <w:rsid w:val="007F3914"/>
    <w:rsid w:val="007F43BD"/>
    <w:rsid w:val="007F4966"/>
    <w:rsid w:val="007F53D4"/>
    <w:rsid w:val="007F6466"/>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7E5"/>
    <w:rsid w:val="00832986"/>
    <w:rsid w:val="00833DB5"/>
    <w:rsid w:val="00835692"/>
    <w:rsid w:val="00837CB5"/>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3768"/>
    <w:rsid w:val="00884054"/>
    <w:rsid w:val="00886712"/>
    <w:rsid w:val="008868B6"/>
    <w:rsid w:val="00890A5B"/>
    <w:rsid w:val="00891715"/>
    <w:rsid w:val="00893C5F"/>
    <w:rsid w:val="0089422E"/>
    <w:rsid w:val="00895089"/>
    <w:rsid w:val="008951ED"/>
    <w:rsid w:val="008966B3"/>
    <w:rsid w:val="00896BBD"/>
    <w:rsid w:val="008A1129"/>
    <w:rsid w:val="008A322D"/>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6375"/>
    <w:rsid w:val="008E7DB4"/>
    <w:rsid w:val="008F10A6"/>
    <w:rsid w:val="008F16D2"/>
    <w:rsid w:val="008F272A"/>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103"/>
    <w:rsid w:val="00951BA1"/>
    <w:rsid w:val="00951D52"/>
    <w:rsid w:val="00952187"/>
    <w:rsid w:val="00954916"/>
    <w:rsid w:val="009549ED"/>
    <w:rsid w:val="009600E6"/>
    <w:rsid w:val="0096015A"/>
    <w:rsid w:val="00960A6D"/>
    <w:rsid w:val="00960A7F"/>
    <w:rsid w:val="009611E0"/>
    <w:rsid w:val="0096202C"/>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0CC8"/>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4F35"/>
    <w:rsid w:val="009D5F9E"/>
    <w:rsid w:val="009D723A"/>
    <w:rsid w:val="009E1411"/>
    <w:rsid w:val="009E32B5"/>
    <w:rsid w:val="009E52F2"/>
    <w:rsid w:val="009E5717"/>
    <w:rsid w:val="009E59E7"/>
    <w:rsid w:val="009F002C"/>
    <w:rsid w:val="009F01C0"/>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772F"/>
    <w:rsid w:val="00A279CF"/>
    <w:rsid w:val="00A30C44"/>
    <w:rsid w:val="00A328AE"/>
    <w:rsid w:val="00A3394A"/>
    <w:rsid w:val="00A347D8"/>
    <w:rsid w:val="00A34857"/>
    <w:rsid w:val="00A36D20"/>
    <w:rsid w:val="00A4046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528"/>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27E16"/>
    <w:rsid w:val="00B30856"/>
    <w:rsid w:val="00B30D66"/>
    <w:rsid w:val="00B32CD3"/>
    <w:rsid w:val="00B34CA9"/>
    <w:rsid w:val="00B35797"/>
    <w:rsid w:val="00B35A93"/>
    <w:rsid w:val="00B3672D"/>
    <w:rsid w:val="00B40656"/>
    <w:rsid w:val="00B40F8A"/>
    <w:rsid w:val="00B4502E"/>
    <w:rsid w:val="00B4745C"/>
    <w:rsid w:val="00B50AAA"/>
    <w:rsid w:val="00B51FC0"/>
    <w:rsid w:val="00B53B4F"/>
    <w:rsid w:val="00B544D9"/>
    <w:rsid w:val="00B5509D"/>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1F0B"/>
    <w:rsid w:val="00B9223B"/>
    <w:rsid w:val="00B92D47"/>
    <w:rsid w:val="00B94CCE"/>
    <w:rsid w:val="00B961A5"/>
    <w:rsid w:val="00BA0E4C"/>
    <w:rsid w:val="00BA1426"/>
    <w:rsid w:val="00BA18D5"/>
    <w:rsid w:val="00BA1FC4"/>
    <w:rsid w:val="00BA202D"/>
    <w:rsid w:val="00BA49CC"/>
    <w:rsid w:val="00BA4D1F"/>
    <w:rsid w:val="00BA604C"/>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72C"/>
    <w:rsid w:val="00CA1C79"/>
    <w:rsid w:val="00CA30DB"/>
    <w:rsid w:val="00CA491B"/>
    <w:rsid w:val="00CA6D58"/>
    <w:rsid w:val="00CA6FDA"/>
    <w:rsid w:val="00CA7E00"/>
    <w:rsid w:val="00CB3B6F"/>
    <w:rsid w:val="00CB3D57"/>
    <w:rsid w:val="00CB4788"/>
    <w:rsid w:val="00CB6F8B"/>
    <w:rsid w:val="00CC028A"/>
    <w:rsid w:val="00CC0C5F"/>
    <w:rsid w:val="00CC24B0"/>
    <w:rsid w:val="00CC2788"/>
    <w:rsid w:val="00CC2F3D"/>
    <w:rsid w:val="00CC436A"/>
    <w:rsid w:val="00CC5FF3"/>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03B"/>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6E83"/>
    <w:rsid w:val="00DD7977"/>
    <w:rsid w:val="00DD7E98"/>
    <w:rsid w:val="00DE06C3"/>
    <w:rsid w:val="00DE1FC5"/>
    <w:rsid w:val="00DE34FF"/>
    <w:rsid w:val="00DE35D7"/>
    <w:rsid w:val="00DE4454"/>
    <w:rsid w:val="00DE44AB"/>
    <w:rsid w:val="00DE5E8F"/>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5C75"/>
    <w:rsid w:val="00E26BEE"/>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61BA"/>
    <w:rsid w:val="00E9156D"/>
    <w:rsid w:val="00E91EBF"/>
    <w:rsid w:val="00E97676"/>
    <w:rsid w:val="00EA1BA1"/>
    <w:rsid w:val="00EA1CE1"/>
    <w:rsid w:val="00EA1F89"/>
    <w:rsid w:val="00EA21CB"/>
    <w:rsid w:val="00EA29A4"/>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5EC"/>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2E23"/>
    <w:rsid w:val="00F0351B"/>
    <w:rsid w:val="00F04089"/>
    <w:rsid w:val="00F06275"/>
    <w:rsid w:val="00F06472"/>
    <w:rsid w:val="00F123EC"/>
    <w:rsid w:val="00F14E6B"/>
    <w:rsid w:val="00F1508F"/>
    <w:rsid w:val="00F15B72"/>
    <w:rsid w:val="00F16331"/>
    <w:rsid w:val="00F16803"/>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28E8"/>
    <w:rsid w:val="00F73C17"/>
    <w:rsid w:val="00F7598B"/>
    <w:rsid w:val="00F87ADD"/>
    <w:rsid w:val="00F914FD"/>
    <w:rsid w:val="00F9164E"/>
    <w:rsid w:val="00F92D2B"/>
    <w:rsid w:val="00F952BF"/>
    <w:rsid w:val="00F95515"/>
    <w:rsid w:val="00F9574E"/>
    <w:rsid w:val="00F974AA"/>
    <w:rsid w:val="00FA2545"/>
    <w:rsid w:val="00FA3650"/>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17917559">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1619640">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9706710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595744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1484135">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8016119">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79079336">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73189.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60EA-1E30-40A5-AD2B-E939CA59B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48</Pages>
  <Words>8994</Words>
  <Characters>49473</Characters>
  <Application>Microsoft Office Word</Application>
  <DocSecurity>0</DocSecurity>
  <Lines>412</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2018-12-04T20:35:00Z</cp:lastPrinted>
  <dcterms:created xsi:type="dcterms:W3CDTF">2022-08-23T15:35:00Z</dcterms:created>
  <dcterms:modified xsi:type="dcterms:W3CDTF">2023-03-29T19:21:00Z</dcterms:modified>
</cp:coreProperties>
</file>