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B1DD0E" w14:textId="77777777" w:rsidR="00DA3301" w:rsidRDefault="009C6E35">
      <w:pPr>
        <w:spacing w:before="240" w:after="240" w:line="360" w:lineRule="auto"/>
        <w:jc w:val="both"/>
        <w:rPr>
          <w:rFonts w:ascii="Palatino Linotype" w:eastAsia="Palatino Linotype" w:hAnsi="Palatino Linotype" w:cs="Palatino Linotype"/>
        </w:rPr>
      </w:pPr>
      <w:bookmarkStart w:id="0" w:name="_heading=h.gjdgxs" w:colFirst="0" w:colLast="0"/>
      <w:bookmarkEnd w:id="0"/>
      <w:r>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Estado de México, de fecha</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b/>
        </w:rPr>
        <w:t>dieciocho de mayo del dos mil veintidós</w:t>
      </w:r>
      <w:r>
        <w:rPr>
          <w:rFonts w:ascii="Palatino Linotype" w:eastAsia="Palatino Linotype" w:hAnsi="Palatino Linotype" w:cs="Palatino Linotype"/>
        </w:rPr>
        <w:t>.</w:t>
      </w:r>
    </w:p>
    <w:p w14:paraId="157A47EB" w14:textId="77777777" w:rsidR="00DA3301" w:rsidRDefault="009C6E35">
      <w:pPr>
        <w:spacing w:before="240" w:after="240" w:line="360" w:lineRule="auto"/>
        <w:jc w:val="both"/>
        <w:rPr>
          <w:rFonts w:ascii="Palatino Linotype" w:eastAsia="Palatino Linotype" w:hAnsi="Palatino Linotype" w:cs="Palatino Linotype"/>
          <w:b/>
        </w:rPr>
      </w:pPr>
      <w:bookmarkStart w:id="1" w:name="_heading=h.30j0zll" w:colFirst="0" w:colLast="0"/>
      <w:bookmarkEnd w:id="1"/>
      <w:r>
        <w:rPr>
          <w:rFonts w:ascii="Palatino Linotype" w:eastAsia="Palatino Linotype" w:hAnsi="Palatino Linotype" w:cs="Palatino Linotype"/>
          <w:b/>
        </w:rPr>
        <w:t xml:space="preserve">VISTOS </w:t>
      </w:r>
      <w:r>
        <w:rPr>
          <w:rFonts w:ascii="Palatino Linotype" w:eastAsia="Palatino Linotype" w:hAnsi="Palatino Linotype" w:cs="Palatino Linotype"/>
        </w:rPr>
        <w:t xml:space="preserve">los expedientes relativos a los recursos de revisión: </w:t>
      </w:r>
      <w:r>
        <w:rPr>
          <w:rFonts w:ascii="Palatino Linotype" w:eastAsia="Palatino Linotype" w:hAnsi="Palatino Linotype" w:cs="Palatino Linotype"/>
          <w:b/>
        </w:rPr>
        <w:t>01264/INFOEM/IP/RR/2022, 01266/INFOEM/IP/RR/2022, 01268/INFOEM/IP/RR/2022, 01272/INFOEM/IP/RR/2022, 01274/INFOEM/IP/RR/2022, 01275/INFOEM/IP/RR/2022, 01276/INFOEM/IP/RR/2022, 01283/INFOEM/IP/RR/2022, 01284/INFOEM/IP/RR/2022, 01285/INFOEM/IP/RR/2022, 01286/INFOEM/IP/RR/2022, 01287/INFOEM/IP/RR/2022, 01288/INFOEM/IP/RR/2022, 01289/INFOEM/IP/RR/2022, 01290/INFOEM/IP/RR/2022, 01291/INFOEM/IP/RR/2022, 01292/INFOEM/IP/RR/2022, 01294/INFOEM/IP/RR/2022, 01526/INFOEM/IP/RR/2022, 01529/INFOEM/IP/RR/2022, 01532/INFOEM/IP/RR/2022, 01533/INFOEM/IP/RR/2022, 01534/INFOEM/IP/RR/2022, 01535/INFOEM/IP/RR/2022, 01537/INFOEM/IP/RR/2022, 01539/INFOEM/IP/RR/2022, 01541/INFOEM/IP/RR/2022, 01542/INFOEM/IP/RR/2022, 01543/INFOEM/IP/RR/2022, 01545/INFOEM/IP/RR/2022, 01547/INFOEM/IP/RR/2022 y 01549/INFOEM/IP/RR/2022</w:t>
      </w:r>
      <w:r>
        <w:rPr>
          <w:rFonts w:ascii="Palatino Linotype" w:eastAsia="Palatino Linotype" w:hAnsi="Palatino Linotype" w:cs="Palatino Linotype"/>
        </w:rPr>
        <w:t xml:space="preserve"> interpuestos por </w:t>
      </w:r>
      <w:r>
        <w:rPr>
          <w:rFonts w:ascii="Palatino Linotype" w:eastAsia="Palatino Linotype" w:hAnsi="Palatino Linotype" w:cs="Palatino Linotype"/>
          <w:b/>
        </w:rPr>
        <w:t>una persona de manera anónima,</w:t>
      </w:r>
      <w:r>
        <w:rPr>
          <w:rFonts w:ascii="Palatino Linotype" w:eastAsia="Palatino Linotype" w:hAnsi="Palatino Linotype" w:cs="Palatino Linotype"/>
        </w:rPr>
        <w:t xml:space="preserve"> en lo sucesivo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en contra de la falta de respuesta a las solicitudes de información con números de folio </w:t>
      </w:r>
      <w:r>
        <w:rPr>
          <w:rFonts w:ascii="Palatino Linotype" w:eastAsia="Palatino Linotype" w:hAnsi="Palatino Linotype" w:cs="Palatino Linotype"/>
          <w:b/>
        </w:rPr>
        <w:lastRenderedPageBreak/>
        <w:t xml:space="preserve">00415/METEPEC/IP/2022, 00414/METEPEC/IP/2022, 00413/METEPEC/IP/2022, 00357/METEPEC/IP/2022, 00361/METEPEC/IP/2022, 00362/METEPEC/IP/2022, 00363/METEPEC/IP/2022, 00341/METEPEC/IP/2022, 00342/METEPEC/IP/2022, 00343/METEPEC/IP/2022, 00344/METEPEC/IP/2022, 00346/METEPEC/IP/2022, 00348/METEPEC/IP/2022, 00349/METEPEC/IP/2022, 00353/METEPEC/IP/2022, 00354/METEPEC/IP/2022, 00355/METEPEC/IP/2022, 00340/METEPEC/IP/2022, 00706/METEPEC/IP/2022, 00707/METEPEC/IP/2022, 00713/METEPEC/IP/2022, 00708/METEPEC/IP/2022, 00715/METEPEC/IP/2022, 00717/METEPEC/IP/2022, 00718/METEPEC/IP/2022, 00719/METEPEC/IP/2022, 00722/METEPEC/IP/2022, 00724/METEPEC/IP/2022, 00725/METEPEC/IP/2022, 00726/METEPEC/IP/2022, 00730/METEPEC/IP/2022 y 00731/METEPEC/IP/2022 </w:t>
      </w:r>
      <w:r>
        <w:rPr>
          <w:rFonts w:ascii="Palatino Linotype" w:eastAsia="Palatino Linotype" w:hAnsi="Palatino Linotype" w:cs="Palatino Linotype"/>
        </w:rPr>
        <w:t>respectivamente</w:t>
      </w:r>
      <w:r>
        <w:rPr>
          <w:rFonts w:ascii="Palatino Linotype" w:eastAsia="Palatino Linotype" w:hAnsi="Palatino Linotype" w:cs="Palatino Linotype"/>
          <w:b/>
        </w:rPr>
        <w:t>,</w:t>
      </w:r>
      <w:r>
        <w:rPr>
          <w:rFonts w:ascii="Palatino Linotype" w:eastAsia="Palatino Linotype" w:hAnsi="Palatino Linotype" w:cs="Palatino Linotype"/>
        </w:rPr>
        <w:t xml:space="preserve"> por parte de </w:t>
      </w:r>
      <w:r>
        <w:rPr>
          <w:rFonts w:ascii="Palatino Linotype" w:eastAsia="Palatino Linotype" w:hAnsi="Palatino Linotype" w:cs="Palatino Linotype"/>
          <w:b/>
        </w:rPr>
        <w:t>Ayuntamiento de Metepec</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 siguiente. </w:t>
      </w:r>
    </w:p>
    <w:p w14:paraId="0F25B028" w14:textId="77777777" w:rsidR="00DA3301" w:rsidRDefault="009C6E35">
      <w:pPr>
        <w:numPr>
          <w:ilvl w:val="0"/>
          <w:numId w:val="3"/>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A N T E C E D E N T E S</w:t>
      </w:r>
    </w:p>
    <w:p w14:paraId="33E3A155"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1. Solicitudes de acceso a la información. </w:t>
      </w:r>
      <w:r>
        <w:rPr>
          <w:rFonts w:ascii="Palatino Linotype" w:eastAsia="Palatino Linotype" w:hAnsi="Palatino Linotype" w:cs="Palatino Linotype"/>
        </w:rPr>
        <w:t xml:space="preserve">Con fechas  </w:t>
      </w:r>
      <w:r>
        <w:rPr>
          <w:rFonts w:ascii="Palatino Linotype" w:eastAsia="Palatino Linotype" w:hAnsi="Palatino Linotype" w:cs="Palatino Linotype"/>
          <w:b/>
        </w:rPr>
        <w:t>diez y once de enero de dos mil veintidós</w:t>
      </w:r>
      <w:r>
        <w:rPr>
          <w:rFonts w:ascii="Palatino Linotype" w:eastAsia="Palatino Linotype" w:hAnsi="Palatino Linotype" w:cs="Palatino Linotype"/>
        </w:rPr>
        <w:t xml:space="preserv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formuló solicitudes de acceso a información pública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del Sistema de Acceso a la Información Mexiquense, en adelante </w:t>
      </w:r>
      <w:r>
        <w:rPr>
          <w:rFonts w:ascii="Palatino Linotype" w:eastAsia="Palatino Linotype" w:hAnsi="Palatino Linotype" w:cs="Palatino Linotype"/>
          <w:b/>
        </w:rPr>
        <w:t>SAIMEX,</w:t>
      </w:r>
      <w:r>
        <w:rPr>
          <w:rFonts w:ascii="Palatino Linotype" w:eastAsia="Palatino Linotype" w:hAnsi="Palatino Linotype" w:cs="Palatino Linotype"/>
        </w:rPr>
        <w:t xml:space="preserve"> requiriendo lo siguiente:</w:t>
      </w:r>
    </w:p>
    <w:tbl>
      <w:tblPr>
        <w:tblStyle w:val="a9"/>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2"/>
        <w:gridCol w:w="5769"/>
      </w:tblGrid>
      <w:tr w:rsidR="00DA3301" w14:paraId="322823D1" w14:textId="77777777">
        <w:trPr>
          <w:trHeight w:val="678"/>
        </w:trPr>
        <w:tc>
          <w:tcPr>
            <w:tcW w:w="3582" w:type="dxa"/>
            <w:shd w:val="clear" w:color="auto" w:fill="5B9BD5"/>
          </w:tcPr>
          <w:p w14:paraId="3EB11990" w14:textId="77777777" w:rsidR="00DA3301" w:rsidRDefault="009C6E35" w:rsidP="007F72E2">
            <w:pPr>
              <w:spacing w:before="240" w:after="240"/>
              <w:ind w:right="-72"/>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FOLIO DE LA SOLICITUD</w:t>
            </w:r>
          </w:p>
        </w:tc>
        <w:tc>
          <w:tcPr>
            <w:tcW w:w="5769" w:type="dxa"/>
            <w:shd w:val="clear" w:color="auto" w:fill="5B9BD5"/>
          </w:tcPr>
          <w:p w14:paraId="2B2E816E" w14:textId="77777777" w:rsidR="00DA3301" w:rsidRDefault="009C6E35">
            <w:pPr>
              <w:spacing w:before="240" w:after="240"/>
              <w:jc w:val="center"/>
              <w:rPr>
                <w:rFonts w:ascii="Palatino Linotype" w:eastAsia="Palatino Linotype" w:hAnsi="Palatino Linotype" w:cs="Palatino Linotype"/>
                <w:b/>
                <w:color w:val="FFFFFF"/>
                <w:sz w:val="22"/>
                <w:szCs w:val="22"/>
              </w:rPr>
            </w:pPr>
            <w:r>
              <w:rPr>
                <w:rFonts w:ascii="Palatino Linotype" w:eastAsia="Palatino Linotype" w:hAnsi="Palatino Linotype" w:cs="Palatino Linotype"/>
                <w:b/>
                <w:color w:val="FFFFFF"/>
                <w:sz w:val="22"/>
                <w:szCs w:val="22"/>
              </w:rPr>
              <w:t>CONTENIDO</w:t>
            </w:r>
          </w:p>
        </w:tc>
      </w:tr>
      <w:tr w:rsidR="00DA3301" w14:paraId="1FFEB90E" w14:textId="77777777">
        <w:tc>
          <w:tcPr>
            <w:tcW w:w="3582" w:type="dxa"/>
            <w:vAlign w:val="bottom"/>
          </w:tcPr>
          <w:p w14:paraId="48F2CE02"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00415/METEPEC/IP/2022</w:t>
            </w:r>
          </w:p>
        </w:tc>
        <w:tc>
          <w:tcPr>
            <w:tcW w:w="5769" w:type="dxa"/>
            <w:vAlign w:val="bottom"/>
          </w:tcPr>
          <w:p w14:paraId="25D60EB3" w14:textId="77777777" w:rsidR="00DA3301" w:rsidRDefault="009C6E35">
            <w:pPr>
              <w:spacing w:before="240" w:after="240"/>
              <w:ind w:right="176"/>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“Se solicita copia de todos los oficios firmados por la entonces 5a Regidora Elisa Quijada Badillo del ejercicio 2018.” </w:t>
            </w:r>
            <w:r>
              <w:rPr>
                <w:rFonts w:ascii="Palatino Linotype" w:eastAsia="Palatino Linotype" w:hAnsi="Palatino Linotype" w:cs="Palatino Linotype"/>
                <w:color w:val="000000"/>
                <w:sz w:val="22"/>
                <w:szCs w:val="22"/>
              </w:rPr>
              <w:t>(Sic)</w:t>
            </w:r>
          </w:p>
        </w:tc>
      </w:tr>
      <w:tr w:rsidR="00DA3301" w14:paraId="53516F5F" w14:textId="77777777">
        <w:tc>
          <w:tcPr>
            <w:tcW w:w="3582" w:type="dxa"/>
            <w:vAlign w:val="bottom"/>
          </w:tcPr>
          <w:p w14:paraId="0A0E0144"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00414/METEPEC/IP/2022</w:t>
            </w:r>
          </w:p>
        </w:tc>
        <w:tc>
          <w:tcPr>
            <w:tcW w:w="5769" w:type="dxa"/>
            <w:vAlign w:val="bottom"/>
          </w:tcPr>
          <w:p w14:paraId="56534380"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“Se solicita copia de todos los oficios firmados por la entonces 5a Regidora Elisa Quijada Badillo del ejercicio 2017. ” </w:t>
            </w:r>
            <w:r>
              <w:rPr>
                <w:rFonts w:ascii="Palatino Linotype" w:eastAsia="Palatino Linotype" w:hAnsi="Palatino Linotype" w:cs="Palatino Linotype"/>
                <w:color w:val="000000"/>
                <w:sz w:val="22"/>
                <w:szCs w:val="22"/>
              </w:rPr>
              <w:t>(Sic)</w:t>
            </w:r>
          </w:p>
        </w:tc>
      </w:tr>
      <w:tr w:rsidR="00DA3301" w14:paraId="73C01BC3" w14:textId="77777777">
        <w:tc>
          <w:tcPr>
            <w:tcW w:w="3582" w:type="dxa"/>
            <w:vAlign w:val="bottom"/>
          </w:tcPr>
          <w:p w14:paraId="762A8299"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00413/METEPEC/IP/2022</w:t>
            </w:r>
          </w:p>
        </w:tc>
        <w:tc>
          <w:tcPr>
            <w:tcW w:w="5769" w:type="dxa"/>
            <w:vAlign w:val="bottom"/>
          </w:tcPr>
          <w:p w14:paraId="57E127C9"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“Se solicita copia de todos los oficios firmados por la entonces 5a Regidora Elisa Quijada Badillo del ejercicio 2016. ” </w:t>
            </w:r>
            <w:r>
              <w:rPr>
                <w:rFonts w:ascii="Palatino Linotype" w:eastAsia="Palatino Linotype" w:hAnsi="Palatino Linotype" w:cs="Palatino Linotype"/>
                <w:color w:val="000000"/>
                <w:sz w:val="22"/>
                <w:szCs w:val="22"/>
              </w:rPr>
              <w:t>(Sic)</w:t>
            </w:r>
          </w:p>
        </w:tc>
      </w:tr>
      <w:tr w:rsidR="00DA3301" w14:paraId="2F19B8BE" w14:textId="77777777">
        <w:tc>
          <w:tcPr>
            <w:tcW w:w="3582" w:type="dxa"/>
            <w:vAlign w:val="bottom"/>
          </w:tcPr>
          <w:p w14:paraId="2BF60E90"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00357/METEPEC/IP/2022</w:t>
            </w:r>
          </w:p>
        </w:tc>
        <w:tc>
          <w:tcPr>
            <w:tcW w:w="5769" w:type="dxa"/>
            <w:vAlign w:val="bottom"/>
          </w:tcPr>
          <w:p w14:paraId="19997492"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Unidad de Logística al 10 de enero de 2022. ” </w:t>
            </w:r>
            <w:r>
              <w:rPr>
                <w:rFonts w:ascii="Palatino Linotype" w:eastAsia="Palatino Linotype" w:hAnsi="Palatino Linotype" w:cs="Palatino Linotype"/>
                <w:color w:val="000000"/>
                <w:sz w:val="22"/>
                <w:szCs w:val="22"/>
              </w:rPr>
              <w:t>(Sic)</w:t>
            </w:r>
          </w:p>
        </w:tc>
      </w:tr>
      <w:tr w:rsidR="00DA3301" w14:paraId="2885E6CA" w14:textId="77777777">
        <w:tc>
          <w:tcPr>
            <w:tcW w:w="3582" w:type="dxa"/>
            <w:vAlign w:val="bottom"/>
          </w:tcPr>
          <w:p w14:paraId="08D1113E"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00361/METEPEC/IP/2022</w:t>
            </w:r>
          </w:p>
        </w:tc>
        <w:tc>
          <w:tcPr>
            <w:tcW w:w="5769" w:type="dxa"/>
            <w:vAlign w:val="bottom"/>
          </w:tcPr>
          <w:p w14:paraId="578F1E2F"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Coordinación de Gobierno Digital y Electrónico al 10 de enero de 2022. ” </w:t>
            </w:r>
            <w:r>
              <w:rPr>
                <w:rFonts w:ascii="Palatino Linotype" w:eastAsia="Palatino Linotype" w:hAnsi="Palatino Linotype" w:cs="Palatino Linotype"/>
                <w:color w:val="000000"/>
                <w:sz w:val="22"/>
                <w:szCs w:val="22"/>
              </w:rPr>
              <w:t>(Sic)</w:t>
            </w:r>
          </w:p>
        </w:tc>
      </w:tr>
      <w:tr w:rsidR="00DA3301" w14:paraId="29138D9A" w14:textId="77777777">
        <w:tc>
          <w:tcPr>
            <w:tcW w:w="3582" w:type="dxa"/>
            <w:vAlign w:val="bottom"/>
          </w:tcPr>
          <w:p w14:paraId="33F39492"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00362/METEPEC/IP/2022</w:t>
            </w:r>
          </w:p>
        </w:tc>
        <w:tc>
          <w:tcPr>
            <w:tcW w:w="5769" w:type="dxa"/>
            <w:vAlign w:val="bottom"/>
          </w:tcPr>
          <w:p w14:paraId="22977FEE"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Coordinación de Protección Civil y Bomberos al 10 de enero de 2022. ” </w:t>
            </w:r>
            <w:r>
              <w:rPr>
                <w:rFonts w:ascii="Palatino Linotype" w:eastAsia="Palatino Linotype" w:hAnsi="Palatino Linotype" w:cs="Palatino Linotype"/>
                <w:color w:val="000000"/>
                <w:sz w:val="22"/>
                <w:szCs w:val="22"/>
              </w:rPr>
              <w:t>(Sic)</w:t>
            </w:r>
          </w:p>
        </w:tc>
      </w:tr>
      <w:tr w:rsidR="00DA3301" w14:paraId="137B32B5" w14:textId="77777777">
        <w:tc>
          <w:tcPr>
            <w:tcW w:w="3582" w:type="dxa"/>
            <w:vAlign w:val="bottom"/>
          </w:tcPr>
          <w:p w14:paraId="6E2C1300"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00363/METEPEC/IP/2022</w:t>
            </w:r>
          </w:p>
        </w:tc>
        <w:tc>
          <w:tcPr>
            <w:tcW w:w="5769" w:type="dxa"/>
            <w:vAlign w:val="bottom"/>
          </w:tcPr>
          <w:p w14:paraId="2BE1E0D6"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Coordinación General del Instituto Municipal de Cultura Física y Deporte de Metepec al 10 de enero de 2022” </w:t>
            </w:r>
            <w:r>
              <w:rPr>
                <w:rFonts w:ascii="Palatino Linotype" w:eastAsia="Palatino Linotype" w:hAnsi="Palatino Linotype" w:cs="Palatino Linotype"/>
                <w:color w:val="000000"/>
                <w:sz w:val="22"/>
                <w:szCs w:val="22"/>
              </w:rPr>
              <w:t>(Sic)</w:t>
            </w:r>
          </w:p>
        </w:tc>
      </w:tr>
      <w:tr w:rsidR="00DA3301" w14:paraId="0B791A45" w14:textId="77777777">
        <w:tc>
          <w:tcPr>
            <w:tcW w:w="3582" w:type="dxa"/>
            <w:vAlign w:val="bottom"/>
          </w:tcPr>
          <w:p w14:paraId="78550FBC"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00341/METEPEC/IP/2022</w:t>
            </w:r>
          </w:p>
        </w:tc>
        <w:tc>
          <w:tcPr>
            <w:tcW w:w="5769" w:type="dxa"/>
            <w:vAlign w:val="bottom"/>
          </w:tcPr>
          <w:p w14:paraId="72499229"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Primera, Segunda y Tercera Regiduría al 10 de enero de 2022. ” </w:t>
            </w:r>
            <w:r>
              <w:rPr>
                <w:rFonts w:ascii="Palatino Linotype" w:eastAsia="Palatino Linotype" w:hAnsi="Palatino Linotype" w:cs="Palatino Linotype"/>
                <w:color w:val="000000"/>
                <w:sz w:val="22"/>
                <w:szCs w:val="22"/>
              </w:rPr>
              <w:t>(Sic)</w:t>
            </w:r>
          </w:p>
        </w:tc>
      </w:tr>
      <w:tr w:rsidR="00DA3301" w14:paraId="1359009D" w14:textId="77777777">
        <w:tc>
          <w:tcPr>
            <w:tcW w:w="3582" w:type="dxa"/>
            <w:vAlign w:val="bottom"/>
          </w:tcPr>
          <w:p w14:paraId="3FF187C8"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00342/METEPEC/IP/2022</w:t>
            </w:r>
          </w:p>
        </w:tc>
        <w:tc>
          <w:tcPr>
            <w:tcW w:w="5769" w:type="dxa"/>
            <w:vAlign w:val="bottom"/>
          </w:tcPr>
          <w:p w14:paraId="2FF2DEC5"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Secretaría del Ayuntamiento al 10 de enero de 2022” </w:t>
            </w:r>
            <w:r>
              <w:rPr>
                <w:rFonts w:ascii="Palatino Linotype" w:eastAsia="Palatino Linotype" w:hAnsi="Palatino Linotype" w:cs="Palatino Linotype"/>
                <w:color w:val="000000"/>
                <w:sz w:val="22"/>
                <w:szCs w:val="22"/>
              </w:rPr>
              <w:t>(Sic)</w:t>
            </w:r>
          </w:p>
        </w:tc>
      </w:tr>
      <w:tr w:rsidR="00DA3301" w14:paraId="44C789A8" w14:textId="77777777">
        <w:tc>
          <w:tcPr>
            <w:tcW w:w="3582" w:type="dxa"/>
            <w:vAlign w:val="bottom"/>
          </w:tcPr>
          <w:p w14:paraId="587940BB"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00343/METEPEC/IP/2022</w:t>
            </w:r>
            <w:bookmarkStart w:id="2" w:name="_GoBack"/>
            <w:bookmarkEnd w:id="2"/>
          </w:p>
        </w:tc>
        <w:tc>
          <w:tcPr>
            <w:tcW w:w="5769" w:type="dxa"/>
            <w:vAlign w:val="bottom"/>
          </w:tcPr>
          <w:p w14:paraId="3EB51A87"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Contraloría Municipal al 10 de enero de 2022. ” </w:t>
            </w:r>
            <w:r>
              <w:rPr>
                <w:rFonts w:ascii="Palatino Linotype" w:eastAsia="Palatino Linotype" w:hAnsi="Palatino Linotype" w:cs="Palatino Linotype"/>
                <w:color w:val="000000"/>
                <w:sz w:val="22"/>
                <w:szCs w:val="22"/>
              </w:rPr>
              <w:t>(Sic)</w:t>
            </w:r>
          </w:p>
        </w:tc>
      </w:tr>
      <w:tr w:rsidR="00DA3301" w14:paraId="4DC10584" w14:textId="77777777">
        <w:tc>
          <w:tcPr>
            <w:tcW w:w="3582" w:type="dxa"/>
            <w:vAlign w:val="bottom"/>
          </w:tcPr>
          <w:p w14:paraId="35F8B8FD"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00344/METEPEC/IP/2022</w:t>
            </w:r>
          </w:p>
        </w:tc>
        <w:tc>
          <w:tcPr>
            <w:tcW w:w="5769" w:type="dxa"/>
            <w:vAlign w:val="bottom"/>
          </w:tcPr>
          <w:p w14:paraId="21DD9C47"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Tesorería Municipal al 10 de enero de 2022. ” </w:t>
            </w:r>
            <w:r>
              <w:rPr>
                <w:rFonts w:ascii="Palatino Linotype" w:eastAsia="Palatino Linotype" w:hAnsi="Palatino Linotype" w:cs="Palatino Linotype"/>
                <w:color w:val="000000"/>
                <w:sz w:val="22"/>
                <w:szCs w:val="22"/>
              </w:rPr>
              <w:t>(Sic)</w:t>
            </w:r>
          </w:p>
        </w:tc>
      </w:tr>
      <w:tr w:rsidR="00DA3301" w14:paraId="76509A07" w14:textId="77777777">
        <w:tc>
          <w:tcPr>
            <w:tcW w:w="3582" w:type="dxa"/>
            <w:vAlign w:val="bottom"/>
          </w:tcPr>
          <w:p w14:paraId="00FD7BDD"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00346/METEPEC/IP/2022</w:t>
            </w:r>
          </w:p>
        </w:tc>
        <w:tc>
          <w:tcPr>
            <w:tcW w:w="5769" w:type="dxa"/>
            <w:vAlign w:val="bottom"/>
          </w:tcPr>
          <w:p w14:paraId="178577C6"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Dirección de Administración al 10 de enero de 2022. ” </w:t>
            </w:r>
            <w:r>
              <w:rPr>
                <w:rFonts w:ascii="Palatino Linotype" w:eastAsia="Palatino Linotype" w:hAnsi="Palatino Linotype" w:cs="Palatino Linotype"/>
                <w:color w:val="000000"/>
                <w:sz w:val="22"/>
                <w:szCs w:val="22"/>
              </w:rPr>
              <w:t>(Sic)</w:t>
            </w:r>
          </w:p>
        </w:tc>
      </w:tr>
      <w:tr w:rsidR="00DA3301" w14:paraId="50D8BCA4" w14:textId="77777777">
        <w:tc>
          <w:tcPr>
            <w:tcW w:w="3582" w:type="dxa"/>
            <w:vAlign w:val="bottom"/>
          </w:tcPr>
          <w:p w14:paraId="0D32059B"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00348/METEPEC/IP/2022</w:t>
            </w:r>
          </w:p>
        </w:tc>
        <w:tc>
          <w:tcPr>
            <w:tcW w:w="5769" w:type="dxa"/>
            <w:vAlign w:val="bottom"/>
          </w:tcPr>
          <w:p w14:paraId="530DBB56"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Dirección de Desarrollo Social al 10 de enero de 2022” </w:t>
            </w:r>
            <w:r>
              <w:rPr>
                <w:rFonts w:ascii="Palatino Linotype" w:eastAsia="Palatino Linotype" w:hAnsi="Palatino Linotype" w:cs="Palatino Linotype"/>
                <w:color w:val="000000"/>
                <w:sz w:val="22"/>
                <w:szCs w:val="22"/>
              </w:rPr>
              <w:t>(Sic)</w:t>
            </w:r>
          </w:p>
        </w:tc>
      </w:tr>
      <w:tr w:rsidR="00DA3301" w14:paraId="5B093CD2" w14:textId="77777777">
        <w:tc>
          <w:tcPr>
            <w:tcW w:w="3582" w:type="dxa"/>
            <w:vAlign w:val="bottom"/>
          </w:tcPr>
          <w:p w14:paraId="25C9B6B9"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00349/METEPEC/IP/2022</w:t>
            </w:r>
          </w:p>
        </w:tc>
        <w:tc>
          <w:tcPr>
            <w:tcW w:w="5769" w:type="dxa"/>
            <w:vAlign w:val="bottom"/>
          </w:tcPr>
          <w:p w14:paraId="46739433"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Desarrollo Económico, Turístico y Artesanal al 10 de enero de 2022.</w:t>
            </w:r>
          </w:p>
        </w:tc>
      </w:tr>
      <w:tr w:rsidR="00DA3301" w14:paraId="009FC870" w14:textId="77777777">
        <w:tc>
          <w:tcPr>
            <w:tcW w:w="3582" w:type="dxa"/>
            <w:vAlign w:val="bottom"/>
          </w:tcPr>
          <w:p w14:paraId="0C6F2B65"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00353/METEPEC/IP/2022</w:t>
            </w:r>
          </w:p>
        </w:tc>
        <w:tc>
          <w:tcPr>
            <w:tcW w:w="5769" w:type="dxa"/>
            <w:vAlign w:val="bottom"/>
          </w:tcPr>
          <w:p w14:paraId="1FE072C6"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Dirección de Gobierno por Resultados al 10 de enero de 2022. ” </w:t>
            </w:r>
            <w:r>
              <w:rPr>
                <w:rFonts w:ascii="Palatino Linotype" w:eastAsia="Palatino Linotype" w:hAnsi="Palatino Linotype" w:cs="Palatino Linotype"/>
                <w:color w:val="000000"/>
                <w:sz w:val="22"/>
                <w:szCs w:val="22"/>
              </w:rPr>
              <w:t>(Sic)</w:t>
            </w:r>
          </w:p>
        </w:tc>
      </w:tr>
      <w:tr w:rsidR="00DA3301" w14:paraId="647D637F" w14:textId="77777777">
        <w:tc>
          <w:tcPr>
            <w:tcW w:w="3582" w:type="dxa"/>
            <w:vAlign w:val="bottom"/>
          </w:tcPr>
          <w:p w14:paraId="0CD90E23"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00354/METEPEC/IP/2022</w:t>
            </w:r>
          </w:p>
        </w:tc>
        <w:tc>
          <w:tcPr>
            <w:tcW w:w="5769" w:type="dxa"/>
            <w:vAlign w:val="bottom"/>
          </w:tcPr>
          <w:p w14:paraId="7E0016F3"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i/>
                <w:color w:val="000000"/>
                <w:sz w:val="22"/>
                <w:szCs w:val="22"/>
              </w:rPr>
              <w:br/>
              <w:t xml:space="preserve">“Solicito copia de todos los oficios generados y recibidos por la Dirección de Medio Ambiente al 10 de enero de 2022. ” </w:t>
            </w:r>
            <w:r>
              <w:rPr>
                <w:rFonts w:ascii="Palatino Linotype" w:eastAsia="Palatino Linotype" w:hAnsi="Palatino Linotype" w:cs="Palatino Linotype"/>
                <w:color w:val="000000"/>
                <w:sz w:val="22"/>
                <w:szCs w:val="22"/>
              </w:rPr>
              <w:t>(Sic)</w:t>
            </w:r>
          </w:p>
        </w:tc>
      </w:tr>
      <w:tr w:rsidR="00DA3301" w14:paraId="31B8275B" w14:textId="77777777">
        <w:tc>
          <w:tcPr>
            <w:tcW w:w="3582" w:type="dxa"/>
            <w:vAlign w:val="bottom"/>
          </w:tcPr>
          <w:p w14:paraId="395EE112"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00355/METEPEC/IP/2022</w:t>
            </w:r>
          </w:p>
        </w:tc>
        <w:tc>
          <w:tcPr>
            <w:tcW w:w="5769" w:type="dxa"/>
            <w:vAlign w:val="bottom"/>
          </w:tcPr>
          <w:p w14:paraId="07ED3287"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br/>
              <w:t xml:space="preserve">“Solicito copia de todos los oficios generados y recibidos por la Dirección de Seguridad Pública y Tránsito al 10 de enero de 2022. ” </w:t>
            </w:r>
            <w:r>
              <w:rPr>
                <w:rFonts w:ascii="Palatino Linotype" w:eastAsia="Palatino Linotype" w:hAnsi="Palatino Linotype" w:cs="Palatino Linotype"/>
                <w:color w:val="000000"/>
                <w:sz w:val="22"/>
                <w:szCs w:val="22"/>
              </w:rPr>
              <w:t>(Sic)</w:t>
            </w:r>
          </w:p>
        </w:tc>
      </w:tr>
      <w:tr w:rsidR="00DA3301" w14:paraId="2092A659" w14:textId="77777777">
        <w:tc>
          <w:tcPr>
            <w:tcW w:w="3582" w:type="dxa"/>
            <w:vAlign w:val="bottom"/>
          </w:tcPr>
          <w:p w14:paraId="00CA9E63"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00340/METEPEC/IP/2022</w:t>
            </w:r>
          </w:p>
        </w:tc>
        <w:tc>
          <w:tcPr>
            <w:tcW w:w="5769" w:type="dxa"/>
            <w:vAlign w:val="bottom"/>
          </w:tcPr>
          <w:p w14:paraId="782AE4A6"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la Sindicatura Municipal al 10 de enero de 2022. ” </w:t>
            </w:r>
            <w:r>
              <w:rPr>
                <w:rFonts w:ascii="Palatino Linotype" w:eastAsia="Palatino Linotype" w:hAnsi="Palatino Linotype" w:cs="Palatino Linotype"/>
                <w:color w:val="000000"/>
                <w:sz w:val="22"/>
                <w:szCs w:val="22"/>
              </w:rPr>
              <w:t>(Sic)</w:t>
            </w:r>
          </w:p>
        </w:tc>
      </w:tr>
      <w:tr w:rsidR="00DA3301" w14:paraId="5C3ACEFA" w14:textId="77777777">
        <w:tc>
          <w:tcPr>
            <w:tcW w:w="3582" w:type="dxa"/>
            <w:vAlign w:val="bottom"/>
          </w:tcPr>
          <w:p w14:paraId="350474E2"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00706/METEPEC/IP/2022</w:t>
            </w:r>
          </w:p>
        </w:tc>
        <w:tc>
          <w:tcPr>
            <w:tcW w:w="5769" w:type="dxa"/>
            <w:vAlign w:val="bottom"/>
          </w:tcPr>
          <w:p w14:paraId="0704BFB2"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“Solicito copia de todos los oficios generados y recibidos por el Presidente Municipal el 11 de enero de 2022. ” </w:t>
            </w:r>
            <w:r>
              <w:rPr>
                <w:rFonts w:ascii="Palatino Linotype" w:eastAsia="Palatino Linotype" w:hAnsi="Palatino Linotype" w:cs="Palatino Linotype"/>
                <w:color w:val="000000"/>
                <w:sz w:val="22"/>
                <w:szCs w:val="22"/>
              </w:rPr>
              <w:t>(Sic)</w:t>
            </w:r>
          </w:p>
        </w:tc>
      </w:tr>
      <w:tr w:rsidR="00DA3301" w14:paraId="1B8CAB58" w14:textId="77777777">
        <w:tc>
          <w:tcPr>
            <w:tcW w:w="3582" w:type="dxa"/>
            <w:vAlign w:val="bottom"/>
          </w:tcPr>
          <w:p w14:paraId="57233951"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00713/METEPEC/IP/2022</w:t>
            </w:r>
          </w:p>
        </w:tc>
        <w:tc>
          <w:tcPr>
            <w:tcW w:w="5769" w:type="dxa"/>
            <w:vAlign w:val="bottom"/>
          </w:tcPr>
          <w:p w14:paraId="7D5AB2DC"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i/>
                <w:color w:val="000000"/>
                <w:sz w:val="22"/>
                <w:szCs w:val="22"/>
              </w:rPr>
              <w:br/>
              <w:t>“Solicito copia de todos los oficios generados y recibidos por la Tesorería Municipal el 11 de enero de 2022.</w:t>
            </w:r>
          </w:p>
        </w:tc>
      </w:tr>
      <w:tr w:rsidR="00DA3301" w14:paraId="512CC319" w14:textId="77777777">
        <w:tc>
          <w:tcPr>
            <w:tcW w:w="3582" w:type="dxa"/>
            <w:vAlign w:val="bottom"/>
          </w:tcPr>
          <w:p w14:paraId="7E960789"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sz w:val="22"/>
                <w:szCs w:val="22"/>
              </w:rPr>
              <w:t>00707/METEPEC/IP/2022</w:t>
            </w:r>
          </w:p>
        </w:tc>
        <w:tc>
          <w:tcPr>
            <w:tcW w:w="5769" w:type="dxa"/>
            <w:vAlign w:val="bottom"/>
          </w:tcPr>
          <w:p w14:paraId="5CAC184A"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sz w:val="22"/>
                <w:szCs w:val="22"/>
              </w:rPr>
              <w:t>Solicito copia de todos los oficios generados y recibidos por la Secretaría Particular de Presidencia el 11 de enero de 2022.</w:t>
            </w:r>
          </w:p>
        </w:tc>
      </w:tr>
      <w:tr w:rsidR="00DA3301" w14:paraId="15465697" w14:textId="77777777">
        <w:tc>
          <w:tcPr>
            <w:tcW w:w="3582" w:type="dxa"/>
            <w:vAlign w:val="bottom"/>
          </w:tcPr>
          <w:p w14:paraId="3D45655B"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00708/METEPEC/IP/2022</w:t>
            </w:r>
          </w:p>
        </w:tc>
        <w:tc>
          <w:tcPr>
            <w:tcW w:w="5769" w:type="dxa"/>
            <w:vAlign w:val="bottom"/>
          </w:tcPr>
          <w:p w14:paraId="2A4E34A5"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Oficina de Presidencia el 11 de enero de 2022.</w:t>
            </w:r>
          </w:p>
        </w:tc>
      </w:tr>
      <w:tr w:rsidR="00DA3301" w14:paraId="32EB08AF" w14:textId="77777777">
        <w:tc>
          <w:tcPr>
            <w:tcW w:w="3582" w:type="dxa"/>
            <w:vAlign w:val="bottom"/>
          </w:tcPr>
          <w:p w14:paraId="46749E9F"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00715/METEPEC/IP/2022</w:t>
            </w:r>
          </w:p>
        </w:tc>
        <w:tc>
          <w:tcPr>
            <w:tcW w:w="5769" w:type="dxa"/>
            <w:vAlign w:val="bottom"/>
          </w:tcPr>
          <w:p w14:paraId="02F60358"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Administración el 11 de enero de 2022.</w:t>
            </w:r>
          </w:p>
        </w:tc>
      </w:tr>
      <w:tr w:rsidR="00DA3301" w14:paraId="22792ECD" w14:textId="77777777">
        <w:tc>
          <w:tcPr>
            <w:tcW w:w="3582" w:type="dxa"/>
            <w:vAlign w:val="bottom"/>
          </w:tcPr>
          <w:p w14:paraId="7DB8E083"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00717/METEPEC/IP/2022</w:t>
            </w:r>
          </w:p>
        </w:tc>
        <w:tc>
          <w:tcPr>
            <w:tcW w:w="5769" w:type="dxa"/>
            <w:vAlign w:val="bottom"/>
          </w:tcPr>
          <w:p w14:paraId="388A089D"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Desarrollo Social el 11 de enero de 2022.</w:t>
            </w:r>
          </w:p>
        </w:tc>
      </w:tr>
      <w:tr w:rsidR="00DA3301" w14:paraId="585DA169" w14:textId="77777777">
        <w:tc>
          <w:tcPr>
            <w:tcW w:w="3582" w:type="dxa"/>
            <w:vAlign w:val="bottom"/>
          </w:tcPr>
          <w:p w14:paraId="1E05380E"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00718/METEPEC/IP/2022</w:t>
            </w:r>
          </w:p>
        </w:tc>
        <w:tc>
          <w:tcPr>
            <w:tcW w:w="5769" w:type="dxa"/>
            <w:vAlign w:val="bottom"/>
          </w:tcPr>
          <w:p w14:paraId="494432CC"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Desarrollo Económico, Turístico y Artesanal el 11 de enero de 2022.</w:t>
            </w:r>
          </w:p>
        </w:tc>
      </w:tr>
      <w:tr w:rsidR="00DA3301" w14:paraId="210BF05F" w14:textId="77777777">
        <w:tc>
          <w:tcPr>
            <w:tcW w:w="3582" w:type="dxa"/>
            <w:vAlign w:val="bottom"/>
          </w:tcPr>
          <w:p w14:paraId="1B06292A"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00719/METEPEC/IP/2022</w:t>
            </w:r>
          </w:p>
        </w:tc>
        <w:tc>
          <w:tcPr>
            <w:tcW w:w="5769" w:type="dxa"/>
            <w:vAlign w:val="bottom"/>
          </w:tcPr>
          <w:p w14:paraId="5665F8F0"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Desarrollo Urbano, Metropolitano y Obras Públicas el 11 de enero de 2022.</w:t>
            </w:r>
          </w:p>
        </w:tc>
      </w:tr>
      <w:tr w:rsidR="00DA3301" w14:paraId="7171F49B" w14:textId="77777777">
        <w:tc>
          <w:tcPr>
            <w:tcW w:w="3582" w:type="dxa"/>
            <w:vAlign w:val="bottom"/>
          </w:tcPr>
          <w:p w14:paraId="6211368A"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00722/METEPEC/IP/2022</w:t>
            </w:r>
          </w:p>
        </w:tc>
        <w:tc>
          <w:tcPr>
            <w:tcW w:w="5769" w:type="dxa"/>
            <w:vAlign w:val="bottom"/>
          </w:tcPr>
          <w:p w14:paraId="496637A8"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Gobierno por Resultados el 11 de enero de 2022.</w:t>
            </w:r>
          </w:p>
        </w:tc>
      </w:tr>
      <w:tr w:rsidR="00DA3301" w14:paraId="55E9E8F0" w14:textId="77777777">
        <w:tc>
          <w:tcPr>
            <w:tcW w:w="3582" w:type="dxa"/>
            <w:vAlign w:val="bottom"/>
          </w:tcPr>
          <w:p w14:paraId="3BC1D093"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00724/METEPEC/IP/2022</w:t>
            </w:r>
          </w:p>
        </w:tc>
        <w:tc>
          <w:tcPr>
            <w:tcW w:w="5769" w:type="dxa"/>
            <w:vAlign w:val="bottom"/>
          </w:tcPr>
          <w:p w14:paraId="156B7165"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Seguridad Pública y Tránsito el 11 de enero de 2022.</w:t>
            </w:r>
          </w:p>
        </w:tc>
      </w:tr>
      <w:tr w:rsidR="00DA3301" w14:paraId="7B9D630D" w14:textId="77777777">
        <w:tc>
          <w:tcPr>
            <w:tcW w:w="3582" w:type="dxa"/>
            <w:vAlign w:val="bottom"/>
          </w:tcPr>
          <w:p w14:paraId="099A1057"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00725/METEPEC/IP/2022</w:t>
            </w:r>
          </w:p>
        </w:tc>
        <w:tc>
          <w:tcPr>
            <w:tcW w:w="5769" w:type="dxa"/>
            <w:vAlign w:val="bottom"/>
          </w:tcPr>
          <w:p w14:paraId="76718237"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Dirección de Servicios Públicos el 11 de enero de 2022.</w:t>
            </w:r>
          </w:p>
        </w:tc>
      </w:tr>
      <w:tr w:rsidR="00DA3301" w14:paraId="551B3D19" w14:textId="77777777">
        <w:tc>
          <w:tcPr>
            <w:tcW w:w="3582" w:type="dxa"/>
            <w:vAlign w:val="bottom"/>
          </w:tcPr>
          <w:p w14:paraId="5FEDD94A"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00726/METEPEC/IP/2022</w:t>
            </w:r>
          </w:p>
        </w:tc>
        <w:tc>
          <w:tcPr>
            <w:tcW w:w="5769" w:type="dxa"/>
            <w:vAlign w:val="bottom"/>
          </w:tcPr>
          <w:p w14:paraId="42B5D78E"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Unidad de Logística el 11 de enero de 2022.</w:t>
            </w:r>
          </w:p>
        </w:tc>
      </w:tr>
      <w:tr w:rsidR="00DA3301" w14:paraId="4E70638E" w14:textId="77777777">
        <w:tc>
          <w:tcPr>
            <w:tcW w:w="3582" w:type="dxa"/>
            <w:vAlign w:val="bottom"/>
          </w:tcPr>
          <w:p w14:paraId="1103D21C"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00730/METEPEC/IP/2022</w:t>
            </w:r>
          </w:p>
        </w:tc>
        <w:tc>
          <w:tcPr>
            <w:tcW w:w="5769" w:type="dxa"/>
            <w:vAlign w:val="bottom"/>
          </w:tcPr>
          <w:p w14:paraId="5AA03078"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Coordinación de Gobierno Digital y Electrónico el 11 de enero de 2022.</w:t>
            </w:r>
          </w:p>
        </w:tc>
      </w:tr>
      <w:tr w:rsidR="00DA3301" w14:paraId="30F04048" w14:textId="77777777">
        <w:tc>
          <w:tcPr>
            <w:tcW w:w="3582" w:type="dxa"/>
            <w:vAlign w:val="bottom"/>
          </w:tcPr>
          <w:p w14:paraId="48A81102" w14:textId="77777777" w:rsidR="00DA3301" w:rsidRDefault="009C6E35" w:rsidP="007F72E2">
            <w:pPr>
              <w:spacing w:before="240" w:after="240"/>
              <w:ind w:right="-72"/>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00731/METEPEC/IP/2022</w:t>
            </w:r>
          </w:p>
        </w:tc>
        <w:tc>
          <w:tcPr>
            <w:tcW w:w="5769" w:type="dxa"/>
            <w:vAlign w:val="bottom"/>
          </w:tcPr>
          <w:p w14:paraId="72A14C12" w14:textId="77777777" w:rsidR="00DA3301" w:rsidRDefault="009C6E35">
            <w:pPr>
              <w:spacing w:before="240" w:after="240"/>
              <w:ind w:right="17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“Solicito copia de todos los oficios generados y recibidos por la Coordinación de Protección Civil y Bomberos el 11 de enero de 2022.</w:t>
            </w:r>
          </w:p>
        </w:tc>
      </w:tr>
    </w:tbl>
    <w:p w14:paraId="0BDED9CF" w14:textId="77777777" w:rsidR="00DA3301" w:rsidRDefault="00DA3301">
      <w:pPr>
        <w:pBdr>
          <w:top w:val="nil"/>
          <w:left w:val="nil"/>
          <w:bottom w:val="nil"/>
          <w:right w:val="nil"/>
          <w:between w:val="nil"/>
        </w:pBdr>
        <w:spacing w:before="240" w:after="240"/>
        <w:ind w:right="900"/>
        <w:jc w:val="both"/>
        <w:rPr>
          <w:rFonts w:ascii="Palatino Linotype" w:eastAsia="Palatino Linotype" w:hAnsi="Palatino Linotype" w:cs="Palatino Linotype"/>
          <w:color w:val="000000"/>
          <w:sz w:val="22"/>
          <w:szCs w:val="22"/>
        </w:rPr>
      </w:pPr>
    </w:p>
    <w:p w14:paraId="7F5690E5"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Modalidad elegida para la entrega de la información: </w:t>
      </w:r>
      <w:r>
        <w:rPr>
          <w:rFonts w:ascii="Palatino Linotype" w:eastAsia="Palatino Linotype" w:hAnsi="Palatino Linotype" w:cs="Palatino Linotype"/>
        </w:rPr>
        <w:t>a través del SAIMEX.</w:t>
      </w:r>
    </w:p>
    <w:p w14:paraId="370191F6"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Prórrogas. </w:t>
      </w:r>
      <w:r>
        <w:rPr>
          <w:rFonts w:ascii="Palatino Linotype" w:eastAsia="Palatino Linotype" w:hAnsi="Palatino Linotype" w:cs="Palatino Linotype"/>
        </w:rPr>
        <w:t xml:space="preserve">Con fecha veintinueve de enero de dos mil veintidós,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solicitó prórrogas a las referidas solicitudes de información </w:t>
      </w:r>
    </w:p>
    <w:p w14:paraId="52494C14"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3. Respuestas. </w:t>
      </w:r>
      <w:r>
        <w:rPr>
          <w:rFonts w:ascii="Palatino Linotype" w:eastAsia="Palatino Linotype" w:hAnsi="Palatino Linotype" w:cs="Palatino Linotype"/>
        </w:rPr>
        <w:t xml:space="preserve">De las constancias que obran en SAIMEX, se observa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emitió respuestas a las solicitudes de información formuladas por la parte </w:t>
      </w:r>
      <w:r>
        <w:rPr>
          <w:rFonts w:ascii="Palatino Linotype" w:eastAsia="Palatino Linotype" w:hAnsi="Palatino Linotype" w:cs="Palatino Linotype"/>
          <w:b/>
        </w:rPr>
        <w:t>RECURRENTE.</w:t>
      </w:r>
    </w:p>
    <w:p w14:paraId="60F8809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Interposición de los recursos de revisión. </w:t>
      </w:r>
      <w:r>
        <w:rPr>
          <w:rFonts w:ascii="Palatino Linotype" w:eastAsia="Palatino Linotype" w:hAnsi="Palatino Linotype" w:cs="Palatino Linotype"/>
        </w:rPr>
        <w:t xml:space="preserve">Inconforme la parte solicitante con la falta de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interpuso recursos de revisión a través de SAIMEX en fecha </w:t>
      </w:r>
      <w:r>
        <w:rPr>
          <w:rFonts w:ascii="Palatino Linotype" w:eastAsia="Palatino Linotype" w:hAnsi="Palatino Linotype" w:cs="Palatino Linotype"/>
          <w:b/>
        </w:rPr>
        <w:t>veintitrés de febrero de dos mil veintidós</w:t>
      </w:r>
      <w:r>
        <w:rPr>
          <w:rFonts w:ascii="Palatino Linotype" w:eastAsia="Palatino Linotype" w:hAnsi="Palatino Linotype" w:cs="Palatino Linotype"/>
        </w:rPr>
        <w:t xml:space="preserve">, expresando de forma idéntica en los recursos </w:t>
      </w:r>
      <w:r>
        <w:rPr>
          <w:rFonts w:ascii="Palatino Linotype" w:eastAsia="Palatino Linotype" w:hAnsi="Palatino Linotype" w:cs="Palatino Linotype"/>
          <w:b/>
        </w:rPr>
        <w:t xml:space="preserve">01264/INFOEM/IP/RR/2022, </w:t>
      </w:r>
      <w:r>
        <w:rPr>
          <w:rFonts w:ascii="Palatino Linotype" w:eastAsia="Palatino Linotype" w:hAnsi="Palatino Linotype" w:cs="Palatino Linotype"/>
          <w:b/>
        </w:rPr>
        <w:lastRenderedPageBreak/>
        <w:t>01266/INFOEM/IP/RR/2022, 01268/INFOEM/IP/RR/2022, 01272/INFOEM/IP/RR/2022, 01274/INFOEM/IP/RR/2022, 01275/INFOEM/IP/RR/2022, 01276/INFOEM/IP/RR/2022, 01283/INFOEM/IP/RR/2022, 01284/INFOEM/IP/RR/2022, 01285/INFOEM/IP/RR/2022, 01286/INFOEM/IP/RR/2022, 01287/INFOEM/IP/RR/2022, 01288/INFOEM/IP/RR/2022, 01289/INFOEM/IP/RR/2022, 01290/INFOEM/IP/RR/2022, 01291/INFOEM/IP/RR/2022, 01292/INFOEM/IP/RR/2022, 01294/INFOEM/IP/RR/2022, 01526/INFOEM/IP/RR/2022, 01529/INFOEM/IP/RR/2022, 01532/INFOEM/IP/RR/2022, 01533/INFOEM/IP/RR/2022, 01534/INFOEM/IP/RR/2022, 01535/INFOEM/IP/RR/2022, 01537/INFOEM/IP/RR/2022, 01539/INFOEM/IP/RR/2022, 01541/INFOEM/IP/RR/2022, 01542/INFOEM/IP/RR/2022, 01543/INFOEM/IP/RR/2022, 01545/INFOEM/IP/RR/2022, 01547/INFOEM/IP/RR/2022 y 01549/INFOEM/IP/RR/2022</w:t>
      </w:r>
      <w:r>
        <w:rPr>
          <w:rFonts w:ascii="Palatino Linotype" w:eastAsia="Palatino Linotype" w:hAnsi="Palatino Linotype" w:cs="Palatino Linotype"/>
        </w:rPr>
        <w:t>, lo siguiente:</w:t>
      </w:r>
    </w:p>
    <w:p w14:paraId="38692AB2" w14:textId="77777777" w:rsidR="00DA3301" w:rsidRDefault="009C6E35">
      <w:pPr>
        <w:spacing w:line="360" w:lineRule="auto"/>
        <w:rPr>
          <w:rFonts w:ascii="Palatino Linotype" w:eastAsia="Palatino Linotype" w:hAnsi="Palatino Linotype" w:cs="Palatino Linotype"/>
          <w:b/>
        </w:rPr>
      </w:pPr>
      <w:r>
        <w:rPr>
          <w:rFonts w:ascii="Palatino Linotype" w:eastAsia="Palatino Linotype" w:hAnsi="Palatino Linotype" w:cs="Palatino Linotype"/>
          <w:b/>
        </w:rPr>
        <w:t>a) Acto impugnado.</w:t>
      </w:r>
    </w:p>
    <w:p w14:paraId="3597B758" w14:textId="77777777" w:rsidR="00DA3301" w:rsidRDefault="009C6E35">
      <w:pPr>
        <w:pBdr>
          <w:top w:val="nil"/>
          <w:left w:val="nil"/>
          <w:bottom w:val="nil"/>
          <w:right w:val="nil"/>
          <w:between w:val="nil"/>
        </w:pBdr>
        <w:spacing w:before="240" w:after="240"/>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u w:val="single"/>
        </w:rPr>
        <w:t>La falta de respuesta del sujeto obligado.”</w:t>
      </w:r>
      <w:r>
        <w:rPr>
          <w:rFonts w:ascii="Palatino Linotype" w:eastAsia="Palatino Linotype" w:hAnsi="Palatino Linotype" w:cs="Palatino Linotype"/>
          <w:i/>
          <w:color w:val="000000"/>
          <w:sz w:val="22"/>
          <w:szCs w:val="22"/>
        </w:rPr>
        <w:t xml:space="preserve"> (Sic)</w:t>
      </w:r>
    </w:p>
    <w:p w14:paraId="18618C27" w14:textId="77777777" w:rsidR="00DA3301" w:rsidRDefault="009C6E35">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b) Motivos de inconformidad.</w:t>
      </w:r>
    </w:p>
    <w:p w14:paraId="714A7E32" w14:textId="77777777" w:rsidR="00DA3301" w:rsidRDefault="009C6E35">
      <w:pPr>
        <w:pBdr>
          <w:top w:val="nil"/>
          <w:left w:val="nil"/>
          <w:bottom w:val="nil"/>
          <w:right w:val="nil"/>
          <w:between w:val="nil"/>
        </w:pBdr>
        <w:spacing w:before="240" w:after="240" w:line="276" w:lineRule="auto"/>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“La </w:t>
      </w:r>
      <w:r>
        <w:rPr>
          <w:rFonts w:ascii="Palatino Linotype" w:eastAsia="Palatino Linotype" w:hAnsi="Palatino Linotype" w:cs="Palatino Linotype"/>
          <w:b/>
          <w:i/>
          <w:color w:val="000000"/>
          <w:sz w:val="22"/>
          <w:szCs w:val="22"/>
        </w:rPr>
        <w:t>respuesta proporcionada por el sujeto obligado está repleta de deficiencias al incumplir con diversas disposiciones explícitamente señaladas por la Ley de Transparencia y Acceso a la Información Pública</w:t>
      </w:r>
      <w:r>
        <w:rPr>
          <w:rFonts w:ascii="Palatino Linotype" w:eastAsia="Palatino Linotype" w:hAnsi="Palatino Linotype" w:cs="Palatino Linotype"/>
          <w:i/>
          <w:color w:val="000000"/>
          <w:sz w:val="22"/>
          <w:szCs w:val="22"/>
        </w:rPr>
        <w:t xml:space="preserve">. De conformidad con el artículo 6º, Apartado A, fracción I, en la interpretación </w:t>
      </w:r>
      <w:r>
        <w:rPr>
          <w:rFonts w:ascii="Palatino Linotype" w:eastAsia="Palatino Linotype" w:hAnsi="Palatino Linotype" w:cs="Palatino Linotype"/>
          <w:i/>
          <w:color w:val="000000"/>
          <w:sz w:val="22"/>
          <w:szCs w:val="22"/>
        </w:rPr>
        <w:lastRenderedPageBreak/>
        <w:t xml:space="preserve">del derecho de acceso a la información pública deberá prevalecer el principio de máxima publicidad, es decir, que toda la información en posesión de los sujetos obligados será pública, completa, oportuna y accesible, sujeta a un claro régimen de excepciones que deberán estar definidas y ser además legítimas y estrictamente necesarias en una sociedad democrática. Por lo tanto, se arriba que el derecho de acceso a la información se garantiza mediante el manejo y la conservación del patrimonio documental para posteriormente facilitar el acceso a la información en posesión de sujetos obligados. En relación directa con ello, resultan relevantes los artículos 4, 12, 18, 19 y 24 último párrafo de la Ley de Transparencia y Acceso a la Información Pública del Estado de México y Municipios Por otra parte, </w:t>
      </w:r>
      <w:r>
        <w:rPr>
          <w:rFonts w:ascii="Palatino Linotype" w:eastAsia="Palatino Linotype" w:hAnsi="Palatino Linotype" w:cs="Palatino Linotype"/>
          <w:b/>
          <w:i/>
          <w:color w:val="000000"/>
          <w:sz w:val="22"/>
          <w:szCs w:val="22"/>
        </w:rPr>
        <w:t>se estima que el Sujeto Obligado no dio cabal cumplimiento al procedimiento para la atención a las solicitudes de acceso a la información,</w:t>
      </w:r>
      <w:r>
        <w:rPr>
          <w:rFonts w:ascii="Palatino Linotype" w:eastAsia="Palatino Linotype" w:hAnsi="Palatino Linotype" w:cs="Palatino Linotype"/>
          <w:i/>
          <w:color w:val="000000"/>
          <w:sz w:val="22"/>
          <w:szCs w:val="22"/>
        </w:rPr>
        <w:t xml:space="preserve"> establecido en los artículos 151, 160, 162, 163, 164, 165 y 166, de la Ley de Transparencia y Acceso a la Información Pública del Estado de México y Municipios. Siendo a su vez, el sujeto obligado omiso en las formalidades de clasificación de información en los casos procedentes, en términos de los artículos 47, 48, 49, fracciones II, VIII, IX, XII, XVI, 50, fracción X, 58, fracción V, 122, 130, 131, 133, 134, 135, 137, 140, 143 y 149 de la Ley referida con antelación. En este sentido, el sujeto obligado se encuentra constreñido a entregar la información solicitada, en los formatos que obren en sus archivos y por el medio de notificación seleccionado, siguiendo el procedimiento señalado en la propia Ley de Transparencia y Acceso a la Información Pública del Estado de México y Municipios. Por lo anteriormente expuesto se solicita al Pleno del Instituto de Transparencia, Acceso a la Información Pública y Protección de Datos Personales del Estado de México y Municipios tenga a bien ordenar al sujeto obligado de mérito la entrega de la información solicitada, en versión digital y pública, de ser el caso, en el formato en que se encuentre. Asimismo, de conformidad con el artículo 223 de la multicitada Ley de transparencia local</w:t>
      </w:r>
      <w:r>
        <w:rPr>
          <w:rFonts w:ascii="Palatino Linotype" w:eastAsia="Palatino Linotype" w:hAnsi="Palatino Linotype" w:cs="Palatino Linotype"/>
          <w:b/>
          <w:i/>
          <w:color w:val="000000"/>
          <w:sz w:val="22"/>
          <w:szCs w:val="22"/>
        </w:rPr>
        <w:t>, se solicita al Instituto dar vista a la Contraloría Interna y Órgano de Control y Vigilancia en términos de la Ley de Responsabilidades de los Servidores Públicos del Estado y Municipios, para que determine el grado de responsabilidad de quienes incumplan con las obligaciones de la Ley,</w:t>
      </w:r>
      <w:r>
        <w:rPr>
          <w:rFonts w:ascii="Palatino Linotype" w:eastAsia="Palatino Linotype" w:hAnsi="Palatino Linotype" w:cs="Palatino Linotype"/>
          <w:i/>
          <w:color w:val="000000"/>
          <w:sz w:val="22"/>
          <w:szCs w:val="22"/>
        </w:rPr>
        <w:t xml:space="preserve"> al considerar posibles causas de responsabilidad administrativa por el incumplimiento a lo anteriormente expuesto, aunado a los supuestos normativos </w:t>
      </w:r>
      <w:r>
        <w:rPr>
          <w:rFonts w:ascii="Palatino Linotype" w:eastAsia="Palatino Linotype" w:hAnsi="Palatino Linotype" w:cs="Palatino Linotype"/>
          <w:i/>
          <w:color w:val="000000"/>
          <w:sz w:val="22"/>
          <w:szCs w:val="22"/>
        </w:rPr>
        <w:lastRenderedPageBreak/>
        <w:t>aplicables, previstos por el artículo 222 del mismo ordenamiento jurídico. No omito mencionar que el sujeto obligado omitió en su respuesta informar a los interesados el derecho y plazo que tienen para promover recurso de revisión, de acuerdo a lo señalado por el artículo 177 de la ley en mención.” (Sic)</w:t>
      </w:r>
    </w:p>
    <w:p w14:paraId="51D82FAF"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4. Turnos. </w:t>
      </w:r>
      <w:r>
        <w:rPr>
          <w:rFonts w:ascii="Palatino Linotype" w:eastAsia="Palatino Linotype" w:hAnsi="Palatino Linotype" w:cs="Palatino Linotype"/>
        </w:rPr>
        <w:t xml:space="preserve">De conformidad con el artículo 185 Fracción I de la Ley Transparencia y Acceso a la Información Pública, los recursos de revisión números: </w:t>
      </w:r>
      <w:r>
        <w:rPr>
          <w:rFonts w:ascii="Palatino Linotype" w:eastAsia="Palatino Linotype" w:hAnsi="Palatino Linotype" w:cs="Palatino Linotype"/>
          <w:b/>
        </w:rPr>
        <w:t>01264/INFOEM/IP/RR/2022, 01266/INFOEM/IP/RR/2022, 01268/INFOEM/IP/RR/2022, 01272/INFOEM/IP/RR/2022, 01274/INFOEM/IP/RR/2022, 01275/INFOEM/IP/RR/2022, 01276/INFOEM/IP/RR/2022, 01283/INFOEM/IP/RR/2022, 01284/INFOEM/IP/RR/2022, 01285/INFOEM/IP/RR/2022, 01286/INFOEM/IP/RR/2022, 01287/INFOEM/IP/RR/2022, 01288/INFOEM/IP/RR/2022, 01289/INFOEM/IP/RR/2022, 01290/INFOEM/IP/RR/2022, 01291/INFOEM/IP/RR/2022, 01292/INFOEM/IP/RR/2022, 01294/INFOEM/IP/RR/2022, 01526/INFOEM/IP/RR/2022, 01529/INFOEM/IP/RR/2022, 01532/INFOEM/IP/RR/2022, 01533/INFOEM/IP/RR/2022, 01534/INFOEM/IP/RR/2022, 01535/INFOEM/IP/RR/2022, 01537/INFOEM/IP/RR/2022, 01539/INFOEM/IP/RR/2022, 01541/INFOEM/IP/RR/2022, 01542/INFOEM/IP/RR/2022, 01543/INFOEM/IP/RR/2022, 01545/INFOEM/IP/RR/2022, 01547/INFOEM/IP/RR/2022 y 01549/INFOEM/IP/RR/2022</w:t>
      </w:r>
      <w:r>
        <w:rPr>
          <w:rFonts w:ascii="Palatino Linotype" w:eastAsia="Palatino Linotype" w:hAnsi="Palatino Linotype" w:cs="Palatino Linotype"/>
        </w:rPr>
        <w:t xml:space="preserve">, fueron turnados a los Comisionados  </w:t>
      </w:r>
      <w:r>
        <w:rPr>
          <w:rFonts w:ascii="Palatino Linotype" w:eastAsia="Palatino Linotype" w:hAnsi="Palatino Linotype" w:cs="Palatino Linotype"/>
          <w:b/>
        </w:rPr>
        <w:t xml:space="preserve">José Martínez Vilchis, María del Rosario Mejía Ayala, Luis </w:t>
      </w:r>
      <w:r>
        <w:rPr>
          <w:rFonts w:ascii="Palatino Linotype" w:eastAsia="Palatino Linotype" w:hAnsi="Palatino Linotype" w:cs="Palatino Linotype"/>
          <w:b/>
        </w:rPr>
        <w:lastRenderedPageBreak/>
        <w:t>Gustavo Parra Noriega y Guadalupe Ramírez Peña</w:t>
      </w:r>
      <w:r>
        <w:rPr>
          <w:rFonts w:ascii="Palatino Linotype" w:eastAsia="Palatino Linotype" w:hAnsi="Palatino Linotype" w:cs="Palatino Linotype"/>
        </w:rPr>
        <w:t>; a efecto de presentar al Pleno el proyecto de resolución correspondiente.</w:t>
      </w:r>
    </w:p>
    <w:p w14:paraId="6DAA3F96" w14:textId="77777777" w:rsidR="00DA3301" w:rsidRDefault="009C6E35">
      <w:pPr>
        <w:pBdr>
          <w:top w:val="nil"/>
          <w:left w:val="nil"/>
          <w:bottom w:val="nil"/>
          <w:right w:val="nil"/>
          <w:between w:val="nil"/>
        </w:pBdr>
        <w:spacing w:before="40" w:after="280" w:line="360" w:lineRule="auto"/>
        <w:ind w:right="49"/>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 xml:space="preserve">5. Admisión. </w:t>
      </w:r>
      <w:r>
        <w:rPr>
          <w:rFonts w:ascii="Palatino Linotype" w:eastAsia="Palatino Linotype" w:hAnsi="Palatino Linotype" w:cs="Palatino Linotype"/>
          <w:color w:val="000000"/>
        </w:rPr>
        <w:t xml:space="preserve">En fechas </w:t>
      </w:r>
      <w:r>
        <w:rPr>
          <w:rFonts w:ascii="Palatino Linotype" w:eastAsia="Palatino Linotype" w:hAnsi="Palatino Linotype" w:cs="Palatino Linotype"/>
          <w:b/>
          <w:color w:val="000000"/>
        </w:rPr>
        <w:t>veinticinco y</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color w:val="000000"/>
        </w:rPr>
        <w:t>veintiocho de febrero y primero y tres de marzo de dos mil veintidós</w:t>
      </w:r>
      <w:r>
        <w:rPr>
          <w:rFonts w:ascii="Palatino Linotype" w:eastAsia="Palatino Linotype" w:hAnsi="Palatino Linotype" w:cs="Palatino Linotype"/>
          <w:color w:val="000000"/>
        </w:rPr>
        <w:t>, en términos de lo dispuesto en el artículo 185 fracciones I, II y IV de la Ley de Transparencia y Acceso a la Información Pública del Estado de México y Municipios, se admitió a trámite los recursos de revisión al rubro indicados.</w:t>
      </w:r>
    </w:p>
    <w:p w14:paraId="375656BA"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6. </w:t>
      </w:r>
      <w:r>
        <w:rPr>
          <w:rFonts w:ascii="Palatino Linotype" w:eastAsia="Palatino Linotype" w:hAnsi="Palatino Linotype" w:cs="Palatino Linotype"/>
          <w:b/>
          <w:color w:val="000000"/>
        </w:rPr>
        <w:t xml:space="preserve">Acumulación. </w:t>
      </w:r>
      <w:r>
        <w:rPr>
          <w:rFonts w:ascii="Palatino Linotype" w:eastAsia="Palatino Linotype" w:hAnsi="Palatino Linotype" w:cs="Palatino Linotype"/>
          <w:color w:val="000000"/>
        </w:rPr>
        <w:t xml:space="preserve">en la Octava Sesión Ordinaria del Pleno de este Instituto de Transparencia, Acceso a la Información Pública y Protección de Datos Personales del Estado de México y Municipios, celebrada en </w:t>
      </w:r>
      <w:r>
        <w:rPr>
          <w:rFonts w:ascii="Palatino Linotype" w:eastAsia="Palatino Linotype" w:hAnsi="Palatino Linotype" w:cs="Palatino Linotype"/>
          <w:b/>
          <w:color w:val="000000"/>
        </w:rPr>
        <w:t>fecha tres de marzo de dos mil veintidós,</w:t>
      </w:r>
      <w:r>
        <w:rPr>
          <w:rFonts w:ascii="Palatino Linotype" w:eastAsia="Palatino Linotype" w:hAnsi="Palatino Linotype" w:cs="Palatino Linotype"/>
          <w:color w:val="000000"/>
        </w:rPr>
        <w:t xml:space="preserve"> al advertir la conexidad de causa y con la finalidad de evitar que se dicten resoluciones contradictorias, se acordó la acumulación de los recursos señalados en este fallo; determinando que fuera Ponente, la Comisionada </w:t>
      </w:r>
      <w:r>
        <w:rPr>
          <w:rFonts w:ascii="Palatino Linotype" w:eastAsia="Palatino Linotype" w:hAnsi="Palatino Linotype" w:cs="Palatino Linotype"/>
          <w:b/>
          <w:color w:val="000000"/>
        </w:rPr>
        <w:t xml:space="preserve">Guadalupe Ramírez Peña; </w:t>
      </w:r>
      <w:r>
        <w:rPr>
          <w:rFonts w:ascii="Palatino Linotype" w:eastAsia="Palatino Linotype" w:hAnsi="Palatino Linotype" w:cs="Palatino Linotype"/>
          <w:color w:val="000000"/>
        </w:rPr>
        <w:t>lo anterior de conformidad con el artículo 195 de la Ley de Transparencia y Acceso a la Información Pública del Estado de México y Municipios, y artículo 18 del Código de Procedimientos Administrativos del Estado de México de manera supletoria; los cuales a la letra establecen:</w:t>
      </w:r>
    </w:p>
    <w:p w14:paraId="0649F384" w14:textId="77777777" w:rsidR="00DA3301" w:rsidRDefault="009C6E35">
      <w:pPr>
        <w:pBdr>
          <w:top w:val="nil"/>
          <w:left w:val="nil"/>
          <w:bottom w:val="nil"/>
          <w:right w:val="nil"/>
          <w:between w:val="nil"/>
        </w:pBdr>
        <w:spacing w:before="280"/>
        <w:ind w:left="1134" w:right="1325"/>
        <w:jc w:val="both"/>
        <w:rPr>
          <w:color w:val="000000"/>
        </w:rPr>
      </w:pPr>
      <w:r>
        <w:rPr>
          <w:rFonts w:ascii="Palatino Linotype" w:eastAsia="Palatino Linotype" w:hAnsi="Palatino Linotype" w:cs="Palatino Linotype"/>
          <w:i/>
          <w:color w:val="000000"/>
          <w:sz w:val="22"/>
          <w:szCs w:val="22"/>
        </w:rPr>
        <w:t>“Artículo 195.- En la tramitación del recurso de revisión se aplicarán supletoriamente las disposiciones contenidas en el Código de Procedimientos Administrativos del Estado de México.” (Sic)</w:t>
      </w:r>
    </w:p>
    <w:p w14:paraId="5E0FCF8A" w14:textId="77777777" w:rsidR="00DA3301" w:rsidRDefault="00DA3301"/>
    <w:p w14:paraId="1F99D101" w14:textId="77777777" w:rsidR="00DA3301" w:rsidRDefault="009C6E35">
      <w:pPr>
        <w:pBdr>
          <w:top w:val="nil"/>
          <w:left w:val="nil"/>
          <w:bottom w:val="nil"/>
          <w:right w:val="nil"/>
          <w:between w:val="nil"/>
        </w:pBdr>
        <w:ind w:left="1134" w:right="1327"/>
        <w:jc w:val="both"/>
        <w:rPr>
          <w:color w:val="000000"/>
        </w:rPr>
      </w:pPr>
      <w:r>
        <w:rPr>
          <w:rFonts w:ascii="Palatino Linotype" w:eastAsia="Palatino Linotype" w:hAnsi="Palatino Linotype" w:cs="Palatino Linotype"/>
          <w:i/>
          <w:color w:val="000000"/>
          <w:sz w:val="22"/>
          <w:szCs w:val="22"/>
        </w:rPr>
        <w:t xml:space="preserve">“Artículo 18.- La autoridad administrativa o el Tribunal acordarán la acumulación de los expedientes del procedimiento y proceso administrativo que ante ellos se sigan, de oficio o a petición de parte, cuando las partes o los actos administrativos sean iguales, se trate de </w:t>
      </w:r>
      <w:r>
        <w:rPr>
          <w:rFonts w:ascii="Palatino Linotype" w:eastAsia="Palatino Linotype" w:hAnsi="Palatino Linotype" w:cs="Palatino Linotype"/>
          <w:i/>
          <w:color w:val="000000"/>
          <w:sz w:val="22"/>
          <w:szCs w:val="22"/>
        </w:rPr>
        <w:lastRenderedPageBreak/>
        <w:t>actos conexos o resulte conveniente el trámite unificado de los asuntos, para evitar la emisión de resoluciones contradictorias. La misma regla se aplicará, en lo conducente, para la separación de los expedientes. (Sic)</w:t>
      </w:r>
    </w:p>
    <w:p w14:paraId="6AF3CE1B"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7. Manifestaciones. </w:t>
      </w:r>
      <w:r>
        <w:rPr>
          <w:rFonts w:ascii="Palatino Linotype" w:eastAsia="Palatino Linotype" w:hAnsi="Palatino Linotype" w:cs="Palatino Linotype"/>
        </w:rPr>
        <w:t xml:space="preserve">De las constancias que obran en el expediente electrónico del SAIMEX se desprende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rindió sus informes justificados, en los siguientes recursos:</w:t>
      </w:r>
    </w:p>
    <w:p w14:paraId="2636CB3C"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01D8C61C" wp14:editId="7434D358">
            <wp:extent cx="5445725" cy="1411038"/>
            <wp:effectExtent l="0" t="0" r="0" b="0"/>
            <wp:docPr id="8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l="5771" t="24140" r="52308" b="56548"/>
                    <a:stretch>
                      <a:fillRect/>
                    </a:stretch>
                  </pic:blipFill>
                  <pic:spPr>
                    <a:xfrm>
                      <a:off x="0" y="0"/>
                      <a:ext cx="5445725" cy="1411038"/>
                    </a:xfrm>
                    <a:prstGeom prst="rect">
                      <a:avLst/>
                    </a:prstGeom>
                    <a:ln/>
                  </pic:spPr>
                </pic:pic>
              </a:graphicData>
            </a:graphic>
          </wp:inline>
        </w:drawing>
      </w:r>
    </w:p>
    <w:p w14:paraId="1F1F8627"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299CD97F" wp14:editId="0150B7BB">
            <wp:extent cx="5518660" cy="1499164"/>
            <wp:effectExtent l="0" t="0" r="0" b="0"/>
            <wp:docPr id="8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l="4920" t="22933" r="51969" b="56246"/>
                    <a:stretch>
                      <a:fillRect/>
                    </a:stretch>
                  </pic:blipFill>
                  <pic:spPr>
                    <a:xfrm>
                      <a:off x="0" y="0"/>
                      <a:ext cx="5518660" cy="1499164"/>
                    </a:xfrm>
                    <a:prstGeom prst="rect">
                      <a:avLst/>
                    </a:prstGeom>
                    <a:ln/>
                  </pic:spPr>
                </pic:pic>
              </a:graphicData>
            </a:graphic>
          </wp:inline>
        </w:drawing>
      </w:r>
    </w:p>
    <w:p w14:paraId="176A5957"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10A52534" wp14:editId="2A90EC13">
            <wp:extent cx="5438795" cy="1219204"/>
            <wp:effectExtent l="0" t="0" r="0" b="0"/>
            <wp:docPr id="8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l="5940" t="25045" r="52138" b="56548"/>
                    <a:stretch>
                      <a:fillRect/>
                    </a:stretch>
                  </pic:blipFill>
                  <pic:spPr>
                    <a:xfrm>
                      <a:off x="0" y="0"/>
                      <a:ext cx="5438795" cy="1219204"/>
                    </a:xfrm>
                    <a:prstGeom prst="rect">
                      <a:avLst/>
                    </a:prstGeom>
                    <a:ln/>
                  </pic:spPr>
                </pic:pic>
              </a:graphicData>
            </a:graphic>
          </wp:inline>
        </w:drawing>
      </w:r>
    </w:p>
    <w:p w14:paraId="65F229E8"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14BD4C04" wp14:editId="3D19ECA3">
            <wp:extent cx="5631622" cy="1459206"/>
            <wp:effectExtent l="0" t="0" r="0" b="0"/>
            <wp:docPr id="9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
                    <a:srcRect l="5940" t="24743" r="52138" b="55943"/>
                    <a:stretch>
                      <a:fillRect/>
                    </a:stretch>
                  </pic:blipFill>
                  <pic:spPr>
                    <a:xfrm>
                      <a:off x="0" y="0"/>
                      <a:ext cx="5631622" cy="1459206"/>
                    </a:xfrm>
                    <a:prstGeom prst="rect">
                      <a:avLst/>
                    </a:prstGeom>
                    <a:ln/>
                  </pic:spPr>
                </pic:pic>
              </a:graphicData>
            </a:graphic>
          </wp:inline>
        </w:drawing>
      </w:r>
    </w:p>
    <w:p w14:paraId="163E982E"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26980DBC" wp14:editId="32539F4B">
            <wp:extent cx="5554869" cy="1411483"/>
            <wp:effectExtent l="0" t="0" r="0" b="0"/>
            <wp:docPr id="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l="6279" t="24743" r="52308" b="56546"/>
                    <a:stretch>
                      <a:fillRect/>
                    </a:stretch>
                  </pic:blipFill>
                  <pic:spPr>
                    <a:xfrm>
                      <a:off x="0" y="0"/>
                      <a:ext cx="5554869" cy="1411483"/>
                    </a:xfrm>
                    <a:prstGeom prst="rect">
                      <a:avLst/>
                    </a:prstGeom>
                    <a:ln/>
                  </pic:spPr>
                </pic:pic>
              </a:graphicData>
            </a:graphic>
          </wp:inline>
        </w:drawing>
      </w:r>
    </w:p>
    <w:p w14:paraId="7A60C997"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4D12CA5A" wp14:editId="64E9AAD2">
            <wp:extent cx="5763146" cy="1494149"/>
            <wp:effectExtent l="0" t="0" r="0" b="0"/>
            <wp:docPr id="9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l="5204" t="23814" r="52026" b="56067"/>
                    <a:stretch>
                      <a:fillRect/>
                    </a:stretch>
                  </pic:blipFill>
                  <pic:spPr>
                    <a:xfrm>
                      <a:off x="0" y="0"/>
                      <a:ext cx="5763146" cy="1494149"/>
                    </a:xfrm>
                    <a:prstGeom prst="rect">
                      <a:avLst/>
                    </a:prstGeom>
                    <a:ln/>
                  </pic:spPr>
                </pic:pic>
              </a:graphicData>
            </a:graphic>
          </wp:inline>
        </w:drawing>
      </w:r>
    </w:p>
    <w:p w14:paraId="6E229E7D"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734B291B" wp14:editId="2574E373">
            <wp:extent cx="5725612" cy="1558805"/>
            <wp:effectExtent l="0" t="0" r="0" b="0"/>
            <wp:docPr id="9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l="4979" t="23737" r="51799" b="55341"/>
                    <a:stretch>
                      <a:fillRect/>
                    </a:stretch>
                  </pic:blipFill>
                  <pic:spPr>
                    <a:xfrm>
                      <a:off x="0" y="0"/>
                      <a:ext cx="5725612" cy="1558805"/>
                    </a:xfrm>
                    <a:prstGeom prst="rect">
                      <a:avLst/>
                    </a:prstGeom>
                    <a:ln/>
                  </pic:spPr>
                </pic:pic>
              </a:graphicData>
            </a:graphic>
          </wp:inline>
        </w:drawing>
      </w:r>
    </w:p>
    <w:p w14:paraId="41270C55"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10468953" wp14:editId="7D0EE0C2">
            <wp:extent cx="5564720" cy="1361580"/>
            <wp:effectExtent l="0" t="0" r="0" b="0"/>
            <wp:docPr id="9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l="5431" t="25347" r="52026" b="56146"/>
                    <a:stretch>
                      <a:fillRect/>
                    </a:stretch>
                  </pic:blipFill>
                  <pic:spPr>
                    <a:xfrm>
                      <a:off x="0" y="0"/>
                      <a:ext cx="5564720" cy="1361580"/>
                    </a:xfrm>
                    <a:prstGeom prst="rect">
                      <a:avLst/>
                    </a:prstGeom>
                    <a:ln/>
                  </pic:spPr>
                </pic:pic>
              </a:graphicData>
            </a:graphic>
          </wp:inline>
        </w:drawing>
      </w:r>
    </w:p>
    <w:p w14:paraId="1210FA83"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3ED167BD" wp14:editId="0285A1D8">
            <wp:extent cx="5453282" cy="1385429"/>
            <wp:effectExtent l="0" t="0" r="0" b="0"/>
            <wp:docPr id="9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
                    <a:srcRect l="5884" t="24944" r="52252" b="56145"/>
                    <a:stretch>
                      <a:fillRect/>
                    </a:stretch>
                  </pic:blipFill>
                  <pic:spPr>
                    <a:xfrm>
                      <a:off x="0" y="0"/>
                      <a:ext cx="5453282" cy="1385429"/>
                    </a:xfrm>
                    <a:prstGeom prst="rect">
                      <a:avLst/>
                    </a:prstGeom>
                    <a:ln/>
                  </pic:spPr>
                </pic:pic>
              </a:graphicData>
            </a:graphic>
          </wp:inline>
        </w:drawing>
      </w:r>
    </w:p>
    <w:p w14:paraId="30674111"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5B9E8953" wp14:editId="6C071549">
            <wp:extent cx="5431768" cy="1394251"/>
            <wp:effectExtent l="0" t="0" r="0" b="0"/>
            <wp:docPr id="9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l="5883" t="25750" r="51797" b="54938"/>
                    <a:stretch>
                      <a:fillRect/>
                    </a:stretch>
                  </pic:blipFill>
                  <pic:spPr>
                    <a:xfrm>
                      <a:off x="0" y="0"/>
                      <a:ext cx="5431768" cy="1394251"/>
                    </a:xfrm>
                    <a:prstGeom prst="rect">
                      <a:avLst/>
                    </a:prstGeom>
                    <a:ln/>
                  </pic:spPr>
                </pic:pic>
              </a:graphicData>
            </a:graphic>
          </wp:inline>
        </w:drawing>
      </w:r>
    </w:p>
    <w:p w14:paraId="0437FBFA"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66C88415" wp14:editId="35800F7E">
            <wp:extent cx="5500927" cy="1481019"/>
            <wp:effectExtent l="0" t="0" r="0" b="0"/>
            <wp:docPr id="9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a:srcRect l="6336" t="24943" r="52477" b="55341"/>
                    <a:stretch>
                      <a:fillRect/>
                    </a:stretch>
                  </pic:blipFill>
                  <pic:spPr>
                    <a:xfrm>
                      <a:off x="0" y="0"/>
                      <a:ext cx="5500927" cy="1481019"/>
                    </a:xfrm>
                    <a:prstGeom prst="rect">
                      <a:avLst/>
                    </a:prstGeom>
                    <a:ln/>
                  </pic:spPr>
                </pic:pic>
              </a:graphicData>
            </a:graphic>
          </wp:inline>
        </w:drawing>
      </w:r>
    </w:p>
    <w:p w14:paraId="72CA4E47"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0CDF23E7" wp14:editId="67710133">
            <wp:extent cx="5492433" cy="1464648"/>
            <wp:effectExtent l="0" t="0" r="0" b="0"/>
            <wp:docPr id="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l="6562" t="24945" r="52704" b="55741"/>
                    <a:stretch>
                      <a:fillRect/>
                    </a:stretch>
                  </pic:blipFill>
                  <pic:spPr>
                    <a:xfrm>
                      <a:off x="0" y="0"/>
                      <a:ext cx="5492433" cy="1464648"/>
                    </a:xfrm>
                    <a:prstGeom prst="rect">
                      <a:avLst/>
                    </a:prstGeom>
                    <a:ln/>
                  </pic:spPr>
                </pic:pic>
              </a:graphicData>
            </a:graphic>
          </wp:inline>
        </w:drawing>
      </w:r>
    </w:p>
    <w:p w14:paraId="5629FD4B"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7547E8C7" wp14:editId="62B9FFAB">
            <wp:extent cx="5550853" cy="1662287"/>
            <wp:effectExtent l="0" t="0" r="0" b="0"/>
            <wp:docPr id="9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l="5431" t="24944" r="52252" b="52523"/>
                    <a:stretch>
                      <a:fillRect/>
                    </a:stretch>
                  </pic:blipFill>
                  <pic:spPr>
                    <a:xfrm>
                      <a:off x="0" y="0"/>
                      <a:ext cx="5550853" cy="1662287"/>
                    </a:xfrm>
                    <a:prstGeom prst="rect">
                      <a:avLst/>
                    </a:prstGeom>
                    <a:ln/>
                  </pic:spPr>
                </pic:pic>
              </a:graphicData>
            </a:graphic>
          </wp:inline>
        </w:drawing>
      </w:r>
    </w:p>
    <w:p w14:paraId="23E6F7B2"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14923A2F" wp14:editId="48CEE89A">
            <wp:extent cx="5656970" cy="1406759"/>
            <wp:effectExtent l="0" t="0" r="0" b="0"/>
            <wp:docPr id="9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l="5657" t="25347" r="51573" b="55743"/>
                    <a:stretch>
                      <a:fillRect/>
                    </a:stretch>
                  </pic:blipFill>
                  <pic:spPr>
                    <a:xfrm>
                      <a:off x="0" y="0"/>
                      <a:ext cx="5656970" cy="1406759"/>
                    </a:xfrm>
                    <a:prstGeom prst="rect">
                      <a:avLst/>
                    </a:prstGeom>
                    <a:ln/>
                  </pic:spPr>
                </pic:pic>
              </a:graphicData>
            </a:graphic>
          </wp:inline>
        </w:drawing>
      </w:r>
    </w:p>
    <w:p w14:paraId="6EB92C25"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44BE3962" wp14:editId="50AC2B7C">
            <wp:extent cx="5536173" cy="1363874"/>
            <wp:effectExtent l="0" t="0" r="0" b="0"/>
            <wp:docPr id="10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l="5883" t="24945" r="52251" b="56548"/>
                    <a:stretch>
                      <a:fillRect/>
                    </a:stretch>
                  </pic:blipFill>
                  <pic:spPr>
                    <a:xfrm>
                      <a:off x="0" y="0"/>
                      <a:ext cx="5536173" cy="1363874"/>
                    </a:xfrm>
                    <a:prstGeom prst="rect">
                      <a:avLst/>
                    </a:prstGeom>
                    <a:ln/>
                  </pic:spPr>
                </pic:pic>
              </a:graphicData>
            </a:graphic>
          </wp:inline>
        </w:drawing>
      </w:r>
    </w:p>
    <w:p w14:paraId="50DF8864"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780D0770" wp14:editId="26E35A43">
            <wp:extent cx="5748850" cy="1483574"/>
            <wp:effectExtent l="0" t="0" r="0" b="0"/>
            <wp:docPr id="10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l="5883" t="24945" r="52025" b="55741"/>
                    <a:stretch>
                      <a:fillRect/>
                    </a:stretch>
                  </pic:blipFill>
                  <pic:spPr>
                    <a:xfrm>
                      <a:off x="0" y="0"/>
                      <a:ext cx="5748850" cy="1483574"/>
                    </a:xfrm>
                    <a:prstGeom prst="rect">
                      <a:avLst/>
                    </a:prstGeom>
                    <a:ln/>
                  </pic:spPr>
                </pic:pic>
              </a:graphicData>
            </a:graphic>
          </wp:inline>
        </w:drawing>
      </w:r>
    </w:p>
    <w:p w14:paraId="2A805566"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7B0A7881" wp14:editId="5BBDE798">
            <wp:extent cx="5603186" cy="1520013"/>
            <wp:effectExtent l="0" t="0" r="0" b="0"/>
            <wp:docPr id="10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l="5432" t="24140" r="52025" b="55341"/>
                    <a:stretch>
                      <a:fillRect/>
                    </a:stretch>
                  </pic:blipFill>
                  <pic:spPr>
                    <a:xfrm>
                      <a:off x="0" y="0"/>
                      <a:ext cx="5603186" cy="1520013"/>
                    </a:xfrm>
                    <a:prstGeom prst="rect">
                      <a:avLst/>
                    </a:prstGeom>
                    <a:ln/>
                  </pic:spPr>
                </pic:pic>
              </a:graphicData>
            </a:graphic>
          </wp:inline>
        </w:drawing>
      </w:r>
    </w:p>
    <w:p w14:paraId="1858E134" w14:textId="77777777" w:rsidR="00DA3301" w:rsidRDefault="009C6E35">
      <w:pPr>
        <w:spacing w:before="240" w:after="240" w:line="360" w:lineRule="auto"/>
        <w:jc w:val="center"/>
      </w:pPr>
      <w:r>
        <w:rPr>
          <w:noProof/>
          <w:lang w:val="es-MX"/>
        </w:rPr>
        <w:drawing>
          <wp:inline distT="0" distB="0" distL="0" distR="0" wp14:anchorId="1F6AA071" wp14:editId="5899C9F1">
            <wp:extent cx="5580810" cy="1353059"/>
            <wp:effectExtent l="0" t="0" r="0" b="0"/>
            <wp:docPr id="10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
                    <a:srcRect l="5911" t="25792" r="52015" b="56071"/>
                    <a:stretch>
                      <a:fillRect/>
                    </a:stretch>
                  </pic:blipFill>
                  <pic:spPr>
                    <a:xfrm>
                      <a:off x="0" y="0"/>
                      <a:ext cx="5580810" cy="1353059"/>
                    </a:xfrm>
                    <a:prstGeom prst="rect">
                      <a:avLst/>
                    </a:prstGeom>
                    <a:ln/>
                  </pic:spPr>
                </pic:pic>
              </a:graphicData>
            </a:graphic>
          </wp:inline>
        </w:drawing>
      </w:r>
    </w:p>
    <w:p w14:paraId="24C455BE" w14:textId="77777777" w:rsidR="00DA3301" w:rsidRDefault="009C6E35">
      <w:pPr>
        <w:spacing w:before="240" w:after="240" w:line="360" w:lineRule="auto"/>
        <w:jc w:val="center"/>
      </w:pPr>
      <w:r>
        <w:rPr>
          <w:noProof/>
          <w:lang w:val="es-MX"/>
        </w:rPr>
        <w:drawing>
          <wp:inline distT="114300" distB="114300" distL="114300" distR="114300" wp14:anchorId="1EE519EA" wp14:editId="561FE70B">
            <wp:extent cx="5612130" cy="2247900"/>
            <wp:effectExtent l="0" t="0" r="0" b="0"/>
            <wp:docPr id="8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a:srcRect/>
                    <a:stretch>
                      <a:fillRect/>
                    </a:stretch>
                  </pic:blipFill>
                  <pic:spPr>
                    <a:xfrm>
                      <a:off x="0" y="0"/>
                      <a:ext cx="5612130" cy="2247900"/>
                    </a:xfrm>
                    <a:prstGeom prst="rect">
                      <a:avLst/>
                    </a:prstGeom>
                    <a:ln/>
                  </pic:spPr>
                </pic:pic>
              </a:graphicData>
            </a:graphic>
          </wp:inline>
        </w:drawing>
      </w:r>
    </w:p>
    <w:p w14:paraId="1B1A294D"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lastRenderedPageBreak/>
        <w:drawing>
          <wp:inline distT="0" distB="0" distL="0" distR="0" wp14:anchorId="20EF8450" wp14:editId="1FB3B972">
            <wp:extent cx="5410292" cy="1413534"/>
            <wp:effectExtent l="0" t="0" r="0" b="0"/>
            <wp:docPr id="10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l="6267" t="23874" r="52371" b="56070"/>
                    <a:stretch>
                      <a:fillRect/>
                    </a:stretch>
                  </pic:blipFill>
                  <pic:spPr>
                    <a:xfrm>
                      <a:off x="0" y="0"/>
                      <a:ext cx="5410292" cy="1413534"/>
                    </a:xfrm>
                    <a:prstGeom prst="rect">
                      <a:avLst/>
                    </a:prstGeom>
                    <a:ln/>
                  </pic:spPr>
                </pic:pic>
              </a:graphicData>
            </a:graphic>
          </wp:inline>
        </w:drawing>
      </w:r>
    </w:p>
    <w:p w14:paraId="55AF2931"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4CDE0FB9" wp14:editId="7E0E06B8">
            <wp:extent cx="5903775" cy="1418421"/>
            <wp:effectExtent l="0" t="0" r="0" b="0"/>
            <wp:docPr id="10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8"/>
                    <a:srcRect l="5730" t="24518" r="52552" b="57662"/>
                    <a:stretch>
                      <a:fillRect/>
                    </a:stretch>
                  </pic:blipFill>
                  <pic:spPr>
                    <a:xfrm>
                      <a:off x="0" y="0"/>
                      <a:ext cx="5903775" cy="1418421"/>
                    </a:xfrm>
                    <a:prstGeom prst="rect">
                      <a:avLst/>
                    </a:prstGeom>
                    <a:ln/>
                  </pic:spPr>
                </pic:pic>
              </a:graphicData>
            </a:graphic>
          </wp:inline>
        </w:drawing>
      </w:r>
    </w:p>
    <w:p w14:paraId="3BCC1BCF"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7B24AADD" wp14:editId="48BBE163">
            <wp:extent cx="5872619" cy="1524383"/>
            <wp:effectExtent l="0" t="0" r="0" b="0"/>
            <wp:docPr id="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l="5730" t="24511" r="52187" b="56067"/>
                    <a:stretch>
                      <a:fillRect/>
                    </a:stretch>
                  </pic:blipFill>
                  <pic:spPr>
                    <a:xfrm>
                      <a:off x="0" y="0"/>
                      <a:ext cx="5872619" cy="1524383"/>
                    </a:xfrm>
                    <a:prstGeom prst="rect">
                      <a:avLst/>
                    </a:prstGeom>
                    <a:ln/>
                  </pic:spPr>
                </pic:pic>
              </a:graphicData>
            </a:graphic>
          </wp:inline>
        </w:drawing>
      </w:r>
    </w:p>
    <w:p w14:paraId="2053BA54" w14:textId="77777777" w:rsidR="00DA3301" w:rsidRDefault="009C6E35">
      <w:pPr>
        <w:spacing w:before="240" w:after="240" w:line="360" w:lineRule="auto"/>
        <w:jc w:val="center"/>
        <w:rPr>
          <w:rFonts w:ascii="Palatino Linotype" w:eastAsia="Palatino Linotype" w:hAnsi="Palatino Linotype" w:cs="Palatino Linotype"/>
        </w:rPr>
      </w:pPr>
      <w:r>
        <w:rPr>
          <w:noProof/>
          <w:lang w:val="es-MX"/>
        </w:rPr>
        <w:drawing>
          <wp:inline distT="0" distB="0" distL="0" distR="0" wp14:anchorId="6AC26B9A" wp14:editId="3FA6EE94">
            <wp:extent cx="5809859" cy="1533097"/>
            <wp:effectExtent l="0" t="0" r="0" b="0"/>
            <wp:docPr id="7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l="5549" t="23557" r="52379" b="56706"/>
                    <a:stretch>
                      <a:fillRect/>
                    </a:stretch>
                  </pic:blipFill>
                  <pic:spPr>
                    <a:xfrm>
                      <a:off x="0" y="0"/>
                      <a:ext cx="5809859" cy="1533097"/>
                    </a:xfrm>
                    <a:prstGeom prst="rect">
                      <a:avLst/>
                    </a:prstGeom>
                    <a:ln/>
                  </pic:spPr>
                </pic:pic>
              </a:graphicData>
            </a:graphic>
          </wp:inline>
        </w:drawing>
      </w:r>
    </w:p>
    <w:p w14:paraId="471FF218"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021B725F" wp14:editId="71FF4860">
            <wp:extent cx="5747808" cy="1492260"/>
            <wp:effectExtent l="0" t="0" r="0" b="0"/>
            <wp:docPr id="7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l="5550" t="24511" r="52376" b="56067"/>
                    <a:stretch>
                      <a:fillRect/>
                    </a:stretch>
                  </pic:blipFill>
                  <pic:spPr>
                    <a:xfrm>
                      <a:off x="0" y="0"/>
                      <a:ext cx="5747808" cy="1492260"/>
                    </a:xfrm>
                    <a:prstGeom prst="rect">
                      <a:avLst/>
                    </a:prstGeom>
                    <a:ln/>
                  </pic:spPr>
                </pic:pic>
              </a:graphicData>
            </a:graphic>
          </wp:inline>
        </w:drawing>
      </w:r>
    </w:p>
    <w:p w14:paraId="2F976ACC"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69888EF9" wp14:editId="36E1E037">
            <wp:extent cx="5618122" cy="1525609"/>
            <wp:effectExtent l="0" t="0" r="0" b="0"/>
            <wp:docPr id="7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l="5729" t="25148" r="52721" b="54791"/>
                    <a:stretch>
                      <a:fillRect/>
                    </a:stretch>
                  </pic:blipFill>
                  <pic:spPr>
                    <a:xfrm>
                      <a:off x="0" y="0"/>
                      <a:ext cx="5618122" cy="1525609"/>
                    </a:xfrm>
                    <a:prstGeom prst="rect">
                      <a:avLst/>
                    </a:prstGeom>
                    <a:ln/>
                  </pic:spPr>
                </pic:pic>
              </a:graphicData>
            </a:graphic>
          </wp:inline>
        </w:drawing>
      </w:r>
    </w:p>
    <w:p w14:paraId="5EE8D30C"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12637E31" wp14:editId="0DECD9F9">
            <wp:extent cx="5638186" cy="1463796"/>
            <wp:effectExtent l="0" t="0" r="0" b="0"/>
            <wp:docPr id="7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l="6086" t="23557" r="51839" b="57023"/>
                    <a:stretch>
                      <a:fillRect/>
                    </a:stretch>
                  </pic:blipFill>
                  <pic:spPr>
                    <a:xfrm>
                      <a:off x="0" y="0"/>
                      <a:ext cx="5638186" cy="1463796"/>
                    </a:xfrm>
                    <a:prstGeom prst="rect">
                      <a:avLst/>
                    </a:prstGeom>
                    <a:ln/>
                  </pic:spPr>
                </pic:pic>
              </a:graphicData>
            </a:graphic>
          </wp:inline>
        </w:drawing>
      </w:r>
    </w:p>
    <w:p w14:paraId="24F56361"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5272D376" wp14:editId="1A2743F1">
            <wp:extent cx="5581572" cy="1316809"/>
            <wp:effectExtent l="0" t="0" r="0" b="0"/>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l="5792" t="24641" r="52776" b="56616"/>
                    <a:stretch>
                      <a:fillRect/>
                    </a:stretch>
                  </pic:blipFill>
                  <pic:spPr>
                    <a:xfrm>
                      <a:off x="0" y="0"/>
                      <a:ext cx="5581572" cy="1316809"/>
                    </a:xfrm>
                    <a:prstGeom prst="rect">
                      <a:avLst/>
                    </a:prstGeom>
                    <a:ln/>
                  </pic:spPr>
                </pic:pic>
              </a:graphicData>
            </a:graphic>
          </wp:inline>
        </w:drawing>
      </w:r>
    </w:p>
    <w:p w14:paraId="74F248EA"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14:anchorId="6F662181" wp14:editId="3C205177">
            <wp:extent cx="5624345" cy="1375069"/>
            <wp:effectExtent l="0" t="0" r="0" b="0"/>
            <wp:docPr id="8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l="6089" t="25153" r="52911" b="57025"/>
                    <a:stretch>
                      <a:fillRect/>
                    </a:stretch>
                  </pic:blipFill>
                  <pic:spPr>
                    <a:xfrm>
                      <a:off x="0" y="0"/>
                      <a:ext cx="5624345" cy="1375069"/>
                    </a:xfrm>
                    <a:prstGeom prst="rect">
                      <a:avLst/>
                    </a:prstGeom>
                    <a:ln/>
                  </pic:spPr>
                </pic:pic>
              </a:graphicData>
            </a:graphic>
          </wp:inline>
        </w:drawing>
      </w:r>
    </w:p>
    <w:p w14:paraId="0DE4408E"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3EE228F5" wp14:editId="054A19F9">
            <wp:extent cx="5615669" cy="1452723"/>
            <wp:effectExtent l="0" t="0" r="0" b="0"/>
            <wp:docPr id="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l="5730" t="25147" r="52731" b="55747"/>
                    <a:stretch>
                      <a:fillRect/>
                    </a:stretch>
                  </pic:blipFill>
                  <pic:spPr>
                    <a:xfrm>
                      <a:off x="0" y="0"/>
                      <a:ext cx="5615669" cy="1452723"/>
                    </a:xfrm>
                    <a:prstGeom prst="rect">
                      <a:avLst/>
                    </a:prstGeom>
                    <a:ln/>
                  </pic:spPr>
                </pic:pic>
              </a:graphicData>
            </a:graphic>
          </wp:inline>
        </w:drawing>
      </w:r>
    </w:p>
    <w:p w14:paraId="088D51B2" w14:textId="77777777" w:rsidR="00DA3301" w:rsidRDefault="009C6E35">
      <w:pPr>
        <w:spacing w:before="240" w:after="240" w:line="360" w:lineRule="auto"/>
        <w:jc w:val="both"/>
        <w:rPr>
          <w:rFonts w:ascii="Palatino Linotype" w:eastAsia="Palatino Linotype" w:hAnsi="Palatino Linotype" w:cs="Palatino Linotype"/>
        </w:rPr>
      </w:pPr>
      <w:r>
        <w:rPr>
          <w:noProof/>
          <w:lang w:val="es-MX"/>
        </w:rPr>
        <w:drawing>
          <wp:inline distT="0" distB="0" distL="0" distR="0" wp14:anchorId="06D30634" wp14:editId="68A1BAD3">
            <wp:extent cx="5578450" cy="1399934"/>
            <wp:effectExtent l="0" t="0" r="0" b="0"/>
            <wp:docPr id="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l="6090" t="25159" r="52551" b="56389"/>
                    <a:stretch>
                      <a:fillRect/>
                    </a:stretch>
                  </pic:blipFill>
                  <pic:spPr>
                    <a:xfrm>
                      <a:off x="0" y="0"/>
                      <a:ext cx="5578450" cy="1399934"/>
                    </a:xfrm>
                    <a:prstGeom prst="rect">
                      <a:avLst/>
                    </a:prstGeom>
                    <a:ln/>
                  </pic:spPr>
                </pic:pic>
              </a:graphicData>
            </a:graphic>
          </wp:inline>
        </w:drawing>
      </w:r>
    </w:p>
    <w:p w14:paraId="3083BF6E"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 respecto a los recursos de revisión </w:t>
      </w:r>
      <w:r>
        <w:rPr>
          <w:rFonts w:ascii="Palatino Linotype" w:eastAsia="Palatino Linotype" w:hAnsi="Palatino Linotype" w:cs="Palatino Linotype"/>
          <w:b/>
        </w:rPr>
        <w:t xml:space="preserve">01290/INFOEM/IP/RR/2022 y 01541/INFOEM/IP/RR/2022, </w:t>
      </w:r>
      <w:r>
        <w:rPr>
          <w:rFonts w:ascii="Palatino Linotype" w:eastAsia="Palatino Linotype" w:hAnsi="Palatino Linotype" w:cs="Palatino Linotype"/>
        </w:rPr>
        <w:t>el</w:t>
      </w:r>
      <w:r>
        <w:rPr>
          <w:rFonts w:ascii="Palatino Linotype" w:eastAsia="Palatino Linotype" w:hAnsi="Palatino Linotype" w:cs="Palatino Linotype"/>
          <w:b/>
        </w:rPr>
        <w:t xml:space="preserve"> SUJETO OBLIGADO </w:t>
      </w:r>
      <w:r>
        <w:rPr>
          <w:rFonts w:ascii="Palatino Linotype" w:eastAsia="Palatino Linotype" w:hAnsi="Palatino Linotype" w:cs="Palatino Linotype"/>
        </w:rPr>
        <w:t>se pronunció en el siguiente sentido:</w:t>
      </w:r>
    </w:p>
    <w:p w14:paraId="4953A76B" w14:textId="77777777" w:rsidR="00DA3301" w:rsidRDefault="009C6E35">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01290/INFOEM/IP/RR/2022, </w:t>
      </w:r>
      <w:r>
        <w:rPr>
          <w:rFonts w:ascii="Palatino Linotype" w:eastAsia="Palatino Linotype" w:hAnsi="Palatino Linotype" w:cs="Palatino Linotype"/>
          <w:color w:val="000000"/>
        </w:rPr>
        <w:t>en el cual adjunta tres documentos que se describen a continuación:</w:t>
      </w:r>
    </w:p>
    <w:p w14:paraId="294A8026"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1290-INFOE-IP-RR-2022-a.pdf, </w:t>
      </w:r>
      <w:r>
        <w:rPr>
          <w:rFonts w:ascii="Palatino Linotype" w:eastAsia="Palatino Linotype" w:hAnsi="Palatino Linotype" w:cs="Palatino Linotype"/>
          <w:color w:val="000000"/>
        </w:rPr>
        <w:t xml:space="preserve">documento de fecha veintiocho de marzo de dos mil veintidós, suscrito y signado por el Titular de la Unidad de </w:t>
      </w:r>
      <w:r>
        <w:rPr>
          <w:rFonts w:ascii="Palatino Linotype" w:eastAsia="Palatino Linotype" w:hAnsi="Palatino Linotype" w:cs="Palatino Linotype"/>
          <w:color w:val="000000"/>
        </w:rPr>
        <w:lastRenderedPageBreak/>
        <w:t>Transparencia mediante el cual rinde el informe justificado,</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y hace entrega de información en versión pública, misma que se adjunta en el apartado de manifestaciones bajo la denominación de “353-ANEXO 1- GENERADOS” y “353- ANEXO 2- RECIBIDOS”. </w:t>
      </w:r>
    </w:p>
    <w:p w14:paraId="2A230833" w14:textId="77777777" w:rsidR="00DA3301" w:rsidRDefault="009C6E35">
      <w:pPr>
        <w:pBdr>
          <w:top w:val="nil"/>
          <w:left w:val="nil"/>
          <w:bottom w:val="nil"/>
          <w:right w:val="nil"/>
          <w:between w:val="nil"/>
        </w:pBdr>
        <w:spacing w:before="240" w:after="240" w:line="360" w:lineRule="auto"/>
        <w:ind w:left="72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sz w:val="22"/>
          <w:szCs w:val="22"/>
        </w:rPr>
        <w:t xml:space="preserve">Manifestando que: “… </w:t>
      </w:r>
      <w:r>
        <w:rPr>
          <w:rFonts w:ascii="Palatino Linotype" w:eastAsia="Palatino Linotype" w:hAnsi="Palatino Linotype" w:cs="Palatino Linotype"/>
          <w:i/>
          <w:color w:val="000000"/>
        </w:rPr>
        <w:t>Mismo que contiene lo solicitado por el hoy recurrente en la solicitud de acceso a la información objeto del presente recurso. Por lo que  considera que al haber existido un pronunciamiento por parte del sujeto obligado en el presente Informe Justificado, para dar respuesta a la solicitud de información, se concluye que se colma el derecho de acceso a la información del recurrente y, por ende, queda sin materia la inconformidad planteada, por lo que, se considera, que se actualiza la causal de que el recurso sea sobreseído. …</w:t>
      </w:r>
      <w:r>
        <w:rPr>
          <w:rFonts w:ascii="Palatino Linotype" w:eastAsia="Palatino Linotype" w:hAnsi="Palatino Linotype" w:cs="Palatino Linotype"/>
          <w:color w:val="000000"/>
        </w:rPr>
        <w:t>” (Sic)</w:t>
      </w:r>
    </w:p>
    <w:p w14:paraId="1CFE5091"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00353 ANEXO 1- GENERADOS.pdf, </w:t>
      </w:r>
      <w:r>
        <w:rPr>
          <w:rFonts w:ascii="Palatino Linotype" w:eastAsia="Palatino Linotype" w:hAnsi="Palatino Linotype" w:cs="Palatino Linotype"/>
          <w:color w:val="000000"/>
        </w:rPr>
        <w:t>documento que contiene ochenta y ocho fojas que muestran los oficios suscritos y signados por el Director de Gobierno por Resultados, donde se muestra información que fue testada sin haber emitido acuerdo de clasificación de información correspondiente.</w:t>
      </w:r>
    </w:p>
    <w:p w14:paraId="63657B74"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rPr>
        <w:t xml:space="preserve">00353 ANEXO 2 -RECIBIDOS.pdf, </w:t>
      </w:r>
      <w:r>
        <w:rPr>
          <w:rFonts w:ascii="Palatino Linotype" w:eastAsia="Palatino Linotype" w:hAnsi="Palatino Linotype" w:cs="Palatino Linotype"/>
          <w:color w:val="000000"/>
        </w:rPr>
        <w:t>documento con veinticinco fojas, de oficios y circulares recibidos, de los cuales se muestra información testada sin haber remitido acuerdo de clasificación de información.</w:t>
      </w:r>
    </w:p>
    <w:p w14:paraId="473DF47F"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cuales fueron puestos a la vista del particular en fecha </w:t>
      </w:r>
      <w:r>
        <w:rPr>
          <w:rFonts w:ascii="Palatino Linotype" w:eastAsia="Palatino Linotype" w:hAnsi="Palatino Linotype" w:cs="Palatino Linotype"/>
          <w:b/>
        </w:rPr>
        <w:t>once de mayo de dos mil veintidós,</w:t>
      </w:r>
      <w:r>
        <w:rPr>
          <w:rFonts w:ascii="Palatino Linotype" w:eastAsia="Palatino Linotype" w:hAnsi="Palatino Linotype" w:cs="Palatino Linotype"/>
        </w:rPr>
        <w:t xml:space="preserve"> con excepción del archivo </w:t>
      </w:r>
      <w:r>
        <w:rPr>
          <w:rFonts w:ascii="Palatino Linotype" w:eastAsia="Palatino Linotype" w:hAnsi="Palatino Linotype" w:cs="Palatino Linotype"/>
          <w:b/>
          <w:color w:val="000000"/>
        </w:rPr>
        <w:t xml:space="preserve">00353 ANEXO 1- GENERADOS.pdf, </w:t>
      </w:r>
      <w:r>
        <w:rPr>
          <w:rFonts w:ascii="Palatino Linotype" w:eastAsia="Palatino Linotype" w:hAnsi="Palatino Linotype" w:cs="Palatino Linotype"/>
        </w:rPr>
        <w:t>por contener información confidencial que no fue testada, lo cual analizaremos en líneas posteriores.</w:t>
      </w:r>
    </w:p>
    <w:p w14:paraId="2ED9806F" w14:textId="77777777" w:rsidR="00DA3301" w:rsidRDefault="009C6E35">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 xml:space="preserve">01541/INFOEM/IP/RR/2022, </w:t>
      </w:r>
      <w:r>
        <w:rPr>
          <w:rFonts w:ascii="Palatino Linotype" w:eastAsia="Palatino Linotype" w:hAnsi="Palatino Linotype" w:cs="Palatino Linotype"/>
          <w:color w:val="000000"/>
        </w:rPr>
        <w:t xml:space="preserve">en el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remite cinco documentos adjuntos, que se describen a continuación:</w:t>
      </w:r>
    </w:p>
    <w:p w14:paraId="6920E30F"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 xml:space="preserve">01541-INFOE-IP-RR-2022.pdf, </w:t>
      </w:r>
      <w:r>
        <w:rPr>
          <w:rFonts w:ascii="Palatino Linotype" w:eastAsia="Palatino Linotype" w:hAnsi="Palatino Linotype" w:cs="Palatino Linotype"/>
          <w:color w:val="000000"/>
        </w:rPr>
        <w:t>documento de fecha veinticuatro de marzo de dos mil veintidós, suscrito y signado por el Titular de la Unidad de Transparencia mediante el cual rinde el informe justificado.</w:t>
      </w:r>
    </w:p>
    <w:p w14:paraId="2DB3B441"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 xml:space="preserve">ANEXO 1 -ACTA DE COMITÉ DE TRANSPARENCIA -2E.pdf, </w:t>
      </w:r>
      <w:r>
        <w:rPr>
          <w:rFonts w:ascii="Palatino Linotype" w:eastAsia="Palatino Linotype" w:hAnsi="Palatino Linotype" w:cs="Palatino Linotype"/>
          <w:color w:val="000000"/>
        </w:rPr>
        <w:t>Acta de la Segunda Sesión Extraordinaria del Comité de Transparencia, celebrada el dieciséis de marzo de dos mil veintidós, a través de la cual presentan y aprueban la clasificación de información confidencial de los datos referentes a firma, nombre, teléfono y correo electrónico en atención oficios generados por la Dirección de Gobierno por Resultados, como sigue:</w:t>
      </w:r>
    </w:p>
    <w:p w14:paraId="6216FA7A" w14:textId="77777777" w:rsidR="00DA3301" w:rsidRDefault="009C6E35">
      <w:pPr>
        <w:pBdr>
          <w:top w:val="nil"/>
          <w:left w:val="nil"/>
          <w:bottom w:val="nil"/>
          <w:right w:val="nil"/>
          <w:between w:val="nil"/>
        </w:pBdr>
        <w:spacing w:before="240" w:after="240" w:line="360" w:lineRule="auto"/>
        <w:ind w:left="720"/>
        <w:jc w:val="both"/>
        <w:rPr>
          <w:rFonts w:ascii="Palatino Linotype" w:eastAsia="Palatino Linotype" w:hAnsi="Palatino Linotype" w:cs="Palatino Linotype"/>
          <w:color w:val="000000"/>
        </w:rPr>
      </w:pPr>
      <w:r>
        <w:rPr>
          <w:noProof/>
          <w:lang w:val="es-MX"/>
        </w:rPr>
        <w:lastRenderedPageBreak/>
        <w:drawing>
          <wp:inline distT="0" distB="0" distL="0" distR="0" wp14:anchorId="1F892ADD" wp14:editId="6C3E1D93">
            <wp:extent cx="5189839" cy="3919984"/>
            <wp:effectExtent l="0" t="0" r="0" b="0"/>
            <wp:docPr id="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22232" t="35608" r="45860" b="21544"/>
                    <a:stretch>
                      <a:fillRect/>
                    </a:stretch>
                  </pic:blipFill>
                  <pic:spPr>
                    <a:xfrm>
                      <a:off x="0" y="0"/>
                      <a:ext cx="5189839" cy="3919984"/>
                    </a:xfrm>
                    <a:prstGeom prst="rect">
                      <a:avLst/>
                    </a:prstGeom>
                    <a:ln/>
                  </pic:spPr>
                </pic:pic>
              </a:graphicData>
            </a:graphic>
          </wp:inline>
        </w:drawing>
      </w:r>
    </w:p>
    <w:p w14:paraId="2694047F"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ANEXO 2 -GXR.pdf</w:t>
      </w:r>
      <w:r>
        <w:rPr>
          <w:rFonts w:ascii="Palatino Linotype" w:eastAsia="Palatino Linotype" w:hAnsi="Palatino Linotype" w:cs="Palatino Linotype"/>
          <w:b/>
          <w:i/>
          <w:color w:val="000000"/>
        </w:rPr>
        <w:tab/>
        <w:t xml:space="preserve">ANEXO 2, </w:t>
      </w:r>
      <w:r>
        <w:rPr>
          <w:rFonts w:ascii="Palatino Linotype" w:eastAsia="Palatino Linotype" w:hAnsi="Palatino Linotype" w:cs="Palatino Linotype"/>
          <w:color w:val="000000"/>
        </w:rPr>
        <w:t>oficio número DGPR/344/2022, de fecha tres de febrero de dos mil veintidós, suscrito y signado por el Director de Gobierno por Resultados, por medio del cual solicita al Jefe de la Unidad de Transparencia, se somete a consideración del Comité de transparencia para aprobación la clasificación de información confidencial y envía una tabla General de Clasificación de datos, donde solicita</w:t>
      </w:r>
      <w:r>
        <w:rPr>
          <w:rFonts w:ascii="Palatino Linotype" w:eastAsia="Palatino Linotype" w:hAnsi="Palatino Linotype" w:cs="Palatino Linotype"/>
        </w:rPr>
        <w:t xml:space="preserve"> sean</w:t>
      </w:r>
      <w:r>
        <w:rPr>
          <w:rFonts w:ascii="Palatino Linotype" w:eastAsia="Palatino Linotype" w:hAnsi="Palatino Linotype" w:cs="Palatino Linotype"/>
          <w:color w:val="000000"/>
        </w:rPr>
        <w:t xml:space="preserve"> testadas la firma nombre del ciudadano, el teléfono y correo electrónico.</w:t>
      </w:r>
    </w:p>
    <w:p w14:paraId="177D3E60"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 xml:space="preserve">ANEXO 4- RESPUESTA.pdf, </w:t>
      </w:r>
      <w:r>
        <w:rPr>
          <w:rFonts w:ascii="Palatino Linotype" w:eastAsia="Palatino Linotype" w:hAnsi="Palatino Linotype" w:cs="Palatino Linotype"/>
          <w:color w:val="000000"/>
        </w:rPr>
        <w:t xml:space="preserve">documento que consta de veintidós fojas de oficios dirigidos al  Director de Gobierno por Resultados, en los cuales testan </w:t>
      </w:r>
      <w:r>
        <w:rPr>
          <w:rFonts w:ascii="Palatino Linotype" w:eastAsia="Palatino Linotype" w:hAnsi="Palatino Linotype" w:cs="Palatino Linotype"/>
          <w:color w:val="000000"/>
        </w:rPr>
        <w:lastRenderedPageBreak/>
        <w:t xml:space="preserve">el nombre del servidor público, correo electrónico,  teléfono </w:t>
      </w:r>
      <w:r>
        <w:rPr>
          <w:rFonts w:ascii="Palatino Linotype" w:eastAsia="Palatino Linotype" w:hAnsi="Palatino Linotype" w:cs="Palatino Linotype"/>
        </w:rPr>
        <w:t>móvil</w:t>
      </w:r>
      <w:r>
        <w:rPr>
          <w:rFonts w:ascii="Palatino Linotype" w:eastAsia="Palatino Linotype" w:hAnsi="Palatino Linotype" w:cs="Palatino Linotype"/>
          <w:color w:val="000000"/>
        </w:rPr>
        <w:t xml:space="preserve">  y  de oficina, así como el nombre y firma del servidor público que reciben el oficio. </w:t>
      </w:r>
    </w:p>
    <w:p w14:paraId="3ACEB23B"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ANEXO 3 RESPUESTA.pdf,</w:t>
      </w:r>
      <w:r>
        <w:rPr>
          <w:rFonts w:ascii="Palatino Linotype" w:eastAsia="Palatino Linotype" w:hAnsi="Palatino Linotype" w:cs="Palatino Linotype"/>
          <w:color w:val="000000"/>
        </w:rPr>
        <w:t xml:space="preserve"> documento que consta de treinta y nueve fojas, de oficios suscritos por el Director de Gobierno por Resultados, en los que se aprecia testa las firmas y nombres de los servidores públicos que recibieron el oficio así como nombres de servidores públicos en la estructura del </w:t>
      </w:r>
      <w:r>
        <w:rPr>
          <w:rFonts w:ascii="Palatino Linotype" w:eastAsia="Palatino Linotype" w:hAnsi="Palatino Linotype" w:cs="Palatino Linotype"/>
          <w:b/>
          <w:color w:val="000000"/>
        </w:rPr>
        <w:t>Sujeto Obligado.</w:t>
      </w:r>
    </w:p>
    <w:p w14:paraId="2698549B"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cuales fueron puestos a la vista del particular en fecha once de mayo de dos mil veintidós. Por su parte,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realizó manifestaciones en ninguno de los recursos de revisión.</w:t>
      </w:r>
    </w:p>
    <w:p w14:paraId="3CF2899D"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8. Cierre de Instrucción. </w:t>
      </w:r>
      <w:r>
        <w:rPr>
          <w:rFonts w:ascii="Palatino Linotype" w:eastAsia="Palatino Linotype" w:hAnsi="Palatino Linotype" w:cs="Palatino Linotype"/>
        </w:rPr>
        <w:t xml:space="preserve">En fechas </w:t>
      </w:r>
      <w:r>
        <w:rPr>
          <w:rFonts w:ascii="Palatino Linotype" w:eastAsia="Palatino Linotype" w:hAnsi="Palatino Linotype" w:cs="Palatino Linotype"/>
          <w:b/>
        </w:rPr>
        <w:t>treinta y uno de marzo, siete abril y trece y diecisiete de mayo de dos mil veintidós</w:t>
      </w:r>
      <w:r>
        <w:rPr>
          <w:rFonts w:ascii="Palatino Linotype" w:eastAsia="Palatino Linotype" w:hAnsi="Palatino Linotype" w:cs="Palatino Linotype"/>
        </w:rPr>
        <w:t>, con fundamento en lo establecido en los artículos 185, fracción VI de la Ley de Transparencia y Acceso a la Información Pública del Estado de México y Municipios y 30, fracción IV del Reglamento Interior del Instituto de Transparencia, Acceso a la Información Pública y Protección de Datos Personales del Estado de México y Municipios, al no existir trámite pendiente por realizar y haber sido sustanciados los medios de impugnación se acordaron los cierres de instrucción y se procede a formular la resolución que en derecho corresponda.</w:t>
      </w:r>
    </w:p>
    <w:p w14:paraId="3F96149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9.- Ampliación del plazo para emitir resolución.</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once, trece y diecisiete de mayo de dos mil veintidós,</w:t>
      </w:r>
      <w:r>
        <w:rPr>
          <w:rFonts w:ascii="Palatino Linotype" w:eastAsia="Palatino Linotype" w:hAnsi="Palatino Linotype" w:cs="Palatino Linotype"/>
        </w:rPr>
        <w:t xml:space="preserve"> se notificó a las partes el Acuerdo de Ampliación de Plazo para resolver los medios de impugnación que nos ocupa, en términos de lo </w:t>
      </w:r>
      <w:r>
        <w:rPr>
          <w:rFonts w:ascii="Palatino Linotype" w:eastAsia="Palatino Linotype" w:hAnsi="Palatino Linotype" w:cs="Palatino Linotype"/>
        </w:rPr>
        <w:lastRenderedPageBreak/>
        <w:t>dispuesto por el artículo 181, párrafo tercero de la Ley de Transparencia y Acceso a la Información Pública del Estado de México y Municipios; lo anterior, a fin de aminorar los efectos que conlleva.</w:t>
      </w:r>
    </w:p>
    <w:p w14:paraId="7B9FD1EB"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razón de que fueron debidamente sustanciados los expedientes electrónicos y no existe diligencia pendiente de desahogo, se emite la Resolución que conforme a Derecho proceda, de acuerdo con los siguientes:</w:t>
      </w:r>
    </w:p>
    <w:p w14:paraId="3D451D02" w14:textId="77777777" w:rsidR="00DA3301" w:rsidRDefault="009C6E35">
      <w:pPr>
        <w:numPr>
          <w:ilvl w:val="0"/>
          <w:numId w:val="3"/>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C O N S I D E R A N D O S</w:t>
      </w:r>
    </w:p>
    <w:p w14:paraId="1F769A4A"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w:t>
      </w:r>
      <w:r>
        <w:rPr>
          <w:rFonts w:ascii="Palatino Linotype" w:eastAsia="Palatino Linotype" w:hAnsi="Palatino Linotype" w:cs="Palatino Linotype"/>
          <w:b/>
        </w:rPr>
        <w:t>RECURRENTE</w:t>
      </w:r>
      <w:r>
        <w:rPr>
          <w:rFonts w:ascii="Palatino Linotype" w:eastAsia="Palatino Linotype" w:hAnsi="Palatino Linotype" w:cs="Palatino Linotype"/>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2409C414"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Segundo. Oportunidad y Procedibilidad. </w:t>
      </w:r>
      <w:r>
        <w:rPr>
          <w:rFonts w:ascii="Palatino Linotype" w:eastAsia="Palatino Linotype" w:hAnsi="Palatino Linotype" w:cs="Palatino Linotype"/>
        </w:rPr>
        <w:t>Es de precisar que la</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Ley de Transparencia y Acceso a la Información Pública del Estado de México y Municipios, describe el mecanismo de procedencia de los recursos de revisión, como se dispone en los artículos 163 y 166, del tenor literal siguiente: </w:t>
      </w:r>
    </w:p>
    <w:p w14:paraId="25B3F9C6"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 xml:space="preserve">Artículo 163. </w:t>
      </w:r>
      <w:r>
        <w:rPr>
          <w:rFonts w:ascii="Palatino Linotype" w:eastAsia="Palatino Linotype" w:hAnsi="Palatino Linotype" w:cs="Palatino Linotype"/>
          <w:i/>
          <w:sz w:val="22"/>
          <w:szCs w:val="22"/>
        </w:rPr>
        <w:t xml:space="preserve">La Unidad de Transparencia deberá notificar la respuesta a la solicitud al interesado en el menor tiempo posible, que no podrá exceder de quince días hábiles, contados a partir del día siguiente a la presentación de aquélla. </w:t>
      </w:r>
    </w:p>
    <w:p w14:paraId="0481F7DA"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w:t>
      </w:r>
    </w:p>
    <w:p w14:paraId="090E0E49"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b/>
          <w:i/>
          <w:sz w:val="22"/>
          <w:szCs w:val="22"/>
        </w:rPr>
        <w:t>Artículo 166.</w:t>
      </w:r>
      <w:r>
        <w:rPr>
          <w:rFonts w:ascii="Palatino Linotype" w:eastAsia="Palatino Linotype" w:hAnsi="Palatino Linotype" w:cs="Palatino Linotype"/>
          <w:i/>
          <w:sz w:val="22"/>
          <w:szCs w:val="22"/>
        </w:rPr>
        <w:t xml:space="preserve"> […]</w:t>
      </w:r>
    </w:p>
    <w:p w14:paraId="7B46C0CF"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 xml:space="preserve">Cuando el sujeto obligado no entregue la respuesta a la solicitud dentro del plazo previsto en la Ley, la solicitud se entenderá negada y el solicitante podrá interponer el recurso de revisión previsto en este ordenamiento.” </w:t>
      </w:r>
    </w:p>
    <w:p w14:paraId="645FD18A"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la interpretación sistemática a los preceptos legales insertos, se obtiene que el plazo que les asiste a los Sujetos Obligados para entregar la respuesta a una solicitud de información pública es de quince días hábiles posteriores a la presentación de ésta; sin embargo, en aquellos casos en que transcurre el referido plazo de quince días hábiles, sin que los Sujetos Obligados entreguen la respuesta a la solicitud de información, ésta se considera negada; por lo que al solicitante le asiste el derecho para presentar el recurso de revisión.</w:t>
      </w:r>
    </w:p>
    <w:p w14:paraId="4AF67D37"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Derivado de lo anterior, se constituye lo que en la doctrina se conoce como negativa ficta, figura jurídica cuya esencia consiste en atribuir un efecto negativo al silencio de la autoridad administrativa frente a las instancias y solicitudes que hagan los particulares.</w:t>
      </w:r>
    </w:p>
    <w:p w14:paraId="6D2E77E7" w14:textId="77777777" w:rsidR="00DA3301" w:rsidRDefault="009C6E35">
      <w:pPr>
        <w:spacing w:before="240" w:after="240" w:line="360" w:lineRule="auto"/>
        <w:jc w:val="both"/>
        <w:rPr>
          <w:rFonts w:ascii="Palatino Linotype" w:eastAsia="Palatino Linotype" w:hAnsi="Palatino Linotype" w:cs="Palatino Linotype"/>
          <w:i/>
        </w:rPr>
      </w:pPr>
      <w:r>
        <w:rPr>
          <w:rFonts w:ascii="Palatino Linotype" w:eastAsia="Palatino Linotype" w:hAnsi="Palatino Linotype" w:cs="Palatino Linotype"/>
        </w:rPr>
        <w:t>Por su parte, el artículo 178 del citado ordenamiento, establece:</w:t>
      </w:r>
    </w:p>
    <w:p w14:paraId="2ABAB95A"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178. </w:t>
      </w:r>
      <w:r>
        <w:rPr>
          <w:rFonts w:ascii="Palatino Linotype" w:eastAsia="Palatino Linotype" w:hAnsi="Palatino Linotype" w:cs="Palatino Linotype"/>
          <w:i/>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r>
        <w:rPr>
          <w:rFonts w:ascii="Palatino Linotype" w:eastAsia="Palatino Linotype" w:hAnsi="Palatino Linotype" w:cs="Palatino Linotype"/>
          <w:b/>
          <w:i/>
          <w:sz w:val="22"/>
          <w:szCs w:val="22"/>
        </w:rPr>
        <w:t>.”</w:t>
      </w:r>
    </w:p>
    <w:p w14:paraId="586582D7"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lo anterior, se advierte que los recursos de revisión se han de interponer dentro del plazo de quince días hábiles, a partir de la fecha en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da respuesta a la solicitud de información; sin embargo, tratándose de negativa ficta no existe resolución que se haga del conocimiento del particular a partir de la cual pueda computarse dicho plazo, por lo que se concluye que la interposición del recurso de revisión puede ser en cualquier momento.</w:t>
      </w:r>
    </w:p>
    <w:p w14:paraId="4959677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La negativa ficta constituye una presunción legal, en el entendido de que donde no hubo respuesta por parte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existe por lo tanto, una resolución de rechazo ante la solicitud del ciudadano; ya que efectivamente, dicha figura se encuentra íntimamente vinculada con el Derecho de Petición, consagrado en nuestra Carta Magna, es por ello que constituye un instrumento que garantiza la posibilidad de defensa del particular en contra de la incertidumbre jurídica y que tiende a realizar ese Estado de Derecho en el que, el particular, tiene siempre una vía de defensa en contra de los actos autoritarios que le perjudican.</w:t>
      </w:r>
    </w:p>
    <w:p w14:paraId="05E2452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el marco del derecho de acceso a la información pública, la figura de la negativa ficta brinda al ciudadano la oportunidad de inconformarse en los casos en que estime violentado su derecho; permitiendo a este Instituto cumplir los principios por los cuales la misma ley se rige que atienden a la simplicidad y rapidez al acceso a la información, por lo tanto antes de que se actualice un recurso extemporáneo, se actualiza la omisión del Sujeto Obligado de dar respuesta, por lo que este Órgano Garante del derecho de acceso a la información y en aras de privilegiar el principio de máxima publicidad deberá dar entrada al estudio del fondo del recurso interpuesto en dichos casos y no optar por el desechamiento del mismo.</w:t>
      </w:r>
    </w:p>
    <w:p w14:paraId="5482A5C1" w14:textId="77777777" w:rsidR="00DA3301" w:rsidRDefault="009C6E35">
      <w:pPr>
        <w:spacing w:before="240" w:after="240" w:line="360" w:lineRule="auto"/>
        <w:jc w:val="both"/>
        <w:rPr>
          <w:rFonts w:ascii="Palatino Linotype" w:eastAsia="Palatino Linotype" w:hAnsi="Palatino Linotype" w:cs="Palatino Linotype"/>
          <w:i/>
        </w:rPr>
      </w:pPr>
      <w:r>
        <w:rPr>
          <w:rFonts w:ascii="Palatino Linotype" w:eastAsia="Palatino Linotype" w:hAnsi="Palatino Linotype" w:cs="Palatino Linotype"/>
        </w:rPr>
        <w:lastRenderedPageBreak/>
        <w:t xml:space="preserve">Por lo tanto, con la finalidad de no reducir ni limitar el derecho de acceso a la información y concederle una protección más eficaz al solicitante para impugnar el silencio del </w:t>
      </w:r>
      <w:r>
        <w:rPr>
          <w:rFonts w:ascii="Palatino Linotype" w:eastAsia="Palatino Linotype" w:hAnsi="Palatino Linotype" w:cs="Palatino Linotype"/>
          <w:b/>
        </w:rPr>
        <w:t>SUJETO OBLIGADO</w:t>
      </w:r>
      <w:r>
        <w:rPr>
          <w:rFonts w:ascii="Palatino Linotype" w:eastAsia="Palatino Linotype" w:hAnsi="Palatino Linotype" w:cs="Palatino Linotype"/>
        </w:rPr>
        <w:t>, éste tiene la posibilidad de impugnar dicha omisión en cualquier tiempo mediante el recurso de revisión y con ello satisfacer su pretensión; postura que ha sido adoptada mediante criterio número 001-15, aprobado por el Pleno del Instituto de Transparencia, Acceso a la Información Pública y Protección de Datos Personales del Estado de México y Municipios y publicado en el Periódico Oficial del Estado de México “Gaceta del Gobierno”, el veintitrés de abril de dos mil quince, que establece:</w:t>
      </w:r>
    </w:p>
    <w:p w14:paraId="331DC1BE"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b/>
          <w:i/>
          <w:sz w:val="22"/>
          <w:szCs w:val="22"/>
        </w:rPr>
        <w:t>“CRITERIO 0001-15. NEGATIVA FICTA. PLAZO PARA INTERPONER EL RECURSO DE REVISIÓN TRATÁNDOSE DE</w:t>
      </w:r>
      <w:r>
        <w:rPr>
          <w:rFonts w:ascii="Palatino Linotype" w:eastAsia="Palatino Linotype" w:hAnsi="Palatino Linotype" w:cs="Palatino Linotype"/>
          <w:i/>
          <w:sz w:val="22"/>
          <w:szCs w:val="22"/>
        </w:rPr>
        <w:t>.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r>
        <w:rPr>
          <w:rFonts w:ascii="Palatino Linotype" w:eastAsia="Palatino Linotype" w:hAnsi="Palatino Linotype" w:cs="Palatino Linotype"/>
          <w:i/>
        </w:rPr>
        <w:t xml:space="preserve"> </w:t>
      </w:r>
    </w:p>
    <w:p w14:paraId="179E6DB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mismo tiempo, por cuanto hace a la procedibilidad del recurso de revisión, una vez realizado el análisis de los formatos de interposición de los recursos, se concluye la acreditación plena de los elementos formales precisados por el artículo 180 de la Ley de Transparencia y Acceso a la Información Pública del Estado de México y </w:t>
      </w:r>
      <w:r>
        <w:rPr>
          <w:rFonts w:ascii="Palatino Linotype" w:eastAsia="Palatino Linotype" w:hAnsi="Palatino Linotype" w:cs="Palatino Linotype"/>
        </w:rPr>
        <w:lastRenderedPageBreak/>
        <w:t>Municipios, en atención a que fueron presentados mediante el formato visible en el SAIMEX.</w:t>
      </w:r>
    </w:p>
    <w:p w14:paraId="33E2E6B5"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 efecto de sustentar lo anterior, es de suma importancia mencionar que si bien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no proporcionó nombre </w:t>
      </w:r>
      <w:r>
        <w:rPr>
          <w:rFonts w:ascii="Palatino Linotype" w:eastAsia="Palatino Linotype" w:hAnsi="Palatino Linotype" w:cs="Palatino Linotype"/>
        </w:rPr>
        <w:t>como se advierte en el detalle de seguimiento del SAIMEX, sin embargo, el no proporcionar un nombre no es motivo para archivar las solicitudes de acceso a la información pública como concluidas, conforme a lo previsto en el artículo 155, penúltimo párrafo de la Ley de Transparencia y Acceso a la Información Pública del Estado de México y Municipios que establece lo siguiente:</w:t>
      </w:r>
    </w:p>
    <w:p w14:paraId="22B98B91" w14:textId="77777777" w:rsidR="00DA3301" w:rsidRDefault="009C6E35">
      <w:pPr>
        <w:spacing w:before="120" w:after="120"/>
        <w:ind w:left="851" w:right="902"/>
        <w:jc w:val="both"/>
        <w:rPr>
          <w:rFonts w:ascii="Palatino Linotype" w:eastAsia="Palatino Linotype" w:hAnsi="Palatino Linotype" w:cs="Palatino Linotype"/>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Las solicitudes anónimas</w:t>
      </w:r>
      <w:r>
        <w:rPr>
          <w:rFonts w:ascii="Palatino Linotype" w:eastAsia="Palatino Linotype" w:hAnsi="Palatino Linotype" w:cs="Palatino Linotype"/>
          <w:i/>
          <w:sz w:val="22"/>
          <w:szCs w:val="22"/>
        </w:rPr>
        <w:t xml:space="preserve">, con nombre incompleto o seudónimo </w:t>
      </w:r>
      <w:r>
        <w:rPr>
          <w:rFonts w:ascii="Palatino Linotype" w:eastAsia="Palatino Linotype" w:hAnsi="Palatino Linotype" w:cs="Palatino Linotype"/>
          <w:b/>
          <w:i/>
          <w:sz w:val="22"/>
          <w:szCs w:val="22"/>
        </w:rPr>
        <w:t>serán procedentes para su trámite por parte del sujeto obligado ante quien se presente</w:t>
      </w:r>
      <w:r>
        <w:rPr>
          <w:rFonts w:ascii="Palatino Linotype" w:eastAsia="Palatino Linotype" w:hAnsi="Palatino Linotype" w:cs="Palatino Linotype"/>
          <w:i/>
          <w:sz w:val="22"/>
          <w:szCs w:val="22"/>
        </w:rPr>
        <w:t>. No podrá requerirse información adicional con motivo del nombre proporcionado por el solicitante."</w:t>
      </w:r>
    </w:p>
    <w:p w14:paraId="432BFD09"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mismo tenor, el propio artículo 180 de la Ley de Transparencia local citado, en su último párrafo establece que cuando el recurso se interponga de manera electrónica, no será indispensable que contenga determinados requisitos, entre ellos, el nombre de la parte </w:t>
      </w:r>
      <w:r>
        <w:rPr>
          <w:rFonts w:ascii="Palatino Linotype" w:eastAsia="Palatino Linotype" w:hAnsi="Palatino Linotype" w:cs="Palatino Linotype"/>
          <w:b/>
        </w:rPr>
        <w:t>RECURRENTE</w:t>
      </w:r>
      <w:r>
        <w:rPr>
          <w:rFonts w:ascii="Palatino Linotype" w:eastAsia="Palatino Linotype" w:hAnsi="Palatino Linotype" w:cs="Palatino Linotype"/>
        </w:rPr>
        <w:t>, por lo que, en el presente caso, al haber sido presentado el recurso de revisión vía SAIMEX, dicho requisito resulta innecesario.</w:t>
      </w:r>
    </w:p>
    <w:p w14:paraId="0997276D"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antes de entrar al estudio de la presente resolución es preciso determinar si resulta procedente la interposición de los recursos de revisión, toda vez que se actualiza la hipótesis prevista en el artículo 179, fracción VII de la ley de la materia, que a la letra dice:</w:t>
      </w:r>
    </w:p>
    <w:p w14:paraId="06D03C52" w14:textId="77777777" w:rsidR="00DA3301" w:rsidRDefault="009C6E35">
      <w:pPr>
        <w:ind w:left="851" w:right="851"/>
        <w:jc w:val="both"/>
        <w:rPr>
          <w:rFonts w:ascii="Palatino Linotype" w:eastAsia="Palatino Linotype" w:hAnsi="Palatino Linotype" w:cs="Palatino Linotype"/>
          <w:i/>
        </w:rPr>
      </w:pPr>
      <w:r>
        <w:rPr>
          <w:rFonts w:ascii="Palatino Linotype" w:eastAsia="Palatino Linotype" w:hAnsi="Palatino Linotype" w:cs="Palatino Linotype"/>
          <w:i/>
          <w:sz w:val="22"/>
          <w:szCs w:val="22"/>
        </w:rPr>
        <w:lastRenderedPageBreak/>
        <w:t>“</w:t>
      </w:r>
      <w:r>
        <w:rPr>
          <w:rFonts w:ascii="Palatino Linotype" w:eastAsia="Palatino Linotype" w:hAnsi="Palatino Linotype" w:cs="Palatino Linotype"/>
          <w:b/>
          <w:i/>
          <w:sz w:val="22"/>
          <w:szCs w:val="22"/>
        </w:rPr>
        <w:t xml:space="preserve">Artículo 179. </w:t>
      </w:r>
      <w:r>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7DA6C058" w14:textId="77777777" w:rsidR="00DA3301" w:rsidRDefault="009C6E35">
      <w:pPr>
        <w:ind w:left="1134" w:right="851"/>
        <w:jc w:val="both"/>
        <w:rPr>
          <w:rFonts w:ascii="Palatino Linotype" w:eastAsia="Palatino Linotype" w:hAnsi="Palatino Linotype" w:cs="Palatino Linotype"/>
          <w:i/>
        </w:rPr>
      </w:pPr>
      <w:r>
        <w:rPr>
          <w:rFonts w:ascii="Palatino Linotype" w:eastAsia="Palatino Linotype" w:hAnsi="Palatino Linotype" w:cs="Palatino Linotype"/>
          <w:i/>
        </w:rPr>
        <w:t>…</w:t>
      </w:r>
    </w:p>
    <w:p w14:paraId="012DF6C5"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falta de respuesta a una solicitud de acceso a la información;</w:t>
      </w:r>
    </w:p>
    <w:p w14:paraId="5B608E59"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w:t>
      </w:r>
    </w:p>
    <w:p w14:paraId="2241E1AC"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precepto legal citado, establece como supuesto de procedencia del recurso de revisión, en aquellos casos en que la parte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estime negado el acceso a la información por la falta de respuesta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este asunto se actualiza la hipótesis jurídica citada, en atención a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combate falta de trámite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y expresa motivos de inconformidad en contra de dicha circunstancia.</w:t>
      </w:r>
    </w:p>
    <w:p w14:paraId="547B53A8" w14:textId="77777777" w:rsidR="00DA3301" w:rsidRDefault="009C6E35">
      <w:pPr>
        <w:tabs>
          <w:tab w:val="left" w:pos="8647"/>
        </w:tabs>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Este Organismo Garante procede del análisis de los agravios hechos valer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 fin de determinar si se violenta en perjuicio de éste, el derecho de acceso a la información previsto en la Constitución Política de los Estados Unidos Mexicanos y en la Constitución Política del Estado Libre y Soberano de México. </w:t>
      </w:r>
    </w:p>
    <w:p w14:paraId="1A453B83"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En primer término, se estima pertinente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6D08BE25" w14:textId="77777777" w:rsidR="00DA3301" w:rsidRDefault="009C6E35">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lastRenderedPageBreak/>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14:paraId="03737C12" w14:textId="77777777" w:rsidR="00DA3301" w:rsidRDefault="009C6E35">
      <w:pPr>
        <w:tabs>
          <w:tab w:val="left" w:pos="709"/>
        </w:tabs>
        <w:ind w:left="851" w:right="85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14:paraId="006B5DF0" w14:textId="77777777" w:rsidR="00DA3301" w:rsidRDefault="009C6E35">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14:paraId="31FF77C9" w14:textId="77777777" w:rsidR="00DA3301" w:rsidRDefault="009C6E35">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0A32B52" w14:textId="77777777" w:rsidR="00DA3301" w:rsidRDefault="009C6E35">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14:paraId="7EC1AAD6" w14:textId="77777777" w:rsidR="00DA3301" w:rsidRDefault="009C6E35">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6C3C538"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14:paraId="7F71E61B"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4F95A82C"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3B617E52"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2637DD91" w14:textId="77777777" w:rsidR="00DA3301" w:rsidRDefault="009C6E35">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14:paraId="483BCBFB"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390D40E3"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14:paraId="4C7F2319"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44725FBB"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14:paraId="72CF671E" w14:textId="77777777" w:rsidR="00DA3301" w:rsidRDefault="00DA3301">
      <w:pPr>
        <w:ind w:left="851" w:right="851"/>
        <w:jc w:val="both"/>
        <w:rPr>
          <w:rFonts w:ascii="Palatino Linotype" w:eastAsia="Palatino Linotype" w:hAnsi="Palatino Linotype" w:cs="Palatino Linotype"/>
          <w:i/>
          <w:sz w:val="22"/>
          <w:szCs w:val="22"/>
        </w:rPr>
      </w:pPr>
    </w:p>
    <w:p w14:paraId="19B3D01A"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224345FF"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09E1053B"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14:paraId="189267C0"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43A2F6E2"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p>
    <w:p w14:paraId="5DE6168A" w14:textId="77777777" w:rsidR="00DA3301" w:rsidRDefault="00DA3301">
      <w:pPr>
        <w:ind w:right="851"/>
        <w:jc w:val="both"/>
        <w:rPr>
          <w:rFonts w:ascii="Palatino Linotype" w:eastAsia="Palatino Linotype" w:hAnsi="Palatino Linotype" w:cs="Palatino Linotype"/>
          <w:i/>
          <w:sz w:val="22"/>
          <w:szCs w:val="22"/>
        </w:rPr>
      </w:pPr>
    </w:p>
    <w:p w14:paraId="5EFB8F30" w14:textId="77777777" w:rsidR="00DA3301" w:rsidRDefault="009C6E35">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cumplir con dichos dispositivos legales.</w:t>
      </w:r>
    </w:p>
    <w:p w14:paraId="73B10338" w14:textId="77777777" w:rsidR="00DA3301" w:rsidRDefault="009C6E35">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En primer lugar</w:t>
      </w:r>
      <w:r>
        <w:rPr>
          <w:rFonts w:ascii="Palatino Linotype" w:eastAsia="Palatino Linotype" w:hAnsi="Palatino Linotype" w:cs="Palatino Linotype"/>
        </w:rPr>
        <w:t xml:space="preserve">, es conveniente analizar si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w:t>
      </w:r>
      <w:r>
        <w:rPr>
          <w:rFonts w:ascii="Palatino Linotype" w:eastAsia="Palatino Linotype" w:hAnsi="Palatino Linotype" w:cs="Palatino Linotype"/>
        </w:rPr>
        <w:lastRenderedPageBreak/>
        <w:t xml:space="preserve">Estado de México y Municipios en su </w:t>
      </w:r>
      <w:r>
        <w:rPr>
          <w:rFonts w:ascii="Palatino Linotype" w:eastAsia="Palatino Linotype" w:hAnsi="Palatino Linotype" w:cs="Palatino Linotype"/>
          <w:color w:val="000000"/>
        </w:rPr>
        <w:t>artículo 4,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68D572ED" w14:textId="77777777" w:rsidR="00DA3301" w:rsidRDefault="009C6E35">
      <w:pPr>
        <w:spacing w:before="240" w:line="276" w:lineRule="auto"/>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5FA6EA67" w14:textId="77777777" w:rsidR="00DA3301" w:rsidRDefault="009C6E35">
      <w:pPr>
        <w:spacing w:line="276" w:lineRule="auto"/>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217B585F" w14:textId="77777777" w:rsidR="00DA3301" w:rsidRDefault="009C6E35">
      <w:pPr>
        <w:spacing w:line="276" w:lineRule="auto"/>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Pr>
          <w:rFonts w:ascii="Palatino Linotype" w:eastAsia="Palatino Linotype" w:hAnsi="Palatino Linotype" w:cs="Palatino Linotype"/>
          <w:i/>
          <w:sz w:val="22"/>
          <w:szCs w:val="22"/>
        </w:rPr>
        <w:t>.”(Sic)</w:t>
      </w:r>
    </w:p>
    <w:p w14:paraId="13F9FE05" w14:textId="77777777" w:rsidR="00DA3301" w:rsidRDefault="00DA3301">
      <w:pPr>
        <w:ind w:left="709" w:right="760"/>
        <w:jc w:val="both"/>
        <w:rPr>
          <w:rFonts w:ascii="Palatino Linotype" w:eastAsia="Palatino Linotype" w:hAnsi="Palatino Linotype" w:cs="Palatino Linotype"/>
          <w:i/>
        </w:rPr>
      </w:pPr>
    </w:p>
    <w:p w14:paraId="7892C08F"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 anterior, se desprende que los Sujetos Obligados tienen el deber de atender las solicitudes de acceso a la información pública que se les hagan de su conocimiento y proporcionar la información pública que obre en su poder conforme el estado que se encuentra y no hacer un procesamiento de la misma, ni presentarla conforme al interés del solicitante; como así lo establece el artículo 12 de la Ley de Transparencia </w:t>
      </w:r>
      <w:r>
        <w:rPr>
          <w:rFonts w:ascii="Palatino Linotype" w:eastAsia="Palatino Linotype" w:hAnsi="Palatino Linotype" w:cs="Palatino Linotype"/>
        </w:rPr>
        <w:lastRenderedPageBreak/>
        <w:t>y Acceso a la Información Pública del Estado de México y Municipios, el cual a la letra dice:</w:t>
      </w:r>
    </w:p>
    <w:p w14:paraId="30F21760" w14:textId="77777777" w:rsidR="00DA3301" w:rsidRDefault="009C6E35">
      <w:pPr>
        <w:spacing w:line="276" w:lineRule="auto"/>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5277873B" w14:textId="77777777" w:rsidR="00DA3301" w:rsidRDefault="009C6E35">
      <w:pPr>
        <w:spacing w:line="276" w:lineRule="auto"/>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14:paraId="4E8BB59A" w14:textId="77777777" w:rsidR="00DA3301" w:rsidRDefault="00DA3301">
      <w:pPr>
        <w:spacing w:line="360" w:lineRule="auto"/>
        <w:ind w:right="-93"/>
        <w:jc w:val="both"/>
        <w:rPr>
          <w:rFonts w:ascii="Palatino Linotype" w:eastAsia="Palatino Linotype" w:hAnsi="Palatino Linotype" w:cs="Palatino Linotype"/>
          <w:color w:val="000000"/>
        </w:rPr>
      </w:pPr>
    </w:p>
    <w:p w14:paraId="60C2C69C" w14:textId="77777777" w:rsidR="00DA3301" w:rsidRDefault="009C6E35">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En esa tesitura, el artículo 24 en su último párrafo de la Ley de la Materia, dispone que los Sujetos Obligados </w:t>
      </w:r>
      <w:r>
        <w:rPr>
          <w:rFonts w:ascii="Palatino Linotype" w:eastAsia="Palatino Linotype" w:hAnsi="Palatino Linotype" w:cs="Palatino Linotype"/>
          <w:color w:val="000000"/>
        </w:rPr>
        <w:t xml:space="preserve">sólo proporcionarán la información pública que </w:t>
      </w:r>
      <w:r>
        <w:rPr>
          <w:rFonts w:ascii="Palatino Linotype" w:eastAsia="Palatino Linotype" w:hAnsi="Palatino Linotype" w:cs="Palatino Linotype"/>
        </w:rPr>
        <w:t>generen</w:t>
      </w:r>
      <w:r>
        <w:rPr>
          <w:rFonts w:ascii="Palatino Linotype" w:eastAsia="Palatino Linotype" w:hAnsi="Palatino Linotype" w:cs="Palatino Linotype"/>
          <w:color w:val="000000"/>
        </w:rPr>
        <w:t>, administren o posean en el ejercicio de sus atribuciones; por consiguiente, la información pública se encuentra a disposición de cualquier persona, lo que implica que es deber de los Sujetos Obligados, garantizar el Derecho de Acceso a la Información Pública, lo que no sucedió en el presente caso.</w:t>
      </w:r>
    </w:p>
    <w:p w14:paraId="2B4A3D91" w14:textId="77777777" w:rsidR="00DA3301" w:rsidRDefault="00DA3301">
      <w:pPr>
        <w:spacing w:line="360" w:lineRule="auto"/>
        <w:jc w:val="both"/>
        <w:rPr>
          <w:rFonts w:ascii="Palatino Linotype" w:eastAsia="Palatino Linotype" w:hAnsi="Palatino Linotype" w:cs="Palatino Linotype"/>
          <w:color w:val="000000"/>
        </w:rPr>
      </w:pPr>
    </w:p>
    <w:p w14:paraId="5A28B6EB" w14:textId="77777777" w:rsidR="00DA3301" w:rsidRDefault="009C6E35">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66FE4E01" w14:textId="77777777" w:rsidR="00DA3301" w:rsidRDefault="00DA3301">
      <w:pPr>
        <w:spacing w:line="360" w:lineRule="auto"/>
        <w:ind w:right="49"/>
        <w:jc w:val="both"/>
        <w:rPr>
          <w:rFonts w:ascii="Palatino Linotype" w:eastAsia="Palatino Linotype" w:hAnsi="Palatino Linotype" w:cs="Palatino Linotype"/>
        </w:rPr>
      </w:pPr>
    </w:p>
    <w:p w14:paraId="45036723"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conviene mencionar que la Ley de Transparencia vigente en el Estado de México refiere: </w:t>
      </w:r>
    </w:p>
    <w:p w14:paraId="2E987D56" w14:textId="77777777" w:rsidR="00DA3301" w:rsidRDefault="009C6E35">
      <w:pPr>
        <w:spacing w:line="276" w:lineRule="auto"/>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Los sujetos obligados deberán documentar todo acto que derive del ejercicio de sus facultades, competencias o funciones, considerando desde su origen la eventual publicidad</w:t>
      </w:r>
      <w:r>
        <w:rPr>
          <w:rFonts w:ascii="Palatino Linotype" w:eastAsia="Palatino Linotype" w:hAnsi="Palatino Linotype" w:cs="Palatino Linotype"/>
          <w:i/>
          <w:sz w:val="22"/>
          <w:szCs w:val="22"/>
        </w:rPr>
        <w:t xml:space="preserve"> y reutilización de la información que generen.</w:t>
      </w:r>
    </w:p>
    <w:p w14:paraId="2B0D1AFE" w14:textId="77777777" w:rsidR="00DA3301" w:rsidRDefault="00DA3301">
      <w:pPr>
        <w:spacing w:line="276" w:lineRule="auto"/>
        <w:ind w:left="851" w:right="851"/>
        <w:jc w:val="both"/>
        <w:rPr>
          <w:rFonts w:ascii="Palatino Linotype" w:eastAsia="Palatino Linotype" w:hAnsi="Palatino Linotype" w:cs="Palatino Linotype"/>
          <w:b/>
          <w:i/>
          <w:sz w:val="22"/>
          <w:szCs w:val="22"/>
        </w:rPr>
      </w:pPr>
    </w:p>
    <w:p w14:paraId="30D15871" w14:textId="77777777" w:rsidR="00DA3301" w:rsidRDefault="009C6E35">
      <w:pPr>
        <w:spacing w:line="276" w:lineRule="auto"/>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19. </w:t>
      </w:r>
      <w:r>
        <w:rPr>
          <w:rFonts w:ascii="Palatino Linotype" w:eastAsia="Palatino Linotype" w:hAnsi="Palatino Linotype" w:cs="Palatino Linotype"/>
          <w:b/>
          <w:i/>
          <w:sz w:val="22"/>
          <w:szCs w:val="22"/>
          <w:u w:val="single"/>
        </w:rPr>
        <w:t>Se presume que la información debe existir si se refiere a las facultades, competencias y funciones que los ordenamientos jurídicos aplicables otorgan a los sujetos obligados</w:t>
      </w:r>
      <w:r>
        <w:rPr>
          <w:rFonts w:ascii="Palatino Linotype" w:eastAsia="Palatino Linotype" w:hAnsi="Palatino Linotype" w:cs="Palatino Linotype"/>
          <w:i/>
          <w:sz w:val="22"/>
          <w:szCs w:val="22"/>
        </w:rPr>
        <w:t>.</w:t>
      </w:r>
    </w:p>
    <w:p w14:paraId="6A3ABC8B" w14:textId="77777777" w:rsidR="00DA3301" w:rsidRDefault="00DA3301">
      <w:pPr>
        <w:spacing w:line="276" w:lineRule="auto"/>
        <w:ind w:left="851" w:right="851"/>
        <w:jc w:val="both"/>
        <w:rPr>
          <w:rFonts w:ascii="Palatino Linotype" w:eastAsia="Palatino Linotype" w:hAnsi="Palatino Linotype" w:cs="Palatino Linotype"/>
          <w:i/>
          <w:sz w:val="22"/>
          <w:szCs w:val="22"/>
        </w:rPr>
      </w:pPr>
    </w:p>
    <w:p w14:paraId="6A600400" w14:textId="77777777" w:rsidR="00DA3301" w:rsidRDefault="009C6E35">
      <w:pPr>
        <w:spacing w:line="276" w:lineRule="auto"/>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en que ciertas facultades, competencias o funciones no se hayan ejercido, se debe motivar la respuesta en función de las causas que motiven tal circunstancia. </w:t>
      </w:r>
    </w:p>
    <w:p w14:paraId="0086563C" w14:textId="77777777" w:rsidR="00DA3301" w:rsidRDefault="00DA3301">
      <w:pPr>
        <w:spacing w:line="276" w:lineRule="auto"/>
        <w:ind w:left="851" w:right="851"/>
        <w:jc w:val="both"/>
        <w:rPr>
          <w:rFonts w:ascii="Palatino Linotype" w:eastAsia="Palatino Linotype" w:hAnsi="Palatino Linotype" w:cs="Palatino Linotype"/>
          <w:i/>
          <w:sz w:val="22"/>
          <w:szCs w:val="22"/>
        </w:rPr>
      </w:pPr>
    </w:p>
    <w:p w14:paraId="3CA6F44B" w14:textId="77777777" w:rsidR="00DA3301" w:rsidRDefault="009C6E35">
      <w:pPr>
        <w:spacing w:line="276" w:lineRule="auto"/>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6BF6B96F" w14:textId="77777777" w:rsidR="00DA3301" w:rsidRDefault="00DA3301">
      <w:pPr>
        <w:ind w:left="851" w:right="851"/>
        <w:jc w:val="both"/>
        <w:rPr>
          <w:rFonts w:ascii="Palatino Linotype" w:eastAsia="Palatino Linotype" w:hAnsi="Palatino Linotype" w:cs="Palatino Linotype"/>
          <w:i/>
          <w:sz w:val="22"/>
          <w:szCs w:val="22"/>
        </w:rPr>
      </w:pPr>
    </w:p>
    <w:p w14:paraId="7334DAF8"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Énfasis añadido.</w:t>
      </w:r>
    </w:p>
    <w:p w14:paraId="4DC161D7" w14:textId="77777777" w:rsidR="00DA3301" w:rsidRDefault="00DA3301">
      <w:pPr>
        <w:spacing w:line="360" w:lineRule="auto"/>
        <w:jc w:val="both"/>
        <w:rPr>
          <w:rFonts w:ascii="Palatino Linotype" w:eastAsia="Palatino Linotype" w:hAnsi="Palatino Linotype" w:cs="Palatino Linotype"/>
        </w:rPr>
      </w:pPr>
    </w:p>
    <w:p w14:paraId="0ED357CA"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los dispositivos legales en comento, se aprecia que todo acto de autoridad en el ejercicio de sus funciones y atribuciones debe estar documentado, por lo que para dar atención a una solicitud de información el Sujeto Obligado debe entregar el soporte documental en donde conste la información requerida, debiendo contemplar que no se trate de información reservada o confidencial, por lo que debe cuidar dicha información a través del acuerdo clasificatorio del comité de transparencia y la versión pública que emita cada Sujeto Obligado; como así se </w:t>
      </w:r>
      <w:r>
        <w:rPr>
          <w:rFonts w:ascii="Palatino Linotype" w:eastAsia="Palatino Linotype" w:hAnsi="Palatino Linotype" w:cs="Palatino Linotype"/>
        </w:rPr>
        <w:lastRenderedPageBreak/>
        <w:t>establece en la Ley de Transparencia y Acceso a la Información Pública del Estado de México y Municipios,</w:t>
      </w:r>
    </w:p>
    <w:p w14:paraId="5CDB9C53" w14:textId="77777777" w:rsidR="00DA3301" w:rsidRDefault="00DA3301">
      <w:pPr>
        <w:spacing w:line="360" w:lineRule="auto"/>
        <w:jc w:val="both"/>
        <w:rPr>
          <w:rFonts w:ascii="Palatino Linotype" w:eastAsia="Palatino Linotype" w:hAnsi="Palatino Linotype" w:cs="Palatino Linotype"/>
        </w:rPr>
      </w:pPr>
    </w:p>
    <w:p w14:paraId="700901FA"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249DCE41" w14:textId="77777777" w:rsidR="00DA3301" w:rsidRDefault="00DA3301">
      <w:pPr>
        <w:ind w:left="851" w:right="899"/>
        <w:jc w:val="both"/>
        <w:rPr>
          <w:rFonts w:ascii="Palatino Linotype" w:eastAsia="Palatino Linotype" w:hAnsi="Palatino Linotype" w:cs="Palatino Linotype"/>
          <w:i/>
          <w:sz w:val="22"/>
          <w:szCs w:val="22"/>
        </w:rPr>
      </w:pPr>
    </w:p>
    <w:p w14:paraId="54FE65F5"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14:paraId="3E9A59BF"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271C3E3" w14:textId="77777777" w:rsidR="00DA3301" w:rsidRDefault="009C6E35">
      <w:pPr>
        <w:spacing w:line="276" w:lineRule="auto"/>
        <w:ind w:left="851"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XI. Documento:</w:t>
      </w:r>
      <w:r>
        <w:rPr>
          <w:rFonts w:ascii="Palatino Linotype" w:eastAsia="Palatino Linotype" w:hAnsi="Palatino Linotype" w:cs="Palatino Linotype"/>
          <w:i/>
          <w:color w:val="000000"/>
          <w:sz w:val="22"/>
          <w:szCs w:val="22"/>
        </w:rPr>
        <w:t xml:space="preserve"> Los expedientes, reportes, estudios, actas</w:t>
      </w: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2174AA97" w14:textId="77777777" w:rsidR="00DA3301" w:rsidRDefault="00DA3301">
      <w:pPr>
        <w:ind w:left="851" w:right="899"/>
        <w:jc w:val="both"/>
        <w:rPr>
          <w:rFonts w:ascii="Palatino Linotype" w:eastAsia="Palatino Linotype" w:hAnsi="Palatino Linotype" w:cs="Palatino Linotype"/>
          <w:sz w:val="22"/>
          <w:szCs w:val="22"/>
        </w:rPr>
      </w:pPr>
    </w:p>
    <w:p w14:paraId="13C13581"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Siendo aplicable, el Criterio de interpretación en el orden administrativo número 0002-11, emitido por Acuerdo del Pleno del Instituto de Transparencia y Acceso a la Información Pública del Estado de México y Municipios; publicado en el Periódico </w:t>
      </w:r>
      <w:r>
        <w:rPr>
          <w:rFonts w:ascii="Palatino Linotype" w:eastAsia="Palatino Linotype" w:hAnsi="Palatino Linotype" w:cs="Palatino Linotype"/>
        </w:rPr>
        <w:lastRenderedPageBreak/>
        <w:t>Oficial del Gobierno del Estado Libre y Soberano de México “Gaceta del Gobierno”, el diecinueve de octubre de dos mil once, cuyo rubro y texto refieren lo siguiente:</w:t>
      </w:r>
    </w:p>
    <w:p w14:paraId="762E56C0" w14:textId="77777777" w:rsidR="00DA3301" w:rsidRDefault="00DA3301">
      <w:pPr>
        <w:ind w:left="851" w:right="899"/>
        <w:jc w:val="both"/>
        <w:rPr>
          <w:rFonts w:ascii="Palatino Linotype" w:eastAsia="Palatino Linotype" w:hAnsi="Palatino Linotype" w:cs="Palatino Linotype"/>
        </w:rPr>
      </w:pPr>
    </w:p>
    <w:p w14:paraId="6AC2E920" w14:textId="77777777" w:rsidR="00DA3301" w:rsidRDefault="009C6E35">
      <w:pPr>
        <w:spacing w:line="276" w:lineRule="auto"/>
        <w:ind w:left="851"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14:paraId="527667AF"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3749678"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4ABD30AA"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14:paraId="5700D701"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2) Que se trate de información registrada en cualquier soporte documental, que en ejercicio de las atribuciones conferidas, sea administrada por los Sujetos Obligados, y</w:t>
      </w:r>
    </w:p>
    <w:p w14:paraId="564514C2" w14:textId="77777777" w:rsidR="00DA3301" w:rsidRDefault="009C6E35">
      <w:pPr>
        <w:spacing w:line="276" w:lineRule="auto"/>
        <w:ind w:left="851"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 Que se trate de información registrada en cualquier soporte documental, que en ejercicio de las atribuciones conferidas, se encuentre en posesión de los Sujetos Obligados.” </w:t>
      </w:r>
    </w:p>
    <w:p w14:paraId="333A36B0"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pudiendo ser de manera electrónica; más aún si la misma se trata de información relativa a obligaciones de transparencia, la cual se relaciona con aquella que se genere de acuerdo con sus facultades, atribuciones y obligaciones </w:t>
      </w:r>
      <w:r>
        <w:rPr>
          <w:rFonts w:ascii="Palatino Linotype" w:eastAsia="Palatino Linotype" w:hAnsi="Palatino Linotype" w:cs="Palatino Linotype"/>
        </w:rPr>
        <w:lastRenderedPageBreak/>
        <w:t>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así como de interés público, es decir, aquella que resulta relevante o beneficiosa para la sociedad y no simplemente de 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como pudiera tratarse de aquella relacionada con las obligaciones de transparencia señaladas en los artículos 92 y 100 de la Ley de la Materia.</w:t>
      </w:r>
    </w:p>
    <w:p w14:paraId="5B50BA1B"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previo análisis del presente asunto, conviene reiterar que el particular requirió que se le proporcionara la siguiente información: </w:t>
      </w:r>
    </w:p>
    <w:p w14:paraId="4300722E"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sz w:val="22"/>
          <w:szCs w:val="22"/>
        </w:rPr>
        <w:t>“</w:t>
      </w:r>
      <w:r>
        <w:rPr>
          <w:rFonts w:ascii="Palatino Linotype" w:eastAsia="Palatino Linotype" w:hAnsi="Palatino Linotype" w:cs="Palatino Linotype"/>
          <w:color w:val="000000"/>
          <w:sz w:val="22"/>
          <w:szCs w:val="22"/>
        </w:rPr>
        <w:t>Se solicita copia de todos los oficios firmados por la entonces 5a Regidora Elisa Quijada Badillo del ejercicio 2018.” (Sic)</w:t>
      </w:r>
    </w:p>
    <w:p w14:paraId="0329166C"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“Se solicita copia de todos los oficios firmados por la entonces 5a Regidora Elisa Quijada Badillo del ejercicio 2017. ” (Sic)</w:t>
      </w:r>
    </w:p>
    <w:p w14:paraId="5A4DDA31"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“Se solicita copia de todos los oficios firmados por la entonces 5a Regidora Elisa Quijada Badillo del ejercicio 2016. ” (Sic)</w:t>
      </w:r>
    </w:p>
    <w:p w14:paraId="77B8630A"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Unidad de Logística al 10 de enero de 2022. ” (Sic)</w:t>
      </w:r>
    </w:p>
    <w:p w14:paraId="77BC7449"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sz w:val="22"/>
          <w:szCs w:val="22"/>
        </w:rPr>
        <w:lastRenderedPageBreak/>
        <w:t>“</w:t>
      </w:r>
      <w:r>
        <w:rPr>
          <w:rFonts w:ascii="Palatino Linotype" w:eastAsia="Palatino Linotype" w:hAnsi="Palatino Linotype" w:cs="Palatino Linotype"/>
          <w:color w:val="000000"/>
          <w:sz w:val="22"/>
          <w:szCs w:val="22"/>
        </w:rPr>
        <w:t>Solicito copia de todos los oficios generados y recibidos por la Coordinación de Gobierno Digital y Electrónico al 10 de enero de 2022. ” (Sic)</w:t>
      </w:r>
    </w:p>
    <w:p w14:paraId="13C605E4"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Coordinación de Protección Civil y Bomberos al 10 de enero de 2022. ” (Sic)</w:t>
      </w:r>
    </w:p>
    <w:p w14:paraId="2EDCA890"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Coordinación General del Instituto Municipal de Cultura Física y Deporte de Metepec al 10 de enero de 2022” (Sic)</w:t>
      </w:r>
    </w:p>
    <w:p w14:paraId="623B60A5"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Primera, Segunda y Tercera Regiduría al 10 de enero de 2022. ” (Sic)</w:t>
      </w:r>
    </w:p>
    <w:p w14:paraId="1AF78CF5"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Secretaría del Ayuntamiento al 10 de enero de 2022” (Sic)</w:t>
      </w:r>
    </w:p>
    <w:p w14:paraId="25E765E0"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Contraloría Municipal al 10 de enero de 2022. ” (Sic)</w:t>
      </w:r>
    </w:p>
    <w:p w14:paraId="393C182B"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Tesorería Municipal al 10 de enero de 2022. ” (Sic)</w:t>
      </w:r>
    </w:p>
    <w:p w14:paraId="517802A3"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Administración al 10 de enero de 2022. ” (Sic)</w:t>
      </w:r>
    </w:p>
    <w:p w14:paraId="0409F8F7"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Desarrollo Social al 10 de enero de 2022” (Sic)</w:t>
      </w:r>
    </w:p>
    <w:p w14:paraId="0DA0D5BA"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Desarrollo Económico, Turístico y Artesanal al 10 de enero de 2022.</w:t>
      </w:r>
    </w:p>
    <w:p w14:paraId="6E340AAC"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lastRenderedPageBreak/>
        <w:t>“Solicito copia de todos los oficios generados y recibidos por la Dirección de Gobierno por Resultados al 10 de enero de 2022. ” (Sic)</w:t>
      </w:r>
    </w:p>
    <w:p w14:paraId="5D8A5AF9"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Medio Ambiente al 10 de enero de 2022. ” (Sic)</w:t>
      </w:r>
    </w:p>
    <w:p w14:paraId="1FD0F147"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Seguridad Pública y Tránsito al 10 de enero de 2022. ” (Sic)</w:t>
      </w:r>
    </w:p>
    <w:p w14:paraId="2DC4FD12"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Sindicatura Municipal al 10 de enero de 2022. ” (Sic)</w:t>
      </w:r>
    </w:p>
    <w:p w14:paraId="792D71EE"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el Presidente Municipal el 11 de enero de 2022. ” (Sic)</w:t>
      </w:r>
    </w:p>
    <w:p w14:paraId="5F78A1DC"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Tesorería Municipal el 11 de enero de 2022.</w:t>
      </w:r>
    </w:p>
    <w:p w14:paraId="31E64C11"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Oficina de Presidencia el 11 de enero de 2022.</w:t>
      </w:r>
    </w:p>
    <w:p w14:paraId="6B00E52A" w14:textId="77777777" w:rsidR="00DA3301" w:rsidRDefault="009C6E35">
      <w:pPr>
        <w:numPr>
          <w:ilvl w:val="0"/>
          <w:numId w:val="5"/>
        </w:numPr>
        <w:spacing w:before="240" w:after="240" w:line="360" w:lineRule="auto"/>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“Solicito copia de todos los oficios generados y recibidos por la Secretaría Particular  de Presidencia el 11 de enero de 2022.</w:t>
      </w:r>
    </w:p>
    <w:p w14:paraId="1C6476EB" w14:textId="77777777" w:rsidR="00DA3301" w:rsidRDefault="009C6E35">
      <w:pPr>
        <w:numPr>
          <w:ilvl w:val="0"/>
          <w:numId w:val="5"/>
        </w:numPr>
        <w:spacing w:before="240" w:after="240" w:line="360" w:lineRule="auto"/>
        <w:jc w:val="both"/>
        <w:rPr>
          <w:rFonts w:ascii="Palatino Linotype" w:eastAsia="Palatino Linotype" w:hAnsi="Palatino Linotype" w:cs="Palatino Linotype"/>
          <w:sz w:val="22"/>
          <w:szCs w:val="22"/>
        </w:rPr>
      </w:pPr>
      <w:r>
        <w:rPr>
          <w:rFonts w:ascii="Palatino Linotype" w:eastAsia="Palatino Linotype" w:hAnsi="Palatino Linotype" w:cs="Palatino Linotype"/>
          <w:color w:val="000000"/>
          <w:sz w:val="22"/>
          <w:szCs w:val="22"/>
        </w:rPr>
        <w:t>“Solicito copia de todos los oficios generados y recibidos por la Dirección de Administración el 11 de enero de 2022.</w:t>
      </w:r>
    </w:p>
    <w:p w14:paraId="5532D62F"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Desarrollo Social el 11 de enero de 2022.</w:t>
      </w:r>
    </w:p>
    <w:p w14:paraId="1A4FA77D"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lastRenderedPageBreak/>
        <w:t>“Solicito copia de todos los oficios generados y recibidos por la Dirección de Desarrollo Económico, Turístico y Artesanal el 11 de enero de 2022.</w:t>
      </w:r>
    </w:p>
    <w:p w14:paraId="7CD914CA"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Desarrollo Urbano, Metropolitano y Obras Públicas el 11 de enero de 2022.</w:t>
      </w:r>
    </w:p>
    <w:p w14:paraId="2EFF73EF"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Gobierno por Resultados el 11 de enero de 2022.</w:t>
      </w:r>
    </w:p>
    <w:p w14:paraId="190F56B1"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Seguridad Pública y Tránsito el 11 de enero de 2022.</w:t>
      </w:r>
    </w:p>
    <w:p w14:paraId="7C7D86FC"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Dirección de Servicios Públicos el 11 de enero de 2022.</w:t>
      </w:r>
    </w:p>
    <w:p w14:paraId="76B064B5"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Unidad de Logística el 11 de enero de 2022.</w:t>
      </w:r>
    </w:p>
    <w:p w14:paraId="68147AFF"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Coordinación de Gobierno Digital y Electrónico el 11 de enero de 2022.</w:t>
      </w:r>
    </w:p>
    <w:p w14:paraId="74BF8397" w14:textId="77777777" w:rsidR="00DA3301" w:rsidRDefault="009C6E35">
      <w:pPr>
        <w:numPr>
          <w:ilvl w:val="0"/>
          <w:numId w:val="5"/>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“Solicito copia de todos los oficios generados y recibidos por la Coordinación de Protección Civil y Bomberos el 11 de enero de 2022..</w:t>
      </w:r>
    </w:p>
    <w:p w14:paraId="72283AD4"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a continuación se analizará las solicitudes que no tuvieron respuesta en ninguna etapa del procedimiento y en las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envió información en la etapa de manifestaciones.</w:t>
      </w:r>
    </w:p>
    <w:p w14:paraId="0C65C457"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1.-  De la negativa ficta que se configuró en los Recursos de Revisión 01264/INFOEM/IP/RR/2022, 01266/INFOEM/IP/RR/2022, </w:t>
      </w:r>
      <w:r>
        <w:rPr>
          <w:rFonts w:ascii="Palatino Linotype" w:eastAsia="Palatino Linotype" w:hAnsi="Palatino Linotype" w:cs="Palatino Linotype"/>
          <w:b/>
        </w:rPr>
        <w:lastRenderedPageBreak/>
        <w:t>01268/INFOEM/IP/RR/2022, 01272/INFOEM/IP/RR/2022, 01274/INFOEM/IP/RR/2022, 01275/INFOEM/IP/RR/2022, 01276/INFOEM/IP/RR/2022, 01283/INFOEM/IP/RR/2022, 01284/INFOEM/IP/RR/2022, 01285/INFOEM/IP/RR/2022, 01286/INFOEM/IP/RR/2022, 01287/INFOEM/IP/RR/2022, 01288/INFOEM/IP/RR/2022, 01289/INFOEM/IP/RR/2022, 01291/INFOEM/IP/RR/2022, 01292/INFOEM/IP/RR/2022, 01294/INFOEM/IP/RR/2022, 01526/INFOEM/IP/RR/2022, 01529/INFOEM/IP/RR/2022, 01532/INFOEM/IP/RR/2022, 01533/INFOEM/IP/RR/2022, 01534/INFOEM/IP/RR/2022, 01535/INFOEM/IP/RR/2022, 01537/INFOEM/IP/RR/2022, 01539/INFOEM/IP/RR/2022, 01542/INFOEM/IP/RR/2022, 01543/INFOEM/IP/RR/2022, 01545/INFOEM/IP/RR/2022, 01547/INFOEM/IP/RR/2022 y 01549/INFOEM/IP/RR/2022</w:t>
      </w:r>
      <w:r>
        <w:rPr>
          <w:rFonts w:ascii="Palatino Linotype" w:eastAsia="Palatino Linotype" w:hAnsi="Palatino Linotype" w:cs="Palatino Linotype"/>
        </w:rPr>
        <w:t>.</w:t>
      </w:r>
    </w:p>
    <w:p w14:paraId="3729F1AE"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De las constancias que obran en el expediente de SAIMEX</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 advierte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no dio respuesta a las solicitudes de información planteadas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lo que se traduce como la configuración de la </w:t>
      </w:r>
      <w:r>
        <w:rPr>
          <w:rFonts w:ascii="Palatino Linotype" w:eastAsia="Palatino Linotype" w:hAnsi="Palatino Linotype" w:cs="Palatino Linotype"/>
          <w:b/>
        </w:rPr>
        <w:t>Negativa Ficta</w:t>
      </w:r>
      <w:r>
        <w:rPr>
          <w:rFonts w:ascii="Palatino Linotype" w:eastAsia="Palatino Linotype" w:hAnsi="Palatino Linotype" w:cs="Palatino Linotype"/>
        </w:rPr>
        <w:t xml:space="preserve">, situación que demuestra la existencia del acto impugnado y procedencia del motivo de inconformidad, que en términos generales consistente en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emitió respuestas a ninguna de las solicitudes, dentro del plazo legal previsto para ello.</w:t>
      </w:r>
    </w:p>
    <w:p w14:paraId="5F298344" w14:textId="77777777" w:rsidR="00DA3301" w:rsidRDefault="009C6E35">
      <w:pPr>
        <w:spacing w:before="240" w:after="240" w:line="360" w:lineRule="auto"/>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rPr>
        <w:t xml:space="preserve">Previo a exponer los argumentos que justifiquen la afirmación que antecede, es necesario precisar que, del análisis realizado a la solicitud formulada por la parte </w:t>
      </w:r>
      <w:r>
        <w:rPr>
          <w:rFonts w:ascii="Palatino Linotype" w:eastAsia="Palatino Linotype" w:hAnsi="Palatino Linotype" w:cs="Palatino Linotype"/>
          <w:b/>
        </w:rPr>
        <w:lastRenderedPageBreak/>
        <w:t>Recurrente</w:t>
      </w:r>
      <w:r>
        <w:rPr>
          <w:rFonts w:ascii="Palatino Linotype" w:eastAsia="Palatino Linotype" w:hAnsi="Palatino Linotype" w:cs="Palatino Linotype"/>
        </w:rPr>
        <w:t>,</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 advierte que requirió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le proporcionara diversos oficios emitidos por las Unidades Administrativas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requerimientos que quedaron señalados en párrafos anteriores.</w:t>
      </w:r>
    </w:p>
    <w:p w14:paraId="569DA67D"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Precisado lo anterior,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14:paraId="7908DAA1" w14:textId="77777777" w:rsidR="00DA3301" w:rsidRDefault="009C6E35">
      <w:pPr>
        <w:tabs>
          <w:tab w:val="left" w:pos="709"/>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En primer lugar, es menester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14:paraId="63B84ECB" w14:textId="77777777" w:rsidR="00DA3301" w:rsidRDefault="00DA3301">
      <w:pPr>
        <w:tabs>
          <w:tab w:val="left" w:pos="709"/>
        </w:tabs>
        <w:ind w:left="851" w:right="850"/>
        <w:jc w:val="both"/>
        <w:rPr>
          <w:rFonts w:ascii="Palatino Linotype" w:eastAsia="Palatino Linotype" w:hAnsi="Palatino Linotype" w:cs="Palatino Linotype"/>
        </w:rPr>
      </w:pPr>
    </w:p>
    <w:p w14:paraId="30B3A8C6" w14:textId="77777777" w:rsidR="00DA3301" w:rsidRDefault="009C6E35">
      <w:pPr>
        <w:tabs>
          <w:tab w:val="left" w:pos="709"/>
        </w:tabs>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14:paraId="775E8466" w14:textId="77777777" w:rsidR="00DA3301" w:rsidRDefault="009C6E35">
      <w:pPr>
        <w:tabs>
          <w:tab w:val="left" w:pos="709"/>
        </w:tabs>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Las normas relativas a los derechos humanos se interpretarán de conformidad con esta Constitución y con los tratados internacionales de </w:t>
      </w:r>
      <w:r>
        <w:rPr>
          <w:rFonts w:ascii="Palatino Linotype" w:eastAsia="Palatino Linotype" w:hAnsi="Palatino Linotype" w:cs="Palatino Linotype"/>
          <w:b/>
          <w:i/>
          <w:sz w:val="22"/>
          <w:szCs w:val="22"/>
        </w:rPr>
        <w:lastRenderedPageBreak/>
        <w:t>la materia favoreciendo en todo tiempo a las personas la protección más amplia.</w:t>
      </w:r>
    </w:p>
    <w:p w14:paraId="000A4069" w14:textId="77777777" w:rsidR="00DA3301" w:rsidRDefault="009C6E35">
      <w:pPr>
        <w:tabs>
          <w:tab w:val="left" w:pos="709"/>
        </w:tabs>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14:paraId="2455994B" w14:textId="77777777" w:rsidR="00DA3301" w:rsidRDefault="009C6E35">
      <w:pPr>
        <w:tabs>
          <w:tab w:val="left" w:pos="709"/>
        </w:tabs>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2E69EFA"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14:paraId="646D9DEE"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C50ADBF"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14:paraId="1E2653A7" w14:textId="77777777" w:rsidR="00DA3301" w:rsidRDefault="009C6E35">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3F63EA49"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771FCA55"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19A21A97" w14:textId="77777777" w:rsidR="00DA3301" w:rsidRDefault="009C6E35">
      <w:pPr>
        <w:ind w:left="1134"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14:paraId="7AE2C222"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683E83CA"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14:paraId="4152DCE3"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22F0B7A6"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14:paraId="07C22437" w14:textId="77777777" w:rsidR="00DA3301" w:rsidRDefault="00DA3301">
      <w:pPr>
        <w:ind w:left="1134" w:right="851"/>
        <w:jc w:val="both"/>
        <w:rPr>
          <w:rFonts w:ascii="Palatino Linotype" w:eastAsia="Palatino Linotype" w:hAnsi="Palatino Linotype" w:cs="Palatino Linotype"/>
          <w:i/>
          <w:sz w:val="22"/>
          <w:szCs w:val="22"/>
        </w:rPr>
      </w:pPr>
    </w:p>
    <w:p w14:paraId="3DF3FB57"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53FE1CA2"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569D5F7F"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14:paraId="6E657382"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450D4367" w14:textId="77777777" w:rsidR="00DA3301" w:rsidRDefault="009C6E35">
      <w:pPr>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w:t>
      </w:r>
    </w:p>
    <w:p w14:paraId="28DFA5F4" w14:textId="77777777" w:rsidR="00DA3301" w:rsidRDefault="009C6E35">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de la interpretación sistémica de los numerales inmersos en el instrumento legal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los sujetos obligados deben cumplir con dichos dispositivos legales.</w:t>
      </w:r>
    </w:p>
    <w:p w14:paraId="26EE4BD2" w14:textId="77777777" w:rsidR="00DA3301" w:rsidRDefault="009C6E35">
      <w:pPr>
        <w:spacing w:before="280" w:after="280" w:line="360" w:lineRule="auto"/>
        <w:jc w:val="both"/>
        <w:rPr>
          <w:rFonts w:ascii="Palatino Linotype" w:eastAsia="Palatino Linotype" w:hAnsi="Palatino Linotype" w:cs="Palatino Linotype"/>
          <w:sz w:val="28"/>
          <w:szCs w:val="28"/>
        </w:rPr>
      </w:pPr>
      <w:r>
        <w:rPr>
          <w:rFonts w:ascii="Palatino Linotype" w:eastAsia="Palatino Linotype" w:hAnsi="Palatino Linotype" w:cs="Palatino Linotype"/>
        </w:rPr>
        <w:t>En ese orden de ideas, la Ley de Transparencia y Acceso a la Información Pública del Estado de México y Municipios, prevé en su artículo 23, lo siguiente:</w:t>
      </w:r>
    </w:p>
    <w:p w14:paraId="1EDF8A63" w14:textId="77777777" w:rsidR="00DA3301" w:rsidRDefault="009C6E35">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23.</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Son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sujetos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obligados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transparentar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y</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permitir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el</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acceso</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su</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información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y</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proteger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los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datos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personales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que</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obren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en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su</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poder</w:t>
      </w:r>
      <w:r>
        <w:rPr>
          <w:rFonts w:ascii="Palatino Linotype" w:eastAsia="Palatino Linotype" w:hAnsi="Palatino Linotype" w:cs="Palatino Linotype"/>
          <w:i/>
          <w:sz w:val="22"/>
          <w:szCs w:val="22"/>
        </w:rPr>
        <w:t>:</w:t>
      </w:r>
    </w:p>
    <w:p w14:paraId="00CCBC4E" w14:textId="77777777" w:rsidR="00DA3301" w:rsidRDefault="009C6E35">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Poder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Ejecutivo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Estado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México,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dependencias,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organismos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auxiliares,</w:t>
      </w:r>
      <w:r>
        <w:rPr>
          <w:rFonts w:ascii="Palatino Linotype" w:eastAsia="Palatino Linotype" w:hAnsi="Palatino Linotype" w:cs="Palatino Linotype"/>
          <w:b/>
          <w:i/>
        </w:rPr>
        <w:t xml:space="preserve"> </w:t>
      </w:r>
      <w:r>
        <w:rPr>
          <w:rFonts w:ascii="Palatino Linotype" w:eastAsia="Palatino Linotype" w:hAnsi="Palatino Linotype" w:cs="Palatino Linotype"/>
          <w:i/>
          <w:sz w:val="22"/>
          <w:szCs w:val="22"/>
        </w:rPr>
        <w:t>órganos,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entidades,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fideicomisos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fondos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así</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como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Procuraduría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General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Justicia;</w:t>
      </w:r>
    </w:p>
    <w:p w14:paraId="4960A2A0"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Poder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Legislativo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Estado,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organismos,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órganos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entidades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Legislatura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sus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dependencias;</w:t>
      </w:r>
    </w:p>
    <w:p w14:paraId="1B4BA700"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III.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Poder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Judicial,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sus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organismos,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órganos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entidades,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así</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como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Consejo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Judicatura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Estado;</w:t>
      </w:r>
    </w:p>
    <w:p w14:paraId="405265E5" w14:textId="77777777" w:rsidR="00DA3301" w:rsidRDefault="009C6E35">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Los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ayuntamientos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y</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las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dependencias,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organismos,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órganos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y</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entidades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de</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la</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administración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municipal;</w:t>
      </w:r>
    </w:p>
    <w:p w14:paraId="341BD331"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órganos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autónomos;</w:t>
      </w:r>
    </w:p>
    <w:p w14:paraId="2A81BFD7"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tribunales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administrativos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autoridades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jurisdiccionales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materia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laboral;</w:t>
      </w:r>
    </w:p>
    <w:p w14:paraId="4EA9680E"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partidos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políticos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agrupaciones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políticas,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términos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disposiciones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aplicables;</w:t>
      </w:r>
    </w:p>
    <w:p w14:paraId="5409CFD4"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fideicomisos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fondos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cuenten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financiamiento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parcial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total,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participación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entidades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gobierno;</w:t>
      </w:r>
    </w:p>
    <w:p w14:paraId="1776E3B1"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IX.</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sindicatos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reciban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ejerzan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recursos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ámbito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estatal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municipal;</w:t>
      </w:r>
    </w:p>
    <w:p w14:paraId="4709B173"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Cualquier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persona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física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jurídico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colectiva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reciba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ejerza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recursos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ámbito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estatal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municipal;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p>
    <w:p w14:paraId="59E972CD"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XI.</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Cualquier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otra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autoridad,</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entidad,</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órgano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u</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organismo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poderes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estatal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municipal,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reciba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recursos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p>
    <w:p w14:paraId="6BE5FD22"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sujetos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obligados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deberán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hacer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toda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aquella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información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relativa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montos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personas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quienes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entreguen,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por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cualquier</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motivo,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recursos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públicos,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así</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como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informes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que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dichas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personas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les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entreguen</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sobre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el</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uso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y</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destino</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de</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dichos</w:t>
      </w:r>
      <w:r>
        <w:rPr>
          <w:rFonts w:ascii="Palatino Linotype" w:eastAsia="Palatino Linotype" w:hAnsi="Palatino Linotype" w:cs="Palatino Linotype"/>
          <w:i/>
        </w:rPr>
        <w:t xml:space="preserve"> </w:t>
      </w:r>
      <w:r>
        <w:rPr>
          <w:rFonts w:ascii="Palatino Linotype" w:eastAsia="Palatino Linotype" w:hAnsi="Palatino Linotype" w:cs="Palatino Linotype"/>
          <w:i/>
          <w:sz w:val="22"/>
          <w:szCs w:val="22"/>
        </w:rPr>
        <w:t>recursos.</w:t>
      </w:r>
    </w:p>
    <w:p w14:paraId="712CF94F" w14:textId="77777777" w:rsidR="00DA3301" w:rsidRDefault="009C6E35">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servidores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públicos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deberán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transparentar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sus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acciones,</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así</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como</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garantizar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y</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respetar</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el</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derecho</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de</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acceso</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a</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la</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información</w:t>
      </w:r>
      <w:r>
        <w:rPr>
          <w:rFonts w:ascii="Palatino Linotype" w:eastAsia="Palatino Linotype" w:hAnsi="Palatino Linotype" w:cs="Palatino Linotype"/>
          <w:b/>
          <w:i/>
        </w:rPr>
        <w:t xml:space="preserve"> </w:t>
      </w:r>
      <w:r>
        <w:rPr>
          <w:rFonts w:ascii="Palatino Linotype" w:eastAsia="Palatino Linotype" w:hAnsi="Palatino Linotype" w:cs="Palatino Linotype"/>
          <w:b/>
          <w:i/>
          <w:sz w:val="22"/>
          <w:szCs w:val="22"/>
        </w:rPr>
        <w:t>pública</w:t>
      </w:r>
      <w:r>
        <w:rPr>
          <w:rFonts w:ascii="Palatino Linotype" w:eastAsia="Palatino Linotype" w:hAnsi="Palatino Linotype" w:cs="Palatino Linotype"/>
          <w:i/>
          <w:sz w:val="22"/>
          <w:szCs w:val="22"/>
        </w:rPr>
        <w:t>.”</w:t>
      </w:r>
    </w:p>
    <w:p w14:paraId="6565448E"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 </w:t>
      </w:r>
    </w:p>
    <w:p w14:paraId="7903FB56"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esa tesitura, este Instituto no omite señalar que los Sujetos Obligados deben contar con un área responsable para la atención de las solicitudes de información, a la que se le denominará Unidad de Transparencia; asimismo, deben designar a un </w:t>
      </w:r>
      <w:r>
        <w:rPr>
          <w:rFonts w:ascii="Palatino Linotype" w:eastAsia="Palatino Linotype" w:hAnsi="Palatino Linotype" w:cs="Palatino Linotype"/>
        </w:rPr>
        <w:lastRenderedPageBreak/>
        <w:t xml:space="preserve">responsable para atender dicha Unidad, quien fungirá como enlace entre éstos y los solicitantes. </w:t>
      </w:r>
    </w:p>
    <w:p w14:paraId="28CE06D5" w14:textId="77777777" w:rsidR="00DA3301" w:rsidRDefault="009C6E35">
      <w:pPr>
        <w:widowControl w:val="0"/>
        <w:tabs>
          <w:tab w:val="left" w:pos="1276"/>
        </w:tabs>
        <w:spacing w:before="24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Dicho lo anterior, se precisa que la ya mencionada Unidad de Transparencia es la encargada de tramitar internamente las solicitudes de información y tiene la responsabilidad de verificar, en cada caso, que la información no tenga el carácter de confidencial o reservada, en términos de los artículos 50 y 51 de la Ley de Transparencia y Acceso a la Información Pública del Estado de México y Municipios.</w:t>
      </w:r>
    </w:p>
    <w:p w14:paraId="02E8E523" w14:textId="77777777" w:rsidR="00DA3301" w:rsidRDefault="009C6E35">
      <w:pPr>
        <w:widowControl w:val="0"/>
        <w:tabs>
          <w:tab w:val="left" w:pos="1276"/>
        </w:tabs>
        <w:spacing w:before="24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su parte, el artículo 53, fracciones II, IV y V de la Ley antes citada establece que las Unidades de Transparencia tienen, entre otras, las funciones de recibir, tramitar y dar respuesta a las solicitudes de acceso a la información; realizar, con efectividad, los trámites internos necesarios para la atención de las solicitudes de acceso a la información; así como, entregar, en su caso, a los particulares la información solicitada.</w:t>
      </w:r>
    </w:p>
    <w:p w14:paraId="3BAB1554"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Asimismo, el diverso artículo 54 de la Ley de Transparencia y Acceso a la Información Pública del Estado de México y Municipios establece que cuando alguna área de los sujetos obligados se negara a colaborar con la Unidad de Transparencia, ésta dará aviso al superior jerárquico para que le ordene realizar sin demora las acciones conducentes y en caso de que persista la negativa de colaboración, hará del conocimiento de la autoridad competente para que se inicie, en su caso, el procedimiento de responsabilidad respectivo.</w:t>
      </w:r>
    </w:p>
    <w:p w14:paraId="2D5E1867" w14:textId="77777777" w:rsidR="00DA3301" w:rsidRDefault="009C6E35">
      <w:pPr>
        <w:widowControl w:val="0"/>
        <w:tabs>
          <w:tab w:val="left" w:pos="1276"/>
        </w:tabs>
        <w:spacing w:before="24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igual forma, el diverso artículo 59, fracciones I, II y III de la multicitada </w:t>
      </w:r>
      <w:r>
        <w:rPr>
          <w:rFonts w:ascii="Palatino Linotype" w:eastAsia="Palatino Linotype" w:hAnsi="Palatino Linotype" w:cs="Palatino Linotype"/>
        </w:rPr>
        <w:lastRenderedPageBreak/>
        <w:t>legislación Sustantiva, establece que los Servidores Públicos Habilitados deben localizar la información que le solicite la Unidad de Transparencia; proporcionar la misma y apoyarla en lo que ésta le solicite para el cumplimiento de sus funciones.</w:t>
      </w:r>
    </w:p>
    <w:p w14:paraId="0DDAEC95"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Finalmente, se destaca que de conformidad con el artículo 163 de la legislación en cita, se desprende que la Unidad de Transparencia debe notificar la respuesta a las solicitudes de acceso a la información, en el menor tiempo posible, que no podrá exceder de quince días hábiles, teniendo como excepción al plazo referido, una prórroga de hasta siete días hábiles adicionales, siempre y cuando existan razones fundadas y motivadas, las cuales deberán ser aprobadas por el Comité de Transparencia. Situación que en la especie no aconteció. Sirve de sustento a lo anterior, el precepto legal en cita:</w:t>
      </w:r>
    </w:p>
    <w:p w14:paraId="22B2B658"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163. La Unidad de Transparencia deberá notificar la respuesta a la solicitud al interesado en el menor tiempo posible, que no podrá exceder de quince días hábiles</w:t>
      </w:r>
      <w:r>
        <w:rPr>
          <w:rFonts w:ascii="Palatino Linotype" w:eastAsia="Palatino Linotype" w:hAnsi="Palatino Linotype" w:cs="Palatino Linotype"/>
          <w:i/>
          <w:sz w:val="22"/>
          <w:szCs w:val="22"/>
        </w:rPr>
        <w:t xml:space="preserve">, contados a partir del día siguiente a la presentación de aquélla. </w:t>
      </w:r>
    </w:p>
    <w:p w14:paraId="3D0A19DF"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Excepcionalmente, el plazo referido en el párrafo anterior podrá ampliarse hasta por siete días hábiles más, siempre y cuando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w:t>
      </w:r>
    </w:p>
    <w:p w14:paraId="478F59ED"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mérito de lo expuesto, es claro que en este caso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incumplió la normativa en la materia, puesto que no dio trámite ni respuesta a las solicitudes de acceso a la información, limitando el derecho de acceso a la información, accionado por el particular.</w:t>
      </w:r>
    </w:p>
    <w:p w14:paraId="6179B1BC"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Consecuentemente, este Instituto estima toral reiterar que, de conformidad con el artículo 150 de la Ley de Transparencia y Acceso a la Información Pública del Estado de México y Municipios, 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 Por ello, esta Autoridad como Organismo Garante del derecho de acceso a la información estima que lo procedente es ordenar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dé trámite y respuesta a las solicitudes del particular.</w:t>
      </w:r>
    </w:p>
    <w:p w14:paraId="14A474EE"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Aunado a lo anterior, este Instituto estima dable referir lo que dispone el artículo 172, último párrafo de la Ley de Transparencia y Acceso a la Información Pública del Estado de México y Municipios, el cual refiere que los argumentos para justificar cualquier negativa de acceso a la información deben recaer en </w:t>
      </w:r>
      <w:r>
        <w:rPr>
          <w:rFonts w:ascii="Palatino Linotype" w:eastAsia="Palatino Linotype" w:hAnsi="Palatino Linotype" w:cs="Palatino Linotype"/>
          <w:b/>
        </w:rPr>
        <w:t>el SUJETO OBLIGADO</w:t>
      </w:r>
      <w:r>
        <w:rPr>
          <w:rFonts w:ascii="Palatino Linotype" w:eastAsia="Palatino Linotype" w:hAnsi="Palatino Linotype" w:cs="Palatino Linotype"/>
        </w:rPr>
        <w:t>; por lo que, en caso de no atender de manera positiva</w:t>
      </w:r>
      <w:r>
        <w:rPr>
          <w:rFonts w:ascii="Palatino Linotype" w:eastAsia="Palatino Linotype" w:hAnsi="Palatino Linotype" w:cs="Palatino Linotype"/>
          <w:vertAlign w:val="superscript"/>
        </w:rPr>
        <w:footnoteReference w:id="3"/>
      </w:r>
      <w:r>
        <w:rPr>
          <w:rFonts w:ascii="Palatino Linotype" w:eastAsia="Palatino Linotype" w:hAnsi="Palatino Linotype" w:cs="Palatino Linotype"/>
        </w:rPr>
        <w:t>, los requerimientos de información deberá manifestarse al respecto.</w:t>
      </w:r>
    </w:p>
    <w:p w14:paraId="04269D11" w14:textId="77777777" w:rsidR="00DA3301" w:rsidRDefault="009C6E35">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Ahora bien, en atención al sentido </w:t>
      </w:r>
      <w:r>
        <w:rPr>
          <w:rFonts w:ascii="Palatino Linotype" w:eastAsia="Palatino Linotype" w:hAnsi="Palatino Linotype" w:cs="Palatino Linotype"/>
        </w:rPr>
        <w:t xml:space="preserve">en que se resuelve el presente medio de impugnación, este Organismo Garante no omite señalar que, el derecho de acceso a la información puede ser restringido de manera excepcional por razones de interés público, en los términos de las causas legítimas y estrictamente necesarias previstas por la Ley, a través de la clasificación de la información como confidencial o </w:t>
      </w:r>
      <w:r>
        <w:rPr>
          <w:rFonts w:ascii="Palatino Linotype" w:eastAsia="Palatino Linotype" w:hAnsi="Palatino Linotype" w:cs="Palatino Linotype"/>
        </w:rPr>
        <w:lastRenderedPageBreak/>
        <w:t>reservada para permitir el acceso, como se desprende del artículo 91 de la Ley de la Materia que es del tenor literal siguiente:</w:t>
      </w:r>
    </w:p>
    <w:p w14:paraId="5864370B" w14:textId="77777777" w:rsidR="00DA3301" w:rsidRDefault="009C6E35">
      <w:pPr>
        <w:spacing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17A07EBC"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Entendiéndose como información reservada aquella que se clasifica de manera temporal cuya divulgación pueda causar algún daño; y como información confidencial, la relacionada con los secretos bancario, fiduciario, industrial, comercial, fiscal, bursátil y postal, cuya titularidad corresponde a particulares, sujetos de derecho internacional o a sujetos obligados cuando no involucren el ejercicio de recursos públicos, así como la información privada contenida en documentos públicos o privados que refiera a la vida privada y/o los datos personales, que no son de acceso público</w:t>
      </w:r>
      <w:r>
        <w:rPr>
          <w:rFonts w:ascii="Palatino Linotype" w:eastAsia="Palatino Linotype" w:hAnsi="Palatino Linotype" w:cs="Palatino Linotype"/>
          <w:sz w:val="18"/>
          <w:szCs w:val="18"/>
        </w:rPr>
        <w:t xml:space="preserve">. </w:t>
      </w:r>
    </w:p>
    <w:p w14:paraId="032AAEB1"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manera que, la Ley de Transparencia y Acceso a la Información Pública del Estado de México y Municipios, en sus artículos 140 y 143 prevé los siguientes supuestos para clasificar la información como reservada o confidencial:</w:t>
      </w:r>
    </w:p>
    <w:p w14:paraId="177C7F37" w14:textId="77777777" w:rsidR="00DA3301" w:rsidRDefault="009C6E35">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140. </w:t>
      </w:r>
      <w:r>
        <w:rPr>
          <w:rFonts w:ascii="Palatino Linotype" w:eastAsia="Palatino Linotype" w:hAnsi="Palatino Linotype" w:cs="Palatino Linotype"/>
          <w:i/>
          <w:sz w:val="22"/>
          <w:szCs w:val="22"/>
        </w:rPr>
        <w:t>El acceso a la información pública será restringido excepcionalmente, cuando por razones de interés público, ésta sea clasificada como reservada, conforme a los criterios siguientes:</w:t>
      </w:r>
    </w:p>
    <w:p w14:paraId="1E291C54"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Comprometa la seguridad pública y cuente con un propósito genuino y un efecto demostrable;</w:t>
      </w:r>
    </w:p>
    <w:p w14:paraId="2A30879A"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 </w:t>
      </w:r>
      <w:r>
        <w:rPr>
          <w:rFonts w:ascii="Palatino Linotype" w:eastAsia="Palatino Linotype" w:hAnsi="Palatino Linotype" w:cs="Palatino Linotype"/>
          <w:i/>
          <w:sz w:val="22"/>
          <w:szCs w:val="22"/>
        </w:rPr>
        <w:t>Pueda menoscabar la conducción de las negociaciones y relaciones internacionales;</w:t>
      </w:r>
    </w:p>
    <w:p w14:paraId="22CEE48E"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i/>
          <w:sz w:val="22"/>
          <w:szCs w:val="22"/>
        </w:rPr>
        <w:t>Se entregue a la Entidad expresamente con ese carácter o el de confidencialidad por otro u otros sujetos de derecho internacional, excepto cuando se trate de violaciones graves de derechos humanos o delitos de lesa humanidad de conformidad con el derecho internacional;</w:t>
      </w:r>
    </w:p>
    <w:p w14:paraId="7622EB9B"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IV. </w:t>
      </w:r>
      <w:r>
        <w:rPr>
          <w:rFonts w:ascii="Palatino Linotype" w:eastAsia="Palatino Linotype" w:hAnsi="Palatino Linotype" w:cs="Palatino Linotype"/>
          <w:i/>
          <w:sz w:val="22"/>
          <w:szCs w:val="22"/>
        </w:rPr>
        <w:t>Ponga en riesgo la vida, la seguridad o la salud de una persona física;</w:t>
      </w:r>
    </w:p>
    <w:p w14:paraId="34B59936"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Aquella cuya divulgación obstruya o pueda causar un serio perjuicio a:</w:t>
      </w:r>
    </w:p>
    <w:p w14:paraId="35C388DB" w14:textId="77777777" w:rsidR="00DA3301" w:rsidRDefault="009C6E35">
      <w:pPr>
        <w:spacing w:before="120" w:after="120"/>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1. </w:t>
      </w:r>
      <w:r>
        <w:rPr>
          <w:rFonts w:ascii="Palatino Linotype" w:eastAsia="Palatino Linotype" w:hAnsi="Palatino Linotype" w:cs="Palatino Linotype"/>
          <w:i/>
          <w:sz w:val="22"/>
          <w:szCs w:val="22"/>
        </w:rPr>
        <w:t xml:space="preserve">Las actividades de fiscalización, verificación, inspección, comprobación y auditoría sobre el cumplimiento de las Leyes; o </w:t>
      </w:r>
    </w:p>
    <w:p w14:paraId="2966040A" w14:textId="77777777" w:rsidR="00DA3301" w:rsidRDefault="009C6E35">
      <w:pPr>
        <w:spacing w:before="120" w:after="120"/>
        <w:ind w:left="1418"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2. </w:t>
      </w:r>
      <w:r>
        <w:rPr>
          <w:rFonts w:ascii="Palatino Linotype" w:eastAsia="Palatino Linotype" w:hAnsi="Palatino Linotype" w:cs="Palatino Linotype"/>
          <w:i/>
          <w:sz w:val="22"/>
          <w:szCs w:val="22"/>
        </w:rPr>
        <w:t>La recaudación de las contribuciones.</w:t>
      </w:r>
    </w:p>
    <w:p w14:paraId="49B5BC3D"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14:paraId="5C034A5F"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que contengan las opiniones, recomendaciones o puntos de vista que formen parte del proceso deliberativo de los servidores públicos, hasta en tanto sea adoptada la decisión definitiva, la cual deberá estar documentada;</w:t>
      </w:r>
    </w:p>
    <w:p w14:paraId="05491307"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Vulnere la conducción de los expedientes judiciales o de los procedimientos administrativos seguidos en forma de juicio, en tanto no hayan quedado firmes</w:t>
      </w:r>
      <w:r>
        <w:rPr>
          <w:rFonts w:ascii="Palatino Linotype" w:eastAsia="Palatino Linotype" w:hAnsi="Palatino Linotype" w:cs="Palatino Linotype"/>
          <w:b/>
          <w:i/>
          <w:sz w:val="22"/>
          <w:szCs w:val="22"/>
        </w:rPr>
        <w:t>;</w:t>
      </w:r>
    </w:p>
    <w:p w14:paraId="5F6BB853"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IX. </w:t>
      </w:r>
      <w:r>
        <w:rPr>
          <w:rFonts w:ascii="Palatino Linotype" w:eastAsia="Palatino Linotype" w:hAnsi="Palatino Linotype" w:cs="Palatino Linotype"/>
          <w:i/>
          <w:sz w:val="22"/>
          <w:szCs w:val="22"/>
        </w:rPr>
        <w:t>Se encuentre contenida dentro de las investigaciones de hechos que la Ley señale como delitos y se tramiten ante el Ministerio Público;</w:t>
      </w:r>
    </w:p>
    <w:p w14:paraId="428B3E9D"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X. </w:t>
      </w:r>
      <w:r>
        <w:rPr>
          <w:rFonts w:ascii="Palatino Linotype" w:eastAsia="Palatino Linotype" w:hAnsi="Palatino Linotype" w:cs="Palatino Linotype"/>
          <w:i/>
          <w:sz w:val="22"/>
          <w:szCs w:val="22"/>
        </w:rPr>
        <w:t>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14:paraId="72EDED8A"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14:paraId="2CBEC58A"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XI. </w:t>
      </w:r>
      <w:r>
        <w:rPr>
          <w:rFonts w:ascii="Palatino Linotype" w:eastAsia="Palatino Linotype" w:hAnsi="Palatino Linotype" w:cs="Palatino Linotype"/>
          <w:i/>
          <w:sz w:val="22"/>
          <w:szCs w:val="22"/>
        </w:rPr>
        <w:t>Las que por disposición expresa de una ley tengan tal carácter, siempre que sean acordes con las bases, principios y disposiciones establecidos en esta Ley y no la contravengan; así como las previstas en tratados internacionales.</w:t>
      </w:r>
    </w:p>
    <w:p w14:paraId="2DAD0318" w14:textId="77777777" w:rsidR="00DA3301" w:rsidRDefault="009C6E35">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15C7FE4" w14:textId="77777777" w:rsidR="00DA3301" w:rsidRDefault="009C6E35">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Artículo 143. </w:t>
      </w:r>
      <w:r>
        <w:rPr>
          <w:rFonts w:ascii="Palatino Linotype" w:eastAsia="Palatino Linotype" w:hAnsi="Palatino Linotype" w:cs="Palatino Linotype"/>
          <w:i/>
          <w:sz w:val="22"/>
          <w:szCs w:val="22"/>
        </w:rPr>
        <w:t>Para los efectos de esta Ley se considera información confidencial, la clasificada como tal, de manera permanente, por su naturaleza, cuando:</w:t>
      </w:r>
    </w:p>
    <w:p w14:paraId="34A3354E"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Se refiera a la información privada y los datos personales concernientes a una persona física o jurídico colectiva identificada o identificable;</w:t>
      </w:r>
    </w:p>
    <w:p w14:paraId="7440C541"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 </w:t>
      </w:r>
      <w:r>
        <w:rPr>
          <w:rFonts w:ascii="Palatino Linotype" w:eastAsia="Palatino Linotype" w:hAnsi="Palatino Linotype" w:cs="Palatino Linotype"/>
          <w:i/>
          <w:sz w:val="22"/>
          <w:szCs w:val="22"/>
        </w:rPr>
        <w:t>Los secretos bancario, fiduciario, industrial, comercial, fiscal, bursátil y postal, cuya titularidad corresponda a particulares, sujetos de derecho internacional o a sujetos obligados cuando no involucren el ejercicio de recursos públicos; y</w:t>
      </w:r>
    </w:p>
    <w:p w14:paraId="73DC393C" w14:textId="77777777" w:rsidR="00DA3301" w:rsidRDefault="009C6E35">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i/>
          <w:sz w:val="22"/>
          <w:szCs w:val="22"/>
        </w:rPr>
        <w:t>La que presenten los particulares a los sujetos obligados, de conformidad con lo dispuesto por las leyes o los tratados internacionales.</w:t>
      </w:r>
    </w:p>
    <w:p w14:paraId="628C9EEB" w14:textId="77777777" w:rsidR="00DA3301" w:rsidRDefault="009C6E35">
      <w:pPr>
        <w:spacing w:before="120" w:after="120"/>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47B97B68" w14:textId="77777777" w:rsidR="00DA3301" w:rsidRDefault="009C6E35">
      <w:pPr>
        <w:spacing w:before="120" w:after="120"/>
        <w:ind w:left="993"/>
        <w:jc w:val="both"/>
        <w:rPr>
          <w:rFonts w:ascii="Palatino Linotype" w:eastAsia="Palatino Linotype" w:hAnsi="Palatino Linotype" w:cs="Palatino Linotype"/>
        </w:rPr>
      </w:pPr>
      <w:r>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31C01D0C"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De este modo, conforme al artículo 132 de la Ley en la Materia Local,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32272E27" w14:textId="77777777" w:rsidR="00DA3301" w:rsidRDefault="009C6E35">
      <w:pPr>
        <w:numPr>
          <w:ilvl w:val="0"/>
          <w:numId w:val="10"/>
        </w:numPr>
        <w:tabs>
          <w:tab w:val="left" w:pos="851"/>
        </w:tabs>
        <w:spacing w:before="28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Se reciba una solicitud de acceso a la información;</w:t>
      </w:r>
    </w:p>
    <w:p w14:paraId="24224B03" w14:textId="77777777" w:rsidR="00DA3301" w:rsidRDefault="009C6E35">
      <w:pPr>
        <w:numPr>
          <w:ilvl w:val="0"/>
          <w:numId w:val="10"/>
        </w:numPr>
        <w:tabs>
          <w:tab w:val="left" w:pos="851"/>
        </w:tabs>
        <w:spacing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Se determine mediante resolución de autoridad competente; y/o</w:t>
      </w:r>
    </w:p>
    <w:p w14:paraId="52A47872" w14:textId="77777777" w:rsidR="00DA3301" w:rsidRDefault="009C6E35">
      <w:pPr>
        <w:numPr>
          <w:ilvl w:val="0"/>
          <w:numId w:val="10"/>
        </w:numPr>
        <w:tabs>
          <w:tab w:val="left" w:pos="851"/>
        </w:tabs>
        <w:spacing w:after="28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Se generen versiones públicas para dar cumplimiento a las obligaciones de transparencia previstas en la Ley.</w:t>
      </w:r>
    </w:p>
    <w:p w14:paraId="0AAD9CC3" w14:textId="77777777" w:rsidR="00DA3301" w:rsidRDefault="009C6E35">
      <w:pPr>
        <w:spacing w:before="280" w:after="28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es de precisar que la clasificación de la información no se da por el simple mandato de la Ley, sino que es necesario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w:t>
      </w:r>
      <w:r>
        <w:rPr>
          <w:rFonts w:ascii="Palatino Linotype" w:eastAsia="Palatino Linotype" w:hAnsi="Palatino Linotype" w:cs="Palatino Linotype"/>
        </w:rPr>
        <w:lastRenderedPageBreak/>
        <w:t xml:space="preserve">cuando clasifique algún documento o información, ya sea todo o en parte, atienda lo dispuesto por la Ley de la materia, siendo que dicha clasificación es un trabajo en conjunto tanto de los Servidores Públicos Habilitados, de las Unidades de Transparencia y del Comité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teniendo el deber los primeros de ellos de presentar ante la Unidad de Transparencia la propuesta de la clasificación de la información, para que luego ésta se presente ante al Comité de Transparencia de así resultar procedente el proyecto de clasificación de la información y que finalmente sea éste último quien apruebe, modifique o revoque la misma, como se desprende de los artículos 59 fracción V</w:t>
      </w:r>
      <w:r>
        <w:rPr>
          <w:rFonts w:ascii="Palatino Linotype" w:eastAsia="Palatino Linotype" w:hAnsi="Palatino Linotype" w:cs="Palatino Linotype"/>
          <w:vertAlign w:val="superscript"/>
        </w:rPr>
        <w:footnoteReference w:id="4"/>
      </w:r>
      <w:r>
        <w:rPr>
          <w:rFonts w:ascii="Palatino Linotype" w:eastAsia="Palatino Linotype" w:hAnsi="Palatino Linotype" w:cs="Palatino Linotype"/>
        </w:rPr>
        <w:t>, 53 fracción X</w:t>
      </w:r>
      <w:r>
        <w:rPr>
          <w:rFonts w:ascii="Palatino Linotype" w:eastAsia="Palatino Linotype" w:hAnsi="Palatino Linotype" w:cs="Palatino Linotype"/>
          <w:vertAlign w:val="superscript"/>
        </w:rPr>
        <w:footnoteReference w:id="5"/>
      </w:r>
      <w:r>
        <w:rPr>
          <w:rFonts w:ascii="Palatino Linotype" w:eastAsia="Palatino Linotype" w:hAnsi="Palatino Linotype" w:cs="Palatino Linotype"/>
        </w:rPr>
        <w:t>, y 49 fracciones II y VIII</w:t>
      </w:r>
      <w:r>
        <w:rPr>
          <w:rFonts w:ascii="Palatino Linotype" w:eastAsia="Palatino Linotype" w:hAnsi="Palatino Linotype" w:cs="Palatino Linotype"/>
          <w:vertAlign w:val="superscript"/>
        </w:rPr>
        <w:footnoteReference w:id="6"/>
      </w:r>
      <w:r>
        <w:rPr>
          <w:rFonts w:ascii="Palatino Linotype" w:eastAsia="Palatino Linotype" w:hAnsi="Palatino Linotype" w:cs="Palatino Linotype"/>
        </w:rPr>
        <w:t xml:space="preserve"> de la Ley de Transparencia y Acceso a la Información Pública del Estado de México y Municipios.</w:t>
      </w:r>
    </w:p>
    <w:p w14:paraId="4163952B"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tales consideraciones, este Organismo Garante no omite señalar que, si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advierte que la información solicitada contienen </w:t>
      </w:r>
      <w:r>
        <w:rPr>
          <w:rFonts w:ascii="Palatino Linotype" w:eastAsia="Palatino Linotype" w:hAnsi="Palatino Linotype" w:cs="Palatino Linotype"/>
          <w:b/>
        </w:rPr>
        <w:t>datos personales</w:t>
      </w:r>
      <w:r>
        <w:rPr>
          <w:rFonts w:ascii="Palatino Linotype" w:eastAsia="Palatino Linotype" w:hAnsi="Palatino Linotype" w:cs="Palatino Linotype"/>
        </w:rPr>
        <w:t xml:space="preserve"> que sean susceptibles de ser </w:t>
      </w:r>
      <w:r>
        <w:rPr>
          <w:rFonts w:ascii="Palatino Linotype" w:eastAsia="Palatino Linotype" w:hAnsi="Palatino Linotype" w:cs="Palatino Linotype"/>
          <w:b/>
        </w:rPr>
        <w:t xml:space="preserve">clasificados como confidenciales, </w:t>
      </w:r>
      <w:r>
        <w:rPr>
          <w:rFonts w:ascii="Palatino Linotype" w:eastAsia="Palatino Linotype" w:hAnsi="Palatino Linotype" w:cs="Palatino Linotype"/>
        </w:rPr>
        <w:t>o, si por otro lado</w:t>
      </w:r>
      <w:r>
        <w:rPr>
          <w:rFonts w:ascii="Palatino Linotype" w:eastAsia="Palatino Linotype" w:hAnsi="Palatino Linotype" w:cs="Palatino Linotype"/>
          <w:b/>
        </w:rPr>
        <w:t>, por su propia y especial naturaleza,</w:t>
      </w:r>
      <w:r>
        <w:rPr>
          <w:rFonts w:ascii="Palatino Linotype" w:eastAsia="Palatino Linotype" w:hAnsi="Palatino Linotype" w:cs="Palatino Linotype"/>
        </w:rPr>
        <w:t xml:space="preserve"> encuadra en alguno de los </w:t>
      </w:r>
      <w:r>
        <w:rPr>
          <w:rFonts w:ascii="Palatino Linotype" w:eastAsia="Palatino Linotype" w:hAnsi="Palatino Linotype" w:cs="Palatino Linotype"/>
          <w:b/>
        </w:rPr>
        <w:t>supuestos de reserva o de confidencialidad en su totalidad</w:t>
      </w:r>
      <w:r>
        <w:rPr>
          <w:rFonts w:ascii="Palatino Linotype" w:eastAsia="Palatino Linotype" w:hAnsi="Palatino Linotype" w:cs="Palatino Linotype"/>
        </w:rPr>
        <w:t>, deberá emitir, un</w:t>
      </w:r>
      <w:r>
        <w:rPr>
          <w:rFonts w:ascii="Palatino Linotype" w:eastAsia="Palatino Linotype" w:hAnsi="Palatino Linotype" w:cs="Palatino Linotype"/>
          <w:b/>
        </w:rPr>
        <w:t xml:space="preserve"> Acuerdo de Clasificación </w:t>
      </w:r>
      <w:r>
        <w:rPr>
          <w:rFonts w:ascii="Palatino Linotype" w:eastAsia="Palatino Linotype" w:hAnsi="Palatino Linotype" w:cs="Palatino Linotype"/>
        </w:rPr>
        <w:t>debidamente fundado y motivado que</w:t>
      </w:r>
      <w:r>
        <w:rPr>
          <w:rFonts w:ascii="Palatino Linotype" w:eastAsia="Palatino Linotype" w:hAnsi="Palatino Linotype" w:cs="Palatino Linotype"/>
          <w:b/>
        </w:rPr>
        <w:t xml:space="preserve"> sustente la clasificación </w:t>
      </w:r>
      <w:r>
        <w:rPr>
          <w:rFonts w:ascii="Palatino Linotype" w:eastAsia="Palatino Linotype" w:hAnsi="Palatino Linotype" w:cs="Palatino Linotype"/>
          <w:b/>
        </w:rPr>
        <w:lastRenderedPageBreak/>
        <w:t>parcial, a través de la versión pública que emita,</w:t>
      </w:r>
      <w:r>
        <w:rPr>
          <w:rFonts w:ascii="Palatino Linotype" w:eastAsia="Palatino Linotype" w:hAnsi="Palatino Linotype" w:cs="Palatino Linotype"/>
        </w:rPr>
        <w:t xml:space="preserve"> o bien, la restricción total del derecho de acceso a la información.  </w:t>
      </w:r>
    </w:p>
    <w:p w14:paraId="245E7288"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Respecto de la clasificación parcial, a través de la elaboración de versiones públicas, debe mencionarse que dentro de los datos personales que pudieran contenerse se destacan los datos personales sensibles, los cuales son aquellos referentes de la esfera de su titular cuya utilización indebida pueda dar origen a discriminación o conlleve un riesgo grave para éste.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 de conformidad con el artículo 4, fracción XII de la Ley de Protección de Datos Personales en Posesión de Sujetos Obligados del Estado de México y Municipios.</w:t>
      </w:r>
    </w:p>
    <w:p w14:paraId="565C9210" w14:textId="77777777" w:rsidR="00DA3301" w:rsidRDefault="009C6E35">
      <w:pPr>
        <w:spacing w:before="280" w:after="28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 la reserva y ampliación del plazo de reserva de la información, para motivar la clasificación se deberán de señalar las razones, motivos o circunstancias especiales que llevaron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concluir que, el caso particular se ajusta al supuesto previsto por la norma legal invocada como fundamento; siendo que, además, en todo momento, se debe aplicar una prueba de daño, entendida esta como la responsabilidad de los Sujetos Obligados de demostrar, de manera fundada y motivada, que la divulgación de la información lesiona el interés debidamente protegido por la Ley y que el menoscabo o daño que puede producirse con la publicidad de la información, es mayor que el interés de conocerla; debiendo clasificarse como reservada.</w:t>
      </w:r>
    </w:p>
    <w:p w14:paraId="385C54AB"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En otras palabras, para la clasificación de la información como reservada se deben establecer, de manera fundada y motivada, las hipótesis normativas aplicables al caso concreto y se analice la prueba de daño, misma que se encuentra prevista en el artículo 129 de la Ley de Transparencia Local, para lo cual, los Sujetos Obligados deberán considerar que: </w:t>
      </w:r>
    </w:p>
    <w:p w14:paraId="4928EA54" w14:textId="77777777" w:rsidR="00DA3301" w:rsidRDefault="009C6E35">
      <w:pPr>
        <w:numPr>
          <w:ilvl w:val="0"/>
          <w:numId w:val="2"/>
        </w:numPr>
        <w:tabs>
          <w:tab w:val="left" w:pos="851"/>
        </w:tabs>
        <w:spacing w:before="280" w:line="360" w:lineRule="auto"/>
        <w:ind w:left="567" w:firstLine="1"/>
        <w:jc w:val="both"/>
        <w:rPr>
          <w:rFonts w:ascii="Palatino Linotype" w:eastAsia="Palatino Linotype" w:hAnsi="Palatino Linotype" w:cs="Palatino Linotype"/>
        </w:rPr>
      </w:pPr>
      <w:r>
        <w:rPr>
          <w:rFonts w:ascii="Palatino Linotype" w:eastAsia="Palatino Linotype" w:hAnsi="Palatino Linotype" w:cs="Palatino Linotype"/>
        </w:rPr>
        <w:t xml:space="preserve">La divulgación de la información representa un </w:t>
      </w:r>
      <w:r>
        <w:rPr>
          <w:rFonts w:ascii="Palatino Linotype" w:eastAsia="Palatino Linotype" w:hAnsi="Palatino Linotype" w:cs="Palatino Linotype"/>
          <w:b/>
        </w:rPr>
        <w:t>riesgo real, demostrable e identificable del perjuicio significativo al interés público o a la seguridad pública</w:t>
      </w:r>
      <w:r>
        <w:rPr>
          <w:rFonts w:ascii="Palatino Linotype" w:eastAsia="Palatino Linotype" w:hAnsi="Palatino Linotype" w:cs="Palatino Linotype"/>
        </w:rPr>
        <w:t>;</w:t>
      </w:r>
    </w:p>
    <w:p w14:paraId="41B279EC" w14:textId="77777777" w:rsidR="00DA3301" w:rsidRDefault="009C6E35">
      <w:pPr>
        <w:numPr>
          <w:ilvl w:val="0"/>
          <w:numId w:val="2"/>
        </w:numPr>
        <w:tabs>
          <w:tab w:val="left" w:pos="851"/>
        </w:tabs>
        <w:spacing w:line="360" w:lineRule="auto"/>
        <w:ind w:left="567" w:firstLine="1"/>
        <w:jc w:val="both"/>
        <w:rPr>
          <w:rFonts w:ascii="Palatino Linotype" w:eastAsia="Palatino Linotype" w:hAnsi="Palatino Linotype" w:cs="Palatino Linotype"/>
        </w:rPr>
      </w:pPr>
      <w:r>
        <w:rPr>
          <w:rFonts w:ascii="Palatino Linotype" w:eastAsia="Palatino Linotype" w:hAnsi="Palatino Linotype" w:cs="Palatino Linotype"/>
        </w:rPr>
        <w:t>El riesgo de perjuicio que supondría la divulgación supera el interés público general de que se difunda; y,</w:t>
      </w:r>
    </w:p>
    <w:p w14:paraId="76FC31AA" w14:textId="77777777" w:rsidR="00DA3301" w:rsidRDefault="009C6E35">
      <w:pPr>
        <w:numPr>
          <w:ilvl w:val="0"/>
          <w:numId w:val="2"/>
        </w:numPr>
        <w:tabs>
          <w:tab w:val="left" w:pos="851"/>
        </w:tabs>
        <w:spacing w:after="280" w:line="360" w:lineRule="auto"/>
        <w:ind w:left="567" w:firstLine="1"/>
        <w:jc w:val="both"/>
        <w:rPr>
          <w:rFonts w:ascii="Palatino Linotype" w:eastAsia="Palatino Linotype" w:hAnsi="Palatino Linotype" w:cs="Palatino Linotype"/>
        </w:rPr>
      </w:pPr>
      <w:r>
        <w:rPr>
          <w:rFonts w:ascii="Palatino Linotype" w:eastAsia="Palatino Linotype" w:hAnsi="Palatino Linotype" w:cs="Palatino Linotype"/>
        </w:rPr>
        <w:t xml:space="preserve">La limitación se adecua al principio de proporcionalidad y representa el medio menos restrictivo disponible para evitar el perjuicio. </w:t>
      </w:r>
    </w:p>
    <w:p w14:paraId="440A4C48" w14:textId="77777777" w:rsidR="00DA3301" w:rsidRDefault="009C6E35">
      <w:pPr>
        <w:widowControl w:val="0"/>
        <w:pBdr>
          <w:top w:val="nil"/>
          <w:left w:val="nil"/>
          <w:bottom w:val="nil"/>
          <w:right w:val="nil"/>
          <w:between w:val="nil"/>
        </w:pBdr>
        <w:tabs>
          <w:tab w:val="left" w:pos="1276"/>
          <w:tab w:val="left" w:pos="1701"/>
          <w:tab w:val="left" w:pos="1843"/>
        </w:tabs>
        <w:spacing w:before="280" w:after="28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Atento a lo anterior, es necesario hacer hincapié que en el caso de que existan causas presentes que impiden la publicidad de la información durante cierto periodo de tiempo, las razones objetivas por las que la apertura de la información generaría una afectación, deben aplicar de manera restrictiva y limitada las hipótesis de clasificación y no hacerlas valer de manera general.</w:t>
      </w:r>
    </w:p>
    <w:p w14:paraId="5A1D3401"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Siendo pertinente aclarar que, la información que se clasifica bajo la premisa de reservada, </w:t>
      </w:r>
      <w:r>
        <w:rPr>
          <w:rFonts w:ascii="Palatino Linotype" w:eastAsia="Palatino Linotype" w:hAnsi="Palatino Linotype" w:cs="Palatino Linotype"/>
          <w:b/>
        </w:rPr>
        <w:t>no pierde el carácter de pública</w:t>
      </w:r>
      <w:r>
        <w:rPr>
          <w:rFonts w:ascii="Palatino Linotype" w:eastAsia="Palatino Linotype" w:hAnsi="Palatino Linotype" w:cs="Palatino Linotype"/>
        </w:rPr>
        <w:t xml:space="preserve">, sino que </w:t>
      </w:r>
      <w:r>
        <w:rPr>
          <w:rFonts w:ascii="Palatino Linotype" w:eastAsia="Palatino Linotype" w:hAnsi="Palatino Linotype" w:cs="Palatino Linotype"/>
          <w:b/>
        </w:rPr>
        <w:t>se reserva temporalmente</w:t>
      </w:r>
      <w:r>
        <w:rPr>
          <w:rFonts w:ascii="Palatino Linotype" w:eastAsia="Palatino Linotype" w:hAnsi="Palatino Linotype" w:cs="Palatino Linotype"/>
        </w:rPr>
        <w:t xml:space="preserve"> </w:t>
      </w:r>
      <w:r>
        <w:rPr>
          <w:rFonts w:ascii="Palatino Linotype" w:eastAsia="Palatino Linotype" w:hAnsi="Palatino Linotype" w:cs="Palatino Linotype"/>
          <w:b/>
        </w:rPr>
        <w:t>del conocimiento público</w:t>
      </w:r>
      <w:r>
        <w:rPr>
          <w:rFonts w:ascii="Palatino Linotype" w:eastAsia="Palatino Linotype" w:hAnsi="Palatino Linotype" w:cs="Palatino Linotype"/>
        </w:rPr>
        <w:t xml:space="preserve">, es decir, que, </w:t>
      </w:r>
      <w:r>
        <w:rPr>
          <w:rFonts w:ascii="Palatino Linotype" w:eastAsia="Palatino Linotype" w:hAnsi="Palatino Linotype" w:cs="Palatino Linotype"/>
          <w:b/>
        </w:rPr>
        <w:t>por un tiempo determinado</w:t>
      </w:r>
      <w:r>
        <w:rPr>
          <w:rFonts w:ascii="Palatino Linotype" w:eastAsia="Palatino Linotype" w:hAnsi="Palatino Linotype" w:cs="Palatino Linotype"/>
        </w:rPr>
        <w:t>, se conservará y custodiará la información de manera especial, y una vez transcurrido el plazo de reserva, el documento podrá divulgarse.</w:t>
      </w:r>
    </w:p>
    <w:p w14:paraId="2D610001"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 tal manera, las limitaciones al acceso a la información deben sustentarse en una adecuada clasificación que debe distinguir y tomar en cuenta qué información puede generar un daño desproporcionado o innecesario a valores jurídicamente protegidos. Lo anterior encuentra sustento en la Tesis de la Décima Época, publicada en la Gaceta del Semanario Judicial de la Federación, sección Tribunales Colegiados de Circuito, Libro 5, de fecha abril de 2014, pág. 1523, Registro, 2,006,299. I.1o.A.E.3 K (10a.), que literalmente señala:</w:t>
      </w:r>
    </w:p>
    <w:p w14:paraId="7D49E094" w14:textId="77777777" w:rsidR="00DA3301" w:rsidRDefault="009C6E35">
      <w:pPr>
        <w:spacing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Pr>
          <w:rFonts w:ascii="Palatino Linotype" w:eastAsia="Palatino Linotype" w:hAnsi="Palatino Linotype" w:cs="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officio, con el propósito de obtener una versión que sea pública para la parte interesada.”</w:t>
      </w:r>
    </w:p>
    <w:p w14:paraId="16399324" w14:textId="77777777" w:rsidR="00DA3301" w:rsidRDefault="009C6E35">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 los documentos que por su propia y especial naturaleza sean de carácter privado, encuadran en el supuesto de información confidencial en su totalidad, bajo la premisa de que el derecho de acceso a la información pública tiene </w:t>
      </w:r>
      <w:r>
        <w:rPr>
          <w:rFonts w:ascii="Palatino Linotype" w:eastAsia="Palatino Linotype" w:hAnsi="Palatino Linotype" w:cs="Palatino Linotype"/>
        </w:rPr>
        <w:lastRenderedPageBreak/>
        <w:t>como limitante el respeto a la intimidad y a la vida privada de las personas, es por ello que este Instituto debe cuidar que los datos personales que obren en poder de los Sujetos Obligados estén protegidos, quienes deberán adoptar las medidas de seguridad administrativa, física y técnica necesarias para garantizar la integridad, confidencialidad y disponibilidad de los datos personales, considerando además, que conforme al principio de finalidad todo tratamiento de datos personales que efectúen los sujetos obligados deberá estar justificado en la Ley, lo anterior en términos de lo dispuesto por los artículos 6, 22, 38 y 43, de la Ley de Protección de Datos Personales en Posesión de los sujetos Obligados del Estado de México y Municipios.</w:t>
      </w:r>
    </w:p>
    <w:p w14:paraId="39CE8BD8" w14:textId="77777777" w:rsidR="00DA3301" w:rsidRDefault="009C6E35">
      <w:pPr>
        <w:spacing w:before="280" w:after="28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Asimismo, no obsta mencionar que el Acuerdo del Comité de Transparencia mediante el cual se clasifique la información como reservada o confidencial, de manera total o parcial debe emitirse siguiendo las formalidades previstas en la Ley de Transparencia y Acceso a la Información Pública del Estado de México y en los Lineamientos Generales en Materia de Clasificación y Desclasificación de la Información, así como para la Elaboración de Versiones Públicas</w:t>
      </w:r>
      <w:r>
        <w:rPr>
          <w:rFonts w:ascii="Palatino Linotype" w:eastAsia="Palatino Linotype" w:hAnsi="Palatino Linotype" w:cs="Palatino Linotype"/>
          <w:vertAlign w:val="superscript"/>
        </w:rPr>
        <w:footnoteReference w:id="7"/>
      </w:r>
      <w:r>
        <w:rPr>
          <w:rFonts w:ascii="Palatino Linotype" w:eastAsia="Palatino Linotype" w:hAnsi="Palatino Linotype" w:cs="Palatino Linotype"/>
        </w:rPr>
        <w:t xml:space="preserve">, de igual forma en dicho acuerdo se deben exponer de manera clara los fundamentos y razones que llevaron a la autoridad a clasificar la información, de lo contrario, implica dejar al solicitante en estado de incertidumbre, al no conocer o comprender las razones por las que se clasifica la documentación respectiva, es decir, si no se exponen de </w:t>
      </w:r>
      <w:r>
        <w:rPr>
          <w:rFonts w:ascii="Palatino Linotype" w:eastAsia="Palatino Linotype" w:hAnsi="Palatino Linotype" w:cs="Palatino Linotype"/>
        </w:rPr>
        <w:lastRenderedPageBreak/>
        <w:t>manera puntual las razones, de ello se estaría violentando el Derecho de Acceso a la Información del solicitante.</w:t>
      </w:r>
    </w:p>
    <w:p w14:paraId="43D7A70C"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otro lado, estima prudente señalar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que, en caso de que la información solicitada, debiera obrar en sus archivos y no cuente con ella, deberá entregar el Acuerdo del Comité de Transparencia, en donde conste la declaratoria de inexistencia de la misma.</w:t>
      </w:r>
    </w:p>
    <w:p w14:paraId="43305F6F"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resaltar que los artículos 18 y 19 de la Ley de Transparencia y Acceso a la Información Pública del Estado de México y Municipios establecen que los sujetos obligados deben documentar todo acto que derive del ejercicio de sus facultades, competencias o funciones y que se presume que la información debe existir si se refiere a dichas facultades, competencias y/o funciones.</w:t>
      </w:r>
    </w:p>
    <w:p w14:paraId="31CA0AA1"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En tal caso, la declaratoria a que se ha hecho referencia deberá realizarse, conforme a lo dispuesto en los artículos 49, fracciones II y XIII, 169 y 170 de la Ley de Transparencia y Acceso a la Información Pública del Estado de México y Municipios, que establecen la forma en que los Sujetos Obligados deben dar curso a las Declaratorias de Inexistencia.</w:t>
      </w:r>
    </w:p>
    <w:p w14:paraId="2F068C25"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Resulta aplicable el criterio de interpretación en el orden administrativo número 0008-19 emitido por Acuerdo del Pleno del Instituto de Transparencia y Acceso a la Información Pública del Estado de México y Municipios, que a la letra dice:</w:t>
      </w:r>
    </w:p>
    <w:p w14:paraId="293B3020" w14:textId="77777777" w:rsidR="00DA3301" w:rsidRDefault="009C6E35">
      <w:pPr>
        <w:spacing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“INEXISTENCIA DE LA INFORMACIÓN. SUPUESTOS PARA EMITIR LA RESOLUCIÓN DE LA. </w:t>
      </w:r>
      <w:r>
        <w:rPr>
          <w:rFonts w:ascii="Palatino Linotype" w:eastAsia="Palatino Linotype" w:hAnsi="Palatino Linotype" w:cs="Palatino Linotype"/>
          <w:i/>
          <w:sz w:val="22"/>
          <w:szCs w:val="22"/>
        </w:rPr>
        <w:t xml:space="preserve">De conformidad con los artículos 19, párrafo tercero y 170 de la Ley de Transparencia y Acceso a la Información Pública del </w:t>
      </w:r>
      <w:r>
        <w:rPr>
          <w:rFonts w:ascii="Palatino Linotype" w:eastAsia="Palatino Linotype" w:hAnsi="Palatino Linotype" w:cs="Palatino Linotype"/>
          <w:i/>
          <w:sz w:val="22"/>
          <w:szCs w:val="22"/>
        </w:rPr>
        <w:lastRenderedPageBreak/>
        <w:t>Estado de México y Municipios, el Comité de Transparencia deberá emitir un acuerdo de inexistencia de información debidamente fundado y motivado, para justificar por qué no obra en los archivos del Sujeto Obligado la información que deriva de las facultades, competencias y atribuciones que los ordenamientos jurídicos aplicables le otorgan, la cual debió generar, poseer y administrar. Por tanto, en términos de los numerales previamente citados, el referido acuerdo de inexistencia procede en los siguientes momentos: a) cuando no se generó, poseyó o administró el documento teniendo la obligación conforme a la presunción legal que deriva de las facultades, competencias y atribuciones que los ordenamientos jurídicos aplicables le otorgan; b) que habiendo sido generada, poseída o administrada, por algún motivo ya no se cuenta con la información solicitada; o bien, c) cuando el Sujeto Obligado fue omiso en ejercer una facultad, competencia o atribución inexcusable. Supuestos que, de actualizarse, deberán acreditarse con las exigencias legales contempladas en los numerales 49, fracción II, 169 y 170 de la Ley de Transparencia de la entidad, a través de una resolución del Comité de Transparencia del Sujeto Obligado que confirme la inexistencia de la información, acto jurídico que genera certeza jurídica al particular de que se realizó un criterio de búsqueda exhaustivo y razonable con la debida justificación de la falta de información y en su caso, las consecuencias de ello.”</w:t>
      </w:r>
    </w:p>
    <w:p w14:paraId="5EB1F671"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mérito de todo lo expuesto, ante lo </w:t>
      </w:r>
      <w:r>
        <w:rPr>
          <w:rFonts w:ascii="Palatino Linotype" w:eastAsia="Palatino Linotype" w:hAnsi="Palatino Linotype" w:cs="Palatino Linotype"/>
          <w:b/>
        </w:rPr>
        <w:t>fundado</w:t>
      </w:r>
      <w:r>
        <w:rPr>
          <w:rFonts w:ascii="Palatino Linotype" w:eastAsia="Palatino Linotype" w:hAnsi="Palatino Linotype" w:cs="Palatino Linotype"/>
        </w:rPr>
        <w:t xml:space="preserve"> de las razones o motivos de inconformidad hechos valer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este Instituto estima que lo dable es </w:t>
      </w:r>
      <w:r>
        <w:rPr>
          <w:rFonts w:ascii="Palatino Linotype" w:eastAsia="Palatino Linotype" w:hAnsi="Palatino Linotype" w:cs="Palatino Linotype"/>
          <w:b/>
        </w:rPr>
        <w:t>Ordenar</w:t>
      </w:r>
      <w:r>
        <w:rPr>
          <w:rFonts w:ascii="Palatino Linotype" w:eastAsia="Palatino Linotype" w:hAnsi="Palatino Linotype" w:cs="Palatino Linotype"/>
        </w:rPr>
        <w:t xml:space="preserve">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dé respuesta a las solicitudes de acceso a la información, atendiendo lo señalado en el presente Considerando y el siguiente para las versiones públicas.</w:t>
      </w:r>
    </w:p>
    <w:p w14:paraId="6C483D71" w14:textId="77777777" w:rsidR="00DA3301" w:rsidRDefault="009C6E35">
      <w:pPr>
        <w:spacing w:before="280" w:after="28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2.- De la información proporcionada por el SUJETO OBLIGADO mediante los informes justificados a los recursos de revisión 01290/INFOEM/IP/RR/2022, y 01541/INFOEM/IP/RR/2022.</w:t>
      </w:r>
    </w:p>
    <w:p w14:paraId="2A6A0393"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Como se señaló anteriormente en los recursos de revisión que se analizan el particular solicitó:</w:t>
      </w:r>
    </w:p>
    <w:p w14:paraId="4017EB0E" w14:textId="77777777" w:rsidR="00DA3301" w:rsidRDefault="009C6E35">
      <w:pPr>
        <w:spacing w:before="280" w:after="28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00353/METEPEC/IP/2022</w:t>
      </w:r>
      <w:r>
        <w:rPr>
          <w:rFonts w:ascii="Palatino Linotype" w:eastAsia="Palatino Linotype" w:hAnsi="Palatino Linotype" w:cs="Palatino Linotype"/>
          <w:b/>
        </w:rPr>
        <w:tab/>
      </w:r>
    </w:p>
    <w:p w14:paraId="70A14AF4" w14:textId="77777777" w:rsidR="00DA3301" w:rsidRDefault="009C6E35">
      <w:pPr>
        <w:spacing w:before="280" w:after="280" w:line="360" w:lineRule="auto"/>
        <w:jc w:val="both"/>
        <w:rPr>
          <w:rFonts w:ascii="Palatino Linotype" w:eastAsia="Palatino Linotype" w:hAnsi="Palatino Linotype" w:cs="Palatino Linotype"/>
          <w:i/>
          <w:highlight w:val="yellow"/>
        </w:rPr>
      </w:pPr>
      <w:r>
        <w:rPr>
          <w:rFonts w:ascii="Palatino Linotype" w:eastAsia="Palatino Linotype" w:hAnsi="Palatino Linotype" w:cs="Palatino Linotype"/>
          <w:i/>
        </w:rPr>
        <w:t>“Solicito copia de todos los oficios generados y recibidos por la Dirección de Gobierno por Resultados al 10 de enero de 2022.” (Sic)</w:t>
      </w:r>
      <w:r>
        <w:rPr>
          <w:rFonts w:ascii="Palatino Linotype" w:eastAsia="Palatino Linotype" w:hAnsi="Palatino Linotype" w:cs="Palatino Linotype"/>
          <w:i/>
          <w:highlight w:val="yellow"/>
        </w:rPr>
        <w:t xml:space="preserve"> </w:t>
      </w:r>
    </w:p>
    <w:p w14:paraId="76C56ECB" w14:textId="77777777" w:rsidR="00DA3301" w:rsidRDefault="009C6E35">
      <w:pPr>
        <w:spacing w:before="280" w:after="28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00722/METEPEC/IP/2022</w:t>
      </w:r>
      <w:r>
        <w:rPr>
          <w:rFonts w:ascii="Palatino Linotype" w:eastAsia="Palatino Linotype" w:hAnsi="Palatino Linotype" w:cs="Palatino Linotype"/>
          <w:b/>
        </w:rPr>
        <w:tab/>
      </w:r>
    </w:p>
    <w:p w14:paraId="0F386134" w14:textId="77777777" w:rsidR="00DA3301" w:rsidRDefault="009C6E35">
      <w:pPr>
        <w:spacing w:before="280" w:after="280" w:line="360" w:lineRule="auto"/>
        <w:jc w:val="both"/>
        <w:rPr>
          <w:rFonts w:ascii="Palatino Linotype" w:eastAsia="Palatino Linotype" w:hAnsi="Palatino Linotype" w:cs="Palatino Linotype"/>
          <w:i/>
          <w:highlight w:val="yellow"/>
        </w:rPr>
      </w:pPr>
      <w:r>
        <w:rPr>
          <w:rFonts w:ascii="Palatino Linotype" w:eastAsia="Palatino Linotype" w:hAnsi="Palatino Linotype" w:cs="Palatino Linotype"/>
          <w:i/>
        </w:rPr>
        <w:t>“Solicito copia de todos los oficios generados y recibidos por la Dirección de Gobierno por Resultados el 11 de enero de 2022.” (Sic)</w:t>
      </w:r>
    </w:p>
    <w:p w14:paraId="00F5BA52" w14:textId="77777777" w:rsidR="00DA3301" w:rsidRDefault="00DA3301">
      <w:pPr>
        <w:spacing w:before="280" w:after="280" w:line="360" w:lineRule="auto"/>
        <w:jc w:val="both"/>
        <w:rPr>
          <w:rFonts w:ascii="Palatino Linotype" w:eastAsia="Palatino Linotype" w:hAnsi="Palatino Linotype" w:cs="Palatino Linotype"/>
          <w:b/>
        </w:rPr>
      </w:pPr>
    </w:p>
    <w:p w14:paraId="6DF998A1" w14:textId="77777777" w:rsidR="00DA3301" w:rsidRDefault="00DA3301">
      <w:pPr>
        <w:spacing w:before="280" w:after="280" w:line="360" w:lineRule="auto"/>
        <w:jc w:val="both"/>
        <w:rPr>
          <w:rFonts w:ascii="Palatino Linotype" w:eastAsia="Palatino Linotype" w:hAnsi="Palatino Linotype" w:cs="Palatino Linotype"/>
          <w:b/>
        </w:rPr>
      </w:pPr>
    </w:p>
    <w:p w14:paraId="1B614537"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respeto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fue omiso en proporcionar respuesta, motivo por el cual se interpusieron los recursos de revisión. </w:t>
      </w:r>
    </w:p>
    <w:p w14:paraId="7DA8FD35"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Sin embargo, en atención al recurso de revisión</w:t>
      </w:r>
      <w:r>
        <w:rPr>
          <w:rFonts w:ascii="Palatino Linotype" w:eastAsia="Palatino Linotype" w:hAnsi="Palatino Linotype" w:cs="Palatino Linotype"/>
          <w:b/>
        </w:rPr>
        <w:t xml:space="preserve"> 01290/INFOEM/IP/RR/2022, </w:t>
      </w: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informe justificado adjunta tres documentos que se describen a continuación:</w:t>
      </w:r>
    </w:p>
    <w:p w14:paraId="5706DD3A"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1290-INFOE-IP-RR-2022-a.pdf, </w:t>
      </w:r>
      <w:r>
        <w:rPr>
          <w:rFonts w:ascii="Palatino Linotype" w:eastAsia="Palatino Linotype" w:hAnsi="Palatino Linotype" w:cs="Palatino Linotype"/>
          <w:color w:val="000000"/>
        </w:rPr>
        <w:t>documento de fecha veintiocho de marzo de dos mil veintidós, suscrito y signado por el Titular de la Unidad de Transparencia mediante el cual rinde el informe justificado,</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y hace entrega de información en  versión pública, misma que se adjunta en el apartado de </w:t>
      </w:r>
      <w:r>
        <w:rPr>
          <w:rFonts w:ascii="Palatino Linotype" w:eastAsia="Palatino Linotype" w:hAnsi="Palatino Linotype" w:cs="Palatino Linotype"/>
          <w:color w:val="000000"/>
        </w:rPr>
        <w:lastRenderedPageBreak/>
        <w:t xml:space="preserve">manifestaciones bajo la denominación de “353-ANEXO 1- GENERADOS” y “353- ANEXO 2- RECIBIDOS”. </w:t>
      </w:r>
    </w:p>
    <w:p w14:paraId="3D61E764" w14:textId="77777777" w:rsidR="00DA3301" w:rsidRDefault="009C6E35">
      <w:pPr>
        <w:pBdr>
          <w:top w:val="nil"/>
          <w:left w:val="nil"/>
          <w:bottom w:val="nil"/>
          <w:right w:val="nil"/>
          <w:between w:val="nil"/>
        </w:pBdr>
        <w:spacing w:before="240" w:after="240" w:line="360" w:lineRule="auto"/>
        <w:ind w:left="720"/>
        <w:jc w:val="both"/>
        <w:rPr>
          <w:rFonts w:ascii="Palatino Linotype" w:eastAsia="Palatino Linotype" w:hAnsi="Palatino Linotype" w:cs="Palatino Linotype"/>
          <w:color w:val="000000"/>
        </w:rPr>
      </w:pPr>
      <w:r>
        <w:rPr>
          <w:rFonts w:ascii="Palatino Linotype" w:eastAsia="Palatino Linotype" w:hAnsi="Palatino Linotype" w:cs="Palatino Linotype"/>
          <w:sz w:val="22"/>
          <w:szCs w:val="22"/>
        </w:rPr>
        <w:t>En dicho Informe se destaca</w:t>
      </w:r>
      <w:r>
        <w:rPr>
          <w:rFonts w:ascii="Palatino Linotype" w:eastAsia="Palatino Linotype" w:hAnsi="Palatino Linotype" w:cs="Palatino Linotype"/>
          <w:color w:val="000000"/>
          <w:sz w:val="22"/>
          <w:szCs w:val="22"/>
        </w:rPr>
        <w:t xml:space="preserve"> que: “… </w:t>
      </w:r>
      <w:r>
        <w:rPr>
          <w:rFonts w:ascii="Palatino Linotype" w:eastAsia="Palatino Linotype" w:hAnsi="Palatino Linotype" w:cs="Palatino Linotype"/>
          <w:i/>
          <w:color w:val="000000"/>
          <w:sz w:val="22"/>
          <w:szCs w:val="22"/>
        </w:rPr>
        <w:t>Mismo que contiene lo solicitado por el hoy recurrente en la solicitud de acceso a la información objeto del presente recurso. Por lo que  considera que al haber existido un pronunciamiento por parte del sujeto obligado en el presente Informe Justificado, para dar respuesta a la solicitud de información, se concluye que se colma el derecho de acceso a la información del recurrente y, por ende, queda sin materia la inconformidad planteada, por lo que, se considera, que se actualiza la causal de que el recurso sea sobreseído. …</w:t>
      </w:r>
      <w:r>
        <w:rPr>
          <w:rFonts w:ascii="Palatino Linotype" w:eastAsia="Palatino Linotype" w:hAnsi="Palatino Linotype" w:cs="Palatino Linotype"/>
          <w:color w:val="000000"/>
          <w:sz w:val="22"/>
          <w:szCs w:val="22"/>
        </w:rPr>
        <w:t>” (Sic)</w:t>
      </w:r>
    </w:p>
    <w:p w14:paraId="6FF6C1B0"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 xml:space="preserve">00353 ANEXO 1- GENERADOS.pdf, </w:t>
      </w:r>
      <w:r>
        <w:rPr>
          <w:rFonts w:ascii="Palatino Linotype" w:eastAsia="Palatino Linotype" w:hAnsi="Palatino Linotype" w:cs="Palatino Linotype"/>
          <w:color w:val="000000"/>
        </w:rPr>
        <w:t>documento que contiene ochenta y ocho fojas que muestran los oficios suscritos y signados por el Director de Gobierno por Resultados, donde se muestra información que fue testada sin haber emitido acuerdo de clasificación de información correspondiente.</w:t>
      </w:r>
    </w:p>
    <w:p w14:paraId="68717F63" w14:textId="77777777" w:rsidR="00DA3301" w:rsidRDefault="009C6E35">
      <w:pPr>
        <w:spacing w:before="240" w:after="240" w:line="360" w:lineRule="auto"/>
        <w:ind w:left="360"/>
        <w:jc w:val="both"/>
        <w:rPr>
          <w:rFonts w:ascii="Palatino Linotype" w:eastAsia="Palatino Linotype" w:hAnsi="Palatino Linotype" w:cs="Palatino Linotype"/>
          <w:b/>
        </w:rPr>
      </w:pPr>
      <w:r>
        <w:rPr>
          <w:rFonts w:ascii="Palatino Linotype" w:eastAsia="Palatino Linotype" w:hAnsi="Palatino Linotype" w:cs="Palatino Linotype"/>
        </w:rPr>
        <w:t xml:space="preserve">Sin embargo en las fojas dos, tres y cuatro se muestra la clave de usuario del servidor público para acceder al SAIMEX, motivo por el cual no fue puesto a la vista  de la parte </w:t>
      </w:r>
      <w:r>
        <w:rPr>
          <w:rFonts w:ascii="Palatino Linotype" w:eastAsia="Palatino Linotype" w:hAnsi="Palatino Linotype" w:cs="Palatino Linotype"/>
          <w:b/>
        </w:rPr>
        <w:t>Recurrente</w:t>
      </w:r>
      <w:r>
        <w:rPr>
          <w:rFonts w:ascii="Palatino Linotype" w:eastAsia="Palatino Linotype" w:hAnsi="Palatino Linotype" w:cs="Palatino Linotype"/>
        </w:rPr>
        <w:t>.</w:t>
      </w:r>
    </w:p>
    <w:p w14:paraId="6530DBF1" w14:textId="77777777" w:rsidR="00DA3301" w:rsidRDefault="009C6E35">
      <w:pPr>
        <w:numPr>
          <w:ilvl w:val="0"/>
          <w:numId w:val="6"/>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color w:val="000000"/>
        </w:rPr>
        <w:t xml:space="preserve">00353 -ANEXO 2 -RECIBIDOS.pdf, </w:t>
      </w:r>
      <w:r>
        <w:rPr>
          <w:rFonts w:ascii="Palatino Linotype" w:eastAsia="Palatino Linotype" w:hAnsi="Palatino Linotype" w:cs="Palatino Linotype"/>
          <w:color w:val="000000"/>
        </w:rPr>
        <w:t>documento que contiene veinticinco fojas, de oficios y circulares recibidos, de los cuales se muestra información testada la cual es pública, por contener los nombres de servidores públicos que recibieron la documentación.</w:t>
      </w:r>
    </w:p>
    <w:p w14:paraId="1E72AABB"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Por otra parte, en atención al recurso número: 01541/INFOEM/IP/RR/2022, </w:t>
      </w:r>
      <w:r>
        <w:rPr>
          <w:rFonts w:ascii="Palatino Linotype" w:eastAsia="Palatino Linotype" w:hAnsi="Palatino Linotype" w:cs="Palatino Linotype"/>
        </w:rPr>
        <w:t xml:space="preserve">en el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remite cinco documentos adjuntos, los cuales se describen a continuación:</w:t>
      </w:r>
    </w:p>
    <w:p w14:paraId="300C9D47"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 xml:space="preserve">01541-INFOE-IP-RR-2022.pdf, </w:t>
      </w:r>
      <w:r>
        <w:rPr>
          <w:rFonts w:ascii="Palatino Linotype" w:eastAsia="Palatino Linotype" w:hAnsi="Palatino Linotype" w:cs="Palatino Linotype"/>
          <w:color w:val="000000"/>
        </w:rPr>
        <w:t>documento de fecha veinticuatro de marzo de dos mil veintidós, suscrito y signado por el Titular de la Unidad de Transparencia mediante el cual rinde el informe justificado.</w:t>
      </w:r>
    </w:p>
    <w:p w14:paraId="6EFA825C"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 xml:space="preserve">ANEXO 1 -ACTA DE COMITÉ DE TRANSPARENCIA -2E.pdf, </w:t>
      </w:r>
      <w:r>
        <w:rPr>
          <w:rFonts w:ascii="Palatino Linotype" w:eastAsia="Palatino Linotype" w:hAnsi="Palatino Linotype" w:cs="Palatino Linotype"/>
          <w:color w:val="000000"/>
        </w:rPr>
        <w:t>Acta de la Segunda Sesión Extraordinaria del Comité de Transparencia, celebrada el dieciséis de marzo de dos mil veintidós, a través de la cual presentan y aprueban la clasificación de información confidencial de los datos referentes a firma, nombre, teléfono y correo electrónico en atención oficios generados por la Dirección de Gobierno por Resultados, como sigue:</w:t>
      </w:r>
    </w:p>
    <w:p w14:paraId="1B67EDE6" w14:textId="77777777" w:rsidR="00DA3301" w:rsidRDefault="009C6E35">
      <w:pPr>
        <w:pBdr>
          <w:top w:val="nil"/>
          <w:left w:val="nil"/>
          <w:bottom w:val="nil"/>
          <w:right w:val="nil"/>
          <w:between w:val="nil"/>
        </w:pBdr>
        <w:spacing w:before="240" w:after="240" w:line="360" w:lineRule="auto"/>
        <w:ind w:left="720"/>
        <w:jc w:val="both"/>
        <w:rPr>
          <w:rFonts w:ascii="Palatino Linotype" w:eastAsia="Palatino Linotype" w:hAnsi="Palatino Linotype" w:cs="Palatino Linotype"/>
          <w:color w:val="000000"/>
        </w:rPr>
      </w:pPr>
      <w:r>
        <w:rPr>
          <w:noProof/>
          <w:lang w:val="es-MX"/>
        </w:rPr>
        <w:lastRenderedPageBreak/>
        <w:drawing>
          <wp:inline distT="0" distB="0" distL="0" distR="0" wp14:anchorId="26018092" wp14:editId="22AE37BC">
            <wp:extent cx="5189839" cy="3919984"/>
            <wp:effectExtent l="0" t="0" r="0" b="0"/>
            <wp:docPr id="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l="22232" t="35608" r="45860" b="21544"/>
                    <a:stretch>
                      <a:fillRect/>
                    </a:stretch>
                  </pic:blipFill>
                  <pic:spPr>
                    <a:xfrm>
                      <a:off x="0" y="0"/>
                      <a:ext cx="5189839" cy="3919984"/>
                    </a:xfrm>
                    <a:prstGeom prst="rect">
                      <a:avLst/>
                    </a:prstGeom>
                    <a:ln/>
                  </pic:spPr>
                </pic:pic>
              </a:graphicData>
            </a:graphic>
          </wp:inline>
        </w:drawing>
      </w:r>
    </w:p>
    <w:p w14:paraId="7D1E485F"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ANEXO 2 -GXR.pdf</w:t>
      </w:r>
      <w:r>
        <w:rPr>
          <w:rFonts w:ascii="Palatino Linotype" w:eastAsia="Palatino Linotype" w:hAnsi="Palatino Linotype" w:cs="Palatino Linotype"/>
          <w:b/>
          <w:i/>
          <w:color w:val="000000"/>
        </w:rPr>
        <w:tab/>
        <w:t xml:space="preserve">ANEXO 2, </w:t>
      </w:r>
      <w:r>
        <w:rPr>
          <w:rFonts w:ascii="Palatino Linotype" w:eastAsia="Palatino Linotype" w:hAnsi="Palatino Linotype" w:cs="Palatino Linotype"/>
          <w:color w:val="000000"/>
        </w:rPr>
        <w:t>oficio número DGPR/344/2022, de fecha tres de febrero de dos mil veintidós, suscrito y signado por el Director de Gobierno por Resultados, por medio del cual solicita al Jefe de la Unidad de Transparencia, se somete a consideración del Comité de transparencia para aprobación la clasificación de información confidencial y envía una tabla General de Clasificación de datos, donde solicita</w:t>
      </w:r>
      <w:r>
        <w:rPr>
          <w:rFonts w:ascii="Palatino Linotype" w:eastAsia="Palatino Linotype" w:hAnsi="Palatino Linotype" w:cs="Palatino Linotype"/>
        </w:rPr>
        <w:t xml:space="preserve"> sean</w:t>
      </w:r>
      <w:r>
        <w:rPr>
          <w:rFonts w:ascii="Palatino Linotype" w:eastAsia="Palatino Linotype" w:hAnsi="Palatino Linotype" w:cs="Palatino Linotype"/>
          <w:color w:val="000000"/>
        </w:rPr>
        <w:t xml:space="preserve"> testadas la firma nombre del ciudadano, el teléfono y correo electrónico.</w:t>
      </w:r>
    </w:p>
    <w:p w14:paraId="0DCB7115"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 xml:space="preserve">ANEXO 4- RESPUESTA.pdf, </w:t>
      </w:r>
      <w:r>
        <w:rPr>
          <w:rFonts w:ascii="Palatino Linotype" w:eastAsia="Palatino Linotype" w:hAnsi="Palatino Linotype" w:cs="Palatino Linotype"/>
          <w:color w:val="000000"/>
        </w:rPr>
        <w:t xml:space="preserve">documento que consta de veintidós fojas de oficios dirigidos al  Director de Gobierno por Resultados, en los cuales testan </w:t>
      </w:r>
      <w:r>
        <w:rPr>
          <w:rFonts w:ascii="Palatino Linotype" w:eastAsia="Palatino Linotype" w:hAnsi="Palatino Linotype" w:cs="Palatino Linotype"/>
          <w:color w:val="000000"/>
        </w:rPr>
        <w:lastRenderedPageBreak/>
        <w:t xml:space="preserve">el nombre del servidor público, correo electrónico,  teléfono </w:t>
      </w:r>
      <w:r>
        <w:rPr>
          <w:rFonts w:ascii="Palatino Linotype" w:eastAsia="Palatino Linotype" w:hAnsi="Palatino Linotype" w:cs="Palatino Linotype"/>
        </w:rPr>
        <w:t>móvil</w:t>
      </w:r>
      <w:r>
        <w:rPr>
          <w:rFonts w:ascii="Palatino Linotype" w:eastAsia="Palatino Linotype" w:hAnsi="Palatino Linotype" w:cs="Palatino Linotype"/>
          <w:color w:val="000000"/>
        </w:rPr>
        <w:t xml:space="preserve">  y  de oficina, así como el nombre y firma del servidor público que reciben el oficio. </w:t>
      </w:r>
    </w:p>
    <w:p w14:paraId="50BDDCD0" w14:textId="77777777" w:rsidR="00DA3301" w:rsidRDefault="009C6E35">
      <w:pPr>
        <w:numPr>
          <w:ilvl w:val="0"/>
          <w:numId w:val="7"/>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t>ANEXO 3 RESPUESTA.pdf,</w:t>
      </w:r>
      <w:r>
        <w:rPr>
          <w:rFonts w:ascii="Palatino Linotype" w:eastAsia="Palatino Linotype" w:hAnsi="Palatino Linotype" w:cs="Palatino Linotype"/>
          <w:color w:val="000000"/>
        </w:rPr>
        <w:t xml:space="preserve"> documento que consta de treinta y nueve fojas, de oficios suscritos por el Director de Gobierno por Resultados, en los que se aprecia testa las firmas y nombres de los servidores públicos que recibieron el oficio así como nombres de servidores públicos en la estructura del </w:t>
      </w:r>
      <w:r>
        <w:rPr>
          <w:rFonts w:ascii="Palatino Linotype" w:eastAsia="Palatino Linotype" w:hAnsi="Palatino Linotype" w:cs="Palatino Linotype"/>
          <w:b/>
          <w:color w:val="000000"/>
        </w:rPr>
        <w:t>Sujeto Obligado.</w:t>
      </w:r>
    </w:p>
    <w:p w14:paraId="1ECCFB85"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respecto es pertinente informar que los documento agregados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fueron puestos a vista de la </w:t>
      </w:r>
      <w:r>
        <w:rPr>
          <w:rFonts w:ascii="Palatino Linotype" w:eastAsia="Palatino Linotype" w:hAnsi="Palatino Linotype" w:cs="Palatino Linotype"/>
          <w:b/>
        </w:rPr>
        <w:t>parte Recurrente,</w:t>
      </w:r>
      <w:r>
        <w:rPr>
          <w:rFonts w:ascii="Palatino Linotype" w:eastAsia="Palatino Linotype" w:hAnsi="Palatino Linotype" w:cs="Palatino Linotype"/>
        </w:rPr>
        <w:t xml:space="preserve"> con excepción del documento </w:t>
      </w:r>
      <w:r>
        <w:rPr>
          <w:rFonts w:ascii="Palatino Linotype" w:eastAsia="Palatino Linotype" w:hAnsi="Palatino Linotype" w:cs="Palatino Linotype"/>
          <w:b/>
          <w:i/>
          <w:color w:val="000000"/>
        </w:rPr>
        <w:t>00353 ANEXO 1- GENERADOS.pdf,</w:t>
      </w:r>
      <w:r>
        <w:rPr>
          <w:rFonts w:ascii="Palatino Linotype" w:eastAsia="Palatino Linotype" w:hAnsi="Palatino Linotype" w:cs="Palatino Linotype"/>
        </w:rPr>
        <w:t xml:space="preserve"> toda vez que se aprecia la clave de usuario del Saimex, la cual es confidencial, toda vez que dicha clave contiene datos almacenados los cuales pueden ser sensibles o confidenciales y de responsabilidad para el servidor público que la tiene asignada, la cual es intransferible, y si se divulga puede comprometer la seguridad de la información contenida, por lo que si bien no se aprecia la contraseña, el conocer la clave de usuario facilita su identificación, por lo cual debe ser clasificada como confidencial.</w:t>
      </w:r>
    </w:p>
    <w:p w14:paraId="38D9DCA2"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otra parte se advierte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protege información pública, al testar las firmas y nombres de los servidores públicos que recibieron el oficio, así como nombres de servidores públicos en la estructura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correos electrónicos y números de teléfono que se aprecian ser oficiales, a manera de ejemplo se agrega una muestra de la información que se describe:</w:t>
      </w:r>
    </w:p>
    <w:p w14:paraId="18F1F8FD" w14:textId="77777777" w:rsidR="00DA3301" w:rsidRDefault="009C6E35">
      <w:pPr>
        <w:spacing w:before="240" w:after="240"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val="es-MX"/>
        </w:rPr>
        <w:lastRenderedPageBreak/>
        <w:drawing>
          <wp:inline distT="0" distB="0" distL="0" distR="0" wp14:anchorId="109CE0D8" wp14:editId="6D6A8520">
            <wp:extent cx="4562682" cy="6248683"/>
            <wp:effectExtent l="0" t="0" r="0" b="0"/>
            <wp:docPr id="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4562682" cy="6248683"/>
                    </a:xfrm>
                    <a:prstGeom prst="rect">
                      <a:avLst/>
                    </a:prstGeom>
                    <a:ln/>
                  </pic:spPr>
                </pic:pic>
              </a:graphicData>
            </a:graphic>
          </wp:inline>
        </w:drawing>
      </w:r>
    </w:p>
    <w:p w14:paraId="15E9B5FD" w14:textId="77777777" w:rsidR="00DA3301" w:rsidRDefault="00DA3301">
      <w:pPr>
        <w:spacing w:before="280" w:after="280" w:line="360" w:lineRule="auto"/>
        <w:jc w:val="both"/>
        <w:rPr>
          <w:rFonts w:ascii="Palatino Linotype" w:eastAsia="Palatino Linotype" w:hAnsi="Palatino Linotype" w:cs="Palatino Linotype"/>
          <w:b/>
        </w:rPr>
      </w:pPr>
    </w:p>
    <w:p w14:paraId="41F7679A" w14:textId="77777777" w:rsidR="00DA3301" w:rsidRDefault="009C6E35">
      <w:pPr>
        <w:spacing w:before="280" w:after="280" w:line="360" w:lineRule="auto"/>
        <w:jc w:val="center"/>
        <w:rPr>
          <w:rFonts w:ascii="Palatino Linotype" w:eastAsia="Palatino Linotype" w:hAnsi="Palatino Linotype" w:cs="Palatino Linotype"/>
          <w:b/>
        </w:rPr>
      </w:pPr>
      <w:r>
        <w:rPr>
          <w:rFonts w:ascii="Palatino Linotype" w:eastAsia="Palatino Linotype" w:hAnsi="Palatino Linotype" w:cs="Palatino Linotype"/>
          <w:b/>
          <w:noProof/>
          <w:lang w:val="es-MX"/>
        </w:rPr>
        <w:lastRenderedPageBreak/>
        <w:drawing>
          <wp:inline distT="0" distB="0" distL="0" distR="0" wp14:anchorId="2A82017B" wp14:editId="587F920A">
            <wp:extent cx="4708858" cy="6663343"/>
            <wp:effectExtent l="0" t="0" r="0" b="0"/>
            <wp:docPr id="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4708858" cy="6663343"/>
                    </a:xfrm>
                    <a:prstGeom prst="rect">
                      <a:avLst/>
                    </a:prstGeom>
                    <a:ln/>
                  </pic:spPr>
                </pic:pic>
              </a:graphicData>
            </a:graphic>
          </wp:inline>
        </w:drawing>
      </w:r>
    </w:p>
    <w:p w14:paraId="4B4E5DBB"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lastRenderedPageBreak/>
        <w:t xml:space="preserve">Ahora bien, dados los términos de la respuesta otorgada, resulta oportuno mencionar que es evidente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no niega la existencia de la información solicitada, sino por el contrario, se encuentra encaminado a atender la solicitud, por ello es que, una vez analizada la materia, proporciona documentos con la finalidad de satisfacer la pretensión de la parte solicitante, por tanto, el estudio de la fuente obligacional en el caso concreto se obvia, en razón de que dicho análisis se efectúa con la finalidad de determinar si los Sujetos Obligados generan, administran o poseen la información que les fue requerida, y al existir la manifestación de poseer la misma, a nada práctico llevaría el alcance de dicho análisis.</w:t>
      </w:r>
    </w:p>
    <w:p w14:paraId="186EA029"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En efecto, el hecho de que el Sujeto Obligado haya asumido contar con la información pública solicitada, acepta que la genera, posee y administra, en ejercicio de sus funciones de derecho público, motivo por el cual se actualiza el supuesto previsto en el artículo 12 de la Ley de Transparencia y Acceso a la Información Pública del Estado de México y Municipios, citado con antelación.</w:t>
      </w:r>
    </w:p>
    <w:p w14:paraId="6702F479"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Aunado a que la respuesta fue proporcionada por el Servidor Público Habilitado que ostenta las atribuciones necesarias; es decir, la respuesta deriva del Servidor Público Habilitado del área de la que se solicitó información.</w:t>
      </w:r>
    </w:p>
    <w:p w14:paraId="7769ACE8"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se logra advertir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turnó la solicitud de información a la Dirección de Gobierno por Resultados; así, es necesario hacer referencia al procedimiento de búsqueda que deben de seguir los Sujetos Obligados para localizar la información, el cual se encuentra previsto en los artículos 160 y 162 </w:t>
      </w:r>
      <w:r>
        <w:rPr>
          <w:rFonts w:ascii="Palatino Linotype" w:eastAsia="Palatino Linotype" w:hAnsi="Palatino Linotype" w:cs="Palatino Linotype"/>
        </w:rPr>
        <w:lastRenderedPageBreak/>
        <w:t>de la Ley de Transparencia y Acceso a la Información Pública del Estado de México y Municipios, mismo que es el siguiente:</w:t>
      </w:r>
    </w:p>
    <w:p w14:paraId="2C1B3027"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Las Unidades de Transparencia garantizarán que las solicitudes de acceso a la información se turnen a todas las áreas competentes que cuenten con la información o deban tenerla de acuerdo a las facultades, competencias y funciones-, con el objeto de que dichas áreas realicen una búsqueda exhaustiva y razonable de la información requerida, y</w:t>
      </w:r>
    </w:p>
    <w:p w14:paraId="2A1302FD"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sujetos obligados otorgaran acceso a los documentos que se encuentren en sus archivos o que estén obligados a documentar de acuerdo con sus facultades, competencias o funciones, en el formato en que el solicitante manifieste, de entre aquellos formatos existentes. </w:t>
      </w:r>
    </w:p>
    <w:p w14:paraId="36666DF1"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Atendiendo a lo dispuesto en los preceptos legales de referencia, a efecto de determinar si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siguió el procedimiento antes descrito, quedando acreditado que al haberse pronunciando el área competente, es decir en este caso, la Dirección de Gobierno por Resultados, esta Autoridad determina que pudiera quedar colmada la pretensión del particular el haberse entregado los oficios generados y recibidos por la Dirección de Gobierno por Resultados.</w:t>
      </w:r>
    </w:p>
    <w:p w14:paraId="12947BB6"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Sobre lo anterior, cabe precisar que este Instituto, no tiene atribuciones para pronunciarse sobre la veracidad de la información. Apoya lo anterior, el Criterio 31/10, emitido por el Pleno del entonces Instituto Federal de Acceso a la Información y Protección de Datos, que a continuación se cita:</w:t>
      </w:r>
    </w:p>
    <w:p w14:paraId="655AC1B1" w14:textId="77777777" w:rsidR="00DA3301" w:rsidRDefault="009C6E35">
      <w:pPr>
        <w:spacing w:before="280" w:after="280" w:line="276" w:lineRule="auto"/>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rPr>
        <w:lastRenderedPageBreak/>
        <w:t>“</w:t>
      </w:r>
      <w:r>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i/>
          <w:sz w:val="22"/>
          <w:szCs w:val="22"/>
        </w:rPr>
        <w:t>.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65C59590" w14:textId="77777777" w:rsidR="00DA3301" w:rsidRDefault="009C6E35">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No obstante lo anterior, y si bien se advierte que remite la información solicitada, esta es remitida en versión pública y sólo en el informe justificado del recurso de revisión </w:t>
      </w:r>
      <w:r>
        <w:rPr>
          <w:rFonts w:ascii="Palatino Linotype" w:eastAsia="Palatino Linotype" w:hAnsi="Palatino Linotype" w:cs="Palatino Linotype"/>
          <w:b/>
          <w:color w:val="000000"/>
        </w:rPr>
        <w:t>01541/INFOEM/IP/RR/2022</w:t>
      </w:r>
      <w:r>
        <w:rPr>
          <w:rFonts w:ascii="Palatino Linotype" w:eastAsia="Palatino Linotype" w:hAnsi="Palatino Linotype" w:cs="Palatino Linotype"/>
          <w:color w:val="000000"/>
        </w:rPr>
        <w:t xml:space="preserve">, envía el acuerdo de comité de transparencia en el que se funda y motiva su actuar. </w:t>
      </w:r>
    </w:p>
    <w:p w14:paraId="6807B596" w14:textId="77777777" w:rsidR="00DA3301" w:rsidRDefault="00DA3301">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p>
    <w:p w14:paraId="0ACE3A80" w14:textId="77777777" w:rsidR="00DA3301" w:rsidRDefault="009C6E35">
      <w:pPr>
        <w:pBdr>
          <w:top w:val="nil"/>
          <w:left w:val="nil"/>
          <w:bottom w:val="nil"/>
          <w:right w:val="nil"/>
          <w:between w:val="nil"/>
        </w:pBdr>
        <w:shd w:val="clear" w:color="auto" w:fill="FFFFFF"/>
        <w:spacing w:line="360" w:lineRule="auto"/>
        <w:jc w:val="both"/>
        <w:rPr>
          <w:color w:val="000000"/>
        </w:rPr>
      </w:pPr>
      <w:r>
        <w:rPr>
          <w:rFonts w:ascii="Palatino Linotype" w:eastAsia="Palatino Linotype" w:hAnsi="Palatino Linotype" w:cs="Palatino Linotype"/>
          <w:color w:val="000000"/>
        </w:rPr>
        <w:t xml:space="preserve">Por lo que en este sentido y toda vez que dicho Acuerdo no fue acompañado en la solitud  </w:t>
      </w:r>
      <w:r>
        <w:rPr>
          <w:rFonts w:ascii="Palatino Linotype" w:eastAsia="Palatino Linotype" w:hAnsi="Palatino Linotype" w:cs="Palatino Linotype"/>
          <w:b/>
          <w:color w:val="000000"/>
        </w:rPr>
        <w:t>00353/METEPEC/IP/2022</w:t>
      </w:r>
      <w:r>
        <w:rPr>
          <w:rFonts w:ascii="Palatino Linotype" w:eastAsia="Palatino Linotype" w:hAnsi="Palatino Linotype" w:cs="Palatino Linotype"/>
          <w:color w:val="000000"/>
        </w:rPr>
        <w:t>, resulta necesario señalar que en dicho recurso el particular no conoce los motivos, razones y circunstancias de hecho y derecho para testar los datos en comento.</w:t>
      </w:r>
    </w:p>
    <w:p w14:paraId="24A6EF68" w14:textId="77777777" w:rsidR="00DA3301" w:rsidRDefault="009C6E35">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 xml:space="preserve">Esto es, no se advierte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hubiese expresado el artículo, fracción, inciso o subinciso de la legislación aplicable a la materia, que establece de manera expresa la naturaleza jurídica de todos y cada uno de los datos contenidos en los recibos de nómina que entregó en respuesta, lo anterior, con la finalidad de </w:t>
      </w:r>
      <w:r>
        <w:rPr>
          <w:rFonts w:ascii="Palatino Linotype" w:eastAsia="Palatino Linotype" w:hAnsi="Palatino Linotype" w:cs="Palatino Linotype"/>
          <w:color w:val="000000"/>
        </w:rPr>
        <w:lastRenderedPageBreak/>
        <w:t xml:space="preserve">justificar la procedencia de omitirlos o testarlos, en consecuencia, el actuar del Sujeto Obligado </w:t>
      </w:r>
      <w:r>
        <w:rPr>
          <w:rFonts w:ascii="Palatino Linotype" w:eastAsia="Palatino Linotype" w:hAnsi="Palatino Linotype" w:cs="Palatino Linotype"/>
          <w:color w:val="222222"/>
        </w:rPr>
        <w:t xml:space="preserve">carece de fundamentación y motivación, consistentes en la </w:t>
      </w:r>
      <w:r>
        <w:rPr>
          <w:rFonts w:ascii="Palatino Linotype" w:eastAsia="Palatino Linotype" w:hAnsi="Palatino Linotype" w:cs="Palatino Linotype"/>
          <w:color w:val="000000"/>
        </w:rPr>
        <w:t>obligación que tiene todo ente público de expresar los preceptos jurídicos aplicables al asunto motivo del acto y las razones o argumentos de su actuar.</w:t>
      </w:r>
    </w:p>
    <w:p w14:paraId="333B3762"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Al respecto, el máximo tribunal del país ha establecido jurisprudencia respecto a qué debe entenderse por fundamentación y motivación, en los siguientes términos:</w:t>
      </w:r>
    </w:p>
    <w:p w14:paraId="01C872D6" w14:textId="77777777" w:rsidR="00DA3301" w:rsidRDefault="00DA3301"/>
    <w:p w14:paraId="01EA331E" w14:textId="77777777" w:rsidR="00DA3301" w:rsidRDefault="009C6E35">
      <w:pPr>
        <w:pBdr>
          <w:top w:val="nil"/>
          <w:left w:val="nil"/>
          <w:bottom w:val="nil"/>
          <w:right w:val="nil"/>
          <w:between w:val="nil"/>
        </w:pBdr>
        <w:spacing w:line="276" w:lineRule="auto"/>
        <w:ind w:left="851" w:right="850"/>
        <w:jc w:val="both"/>
        <w:rPr>
          <w:color w:val="000000"/>
        </w:rPr>
      </w:pPr>
      <w:r>
        <w:rPr>
          <w:rFonts w:ascii="Palatino Linotype" w:eastAsia="Palatino Linotype" w:hAnsi="Palatino Linotype" w:cs="Palatino Linotype"/>
          <w:b/>
          <w:i/>
          <w:color w:val="000000"/>
          <w:sz w:val="22"/>
          <w:szCs w:val="22"/>
        </w:rPr>
        <w:t xml:space="preserve">“FUNDAMENTACION Y MOTIVACION. </w:t>
      </w:r>
      <w:r>
        <w:rPr>
          <w:rFonts w:ascii="Palatino Linotype" w:eastAsia="Palatino Linotype" w:hAnsi="Palatino Linotype" w:cs="Palatino Linotype"/>
          <w:i/>
          <w:color w:val="000000"/>
          <w:sz w:val="22"/>
          <w:szCs w:val="22"/>
        </w:rPr>
        <w:t xml:space="preserve">La </w:t>
      </w:r>
      <w:r>
        <w:rPr>
          <w:rFonts w:ascii="Palatino Linotype" w:eastAsia="Palatino Linotype" w:hAnsi="Palatino Linotype" w:cs="Palatino Linotype"/>
          <w:b/>
          <w:i/>
          <w:color w:val="000000"/>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Pr>
          <w:rFonts w:ascii="Palatino Linotype" w:eastAsia="Palatino Linotype" w:hAnsi="Palatino Linotype" w:cs="Palatino Linotype"/>
          <w:i/>
          <w:color w:val="000000"/>
          <w:sz w:val="22"/>
          <w:szCs w:val="22"/>
        </w:rPr>
        <w:t>.</w:t>
      </w:r>
    </w:p>
    <w:p w14:paraId="10B7C24C" w14:textId="77777777" w:rsidR="00DA3301" w:rsidRDefault="009C6E35">
      <w:pPr>
        <w:pBdr>
          <w:top w:val="nil"/>
          <w:left w:val="nil"/>
          <w:bottom w:val="nil"/>
          <w:right w:val="nil"/>
          <w:between w:val="nil"/>
        </w:pBdr>
        <w:ind w:left="851" w:right="850"/>
        <w:jc w:val="both"/>
        <w:rPr>
          <w:color w:val="000000"/>
        </w:rPr>
      </w:pPr>
      <w:r>
        <w:rPr>
          <w:rFonts w:ascii="Palatino Linotype" w:eastAsia="Palatino Linotype" w:hAnsi="Palatino Linotype" w:cs="Palatino Linotype"/>
          <w:b/>
          <w:i/>
          <w:color w:val="000000"/>
          <w:sz w:val="22"/>
          <w:szCs w:val="22"/>
        </w:rPr>
        <w:t>…”(Sic)</w:t>
      </w:r>
    </w:p>
    <w:p w14:paraId="74A59127" w14:textId="77777777" w:rsidR="00DA3301" w:rsidRDefault="00DA3301"/>
    <w:p w14:paraId="0EBE7C8D"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 xml:space="preserve">Así, en un acto de autoridad se surte la debida fundamentación cuando se cita el precepto legal aplicable al caso concreto y la debida motivación cuando se </w:t>
      </w:r>
      <w:r>
        <w:rPr>
          <w:rFonts w:ascii="Palatino Linotype" w:eastAsia="Palatino Linotype" w:hAnsi="Palatino Linotype" w:cs="Palatino Linotype"/>
          <w:color w:val="222222"/>
        </w:rPr>
        <w:t>expresan</w:t>
      </w:r>
      <w:r>
        <w:rPr>
          <w:rFonts w:ascii="Palatino Linotype" w:eastAsia="Palatino Linotype" w:hAnsi="Palatino Linotype" w:cs="Palatino Linotype"/>
          <w:color w:val="000000"/>
        </w:rPr>
        <w:t xml:space="preserve"> las razones, motivos o circunstancias que tomó en cuenta la autoridad para adecuar el hecho a los fundamentos de derecho.</w:t>
      </w:r>
    </w:p>
    <w:p w14:paraId="3CBCE68B" w14:textId="77777777" w:rsidR="00DA3301" w:rsidRDefault="00DA3301">
      <w:pPr>
        <w:spacing w:line="360" w:lineRule="auto"/>
      </w:pPr>
    </w:p>
    <w:p w14:paraId="35E53A9D"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 xml:space="preserve">Más aún, a través de diversa jurisprudencia dictada por el </w:t>
      </w:r>
      <w:r>
        <w:rPr>
          <w:rFonts w:ascii="Palatino Linotype" w:eastAsia="Palatino Linotype" w:hAnsi="Palatino Linotype" w:cs="Palatino Linotype"/>
          <w:color w:val="222222"/>
        </w:rPr>
        <w:t>Poder</w:t>
      </w:r>
      <w:r>
        <w:rPr>
          <w:rFonts w:ascii="Palatino Linotype" w:eastAsia="Palatino Linotype" w:hAnsi="Palatino Linotype" w:cs="Palatino Linotype"/>
          <w:color w:val="000000"/>
        </w:rPr>
        <w:t xml:space="preserve"> Judicial de la Federación se sostiene que la finalidad de la fundamentación o motivación es la de explicar, justificar, posibilitar la defensa y comunicar la decisión de la autoridad:</w:t>
      </w:r>
    </w:p>
    <w:p w14:paraId="360663E4" w14:textId="77777777" w:rsidR="00DA3301" w:rsidRDefault="00DA3301"/>
    <w:p w14:paraId="2E32E6EA" w14:textId="77777777" w:rsidR="00DA3301" w:rsidRDefault="009C6E35">
      <w:pPr>
        <w:pBdr>
          <w:top w:val="nil"/>
          <w:left w:val="nil"/>
          <w:bottom w:val="nil"/>
          <w:right w:val="nil"/>
          <w:between w:val="nil"/>
        </w:pBdr>
        <w:spacing w:line="276" w:lineRule="auto"/>
        <w:ind w:left="851" w:right="899"/>
        <w:jc w:val="both"/>
        <w:rPr>
          <w:color w:val="000000"/>
        </w:rPr>
      </w:pPr>
      <w:r>
        <w:rPr>
          <w:rFonts w:ascii="Palatino Linotype" w:eastAsia="Palatino Linotype" w:hAnsi="Palatino Linotype" w:cs="Palatino Linotype"/>
          <w:b/>
          <w:i/>
          <w:color w:val="000000"/>
          <w:sz w:val="22"/>
          <w:szCs w:val="22"/>
        </w:rPr>
        <w:t>“FUNDAMENTACIÓN Y MOTIVACIÓN. EL ASPECTO FORMAL DE LA GARANTÍA Y SU FINALIDAD SE TRADUCEN EN EXPLICAR, JUSTIFICAR, POSIBILITAR LA DEFENSA Y COMUNICAR LA DECISIÓN</w:t>
      </w:r>
      <w:r>
        <w:rPr>
          <w:rFonts w:ascii="Palatino Linotype" w:eastAsia="Palatino Linotype" w:hAnsi="Palatino Linotype" w:cs="Palatino Linotype"/>
          <w:i/>
          <w:color w:val="000000"/>
          <w:sz w:val="22"/>
          <w:szCs w:val="22"/>
        </w:rPr>
        <w:t xml:space="preserve">. El contenido formal de la garantía de legalidad prevista en el </w:t>
      </w:r>
      <w:r>
        <w:rPr>
          <w:rFonts w:ascii="Palatino Linotype" w:eastAsia="Palatino Linotype" w:hAnsi="Palatino Linotype" w:cs="Palatino Linotype"/>
          <w:i/>
          <w:color w:val="000000"/>
          <w:sz w:val="22"/>
          <w:szCs w:val="22"/>
        </w:rPr>
        <w:lastRenderedPageBreak/>
        <w:t>artículo 16 constitucional relativa a la fundamentación</w:t>
      </w:r>
      <w:r>
        <w:rPr>
          <w:rFonts w:ascii="Palatino Linotype" w:eastAsia="Palatino Linotype" w:hAnsi="Palatino Linotype" w:cs="Palatino Linotype"/>
          <w:b/>
          <w:i/>
          <w:color w:val="000000"/>
          <w:sz w:val="22"/>
          <w:szCs w:val="22"/>
        </w:rPr>
        <w:t xml:space="preserve">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Pr>
          <w:rFonts w:ascii="Palatino Linotype" w:eastAsia="Palatino Linotype" w:hAnsi="Palatino Linotype" w:cs="Palatino Linotype"/>
          <w:i/>
          <w:color w:val="000000"/>
          <w:sz w:val="22"/>
          <w:szCs w:val="22"/>
        </w:rPr>
        <w:t xml:space="preserve">. Por tanto, </w:t>
      </w:r>
      <w:r>
        <w:rPr>
          <w:rFonts w:ascii="Palatino Linotype" w:eastAsia="Palatino Linotype" w:hAnsi="Palatino Linotype" w:cs="Palatino Linotype"/>
          <w:b/>
          <w:i/>
          <w:color w:val="000000"/>
          <w:sz w:val="22"/>
          <w:szCs w:val="22"/>
          <w:u w:val="single"/>
        </w:rPr>
        <w:t>no basta que el acto de autoridad apenas observe una motivación pro forma pero de una manera incongruente, insuficiente o imprecisa</w:t>
      </w:r>
      <w:r>
        <w:rPr>
          <w:rFonts w:ascii="Palatino Linotype" w:eastAsia="Palatino Linotype" w:hAnsi="Palatino Linotype" w:cs="Palatino Linotype"/>
          <w:i/>
          <w:color w:val="000000"/>
          <w:sz w:val="22"/>
          <w:szCs w:val="22"/>
        </w:rPr>
        <w:t>, que impida la finalidad del conocimiento, comprobación y defensa pertinente</w:t>
      </w:r>
      <w:r>
        <w:rPr>
          <w:rFonts w:ascii="Palatino Linotype" w:eastAsia="Palatino Linotype" w:hAnsi="Palatino Linotype" w:cs="Palatino Linotype"/>
          <w:b/>
          <w:i/>
          <w:color w:val="000000"/>
          <w:sz w:val="22"/>
          <w:szCs w:val="22"/>
          <w:u w:val="single"/>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Pr>
          <w:rFonts w:ascii="Palatino Linotype" w:eastAsia="Palatino Linotype" w:hAnsi="Palatino Linotype" w:cs="Palatino Linotype"/>
          <w:i/>
          <w:color w:val="000000"/>
          <w:sz w:val="22"/>
          <w:szCs w:val="22"/>
        </w:rPr>
        <w:t>.”(Sic)</w:t>
      </w:r>
    </w:p>
    <w:p w14:paraId="71D1649D" w14:textId="77777777" w:rsidR="00DA3301" w:rsidRDefault="00DA3301"/>
    <w:p w14:paraId="090DD16D" w14:textId="77777777" w:rsidR="00DA3301" w:rsidRDefault="009C6E35">
      <w:pPr>
        <w:pBdr>
          <w:top w:val="nil"/>
          <w:left w:val="nil"/>
          <w:bottom w:val="nil"/>
          <w:right w:val="nil"/>
          <w:between w:val="nil"/>
        </w:pBdr>
        <w:ind w:left="851" w:right="899"/>
        <w:jc w:val="both"/>
        <w:rPr>
          <w:color w:val="000000"/>
        </w:rPr>
      </w:pPr>
      <w:r>
        <w:rPr>
          <w:rFonts w:ascii="Palatino Linotype" w:eastAsia="Palatino Linotype" w:hAnsi="Palatino Linotype" w:cs="Palatino Linotype"/>
          <w:i/>
          <w:color w:val="000000"/>
          <w:sz w:val="22"/>
          <w:szCs w:val="22"/>
        </w:rPr>
        <w:t>Énfasis añadido.</w:t>
      </w:r>
    </w:p>
    <w:p w14:paraId="7227F5C5" w14:textId="77777777" w:rsidR="00DA3301" w:rsidRDefault="00DA3301"/>
    <w:p w14:paraId="020C8918" w14:textId="77777777" w:rsidR="00DA3301" w:rsidRDefault="009C6E35">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En consecuencia, la fundamentación y motivación implica que en el acto de autoridad, además de contener los supuestos jurídicos aplicables debe explicar claramente por qué a través de la utilización de la norma se emitió el acto. De este modo, la persona que se siente afectada podrá impugnar la decisión, permitiéndole una real y auténtica defensa, circunstancia que en el presente asunto no sucedió.</w:t>
      </w:r>
    </w:p>
    <w:p w14:paraId="35F42161" w14:textId="77777777" w:rsidR="00DA3301" w:rsidRDefault="009C6E35">
      <w:pPr>
        <w:pBdr>
          <w:top w:val="nil"/>
          <w:left w:val="nil"/>
          <w:bottom w:val="nil"/>
          <w:right w:val="nil"/>
          <w:between w:val="nil"/>
        </w:pBdr>
        <w:shd w:val="clear" w:color="auto" w:fill="FFFFFF"/>
        <w:spacing w:line="360" w:lineRule="auto"/>
        <w:jc w:val="both"/>
        <w:rPr>
          <w:color w:val="000000"/>
        </w:rPr>
      </w:pPr>
      <w:r>
        <w:rPr>
          <w:rFonts w:ascii="Palatino Linotype" w:eastAsia="Palatino Linotype" w:hAnsi="Palatino Linotype" w:cs="Palatino Linotype"/>
          <w:color w:val="000000"/>
        </w:rPr>
        <w:t xml:space="preserve">Aunado a ello no se debe perder de vista que la clasificación es el proceso mediante el cual el sujeto obligado determina que la información en su poder actualiza alguno de los supuestos de reserva o confidencialidad, los cuales deberán ser acordes con </w:t>
      </w:r>
      <w:r>
        <w:rPr>
          <w:rFonts w:ascii="Palatino Linotype" w:eastAsia="Palatino Linotype" w:hAnsi="Palatino Linotype" w:cs="Palatino Linotype"/>
          <w:color w:val="000000"/>
        </w:rPr>
        <w:lastRenderedPageBreak/>
        <w:t>las bases, principios y disposiciones establecidos en la Ley General de Transparencia, al respecto, conviene referir que la Ley de Transparencia vigente en el Estado de México establece:</w:t>
      </w:r>
    </w:p>
    <w:p w14:paraId="71B160E7" w14:textId="77777777" w:rsidR="00DA3301" w:rsidRDefault="009C6E35">
      <w:pPr>
        <w:pBdr>
          <w:top w:val="nil"/>
          <w:left w:val="nil"/>
          <w:bottom w:val="nil"/>
          <w:right w:val="nil"/>
          <w:between w:val="nil"/>
        </w:pBdr>
        <w:shd w:val="clear" w:color="auto" w:fill="FFFFFF"/>
        <w:jc w:val="both"/>
        <w:rPr>
          <w:color w:val="000000"/>
        </w:rPr>
      </w:pPr>
      <w:r>
        <w:rPr>
          <w:color w:val="000000"/>
        </w:rPr>
        <w:t> </w:t>
      </w:r>
    </w:p>
    <w:p w14:paraId="3CDF6685"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b/>
          <w:i/>
          <w:color w:val="000000"/>
          <w:sz w:val="22"/>
          <w:szCs w:val="22"/>
        </w:rPr>
        <w:t>Artículo 131.</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La carga de la prueba para justificar toda negativa de acceso a la información, por actualizarse cualquiera de los supuestos de clasificación</w:t>
      </w:r>
      <w:r>
        <w:rPr>
          <w:rFonts w:ascii="Palatino Linotype" w:eastAsia="Palatino Linotype" w:hAnsi="Palatino Linotype" w:cs="Palatino Linotype"/>
          <w:i/>
          <w:color w:val="000000"/>
          <w:sz w:val="22"/>
          <w:szCs w:val="22"/>
        </w:rPr>
        <w:t xml:space="preserve"> previstos en esta Ley </w:t>
      </w:r>
      <w:r>
        <w:rPr>
          <w:rFonts w:ascii="Palatino Linotype" w:eastAsia="Palatino Linotype" w:hAnsi="Palatino Linotype" w:cs="Palatino Linotype"/>
          <w:b/>
          <w:i/>
          <w:color w:val="000000"/>
          <w:sz w:val="22"/>
          <w:szCs w:val="22"/>
          <w:u w:val="single"/>
        </w:rPr>
        <w:t>corresponderá a los sujetos obligados; en tal caso deberá fundar y motivar debidamente la clasificación de la información</w:t>
      </w:r>
      <w:r>
        <w:rPr>
          <w:rFonts w:ascii="Palatino Linotype" w:eastAsia="Palatino Linotype" w:hAnsi="Palatino Linotype" w:cs="Palatino Linotype"/>
          <w:i/>
          <w:color w:val="000000"/>
          <w:sz w:val="22"/>
          <w:szCs w:val="22"/>
        </w:rPr>
        <w:t>, de conformidad con lo previsto en la presente Ley.</w:t>
      </w:r>
    </w:p>
    <w:p w14:paraId="616CC5AB"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color w:val="000000"/>
        </w:rPr>
        <w:t> </w:t>
      </w:r>
    </w:p>
    <w:p w14:paraId="24E82AA8"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b/>
          <w:i/>
          <w:color w:val="000000"/>
          <w:sz w:val="22"/>
          <w:szCs w:val="22"/>
        </w:rPr>
        <w:t>Artículo 132.</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La clasificación de la información se llevará a cabo</w:t>
      </w:r>
      <w:r>
        <w:rPr>
          <w:rFonts w:ascii="Palatino Linotype" w:eastAsia="Palatino Linotype" w:hAnsi="Palatino Linotype" w:cs="Palatino Linotype"/>
          <w:i/>
          <w:color w:val="000000"/>
          <w:sz w:val="22"/>
          <w:szCs w:val="22"/>
        </w:rPr>
        <w:t xml:space="preserve"> en el momento en que:</w:t>
      </w:r>
    </w:p>
    <w:p w14:paraId="79B93A55"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b/>
          <w:i/>
          <w:color w:val="000000"/>
          <w:sz w:val="22"/>
          <w:szCs w:val="22"/>
        </w:rPr>
        <w:t>I.</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Se reciba una solicitud de acceso a la información</w:t>
      </w:r>
      <w:r>
        <w:rPr>
          <w:rFonts w:ascii="Palatino Linotype" w:eastAsia="Palatino Linotype" w:hAnsi="Palatino Linotype" w:cs="Palatino Linotype"/>
          <w:i/>
          <w:color w:val="000000"/>
          <w:sz w:val="22"/>
          <w:szCs w:val="22"/>
        </w:rPr>
        <w:t>;</w:t>
      </w:r>
    </w:p>
    <w:p w14:paraId="51FFBDC6"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b/>
          <w:i/>
          <w:color w:val="000000"/>
          <w:sz w:val="22"/>
          <w:szCs w:val="22"/>
        </w:rPr>
        <w:t>II.</w:t>
      </w:r>
      <w:r>
        <w:rPr>
          <w:rFonts w:ascii="Palatino Linotype" w:eastAsia="Palatino Linotype" w:hAnsi="Palatino Linotype" w:cs="Palatino Linotype"/>
          <w:i/>
          <w:color w:val="000000"/>
          <w:sz w:val="22"/>
          <w:szCs w:val="22"/>
        </w:rPr>
        <w:t xml:space="preserve"> Se determine mediante resolución de autoridad competente; o</w:t>
      </w:r>
    </w:p>
    <w:p w14:paraId="5B20282C"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b/>
          <w:i/>
          <w:color w:val="000000"/>
          <w:sz w:val="22"/>
          <w:szCs w:val="22"/>
        </w:rPr>
        <w:t>III.</w:t>
      </w:r>
      <w:r>
        <w:rPr>
          <w:rFonts w:ascii="Palatino Linotype" w:eastAsia="Palatino Linotype" w:hAnsi="Palatino Linotype" w:cs="Palatino Linotype"/>
          <w:i/>
          <w:color w:val="000000"/>
          <w:sz w:val="22"/>
          <w:szCs w:val="22"/>
        </w:rPr>
        <w:t xml:space="preserve"> Se generen versiones públicas para dar cumplimiento a las obligaciones de transparencia previstas en esta Ley.</w:t>
      </w:r>
    </w:p>
    <w:p w14:paraId="7BB2189E"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color w:val="000000"/>
        </w:rPr>
        <w:t> </w:t>
      </w:r>
    </w:p>
    <w:p w14:paraId="7A67502B"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rFonts w:ascii="Palatino Linotype" w:eastAsia="Palatino Linotype" w:hAnsi="Palatino Linotype" w:cs="Palatino Linotype"/>
          <w:i/>
          <w:color w:val="000000"/>
          <w:sz w:val="22"/>
          <w:szCs w:val="22"/>
        </w:rPr>
        <w:t>Tratándose de información reservada, los titulares de las áreas deberán revisar la clasificación al momento de la recepción de una solicitud, para verificar si subsisten las causas que le dieron origen.</w:t>
      </w:r>
    </w:p>
    <w:p w14:paraId="687B7BAD" w14:textId="77777777" w:rsidR="00DA3301" w:rsidRDefault="009C6E35">
      <w:pPr>
        <w:pBdr>
          <w:top w:val="nil"/>
          <w:left w:val="nil"/>
          <w:bottom w:val="nil"/>
          <w:right w:val="nil"/>
          <w:between w:val="nil"/>
        </w:pBdr>
        <w:shd w:val="clear" w:color="auto" w:fill="FFFFFF"/>
        <w:spacing w:line="276" w:lineRule="auto"/>
        <w:ind w:left="851" w:right="851"/>
        <w:jc w:val="both"/>
        <w:rPr>
          <w:color w:val="000000"/>
        </w:rPr>
      </w:pPr>
      <w:r>
        <w:rPr>
          <w:color w:val="000000"/>
        </w:rPr>
        <w:t> </w:t>
      </w:r>
    </w:p>
    <w:p w14:paraId="64449800" w14:textId="77777777" w:rsidR="00DA3301" w:rsidRDefault="009C6E35">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b/>
          <w:i/>
          <w:color w:val="000000"/>
          <w:sz w:val="22"/>
          <w:szCs w:val="22"/>
        </w:rPr>
        <w:t>Artículo 134.</w:t>
      </w:r>
      <w:r>
        <w:rPr>
          <w:rFonts w:ascii="Palatino Linotype" w:eastAsia="Palatino Linotype" w:hAnsi="Palatino Linotype" w:cs="Palatino Linotype"/>
          <w:i/>
          <w:color w:val="000000"/>
          <w:sz w:val="22"/>
          <w:szCs w:val="22"/>
        </w:rPr>
        <w:t xml:space="preserve"> </w:t>
      </w:r>
      <w:r>
        <w:rPr>
          <w:rFonts w:ascii="Palatino Linotype" w:eastAsia="Palatino Linotype" w:hAnsi="Palatino Linotype" w:cs="Palatino Linotype"/>
          <w:b/>
          <w:i/>
          <w:color w:val="000000"/>
          <w:sz w:val="22"/>
          <w:szCs w:val="22"/>
          <w:u w:val="single"/>
        </w:rPr>
        <w:t>Los sujetos obligados no podrán emitir acuerdos de carácter general</w:t>
      </w:r>
      <w:r>
        <w:rPr>
          <w:rFonts w:ascii="Palatino Linotype" w:eastAsia="Palatino Linotype" w:hAnsi="Palatino Linotype" w:cs="Palatino Linotype"/>
          <w:i/>
          <w:color w:val="000000"/>
          <w:sz w:val="22"/>
          <w:szCs w:val="22"/>
        </w:rPr>
        <w:t xml:space="preserve"> ni particular que clasifiquen documentos o información como reservada. La clasificación podrá establecerse de manera parcial o total de acuerdo al contenido de la información del documento y deberá estar acorde con la actualización de los supuestos definidos en el presente Título como información clasificada.</w:t>
      </w:r>
    </w:p>
    <w:p w14:paraId="36883761" w14:textId="77777777" w:rsidR="00DA3301" w:rsidRDefault="00DA3301">
      <w:pPr>
        <w:spacing w:line="276" w:lineRule="auto"/>
      </w:pPr>
    </w:p>
    <w:p w14:paraId="22C155FD" w14:textId="77777777" w:rsidR="00DA3301" w:rsidRDefault="009C6E35">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b/>
          <w:i/>
          <w:color w:val="000000"/>
          <w:sz w:val="22"/>
          <w:szCs w:val="22"/>
          <w:u w:val="single"/>
        </w:rPr>
        <w:t>En ningún caso se podrán clasificar documentos antes de que se genere la información</w:t>
      </w:r>
      <w:r>
        <w:rPr>
          <w:rFonts w:ascii="Palatino Linotype" w:eastAsia="Palatino Linotype" w:hAnsi="Palatino Linotype" w:cs="Palatino Linotype"/>
          <w:i/>
          <w:color w:val="000000"/>
          <w:sz w:val="22"/>
          <w:szCs w:val="22"/>
        </w:rPr>
        <w:t>.</w:t>
      </w:r>
    </w:p>
    <w:p w14:paraId="6E0C84E7" w14:textId="77777777" w:rsidR="00DA3301" w:rsidRDefault="00DA3301">
      <w:pPr>
        <w:spacing w:line="276" w:lineRule="auto"/>
      </w:pPr>
    </w:p>
    <w:p w14:paraId="71538262" w14:textId="77777777" w:rsidR="00DA3301" w:rsidRDefault="009C6E35">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La clasificación de información se realizará conforme a un análisis caso por caso, mediante la aplicación de la prueba de daño.</w:t>
      </w:r>
    </w:p>
    <w:p w14:paraId="2BBDDC2B" w14:textId="77777777" w:rsidR="00DA3301" w:rsidRDefault="00DA3301">
      <w:pPr>
        <w:spacing w:line="276" w:lineRule="auto"/>
      </w:pPr>
    </w:p>
    <w:p w14:paraId="2DB42D1F" w14:textId="77777777" w:rsidR="00DA3301" w:rsidRDefault="009C6E35">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b/>
          <w:i/>
          <w:color w:val="000000"/>
          <w:sz w:val="22"/>
          <w:szCs w:val="22"/>
        </w:rPr>
        <w:t>Artículo 135.</w:t>
      </w:r>
      <w:r>
        <w:rPr>
          <w:rFonts w:ascii="Palatino Linotype" w:eastAsia="Palatino Linotype" w:hAnsi="Palatino Linotype" w:cs="Palatino Linotype"/>
          <w:i/>
          <w:color w:val="000000"/>
          <w:sz w:val="22"/>
          <w:szCs w:val="22"/>
        </w:rPr>
        <w:t xml:space="preserve"> Los lineamientos generales que se emitan al respecto en materia de clasificación de la información reservada y confidencial y, para la elaboración de versiones públicas, serán de observancia obligatoria para los sujetos obligados.</w:t>
      </w:r>
    </w:p>
    <w:p w14:paraId="7433CD62" w14:textId="77777777" w:rsidR="00DA3301" w:rsidRDefault="00DA3301">
      <w:pPr>
        <w:spacing w:line="276" w:lineRule="auto"/>
      </w:pPr>
    </w:p>
    <w:p w14:paraId="025B219D" w14:textId="77777777" w:rsidR="00DA3301" w:rsidRDefault="009C6E35">
      <w:pPr>
        <w:pBdr>
          <w:top w:val="nil"/>
          <w:left w:val="nil"/>
          <w:bottom w:val="nil"/>
          <w:right w:val="nil"/>
          <w:between w:val="nil"/>
        </w:pBdr>
        <w:spacing w:line="276" w:lineRule="auto"/>
        <w:ind w:left="851" w:right="851"/>
        <w:jc w:val="both"/>
        <w:rPr>
          <w:color w:val="000000"/>
        </w:rPr>
      </w:pPr>
      <w:r>
        <w:rPr>
          <w:rFonts w:ascii="Palatino Linotype" w:eastAsia="Palatino Linotype" w:hAnsi="Palatino Linotype" w:cs="Palatino Linotype"/>
          <w:i/>
          <w:color w:val="000000"/>
          <w:sz w:val="22"/>
          <w:szCs w:val="22"/>
        </w:rPr>
        <w:t>Énfasis añadido.</w:t>
      </w:r>
    </w:p>
    <w:p w14:paraId="7D2544FF" w14:textId="77777777" w:rsidR="00DA3301" w:rsidRDefault="00DA3301"/>
    <w:p w14:paraId="19D4D6FD" w14:textId="77777777" w:rsidR="00DA3301" w:rsidRDefault="009C6E35">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De la normatividad se aprecia que l</w:t>
      </w:r>
      <w:r>
        <w:rPr>
          <w:rFonts w:ascii="Palatino Linotype" w:eastAsia="Palatino Linotype" w:hAnsi="Palatino Linotype" w:cs="Palatino Linotype"/>
          <w:b/>
          <w:color w:val="000000"/>
        </w:rPr>
        <w:t xml:space="preserve">a </w:t>
      </w:r>
      <w:r>
        <w:rPr>
          <w:rFonts w:ascii="Palatino Linotype" w:eastAsia="Palatino Linotype" w:hAnsi="Palatino Linotype" w:cs="Palatino Linotype"/>
          <w:color w:val="000000"/>
        </w:rPr>
        <w:t xml:space="preserve">carga de la prueba para justificar toda negativa de acceso a la información, por actualizarse cualquiera de los supuestos de clasificación corresponde a los sujetos obligados; en tal caso deberá fundar y motivar debidamente la clasificación de la información, la cual se llevará a cabo en el momento en que </w:t>
      </w:r>
      <w:r>
        <w:rPr>
          <w:rFonts w:ascii="Palatino Linotype" w:eastAsia="Palatino Linotype" w:hAnsi="Palatino Linotype" w:cs="Palatino Linotype"/>
          <w:i/>
          <w:color w:val="000000"/>
        </w:rPr>
        <w:t>se reciba una solicitud de acceso a la información;</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color w:val="000000"/>
        </w:rPr>
        <w:t>determine mediante resolución de autoridad competente; 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color w:val="000000"/>
        </w:rPr>
        <w:t>generen versiones públicas para dar cumplimiento a las obligaciones de transparencia,</w:t>
      </w:r>
      <w:r>
        <w:rPr>
          <w:rFonts w:ascii="Palatino Linotype" w:eastAsia="Palatino Linotype" w:hAnsi="Palatino Linotype" w:cs="Palatino Linotype"/>
          <w:color w:val="000000"/>
        </w:rPr>
        <w:t xml:space="preserve"> cabe mencionar que los sujetos obligados no podrán emitir acuerdos de carácter general, en donde no se podrán clasificar documentos antes de que se genere la información, es decir, la clasificación de información se realizará conforme a un análisis caso por caso, formalidades que en el presente asunto no fueron observadas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w:t>
      </w:r>
    </w:p>
    <w:p w14:paraId="15486521" w14:textId="77777777" w:rsidR="00DA3301" w:rsidRDefault="009C6E35">
      <w:pP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Aunado a lo anterior se advierte que en las referidas versiones públicas fueron eliminados datos de interés público como lo son: </w:t>
      </w:r>
    </w:p>
    <w:p w14:paraId="155C65D4" w14:textId="77777777" w:rsidR="00DA3301" w:rsidRDefault="009C6E35">
      <w:pPr>
        <w:numPr>
          <w:ilvl w:val="0"/>
          <w:numId w:val="8"/>
        </w:numPr>
        <w:pBdr>
          <w:top w:val="nil"/>
          <w:left w:val="nil"/>
          <w:bottom w:val="nil"/>
          <w:right w:val="nil"/>
          <w:between w:val="nil"/>
        </w:pBdr>
        <w:spacing w:before="280" w:after="280" w:line="276"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Nombres de Servidores Públicos; </w:t>
      </w:r>
    </w:p>
    <w:p w14:paraId="14BB2A65" w14:textId="77777777" w:rsidR="00DA3301" w:rsidRDefault="009C6E35">
      <w:pPr>
        <w:numPr>
          <w:ilvl w:val="0"/>
          <w:numId w:val="8"/>
        </w:numPr>
        <w:pBdr>
          <w:top w:val="nil"/>
          <w:left w:val="nil"/>
          <w:bottom w:val="nil"/>
          <w:right w:val="nil"/>
          <w:between w:val="nil"/>
        </w:pBdr>
        <w:spacing w:before="280" w:after="280" w:line="276"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Firmas de Servidores Públicos;</w:t>
      </w:r>
    </w:p>
    <w:p w14:paraId="6B5616E4" w14:textId="77777777" w:rsidR="00DA3301" w:rsidRDefault="009C6E35">
      <w:pPr>
        <w:numPr>
          <w:ilvl w:val="0"/>
          <w:numId w:val="8"/>
        </w:numPr>
        <w:pBdr>
          <w:top w:val="nil"/>
          <w:left w:val="nil"/>
          <w:bottom w:val="nil"/>
          <w:right w:val="nil"/>
          <w:between w:val="nil"/>
        </w:pBdr>
        <w:spacing w:before="280" w:after="280" w:line="276"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Correos electrónicos oficiales; y</w:t>
      </w:r>
    </w:p>
    <w:p w14:paraId="60B91D7D" w14:textId="77777777" w:rsidR="00DA3301" w:rsidRDefault="009C6E35">
      <w:pPr>
        <w:numPr>
          <w:ilvl w:val="0"/>
          <w:numId w:val="8"/>
        </w:numPr>
        <w:pBdr>
          <w:top w:val="nil"/>
          <w:left w:val="nil"/>
          <w:bottom w:val="nil"/>
          <w:right w:val="nil"/>
          <w:between w:val="nil"/>
        </w:pBdr>
        <w:spacing w:before="280" w:after="280" w:line="276"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Números de teléfono móvil oficial.</w:t>
      </w:r>
    </w:p>
    <w:p w14:paraId="38AD3D92"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respecto, es necesario destacar que la información que protegió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tiene naturaleza de información confidencial, toda vez que se deriva del ejercicio de sus atribuciones, lo cual no invade la esfera de su privacidad, por lo que analizaremos a continuación: </w:t>
      </w:r>
    </w:p>
    <w:p w14:paraId="691FD8DD" w14:textId="77777777" w:rsidR="00DA3301" w:rsidRDefault="009C6E35">
      <w:pPr>
        <w:numPr>
          <w:ilvl w:val="0"/>
          <w:numId w:val="1"/>
        </w:numPr>
        <w:spacing w:before="280" w:after="28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De los nombres de Servidores Públicos. </w:t>
      </w:r>
    </w:p>
    <w:p w14:paraId="05CF736D" w14:textId="77777777" w:rsidR="00DA3301" w:rsidRDefault="009C6E35">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se refiere al nombre de los servidores públicos, es de señalar que el nombre es un conjunto de letras y/o palabras que hacen identificable a una persona, por lo que, indiscutiblemente, es un dato personal derivado de su naturaleza.</w:t>
      </w:r>
    </w:p>
    <w:p w14:paraId="028BC79C" w14:textId="77777777" w:rsidR="00DA3301" w:rsidRDefault="009C6E35">
      <w:pPr>
        <w:spacing w:before="280" w:after="28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Sin embargo, en materia de transparencia y rendición de cuentas, en el caso de servidores públicos o personas que reciben o ejercen recursos públicos, prevalece la publicidad de algunos datos personales, por ser mayor el interés de conocer el uso y destino de los recursos públicos y dar a conocer a la ciudadanía en general, todos los elementos necesarios que permitan identificar a las personas que manejan los recursos del erario público y por otro lado, los beneficiarios, por la prestación de bienes o servicios o apoyos gubernamentales, por lo que </w:t>
      </w:r>
      <w:r>
        <w:rPr>
          <w:rFonts w:ascii="Palatino Linotype" w:eastAsia="Palatino Linotype" w:hAnsi="Palatino Linotype" w:cs="Palatino Linotype"/>
          <w:b/>
        </w:rPr>
        <w:t>el nombre de los servidores públicos es de acceso público.</w:t>
      </w:r>
    </w:p>
    <w:p w14:paraId="47756930" w14:textId="77777777" w:rsidR="00DA3301" w:rsidRDefault="009C6E35">
      <w:pPr>
        <w:spacing w:before="280" w:after="280" w:line="360" w:lineRule="auto"/>
        <w:ind w:firstLine="720"/>
        <w:jc w:val="both"/>
        <w:rPr>
          <w:rFonts w:ascii="Palatino Linotype" w:eastAsia="Palatino Linotype" w:hAnsi="Palatino Linotype" w:cs="Palatino Linotype"/>
          <w:b/>
        </w:rPr>
      </w:pPr>
      <w:r>
        <w:rPr>
          <w:rFonts w:ascii="Palatino Linotype" w:eastAsia="Palatino Linotype" w:hAnsi="Palatino Linotype" w:cs="Palatino Linotype"/>
          <w:b/>
        </w:rPr>
        <w:t>De las firmas de Servidores Públicos.</w:t>
      </w:r>
    </w:p>
    <w:p w14:paraId="7E513525" w14:textId="77777777" w:rsidR="00DA3301" w:rsidRDefault="009C6E35">
      <w:pP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Al respecto el criterio de interpretación 2/19 emitido por el ahora Instituto Nacional de Transparencia, Acceso a la Información y Protección de Datos Personales, refiere lo siguiente:</w:t>
      </w:r>
    </w:p>
    <w:p w14:paraId="0C70D411"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Firma y rúbrica de servidores públicos.</w:t>
      </w:r>
      <w:r>
        <w:rPr>
          <w:rFonts w:ascii="Palatino Linotype" w:eastAsia="Palatino Linotype" w:hAnsi="Palatino Linotype" w:cs="Palatino Linotype"/>
          <w:i/>
          <w:sz w:val="22"/>
          <w:szCs w:val="22"/>
        </w:rPr>
        <w:t xml:space="preserve"> Si bien la firma y la rúbrica son datos personales confidenciales, cuando un servidor público emite un acto como autoridad, en ejercicio de las funciones que tiene conferidas, la firma o rúbrica mediante la cual se valida dicho acto es pública.</w:t>
      </w:r>
    </w:p>
    <w:p w14:paraId="5F843AF5"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Resoluciones:</w:t>
      </w:r>
    </w:p>
    <w:p w14:paraId="6ED6BE57"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•RRA 0185/17. Secretaría de Cultura. 08 de febrero de 2017. Por unanimidad. Comisionado Ponente Oscar Mauricio Guerra Ford.</w:t>
      </w:r>
    </w:p>
    <w:p w14:paraId="3F50FAAE"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http://consultas.ifai.org.mx/descargar.php?r=./pdf/resoluciones/2017/&amp;a=RRA%20185.pdf </w:t>
      </w:r>
    </w:p>
    <w:p w14:paraId="20ADAE6B"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•RRA 1588/17. Centro de Investigación en Materiales Avanzados, S.C. 26 de abril de 2017. Por unanimidad. Comisionada Ponente Ximena Puente de la Mora.</w:t>
      </w:r>
    </w:p>
    <w:p w14:paraId="4209041B"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http://consultas.ifai.org.mx/descargar.php?r=./pdf/resoluciones/2017/&amp;a=RRA%201588.pdf </w:t>
      </w:r>
    </w:p>
    <w:p w14:paraId="6EEF535A" w14:textId="77777777" w:rsidR="00DA3301" w:rsidRDefault="009C6E35">
      <w:pPr>
        <w:spacing w:before="280" w:after="280" w:line="276" w:lineRule="auto"/>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•RRA 3472/17. Instituto Nacional de Migración. 21 de junio de 2017. Por unanimidad. Comisionado Ponente Joel Salas Suárez.</w:t>
      </w:r>
    </w:p>
    <w:p w14:paraId="6E5D91D6" w14:textId="77777777" w:rsidR="00DA3301" w:rsidRDefault="009C6E35">
      <w:pPr>
        <w:spacing w:before="280" w:after="280" w:line="360" w:lineRule="auto"/>
        <w:ind w:right="49"/>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Por lo cual, si bien no ejercen un acto de autoridad en la recepción de documentos, los mismos dan cuenta de la entrega de documentación y de la recepción, por lo cual no debe testarse las firmas de servidores públicos.</w:t>
      </w:r>
    </w:p>
    <w:p w14:paraId="16B0BF8C" w14:textId="77777777" w:rsidR="00DA3301" w:rsidRDefault="009C6E35">
      <w:pPr>
        <w:spacing w:before="280" w:after="280" w:line="360" w:lineRule="auto"/>
        <w:ind w:firstLine="720"/>
        <w:jc w:val="both"/>
        <w:rPr>
          <w:rFonts w:ascii="Palatino Linotype" w:eastAsia="Palatino Linotype" w:hAnsi="Palatino Linotype" w:cs="Palatino Linotype"/>
          <w:b/>
        </w:rPr>
      </w:pPr>
      <w:r>
        <w:rPr>
          <w:rFonts w:ascii="Palatino Linotype" w:eastAsia="Palatino Linotype" w:hAnsi="Palatino Linotype" w:cs="Palatino Linotype"/>
          <w:b/>
        </w:rPr>
        <w:t>De los correos electrónicos oficiales.</w:t>
      </w:r>
    </w:p>
    <w:p w14:paraId="15B11AA1"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 xml:space="preserve">Es de señalar que los correos electrónicos del servidor público, relacionados con sus atribuciones jurídicas, constituye información pública a la cual se puede acceder, ya que registran el ejercicio de sus facultades o actividades; se encuentran en medios electrónicos o informáticos y contienen información que los sujetos obligados </w:t>
      </w:r>
      <w:r>
        <w:rPr>
          <w:rFonts w:ascii="Palatino Linotype" w:eastAsia="Palatino Linotype" w:hAnsi="Palatino Linotype" w:cs="Palatino Linotype"/>
          <w:color w:val="000000"/>
        </w:rPr>
        <w:lastRenderedPageBreak/>
        <w:t>generaron, obtuvieron, adquirieron, transformaron o conservaron por cualquier título.</w:t>
      </w:r>
    </w:p>
    <w:p w14:paraId="465751E1" w14:textId="77777777" w:rsidR="00DA3301" w:rsidRDefault="00DA3301"/>
    <w:p w14:paraId="1EECF1D8"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Sirve de apoyo para robustecer lo anterior, el comunicado emitido por el Instituto Nacional de Transparencia, Acceso a la Información, y Protección de Datos Personales (INAI), en fecha siete de septiembre de dos mil dieciséis</w:t>
      </w:r>
      <w:r>
        <w:rPr>
          <w:rFonts w:ascii="Palatino Linotype" w:eastAsia="Palatino Linotype" w:hAnsi="Palatino Linotype" w:cs="Palatino Linotype"/>
          <w:color w:val="000000"/>
          <w:sz w:val="18"/>
          <w:szCs w:val="18"/>
        </w:rPr>
        <w:t xml:space="preserve"> </w:t>
      </w:r>
      <w:r>
        <w:rPr>
          <w:rFonts w:ascii="Palatino Linotype" w:eastAsia="Palatino Linotype" w:hAnsi="Palatino Linotype" w:cs="Palatino Linotype"/>
          <w:color w:val="000000"/>
        </w:rPr>
        <w:t>que a la letra señala: </w:t>
      </w:r>
    </w:p>
    <w:p w14:paraId="03069B6D" w14:textId="77777777" w:rsidR="00DA3301" w:rsidRDefault="00DA3301"/>
    <w:p w14:paraId="2F8561AA" w14:textId="77777777" w:rsidR="00DA3301" w:rsidRDefault="009C6E35">
      <w:pPr>
        <w:pBdr>
          <w:top w:val="nil"/>
          <w:left w:val="nil"/>
          <w:bottom w:val="nil"/>
          <w:right w:val="nil"/>
          <w:between w:val="nil"/>
        </w:pBdr>
        <w:spacing w:line="276" w:lineRule="auto"/>
        <w:ind w:left="567" w:right="567"/>
        <w:jc w:val="both"/>
        <w:rPr>
          <w:color w:val="000000"/>
        </w:rPr>
      </w:pPr>
      <w:r>
        <w:rPr>
          <w:rFonts w:ascii="Palatino Linotype" w:eastAsia="Palatino Linotype" w:hAnsi="Palatino Linotype" w:cs="Palatino Linotype"/>
          <w:b/>
          <w:i/>
          <w:color w:val="000000"/>
          <w:sz w:val="22"/>
          <w:szCs w:val="22"/>
        </w:rPr>
        <w:t>CORREOS ELECTRÓNICOS INSTITUCIONALES DE SERVIDORES PÚBLICOS, INFORMACIÓN A LA QUE SE PUEDE ACCEDER: ACUÑA LLAMAS</w:t>
      </w:r>
    </w:p>
    <w:p w14:paraId="2B009206" w14:textId="77777777" w:rsidR="00DA3301" w:rsidRDefault="009C6E35">
      <w:pPr>
        <w:pBdr>
          <w:top w:val="nil"/>
          <w:left w:val="nil"/>
          <w:bottom w:val="nil"/>
          <w:right w:val="nil"/>
          <w:between w:val="nil"/>
        </w:pBdr>
        <w:spacing w:line="276" w:lineRule="auto"/>
        <w:ind w:left="567" w:right="567"/>
        <w:jc w:val="both"/>
        <w:rPr>
          <w:color w:val="000000"/>
        </w:rPr>
      </w:pPr>
      <w:r>
        <w:rPr>
          <w:rFonts w:ascii="Palatino Linotype" w:eastAsia="Palatino Linotype" w:hAnsi="Palatino Linotype" w:cs="Palatino Linotype"/>
          <w:b/>
          <w:i/>
          <w:color w:val="000000"/>
          <w:sz w:val="22"/>
          <w:szCs w:val="22"/>
        </w:rPr>
        <w:t>…</w:t>
      </w:r>
    </w:p>
    <w:p w14:paraId="4FEEC3CD" w14:textId="77777777" w:rsidR="00DA3301" w:rsidRDefault="009C6E35">
      <w:pPr>
        <w:pBdr>
          <w:top w:val="nil"/>
          <w:left w:val="nil"/>
          <w:bottom w:val="nil"/>
          <w:right w:val="nil"/>
          <w:between w:val="nil"/>
        </w:pBdr>
        <w:spacing w:line="276" w:lineRule="auto"/>
        <w:ind w:left="567" w:right="567"/>
        <w:jc w:val="both"/>
        <w:rPr>
          <w:color w:val="000000"/>
        </w:rPr>
      </w:pPr>
      <w:r>
        <w:rPr>
          <w:rFonts w:ascii="Palatino Linotype" w:eastAsia="Palatino Linotype" w:hAnsi="Palatino Linotype" w:cs="Palatino Linotype"/>
          <w:b/>
          <w:i/>
          <w:color w:val="000000"/>
          <w:sz w:val="22"/>
          <w:szCs w:val="22"/>
          <w:u w:val="single"/>
        </w:rPr>
        <w:t>La información registrada por los servidores públicos que está depositada en mensajes de las cuentas institucionales de correo electrónico se considera información gubernamenta</w:t>
      </w:r>
      <w:r>
        <w:rPr>
          <w:rFonts w:ascii="Palatino Linotype" w:eastAsia="Palatino Linotype" w:hAnsi="Palatino Linotype" w:cs="Palatino Linotype"/>
          <w:b/>
          <w:i/>
          <w:color w:val="000000"/>
          <w:sz w:val="22"/>
          <w:szCs w:val="22"/>
        </w:rPr>
        <w:t>l</w:t>
      </w:r>
      <w:r>
        <w:rPr>
          <w:rFonts w:ascii="Palatino Linotype" w:eastAsia="Palatino Linotype" w:hAnsi="Palatino Linotype" w:cs="Palatino Linotype"/>
          <w:i/>
          <w:color w:val="000000"/>
          <w:sz w:val="22"/>
          <w:szCs w:val="22"/>
        </w:rPr>
        <w:t>, explicó.</w:t>
      </w:r>
    </w:p>
    <w:p w14:paraId="15DA5E3A" w14:textId="77777777" w:rsidR="00DA3301" w:rsidRDefault="009C6E35">
      <w:pPr>
        <w:pBdr>
          <w:top w:val="nil"/>
          <w:left w:val="nil"/>
          <w:bottom w:val="nil"/>
          <w:right w:val="nil"/>
          <w:between w:val="nil"/>
        </w:pBdr>
        <w:spacing w:line="276" w:lineRule="auto"/>
        <w:ind w:left="567" w:right="567"/>
        <w:jc w:val="both"/>
        <w:rPr>
          <w:color w:val="000000"/>
        </w:rPr>
      </w:pPr>
      <w:r>
        <w:rPr>
          <w:rFonts w:ascii="Palatino Linotype" w:eastAsia="Palatino Linotype" w:hAnsi="Palatino Linotype" w:cs="Palatino Linotype"/>
          <w:i/>
          <w:color w:val="000000"/>
          <w:sz w:val="22"/>
          <w:szCs w:val="22"/>
        </w:rPr>
        <w:t>El comisionado del INAI manifestó que si bien el correo electrónico es un medio de comunicación, no es por sí un repositorio de información, por lo que es necesario que en el caso de los correos oficiales, valorados como documentos de archivo se realice un respaldo de la información, a fin de conservar información que transparente el quehacer de los servidores públicos.</w:t>
      </w:r>
    </w:p>
    <w:p w14:paraId="755D86DF" w14:textId="77777777" w:rsidR="00DA3301" w:rsidRDefault="00DA3301"/>
    <w:p w14:paraId="200C14DF"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Comunicado que tiene relación con el criterio 8/10 emitido por el entonces Instituto Federal de Acceso a la Información (IFAI) ahora Instituto Nacional de Transparencia, Acceso a la Información, y Protección de Datos Personales (INAI),  a la letra dispone lo siguiente: </w:t>
      </w:r>
    </w:p>
    <w:p w14:paraId="0A896C3B" w14:textId="77777777" w:rsidR="00DA3301" w:rsidRDefault="009C6E35">
      <w:pPr>
        <w:pBdr>
          <w:top w:val="nil"/>
          <w:left w:val="nil"/>
          <w:bottom w:val="nil"/>
          <w:right w:val="nil"/>
          <w:between w:val="nil"/>
        </w:pBdr>
        <w:spacing w:before="240" w:after="240" w:line="276" w:lineRule="auto"/>
        <w:ind w:left="426" w:right="474"/>
        <w:jc w:val="both"/>
        <w:rPr>
          <w:color w:val="000000"/>
        </w:rPr>
      </w:pPr>
      <w:r>
        <w:rPr>
          <w:rFonts w:ascii="Palatino Linotype" w:eastAsia="Palatino Linotype" w:hAnsi="Palatino Linotype" w:cs="Palatino Linotype"/>
          <w:i/>
          <w:color w:val="000000"/>
          <w:sz w:val="22"/>
          <w:szCs w:val="22"/>
        </w:rPr>
        <w:t>“</w:t>
      </w:r>
      <w:r>
        <w:rPr>
          <w:rFonts w:ascii="Palatino Linotype" w:eastAsia="Palatino Linotype" w:hAnsi="Palatino Linotype" w:cs="Palatino Linotype"/>
          <w:b/>
          <w:i/>
          <w:color w:val="000000"/>
          <w:sz w:val="22"/>
          <w:szCs w:val="22"/>
        </w:rPr>
        <w:t xml:space="preserve">Correos electrónicos que constituyen documentos susceptibles de acceso a la información. </w:t>
      </w:r>
      <w:r>
        <w:rPr>
          <w:rFonts w:ascii="Palatino Linotype" w:eastAsia="Palatino Linotype" w:hAnsi="Palatino Linotype" w:cs="Palatino Linotype"/>
          <w:i/>
          <w:color w:val="000000"/>
          <w:sz w:val="22"/>
          <w:szCs w:val="22"/>
        </w:rPr>
        <w:t xml:space="preserve">Las comunicaciones enviadas y recibidas a través de correos electrónicos institucionales, </w:t>
      </w:r>
      <w:r>
        <w:rPr>
          <w:rFonts w:ascii="Palatino Linotype" w:eastAsia="Palatino Linotype" w:hAnsi="Palatino Linotype" w:cs="Palatino Linotype"/>
          <w:b/>
          <w:i/>
          <w:color w:val="000000"/>
          <w:sz w:val="22"/>
          <w:szCs w:val="22"/>
          <w:u w:val="single"/>
        </w:rPr>
        <w:t xml:space="preserve">incluidos los archivos adjuntos, que registran información relativa a un hecho, acto administrativo, jurídico, fiscal o contable, generado, recibido o </w:t>
      </w:r>
      <w:r>
        <w:rPr>
          <w:rFonts w:ascii="Palatino Linotype" w:eastAsia="Palatino Linotype" w:hAnsi="Palatino Linotype" w:cs="Palatino Linotype"/>
          <w:b/>
          <w:i/>
          <w:color w:val="000000"/>
          <w:sz w:val="22"/>
          <w:szCs w:val="22"/>
          <w:u w:val="single"/>
        </w:rPr>
        <w:lastRenderedPageBreak/>
        <w:t>conservado bajo cualquier título</w:t>
      </w:r>
      <w:r>
        <w:rPr>
          <w:rFonts w:ascii="Palatino Linotype" w:eastAsia="Palatino Linotype" w:hAnsi="Palatino Linotype" w:cs="Palatino Linotype"/>
          <w:i/>
          <w:color w:val="000000"/>
          <w:sz w:val="22"/>
          <w:szCs w:val="22"/>
        </w:rPr>
        <w:t>, en el ejercicio de atribuciones de los servidores públicos, constituyen documentos e información en términos de las fracciones III y V del artículo 3 de la Ley Federal de Transparencia y Acceso a la Información Pública Gubernamental. Por ello, ante una solicitud de acceso a la información, en donde se requiera acceso al contenido de correos electrónicos institucionales enviados o recibidos en ejercicio de la función pública, la misma deberá atenderse en términos del procedimiento previsto en la propia ley para cualquier solicitud de acceso a la información.”</w:t>
      </w:r>
    </w:p>
    <w:p w14:paraId="5509D645" w14:textId="77777777" w:rsidR="00DA3301" w:rsidRDefault="009C6E35">
      <w:pPr>
        <w:pBdr>
          <w:top w:val="nil"/>
          <w:left w:val="nil"/>
          <w:bottom w:val="nil"/>
          <w:right w:val="nil"/>
          <w:between w:val="nil"/>
        </w:pBdr>
        <w:spacing w:line="360" w:lineRule="auto"/>
        <w:jc w:val="both"/>
        <w:rPr>
          <w:color w:val="000000"/>
        </w:rPr>
      </w:pPr>
      <w:r>
        <w:rPr>
          <w:rFonts w:ascii="Palatino Linotype" w:eastAsia="Palatino Linotype" w:hAnsi="Palatino Linotype" w:cs="Palatino Linotype"/>
          <w:color w:val="000000"/>
        </w:rPr>
        <w:t>De lo que se desprende que, la información constituye información pública, siempre y cuando este contenida en correos electrónicos institucionales o los destinados para tal efecto en ejercicio de sus atribuciones, son documentos públicos susceptibles de acceso, ya que registran el ejercicio de sus facultades o actividades; se encuentran en medios electrónicos o informáticos y contienen información que los sujetos obligados generaron, obtuvieron, adquirieron, transformaron o conservaron por cualquier título.</w:t>
      </w:r>
    </w:p>
    <w:p w14:paraId="756DEFCD" w14:textId="77777777" w:rsidR="00DA3301" w:rsidRDefault="009C6E35">
      <w:pPr>
        <w:spacing w:before="280" w:after="280" w:line="360" w:lineRule="auto"/>
        <w:ind w:firstLine="720"/>
        <w:jc w:val="both"/>
        <w:rPr>
          <w:rFonts w:ascii="Palatino Linotype" w:eastAsia="Palatino Linotype" w:hAnsi="Palatino Linotype" w:cs="Palatino Linotype"/>
          <w:b/>
        </w:rPr>
      </w:pPr>
      <w:r>
        <w:rPr>
          <w:rFonts w:ascii="Palatino Linotype" w:eastAsia="Palatino Linotype" w:hAnsi="Palatino Linotype" w:cs="Palatino Linotype"/>
          <w:b/>
        </w:rPr>
        <w:t>De los números de teléfono móvil oficial.</w:t>
      </w:r>
    </w:p>
    <w:p w14:paraId="15958A67" w14:textId="77777777" w:rsidR="00DA3301" w:rsidRDefault="009C6E35">
      <w:pPr>
        <w:pBdr>
          <w:top w:val="nil"/>
          <w:left w:val="nil"/>
          <w:bottom w:val="nil"/>
          <w:right w:val="nil"/>
          <w:between w:val="nil"/>
        </w:pBdr>
        <w:spacing w:before="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Es importante traer a contexto que de conformidad con lo establecido en el artículo 92, fracción VII de la Ley de Transparencia y Acceso a la Información Pública del Estado de México y Municipios, es una obligación de transparencia común el poner a disposición del público de manera permanente y actualizada de forma sencilla, precisa y entendible el Directorios de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r>
        <w:rPr>
          <w:rFonts w:ascii="Palatino Linotype" w:eastAsia="Palatino Linotype" w:hAnsi="Palatino Linotype" w:cs="Palatino Linotype"/>
          <w:color w:val="000000"/>
        </w:rPr>
        <w:lastRenderedPageBreak/>
        <w:t>debe contener entre otros datos el número de teléfono de aquellos; sirviendo de sustento la transcripción del artículo en comento que a la letra reza:</w:t>
      </w:r>
    </w:p>
    <w:p w14:paraId="24EB5FDF" w14:textId="77777777" w:rsidR="00DA3301" w:rsidRDefault="00DA3301">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74C9A84E"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w:t>
      </w:r>
      <w:r>
        <w:rPr>
          <w:rFonts w:ascii="Palatino Linotype" w:eastAsia="Palatino Linotype" w:hAnsi="Palatino Linotype" w:cs="Palatino Linotype"/>
          <w:b/>
          <w:i/>
          <w:color w:val="000000"/>
        </w:rPr>
        <w:t>Artículo 92</w:t>
      </w:r>
      <w:r>
        <w:rPr>
          <w:rFonts w:ascii="Palatino Linotype" w:eastAsia="Palatino Linotype" w:hAnsi="Palatino Linotype" w:cs="Palatino Linotype"/>
          <w:i/>
          <w:color w:val="000000"/>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74A9E4F"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w:t>
      </w:r>
    </w:p>
    <w:p w14:paraId="04A84526"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VII.</w:t>
      </w:r>
      <w:r>
        <w:rPr>
          <w:rFonts w:ascii="Palatino Linotype" w:eastAsia="Palatino Linotype" w:hAnsi="Palatino Linotype" w:cs="Palatino Linotype"/>
          <w:i/>
          <w:color w:val="000000"/>
        </w:rPr>
        <w:t xml:space="preserve">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p>
    <w:p w14:paraId="46716D70" w14:textId="77777777" w:rsidR="00DA3301" w:rsidRDefault="00DA3301">
      <w:pPr>
        <w:pBdr>
          <w:top w:val="nil"/>
          <w:left w:val="nil"/>
          <w:bottom w:val="nil"/>
          <w:right w:val="nil"/>
          <w:between w:val="nil"/>
        </w:pBdr>
        <w:ind w:left="851" w:right="616"/>
        <w:jc w:val="both"/>
        <w:rPr>
          <w:rFonts w:ascii="Palatino Linotype" w:eastAsia="Palatino Linotype" w:hAnsi="Palatino Linotype" w:cs="Palatino Linotype"/>
          <w:i/>
          <w:color w:val="000000"/>
        </w:rPr>
      </w:pPr>
    </w:p>
    <w:p w14:paraId="08804918"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El directorio deberá incluir, al menos</w:t>
      </w:r>
      <w:r>
        <w:rPr>
          <w:rFonts w:ascii="Palatino Linotype" w:eastAsia="Palatino Linotype" w:hAnsi="Palatino Linotype" w:cs="Palatino Linotype"/>
          <w:i/>
          <w:color w:val="000000"/>
        </w:rPr>
        <w:t xml:space="preserve"> el nombre, cargo o nombramiento oficial asignado, nivel del puesto en la estructura orgánica, fecha de alta en el cargo, </w:t>
      </w:r>
      <w:r>
        <w:rPr>
          <w:rFonts w:ascii="Palatino Linotype" w:eastAsia="Palatino Linotype" w:hAnsi="Palatino Linotype" w:cs="Palatino Linotype"/>
          <w:b/>
          <w:i/>
          <w:color w:val="000000"/>
          <w:u w:val="single"/>
        </w:rPr>
        <w:t>número telefónico</w:t>
      </w:r>
      <w:r>
        <w:rPr>
          <w:rFonts w:ascii="Palatino Linotype" w:eastAsia="Palatino Linotype" w:hAnsi="Palatino Linotype" w:cs="Palatino Linotype"/>
          <w:i/>
          <w:color w:val="000000"/>
        </w:rPr>
        <w:t xml:space="preserve">, domicilio para recibir correspondencia y dirección de correo electrónico oficiales, </w:t>
      </w:r>
      <w:r>
        <w:rPr>
          <w:rFonts w:ascii="Palatino Linotype" w:eastAsia="Palatino Linotype" w:hAnsi="Palatino Linotype" w:cs="Palatino Linotype"/>
          <w:b/>
          <w:i/>
          <w:color w:val="000000"/>
        </w:rPr>
        <w:t>datos que deberán señalarse de forma independiente por dependencia y entidad pública de cada sujeto obligado</w:t>
      </w:r>
      <w:r>
        <w:rPr>
          <w:rFonts w:ascii="Palatino Linotype" w:eastAsia="Palatino Linotype" w:hAnsi="Palatino Linotype" w:cs="Palatino Linotype"/>
          <w:i/>
          <w:color w:val="000000"/>
        </w:rPr>
        <w:t>;</w:t>
      </w:r>
    </w:p>
    <w:p w14:paraId="3C80C44F" w14:textId="77777777" w:rsidR="00DA3301" w:rsidRDefault="00DA3301">
      <w:pPr>
        <w:pBdr>
          <w:top w:val="nil"/>
          <w:left w:val="nil"/>
          <w:bottom w:val="nil"/>
          <w:right w:val="nil"/>
          <w:between w:val="nil"/>
        </w:pBdr>
        <w:ind w:left="851" w:right="616"/>
        <w:jc w:val="both"/>
        <w:rPr>
          <w:rFonts w:ascii="Palatino Linotype" w:eastAsia="Palatino Linotype" w:hAnsi="Palatino Linotype" w:cs="Palatino Linotype"/>
          <w:i/>
          <w:color w:val="000000"/>
        </w:rPr>
      </w:pPr>
    </w:p>
    <w:p w14:paraId="32F7D315" w14:textId="77777777" w:rsidR="00DA3301" w:rsidRDefault="009C6E35">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En el mismo sentido, los </w:t>
      </w:r>
      <w:r>
        <w:rPr>
          <w:rFonts w:ascii="Palatino Linotype" w:eastAsia="Palatino Linotype" w:hAnsi="Palatino Linotype" w:cs="Palatino Linotype"/>
          <w:i/>
          <w:color w:val="000000"/>
        </w:rPr>
        <w:t xml:space="preserve">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w:t>
      </w:r>
      <w:r>
        <w:rPr>
          <w:rFonts w:ascii="Palatino Linotype" w:eastAsia="Palatino Linotype" w:hAnsi="Palatino Linotype" w:cs="Palatino Linotype"/>
          <w:color w:val="000000"/>
        </w:rPr>
        <w:t>en relación al Directorio de Servidores Públicos refieren que deberán tomarse en cuenta los criterios sustantivos de contenido, siguientes:</w:t>
      </w:r>
    </w:p>
    <w:p w14:paraId="686991EF"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b/>
          <w:i/>
          <w:color w:val="000000"/>
        </w:rPr>
      </w:pPr>
      <w:r>
        <w:rPr>
          <w:rFonts w:ascii="Palatino Linotype" w:eastAsia="Palatino Linotype" w:hAnsi="Palatino Linotype" w:cs="Palatino Linotype"/>
          <w:b/>
          <w:i/>
          <w:color w:val="000000"/>
        </w:rPr>
        <w:lastRenderedPageBreak/>
        <w:t xml:space="preserve">“Criterios sustantivos de contenido </w:t>
      </w:r>
    </w:p>
    <w:p w14:paraId="35107EB4"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1 Ejercicio </w:t>
      </w:r>
    </w:p>
    <w:p w14:paraId="54D9830D"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2 Periodo que se informa (fecha de inicio y fecha de término con el formato día/mes/año) </w:t>
      </w:r>
    </w:p>
    <w:p w14:paraId="37856463"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3 Clave o nivel del puesto (de acuerdo con el catálogo que regule la actividad del sujeto obligado) </w:t>
      </w:r>
    </w:p>
    <w:p w14:paraId="1368FB91"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4 Denominación del cargo (de conformidad con nombramiento otorgado) </w:t>
      </w:r>
    </w:p>
    <w:p w14:paraId="3D8795BC"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5 Nombre del servidor(a) público(a)(nombre[s], primer apellido, segundo apellido), integrante y/o miembro del sujeto obligado, y/o persona que desempeñe un empleo, cargo o comisión y/o ejerza actos de autoridad11. </w:t>
      </w:r>
    </w:p>
    <w:p w14:paraId="15881FA5"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En su caso, incluir una nota que especifique el motivo por el cual no existe servidor(a) público(a) ocupando el cargo, por ejemplo: Vacante </w:t>
      </w:r>
    </w:p>
    <w:p w14:paraId="2232C852"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b/>
          <w:i/>
          <w:color w:val="000000"/>
          <w:u w:val="single"/>
        </w:rPr>
      </w:pPr>
      <w:r>
        <w:rPr>
          <w:rFonts w:ascii="Palatino Linotype" w:eastAsia="Palatino Linotype" w:hAnsi="Palatino Linotype" w:cs="Palatino Linotype"/>
          <w:b/>
          <w:i/>
          <w:color w:val="000000"/>
          <w:u w:val="single"/>
        </w:rPr>
        <w:t xml:space="preserve">Criterio 6 Área de adscripción (de acuerdo con el catálogo que, en su caso, regule la actividad del sujeto obligado) </w:t>
      </w:r>
    </w:p>
    <w:p w14:paraId="113BC14B"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7 Fecha de alta en el cargo con el formato día/mes/año </w:t>
      </w:r>
    </w:p>
    <w:p w14:paraId="3C730302"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Criterio 8 Domicilio para recibir correspondencia oficial (tipo de vialidad [catálogo], nombre de vialidad [calle], número exterior, número interior [en su caso], tipo de asentamiento humano [catálogo], nombre de asentamiento humano [colonia], clave de la localidad, nombre de la localidad, clave del municipio, nombre del municipio o delegación, clave de la entidad federativa, nombre de la entidad federativa [catálogo], código postal)12 </w:t>
      </w:r>
    </w:p>
    <w:p w14:paraId="23473660"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b/>
          <w:i/>
          <w:color w:val="000000"/>
          <w:u w:val="single"/>
        </w:rPr>
      </w:pPr>
      <w:r>
        <w:rPr>
          <w:rFonts w:ascii="Palatino Linotype" w:eastAsia="Palatino Linotype" w:hAnsi="Palatino Linotype" w:cs="Palatino Linotype"/>
          <w:b/>
          <w:i/>
          <w:color w:val="000000"/>
          <w:u w:val="single"/>
        </w:rPr>
        <w:t xml:space="preserve">Criterio 9 Número(s) de teléfono(s) oficial(es) y extensión (es) </w:t>
      </w:r>
    </w:p>
    <w:p w14:paraId="7DFDC1C2"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Criterio 10 Correo electrónico oficial, en su caso.</w:t>
      </w:r>
    </w:p>
    <w:p w14:paraId="0AFF3B39" w14:textId="77777777" w:rsidR="00DA3301" w:rsidRDefault="009C6E35">
      <w:pPr>
        <w:pBdr>
          <w:top w:val="nil"/>
          <w:left w:val="nil"/>
          <w:bottom w:val="nil"/>
          <w:right w:val="nil"/>
          <w:between w:val="nil"/>
        </w:pBdr>
        <w:ind w:left="851" w:right="616"/>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(Énfasis añadido)</w:t>
      </w:r>
    </w:p>
    <w:p w14:paraId="7C8FA40A" w14:textId="77777777" w:rsidR="00DA3301" w:rsidRDefault="009C6E35">
      <w:pPr>
        <w:spacing w:before="28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Aunado a lo anterior, como se demostró la solicitud de información ejercida por el particular se encuentra enfocada en Obligaciones de Transparencia Común que deben estar publicadas en la página oficial de IPOMEX del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 xml:space="preserve">por lo cual al momento de emitir respuesta debió contemplar lo señalado en el artículo </w:t>
      </w:r>
      <w:r>
        <w:rPr>
          <w:rFonts w:ascii="Palatino Linotype" w:eastAsia="Palatino Linotype" w:hAnsi="Palatino Linotype" w:cs="Palatino Linotype"/>
        </w:rPr>
        <w:t xml:space="preserve">161 de la Ley de Transparencia y Acceso a la Información Pública del Estado de México y Municipios, que dispone lo siguiente: </w:t>
      </w:r>
    </w:p>
    <w:p w14:paraId="2D950586" w14:textId="77777777" w:rsidR="00DA3301" w:rsidRDefault="00DA3301">
      <w:pPr>
        <w:spacing w:line="360" w:lineRule="auto"/>
        <w:jc w:val="both"/>
        <w:rPr>
          <w:rFonts w:ascii="Palatino Linotype" w:eastAsia="Palatino Linotype" w:hAnsi="Palatino Linotype" w:cs="Palatino Linotype"/>
          <w:sz w:val="14"/>
          <w:szCs w:val="14"/>
        </w:rPr>
      </w:pPr>
    </w:p>
    <w:p w14:paraId="4901C31D" w14:textId="77777777" w:rsidR="00DA3301" w:rsidRDefault="009C6E35">
      <w:pPr>
        <w:spacing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 xml:space="preserve">“Artículo 161. </w:t>
      </w:r>
      <w:r>
        <w:rPr>
          <w:rFonts w:ascii="Palatino Linotype" w:eastAsia="Palatino Linotype" w:hAnsi="Palatino Linotype" w:cs="Palatino Linotype"/>
          <w:i/>
          <w:sz w:val="22"/>
          <w:szCs w:val="22"/>
        </w:rPr>
        <w:t>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p w14:paraId="63A71CC7" w14:textId="77777777" w:rsidR="00DA3301" w:rsidRDefault="00DA3301">
      <w:pPr>
        <w:ind w:left="851" w:right="902"/>
        <w:jc w:val="both"/>
        <w:rPr>
          <w:rFonts w:ascii="Palatino Linotype" w:eastAsia="Palatino Linotype" w:hAnsi="Palatino Linotype" w:cs="Palatino Linotype"/>
          <w:i/>
          <w:sz w:val="22"/>
          <w:szCs w:val="22"/>
        </w:rPr>
      </w:pPr>
    </w:p>
    <w:p w14:paraId="1D07F80E" w14:textId="77777777" w:rsidR="00DA3301" w:rsidRDefault="009C6E35">
      <w:pPr>
        <w:spacing w:after="280" w:line="360" w:lineRule="auto"/>
        <w:jc w:val="both"/>
        <w:rPr>
          <w:rFonts w:ascii="Palatino Linotype" w:eastAsia="Palatino Linotype" w:hAnsi="Palatino Linotype" w:cs="Palatino Linotype"/>
          <w:i/>
          <w:sz w:val="22"/>
          <w:szCs w:val="22"/>
        </w:rPr>
      </w:pPr>
      <w:r>
        <w:rPr>
          <w:rFonts w:ascii="Palatino Linotype" w:eastAsia="Palatino Linotype" w:hAnsi="Palatino Linotype" w:cs="Palatino Linotype"/>
          <w:color w:val="000000"/>
        </w:rPr>
        <w:t xml:space="preserve">Bajo tales consideraciones, en atención a los teléfonos celulares asignados a servidores públicos, se toma en consideración el criterio de interpretación 12/13, que </w:t>
      </w:r>
      <w:r>
        <w:rPr>
          <w:rFonts w:ascii="Palatino Linotype" w:eastAsia="Palatino Linotype" w:hAnsi="Palatino Linotype" w:cs="Palatino Linotype"/>
        </w:rPr>
        <w:t>refiere lo siguiente:</w:t>
      </w:r>
    </w:p>
    <w:p w14:paraId="55C3EAEE" w14:textId="77777777" w:rsidR="00DA3301" w:rsidRDefault="009C6E35">
      <w:pPr>
        <w:spacing w:before="62"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“Número de celular de servidores públicos</w:t>
      </w:r>
      <w:r>
        <w:rPr>
          <w:rFonts w:ascii="Palatino Linotype" w:eastAsia="Palatino Linotype" w:hAnsi="Palatino Linotype" w:cs="Palatino Linotype"/>
          <w:i/>
          <w:sz w:val="22"/>
          <w:szCs w:val="22"/>
        </w:rPr>
        <w:t>. Constituye información pública cuando se otorga como una prestación inherente a su cargo. El número de teléfono celular asignado a servidores públicos como parte de sus prestaciones, es información de carácter público, en virtud de que se relaciona con la obligación de transparencia contemplada en los artículos 7, fracción IV de la Ley Federal de Transparencia y Acceso a la Información Pública Gubernamental, y 14 de su Reglamento. Lo anterior,  toda  vez  que  la asignación  de  equipos  de  telefonía celular se efectúa en atención a las funciones que ciertos servidores públicos realizan. Aunado a lo anterior, los teléfonos celulares no son propiedad de los servidores públicos, sino de las dependencias y entidades, y son éstas quienes los asignan a aquéllos de acuerdo al puesto y funciones que desempeñan.</w:t>
      </w:r>
    </w:p>
    <w:p w14:paraId="58188EFE" w14:textId="77777777" w:rsidR="00DA3301" w:rsidRDefault="00DA3301">
      <w:pPr>
        <w:spacing w:line="276" w:lineRule="auto"/>
        <w:ind w:right="816"/>
        <w:jc w:val="both"/>
        <w:rPr>
          <w:rFonts w:ascii="Palatino Linotype" w:eastAsia="Palatino Linotype" w:hAnsi="Palatino Linotype" w:cs="Palatino Linotype"/>
          <w:i/>
          <w:sz w:val="22"/>
          <w:szCs w:val="22"/>
        </w:rPr>
      </w:pPr>
    </w:p>
    <w:p w14:paraId="41327AA5" w14:textId="77777777" w:rsidR="00DA3301" w:rsidRDefault="009C6E35">
      <w:pPr>
        <w:spacing w:line="276" w:lineRule="auto"/>
        <w:ind w:left="851" w:right="8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Resoluciones</w:t>
      </w:r>
    </w:p>
    <w:p w14:paraId="4897D3A6" w14:textId="77777777" w:rsidR="00DA3301" w:rsidRDefault="00DA3301">
      <w:pPr>
        <w:spacing w:before="11" w:line="276" w:lineRule="auto"/>
        <w:ind w:left="851" w:right="816"/>
        <w:jc w:val="both"/>
        <w:rPr>
          <w:rFonts w:ascii="Palatino Linotype" w:eastAsia="Palatino Linotype" w:hAnsi="Palatino Linotype" w:cs="Palatino Linotype"/>
          <w:i/>
          <w:sz w:val="22"/>
          <w:szCs w:val="22"/>
        </w:rPr>
      </w:pPr>
    </w:p>
    <w:p w14:paraId="039F5AA1"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RDA 1798/12. Interpuesto en contra de la Comisión Federal de Telecomunicaciones.</w:t>
      </w:r>
    </w:p>
    <w:p w14:paraId="1364855E"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Comisionado Ponente Ángel Trinidad Zaldívar. </w:t>
      </w:r>
    </w:p>
    <w:p w14:paraId="125D2771"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RDA 1405/12. Interpuesto en contra de la Secretaría de Turismo. Comisionado</w:t>
      </w:r>
    </w:p>
    <w:p w14:paraId="1ABEC7AF"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 Ponente Gerardo Laveaga Rendón. </w:t>
      </w:r>
    </w:p>
    <w:p w14:paraId="23FF4FCE"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RDA 1191/12. Interpuesto en contra de la Presidencia de la República. Comisionada</w:t>
      </w:r>
    </w:p>
    <w:p w14:paraId="14A55367"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Ponente Jacqueline Peschard Mariscal. </w:t>
      </w:r>
    </w:p>
    <w:p w14:paraId="257D476C"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5033/11. Interpuesto en contra de la Secretaría de Relaciones Exteriores. Comisionada</w:t>
      </w:r>
    </w:p>
    <w:p w14:paraId="5229CC21"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Ponente Jacqueline Peschard Mariscal. </w:t>
      </w:r>
    </w:p>
    <w:p w14:paraId="2888FC49" w14:textId="77777777" w:rsidR="00DA3301" w:rsidRDefault="009C6E35">
      <w:pPr>
        <w:spacing w:line="276" w:lineRule="auto"/>
        <w:ind w:left="851" w:right="8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5026/11.  Interpuesto en contra del Instituto Federal de Acceso a la Información y Protección de Datos, Comisionada Ponente Sigrid Arzt Colunga.”</w:t>
      </w:r>
    </w:p>
    <w:p w14:paraId="2A433E62" w14:textId="77777777" w:rsidR="00DA3301" w:rsidRDefault="009C6E35">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Quinto. Versión Pública. </w:t>
      </w:r>
      <w:r>
        <w:rPr>
          <w:rFonts w:ascii="Palatino Linotype" w:eastAsia="Palatino Linotype" w:hAnsi="Palatino Linotype" w:cs="Palatino Linotype"/>
        </w:rPr>
        <w:t xml:space="preserve">Finalmente para la entrega de los soportes documentales que deberá proporcionar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para dar satisfacción de la derecho humano de acceso a la información del particular,  deberá considerar que ello no es absoluto, sino que encuentra como excepciones que la información sobre la cual se peticiona el acceso, contenga datos que deban ser clasificados en los términos que la misma Ley de la Materia señala,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tendrá que elaborar la versión pública de los documentos que vaya entregar para dar cumplimiento a esta resolución, a fin de satisfacer el derecho de acceso a la información pública de la recurrente sin menoscabar el derecho a la protección de los datos personales de terceros.</w:t>
      </w:r>
    </w:p>
    <w:p w14:paraId="70BD027A" w14:textId="77777777" w:rsidR="00DA3301" w:rsidRDefault="009C6E35">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Lo anterior, de conformidad a lo que señalan los artículos 3 fracciones IX, XX, XXI y XLV, 91, 132 fracciones II y III, y 143 fracción I de la Ley de Transparencia y Acceso a la Información Pública del Estado de México y Municipios que establecen:</w:t>
      </w:r>
    </w:p>
    <w:p w14:paraId="1E14EA19"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Para los efectos de la presente Ley se entenderá por:</w:t>
      </w:r>
    </w:p>
    <w:p w14:paraId="23658A97"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9827D9A"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xml:space="preserve"> La información concerniente a una persona, identificada o identificable según lo dispuesto por la Ley de Protección de Datos Personales del Estado de México; </w:t>
      </w:r>
    </w:p>
    <w:p w14:paraId="6E194001"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XX. Información clasificada</w:t>
      </w:r>
      <w:r>
        <w:rPr>
          <w:rFonts w:ascii="Palatino Linotype" w:eastAsia="Palatino Linotype" w:hAnsi="Palatino Linotype" w:cs="Palatino Linotype"/>
          <w:i/>
          <w:sz w:val="22"/>
          <w:szCs w:val="22"/>
        </w:rPr>
        <w:t>: Aquella considerada por la presente Ley como reservada o confidencial;</w:t>
      </w:r>
    </w:p>
    <w:p w14:paraId="59B95601"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36255714"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w:t>
      </w:r>
    </w:p>
    <w:p w14:paraId="518A77A0"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81C1B67"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795415EE"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132. </w:t>
      </w:r>
      <w:r>
        <w:rPr>
          <w:rFonts w:ascii="Palatino Linotype" w:eastAsia="Palatino Linotype" w:hAnsi="Palatino Linotype" w:cs="Palatino Linotype"/>
          <w:i/>
          <w:sz w:val="22"/>
          <w:szCs w:val="22"/>
        </w:rPr>
        <w:t>La clasificación de la información se llevará a cabo en el momento en que:</w:t>
      </w:r>
    </w:p>
    <w:p w14:paraId="29DA51A9"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Se reciba una solicitud de acceso a la información;</w:t>
      </w:r>
    </w:p>
    <w:p w14:paraId="377B8029"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Se determine mediante resolución de autoridad competente; o</w:t>
      </w:r>
    </w:p>
    <w:p w14:paraId="17F06E7A"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Se generen versiones públicas para dar cumplimiento a las obligaciones de transparencia previstas en esta Ley.</w:t>
      </w:r>
    </w:p>
    <w:p w14:paraId="7DCB0007"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6FCD1835"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143</w:t>
      </w:r>
      <w:r>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2A269946"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25D2DB30"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252F823A" w14:textId="77777777" w:rsidR="00DA3301" w:rsidRDefault="009C6E35">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La que presenten los particulares a los sujetos obligados, de conformidad con lo dispuesto por las leyes o los tratados internacionales.</w:t>
      </w:r>
    </w:p>
    <w:p w14:paraId="2AA3B0FB"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64C952B7" w14:textId="77777777" w:rsidR="00DA3301" w:rsidRDefault="009C6E35">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No se considerará confidencial la información que se encuentre en los registros públicos o en fuentes de acceso público, ni tampoco la que sea considerada por la presente ley como información pública.”</w:t>
      </w:r>
    </w:p>
    <w:p w14:paraId="1A7725E7"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67F5C637"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Entorno a lo que aquí nos interesa, los Lineamientos Quincuagésimo sexto, Quincuagésimo séptimo y Quincuagésimo octavo, establecen lo siguiente:</w:t>
      </w:r>
    </w:p>
    <w:p w14:paraId="5AC207C4" w14:textId="77777777" w:rsidR="00DA3301" w:rsidRDefault="009C6E35">
      <w:pPr>
        <w:spacing w:before="120" w:after="120"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Quincuagésimo sexto</w:t>
      </w:r>
      <w:r>
        <w:rPr>
          <w:rFonts w:ascii="Palatino Linotype" w:eastAsia="Palatino Linotype" w:hAnsi="Palatino Linotype" w:cs="Palatino Linotype"/>
          <w:i/>
          <w:sz w:val="22"/>
          <w:szCs w:val="22"/>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60B0D799" w14:textId="77777777" w:rsidR="00DA3301" w:rsidRDefault="009C6E35">
      <w:pPr>
        <w:spacing w:before="120" w:after="120"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séptimo</w:t>
      </w:r>
      <w:r>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14:paraId="7B4BE9E9" w14:textId="77777777" w:rsidR="00DA3301" w:rsidRDefault="009C6E35">
      <w:pPr>
        <w:spacing w:before="120" w:after="120" w:line="276" w:lineRule="auto"/>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La relativa a las Obligaciones de Transparencia que contempla el Título V de la Ley General y las demás disposiciones legales aplicables; </w:t>
      </w:r>
    </w:p>
    <w:p w14:paraId="2A598DFA" w14:textId="77777777" w:rsidR="00DA3301" w:rsidRDefault="009C6E35">
      <w:pPr>
        <w:spacing w:before="120" w:after="120" w:line="276" w:lineRule="auto"/>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 los servidores públicos en los documentos, y sus firmas autógrafas, cuando sean utilizados en el ejercicio de las facultades conferidas para el desempeño del servicio público, y </w:t>
      </w:r>
    </w:p>
    <w:p w14:paraId="48A86CE3" w14:textId="77777777" w:rsidR="00DA3301" w:rsidRDefault="009C6E35">
      <w:pPr>
        <w:spacing w:before="120" w:after="120" w:line="276" w:lineRule="auto"/>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III.</w:t>
      </w:r>
      <w:r>
        <w:rPr>
          <w:rFonts w:ascii="Palatino Linotype" w:eastAsia="Palatino Linotype" w:hAnsi="Palatino Linotype" w:cs="Palatino Linotype"/>
          <w:i/>
          <w:sz w:val="22"/>
          <w:szCs w:val="22"/>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00661BBB" w14:textId="77777777" w:rsidR="00DA3301" w:rsidRDefault="009C6E35">
      <w:pPr>
        <w:spacing w:before="120" w:after="120"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internaciones suscritos por el Estado mexicano. </w:t>
      </w:r>
    </w:p>
    <w:p w14:paraId="6842918C" w14:textId="77777777" w:rsidR="00DA3301" w:rsidRDefault="009C6E35">
      <w:pPr>
        <w:spacing w:before="120" w:after="120" w:line="276" w:lineRule="auto"/>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octavo</w:t>
      </w:r>
      <w:r>
        <w:rPr>
          <w:rFonts w:ascii="Palatino Linotype" w:eastAsia="Palatino Linotype" w:hAnsi="Palatino Linotype" w:cs="Palatino Linotype"/>
          <w:i/>
          <w:sz w:val="22"/>
          <w:szCs w:val="22"/>
        </w:rPr>
        <w:t>. Los sujetos obligados garantizarán que los sistemas o medios empleados para eliminar la información en las versiones públicas no permitan la recuperación o visualización de la misma.”</w:t>
      </w:r>
    </w:p>
    <w:p w14:paraId="5CD6A60A"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31ACB15D"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relación directa con ello, los Lineamientos en estudio establecen los formatos para la clasificación parcial y total de los documentos, que atienden a lo siguiente:</w:t>
      </w:r>
    </w:p>
    <w:tbl>
      <w:tblPr>
        <w:tblStyle w:val="a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3119"/>
        <w:gridCol w:w="1129"/>
        <w:gridCol w:w="3446"/>
      </w:tblGrid>
      <w:tr w:rsidR="00DA3301" w14:paraId="197763BB" w14:textId="77777777">
        <w:tc>
          <w:tcPr>
            <w:tcW w:w="4253" w:type="dxa"/>
            <w:gridSpan w:val="2"/>
            <w:tcBorders>
              <w:top w:val="nil"/>
              <w:left w:val="nil"/>
              <w:right w:val="nil"/>
            </w:tcBorders>
          </w:tcPr>
          <w:p w14:paraId="491D0D8F"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w:t>
            </w:r>
          </w:p>
        </w:tc>
        <w:tc>
          <w:tcPr>
            <w:tcW w:w="4575" w:type="dxa"/>
            <w:gridSpan w:val="2"/>
            <w:tcBorders>
              <w:top w:val="nil"/>
              <w:left w:val="nil"/>
              <w:right w:val="nil"/>
            </w:tcBorders>
          </w:tcPr>
          <w:p w14:paraId="7A9DF971"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Total</w:t>
            </w:r>
          </w:p>
        </w:tc>
      </w:tr>
      <w:tr w:rsidR="00DA3301" w14:paraId="48E5ACD6" w14:textId="77777777">
        <w:tc>
          <w:tcPr>
            <w:tcW w:w="1134" w:type="dxa"/>
          </w:tcPr>
          <w:p w14:paraId="1439C432"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119" w:type="dxa"/>
          </w:tcPr>
          <w:p w14:paraId="07285BAE"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c>
          <w:tcPr>
            <w:tcW w:w="1129" w:type="dxa"/>
          </w:tcPr>
          <w:p w14:paraId="3251C774"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446" w:type="dxa"/>
          </w:tcPr>
          <w:p w14:paraId="065D6B2F"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r>
      <w:tr w:rsidR="00DA3301" w14:paraId="44BDBB47" w14:textId="77777777">
        <w:tc>
          <w:tcPr>
            <w:tcW w:w="8828" w:type="dxa"/>
            <w:gridSpan w:val="4"/>
          </w:tcPr>
          <w:p w14:paraId="2E246183" w14:textId="77777777" w:rsidR="00DA3301" w:rsidRDefault="009C6E35">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Sello oficial o logotipo del sujeto obligado</w:t>
            </w:r>
          </w:p>
        </w:tc>
      </w:tr>
      <w:tr w:rsidR="00DA3301" w14:paraId="5C682906" w14:textId="77777777">
        <w:tc>
          <w:tcPr>
            <w:tcW w:w="1134" w:type="dxa"/>
          </w:tcPr>
          <w:p w14:paraId="3DC660B8"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119" w:type="dxa"/>
          </w:tcPr>
          <w:p w14:paraId="7E794915"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1129" w:type="dxa"/>
          </w:tcPr>
          <w:p w14:paraId="0DF5AD75"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446" w:type="dxa"/>
          </w:tcPr>
          <w:p w14:paraId="250C1AAD"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DA3301" w14:paraId="0F9D1080" w14:textId="77777777">
        <w:tc>
          <w:tcPr>
            <w:tcW w:w="1134" w:type="dxa"/>
          </w:tcPr>
          <w:p w14:paraId="22FAC4A4"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119" w:type="dxa"/>
          </w:tcPr>
          <w:p w14:paraId="09568BEB"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del cual es titular quien clasifica.</w:t>
            </w:r>
          </w:p>
        </w:tc>
        <w:tc>
          <w:tcPr>
            <w:tcW w:w="1129" w:type="dxa"/>
          </w:tcPr>
          <w:p w14:paraId="58425CA9"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446" w:type="dxa"/>
          </w:tcPr>
          <w:p w14:paraId="04E99245"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 la cual es el titular quien clasifica.</w:t>
            </w:r>
          </w:p>
        </w:tc>
      </w:tr>
      <w:tr w:rsidR="00DA3301" w14:paraId="28C5F0BE" w14:textId="77777777">
        <w:tc>
          <w:tcPr>
            <w:tcW w:w="1134" w:type="dxa"/>
          </w:tcPr>
          <w:p w14:paraId="178EB128"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lastRenderedPageBreak/>
              <w:t>Información reservada</w:t>
            </w:r>
          </w:p>
        </w:tc>
        <w:tc>
          <w:tcPr>
            <w:tcW w:w="3119" w:type="dxa"/>
          </w:tcPr>
          <w:p w14:paraId="582EF6EA"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1129" w:type="dxa"/>
          </w:tcPr>
          <w:p w14:paraId="1CC34F5E"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Reservado</w:t>
            </w:r>
          </w:p>
        </w:tc>
        <w:tc>
          <w:tcPr>
            <w:tcW w:w="3446" w:type="dxa"/>
          </w:tcPr>
          <w:p w14:paraId="0BC89342"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RESERVADA.</w:t>
            </w:r>
          </w:p>
        </w:tc>
      </w:tr>
      <w:tr w:rsidR="00DA3301" w14:paraId="2943E285" w14:textId="77777777">
        <w:tc>
          <w:tcPr>
            <w:tcW w:w="1134" w:type="dxa"/>
          </w:tcPr>
          <w:p w14:paraId="4CB1717B"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119" w:type="dxa"/>
          </w:tcPr>
          <w:p w14:paraId="4E5B47F6"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1129" w:type="dxa"/>
          </w:tcPr>
          <w:p w14:paraId="1EE47EC3"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Periodo de reserva</w:t>
            </w:r>
          </w:p>
        </w:tc>
        <w:tc>
          <w:tcPr>
            <w:tcW w:w="3446" w:type="dxa"/>
          </w:tcPr>
          <w:p w14:paraId="3EDFC2E0"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DA3301" w14:paraId="018C244B" w14:textId="77777777">
        <w:tc>
          <w:tcPr>
            <w:tcW w:w="1134" w:type="dxa"/>
          </w:tcPr>
          <w:p w14:paraId="2C55C54F"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119" w:type="dxa"/>
          </w:tcPr>
          <w:p w14:paraId="717F3BFE"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1129" w:type="dxa"/>
          </w:tcPr>
          <w:p w14:paraId="392D6660"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1DBD4852"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DA3301" w14:paraId="78DAB255" w14:textId="77777777">
        <w:tc>
          <w:tcPr>
            <w:tcW w:w="1134" w:type="dxa"/>
          </w:tcPr>
          <w:p w14:paraId="7859150E"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119" w:type="dxa"/>
          </w:tcPr>
          <w:p w14:paraId="0C89A2B1"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1129" w:type="dxa"/>
          </w:tcPr>
          <w:p w14:paraId="17330ED6"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446" w:type="dxa"/>
          </w:tcPr>
          <w:p w14:paraId="1CCCD381"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DA3301" w14:paraId="61928AF8" w14:textId="77777777">
        <w:tc>
          <w:tcPr>
            <w:tcW w:w="1134" w:type="dxa"/>
          </w:tcPr>
          <w:p w14:paraId="78F8691A"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119" w:type="dxa"/>
          </w:tcPr>
          <w:p w14:paraId="6CE4FEF5"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1129" w:type="dxa"/>
          </w:tcPr>
          <w:p w14:paraId="2815E83A"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446" w:type="dxa"/>
          </w:tcPr>
          <w:p w14:paraId="6B7AD036"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CONFIDENCIAL.</w:t>
            </w:r>
          </w:p>
        </w:tc>
      </w:tr>
      <w:tr w:rsidR="00DA3301" w14:paraId="73929A2D" w14:textId="77777777">
        <w:tc>
          <w:tcPr>
            <w:tcW w:w="1134" w:type="dxa"/>
          </w:tcPr>
          <w:p w14:paraId="4DEA46E7"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119" w:type="dxa"/>
          </w:tcPr>
          <w:p w14:paraId="2FAEDA98"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c>
          <w:tcPr>
            <w:tcW w:w="1129" w:type="dxa"/>
          </w:tcPr>
          <w:p w14:paraId="6204C86B"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6C898A7C"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DA3301" w14:paraId="37325B21" w14:textId="77777777">
        <w:tc>
          <w:tcPr>
            <w:tcW w:w="1134" w:type="dxa"/>
          </w:tcPr>
          <w:p w14:paraId="5A31962D"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119" w:type="dxa"/>
          </w:tcPr>
          <w:p w14:paraId="3B5B107E"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 el documento.</w:t>
            </w:r>
          </w:p>
        </w:tc>
        <w:tc>
          <w:tcPr>
            <w:tcW w:w="1129" w:type="dxa"/>
          </w:tcPr>
          <w:p w14:paraId="2F948AF0"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446" w:type="dxa"/>
          </w:tcPr>
          <w:p w14:paraId="70A2F8DE"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r>
      <w:tr w:rsidR="00DA3301" w14:paraId="682ADFD8" w14:textId="77777777">
        <w:tc>
          <w:tcPr>
            <w:tcW w:w="1134" w:type="dxa"/>
          </w:tcPr>
          <w:p w14:paraId="21DECBD8"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119" w:type="dxa"/>
          </w:tcPr>
          <w:p w14:paraId="7B3EE28D"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c>
          <w:tcPr>
            <w:tcW w:w="1129" w:type="dxa"/>
          </w:tcPr>
          <w:p w14:paraId="36862732"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446" w:type="dxa"/>
          </w:tcPr>
          <w:p w14:paraId="539A7943"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w:t>
            </w:r>
          </w:p>
        </w:tc>
      </w:tr>
      <w:tr w:rsidR="00DA3301" w14:paraId="3B560F44" w14:textId="77777777">
        <w:tc>
          <w:tcPr>
            <w:tcW w:w="1134" w:type="dxa"/>
          </w:tcPr>
          <w:p w14:paraId="4FDA5FDF" w14:textId="77777777" w:rsidR="00DA3301" w:rsidRDefault="00DA3301">
            <w:pPr>
              <w:jc w:val="both"/>
              <w:rPr>
                <w:rFonts w:ascii="Palatino Linotype" w:eastAsia="Palatino Linotype" w:hAnsi="Palatino Linotype" w:cs="Palatino Linotype"/>
                <w:b/>
                <w:sz w:val="12"/>
                <w:szCs w:val="12"/>
              </w:rPr>
            </w:pPr>
          </w:p>
        </w:tc>
        <w:tc>
          <w:tcPr>
            <w:tcW w:w="3119" w:type="dxa"/>
          </w:tcPr>
          <w:p w14:paraId="079CD844" w14:textId="77777777" w:rsidR="00DA3301" w:rsidRDefault="00DA3301">
            <w:pPr>
              <w:jc w:val="both"/>
              <w:rPr>
                <w:rFonts w:ascii="Palatino Linotype" w:eastAsia="Palatino Linotype" w:hAnsi="Palatino Linotype" w:cs="Palatino Linotype"/>
                <w:sz w:val="12"/>
                <w:szCs w:val="12"/>
              </w:rPr>
            </w:pPr>
          </w:p>
        </w:tc>
        <w:tc>
          <w:tcPr>
            <w:tcW w:w="1129" w:type="dxa"/>
          </w:tcPr>
          <w:p w14:paraId="27214B8C"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Partes o secciones reservadas o confidenciales</w:t>
            </w:r>
          </w:p>
        </w:tc>
        <w:tc>
          <w:tcPr>
            <w:tcW w:w="3446" w:type="dxa"/>
          </w:tcPr>
          <w:p w14:paraId="435BFF18"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DA3301" w14:paraId="26CD6425" w14:textId="77777777">
        <w:tc>
          <w:tcPr>
            <w:tcW w:w="1134" w:type="dxa"/>
          </w:tcPr>
          <w:p w14:paraId="6F946B7B" w14:textId="77777777" w:rsidR="00DA3301" w:rsidRDefault="00DA3301">
            <w:pPr>
              <w:jc w:val="both"/>
              <w:rPr>
                <w:rFonts w:ascii="Palatino Linotype" w:eastAsia="Palatino Linotype" w:hAnsi="Palatino Linotype" w:cs="Palatino Linotype"/>
                <w:b/>
                <w:sz w:val="12"/>
                <w:szCs w:val="12"/>
              </w:rPr>
            </w:pPr>
          </w:p>
        </w:tc>
        <w:tc>
          <w:tcPr>
            <w:tcW w:w="3119" w:type="dxa"/>
          </w:tcPr>
          <w:p w14:paraId="2BEC4E56" w14:textId="77777777" w:rsidR="00DA3301" w:rsidRDefault="00DA3301">
            <w:pPr>
              <w:jc w:val="both"/>
              <w:rPr>
                <w:rFonts w:ascii="Palatino Linotype" w:eastAsia="Palatino Linotype" w:hAnsi="Palatino Linotype" w:cs="Palatino Linotype"/>
                <w:sz w:val="12"/>
                <w:szCs w:val="12"/>
              </w:rPr>
            </w:pPr>
          </w:p>
        </w:tc>
        <w:tc>
          <w:tcPr>
            <w:tcW w:w="1129" w:type="dxa"/>
          </w:tcPr>
          <w:p w14:paraId="23860E70" w14:textId="77777777" w:rsidR="00DA3301" w:rsidRDefault="009C6E35">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446" w:type="dxa"/>
          </w:tcPr>
          <w:p w14:paraId="68E4A651" w14:textId="77777777" w:rsidR="00DA3301" w:rsidRDefault="009C6E35">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r>
    </w:tbl>
    <w:p w14:paraId="30879671" w14:textId="77777777" w:rsidR="00DA3301" w:rsidRDefault="00DA3301">
      <w:pPr>
        <w:spacing w:line="360" w:lineRule="auto"/>
        <w:jc w:val="both"/>
        <w:rPr>
          <w:rFonts w:ascii="Palatino Linotype" w:eastAsia="Palatino Linotype" w:hAnsi="Palatino Linotype" w:cs="Palatino Linotype"/>
        </w:rPr>
      </w:pPr>
    </w:p>
    <w:p w14:paraId="5CA32CF7" w14:textId="77777777" w:rsidR="00DA3301" w:rsidRDefault="009C6E35">
      <w:pPr>
        <w:tabs>
          <w:tab w:val="left" w:pos="7938"/>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es ocioso señalar que la Ley de Transparencia y Acceso a la Información Pública del Estado de México y Municipios, en su artículo 140, establece que el acceso a la información pública será restringido excepcionalmente, cuando por razones de interés público, ésta sea clasificada como reservada. </w:t>
      </w:r>
    </w:p>
    <w:p w14:paraId="7B00D73E" w14:textId="77777777" w:rsidR="00DA3301" w:rsidRDefault="00DA3301">
      <w:pPr>
        <w:tabs>
          <w:tab w:val="left" w:pos="7938"/>
        </w:tabs>
        <w:spacing w:line="360" w:lineRule="auto"/>
        <w:jc w:val="both"/>
        <w:rPr>
          <w:rFonts w:ascii="Palatino Linotype" w:eastAsia="Palatino Linotype" w:hAnsi="Palatino Linotype" w:cs="Palatino Linotype"/>
        </w:rPr>
      </w:pPr>
    </w:p>
    <w:p w14:paraId="6A4E6BB8" w14:textId="77777777" w:rsidR="00DA3301" w:rsidRDefault="009C6E35">
      <w:pPr>
        <w:tabs>
          <w:tab w:val="left" w:pos="7938"/>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Ello en razón de que cabe la posibilidad de que dentro de la información se encuentren documentos que contengan información que sí actualicen alguna de las causales de reserva o confidencialidad establecidas en los artículos 140 y 143 de la Ley de la materia, como por ejemplo oficios relacionados con información susceptible de clasificar ya sea como reservada o confidencial, por lo que de ser el </w:t>
      </w:r>
      <w:r>
        <w:rPr>
          <w:rFonts w:ascii="Palatino Linotype" w:eastAsia="Palatino Linotype" w:hAnsi="Palatino Linotype" w:cs="Palatino Linotype"/>
        </w:rPr>
        <w:lastRenderedPageBreak/>
        <w:t>caso, se deberá emitir un acuerdo que clasifique como reservada la información que pudiera afectar la esfera de algún individuo.</w:t>
      </w:r>
    </w:p>
    <w:p w14:paraId="5D8757F8" w14:textId="77777777" w:rsidR="00DA3301" w:rsidRDefault="00DA3301">
      <w:pPr>
        <w:spacing w:line="360" w:lineRule="auto"/>
        <w:jc w:val="both"/>
        <w:rPr>
          <w:rFonts w:ascii="Palatino Linotype" w:eastAsia="Palatino Linotype" w:hAnsi="Palatino Linotype" w:cs="Palatino Linotype"/>
        </w:rPr>
      </w:pPr>
    </w:p>
    <w:p w14:paraId="2C46B50A"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 de la Ley de Transparencia y Acceso a la Información Pública del Estado de México y Municipios.</w:t>
      </w:r>
    </w:p>
    <w:p w14:paraId="2F9C0259" w14:textId="77777777" w:rsidR="00DA3301" w:rsidRDefault="00DA3301">
      <w:pPr>
        <w:spacing w:line="360" w:lineRule="auto"/>
        <w:jc w:val="both"/>
        <w:rPr>
          <w:rFonts w:ascii="Palatino Linotype" w:eastAsia="Palatino Linotype" w:hAnsi="Palatino Linotype" w:cs="Palatino Linotype"/>
        </w:rPr>
      </w:pPr>
    </w:p>
    <w:p w14:paraId="0F12CF46" w14:textId="77777777" w:rsidR="00DA3301" w:rsidRDefault="009C6E35">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tanto, en el supuesto de que en la información que le sea remitida a </w:t>
      </w:r>
      <w:r>
        <w:rPr>
          <w:rFonts w:ascii="Palatino Linotype" w:eastAsia="Palatino Linotype" w:hAnsi="Palatino Linotype" w:cs="Palatino Linotype"/>
          <w:b/>
        </w:rPr>
        <w:t>la parte Recurrente</w:t>
      </w:r>
      <w:r>
        <w:rPr>
          <w:rFonts w:ascii="Palatino Linotype" w:eastAsia="Palatino Linotype" w:hAnsi="Palatino Linotype" w:cs="Palatino Linotype"/>
        </w:rPr>
        <w:t xml:space="preserve"> contenga datos que puedan ser susceptibles de clasificarse,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de remitir su acuerdo de clasificación debidamente fundado y motivado, emitido por el comité de transparencia, en términos del marco normativo aplicable.</w:t>
      </w:r>
    </w:p>
    <w:p w14:paraId="5FA67A15" w14:textId="77777777" w:rsidR="00DA3301" w:rsidRDefault="009C6E35">
      <w:pPr>
        <w:spacing w:before="280" w:after="280" w:line="360" w:lineRule="auto"/>
        <w:jc w:val="both"/>
        <w:rPr>
          <w:rFonts w:ascii="Palatino Linotype" w:eastAsia="Palatino Linotype" w:hAnsi="Palatino Linotype" w:cs="Palatino Linotype"/>
          <w:highlight w:val="green"/>
        </w:rPr>
      </w:pPr>
      <w:r>
        <w:rPr>
          <w:rFonts w:ascii="Palatino Linotype" w:eastAsia="Palatino Linotype" w:hAnsi="Palatino Linotype" w:cs="Palatino Linotype"/>
        </w:rPr>
        <w:t xml:space="preserve">Finalmente, es de señalar que, como ya se mencionó </w:t>
      </w:r>
      <w:r>
        <w:rPr>
          <w:rFonts w:ascii="Palatino Linotype" w:eastAsia="Palatino Linotype" w:hAnsi="Palatino Linotype" w:cs="Palatino Linotype"/>
          <w:b/>
        </w:rPr>
        <w:t>el SUJETO OBLIGADO</w:t>
      </w:r>
      <w:r>
        <w:rPr>
          <w:rFonts w:ascii="Palatino Linotype" w:eastAsia="Palatino Linotype" w:hAnsi="Palatino Linotype" w:cs="Palatino Linotype"/>
        </w:rPr>
        <w:t xml:space="preserve"> , omitió proporcionar las respuestas a sus solicitudes de acceso a la información pública </w:t>
      </w:r>
      <w:r>
        <w:rPr>
          <w:rFonts w:ascii="Palatino Linotype" w:eastAsia="Palatino Linotype" w:hAnsi="Palatino Linotype" w:cs="Palatino Linotype"/>
          <w:b/>
        </w:rPr>
        <w:t xml:space="preserve">00415/METEPEC/IP/2022, 00414/METEPEC/IP/2022, 00413/METEPEC/IP/2022, 00357/METEPEC/IP/2022, 00361/METEPEC/IP/2022, 00362/METEPEC/IP/2022, 00363/METEPEC/IP/2022, 00341/METEPEC/IP/2022, 00342/METEPEC/IP/2022, 00343/METEPEC/IP/2022, 00344/METEPEC/IP/2022, 00346/METEPEC/IP/2022, 00348/METEPEC/IP/2022, 00349/METEPEC/IP/2022, 00353/METEPEC/IP/2022, 00354/METEPEC/IP/2022, 00355/METEPEC/IP/2022, 00340/METEPEC/IP/2022, 00706/METEPEC/IP/2022, 00707/METEPEC/IP/2022, </w:t>
      </w:r>
      <w:r>
        <w:rPr>
          <w:rFonts w:ascii="Palatino Linotype" w:eastAsia="Palatino Linotype" w:hAnsi="Palatino Linotype" w:cs="Palatino Linotype"/>
          <w:b/>
        </w:rPr>
        <w:lastRenderedPageBreak/>
        <w:t>00713/METEPEC/IP/2022, 00708/METEPEC/IP/2022, 00715/METEPEC/IP/2022, 00717/METEPEC/IP/2022, 00718/METEPEC/IP/2022, 00719/METEPEC/IP/2022, 00722/METEPEC/IP/2022, 00724/METEPEC/IP/2022, 00725/METEPEC/IP/2022, 00726/METEPEC/IP/2022, 00730/METEPEC/IP/2022 y 00731/METEPEC/IP/2022,</w:t>
      </w:r>
      <w:r>
        <w:rPr>
          <w:rFonts w:ascii="Palatino Linotype" w:eastAsia="Palatino Linotype" w:hAnsi="Palatino Linotype" w:cs="Palatino Linotype"/>
        </w:rPr>
        <w:t xml:space="preserve"> en el término contemplado en el ya citado artículo 163 de la Ley de la materia, razón por la que </w:t>
      </w:r>
      <w:r>
        <w:rPr>
          <w:rFonts w:ascii="Palatino Linotype" w:eastAsia="Palatino Linotype" w:hAnsi="Palatino Linotype" w:cs="Palatino Linotype"/>
          <w:b/>
        </w:rPr>
        <w:t>se ordena dar vista al Titular de la Contraloría Interna y Órgano de Control y Vigilancia de este Instituto</w:t>
      </w:r>
      <w:r>
        <w:rPr>
          <w:rFonts w:ascii="Palatino Linotype" w:eastAsia="Palatino Linotype" w:hAnsi="Palatino Linotype" w:cs="Palatino Linotype"/>
        </w:rPr>
        <w:t xml:space="preserve">, para que resuelva lo conducente y determine en su caso el grado de responsabilidad en el incumplimiento de las obligaciones establecidas en la misma, en términos del artículo 190 de la Ley de Transparencia y Acceso a la Información Pública del Estado de México y Municipios. </w:t>
      </w:r>
    </w:p>
    <w:p w14:paraId="10A666AD"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w:t>
      </w:r>
      <w:r>
        <w:t xml:space="preserve"> </w:t>
      </w:r>
      <w:r>
        <w:rPr>
          <w:rFonts w:ascii="Palatino Linotype" w:eastAsia="Palatino Linotype" w:hAnsi="Palatino Linotype" w:cs="Palatino Linotype"/>
        </w:rPr>
        <w:t>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14:paraId="5ABDB5AA" w14:textId="77777777" w:rsidR="00DA3301" w:rsidRDefault="009C6E35">
      <w:pPr>
        <w:numPr>
          <w:ilvl w:val="0"/>
          <w:numId w:val="3"/>
        </w:numPr>
        <w:pBdr>
          <w:top w:val="nil"/>
          <w:left w:val="nil"/>
          <w:bottom w:val="nil"/>
          <w:right w:val="nil"/>
          <w:between w:val="nil"/>
        </w:pBdr>
        <w:spacing w:before="280" w:after="280" w:line="36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 E S U E L V E</w:t>
      </w:r>
    </w:p>
    <w:p w14:paraId="3AEF2B27" w14:textId="77777777" w:rsidR="00DA3301" w:rsidRDefault="009C6E35">
      <w:pPr>
        <w:spacing w:before="240" w:after="240" w:line="360" w:lineRule="auto"/>
        <w:jc w:val="both"/>
        <w:rPr>
          <w:rFonts w:ascii="Palatino Linotype" w:eastAsia="Palatino Linotype" w:hAnsi="Palatino Linotype" w:cs="Palatino Linotype"/>
          <w:b/>
          <w:highlight w:val="green"/>
        </w:rPr>
      </w:pPr>
      <w:r>
        <w:rPr>
          <w:rFonts w:ascii="Palatino Linotype" w:eastAsia="Palatino Linotype" w:hAnsi="Palatino Linotype" w:cs="Palatino Linotype"/>
          <w:b/>
        </w:rPr>
        <w:t xml:space="preserve">PRIMERO. </w:t>
      </w:r>
      <w:r>
        <w:rPr>
          <w:rFonts w:ascii="Palatino Linotype" w:eastAsia="Palatino Linotype" w:hAnsi="Palatino Linotype" w:cs="Palatino Linotype"/>
        </w:rPr>
        <w:t xml:space="preserve">Resultan </w:t>
      </w:r>
      <w:r>
        <w:rPr>
          <w:rFonts w:ascii="Palatino Linotype" w:eastAsia="Palatino Linotype" w:hAnsi="Palatino Linotype" w:cs="Palatino Linotype"/>
          <w:b/>
        </w:rPr>
        <w:t>fundados</w:t>
      </w:r>
      <w:r>
        <w:rPr>
          <w:rFonts w:ascii="Palatino Linotype" w:eastAsia="Palatino Linotype" w:hAnsi="Palatino Linotype" w:cs="Palatino Linotype"/>
        </w:rPr>
        <w:t xml:space="preserve"> los motivos de inconformidad hechos valer por la </w:t>
      </w:r>
      <w:r>
        <w:rPr>
          <w:rFonts w:ascii="Palatino Linotype" w:eastAsia="Palatino Linotype" w:hAnsi="Palatino Linotype" w:cs="Palatino Linotype"/>
          <w:b/>
        </w:rPr>
        <w:t>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en los recursos de revisión </w:t>
      </w:r>
      <w:r>
        <w:rPr>
          <w:rFonts w:ascii="Palatino Linotype" w:eastAsia="Palatino Linotype" w:hAnsi="Palatino Linotype" w:cs="Palatino Linotype"/>
          <w:b/>
        </w:rPr>
        <w:t xml:space="preserve">01264/INFOEM/IP/RR/2022, 01266/INFOEM/IP/RR/2022, 01268/INFOEM/IP/RR/2022, 01272/INFOEM/IP/RR/2022, 01274/INFOEM/IP/RR/2022, 01275/INFOEM/IP/RR/2022, 01276/INFOEM/IP/RR/2022, 01283/INFOEM/IP/RR/2022, 01284/INFOEM/IP/RR/2022, </w:t>
      </w:r>
      <w:r>
        <w:rPr>
          <w:rFonts w:ascii="Palatino Linotype" w:eastAsia="Palatino Linotype" w:hAnsi="Palatino Linotype" w:cs="Palatino Linotype"/>
          <w:b/>
        </w:rPr>
        <w:lastRenderedPageBreak/>
        <w:t xml:space="preserve">01285/INFOEM/IP/RR/2022, 01286/INFOEM/IP/RR/2022, 01287/INFOEM/IP/RR/2022, 01288/INFOEM/IP/RR/2022, 01289/INFOEM/IP/RR/2022, 01290/INFOEM/IP/RR/2022,  01291/INFOEM/IP/RR/2022, 01292/INFOEM/IP/RR/2022, 01294/INFOEM/IP/RR/2022, 01526/INFOEM/IP/RR/2022, 01529/INFOEM/IP/RR/2022, 01532/INFOEM/IP/RR/2022, 01533/INFOEM/IP/RR/2022, 01534/INFOEM/IP/RR/2022, 01535/INFOEM/IP/RR/2022, 01537/INFOEM/IP/RR/2022, 01539/INFOEM/IP/RR/2022, 01541/INFOEM/IP/RR/2022, 01542/INFOEM/IP/RR/2022, 01543/INFOEM/IP/RR/2022, 01545/INFOEM/IP/RR/2022, 01547/INFOEM/IP/RR/2022 y 01549/INFOEM/IP/RR/2022, </w:t>
      </w:r>
      <w:r>
        <w:rPr>
          <w:rFonts w:ascii="Palatino Linotype" w:eastAsia="Palatino Linotype" w:hAnsi="Palatino Linotype" w:cs="Palatino Linotype"/>
        </w:rPr>
        <w:t xml:space="preserve">en términos del </w:t>
      </w:r>
      <w:r>
        <w:rPr>
          <w:rFonts w:ascii="Palatino Linotype" w:eastAsia="Palatino Linotype" w:hAnsi="Palatino Linotype" w:cs="Palatino Linotype"/>
          <w:b/>
        </w:rPr>
        <w:t>Considerando Cuarto</w:t>
      </w:r>
      <w:r>
        <w:rPr>
          <w:rFonts w:ascii="Palatino Linotype" w:eastAsia="Palatino Linotype" w:hAnsi="Palatino Linotype" w:cs="Palatino Linotype"/>
        </w:rPr>
        <w:t xml:space="preserve"> de la presente resolución. </w:t>
      </w:r>
    </w:p>
    <w:p w14:paraId="04573C55"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SEGUNDO</w:t>
      </w:r>
      <w:r>
        <w:rPr>
          <w:rFonts w:ascii="Palatino Linotype" w:eastAsia="Palatino Linotype" w:hAnsi="Palatino Linotype" w:cs="Palatino Linotype"/>
          <w:b/>
          <w:sz w:val="28"/>
          <w:szCs w:val="28"/>
        </w:rPr>
        <w:t>.</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Se</w:t>
      </w:r>
      <w:r>
        <w:rPr>
          <w:rFonts w:ascii="Palatino Linotype" w:eastAsia="Palatino Linotype" w:hAnsi="Palatino Linotype" w:cs="Palatino Linotype"/>
          <w:b/>
        </w:rPr>
        <w:t xml:space="preserve"> ORDENA </w:t>
      </w:r>
      <w:r>
        <w:rPr>
          <w:rFonts w:ascii="Palatino Linotype" w:eastAsia="Palatino Linotype" w:hAnsi="Palatino Linotype" w:cs="Palatino Linotype"/>
        </w:rPr>
        <w:t>al</w:t>
      </w:r>
      <w:r>
        <w:rPr>
          <w:rFonts w:ascii="Palatino Linotype" w:eastAsia="Palatino Linotype" w:hAnsi="Palatino Linotype" w:cs="Palatino Linotype"/>
          <w:b/>
        </w:rPr>
        <w:t xml:space="preserve"> SUJETO OBLIGADO</w:t>
      </w:r>
      <w:r>
        <w:rPr>
          <w:rFonts w:ascii="Palatino Linotype" w:eastAsia="Palatino Linotype" w:hAnsi="Palatino Linotype" w:cs="Palatino Linotype"/>
        </w:rPr>
        <w:t>, dé trámite a las solicitudes de información números</w:t>
      </w:r>
      <w:r>
        <w:t xml:space="preserve"> </w:t>
      </w:r>
      <w:r>
        <w:rPr>
          <w:rFonts w:ascii="Palatino Linotype" w:eastAsia="Palatino Linotype" w:hAnsi="Palatino Linotype" w:cs="Palatino Linotype"/>
          <w:b/>
        </w:rPr>
        <w:t xml:space="preserve">00415/METEPEC/IP/2022, 00414/METEPEC/IP/2022, 00413/METEPEC/IP/2022, 00357/METEPEC/IP/2022, 00361/METEPEC/IP/2022, 00362/METEPEC/IP/2022, 00363/METEPEC/IP/2022, 00341/METEPEC/IP/2022, 00342/METEPEC/IP/2022, 00343/METEPEC/IP/2022, 00344/METEPEC/IP/2022, 00346/METEPEC/IP/2022, 00348/METEPEC/IP/2022, 00349/METEPEC/IP/2022, 00354/METEPEC/IP/2022, 00355/METEPEC/IP/2022, 00340/METEPEC/IP/2022, 00706/METEPEC/IP/2022, 00707/METEPEC/IP/2022, 00713/METEPEC/IP/2022, 00708/METEPEC/IP/2022, 00715/METEPEC/IP/2022, 00717/METEPEC/IP/2022, 00718/METEPEC/IP/2022, 00719/METEPEC/IP/2022, 00724/METEPEC/IP/2022, </w:t>
      </w:r>
      <w:r>
        <w:rPr>
          <w:rFonts w:ascii="Palatino Linotype" w:eastAsia="Palatino Linotype" w:hAnsi="Palatino Linotype" w:cs="Palatino Linotype"/>
          <w:b/>
        </w:rPr>
        <w:lastRenderedPageBreak/>
        <w:t xml:space="preserve">00725/METEPEC/IP/2022, 00726/METEPEC/IP/2022, 00730/METEPEC/IP/2022 y 00731/METEPEC/IP/2022, </w:t>
      </w:r>
      <w:r>
        <w:rPr>
          <w:rFonts w:ascii="Palatino Linotype" w:eastAsia="Palatino Linotype" w:hAnsi="Palatino Linotype" w:cs="Palatino Linotype"/>
        </w:rPr>
        <w:t>que dieron origen a los recursos de revisión</w:t>
      </w:r>
      <w:r>
        <w:rPr>
          <w:rFonts w:ascii="Palatino Linotype" w:eastAsia="Palatino Linotype" w:hAnsi="Palatino Linotype" w:cs="Palatino Linotype"/>
          <w:b/>
        </w:rPr>
        <w:t xml:space="preserve">: 01264/INFOEM/IP/RR/2022, 01266/INFOEM/IP/RR/2022, 01268/INFOEM/IP/RR/2022, 01272/INFOEM/IP/RR/2022, 01274/INFOEM/IP/RR/2022, 01275/INFOEM/IP/RR/2022, 01276/INFOEM/IP/RR/2022, 01283/INFOEM/IP/RR/2022, 01284/INFOEM/IP/RR/2022, 01285/INFOEM/IP/RR/2022, 01286/INFOEM/IP/RR/2022, 01287/INFOEM/IP/RR/2022, 01288/INFOEM/IP/RR/2022, 01289/INFOEM/IP/RR/2022, 01291/INFOEM/IP/RR/2022, 01292/INFOEM/IP/RR/2022, 01294/INFOEM/IP/RR/2022, 01526/INFOEM/IP/RR/2022, 01529/INFOEM/IP/RR/2022, 01532/INFOEM/IP/RR/2022, 01533/INFOEM/IP/RR/2022, 01534/INFOEM/IP/RR/2022, 01535/INFOEM/IP/RR/2022, 01537/INFOEM/IP/RR/2022, 01539/INFOEM/IP/RR/2022, 01542/INFOEM/IP/RR/2022, 01543/INFOEM/IP/RR/2022, 01545/INFOEM/IP/RR/2022, 01547/INFOEM/IP/RR/2022 y 01549/INFOEM/IP/RR/2022, </w:t>
      </w:r>
      <w:r>
        <w:rPr>
          <w:rFonts w:ascii="Palatino Linotype" w:eastAsia="Palatino Linotype" w:hAnsi="Palatino Linotype" w:cs="Palatino Linotype"/>
        </w:rPr>
        <w:t>vía</w:t>
      </w:r>
      <w:r>
        <w:rPr>
          <w:rFonts w:ascii="Palatino Linotype" w:eastAsia="Palatino Linotype" w:hAnsi="Palatino Linotype" w:cs="Palatino Linotype"/>
          <w:b/>
        </w:rPr>
        <w:t xml:space="preserve"> SAIMEX, </w:t>
      </w:r>
      <w:r>
        <w:rPr>
          <w:rFonts w:ascii="Palatino Linotype" w:eastAsia="Palatino Linotype" w:hAnsi="Palatino Linotype" w:cs="Palatino Linotype"/>
        </w:rPr>
        <w:t>en términos del Considerando</w:t>
      </w:r>
      <w:r>
        <w:rPr>
          <w:rFonts w:ascii="Palatino Linotype" w:eastAsia="Palatino Linotype" w:hAnsi="Palatino Linotype" w:cs="Palatino Linotype"/>
          <w:b/>
        </w:rPr>
        <w:t xml:space="preserve"> Cuarto</w:t>
      </w:r>
      <w:r>
        <w:rPr>
          <w:rFonts w:ascii="Palatino Linotype" w:eastAsia="Palatino Linotype" w:hAnsi="Palatino Linotype" w:cs="Palatino Linotype"/>
        </w:rPr>
        <w:t xml:space="preserve"> de esta resolución y emita respuesta, debiendo observar las excepciones contenidas en la Ley de Transparencia y Acceso a la Información Pública del Estado de México y Municipios.</w:t>
      </w:r>
    </w:p>
    <w:p w14:paraId="21B22F18" w14:textId="77777777" w:rsidR="00DA3301" w:rsidRDefault="009C6E35">
      <w:pPr>
        <w:spacing w:before="240" w:after="240" w:line="360" w:lineRule="auto"/>
        <w:jc w:val="both"/>
      </w:pPr>
      <w:bookmarkStart w:id="3" w:name="_heading=h.1fob9te" w:colFirst="0" w:colLast="0"/>
      <w:bookmarkEnd w:id="3"/>
      <w:r>
        <w:rPr>
          <w:rFonts w:ascii="Palatino Linotype" w:eastAsia="Palatino Linotype" w:hAnsi="Palatino Linotype" w:cs="Palatino Linotype"/>
          <w:b/>
        </w:rPr>
        <w:t>Tercero.</w:t>
      </w:r>
      <w:r>
        <w:rPr>
          <w:rFonts w:ascii="Palatino Linotype" w:eastAsia="Palatino Linotype" w:hAnsi="Palatino Linotype" w:cs="Palatino Linotype"/>
        </w:rPr>
        <w:t xml:space="preserve"> </w:t>
      </w:r>
      <w:r>
        <w:rPr>
          <w:rFonts w:ascii="Palatino Linotype" w:eastAsia="Palatino Linotype" w:hAnsi="Palatino Linotype" w:cs="Palatino Linotype"/>
          <w:color w:val="000000"/>
        </w:rPr>
        <w:t>Se</w:t>
      </w:r>
      <w:r>
        <w:rPr>
          <w:rFonts w:ascii="Palatino Linotype" w:eastAsia="Palatino Linotype" w:hAnsi="Palatino Linotype" w:cs="Palatino Linotype"/>
          <w:b/>
          <w:color w:val="000000"/>
        </w:rPr>
        <w:t xml:space="preserve"> ORDENA </w:t>
      </w:r>
      <w:r>
        <w:rPr>
          <w:rFonts w:ascii="Palatino Linotype" w:eastAsia="Palatino Linotype" w:hAnsi="Palatino Linotype" w:cs="Palatino Linotype"/>
          <w:color w:val="000000"/>
        </w:rPr>
        <w:t xml:space="preserve">al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a que,</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en términos del Considerando Cuarto y Quinto, respecto a las solicitudes </w:t>
      </w:r>
      <w:r>
        <w:rPr>
          <w:rFonts w:ascii="Palatino Linotype" w:eastAsia="Palatino Linotype" w:hAnsi="Palatino Linotype" w:cs="Palatino Linotype"/>
          <w:b/>
        </w:rPr>
        <w:t xml:space="preserve">00353/METEPEC/IP/2022 y 00722/METEPEC/IP/2022, </w:t>
      </w:r>
      <w:r>
        <w:rPr>
          <w:rFonts w:ascii="Palatino Linotype" w:eastAsia="Palatino Linotype" w:hAnsi="Palatino Linotype" w:cs="Palatino Linotype"/>
        </w:rPr>
        <w:t xml:space="preserve">que dieron origen a los recursos de </w:t>
      </w:r>
      <w:r>
        <w:rPr>
          <w:rFonts w:ascii="Palatino Linotype" w:eastAsia="Palatino Linotype" w:hAnsi="Palatino Linotype" w:cs="Palatino Linotype"/>
          <w:color w:val="000000"/>
        </w:rPr>
        <w:t xml:space="preserve">revisión  </w:t>
      </w:r>
      <w:r>
        <w:rPr>
          <w:rFonts w:ascii="Palatino Linotype" w:eastAsia="Palatino Linotype" w:hAnsi="Palatino Linotype" w:cs="Palatino Linotype"/>
          <w:b/>
          <w:color w:val="000000"/>
        </w:rPr>
        <w:lastRenderedPageBreak/>
        <w:t xml:space="preserve">01290/INFOEM/IP/RR/2022 y 01541/INFOEM/IP/RR/2022, </w:t>
      </w:r>
      <w:r>
        <w:rPr>
          <w:rFonts w:ascii="Palatino Linotype" w:eastAsia="Palatino Linotype" w:hAnsi="Palatino Linotype" w:cs="Palatino Linotype"/>
          <w:color w:val="000000"/>
        </w:rPr>
        <w:t xml:space="preserve">haga entrega vía SAIMEX,  en </w:t>
      </w:r>
      <w:r>
        <w:rPr>
          <w:rFonts w:ascii="Palatino Linotype" w:eastAsia="Palatino Linotype" w:hAnsi="Palatino Linotype" w:cs="Palatino Linotype"/>
          <w:color w:val="000000"/>
          <w:highlight w:val="white"/>
        </w:rPr>
        <w:t>la correcta versión pública</w:t>
      </w:r>
      <w:r>
        <w:rPr>
          <w:rFonts w:ascii="Palatino Linotype" w:eastAsia="Palatino Linotype" w:hAnsi="Palatino Linotype" w:cs="Palatino Linotype"/>
          <w:color w:val="000000"/>
        </w:rPr>
        <w:t>, de lo siguiente:</w:t>
      </w:r>
    </w:p>
    <w:p w14:paraId="4BC5779F" w14:textId="77777777" w:rsidR="00DA3301" w:rsidRDefault="009C6E35">
      <w:pPr>
        <w:numPr>
          <w:ilvl w:val="0"/>
          <w:numId w:val="9"/>
        </w:numPr>
        <w:pBdr>
          <w:top w:val="nil"/>
          <w:left w:val="nil"/>
          <w:bottom w:val="nil"/>
          <w:right w:val="nil"/>
          <w:between w:val="nil"/>
        </w:pBdr>
        <w:tabs>
          <w:tab w:val="left" w:pos="2127"/>
        </w:tabs>
        <w:spacing w:before="240" w:after="24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Los oficios generados y recibidos por la Dirección de Gobierno por Resultados, al once de enero de dos mil veintidós, remitidos vía informe justificado.</w:t>
      </w:r>
    </w:p>
    <w:p w14:paraId="718AE8AC" w14:textId="77777777" w:rsidR="00DA3301" w:rsidRDefault="009C6E35">
      <w:pPr>
        <w:spacing w:before="240" w:after="240" w:line="360" w:lineRule="auto"/>
        <w:jc w:val="both"/>
        <w:rPr>
          <w:rFonts w:ascii="Palatino Linotype" w:eastAsia="Palatino Linotype" w:hAnsi="Palatino Linotype" w:cs="Palatino Linotype"/>
          <w:highlight w:val="green"/>
        </w:rPr>
      </w:pPr>
      <w:r>
        <w:rPr>
          <w:rFonts w:ascii="Palatino Linotype" w:eastAsia="Palatino Linotype" w:hAnsi="Palatino Linotype" w:cs="Palatino Linotype"/>
          <w:i/>
          <w:color w:val="000000"/>
          <w:sz w:val="20"/>
          <w:szCs w:val="20"/>
        </w:rPr>
        <w:t>Para la entrega en versión pública, deberá emitir el Acuerdo del Comité de Transparencia en términos de la Ley de Transparencia y Acceso a la Información Pública del Estado de México y Municipios, en el que funde y motive las razones sobre los datos que se supriman o eliminen y se ponga a disposición de la parte Recurrente.</w:t>
      </w:r>
    </w:p>
    <w:p w14:paraId="790D0D7C" w14:textId="77777777" w:rsidR="00DA3301" w:rsidRDefault="009C6E35">
      <w:pPr>
        <w:spacing w:before="240" w:after="240" w:line="360" w:lineRule="auto"/>
        <w:jc w:val="both"/>
        <w:rPr>
          <w:rFonts w:ascii="Palatino Linotype" w:eastAsia="Palatino Linotype" w:hAnsi="Palatino Linotype" w:cs="Palatino Linotype"/>
        </w:rPr>
      </w:pPr>
      <w:bookmarkStart w:id="4" w:name="_heading=h.3znysh7" w:colFirst="0" w:colLast="0"/>
      <w:bookmarkEnd w:id="4"/>
      <w:r>
        <w:rPr>
          <w:rFonts w:ascii="Palatino Linotype" w:eastAsia="Palatino Linotype" w:hAnsi="Palatino Linotype" w:cs="Palatino Linotype"/>
          <w:b/>
        </w:rPr>
        <w:t xml:space="preserve">Cuarto. Notifíquese, </w:t>
      </w:r>
      <w:r>
        <w:rPr>
          <w:rFonts w:ascii="Palatino Linotype" w:eastAsia="Palatino Linotype" w:hAnsi="Palatino Linotype" w:cs="Palatino Linotype"/>
        </w:rPr>
        <w:t xml:space="preserve">vía </w:t>
      </w:r>
      <w:r>
        <w:rPr>
          <w:rFonts w:ascii="Palatino Linotype" w:eastAsia="Palatino Linotype" w:hAnsi="Palatino Linotype" w:cs="Palatino Linotype"/>
          <w:b/>
        </w:rPr>
        <w:t>SAIMEX</w:t>
      </w:r>
      <w:r>
        <w:rPr>
          <w:rFonts w:ascii="Palatino Linotype" w:eastAsia="Palatino Linotype" w:hAnsi="Palatino Linotype" w:cs="Palatino Linotype"/>
        </w:rPr>
        <w:t xml:space="preserve">, al Titular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presente resolución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14:paraId="04CB49C2" w14:textId="77777777" w:rsidR="00DA3301" w:rsidRDefault="009C6E35">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Quinto. Notifíquese, </w:t>
      </w:r>
      <w:r>
        <w:rPr>
          <w:rFonts w:ascii="Palatino Linotype" w:eastAsia="Palatino Linotype" w:hAnsi="Palatino Linotype" w:cs="Palatino Linotype"/>
        </w:rPr>
        <w:t xml:space="preserve">vía </w:t>
      </w:r>
      <w:r>
        <w:rPr>
          <w:rFonts w:ascii="Palatino Linotype" w:eastAsia="Palatino Linotype" w:hAnsi="Palatino Linotype" w:cs="Palatino Linotype"/>
          <w:b/>
        </w:rPr>
        <w:t>SAIMEX,</w:t>
      </w:r>
      <w:r>
        <w:rPr>
          <w:rFonts w:ascii="Palatino Linotype" w:eastAsia="Palatino Linotype" w:hAnsi="Palatino Linotype" w:cs="Palatino Linotype"/>
        </w:rPr>
        <w:t xml:space="preserve"> a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05D946C3"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Sexto. Notifíquese, </w:t>
      </w:r>
      <w:r>
        <w:rPr>
          <w:rFonts w:ascii="Palatino Linotype" w:eastAsia="Palatino Linotype" w:hAnsi="Palatino Linotype" w:cs="Palatino Linotype"/>
        </w:rPr>
        <w:t xml:space="preserve">a </w:t>
      </w:r>
      <w:r>
        <w:rPr>
          <w:rFonts w:ascii="Palatino Linotype" w:eastAsia="Palatino Linotype" w:hAnsi="Palatino Linotype" w:cs="Palatino Linotype"/>
          <w:b/>
        </w:rPr>
        <w:t>la PARTE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que la respuesta que dé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derivada de la presente resolución es susceptible de ser impugnada </w:t>
      </w:r>
      <w:r>
        <w:rPr>
          <w:rFonts w:ascii="Palatino Linotype" w:eastAsia="Palatino Linotype" w:hAnsi="Palatino Linotype" w:cs="Palatino Linotype"/>
        </w:rPr>
        <w:lastRenderedPageBreak/>
        <w:t>nuevamente, mediante recurso de revisión, ante el Instituto, en términos del artículo 179, último párrafo de la Ley de Transparencia y Acceso a la Información Pública del Estado de México y Municipios.</w:t>
      </w:r>
    </w:p>
    <w:p w14:paraId="7B7C4B8D"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Séptimo. Gírese </w:t>
      </w:r>
      <w:r>
        <w:rPr>
          <w:rFonts w:ascii="Palatino Linotype" w:eastAsia="Palatino Linotype" w:hAnsi="Palatino Linotype" w:cs="Palatino Linotype"/>
        </w:rPr>
        <w:t xml:space="preserve">oficio al </w:t>
      </w:r>
      <w:r>
        <w:rPr>
          <w:rFonts w:ascii="Palatino Linotype" w:eastAsia="Palatino Linotype" w:hAnsi="Palatino Linotype" w:cs="Palatino Linotype"/>
          <w:b/>
        </w:rPr>
        <w:t>Contralor Interno y Órgano de Control y Vigilancia</w:t>
      </w:r>
      <w:r>
        <w:rPr>
          <w:rFonts w:ascii="Palatino Linotype" w:eastAsia="Palatino Linotype" w:hAnsi="Palatino Linotype" w:cs="Palatino Linotype"/>
        </w:rPr>
        <w:t xml:space="preserve"> de este Instituto para hacer de su conocimiento la presente resolución, a fin de que en ejercicio de sus atribuciones y de conformidad con el artículo 190, de la Ley de Transparencia y Acceso a la Información Pública del Estado de México y Municipios, determine lo conducente, en términos de lo señalado en la presente resolución.</w:t>
      </w:r>
      <w:r>
        <w:rPr>
          <w:rFonts w:ascii="Palatino Linotype" w:eastAsia="Palatino Linotype" w:hAnsi="Palatino Linotype" w:cs="Palatino Linotype"/>
          <w:b/>
        </w:rPr>
        <w:t xml:space="preserve"> </w:t>
      </w:r>
    </w:p>
    <w:p w14:paraId="6A6B6093" w14:textId="77777777" w:rsidR="00DA3301" w:rsidRDefault="009C6E35">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Octavo. </w:t>
      </w:r>
      <w:r>
        <w:rPr>
          <w:rFonts w:ascii="Palatino Linotype" w:eastAsia="Palatino Linotype" w:hAnsi="Palatino Linotype" w:cs="Palatino Linotype"/>
        </w:rPr>
        <w:t>Con fundamento en el artículo 198 de la Ley de la Ley de Transparencia y Acceso a la Información Pública del Estado de México y Municipios, se apercibe al Sujeto Obligado que, en caso de negarse a cumplir la presente resolución o hacerlo de manera parcial se actuará de conformidad con lo previsto en los artículos 213, 214, 216 y 217 de dicha Ley.</w:t>
      </w:r>
      <w:r>
        <w:rPr>
          <w:rFonts w:ascii="Palatino Linotype" w:eastAsia="Palatino Linotype" w:hAnsi="Palatino Linotype" w:cs="Palatino Linotype"/>
          <w:b/>
        </w:rPr>
        <w:t xml:space="preserve">  </w:t>
      </w:r>
    </w:p>
    <w:p w14:paraId="3464C716" w14:textId="77777777" w:rsidR="00DA3301" w:rsidRDefault="009C6E35">
      <w:pPr>
        <w:spacing w:line="360" w:lineRule="auto"/>
        <w:ind w:right="49"/>
        <w:jc w:val="both"/>
        <w:rPr>
          <w:rFonts w:ascii="Palatino Linotype" w:eastAsia="Palatino Linotype" w:hAnsi="Palatino Linotype" w:cs="Palatino Linotype"/>
        </w:rPr>
        <w:sectPr w:rsidR="00DA3301">
          <w:headerReference w:type="default" r:id="rId41"/>
          <w:footerReference w:type="default" r:id="rId42"/>
          <w:headerReference w:type="first" r:id="rId43"/>
          <w:footerReference w:type="first" r:id="rId44"/>
          <w:pgSz w:w="12240" w:h="15840"/>
          <w:pgMar w:top="1985" w:right="1701" w:bottom="1701" w:left="1701" w:header="709" w:footer="709" w:gutter="0"/>
          <w:pgNumType w:start="1"/>
          <w:cols w:space="720"/>
          <w:titlePg/>
        </w:sectPr>
      </w:pPr>
      <w:r>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DÉCIMA OCTAVA  SESIÓN ORDINARIA CELEBRADA EL DIECIOCHO DE MAYO DE DOS MIL VEINTIDÓS, ANTE EL SECRETARIO TÉCNICO DEL PLENO ALEXIS TAPIA RAMÍREZ.</w:t>
      </w:r>
    </w:p>
    <w:p w14:paraId="19366F1C" w14:textId="77777777" w:rsidR="00DA3301" w:rsidRDefault="00DA3301">
      <w:pPr>
        <w:tabs>
          <w:tab w:val="left" w:pos="709"/>
        </w:tabs>
        <w:spacing w:before="240" w:after="240" w:line="360" w:lineRule="auto"/>
        <w:jc w:val="both"/>
        <w:rPr>
          <w:rFonts w:ascii="Palatino Linotype" w:eastAsia="Palatino Linotype" w:hAnsi="Palatino Linotype" w:cs="Palatino Linotype"/>
        </w:rPr>
      </w:pPr>
    </w:p>
    <w:p w14:paraId="58515006" w14:textId="77777777" w:rsidR="00DA3301" w:rsidRDefault="00DA3301"/>
    <w:p w14:paraId="4277E1A1" w14:textId="77777777" w:rsidR="00DA3301" w:rsidRDefault="00DA3301"/>
    <w:p w14:paraId="0C17A31A" w14:textId="77777777" w:rsidR="00DA3301" w:rsidRDefault="00DA3301">
      <w:pPr>
        <w:spacing w:line="360" w:lineRule="auto"/>
        <w:jc w:val="both"/>
        <w:rPr>
          <w:rFonts w:ascii="Palatino Linotype" w:eastAsia="Palatino Linotype" w:hAnsi="Palatino Linotype" w:cs="Palatino Linotype"/>
        </w:rPr>
      </w:pPr>
    </w:p>
    <w:sectPr w:rsidR="00DA3301">
      <w:headerReference w:type="default" r:id="rId45"/>
      <w:footerReference w:type="default" r:id="rId46"/>
      <w:headerReference w:type="first" r:id="rId47"/>
      <w:footerReference w:type="first" r:id="rId48"/>
      <w:pgSz w:w="12240" w:h="15840"/>
      <w:pgMar w:top="1985" w:right="1701" w:bottom="1701" w:left="1701" w:header="974"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095D05" w14:textId="77777777" w:rsidR="003857A1" w:rsidRDefault="003857A1">
      <w:r>
        <w:separator/>
      </w:r>
    </w:p>
  </w:endnote>
  <w:endnote w:type="continuationSeparator" w:id="0">
    <w:p w14:paraId="3D9598C3" w14:textId="77777777" w:rsidR="003857A1" w:rsidRDefault="00385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47CB6C" w14:textId="77777777" w:rsidR="00DA3301" w:rsidRDefault="009C6E3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7F72E2">
      <w:rPr>
        <w:rFonts w:ascii="Arial" w:eastAsia="Arial" w:hAnsi="Arial" w:cs="Arial"/>
        <w:b/>
        <w:noProof/>
        <w:color w:val="000000"/>
        <w:sz w:val="20"/>
        <w:szCs w:val="20"/>
      </w:rPr>
      <w:t>37</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7F72E2">
      <w:rPr>
        <w:rFonts w:ascii="Arial" w:eastAsia="Arial" w:hAnsi="Arial" w:cs="Arial"/>
        <w:b/>
        <w:noProof/>
        <w:color w:val="000000"/>
        <w:sz w:val="20"/>
        <w:szCs w:val="20"/>
      </w:rPr>
      <w:t>90</w:t>
    </w:r>
    <w:r>
      <w:rPr>
        <w:rFonts w:ascii="Arial" w:eastAsia="Arial" w:hAnsi="Arial" w:cs="Arial"/>
        <w:b/>
        <w:color w:val="000000"/>
        <w:sz w:val="20"/>
        <w:szCs w:val="20"/>
      </w:rPr>
      <w:fldChar w:fldCharType="end"/>
    </w:r>
  </w:p>
  <w:p w14:paraId="4253B69E" w14:textId="77777777" w:rsidR="00DA3301" w:rsidRDefault="00DA3301">
    <w:pPr>
      <w:pBdr>
        <w:top w:val="nil"/>
        <w:left w:val="nil"/>
        <w:bottom w:val="nil"/>
        <w:right w:val="nil"/>
        <w:between w:val="nil"/>
      </w:pBdr>
      <w:tabs>
        <w:tab w:val="center" w:pos="4252"/>
        <w:tab w:val="right" w:pos="8504"/>
      </w:tabs>
      <w:rPr>
        <w:color w:val="000000"/>
      </w:rPr>
    </w:pPr>
  </w:p>
  <w:p w14:paraId="209190B6" w14:textId="77777777" w:rsidR="00DA3301" w:rsidRDefault="00DA3301">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7B592" w14:textId="77777777" w:rsidR="00DA3301" w:rsidRDefault="009C6E3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7F72E2">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7F72E2">
      <w:rPr>
        <w:rFonts w:ascii="Arial" w:eastAsia="Arial" w:hAnsi="Arial" w:cs="Arial"/>
        <w:b/>
        <w:noProof/>
        <w:color w:val="000000"/>
        <w:sz w:val="20"/>
        <w:szCs w:val="20"/>
      </w:rPr>
      <w:t>90</w:t>
    </w:r>
    <w:r>
      <w:rPr>
        <w:rFonts w:ascii="Arial" w:eastAsia="Arial" w:hAnsi="Arial" w:cs="Arial"/>
        <w:b/>
        <w:color w:val="000000"/>
        <w:sz w:val="20"/>
        <w:szCs w:val="20"/>
      </w:rPr>
      <w:fldChar w:fldCharType="end"/>
    </w:r>
  </w:p>
  <w:p w14:paraId="7ECD9DD2" w14:textId="77777777" w:rsidR="00DA3301" w:rsidRDefault="00DA3301">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58F7D3" w14:textId="3FF85B29" w:rsidR="00DA3301" w:rsidRDefault="009C6E35">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1D2687">
      <w:rPr>
        <w:rFonts w:ascii="Palatino Linotype" w:eastAsia="Palatino Linotype" w:hAnsi="Palatino Linotype" w:cs="Palatino Linotype"/>
        <w:b/>
        <w:noProof/>
        <w:color w:val="000000"/>
        <w:sz w:val="20"/>
        <w:szCs w:val="20"/>
      </w:rPr>
      <w:t>90</w:t>
    </w:r>
    <w:r>
      <w:rPr>
        <w:rFonts w:ascii="Palatino Linotype" w:eastAsia="Palatino Linotype" w:hAnsi="Palatino Linotype" w:cs="Palatino Linotype"/>
        <w:b/>
        <w:color w:val="000000"/>
        <w:sz w:val="20"/>
        <w:szCs w:val="20"/>
      </w:rPr>
      <w:fldChar w:fldCharType="end"/>
    </w:r>
  </w:p>
  <w:p w14:paraId="14284CE5" w14:textId="77777777" w:rsidR="00DA3301" w:rsidRDefault="00DA3301">
    <w:pPr>
      <w:pBdr>
        <w:top w:val="nil"/>
        <w:left w:val="nil"/>
        <w:bottom w:val="nil"/>
        <w:right w:val="nil"/>
        <w:between w:val="nil"/>
      </w:pBdr>
      <w:tabs>
        <w:tab w:val="center" w:pos="4252"/>
        <w:tab w:val="right" w:pos="8504"/>
      </w:tabs>
      <w:ind w:firstLine="708"/>
      <w:rPr>
        <w:rFonts w:ascii="Cambria" w:eastAsia="Cambria" w:hAnsi="Cambria" w:cs="Cambria"/>
        <w:color w:val="000000"/>
      </w:rPr>
    </w:pPr>
  </w:p>
  <w:p w14:paraId="691AAEC0" w14:textId="77777777" w:rsidR="00DA3301" w:rsidRDefault="00DA330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EDF34" w14:textId="750CE78A" w:rsidR="00DA3301" w:rsidRDefault="009C6E35">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7F72E2">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7F72E2">
      <w:rPr>
        <w:rFonts w:ascii="Palatino Linotype" w:eastAsia="Palatino Linotype" w:hAnsi="Palatino Linotype" w:cs="Palatino Linotype"/>
        <w:b/>
        <w:noProof/>
        <w:color w:val="000000"/>
        <w:sz w:val="20"/>
        <w:szCs w:val="20"/>
      </w:rPr>
      <w:t>90</w:t>
    </w:r>
    <w:r>
      <w:rPr>
        <w:rFonts w:ascii="Palatino Linotype" w:eastAsia="Palatino Linotype" w:hAnsi="Palatino Linotype" w:cs="Palatino Linotype"/>
        <w:b/>
        <w:color w:val="000000"/>
        <w:sz w:val="20"/>
        <w:szCs w:val="20"/>
      </w:rPr>
      <w:fldChar w:fldCharType="end"/>
    </w:r>
  </w:p>
  <w:p w14:paraId="2625BFB5" w14:textId="77777777" w:rsidR="00DA3301" w:rsidRDefault="00DA3301">
    <w:pPr>
      <w:pBdr>
        <w:top w:val="nil"/>
        <w:left w:val="nil"/>
        <w:bottom w:val="nil"/>
        <w:right w:val="nil"/>
        <w:between w:val="nil"/>
      </w:pBdr>
      <w:tabs>
        <w:tab w:val="center" w:pos="4252"/>
        <w:tab w:val="right" w:pos="8504"/>
      </w:tabs>
      <w:rPr>
        <w:rFonts w:ascii="Cambria" w:eastAsia="Cambria" w:hAnsi="Cambria" w:cs="Cambria"/>
        <w:color w:val="000000"/>
      </w:rPr>
    </w:pPr>
  </w:p>
  <w:p w14:paraId="11385939" w14:textId="77777777" w:rsidR="00DA3301" w:rsidRDefault="00DA330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D68B43" w14:textId="77777777" w:rsidR="003857A1" w:rsidRDefault="003857A1">
      <w:r>
        <w:separator/>
      </w:r>
    </w:p>
  </w:footnote>
  <w:footnote w:type="continuationSeparator" w:id="0">
    <w:p w14:paraId="58EEA127" w14:textId="77777777" w:rsidR="003857A1" w:rsidRDefault="003857A1">
      <w:r>
        <w:continuationSeparator/>
      </w:r>
    </w:p>
  </w:footnote>
  <w:footnote w:id="1">
    <w:p w14:paraId="4473720B" w14:textId="77777777" w:rsidR="00DA3301" w:rsidRDefault="009C6E35">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libri" w:eastAsia="Calibri" w:hAnsi="Calibri" w:cs="Calibri"/>
          <w:color w:val="000000"/>
          <w:sz w:val="20"/>
          <w:szCs w:val="20"/>
        </w:rPr>
        <w:t xml:space="preserve"> (…)</w:t>
      </w:r>
    </w:p>
  </w:footnote>
  <w:footnote w:id="2">
    <w:p w14:paraId="1BEAE3C5"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 w:id="3">
    <w:p w14:paraId="1D30B2E4"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Al encontrarse en algún supuesto restrictivo, previsto en la normatividad aplicable.</w:t>
      </w:r>
    </w:p>
  </w:footnote>
  <w:footnote w:id="4">
    <w:p w14:paraId="704BA2C0"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59. Los servidores públicos habilitados tendrán las funciones siguientes:</w:t>
      </w:r>
    </w:p>
    <w:p w14:paraId="20AF9C5C"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V. Integrar y presentar al responsable de la Unidad de Transparencia la propuesta de clasificación de información, la cual tendrá los fundamentos y argumentos en que se basa dicha propuesta;</w:t>
      </w:r>
    </w:p>
  </w:footnote>
  <w:footnote w:id="5">
    <w:p w14:paraId="0C0E2B99"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53. Las Unidades de Transparencia tendrán las siguientes funciones:</w:t>
      </w:r>
    </w:p>
    <w:p w14:paraId="16AB4C93"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X. Presentar ante el Comité, el proyecto de clasificación de información;</w:t>
      </w:r>
    </w:p>
  </w:footnote>
  <w:footnote w:id="6">
    <w:p w14:paraId="44A55B86"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49. Los Comités de Transparencia tendrán las siguientes atribuciones:</w:t>
      </w:r>
    </w:p>
    <w:p w14:paraId="16B4FF65"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Confirmar, modificar o revocar las determinaciones que en materia de ampliación del plazo de respuesta, clasificación de la información y declaración de inexistencia o de incompetencia realicen los titulares de las áreas de los sujetos obligados;</w:t>
      </w:r>
    </w:p>
    <w:p w14:paraId="38B685C2"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VIII. Aprobar, modificar o revocar la clasificación de la información;</w:t>
      </w:r>
    </w:p>
  </w:footnote>
  <w:footnote w:id="7">
    <w:p w14:paraId="4D362291" w14:textId="77777777" w:rsidR="00DA3301" w:rsidRDefault="009C6E3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Publicados en el Diario Oficial de la Federación en fecha quince de abril del año dos mil dieciséis, mediante Acuerdo del Consejo Nacional del Sistema Nacional de Transparencia, Acceso a la Información Pública y Protección de Datos Personales.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00B93" w14:textId="77777777" w:rsidR="00DA3301" w:rsidRDefault="00DA3301">
    <w:pPr>
      <w:widowControl w:val="0"/>
      <w:pBdr>
        <w:top w:val="nil"/>
        <w:left w:val="nil"/>
        <w:bottom w:val="nil"/>
        <w:right w:val="nil"/>
        <w:between w:val="nil"/>
      </w:pBdr>
      <w:spacing w:line="276" w:lineRule="auto"/>
      <w:rPr>
        <w:rFonts w:ascii="Calibri" w:eastAsia="Calibri" w:hAnsi="Calibri" w:cs="Calibri"/>
        <w:color w:val="000000"/>
      </w:rPr>
    </w:pPr>
  </w:p>
  <w:tbl>
    <w:tblPr>
      <w:tblStyle w:val="ac"/>
      <w:tblW w:w="5528" w:type="dxa"/>
      <w:tblInd w:w="3686" w:type="dxa"/>
      <w:tblLayout w:type="fixed"/>
      <w:tblLook w:val="0400" w:firstRow="0" w:lastRow="0" w:firstColumn="0" w:lastColumn="0" w:noHBand="0" w:noVBand="1"/>
    </w:tblPr>
    <w:tblGrid>
      <w:gridCol w:w="2552"/>
      <w:gridCol w:w="2976"/>
    </w:tblGrid>
    <w:tr w:rsidR="00DA3301" w14:paraId="4E21D919" w14:textId="77777777">
      <w:tc>
        <w:tcPr>
          <w:tcW w:w="2552" w:type="dxa"/>
          <w:vAlign w:val="center"/>
        </w:tcPr>
        <w:p w14:paraId="1488DB13"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6" w:type="dxa"/>
          <w:vAlign w:val="center"/>
        </w:tcPr>
        <w:p w14:paraId="6149251E" w14:textId="77777777" w:rsidR="00DA3301" w:rsidRDefault="009C6E3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01264/INFOEM/IP/RR/2022 y Acumulados. </w:t>
          </w:r>
        </w:p>
      </w:tc>
    </w:tr>
    <w:tr w:rsidR="00DA3301" w14:paraId="09550DDD" w14:textId="77777777">
      <w:trPr>
        <w:trHeight w:val="228"/>
      </w:trPr>
      <w:tc>
        <w:tcPr>
          <w:tcW w:w="2552" w:type="dxa"/>
          <w:vAlign w:val="center"/>
        </w:tcPr>
        <w:p w14:paraId="03926ED3"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6" w:type="dxa"/>
          <w:vAlign w:val="center"/>
        </w:tcPr>
        <w:p w14:paraId="23B246DB" w14:textId="77777777" w:rsidR="00DA3301" w:rsidRDefault="009C6E3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Metepec</w:t>
          </w:r>
        </w:p>
      </w:tc>
    </w:tr>
    <w:tr w:rsidR="00DA3301" w14:paraId="3BD82B5E" w14:textId="77777777">
      <w:tc>
        <w:tcPr>
          <w:tcW w:w="2552" w:type="dxa"/>
          <w:vAlign w:val="center"/>
        </w:tcPr>
        <w:p w14:paraId="1F0183A5"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6" w:type="dxa"/>
          <w:vAlign w:val="center"/>
        </w:tcPr>
        <w:p w14:paraId="182418CD" w14:textId="77777777" w:rsidR="00DA3301" w:rsidRDefault="009C6E3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6F048625" w14:textId="77777777" w:rsidR="00DA3301" w:rsidRDefault="009C6E35">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rPr>
      <w:drawing>
        <wp:anchor distT="0" distB="0" distL="0" distR="0" simplePos="0" relativeHeight="251658240" behindDoc="1" locked="0" layoutInCell="1" hidden="0" allowOverlap="1" wp14:anchorId="117BB173" wp14:editId="51533330">
          <wp:simplePos x="0" y="0"/>
          <wp:positionH relativeFrom="column">
            <wp:posOffset>0</wp:posOffset>
          </wp:positionH>
          <wp:positionV relativeFrom="paragraph">
            <wp:posOffset>-1249677</wp:posOffset>
          </wp:positionV>
          <wp:extent cx="7635163" cy="9944100"/>
          <wp:effectExtent l="0" t="0" r="0" b="0"/>
          <wp:wrapNone/>
          <wp:docPr id="7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
                  <a:srcRect/>
                  <a:stretch>
                    <a:fillRect/>
                  </a:stretch>
                </pic:blipFill>
                <pic:spPr>
                  <a:xfrm>
                    <a:off x="0" y="0"/>
                    <a:ext cx="7635163" cy="9944100"/>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2FCBA" w14:textId="77777777" w:rsidR="00DA3301" w:rsidRDefault="009C6E35">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r>
      <w:rPr>
        <w:noProof/>
        <w:lang w:val="es-MX"/>
      </w:rPr>
      <w:drawing>
        <wp:anchor distT="0" distB="0" distL="0" distR="0" simplePos="0" relativeHeight="251659264" behindDoc="1" locked="0" layoutInCell="1" hidden="0" allowOverlap="1" wp14:anchorId="7FDF8AEE" wp14:editId="3DE1CC24">
          <wp:simplePos x="0" y="0"/>
          <wp:positionH relativeFrom="column">
            <wp:posOffset>-1013457</wp:posOffset>
          </wp:positionH>
          <wp:positionV relativeFrom="paragraph">
            <wp:posOffset>-372107</wp:posOffset>
          </wp:positionV>
          <wp:extent cx="7635600" cy="9943200"/>
          <wp:effectExtent l="0" t="0" r="0" b="0"/>
          <wp:wrapNone/>
          <wp:docPr id="10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b"/>
      <w:tblW w:w="6238" w:type="dxa"/>
      <w:tblInd w:w="3119" w:type="dxa"/>
      <w:tblLayout w:type="fixed"/>
      <w:tblLook w:val="0400" w:firstRow="0" w:lastRow="0" w:firstColumn="0" w:lastColumn="0" w:noHBand="0" w:noVBand="1"/>
    </w:tblPr>
    <w:tblGrid>
      <w:gridCol w:w="2551"/>
      <w:gridCol w:w="3687"/>
    </w:tblGrid>
    <w:tr w:rsidR="00DA3301" w14:paraId="488D1E1D" w14:textId="77777777">
      <w:tc>
        <w:tcPr>
          <w:tcW w:w="2551" w:type="dxa"/>
          <w:vAlign w:val="center"/>
        </w:tcPr>
        <w:p w14:paraId="47B6463C"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14:paraId="36B13D65"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01264/INFOEM/IP/RR/2022 y Acumulados.</w:t>
          </w:r>
        </w:p>
      </w:tc>
    </w:tr>
    <w:tr w:rsidR="00DA3301" w14:paraId="0ED63330" w14:textId="77777777">
      <w:tc>
        <w:tcPr>
          <w:tcW w:w="2551" w:type="dxa"/>
          <w:vAlign w:val="center"/>
        </w:tcPr>
        <w:p w14:paraId="68C910E1" w14:textId="77777777" w:rsidR="00DA3301" w:rsidRDefault="009C6E35">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687" w:type="dxa"/>
          <w:vAlign w:val="center"/>
        </w:tcPr>
        <w:p w14:paraId="0499797C" w14:textId="77777777" w:rsidR="00DA3301" w:rsidRDefault="00DA3301">
          <w:pPr>
            <w:jc w:val="both"/>
            <w:rPr>
              <w:rFonts w:ascii="Palatino Linotype" w:eastAsia="Palatino Linotype" w:hAnsi="Palatino Linotype" w:cs="Palatino Linotype"/>
              <w:b/>
              <w:sz w:val="22"/>
              <w:szCs w:val="22"/>
            </w:rPr>
          </w:pPr>
        </w:p>
      </w:tc>
    </w:tr>
    <w:tr w:rsidR="00DA3301" w14:paraId="36BBE33D" w14:textId="77777777">
      <w:trPr>
        <w:trHeight w:val="228"/>
      </w:trPr>
      <w:tc>
        <w:tcPr>
          <w:tcW w:w="2551" w:type="dxa"/>
          <w:vAlign w:val="center"/>
        </w:tcPr>
        <w:p w14:paraId="4A766133"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14:paraId="3A7BB42D" w14:textId="77777777" w:rsidR="00DA3301" w:rsidRDefault="009C6E3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Metepec</w:t>
          </w:r>
        </w:p>
      </w:tc>
    </w:tr>
    <w:tr w:rsidR="00DA3301" w14:paraId="162A5505" w14:textId="77777777">
      <w:tc>
        <w:tcPr>
          <w:tcW w:w="2551" w:type="dxa"/>
          <w:vAlign w:val="center"/>
        </w:tcPr>
        <w:p w14:paraId="61095A2C"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14:paraId="3ED540F9" w14:textId="77777777" w:rsidR="00DA3301" w:rsidRDefault="009C6E3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10C5C02" w14:textId="77777777" w:rsidR="00DA3301" w:rsidRDefault="00DA3301">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DA640" w14:textId="77777777" w:rsidR="00DA3301" w:rsidRDefault="009C6E35">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60288" behindDoc="1" locked="0" layoutInCell="1" hidden="0" allowOverlap="1" wp14:anchorId="1A614856" wp14:editId="2120DB1E">
          <wp:simplePos x="0" y="0"/>
          <wp:positionH relativeFrom="column">
            <wp:posOffset>-1080132</wp:posOffset>
          </wp:positionH>
          <wp:positionV relativeFrom="paragraph">
            <wp:posOffset>-488312</wp:posOffset>
          </wp:positionV>
          <wp:extent cx="7809865" cy="10165715"/>
          <wp:effectExtent l="0" t="0" r="0" b="0"/>
          <wp:wrapNone/>
          <wp:docPr id="6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e"/>
      <w:tblW w:w="5953" w:type="dxa"/>
      <w:tblInd w:w="3261" w:type="dxa"/>
      <w:tblLayout w:type="fixed"/>
      <w:tblLook w:val="0400" w:firstRow="0" w:lastRow="0" w:firstColumn="0" w:lastColumn="0" w:noHBand="0" w:noVBand="1"/>
    </w:tblPr>
    <w:tblGrid>
      <w:gridCol w:w="2489"/>
      <w:gridCol w:w="3464"/>
    </w:tblGrid>
    <w:tr w:rsidR="00DA3301" w14:paraId="1642B2C8" w14:textId="77777777">
      <w:tc>
        <w:tcPr>
          <w:tcW w:w="2489" w:type="dxa"/>
          <w:shd w:val="clear" w:color="auto" w:fill="auto"/>
        </w:tcPr>
        <w:p w14:paraId="022FA10C"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14:paraId="7841FAE2" w14:textId="77777777" w:rsidR="00DA3301" w:rsidRDefault="009C6E35">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01974/INFOEM/IP/RR/2022</w:t>
          </w:r>
        </w:p>
      </w:tc>
    </w:tr>
    <w:tr w:rsidR="00DA3301" w14:paraId="710F5A23" w14:textId="77777777">
      <w:trPr>
        <w:trHeight w:val="228"/>
      </w:trPr>
      <w:tc>
        <w:tcPr>
          <w:tcW w:w="2489" w:type="dxa"/>
          <w:shd w:val="clear" w:color="auto" w:fill="auto"/>
          <w:vAlign w:val="center"/>
        </w:tcPr>
        <w:p w14:paraId="17D164D2"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14:paraId="57158EAD" w14:textId="77777777" w:rsidR="00DA3301" w:rsidRDefault="009C6E35">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Metepec</w:t>
          </w:r>
        </w:p>
      </w:tc>
    </w:tr>
    <w:tr w:rsidR="00DA3301" w14:paraId="40D0E438" w14:textId="77777777">
      <w:tc>
        <w:tcPr>
          <w:tcW w:w="2489" w:type="dxa"/>
          <w:shd w:val="clear" w:color="auto" w:fill="auto"/>
          <w:vAlign w:val="center"/>
        </w:tcPr>
        <w:p w14:paraId="7501E201" w14:textId="77777777" w:rsidR="00DA3301" w:rsidRDefault="009C6E35">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14:paraId="644832C7" w14:textId="77777777" w:rsidR="00DA3301" w:rsidRDefault="009C6E35">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28D00FB6" w14:textId="77777777" w:rsidR="00DA3301" w:rsidRDefault="009C6E35">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p w14:paraId="50F78B03" w14:textId="77777777" w:rsidR="00DA3301" w:rsidRDefault="00DA330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A5B595" w14:textId="77777777" w:rsidR="00DA3301" w:rsidRDefault="009C6E35">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r>
      <w:rPr>
        <w:noProof/>
        <w:lang w:val="es-MX"/>
      </w:rPr>
      <w:drawing>
        <wp:anchor distT="0" distB="0" distL="0" distR="0" simplePos="0" relativeHeight="251661312" behindDoc="1" locked="0" layoutInCell="1" hidden="0" allowOverlap="1" wp14:anchorId="0482D981" wp14:editId="2ADEE7E8">
          <wp:simplePos x="0" y="0"/>
          <wp:positionH relativeFrom="column">
            <wp:posOffset>-1080134</wp:posOffset>
          </wp:positionH>
          <wp:positionV relativeFrom="paragraph">
            <wp:posOffset>-550544</wp:posOffset>
          </wp:positionV>
          <wp:extent cx="7809500" cy="11469407"/>
          <wp:effectExtent l="0" t="0" r="0" b="0"/>
          <wp:wrapNone/>
          <wp:docPr id="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7809500" cy="11469407"/>
                  </a:xfrm>
                  <a:prstGeom prst="rect">
                    <a:avLst/>
                  </a:prstGeom>
                  <a:ln/>
                </pic:spPr>
              </pic:pic>
            </a:graphicData>
          </a:graphic>
        </wp:anchor>
      </w:drawing>
    </w:r>
  </w:p>
  <w:tbl>
    <w:tblPr>
      <w:tblStyle w:val="ad"/>
      <w:tblW w:w="5670" w:type="dxa"/>
      <w:tblInd w:w="3261" w:type="dxa"/>
      <w:tblLayout w:type="fixed"/>
      <w:tblLook w:val="0400" w:firstRow="0" w:lastRow="0" w:firstColumn="0" w:lastColumn="0" w:noHBand="0" w:noVBand="1"/>
    </w:tblPr>
    <w:tblGrid>
      <w:gridCol w:w="2551"/>
      <w:gridCol w:w="3119"/>
    </w:tblGrid>
    <w:tr w:rsidR="00DA3301" w14:paraId="035369BA" w14:textId="77777777">
      <w:tc>
        <w:tcPr>
          <w:tcW w:w="2551" w:type="dxa"/>
          <w:shd w:val="clear" w:color="auto" w:fill="auto"/>
          <w:vAlign w:val="center"/>
        </w:tcPr>
        <w:p w14:paraId="0E33DD10"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14:paraId="76B470AC" w14:textId="77777777" w:rsidR="00DA3301" w:rsidRDefault="009C6E35">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01974/INFOEM/IP/RR/2022</w:t>
          </w:r>
        </w:p>
      </w:tc>
    </w:tr>
    <w:tr w:rsidR="00DA3301" w14:paraId="5092C4BE" w14:textId="77777777">
      <w:trPr>
        <w:trHeight w:val="130"/>
      </w:trPr>
      <w:tc>
        <w:tcPr>
          <w:tcW w:w="2551" w:type="dxa"/>
          <w:shd w:val="clear" w:color="auto" w:fill="auto"/>
          <w:vAlign w:val="center"/>
        </w:tcPr>
        <w:p w14:paraId="320BC622"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14:paraId="08BCDDB9" w14:textId="77777777" w:rsidR="00DA3301" w:rsidRDefault="00DA3301">
          <w:pPr>
            <w:jc w:val="both"/>
            <w:rPr>
              <w:rFonts w:ascii="Palatino Linotype" w:eastAsia="Palatino Linotype" w:hAnsi="Palatino Linotype" w:cs="Palatino Linotype"/>
              <w:b/>
              <w:sz w:val="22"/>
              <w:szCs w:val="22"/>
            </w:rPr>
          </w:pPr>
        </w:p>
      </w:tc>
    </w:tr>
    <w:tr w:rsidR="00DA3301" w14:paraId="112378C7" w14:textId="77777777">
      <w:trPr>
        <w:trHeight w:val="228"/>
      </w:trPr>
      <w:tc>
        <w:tcPr>
          <w:tcW w:w="2551" w:type="dxa"/>
          <w:shd w:val="clear" w:color="auto" w:fill="auto"/>
          <w:vAlign w:val="center"/>
        </w:tcPr>
        <w:p w14:paraId="29929241"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14:paraId="77018A4C" w14:textId="77777777" w:rsidR="00DA3301" w:rsidRDefault="009C6E35">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Metepec</w:t>
          </w:r>
        </w:p>
      </w:tc>
    </w:tr>
    <w:tr w:rsidR="00DA3301" w14:paraId="27413F46" w14:textId="77777777">
      <w:tc>
        <w:tcPr>
          <w:tcW w:w="2551" w:type="dxa"/>
          <w:shd w:val="clear" w:color="auto" w:fill="auto"/>
          <w:vAlign w:val="center"/>
        </w:tcPr>
        <w:p w14:paraId="18DD24D1" w14:textId="77777777" w:rsidR="00DA3301" w:rsidRDefault="009C6E3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14:paraId="76DA1414" w14:textId="77777777" w:rsidR="00DA3301" w:rsidRDefault="009C6E35">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0D252B96" w14:textId="77777777" w:rsidR="00DA3301" w:rsidRDefault="00DA3301">
    <w:pPr>
      <w:pBdr>
        <w:top w:val="nil"/>
        <w:left w:val="nil"/>
        <w:bottom w:val="nil"/>
        <w:right w:val="nil"/>
        <w:between w:val="nil"/>
      </w:pBdr>
      <w:tabs>
        <w:tab w:val="center" w:pos="4252"/>
        <w:tab w:val="right" w:pos="8504"/>
      </w:tabs>
      <w:rPr>
        <w:rFonts w:ascii="Cambria" w:eastAsia="Cambria" w:hAnsi="Cambria" w:cs="Cambria"/>
        <w:color w:val="000000"/>
      </w:rPr>
    </w:pPr>
  </w:p>
  <w:p w14:paraId="6605D416" w14:textId="77777777" w:rsidR="00DA3301" w:rsidRDefault="00DA330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B0EDF"/>
    <w:multiLevelType w:val="multilevel"/>
    <w:tmpl w:val="43B001D6"/>
    <w:lvl w:ilvl="0">
      <w:start w:val="1"/>
      <w:numFmt w:val="upperLetter"/>
      <w:lvlText w:val="%1."/>
      <w:lvlJc w:val="left"/>
      <w:pPr>
        <w:ind w:left="1211" w:hanging="360"/>
      </w:pPr>
      <w:rPr>
        <w:b/>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 w15:restartNumberingAfterBreak="0">
    <w:nsid w:val="12004C06"/>
    <w:multiLevelType w:val="multilevel"/>
    <w:tmpl w:val="9CE204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904811"/>
    <w:multiLevelType w:val="multilevel"/>
    <w:tmpl w:val="E5F209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CB40A8"/>
    <w:multiLevelType w:val="multilevel"/>
    <w:tmpl w:val="7C88F8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6D53BA5"/>
    <w:multiLevelType w:val="multilevel"/>
    <w:tmpl w:val="C7CA49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59D4AA4"/>
    <w:multiLevelType w:val="multilevel"/>
    <w:tmpl w:val="5DE6B6D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90429C9"/>
    <w:multiLevelType w:val="multilevel"/>
    <w:tmpl w:val="858266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A1B7A19"/>
    <w:multiLevelType w:val="multilevel"/>
    <w:tmpl w:val="B742E0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75FB72EB"/>
    <w:multiLevelType w:val="multilevel"/>
    <w:tmpl w:val="D7B866D2"/>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8594555"/>
    <w:multiLevelType w:val="multilevel"/>
    <w:tmpl w:val="152458E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8"/>
  </w:num>
  <w:num w:numId="3">
    <w:abstractNumId w:val="9"/>
  </w:num>
  <w:num w:numId="4">
    <w:abstractNumId w:val="0"/>
  </w:num>
  <w:num w:numId="5">
    <w:abstractNumId w:val="6"/>
  </w:num>
  <w:num w:numId="6">
    <w:abstractNumId w:val="1"/>
  </w:num>
  <w:num w:numId="7">
    <w:abstractNumId w:val="5"/>
  </w:num>
  <w:num w:numId="8">
    <w:abstractNumId w:val="2"/>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3301"/>
    <w:rsid w:val="001D2687"/>
    <w:rsid w:val="003857A1"/>
    <w:rsid w:val="007F72E2"/>
    <w:rsid w:val="009C6E35"/>
    <w:rsid w:val="00B0111B"/>
    <w:rsid w:val="00DA330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ADDCB"/>
  <w15:docId w15:val="{D954BEDA-C4FC-4948-88B8-FF2CF0F0B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6A3A"/>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semiHidden/>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uiPriority w:val="9"/>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rsid w:val="003B73CD"/>
    <w:rPr>
      <w:b/>
      <w:bCs/>
      <w:sz w:val="28"/>
      <w:szCs w:val="28"/>
      <w:lang w:val="en-US" w:eastAsia="en-US"/>
    </w:rPr>
  </w:style>
  <w:style w:type="character" w:customStyle="1" w:styleId="Ttulo5Car">
    <w:name w:val="Título 5 Car"/>
    <w:basedOn w:val="Fuentedeprrafopredeter"/>
    <w:link w:val="Ttulo5"/>
    <w:rsid w:val="003B73CD"/>
    <w:rPr>
      <w:b/>
      <w:bCs/>
      <w:i/>
      <w:iCs/>
      <w:sz w:val="26"/>
      <w:szCs w:val="26"/>
      <w:lang w:val="en-US" w:eastAsia="en-US"/>
    </w:rPr>
  </w:style>
  <w:style w:type="character" w:customStyle="1" w:styleId="Ttulo6Car">
    <w:name w:val="Título 6 Car"/>
    <w:basedOn w:val="Fuentedeprrafopredeter"/>
    <w:link w:val="Ttulo6"/>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0">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94565C"/>
    <w:rPr>
      <w:color w:val="605E5C"/>
      <w:shd w:val="clear" w:color="auto" w:fill="E1DFDD"/>
    </w:rPr>
  </w:style>
  <w:style w:type="paragraph" w:customStyle="1" w:styleId="Citas">
    <w:name w:val="Citas"/>
    <w:basedOn w:val="Normal"/>
    <w:qFormat/>
    <w:rsid w:val="00933F6B"/>
    <w:pPr>
      <w:spacing w:before="240" w:after="160" w:line="360" w:lineRule="auto"/>
      <w:ind w:left="851" w:right="851"/>
      <w:jc w:val="both"/>
    </w:pPr>
    <w:rPr>
      <w:rFonts w:ascii="Palatino Linotype" w:eastAsiaTheme="minorHAnsi" w:hAnsi="Palatino Linotype" w:cs="Arial"/>
      <w:i/>
      <w:sz w:val="22"/>
      <w:szCs w:val="22"/>
      <w:lang w:val="es-MX" w:eastAsia="en-US"/>
    </w:r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character" w:customStyle="1" w:styleId="Mencinsinresolver4">
    <w:name w:val="Mención sin resolver4"/>
    <w:basedOn w:val="Fuentedeprrafopredeter"/>
    <w:uiPriority w:val="99"/>
    <w:semiHidden/>
    <w:unhideWhenUsed/>
    <w:rsid w:val="00972EC7"/>
    <w:rPr>
      <w:color w:val="605E5C"/>
      <w:shd w:val="clear" w:color="auto" w:fill="E1DFDD"/>
    </w:rPr>
  </w:style>
  <w:style w:type="character" w:customStyle="1" w:styleId="PuestoCar">
    <w:name w:val="Puesto Car"/>
    <w:basedOn w:val="Fuentedeprrafopredeter"/>
    <w:link w:val="Puesto"/>
    <w:rsid w:val="00E110B3"/>
    <w:rPr>
      <w:b/>
      <w:sz w:val="72"/>
      <w:szCs w:val="72"/>
    </w:rPr>
  </w:style>
  <w:style w:type="character" w:customStyle="1" w:styleId="SubttuloCar">
    <w:name w:val="Subtítulo Car"/>
    <w:basedOn w:val="Fuentedeprrafopredeter"/>
    <w:link w:val="Subttulo"/>
    <w:rsid w:val="00E110B3"/>
    <w:rPr>
      <w:rFonts w:ascii="Georgia" w:eastAsia="Georgia" w:hAnsi="Georgia" w:cs="Georgia"/>
      <w:i/>
      <w:color w:val="666666"/>
      <w:sz w:val="48"/>
      <w:szCs w:val="48"/>
    </w:rPr>
  </w:style>
  <w:style w:type="character" w:customStyle="1" w:styleId="Mencinsinresolver5">
    <w:name w:val="Mención sin resolver5"/>
    <w:basedOn w:val="Fuentedeprrafopredeter"/>
    <w:uiPriority w:val="99"/>
    <w:semiHidden/>
    <w:unhideWhenUsed/>
    <w:rsid w:val="00E110B3"/>
    <w:rPr>
      <w:color w:val="605E5C"/>
      <w:shd w:val="clear" w:color="auto" w:fill="E1DFDD"/>
    </w:r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47" Type="http://schemas.openxmlformats.org/officeDocument/2006/relationships/header" Target="head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2.xml"/><Relationship Id="rId48" Type="http://schemas.openxmlformats.org/officeDocument/2006/relationships/footer" Target="footer4.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4.jp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_rels/header3.xml.rels><?xml version="1.0" encoding="UTF-8" standalone="yes"?>
<Relationships xmlns="http://schemas.openxmlformats.org/package/2006/relationships"><Relationship Id="rId1" Type="http://schemas.openxmlformats.org/officeDocument/2006/relationships/image" Target="media/image35.png"/></Relationships>
</file>

<file path=word/_rels/header4.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6+5R+42RAJP0az/2/d4DtRdB7kA==">AMUW2mW0zvb82NmNDbNspJvSixE9ksmg6G7d8xx6Uh3RteOxzZSZJaWFo/BttxLFUSst1xdF98rP+kOQhca0b2rBKuEWEDyLcKwaFIbXusoLIrzsFCwQ47M5ys43rHeM7B0IwnSrhp5pnZeyIkUoSGuz4MjEaKKuIBvBMkrvOj849yYpE9K6vHMqtvUhSMdwhCkPqV/bdO/O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19848</Words>
  <Characters>109168</Characters>
  <Application>Microsoft Office Word</Application>
  <DocSecurity>0</DocSecurity>
  <Lines>909</Lines>
  <Paragraphs>257</Paragraphs>
  <ScaleCrop>false</ScaleCrop>
  <Company/>
  <LinksUpToDate>false</LinksUpToDate>
  <CharactersWithSpaces>128759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Cuenta Microsoft</cp:lastModifiedBy>
  <cp:revision>6</cp:revision>
  <cp:lastPrinted>2022-05-22T04:54:00Z</cp:lastPrinted>
  <dcterms:created xsi:type="dcterms:W3CDTF">2022-04-06T21:48:00Z</dcterms:created>
  <dcterms:modified xsi:type="dcterms:W3CDTF">2022-06-06T16:58:00Z</dcterms:modified>
</cp:coreProperties>
</file>