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Resolución del Pleno del Instituto de Transparencia, Acceso a la Información Pública y Protección de Datos Personales del Estado de México y Municipios, con domicilio en Metepec, Estado de México, a</w:t>
      </w:r>
      <w:r>
        <w:rPr>
          <w:rFonts w:eastAsia="Palatino Linotype" w:cs="Palatino Linotype"/>
          <w:color w:val="000000"/>
          <w:szCs w:val="24"/>
        </w:rPr>
        <w:t xml:space="preserve"> ocho de marzo de dos mil veintitrés</w:t>
      </w:r>
      <w:r w:rsidRPr="007657CF">
        <w:rPr>
          <w:rFonts w:eastAsia="Palatino Linotype" w:cs="Palatino Linotype"/>
          <w:color w:val="000000"/>
          <w:szCs w:val="24"/>
        </w:rPr>
        <w:t>.</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b/>
          <w:color w:val="000000"/>
          <w:szCs w:val="24"/>
        </w:rPr>
        <w:t>VISTO</w:t>
      </w:r>
      <w:r w:rsidRPr="007657CF">
        <w:rPr>
          <w:rFonts w:eastAsia="Palatino Linotype" w:cs="Palatino Linotype"/>
          <w:color w:val="000000"/>
          <w:szCs w:val="24"/>
        </w:rPr>
        <w:t xml:space="preserve"> el expediente electrónico formado con motivo del recurso de revisión número </w:t>
      </w:r>
      <w:r>
        <w:rPr>
          <w:rFonts w:eastAsia="Palatino Linotype" w:cs="Palatino Linotype"/>
          <w:b/>
          <w:color w:val="000000"/>
          <w:szCs w:val="24"/>
        </w:rPr>
        <w:t>17265/INFOEM/IP/RR/2022</w:t>
      </w:r>
      <w:r w:rsidRPr="007657CF">
        <w:rPr>
          <w:rFonts w:eastAsia="Palatino Linotype" w:cs="Palatino Linotype"/>
          <w:color w:val="000000"/>
          <w:szCs w:val="24"/>
        </w:rPr>
        <w:t xml:space="preserve">, interpuesto por </w:t>
      </w:r>
      <w:r>
        <w:rPr>
          <w:rFonts w:eastAsia="Palatino Linotype" w:cs="Palatino Linotype"/>
          <w:b/>
          <w:bCs/>
          <w:color w:val="000000"/>
          <w:szCs w:val="24"/>
        </w:rPr>
        <w:t>una persona de manera anónima</w:t>
      </w:r>
      <w:r w:rsidRPr="007657CF">
        <w:rPr>
          <w:rFonts w:eastAsia="Palatino Linotype" w:cs="Palatino Linotype"/>
          <w:color w:val="000000"/>
          <w:szCs w:val="24"/>
        </w:rPr>
        <w:t xml:space="preserve">, en lo sucesivo </w:t>
      </w:r>
      <w:r>
        <w:rPr>
          <w:rFonts w:eastAsia="Palatino Linotype" w:cs="Palatino Linotype"/>
          <w:color w:val="000000"/>
          <w:szCs w:val="24"/>
        </w:rPr>
        <w:t>el</w:t>
      </w:r>
      <w:r w:rsidRPr="007657CF">
        <w:rPr>
          <w:rFonts w:eastAsia="Palatino Linotype" w:cs="Palatino Linotype"/>
          <w:color w:val="000000"/>
          <w:szCs w:val="24"/>
        </w:rPr>
        <w:t xml:space="preserve"> </w:t>
      </w:r>
      <w:r w:rsidRPr="007657CF">
        <w:rPr>
          <w:rFonts w:eastAsia="Palatino Linotype" w:cs="Palatino Linotype"/>
          <w:b/>
          <w:color w:val="000000"/>
          <w:szCs w:val="24"/>
        </w:rPr>
        <w:t>Recurrente</w:t>
      </w:r>
      <w:r w:rsidRPr="007657CF">
        <w:rPr>
          <w:rFonts w:eastAsia="Palatino Linotype" w:cs="Palatino Linotype"/>
          <w:color w:val="000000"/>
          <w:szCs w:val="24"/>
        </w:rPr>
        <w:t xml:space="preserve">, en contra de la respuesta del </w:t>
      </w:r>
      <w:r w:rsidRPr="007657CF">
        <w:rPr>
          <w:rFonts w:eastAsia="Palatino Linotype" w:cs="Palatino Linotype"/>
          <w:b/>
          <w:color w:val="000000"/>
          <w:szCs w:val="24"/>
        </w:rPr>
        <w:t xml:space="preserve">Ayuntamiento de </w:t>
      </w:r>
      <w:r>
        <w:rPr>
          <w:rFonts w:eastAsia="Palatino Linotype" w:cs="Palatino Linotype"/>
          <w:b/>
          <w:color w:val="000000"/>
          <w:szCs w:val="24"/>
        </w:rPr>
        <w:t>Timilpan</w:t>
      </w:r>
      <w:r w:rsidRPr="007657CF">
        <w:rPr>
          <w:rFonts w:eastAsia="Palatino Linotype" w:cs="Palatino Linotype"/>
          <w:color w:val="000000"/>
          <w:szCs w:val="24"/>
        </w:rPr>
        <w:t>, en lo subsecuente</w:t>
      </w:r>
      <w:r w:rsidRPr="007657CF">
        <w:rPr>
          <w:rFonts w:eastAsia="Palatino Linotype" w:cs="Palatino Linotype"/>
          <w:b/>
          <w:color w:val="000000"/>
          <w:szCs w:val="24"/>
        </w:rPr>
        <w:t xml:space="preserve"> </w:t>
      </w:r>
      <w:r w:rsidRPr="007657CF">
        <w:rPr>
          <w:rFonts w:eastAsia="Palatino Linotype" w:cs="Palatino Linotype"/>
          <w:color w:val="000000"/>
          <w:szCs w:val="24"/>
        </w:rPr>
        <w:t>el</w:t>
      </w:r>
      <w:r w:rsidRPr="007657CF">
        <w:rPr>
          <w:rFonts w:eastAsia="Palatino Linotype" w:cs="Palatino Linotype"/>
          <w:b/>
          <w:color w:val="000000"/>
          <w:szCs w:val="24"/>
        </w:rPr>
        <w:t xml:space="preserve"> Sujeto Obligado, </w:t>
      </w:r>
      <w:r w:rsidRPr="007657CF">
        <w:rPr>
          <w:rFonts w:eastAsia="Palatino Linotype" w:cs="Palatino Linotype"/>
          <w:color w:val="000000"/>
          <w:szCs w:val="24"/>
        </w:rPr>
        <w:t>se procede a dictar la presente resolución.</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p>
    <w:p w:rsidR="00403A90" w:rsidRPr="007657CF" w:rsidRDefault="00403A90" w:rsidP="00403A90">
      <w:pPr>
        <w:pStyle w:val="Ttulo1"/>
        <w:rPr>
          <w:rFonts w:eastAsia="Palatino Linotype"/>
          <w:lang w:val="es-ES_tradnl"/>
        </w:rPr>
      </w:pPr>
      <w:r w:rsidRPr="007657CF">
        <w:rPr>
          <w:rFonts w:eastAsia="Palatino Linotype"/>
          <w:lang w:val="es-ES_tradnl"/>
        </w:rPr>
        <w:t>A N T E C E D E N T E S</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p>
    <w:p w:rsidR="00403A90" w:rsidRPr="007657CF" w:rsidRDefault="00403A90" w:rsidP="00403A90">
      <w:pPr>
        <w:pStyle w:val="Ttulo2"/>
        <w:rPr>
          <w:rFonts w:eastAsia="Palatino Linotype"/>
        </w:rPr>
      </w:pPr>
      <w:r w:rsidRPr="007657CF">
        <w:rPr>
          <w:rFonts w:eastAsia="Palatino Linotype"/>
        </w:rPr>
        <w:t>PRIMERO. De la Solicitud de Información.</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Con fecha </w:t>
      </w:r>
      <w:r>
        <w:rPr>
          <w:rFonts w:eastAsia="Palatino Linotype" w:cs="Palatino Linotype"/>
          <w:color w:val="000000"/>
          <w:szCs w:val="24"/>
        </w:rPr>
        <w:t>dieciocho de noviembre</w:t>
      </w:r>
      <w:r w:rsidRPr="007657CF">
        <w:rPr>
          <w:rFonts w:eastAsia="Palatino Linotype" w:cs="Palatino Linotype"/>
          <w:color w:val="000000"/>
          <w:szCs w:val="24"/>
        </w:rPr>
        <w:t xml:space="preserve"> </w:t>
      </w:r>
      <w:r>
        <w:rPr>
          <w:rFonts w:eastAsia="Palatino Linotype" w:cs="Palatino Linotype"/>
          <w:color w:val="000000"/>
          <w:szCs w:val="24"/>
        </w:rPr>
        <w:t xml:space="preserve">de </w:t>
      </w:r>
      <w:r w:rsidRPr="007657CF">
        <w:rPr>
          <w:rFonts w:eastAsia="Palatino Linotype" w:cs="Palatino Linotype"/>
          <w:color w:val="000000"/>
          <w:szCs w:val="24"/>
        </w:rPr>
        <w:t xml:space="preserve">dos mil veintidós, </w:t>
      </w:r>
      <w:r>
        <w:rPr>
          <w:rFonts w:eastAsia="Palatino Linotype" w:cs="Palatino Linotype"/>
          <w:color w:val="000000"/>
          <w:szCs w:val="24"/>
        </w:rPr>
        <w:t>el</w:t>
      </w:r>
      <w:r w:rsidRPr="007657CF">
        <w:rPr>
          <w:rFonts w:eastAsia="Palatino Linotype" w:cs="Palatino Linotype"/>
          <w:color w:val="000000"/>
          <w:szCs w:val="24"/>
        </w:rPr>
        <w:t xml:space="preserve"> Recurrente presentó </w:t>
      </w:r>
      <w:r>
        <w:rPr>
          <w:rFonts w:eastAsia="Palatino Linotype" w:cs="Palatino Linotype"/>
          <w:color w:val="000000"/>
          <w:szCs w:val="24"/>
        </w:rPr>
        <w:t xml:space="preserve">solicitud </w:t>
      </w:r>
      <w:bookmarkStart w:id="0" w:name="_GoBack"/>
      <w:bookmarkEnd w:id="0"/>
      <w:r>
        <w:rPr>
          <w:rFonts w:eastAsia="Palatino Linotype" w:cs="Palatino Linotype"/>
          <w:color w:val="000000"/>
          <w:szCs w:val="24"/>
        </w:rPr>
        <w:t xml:space="preserve">de información </w:t>
      </w:r>
      <w:r w:rsidRPr="007657CF">
        <w:rPr>
          <w:rFonts w:eastAsia="Palatino Linotype" w:cs="Palatino Linotype"/>
          <w:color w:val="000000"/>
          <w:szCs w:val="24"/>
        </w:rPr>
        <w:t>registrad</w:t>
      </w:r>
      <w:r>
        <w:rPr>
          <w:rFonts w:eastAsia="Palatino Linotype" w:cs="Palatino Linotype"/>
          <w:color w:val="000000"/>
          <w:szCs w:val="24"/>
        </w:rPr>
        <w:t>a en el</w:t>
      </w:r>
      <w:r w:rsidRPr="007657CF">
        <w:rPr>
          <w:rFonts w:eastAsia="Palatino Linotype" w:cs="Palatino Linotype"/>
          <w:color w:val="000000"/>
          <w:szCs w:val="24"/>
        </w:rPr>
        <w:t xml:space="preserve"> Sistema de Acceso a la Información Mexiquense (SAIMEX) con el número de expediente</w:t>
      </w:r>
      <w:r w:rsidRPr="007657CF">
        <w:rPr>
          <w:rFonts w:eastAsia="Palatino Linotype" w:cs="Palatino Linotype"/>
          <w:b/>
          <w:color w:val="000000"/>
          <w:szCs w:val="24"/>
        </w:rPr>
        <w:t xml:space="preserve"> </w:t>
      </w:r>
      <w:r>
        <w:rPr>
          <w:rFonts w:eastAsia="Palatino Linotype" w:cs="Palatino Linotype"/>
          <w:b/>
          <w:bCs/>
          <w:color w:val="000000"/>
          <w:szCs w:val="24"/>
        </w:rPr>
        <w:t>00076/TIMILPAN/IP/2022</w:t>
      </w:r>
      <w:r w:rsidRPr="007657CF">
        <w:rPr>
          <w:rFonts w:eastAsia="Palatino Linotype" w:cs="Palatino Linotype"/>
          <w:color w:val="000000"/>
          <w:szCs w:val="24"/>
        </w:rPr>
        <w:t>,</w:t>
      </w:r>
      <w:r w:rsidRPr="007657CF">
        <w:rPr>
          <w:rFonts w:eastAsia="Palatino Linotype" w:cs="Palatino Linotype"/>
          <w:b/>
          <w:color w:val="000000"/>
          <w:szCs w:val="24"/>
        </w:rPr>
        <w:t xml:space="preserve"> </w:t>
      </w:r>
      <w:r w:rsidRPr="007657CF">
        <w:rPr>
          <w:rFonts w:eastAsia="Palatino Linotype" w:cs="Palatino Linotype"/>
          <w:color w:val="000000"/>
          <w:szCs w:val="24"/>
        </w:rPr>
        <w:t>mediante la cual solicitó información en el tenor siguiente:</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p>
    <w:p w:rsidR="00403A90" w:rsidRPr="00D318B2" w:rsidRDefault="00403A90" w:rsidP="00403A90">
      <w:pPr>
        <w:pStyle w:val="CitasINFOEM"/>
        <w:rPr>
          <w:lang w:val="es-MX"/>
        </w:rPr>
      </w:pPr>
      <w:r w:rsidRPr="007657CF">
        <w:t>“</w:t>
      </w:r>
      <w:r w:rsidRPr="00403A90">
        <w:t>Solicito los recibos de nomina de quien se desempeña como Síndico Municipal Beatriz Munguia Munguia que contengan sus percepciones, es decir el conjunto de ingresos como sueldo, prestaciones sociales, prestaciones laborales, bonos y horas extras. Sus deducciones, es decir las retenciones del pago del trabajador de acuerdo a lo que establece el ISEMYM y el SAT. Así mismo deberá contener los Datos distintivos del ayuntamiento, nombre completo del trabajador y cargo, el periodo de pago, el detalle de las percepciones salariales ordinarias y extraordinarias, el detalle de las deducciones al salario bruto, la cantidad a recibir, el lugar de emisión y las firmas del tesorero o quien realice el pago, así como del funcionario público que lo recibe y el sello oficial correspondiente.</w:t>
      </w:r>
      <w:r w:rsidRPr="00D318B2">
        <w:rPr>
          <w:lang w:val="es-MX"/>
        </w:rPr>
        <w:t>” (Sic)</w:t>
      </w:r>
    </w:p>
    <w:p w:rsidR="00403A90" w:rsidRPr="007657CF" w:rsidRDefault="00403A90" w:rsidP="00403A90">
      <w:pPr>
        <w:pBdr>
          <w:top w:val="nil"/>
          <w:left w:val="nil"/>
          <w:bottom w:val="nil"/>
          <w:right w:val="nil"/>
          <w:between w:val="nil"/>
        </w:pBdr>
        <w:contextualSpacing/>
        <w:rPr>
          <w:rFonts w:eastAsia="Palatino Linotype" w:cs="Palatino Linotype"/>
          <w:b/>
          <w:color w:val="000000"/>
          <w:szCs w:val="24"/>
        </w:rPr>
      </w:pPr>
      <w:r w:rsidRPr="007657CF">
        <w:rPr>
          <w:rFonts w:eastAsia="Palatino Linotype" w:cs="Palatino Linotype"/>
          <w:color w:val="000000"/>
          <w:szCs w:val="24"/>
        </w:rPr>
        <w:t xml:space="preserve">Modalidad de entrega: </w:t>
      </w:r>
      <w:r w:rsidRPr="007657CF">
        <w:rPr>
          <w:rFonts w:eastAsia="Palatino Linotype" w:cs="Palatino Linotype"/>
          <w:b/>
          <w:color w:val="000000"/>
          <w:szCs w:val="24"/>
        </w:rPr>
        <w:t>A través del SAIMEX</w:t>
      </w:r>
      <w:r>
        <w:rPr>
          <w:rFonts w:eastAsia="Palatino Linotype" w:cs="Palatino Linotype"/>
          <w:color w:val="000000"/>
          <w:szCs w:val="24"/>
        </w:rPr>
        <w:t>.</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p>
    <w:p w:rsidR="00403A90" w:rsidRPr="007657CF" w:rsidRDefault="00403A90" w:rsidP="00403A90">
      <w:pPr>
        <w:pStyle w:val="Ttulo2"/>
        <w:rPr>
          <w:rFonts w:eastAsia="Palatino Linotype"/>
        </w:rPr>
      </w:pPr>
      <w:r w:rsidRPr="007657CF">
        <w:rPr>
          <w:rFonts w:eastAsia="Palatino Linotype"/>
        </w:rPr>
        <w:t>SEGUNDO. De la respuesta del Sujeto Obligado.</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De las constancias que obran en el expediente electrónico, se observa que el día </w:t>
      </w:r>
      <w:r>
        <w:rPr>
          <w:rFonts w:eastAsia="Palatino Linotype" w:cs="Palatino Linotype"/>
          <w:color w:val="000000"/>
          <w:szCs w:val="24"/>
        </w:rPr>
        <w:t xml:space="preserve">trece de diciembre </w:t>
      </w:r>
      <w:r w:rsidRPr="007657CF">
        <w:rPr>
          <w:rFonts w:eastAsia="Palatino Linotype" w:cs="Palatino Linotype"/>
          <w:color w:val="000000"/>
          <w:szCs w:val="24"/>
        </w:rPr>
        <w:t xml:space="preserve">de dos mil veintidós, el </w:t>
      </w:r>
      <w:r w:rsidRPr="00403A90">
        <w:rPr>
          <w:rFonts w:eastAsia="Palatino Linotype" w:cs="Palatino Linotype"/>
          <w:b/>
          <w:color w:val="000000"/>
          <w:szCs w:val="24"/>
        </w:rPr>
        <w:t>Sujeto Obligado</w:t>
      </w:r>
      <w:r w:rsidRPr="007657CF">
        <w:rPr>
          <w:rFonts w:eastAsia="Palatino Linotype" w:cs="Palatino Linotype"/>
          <w:color w:val="000000"/>
          <w:szCs w:val="24"/>
        </w:rPr>
        <w:t xml:space="preserve"> dio respuesta a la solicitud de información manifestando lo siguiente:</w:t>
      </w:r>
    </w:p>
    <w:p w:rsidR="00403A90" w:rsidRPr="00D318B2" w:rsidRDefault="00403A90" w:rsidP="00403A90">
      <w:pPr>
        <w:pBdr>
          <w:top w:val="nil"/>
          <w:left w:val="nil"/>
          <w:bottom w:val="nil"/>
          <w:right w:val="nil"/>
          <w:between w:val="nil"/>
        </w:pBdr>
        <w:contextualSpacing/>
        <w:rPr>
          <w:rFonts w:eastAsia="Palatino Linotype" w:cs="Palatino Linotype"/>
          <w:color w:val="000000"/>
          <w:sz w:val="22"/>
        </w:rPr>
      </w:pPr>
    </w:p>
    <w:p w:rsidR="00403A90" w:rsidRDefault="00403A90" w:rsidP="00403A90">
      <w:pPr>
        <w:pStyle w:val="CitasINFOEM"/>
      </w:pPr>
      <w:r w:rsidRPr="007657CF">
        <w:t>“</w:t>
      </w:r>
      <w:r>
        <w:t>En respuesta a la solicitud recibida, nos permitimos hacer de su conocimiento que con fundamento en el artículo 53, Fracciones: II, V y VI de la Ley de Transparencia y Acceso a la Información Pública del Estado de México y Municipios, le contestamos que:</w:t>
      </w:r>
    </w:p>
    <w:p w:rsidR="00403A90" w:rsidRDefault="00403A90" w:rsidP="00403A90">
      <w:pPr>
        <w:pStyle w:val="CitasINFOEM"/>
      </w:pPr>
      <w:r>
        <w:t xml:space="preserve">Derivado de la solicitud de información 00076/TIMILPAN/IP/2022 remitida por la unidad de transparencia, enviada a ésta área para su respuesta al acuse de la solicitud de fecha 18 de noviembre de los corrientes, realizada por la C. Nolasco Miguel Damaris Yael, Con fundamento en lo dispuesto en el artículo 6 de la constitución Política de los Estados Unidos Mexicanos, 25, 140 fracción IV, 143 fracción I, de la ley de Transparencia Acceso a la Información Pública del Estado de México y Municipios, </w:t>
      </w:r>
      <w:r w:rsidRPr="00403A90">
        <w:rPr>
          <w:b/>
        </w:rPr>
        <w:t>le informo que no es posible contestar dicha solicitud como tal la pide el solicitante, en virtud que el mal uso de dicha información puede afectar directamente la seguridad e integridad física de la persona a quien se refiere en la solicitud de información</w:t>
      </w:r>
      <w:r>
        <w:t>, como consecuencia del nivel de delincuencia e inseguridad en el cual se encuentra el país, Sin embargo en la plataforma de transparencia del municipio de Timilpan, Específicamente el en tabulador de sueldos y salarios puede encontrar información concerniente a las percepciones y como tal se puede visualizar en el siguiente enlace https://www.ipomex.org.mx/ipo3/lgt/indice/TIMILPAN/art_92_viii_b.web</w:t>
      </w:r>
    </w:p>
    <w:p w:rsidR="00403A90" w:rsidRDefault="00403A90" w:rsidP="00403A90">
      <w:pPr>
        <w:pStyle w:val="CitasINFOEM"/>
      </w:pPr>
      <w:r>
        <w:t>ATENTAMENTE</w:t>
      </w:r>
    </w:p>
    <w:p w:rsidR="00403A90" w:rsidRDefault="00403A90" w:rsidP="00403A90">
      <w:pPr>
        <w:pStyle w:val="CitasINFOEM"/>
      </w:pPr>
      <w:r>
        <w:t>LC. ROGELIO DE JESUS RODRIGUEZ</w:t>
      </w:r>
      <w:r w:rsidRPr="007657CF">
        <w:t>” (Sic)</w:t>
      </w:r>
    </w:p>
    <w:p w:rsidR="00403A90" w:rsidRDefault="00403A90" w:rsidP="00403A90"/>
    <w:p w:rsidR="00403A90" w:rsidRPr="007A5CF6" w:rsidRDefault="00403A90" w:rsidP="00403A90">
      <w:pPr>
        <w:rPr>
          <w:lang w:val="es-MX"/>
        </w:rPr>
      </w:pPr>
      <w:r>
        <w:t xml:space="preserve"> </w:t>
      </w:r>
    </w:p>
    <w:p w:rsidR="00403A90" w:rsidRPr="007657CF" w:rsidRDefault="00403A90" w:rsidP="00403A90">
      <w:pPr>
        <w:pStyle w:val="Ttulo2"/>
        <w:rPr>
          <w:rFonts w:eastAsia="Palatino Linotype"/>
        </w:rPr>
      </w:pPr>
      <w:r w:rsidRPr="007657CF">
        <w:rPr>
          <w:rFonts w:eastAsia="Palatino Linotype"/>
        </w:rPr>
        <w:t>TERCERO. Del recurso de revisión.</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Inconforme con la respuesta emitida por el Sujeto Obligado, </w:t>
      </w:r>
      <w:r>
        <w:rPr>
          <w:rFonts w:eastAsia="Palatino Linotype" w:cs="Palatino Linotype"/>
          <w:color w:val="000000"/>
          <w:szCs w:val="24"/>
        </w:rPr>
        <w:t>el</w:t>
      </w:r>
      <w:r w:rsidRPr="007657CF">
        <w:rPr>
          <w:rFonts w:eastAsia="Palatino Linotype" w:cs="Palatino Linotype"/>
          <w:color w:val="000000"/>
          <w:szCs w:val="24"/>
        </w:rPr>
        <w:t xml:space="preserve"> Recurrente interpuso el presente recurso de revisión el día </w:t>
      </w:r>
      <w:r>
        <w:rPr>
          <w:rFonts w:eastAsia="Palatino Linotype" w:cs="Palatino Linotype"/>
          <w:color w:val="000000"/>
          <w:szCs w:val="24"/>
        </w:rPr>
        <w:t xml:space="preserve">trece de diciembre </w:t>
      </w:r>
      <w:r w:rsidRPr="007657CF">
        <w:rPr>
          <w:rFonts w:eastAsia="Palatino Linotype" w:cs="Palatino Linotype"/>
          <w:color w:val="000000"/>
          <w:szCs w:val="24"/>
        </w:rPr>
        <w:t xml:space="preserve">de dos mil veintidós, el cual se registró con el expediente </w:t>
      </w:r>
      <w:r>
        <w:rPr>
          <w:rFonts w:eastAsia="Palatino Linotype" w:cs="Palatino Linotype"/>
          <w:b/>
          <w:color w:val="000000"/>
          <w:szCs w:val="24"/>
        </w:rPr>
        <w:t>17265/INFOEM/IP/RR/2022</w:t>
      </w:r>
      <w:r w:rsidRPr="007657CF">
        <w:rPr>
          <w:rFonts w:eastAsia="Palatino Linotype" w:cs="Palatino Linotype"/>
          <w:color w:val="000000"/>
          <w:szCs w:val="24"/>
        </w:rPr>
        <w:t>, en el cual manifestó lo siguiente:</w:t>
      </w:r>
    </w:p>
    <w:p w:rsidR="00403A90" w:rsidRDefault="00403A90" w:rsidP="00403A90">
      <w:pPr>
        <w:pBdr>
          <w:top w:val="nil"/>
          <w:left w:val="nil"/>
          <w:bottom w:val="nil"/>
          <w:right w:val="nil"/>
          <w:between w:val="nil"/>
        </w:pBdr>
        <w:contextualSpacing/>
        <w:rPr>
          <w:rFonts w:eastAsia="Palatino Linotype" w:cs="Palatino Linotype"/>
          <w:color w:val="000000"/>
          <w:szCs w:val="24"/>
        </w:rPr>
      </w:pPr>
    </w:p>
    <w:p w:rsidR="00403A90" w:rsidRPr="007657CF" w:rsidRDefault="00403A90" w:rsidP="00403A90">
      <w:pPr>
        <w:contextualSpacing/>
        <w:rPr>
          <w:rFonts w:eastAsia="Palatino Linotype" w:cs="Palatino Linotype"/>
          <w:b/>
        </w:rPr>
      </w:pPr>
      <w:r w:rsidRPr="007657CF">
        <w:rPr>
          <w:rFonts w:eastAsia="Palatino Linotype" w:cs="Palatino Linotype"/>
          <w:b/>
        </w:rPr>
        <w:t xml:space="preserve">Acto Impugnado: </w:t>
      </w:r>
    </w:p>
    <w:p w:rsidR="00403A90" w:rsidRPr="00B73E6E" w:rsidRDefault="00403A90" w:rsidP="00403A90">
      <w:pPr>
        <w:pStyle w:val="CitasINFOEM"/>
      </w:pPr>
      <w:r w:rsidRPr="00B73E6E">
        <w:t>“</w:t>
      </w:r>
      <w:r w:rsidRPr="00403A90">
        <w:t>La respuesta otorgada a mi solicitud por parte del ayuntamiento de Timilpan</w:t>
      </w:r>
      <w:r w:rsidRPr="00B73E6E">
        <w:t>"(Sic)</w:t>
      </w:r>
    </w:p>
    <w:p w:rsidR="00403A90" w:rsidRPr="007657CF" w:rsidRDefault="00403A90" w:rsidP="00403A90">
      <w:pPr>
        <w:contextualSpacing/>
        <w:rPr>
          <w:rFonts w:eastAsia="Palatino Linotype" w:cs="Palatino Linotype"/>
          <w:iCs/>
          <w:szCs w:val="24"/>
        </w:rPr>
      </w:pPr>
    </w:p>
    <w:p w:rsidR="00403A90" w:rsidRPr="007657CF" w:rsidRDefault="00403A90" w:rsidP="00403A90">
      <w:pPr>
        <w:contextualSpacing/>
        <w:rPr>
          <w:rFonts w:eastAsia="Palatino Linotype" w:cs="Palatino Linotype"/>
        </w:rPr>
      </w:pPr>
      <w:r w:rsidRPr="007657CF">
        <w:rPr>
          <w:rFonts w:eastAsia="Palatino Linotype" w:cs="Palatino Linotype"/>
          <w:b/>
        </w:rPr>
        <w:t>Razones o Motivos de Inconformidad</w:t>
      </w:r>
      <w:r w:rsidRPr="007657CF">
        <w:rPr>
          <w:rFonts w:eastAsia="Palatino Linotype" w:cs="Palatino Linotype"/>
        </w:rPr>
        <w:t>:</w:t>
      </w:r>
    </w:p>
    <w:p w:rsidR="00403A90" w:rsidRPr="007657CF" w:rsidRDefault="00403A90" w:rsidP="00403A90">
      <w:pPr>
        <w:pStyle w:val="CitasINFOEM"/>
      </w:pPr>
      <w:r w:rsidRPr="007657CF">
        <w:t>“</w:t>
      </w:r>
      <w:r w:rsidRPr="00403A90">
        <w:t>El responsable amparándose falsamente en hechos que no han sucedido y argumentando seguridad no otorga la información que se le requirió, cabe destacar que muchos ciudadanos han solicitado la misma y no se ha atendido debidamente.</w:t>
      </w:r>
      <w:r w:rsidRPr="007657CF">
        <w:t>” (Sic)</w:t>
      </w:r>
    </w:p>
    <w:p w:rsidR="00403A90" w:rsidRPr="00D318B2" w:rsidRDefault="00403A90" w:rsidP="00403A90">
      <w:pPr>
        <w:pBdr>
          <w:top w:val="nil"/>
          <w:left w:val="nil"/>
          <w:bottom w:val="nil"/>
          <w:right w:val="nil"/>
          <w:between w:val="nil"/>
        </w:pBdr>
        <w:contextualSpacing/>
        <w:rPr>
          <w:rFonts w:eastAsia="Palatino Linotype" w:cs="Palatino Linotype"/>
          <w:color w:val="000000"/>
          <w:szCs w:val="24"/>
        </w:rPr>
      </w:pPr>
    </w:p>
    <w:p w:rsidR="00403A90" w:rsidRPr="007657CF" w:rsidRDefault="00403A90" w:rsidP="00403A90">
      <w:pPr>
        <w:pStyle w:val="Ttulo2"/>
        <w:rPr>
          <w:rFonts w:eastAsia="Palatino Linotype"/>
        </w:rPr>
      </w:pPr>
      <w:r w:rsidRPr="007657CF">
        <w:rPr>
          <w:rFonts w:eastAsia="Palatino Linotype"/>
        </w:rPr>
        <w:t>CUARTO. Del turno y admisión del recurso de revisión.</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Medio de impugnación que le fue turnado al </w:t>
      </w:r>
      <w:r w:rsidRPr="007657CF">
        <w:rPr>
          <w:rFonts w:eastAsia="Palatino Linotype" w:cs="Palatino Linotype"/>
          <w:b/>
          <w:color w:val="000000"/>
          <w:szCs w:val="24"/>
        </w:rPr>
        <w:t>Comisionado Presidente José Martínez Vilchis</w:t>
      </w:r>
      <w:r w:rsidRPr="007657CF">
        <w:rPr>
          <w:rFonts w:eastAsia="Palatino Linotype" w:cs="Palatino Linotype"/>
          <w:color w:val="000000"/>
          <w:szCs w:val="24"/>
        </w:rPr>
        <w:t xml:space="preserve">, por medio del sistema electrónico en términos del numeral 185 fracción I de la Ley de Transparencia y Acceso a la información Pública del Estado de México y Municipios, al cual recayó acuerdo de admisión de fecha </w:t>
      </w:r>
      <w:r>
        <w:rPr>
          <w:rFonts w:eastAsia="Palatino Linotype" w:cs="Palatino Linotype"/>
          <w:color w:val="000000"/>
          <w:szCs w:val="24"/>
        </w:rPr>
        <w:t>diecinueve de diciembre</w:t>
      </w:r>
      <w:r w:rsidRPr="007657CF">
        <w:rPr>
          <w:rFonts w:eastAsia="Palatino Linotype" w:cs="Palatino Linotype"/>
          <w:color w:val="000000"/>
          <w:szCs w:val="24"/>
        </w:rPr>
        <w:t xml:space="preserve"> de dos mil veintidós, </w:t>
      </w:r>
      <w:r w:rsidRPr="007657CF">
        <w:rPr>
          <w:rFonts w:eastAsia="Palatino Linotype" w:cs="Palatino Linotype"/>
          <w:szCs w:val="24"/>
        </w:rPr>
        <w:t>otorgándose</w:t>
      </w:r>
      <w:r w:rsidRPr="007657CF">
        <w:rPr>
          <w:rFonts w:eastAsia="Palatino Linotype" w:cs="Palatino Linotype"/>
          <w:color w:val="000000"/>
          <w:szCs w:val="24"/>
        </w:rPr>
        <w:t xml:space="preserve"> en él un plazo de siete días para que las partes manifestaran lo que a su derecho corresponda en términos del numeral ya citado.</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p>
    <w:p w:rsidR="00403A90" w:rsidRPr="007657CF" w:rsidRDefault="00403A90" w:rsidP="00403A90">
      <w:pPr>
        <w:pStyle w:val="Ttulo2"/>
        <w:rPr>
          <w:rFonts w:eastAsia="Palatino Linotype"/>
        </w:rPr>
      </w:pPr>
      <w:r w:rsidRPr="007657CF">
        <w:rPr>
          <w:rFonts w:eastAsia="Palatino Linotype"/>
        </w:rPr>
        <w:t>QUINTO. De la etapa de instrucción.</w:t>
      </w:r>
    </w:p>
    <w:p w:rsidR="00403A90" w:rsidRDefault="00403A90" w:rsidP="00403A90">
      <w:pPr>
        <w:pBdr>
          <w:top w:val="nil"/>
          <w:left w:val="nil"/>
          <w:bottom w:val="nil"/>
          <w:right w:val="nil"/>
          <w:between w:val="nil"/>
        </w:pBdr>
        <w:contextualSpacing/>
        <w:rPr>
          <w:rFonts w:eastAsia="Palatino Linotype" w:cs="Palatino Linotype"/>
          <w:color w:val="000000"/>
          <w:szCs w:val="24"/>
        </w:rPr>
      </w:pPr>
      <w:r w:rsidRPr="00082319">
        <w:rPr>
          <w:rFonts w:eastAsia="Palatino Linotype" w:cs="Palatino Linotype"/>
          <w:color w:val="000000"/>
          <w:szCs w:val="24"/>
        </w:rPr>
        <w:t>Una vez abierta la etapa de instrucción, se observa que el Sujeto Obligado omitió rendir el Informe Justificado c</w:t>
      </w:r>
      <w:r>
        <w:rPr>
          <w:rFonts w:eastAsia="Palatino Linotype" w:cs="Palatino Linotype"/>
          <w:color w:val="000000"/>
          <w:szCs w:val="24"/>
        </w:rPr>
        <w:t>orrespondiente. Por su parte, el</w:t>
      </w:r>
      <w:r w:rsidRPr="00082319">
        <w:rPr>
          <w:rFonts w:eastAsia="Palatino Linotype" w:cs="Palatino Linotype"/>
          <w:color w:val="000000"/>
          <w:szCs w:val="24"/>
        </w:rPr>
        <w:t xml:space="preserve"> Recurrente no presentó manifestaciones, rindió alegatos ni presentó pruebas que a su derecho convinieran.</w:t>
      </w:r>
    </w:p>
    <w:p w:rsidR="00403A90" w:rsidRPr="00DD3A8A" w:rsidRDefault="00403A90" w:rsidP="00403A90">
      <w:pPr>
        <w:rPr>
          <w:rFonts w:cs="Arial"/>
          <w:szCs w:val="24"/>
        </w:rPr>
      </w:pPr>
    </w:p>
    <w:p w:rsidR="00403A90" w:rsidRPr="00DD3A8A" w:rsidRDefault="00403A90" w:rsidP="00403A90">
      <w:pPr>
        <w:rPr>
          <w:rFonts w:cs="Arial"/>
          <w:szCs w:val="24"/>
        </w:rPr>
      </w:pPr>
      <w:r w:rsidRPr="00DD3A8A">
        <w:rPr>
          <w:rFonts w:cs="Arial"/>
          <w:szCs w:val="24"/>
        </w:rPr>
        <w:t>Así mismo, se aprecia que no se llevaron a cabo audiencias durante la sustanciación del recurso de revisión, ni se of</w:t>
      </w:r>
      <w:r>
        <w:rPr>
          <w:rFonts w:cs="Arial"/>
          <w:szCs w:val="24"/>
        </w:rPr>
        <w:t>recieron pruebas por parte del</w:t>
      </w:r>
      <w:r w:rsidRPr="00DD3A8A">
        <w:rPr>
          <w:rFonts w:cs="Arial"/>
          <w:szCs w:val="24"/>
        </w:rPr>
        <w:t xml:space="preserve"> </w:t>
      </w:r>
      <w:r w:rsidRPr="00DD3A8A">
        <w:rPr>
          <w:rFonts w:cs="Arial"/>
          <w:b/>
          <w:szCs w:val="24"/>
        </w:rPr>
        <w:t>Recurrente</w:t>
      </w:r>
      <w:r w:rsidRPr="00DD3A8A">
        <w:rPr>
          <w:rFonts w:cs="Arial"/>
          <w:szCs w:val="24"/>
        </w:rPr>
        <w:t xml:space="preserve">; todo lo anterior en </w:t>
      </w:r>
      <w:r w:rsidRPr="00DD3A8A">
        <w:rPr>
          <w:rFonts w:cs="Arial"/>
          <w:szCs w:val="24"/>
        </w:rPr>
        <w:lastRenderedPageBreak/>
        <w:t>términos de los artículos 185 fracciones II y IV, y 195 de la Ley de Transparencia y Acceso a la Información Pública del Estado de México y Municipios</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p>
    <w:p w:rsidR="00403A90" w:rsidRPr="007657CF" w:rsidRDefault="00403A90" w:rsidP="00403A90">
      <w:pPr>
        <w:pStyle w:val="Ttulo2"/>
        <w:rPr>
          <w:rFonts w:eastAsia="Palatino Linotype"/>
        </w:rPr>
      </w:pPr>
      <w:r w:rsidRPr="007657CF">
        <w:rPr>
          <w:rFonts w:eastAsia="Palatino Linotype"/>
        </w:rPr>
        <w:t>SEXTO. Del cierre de instrucción.</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T</w:t>
      </w:r>
      <w:r w:rsidRPr="007657CF">
        <w:rPr>
          <w:rFonts w:eastAsia="Palatino Linotype" w:cs="Palatino Linotype"/>
          <w:color w:val="000000"/>
          <w:szCs w:val="24"/>
        </w:rPr>
        <w:t xml:space="preserve">ranscurrido el término legal, se decretó el cierre de instrucción en fecha </w:t>
      </w:r>
      <w:r>
        <w:rPr>
          <w:rFonts w:eastAsia="Palatino Linotype" w:cs="Palatino Linotype"/>
          <w:color w:val="000000"/>
          <w:szCs w:val="24"/>
        </w:rPr>
        <w:t>veinte de enero de dos mil veintitrés</w:t>
      </w:r>
      <w:r w:rsidRPr="007657CF">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p>
    <w:p w:rsidR="00403A90" w:rsidRPr="007657CF" w:rsidRDefault="00403A90" w:rsidP="00403A90">
      <w:pPr>
        <w:pStyle w:val="Ttulo2"/>
        <w:rPr>
          <w:rFonts w:eastAsiaTheme="minorHAnsi"/>
          <w:lang w:eastAsia="en-US"/>
        </w:rPr>
      </w:pPr>
      <w:r w:rsidRPr="007657CF">
        <w:rPr>
          <w:rFonts w:eastAsiaTheme="minorHAnsi"/>
          <w:lang w:eastAsia="en-US"/>
        </w:rPr>
        <w:t>SÉPTIMO. De la ampliación del término para resolver.</w:t>
      </w:r>
    </w:p>
    <w:p w:rsidR="00403A90" w:rsidRPr="007657CF" w:rsidRDefault="00403A90" w:rsidP="00403A90">
      <w:pPr>
        <w:rPr>
          <w:rFonts w:eastAsiaTheme="minorHAnsi" w:cstheme="minorBidi"/>
          <w:szCs w:val="24"/>
          <w:lang w:eastAsia="en-US"/>
        </w:rPr>
      </w:pPr>
      <w:r w:rsidRPr="007657CF">
        <w:rPr>
          <w:rFonts w:eastAsiaTheme="minorHAnsi" w:cstheme="minorBidi"/>
          <w:szCs w:val="24"/>
          <w:lang w:eastAsia="en-US"/>
        </w:rPr>
        <w:t xml:space="preserve">En </w:t>
      </w:r>
      <w:r>
        <w:rPr>
          <w:rFonts w:eastAsiaTheme="minorHAnsi" w:cstheme="minorBidi"/>
          <w:szCs w:val="24"/>
          <w:lang w:eastAsia="en-US"/>
        </w:rPr>
        <w:t xml:space="preserve">fecha </w:t>
      </w:r>
      <w:r w:rsidR="00392715">
        <w:rPr>
          <w:rFonts w:eastAsiaTheme="minorHAnsi" w:cstheme="minorBidi"/>
          <w:szCs w:val="24"/>
          <w:lang w:eastAsia="en-US"/>
        </w:rPr>
        <w:t>diecisiete de febrero de dos mil veintitrés</w:t>
      </w:r>
      <w:r w:rsidRPr="007657CF">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rsidR="00403A90" w:rsidRPr="007657CF" w:rsidRDefault="00403A90" w:rsidP="00403A90">
      <w:pPr>
        <w:rPr>
          <w:rFonts w:eastAsiaTheme="minorHAnsi" w:cstheme="minorBidi"/>
          <w:szCs w:val="24"/>
          <w:lang w:eastAsia="en-US"/>
        </w:rPr>
      </w:pP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Este organismo garante no pasa por alto justificar, </w:t>
      </w:r>
      <w:r w:rsidRPr="007657CF">
        <w:rPr>
          <w:rFonts w:eastAsiaTheme="minorHAnsi" w:cstheme="minorBidi"/>
          <w:bCs/>
          <w:szCs w:val="24"/>
          <w:lang w:eastAsia="en-US"/>
        </w:rPr>
        <w:t xml:space="preserve">que el plazo para emitir resolución en el presente asunto </w:t>
      </w:r>
      <w:r w:rsidRPr="007657CF">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lastRenderedPageBreak/>
        <w:t xml:space="preserve">Por ello, es menester precisar que, si bien se ha excedido el plazo para resolver el presente medio de impugnación, de conformidad con la ley de la materia, </w:t>
      </w:r>
      <w:r w:rsidRPr="007657CF">
        <w:rPr>
          <w:rFonts w:eastAsiaTheme="minorHAnsi" w:cstheme="minorBidi"/>
          <w:bCs/>
          <w:szCs w:val="24"/>
          <w:lang w:eastAsia="en-US"/>
        </w:rPr>
        <w:t>el plazo para emitir resolución</w:t>
      </w:r>
      <w:r w:rsidRPr="007657CF">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p>
    <w:p w:rsidR="00403A90" w:rsidRPr="007657CF" w:rsidRDefault="00403A90" w:rsidP="00403A90">
      <w:pPr>
        <w:pStyle w:val="Prrafodelista"/>
        <w:numPr>
          <w:ilvl w:val="0"/>
          <w:numId w:val="2"/>
        </w:numPr>
        <w:pBdr>
          <w:top w:val="nil"/>
          <w:left w:val="nil"/>
          <w:bottom w:val="nil"/>
          <w:right w:val="nil"/>
          <w:between w:val="nil"/>
        </w:pBdr>
        <w:contextualSpacing/>
        <w:rPr>
          <w:rFonts w:eastAsiaTheme="minorHAnsi" w:cstheme="minorBidi"/>
          <w:lang w:val="es-ES_tradnl" w:eastAsia="en-US"/>
        </w:rPr>
      </w:pPr>
      <w:r w:rsidRPr="00392715">
        <w:rPr>
          <w:rFonts w:eastAsiaTheme="minorHAnsi" w:cstheme="minorBidi"/>
          <w:b/>
          <w:lang w:val="es-ES_tradnl" w:eastAsia="en-US"/>
        </w:rPr>
        <w:t>Complejidad del asunto:</w:t>
      </w:r>
      <w:r w:rsidRPr="007657CF">
        <w:rPr>
          <w:rFonts w:eastAsiaTheme="minorHAnsi" w:cstheme="minorBidi"/>
          <w:lang w:val="es-ES_tradnl" w:eastAsia="en-US"/>
        </w:rPr>
        <w:t xml:space="preserve"> La complejidad de la prueba, la pluralidad de sujetos procesales, el tiempo transcurrido, las características y contexto del recurso.</w:t>
      </w:r>
    </w:p>
    <w:p w:rsidR="00403A90" w:rsidRPr="007657CF" w:rsidRDefault="00403A90" w:rsidP="00403A90">
      <w:pPr>
        <w:pStyle w:val="Prrafodelista"/>
        <w:numPr>
          <w:ilvl w:val="0"/>
          <w:numId w:val="2"/>
        </w:numPr>
        <w:pBdr>
          <w:top w:val="nil"/>
          <w:left w:val="nil"/>
          <w:bottom w:val="nil"/>
          <w:right w:val="nil"/>
          <w:between w:val="nil"/>
        </w:pBdr>
        <w:contextualSpacing/>
        <w:rPr>
          <w:rFonts w:eastAsiaTheme="minorHAnsi" w:cstheme="minorBidi"/>
          <w:lang w:val="es-ES_tradnl" w:eastAsia="en-US"/>
        </w:rPr>
      </w:pPr>
      <w:r w:rsidRPr="00392715">
        <w:rPr>
          <w:rFonts w:eastAsiaTheme="minorHAnsi" w:cstheme="minorBidi"/>
          <w:b/>
          <w:lang w:val="es-ES_tradnl" w:eastAsia="en-US"/>
        </w:rPr>
        <w:t>Actividad Procesal del interesado:</w:t>
      </w:r>
      <w:r w:rsidRPr="007657CF">
        <w:rPr>
          <w:rFonts w:eastAsiaTheme="minorHAnsi" w:cstheme="minorBidi"/>
          <w:lang w:val="es-ES_tradnl" w:eastAsia="en-US"/>
        </w:rPr>
        <w:t xml:space="preserve"> Acciones u omisiones del interesado.</w:t>
      </w:r>
    </w:p>
    <w:p w:rsidR="00403A90" w:rsidRPr="007657CF" w:rsidRDefault="00403A90" w:rsidP="00403A90">
      <w:pPr>
        <w:pStyle w:val="Prrafodelista"/>
        <w:numPr>
          <w:ilvl w:val="0"/>
          <w:numId w:val="2"/>
        </w:numPr>
        <w:pBdr>
          <w:top w:val="nil"/>
          <w:left w:val="nil"/>
          <w:bottom w:val="nil"/>
          <w:right w:val="nil"/>
          <w:between w:val="nil"/>
        </w:pBdr>
        <w:contextualSpacing/>
        <w:rPr>
          <w:rFonts w:eastAsiaTheme="minorHAnsi" w:cstheme="minorBidi"/>
          <w:lang w:val="es-ES_tradnl" w:eastAsia="en-US"/>
        </w:rPr>
      </w:pPr>
      <w:r w:rsidRPr="00392715">
        <w:rPr>
          <w:rFonts w:eastAsiaTheme="minorHAnsi" w:cstheme="minorBidi"/>
          <w:b/>
          <w:lang w:val="es-ES_tradnl" w:eastAsia="en-US"/>
        </w:rPr>
        <w:lastRenderedPageBreak/>
        <w:t>Conducta de la Autoridad:</w:t>
      </w:r>
      <w:r w:rsidRPr="007657CF">
        <w:rPr>
          <w:rFonts w:eastAsiaTheme="minorHAnsi" w:cstheme="minorBidi"/>
          <w:lang w:val="es-ES_tradnl" w:eastAsia="en-US"/>
        </w:rPr>
        <w:t xml:space="preserve"> Las Acciones u omisiones realizadas en el procedimiento. Así como si la autoridad actuó con la debida diligencia.</w:t>
      </w:r>
    </w:p>
    <w:p w:rsidR="00403A90" w:rsidRPr="007657CF" w:rsidRDefault="00403A90" w:rsidP="00403A90">
      <w:pPr>
        <w:pStyle w:val="Prrafodelista"/>
        <w:numPr>
          <w:ilvl w:val="0"/>
          <w:numId w:val="2"/>
        </w:numPr>
        <w:pBdr>
          <w:top w:val="nil"/>
          <w:left w:val="nil"/>
          <w:bottom w:val="nil"/>
          <w:right w:val="nil"/>
          <w:between w:val="nil"/>
        </w:pBdr>
        <w:contextualSpacing/>
        <w:rPr>
          <w:rFonts w:eastAsiaTheme="minorHAnsi" w:cstheme="minorBidi"/>
          <w:lang w:val="es-ES_tradnl" w:eastAsia="en-US"/>
        </w:rPr>
      </w:pPr>
      <w:r w:rsidRPr="00392715">
        <w:rPr>
          <w:rFonts w:eastAsiaTheme="minorHAnsi" w:cstheme="minorBidi"/>
          <w:b/>
          <w:lang w:val="es-ES_tradnl" w:eastAsia="en-US"/>
        </w:rPr>
        <w:t>La afectación generada en la situación jurídica de la persona involucrada en el proceso:</w:t>
      </w:r>
      <w:r w:rsidRPr="007657CF">
        <w:rPr>
          <w:rFonts w:eastAsiaTheme="minorHAnsi" w:cstheme="minorBidi"/>
          <w:lang w:val="es-ES_tradnl" w:eastAsia="en-US"/>
        </w:rPr>
        <w:t xml:space="preserve"> Violación a sus derechos humanos.</w:t>
      </w: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7657CF">
        <w:rPr>
          <w:rFonts w:eastAsiaTheme="minorHAnsi" w:cstheme="minorBidi"/>
          <w:szCs w:val="24"/>
          <w:lang w:eastAsia="en-US"/>
        </w:rPr>
        <w:lastRenderedPageBreak/>
        <w:t>extensión de los escritos y pruebas aportadas y desahogadas por las partes; lo que impide la tramitación de los recursos dentro de los términos legales previamente establecidos por la Ley, por tratarse de causas de fuerza mayor.</w:t>
      </w: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w:t>
      </w:r>
      <w:r w:rsidRPr="00392715">
        <w:rPr>
          <w:rFonts w:eastAsiaTheme="minorHAnsi" w:cstheme="minorBidi"/>
          <w:b/>
          <w:szCs w:val="24"/>
          <w:lang w:eastAsia="en-US"/>
        </w:rPr>
        <w:t>PLAZO RAZONABLE PARA RESOLVER. DIMENSIÓN Y EFECTOS DE ESTE CONCEPTO CUANDO SE ADUCE EXCESIVA CARGA DE TRABAJO.”</w:t>
      </w:r>
      <w:r w:rsidRPr="007657CF">
        <w:rPr>
          <w:rFonts w:eastAsiaTheme="minorHAnsi" w:cstheme="minorBidi"/>
          <w:szCs w:val="24"/>
          <w:lang w:eastAsia="en-US"/>
        </w:rPr>
        <w:t xml:space="preserve"> consultable en el Seminario Judicial de la Federación y su gaceta, con el registro digital 2002351.</w:t>
      </w: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w:t>
      </w:r>
      <w:r w:rsidRPr="00392715">
        <w:rPr>
          <w:rFonts w:eastAsiaTheme="minorHAnsi" w:cstheme="minorBidi"/>
          <w:b/>
          <w:szCs w:val="24"/>
          <w:lang w:eastAsia="en-US"/>
        </w:rPr>
        <w:t>PLAZO RAZONABLE PARA RESOLVER. CONCEPTO Y ELEMENTOS QUE LO INTEGRAN A LA LUZ DEL DERECHO INTERNACIONAL DE LOS DERECHOS HUMANOS.”,</w:t>
      </w:r>
      <w:r w:rsidRPr="007657CF">
        <w:rPr>
          <w:rFonts w:eastAsiaTheme="minorHAnsi" w:cstheme="minorBidi"/>
          <w:szCs w:val="24"/>
          <w:lang w:eastAsia="en-US"/>
        </w:rPr>
        <w:t xml:space="preserve"> visible en el Seminario Judicial de la Federación y su gaceta, con el registro digital 2002350.</w:t>
      </w: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p>
    <w:p w:rsidR="00403A90" w:rsidRPr="007657CF" w:rsidRDefault="00403A90" w:rsidP="00403A90">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p>
    <w:p w:rsidR="00403A90" w:rsidRPr="007657CF" w:rsidRDefault="00403A90" w:rsidP="00403A90">
      <w:pPr>
        <w:pStyle w:val="Ttulo1"/>
        <w:rPr>
          <w:rFonts w:eastAsia="Palatino Linotype"/>
          <w:lang w:val="es-ES_tradnl"/>
        </w:rPr>
      </w:pPr>
      <w:r w:rsidRPr="007657CF">
        <w:rPr>
          <w:rFonts w:eastAsia="Palatino Linotype"/>
          <w:lang w:val="es-ES_tradnl"/>
        </w:rPr>
        <w:t>C O N S I D E R A N D O</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p>
    <w:p w:rsidR="00403A90" w:rsidRPr="007657CF" w:rsidRDefault="00403A90" w:rsidP="00403A90">
      <w:pPr>
        <w:pStyle w:val="Ttulo2"/>
        <w:rPr>
          <w:rFonts w:eastAsia="Palatino Linotype"/>
        </w:rPr>
      </w:pPr>
      <w:r w:rsidRPr="007657CF">
        <w:rPr>
          <w:rFonts w:eastAsia="Palatino Linotype"/>
        </w:rPr>
        <w:lastRenderedPageBreak/>
        <w:t>PRIMERO. De la competencia.</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p>
    <w:p w:rsidR="00392715" w:rsidRPr="002C3EC8" w:rsidRDefault="00392715" w:rsidP="00392715">
      <w:pPr>
        <w:pStyle w:val="Prrafodelista"/>
        <w:autoSpaceDE w:val="0"/>
        <w:autoSpaceDN w:val="0"/>
        <w:adjustRightInd w:val="0"/>
        <w:spacing w:before="240" w:after="160"/>
        <w:rPr>
          <w:rFonts w:cs="Arial"/>
          <w:b/>
        </w:rPr>
      </w:pPr>
      <w:r w:rsidRPr="002C3EC8">
        <w:rPr>
          <w:rFonts w:cs="Arial"/>
          <w:b/>
          <w:sz w:val="28"/>
        </w:rPr>
        <w:t>SEGUNDO</w:t>
      </w:r>
      <w:r w:rsidRPr="002C3EC8">
        <w:rPr>
          <w:rFonts w:cs="Arial"/>
          <w:b/>
        </w:rPr>
        <w:t xml:space="preserve">. </w:t>
      </w:r>
      <w:r w:rsidRPr="007E6A08">
        <w:rPr>
          <w:rFonts w:cs="Arial"/>
          <w:b/>
          <w:sz w:val="28"/>
        </w:rPr>
        <w:t>De</w:t>
      </w:r>
      <w:r>
        <w:rPr>
          <w:rFonts w:cs="Arial"/>
          <w:b/>
          <w:sz w:val="28"/>
          <w:szCs w:val="28"/>
        </w:rPr>
        <w:t xml:space="preserve"> los alcances del</w:t>
      </w:r>
      <w:r w:rsidRPr="002C3EC8">
        <w:rPr>
          <w:rFonts w:cs="Arial"/>
          <w:b/>
          <w:sz w:val="28"/>
          <w:szCs w:val="28"/>
        </w:rPr>
        <w:t xml:space="preserve"> recurso de revisión.</w:t>
      </w:r>
      <w:r w:rsidRPr="002C3EC8">
        <w:rPr>
          <w:rFonts w:cs="Arial"/>
          <w:b/>
        </w:rPr>
        <w:t xml:space="preserve"> </w:t>
      </w:r>
    </w:p>
    <w:p w:rsidR="00392715" w:rsidRDefault="00392715" w:rsidP="00392715">
      <w:pPr>
        <w:pStyle w:val="Prrafodelista"/>
        <w:autoSpaceDE w:val="0"/>
        <w:autoSpaceDN w:val="0"/>
        <w:adjustRightInd w:val="0"/>
        <w:spacing w:before="240" w:after="160"/>
        <w:rPr>
          <w:rFonts w:cs="Arial"/>
        </w:rPr>
      </w:pPr>
      <w:r w:rsidRPr="002C3EC8">
        <w:rPr>
          <w:rFonts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92715" w:rsidRPr="005363E2" w:rsidRDefault="00392715" w:rsidP="00392715">
      <w:pPr>
        <w:pStyle w:val="Prrafodelista"/>
        <w:autoSpaceDE w:val="0"/>
        <w:autoSpaceDN w:val="0"/>
        <w:adjustRightInd w:val="0"/>
        <w:spacing w:before="240" w:after="160"/>
        <w:rPr>
          <w:rFonts w:cs="Arial"/>
          <w:lang w:val="es-MX"/>
        </w:rPr>
      </w:pPr>
      <w:r w:rsidRPr="005363E2">
        <w:rPr>
          <w:rFonts w:cs="Arial"/>
          <w:lang w:val="es-MX"/>
        </w:rPr>
        <w:lastRenderedPageBreak/>
        <w:t>El Recurso de Revisión en estudio contiene los elementos normativos de validez exigidos en la Ley de Transparencia y Acceso a la Información Pública del Estado de México y Municipios, establecidos en el artículo 180 que enuncia:</w:t>
      </w:r>
    </w:p>
    <w:p w:rsidR="00392715" w:rsidRPr="005363E2" w:rsidRDefault="00392715" w:rsidP="00392715">
      <w:pPr>
        <w:pStyle w:val="Prrafodelista"/>
        <w:autoSpaceDE w:val="0"/>
        <w:autoSpaceDN w:val="0"/>
        <w:adjustRightInd w:val="0"/>
        <w:spacing w:before="240" w:after="160"/>
        <w:ind w:left="1134"/>
        <w:rPr>
          <w:rFonts w:cs="Arial"/>
          <w:i/>
          <w:sz w:val="22"/>
          <w:lang w:val="es-MX"/>
        </w:rPr>
      </w:pPr>
      <w:r w:rsidRPr="005363E2">
        <w:rPr>
          <w:rFonts w:cs="Arial"/>
          <w:i/>
          <w:sz w:val="22"/>
          <w:lang w:val="es-MX"/>
        </w:rPr>
        <w:t xml:space="preserve">“Artículo 180. El recurso de revisión contendrá: </w:t>
      </w:r>
    </w:p>
    <w:p w:rsidR="00392715" w:rsidRPr="005363E2" w:rsidRDefault="00392715" w:rsidP="00392715">
      <w:pPr>
        <w:autoSpaceDE w:val="0"/>
        <w:autoSpaceDN w:val="0"/>
        <w:adjustRightInd w:val="0"/>
        <w:spacing w:line="240" w:lineRule="auto"/>
        <w:ind w:left="1134"/>
        <w:rPr>
          <w:rFonts w:eastAsia="Times New Roman" w:cs="Arial"/>
          <w:i/>
          <w:szCs w:val="24"/>
          <w:lang w:eastAsia="es-ES"/>
        </w:rPr>
      </w:pPr>
      <w:r w:rsidRPr="005363E2">
        <w:rPr>
          <w:rFonts w:eastAsia="Times New Roman" w:cs="Arial"/>
          <w:i/>
          <w:szCs w:val="24"/>
          <w:lang w:eastAsia="es-ES"/>
        </w:rPr>
        <w:t xml:space="preserve">I. El sujeto obligado ante la cual se presentó la solicitud; </w:t>
      </w:r>
    </w:p>
    <w:p w:rsidR="00392715" w:rsidRPr="005363E2" w:rsidRDefault="00392715" w:rsidP="00392715">
      <w:pPr>
        <w:autoSpaceDE w:val="0"/>
        <w:autoSpaceDN w:val="0"/>
        <w:adjustRightInd w:val="0"/>
        <w:spacing w:line="240" w:lineRule="auto"/>
        <w:ind w:left="1134" w:right="567"/>
        <w:rPr>
          <w:rFonts w:eastAsia="Times New Roman" w:cs="Arial"/>
          <w:i/>
          <w:szCs w:val="24"/>
          <w:lang w:eastAsia="es-ES"/>
        </w:rPr>
      </w:pPr>
      <w:r w:rsidRPr="005363E2">
        <w:rPr>
          <w:rFonts w:eastAsia="Times New Roman" w:cs="Arial"/>
          <w:b/>
          <w:i/>
          <w:szCs w:val="24"/>
          <w:lang w:eastAsia="es-ES"/>
        </w:rPr>
        <w:t>II. El nombre del solicitante que recurre</w:t>
      </w:r>
      <w:r w:rsidRPr="005363E2">
        <w:rPr>
          <w:rFonts w:eastAsia="Times New Roman" w:cs="Arial"/>
          <w:i/>
          <w:szCs w:val="24"/>
          <w:lang w:eastAsia="es-ES"/>
        </w:rPr>
        <w:t xml:space="preserve"> o de su representante y, en su caso, del tercero interesado, así como la dirección o medio que señale para recibir notificaciones;</w:t>
      </w:r>
    </w:p>
    <w:p w:rsidR="00392715" w:rsidRPr="005363E2" w:rsidRDefault="00392715" w:rsidP="00392715">
      <w:pPr>
        <w:autoSpaceDE w:val="0"/>
        <w:autoSpaceDN w:val="0"/>
        <w:adjustRightInd w:val="0"/>
        <w:spacing w:line="240" w:lineRule="auto"/>
        <w:ind w:left="1134"/>
        <w:rPr>
          <w:rFonts w:eastAsia="Times New Roman" w:cs="Arial"/>
          <w:i/>
          <w:szCs w:val="24"/>
          <w:lang w:eastAsia="es-ES"/>
        </w:rPr>
      </w:pPr>
      <w:r w:rsidRPr="005363E2">
        <w:rPr>
          <w:rFonts w:eastAsia="Times New Roman" w:cs="Arial"/>
          <w:i/>
          <w:szCs w:val="24"/>
          <w:lang w:eastAsia="es-ES"/>
        </w:rPr>
        <w:t>III. El número de folio de respuesta de la solicitud de acceso;</w:t>
      </w:r>
    </w:p>
    <w:p w:rsidR="00392715" w:rsidRPr="005363E2" w:rsidRDefault="00392715" w:rsidP="00392715">
      <w:pPr>
        <w:autoSpaceDE w:val="0"/>
        <w:autoSpaceDN w:val="0"/>
        <w:adjustRightInd w:val="0"/>
        <w:spacing w:line="240" w:lineRule="auto"/>
        <w:ind w:left="1134" w:right="567"/>
        <w:rPr>
          <w:rFonts w:eastAsia="Times New Roman" w:cs="Arial"/>
          <w:i/>
          <w:szCs w:val="24"/>
          <w:lang w:eastAsia="es-ES"/>
        </w:rPr>
      </w:pPr>
      <w:r w:rsidRPr="005363E2">
        <w:rPr>
          <w:rFonts w:eastAsia="Times New Roman" w:cs="Arial"/>
          <w:i/>
          <w:szCs w:val="24"/>
          <w:lang w:eastAsia="es-ES"/>
        </w:rPr>
        <w:t>IV. La fecha en que fue notificada la respuesta al solicitante o tuvo conocimiento del acto reclamado, o de presentación de la solicitud, en caso de falta de respuesta;</w:t>
      </w:r>
    </w:p>
    <w:p w:rsidR="00392715" w:rsidRPr="005363E2" w:rsidRDefault="00392715" w:rsidP="00392715">
      <w:pPr>
        <w:autoSpaceDE w:val="0"/>
        <w:autoSpaceDN w:val="0"/>
        <w:adjustRightInd w:val="0"/>
        <w:spacing w:line="240" w:lineRule="auto"/>
        <w:ind w:left="1134" w:right="567"/>
        <w:rPr>
          <w:rFonts w:eastAsia="Times New Roman" w:cs="Arial"/>
          <w:i/>
          <w:szCs w:val="24"/>
          <w:lang w:eastAsia="es-ES"/>
        </w:rPr>
      </w:pPr>
      <w:r w:rsidRPr="005363E2">
        <w:rPr>
          <w:rFonts w:eastAsia="Times New Roman" w:cs="Arial"/>
          <w:i/>
          <w:szCs w:val="24"/>
          <w:lang w:eastAsia="es-ES"/>
        </w:rPr>
        <w:t>V. El acto que se recurre;</w:t>
      </w:r>
    </w:p>
    <w:p w:rsidR="00392715" w:rsidRPr="005363E2" w:rsidRDefault="00392715" w:rsidP="00392715">
      <w:pPr>
        <w:autoSpaceDE w:val="0"/>
        <w:autoSpaceDN w:val="0"/>
        <w:adjustRightInd w:val="0"/>
        <w:spacing w:line="240" w:lineRule="auto"/>
        <w:ind w:left="1134"/>
        <w:rPr>
          <w:rFonts w:eastAsia="Times New Roman" w:cs="Arial"/>
          <w:i/>
          <w:szCs w:val="24"/>
          <w:lang w:eastAsia="es-ES"/>
        </w:rPr>
      </w:pPr>
      <w:r w:rsidRPr="005363E2">
        <w:rPr>
          <w:rFonts w:eastAsia="Times New Roman" w:cs="Arial"/>
          <w:i/>
          <w:szCs w:val="24"/>
          <w:lang w:eastAsia="es-ES"/>
        </w:rPr>
        <w:t>VI. Las razones o motivos de inconformidad;</w:t>
      </w:r>
    </w:p>
    <w:p w:rsidR="00392715" w:rsidRPr="005363E2" w:rsidRDefault="00392715" w:rsidP="00392715">
      <w:pPr>
        <w:autoSpaceDE w:val="0"/>
        <w:autoSpaceDN w:val="0"/>
        <w:adjustRightInd w:val="0"/>
        <w:spacing w:line="240" w:lineRule="auto"/>
        <w:ind w:left="1134" w:right="567"/>
        <w:rPr>
          <w:rFonts w:eastAsia="Times New Roman" w:cs="Arial"/>
          <w:i/>
          <w:szCs w:val="24"/>
          <w:lang w:eastAsia="es-ES"/>
        </w:rPr>
      </w:pPr>
      <w:r w:rsidRPr="005363E2">
        <w:rPr>
          <w:rFonts w:eastAsia="Times New Roman" w:cs="Arial"/>
          <w:i/>
          <w:szCs w:val="24"/>
          <w:lang w:eastAsia="es-ES"/>
        </w:rPr>
        <w:t xml:space="preserve">VII. La copia de la respuesta que se impugna y, en su caso, de la notificación correspondiente, en el caso de respuesta de la solicitud; y </w:t>
      </w:r>
    </w:p>
    <w:p w:rsidR="00392715" w:rsidRPr="005363E2" w:rsidRDefault="00392715" w:rsidP="00392715">
      <w:pPr>
        <w:autoSpaceDE w:val="0"/>
        <w:autoSpaceDN w:val="0"/>
        <w:adjustRightInd w:val="0"/>
        <w:spacing w:line="240" w:lineRule="auto"/>
        <w:ind w:left="1134" w:right="567"/>
        <w:rPr>
          <w:rFonts w:eastAsia="Times New Roman" w:cs="Arial"/>
          <w:i/>
          <w:szCs w:val="24"/>
          <w:lang w:eastAsia="es-ES"/>
        </w:rPr>
      </w:pPr>
      <w:r w:rsidRPr="005363E2">
        <w:rPr>
          <w:rFonts w:eastAsia="Times New Roman" w:cs="Arial"/>
          <w:i/>
          <w:szCs w:val="24"/>
          <w:lang w:eastAsia="es-ES"/>
        </w:rPr>
        <w:t xml:space="preserve">VIII. Firma del recurrente, en su caso, cuando se presente por escrito, requisito sin el cual se dará trámite al recurso. </w:t>
      </w:r>
    </w:p>
    <w:p w:rsidR="00392715" w:rsidRPr="005363E2" w:rsidRDefault="00392715" w:rsidP="00392715">
      <w:pPr>
        <w:autoSpaceDE w:val="0"/>
        <w:autoSpaceDN w:val="0"/>
        <w:adjustRightInd w:val="0"/>
        <w:spacing w:before="240" w:line="276" w:lineRule="auto"/>
        <w:ind w:left="1134" w:right="567"/>
        <w:rPr>
          <w:rFonts w:eastAsia="Times New Roman" w:cs="Arial"/>
          <w:i/>
          <w:szCs w:val="24"/>
          <w:lang w:eastAsia="es-ES"/>
        </w:rPr>
      </w:pPr>
      <w:r w:rsidRPr="005363E2">
        <w:rPr>
          <w:rFonts w:eastAsia="Times New Roman" w:cs="Arial"/>
          <w:i/>
          <w:szCs w:val="24"/>
          <w:lang w:eastAsia="es-ES"/>
        </w:rPr>
        <w:t xml:space="preserve">Adicionalmente, se podrán anexar las pruebas y demás elementos que considere procedentes someter a juicio del Instituto. </w:t>
      </w:r>
    </w:p>
    <w:p w:rsidR="00392715" w:rsidRPr="005363E2" w:rsidRDefault="00392715" w:rsidP="00392715">
      <w:pPr>
        <w:autoSpaceDE w:val="0"/>
        <w:autoSpaceDN w:val="0"/>
        <w:adjustRightInd w:val="0"/>
        <w:spacing w:before="240" w:line="276" w:lineRule="auto"/>
        <w:ind w:left="1134" w:right="567"/>
        <w:rPr>
          <w:rFonts w:eastAsia="Times New Roman" w:cs="Arial"/>
          <w:i/>
          <w:szCs w:val="24"/>
          <w:lang w:eastAsia="es-ES"/>
        </w:rPr>
      </w:pPr>
      <w:r w:rsidRPr="005363E2">
        <w:rPr>
          <w:rFonts w:eastAsia="Times New Roman" w:cs="Arial"/>
          <w:i/>
          <w:szCs w:val="24"/>
          <w:lang w:eastAsia="es-ES"/>
        </w:rPr>
        <w:t xml:space="preserve">En ningún caso será necesario que el particular ratifique el recurso de revisión interpuesto. </w:t>
      </w:r>
    </w:p>
    <w:p w:rsidR="00392715" w:rsidRPr="005363E2" w:rsidRDefault="00392715" w:rsidP="00392715">
      <w:pPr>
        <w:pStyle w:val="Prrafodelista"/>
        <w:autoSpaceDE w:val="0"/>
        <w:autoSpaceDN w:val="0"/>
        <w:adjustRightInd w:val="0"/>
        <w:spacing w:before="240" w:after="160"/>
        <w:ind w:left="1134" w:right="567"/>
        <w:rPr>
          <w:rFonts w:cs="Arial"/>
          <w:lang w:val="es-MX"/>
        </w:rPr>
      </w:pPr>
      <w:r w:rsidRPr="005363E2">
        <w:rPr>
          <w:rFonts w:eastAsiaTheme="minorHAnsi" w:cs="Arial"/>
          <w:b/>
          <w:i/>
          <w:sz w:val="22"/>
          <w:szCs w:val="22"/>
          <w:lang w:val="es-MX" w:eastAsia="en-US"/>
        </w:rPr>
        <w:t>En caso de que el recurso se interponga de manera electrónica no será indispensable que contengan los requisitos establecidos en las fracciones II, IV, VII y VIII.”</w:t>
      </w:r>
    </w:p>
    <w:p w:rsidR="00392715" w:rsidRPr="005363E2" w:rsidRDefault="00392715" w:rsidP="00392715">
      <w:pPr>
        <w:pStyle w:val="Prrafodelista"/>
        <w:autoSpaceDE w:val="0"/>
        <w:autoSpaceDN w:val="0"/>
        <w:adjustRightInd w:val="0"/>
        <w:spacing w:before="240" w:after="160"/>
      </w:pPr>
    </w:p>
    <w:p w:rsidR="00392715" w:rsidRPr="005363E2" w:rsidRDefault="00392715" w:rsidP="00392715">
      <w:pPr>
        <w:pStyle w:val="Prrafodelista"/>
        <w:autoSpaceDE w:val="0"/>
        <w:autoSpaceDN w:val="0"/>
        <w:adjustRightInd w:val="0"/>
        <w:spacing w:before="240" w:after="160"/>
      </w:pPr>
      <w:r w:rsidRPr="005363E2">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392715" w:rsidRPr="005363E2" w:rsidTr="004A5EBE">
        <w:trPr>
          <w:trHeight w:val="1360"/>
        </w:trPr>
        <w:tc>
          <w:tcPr>
            <w:tcW w:w="7982" w:type="dxa"/>
          </w:tcPr>
          <w:p w:rsidR="00392715" w:rsidRPr="005363E2" w:rsidRDefault="00392715" w:rsidP="004A5EBE">
            <w:pPr>
              <w:pStyle w:val="Prrafodelista"/>
              <w:autoSpaceDE w:val="0"/>
              <w:autoSpaceDN w:val="0"/>
              <w:adjustRightInd w:val="0"/>
              <w:spacing w:before="240" w:after="160"/>
              <w:rPr>
                <w:i/>
              </w:rPr>
            </w:pPr>
            <w:r w:rsidRPr="005363E2">
              <w:rPr>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392715" w:rsidRPr="005363E2" w:rsidRDefault="00392715" w:rsidP="00392715">
      <w:pPr>
        <w:pStyle w:val="Prrafodelista"/>
        <w:autoSpaceDE w:val="0"/>
        <w:autoSpaceDN w:val="0"/>
        <w:adjustRightInd w:val="0"/>
        <w:spacing w:before="240" w:after="160"/>
      </w:pPr>
      <w:r w:rsidRPr="005363E2">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392715" w:rsidRPr="005363E2" w:rsidTr="004A5EBE">
        <w:trPr>
          <w:jc w:val="center"/>
        </w:trPr>
        <w:tc>
          <w:tcPr>
            <w:tcW w:w="8075" w:type="dxa"/>
          </w:tcPr>
          <w:p w:rsidR="00392715" w:rsidRPr="005363E2" w:rsidRDefault="00392715" w:rsidP="004A5EBE">
            <w:pPr>
              <w:pStyle w:val="Prrafodelista"/>
              <w:autoSpaceDE w:val="0"/>
              <w:autoSpaceDN w:val="0"/>
              <w:adjustRightInd w:val="0"/>
              <w:spacing w:before="240" w:after="160"/>
              <w:jc w:val="center"/>
              <w:rPr>
                <w:b/>
                <w:i/>
              </w:rPr>
            </w:pPr>
            <w:r w:rsidRPr="005363E2">
              <w:rPr>
                <w:b/>
                <w:i/>
              </w:rPr>
              <w:t xml:space="preserve">Constitución Política de los Estados Unidos Mexicanos </w:t>
            </w:r>
          </w:p>
          <w:p w:rsidR="00392715" w:rsidRPr="005363E2" w:rsidRDefault="00392715" w:rsidP="004A5EBE">
            <w:pPr>
              <w:pStyle w:val="Prrafodelista"/>
              <w:autoSpaceDE w:val="0"/>
              <w:autoSpaceDN w:val="0"/>
              <w:adjustRightInd w:val="0"/>
              <w:spacing w:before="240" w:after="160"/>
              <w:rPr>
                <w:i/>
                <w:sz w:val="22"/>
              </w:rPr>
            </w:pPr>
            <w:r w:rsidRPr="005363E2">
              <w:rPr>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92715" w:rsidRPr="005363E2" w:rsidRDefault="00392715" w:rsidP="004A5EBE">
            <w:pPr>
              <w:pStyle w:val="Prrafodelista"/>
              <w:autoSpaceDE w:val="0"/>
              <w:autoSpaceDN w:val="0"/>
              <w:adjustRightInd w:val="0"/>
              <w:spacing w:before="240" w:after="160"/>
              <w:rPr>
                <w:i/>
                <w:sz w:val="22"/>
              </w:rPr>
            </w:pPr>
            <w:r w:rsidRPr="005363E2">
              <w:rPr>
                <w:i/>
                <w:sz w:val="22"/>
              </w:rPr>
              <w:t xml:space="preserve">(…) </w:t>
            </w:r>
          </w:p>
          <w:p w:rsidR="00392715" w:rsidRPr="005363E2" w:rsidRDefault="00392715" w:rsidP="004A5EBE">
            <w:pPr>
              <w:pStyle w:val="Prrafodelista"/>
              <w:autoSpaceDE w:val="0"/>
              <w:autoSpaceDN w:val="0"/>
              <w:adjustRightInd w:val="0"/>
              <w:spacing w:before="240" w:after="160"/>
              <w:rPr>
                <w:i/>
                <w:sz w:val="22"/>
              </w:rPr>
            </w:pPr>
            <w:r w:rsidRPr="005363E2">
              <w:rPr>
                <w:i/>
                <w:sz w:val="22"/>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392715" w:rsidRPr="005363E2" w:rsidRDefault="00392715" w:rsidP="004A5EBE">
            <w:pPr>
              <w:pStyle w:val="Prrafodelista"/>
              <w:autoSpaceDE w:val="0"/>
              <w:autoSpaceDN w:val="0"/>
              <w:adjustRightInd w:val="0"/>
              <w:spacing w:before="240" w:after="160"/>
              <w:rPr>
                <w:i/>
                <w:sz w:val="22"/>
              </w:rPr>
            </w:pPr>
            <w:r w:rsidRPr="005363E2">
              <w:rPr>
                <w:i/>
                <w:sz w:val="22"/>
              </w:rPr>
              <w:t xml:space="preserve"> (…) </w:t>
            </w:r>
          </w:p>
          <w:p w:rsidR="00392715" w:rsidRPr="005363E2" w:rsidRDefault="00392715" w:rsidP="004A5EBE">
            <w:pPr>
              <w:pStyle w:val="Prrafodelista"/>
              <w:autoSpaceDE w:val="0"/>
              <w:autoSpaceDN w:val="0"/>
              <w:adjustRightInd w:val="0"/>
              <w:spacing w:before="240" w:after="160"/>
              <w:rPr>
                <w:i/>
                <w:sz w:val="22"/>
              </w:rPr>
            </w:pPr>
            <w:r w:rsidRPr="005363E2">
              <w:rPr>
                <w:i/>
                <w:sz w:val="22"/>
              </w:rPr>
              <w:t>III. Toda persona, sin necesidad de acreditar interés alguno o justificar su utilización, tendrá acceso gratuito a la información pública, a sus datos personales o a la rectificación de éstos.</w:t>
            </w:r>
          </w:p>
          <w:p w:rsidR="00392715" w:rsidRPr="005363E2" w:rsidRDefault="00392715" w:rsidP="004A5EBE">
            <w:pPr>
              <w:pStyle w:val="Prrafodelista"/>
              <w:autoSpaceDE w:val="0"/>
              <w:autoSpaceDN w:val="0"/>
              <w:adjustRightInd w:val="0"/>
              <w:spacing w:before="240" w:after="160"/>
              <w:rPr>
                <w:rFonts w:cs="Arial"/>
                <w:i/>
                <w:sz w:val="22"/>
                <w:lang w:val="es-MX"/>
              </w:rPr>
            </w:pPr>
            <w:r w:rsidRPr="005363E2">
              <w:rPr>
                <w:rFonts w:cs="Arial"/>
                <w:i/>
                <w:sz w:val="22"/>
                <w:lang w:val="es-MX"/>
              </w:rPr>
              <w:t>IV. Se establecerán mecanismos de acceso a la información y procedimientos de revisión expeditos que se sustanciarán ante los organismos autónomos especializados e imparciales que establece esta Constitución.”</w:t>
            </w:r>
          </w:p>
          <w:p w:rsidR="00392715" w:rsidRPr="005363E2" w:rsidRDefault="00392715" w:rsidP="004A5EBE">
            <w:pPr>
              <w:pStyle w:val="Prrafodelista"/>
              <w:autoSpaceDE w:val="0"/>
              <w:autoSpaceDN w:val="0"/>
              <w:adjustRightInd w:val="0"/>
              <w:spacing w:before="240"/>
              <w:rPr>
                <w:rFonts w:cs="Arial"/>
                <w:b/>
                <w:i/>
                <w:sz w:val="22"/>
                <w:lang w:val="es-MX"/>
              </w:rPr>
            </w:pPr>
            <w:r w:rsidRPr="005363E2">
              <w:rPr>
                <w:rFonts w:cs="Arial"/>
                <w:b/>
                <w:i/>
                <w:sz w:val="22"/>
                <w:lang w:val="es-MX"/>
              </w:rPr>
              <w:t>Constitución Política del Estado Libre y Soberano de México</w:t>
            </w:r>
          </w:p>
          <w:p w:rsidR="00392715" w:rsidRPr="005363E2" w:rsidRDefault="00392715" w:rsidP="004A5EBE">
            <w:pPr>
              <w:autoSpaceDE w:val="0"/>
              <w:autoSpaceDN w:val="0"/>
              <w:adjustRightInd w:val="0"/>
              <w:spacing w:before="240"/>
              <w:rPr>
                <w:rFonts w:cs="Arial"/>
                <w:i/>
              </w:rPr>
            </w:pPr>
            <w:r w:rsidRPr="005363E2">
              <w:rPr>
                <w:rFonts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392715" w:rsidRPr="005363E2" w:rsidRDefault="00392715" w:rsidP="004A5EBE">
            <w:pPr>
              <w:autoSpaceDE w:val="0"/>
              <w:autoSpaceDN w:val="0"/>
              <w:adjustRightInd w:val="0"/>
              <w:spacing w:before="240"/>
              <w:rPr>
                <w:rFonts w:cs="Arial"/>
                <w:i/>
              </w:rPr>
            </w:pPr>
            <w:r w:rsidRPr="005363E2">
              <w:rPr>
                <w:rFonts w:cs="Arial"/>
                <w:i/>
              </w:rPr>
              <w:t>(…)</w:t>
            </w:r>
          </w:p>
          <w:p w:rsidR="00392715" w:rsidRPr="005363E2" w:rsidRDefault="00392715" w:rsidP="004A5EBE">
            <w:pPr>
              <w:autoSpaceDE w:val="0"/>
              <w:autoSpaceDN w:val="0"/>
              <w:adjustRightInd w:val="0"/>
              <w:spacing w:before="240"/>
              <w:rPr>
                <w:rFonts w:cs="Arial"/>
                <w:i/>
              </w:rPr>
            </w:pPr>
            <w:r w:rsidRPr="005363E2">
              <w:rPr>
                <w:rFonts w:cs="Arial"/>
                <w:i/>
              </w:rPr>
              <w:lastRenderedPageBreak/>
              <w:t>Toda persona en el Estado de México, tiene derecho al libre acceso a la información plural y oportuna, así como a buscar recibir y difundir información e ideas de toda índole por cualquier medio de expresión.</w:t>
            </w:r>
          </w:p>
          <w:p w:rsidR="00392715" w:rsidRPr="005363E2" w:rsidRDefault="00392715" w:rsidP="004A5EBE">
            <w:pPr>
              <w:autoSpaceDE w:val="0"/>
              <w:autoSpaceDN w:val="0"/>
              <w:adjustRightInd w:val="0"/>
              <w:spacing w:before="240"/>
              <w:rPr>
                <w:rFonts w:cs="Arial"/>
                <w:i/>
              </w:rPr>
            </w:pPr>
            <w:r w:rsidRPr="005363E2">
              <w:rPr>
                <w:rFonts w:cs="Arial"/>
                <w:i/>
              </w:rPr>
              <w:t>(…)</w:t>
            </w:r>
          </w:p>
          <w:p w:rsidR="00392715" w:rsidRPr="005363E2" w:rsidRDefault="00392715" w:rsidP="004A5EBE">
            <w:pPr>
              <w:autoSpaceDE w:val="0"/>
              <w:autoSpaceDN w:val="0"/>
              <w:adjustRightInd w:val="0"/>
              <w:spacing w:before="240"/>
              <w:rPr>
                <w:rFonts w:cs="Arial"/>
                <w:i/>
              </w:rPr>
            </w:pPr>
            <w:r w:rsidRPr="005363E2">
              <w:rPr>
                <w:rFonts w:cs="Arial"/>
                <w:i/>
              </w:rPr>
              <w:t>El derecho a la información será garantizado por el Estado. La ley establecerá las previsiones que permitan asegurar la protección, el respeto y la difusión de este derecho.</w:t>
            </w:r>
          </w:p>
          <w:p w:rsidR="00392715" w:rsidRPr="005363E2" w:rsidRDefault="00392715" w:rsidP="004A5EBE">
            <w:pPr>
              <w:autoSpaceDE w:val="0"/>
              <w:autoSpaceDN w:val="0"/>
              <w:adjustRightInd w:val="0"/>
              <w:spacing w:before="240"/>
              <w:rPr>
                <w:rFonts w:cs="Arial"/>
                <w:i/>
              </w:rPr>
            </w:pPr>
            <w:r w:rsidRPr="005363E2">
              <w:rPr>
                <w:rFonts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392715" w:rsidRPr="005363E2" w:rsidRDefault="00392715" w:rsidP="004A5EBE">
            <w:pPr>
              <w:autoSpaceDE w:val="0"/>
              <w:autoSpaceDN w:val="0"/>
              <w:adjustRightInd w:val="0"/>
              <w:spacing w:before="240"/>
              <w:rPr>
                <w:rFonts w:cs="Arial"/>
                <w:i/>
              </w:rPr>
            </w:pPr>
            <w:r w:rsidRPr="005363E2">
              <w:rPr>
                <w:rFonts w:cs="Arial"/>
                <w:i/>
              </w:rPr>
              <w:t>III. Toda persona, sin necesidad de acreditar interés alguno o justificar su utilización, tendrá acceso gratuito a la información pública, a sus datos personales o a la rectificación de éstos;</w:t>
            </w:r>
          </w:p>
          <w:p w:rsidR="00392715" w:rsidRPr="005363E2" w:rsidRDefault="00392715" w:rsidP="004A5EBE">
            <w:pPr>
              <w:autoSpaceDE w:val="0"/>
              <w:autoSpaceDN w:val="0"/>
              <w:adjustRightInd w:val="0"/>
              <w:spacing w:before="240"/>
              <w:rPr>
                <w:rFonts w:cs="Arial"/>
                <w:i/>
              </w:rPr>
            </w:pPr>
            <w:r w:rsidRPr="005363E2">
              <w:rPr>
                <w:rFonts w:cs="Arial"/>
                <w:i/>
              </w:rPr>
              <w:t>IV. Se establecerán mecanismos de acceso a la información y procedimientos de revisión expeditos que se sustanciarán ante el organismo autónomo especializado e imparcial que establece esta Constitución.</w:t>
            </w:r>
          </w:p>
          <w:p w:rsidR="00392715" w:rsidRPr="005363E2" w:rsidRDefault="00392715" w:rsidP="004A5EBE">
            <w:pPr>
              <w:pStyle w:val="Prrafodelista"/>
              <w:autoSpaceDE w:val="0"/>
              <w:autoSpaceDN w:val="0"/>
              <w:adjustRightInd w:val="0"/>
              <w:spacing w:before="240" w:after="160"/>
              <w:rPr>
                <w:rFonts w:cs="Arial"/>
                <w:i/>
                <w:sz w:val="22"/>
                <w:lang w:val="es-MX"/>
              </w:rPr>
            </w:pPr>
            <w:r w:rsidRPr="005363E2">
              <w:rPr>
                <w:rFonts w:cs="Arial"/>
                <w:i/>
                <w:sz w:val="22"/>
                <w:lang w:val="es-MX"/>
              </w:rPr>
              <w:t>(…)</w:t>
            </w:r>
          </w:p>
          <w:p w:rsidR="00392715" w:rsidRPr="005363E2" w:rsidRDefault="00392715" w:rsidP="004A5EBE">
            <w:pPr>
              <w:pStyle w:val="Prrafodelista"/>
              <w:autoSpaceDE w:val="0"/>
              <w:autoSpaceDN w:val="0"/>
              <w:adjustRightInd w:val="0"/>
              <w:spacing w:before="240" w:after="160"/>
              <w:rPr>
                <w:rFonts w:cs="Arial"/>
                <w:i/>
                <w:sz w:val="22"/>
                <w:lang w:val="es-MX"/>
              </w:rPr>
            </w:pPr>
            <w:r w:rsidRPr="005363E2">
              <w:rPr>
                <w:rFonts w:cs="Arial"/>
                <w:i/>
                <w:sz w:val="22"/>
                <w:lang w:val="es-MX"/>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392715" w:rsidRPr="005363E2" w:rsidRDefault="00392715" w:rsidP="00392715">
      <w:pPr>
        <w:pStyle w:val="Prrafodelista"/>
        <w:autoSpaceDE w:val="0"/>
        <w:autoSpaceDN w:val="0"/>
        <w:adjustRightInd w:val="0"/>
        <w:spacing w:before="240" w:after="160"/>
        <w:rPr>
          <w:lang w:val="es-MX"/>
        </w:rPr>
      </w:pPr>
      <w:r w:rsidRPr="005363E2">
        <w:rPr>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363E2">
        <w:rPr>
          <w:b/>
          <w:u w:val="single"/>
          <w:lang w:val="es-MX"/>
        </w:rPr>
        <w:t>incluso, la solicitud de acceso a la información pueda ser anónima o no contener un nombre que identifique al solicitante o que permita tener certeza sobre su identidad</w:t>
      </w:r>
      <w:r w:rsidRPr="005363E2">
        <w:rPr>
          <w:lang w:val="es-MX"/>
        </w:rPr>
        <w:t xml:space="preserve">. </w:t>
      </w:r>
    </w:p>
    <w:p w:rsidR="00392715" w:rsidRPr="005363E2" w:rsidRDefault="00392715" w:rsidP="00392715">
      <w:pPr>
        <w:pStyle w:val="Prrafodelista"/>
        <w:autoSpaceDE w:val="0"/>
        <w:autoSpaceDN w:val="0"/>
        <w:adjustRightInd w:val="0"/>
        <w:spacing w:before="240" w:after="160"/>
        <w:rPr>
          <w:lang w:val="es-MX"/>
        </w:rPr>
      </w:pPr>
      <w:r w:rsidRPr="005363E2">
        <w:rPr>
          <w:lang w:val="es-MX"/>
        </w:rPr>
        <w:t>En conclusión, se cubrieron los requisitos de procedencia y procedibilidad y conforme a las constancias que obran en el expediente.</w:t>
      </w:r>
    </w:p>
    <w:p w:rsidR="00392715" w:rsidRDefault="00392715" w:rsidP="00392715">
      <w:pPr>
        <w:pStyle w:val="Prrafodelista"/>
        <w:autoSpaceDE w:val="0"/>
        <w:autoSpaceDN w:val="0"/>
        <w:adjustRightInd w:val="0"/>
        <w:spacing w:before="240" w:after="160"/>
        <w:rPr>
          <w:rFonts w:cs="Arial"/>
          <w:b/>
          <w:sz w:val="28"/>
        </w:rPr>
      </w:pPr>
    </w:p>
    <w:p w:rsidR="00392715" w:rsidRPr="002C3EC8" w:rsidRDefault="00392715" w:rsidP="00392715">
      <w:pPr>
        <w:pStyle w:val="Prrafodelista"/>
        <w:autoSpaceDE w:val="0"/>
        <w:autoSpaceDN w:val="0"/>
        <w:adjustRightInd w:val="0"/>
        <w:spacing w:before="240" w:after="160"/>
        <w:rPr>
          <w:rFonts w:cs="Arial"/>
          <w:b/>
          <w:sz w:val="28"/>
          <w:szCs w:val="28"/>
        </w:rPr>
      </w:pPr>
      <w:r>
        <w:rPr>
          <w:rFonts w:cs="Arial"/>
          <w:b/>
          <w:sz w:val="28"/>
        </w:rPr>
        <w:t>TERCERO</w:t>
      </w:r>
      <w:r w:rsidRPr="002C3EC8">
        <w:rPr>
          <w:rFonts w:cs="Arial"/>
          <w:b/>
        </w:rPr>
        <w:t xml:space="preserve">. </w:t>
      </w:r>
      <w:r w:rsidRPr="002C3EC8">
        <w:rPr>
          <w:rFonts w:cs="Arial"/>
          <w:b/>
          <w:sz w:val="28"/>
          <w:szCs w:val="28"/>
        </w:rPr>
        <w:t>De las causas de improcedencia.</w:t>
      </w:r>
    </w:p>
    <w:p w:rsidR="00392715" w:rsidRPr="002C3EC8" w:rsidRDefault="00392715" w:rsidP="00392715">
      <w:pPr>
        <w:pStyle w:val="Prrafodelista"/>
        <w:autoSpaceDE w:val="0"/>
        <w:autoSpaceDN w:val="0"/>
        <w:adjustRightInd w:val="0"/>
        <w:spacing w:before="240" w:after="160"/>
        <w:rPr>
          <w:rFonts w:cs="Arial"/>
        </w:rPr>
      </w:pPr>
      <w:r w:rsidRPr="002C3EC8">
        <w:rPr>
          <w:rFonts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w:t>
      </w:r>
      <w:r w:rsidRPr="002C3EC8">
        <w:rPr>
          <w:rFonts w:cs="Arial"/>
        </w:rPr>
        <w:lastRenderedPageBreak/>
        <w:t>México y Municipios, en correlación con la seguridad jurídica que debe generar lo actuado ante este Organismo garante.</w:t>
      </w:r>
    </w:p>
    <w:p w:rsidR="00392715" w:rsidRPr="002C3EC8" w:rsidRDefault="00392715" w:rsidP="00392715">
      <w:pPr>
        <w:pStyle w:val="Prrafodelista"/>
        <w:autoSpaceDE w:val="0"/>
        <w:autoSpaceDN w:val="0"/>
        <w:adjustRightInd w:val="0"/>
        <w:rPr>
          <w:rFonts w:cs="Arial"/>
        </w:rPr>
      </w:pPr>
      <w:r w:rsidRPr="002C3EC8">
        <w:rPr>
          <w:rFonts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cs="Arial"/>
        </w:rPr>
        <w:footnoteReference w:id="1"/>
      </w:r>
      <w:r w:rsidRPr="002C3EC8">
        <w:rPr>
          <w:rFonts w:cs="Arial"/>
        </w:rPr>
        <w:t xml:space="preserve">. Así las cosas, del análisis de los expedientes electrónicos no se advierte ninguna causa de improcedencia que se actualice ni mucho menos alguna </w:t>
      </w:r>
      <w:r w:rsidRPr="002C3EC8">
        <w:rPr>
          <w:rFonts w:cs="Arial"/>
        </w:rPr>
        <w:lastRenderedPageBreak/>
        <w:t>hecha valer por alguna de las partes, procediendo al estudio del fondo del asunto, en los siguientes términos.</w:t>
      </w:r>
    </w:p>
    <w:p w:rsidR="00392715" w:rsidRDefault="00392715" w:rsidP="00392715">
      <w:pPr>
        <w:tabs>
          <w:tab w:val="left" w:pos="709"/>
        </w:tabs>
        <w:spacing w:before="240"/>
        <w:ind w:right="51"/>
        <w:rPr>
          <w:b/>
          <w:sz w:val="28"/>
          <w:szCs w:val="28"/>
        </w:rPr>
      </w:pPr>
    </w:p>
    <w:p w:rsidR="00392715" w:rsidRPr="002C3EC8" w:rsidRDefault="00392715" w:rsidP="00392715">
      <w:pPr>
        <w:tabs>
          <w:tab w:val="left" w:pos="709"/>
        </w:tabs>
        <w:spacing w:before="240"/>
        <w:ind w:right="51"/>
        <w:rPr>
          <w:b/>
          <w:sz w:val="28"/>
          <w:szCs w:val="28"/>
        </w:rPr>
      </w:pPr>
      <w:r>
        <w:rPr>
          <w:b/>
          <w:sz w:val="28"/>
          <w:szCs w:val="28"/>
        </w:rPr>
        <w:t>CUAR</w:t>
      </w:r>
      <w:r w:rsidRPr="002C3EC8">
        <w:rPr>
          <w:b/>
          <w:sz w:val="28"/>
          <w:szCs w:val="28"/>
        </w:rPr>
        <w:t xml:space="preserve">TO. Estudio y resolución del asunto </w:t>
      </w:r>
      <w:r w:rsidRPr="002C3EC8">
        <w:rPr>
          <w:b/>
          <w:sz w:val="28"/>
          <w:szCs w:val="28"/>
        </w:rPr>
        <w:tab/>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p>
    <w:p w:rsidR="00392715" w:rsidRPr="00A779C7" w:rsidRDefault="00392715" w:rsidP="00392715">
      <w:pPr>
        <w:rPr>
          <w:rFonts w:cs="Arial"/>
        </w:rPr>
      </w:pPr>
      <w:r w:rsidRPr="00A779C7">
        <w:rPr>
          <w:rFonts w:cs="Tahoma"/>
          <w:bCs/>
        </w:rPr>
        <w:t xml:space="preserve">Bajo estas líneas argumentativas, al retomar y delimitar los requerimientos del ahora </w:t>
      </w:r>
      <w:r w:rsidRPr="00A779C7">
        <w:rPr>
          <w:rFonts w:cs="Tahoma"/>
          <w:b/>
          <w:bCs/>
        </w:rPr>
        <w:t>Recurrente</w:t>
      </w:r>
      <w:r w:rsidRPr="00A779C7">
        <w:rPr>
          <w:rFonts w:cs="Tahoma"/>
          <w:bCs/>
        </w:rPr>
        <w:t>, de manera objetiva se precisa que requiere la siguiente información:</w:t>
      </w:r>
    </w:p>
    <w:p w:rsidR="00392715" w:rsidRPr="00392715" w:rsidRDefault="00392715" w:rsidP="00392715">
      <w:pPr>
        <w:pStyle w:val="Prrafodelista"/>
        <w:numPr>
          <w:ilvl w:val="0"/>
          <w:numId w:val="8"/>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R</w:t>
      </w:r>
      <w:r w:rsidRPr="00392715">
        <w:rPr>
          <w:rFonts w:eastAsia="Palatino Linotype" w:cs="Palatino Linotype"/>
          <w:color w:val="000000"/>
        </w:rPr>
        <w:t xml:space="preserve">ecibos de nómina de quien se desempeña como Síndico Municipal Beatriz Munguía Munguía que contengan sus percepciones, es decir el conjunto de ingresos como sueldo, prestaciones sociales, prestaciones laborales, bonos y horas extras. Sus deducciones, es decir las retenciones del pago del trabajador de acuerdo a lo que establece el ISEMYM y el SAT. Así mismo deberá contener los Datos distintivos del ayuntamiento, nombre completo del trabajador y cargo, el periodo de pago, el detalle de las percepciones salariales ordinarias y extraordinarias, el detalle de las deducciones al salario bruto, la cantidad a recibir, </w:t>
      </w:r>
      <w:r w:rsidRPr="00392715">
        <w:rPr>
          <w:rFonts w:eastAsia="Palatino Linotype" w:cs="Palatino Linotype"/>
          <w:color w:val="000000"/>
        </w:rPr>
        <w:lastRenderedPageBreak/>
        <w:t>el lugar de emisión y las firmas del tesorero o quien realice el pago, así como del funcionario público que lo recibe y el sello oficial correspondiente.</w:t>
      </w:r>
    </w:p>
    <w:p w:rsidR="00392715" w:rsidRDefault="00392715" w:rsidP="00403A90">
      <w:pPr>
        <w:pBdr>
          <w:top w:val="nil"/>
          <w:left w:val="nil"/>
          <w:bottom w:val="nil"/>
          <w:right w:val="nil"/>
          <w:between w:val="nil"/>
        </w:pBdr>
        <w:contextualSpacing/>
        <w:rPr>
          <w:rFonts w:eastAsia="Palatino Linotype" w:cs="Palatino Linotype"/>
          <w:color w:val="000000"/>
          <w:szCs w:val="24"/>
        </w:rPr>
      </w:pPr>
    </w:p>
    <w:p w:rsidR="00392715" w:rsidRDefault="00392715" w:rsidP="00403A90">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Toda vez que, el Recurrente no señalo temporalidad, esta será las dos quincenas anteriores a la fecha de la solicitud.</w:t>
      </w:r>
    </w:p>
    <w:p w:rsidR="00392715" w:rsidRDefault="00392715" w:rsidP="00403A90">
      <w:pPr>
        <w:pBdr>
          <w:top w:val="nil"/>
          <w:left w:val="nil"/>
          <w:bottom w:val="nil"/>
          <w:right w:val="nil"/>
          <w:between w:val="nil"/>
        </w:pBdr>
        <w:contextualSpacing/>
        <w:rPr>
          <w:rFonts w:eastAsia="Palatino Linotype" w:cs="Palatino Linotype"/>
          <w:color w:val="000000"/>
          <w:szCs w:val="24"/>
        </w:rPr>
      </w:pPr>
    </w:p>
    <w:p w:rsidR="00392715" w:rsidRDefault="00392715" w:rsidP="00392715">
      <w:pPr>
        <w:rPr>
          <w:rFonts w:cs="Arial"/>
        </w:rPr>
      </w:pPr>
      <w:r w:rsidRPr="00AC5750">
        <w:rPr>
          <w:rFonts w:cs="Arial"/>
        </w:rPr>
        <w:t xml:space="preserve">Por lo que, de conformidad con las constancias que obran en los expedientes electrónicos, se observa que el </w:t>
      </w:r>
      <w:r w:rsidRPr="00FE23BB">
        <w:rPr>
          <w:rFonts w:cs="Arial"/>
          <w:b/>
        </w:rPr>
        <w:t>Sujeto Obligado</w:t>
      </w:r>
      <w:r w:rsidRPr="00AC5750">
        <w:rPr>
          <w:rFonts w:cs="Arial"/>
        </w:rPr>
        <w:t xml:space="preserve"> dio respuesta por medio del sistema SAIMEX, a la solicitud de información</w:t>
      </w:r>
      <w:r w:rsidRPr="00AC5750">
        <w:rPr>
          <w:rFonts w:eastAsia="Palatino Linotype" w:cs="Palatino Linotype"/>
          <w:b/>
          <w:color w:val="000000"/>
        </w:rPr>
        <w:t xml:space="preserve"> </w:t>
      </w:r>
      <w:r w:rsidRPr="00392715">
        <w:rPr>
          <w:rFonts w:cs="Arial"/>
          <w:b/>
        </w:rPr>
        <w:t>00076/TIMILPAN/IP/2022</w:t>
      </w:r>
      <w:r w:rsidRPr="00AC5750">
        <w:rPr>
          <w:rFonts w:cs="Arial"/>
          <w:b/>
        </w:rPr>
        <w:t xml:space="preserve">; </w:t>
      </w:r>
      <w:r>
        <w:rPr>
          <w:rFonts w:cs="Arial"/>
        </w:rPr>
        <w:t>en el que manifiesta lo siguiente:</w:t>
      </w:r>
    </w:p>
    <w:p w:rsidR="00403A90" w:rsidRDefault="00403A90" w:rsidP="00403A90">
      <w:pPr>
        <w:pBdr>
          <w:top w:val="nil"/>
          <w:left w:val="nil"/>
          <w:bottom w:val="nil"/>
          <w:right w:val="nil"/>
          <w:between w:val="nil"/>
        </w:pBdr>
        <w:contextualSpacing/>
        <w:rPr>
          <w:rFonts w:eastAsia="Palatino Linotype" w:cs="Palatino Linotype"/>
          <w:color w:val="000000"/>
          <w:szCs w:val="24"/>
        </w:rPr>
      </w:pPr>
    </w:p>
    <w:p w:rsidR="00FE23BB" w:rsidRPr="00FE23BB" w:rsidRDefault="00FE23BB" w:rsidP="00FE23BB">
      <w:pPr>
        <w:pStyle w:val="CitasINFOEM"/>
        <w:rPr>
          <w:lang w:val="es-MX"/>
        </w:rPr>
      </w:pPr>
      <w:r>
        <w:rPr>
          <w:lang w:val="es-MX"/>
        </w:rPr>
        <w:t>“</w:t>
      </w:r>
      <w:r w:rsidRPr="00FE23BB">
        <w:rPr>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E23BB" w:rsidRPr="00FE23BB" w:rsidRDefault="00FE23BB" w:rsidP="00FE23BB">
      <w:pPr>
        <w:pStyle w:val="CitasINFOEM"/>
        <w:rPr>
          <w:lang w:val="es-MX"/>
        </w:rPr>
      </w:pPr>
      <w:r w:rsidRPr="00FE23BB">
        <w:rPr>
          <w:lang w:val="es-MX"/>
        </w:rPr>
        <w:t xml:space="preserve">Derivado de la solicitud de información 00076/TIMILPAN/IP/2022 remitida por la unidad de transparencia, enviada a ésta área para su respuesta al acuse de la solicitud de fecha 18 de noviembre de los corrientes, realizada por la C. </w:t>
      </w:r>
      <w:r w:rsidRPr="00FE23BB">
        <w:rPr>
          <w:b/>
          <w:lang w:val="es-MX"/>
        </w:rPr>
        <w:t>Nolasco Miguel Damaris Yael</w:t>
      </w:r>
      <w:r w:rsidRPr="00FE23BB">
        <w:rPr>
          <w:lang w:val="es-MX"/>
        </w:rPr>
        <w:t xml:space="preserve">, Con fundamento en lo dispuesto en el artículo 6 de la constitución Política de los Estados Unidos Mexicanos, 25, 140 fracción IV, 143 fracción I, de la ley de Transparencia Acceso a la Información Pública del Estado de México y Municipios, le informo que </w:t>
      </w:r>
      <w:r w:rsidRPr="00FE23BB">
        <w:rPr>
          <w:b/>
          <w:lang w:val="es-MX"/>
        </w:rPr>
        <w:t>no es posible contestar dicha solicitud como tal la pide el solicitante, en virtud que el mal uso de dicha información puede afectar directamente la seguridad e integridad física de la persona a quien se refiere en la solicitud de información</w:t>
      </w:r>
      <w:r w:rsidRPr="00FE23BB">
        <w:rPr>
          <w:lang w:val="es-MX"/>
        </w:rPr>
        <w:t xml:space="preserve">, como consecuencia del nivel de delincuencia e inseguridad en el cual se encuentra el país, Sin embargo en la plataforma de transparencia del municipio de Timilpan, Específicamente el en tabulador de sueldos y salarios puede encontrar información concerniente a las percepciones y como tal se puede visualizar en el siguiente enlace </w:t>
      </w:r>
      <w:r w:rsidRPr="00FE23BB">
        <w:rPr>
          <w:b/>
          <w:lang w:val="es-MX"/>
        </w:rPr>
        <w:t>https://www.ipomex.org.mx/ipo3/lgt/indice/TIMILPAN/art_92_viii_b.web</w:t>
      </w:r>
    </w:p>
    <w:p w:rsidR="00FE23BB" w:rsidRDefault="00FE23BB" w:rsidP="00FE23BB">
      <w:pPr>
        <w:pStyle w:val="CitasINFOEM"/>
        <w:rPr>
          <w:lang w:val="es-MX"/>
        </w:rPr>
      </w:pPr>
    </w:p>
    <w:p w:rsidR="00FE23BB" w:rsidRPr="00FE23BB" w:rsidRDefault="00FE23BB" w:rsidP="00FE23BB">
      <w:pPr>
        <w:pStyle w:val="CitasINFOEM"/>
        <w:rPr>
          <w:lang w:val="es-MX"/>
        </w:rPr>
      </w:pPr>
      <w:r w:rsidRPr="00FE23BB">
        <w:rPr>
          <w:lang w:val="es-MX"/>
        </w:rPr>
        <w:t>ATENTAMENTE</w:t>
      </w:r>
    </w:p>
    <w:p w:rsidR="00403A90" w:rsidRPr="00FE23BB" w:rsidRDefault="00FE23BB" w:rsidP="00FE23BB">
      <w:pPr>
        <w:pStyle w:val="CitasINFOEM"/>
        <w:rPr>
          <w:lang w:val="es-MX"/>
        </w:rPr>
      </w:pPr>
      <w:r w:rsidRPr="00FE23BB">
        <w:rPr>
          <w:lang w:val="es-MX"/>
        </w:rPr>
        <w:t>LC. ROGELIO DE JESUS RODRIGUEZ</w:t>
      </w:r>
      <w:r>
        <w:rPr>
          <w:lang w:val="es-MX"/>
        </w:rPr>
        <w:t>”</w:t>
      </w:r>
    </w:p>
    <w:p w:rsidR="00403A90" w:rsidRDefault="00403A90" w:rsidP="00403A90">
      <w:pPr>
        <w:pBdr>
          <w:top w:val="nil"/>
          <w:left w:val="nil"/>
          <w:bottom w:val="nil"/>
          <w:right w:val="nil"/>
          <w:between w:val="nil"/>
        </w:pBdr>
        <w:contextualSpacing/>
        <w:rPr>
          <w:rFonts w:eastAsia="Palatino Linotype" w:cs="Palatino Linotype"/>
          <w:color w:val="000000"/>
          <w:szCs w:val="24"/>
        </w:rPr>
      </w:pPr>
    </w:p>
    <w:p w:rsidR="00FE23BB" w:rsidRDefault="00FE23BB" w:rsidP="00403A90">
      <w:pPr>
        <w:pBdr>
          <w:top w:val="nil"/>
          <w:left w:val="nil"/>
          <w:bottom w:val="nil"/>
          <w:right w:val="nil"/>
          <w:between w:val="nil"/>
        </w:pBdr>
        <w:contextualSpacing/>
        <w:rPr>
          <w:rFonts w:eastAsia="Palatino Linotype" w:cs="Palatino Linotype"/>
          <w:color w:val="000000"/>
          <w:szCs w:val="24"/>
        </w:rPr>
      </w:pPr>
    </w:p>
    <w:p w:rsidR="00FE23BB" w:rsidRDefault="00FE23BB" w:rsidP="00403A90">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De dicho enlace se aprecia lo siguiente:</w:t>
      </w:r>
    </w:p>
    <w:p w:rsidR="00FE23BB" w:rsidRDefault="00FE23BB" w:rsidP="00403A90">
      <w:pPr>
        <w:pBdr>
          <w:top w:val="nil"/>
          <w:left w:val="nil"/>
          <w:bottom w:val="nil"/>
          <w:right w:val="nil"/>
          <w:between w:val="nil"/>
        </w:pBdr>
        <w:contextualSpacing/>
        <w:rPr>
          <w:rFonts w:eastAsia="Palatino Linotype" w:cs="Palatino Linotype"/>
          <w:color w:val="000000"/>
          <w:szCs w:val="24"/>
        </w:rPr>
      </w:pPr>
    </w:p>
    <w:p w:rsidR="00FE23BB" w:rsidRDefault="00FE23BB" w:rsidP="00FE23BB">
      <w:pPr>
        <w:pBdr>
          <w:top w:val="nil"/>
          <w:left w:val="nil"/>
          <w:bottom w:val="nil"/>
          <w:right w:val="nil"/>
          <w:between w:val="nil"/>
        </w:pBdr>
        <w:contextualSpacing/>
        <w:jc w:val="center"/>
        <w:rPr>
          <w:rFonts w:eastAsia="Palatino Linotype" w:cs="Palatino Linotype"/>
          <w:color w:val="000000"/>
          <w:szCs w:val="24"/>
        </w:rPr>
      </w:pPr>
      <w:r>
        <w:rPr>
          <w:rFonts w:eastAsia="Palatino Linotype" w:cs="Palatino Linotype"/>
          <w:noProof/>
          <w:color w:val="000000"/>
          <w:szCs w:val="24"/>
          <w:lang w:val="es-MX"/>
        </w:rPr>
        <w:drawing>
          <wp:inline distT="0" distB="0" distL="0" distR="0">
            <wp:extent cx="5448300" cy="4053005"/>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B05C2F.tmp"/>
                    <pic:cNvPicPr/>
                  </pic:nvPicPr>
                  <pic:blipFill>
                    <a:blip r:embed="rId7">
                      <a:extLst>
                        <a:ext uri="{28A0092B-C50C-407E-A947-70E740481C1C}">
                          <a14:useLocalDpi xmlns:a14="http://schemas.microsoft.com/office/drawing/2010/main" val="0"/>
                        </a:ext>
                      </a:extLst>
                    </a:blip>
                    <a:stretch>
                      <a:fillRect/>
                    </a:stretch>
                  </pic:blipFill>
                  <pic:spPr>
                    <a:xfrm>
                      <a:off x="0" y="0"/>
                      <a:ext cx="5467377" cy="4067197"/>
                    </a:xfrm>
                    <a:prstGeom prst="rect">
                      <a:avLst/>
                    </a:prstGeom>
                  </pic:spPr>
                </pic:pic>
              </a:graphicData>
            </a:graphic>
          </wp:inline>
        </w:drawing>
      </w:r>
    </w:p>
    <w:p w:rsidR="003B66D1" w:rsidRDefault="003B66D1" w:rsidP="00403A90">
      <w:pPr>
        <w:pBdr>
          <w:top w:val="nil"/>
          <w:left w:val="nil"/>
          <w:bottom w:val="nil"/>
          <w:right w:val="nil"/>
          <w:between w:val="nil"/>
        </w:pBdr>
        <w:contextualSpacing/>
        <w:rPr>
          <w:rFonts w:eastAsia="Palatino Linotype" w:cs="Palatino Linotype"/>
          <w:color w:val="000000"/>
          <w:szCs w:val="24"/>
        </w:rPr>
      </w:pPr>
    </w:p>
    <w:p w:rsidR="003B66D1" w:rsidRPr="005D5342" w:rsidRDefault="003B66D1" w:rsidP="003B66D1">
      <w:pPr>
        <w:rPr>
          <w:rFonts w:cs="Arial"/>
        </w:rPr>
      </w:pPr>
      <w:r>
        <w:rPr>
          <w:rFonts w:cs="Arial"/>
        </w:rPr>
        <w:t>De lo anterior, se advierte información de 2019 a 2022</w:t>
      </w:r>
      <w:r w:rsidRPr="005D5342">
        <w:rPr>
          <w:rFonts w:cs="Arial"/>
        </w:rPr>
        <w:t>, por lo que se considera que el Sujeto Obligado dejó de observar lo estipulado en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3B66D1" w:rsidRDefault="003B66D1" w:rsidP="003B66D1">
      <w:pPr>
        <w:pStyle w:val="INFOEM"/>
        <w:rPr>
          <w:lang w:eastAsia="es-ES"/>
        </w:rPr>
      </w:pPr>
      <w:r>
        <w:rPr>
          <w:b/>
          <w:lang w:eastAsia="es-ES"/>
        </w:rPr>
        <w:lastRenderedPageBreak/>
        <w:t>Artículo 11.</w:t>
      </w:r>
      <w:r>
        <w:rPr>
          <w:lang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3B66D1" w:rsidRDefault="003B66D1" w:rsidP="003B66D1">
      <w:pPr>
        <w:pStyle w:val="INFOEM"/>
        <w:rPr>
          <w:lang w:eastAsia="es-ES"/>
        </w:rPr>
      </w:pPr>
      <w:r>
        <w:rPr>
          <w:lang w:eastAsia="es-ES"/>
        </w:rPr>
        <w:t>(…)</w:t>
      </w:r>
    </w:p>
    <w:p w:rsidR="003B66D1" w:rsidRDefault="003B66D1" w:rsidP="003B66D1">
      <w:pPr>
        <w:pStyle w:val="INFOEM"/>
        <w:rPr>
          <w:b/>
          <w:u w:val="single"/>
          <w:lang w:eastAsia="es-ES"/>
        </w:rPr>
      </w:pPr>
      <w:r>
        <w:rPr>
          <w:b/>
          <w:lang w:eastAsia="es-ES"/>
        </w:rPr>
        <w:t>Artículo 161.</w:t>
      </w:r>
      <w:r>
        <w:rPr>
          <w:lang w:eastAsia="es-ES"/>
        </w:rPr>
        <w:t xml:space="preserve"> </w:t>
      </w:r>
      <w:r>
        <w:rPr>
          <w:b/>
          <w:lang w:eastAsia="es-ES"/>
        </w:rPr>
        <w:t>Cuando la información requerida por el solicitante ya esté disponible al público</w:t>
      </w:r>
      <w:r>
        <w:rPr>
          <w:lang w:eastAsia="es-ES"/>
        </w:rPr>
        <w:t xml:space="preserve"> en medios impresos, tales como libros, compendios, trípticos, registros públicos, </w:t>
      </w:r>
      <w:r>
        <w:rPr>
          <w:b/>
          <w:lang w:eastAsia="es-ES"/>
        </w:rPr>
        <w:t>en formatos electrónicos disponibles en Internet</w:t>
      </w:r>
      <w:r>
        <w:rPr>
          <w:lang w:eastAsia="es-ES"/>
        </w:rPr>
        <w:t xml:space="preserve"> o en cualquier otro medio</w:t>
      </w:r>
      <w:r>
        <w:rPr>
          <w:b/>
          <w:u w:val="single"/>
          <w:lang w:eastAsia="es-ES"/>
        </w:rPr>
        <w:t>,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3B66D1" w:rsidRDefault="003B66D1" w:rsidP="003B66D1">
      <w:pPr>
        <w:rPr>
          <w:rFonts w:cs="Arial"/>
        </w:rPr>
      </w:pPr>
    </w:p>
    <w:p w:rsidR="003B66D1" w:rsidRPr="005D5342" w:rsidRDefault="003B66D1" w:rsidP="003B66D1">
      <w:pPr>
        <w:rPr>
          <w:rFonts w:cs="Arial"/>
        </w:rPr>
      </w:pPr>
      <w:r w:rsidRPr="005D5342">
        <w:rPr>
          <w:rFonts w:cs="Arial"/>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3B66D1" w:rsidRPr="005D5342" w:rsidRDefault="003B66D1" w:rsidP="003B66D1">
      <w:pPr>
        <w:rPr>
          <w:rFonts w:cs="Arial"/>
        </w:rPr>
      </w:pPr>
    </w:p>
    <w:p w:rsidR="003B66D1" w:rsidRPr="005D5342" w:rsidRDefault="003B66D1" w:rsidP="003B66D1">
      <w:pPr>
        <w:numPr>
          <w:ilvl w:val="0"/>
          <w:numId w:val="9"/>
        </w:numPr>
        <w:ind w:hanging="436"/>
        <w:rPr>
          <w:rFonts w:cs="Arial"/>
        </w:rPr>
      </w:pPr>
      <w:r w:rsidRPr="005D5342">
        <w:rPr>
          <w:rFonts w:cs="Arial"/>
        </w:rPr>
        <w:t>La fuente</w:t>
      </w:r>
    </w:p>
    <w:p w:rsidR="003B66D1" w:rsidRPr="005D5342" w:rsidRDefault="003B66D1" w:rsidP="003B66D1">
      <w:pPr>
        <w:numPr>
          <w:ilvl w:val="0"/>
          <w:numId w:val="9"/>
        </w:numPr>
        <w:ind w:hanging="436"/>
        <w:rPr>
          <w:rFonts w:cs="Arial"/>
        </w:rPr>
      </w:pPr>
      <w:r w:rsidRPr="005D5342">
        <w:rPr>
          <w:rFonts w:cs="Arial"/>
        </w:rPr>
        <w:lastRenderedPageBreak/>
        <w:t>El lugar y</w:t>
      </w:r>
    </w:p>
    <w:p w:rsidR="003B66D1" w:rsidRPr="005D5342" w:rsidRDefault="003B66D1" w:rsidP="003B66D1">
      <w:pPr>
        <w:numPr>
          <w:ilvl w:val="0"/>
          <w:numId w:val="9"/>
        </w:numPr>
        <w:ind w:hanging="436"/>
        <w:rPr>
          <w:rFonts w:cs="Arial"/>
        </w:rPr>
      </w:pPr>
      <w:r w:rsidRPr="005D5342">
        <w:rPr>
          <w:rFonts w:cs="Arial"/>
        </w:rPr>
        <w:t xml:space="preserve">La forma </w:t>
      </w:r>
    </w:p>
    <w:p w:rsidR="003B66D1" w:rsidRPr="005D5342" w:rsidRDefault="003B66D1" w:rsidP="003B66D1">
      <w:pPr>
        <w:rPr>
          <w:rFonts w:cs="Arial"/>
        </w:rPr>
      </w:pPr>
      <w:r w:rsidRPr="005D5342">
        <w:rPr>
          <w:rFonts w:cs="Arial"/>
        </w:rPr>
        <w:t>Asimismo, se establece que la fuente de la información deberá ser:</w:t>
      </w:r>
    </w:p>
    <w:p w:rsidR="003B66D1" w:rsidRPr="003B66D1" w:rsidRDefault="003B66D1" w:rsidP="003B66D1">
      <w:pPr>
        <w:numPr>
          <w:ilvl w:val="0"/>
          <w:numId w:val="10"/>
        </w:numPr>
        <w:ind w:left="709" w:hanging="425"/>
        <w:rPr>
          <w:rFonts w:cs="Arial"/>
        </w:rPr>
      </w:pPr>
      <w:r w:rsidRPr="003B66D1">
        <w:rPr>
          <w:rFonts w:cs="Arial"/>
        </w:rPr>
        <w:t>Precisa</w:t>
      </w:r>
    </w:p>
    <w:p w:rsidR="003B66D1" w:rsidRPr="003B66D1" w:rsidRDefault="003B66D1" w:rsidP="003B66D1">
      <w:pPr>
        <w:numPr>
          <w:ilvl w:val="0"/>
          <w:numId w:val="10"/>
        </w:numPr>
        <w:ind w:left="709" w:hanging="425"/>
        <w:rPr>
          <w:rFonts w:cs="Arial"/>
        </w:rPr>
      </w:pPr>
      <w:r w:rsidRPr="003B66D1">
        <w:rPr>
          <w:rFonts w:cs="Arial"/>
        </w:rPr>
        <w:t>Concreta</w:t>
      </w:r>
    </w:p>
    <w:p w:rsidR="003B66D1" w:rsidRPr="003B66D1" w:rsidRDefault="003B66D1" w:rsidP="003B66D1">
      <w:pPr>
        <w:numPr>
          <w:ilvl w:val="0"/>
          <w:numId w:val="10"/>
        </w:numPr>
        <w:ind w:left="709" w:hanging="425"/>
        <w:rPr>
          <w:rFonts w:cs="Arial"/>
          <w:b/>
        </w:rPr>
      </w:pPr>
      <w:r w:rsidRPr="003B66D1">
        <w:rPr>
          <w:rFonts w:cs="Arial"/>
          <w:b/>
        </w:rPr>
        <w:t>Y no debe implicar que el solicitante realice una búsqueda en toda la información que se encuentre disponible.</w:t>
      </w:r>
    </w:p>
    <w:p w:rsidR="003B66D1" w:rsidRDefault="003B66D1" w:rsidP="00403A90">
      <w:pPr>
        <w:pBdr>
          <w:top w:val="nil"/>
          <w:left w:val="nil"/>
          <w:bottom w:val="nil"/>
          <w:right w:val="nil"/>
          <w:between w:val="nil"/>
        </w:pBdr>
        <w:contextualSpacing/>
        <w:rPr>
          <w:rFonts w:eastAsia="Palatino Linotype" w:cs="Palatino Linotype"/>
          <w:color w:val="000000"/>
          <w:szCs w:val="24"/>
        </w:rPr>
      </w:pPr>
    </w:p>
    <w:p w:rsidR="003B66D1" w:rsidRPr="003B66D1" w:rsidRDefault="00403A90" w:rsidP="00403A90">
      <w:pPr>
        <w:pBdr>
          <w:top w:val="nil"/>
          <w:left w:val="nil"/>
          <w:bottom w:val="nil"/>
          <w:right w:val="nil"/>
          <w:between w:val="nil"/>
        </w:pBdr>
        <w:contextualSpacing/>
        <w:rPr>
          <w:rFonts w:eastAsia="Palatino Linotype" w:cs="Palatino Linotype"/>
          <w:i/>
          <w:color w:val="000000"/>
          <w:szCs w:val="24"/>
        </w:rPr>
      </w:pPr>
      <w:r w:rsidRPr="007657CF">
        <w:rPr>
          <w:rFonts w:eastAsia="Palatino Linotype" w:cs="Palatino Linotype"/>
          <w:color w:val="000000"/>
          <w:szCs w:val="24"/>
        </w:rPr>
        <w:t xml:space="preserve">Ante la respuesta emitida por el Sujeto Obligado, </w:t>
      </w:r>
      <w:r>
        <w:rPr>
          <w:rFonts w:eastAsia="Palatino Linotype" w:cs="Palatino Linotype"/>
          <w:color w:val="000000"/>
          <w:szCs w:val="24"/>
        </w:rPr>
        <w:t>el</w:t>
      </w:r>
      <w:r w:rsidRPr="007657CF">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Pr>
          <w:rFonts w:eastAsia="Palatino Linotype" w:cs="Palatino Linotype"/>
          <w:color w:val="000000"/>
          <w:szCs w:val="24"/>
        </w:rPr>
        <w:t xml:space="preserve"> que </w:t>
      </w:r>
      <w:r w:rsidR="003B66D1">
        <w:rPr>
          <w:rFonts w:eastAsia="Palatino Linotype" w:cs="Palatino Linotype"/>
          <w:color w:val="000000"/>
          <w:szCs w:val="24"/>
        </w:rPr>
        <w:t>“</w:t>
      </w:r>
      <w:r w:rsidR="003B66D1" w:rsidRPr="003B66D1">
        <w:rPr>
          <w:rFonts w:eastAsia="Palatino Linotype" w:cs="Palatino Linotype"/>
          <w:i/>
          <w:color w:val="000000"/>
          <w:szCs w:val="24"/>
        </w:rPr>
        <w:t>La respuesta otorgada a mi solicitud por parte del ayuntamiento de Timilpan</w:t>
      </w:r>
      <w:r w:rsidR="003B66D1">
        <w:rPr>
          <w:rFonts w:eastAsia="Palatino Linotype" w:cs="Palatino Linotype"/>
          <w:i/>
          <w:color w:val="000000"/>
          <w:szCs w:val="24"/>
        </w:rPr>
        <w:t>”(Sic)</w:t>
      </w:r>
      <w:r>
        <w:rPr>
          <w:rFonts w:eastAsia="Palatino Linotype" w:cs="Palatino Linotype"/>
          <w:color w:val="000000"/>
          <w:szCs w:val="24"/>
        </w:rPr>
        <w:t xml:space="preserve">; dando como motivos de inconformidad que </w:t>
      </w:r>
      <w:r w:rsidR="003B66D1">
        <w:rPr>
          <w:rFonts w:eastAsia="Palatino Linotype" w:cs="Palatino Linotype"/>
          <w:color w:val="000000"/>
          <w:szCs w:val="24"/>
        </w:rPr>
        <w:t>“</w:t>
      </w:r>
      <w:r w:rsidR="003B66D1" w:rsidRPr="003B66D1">
        <w:rPr>
          <w:rFonts w:eastAsia="Palatino Linotype" w:cs="Palatino Linotype"/>
          <w:i/>
          <w:color w:val="000000"/>
          <w:szCs w:val="24"/>
        </w:rPr>
        <w:t>El responsable amparándose falsamente en hechos que no han sucedido y argumentando seguridad no otorga la información que se le requirió, cabe destacar que muchos ciudadanos han solicitado la misma y no se ha atendido debidamente.</w:t>
      </w:r>
      <w:r w:rsidR="003B66D1">
        <w:rPr>
          <w:rFonts w:eastAsia="Palatino Linotype" w:cs="Palatino Linotype"/>
          <w:i/>
          <w:color w:val="000000"/>
          <w:szCs w:val="24"/>
        </w:rPr>
        <w:t>” (Sic)</w:t>
      </w: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p>
    <w:p w:rsidR="00403A90" w:rsidRPr="006939B2" w:rsidRDefault="00403A90" w:rsidP="00403A90">
      <w:pPr>
        <w:pBdr>
          <w:top w:val="nil"/>
          <w:left w:val="nil"/>
          <w:bottom w:val="nil"/>
          <w:right w:val="nil"/>
          <w:between w:val="nil"/>
        </w:pBdr>
        <w:contextualSpacing/>
      </w:pPr>
      <w:r w:rsidRPr="006939B2">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403A90" w:rsidRPr="007657CF" w:rsidRDefault="00403A90" w:rsidP="00403A90">
      <w:pPr>
        <w:pBdr>
          <w:top w:val="nil"/>
          <w:left w:val="nil"/>
          <w:bottom w:val="nil"/>
          <w:right w:val="nil"/>
          <w:between w:val="nil"/>
        </w:pBdr>
        <w:contextualSpacing/>
      </w:pPr>
    </w:p>
    <w:p w:rsidR="00403A90" w:rsidRPr="007657CF" w:rsidRDefault="00403A90" w:rsidP="00403A90">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lastRenderedPageBreak/>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rsidR="00403A90" w:rsidRDefault="00403A90" w:rsidP="00403A90">
      <w:pPr>
        <w:rPr>
          <w:rFonts w:eastAsia="Palatino Linotype" w:cs="Palatino Linotype"/>
          <w:szCs w:val="24"/>
        </w:rPr>
      </w:pPr>
    </w:p>
    <w:p w:rsidR="00CB7B0F" w:rsidRDefault="00CB7B0F" w:rsidP="00403A90">
      <w:pPr>
        <w:rPr>
          <w:rFonts w:eastAsia="Palatino Linotype" w:cs="Palatino Linotype"/>
          <w:szCs w:val="24"/>
        </w:rPr>
      </w:pPr>
      <w:r>
        <w:rPr>
          <w:rFonts w:eastAsia="Palatino Linotype" w:cs="Palatino Linotype"/>
          <w:szCs w:val="24"/>
        </w:rPr>
        <w:t>Para delimitar esferas competenciales, es importante traer a colación el Bando Municipal de T</w:t>
      </w:r>
      <w:r w:rsidR="00925990">
        <w:rPr>
          <w:rFonts w:eastAsia="Palatino Linotype" w:cs="Palatino Linotype"/>
          <w:szCs w:val="24"/>
        </w:rPr>
        <w:t>imilpan</w:t>
      </w:r>
      <w:r>
        <w:rPr>
          <w:rFonts w:eastAsia="Palatino Linotype" w:cs="Palatino Linotype"/>
          <w:szCs w:val="24"/>
        </w:rPr>
        <w:t xml:space="preserve"> en </w:t>
      </w:r>
      <w:r w:rsidR="00925990">
        <w:rPr>
          <w:rFonts w:eastAsia="Palatino Linotype" w:cs="Palatino Linotype"/>
          <w:szCs w:val="24"/>
        </w:rPr>
        <w:t>su</w:t>
      </w:r>
      <w:r>
        <w:rPr>
          <w:rFonts w:eastAsia="Palatino Linotype" w:cs="Palatino Linotype"/>
          <w:szCs w:val="24"/>
        </w:rPr>
        <w:t xml:space="preserve"> </w:t>
      </w:r>
      <w:r w:rsidR="00925990">
        <w:rPr>
          <w:rFonts w:eastAsia="Palatino Linotype" w:cs="Palatino Linotype"/>
          <w:szCs w:val="24"/>
        </w:rPr>
        <w:t>artículo 38, precepto normativo que establece lo siguiente</w:t>
      </w:r>
      <w:r>
        <w:rPr>
          <w:rFonts w:eastAsia="Palatino Linotype" w:cs="Palatino Linotype"/>
          <w:szCs w:val="24"/>
        </w:rPr>
        <w:t xml:space="preserve">: </w:t>
      </w:r>
    </w:p>
    <w:p w:rsidR="003B37D5" w:rsidRDefault="003B37D5" w:rsidP="00CB7B0F">
      <w:pPr>
        <w:pStyle w:val="CitasINFOEM"/>
        <w:rPr>
          <w:b/>
        </w:rPr>
      </w:pPr>
    </w:p>
    <w:p w:rsidR="00CB7B0F" w:rsidRDefault="00CB7B0F" w:rsidP="00CB7B0F">
      <w:pPr>
        <w:pStyle w:val="CitasINFOEM"/>
      </w:pPr>
      <w:r>
        <w:rPr>
          <w:b/>
        </w:rPr>
        <w:t xml:space="preserve">Articulo 38.- </w:t>
      </w:r>
      <w:r>
        <w:t>Para el despacho de los asuntos de la Administración Pública Municipal, el Presidente Municipal se auxilia de las siguientes dependencias:</w:t>
      </w:r>
    </w:p>
    <w:p w:rsidR="00CB7B0F" w:rsidRDefault="00CB7B0F" w:rsidP="00CB7B0F">
      <w:pPr>
        <w:pStyle w:val="CitasINFOEM"/>
      </w:pPr>
      <w:r>
        <w:rPr>
          <w:b/>
        </w:rPr>
        <w:t>(…</w:t>
      </w:r>
      <w:r>
        <w:t>)</w:t>
      </w:r>
    </w:p>
    <w:p w:rsidR="00CB7B0F" w:rsidRPr="00CB7B0F" w:rsidRDefault="00CB7B0F" w:rsidP="00CB7B0F">
      <w:pPr>
        <w:pStyle w:val="CitasINFOEM"/>
      </w:pPr>
      <w:r>
        <w:rPr>
          <w:b/>
        </w:rPr>
        <w:t xml:space="preserve">II. </w:t>
      </w:r>
      <w:r>
        <w:t>Tesorería Municipal.</w:t>
      </w:r>
    </w:p>
    <w:p w:rsidR="00CB7B0F" w:rsidRDefault="00CB7B0F" w:rsidP="00403A90">
      <w:pPr>
        <w:rPr>
          <w:rFonts w:eastAsia="Palatino Linotype" w:cs="Palatino Linotype"/>
          <w:szCs w:val="24"/>
        </w:rPr>
      </w:pPr>
    </w:p>
    <w:p w:rsidR="00925990" w:rsidRPr="005E4EB4" w:rsidRDefault="00925990" w:rsidP="00925990">
      <w:pPr>
        <w:spacing w:before="240" w:after="360"/>
        <w:ind w:right="49"/>
        <w:rPr>
          <w:rFonts w:cs="Arial"/>
          <w:szCs w:val="24"/>
        </w:rPr>
      </w:pPr>
      <w:r>
        <w:rPr>
          <w:rFonts w:cs="Arial"/>
          <w:szCs w:val="24"/>
        </w:rPr>
        <w:t>Así mismo</w:t>
      </w:r>
      <w:r w:rsidRPr="005E4EB4">
        <w:rPr>
          <w:rFonts w:cs="Arial"/>
          <w:szCs w:val="24"/>
        </w:rPr>
        <w:t>, se advierte que la relación laboral entre un servidor público y el Estado se formaliza mediante nombramiento, contrato, formato único de movimientos de personal o por encontrarse en lista de raya.</w:t>
      </w:r>
      <w:r>
        <w:rPr>
          <w:rFonts w:cs="Arial"/>
          <w:szCs w:val="24"/>
        </w:rPr>
        <w:t xml:space="preserve"> </w:t>
      </w:r>
      <w:r w:rsidRPr="005E4EB4">
        <w:rPr>
          <w:rFonts w:cs="Arial"/>
          <w:szCs w:val="24"/>
        </w:rPr>
        <w:t>Bajo esta óptica, tratándose de servidores públicos de los Municipios la Ley del Trabajo de los Servidores Públicos del Estado y Municipios, en su artículo 220-K, establece lo siguiente:</w:t>
      </w:r>
    </w:p>
    <w:p w:rsidR="00925990" w:rsidRPr="00F975C8" w:rsidRDefault="00925990" w:rsidP="00925990">
      <w:pPr>
        <w:tabs>
          <w:tab w:val="left" w:pos="9072"/>
        </w:tabs>
        <w:spacing w:before="240" w:line="276" w:lineRule="auto"/>
        <w:ind w:left="851" w:right="902"/>
        <w:rPr>
          <w:bCs/>
          <w:i/>
        </w:rPr>
      </w:pPr>
      <w:r w:rsidRPr="00F975C8">
        <w:rPr>
          <w:b/>
          <w:bCs/>
          <w:i/>
        </w:rPr>
        <w:t>“ARTÍCULO 220 K.-</w:t>
      </w:r>
      <w:r w:rsidRPr="00F975C8">
        <w:rPr>
          <w:bCs/>
          <w:i/>
        </w:rPr>
        <w:t xml:space="preserve"> La institución o dependencia pública tiene la obligación de conservar y exhibir en el proceso los documentos que a continuación se precisan:</w:t>
      </w:r>
    </w:p>
    <w:p w:rsidR="00925990" w:rsidRPr="00F975C8" w:rsidRDefault="00925990" w:rsidP="00925990">
      <w:pPr>
        <w:tabs>
          <w:tab w:val="left" w:pos="9072"/>
        </w:tabs>
        <w:spacing w:before="240" w:line="276" w:lineRule="auto"/>
        <w:ind w:left="851" w:right="902"/>
        <w:rPr>
          <w:bCs/>
          <w:i/>
        </w:rPr>
      </w:pPr>
      <w:r>
        <w:rPr>
          <w:bCs/>
          <w:i/>
        </w:rPr>
        <w:t>(</w:t>
      </w:r>
      <w:r w:rsidRPr="00F975C8">
        <w:rPr>
          <w:bCs/>
          <w:i/>
        </w:rPr>
        <w:t>…</w:t>
      </w:r>
      <w:r>
        <w:rPr>
          <w:bCs/>
          <w:i/>
        </w:rPr>
        <w:t>)</w:t>
      </w:r>
    </w:p>
    <w:p w:rsidR="00925990" w:rsidRPr="00F975C8" w:rsidRDefault="00925990" w:rsidP="00925990">
      <w:pPr>
        <w:tabs>
          <w:tab w:val="left" w:pos="9072"/>
        </w:tabs>
        <w:spacing w:before="240" w:line="276" w:lineRule="auto"/>
        <w:ind w:left="851" w:right="902"/>
        <w:rPr>
          <w:bCs/>
          <w:i/>
        </w:rPr>
      </w:pPr>
      <w:r w:rsidRPr="00F975C8">
        <w:rPr>
          <w:bCs/>
          <w:i/>
        </w:rPr>
        <w:t xml:space="preserve">II. </w:t>
      </w:r>
      <w:r w:rsidRPr="00F9164E">
        <w:rPr>
          <w:b/>
          <w:i/>
          <w:u w:val="single"/>
        </w:rPr>
        <w:t xml:space="preserve">Recibos de pagos de salarios </w:t>
      </w:r>
      <w:r w:rsidRPr="0039245A">
        <w:rPr>
          <w:b/>
          <w:i/>
          <w:u w:val="single"/>
        </w:rPr>
        <w:t xml:space="preserve">o las constancias documentales del pago de salario </w:t>
      </w:r>
      <w:r w:rsidRPr="00F975C8">
        <w:rPr>
          <w:bCs/>
          <w:i/>
        </w:rPr>
        <w:t>cuando sea por depósito o mediante información electrónica;</w:t>
      </w:r>
    </w:p>
    <w:p w:rsidR="00925990" w:rsidRPr="00F975C8" w:rsidRDefault="00925990" w:rsidP="00925990">
      <w:pPr>
        <w:tabs>
          <w:tab w:val="left" w:pos="9072"/>
        </w:tabs>
        <w:spacing w:before="240" w:line="276" w:lineRule="auto"/>
        <w:ind w:left="851" w:right="902"/>
        <w:rPr>
          <w:bCs/>
          <w:i/>
        </w:rPr>
      </w:pPr>
      <w:r>
        <w:rPr>
          <w:bCs/>
          <w:i/>
        </w:rPr>
        <w:t>(</w:t>
      </w:r>
      <w:r w:rsidRPr="00F975C8">
        <w:rPr>
          <w:bCs/>
          <w:i/>
        </w:rPr>
        <w:t>…</w:t>
      </w:r>
      <w:r>
        <w:rPr>
          <w:bCs/>
          <w:i/>
        </w:rPr>
        <w:t>)</w:t>
      </w:r>
    </w:p>
    <w:p w:rsidR="00925990" w:rsidRPr="00F975C8" w:rsidRDefault="00925990" w:rsidP="00925990">
      <w:pPr>
        <w:tabs>
          <w:tab w:val="left" w:pos="9072"/>
        </w:tabs>
        <w:spacing w:before="240" w:line="276" w:lineRule="auto"/>
        <w:ind w:left="851" w:right="902"/>
        <w:rPr>
          <w:bCs/>
          <w:i/>
        </w:rPr>
      </w:pPr>
      <w:r w:rsidRPr="00F975C8">
        <w:rPr>
          <w:bCs/>
          <w:i/>
        </w:rPr>
        <w:lastRenderedPageBreak/>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925990" w:rsidRDefault="00925990" w:rsidP="00925990">
      <w:pPr>
        <w:tabs>
          <w:tab w:val="left" w:pos="9072"/>
        </w:tabs>
        <w:spacing w:before="240" w:line="276" w:lineRule="auto"/>
        <w:ind w:left="851" w:right="902"/>
        <w:rPr>
          <w:b/>
          <w:bCs/>
          <w:i/>
        </w:rPr>
      </w:pPr>
      <w:r w:rsidRPr="00F975C8">
        <w:rPr>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b/>
          <w:bCs/>
          <w:i/>
        </w:rPr>
        <w:t>”</w:t>
      </w:r>
      <w:r>
        <w:rPr>
          <w:b/>
          <w:bCs/>
          <w:i/>
        </w:rPr>
        <w:t xml:space="preserve"> [Sic]</w:t>
      </w:r>
    </w:p>
    <w:p w:rsidR="00925990" w:rsidRDefault="00925990" w:rsidP="00925990">
      <w:pPr>
        <w:tabs>
          <w:tab w:val="left" w:pos="9072"/>
        </w:tabs>
        <w:spacing w:before="240" w:line="276" w:lineRule="auto"/>
        <w:ind w:left="851" w:right="902"/>
        <w:rPr>
          <w:b/>
          <w:bCs/>
          <w:i/>
        </w:rPr>
      </w:pPr>
    </w:p>
    <w:p w:rsidR="00925990" w:rsidRDefault="00925990" w:rsidP="00925990">
      <w:pPr>
        <w:spacing w:before="240" w:after="240"/>
        <w:ind w:right="49"/>
        <w:rPr>
          <w:rFonts w:cs="Arial"/>
          <w:szCs w:val="24"/>
        </w:rPr>
      </w:pPr>
      <w:r>
        <w:rPr>
          <w:rFonts w:cs="Arial"/>
          <w:szCs w:val="24"/>
        </w:rPr>
        <w:t>En suma</w:t>
      </w:r>
      <w:r w:rsidRPr="007658D5">
        <w:rPr>
          <w:rFonts w:cs="Arial"/>
          <w:szCs w:val="24"/>
        </w:rPr>
        <w:t>,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CB7B0F" w:rsidRDefault="00CB7B0F" w:rsidP="00CB7B0F">
      <w:pPr>
        <w:pStyle w:val="Prrafodelista"/>
        <w:rPr>
          <w:rFonts w:cs="Arial"/>
        </w:rPr>
      </w:pPr>
    </w:p>
    <w:p w:rsidR="00CB7B0F" w:rsidRPr="00437660" w:rsidRDefault="00CB7B0F" w:rsidP="00CB7B0F">
      <w:pPr>
        <w:rPr>
          <w:rFonts w:cs="Arial"/>
          <w:i/>
          <w:szCs w:val="24"/>
        </w:rPr>
      </w:pPr>
      <w:r w:rsidRPr="00437660">
        <w:rPr>
          <w:rFonts w:cs="Arial"/>
          <w:szCs w:val="24"/>
        </w:rPr>
        <w:t xml:space="preserve">Además, la </w:t>
      </w:r>
      <w:r w:rsidRPr="00437660">
        <w:rPr>
          <w:rFonts w:cs="Arial"/>
          <w:b/>
          <w:szCs w:val="24"/>
        </w:rPr>
        <w:t>Ley Orgánica Municipal del Estado de México</w:t>
      </w:r>
      <w:r w:rsidRPr="00437660">
        <w:rPr>
          <w:rFonts w:cs="Arial"/>
          <w:szCs w:val="24"/>
        </w:rPr>
        <w:t xml:space="preserve"> en el artículo 31 fracción XIX establece como atribución de los Ayuntamientos aprobar su </w:t>
      </w:r>
      <w:r w:rsidRPr="00437660">
        <w:rPr>
          <w:rFonts w:cs="Arial"/>
          <w:b/>
          <w:szCs w:val="24"/>
          <w:u w:val="single"/>
        </w:rPr>
        <w:t>Presupuesto de Egresos</w:t>
      </w:r>
      <w:r w:rsidRPr="00437660">
        <w:rPr>
          <w:rFonts w:cs="Arial"/>
          <w:szCs w:val="24"/>
        </w:rPr>
        <w:t>, y al hacerlo deberán señalar “</w:t>
      </w:r>
      <w:r w:rsidRPr="00437660">
        <w:rPr>
          <w:b/>
          <w:i/>
          <w:szCs w:val="24"/>
          <w:u w:val="single"/>
        </w:rPr>
        <w:t>la remuneración</w:t>
      </w:r>
      <w:r w:rsidRPr="00437660">
        <w:rPr>
          <w:i/>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437660">
        <w:rPr>
          <w:szCs w:val="24"/>
        </w:rPr>
        <w:t>“ y además</w:t>
      </w:r>
      <w:r w:rsidRPr="00437660">
        <w:rPr>
          <w:rFonts w:cs="Arial"/>
          <w:szCs w:val="24"/>
        </w:rPr>
        <w:t xml:space="preserve"> “</w:t>
      </w:r>
      <w:r w:rsidRPr="00437660">
        <w:rPr>
          <w:i/>
          <w:szCs w:val="24"/>
        </w:rPr>
        <w:t xml:space="preserve">las remuneraciones de todo tipo del Presidente Municipal, Síndicos, Regidores y servidores públicos en general, </w:t>
      </w:r>
      <w:r w:rsidRPr="00437660">
        <w:rPr>
          <w:i/>
          <w:szCs w:val="24"/>
        </w:rPr>
        <w:lastRenderedPageBreak/>
        <w:t xml:space="preserve">incluyendo mandos medios y superiores de la administración municipal, </w:t>
      </w:r>
      <w:r w:rsidRPr="00437660">
        <w:rPr>
          <w:b/>
          <w:i/>
          <w:szCs w:val="24"/>
        </w:rPr>
        <w:t>serán determinadas anualmente en el presupuesto de egresos</w:t>
      </w:r>
      <w:r w:rsidRPr="00437660">
        <w:rPr>
          <w:i/>
          <w:szCs w:val="24"/>
        </w:rPr>
        <w:t xml:space="preserve"> correspondiente y se sujetarán a los lineamientos legales establecidos para todos los servidores públicos municipales</w:t>
      </w:r>
      <w:r w:rsidRPr="00437660">
        <w:rPr>
          <w:szCs w:val="24"/>
        </w:rPr>
        <w:t>”.</w:t>
      </w:r>
      <w:r w:rsidRPr="00437660">
        <w:rPr>
          <w:i/>
          <w:szCs w:val="24"/>
        </w:rPr>
        <w:t>(…)</w:t>
      </w:r>
    </w:p>
    <w:p w:rsidR="00CB7B0F" w:rsidRPr="00437660" w:rsidRDefault="00CB7B0F" w:rsidP="00CB7B0F">
      <w:pPr>
        <w:autoSpaceDE w:val="0"/>
        <w:autoSpaceDN w:val="0"/>
        <w:adjustRightInd w:val="0"/>
        <w:rPr>
          <w:rFonts w:cs="Arial"/>
          <w:szCs w:val="24"/>
        </w:rPr>
      </w:pPr>
    </w:p>
    <w:p w:rsidR="00CB7B0F" w:rsidRPr="00437660" w:rsidRDefault="00CB7B0F" w:rsidP="00CB7B0F">
      <w:pPr>
        <w:autoSpaceDE w:val="0"/>
        <w:autoSpaceDN w:val="0"/>
        <w:adjustRightInd w:val="0"/>
        <w:rPr>
          <w:rFonts w:cs="Arial"/>
          <w:szCs w:val="24"/>
        </w:rPr>
      </w:pPr>
      <w:r w:rsidRPr="00437660">
        <w:rPr>
          <w:rFonts w:cs="Arial"/>
          <w:szCs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rsidR="00CB7B0F" w:rsidRPr="00040A41" w:rsidRDefault="00CB7B0F" w:rsidP="00CB7B0F">
      <w:pPr>
        <w:rPr>
          <w:rFonts w:eastAsia="Palatino Linotype" w:cs="Palatino Linotype"/>
          <w:szCs w:val="24"/>
        </w:rPr>
      </w:pPr>
    </w:p>
    <w:p w:rsidR="00CB7B0F" w:rsidRPr="00040A41" w:rsidRDefault="00CB7B0F" w:rsidP="00CB7B0F">
      <w:pPr>
        <w:rPr>
          <w:rFonts w:eastAsia="Palatino Linotype" w:cs="Palatino Linotype"/>
          <w:szCs w:val="24"/>
        </w:rPr>
      </w:pPr>
      <w:r w:rsidRPr="00EB245F">
        <w:rPr>
          <w:rFonts w:eastAsia="Palatino Linotype" w:cs="Palatino Linotype"/>
          <w:szCs w:val="24"/>
        </w:rPr>
        <w:t>De tal forma que es menester establecer que el contenido de los CFDI o en el presente caso, de los recibos de nómina está regulado en el Código Fiscal de la Federación que en sus artículos 29 y 29 A en su parte conducente establecen lo siguiente:</w:t>
      </w:r>
    </w:p>
    <w:p w:rsidR="00CB7B0F" w:rsidRPr="00040A41" w:rsidRDefault="00CB7B0F" w:rsidP="00CB7B0F">
      <w:pPr>
        <w:rPr>
          <w:rFonts w:eastAsia="Palatino Linotype" w:cs="Palatino Linotype"/>
          <w:szCs w:val="24"/>
        </w:rPr>
      </w:pPr>
    </w:p>
    <w:p w:rsidR="00CB7B0F" w:rsidRPr="00040A41" w:rsidRDefault="00CB7B0F" w:rsidP="00CB7B0F">
      <w:pPr>
        <w:pStyle w:val="Fundamentos"/>
        <w:rPr>
          <w:lang w:val="es-MX"/>
        </w:rPr>
      </w:pPr>
      <w:bookmarkStart w:id="1" w:name="Artículo_29"/>
      <w:r w:rsidRPr="00040A41">
        <w:rPr>
          <w:b/>
          <w:lang w:val="es-MX"/>
        </w:rPr>
        <w:t>Artículo 29</w:t>
      </w:r>
      <w:bookmarkEnd w:id="1"/>
      <w:r w:rsidRPr="00040A41">
        <w:rPr>
          <w:b/>
          <w:lang w:val="es-MX"/>
        </w:rPr>
        <w:t>.</w:t>
      </w:r>
      <w:r w:rsidRPr="00040A41">
        <w:rPr>
          <w:lang w:val="es-MX"/>
        </w:rPr>
        <w:t xml:space="preserve"> </w:t>
      </w:r>
      <w:r w:rsidRPr="00040A41">
        <w:rPr>
          <w:b/>
          <w:u w:val="single"/>
          <w:lang w:val="es-MX"/>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w:t>
      </w:r>
      <w:r w:rsidRPr="00040A41">
        <w:rPr>
          <w:lang w:val="es-MX"/>
        </w:rPr>
        <w:t>.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rsidR="00CB7B0F" w:rsidRPr="00040A41" w:rsidRDefault="00CB7B0F" w:rsidP="00CB7B0F">
      <w:pPr>
        <w:pStyle w:val="Fundamentos"/>
        <w:rPr>
          <w:lang w:val="es-MX"/>
        </w:rPr>
      </w:pPr>
      <w:r w:rsidRPr="00040A41">
        <w:rPr>
          <w:lang w:val="es-MX"/>
        </w:rPr>
        <w:t>(…)</w:t>
      </w:r>
    </w:p>
    <w:p w:rsidR="00CB7B0F" w:rsidRPr="00040A41" w:rsidRDefault="00CB7B0F" w:rsidP="00CB7B0F">
      <w:pPr>
        <w:pStyle w:val="Fundamentos"/>
      </w:pPr>
    </w:p>
    <w:p w:rsidR="00CB7B0F" w:rsidRPr="00040A41" w:rsidRDefault="00CB7B0F" w:rsidP="00CB7B0F">
      <w:pPr>
        <w:pStyle w:val="Fundamentos"/>
        <w:rPr>
          <w:lang w:val="es-ES"/>
        </w:rPr>
      </w:pPr>
    </w:p>
    <w:p w:rsidR="00CB7B0F" w:rsidRPr="00040A41" w:rsidRDefault="00CB7B0F" w:rsidP="00CB7B0F">
      <w:pPr>
        <w:pStyle w:val="Fundamentos"/>
        <w:rPr>
          <w:lang w:val="es-ES"/>
        </w:rPr>
      </w:pPr>
      <w:bookmarkStart w:id="2" w:name="Artículo_29_A"/>
      <w:r w:rsidRPr="00040A41">
        <w:rPr>
          <w:b/>
          <w:bCs/>
          <w:lang w:val="es-ES"/>
        </w:rPr>
        <w:t xml:space="preserve">Artículo </w:t>
      </w:r>
      <w:r w:rsidRPr="00040A41">
        <w:rPr>
          <w:b/>
          <w:lang w:val="es-ES"/>
        </w:rPr>
        <w:t>29-A</w:t>
      </w:r>
      <w:bookmarkEnd w:id="2"/>
      <w:r w:rsidRPr="00040A41">
        <w:rPr>
          <w:b/>
          <w:lang w:val="es-ES"/>
        </w:rPr>
        <w:t xml:space="preserve">. </w:t>
      </w:r>
      <w:r w:rsidRPr="00040A41">
        <w:rPr>
          <w:b/>
          <w:u w:val="single"/>
          <w:lang w:val="es-ES"/>
        </w:rPr>
        <w:t>Los comprobantes fiscales digitales a que se refiere el artículo 29 de este Código, deberán contener los siguientes requisitos</w:t>
      </w:r>
      <w:r w:rsidRPr="00040A41">
        <w:rPr>
          <w:lang w:val="es-ES"/>
        </w:rPr>
        <w:t>:</w:t>
      </w:r>
    </w:p>
    <w:p w:rsidR="00CB7B0F" w:rsidRPr="00040A41" w:rsidRDefault="00CB7B0F" w:rsidP="00CB7B0F">
      <w:pPr>
        <w:pStyle w:val="Fundamentos"/>
        <w:rPr>
          <w:b/>
          <w:bCs/>
          <w:lang w:val="es-ES"/>
        </w:rPr>
      </w:pPr>
    </w:p>
    <w:p w:rsidR="00CB7B0F" w:rsidRPr="00040A41" w:rsidRDefault="00CB7B0F" w:rsidP="00CB7B0F">
      <w:pPr>
        <w:pStyle w:val="Fundamentos"/>
        <w:rPr>
          <w:bCs/>
          <w:lang w:val="es-ES"/>
        </w:rPr>
      </w:pPr>
      <w:r w:rsidRPr="00040A41">
        <w:rPr>
          <w:b/>
          <w:bCs/>
          <w:lang w:val="es-ES"/>
        </w:rPr>
        <w:lastRenderedPageBreak/>
        <w:t>I.</w:t>
      </w:r>
      <w:r w:rsidRPr="00040A41">
        <w:rPr>
          <w:b/>
          <w:bCs/>
          <w:lang w:val="es-ES"/>
        </w:rPr>
        <w:tab/>
      </w:r>
      <w:r w:rsidRPr="00040A41">
        <w:rPr>
          <w:bCs/>
          <w:lang w:val="es-ES"/>
        </w:rPr>
        <w:t>La clave del Registro Federal de Contribuyentes, nombre o razón social de quien los expida y el régimen fiscal en que tributen conforme a la Ley del Impuesto sobre la Renta. Tratándose de contribuyentes que tengan más de un local o establecimiento, se deberá señalar el domicilio del local o establecimiento en el que se expidan los comprobantes fiscales.</w:t>
      </w:r>
    </w:p>
    <w:p w:rsidR="00CB7B0F" w:rsidRPr="00040A41" w:rsidRDefault="00CB7B0F" w:rsidP="00CB7B0F">
      <w:pPr>
        <w:pStyle w:val="Fundamentos"/>
        <w:rPr>
          <w:b/>
          <w:bCs/>
          <w:lang w:val="es-ES"/>
        </w:rPr>
      </w:pPr>
    </w:p>
    <w:p w:rsidR="00CB7B0F" w:rsidRPr="00040A41" w:rsidRDefault="00CB7B0F" w:rsidP="00CB7B0F">
      <w:pPr>
        <w:pStyle w:val="Fundamentos"/>
        <w:rPr>
          <w:bCs/>
          <w:lang w:val="es-ES"/>
        </w:rPr>
      </w:pPr>
      <w:r w:rsidRPr="00040A41">
        <w:rPr>
          <w:b/>
          <w:bCs/>
          <w:lang w:val="es-ES"/>
        </w:rPr>
        <w:t>II.</w:t>
      </w:r>
      <w:r w:rsidRPr="00040A41">
        <w:rPr>
          <w:b/>
          <w:bCs/>
          <w:lang w:val="es-ES"/>
        </w:rPr>
        <w:tab/>
      </w:r>
      <w:r w:rsidRPr="003B37D5">
        <w:rPr>
          <w:bCs/>
          <w:lang w:val="es-ES"/>
        </w:rPr>
        <w:t>El número de folio y el sello digital del Servicio de Administración Tributaria, referidos en la fracción IV, incisos b) y c) del artículo 29 de este Código, así como el sello digital del contribuyente que lo expide.</w:t>
      </w:r>
    </w:p>
    <w:p w:rsidR="00CB7B0F" w:rsidRPr="00040A41" w:rsidRDefault="00CB7B0F" w:rsidP="00CB7B0F">
      <w:pPr>
        <w:pStyle w:val="Fundamentos"/>
        <w:rPr>
          <w:b/>
          <w:bCs/>
          <w:lang w:val="es-ES"/>
        </w:rPr>
      </w:pPr>
    </w:p>
    <w:p w:rsidR="00CB7B0F" w:rsidRPr="00040A41" w:rsidRDefault="00CB7B0F" w:rsidP="00CB7B0F">
      <w:pPr>
        <w:pStyle w:val="Fundamentos"/>
        <w:rPr>
          <w:bCs/>
          <w:lang w:val="es-ES"/>
        </w:rPr>
      </w:pPr>
      <w:r w:rsidRPr="00040A41">
        <w:rPr>
          <w:b/>
          <w:bCs/>
          <w:lang w:val="es-ES"/>
        </w:rPr>
        <w:t>III.</w:t>
      </w:r>
      <w:r w:rsidRPr="00040A41">
        <w:rPr>
          <w:b/>
          <w:bCs/>
          <w:lang w:val="es-ES"/>
        </w:rPr>
        <w:tab/>
      </w:r>
      <w:r w:rsidRPr="00040A41">
        <w:rPr>
          <w:bCs/>
          <w:lang w:val="es-ES"/>
        </w:rPr>
        <w:t>El lugar y fecha de expedición.</w:t>
      </w:r>
    </w:p>
    <w:p w:rsidR="00CB7B0F" w:rsidRPr="00040A41" w:rsidRDefault="00CB7B0F" w:rsidP="00CB7B0F">
      <w:pPr>
        <w:pStyle w:val="Fundamentos"/>
        <w:rPr>
          <w:b/>
          <w:bCs/>
          <w:lang w:val="es-ES"/>
        </w:rPr>
      </w:pPr>
    </w:p>
    <w:p w:rsidR="00CB7B0F" w:rsidRPr="00040A41" w:rsidRDefault="00CB7B0F" w:rsidP="00CB7B0F">
      <w:pPr>
        <w:pStyle w:val="Fundamentos"/>
        <w:rPr>
          <w:bCs/>
          <w:lang w:val="es-ES"/>
        </w:rPr>
      </w:pPr>
      <w:r w:rsidRPr="00040A41">
        <w:rPr>
          <w:b/>
          <w:bCs/>
          <w:lang w:val="es-ES"/>
        </w:rPr>
        <w:t>IV.</w:t>
      </w:r>
      <w:r w:rsidRPr="00040A41">
        <w:rPr>
          <w:b/>
          <w:bCs/>
          <w:lang w:val="es-ES"/>
        </w:rPr>
        <w:tab/>
      </w:r>
      <w:r w:rsidRPr="00040A41">
        <w:rPr>
          <w:bCs/>
          <w:lang w:val="es-ES"/>
        </w:rPr>
        <w:t>La clave del Registro Federal de Contribuyentes, nombre o razón social; así como el código postal del domicilio fiscal de la persona a favor de quien se expida, asimismo, se debe indicar la clave del uso fiscal que el receptor le dará al comprobante fiscal.</w:t>
      </w:r>
    </w:p>
    <w:p w:rsidR="00CB7B0F" w:rsidRPr="00040A41" w:rsidRDefault="00CB7B0F" w:rsidP="00CB7B0F">
      <w:pPr>
        <w:pStyle w:val="Fundamentos"/>
        <w:rPr>
          <w:bCs/>
          <w:lang w:val="es-ES"/>
        </w:rPr>
      </w:pPr>
      <w:r w:rsidRPr="00040A41">
        <w:rPr>
          <w:bCs/>
          <w:lang w:val="es-ES"/>
        </w:rPr>
        <w:t>(…)</w:t>
      </w:r>
    </w:p>
    <w:p w:rsidR="00CB7B0F" w:rsidRPr="00040A41" w:rsidRDefault="00CB7B0F" w:rsidP="00CB7B0F">
      <w:pPr>
        <w:pStyle w:val="Fundamentos"/>
        <w:rPr>
          <w:lang w:val="es-ES"/>
        </w:rPr>
      </w:pPr>
    </w:p>
    <w:p w:rsidR="00CB7B0F" w:rsidRPr="00040A41" w:rsidRDefault="00CB7B0F" w:rsidP="00CB7B0F">
      <w:pPr>
        <w:pStyle w:val="Fundamentos"/>
        <w:rPr>
          <w:bCs/>
          <w:lang w:val="es-ES"/>
        </w:rPr>
      </w:pPr>
      <w:r w:rsidRPr="00040A41">
        <w:rPr>
          <w:b/>
          <w:bCs/>
          <w:lang w:val="es-ES"/>
        </w:rPr>
        <w:t xml:space="preserve">V. </w:t>
      </w:r>
      <w:r w:rsidRPr="00040A41">
        <w:rPr>
          <w:b/>
          <w:bCs/>
          <w:lang w:val="es-ES"/>
        </w:rPr>
        <w:tab/>
      </w:r>
      <w:r w:rsidRPr="00040A41">
        <w:rPr>
          <w:bCs/>
          <w:lang w:val="es-ES"/>
        </w:rPr>
        <w:t>La cantidad, unidad de medida y clase de los bienes o mercancías o descripción del servicio o del uso o goce que amparen, estos datos se asentarán en los comprobantes fiscales digitales por Internet usando los catálogos incluidos en las especificaciones tecnológicas a que se refiere la fracción VI del artículo 29 de este Código.</w:t>
      </w:r>
    </w:p>
    <w:p w:rsidR="00CB7B0F" w:rsidRPr="00040A41" w:rsidRDefault="00CB7B0F" w:rsidP="00CB7B0F">
      <w:pPr>
        <w:pStyle w:val="Fundamentos"/>
      </w:pPr>
      <w:r w:rsidRPr="00040A41">
        <w:t>(…)</w:t>
      </w:r>
    </w:p>
    <w:p w:rsidR="00CB7B0F" w:rsidRPr="00040A41" w:rsidRDefault="00CB7B0F" w:rsidP="00CB7B0F">
      <w:pPr>
        <w:pStyle w:val="Fundamentos"/>
      </w:pPr>
    </w:p>
    <w:p w:rsidR="00CB7B0F" w:rsidRPr="00040A41" w:rsidRDefault="00CB7B0F" w:rsidP="00CB7B0F">
      <w:pPr>
        <w:pStyle w:val="Fundamentos"/>
        <w:rPr>
          <w:lang w:val="es-ES"/>
        </w:rPr>
      </w:pPr>
      <w:r w:rsidRPr="00040A41">
        <w:rPr>
          <w:b/>
          <w:lang w:val="es-ES"/>
        </w:rPr>
        <w:t>VI.</w:t>
      </w:r>
      <w:r w:rsidRPr="00040A41">
        <w:rPr>
          <w:lang w:val="es-ES"/>
        </w:rPr>
        <w:tab/>
        <w:t>El valor unitario consignado en número.</w:t>
      </w:r>
    </w:p>
    <w:p w:rsidR="00CB7B0F" w:rsidRPr="00040A41" w:rsidRDefault="00CB7B0F" w:rsidP="00CB7B0F">
      <w:pPr>
        <w:pStyle w:val="Fundamentos"/>
      </w:pPr>
      <w:r w:rsidRPr="00040A41">
        <w:t>(…)</w:t>
      </w:r>
    </w:p>
    <w:p w:rsidR="00CB7B0F" w:rsidRPr="00040A41" w:rsidRDefault="00CB7B0F" w:rsidP="00CB7B0F">
      <w:pPr>
        <w:pStyle w:val="Fundamentos"/>
      </w:pPr>
    </w:p>
    <w:p w:rsidR="00CB7B0F" w:rsidRPr="00040A41" w:rsidRDefault="00CB7B0F" w:rsidP="00CB7B0F">
      <w:pPr>
        <w:pStyle w:val="Fundamentos"/>
        <w:rPr>
          <w:lang w:val="es-ES"/>
        </w:rPr>
      </w:pPr>
      <w:r w:rsidRPr="00040A41">
        <w:rPr>
          <w:b/>
          <w:lang w:val="es-ES"/>
        </w:rPr>
        <w:t>VII.</w:t>
      </w:r>
      <w:r w:rsidRPr="00040A41">
        <w:rPr>
          <w:lang w:val="es-ES"/>
        </w:rPr>
        <w:tab/>
        <w:t>El importe total consignado en número o letra, conforme a lo siguiente:</w:t>
      </w:r>
    </w:p>
    <w:p w:rsidR="00CB7B0F" w:rsidRPr="00040A41" w:rsidRDefault="00CB7B0F" w:rsidP="00CB7B0F">
      <w:pPr>
        <w:pStyle w:val="Fundamentos"/>
      </w:pPr>
      <w:r w:rsidRPr="00040A41">
        <w:t>(…)</w:t>
      </w:r>
    </w:p>
    <w:p w:rsidR="00CB7B0F" w:rsidRPr="00040A41" w:rsidRDefault="00CB7B0F" w:rsidP="00CB7B0F">
      <w:pPr>
        <w:pStyle w:val="Fundamentos"/>
      </w:pPr>
    </w:p>
    <w:p w:rsidR="00CB7B0F" w:rsidRPr="003B37D5" w:rsidRDefault="00CB7B0F" w:rsidP="00CB7B0F">
      <w:pPr>
        <w:pStyle w:val="Fundamentos"/>
        <w:rPr>
          <w:bCs/>
          <w:lang w:val="es-ES"/>
        </w:rPr>
      </w:pPr>
      <w:r w:rsidRPr="00040A41">
        <w:rPr>
          <w:b/>
          <w:bCs/>
          <w:lang w:val="es-ES"/>
        </w:rPr>
        <w:t>IX.</w:t>
      </w:r>
      <w:r w:rsidRPr="00040A41">
        <w:rPr>
          <w:bCs/>
          <w:lang w:val="es-ES"/>
        </w:rPr>
        <w:t xml:space="preserve"> </w:t>
      </w:r>
      <w:r w:rsidRPr="00040A41">
        <w:rPr>
          <w:bCs/>
          <w:lang w:val="es-ES"/>
        </w:rPr>
        <w:tab/>
        <w:t xml:space="preserve">Los </w:t>
      </w:r>
      <w:r w:rsidRPr="003B37D5">
        <w:rPr>
          <w:bCs/>
          <w:lang w:val="es-ES"/>
        </w:rPr>
        <w:t>contenidos en las disposiciones fiscales, que sean requeridos y dé a conocer el Servicio de Administración Tributaria, mediante reglas de carácter general.</w:t>
      </w:r>
    </w:p>
    <w:p w:rsidR="003B37D5" w:rsidRDefault="003B37D5" w:rsidP="00CB7B0F">
      <w:pPr>
        <w:rPr>
          <w:rFonts w:eastAsia="Palatino Linotype" w:cs="Palatino Linotype"/>
          <w:szCs w:val="24"/>
        </w:rPr>
      </w:pPr>
    </w:p>
    <w:p w:rsidR="00CB7B0F" w:rsidRPr="00040A41" w:rsidRDefault="00CB7B0F" w:rsidP="00CB7B0F">
      <w:pPr>
        <w:rPr>
          <w:rFonts w:eastAsia="Palatino Linotype" w:cs="Palatino Linotype"/>
          <w:szCs w:val="24"/>
        </w:rPr>
      </w:pPr>
      <w:r w:rsidRPr="00040A41">
        <w:rPr>
          <w:rFonts w:eastAsia="Palatino Linotype" w:cs="Palatino Linotype"/>
          <w:szCs w:val="24"/>
        </w:rPr>
        <w:t>Para facilitar su consulta, el Servicio de Administración Tributaria emitió un documento denominado Requisitos del Comprobante Fiscal Digital</w:t>
      </w:r>
      <w:r w:rsidRPr="00040A41">
        <w:rPr>
          <w:rStyle w:val="Refdenotaalpie"/>
          <w:rFonts w:eastAsia="Palatino Linotype" w:cs="Palatino Linotype"/>
          <w:szCs w:val="24"/>
        </w:rPr>
        <w:footnoteReference w:id="2"/>
      </w:r>
      <w:r w:rsidRPr="00040A41">
        <w:rPr>
          <w:rFonts w:eastAsia="Palatino Linotype" w:cs="Palatino Linotype"/>
          <w:szCs w:val="24"/>
        </w:rPr>
        <w:t xml:space="preserve">, en el que estable que, en </w:t>
      </w:r>
      <w:r w:rsidRPr="00040A41">
        <w:rPr>
          <w:rFonts w:eastAsia="Palatino Linotype" w:cs="Palatino Linotype"/>
          <w:szCs w:val="24"/>
        </w:rPr>
        <w:lastRenderedPageBreak/>
        <w:t>síntesis, los requisitos que deben reunir los Comprobantes Fiscales Digitales (CFD) establecidos en el artículo 29-A del Código Fiscal de la Federación son:</w:t>
      </w:r>
    </w:p>
    <w:p w:rsidR="00CB7B0F" w:rsidRPr="00040A41" w:rsidRDefault="00CB7B0F" w:rsidP="00CB7B0F">
      <w:pPr>
        <w:rPr>
          <w:rFonts w:eastAsia="Palatino Linotype" w:cs="Palatino Linotype"/>
          <w:szCs w:val="24"/>
        </w:rPr>
      </w:pPr>
    </w:p>
    <w:p w:rsidR="00CB7B0F" w:rsidRPr="00040A41" w:rsidRDefault="00CB7B0F" w:rsidP="00CB7B0F">
      <w:pPr>
        <w:pStyle w:val="Prrafodelista"/>
        <w:numPr>
          <w:ilvl w:val="0"/>
          <w:numId w:val="4"/>
        </w:numPr>
        <w:rPr>
          <w:rFonts w:eastAsia="Palatino Linotype" w:cs="Palatino Linotype"/>
        </w:rPr>
      </w:pPr>
      <w:r w:rsidRPr="00040A41">
        <w:rPr>
          <w:rFonts w:eastAsia="Palatino Linotype" w:cs="Palatino Linotype"/>
        </w:rPr>
        <w:t>Clave del Registro Federal de Contribuyentes de quien los expida.</w:t>
      </w:r>
    </w:p>
    <w:p w:rsidR="00CB7B0F" w:rsidRPr="00040A41" w:rsidRDefault="00CB7B0F" w:rsidP="00CB7B0F">
      <w:pPr>
        <w:pStyle w:val="Prrafodelista"/>
        <w:numPr>
          <w:ilvl w:val="0"/>
          <w:numId w:val="4"/>
        </w:numPr>
        <w:rPr>
          <w:rFonts w:eastAsia="Palatino Linotype" w:cs="Palatino Linotype"/>
        </w:rPr>
      </w:pPr>
      <w:r w:rsidRPr="00040A41">
        <w:rPr>
          <w:rFonts w:eastAsia="Palatino Linotype" w:cs="Palatino Linotype"/>
        </w:rPr>
        <w:t>Régimen Fiscal en que tributen conforme a la Ley del ISR.</w:t>
      </w:r>
    </w:p>
    <w:p w:rsidR="00CB7B0F" w:rsidRPr="00040A41" w:rsidRDefault="00CB7B0F" w:rsidP="00CB7B0F">
      <w:pPr>
        <w:pStyle w:val="Prrafodelista"/>
        <w:numPr>
          <w:ilvl w:val="0"/>
          <w:numId w:val="4"/>
        </w:numPr>
        <w:rPr>
          <w:rFonts w:eastAsia="Palatino Linotype" w:cs="Palatino Linotype"/>
        </w:rPr>
      </w:pPr>
      <w:r w:rsidRPr="00040A41">
        <w:rPr>
          <w:rFonts w:eastAsia="Palatino Linotype" w:cs="Palatino Linotype"/>
        </w:rPr>
        <w:t>Sí se tiene más de un local o establecimiento, se deberá señalar el domicilio del local o establecimiento en el que se expidan las Facturas Electrónicas.</w:t>
      </w:r>
    </w:p>
    <w:p w:rsidR="00CB7B0F" w:rsidRPr="00040A41" w:rsidRDefault="00CB7B0F" w:rsidP="00CB7B0F">
      <w:pPr>
        <w:pStyle w:val="Prrafodelista"/>
        <w:numPr>
          <w:ilvl w:val="0"/>
          <w:numId w:val="4"/>
        </w:numPr>
        <w:rPr>
          <w:rFonts w:eastAsia="Palatino Linotype" w:cs="Palatino Linotype"/>
        </w:rPr>
      </w:pPr>
      <w:r w:rsidRPr="00040A41">
        <w:rPr>
          <w:rFonts w:eastAsia="Palatino Linotype" w:cs="Palatino Linotype"/>
        </w:rPr>
        <w:t>Contener el número de folio.</w:t>
      </w:r>
    </w:p>
    <w:p w:rsidR="00CB7B0F" w:rsidRPr="00040A41" w:rsidRDefault="00CB7B0F" w:rsidP="00CB7B0F">
      <w:pPr>
        <w:pStyle w:val="Prrafodelista"/>
        <w:numPr>
          <w:ilvl w:val="0"/>
          <w:numId w:val="4"/>
        </w:numPr>
        <w:rPr>
          <w:rFonts w:eastAsia="Palatino Linotype" w:cs="Palatino Linotype"/>
        </w:rPr>
      </w:pPr>
      <w:r w:rsidRPr="00040A41">
        <w:rPr>
          <w:rFonts w:eastAsia="Palatino Linotype" w:cs="Palatino Linotype"/>
        </w:rPr>
        <w:t>Sello digital del contribuyente que lo expide.</w:t>
      </w:r>
    </w:p>
    <w:p w:rsidR="00CB7B0F" w:rsidRPr="00040A41" w:rsidRDefault="00CB7B0F" w:rsidP="00CB7B0F">
      <w:pPr>
        <w:pStyle w:val="Prrafodelista"/>
        <w:numPr>
          <w:ilvl w:val="0"/>
          <w:numId w:val="4"/>
        </w:numPr>
        <w:rPr>
          <w:rFonts w:eastAsia="Palatino Linotype" w:cs="Palatino Linotype"/>
        </w:rPr>
      </w:pPr>
      <w:r w:rsidRPr="00040A41">
        <w:rPr>
          <w:rFonts w:eastAsia="Palatino Linotype" w:cs="Palatino Linotype"/>
        </w:rPr>
        <w:t>Lugar y fecha de expedición.</w:t>
      </w:r>
    </w:p>
    <w:p w:rsidR="00CB7B0F" w:rsidRPr="00040A41" w:rsidRDefault="00CB7B0F" w:rsidP="00CB7B0F">
      <w:pPr>
        <w:pStyle w:val="Prrafodelista"/>
        <w:numPr>
          <w:ilvl w:val="0"/>
          <w:numId w:val="4"/>
        </w:numPr>
        <w:rPr>
          <w:rFonts w:eastAsia="Palatino Linotype" w:cs="Palatino Linotype"/>
        </w:rPr>
      </w:pPr>
      <w:r w:rsidRPr="00040A41">
        <w:rPr>
          <w:rFonts w:eastAsia="Palatino Linotype" w:cs="Palatino Linotype"/>
        </w:rPr>
        <w:t>Clave del Registro Federal de Contribuyentes de la persona a favor de quien se expida.</w:t>
      </w:r>
    </w:p>
    <w:p w:rsidR="00CB7B0F" w:rsidRPr="00040A41" w:rsidRDefault="00CB7B0F" w:rsidP="00CB7B0F">
      <w:pPr>
        <w:pStyle w:val="Prrafodelista"/>
        <w:numPr>
          <w:ilvl w:val="0"/>
          <w:numId w:val="4"/>
        </w:numPr>
        <w:rPr>
          <w:rFonts w:eastAsia="Palatino Linotype" w:cs="Palatino Linotype"/>
        </w:rPr>
      </w:pPr>
      <w:r w:rsidRPr="00040A41">
        <w:rPr>
          <w:rFonts w:eastAsia="Palatino Linotype" w:cs="Palatino Linotype"/>
        </w:rPr>
        <w:t>Cantidad, unidad de medida y clase de los bienes, mercancías o descripción del servicio o del uso o goce que amparen.</w:t>
      </w:r>
    </w:p>
    <w:p w:rsidR="00CB7B0F" w:rsidRPr="00040A41" w:rsidRDefault="00CB7B0F" w:rsidP="00CB7B0F">
      <w:pPr>
        <w:pStyle w:val="Prrafodelista"/>
        <w:numPr>
          <w:ilvl w:val="0"/>
          <w:numId w:val="4"/>
        </w:numPr>
        <w:rPr>
          <w:rFonts w:eastAsia="Palatino Linotype" w:cs="Palatino Linotype"/>
        </w:rPr>
      </w:pPr>
      <w:r w:rsidRPr="00040A41">
        <w:rPr>
          <w:rFonts w:eastAsia="Palatino Linotype" w:cs="Palatino Linotype"/>
        </w:rPr>
        <w:t>Valor unitario consignado en número.</w:t>
      </w:r>
    </w:p>
    <w:p w:rsidR="00CB7B0F" w:rsidRPr="00040A41" w:rsidRDefault="00CB7B0F" w:rsidP="00CB7B0F">
      <w:pPr>
        <w:pStyle w:val="Prrafodelista"/>
        <w:numPr>
          <w:ilvl w:val="0"/>
          <w:numId w:val="4"/>
        </w:numPr>
        <w:rPr>
          <w:rFonts w:eastAsia="Palatino Linotype" w:cs="Palatino Linotype"/>
        </w:rPr>
      </w:pPr>
      <w:r w:rsidRPr="00040A41">
        <w:rPr>
          <w:rFonts w:eastAsia="Palatino Linotype" w:cs="Palatino Linotype"/>
        </w:rPr>
        <w:t>Importe total señalado en número o en letra.</w:t>
      </w:r>
    </w:p>
    <w:p w:rsidR="00CB7B0F" w:rsidRPr="00040A41" w:rsidRDefault="00CB7B0F" w:rsidP="00CB7B0F">
      <w:pPr>
        <w:pStyle w:val="Prrafodelista"/>
        <w:numPr>
          <w:ilvl w:val="0"/>
          <w:numId w:val="4"/>
        </w:numPr>
        <w:rPr>
          <w:rFonts w:eastAsia="Palatino Linotype" w:cs="Palatino Linotype"/>
        </w:rPr>
      </w:pPr>
      <w:r w:rsidRPr="00040A41">
        <w:rPr>
          <w:rFonts w:eastAsia="Palatino Linotype" w:cs="Palatino Linotype"/>
        </w:rPr>
        <w:t>Señalamiento expreso cuando la contraprestación se pague en una sola exhibición o en parcialidades.</w:t>
      </w:r>
    </w:p>
    <w:p w:rsidR="00CB7B0F" w:rsidRPr="00040A41" w:rsidRDefault="00CB7B0F" w:rsidP="00CB7B0F">
      <w:pPr>
        <w:pStyle w:val="Prrafodelista"/>
        <w:numPr>
          <w:ilvl w:val="0"/>
          <w:numId w:val="4"/>
        </w:numPr>
        <w:rPr>
          <w:rFonts w:eastAsia="Palatino Linotype" w:cs="Palatino Linotype"/>
        </w:rPr>
      </w:pPr>
      <w:r w:rsidRPr="00040A41">
        <w:rPr>
          <w:rFonts w:eastAsia="Palatino Linotype" w:cs="Palatino Linotype"/>
        </w:rPr>
        <w:t>Cuando proceda, se indicará el monto de los impuestos trasladados desglosados por tasa de impuesto y, en su caso, el monto de los impuestos retenidos.</w:t>
      </w:r>
    </w:p>
    <w:p w:rsidR="00CB7B0F" w:rsidRPr="00040A41" w:rsidRDefault="00CB7B0F" w:rsidP="00CB7B0F">
      <w:pPr>
        <w:pStyle w:val="Prrafodelista"/>
        <w:numPr>
          <w:ilvl w:val="0"/>
          <w:numId w:val="4"/>
        </w:numPr>
        <w:rPr>
          <w:rFonts w:eastAsia="Palatino Linotype" w:cs="Palatino Linotype"/>
        </w:rPr>
      </w:pPr>
      <w:r w:rsidRPr="00040A41">
        <w:rPr>
          <w:rFonts w:eastAsia="Palatino Linotype" w:cs="Palatino Linotype"/>
        </w:rPr>
        <w:t>Forma en que se realizó el pago (efectivo, transferencia electrónica de fondos, cheque nominativo o tarjeta de débito, de crédito, de servicio o la denominada monedero electrónico, indicando al menos los últimos cuatro dígitos del número de cuenta o de la tarjeta correspondiente).</w:t>
      </w:r>
    </w:p>
    <w:p w:rsidR="00CB7B0F" w:rsidRPr="00040A41" w:rsidRDefault="00CB7B0F" w:rsidP="00CB7B0F">
      <w:pPr>
        <w:pStyle w:val="Prrafodelista"/>
        <w:numPr>
          <w:ilvl w:val="0"/>
          <w:numId w:val="4"/>
        </w:numPr>
        <w:rPr>
          <w:rFonts w:eastAsia="Palatino Linotype" w:cs="Palatino Linotype"/>
        </w:rPr>
      </w:pPr>
      <w:r w:rsidRPr="00040A41">
        <w:rPr>
          <w:rFonts w:eastAsia="Palatino Linotype" w:cs="Palatino Linotype"/>
        </w:rPr>
        <w:lastRenderedPageBreak/>
        <w:t xml:space="preserve">Número y fecha del documento aduanero, tratándose de ventas de primera mano de mercancías de importación. </w:t>
      </w:r>
    </w:p>
    <w:p w:rsidR="00CB7B0F" w:rsidRPr="00040A41" w:rsidRDefault="00CB7B0F" w:rsidP="00CB7B0F">
      <w:pPr>
        <w:rPr>
          <w:rFonts w:eastAsia="Palatino Linotype" w:cs="Palatino Linotype"/>
          <w:szCs w:val="24"/>
        </w:rPr>
      </w:pPr>
    </w:p>
    <w:p w:rsidR="00CB7B0F" w:rsidRPr="00437660" w:rsidRDefault="00CB7B0F" w:rsidP="00CB7B0F">
      <w:pPr>
        <w:autoSpaceDE w:val="0"/>
        <w:autoSpaceDN w:val="0"/>
        <w:adjustRightInd w:val="0"/>
        <w:ind w:right="49"/>
        <w:contextualSpacing/>
        <w:rPr>
          <w:rFonts w:cs="Arial"/>
          <w:szCs w:val="24"/>
        </w:rPr>
      </w:pPr>
      <w:r w:rsidRPr="003D7968">
        <w:rPr>
          <w:rFonts w:cs="Arial"/>
          <w:szCs w:val="24"/>
        </w:rPr>
        <w:t>Bajo dichas consideraciones, se reitera que la nómina o recibos de nómina correspondiente</w:t>
      </w:r>
      <w:r w:rsidRPr="00437660">
        <w:rPr>
          <w:rFonts w:cs="Arial"/>
          <w:szCs w:val="24"/>
        </w:rPr>
        <w:t xml:space="preserv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rsidR="00CB7B0F" w:rsidRPr="00437660" w:rsidRDefault="00CB7B0F" w:rsidP="00CB7B0F">
      <w:pPr>
        <w:autoSpaceDE w:val="0"/>
        <w:autoSpaceDN w:val="0"/>
        <w:adjustRightInd w:val="0"/>
        <w:ind w:right="49"/>
        <w:contextualSpacing/>
        <w:rPr>
          <w:rFonts w:cs="Arial"/>
          <w:szCs w:val="24"/>
        </w:rPr>
      </w:pPr>
    </w:p>
    <w:p w:rsidR="00CB7B0F" w:rsidRPr="00437660" w:rsidRDefault="00CB7B0F" w:rsidP="00CB7B0F">
      <w:pPr>
        <w:ind w:left="851" w:right="992"/>
        <w:rPr>
          <w:i/>
        </w:rPr>
      </w:pPr>
      <w:r w:rsidRPr="00437660">
        <w:rPr>
          <w:i/>
        </w:rPr>
        <w:t xml:space="preserve">19. Percepciones: Se anotarán las percepciones que se le hacen llegar al empleado solamente. </w:t>
      </w:r>
    </w:p>
    <w:p w:rsidR="00CB7B0F" w:rsidRPr="002550C3" w:rsidRDefault="00CB7B0F" w:rsidP="00CB7B0F">
      <w:pPr>
        <w:ind w:left="851" w:right="992"/>
        <w:rPr>
          <w:rFonts w:cs="Arial"/>
          <w:i/>
        </w:rPr>
      </w:pPr>
      <w:r w:rsidRPr="00437660">
        <w:rPr>
          <w:i/>
        </w:rPr>
        <w:t>20. Deducciones: Se anotarán las deducciones correspondientes al empleado solamente.</w:t>
      </w:r>
    </w:p>
    <w:p w:rsidR="00CB7B0F" w:rsidRPr="007658D5" w:rsidRDefault="00CB7B0F" w:rsidP="00CB7B0F">
      <w:pPr>
        <w:tabs>
          <w:tab w:val="right" w:leader="dot" w:pos="8505"/>
        </w:tabs>
        <w:spacing w:before="240" w:after="240"/>
        <w:rPr>
          <w:rStyle w:val="apple-style-span"/>
          <w:color w:val="000000"/>
          <w:szCs w:val="24"/>
        </w:rPr>
      </w:pPr>
      <w:r w:rsidRPr="007658D5">
        <w:rPr>
          <w:color w:val="000000"/>
          <w:szCs w:val="24"/>
        </w:rPr>
        <w:t xml:space="preserve">Por ende, para conocer lo que debe contener la información correspondiente a la “Nómina”, es necesario señalar </w:t>
      </w:r>
      <w:r w:rsidRPr="007658D5">
        <w:rPr>
          <w:rStyle w:val="apple-style-span"/>
          <w:rFonts w:cs="Arial"/>
          <w:color w:val="000000"/>
          <w:szCs w:val="24"/>
        </w:rPr>
        <w:t xml:space="preserve">la fracción II del artículo 4 de la Ley de Fiscalización Superior del Estado de México, la cual señala: </w:t>
      </w:r>
    </w:p>
    <w:p w:rsidR="00CB7B0F" w:rsidRPr="00F975C8" w:rsidRDefault="00CB7B0F" w:rsidP="00CB7B0F">
      <w:pPr>
        <w:autoSpaceDE w:val="0"/>
        <w:autoSpaceDN w:val="0"/>
        <w:adjustRightInd w:val="0"/>
        <w:spacing w:before="240" w:line="276" w:lineRule="auto"/>
        <w:ind w:left="851" w:right="851"/>
        <w:rPr>
          <w:rFonts w:cs="Arial"/>
          <w:i/>
        </w:rPr>
      </w:pPr>
      <w:r w:rsidRPr="00F975C8">
        <w:rPr>
          <w:rFonts w:cs="Arial"/>
          <w:b/>
          <w:bCs/>
          <w:i/>
        </w:rPr>
        <w:t xml:space="preserve">“Artículo 4. </w:t>
      </w:r>
      <w:r w:rsidRPr="00F975C8">
        <w:rPr>
          <w:rFonts w:cs="Arial"/>
          <w:i/>
        </w:rPr>
        <w:t>Son sujetos de fiscalización:</w:t>
      </w:r>
    </w:p>
    <w:p w:rsidR="00CB7B0F" w:rsidRPr="00F975C8" w:rsidRDefault="00CB7B0F" w:rsidP="00CB7B0F">
      <w:pPr>
        <w:autoSpaceDE w:val="0"/>
        <w:autoSpaceDN w:val="0"/>
        <w:adjustRightInd w:val="0"/>
        <w:spacing w:before="240" w:line="276" w:lineRule="auto"/>
        <w:ind w:left="851" w:right="851"/>
        <w:rPr>
          <w:rFonts w:cs="Arial"/>
          <w:i/>
        </w:rPr>
      </w:pPr>
      <w:r>
        <w:rPr>
          <w:rFonts w:cs="Arial"/>
          <w:b/>
          <w:bCs/>
          <w:i/>
        </w:rPr>
        <w:t>(</w:t>
      </w:r>
      <w:r w:rsidRPr="00F975C8">
        <w:rPr>
          <w:rFonts w:cs="Arial"/>
          <w:b/>
          <w:bCs/>
          <w:i/>
        </w:rPr>
        <w:t>…</w:t>
      </w:r>
      <w:r>
        <w:rPr>
          <w:rFonts w:cs="Arial"/>
          <w:b/>
          <w:bCs/>
          <w:i/>
        </w:rPr>
        <w:t>)</w:t>
      </w:r>
    </w:p>
    <w:p w:rsidR="00CB7B0F" w:rsidRPr="000A0968" w:rsidRDefault="00CB7B0F" w:rsidP="00CB7B0F">
      <w:pPr>
        <w:numPr>
          <w:ilvl w:val="0"/>
          <w:numId w:val="11"/>
        </w:numPr>
        <w:autoSpaceDE w:val="0"/>
        <w:autoSpaceDN w:val="0"/>
        <w:adjustRightInd w:val="0"/>
        <w:spacing w:before="240" w:after="160" w:line="276" w:lineRule="auto"/>
        <w:ind w:left="851" w:right="851" w:firstLine="0"/>
        <w:rPr>
          <w:rFonts w:cs="Arial"/>
          <w:b/>
          <w:i/>
          <w:u w:val="single"/>
        </w:rPr>
      </w:pPr>
      <w:r w:rsidRPr="000A0968">
        <w:rPr>
          <w:rFonts w:cs="Arial"/>
          <w:b/>
          <w:i/>
          <w:u w:val="single"/>
        </w:rPr>
        <w:t>Los municipios del Estado de México;</w:t>
      </w:r>
    </w:p>
    <w:p w:rsidR="00CB7B0F" w:rsidRDefault="00CB7B0F" w:rsidP="00CB7B0F">
      <w:pPr>
        <w:autoSpaceDE w:val="0"/>
        <w:autoSpaceDN w:val="0"/>
        <w:adjustRightInd w:val="0"/>
        <w:spacing w:before="240" w:line="276" w:lineRule="auto"/>
        <w:ind w:left="851" w:right="851"/>
        <w:rPr>
          <w:rFonts w:cs="Arial"/>
          <w:b/>
          <w:i/>
        </w:rPr>
      </w:pPr>
      <w:r>
        <w:rPr>
          <w:rFonts w:cs="Arial"/>
          <w:i/>
        </w:rPr>
        <w:t>(</w:t>
      </w:r>
      <w:r w:rsidRPr="00F975C8">
        <w:rPr>
          <w:rFonts w:cs="Arial"/>
          <w:i/>
        </w:rPr>
        <w:t>…</w:t>
      </w:r>
      <w:r>
        <w:rPr>
          <w:rFonts w:cs="Arial"/>
          <w:i/>
        </w:rPr>
        <w:t>)</w:t>
      </w:r>
      <w:r w:rsidRPr="00F975C8">
        <w:rPr>
          <w:rFonts w:cs="Arial"/>
          <w:i/>
        </w:rPr>
        <w:t>”</w:t>
      </w:r>
      <w:r>
        <w:rPr>
          <w:rFonts w:cs="Arial"/>
          <w:i/>
        </w:rPr>
        <w:t xml:space="preserve"> </w:t>
      </w:r>
      <w:r>
        <w:rPr>
          <w:rFonts w:cs="Arial"/>
          <w:b/>
          <w:i/>
        </w:rPr>
        <w:t>[Sic]</w:t>
      </w:r>
    </w:p>
    <w:p w:rsidR="00CB7B0F" w:rsidRPr="007658D5" w:rsidRDefault="00CB7B0F" w:rsidP="00CB7B0F">
      <w:pPr>
        <w:autoSpaceDE w:val="0"/>
        <w:autoSpaceDN w:val="0"/>
        <w:adjustRightInd w:val="0"/>
        <w:spacing w:before="240" w:line="276" w:lineRule="auto"/>
        <w:ind w:left="851" w:right="851"/>
        <w:rPr>
          <w:rStyle w:val="apple-style-span"/>
          <w:rFonts w:cs="Arial"/>
          <w:b/>
          <w:i/>
          <w:color w:val="000000"/>
        </w:rPr>
      </w:pPr>
    </w:p>
    <w:p w:rsidR="00CB7B0F" w:rsidRPr="003E0BC5" w:rsidRDefault="00CB7B0F" w:rsidP="00CB7B0F">
      <w:pPr>
        <w:autoSpaceDE w:val="0"/>
        <w:autoSpaceDN w:val="0"/>
        <w:adjustRightInd w:val="0"/>
        <w:ind w:right="49"/>
        <w:rPr>
          <w:rStyle w:val="apple-style-span"/>
          <w:rFonts w:cs="Arial"/>
          <w:bCs/>
          <w:color w:val="000000"/>
          <w:szCs w:val="24"/>
        </w:rPr>
      </w:pPr>
      <w:r w:rsidRPr="003E0BC5">
        <w:rPr>
          <w:rStyle w:val="apple-style-span"/>
          <w:rFonts w:cs="Arial"/>
          <w:color w:val="000000"/>
          <w:szCs w:val="24"/>
        </w:rPr>
        <w:lastRenderedPageBreak/>
        <w:t xml:space="preserve">Razón por la que, al Órgano Superior de Fiscalización de ésta entidad federativa, le asiste la facultad de emitir los </w:t>
      </w:r>
      <w:r w:rsidRPr="003E0BC5">
        <w:rPr>
          <w:rStyle w:val="apple-style-span"/>
          <w:rFonts w:cs="Arial"/>
          <w:b/>
          <w:color w:val="000000"/>
          <w:szCs w:val="24"/>
        </w:rPr>
        <w:t>Lineamientos para la Integración del Informe Mensual</w:t>
      </w:r>
      <w:r w:rsidRPr="003E0BC5">
        <w:rPr>
          <w:rStyle w:val="apple-style-span"/>
          <w:rFonts w:cs="Arial"/>
          <w:color w:val="000000"/>
          <w:szCs w:val="24"/>
        </w:rPr>
        <w:t xml:space="preserve">, en términos la fracción XI del artículo 8 de la Ley de Fiscalización Superior del Estado de México, que señalan: </w:t>
      </w:r>
    </w:p>
    <w:p w:rsidR="00CB7B0F" w:rsidRPr="00F975C8" w:rsidRDefault="00CB7B0F" w:rsidP="00CB7B0F">
      <w:pPr>
        <w:autoSpaceDE w:val="0"/>
        <w:autoSpaceDN w:val="0"/>
        <w:adjustRightInd w:val="0"/>
        <w:spacing w:before="240" w:line="276" w:lineRule="auto"/>
        <w:ind w:left="851" w:right="851"/>
        <w:rPr>
          <w:rFonts w:cs="Arial"/>
          <w:i/>
        </w:rPr>
      </w:pPr>
      <w:r w:rsidRPr="00F975C8">
        <w:rPr>
          <w:rFonts w:cs="Arial"/>
          <w:b/>
          <w:bCs/>
          <w:i/>
        </w:rPr>
        <w:t xml:space="preserve">“Artículo 8. </w:t>
      </w:r>
      <w:r w:rsidRPr="00F975C8">
        <w:rPr>
          <w:rFonts w:cs="Arial"/>
          <w:i/>
        </w:rPr>
        <w:t>El Órgano Superior tendrá las siguientes atribuciones:</w:t>
      </w:r>
    </w:p>
    <w:p w:rsidR="00CB7B0F" w:rsidRPr="00F975C8" w:rsidRDefault="00CB7B0F" w:rsidP="00CB7B0F">
      <w:pPr>
        <w:autoSpaceDE w:val="0"/>
        <w:autoSpaceDN w:val="0"/>
        <w:adjustRightInd w:val="0"/>
        <w:spacing w:before="240" w:line="276" w:lineRule="auto"/>
        <w:ind w:left="851" w:right="851"/>
        <w:rPr>
          <w:rFonts w:cs="Arial"/>
          <w:i/>
        </w:rPr>
      </w:pPr>
      <w:r>
        <w:rPr>
          <w:rFonts w:cs="Arial"/>
          <w:i/>
        </w:rPr>
        <w:t>(</w:t>
      </w:r>
      <w:r w:rsidRPr="00F975C8">
        <w:rPr>
          <w:rFonts w:cs="Arial"/>
          <w:i/>
        </w:rPr>
        <w:t>…</w:t>
      </w:r>
      <w:r>
        <w:rPr>
          <w:rFonts w:cs="Arial"/>
          <w:i/>
        </w:rPr>
        <w:t>)</w:t>
      </w:r>
    </w:p>
    <w:p w:rsidR="00CB7B0F" w:rsidRPr="00F975C8" w:rsidRDefault="00CB7B0F" w:rsidP="00CB7B0F">
      <w:pPr>
        <w:autoSpaceDE w:val="0"/>
        <w:autoSpaceDN w:val="0"/>
        <w:adjustRightInd w:val="0"/>
        <w:spacing w:before="240" w:line="276" w:lineRule="auto"/>
        <w:ind w:left="851" w:right="851"/>
        <w:rPr>
          <w:rFonts w:cs="Arial"/>
          <w:i/>
        </w:rPr>
      </w:pPr>
      <w:r w:rsidRPr="00F975C8">
        <w:rPr>
          <w:rFonts w:cs="Arial"/>
          <w:b/>
          <w:bCs/>
          <w:i/>
        </w:rPr>
        <w:t xml:space="preserve">XI. </w:t>
      </w:r>
      <w:r w:rsidRPr="00F975C8">
        <w:rPr>
          <w:rFonts w:cs="Arial"/>
          <w:i/>
        </w:rPr>
        <w:t>Establecer los lineamientos, criterios, procedimientos, métodos y sistemas para las acciones de control y evaluación, necesarios para la fiscalización de las cuentas públicas y los informes trimestrales;</w:t>
      </w:r>
    </w:p>
    <w:p w:rsidR="00CB7B0F" w:rsidRDefault="00CB7B0F" w:rsidP="00CB7B0F">
      <w:pPr>
        <w:autoSpaceDE w:val="0"/>
        <w:autoSpaceDN w:val="0"/>
        <w:adjustRightInd w:val="0"/>
        <w:spacing w:before="240" w:line="276" w:lineRule="auto"/>
        <w:ind w:left="851" w:right="851"/>
        <w:rPr>
          <w:rStyle w:val="apple-style-span"/>
          <w:rFonts w:cs="Arial"/>
          <w:b/>
          <w:color w:val="000000"/>
        </w:rPr>
      </w:pPr>
      <w:r>
        <w:rPr>
          <w:rStyle w:val="apple-style-span"/>
          <w:rFonts w:cs="Arial"/>
          <w:color w:val="000000"/>
        </w:rPr>
        <w:t>(</w:t>
      </w:r>
      <w:r w:rsidRPr="00F975C8">
        <w:rPr>
          <w:rStyle w:val="apple-style-span"/>
          <w:rFonts w:cs="Arial"/>
          <w:color w:val="000000"/>
        </w:rPr>
        <w:t>…</w:t>
      </w:r>
      <w:r>
        <w:rPr>
          <w:rStyle w:val="apple-style-span"/>
          <w:rFonts w:cs="Arial"/>
          <w:color w:val="000000"/>
        </w:rPr>
        <w:t>)</w:t>
      </w:r>
      <w:r w:rsidRPr="00F975C8">
        <w:rPr>
          <w:rStyle w:val="apple-style-span"/>
          <w:rFonts w:cs="Arial"/>
          <w:color w:val="000000"/>
        </w:rPr>
        <w:t>”</w:t>
      </w:r>
      <w:r>
        <w:rPr>
          <w:rStyle w:val="apple-style-span"/>
          <w:rFonts w:cs="Arial"/>
          <w:color w:val="000000"/>
        </w:rPr>
        <w:t xml:space="preserve"> </w:t>
      </w:r>
      <w:r w:rsidRPr="003E0BC5">
        <w:rPr>
          <w:rStyle w:val="apple-style-span"/>
          <w:rFonts w:cs="Arial"/>
          <w:b/>
          <w:i/>
          <w:color w:val="000000"/>
        </w:rPr>
        <w:t>[Sic]</w:t>
      </w:r>
    </w:p>
    <w:p w:rsidR="00CB7B0F" w:rsidRPr="003E0BC5" w:rsidRDefault="00CB7B0F" w:rsidP="00CB7B0F">
      <w:pPr>
        <w:autoSpaceDE w:val="0"/>
        <w:autoSpaceDN w:val="0"/>
        <w:adjustRightInd w:val="0"/>
        <w:ind w:left="567" w:right="618"/>
        <w:rPr>
          <w:rStyle w:val="apple-style-span"/>
          <w:rFonts w:cs="Arial"/>
          <w:b/>
          <w:bCs/>
          <w:i/>
          <w:color w:val="000000"/>
        </w:rPr>
      </w:pPr>
    </w:p>
    <w:p w:rsidR="00CB7B0F" w:rsidRDefault="00CB7B0F" w:rsidP="00CB7B0F">
      <w:pPr>
        <w:rPr>
          <w:szCs w:val="24"/>
        </w:rPr>
      </w:pPr>
      <w:r w:rsidRPr="004A429C">
        <w:rPr>
          <w:szCs w:val="24"/>
        </w:rPr>
        <w:t xml:space="preserve">De esta forma, el Órgano Superior de Fiscalización del Estado de México (OSFEM), emite anualmente los Lineamientos para definir los criterios, formatos y documentación necesaria para presentar los informes, dentro de los cuales destaca –en relación con el análisis que nos ocupa-, recibos de nómina. </w:t>
      </w:r>
    </w:p>
    <w:p w:rsidR="00CB7B0F" w:rsidRPr="004A429C" w:rsidRDefault="00CB7B0F" w:rsidP="00CB7B0F">
      <w:pPr>
        <w:rPr>
          <w:szCs w:val="24"/>
        </w:rPr>
      </w:pPr>
    </w:p>
    <w:p w:rsidR="00CB7B0F" w:rsidRPr="004A429C" w:rsidRDefault="00CB7B0F" w:rsidP="00CB7B0F">
      <w:pPr>
        <w:rPr>
          <w:szCs w:val="24"/>
        </w:rPr>
      </w:pPr>
      <w:r w:rsidRPr="004A429C">
        <w:rPr>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CB7B0F" w:rsidRPr="004A429C" w:rsidRDefault="00CB7B0F" w:rsidP="00CB7B0F">
      <w:pPr>
        <w:spacing w:before="240"/>
        <w:ind w:left="851" w:right="851"/>
        <w:rPr>
          <w:i/>
        </w:rPr>
      </w:pPr>
      <w:r w:rsidRPr="004A429C">
        <w:rPr>
          <w:b/>
          <w:i/>
        </w:rPr>
        <w:lastRenderedPageBreak/>
        <w:t>“Artículo 32.-</w:t>
      </w:r>
      <w:r w:rsidRPr="004A429C">
        <w:rPr>
          <w:i/>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CB7B0F" w:rsidRPr="004A429C" w:rsidRDefault="00CB7B0F" w:rsidP="00CB7B0F">
      <w:pPr>
        <w:spacing w:before="240"/>
        <w:ind w:left="851" w:right="851"/>
        <w:rPr>
          <w:b/>
          <w:i/>
        </w:rPr>
      </w:pPr>
      <w:r w:rsidRPr="004A429C">
        <w:rPr>
          <w:b/>
          <w:i/>
        </w:rPr>
        <w:t>Los Presidentes Municipales presentarán a la Legislatura las cuentas públicas anuales</w:t>
      </w:r>
      <w:r w:rsidRPr="004A429C">
        <w:rPr>
          <w:i/>
        </w:rPr>
        <w:t xml:space="preserve"> de sus respectivos municipios, del ejercicio fiscal inmediato anterior, </w:t>
      </w:r>
      <w:r w:rsidRPr="004A429C">
        <w:rPr>
          <w:b/>
          <w:i/>
        </w:rPr>
        <w:t>dentro de los quince primeros días del mes de marzo</w:t>
      </w:r>
      <w:r w:rsidRPr="004A429C">
        <w:rPr>
          <w:i/>
        </w:rPr>
        <w:t xml:space="preserve"> de cada año; </w:t>
      </w:r>
      <w:r w:rsidRPr="004A429C">
        <w:rPr>
          <w:b/>
          <w:i/>
        </w:rPr>
        <w:t>asimism</w:t>
      </w:r>
      <w:r w:rsidRPr="004A429C">
        <w:rPr>
          <w:i/>
        </w:rPr>
        <w:t xml:space="preserve">o, </w:t>
      </w:r>
      <w:r w:rsidRPr="004A429C">
        <w:rPr>
          <w:b/>
          <w:i/>
          <w:u w:val="single"/>
        </w:rPr>
        <w:t>los informes mensuales</w:t>
      </w:r>
      <w:r w:rsidRPr="004A429C">
        <w:rPr>
          <w:i/>
        </w:rPr>
        <w:t xml:space="preserve"> los deberán presentar </w:t>
      </w:r>
      <w:r w:rsidRPr="004A429C">
        <w:rPr>
          <w:b/>
          <w:i/>
          <w:u w:val="single"/>
        </w:rPr>
        <w:t xml:space="preserve">dentro de los veinte días posteriores al término del mes correspondiente.” </w:t>
      </w:r>
      <w:r w:rsidRPr="004A429C">
        <w:rPr>
          <w:b/>
          <w:i/>
        </w:rPr>
        <w:t>[Sic]</w:t>
      </w:r>
    </w:p>
    <w:p w:rsidR="00CB7B0F" w:rsidRPr="004A429C" w:rsidRDefault="00CB7B0F" w:rsidP="00CB7B0F">
      <w:pPr>
        <w:ind w:left="851" w:right="758"/>
        <w:rPr>
          <w:i/>
        </w:rPr>
      </w:pPr>
    </w:p>
    <w:p w:rsidR="00CB7B0F" w:rsidRPr="004A429C" w:rsidRDefault="00CB7B0F" w:rsidP="00CB7B0F">
      <w:pPr>
        <w:spacing w:before="240" w:after="240"/>
        <w:ind w:right="-91"/>
        <w:rPr>
          <w:szCs w:val="24"/>
        </w:rPr>
      </w:pPr>
      <w:r w:rsidRPr="004A429C">
        <w:rPr>
          <w:szCs w:val="24"/>
        </w:rPr>
        <w:t xml:space="preserve">La información </w:t>
      </w:r>
      <w:r w:rsidRPr="004A429C">
        <w:rPr>
          <w:b/>
          <w:szCs w:val="24"/>
        </w:rPr>
        <w:t>documental comprobatoria</w:t>
      </w:r>
      <w:r w:rsidRPr="004A429C">
        <w:rPr>
          <w:szCs w:val="24"/>
        </w:rPr>
        <w:t xml:space="preserve">, </w:t>
      </w:r>
      <w:r w:rsidRPr="004A429C">
        <w:rPr>
          <w:b/>
          <w:szCs w:val="24"/>
          <w:u w:val="single"/>
        </w:rPr>
        <w:t>deberá conservarse en los archivos de la entidad fiscalizada –Municipio</w:t>
      </w:r>
      <w:r w:rsidRPr="004A429C">
        <w:rPr>
          <w:szCs w:val="24"/>
        </w:rPr>
        <w:t>-, en original y debidamente integrada en términos de los lineamientos de referencia, pues son susceptibles de revisión directa por el órgano Superior de Fiscalización.</w:t>
      </w:r>
    </w:p>
    <w:p w:rsidR="00CB7B0F" w:rsidRPr="004A429C" w:rsidRDefault="00CB7B0F" w:rsidP="00CB7B0F">
      <w:pPr>
        <w:spacing w:before="240" w:after="240"/>
        <w:rPr>
          <w:rFonts w:cs="Arial"/>
          <w:szCs w:val="24"/>
          <w:lang w:val="es-ES"/>
        </w:rPr>
      </w:pPr>
      <w:r w:rsidRPr="004A429C">
        <w:rPr>
          <w:rFonts w:cs="Arial"/>
          <w:szCs w:val="24"/>
          <w:lang w:val="es-ES"/>
        </w:rPr>
        <w:t xml:space="preserve">Una vez puntualizado esto, se advierte que los recibos de nómina contienen la información relativa a las remuneraciones de los servidores públicos. </w:t>
      </w:r>
    </w:p>
    <w:p w:rsidR="00CB7B0F" w:rsidRPr="004A429C" w:rsidRDefault="00CB7B0F" w:rsidP="00CB7B0F">
      <w:pPr>
        <w:spacing w:before="240" w:after="240"/>
        <w:rPr>
          <w:szCs w:val="24"/>
        </w:rPr>
      </w:pPr>
      <w:r w:rsidRPr="004A429C">
        <w:rPr>
          <w:szCs w:val="24"/>
        </w:rPr>
        <w:t xml:space="preserve">Aunado a lo anterior, los Lineamientos para la Integración del informe trimestral de los Sujetos de Fiscalización Municipales para el Ejercicio 2022, visibles en la página oficial del Órgano Superior de Fiscalización del Estado de México (OSFEM) en el sitio de internet: </w:t>
      </w:r>
    </w:p>
    <w:p w:rsidR="00CB7B0F" w:rsidRPr="004A429C" w:rsidRDefault="00CB7B0F" w:rsidP="00CB7B0F">
      <w:pPr>
        <w:spacing w:before="240"/>
        <w:rPr>
          <w:szCs w:val="24"/>
        </w:rPr>
      </w:pPr>
      <w:r w:rsidRPr="004A429C">
        <w:rPr>
          <w:noProof/>
          <w:szCs w:val="24"/>
          <w:lang w:val="es-MX"/>
        </w:rPr>
        <w:lastRenderedPageBreak/>
        <w:drawing>
          <wp:inline distT="0" distB="0" distL="0" distR="0" wp14:anchorId="7B20552D" wp14:editId="22709B5B">
            <wp:extent cx="5692140" cy="3225744"/>
            <wp:effectExtent l="19050" t="19050" r="22860" b="133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8887" cy="3229568"/>
                    </a:xfrm>
                    <a:prstGeom prst="rect">
                      <a:avLst/>
                    </a:prstGeom>
                    <a:noFill/>
                    <a:ln>
                      <a:solidFill>
                        <a:schemeClr val="tx1"/>
                      </a:solidFill>
                    </a:ln>
                  </pic:spPr>
                </pic:pic>
              </a:graphicData>
            </a:graphic>
          </wp:inline>
        </w:drawing>
      </w:r>
    </w:p>
    <w:p w:rsidR="00CB7B0F" w:rsidRPr="004A429C" w:rsidRDefault="00CB7B0F" w:rsidP="00CB7B0F">
      <w:pPr>
        <w:spacing w:before="240" w:after="240"/>
        <w:rPr>
          <w:rFonts w:cs="Arial"/>
          <w:b/>
          <w:szCs w:val="24"/>
          <w:lang w:val="es-ES"/>
        </w:rPr>
      </w:pPr>
      <w:r w:rsidRPr="004A429C">
        <w:rPr>
          <w:i/>
          <w:noProof/>
          <w:szCs w:val="24"/>
          <w:lang w:val="es-MX"/>
        </w:rPr>
        <mc:AlternateContent>
          <mc:Choice Requires="wps">
            <w:drawing>
              <wp:anchor distT="0" distB="0" distL="114300" distR="114300" simplePos="0" relativeHeight="251659264" behindDoc="0" locked="0" layoutInCell="1" allowOverlap="1" wp14:anchorId="5504BD36" wp14:editId="31DBA193">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7731FDC5"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wHGCKZMCAABsBQAADgAAAAAAAAAAAAAAAAAuAgAAZHJzL2Uyb0RvYy54&#10;bWxQSwECLQAUAAYACAAAACEAYOFlhuAAAAAMAQAADwAAAAAAAAAAAAAAAADtBAAAZHJzL2Rvd25y&#10;ZXYueG1sUEsFBgAAAAAEAAQA8wAAAPoFAAAAAA==&#10;" filled="f" strokecolor="red" strokeweight="1.5pt"/>
            </w:pict>
          </mc:Fallback>
        </mc:AlternateContent>
      </w:r>
      <w:r w:rsidRPr="004A429C">
        <w:rPr>
          <w:rFonts w:cs="Arial"/>
          <w:szCs w:val="24"/>
          <w:lang w:val="es-ES"/>
        </w:rPr>
        <w:t xml:space="preserve">Atento a lo anterior, resulta claro que existe la obligación por parte del </w:t>
      </w:r>
      <w:r w:rsidRPr="004A429C">
        <w:rPr>
          <w:rFonts w:cs="Arial"/>
          <w:b/>
          <w:szCs w:val="24"/>
          <w:lang w:val="es-ES"/>
        </w:rPr>
        <w:t>Sujeto Obligado</w:t>
      </w:r>
      <w:r w:rsidRPr="004A429C">
        <w:rPr>
          <w:rFonts w:cs="Arial"/>
          <w:szCs w:val="24"/>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4A429C">
        <w:rPr>
          <w:rFonts w:cs="Arial"/>
          <w:b/>
          <w:szCs w:val="24"/>
          <w:lang w:val="es-ES"/>
        </w:rPr>
        <w:t xml:space="preserve">Sujeto Obligado. </w:t>
      </w:r>
    </w:p>
    <w:p w:rsidR="00CB7B0F" w:rsidRPr="00F975C8" w:rsidRDefault="00CB7B0F" w:rsidP="00CB7B0F">
      <w:pPr>
        <w:rPr>
          <w:rFonts w:cs="Arial"/>
          <w:bCs/>
          <w:i/>
          <w:lang w:val="es-ES"/>
        </w:rPr>
      </w:pPr>
    </w:p>
    <w:p w:rsidR="00CB7B0F" w:rsidRDefault="00CB7B0F" w:rsidP="00CB7B0F">
      <w:pPr>
        <w:rPr>
          <w:rFonts w:cs="Arial"/>
          <w:szCs w:val="24"/>
          <w:lang w:val="es-ES"/>
        </w:rPr>
      </w:pPr>
      <w:r w:rsidRPr="00B272A6">
        <w:rPr>
          <w:rFonts w:cs="Arial"/>
          <w:szCs w:val="24"/>
          <w:lang w:val="es-ES"/>
        </w:rPr>
        <w:t xml:space="preserve">Sirve de sustento por analogía, para justificar la publicidad sobre los datos relativos a los montos por concepto de pago de las remuneraciones, los criterios </w:t>
      </w:r>
      <w:r w:rsidRPr="00B272A6">
        <w:rPr>
          <w:rFonts w:cs="Arial"/>
          <w:b/>
          <w:szCs w:val="24"/>
          <w:lang w:val="es-ES"/>
        </w:rPr>
        <w:t>01/2003</w:t>
      </w:r>
      <w:r w:rsidRPr="00B272A6">
        <w:rPr>
          <w:rFonts w:cs="Arial"/>
          <w:szCs w:val="24"/>
          <w:lang w:val="es-ES"/>
        </w:rPr>
        <w:t xml:space="preserve"> y </w:t>
      </w:r>
      <w:r w:rsidRPr="00B272A6">
        <w:rPr>
          <w:rFonts w:cs="Arial"/>
          <w:b/>
          <w:szCs w:val="24"/>
          <w:lang w:val="es-ES"/>
        </w:rPr>
        <w:t>02/2003</w:t>
      </w:r>
      <w:r w:rsidRPr="00B272A6">
        <w:rPr>
          <w:rFonts w:cs="Arial"/>
          <w:szCs w:val="24"/>
          <w:lang w:val="es-ES"/>
        </w:rPr>
        <w:t xml:space="preserve"> emitidos por el Comité de Acceso a la Información Pública y Protección de Datos Personales de la Suprema Corte de Justicia de la Nación que a continuación se citan: </w:t>
      </w:r>
    </w:p>
    <w:p w:rsidR="00CB7B0F" w:rsidRPr="00F975C8" w:rsidRDefault="00CB7B0F" w:rsidP="00CB7B0F">
      <w:pPr>
        <w:spacing w:before="240"/>
        <w:ind w:left="851" w:right="851"/>
        <w:jc w:val="center"/>
        <w:rPr>
          <w:rFonts w:cs="Arial"/>
          <w:b/>
          <w:i/>
          <w:lang w:val="es-ES"/>
        </w:rPr>
      </w:pPr>
      <w:r w:rsidRPr="00F975C8">
        <w:rPr>
          <w:rFonts w:cs="Arial"/>
          <w:b/>
          <w:i/>
          <w:lang w:val="es-ES"/>
        </w:rPr>
        <w:lastRenderedPageBreak/>
        <w:t>Criterio 01/2003.</w:t>
      </w:r>
    </w:p>
    <w:p w:rsidR="00CB7B0F" w:rsidRPr="0039245A" w:rsidRDefault="00CB7B0F" w:rsidP="00CB7B0F">
      <w:pPr>
        <w:spacing w:before="240"/>
        <w:ind w:left="851" w:right="851"/>
        <w:rPr>
          <w:rFonts w:cs="Arial"/>
          <w:b/>
          <w:bCs/>
          <w:i/>
          <w:lang w:val="es-ES"/>
        </w:rPr>
      </w:pPr>
      <w:r>
        <w:rPr>
          <w:rFonts w:cs="Arial"/>
          <w:b/>
          <w:i/>
          <w:lang w:val="es-ES"/>
        </w:rPr>
        <w:t>“</w:t>
      </w:r>
      <w:r w:rsidRPr="00F975C8">
        <w:rPr>
          <w:rFonts w:cs="Arial"/>
          <w:b/>
          <w:i/>
          <w:lang w:val="es-ES"/>
        </w:rPr>
        <w:t>INGRESOS DE LOS SERVIDORES PÚBLICOS. CONSTITUYEN INFORMACIÓN PÚBLICA AÚN Y CUANDO SU DIFUSIÓN PUEDE AFECTAR LA VIDA O LA SEGURIDAD DE AQUELLOS.</w:t>
      </w:r>
      <w:r w:rsidRPr="00F975C8">
        <w:rPr>
          <w:rFonts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cs="Arial"/>
          <w:i/>
          <w:u w:val="single"/>
          <w:lang w:val="es-ES"/>
        </w:rPr>
        <w:t>…”</w:t>
      </w:r>
      <w:r>
        <w:rPr>
          <w:rFonts w:cs="Arial"/>
          <w:i/>
          <w:lang w:val="es-ES"/>
        </w:rPr>
        <w:t xml:space="preserve"> </w:t>
      </w:r>
      <w:r>
        <w:rPr>
          <w:rFonts w:cs="Arial"/>
          <w:b/>
          <w:bCs/>
          <w:i/>
          <w:lang w:val="es-ES"/>
        </w:rPr>
        <w:t>[Sic]</w:t>
      </w:r>
    </w:p>
    <w:p w:rsidR="00CB7B0F" w:rsidRPr="00F975C8" w:rsidRDefault="00CB7B0F" w:rsidP="00CB7B0F">
      <w:pPr>
        <w:spacing w:before="240"/>
        <w:ind w:left="851" w:right="851"/>
        <w:rPr>
          <w:rFonts w:cs="Arial"/>
          <w:i/>
          <w:lang w:val="es-ES"/>
        </w:rPr>
      </w:pPr>
    </w:p>
    <w:p w:rsidR="00CB7B0F" w:rsidRPr="00F975C8" w:rsidRDefault="00CB7B0F" w:rsidP="00CB7B0F">
      <w:pPr>
        <w:spacing w:before="240"/>
        <w:ind w:left="851" w:right="851"/>
        <w:jc w:val="center"/>
        <w:rPr>
          <w:rFonts w:cs="Arial"/>
          <w:b/>
          <w:i/>
          <w:lang w:val="es-ES"/>
        </w:rPr>
      </w:pPr>
      <w:r w:rsidRPr="00F975C8">
        <w:rPr>
          <w:rFonts w:cs="Arial"/>
          <w:b/>
          <w:i/>
          <w:lang w:val="es-ES"/>
        </w:rPr>
        <w:t>Criterio 02/2003.</w:t>
      </w:r>
    </w:p>
    <w:p w:rsidR="00CB7B0F" w:rsidRPr="006955CA" w:rsidRDefault="00CB7B0F" w:rsidP="00CB7B0F">
      <w:pPr>
        <w:spacing w:before="240"/>
        <w:ind w:left="851" w:right="851"/>
        <w:rPr>
          <w:rFonts w:cs="Arial"/>
          <w:b/>
          <w:i/>
          <w:lang w:val="es-ES"/>
        </w:rPr>
      </w:pPr>
      <w:r>
        <w:rPr>
          <w:rFonts w:cs="Arial"/>
          <w:b/>
          <w:i/>
          <w:lang w:val="es-ES"/>
        </w:rPr>
        <w:lastRenderedPageBreak/>
        <w:t>“</w:t>
      </w:r>
      <w:r w:rsidRPr="00F975C8">
        <w:rPr>
          <w:rFonts w:cs="Arial"/>
          <w:b/>
          <w:i/>
          <w:lang w:val="es-ES"/>
        </w:rPr>
        <w:t>INGRESOS DE LOS SERVIDORES PÚBLICOS, SON INFORMACIÓN PÚBLICA AÚN Y CUANDO CONSTITUYEN DATOS PERSONALES QUE SE REFIEREN AL PATRIMONIO DE AQUÉLLOS.</w:t>
      </w:r>
      <w:r w:rsidRPr="00F975C8">
        <w:rPr>
          <w:rFonts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cs="Arial"/>
          <w:i/>
          <w:lang w:val="es-ES"/>
        </w:rPr>
        <w:t xml:space="preserve"> el sistema de compensación…”</w:t>
      </w:r>
      <w:r>
        <w:rPr>
          <w:rFonts w:cs="Arial"/>
          <w:i/>
          <w:lang w:val="es-ES"/>
        </w:rPr>
        <w:t xml:space="preserve"> </w:t>
      </w:r>
      <w:r>
        <w:rPr>
          <w:rFonts w:cs="Arial"/>
          <w:b/>
          <w:i/>
          <w:lang w:val="es-ES"/>
        </w:rPr>
        <w:t>[Sic]</w:t>
      </w:r>
    </w:p>
    <w:p w:rsidR="00CB7B0F" w:rsidRDefault="00CB7B0F" w:rsidP="00CB7B0F">
      <w:pPr>
        <w:spacing w:before="240" w:after="240"/>
        <w:rPr>
          <w:rFonts w:cs="Arial"/>
          <w:szCs w:val="24"/>
          <w:lang w:val="es-ES"/>
        </w:rPr>
      </w:pPr>
      <w:r w:rsidRPr="00B272A6">
        <w:rPr>
          <w:rFonts w:cs="Arial"/>
          <w:szCs w:val="24"/>
          <w:lang w:val="es-ES"/>
        </w:rPr>
        <w:t xml:space="preserve">En este sentido, </w:t>
      </w:r>
      <w:r w:rsidRPr="00B272A6">
        <w:rPr>
          <w:rFonts w:cs="Arial"/>
          <w:b/>
          <w:szCs w:val="24"/>
          <w:lang w:val="es-ES"/>
        </w:rPr>
        <w:t>E</w:t>
      </w:r>
      <w:r>
        <w:rPr>
          <w:rFonts w:cs="Arial"/>
          <w:b/>
          <w:szCs w:val="24"/>
          <w:lang w:val="es-ES"/>
        </w:rPr>
        <w:t>l</w:t>
      </w:r>
      <w:r w:rsidRPr="00B272A6">
        <w:rPr>
          <w:rFonts w:cs="Arial"/>
          <w:b/>
          <w:szCs w:val="24"/>
          <w:lang w:val="es-ES"/>
        </w:rPr>
        <w:t xml:space="preserve"> </w:t>
      </w:r>
      <w:r>
        <w:rPr>
          <w:rFonts w:cs="Arial"/>
          <w:b/>
          <w:szCs w:val="24"/>
          <w:lang w:val="es-ES"/>
        </w:rPr>
        <w:t>Sujeto</w:t>
      </w:r>
      <w:r w:rsidRPr="00B272A6">
        <w:rPr>
          <w:rFonts w:cs="Arial"/>
          <w:b/>
          <w:szCs w:val="24"/>
          <w:lang w:val="es-ES"/>
        </w:rPr>
        <w:t xml:space="preserve"> </w:t>
      </w:r>
      <w:r>
        <w:rPr>
          <w:rFonts w:cs="Arial"/>
          <w:b/>
          <w:szCs w:val="24"/>
          <w:lang w:val="es-ES"/>
        </w:rPr>
        <w:t>Obligado</w:t>
      </w:r>
      <w:r w:rsidRPr="00B272A6">
        <w:rPr>
          <w:rFonts w:cs="Arial"/>
          <w:szCs w:val="24"/>
          <w:lang w:val="es-ES"/>
        </w:rPr>
        <w:t xml:space="preserve"> se encuentra constreñido a entregar la información solicitada por </w:t>
      </w:r>
      <w:r>
        <w:rPr>
          <w:rFonts w:cs="Arial"/>
          <w:b/>
          <w:color w:val="000000"/>
          <w:szCs w:val="24"/>
          <w:lang w:val="es-ES"/>
        </w:rPr>
        <w:t>El</w:t>
      </w:r>
      <w:r w:rsidRPr="00B272A6">
        <w:rPr>
          <w:rFonts w:cs="Arial"/>
          <w:b/>
          <w:color w:val="000000"/>
          <w:szCs w:val="24"/>
        </w:rPr>
        <w:t xml:space="preserve"> R</w:t>
      </w:r>
      <w:r>
        <w:rPr>
          <w:rFonts w:cs="Arial"/>
          <w:b/>
          <w:color w:val="000000"/>
          <w:szCs w:val="24"/>
        </w:rPr>
        <w:t>ecurrente</w:t>
      </w:r>
      <w:r w:rsidRPr="00B272A6">
        <w:rPr>
          <w:rFonts w:cs="Arial"/>
          <w:szCs w:val="24"/>
          <w:lang w:val="es-ES"/>
        </w:rPr>
        <w:t xml:space="preserve">, de acuerdo a lo dispuesto por los artículos 3, fracción XI y 12 </w:t>
      </w:r>
      <w:r w:rsidRPr="00B272A6">
        <w:rPr>
          <w:rFonts w:cs="Arial"/>
          <w:bCs/>
          <w:szCs w:val="24"/>
          <w:lang w:val="es-ES"/>
        </w:rPr>
        <w:t>de la Ley de Transparencia y Acceso a la Información Pública del Estado de México y Municipios</w:t>
      </w:r>
      <w:r w:rsidRPr="00B272A6">
        <w:rPr>
          <w:rFonts w:cs="Arial"/>
          <w:szCs w:val="24"/>
          <w:lang w:val="es-ES"/>
        </w:rPr>
        <w:t>, de los cuales se desprende que es información pública la contenida en los documentos que los Sujetos Obligados generen, administren o se encuentre en su posesión en ejercicio de sus atribuciones.</w:t>
      </w:r>
    </w:p>
    <w:p w:rsidR="00CB7B0F" w:rsidRPr="00B272A6" w:rsidRDefault="00CB7B0F" w:rsidP="00CB7B0F">
      <w:pPr>
        <w:spacing w:before="240" w:after="240"/>
        <w:rPr>
          <w:rFonts w:cs="Arial"/>
          <w:szCs w:val="24"/>
          <w:lang w:val="es-ES"/>
        </w:rPr>
      </w:pPr>
    </w:p>
    <w:p w:rsidR="00CB7B0F" w:rsidRDefault="00CB7B0F" w:rsidP="00CB7B0F">
      <w:pPr>
        <w:autoSpaceDE w:val="0"/>
        <w:autoSpaceDN w:val="0"/>
        <w:adjustRightInd w:val="0"/>
        <w:spacing w:before="240" w:after="240"/>
        <w:rPr>
          <w:rFonts w:cs="Arial"/>
          <w:szCs w:val="24"/>
          <w:lang w:val="es-ES"/>
        </w:rPr>
      </w:pPr>
      <w:r w:rsidRPr="00B272A6">
        <w:rPr>
          <w:rFonts w:cs="Arial"/>
          <w:szCs w:val="24"/>
          <w:lang w:val="es-ES"/>
        </w:rPr>
        <w:lastRenderedPageBreak/>
        <w:t xml:space="preserve">Siendo aplicable, el criterio </w:t>
      </w:r>
      <w:r w:rsidRPr="00B272A6">
        <w:rPr>
          <w:rFonts w:cs="Arial"/>
          <w:bCs/>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cs="Arial"/>
          <w:szCs w:val="24"/>
          <w:lang w:val="es-ES"/>
        </w:rPr>
        <w:t>cuyo rubro y texto dispone:</w:t>
      </w:r>
    </w:p>
    <w:p w:rsidR="00CB7B0F" w:rsidRPr="00F975C8" w:rsidRDefault="00CB7B0F" w:rsidP="00CB7B0F">
      <w:pPr>
        <w:spacing w:before="240"/>
        <w:ind w:left="851" w:right="851"/>
        <w:jc w:val="center"/>
        <w:rPr>
          <w:rFonts w:cs="Arial"/>
          <w:b/>
          <w:i/>
          <w:lang w:val="es-ES"/>
        </w:rPr>
      </w:pPr>
      <w:r w:rsidRPr="00F975C8">
        <w:rPr>
          <w:rFonts w:cs="Arial"/>
          <w:b/>
          <w:i/>
          <w:lang w:val="es-ES"/>
        </w:rPr>
        <w:t>CRITERIO 0002-11</w:t>
      </w:r>
    </w:p>
    <w:p w:rsidR="00CB7B0F" w:rsidRPr="00F975C8" w:rsidRDefault="00CB7B0F" w:rsidP="00CB7B0F">
      <w:pPr>
        <w:spacing w:before="240"/>
        <w:ind w:left="851" w:right="851"/>
        <w:rPr>
          <w:rFonts w:cs="Arial"/>
          <w:i/>
          <w:lang w:val="es-ES"/>
        </w:rPr>
      </w:pPr>
      <w:r>
        <w:rPr>
          <w:rFonts w:cs="Arial"/>
          <w:b/>
          <w:i/>
          <w:lang w:val="es-ES"/>
        </w:rPr>
        <w:t>“</w:t>
      </w:r>
      <w:r w:rsidRPr="00F975C8">
        <w:rPr>
          <w:rFonts w:cs="Arial"/>
          <w:b/>
          <w:i/>
          <w:lang w:val="es-ES"/>
        </w:rPr>
        <w:t xml:space="preserve">INFORMACIÓN PÚBLICA, CONCEPTO DE, EN MATERIA DE TRANSPARENCIA. INTERPRETACIÓN TEMÁTICA DE LOS ARTÍCULOS 2 2, FRACCIÓN </w:t>
      </w:r>
      <w:r w:rsidRPr="00F975C8">
        <w:rPr>
          <w:rFonts w:cs="Arial"/>
          <w:b/>
          <w:bCs/>
          <w:i/>
          <w:lang w:val="es-ES"/>
        </w:rPr>
        <w:t xml:space="preserve">V, XV, Y XVI, </w:t>
      </w:r>
      <w:r w:rsidRPr="00F975C8">
        <w:rPr>
          <w:rFonts w:cs="Arial"/>
          <w:b/>
          <w:i/>
          <w:lang w:val="es-ES"/>
        </w:rPr>
        <w:t>32, 4,11 Y 41.</w:t>
      </w:r>
      <w:r w:rsidRPr="00F975C8">
        <w:rPr>
          <w:rFonts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B7B0F" w:rsidRPr="00F975C8" w:rsidRDefault="00CB7B0F" w:rsidP="00CB7B0F">
      <w:pPr>
        <w:spacing w:before="240"/>
        <w:ind w:left="851" w:right="851"/>
        <w:rPr>
          <w:rFonts w:cs="Arial"/>
          <w:i/>
          <w:lang w:val="es-ES"/>
        </w:rPr>
      </w:pPr>
      <w:r w:rsidRPr="00F975C8">
        <w:rPr>
          <w:rFonts w:cs="Arial"/>
          <w:i/>
          <w:lang w:val="es-ES"/>
        </w:rPr>
        <w:t>En consecuencia, el acceso a la información se refiere a que se cumplan cualquiera de los siguientes tres supuestos:</w:t>
      </w:r>
    </w:p>
    <w:p w:rsidR="00CB7B0F" w:rsidRPr="0039245A" w:rsidRDefault="00CB7B0F" w:rsidP="00CB7B0F">
      <w:pPr>
        <w:spacing w:before="240"/>
        <w:ind w:left="851" w:right="851"/>
        <w:rPr>
          <w:rFonts w:cs="Arial"/>
          <w:b/>
          <w:i/>
          <w:u w:val="single"/>
          <w:lang w:val="es-ES"/>
        </w:rPr>
      </w:pPr>
      <w:r w:rsidRPr="0039245A">
        <w:rPr>
          <w:rFonts w:cs="Arial"/>
          <w:b/>
          <w:i/>
          <w:u w:val="single"/>
          <w:lang w:val="es-ES"/>
        </w:rPr>
        <w:t>1) Que se trate de información registrada en cualquier soporte documental, que, en ejercicio de las atribuciones conferidas, sea generada por los Sujetos Obligados;</w:t>
      </w:r>
    </w:p>
    <w:p w:rsidR="00CB7B0F" w:rsidRPr="00F975C8" w:rsidRDefault="00CB7B0F" w:rsidP="00CB7B0F">
      <w:pPr>
        <w:spacing w:before="240"/>
        <w:ind w:left="851" w:right="851"/>
        <w:rPr>
          <w:rFonts w:cs="Arial"/>
          <w:i/>
          <w:lang w:val="es-ES"/>
        </w:rPr>
      </w:pPr>
      <w:r w:rsidRPr="00F975C8">
        <w:rPr>
          <w:rFonts w:cs="Arial"/>
          <w:i/>
          <w:lang w:val="es-ES"/>
        </w:rPr>
        <w:lastRenderedPageBreak/>
        <w:t>2) Que se trate de información registrada en cualquier soporte documental, que en ejercicio de las atribuciones conferidas, sea administrada por los Sujetos Obligados, y</w:t>
      </w:r>
    </w:p>
    <w:p w:rsidR="00CB7B0F" w:rsidRPr="00B272A6" w:rsidRDefault="00CB7B0F" w:rsidP="00CB7B0F">
      <w:pPr>
        <w:spacing w:before="240"/>
        <w:ind w:left="851" w:right="851"/>
        <w:rPr>
          <w:rFonts w:cs="Arial"/>
          <w:b/>
          <w:i/>
          <w:lang w:val="es-ES"/>
        </w:rPr>
      </w:pPr>
      <w:r w:rsidRPr="00F975C8">
        <w:rPr>
          <w:rFonts w:cs="Arial"/>
          <w:i/>
          <w:lang w:val="es-ES"/>
        </w:rPr>
        <w:t xml:space="preserve">3) Que se trate de información registrada en cualquier soporte documental, que en ejercicio de las atribuciones conferidas, se encuentre en posesión de los Sujetos Obligados.” </w:t>
      </w:r>
      <w:r>
        <w:rPr>
          <w:rFonts w:cs="Arial"/>
          <w:b/>
          <w:i/>
          <w:lang w:val="es-ES"/>
        </w:rPr>
        <w:t>[Sic]</w:t>
      </w:r>
    </w:p>
    <w:p w:rsidR="00CB7B0F" w:rsidRDefault="00CB7B0F" w:rsidP="00CB7B0F">
      <w:pPr>
        <w:autoSpaceDE w:val="0"/>
        <w:autoSpaceDN w:val="0"/>
        <w:adjustRightInd w:val="0"/>
        <w:spacing w:before="240"/>
        <w:rPr>
          <w:rFonts w:cs="Arial"/>
          <w:szCs w:val="24"/>
        </w:rPr>
      </w:pPr>
    </w:p>
    <w:p w:rsidR="00CB7B0F" w:rsidRDefault="00CB7B0F" w:rsidP="00CB7B0F">
      <w:pPr>
        <w:autoSpaceDE w:val="0"/>
        <w:autoSpaceDN w:val="0"/>
        <w:adjustRightInd w:val="0"/>
        <w:spacing w:before="240"/>
        <w:rPr>
          <w:rFonts w:cs="Arial"/>
          <w:szCs w:val="24"/>
        </w:rPr>
      </w:pPr>
      <w:r>
        <w:rPr>
          <w:rFonts w:cs="Arial"/>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rsidR="00CB7B0F" w:rsidRPr="00FA7CFC" w:rsidRDefault="00CB7B0F" w:rsidP="00CB7B0F">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CB7B0F" w:rsidRPr="00FA7CFC" w:rsidRDefault="00CB7B0F" w:rsidP="00CB7B0F">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rsidR="00CB7B0F" w:rsidRDefault="00CB7B0F" w:rsidP="00CB7B0F">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CB7B0F" w:rsidRDefault="00CB7B0F" w:rsidP="00CB7B0F">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lastRenderedPageBreak/>
        <w:t>(…</w:t>
      </w:r>
      <w:r>
        <w:rPr>
          <w:rFonts w:ascii="Palatino Linotype" w:hAnsi="Palatino Linotype"/>
          <w:i/>
          <w:sz w:val="22"/>
          <w:szCs w:val="22"/>
        </w:rPr>
        <w:t>)</w:t>
      </w:r>
    </w:p>
    <w:p w:rsidR="00CB7B0F" w:rsidRDefault="00CB7B0F" w:rsidP="00CB7B0F">
      <w:pPr>
        <w:autoSpaceDE w:val="0"/>
        <w:autoSpaceDN w:val="0"/>
        <w:adjustRightInd w:val="0"/>
        <w:spacing w:before="240"/>
        <w:ind w:left="851" w:right="851"/>
        <w:rPr>
          <w:b/>
          <w:i/>
          <w:u w:val="single"/>
        </w:rPr>
      </w:pPr>
      <w:r w:rsidRPr="00682B6F">
        <w:rPr>
          <w:b/>
          <w:bCs/>
          <w:i/>
          <w:u w:val="single"/>
        </w:rPr>
        <w:t xml:space="preserve">VIII. </w:t>
      </w:r>
      <w:r w:rsidRPr="00682B6F">
        <w:rPr>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CB7B0F" w:rsidRPr="00682B6F" w:rsidRDefault="00CB7B0F" w:rsidP="00CB7B0F">
      <w:pPr>
        <w:autoSpaceDE w:val="0"/>
        <w:autoSpaceDN w:val="0"/>
        <w:adjustRightInd w:val="0"/>
        <w:spacing w:before="240"/>
        <w:ind w:left="851" w:right="851"/>
        <w:rPr>
          <w:b/>
          <w:i/>
          <w:u w:val="single"/>
        </w:rPr>
      </w:pPr>
      <w:r>
        <w:rPr>
          <w:b/>
          <w:i/>
          <w:u w:val="single"/>
        </w:rPr>
        <w:t>(…)</w:t>
      </w:r>
      <w:r w:rsidRPr="00682B6F">
        <w:rPr>
          <w:b/>
          <w:i/>
          <w:u w:val="single"/>
        </w:rPr>
        <w:t>”</w:t>
      </w:r>
      <w:r w:rsidRPr="00682B6F">
        <w:rPr>
          <w:i/>
          <w:u w:val="single"/>
        </w:rPr>
        <w:t xml:space="preserve"> </w:t>
      </w:r>
      <w:r w:rsidRPr="00682B6F">
        <w:rPr>
          <w:b/>
          <w:i/>
          <w:u w:val="single"/>
        </w:rPr>
        <w:t>[Sic]</w:t>
      </w:r>
    </w:p>
    <w:p w:rsidR="00CB7B0F" w:rsidRDefault="00CB7B0F" w:rsidP="00CB7B0F">
      <w:pPr>
        <w:contextualSpacing/>
        <w:rPr>
          <w:rFonts w:eastAsia="MS Mincho" w:cs="Times New Roman"/>
          <w:szCs w:val="24"/>
        </w:rPr>
      </w:pPr>
    </w:p>
    <w:p w:rsidR="00403A90" w:rsidRDefault="00CB7B0F" w:rsidP="00925990">
      <w:pPr>
        <w:spacing w:after="240"/>
        <w:rPr>
          <w:rFonts w:eastAsia="Palatino Linotype" w:cs="Palatino Linotype"/>
          <w:color w:val="000000"/>
        </w:rPr>
      </w:pPr>
      <w:r w:rsidRPr="00F40B51">
        <w:rPr>
          <w:rFonts w:cs="Arial"/>
          <w:szCs w:val="24"/>
        </w:rPr>
        <w:t xml:space="preserve">Atento a lo anterior, resulta claro que existe la obligación del </w:t>
      </w:r>
      <w:r w:rsidRPr="00F40B51">
        <w:rPr>
          <w:rFonts w:cs="Arial"/>
          <w:b/>
          <w:szCs w:val="24"/>
        </w:rPr>
        <w:t>Sujeto Obligado</w:t>
      </w:r>
      <w:r w:rsidRPr="00F40B51">
        <w:rPr>
          <w:rFonts w:cs="Arial"/>
          <w:szCs w:val="24"/>
        </w:rPr>
        <w:t xml:space="preserve">, de entregar los informes </w:t>
      </w:r>
      <w:r w:rsidR="00925990">
        <w:rPr>
          <w:rFonts w:cs="Arial"/>
          <w:szCs w:val="24"/>
        </w:rPr>
        <w:t>mensuales</w:t>
      </w:r>
      <w:r w:rsidRPr="00F40B51">
        <w:rPr>
          <w:rFonts w:cs="Arial"/>
          <w:szCs w:val="24"/>
        </w:rPr>
        <w:t xml:space="preserve"> al Órgano Superior de Fiscalización del Estado de México, en los cuales se incluye la información relativa a </w:t>
      </w:r>
      <w:r>
        <w:rPr>
          <w:rFonts w:cs="Arial"/>
          <w:szCs w:val="24"/>
        </w:rPr>
        <w:t>la nómina general correspondiente</w:t>
      </w:r>
      <w:r w:rsidRPr="00F40B51">
        <w:rPr>
          <w:rFonts w:cs="Arial"/>
          <w:szCs w:val="24"/>
        </w:rPr>
        <w:t xml:space="preserve"> a un periodo determinado; en consecuencia, la información solicitada por </w:t>
      </w:r>
      <w:r>
        <w:rPr>
          <w:rFonts w:cs="Arial"/>
          <w:b/>
          <w:szCs w:val="24"/>
        </w:rPr>
        <w:t>El</w:t>
      </w:r>
      <w:r w:rsidRPr="00F40B51">
        <w:rPr>
          <w:rFonts w:cs="Arial"/>
          <w:b/>
          <w:szCs w:val="24"/>
        </w:rPr>
        <w:t xml:space="preserve"> </w:t>
      </w:r>
      <w:r>
        <w:rPr>
          <w:rFonts w:cs="Arial"/>
          <w:b/>
          <w:szCs w:val="24"/>
        </w:rPr>
        <w:t>Recurrente</w:t>
      </w:r>
      <w:r w:rsidRPr="00F40B51">
        <w:rPr>
          <w:rFonts w:cs="Arial"/>
          <w:b/>
          <w:szCs w:val="24"/>
        </w:rPr>
        <w:t xml:space="preserve"> </w:t>
      </w:r>
      <w:r w:rsidRPr="00F40B51">
        <w:rPr>
          <w:rFonts w:cs="Arial"/>
          <w:szCs w:val="24"/>
        </w:rPr>
        <w:t xml:space="preserve">debe obrar en los archivos del </w:t>
      </w:r>
      <w:r>
        <w:rPr>
          <w:rFonts w:cs="Arial"/>
          <w:b/>
          <w:szCs w:val="24"/>
        </w:rPr>
        <w:t xml:space="preserve">Sujeto Obligado. </w:t>
      </w:r>
      <w:r w:rsidRPr="00B93FAE">
        <w:rPr>
          <w:bCs/>
          <w:szCs w:val="24"/>
        </w:rPr>
        <w:t xml:space="preserve">En virtud de lo anterior, es de destacar que la información requerida es susceptible de ser generada, poseída y administrada por </w:t>
      </w:r>
      <w:r w:rsidR="00925990">
        <w:rPr>
          <w:b/>
          <w:bCs/>
          <w:szCs w:val="24"/>
        </w:rPr>
        <w:t xml:space="preserve">El Sujeto Obligado, </w:t>
      </w:r>
      <w:r w:rsidR="00925990">
        <w:rPr>
          <w:bCs/>
          <w:szCs w:val="24"/>
        </w:rPr>
        <w:t xml:space="preserve">por lo que resulta procedente ordenar la entrega vía SAIMEX, </w:t>
      </w:r>
      <w:r w:rsidR="00925990" w:rsidRPr="006F3986">
        <w:rPr>
          <w:bCs/>
        </w:rPr>
        <w:t>en versión pública de los</w:t>
      </w:r>
      <w:r w:rsidR="00925990" w:rsidRPr="006F3986">
        <w:rPr>
          <w:bCs/>
          <w:i/>
        </w:rPr>
        <w:t xml:space="preserve"> </w:t>
      </w:r>
      <w:r w:rsidR="00925990">
        <w:rPr>
          <w:rFonts w:eastAsia="Palatino Linotype" w:cs="Palatino Linotype"/>
          <w:color w:val="000000"/>
        </w:rPr>
        <w:t>r</w:t>
      </w:r>
      <w:r w:rsidR="00925990" w:rsidRPr="006F3986">
        <w:rPr>
          <w:rFonts w:eastAsia="Palatino Linotype" w:cs="Palatino Linotype"/>
          <w:color w:val="000000"/>
        </w:rPr>
        <w:t xml:space="preserve">ecibos de nómina </w:t>
      </w:r>
      <w:r w:rsidR="00925990" w:rsidRPr="006F3986">
        <w:rPr>
          <w:rFonts w:cs="Arial"/>
        </w:rPr>
        <w:t xml:space="preserve">o comprobantes fiscales digitales por concepto de nómina (CFDI) </w:t>
      </w:r>
      <w:r w:rsidR="00925990" w:rsidRPr="006F3986">
        <w:rPr>
          <w:rFonts w:eastAsia="Palatino Linotype" w:cs="Palatino Linotype"/>
          <w:color w:val="000000"/>
        </w:rPr>
        <w:t>del servidor públi</w:t>
      </w:r>
      <w:r w:rsidR="00925990">
        <w:rPr>
          <w:rFonts w:eastAsia="Palatino Linotype" w:cs="Palatino Linotype"/>
          <w:color w:val="000000"/>
        </w:rPr>
        <w:t xml:space="preserve">co referido en la solicitud, de la segunda quincena de octubre y de la primera quincena de </w:t>
      </w:r>
      <w:r w:rsidR="001E3720">
        <w:rPr>
          <w:rFonts w:eastAsia="Palatino Linotype" w:cs="Palatino Linotype"/>
          <w:color w:val="000000"/>
        </w:rPr>
        <w:t>noviembre de dos mil veintidós.</w:t>
      </w:r>
    </w:p>
    <w:p w:rsidR="00357C72" w:rsidRDefault="00357C72" w:rsidP="00925990">
      <w:pPr>
        <w:spacing w:after="240"/>
        <w:rPr>
          <w:rFonts w:eastAsia="Palatino Linotype" w:cs="Palatino Linotype"/>
          <w:szCs w:val="24"/>
        </w:rPr>
      </w:pPr>
    </w:p>
    <w:p w:rsidR="00403A90" w:rsidRPr="002639E6" w:rsidRDefault="00403A90" w:rsidP="00403A90">
      <w:pPr>
        <w:rPr>
          <w:rFonts w:eastAsia="Times New Roman" w:cs="Times New Roman"/>
          <w:b/>
          <w:bCs/>
          <w:i/>
          <w:iCs/>
          <w:szCs w:val="24"/>
          <w:u w:val="single"/>
        </w:rPr>
      </w:pPr>
      <w:r w:rsidRPr="002639E6">
        <w:rPr>
          <w:rFonts w:eastAsia="Times New Roman" w:cs="Times New Roman"/>
          <w:b/>
          <w:bCs/>
          <w:i/>
          <w:iCs/>
          <w:szCs w:val="24"/>
          <w:u w:val="single"/>
        </w:rPr>
        <w:t>DE LA VERSIÓN PÚBLICA</w:t>
      </w:r>
    </w:p>
    <w:p w:rsidR="00403A90" w:rsidRPr="002639E6" w:rsidRDefault="00403A90" w:rsidP="00403A90">
      <w:pPr>
        <w:rPr>
          <w:rFonts w:eastAsia="Arial Unicode MS"/>
          <w:szCs w:val="24"/>
          <w:lang w:val="es-MX"/>
        </w:rPr>
      </w:pPr>
      <w:r w:rsidRPr="002639E6">
        <w:rPr>
          <w:rFonts w:eastAsia="Arial Unicode MS"/>
          <w:szCs w:val="24"/>
          <w:lang w:val="es-MX"/>
        </w:rPr>
        <w:lastRenderedPageBreak/>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403A90" w:rsidRPr="002639E6" w:rsidRDefault="00403A90" w:rsidP="00403A90">
      <w:pPr>
        <w:rPr>
          <w:bCs/>
          <w:szCs w:val="24"/>
          <w:lang w:val="es-MX"/>
        </w:rPr>
      </w:pPr>
    </w:p>
    <w:p w:rsidR="00403A90" w:rsidRPr="002639E6" w:rsidRDefault="00403A90" w:rsidP="00403A90">
      <w:pPr>
        <w:rPr>
          <w:szCs w:val="24"/>
          <w:lang w:val="es-MX"/>
        </w:rPr>
      </w:pPr>
      <w:r w:rsidRPr="002639E6">
        <w:rPr>
          <w:bCs/>
          <w:szCs w:val="24"/>
          <w:lang w:val="es-MX"/>
        </w:rPr>
        <w:t>A este respecto, los</w:t>
      </w:r>
      <w:r w:rsidRPr="002639E6">
        <w:rPr>
          <w:szCs w:val="24"/>
          <w:lang w:val="es-MX"/>
        </w:rPr>
        <w:t xml:space="preserve"> artículos 3, fracciones IX, XX, XXI y XLV; 51 y 52de la Ley de Transparencia y Acceso a la Información Pública del Estado de México y Municipios establecen:</w:t>
      </w:r>
    </w:p>
    <w:p w:rsidR="00403A90" w:rsidRPr="002639E6" w:rsidRDefault="00403A90" w:rsidP="00403A90">
      <w:pPr>
        <w:jc w:val="left"/>
        <w:rPr>
          <w:noProof/>
          <w:szCs w:val="24"/>
          <w:lang w:val="es-MX"/>
        </w:rPr>
      </w:pPr>
    </w:p>
    <w:p w:rsidR="00403A90" w:rsidRPr="002639E6" w:rsidRDefault="00403A90" w:rsidP="00403A90">
      <w:pPr>
        <w:spacing w:line="240" w:lineRule="auto"/>
        <w:ind w:left="567" w:right="616"/>
        <w:rPr>
          <w:i/>
          <w:sz w:val="22"/>
          <w:lang w:val="es-MX"/>
        </w:rPr>
      </w:pPr>
      <w:r w:rsidRPr="002639E6">
        <w:rPr>
          <w:rFonts w:cs="Arial"/>
          <w:b/>
          <w:bCs/>
          <w:i/>
          <w:sz w:val="22"/>
          <w:lang w:val="es-MX"/>
        </w:rPr>
        <w:t xml:space="preserve">Artículo 3. </w:t>
      </w:r>
      <w:r w:rsidRPr="002639E6">
        <w:rPr>
          <w:i/>
          <w:sz w:val="22"/>
          <w:lang w:val="es-MX"/>
        </w:rPr>
        <w:t xml:space="preserve">Para los efectos de la presente Ley se entenderá por: </w:t>
      </w:r>
    </w:p>
    <w:p w:rsidR="00403A90" w:rsidRPr="002639E6" w:rsidRDefault="00403A90" w:rsidP="00403A90">
      <w:pPr>
        <w:spacing w:line="240" w:lineRule="auto"/>
        <w:ind w:left="567" w:right="616"/>
        <w:rPr>
          <w:i/>
          <w:sz w:val="22"/>
          <w:lang w:val="es-MX"/>
        </w:rPr>
      </w:pPr>
      <w:r w:rsidRPr="002639E6">
        <w:rPr>
          <w:rFonts w:cs="Arial"/>
          <w:i/>
          <w:sz w:val="22"/>
          <w:lang w:val="es-MX"/>
        </w:rPr>
        <w:t>(…</w:t>
      </w:r>
      <w:r w:rsidRPr="002639E6">
        <w:rPr>
          <w:i/>
          <w:sz w:val="22"/>
          <w:lang w:val="es-MX"/>
        </w:rPr>
        <w:t>)</w:t>
      </w:r>
    </w:p>
    <w:p w:rsidR="00403A90" w:rsidRPr="002639E6" w:rsidRDefault="00403A90" w:rsidP="00403A90">
      <w:pPr>
        <w:spacing w:line="240" w:lineRule="auto"/>
        <w:ind w:left="567" w:right="616"/>
        <w:rPr>
          <w:rFonts w:cs="Arial"/>
          <w:i/>
          <w:sz w:val="22"/>
          <w:lang w:val="es-MX"/>
        </w:rPr>
      </w:pPr>
      <w:r w:rsidRPr="002639E6">
        <w:rPr>
          <w:rFonts w:cs="Arial"/>
          <w:b/>
          <w:i/>
          <w:sz w:val="22"/>
          <w:lang w:val="es-MX"/>
        </w:rPr>
        <w:t>IX.</w:t>
      </w:r>
      <w:r w:rsidRPr="002639E6">
        <w:rPr>
          <w:rFonts w:cs="Arial"/>
          <w:i/>
          <w:sz w:val="22"/>
          <w:lang w:val="es-MX"/>
        </w:rPr>
        <w:t xml:space="preserve"> </w:t>
      </w:r>
      <w:r w:rsidRPr="002639E6">
        <w:rPr>
          <w:rFonts w:cs="Arial"/>
          <w:b/>
          <w:i/>
          <w:sz w:val="22"/>
          <w:lang w:val="es-MX"/>
        </w:rPr>
        <w:t xml:space="preserve">Datos personales: </w:t>
      </w:r>
      <w:r w:rsidRPr="002639E6">
        <w:rPr>
          <w:rFonts w:cs="Arial"/>
          <w:i/>
          <w:sz w:val="22"/>
          <w:lang w:val="es-MX"/>
        </w:rPr>
        <w:t xml:space="preserve">La información concerniente a una persona, identificada o identificable según lo dispuesto por la Ley de Protección de Datos Personales del Estado de México; </w:t>
      </w:r>
    </w:p>
    <w:p w:rsidR="00403A90" w:rsidRPr="002639E6" w:rsidRDefault="00403A90" w:rsidP="00403A90">
      <w:pPr>
        <w:spacing w:line="240" w:lineRule="auto"/>
        <w:ind w:left="567" w:right="616"/>
        <w:rPr>
          <w:rFonts w:cs="Arial"/>
          <w:i/>
          <w:sz w:val="22"/>
          <w:lang w:val="es-MX"/>
        </w:rPr>
      </w:pPr>
      <w:r w:rsidRPr="002639E6">
        <w:rPr>
          <w:rFonts w:cs="Arial"/>
          <w:i/>
          <w:sz w:val="22"/>
          <w:lang w:val="es-MX"/>
        </w:rPr>
        <w:t>(…)</w:t>
      </w:r>
    </w:p>
    <w:p w:rsidR="00403A90" w:rsidRPr="002639E6" w:rsidRDefault="00403A90" w:rsidP="00403A90">
      <w:pPr>
        <w:spacing w:line="240" w:lineRule="auto"/>
        <w:ind w:left="567" w:right="616"/>
        <w:rPr>
          <w:rFonts w:cs="Arial"/>
          <w:i/>
          <w:sz w:val="22"/>
          <w:lang w:val="es-MX"/>
        </w:rPr>
      </w:pPr>
      <w:r w:rsidRPr="002639E6">
        <w:rPr>
          <w:rFonts w:cs="Arial"/>
          <w:b/>
          <w:i/>
          <w:sz w:val="22"/>
          <w:lang w:val="es-MX"/>
        </w:rPr>
        <w:t>XX.</w:t>
      </w:r>
      <w:r w:rsidRPr="002639E6">
        <w:rPr>
          <w:rFonts w:cs="Arial"/>
          <w:i/>
          <w:sz w:val="22"/>
          <w:lang w:val="es-MX"/>
        </w:rPr>
        <w:t xml:space="preserve"> </w:t>
      </w:r>
      <w:r w:rsidRPr="002639E6">
        <w:rPr>
          <w:rFonts w:cs="Arial"/>
          <w:b/>
          <w:i/>
          <w:sz w:val="22"/>
          <w:lang w:val="es-MX"/>
        </w:rPr>
        <w:t>Información clasificada:</w:t>
      </w:r>
      <w:r w:rsidRPr="002639E6">
        <w:rPr>
          <w:rFonts w:cs="Arial"/>
          <w:i/>
          <w:sz w:val="22"/>
          <w:lang w:val="es-MX"/>
        </w:rPr>
        <w:t xml:space="preserve"> Aquella considerada por la presente Ley como reservada o confidencial; </w:t>
      </w:r>
    </w:p>
    <w:p w:rsidR="00403A90" w:rsidRPr="002639E6" w:rsidRDefault="00403A90" w:rsidP="00403A90">
      <w:pPr>
        <w:spacing w:line="240" w:lineRule="auto"/>
        <w:ind w:left="567" w:right="616"/>
        <w:rPr>
          <w:rFonts w:cs="Arial"/>
          <w:i/>
          <w:sz w:val="22"/>
          <w:lang w:val="es-MX"/>
        </w:rPr>
      </w:pPr>
      <w:r w:rsidRPr="002639E6">
        <w:rPr>
          <w:rFonts w:cs="Arial"/>
          <w:b/>
          <w:i/>
          <w:sz w:val="22"/>
          <w:lang w:val="es-MX"/>
        </w:rPr>
        <w:t>XXI.</w:t>
      </w:r>
      <w:r w:rsidRPr="002639E6">
        <w:rPr>
          <w:rFonts w:cs="Arial"/>
          <w:i/>
          <w:sz w:val="22"/>
          <w:lang w:val="es-MX"/>
        </w:rPr>
        <w:t xml:space="preserve"> </w:t>
      </w:r>
      <w:r w:rsidRPr="002639E6">
        <w:rPr>
          <w:rFonts w:cs="Arial"/>
          <w:b/>
          <w:i/>
          <w:sz w:val="22"/>
          <w:lang w:val="es-MX"/>
        </w:rPr>
        <w:t>Información confidencial</w:t>
      </w:r>
      <w:r w:rsidRPr="002639E6">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403A90" w:rsidRPr="002639E6" w:rsidRDefault="00403A90" w:rsidP="00403A90">
      <w:pPr>
        <w:spacing w:line="240" w:lineRule="auto"/>
        <w:ind w:left="567" w:right="616"/>
        <w:rPr>
          <w:rFonts w:cs="Arial"/>
          <w:i/>
          <w:sz w:val="22"/>
          <w:lang w:val="es-MX"/>
        </w:rPr>
      </w:pPr>
      <w:r w:rsidRPr="002639E6">
        <w:rPr>
          <w:rFonts w:cs="Arial"/>
          <w:i/>
          <w:sz w:val="22"/>
          <w:lang w:val="es-MX"/>
        </w:rPr>
        <w:t>(…)</w:t>
      </w:r>
    </w:p>
    <w:p w:rsidR="00403A90" w:rsidRPr="002639E6" w:rsidRDefault="00403A90" w:rsidP="00403A90">
      <w:pPr>
        <w:spacing w:line="240" w:lineRule="auto"/>
        <w:ind w:left="567" w:right="616"/>
        <w:rPr>
          <w:rFonts w:cs="Arial"/>
          <w:i/>
          <w:sz w:val="22"/>
          <w:lang w:val="es-MX"/>
        </w:rPr>
      </w:pPr>
      <w:r w:rsidRPr="002639E6">
        <w:rPr>
          <w:rFonts w:cs="Arial"/>
          <w:b/>
          <w:i/>
          <w:sz w:val="22"/>
          <w:lang w:val="es-MX"/>
        </w:rPr>
        <w:t>XLV. Versión pública:</w:t>
      </w:r>
      <w:r w:rsidRPr="002639E6">
        <w:rPr>
          <w:rFonts w:cs="Arial"/>
          <w:i/>
          <w:sz w:val="22"/>
          <w:lang w:val="es-MX"/>
        </w:rPr>
        <w:t xml:space="preserve"> Documento en el que se elimine, suprime o borra la información clasificada como reservada o confidencial para permitir su acceso. </w:t>
      </w:r>
    </w:p>
    <w:p w:rsidR="00403A90" w:rsidRPr="002639E6" w:rsidRDefault="00403A90" w:rsidP="00403A90">
      <w:pPr>
        <w:spacing w:line="240" w:lineRule="auto"/>
        <w:ind w:left="567" w:right="616"/>
        <w:rPr>
          <w:rFonts w:cs="Arial"/>
          <w:i/>
          <w:sz w:val="22"/>
          <w:lang w:val="es-MX"/>
        </w:rPr>
      </w:pPr>
    </w:p>
    <w:p w:rsidR="00403A90" w:rsidRPr="002639E6" w:rsidRDefault="00403A90" w:rsidP="00403A90">
      <w:pPr>
        <w:spacing w:line="240" w:lineRule="auto"/>
        <w:ind w:left="567" w:right="616"/>
        <w:rPr>
          <w:rFonts w:cs="Arial"/>
          <w:i/>
          <w:sz w:val="22"/>
          <w:lang w:val="es-MX"/>
        </w:rPr>
      </w:pPr>
      <w:r w:rsidRPr="002639E6">
        <w:rPr>
          <w:rFonts w:cs="Arial"/>
          <w:b/>
          <w:i/>
          <w:sz w:val="22"/>
          <w:lang w:val="es-MX"/>
        </w:rPr>
        <w:t>Artículo 51.</w:t>
      </w:r>
      <w:r w:rsidRPr="002639E6">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639E6">
        <w:rPr>
          <w:rFonts w:cs="Arial"/>
          <w:b/>
          <w:i/>
          <w:sz w:val="22"/>
          <w:lang w:val="es-MX"/>
        </w:rPr>
        <w:t xml:space="preserve">y tendrá la responsabilidad de verificar en cada caso que la misma no sea confidencial o </w:t>
      </w:r>
      <w:r w:rsidRPr="002639E6">
        <w:rPr>
          <w:rFonts w:cs="Arial"/>
          <w:b/>
          <w:i/>
          <w:sz w:val="22"/>
          <w:lang w:val="es-MX"/>
        </w:rPr>
        <w:lastRenderedPageBreak/>
        <w:t xml:space="preserve">reservada. </w:t>
      </w:r>
      <w:r w:rsidRPr="002639E6">
        <w:rPr>
          <w:rFonts w:cs="Arial"/>
          <w:i/>
          <w:sz w:val="22"/>
          <w:lang w:val="es-MX"/>
        </w:rPr>
        <w:t xml:space="preserve">Dicha Unidad contará con las facultades internas necesarias para gestionar la atención a las solicitudes de información en los términos de la Ley General y la presente Ley. </w:t>
      </w:r>
    </w:p>
    <w:p w:rsidR="00403A90" w:rsidRPr="002639E6" w:rsidRDefault="00403A90" w:rsidP="00403A90">
      <w:pPr>
        <w:spacing w:line="240" w:lineRule="auto"/>
        <w:ind w:left="567" w:right="616"/>
        <w:rPr>
          <w:rFonts w:cs="Arial"/>
          <w:i/>
          <w:sz w:val="22"/>
          <w:lang w:val="es-MX"/>
        </w:rPr>
      </w:pPr>
    </w:p>
    <w:p w:rsidR="00403A90" w:rsidRPr="002639E6" w:rsidRDefault="00403A90" w:rsidP="00403A90">
      <w:pPr>
        <w:spacing w:line="240" w:lineRule="auto"/>
        <w:ind w:left="567" w:right="616"/>
        <w:rPr>
          <w:rFonts w:cs="Arial"/>
          <w:bCs/>
          <w:i/>
          <w:noProof/>
          <w:sz w:val="22"/>
          <w:lang w:val="es-MX"/>
        </w:rPr>
      </w:pPr>
      <w:r w:rsidRPr="002639E6">
        <w:rPr>
          <w:rFonts w:cs="Arial"/>
          <w:b/>
          <w:i/>
          <w:sz w:val="22"/>
          <w:lang w:val="es-MX"/>
        </w:rPr>
        <w:t>Artículo 52.</w:t>
      </w:r>
      <w:r w:rsidRPr="002639E6">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403A90" w:rsidRPr="002639E6" w:rsidRDefault="00403A90" w:rsidP="00403A90">
      <w:pPr>
        <w:jc w:val="left"/>
        <w:rPr>
          <w:noProof/>
          <w:szCs w:val="24"/>
          <w:lang w:val="es-MX"/>
        </w:rPr>
      </w:pPr>
    </w:p>
    <w:p w:rsidR="00403A90" w:rsidRPr="002639E6" w:rsidRDefault="00403A90" w:rsidP="00403A90">
      <w:pPr>
        <w:rPr>
          <w:szCs w:val="24"/>
          <w:lang w:val="es-MX"/>
        </w:rPr>
      </w:pPr>
      <w:r w:rsidRPr="002639E6">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403A90" w:rsidRPr="002639E6" w:rsidRDefault="00403A90" w:rsidP="00403A90">
      <w:pPr>
        <w:ind w:left="567" w:right="616"/>
        <w:rPr>
          <w:szCs w:val="24"/>
          <w:lang w:val="es-MX"/>
        </w:rPr>
      </w:pPr>
    </w:p>
    <w:p w:rsidR="00403A90" w:rsidRPr="002639E6" w:rsidRDefault="00403A90" w:rsidP="00403A90">
      <w:pPr>
        <w:spacing w:line="240" w:lineRule="auto"/>
        <w:ind w:left="567" w:right="616"/>
        <w:rPr>
          <w:rFonts w:eastAsia="Arial Unicode MS" w:cs="Arial"/>
          <w:i/>
          <w:sz w:val="22"/>
          <w:lang w:val="es-MX"/>
        </w:rPr>
      </w:pPr>
      <w:r w:rsidRPr="002639E6">
        <w:rPr>
          <w:rFonts w:eastAsia="Arial Unicode MS" w:cs="Arial"/>
          <w:b/>
          <w:i/>
          <w:sz w:val="22"/>
          <w:lang w:val="es-MX"/>
        </w:rPr>
        <w:t>Artículo</w:t>
      </w:r>
      <w:r w:rsidRPr="002639E6">
        <w:rPr>
          <w:rFonts w:eastAsia="Arial Unicode MS" w:cs="Arial"/>
          <w:i/>
          <w:sz w:val="22"/>
          <w:lang w:val="es-MX"/>
        </w:rPr>
        <w:t xml:space="preserve"> </w:t>
      </w:r>
      <w:r w:rsidRPr="002639E6">
        <w:rPr>
          <w:rFonts w:eastAsia="Arial Unicode MS" w:cs="Arial"/>
          <w:b/>
          <w:i/>
          <w:sz w:val="22"/>
          <w:lang w:val="es-MX"/>
        </w:rPr>
        <w:t>22</w:t>
      </w:r>
      <w:r w:rsidRPr="002639E6">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rsidR="00403A90" w:rsidRPr="002639E6" w:rsidRDefault="00403A90" w:rsidP="00403A90">
      <w:pPr>
        <w:spacing w:line="240" w:lineRule="auto"/>
        <w:ind w:left="567" w:right="616"/>
        <w:rPr>
          <w:rFonts w:eastAsia="Arial Unicode MS" w:cs="Arial"/>
          <w:i/>
          <w:sz w:val="22"/>
          <w:lang w:val="es-MX"/>
        </w:rPr>
      </w:pPr>
    </w:p>
    <w:p w:rsidR="00403A90" w:rsidRPr="002639E6" w:rsidRDefault="00403A90" w:rsidP="00403A90">
      <w:pPr>
        <w:spacing w:line="240" w:lineRule="auto"/>
        <w:ind w:left="567" w:right="616"/>
        <w:rPr>
          <w:rFonts w:eastAsia="Arial Unicode MS" w:cs="Arial"/>
          <w:i/>
          <w:sz w:val="22"/>
          <w:lang w:val="es-MX"/>
        </w:rPr>
      </w:pPr>
      <w:r w:rsidRPr="002639E6">
        <w:rPr>
          <w:rFonts w:eastAsia="Arial Unicode MS" w:cs="Arial"/>
          <w:i/>
          <w:sz w:val="22"/>
          <w:lang w:val="es-MX"/>
        </w:rPr>
        <w:t>El responsable podrá tratar datos personales para finalidades distintas a aquéllas establecidas en el aviso de privacidad, en los casos siguientes:</w:t>
      </w:r>
    </w:p>
    <w:p w:rsidR="00403A90" w:rsidRPr="002639E6" w:rsidRDefault="00403A90" w:rsidP="00403A90">
      <w:pPr>
        <w:spacing w:line="240" w:lineRule="auto"/>
        <w:ind w:left="567" w:right="616"/>
        <w:rPr>
          <w:rFonts w:eastAsia="Arial Unicode MS" w:cs="Arial"/>
          <w:i/>
          <w:sz w:val="22"/>
          <w:lang w:val="es-MX"/>
        </w:rPr>
      </w:pPr>
    </w:p>
    <w:p w:rsidR="00403A90" w:rsidRPr="002639E6" w:rsidRDefault="00403A90" w:rsidP="00403A90">
      <w:pPr>
        <w:spacing w:line="240" w:lineRule="auto"/>
        <w:ind w:left="567" w:right="616"/>
        <w:rPr>
          <w:rFonts w:eastAsia="Arial Unicode MS" w:cs="Arial"/>
          <w:i/>
          <w:sz w:val="22"/>
          <w:lang w:val="es-MX"/>
        </w:rPr>
      </w:pPr>
      <w:r w:rsidRPr="002639E6">
        <w:rPr>
          <w:rFonts w:eastAsia="Arial Unicode MS" w:cs="Arial"/>
          <w:i/>
          <w:sz w:val="22"/>
          <w:lang w:val="es-MX"/>
        </w:rPr>
        <w:t>I. Cuente con atribuciones conferidas en ley y medie el consentimiento del titular.</w:t>
      </w:r>
    </w:p>
    <w:p w:rsidR="00403A90" w:rsidRPr="002639E6" w:rsidRDefault="00403A90" w:rsidP="00403A90">
      <w:pPr>
        <w:spacing w:line="240" w:lineRule="auto"/>
        <w:ind w:left="567" w:right="616"/>
        <w:rPr>
          <w:rFonts w:eastAsia="Arial Unicode MS" w:cs="Arial"/>
          <w:i/>
          <w:sz w:val="22"/>
          <w:lang w:val="es-MX"/>
        </w:rPr>
      </w:pPr>
      <w:r w:rsidRPr="002639E6">
        <w:rPr>
          <w:rFonts w:eastAsia="Arial Unicode MS" w:cs="Arial"/>
          <w:i/>
          <w:sz w:val="22"/>
          <w:lang w:val="es-MX"/>
        </w:rPr>
        <w:t>II. Se trate de una persona reportada como desaparecida, en los términos previstos en la presente Ley y demás disposiciones legales aplicables...</w:t>
      </w:r>
    </w:p>
    <w:p w:rsidR="00403A90" w:rsidRPr="002639E6" w:rsidRDefault="00403A90" w:rsidP="00403A90">
      <w:pPr>
        <w:spacing w:line="240" w:lineRule="auto"/>
        <w:ind w:left="567" w:right="616"/>
        <w:rPr>
          <w:rFonts w:eastAsia="Arial Unicode MS" w:cs="Arial"/>
          <w:i/>
          <w:sz w:val="22"/>
          <w:lang w:val="es-MX"/>
        </w:rPr>
      </w:pPr>
    </w:p>
    <w:p w:rsidR="00403A90" w:rsidRPr="002639E6" w:rsidRDefault="00403A90" w:rsidP="00403A90">
      <w:pPr>
        <w:spacing w:line="240" w:lineRule="auto"/>
        <w:ind w:left="567" w:right="616"/>
        <w:rPr>
          <w:rFonts w:eastAsia="Arial Unicode MS" w:cs="Arial"/>
          <w:i/>
          <w:sz w:val="22"/>
          <w:lang w:val="es-MX"/>
        </w:rPr>
      </w:pPr>
      <w:r w:rsidRPr="002639E6">
        <w:rPr>
          <w:rFonts w:eastAsia="Arial Unicode MS" w:cs="Arial"/>
          <w:b/>
          <w:i/>
          <w:sz w:val="22"/>
          <w:lang w:val="es-MX"/>
        </w:rPr>
        <w:t>Artículo</w:t>
      </w:r>
      <w:r w:rsidRPr="002639E6">
        <w:rPr>
          <w:rFonts w:eastAsia="Arial Unicode MS" w:cs="Arial"/>
          <w:i/>
          <w:sz w:val="22"/>
          <w:lang w:val="es-MX"/>
        </w:rPr>
        <w:t xml:space="preserve"> </w:t>
      </w:r>
      <w:r w:rsidRPr="002639E6">
        <w:rPr>
          <w:rFonts w:eastAsia="Arial Unicode MS" w:cs="Arial"/>
          <w:b/>
          <w:i/>
          <w:sz w:val="22"/>
          <w:lang w:val="es-MX"/>
        </w:rPr>
        <w:t>38</w:t>
      </w:r>
      <w:r w:rsidRPr="002639E6">
        <w:rPr>
          <w:rFonts w:eastAsia="Arial Unicode MS" w:cs="Arial"/>
          <w:i/>
          <w:sz w:val="22"/>
          <w:lang w:val="es-MX"/>
        </w:rPr>
        <w:t xml:space="preserve">. Con independencia del tipo de sistema y base de datos en el que se encuentren los datos personales o el tipo de tratamiento que se efectúe, el responsable adoptará, establecerá, </w:t>
      </w:r>
      <w:r w:rsidRPr="002639E6">
        <w:rPr>
          <w:rFonts w:eastAsia="Arial Unicode MS" w:cs="Arial"/>
          <w:i/>
          <w:sz w:val="22"/>
          <w:lang w:val="es-MX"/>
        </w:rPr>
        <w:lastRenderedPageBreak/>
        <w:t>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rsidR="00403A90" w:rsidRPr="002639E6" w:rsidRDefault="00403A90" w:rsidP="00403A90">
      <w:pPr>
        <w:ind w:left="567" w:right="616"/>
        <w:rPr>
          <w:rFonts w:eastAsia="Arial Unicode MS" w:cs="Arial"/>
          <w:i/>
          <w:szCs w:val="24"/>
          <w:lang w:val="es-MX"/>
        </w:rPr>
      </w:pPr>
    </w:p>
    <w:p w:rsidR="00403A90" w:rsidRPr="002639E6" w:rsidRDefault="00403A90" w:rsidP="00403A90">
      <w:pPr>
        <w:rPr>
          <w:szCs w:val="24"/>
          <w:lang w:val="es-MX"/>
        </w:rPr>
      </w:pPr>
      <w:r w:rsidRPr="002639E6">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403A90" w:rsidRPr="002639E6" w:rsidRDefault="00403A90" w:rsidP="00403A90">
      <w:pPr>
        <w:rPr>
          <w:szCs w:val="24"/>
          <w:lang w:val="es-MX"/>
        </w:rPr>
      </w:pPr>
    </w:p>
    <w:p w:rsidR="00403A90" w:rsidRPr="002639E6" w:rsidRDefault="00403A90" w:rsidP="00403A90">
      <w:pPr>
        <w:rPr>
          <w:rFonts w:eastAsia="Arial Unicode MS"/>
          <w:szCs w:val="24"/>
          <w:lang w:val="es-MX"/>
        </w:rPr>
      </w:pPr>
      <w:r w:rsidRPr="002639E6">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639E6">
        <w:rPr>
          <w:rFonts w:eastAsia="Arial Unicode MS"/>
          <w:color w:val="000000"/>
          <w:szCs w:val="24"/>
          <w:lang w:val="es-MX"/>
        </w:rPr>
        <w:t>el Sujeto Obligado</w:t>
      </w:r>
      <w:r w:rsidRPr="002639E6">
        <w:rPr>
          <w:rFonts w:eastAsia="Arial Unicode MS"/>
          <w:szCs w:val="24"/>
          <w:lang w:val="es-MX"/>
        </w:rPr>
        <w:t xml:space="preserve">, en ese contexto, todo dato personal susceptible de clasificación debe ser protegido. </w:t>
      </w:r>
    </w:p>
    <w:p w:rsidR="00403A90" w:rsidRPr="002639E6" w:rsidRDefault="00403A90" w:rsidP="00403A90">
      <w:pPr>
        <w:rPr>
          <w:rFonts w:eastAsia="Arial Unicode MS"/>
          <w:szCs w:val="24"/>
          <w:lang w:val="es-MX"/>
        </w:rPr>
      </w:pPr>
    </w:p>
    <w:p w:rsidR="00403A90" w:rsidRPr="002639E6" w:rsidRDefault="00403A90" w:rsidP="00403A90">
      <w:pPr>
        <w:rPr>
          <w:rFonts w:eastAsia="Arial Unicode MS"/>
          <w:szCs w:val="24"/>
          <w:lang w:val="es-MX"/>
        </w:rPr>
      </w:pPr>
      <w:r w:rsidRPr="002639E6">
        <w:rPr>
          <w:rFonts w:eastAsia="Arial Unicode MS"/>
          <w:szCs w:val="24"/>
          <w:lang w:val="es-MX"/>
        </w:rPr>
        <w:t>Asimismo, de la versión pública deberá dejarse a la vista de la Recurrente</w:t>
      </w:r>
      <w:r w:rsidRPr="002639E6">
        <w:rPr>
          <w:rFonts w:eastAsia="Arial Unicode MS"/>
          <w:b/>
          <w:szCs w:val="24"/>
          <w:lang w:val="es-MX"/>
        </w:rPr>
        <w:t xml:space="preserve"> </w:t>
      </w:r>
      <w:r w:rsidRPr="002639E6">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rsidR="00403A90" w:rsidRPr="002639E6" w:rsidRDefault="00403A90" w:rsidP="00403A90">
      <w:pPr>
        <w:rPr>
          <w:szCs w:val="24"/>
          <w:lang w:val="es-MX"/>
        </w:rPr>
      </w:pPr>
    </w:p>
    <w:p w:rsidR="00403A90" w:rsidRPr="002639E6" w:rsidRDefault="00403A90" w:rsidP="00403A90">
      <w:pPr>
        <w:rPr>
          <w:szCs w:val="24"/>
          <w:lang w:val="es-MX"/>
        </w:rPr>
      </w:pPr>
      <w:r w:rsidRPr="002639E6">
        <w:rPr>
          <w:szCs w:val="24"/>
          <w:lang w:val="es-MX"/>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403A90" w:rsidRPr="002639E6" w:rsidRDefault="00403A90" w:rsidP="00403A90">
      <w:pPr>
        <w:jc w:val="left"/>
        <w:rPr>
          <w:szCs w:val="24"/>
          <w:lang w:val="es-MX"/>
        </w:rPr>
      </w:pPr>
    </w:p>
    <w:p w:rsidR="00403A90" w:rsidRPr="002639E6" w:rsidRDefault="00403A90" w:rsidP="00403A90">
      <w:pPr>
        <w:spacing w:line="240" w:lineRule="auto"/>
        <w:ind w:left="567" w:right="567"/>
        <w:rPr>
          <w:rFonts w:eastAsia="Times New Roman" w:cs="Times New Roman"/>
          <w:b/>
          <w:i/>
          <w:sz w:val="22"/>
          <w:szCs w:val="24"/>
          <w:lang w:val="es-MX" w:eastAsia="es-ES"/>
        </w:rPr>
      </w:pPr>
      <w:r w:rsidRPr="002639E6">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rsidR="00403A90" w:rsidRPr="002639E6" w:rsidRDefault="00403A90" w:rsidP="00403A90">
      <w:pPr>
        <w:spacing w:line="240" w:lineRule="auto"/>
        <w:ind w:left="567" w:right="567"/>
        <w:rPr>
          <w:rFonts w:eastAsia="Times New Roman" w:cs="Times New Roman"/>
          <w:i/>
          <w:sz w:val="22"/>
          <w:szCs w:val="24"/>
          <w:lang w:val="es-MX" w:eastAsia="es-ES"/>
        </w:rPr>
      </w:pPr>
      <w:r w:rsidRPr="002639E6">
        <w:rPr>
          <w:rFonts w:eastAsia="Times New Roman" w:cs="Times New Roman"/>
          <w:i/>
          <w:sz w:val="22"/>
          <w:szCs w:val="24"/>
          <w:lang w:val="es-MX"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403A90" w:rsidRPr="002639E6" w:rsidRDefault="00403A90" w:rsidP="00403A90">
      <w:pPr>
        <w:rPr>
          <w:szCs w:val="24"/>
          <w:lang w:val="es-MX"/>
        </w:rPr>
      </w:pPr>
    </w:p>
    <w:p w:rsidR="00403A90" w:rsidRPr="002639E6" w:rsidRDefault="00403A90" w:rsidP="00403A90">
      <w:pPr>
        <w:rPr>
          <w:szCs w:val="24"/>
          <w:lang w:val="es-MX"/>
        </w:rPr>
      </w:pPr>
      <w:r w:rsidRPr="002639E6">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639E6">
        <w:rPr>
          <w:b/>
          <w:szCs w:val="24"/>
          <w:lang w:val="es-MX"/>
        </w:rPr>
        <w:lastRenderedPageBreak/>
        <w:t>Lineamientos Generales en Materia de Clasificación y Desclasificación de la Información, así como para la Elaboración de Versiones Públicas</w:t>
      </w:r>
      <w:r w:rsidRPr="002639E6">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rsidR="00403A90" w:rsidRPr="002639E6" w:rsidRDefault="00403A90" w:rsidP="00403A90">
      <w:pPr>
        <w:jc w:val="left"/>
        <w:rPr>
          <w:szCs w:val="24"/>
          <w:lang w:val="es-MX"/>
        </w:rPr>
      </w:pPr>
    </w:p>
    <w:p w:rsidR="00403A90" w:rsidRPr="002639E6" w:rsidRDefault="00403A90" w:rsidP="00403A90">
      <w:pPr>
        <w:rPr>
          <w:szCs w:val="24"/>
          <w:lang w:val="es-MX"/>
        </w:rPr>
      </w:pPr>
      <w:r w:rsidRPr="002639E6">
        <w:rPr>
          <w:rFonts w:cs="Arial"/>
          <w:szCs w:val="24"/>
          <w:lang w:val="es-MX"/>
        </w:rPr>
        <w:t xml:space="preserve">En el mismo sentido, en el </w:t>
      </w:r>
      <w:r w:rsidRPr="002639E6">
        <w:rPr>
          <w:szCs w:val="24"/>
          <w:lang w:val="es-MX"/>
        </w:rPr>
        <w:t xml:space="preserve">caso específico, </w:t>
      </w:r>
      <w:r w:rsidRPr="002639E6">
        <w:rPr>
          <w:rFonts w:cs="Arial"/>
          <w:szCs w:val="24"/>
          <w:lang w:val="es-MX"/>
        </w:rPr>
        <w:t xml:space="preserve">se advierte que </w:t>
      </w:r>
      <w:r w:rsidRPr="002639E6">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2639E6">
        <w:rPr>
          <w:b/>
          <w:szCs w:val="24"/>
          <w:lang w:val="es-MX"/>
        </w:rPr>
        <w:t>Registro Federal de Contribuyentes</w:t>
      </w:r>
      <w:r w:rsidRPr="002639E6">
        <w:rPr>
          <w:szCs w:val="24"/>
          <w:lang w:val="es-MX"/>
        </w:rPr>
        <w:t xml:space="preserve"> (RFC), la </w:t>
      </w:r>
      <w:r w:rsidRPr="002639E6">
        <w:rPr>
          <w:b/>
          <w:szCs w:val="24"/>
          <w:lang w:val="es-MX"/>
        </w:rPr>
        <w:t>Clave Única de Registro de Población</w:t>
      </w:r>
      <w:r w:rsidRPr="002639E6">
        <w:rPr>
          <w:szCs w:val="24"/>
          <w:lang w:val="es-MX"/>
        </w:rPr>
        <w:t xml:space="preserve"> (CURP), la </w:t>
      </w:r>
      <w:r w:rsidRPr="002639E6">
        <w:rPr>
          <w:b/>
          <w:szCs w:val="24"/>
          <w:lang w:val="es-MX"/>
        </w:rPr>
        <w:t>Clave de cualquier tipo de seguridad social</w:t>
      </w:r>
      <w:r w:rsidRPr="002639E6">
        <w:rPr>
          <w:szCs w:val="24"/>
          <w:lang w:val="es-MX"/>
        </w:rPr>
        <w:t xml:space="preserve"> (ISSEMYM, u otros), así como, los </w:t>
      </w:r>
      <w:r w:rsidRPr="002639E6">
        <w:rPr>
          <w:b/>
          <w:szCs w:val="24"/>
          <w:lang w:val="es-MX"/>
        </w:rPr>
        <w:t xml:space="preserve">préstamos o descuentos </w:t>
      </w:r>
      <w:r w:rsidRPr="002639E6">
        <w:rPr>
          <w:szCs w:val="24"/>
          <w:lang w:val="es-MX"/>
        </w:rPr>
        <w:t xml:space="preserve">que se le hagan al servidor público, que no se encuentren relacionados con los impuestos o las </w:t>
      </w:r>
      <w:r w:rsidRPr="002639E6">
        <w:rPr>
          <w:b/>
          <w:szCs w:val="24"/>
          <w:lang w:val="es-MX"/>
        </w:rPr>
        <w:t>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2639E6">
        <w:rPr>
          <w:szCs w:val="24"/>
          <w:lang w:val="es-MX"/>
        </w:rPr>
        <w:t>, cuando de estos se desprendan o sean visibles datos personales correspondientes a los servidores públicos.</w:t>
      </w:r>
    </w:p>
    <w:p w:rsidR="00403A90" w:rsidRPr="002639E6" w:rsidRDefault="00403A90" w:rsidP="00403A90">
      <w:pPr>
        <w:rPr>
          <w:szCs w:val="24"/>
          <w:lang w:val="es-MX"/>
        </w:rPr>
      </w:pPr>
    </w:p>
    <w:p w:rsidR="00403A90" w:rsidRPr="002639E6" w:rsidRDefault="00403A90" w:rsidP="00403A90">
      <w:pPr>
        <w:rPr>
          <w:szCs w:val="24"/>
          <w:lang w:val="es-MX"/>
        </w:rPr>
      </w:pPr>
      <w:r w:rsidRPr="002639E6">
        <w:rPr>
          <w:szCs w:val="24"/>
          <w:lang w:val="es-MX"/>
        </w:rPr>
        <w:t>Cuando</w:t>
      </w:r>
      <w:r w:rsidRPr="008E2C63">
        <w:rPr>
          <w:b/>
          <w:szCs w:val="24"/>
          <w:lang w:val="es-MX"/>
        </w:rPr>
        <w:t>,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2639E6">
        <w:rPr>
          <w:szCs w:val="24"/>
          <w:lang w:val="es-MX"/>
        </w:rPr>
        <w:t xml:space="preserve">. Por el contrario, debe considerarse que esta información incluida en los documentos fiscales, constituyen un elemento adicional que permite a </w:t>
      </w:r>
      <w:r w:rsidRPr="002639E6">
        <w:rPr>
          <w:szCs w:val="24"/>
          <w:lang w:val="es-MX"/>
        </w:rPr>
        <w:lastRenderedPageBreak/>
        <w:t>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rsidR="00403A90" w:rsidRPr="002639E6" w:rsidRDefault="00403A90" w:rsidP="00403A90">
      <w:pPr>
        <w:rPr>
          <w:szCs w:val="24"/>
          <w:lang w:val="es-MX"/>
        </w:rPr>
      </w:pPr>
    </w:p>
    <w:p w:rsidR="00403A90" w:rsidRPr="002639E6" w:rsidRDefault="00403A90" w:rsidP="00403A90">
      <w:pPr>
        <w:rPr>
          <w:szCs w:val="24"/>
          <w:lang w:val="es-MX"/>
        </w:rPr>
      </w:pPr>
      <w:r w:rsidRPr="002639E6">
        <w:rPr>
          <w:szCs w:val="24"/>
          <w:lang w:val="es-MX"/>
        </w:rPr>
        <w:t xml:space="preserve">Por cuanto hace al </w:t>
      </w:r>
      <w:r w:rsidRPr="002639E6">
        <w:rPr>
          <w:b/>
          <w:szCs w:val="24"/>
          <w:lang w:val="es-MX"/>
        </w:rPr>
        <w:t>Registro Federal de Contribuyentes</w:t>
      </w:r>
      <w:r w:rsidRPr="002639E6">
        <w:rPr>
          <w:szCs w:val="24"/>
          <w:lang w:val="es-MX"/>
        </w:rPr>
        <w:t xml:space="preserve"> </w:t>
      </w:r>
      <w:r w:rsidRPr="002639E6">
        <w:rPr>
          <w:b/>
          <w:szCs w:val="24"/>
          <w:lang w:val="es-MX"/>
        </w:rPr>
        <w:t>de las personas físicas</w:t>
      </w:r>
      <w:r w:rsidRPr="002639E6">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403A90" w:rsidRPr="002639E6" w:rsidRDefault="00403A90" w:rsidP="00403A90">
      <w:pPr>
        <w:rPr>
          <w:szCs w:val="24"/>
          <w:lang w:val="es-MX"/>
        </w:rPr>
      </w:pPr>
    </w:p>
    <w:p w:rsidR="00403A90" w:rsidRPr="002639E6" w:rsidRDefault="00403A90" w:rsidP="00403A90">
      <w:pPr>
        <w:rPr>
          <w:szCs w:val="24"/>
          <w:lang w:val="es-MX"/>
        </w:rPr>
      </w:pPr>
      <w:r w:rsidRPr="002639E6">
        <w:rPr>
          <w:szCs w:val="24"/>
          <w:lang w:val="es-MX"/>
        </w:rPr>
        <w:t>Al respecto, el Instituto Nacional Transparencia, Acceso a la Información y Protección de Datos Personales (INAI) a través del Criterio 19/17, señala literalmente lo siguiente:</w:t>
      </w:r>
    </w:p>
    <w:p w:rsidR="00403A90" w:rsidRPr="002639E6" w:rsidRDefault="00403A90" w:rsidP="00403A90">
      <w:pPr>
        <w:ind w:left="567" w:right="616"/>
        <w:rPr>
          <w:i/>
          <w:szCs w:val="24"/>
          <w:lang w:val="es-MX"/>
        </w:rPr>
      </w:pPr>
    </w:p>
    <w:p w:rsidR="00403A90" w:rsidRPr="002639E6" w:rsidRDefault="00403A90" w:rsidP="00403A90">
      <w:pPr>
        <w:spacing w:line="240" w:lineRule="auto"/>
        <w:ind w:left="567" w:right="616"/>
        <w:rPr>
          <w:i/>
          <w:sz w:val="22"/>
          <w:lang w:val="es-MX"/>
        </w:rPr>
      </w:pPr>
      <w:r w:rsidRPr="002639E6">
        <w:rPr>
          <w:b/>
          <w:i/>
          <w:sz w:val="22"/>
          <w:lang w:val="es-MX"/>
        </w:rPr>
        <w:t>Registro Federal de Contribuyentes (RFC) de personas físicas</w:t>
      </w:r>
      <w:r w:rsidRPr="002639E6">
        <w:rPr>
          <w:i/>
          <w:sz w:val="22"/>
          <w:lang w:val="es-MX"/>
        </w:rPr>
        <w:t>. El RFC es una clave de carácter fiscal, única e irrepetible, que permite identificar al titular, su edad y fecha de nacimiento, por lo que es un dato personal de carácter confidencial.</w:t>
      </w:r>
    </w:p>
    <w:p w:rsidR="00403A90" w:rsidRPr="002639E6" w:rsidRDefault="00403A90" w:rsidP="00403A90">
      <w:pPr>
        <w:jc w:val="left"/>
        <w:rPr>
          <w:szCs w:val="24"/>
          <w:lang w:val="es-MX"/>
        </w:rPr>
      </w:pPr>
    </w:p>
    <w:p w:rsidR="00403A90" w:rsidRPr="002639E6" w:rsidRDefault="00403A90" w:rsidP="00403A90">
      <w:pPr>
        <w:rPr>
          <w:szCs w:val="24"/>
          <w:lang w:val="es-MX"/>
        </w:rPr>
      </w:pPr>
      <w:r w:rsidRPr="002639E6">
        <w:rPr>
          <w:szCs w:val="24"/>
          <w:lang w:val="es-MX"/>
        </w:rPr>
        <w:t xml:space="preserve">De lo anterior, se desprende que el Registro Federal de Contribuyentes se vincula al nombre de su titular, permitiendo identificar la edad de la persona, fecha de nacimiento, </w:t>
      </w:r>
      <w:r w:rsidRPr="002639E6">
        <w:rPr>
          <w:szCs w:val="24"/>
          <w:lang w:val="es-MX"/>
        </w:rPr>
        <w:lastRenderedPageBreak/>
        <w:t xml:space="preserve">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2639E6">
        <w:rPr>
          <w:rFonts w:eastAsia="Arial Unicode MS"/>
          <w:szCs w:val="24"/>
          <w:lang w:val="es-MX"/>
        </w:rPr>
        <w:t>4 fracción XI de la Ley de Protección de Datos Personales en Posesión de los Sujetos Obligados del Estado de México y Municipios</w:t>
      </w:r>
      <w:r w:rsidRPr="002639E6">
        <w:rPr>
          <w:szCs w:val="24"/>
          <w:lang w:val="es-MX"/>
        </w:rPr>
        <w:t>.</w:t>
      </w:r>
    </w:p>
    <w:p w:rsidR="00403A90" w:rsidRPr="002639E6" w:rsidRDefault="00403A90" w:rsidP="00403A90">
      <w:pPr>
        <w:rPr>
          <w:szCs w:val="24"/>
          <w:lang w:val="es-MX"/>
        </w:rPr>
      </w:pPr>
    </w:p>
    <w:p w:rsidR="00403A90" w:rsidRPr="002639E6" w:rsidRDefault="00403A90" w:rsidP="00403A90">
      <w:pPr>
        <w:rPr>
          <w:szCs w:val="24"/>
          <w:lang w:val="es-MX"/>
        </w:rPr>
      </w:pPr>
      <w:r w:rsidRPr="002639E6">
        <w:rPr>
          <w:szCs w:val="24"/>
          <w:lang w:val="es-MX"/>
        </w:rPr>
        <w:t xml:space="preserve">Por cuanto hace a la </w:t>
      </w:r>
      <w:r w:rsidRPr="002639E6">
        <w:rPr>
          <w:b/>
          <w:szCs w:val="24"/>
          <w:lang w:val="es-MX"/>
        </w:rPr>
        <w:t xml:space="preserve">Clave Única de Registro de Población, </w:t>
      </w:r>
      <w:r w:rsidRPr="002639E6">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403A90" w:rsidRPr="002639E6" w:rsidRDefault="00403A90" w:rsidP="00403A90">
      <w:pPr>
        <w:jc w:val="left"/>
        <w:rPr>
          <w:szCs w:val="24"/>
          <w:lang w:val="es-MX"/>
        </w:rPr>
      </w:pPr>
    </w:p>
    <w:p w:rsidR="00403A90" w:rsidRPr="002639E6" w:rsidRDefault="00403A90" w:rsidP="00403A90">
      <w:pPr>
        <w:rPr>
          <w:szCs w:val="24"/>
          <w:lang w:val="es-MX"/>
        </w:rPr>
      </w:pPr>
      <w:r w:rsidRPr="002639E6">
        <w:rPr>
          <w:szCs w:val="24"/>
          <w:lang w:val="es-MX"/>
        </w:rPr>
        <w:t>Lo anterior, tiene sustento en los artículos 86 y 91, de la Ley General de Población, la cual señala lo siguiente:</w:t>
      </w:r>
    </w:p>
    <w:p w:rsidR="00403A90" w:rsidRPr="002639E6" w:rsidRDefault="00403A90" w:rsidP="00403A90">
      <w:pPr>
        <w:ind w:left="709" w:right="757"/>
        <w:rPr>
          <w:rFonts w:cs="Arial,Bold"/>
          <w:b/>
          <w:bCs/>
          <w:i/>
          <w:szCs w:val="24"/>
          <w:lang w:val="es-MX"/>
        </w:rPr>
      </w:pPr>
    </w:p>
    <w:p w:rsidR="00403A90" w:rsidRPr="002639E6" w:rsidRDefault="00403A90" w:rsidP="00403A90">
      <w:pPr>
        <w:spacing w:line="240" w:lineRule="auto"/>
        <w:ind w:left="709" w:right="757"/>
        <w:rPr>
          <w:rFonts w:cs="Arial"/>
          <w:i/>
          <w:sz w:val="22"/>
          <w:lang w:val="es-MX"/>
        </w:rPr>
      </w:pPr>
      <w:r w:rsidRPr="002639E6">
        <w:rPr>
          <w:rFonts w:cs="Arial,Bold"/>
          <w:b/>
          <w:bCs/>
          <w:i/>
          <w:sz w:val="22"/>
          <w:lang w:val="es-MX"/>
        </w:rPr>
        <w:t xml:space="preserve">Artículo 86. </w:t>
      </w:r>
      <w:r w:rsidRPr="002639E6">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rsidR="00403A90" w:rsidRPr="002639E6" w:rsidRDefault="00403A90" w:rsidP="00403A90">
      <w:pPr>
        <w:spacing w:line="240" w:lineRule="auto"/>
        <w:ind w:left="709" w:right="757"/>
        <w:rPr>
          <w:rFonts w:cs="Arial"/>
          <w:i/>
          <w:sz w:val="22"/>
          <w:lang w:val="es-MX"/>
        </w:rPr>
      </w:pPr>
    </w:p>
    <w:p w:rsidR="00403A90" w:rsidRPr="002639E6" w:rsidRDefault="00403A90" w:rsidP="00403A90">
      <w:pPr>
        <w:spacing w:line="240" w:lineRule="auto"/>
        <w:ind w:left="709" w:right="757"/>
        <w:rPr>
          <w:rFonts w:cs="Arial"/>
          <w:i/>
          <w:sz w:val="22"/>
          <w:lang w:val="es-MX"/>
        </w:rPr>
      </w:pPr>
      <w:r w:rsidRPr="002639E6">
        <w:rPr>
          <w:rFonts w:cs="Arial,Bold"/>
          <w:b/>
          <w:bCs/>
          <w:i/>
          <w:sz w:val="22"/>
          <w:lang w:val="es-MX"/>
        </w:rPr>
        <w:t xml:space="preserve">Artículo 91. </w:t>
      </w:r>
      <w:r w:rsidRPr="002639E6">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rsidR="00403A90" w:rsidRPr="002639E6" w:rsidRDefault="00403A90" w:rsidP="00403A90">
      <w:pPr>
        <w:jc w:val="left"/>
        <w:rPr>
          <w:szCs w:val="24"/>
          <w:lang w:val="es-MX"/>
        </w:rPr>
      </w:pPr>
    </w:p>
    <w:p w:rsidR="00403A90" w:rsidRPr="002639E6" w:rsidRDefault="00403A90" w:rsidP="00403A90">
      <w:pPr>
        <w:rPr>
          <w:szCs w:val="24"/>
          <w:lang w:val="es-MX"/>
        </w:rPr>
      </w:pPr>
      <w:r w:rsidRPr="002639E6">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w:t>
      </w:r>
      <w:r w:rsidRPr="002639E6">
        <w:rPr>
          <w:szCs w:val="24"/>
          <w:lang w:val="es-MX"/>
        </w:rPr>
        <w:lastRenderedPageBreak/>
        <w:t xml:space="preserve">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403A90" w:rsidRPr="002639E6" w:rsidRDefault="00403A90" w:rsidP="00403A90">
      <w:pPr>
        <w:rPr>
          <w:szCs w:val="24"/>
          <w:lang w:val="es-MX"/>
        </w:rPr>
      </w:pPr>
    </w:p>
    <w:p w:rsidR="00403A90" w:rsidRPr="002639E6" w:rsidRDefault="00403A90" w:rsidP="00403A90">
      <w:pPr>
        <w:rPr>
          <w:szCs w:val="24"/>
          <w:lang w:val="es-MX"/>
        </w:rPr>
      </w:pPr>
      <w:r w:rsidRPr="002639E6">
        <w:rPr>
          <w:szCs w:val="24"/>
          <w:lang w:val="es-MX"/>
        </w:rPr>
        <w:t>Al respecto, el Instituto Nacional de Transparencia, Acceso a la Información y Protección de Datos Personales (INAI) a través del Criterio 18/17, señala literalmente lo siguiente:</w:t>
      </w:r>
    </w:p>
    <w:p w:rsidR="00403A90" w:rsidRPr="002639E6" w:rsidRDefault="00403A90" w:rsidP="00403A90">
      <w:pPr>
        <w:jc w:val="left"/>
        <w:rPr>
          <w:szCs w:val="24"/>
          <w:lang w:val="es-MX"/>
        </w:rPr>
      </w:pPr>
    </w:p>
    <w:p w:rsidR="00403A90" w:rsidRPr="002639E6" w:rsidRDefault="00403A90" w:rsidP="00403A90">
      <w:pPr>
        <w:spacing w:line="240" w:lineRule="auto"/>
        <w:ind w:left="567" w:right="616"/>
        <w:rPr>
          <w:i/>
          <w:sz w:val="22"/>
          <w:lang w:val="es-MX"/>
        </w:rPr>
      </w:pPr>
      <w:r w:rsidRPr="002639E6">
        <w:rPr>
          <w:b/>
          <w:i/>
          <w:sz w:val="22"/>
          <w:lang w:val="es-MX"/>
        </w:rPr>
        <w:t>Clave Única de Registro de Población (CURP)</w:t>
      </w:r>
      <w:r w:rsidRPr="002639E6">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03A90" w:rsidRPr="002639E6" w:rsidRDefault="00403A90" w:rsidP="00403A90">
      <w:pPr>
        <w:ind w:right="616"/>
        <w:rPr>
          <w:rFonts w:cs="Arial"/>
          <w:bCs/>
          <w:i/>
          <w:szCs w:val="24"/>
          <w:lang w:val="es-MX"/>
        </w:rPr>
      </w:pPr>
    </w:p>
    <w:p w:rsidR="00403A90" w:rsidRPr="002639E6" w:rsidRDefault="00403A90" w:rsidP="00403A90">
      <w:pPr>
        <w:rPr>
          <w:szCs w:val="24"/>
          <w:lang w:val="es-MX"/>
        </w:rPr>
      </w:pPr>
      <w:r w:rsidRPr="002639E6">
        <w:rPr>
          <w:szCs w:val="24"/>
          <w:lang w:val="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403A90" w:rsidRPr="002639E6" w:rsidRDefault="00403A90" w:rsidP="00403A90">
      <w:pPr>
        <w:rPr>
          <w:szCs w:val="24"/>
          <w:lang w:val="es-MX"/>
        </w:rPr>
      </w:pPr>
    </w:p>
    <w:p w:rsidR="00403A90" w:rsidRPr="002639E6" w:rsidRDefault="00403A90" w:rsidP="00403A90">
      <w:pPr>
        <w:rPr>
          <w:szCs w:val="24"/>
          <w:lang w:val="es-MX"/>
        </w:rPr>
      </w:pPr>
      <w:r w:rsidRPr="002639E6">
        <w:rPr>
          <w:szCs w:val="24"/>
          <w:lang w:val="es-MX"/>
        </w:rPr>
        <w:t xml:space="preserve">Por cuanto hace a la </w:t>
      </w:r>
      <w:r w:rsidRPr="002639E6">
        <w:rPr>
          <w:b/>
          <w:szCs w:val="24"/>
          <w:lang w:val="es-MX"/>
        </w:rPr>
        <w:t>Clave de cualquier tipo de seguridad social</w:t>
      </w:r>
      <w:r w:rsidRPr="002639E6">
        <w:rPr>
          <w:szCs w:val="24"/>
          <w:lang w:val="es-MX"/>
        </w:rPr>
        <w:t xml:space="preserve"> (ISSEMYM u otros), está integrado por una </w:t>
      </w:r>
      <w:r w:rsidRPr="002639E6">
        <w:rPr>
          <w:bCs/>
          <w:szCs w:val="24"/>
          <w:lang w:val="es-MX"/>
        </w:rPr>
        <w:t xml:space="preserve">secuencia de números con los que se identifica a los trabajadores </w:t>
      </w:r>
      <w:r w:rsidRPr="002639E6">
        <w:rPr>
          <w:bCs/>
          <w:szCs w:val="24"/>
          <w:lang w:val="es-MX"/>
        </w:rPr>
        <w:lastRenderedPageBreak/>
        <w:t xml:space="preserve">que cubren las cuotas respectivas, asimismo, lo identifica con la fuente de trabajo; por lo que al ser una clave de identificación de los trabajadores, constituye información confidencial, </w:t>
      </w:r>
      <w:r w:rsidRPr="002639E6">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639E6">
        <w:rPr>
          <w:rFonts w:eastAsia="Arial Unicode MS"/>
          <w:szCs w:val="24"/>
          <w:lang w:val="es-MX"/>
        </w:rPr>
        <w:t>4 fracción XI de la Ley de Protección de Datos Personales en Posesión de Sujetos Obligados del Estado de México y Municipios</w:t>
      </w:r>
      <w:r w:rsidRPr="002639E6">
        <w:rPr>
          <w:szCs w:val="24"/>
          <w:lang w:val="es-MX"/>
        </w:rPr>
        <w:t>.</w:t>
      </w:r>
    </w:p>
    <w:p w:rsidR="00403A90" w:rsidRPr="002639E6" w:rsidRDefault="00403A90" w:rsidP="00403A90">
      <w:pPr>
        <w:rPr>
          <w:szCs w:val="24"/>
          <w:lang w:val="es-MX"/>
        </w:rPr>
      </w:pPr>
    </w:p>
    <w:p w:rsidR="00403A90" w:rsidRPr="002639E6" w:rsidRDefault="00403A90" w:rsidP="00403A90">
      <w:pPr>
        <w:rPr>
          <w:szCs w:val="24"/>
          <w:lang w:val="es-MX"/>
        </w:rPr>
      </w:pPr>
      <w:r w:rsidRPr="002639E6">
        <w:rPr>
          <w:szCs w:val="24"/>
          <w:lang w:val="es-MX"/>
        </w:rPr>
        <w:t xml:space="preserve">Respecto de los </w:t>
      </w:r>
      <w:r w:rsidRPr="002639E6">
        <w:rPr>
          <w:b/>
          <w:szCs w:val="24"/>
          <w:lang w:val="es-MX"/>
        </w:rPr>
        <w:t>préstamos o descuentos</w:t>
      </w:r>
      <w:r w:rsidRPr="002639E6">
        <w:rPr>
          <w:szCs w:val="24"/>
          <w:lang w:val="es-MX"/>
        </w:rPr>
        <w:t xml:space="preserve"> </w:t>
      </w:r>
      <w:r w:rsidRPr="002639E6">
        <w:rPr>
          <w:b/>
          <w:szCs w:val="24"/>
          <w:lang w:val="es-MX"/>
        </w:rPr>
        <w:t>de carácter personal</w:t>
      </w:r>
      <w:r w:rsidRPr="002639E6">
        <w:rPr>
          <w:szCs w:val="24"/>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403A90" w:rsidRPr="002639E6" w:rsidRDefault="00403A90" w:rsidP="00403A90">
      <w:pPr>
        <w:jc w:val="left"/>
        <w:rPr>
          <w:szCs w:val="24"/>
          <w:lang w:val="es-MX"/>
        </w:rPr>
      </w:pPr>
    </w:p>
    <w:p w:rsidR="00403A90" w:rsidRPr="002639E6" w:rsidRDefault="00403A90" w:rsidP="00403A90">
      <w:pPr>
        <w:rPr>
          <w:szCs w:val="24"/>
          <w:lang w:val="es-MX"/>
        </w:rPr>
      </w:pPr>
      <w:r w:rsidRPr="002639E6">
        <w:rPr>
          <w:szCs w:val="24"/>
          <w:lang w:val="es-MX"/>
        </w:rPr>
        <w:t>Por su parte, el artículo 84 de la Ley del Trabajo de los Servidores Públicos del Estado y Municipios, señala:</w:t>
      </w:r>
    </w:p>
    <w:p w:rsidR="00403A90" w:rsidRPr="002639E6" w:rsidRDefault="00403A90" w:rsidP="00403A90">
      <w:pPr>
        <w:jc w:val="left"/>
        <w:rPr>
          <w:szCs w:val="24"/>
          <w:lang w:val="es-MX"/>
        </w:rPr>
      </w:pPr>
    </w:p>
    <w:p w:rsidR="00403A90" w:rsidRPr="002639E6" w:rsidRDefault="00403A90" w:rsidP="00403A90">
      <w:pPr>
        <w:spacing w:line="240" w:lineRule="auto"/>
        <w:ind w:left="567" w:right="616"/>
        <w:rPr>
          <w:i/>
          <w:noProof/>
          <w:sz w:val="22"/>
          <w:lang w:val="es-MX"/>
        </w:rPr>
      </w:pPr>
      <w:r w:rsidRPr="002639E6">
        <w:rPr>
          <w:b/>
          <w:i/>
          <w:noProof/>
          <w:sz w:val="22"/>
          <w:lang w:val="es-MX"/>
        </w:rPr>
        <w:t>ARTÍCULO 84.</w:t>
      </w:r>
      <w:r w:rsidRPr="002639E6">
        <w:rPr>
          <w:i/>
          <w:noProof/>
          <w:sz w:val="22"/>
          <w:lang w:val="es-MX"/>
        </w:rPr>
        <w:t xml:space="preserve"> Sólo podrán hacerse retenciones, descuentos o deducciones al sueldo de los servidores públicos por concepto de:</w:t>
      </w:r>
    </w:p>
    <w:p w:rsidR="00403A90" w:rsidRPr="002639E6" w:rsidRDefault="00403A90" w:rsidP="00403A90">
      <w:pPr>
        <w:spacing w:line="240" w:lineRule="auto"/>
        <w:ind w:left="567" w:right="616"/>
        <w:rPr>
          <w:i/>
          <w:noProof/>
          <w:sz w:val="22"/>
          <w:lang w:val="es-MX"/>
        </w:rPr>
      </w:pPr>
    </w:p>
    <w:p w:rsidR="00403A90" w:rsidRPr="002639E6" w:rsidRDefault="00403A90" w:rsidP="00403A90">
      <w:pPr>
        <w:spacing w:line="240" w:lineRule="auto"/>
        <w:ind w:left="567" w:right="616"/>
        <w:rPr>
          <w:i/>
          <w:noProof/>
          <w:sz w:val="22"/>
          <w:lang w:val="es-MX"/>
        </w:rPr>
      </w:pPr>
      <w:r w:rsidRPr="002639E6">
        <w:rPr>
          <w:i/>
          <w:noProof/>
          <w:sz w:val="22"/>
          <w:lang w:val="es-MX"/>
        </w:rPr>
        <w:t>I. Gravámenes fiscales relacionados con el sueldo;</w:t>
      </w:r>
    </w:p>
    <w:p w:rsidR="00403A90" w:rsidRPr="002639E6" w:rsidRDefault="00403A90" w:rsidP="00403A90">
      <w:pPr>
        <w:spacing w:line="240" w:lineRule="auto"/>
        <w:ind w:left="567" w:right="616"/>
        <w:rPr>
          <w:i/>
          <w:noProof/>
          <w:sz w:val="22"/>
          <w:lang w:val="es-MX"/>
        </w:rPr>
      </w:pPr>
      <w:r w:rsidRPr="002639E6">
        <w:rPr>
          <w:i/>
          <w:noProof/>
          <w:sz w:val="22"/>
          <w:lang w:val="es-MX"/>
        </w:rPr>
        <w:t>II. Deudas contraídas con las instituciones públicas o dependencias por concepto de anticipos de sueldo, pagos hechos con exceso, errores o pérdidas debidamente comprobados;</w:t>
      </w:r>
    </w:p>
    <w:p w:rsidR="00403A90" w:rsidRPr="002639E6" w:rsidRDefault="00403A90" w:rsidP="00403A90">
      <w:pPr>
        <w:spacing w:line="240" w:lineRule="auto"/>
        <w:ind w:left="567" w:right="616"/>
        <w:rPr>
          <w:i/>
          <w:noProof/>
          <w:sz w:val="22"/>
          <w:lang w:val="es-MX"/>
        </w:rPr>
      </w:pPr>
      <w:r w:rsidRPr="002639E6">
        <w:rPr>
          <w:i/>
          <w:noProof/>
          <w:sz w:val="22"/>
          <w:lang w:val="es-MX"/>
        </w:rPr>
        <w:t>III. Cuotas sindicales;</w:t>
      </w:r>
    </w:p>
    <w:p w:rsidR="00403A90" w:rsidRPr="002639E6" w:rsidRDefault="00403A90" w:rsidP="00403A90">
      <w:pPr>
        <w:spacing w:line="240" w:lineRule="auto"/>
        <w:ind w:left="567" w:right="616"/>
        <w:rPr>
          <w:i/>
          <w:noProof/>
          <w:sz w:val="22"/>
          <w:lang w:val="es-MX"/>
        </w:rPr>
      </w:pPr>
      <w:r w:rsidRPr="002639E6">
        <w:rPr>
          <w:i/>
          <w:noProof/>
          <w:sz w:val="22"/>
          <w:lang w:val="es-MX"/>
        </w:rPr>
        <w:lastRenderedPageBreak/>
        <w:t>IV. Cuotas de aportación a fondos para la constitución de cooperativas y de cajas de ahorro, siempre que el servidor público hubiese manifestado previamente, de manera expresa, su conformidad;</w:t>
      </w:r>
    </w:p>
    <w:p w:rsidR="00403A90" w:rsidRPr="002639E6" w:rsidRDefault="00403A90" w:rsidP="00403A90">
      <w:pPr>
        <w:spacing w:line="240" w:lineRule="auto"/>
        <w:ind w:left="567" w:right="616"/>
        <w:rPr>
          <w:i/>
          <w:noProof/>
          <w:sz w:val="22"/>
          <w:lang w:val="es-MX"/>
        </w:rPr>
      </w:pPr>
      <w:r w:rsidRPr="002639E6">
        <w:rPr>
          <w:i/>
          <w:noProof/>
          <w:sz w:val="22"/>
          <w:lang w:val="es-MX"/>
        </w:rPr>
        <w:t>V. Descuentos ordenados por el Instituto de Seguridad Social del Estado de México y Municipios, con motivo de cuotas y obligaciones contraídas con éste por los servidores públicos;</w:t>
      </w:r>
    </w:p>
    <w:p w:rsidR="00403A90" w:rsidRPr="002639E6" w:rsidRDefault="00403A90" w:rsidP="00403A90">
      <w:pPr>
        <w:spacing w:line="240" w:lineRule="auto"/>
        <w:ind w:left="567" w:right="616"/>
        <w:rPr>
          <w:i/>
          <w:noProof/>
          <w:sz w:val="22"/>
          <w:lang w:val="es-MX"/>
        </w:rPr>
      </w:pPr>
      <w:r w:rsidRPr="002639E6">
        <w:rPr>
          <w:i/>
          <w:noProof/>
          <w:sz w:val="22"/>
          <w:lang w:val="es-MX"/>
        </w:rPr>
        <w:t>VI. Obligaciones a cargo del servidor público con las que haya consentido, derivadas de la adquisición o del uso de habitaciones consideradas como de interés social;</w:t>
      </w:r>
    </w:p>
    <w:p w:rsidR="00403A90" w:rsidRPr="002639E6" w:rsidRDefault="00403A90" w:rsidP="00403A90">
      <w:pPr>
        <w:spacing w:line="240" w:lineRule="auto"/>
        <w:ind w:left="567" w:right="616"/>
        <w:rPr>
          <w:i/>
          <w:noProof/>
          <w:sz w:val="22"/>
          <w:lang w:val="es-MX"/>
        </w:rPr>
      </w:pPr>
      <w:r w:rsidRPr="002639E6">
        <w:rPr>
          <w:i/>
          <w:noProof/>
          <w:sz w:val="22"/>
          <w:lang w:val="es-MX"/>
        </w:rPr>
        <w:t>VII. Faltas de puntualidad o de asistencia injustificadas;</w:t>
      </w:r>
    </w:p>
    <w:p w:rsidR="00403A90" w:rsidRPr="002639E6" w:rsidRDefault="00403A90" w:rsidP="00403A90">
      <w:pPr>
        <w:spacing w:line="240" w:lineRule="auto"/>
        <w:ind w:left="567" w:right="616"/>
        <w:rPr>
          <w:i/>
          <w:noProof/>
          <w:sz w:val="22"/>
          <w:lang w:val="es-MX"/>
        </w:rPr>
      </w:pPr>
      <w:r w:rsidRPr="002639E6">
        <w:rPr>
          <w:i/>
          <w:noProof/>
          <w:sz w:val="22"/>
          <w:lang w:val="es-MX"/>
        </w:rPr>
        <w:t>VIII. Pensiones alimenticias ordenadas por la autoridad judicial; o</w:t>
      </w:r>
    </w:p>
    <w:p w:rsidR="00403A90" w:rsidRPr="002639E6" w:rsidRDefault="00403A90" w:rsidP="00403A90">
      <w:pPr>
        <w:spacing w:line="240" w:lineRule="auto"/>
        <w:ind w:left="567" w:right="616"/>
        <w:rPr>
          <w:i/>
          <w:noProof/>
          <w:sz w:val="22"/>
          <w:lang w:val="es-MX"/>
        </w:rPr>
      </w:pPr>
      <w:r w:rsidRPr="002639E6">
        <w:rPr>
          <w:i/>
          <w:noProof/>
          <w:sz w:val="22"/>
          <w:lang w:val="es-MX"/>
        </w:rPr>
        <w:t>IX. Cualquier otro convenido con instituciones de servicios y aceptado por el servidor público.</w:t>
      </w:r>
    </w:p>
    <w:p w:rsidR="00403A90" w:rsidRPr="002639E6" w:rsidRDefault="00403A90" w:rsidP="00403A90">
      <w:pPr>
        <w:spacing w:line="240" w:lineRule="auto"/>
        <w:ind w:left="567" w:right="616"/>
        <w:rPr>
          <w:i/>
          <w:noProof/>
          <w:sz w:val="22"/>
          <w:lang w:val="es-MX"/>
        </w:rPr>
      </w:pPr>
    </w:p>
    <w:p w:rsidR="00403A90" w:rsidRPr="002639E6" w:rsidRDefault="00403A90" w:rsidP="00403A90">
      <w:pPr>
        <w:spacing w:line="240" w:lineRule="auto"/>
        <w:ind w:left="567" w:right="616"/>
        <w:rPr>
          <w:sz w:val="22"/>
          <w:lang w:val="es-MX"/>
        </w:rPr>
      </w:pPr>
      <w:r w:rsidRPr="002639E6">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403A90" w:rsidRPr="002639E6" w:rsidRDefault="00403A90" w:rsidP="00403A90">
      <w:pPr>
        <w:rPr>
          <w:szCs w:val="24"/>
          <w:lang w:val="es-MX"/>
        </w:rPr>
      </w:pPr>
    </w:p>
    <w:p w:rsidR="00403A90" w:rsidRPr="002639E6" w:rsidRDefault="00403A90" w:rsidP="00403A90">
      <w:pPr>
        <w:rPr>
          <w:szCs w:val="24"/>
          <w:lang w:val="es-MX"/>
        </w:rPr>
      </w:pPr>
      <w:r w:rsidRPr="002639E6">
        <w:rPr>
          <w:szCs w:val="24"/>
          <w:lang w:val="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403A90" w:rsidRPr="002639E6" w:rsidRDefault="00403A90" w:rsidP="00403A90">
      <w:pPr>
        <w:rPr>
          <w:szCs w:val="24"/>
          <w:lang w:val="es-MX"/>
        </w:rPr>
      </w:pPr>
    </w:p>
    <w:p w:rsidR="00403A90" w:rsidRPr="002639E6" w:rsidRDefault="00403A90" w:rsidP="00403A90">
      <w:pPr>
        <w:rPr>
          <w:szCs w:val="24"/>
          <w:lang w:val="es-MX"/>
        </w:rPr>
      </w:pPr>
      <w:r w:rsidRPr="002639E6">
        <w:rPr>
          <w:rFonts w:eastAsia="Arial Unicode MS"/>
          <w:szCs w:val="24"/>
          <w:lang w:val="es-MX"/>
        </w:rPr>
        <w:t xml:space="preserve">En ese sentido, </w:t>
      </w:r>
      <w:r w:rsidRPr="002639E6">
        <w:rPr>
          <w:szCs w:val="24"/>
          <w:lang w:val="es-MX"/>
        </w:rPr>
        <w:t xml:space="preserve">las </w:t>
      </w:r>
      <w:r w:rsidRPr="002639E6">
        <w:rPr>
          <w:b/>
          <w:szCs w:val="24"/>
          <w:lang w:val="es-MX"/>
        </w:rPr>
        <w:t xml:space="preserve">Cadenas Originales </w:t>
      </w:r>
      <w:r w:rsidRPr="002639E6">
        <w:rPr>
          <w:szCs w:val="24"/>
          <w:lang w:val="es-MX"/>
        </w:rPr>
        <w:t xml:space="preserve">y </w:t>
      </w:r>
      <w:r w:rsidRPr="002639E6">
        <w:rPr>
          <w:b/>
          <w:szCs w:val="24"/>
          <w:lang w:val="es-MX"/>
        </w:rPr>
        <w:t>Sellos</w:t>
      </w:r>
      <w:r w:rsidRPr="002639E6">
        <w:rPr>
          <w:szCs w:val="24"/>
          <w:lang w:val="es-MX"/>
        </w:rPr>
        <w:t xml:space="preserve"> </w:t>
      </w:r>
      <w:r w:rsidRPr="002639E6">
        <w:rPr>
          <w:b/>
          <w:szCs w:val="24"/>
          <w:lang w:val="es-MX"/>
        </w:rPr>
        <w:t>Digitales</w:t>
      </w:r>
      <w:r w:rsidRPr="002639E6">
        <w:rPr>
          <w:szCs w:val="24"/>
          <w:lang w:val="es-MX"/>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2639E6">
        <w:rPr>
          <w:b/>
          <w:szCs w:val="24"/>
          <w:lang w:val="es-MX"/>
        </w:rPr>
        <w:t xml:space="preserve">vinculación </w:t>
      </w:r>
      <w:r w:rsidRPr="002639E6">
        <w:rPr>
          <w:szCs w:val="24"/>
          <w:lang w:val="es-MX"/>
        </w:rPr>
        <w:t xml:space="preserve">entre la </w:t>
      </w:r>
      <w:r w:rsidRPr="002639E6">
        <w:rPr>
          <w:b/>
          <w:szCs w:val="24"/>
          <w:lang w:val="es-MX"/>
        </w:rPr>
        <w:t>identidad de un sujeto o entidad</w:t>
      </w:r>
      <w:r w:rsidRPr="002639E6">
        <w:rPr>
          <w:szCs w:val="24"/>
          <w:lang w:val="es-MX"/>
        </w:rPr>
        <w:t xml:space="preserve"> con su clave pública, lo que hace identificable a una persona o entidad, además de que </w:t>
      </w:r>
      <w:r w:rsidRPr="002639E6">
        <w:rPr>
          <w:szCs w:val="24"/>
          <w:lang w:val="es-MX"/>
        </w:rPr>
        <w:lastRenderedPageBreak/>
        <w:t xml:space="preserve">dichos certificados tienen como finalidad o propósito específico firmar digitalmente las facturas electrónicas </w:t>
      </w:r>
      <w:r w:rsidRPr="002639E6">
        <w:rPr>
          <w:b/>
          <w:szCs w:val="24"/>
          <w:lang w:val="es-MX"/>
        </w:rPr>
        <w:t>para acreditar la autoría de los comprobantes fiscales digitales</w:t>
      </w:r>
      <w:r w:rsidRPr="002639E6">
        <w:rPr>
          <w:szCs w:val="24"/>
          <w:lang w:val="es-MX"/>
        </w:rPr>
        <w:t>. En ese tenor se transcriben los artículos señalados con antelación para mejor ilustración:</w:t>
      </w:r>
    </w:p>
    <w:p w:rsidR="00403A90" w:rsidRPr="002639E6" w:rsidRDefault="00403A90" w:rsidP="00403A90">
      <w:pPr>
        <w:jc w:val="left"/>
        <w:rPr>
          <w:szCs w:val="24"/>
          <w:lang w:val="es-MX"/>
        </w:rPr>
      </w:pPr>
    </w:p>
    <w:p w:rsidR="00403A90" w:rsidRPr="002639E6" w:rsidRDefault="00403A90" w:rsidP="00403A90">
      <w:pPr>
        <w:spacing w:line="240" w:lineRule="auto"/>
        <w:ind w:left="567" w:right="616"/>
        <w:rPr>
          <w:i/>
          <w:noProof/>
          <w:sz w:val="22"/>
          <w:lang w:val="es-MX"/>
        </w:rPr>
      </w:pPr>
      <w:r w:rsidRPr="002639E6">
        <w:rPr>
          <w:b/>
          <w:i/>
          <w:noProof/>
          <w:sz w:val="22"/>
          <w:lang w:val="es-MX"/>
        </w:rPr>
        <w:t xml:space="preserve">Artículo 17-G.- </w:t>
      </w:r>
      <w:r w:rsidRPr="002639E6">
        <w:rPr>
          <w:i/>
          <w:noProof/>
          <w:sz w:val="22"/>
          <w:lang w:val="es-MX"/>
        </w:rPr>
        <w:t xml:space="preserve">Los certificados que emita el Servicio de Administración Tributaria para ser considerados válidos deberán contener los datos siguientes: </w:t>
      </w:r>
    </w:p>
    <w:p w:rsidR="00403A90" w:rsidRPr="002639E6" w:rsidRDefault="00403A90" w:rsidP="00403A90">
      <w:pPr>
        <w:spacing w:line="240" w:lineRule="auto"/>
        <w:ind w:left="567" w:right="616"/>
        <w:rPr>
          <w:i/>
          <w:noProof/>
          <w:sz w:val="22"/>
          <w:lang w:val="es-MX"/>
        </w:rPr>
      </w:pPr>
    </w:p>
    <w:p w:rsidR="00403A90" w:rsidRPr="002639E6" w:rsidRDefault="00403A90" w:rsidP="00403A90">
      <w:pPr>
        <w:spacing w:line="240" w:lineRule="auto"/>
        <w:ind w:left="567" w:right="616"/>
        <w:rPr>
          <w:i/>
          <w:noProof/>
          <w:sz w:val="22"/>
          <w:lang w:val="es-MX"/>
        </w:rPr>
      </w:pPr>
      <w:r w:rsidRPr="002639E6">
        <w:rPr>
          <w:i/>
          <w:noProof/>
          <w:sz w:val="22"/>
          <w:lang w:val="es-MX"/>
        </w:rPr>
        <w:t>I. La mención de que se expiden como tales. Tratándose de certificados de sellos digitales, se deberán especificar las limitantes que tengan para su uso.</w:t>
      </w:r>
    </w:p>
    <w:p w:rsidR="00403A90" w:rsidRPr="002639E6" w:rsidRDefault="00403A90" w:rsidP="00403A90">
      <w:pPr>
        <w:spacing w:line="240" w:lineRule="auto"/>
        <w:ind w:left="1422" w:right="616"/>
        <w:rPr>
          <w:i/>
          <w:noProof/>
          <w:sz w:val="22"/>
          <w:lang w:val="es-MX"/>
        </w:rPr>
      </w:pPr>
    </w:p>
    <w:p w:rsidR="00403A90" w:rsidRPr="002639E6" w:rsidRDefault="00403A90" w:rsidP="00403A90">
      <w:pPr>
        <w:spacing w:line="240" w:lineRule="auto"/>
        <w:ind w:left="567" w:right="616"/>
        <w:rPr>
          <w:i/>
          <w:noProof/>
          <w:sz w:val="22"/>
          <w:lang w:val="es-MX"/>
        </w:rPr>
      </w:pPr>
      <w:r w:rsidRPr="002639E6">
        <w:rPr>
          <w:b/>
          <w:i/>
          <w:noProof/>
          <w:sz w:val="22"/>
          <w:lang w:val="es-MX"/>
        </w:rPr>
        <w:t>Artículo 29.</w:t>
      </w:r>
      <w:r w:rsidRPr="002639E6">
        <w:rPr>
          <w:i/>
          <w:noProof/>
          <w:sz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403A90" w:rsidRPr="002639E6" w:rsidRDefault="00403A90" w:rsidP="00403A90">
      <w:pPr>
        <w:spacing w:line="240" w:lineRule="auto"/>
        <w:ind w:left="567" w:right="616"/>
        <w:rPr>
          <w:i/>
          <w:noProof/>
          <w:sz w:val="22"/>
          <w:lang w:val="es-MX"/>
        </w:rPr>
      </w:pPr>
    </w:p>
    <w:p w:rsidR="00403A90" w:rsidRPr="002639E6" w:rsidRDefault="00403A90" w:rsidP="00403A90">
      <w:pPr>
        <w:spacing w:line="240" w:lineRule="auto"/>
        <w:ind w:left="567" w:right="616"/>
        <w:rPr>
          <w:i/>
          <w:noProof/>
          <w:sz w:val="22"/>
          <w:lang w:val="es-MX"/>
        </w:rPr>
      </w:pPr>
      <w:r w:rsidRPr="002639E6">
        <w:rPr>
          <w:i/>
          <w:noProof/>
          <w:sz w:val="22"/>
          <w:lang w:val="es-MX"/>
        </w:rPr>
        <w:t>Los contribuyentes a que se refiere el párrafo anterior deberán cumplir con las obligaciones siguientes:</w:t>
      </w:r>
    </w:p>
    <w:p w:rsidR="00403A90" w:rsidRPr="002639E6" w:rsidRDefault="00403A90" w:rsidP="00403A90">
      <w:pPr>
        <w:spacing w:line="240" w:lineRule="auto"/>
        <w:ind w:left="567" w:right="616"/>
        <w:rPr>
          <w:i/>
          <w:noProof/>
          <w:sz w:val="22"/>
          <w:lang w:val="es-MX"/>
        </w:rPr>
      </w:pPr>
    </w:p>
    <w:p w:rsidR="00403A90" w:rsidRPr="002639E6" w:rsidRDefault="00403A90" w:rsidP="00403A90">
      <w:pPr>
        <w:spacing w:line="240" w:lineRule="auto"/>
        <w:ind w:left="567" w:right="616"/>
        <w:rPr>
          <w:i/>
          <w:noProof/>
          <w:sz w:val="22"/>
          <w:lang w:val="es-MX"/>
        </w:rPr>
      </w:pPr>
      <w:r w:rsidRPr="002639E6">
        <w:rPr>
          <w:i/>
          <w:noProof/>
          <w:sz w:val="22"/>
          <w:lang w:val="es-MX"/>
        </w:rPr>
        <w:t>(…)</w:t>
      </w:r>
    </w:p>
    <w:p w:rsidR="00403A90" w:rsidRPr="002639E6" w:rsidRDefault="00403A90" w:rsidP="00403A90">
      <w:pPr>
        <w:spacing w:line="240" w:lineRule="auto"/>
        <w:ind w:left="567" w:right="616"/>
        <w:rPr>
          <w:i/>
          <w:noProof/>
          <w:sz w:val="22"/>
          <w:lang w:val="es-MX"/>
        </w:rPr>
      </w:pPr>
      <w:r w:rsidRPr="002639E6">
        <w:rPr>
          <w:i/>
          <w:noProof/>
          <w:sz w:val="22"/>
          <w:lang w:val="es-MX"/>
        </w:rPr>
        <w:t>II. Tramitar ante el Servicio de Administración Tributaria el certificado para el uso de los sellos digitales.</w:t>
      </w:r>
    </w:p>
    <w:p w:rsidR="00403A90" w:rsidRPr="002639E6" w:rsidRDefault="00403A90" w:rsidP="00403A90">
      <w:pPr>
        <w:spacing w:line="240" w:lineRule="auto"/>
        <w:ind w:left="567" w:right="616"/>
        <w:rPr>
          <w:i/>
          <w:noProof/>
          <w:sz w:val="22"/>
          <w:lang w:val="es-MX"/>
        </w:rPr>
      </w:pPr>
    </w:p>
    <w:p w:rsidR="00403A90" w:rsidRPr="002639E6" w:rsidRDefault="00403A90" w:rsidP="00403A90">
      <w:pPr>
        <w:spacing w:line="240" w:lineRule="auto"/>
        <w:ind w:left="567" w:right="616"/>
        <w:rPr>
          <w:noProof/>
          <w:sz w:val="22"/>
          <w:lang w:val="es-MX"/>
        </w:rPr>
      </w:pPr>
      <w:r w:rsidRPr="002639E6">
        <w:rPr>
          <w:i/>
          <w:noProof/>
          <w:sz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403A90" w:rsidRPr="002639E6" w:rsidRDefault="00403A90" w:rsidP="00403A90">
      <w:pPr>
        <w:rPr>
          <w:szCs w:val="24"/>
          <w:lang w:val="es-MX"/>
        </w:rPr>
      </w:pPr>
    </w:p>
    <w:p w:rsidR="00403A90" w:rsidRPr="002639E6" w:rsidRDefault="00403A90" w:rsidP="00403A90">
      <w:pPr>
        <w:rPr>
          <w:szCs w:val="24"/>
          <w:lang w:val="es-MX"/>
        </w:rPr>
      </w:pPr>
      <w:r w:rsidRPr="002639E6">
        <w:rPr>
          <w:szCs w:val="24"/>
          <w:lang w:val="es-MX"/>
        </w:rPr>
        <w:t xml:space="preserve">Por lo que hace a los </w:t>
      </w:r>
      <w:r w:rsidRPr="002639E6">
        <w:rPr>
          <w:b/>
          <w:szCs w:val="24"/>
          <w:lang w:val="es-MX"/>
        </w:rPr>
        <w:t>Códigos Bidimensionales</w:t>
      </w:r>
      <w:r w:rsidRPr="002639E6">
        <w:rPr>
          <w:szCs w:val="24"/>
          <w:lang w:val="es-MX"/>
        </w:rPr>
        <w:t xml:space="preserve"> y los denominados </w:t>
      </w:r>
      <w:r w:rsidRPr="002639E6">
        <w:rPr>
          <w:b/>
          <w:szCs w:val="24"/>
          <w:lang w:val="es-MX"/>
        </w:rPr>
        <w:t>Códigos QR</w:t>
      </w:r>
      <w:r w:rsidRPr="002639E6">
        <w:rPr>
          <w:szCs w:val="24"/>
          <w:lang w:val="es-MX"/>
        </w:rPr>
        <w:t xml:space="preserve">, se trata de barras en dos dimensiones que al igual a los códigos de barras o códigos unidimensionales, son utilizados para almacenar diversos tipos datos de manera </w:t>
      </w:r>
      <w:r w:rsidRPr="002639E6">
        <w:rPr>
          <w:szCs w:val="24"/>
          <w:lang w:val="es-MX"/>
        </w:rPr>
        <w:lastRenderedPageBreak/>
        <w:t xml:space="preserve">codificada, los cuales a través de lectores que pueden ser obtenidos por cualquier persona, teniendo acceso a dichos datos almacenados, mismos que al tratarse de recibos de nómina, generalmente, corresponde a datos personales como lo son el </w:t>
      </w:r>
      <w:r w:rsidRPr="002639E6">
        <w:rPr>
          <w:b/>
          <w:szCs w:val="24"/>
          <w:lang w:val="es-MX"/>
        </w:rPr>
        <w:t>Registro Federal de Contribuyentes</w:t>
      </w:r>
      <w:r w:rsidRPr="002639E6">
        <w:rPr>
          <w:szCs w:val="24"/>
          <w:lang w:val="es-MX"/>
        </w:rPr>
        <w:t xml:space="preserve"> (RFC) y la </w:t>
      </w:r>
      <w:r w:rsidRPr="002639E6">
        <w:rPr>
          <w:b/>
          <w:szCs w:val="24"/>
          <w:lang w:val="es-MX"/>
        </w:rPr>
        <w:t>Clave Única de Registro de Población</w:t>
      </w:r>
      <w:r w:rsidRPr="002639E6">
        <w:rPr>
          <w:szCs w:val="24"/>
          <w:lang w:val="es-MX"/>
        </w:rPr>
        <w:t xml:space="preserve"> (CURP), por lo cual, deberán ser protegidos.</w:t>
      </w:r>
    </w:p>
    <w:p w:rsidR="00403A90" w:rsidRPr="002639E6" w:rsidRDefault="00403A90" w:rsidP="00403A90">
      <w:pPr>
        <w:rPr>
          <w:szCs w:val="24"/>
          <w:lang w:val="es-MX"/>
        </w:rPr>
      </w:pPr>
    </w:p>
    <w:p w:rsidR="00403A90" w:rsidRPr="001E3720" w:rsidRDefault="00403A90" w:rsidP="00403A90">
      <w:pPr>
        <w:rPr>
          <w:szCs w:val="24"/>
          <w:lang w:val="es-MX"/>
        </w:rPr>
      </w:pPr>
      <w:r w:rsidRPr="001E3720">
        <w:rPr>
          <w:szCs w:val="24"/>
          <w:lang w:val="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403A90" w:rsidRPr="001E3720" w:rsidRDefault="00403A90" w:rsidP="00403A90">
      <w:pPr>
        <w:rPr>
          <w:szCs w:val="24"/>
          <w:lang w:val="es-MX"/>
        </w:rPr>
      </w:pPr>
    </w:p>
    <w:p w:rsidR="00403A90" w:rsidRPr="001E3720" w:rsidRDefault="00403A90" w:rsidP="00403A90">
      <w:pPr>
        <w:rPr>
          <w:szCs w:val="24"/>
          <w:lang w:val="es-MX"/>
        </w:rPr>
      </w:pPr>
      <w:r w:rsidRPr="001E3720">
        <w:rPr>
          <w:szCs w:val="24"/>
          <w:lang w:val="es-MX"/>
        </w:rPr>
        <w:t>En ese contexto, de la misma manera que en los casos previamente analizados, el folio fiscal no contiene datos personales del emisor y tampoco permite que se pueda obtener información confidencial por sí mismo, pues solamente es un identificador del emisor, del cual su transparencia ayuda a legitimar que el documento cumple con todos los requisitos establecidos en la normatividad aplicable, sin que de esto se obtenga algún dato personal, por lo que, tampoco actualiza la clasificación, en términos del artículo 143, fracción I de la Ley de la materia.</w:t>
      </w:r>
    </w:p>
    <w:p w:rsidR="00403A90" w:rsidRPr="001E3720" w:rsidRDefault="00403A90" w:rsidP="00403A90">
      <w:pPr>
        <w:rPr>
          <w:szCs w:val="24"/>
          <w:lang w:val="es-MX"/>
        </w:rPr>
      </w:pPr>
    </w:p>
    <w:p w:rsidR="00403A90" w:rsidRPr="001E3720" w:rsidRDefault="00403A90" w:rsidP="00403A90">
      <w:pPr>
        <w:rPr>
          <w:szCs w:val="24"/>
          <w:lang w:val="es-MX"/>
        </w:rPr>
      </w:pPr>
      <w:r w:rsidRPr="001E3720">
        <w:rPr>
          <w:szCs w:val="24"/>
          <w:lang w:val="es-MX"/>
        </w:rPr>
        <w:t xml:space="preserve">Ahora bien, por lo que hace al número de serie y folio interno, la Guía de llenado del CFDI global Versión 3.3 del CFDI, emitida por el Servicio de Administración Tributaria </w:t>
      </w:r>
      <w:r w:rsidRPr="001E3720">
        <w:rPr>
          <w:szCs w:val="24"/>
          <w:lang w:val="es-MX"/>
        </w:rPr>
        <w:lastRenderedPageBreak/>
        <w:t>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403A90" w:rsidRPr="001E3720" w:rsidRDefault="00403A90" w:rsidP="00403A90">
      <w:pPr>
        <w:rPr>
          <w:szCs w:val="24"/>
          <w:lang w:val="es-MX"/>
        </w:rPr>
      </w:pPr>
    </w:p>
    <w:p w:rsidR="00403A90" w:rsidRPr="001E3720" w:rsidRDefault="00403A90" w:rsidP="00403A90">
      <w:pPr>
        <w:rPr>
          <w:szCs w:val="24"/>
          <w:lang w:val="es-MX"/>
        </w:rPr>
      </w:pPr>
      <w:r w:rsidRPr="001E3720">
        <w:rPr>
          <w:szCs w:val="24"/>
          <w:lang w:val="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rsidR="00403A90" w:rsidRPr="001E3720" w:rsidRDefault="00403A90" w:rsidP="00403A90">
      <w:pPr>
        <w:rPr>
          <w:szCs w:val="24"/>
          <w:lang w:val="es-MX"/>
        </w:rPr>
      </w:pPr>
    </w:p>
    <w:p w:rsidR="00403A90" w:rsidRPr="002639E6" w:rsidRDefault="00403A90" w:rsidP="00403A90">
      <w:pPr>
        <w:rPr>
          <w:szCs w:val="24"/>
          <w:lang w:val="es-MX"/>
        </w:rPr>
      </w:pPr>
      <w:r w:rsidRPr="001E3720">
        <w:rPr>
          <w:szCs w:val="24"/>
          <w:lang w:val="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403A90" w:rsidRPr="002639E6" w:rsidRDefault="00403A90" w:rsidP="00403A90">
      <w:pPr>
        <w:rPr>
          <w:szCs w:val="24"/>
          <w:lang w:val="es-MX"/>
        </w:rPr>
      </w:pPr>
    </w:p>
    <w:p w:rsidR="00403A90" w:rsidRPr="002639E6" w:rsidRDefault="00403A90" w:rsidP="00403A90">
      <w:pPr>
        <w:rPr>
          <w:szCs w:val="24"/>
          <w:lang w:val="es-MX"/>
        </w:rPr>
      </w:pPr>
      <w:r w:rsidRPr="002639E6">
        <w:rPr>
          <w:szCs w:val="24"/>
          <w:lang w:val="es-MX"/>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w:t>
      </w:r>
      <w:r w:rsidRPr="002639E6">
        <w:rPr>
          <w:szCs w:val="24"/>
          <w:lang w:val="es-MX"/>
        </w:rPr>
        <w:lastRenderedPageBreak/>
        <w:t>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403A90" w:rsidRPr="002639E6" w:rsidRDefault="00403A90" w:rsidP="00403A90">
      <w:pPr>
        <w:rPr>
          <w:szCs w:val="24"/>
          <w:lang w:val="es-MX"/>
        </w:rPr>
      </w:pPr>
    </w:p>
    <w:p w:rsidR="00403A90" w:rsidRPr="002639E6" w:rsidRDefault="00403A90" w:rsidP="00403A90">
      <w:pPr>
        <w:rPr>
          <w:szCs w:val="24"/>
          <w:lang w:val="es-MX"/>
        </w:rPr>
      </w:pPr>
      <w:r w:rsidRPr="002639E6">
        <w:rPr>
          <w:szCs w:val="24"/>
          <w:lang w:val="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w:t>
      </w:r>
      <w:r>
        <w:rPr>
          <w:szCs w:val="24"/>
          <w:lang w:val="es-MX"/>
        </w:rPr>
        <w:t xml:space="preserve">lo, fracción, inciso, párrafo o </w:t>
      </w:r>
      <w:r w:rsidRPr="002639E6">
        <w:rPr>
          <w:szCs w:val="24"/>
          <w:lang w:val="es-MX"/>
        </w:rPr>
        <w:t>numeral de la Le</w:t>
      </w:r>
      <w:r>
        <w:rPr>
          <w:szCs w:val="24"/>
          <w:lang w:val="es-MX"/>
        </w:rPr>
        <w:t xml:space="preserve">y que expresamente le otorga el </w:t>
      </w:r>
      <w:r w:rsidRPr="002639E6">
        <w:rPr>
          <w:szCs w:val="24"/>
          <w:lang w:val="es-MX"/>
        </w:rPr>
        <w:t>carácter de confidencial.</w:t>
      </w:r>
    </w:p>
    <w:p w:rsidR="00403A90" w:rsidRPr="002639E6" w:rsidRDefault="00403A90" w:rsidP="00403A90">
      <w:pPr>
        <w:rPr>
          <w:szCs w:val="24"/>
          <w:lang w:val="es-MX"/>
        </w:rPr>
      </w:pPr>
    </w:p>
    <w:p w:rsidR="00403A90" w:rsidRPr="002639E6" w:rsidRDefault="00403A90" w:rsidP="00403A90">
      <w:pPr>
        <w:rPr>
          <w:szCs w:val="24"/>
          <w:lang w:val="es-MX"/>
        </w:rPr>
      </w:pPr>
      <w:r w:rsidRPr="002639E6">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rsidR="00403A90" w:rsidRPr="002639E6" w:rsidRDefault="00403A90" w:rsidP="00403A90">
      <w:pPr>
        <w:jc w:val="left"/>
        <w:rPr>
          <w:szCs w:val="24"/>
          <w:lang w:val="es-MX"/>
        </w:rPr>
      </w:pPr>
    </w:p>
    <w:p w:rsidR="00403A90" w:rsidRPr="002639E6" w:rsidRDefault="00403A90" w:rsidP="00403A90">
      <w:pPr>
        <w:spacing w:line="240" w:lineRule="auto"/>
        <w:ind w:left="567" w:right="616"/>
        <w:rPr>
          <w:i/>
          <w:sz w:val="22"/>
          <w:lang w:val="es-MX"/>
        </w:rPr>
      </w:pPr>
      <w:r w:rsidRPr="002639E6">
        <w:rPr>
          <w:b/>
          <w:i/>
          <w:sz w:val="22"/>
          <w:lang w:val="es-MX"/>
        </w:rPr>
        <w:t xml:space="preserve">Artículo 49. </w:t>
      </w:r>
      <w:r w:rsidRPr="002639E6">
        <w:rPr>
          <w:i/>
          <w:sz w:val="22"/>
          <w:lang w:val="es-MX"/>
        </w:rPr>
        <w:t>Los Comités de Transparencia tendrán las siguientes atribuciones:</w:t>
      </w:r>
    </w:p>
    <w:p w:rsidR="00403A90" w:rsidRPr="002639E6" w:rsidRDefault="00403A90" w:rsidP="00403A90">
      <w:pPr>
        <w:spacing w:line="240" w:lineRule="auto"/>
        <w:ind w:left="567" w:right="616"/>
        <w:rPr>
          <w:bCs/>
          <w:i/>
          <w:sz w:val="22"/>
          <w:lang w:val="es-MX"/>
        </w:rPr>
      </w:pPr>
      <w:r w:rsidRPr="002639E6">
        <w:rPr>
          <w:bCs/>
          <w:i/>
          <w:sz w:val="22"/>
          <w:lang w:val="es-MX"/>
        </w:rPr>
        <w:t>(…)</w:t>
      </w:r>
    </w:p>
    <w:p w:rsidR="00403A90" w:rsidRPr="002639E6" w:rsidRDefault="00403A90" w:rsidP="00403A90">
      <w:pPr>
        <w:spacing w:line="240" w:lineRule="auto"/>
        <w:ind w:left="567" w:right="616"/>
        <w:rPr>
          <w:i/>
          <w:sz w:val="22"/>
          <w:lang w:val="es-MX"/>
        </w:rPr>
      </w:pPr>
      <w:r w:rsidRPr="002639E6">
        <w:rPr>
          <w:b/>
          <w:i/>
          <w:sz w:val="22"/>
          <w:lang w:val="es-MX"/>
        </w:rPr>
        <w:t>VIII.</w:t>
      </w:r>
      <w:r w:rsidRPr="002639E6">
        <w:rPr>
          <w:i/>
          <w:sz w:val="22"/>
          <w:lang w:val="es-MX"/>
        </w:rPr>
        <w:t xml:space="preserve"> Aprobar, modificar o revocar la clasificación de la información;</w:t>
      </w:r>
    </w:p>
    <w:p w:rsidR="00403A90" w:rsidRPr="002639E6" w:rsidRDefault="00403A90" w:rsidP="00403A90">
      <w:pPr>
        <w:spacing w:line="240" w:lineRule="auto"/>
        <w:ind w:left="567" w:right="616"/>
        <w:rPr>
          <w:bCs/>
          <w:i/>
          <w:sz w:val="22"/>
          <w:lang w:val="es-MX"/>
        </w:rPr>
      </w:pPr>
      <w:r w:rsidRPr="002639E6">
        <w:rPr>
          <w:bCs/>
          <w:i/>
          <w:sz w:val="22"/>
          <w:lang w:val="es-MX"/>
        </w:rPr>
        <w:t>(…)</w:t>
      </w:r>
    </w:p>
    <w:p w:rsidR="00403A90" w:rsidRPr="002639E6" w:rsidRDefault="00403A90" w:rsidP="00403A90">
      <w:pPr>
        <w:spacing w:line="240" w:lineRule="auto"/>
        <w:ind w:left="567" w:right="616"/>
        <w:rPr>
          <w:i/>
          <w:sz w:val="22"/>
          <w:lang w:val="es-MX"/>
        </w:rPr>
      </w:pPr>
    </w:p>
    <w:p w:rsidR="00403A90" w:rsidRPr="002639E6" w:rsidRDefault="00403A90" w:rsidP="00403A90">
      <w:pPr>
        <w:spacing w:line="240" w:lineRule="auto"/>
        <w:ind w:left="567" w:right="616"/>
        <w:rPr>
          <w:i/>
          <w:sz w:val="22"/>
          <w:lang w:val="es-MX"/>
        </w:rPr>
      </w:pPr>
      <w:r w:rsidRPr="002639E6">
        <w:rPr>
          <w:b/>
          <w:i/>
          <w:sz w:val="22"/>
          <w:lang w:val="es-MX"/>
        </w:rPr>
        <w:t>Artículo 132.</w:t>
      </w:r>
      <w:r w:rsidRPr="002639E6">
        <w:rPr>
          <w:i/>
          <w:sz w:val="22"/>
          <w:lang w:val="es-MX"/>
        </w:rPr>
        <w:t xml:space="preserve"> La clasificación de la información se llevará a cabo en el momento en que:</w:t>
      </w:r>
    </w:p>
    <w:p w:rsidR="00403A90" w:rsidRPr="002639E6" w:rsidRDefault="00403A90" w:rsidP="00403A90">
      <w:pPr>
        <w:spacing w:line="240" w:lineRule="auto"/>
        <w:ind w:left="567" w:right="616"/>
        <w:rPr>
          <w:b/>
          <w:i/>
          <w:sz w:val="22"/>
          <w:lang w:val="es-MX"/>
        </w:rPr>
      </w:pPr>
    </w:p>
    <w:p w:rsidR="00403A90" w:rsidRPr="002639E6" w:rsidRDefault="00403A90" w:rsidP="00403A90">
      <w:pPr>
        <w:spacing w:line="240" w:lineRule="auto"/>
        <w:ind w:left="567" w:right="616"/>
        <w:rPr>
          <w:i/>
          <w:sz w:val="22"/>
          <w:lang w:val="es-MX"/>
        </w:rPr>
      </w:pPr>
      <w:r w:rsidRPr="002639E6">
        <w:rPr>
          <w:b/>
          <w:i/>
          <w:sz w:val="22"/>
          <w:lang w:val="es-MX"/>
        </w:rPr>
        <w:t>I.</w:t>
      </w:r>
      <w:r w:rsidRPr="002639E6">
        <w:rPr>
          <w:i/>
          <w:sz w:val="22"/>
          <w:lang w:val="es-MX"/>
        </w:rPr>
        <w:t xml:space="preserve"> Se reciba una solicitud de acceso a la información;</w:t>
      </w:r>
    </w:p>
    <w:p w:rsidR="00403A90" w:rsidRPr="002639E6" w:rsidRDefault="00403A90" w:rsidP="00403A90">
      <w:pPr>
        <w:spacing w:line="240" w:lineRule="auto"/>
        <w:ind w:left="567" w:right="616"/>
        <w:rPr>
          <w:i/>
          <w:sz w:val="22"/>
          <w:lang w:val="es-MX"/>
        </w:rPr>
      </w:pPr>
      <w:r w:rsidRPr="002639E6">
        <w:rPr>
          <w:b/>
          <w:i/>
          <w:sz w:val="22"/>
          <w:lang w:val="es-MX"/>
        </w:rPr>
        <w:t>II.</w:t>
      </w:r>
      <w:r w:rsidRPr="002639E6">
        <w:rPr>
          <w:i/>
          <w:sz w:val="22"/>
          <w:lang w:val="es-MX"/>
        </w:rPr>
        <w:t xml:space="preserve"> Se determine mediante resolución de autoridad competente; o</w:t>
      </w:r>
    </w:p>
    <w:p w:rsidR="00403A90" w:rsidRPr="002639E6" w:rsidRDefault="00403A90" w:rsidP="00403A90">
      <w:pPr>
        <w:spacing w:line="240" w:lineRule="auto"/>
        <w:ind w:left="567" w:right="616"/>
        <w:rPr>
          <w:b/>
          <w:i/>
          <w:sz w:val="22"/>
          <w:lang w:val="es-MX"/>
        </w:rPr>
      </w:pPr>
      <w:r w:rsidRPr="002639E6">
        <w:rPr>
          <w:b/>
          <w:bCs/>
          <w:i/>
          <w:sz w:val="22"/>
          <w:lang w:val="es-MX"/>
        </w:rPr>
        <w:t>III.</w:t>
      </w:r>
      <w:r w:rsidRPr="002639E6">
        <w:rPr>
          <w:i/>
          <w:sz w:val="22"/>
          <w:lang w:val="es-MX"/>
        </w:rPr>
        <w:t xml:space="preserve"> Se generen versiones públicas para dar cumplimiento a las obligaciones de transparencia previstas en esta Ley.</w:t>
      </w:r>
      <w:r w:rsidRPr="002639E6">
        <w:rPr>
          <w:b/>
          <w:i/>
          <w:sz w:val="22"/>
          <w:lang w:val="es-MX"/>
        </w:rPr>
        <w:t>”</w:t>
      </w:r>
    </w:p>
    <w:p w:rsidR="00403A90" w:rsidRPr="002639E6" w:rsidRDefault="00403A90" w:rsidP="00403A90">
      <w:pPr>
        <w:spacing w:line="240" w:lineRule="auto"/>
        <w:ind w:left="567" w:right="616"/>
        <w:rPr>
          <w:b/>
          <w:i/>
          <w:sz w:val="22"/>
          <w:lang w:val="es-MX"/>
        </w:rPr>
      </w:pPr>
    </w:p>
    <w:p w:rsidR="00403A90" w:rsidRPr="002639E6" w:rsidRDefault="00403A90" w:rsidP="00403A90">
      <w:pPr>
        <w:spacing w:line="240" w:lineRule="auto"/>
        <w:ind w:left="567" w:right="616"/>
        <w:rPr>
          <w:i/>
          <w:sz w:val="22"/>
          <w:lang w:val="es-MX"/>
        </w:rPr>
      </w:pPr>
      <w:r w:rsidRPr="002639E6">
        <w:rPr>
          <w:b/>
          <w:i/>
          <w:sz w:val="22"/>
          <w:lang w:val="es-MX"/>
        </w:rPr>
        <w:t>Segundo.-</w:t>
      </w:r>
      <w:r w:rsidRPr="002639E6">
        <w:rPr>
          <w:i/>
          <w:sz w:val="22"/>
          <w:lang w:val="es-MX"/>
        </w:rPr>
        <w:t xml:space="preserve"> Para efectos de los presentes Lineamientos Generales, se entenderá por:</w:t>
      </w:r>
    </w:p>
    <w:p w:rsidR="00403A90" w:rsidRPr="002639E6" w:rsidRDefault="00403A90" w:rsidP="00403A90">
      <w:pPr>
        <w:spacing w:line="240" w:lineRule="auto"/>
        <w:ind w:left="567" w:right="616"/>
        <w:rPr>
          <w:i/>
          <w:sz w:val="22"/>
          <w:lang w:val="es-MX"/>
        </w:rPr>
      </w:pPr>
      <w:r w:rsidRPr="002639E6">
        <w:rPr>
          <w:b/>
          <w:i/>
          <w:sz w:val="22"/>
          <w:lang w:val="es-MX"/>
        </w:rPr>
        <w:t>XVIII.</w:t>
      </w:r>
      <w:r w:rsidRPr="002639E6">
        <w:rPr>
          <w:i/>
          <w:sz w:val="22"/>
          <w:lang w:val="es-MX"/>
        </w:rPr>
        <w:t xml:space="preserve"> </w:t>
      </w:r>
      <w:r w:rsidRPr="002639E6">
        <w:rPr>
          <w:b/>
          <w:i/>
          <w:sz w:val="22"/>
          <w:lang w:val="es-MX"/>
        </w:rPr>
        <w:t>Versión pública:</w:t>
      </w:r>
      <w:r w:rsidRPr="002639E6">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403A90" w:rsidRPr="002639E6" w:rsidRDefault="00403A90" w:rsidP="00403A90">
      <w:pPr>
        <w:spacing w:line="240" w:lineRule="auto"/>
        <w:ind w:left="567" w:right="616"/>
        <w:rPr>
          <w:b/>
          <w:i/>
          <w:sz w:val="22"/>
          <w:lang w:val="es-MX"/>
        </w:rPr>
      </w:pPr>
    </w:p>
    <w:p w:rsidR="00403A90" w:rsidRPr="002639E6" w:rsidRDefault="00403A90" w:rsidP="00403A90">
      <w:pPr>
        <w:spacing w:line="240" w:lineRule="auto"/>
        <w:ind w:left="567" w:right="616"/>
        <w:rPr>
          <w:i/>
          <w:sz w:val="22"/>
          <w:lang w:val="es-MX"/>
        </w:rPr>
      </w:pPr>
      <w:r w:rsidRPr="002639E6">
        <w:rPr>
          <w:b/>
          <w:i/>
          <w:sz w:val="22"/>
          <w:lang w:val="es-MX"/>
        </w:rPr>
        <w:t>Cuarto.</w:t>
      </w:r>
      <w:r w:rsidRPr="002639E6">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03A90" w:rsidRPr="002639E6" w:rsidRDefault="00403A90" w:rsidP="00403A90">
      <w:pPr>
        <w:spacing w:line="240" w:lineRule="auto"/>
        <w:ind w:left="567" w:right="616"/>
        <w:rPr>
          <w:i/>
          <w:sz w:val="22"/>
          <w:lang w:val="es-MX"/>
        </w:rPr>
      </w:pPr>
      <w:r w:rsidRPr="002639E6">
        <w:rPr>
          <w:i/>
          <w:sz w:val="22"/>
          <w:lang w:val="es-MX"/>
        </w:rPr>
        <w:t>Los Sujetos Obligados deberán aplicar, de manera estricta, las excepciones al derecho de acceso a la información y sólo podrán invocarlas cuando acrediten su procedencia.</w:t>
      </w:r>
    </w:p>
    <w:p w:rsidR="00403A90" w:rsidRPr="002639E6" w:rsidRDefault="00403A90" w:rsidP="00403A90">
      <w:pPr>
        <w:spacing w:line="240" w:lineRule="auto"/>
        <w:ind w:left="567" w:right="616"/>
        <w:rPr>
          <w:b/>
          <w:i/>
          <w:sz w:val="22"/>
          <w:lang w:val="es-MX"/>
        </w:rPr>
      </w:pPr>
    </w:p>
    <w:p w:rsidR="00403A90" w:rsidRPr="002639E6" w:rsidRDefault="00403A90" w:rsidP="00403A90">
      <w:pPr>
        <w:spacing w:line="240" w:lineRule="auto"/>
        <w:ind w:left="567" w:right="616"/>
        <w:rPr>
          <w:i/>
          <w:sz w:val="22"/>
          <w:lang w:val="es-MX"/>
        </w:rPr>
      </w:pPr>
      <w:r w:rsidRPr="002639E6">
        <w:rPr>
          <w:b/>
          <w:i/>
          <w:sz w:val="22"/>
          <w:lang w:val="es-MX"/>
        </w:rPr>
        <w:t>Quinto.</w:t>
      </w:r>
      <w:r w:rsidRPr="002639E6">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03A90" w:rsidRPr="002639E6" w:rsidRDefault="00403A90" w:rsidP="00403A90">
      <w:pPr>
        <w:spacing w:line="240" w:lineRule="auto"/>
        <w:ind w:left="567" w:right="616"/>
        <w:rPr>
          <w:b/>
          <w:i/>
          <w:sz w:val="22"/>
          <w:lang w:val="es-MX"/>
        </w:rPr>
      </w:pPr>
    </w:p>
    <w:p w:rsidR="00403A90" w:rsidRPr="002639E6" w:rsidRDefault="00403A90" w:rsidP="00403A90">
      <w:pPr>
        <w:spacing w:line="240" w:lineRule="auto"/>
        <w:ind w:left="567" w:right="616"/>
        <w:rPr>
          <w:i/>
          <w:sz w:val="22"/>
          <w:lang w:val="es-MX"/>
        </w:rPr>
      </w:pPr>
      <w:r w:rsidRPr="002639E6">
        <w:rPr>
          <w:b/>
          <w:i/>
          <w:sz w:val="22"/>
          <w:lang w:val="es-MX"/>
        </w:rPr>
        <w:lastRenderedPageBreak/>
        <w:t>Sexto.</w:t>
      </w:r>
      <w:r w:rsidRPr="002639E6">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03A90" w:rsidRPr="002639E6" w:rsidRDefault="00403A90" w:rsidP="00403A90">
      <w:pPr>
        <w:spacing w:line="240" w:lineRule="auto"/>
        <w:ind w:left="567" w:right="616"/>
        <w:rPr>
          <w:i/>
          <w:sz w:val="22"/>
          <w:lang w:val="es-MX"/>
        </w:rPr>
      </w:pPr>
      <w:r w:rsidRPr="002639E6">
        <w:rPr>
          <w:i/>
          <w:sz w:val="22"/>
          <w:lang w:val="es-MX"/>
        </w:rPr>
        <w:t>La clasificación de información se realizará conforme a un análisis caso por caso, mediante la aplicación de la prueba de daño y de interés público.</w:t>
      </w:r>
    </w:p>
    <w:p w:rsidR="00403A90" w:rsidRPr="002639E6" w:rsidRDefault="00403A90" w:rsidP="00403A90">
      <w:pPr>
        <w:spacing w:line="240" w:lineRule="auto"/>
        <w:ind w:left="567" w:right="616"/>
        <w:rPr>
          <w:b/>
          <w:i/>
          <w:sz w:val="22"/>
          <w:lang w:val="es-MX"/>
        </w:rPr>
      </w:pPr>
    </w:p>
    <w:p w:rsidR="00403A90" w:rsidRPr="002639E6" w:rsidRDefault="00403A90" w:rsidP="00403A90">
      <w:pPr>
        <w:spacing w:line="240" w:lineRule="auto"/>
        <w:ind w:left="567" w:right="616"/>
        <w:rPr>
          <w:i/>
          <w:sz w:val="22"/>
          <w:lang w:val="es-MX"/>
        </w:rPr>
      </w:pPr>
      <w:r w:rsidRPr="002639E6">
        <w:rPr>
          <w:b/>
          <w:i/>
          <w:sz w:val="22"/>
          <w:lang w:val="es-MX"/>
        </w:rPr>
        <w:t>Séptimo.</w:t>
      </w:r>
      <w:r w:rsidRPr="002639E6">
        <w:rPr>
          <w:i/>
          <w:sz w:val="22"/>
          <w:lang w:val="es-MX"/>
        </w:rPr>
        <w:t xml:space="preserve"> La clasificación de la información se llevará a cabo en el momento en que:</w:t>
      </w:r>
    </w:p>
    <w:p w:rsidR="00403A90" w:rsidRPr="002639E6" w:rsidRDefault="00403A90" w:rsidP="00403A90">
      <w:pPr>
        <w:spacing w:line="240" w:lineRule="auto"/>
        <w:ind w:left="567" w:right="616"/>
        <w:rPr>
          <w:i/>
          <w:sz w:val="22"/>
          <w:lang w:val="es-MX"/>
        </w:rPr>
      </w:pPr>
      <w:r w:rsidRPr="002639E6">
        <w:rPr>
          <w:b/>
          <w:i/>
          <w:sz w:val="22"/>
          <w:lang w:val="es-MX"/>
        </w:rPr>
        <w:t>I.</w:t>
      </w:r>
      <w:r w:rsidRPr="002639E6">
        <w:rPr>
          <w:i/>
          <w:sz w:val="22"/>
          <w:lang w:val="es-MX"/>
        </w:rPr>
        <w:t xml:space="preserve"> Se reciba una solicitud de acceso a la información;</w:t>
      </w:r>
    </w:p>
    <w:p w:rsidR="00403A90" w:rsidRPr="002639E6" w:rsidRDefault="00403A90" w:rsidP="00403A90">
      <w:pPr>
        <w:spacing w:line="240" w:lineRule="auto"/>
        <w:ind w:left="567" w:right="616"/>
        <w:rPr>
          <w:b/>
          <w:i/>
          <w:sz w:val="22"/>
          <w:lang w:val="es-MX"/>
        </w:rPr>
      </w:pPr>
    </w:p>
    <w:p w:rsidR="00403A90" w:rsidRPr="002639E6" w:rsidRDefault="00403A90" w:rsidP="00403A90">
      <w:pPr>
        <w:spacing w:line="240" w:lineRule="auto"/>
        <w:ind w:left="567" w:right="616"/>
        <w:rPr>
          <w:i/>
          <w:sz w:val="22"/>
          <w:lang w:val="es-MX"/>
        </w:rPr>
      </w:pPr>
      <w:r w:rsidRPr="002639E6">
        <w:rPr>
          <w:b/>
          <w:i/>
          <w:sz w:val="22"/>
          <w:lang w:val="es-MX"/>
        </w:rPr>
        <w:t>II.</w:t>
      </w:r>
      <w:r w:rsidRPr="002639E6">
        <w:rPr>
          <w:i/>
          <w:sz w:val="22"/>
          <w:lang w:val="es-MX"/>
        </w:rPr>
        <w:t xml:space="preserve"> Se determine mediante resolución de autoridad competente, o</w:t>
      </w:r>
    </w:p>
    <w:p w:rsidR="00403A90" w:rsidRPr="002639E6" w:rsidRDefault="00403A90" w:rsidP="00403A90">
      <w:pPr>
        <w:spacing w:line="240" w:lineRule="auto"/>
        <w:ind w:left="567" w:right="616"/>
        <w:rPr>
          <w:i/>
          <w:sz w:val="22"/>
          <w:lang w:val="es-MX"/>
        </w:rPr>
      </w:pPr>
      <w:r w:rsidRPr="002639E6">
        <w:rPr>
          <w:b/>
          <w:i/>
          <w:sz w:val="22"/>
          <w:lang w:val="es-MX"/>
        </w:rPr>
        <w:t>III.</w:t>
      </w:r>
      <w:r w:rsidRPr="002639E6">
        <w:rPr>
          <w:i/>
          <w:sz w:val="22"/>
          <w:lang w:val="es-MX"/>
        </w:rPr>
        <w:t xml:space="preserve"> Se generen versiones públicas para dar cumplimiento a las obligaciones de transparencia previstas en la Ley General, la Ley Federal y las correspondientes de las entidades federativas.</w:t>
      </w:r>
    </w:p>
    <w:p w:rsidR="00403A90" w:rsidRPr="002639E6" w:rsidRDefault="00403A90" w:rsidP="00403A90">
      <w:pPr>
        <w:spacing w:line="240" w:lineRule="auto"/>
        <w:ind w:left="567" w:right="616"/>
        <w:rPr>
          <w:i/>
          <w:sz w:val="22"/>
          <w:lang w:val="es-MX"/>
        </w:rPr>
      </w:pPr>
      <w:r w:rsidRPr="002639E6">
        <w:rPr>
          <w:i/>
          <w:sz w:val="22"/>
          <w:lang w:val="es-MX"/>
        </w:rPr>
        <w:t>Los titulares de las áreas deberán revisar la clasificación al momento de la recepción de una solicitud de acceso a la información, para verificar si encuadra en una causal de reserva o de confidencialidad.</w:t>
      </w:r>
    </w:p>
    <w:p w:rsidR="00403A90" w:rsidRPr="002639E6" w:rsidRDefault="00403A90" w:rsidP="00403A90">
      <w:pPr>
        <w:spacing w:line="240" w:lineRule="auto"/>
        <w:ind w:left="567" w:right="616"/>
        <w:rPr>
          <w:b/>
          <w:i/>
          <w:sz w:val="22"/>
          <w:lang w:val="es-MX"/>
        </w:rPr>
      </w:pPr>
    </w:p>
    <w:p w:rsidR="00403A90" w:rsidRPr="002639E6" w:rsidRDefault="00403A90" w:rsidP="00403A90">
      <w:pPr>
        <w:spacing w:line="240" w:lineRule="auto"/>
        <w:ind w:left="567" w:right="616"/>
        <w:rPr>
          <w:i/>
          <w:sz w:val="22"/>
          <w:lang w:val="es-MX"/>
        </w:rPr>
      </w:pPr>
      <w:r w:rsidRPr="002639E6">
        <w:rPr>
          <w:b/>
          <w:i/>
          <w:sz w:val="22"/>
          <w:lang w:val="es-MX"/>
        </w:rPr>
        <w:t>Octavo.</w:t>
      </w:r>
      <w:r w:rsidRPr="002639E6">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03A90" w:rsidRPr="002639E6" w:rsidRDefault="00403A90" w:rsidP="00403A90">
      <w:pPr>
        <w:spacing w:line="240" w:lineRule="auto"/>
        <w:ind w:left="567" w:right="616"/>
        <w:rPr>
          <w:i/>
          <w:sz w:val="22"/>
          <w:lang w:val="es-MX"/>
        </w:rPr>
      </w:pPr>
      <w:r w:rsidRPr="002639E6">
        <w:rPr>
          <w:i/>
          <w:sz w:val="22"/>
          <w:lang w:val="es-MX"/>
        </w:rPr>
        <w:t>Para motivar la clasificación se deberán señalar las razones o circunstancias especiales que lo llevaron a concluir que el caso particular se ajusta al supuesto previsto por la norma legal invocada como fundamento.</w:t>
      </w:r>
    </w:p>
    <w:p w:rsidR="00403A90" w:rsidRPr="002639E6" w:rsidRDefault="00403A90" w:rsidP="00403A90">
      <w:pPr>
        <w:spacing w:line="240" w:lineRule="auto"/>
        <w:ind w:left="567" w:right="616"/>
        <w:rPr>
          <w:i/>
          <w:sz w:val="22"/>
          <w:lang w:val="es-MX"/>
        </w:rPr>
      </w:pPr>
      <w:r w:rsidRPr="002639E6">
        <w:rPr>
          <w:i/>
          <w:sz w:val="22"/>
          <w:lang w:val="es-MX"/>
        </w:rPr>
        <w:t>En caso de referirse a información reservada, la motivación de la clasificación también deberá comprender las circunstancias que justifican el establecimiento de determinado plazo de reserva.</w:t>
      </w:r>
    </w:p>
    <w:p w:rsidR="00403A90" w:rsidRPr="002639E6" w:rsidRDefault="00403A90" w:rsidP="00403A90">
      <w:pPr>
        <w:spacing w:line="240" w:lineRule="auto"/>
        <w:ind w:left="567" w:right="616"/>
        <w:rPr>
          <w:i/>
          <w:sz w:val="22"/>
          <w:lang w:val="es-MX"/>
        </w:rPr>
      </w:pPr>
    </w:p>
    <w:p w:rsidR="00403A90" w:rsidRPr="002639E6" w:rsidRDefault="00403A90" w:rsidP="00403A90">
      <w:pPr>
        <w:spacing w:line="240" w:lineRule="auto"/>
        <w:ind w:left="567" w:right="616"/>
        <w:rPr>
          <w:i/>
          <w:sz w:val="22"/>
          <w:lang w:val="es-MX"/>
        </w:rPr>
      </w:pPr>
      <w:r w:rsidRPr="002639E6">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403A90" w:rsidRPr="002639E6" w:rsidRDefault="00403A90" w:rsidP="00403A90">
      <w:pPr>
        <w:spacing w:line="240" w:lineRule="auto"/>
        <w:ind w:left="567" w:right="616"/>
        <w:rPr>
          <w:i/>
          <w:sz w:val="22"/>
          <w:lang w:val="es-MX"/>
        </w:rPr>
      </w:pPr>
      <w:r w:rsidRPr="002639E6">
        <w:rPr>
          <w:i/>
          <w:sz w:val="22"/>
          <w:lang w:val="es-MX"/>
        </w:rPr>
        <w:t>Los documentos contenidos en los archivos históricos y los identificados como históricos confidenciales no serán susceptibles de clasificación como reservados.</w:t>
      </w:r>
    </w:p>
    <w:p w:rsidR="00403A90" w:rsidRPr="002639E6" w:rsidRDefault="00403A90" w:rsidP="00403A90">
      <w:pPr>
        <w:spacing w:line="240" w:lineRule="auto"/>
        <w:ind w:left="567" w:right="616"/>
        <w:rPr>
          <w:b/>
          <w:i/>
          <w:sz w:val="22"/>
          <w:lang w:val="es-MX"/>
        </w:rPr>
      </w:pPr>
    </w:p>
    <w:p w:rsidR="00403A90" w:rsidRPr="002639E6" w:rsidRDefault="00403A90" w:rsidP="00403A90">
      <w:pPr>
        <w:spacing w:line="240" w:lineRule="auto"/>
        <w:ind w:left="567" w:right="616"/>
        <w:rPr>
          <w:i/>
          <w:sz w:val="22"/>
          <w:lang w:val="es-MX"/>
        </w:rPr>
      </w:pPr>
      <w:r w:rsidRPr="002639E6">
        <w:rPr>
          <w:b/>
          <w:i/>
          <w:sz w:val="22"/>
          <w:lang w:val="es-MX"/>
        </w:rPr>
        <w:t>Noveno.</w:t>
      </w:r>
      <w:r w:rsidRPr="002639E6">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03A90" w:rsidRPr="002639E6" w:rsidRDefault="00403A90" w:rsidP="00403A90">
      <w:pPr>
        <w:spacing w:line="240" w:lineRule="auto"/>
        <w:ind w:left="567" w:right="616"/>
        <w:rPr>
          <w:b/>
          <w:i/>
          <w:sz w:val="22"/>
          <w:lang w:val="es-MX"/>
        </w:rPr>
      </w:pPr>
    </w:p>
    <w:p w:rsidR="00403A90" w:rsidRPr="002639E6" w:rsidRDefault="00403A90" w:rsidP="00403A90">
      <w:pPr>
        <w:spacing w:line="240" w:lineRule="auto"/>
        <w:ind w:left="567" w:right="616"/>
        <w:rPr>
          <w:i/>
          <w:sz w:val="22"/>
          <w:lang w:val="es-MX"/>
        </w:rPr>
      </w:pPr>
      <w:r w:rsidRPr="002639E6">
        <w:rPr>
          <w:b/>
          <w:i/>
          <w:sz w:val="22"/>
          <w:lang w:val="es-MX"/>
        </w:rPr>
        <w:t>Décimo.</w:t>
      </w:r>
      <w:r w:rsidRPr="002639E6">
        <w:rPr>
          <w:i/>
          <w:sz w:val="22"/>
          <w:lang w:val="es-MX"/>
        </w:rPr>
        <w:t xml:space="preserve"> Los titulares de las áreas, deberán tener conocimiento y llevar un registro del personal que, por la naturaleza de sus atribuciones, tenga acceso a los documentos clasificados. </w:t>
      </w:r>
      <w:r w:rsidRPr="002639E6">
        <w:rPr>
          <w:i/>
          <w:sz w:val="22"/>
          <w:lang w:val="es-MX"/>
        </w:rPr>
        <w:lastRenderedPageBreak/>
        <w:t>Asimismo, deberán asegurarse de que dicho personal cuente con los conocimientos técnicos y legales que le permitan manejar adecuadamente la información clasificada, en los términos de los Lineamientos para la Organización y Conservación de Archivos.</w:t>
      </w:r>
    </w:p>
    <w:p w:rsidR="00403A90" w:rsidRPr="002639E6" w:rsidRDefault="00403A90" w:rsidP="00403A90">
      <w:pPr>
        <w:spacing w:line="240" w:lineRule="auto"/>
        <w:ind w:left="567" w:right="616"/>
        <w:rPr>
          <w:i/>
          <w:sz w:val="22"/>
          <w:lang w:val="es-MX"/>
        </w:rPr>
      </w:pPr>
    </w:p>
    <w:p w:rsidR="00403A90" w:rsidRPr="002639E6" w:rsidRDefault="00403A90" w:rsidP="00403A90">
      <w:pPr>
        <w:spacing w:line="240" w:lineRule="auto"/>
        <w:ind w:left="567" w:right="616"/>
        <w:rPr>
          <w:i/>
          <w:sz w:val="22"/>
          <w:lang w:val="es-MX"/>
        </w:rPr>
      </w:pPr>
      <w:r w:rsidRPr="002639E6">
        <w:rPr>
          <w:i/>
          <w:sz w:val="22"/>
          <w:lang w:val="es-MX"/>
        </w:rPr>
        <w:t>En ausencia de los titulares de las áreas, la información será clasificada o desclasificada por la persona que lo supla, en términos de la normativa que rija la actuación del sujeto obligado.</w:t>
      </w:r>
    </w:p>
    <w:p w:rsidR="00403A90" w:rsidRPr="002639E6" w:rsidRDefault="00403A90" w:rsidP="00403A90">
      <w:pPr>
        <w:spacing w:line="240" w:lineRule="auto"/>
        <w:ind w:left="567" w:right="616"/>
        <w:rPr>
          <w:b/>
          <w:i/>
          <w:sz w:val="22"/>
          <w:lang w:val="es-MX"/>
        </w:rPr>
      </w:pPr>
    </w:p>
    <w:p w:rsidR="00403A90" w:rsidRPr="002639E6" w:rsidRDefault="00403A90" w:rsidP="00403A90">
      <w:pPr>
        <w:spacing w:line="240" w:lineRule="auto"/>
        <w:ind w:left="567" w:right="616"/>
        <w:rPr>
          <w:b/>
          <w:sz w:val="22"/>
          <w:lang w:val="es-MX"/>
        </w:rPr>
      </w:pPr>
      <w:r w:rsidRPr="002639E6">
        <w:rPr>
          <w:b/>
          <w:i/>
          <w:sz w:val="22"/>
          <w:lang w:val="es-MX"/>
        </w:rPr>
        <w:t>Décimo primero.</w:t>
      </w:r>
      <w:r w:rsidRPr="002639E6">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403A90" w:rsidRPr="002639E6" w:rsidRDefault="00403A90" w:rsidP="00403A90">
      <w:pPr>
        <w:rPr>
          <w:rFonts w:cs="Arial"/>
          <w:i/>
          <w:szCs w:val="24"/>
          <w:lang w:val="es-MX"/>
        </w:rPr>
      </w:pPr>
    </w:p>
    <w:p w:rsidR="00403A90" w:rsidRPr="002639E6" w:rsidRDefault="00403A90" w:rsidP="00403A90">
      <w:pPr>
        <w:rPr>
          <w:szCs w:val="24"/>
          <w:lang w:val="es-MX"/>
        </w:rPr>
      </w:pPr>
      <w:r w:rsidRPr="002639E6">
        <w:rPr>
          <w:szCs w:val="24"/>
          <w:lang w:val="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403A90" w:rsidRPr="002639E6" w:rsidRDefault="00403A90" w:rsidP="00403A90">
      <w:pPr>
        <w:jc w:val="left"/>
        <w:rPr>
          <w:szCs w:val="24"/>
          <w:lang w:val="es-MX"/>
        </w:rPr>
      </w:pPr>
    </w:p>
    <w:p w:rsidR="00403A90" w:rsidRPr="002639E6" w:rsidRDefault="00403A90" w:rsidP="00403A90">
      <w:pPr>
        <w:rPr>
          <w:szCs w:val="24"/>
          <w:lang w:val="es-MX"/>
        </w:rPr>
      </w:pPr>
      <w:r w:rsidRPr="002639E6">
        <w:rPr>
          <w:szCs w:val="24"/>
          <w:lang w:val="es-MX"/>
        </w:rPr>
        <w:t>Por tanto, la fundamentación y motivación consiste en la obligación que tiene todo ente público de expresar los preceptos jurídicos aplicables al asunto motivo del acto y las razones o argumentos de su actuar.</w:t>
      </w:r>
    </w:p>
    <w:p w:rsidR="00403A90" w:rsidRPr="002639E6" w:rsidRDefault="00403A90" w:rsidP="00403A90">
      <w:pPr>
        <w:jc w:val="left"/>
        <w:rPr>
          <w:szCs w:val="24"/>
          <w:lang w:val="es-MX"/>
        </w:rPr>
      </w:pPr>
    </w:p>
    <w:p w:rsidR="00403A90" w:rsidRPr="002639E6" w:rsidRDefault="00403A90" w:rsidP="00403A90">
      <w:pPr>
        <w:rPr>
          <w:szCs w:val="24"/>
          <w:lang w:val="es-MX"/>
        </w:rPr>
      </w:pPr>
      <w:r w:rsidRPr="002639E6">
        <w:rPr>
          <w:szCs w:val="24"/>
          <w:lang w:val="es-MX"/>
        </w:rPr>
        <w:lastRenderedPageBreak/>
        <w:t>Al respecto, el máximo tribunal del país ha establecido jurisprudencia respecto a qué debe entenderse por fundamentación y motivación, en los siguientes términos:</w:t>
      </w:r>
    </w:p>
    <w:p w:rsidR="00403A90" w:rsidRPr="002639E6" w:rsidRDefault="00403A90" w:rsidP="00403A90">
      <w:pPr>
        <w:jc w:val="left"/>
        <w:rPr>
          <w:szCs w:val="24"/>
          <w:lang w:val="es-MX"/>
        </w:rPr>
      </w:pPr>
    </w:p>
    <w:p w:rsidR="00403A90" w:rsidRPr="002639E6" w:rsidRDefault="00403A90" w:rsidP="00403A90">
      <w:pPr>
        <w:spacing w:line="240" w:lineRule="auto"/>
        <w:ind w:left="567" w:right="616"/>
        <w:rPr>
          <w:b/>
          <w:i/>
          <w:sz w:val="22"/>
          <w:lang w:val="es-MX"/>
        </w:rPr>
      </w:pPr>
      <w:r w:rsidRPr="002639E6">
        <w:rPr>
          <w:b/>
          <w:i/>
          <w:sz w:val="22"/>
          <w:lang w:val="es-MX"/>
        </w:rPr>
        <w:t xml:space="preserve">FUNDAMENTACIÓN Y MOTIVACIÓN. </w:t>
      </w:r>
    </w:p>
    <w:p w:rsidR="00403A90" w:rsidRPr="002639E6" w:rsidRDefault="00403A90" w:rsidP="00403A90">
      <w:pPr>
        <w:spacing w:line="240" w:lineRule="auto"/>
        <w:ind w:left="567" w:right="616"/>
        <w:rPr>
          <w:i/>
          <w:sz w:val="22"/>
          <w:lang w:val="es-MX"/>
        </w:rPr>
      </w:pPr>
      <w:r w:rsidRPr="002639E6">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403A90" w:rsidRPr="002639E6" w:rsidRDefault="00403A90" w:rsidP="00403A90">
      <w:pPr>
        <w:jc w:val="left"/>
        <w:rPr>
          <w:szCs w:val="24"/>
          <w:lang w:val="es-MX"/>
        </w:rPr>
      </w:pPr>
    </w:p>
    <w:p w:rsidR="00403A90" w:rsidRPr="002639E6" w:rsidRDefault="00403A90" w:rsidP="00403A90">
      <w:pPr>
        <w:rPr>
          <w:szCs w:val="24"/>
          <w:lang w:val="es-MX"/>
        </w:rPr>
      </w:pPr>
      <w:r w:rsidRPr="002639E6">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03A90" w:rsidRPr="002639E6" w:rsidRDefault="00403A90" w:rsidP="00403A90">
      <w:pPr>
        <w:rPr>
          <w:szCs w:val="24"/>
          <w:lang w:val="es-MX"/>
        </w:rPr>
      </w:pPr>
    </w:p>
    <w:p w:rsidR="00403A90" w:rsidRPr="002639E6" w:rsidRDefault="00403A90" w:rsidP="00403A90">
      <w:pPr>
        <w:rPr>
          <w:szCs w:val="24"/>
          <w:lang w:val="es-MX"/>
        </w:rPr>
      </w:pPr>
      <w:r w:rsidRPr="002639E6">
        <w:rPr>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403A90" w:rsidRPr="002639E6" w:rsidRDefault="00403A90" w:rsidP="00403A90">
      <w:pPr>
        <w:jc w:val="left"/>
        <w:rPr>
          <w:szCs w:val="24"/>
          <w:lang w:val="es-MX"/>
        </w:rPr>
      </w:pPr>
    </w:p>
    <w:p w:rsidR="00403A90" w:rsidRPr="002639E6" w:rsidRDefault="00403A90" w:rsidP="00403A90">
      <w:pPr>
        <w:spacing w:line="240" w:lineRule="auto"/>
        <w:ind w:left="567" w:right="616"/>
        <w:rPr>
          <w:i/>
          <w:sz w:val="22"/>
          <w:lang w:val="es-MX"/>
        </w:rPr>
      </w:pPr>
      <w:r w:rsidRPr="002639E6">
        <w:rPr>
          <w:b/>
          <w:i/>
          <w:sz w:val="22"/>
          <w:lang w:val="es-MX"/>
        </w:rPr>
        <w:t>FUNDAMENTACIÓN Y MOTIVACIÓN. EL ASPECTO FORMAL DE LA GARANTÍA Y SU FINALIDAD SE TRADUCEN EN EXPLICAR, JUSTIFICAR, POSIBILITAR LA DEFENSA Y COMUNICAR LA DECISIÓN</w:t>
      </w:r>
      <w:r w:rsidRPr="002639E6">
        <w:rPr>
          <w:i/>
          <w:sz w:val="22"/>
          <w:lang w:val="es-MX"/>
        </w:rPr>
        <w:t xml:space="preserve">. </w:t>
      </w:r>
    </w:p>
    <w:p w:rsidR="00403A90" w:rsidRPr="002639E6" w:rsidRDefault="00403A90" w:rsidP="00403A90">
      <w:pPr>
        <w:spacing w:line="240" w:lineRule="auto"/>
        <w:ind w:left="567" w:right="616"/>
        <w:rPr>
          <w:i/>
          <w:sz w:val="22"/>
          <w:lang w:val="es-MX"/>
        </w:rPr>
      </w:pPr>
      <w:r w:rsidRPr="002639E6">
        <w:rPr>
          <w:i/>
          <w:sz w:val="22"/>
          <w:lang w:val="es-MX"/>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w:t>
      </w:r>
      <w:r w:rsidRPr="002639E6">
        <w:rPr>
          <w:i/>
          <w:sz w:val="22"/>
          <w:lang w:val="es-MX"/>
        </w:rPr>
        <w:lastRenderedPageBreak/>
        <w:t>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403A90" w:rsidRPr="002639E6" w:rsidRDefault="00403A90" w:rsidP="00403A90">
      <w:pPr>
        <w:rPr>
          <w:szCs w:val="24"/>
          <w:lang w:val="es-MX"/>
        </w:rPr>
      </w:pPr>
    </w:p>
    <w:p w:rsidR="00403A90" w:rsidRPr="002639E6" w:rsidRDefault="00403A90" w:rsidP="00403A90">
      <w:pPr>
        <w:rPr>
          <w:szCs w:val="24"/>
          <w:lang w:val="es-MX"/>
        </w:rPr>
      </w:pPr>
      <w:r w:rsidRPr="002639E6">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403A90" w:rsidRPr="002639E6" w:rsidRDefault="00403A90" w:rsidP="00403A90">
      <w:pPr>
        <w:rPr>
          <w:szCs w:val="24"/>
          <w:lang w:val="es-MX"/>
        </w:rPr>
      </w:pPr>
    </w:p>
    <w:p w:rsidR="00403A90" w:rsidRPr="002639E6" w:rsidRDefault="00403A90" w:rsidP="00403A90">
      <w:pPr>
        <w:rPr>
          <w:szCs w:val="24"/>
          <w:lang w:val="es-MX"/>
        </w:rPr>
      </w:pPr>
      <w:r w:rsidRPr="002639E6">
        <w:rPr>
          <w:szCs w:val="24"/>
          <w:lang w:val="es-MX"/>
        </w:rPr>
        <w:t>Por lo tanto, la entrega de documentos en su versión pública debe acompañarse necesariamente del Acuerdo del Comité de Transparencia del Sujeto Obligado</w:t>
      </w:r>
      <w:r w:rsidRPr="002639E6">
        <w:rPr>
          <w:b/>
          <w:szCs w:val="24"/>
          <w:lang w:val="es-MX"/>
        </w:rPr>
        <w:t xml:space="preserve"> </w:t>
      </w:r>
      <w:r w:rsidRPr="002639E6">
        <w:rPr>
          <w:szCs w:val="24"/>
          <w:lang w:val="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403A90" w:rsidRDefault="00403A90" w:rsidP="00403A90">
      <w:pPr>
        <w:rPr>
          <w:rFonts w:eastAsia="Palatino Linotype" w:cs="Palatino Linotype"/>
          <w:szCs w:val="24"/>
        </w:rPr>
      </w:pPr>
    </w:p>
    <w:p w:rsidR="00403A90" w:rsidRPr="006F2304" w:rsidRDefault="00403A90" w:rsidP="00403A90">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w:t>
      </w:r>
      <w:r w:rsidRPr="006F2304">
        <w:rPr>
          <w:rFonts w:eastAsia="Palatino Linotype" w:cs="Palatino Linotype"/>
          <w:color w:val="000000"/>
          <w:szCs w:val="24"/>
        </w:rPr>
        <w:lastRenderedPageBreak/>
        <w:t xml:space="preserve">que es materia de esta resolución; por ello </w:t>
      </w:r>
      <w:r w:rsidRPr="006F2304">
        <w:rPr>
          <w:rFonts w:eastAsia="Palatino Linotype" w:cs="Palatino Linotype"/>
          <w:b/>
          <w:color w:val="000000"/>
          <w:szCs w:val="24"/>
        </w:rPr>
        <w:t xml:space="preserve">con fundamento en la </w:t>
      </w:r>
      <w:r>
        <w:rPr>
          <w:rFonts w:eastAsia="Palatino Linotype" w:cs="Palatino Linotype"/>
          <w:b/>
          <w:color w:val="000000"/>
          <w:szCs w:val="24"/>
        </w:rPr>
        <w:t>segunda</w:t>
      </w:r>
      <w:r w:rsidRPr="006F2304">
        <w:rPr>
          <w:rFonts w:eastAsia="Palatino Linotype" w:cs="Palatino Linotype"/>
          <w:b/>
          <w:color w:val="000000"/>
          <w:szCs w:val="24"/>
        </w:rPr>
        <w:t xml:space="preserve"> hipótesis de la fracción III del artículo 186 </w:t>
      </w:r>
      <w:r w:rsidRPr="006F2304">
        <w:rPr>
          <w:rFonts w:eastAsia="Palatino Linotype" w:cs="Palatino Linotype"/>
          <w:color w:val="000000"/>
          <w:szCs w:val="24"/>
        </w:rPr>
        <w:t xml:space="preserve">de la Ley de Transparencia y Acceso a la Información Pública del Estado de México y Municipios, se </w:t>
      </w:r>
      <w:r>
        <w:rPr>
          <w:rFonts w:eastAsia="Palatino Linotype" w:cs="Palatino Linotype"/>
          <w:b/>
          <w:color w:val="000000"/>
          <w:szCs w:val="24"/>
        </w:rPr>
        <w:t>MODIFI</w:t>
      </w:r>
      <w:r w:rsidRPr="006F2304">
        <w:rPr>
          <w:rFonts w:eastAsia="Palatino Linotype" w:cs="Palatino Linotype"/>
          <w:b/>
          <w:color w:val="000000"/>
          <w:szCs w:val="24"/>
        </w:rPr>
        <w:t xml:space="preserve">CA </w:t>
      </w:r>
      <w:r w:rsidRPr="006F2304">
        <w:rPr>
          <w:rFonts w:eastAsia="Palatino Linotype" w:cs="Palatino Linotype"/>
          <w:color w:val="000000"/>
          <w:szCs w:val="24"/>
        </w:rPr>
        <w:t>la respuesta a la solicitud de información número</w:t>
      </w:r>
      <w:r w:rsidRPr="006F2304">
        <w:rPr>
          <w:rFonts w:eastAsia="Palatino Linotype" w:cs="Palatino Linotype"/>
          <w:b/>
          <w:color w:val="000000"/>
          <w:szCs w:val="24"/>
        </w:rPr>
        <w:t xml:space="preserve"> </w:t>
      </w:r>
      <w:r>
        <w:rPr>
          <w:rFonts w:eastAsia="Palatino Linotype" w:cs="Palatino Linotype"/>
          <w:b/>
          <w:bCs/>
          <w:color w:val="000000"/>
          <w:szCs w:val="24"/>
        </w:rPr>
        <w:t>00076/TIMILPAN/IP/2022</w:t>
      </w:r>
      <w:r w:rsidRPr="006F2304">
        <w:rPr>
          <w:rFonts w:eastAsia="Palatino Linotype" w:cs="Palatino Linotype"/>
          <w:color w:val="000000"/>
          <w:szCs w:val="24"/>
        </w:rPr>
        <w:t>, que ha sido materia del presente estudio.</w:t>
      </w:r>
    </w:p>
    <w:p w:rsidR="00403A90" w:rsidRPr="006F2304" w:rsidRDefault="00403A90" w:rsidP="00403A90">
      <w:pPr>
        <w:pBdr>
          <w:top w:val="nil"/>
          <w:left w:val="nil"/>
          <w:bottom w:val="nil"/>
          <w:right w:val="nil"/>
          <w:between w:val="nil"/>
        </w:pBdr>
        <w:rPr>
          <w:rFonts w:eastAsia="Palatino Linotype" w:cs="Palatino Linotype"/>
          <w:color w:val="000000"/>
          <w:szCs w:val="24"/>
        </w:rPr>
      </w:pPr>
    </w:p>
    <w:p w:rsidR="00403A90" w:rsidRPr="006F2304" w:rsidRDefault="00403A90" w:rsidP="00403A90">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rsidR="00403A90" w:rsidRPr="006F2304" w:rsidRDefault="00403A90" w:rsidP="00403A90">
      <w:pPr>
        <w:pBdr>
          <w:top w:val="nil"/>
          <w:left w:val="nil"/>
          <w:bottom w:val="nil"/>
          <w:right w:val="nil"/>
          <w:between w:val="nil"/>
        </w:pBdr>
        <w:rPr>
          <w:rFonts w:eastAsia="Palatino Linotype" w:cs="Palatino Linotype"/>
          <w:color w:val="000000"/>
          <w:szCs w:val="24"/>
        </w:rPr>
      </w:pPr>
    </w:p>
    <w:p w:rsidR="00403A90" w:rsidRPr="006F2304" w:rsidRDefault="00403A90" w:rsidP="00403A90">
      <w:pPr>
        <w:pBdr>
          <w:top w:val="nil"/>
          <w:left w:val="nil"/>
          <w:bottom w:val="nil"/>
          <w:right w:val="nil"/>
          <w:between w:val="nil"/>
        </w:pBdr>
        <w:jc w:val="center"/>
        <w:rPr>
          <w:rFonts w:eastAsia="Palatino Linotype" w:cs="Palatino Linotype"/>
          <w:b/>
          <w:color w:val="000000"/>
          <w:sz w:val="28"/>
          <w:szCs w:val="28"/>
        </w:rPr>
      </w:pPr>
      <w:r w:rsidRPr="006F2304">
        <w:rPr>
          <w:rFonts w:eastAsia="Palatino Linotype" w:cs="Palatino Linotype"/>
          <w:b/>
          <w:color w:val="000000"/>
          <w:sz w:val="28"/>
          <w:szCs w:val="28"/>
        </w:rPr>
        <w:t>S E    R E S U E L V E</w:t>
      </w:r>
    </w:p>
    <w:p w:rsidR="00403A90" w:rsidRPr="00982EC2" w:rsidRDefault="00403A90" w:rsidP="00403A90">
      <w:pPr>
        <w:pBdr>
          <w:top w:val="nil"/>
          <w:left w:val="nil"/>
          <w:bottom w:val="nil"/>
          <w:right w:val="nil"/>
          <w:between w:val="nil"/>
        </w:pBdr>
        <w:rPr>
          <w:rFonts w:eastAsia="Palatino Linotype" w:cs="Palatino Linotype"/>
          <w:color w:val="000000"/>
          <w:szCs w:val="24"/>
        </w:rPr>
      </w:pPr>
    </w:p>
    <w:p w:rsidR="00403A90" w:rsidRPr="00982EC2" w:rsidRDefault="00403A90" w:rsidP="00403A90">
      <w:pPr>
        <w:pBdr>
          <w:top w:val="nil"/>
          <w:left w:val="nil"/>
          <w:bottom w:val="nil"/>
          <w:right w:val="nil"/>
          <w:between w:val="nil"/>
        </w:pBdr>
        <w:rPr>
          <w:rFonts w:eastAsia="Palatino Linotype" w:cs="Palatino Linotype"/>
          <w:color w:val="000000"/>
          <w:szCs w:val="24"/>
        </w:rPr>
      </w:pPr>
      <w:r w:rsidRPr="00982EC2">
        <w:rPr>
          <w:rFonts w:eastAsia="Palatino Linotype" w:cs="Palatino Linotype"/>
          <w:b/>
          <w:color w:val="000000"/>
          <w:szCs w:val="24"/>
        </w:rPr>
        <w:t>PRIMERO.</w:t>
      </w:r>
      <w:r w:rsidRPr="00982EC2">
        <w:rPr>
          <w:rFonts w:eastAsia="Palatino Linotype" w:cs="Palatino Linotype"/>
          <w:color w:val="000000"/>
          <w:szCs w:val="24"/>
        </w:rPr>
        <w:t xml:space="preserve"> Se </w:t>
      </w:r>
      <w:r w:rsidRPr="00982EC2">
        <w:rPr>
          <w:rFonts w:eastAsia="Palatino Linotype" w:cs="Palatino Linotype"/>
          <w:b/>
          <w:color w:val="000000"/>
          <w:szCs w:val="24"/>
        </w:rPr>
        <w:t>MODIFICA</w:t>
      </w:r>
      <w:r w:rsidRPr="00982EC2">
        <w:rPr>
          <w:rFonts w:eastAsia="Palatino Linotype" w:cs="Palatino Linotype"/>
          <w:color w:val="000000"/>
          <w:szCs w:val="24"/>
        </w:rPr>
        <w:t xml:space="preserve"> la respuesta entregada por el Sujeto Obligado</w:t>
      </w:r>
      <w:r w:rsidRPr="00982EC2">
        <w:rPr>
          <w:rFonts w:eastAsia="Palatino Linotype" w:cs="Palatino Linotype"/>
          <w:b/>
          <w:color w:val="000000"/>
          <w:szCs w:val="24"/>
        </w:rPr>
        <w:t xml:space="preserve"> </w:t>
      </w:r>
      <w:r w:rsidRPr="00982EC2">
        <w:rPr>
          <w:rFonts w:eastAsia="Palatino Linotype" w:cs="Palatino Linotype"/>
          <w:color w:val="000000"/>
          <w:szCs w:val="24"/>
        </w:rPr>
        <w:t xml:space="preserve">a la solicitud de información número </w:t>
      </w:r>
      <w:r>
        <w:rPr>
          <w:rFonts w:eastAsia="Palatino Linotype" w:cs="Palatino Linotype"/>
          <w:b/>
          <w:bCs/>
          <w:color w:val="000000"/>
          <w:szCs w:val="24"/>
        </w:rPr>
        <w:t>00076/TIMILPAN/IP/2022</w:t>
      </w:r>
      <w:r w:rsidRPr="00982EC2">
        <w:rPr>
          <w:rFonts w:eastAsia="Palatino Linotype" w:cs="Palatino Linotype"/>
          <w:color w:val="000000"/>
          <w:szCs w:val="24"/>
        </w:rPr>
        <w:t>, por resultar fundados los motivos de inconformidad argüidos por el Recurrente, en términos del</w:t>
      </w:r>
      <w:r w:rsidRPr="00982EC2">
        <w:rPr>
          <w:rFonts w:eastAsia="Palatino Linotype" w:cs="Palatino Linotype"/>
          <w:b/>
          <w:color w:val="000000"/>
          <w:szCs w:val="24"/>
        </w:rPr>
        <w:t xml:space="preserve"> Considerando </w:t>
      </w:r>
      <w:r w:rsidR="001E3720">
        <w:rPr>
          <w:rFonts w:eastAsia="Palatino Linotype" w:cs="Palatino Linotype"/>
          <w:b/>
          <w:color w:val="000000"/>
          <w:szCs w:val="24"/>
        </w:rPr>
        <w:t>CUARTO</w:t>
      </w:r>
      <w:r w:rsidRPr="00982EC2">
        <w:rPr>
          <w:rFonts w:eastAsia="Palatino Linotype" w:cs="Palatino Linotype"/>
          <w:b/>
          <w:color w:val="000000"/>
          <w:szCs w:val="24"/>
        </w:rPr>
        <w:t xml:space="preserve"> </w:t>
      </w:r>
      <w:r w:rsidRPr="00982EC2">
        <w:rPr>
          <w:rFonts w:eastAsia="Palatino Linotype" w:cs="Palatino Linotype"/>
          <w:color w:val="000000"/>
          <w:szCs w:val="24"/>
        </w:rPr>
        <w:t xml:space="preserve">de la presente resolución. </w:t>
      </w:r>
    </w:p>
    <w:p w:rsidR="00403A90" w:rsidRPr="00982EC2" w:rsidRDefault="00403A90" w:rsidP="00403A90">
      <w:pPr>
        <w:pBdr>
          <w:top w:val="nil"/>
          <w:left w:val="nil"/>
          <w:bottom w:val="nil"/>
          <w:right w:val="nil"/>
          <w:between w:val="nil"/>
        </w:pBdr>
        <w:rPr>
          <w:rFonts w:eastAsia="Palatino Linotype" w:cs="Palatino Linotype"/>
          <w:color w:val="000000"/>
          <w:szCs w:val="24"/>
        </w:rPr>
      </w:pPr>
    </w:p>
    <w:p w:rsidR="00403A90" w:rsidRPr="00982EC2" w:rsidRDefault="00403A90" w:rsidP="00403A90">
      <w:pPr>
        <w:pBdr>
          <w:top w:val="nil"/>
          <w:left w:val="nil"/>
          <w:bottom w:val="nil"/>
          <w:right w:val="nil"/>
          <w:between w:val="nil"/>
        </w:pBdr>
        <w:rPr>
          <w:rFonts w:eastAsia="Palatino Linotype" w:cs="Palatino Linotype"/>
          <w:color w:val="000000"/>
          <w:szCs w:val="24"/>
        </w:rPr>
      </w:pPr>
      <w:r w:rsidRPr="00982EC2">
        <w:rPr>
          <w:rFonts w:eastAsia="Palatino Linotype" w:cs="Palatino Linotype"/>
          <w:b/>
          <w:color w:val="000000"/>
          <w:szCs w:val="24"/>
        </w:rPr>
        <w:t>SEGUNDO.</w:t>
      </w:r>
      <w:r w:rsidRPr="00982EC2">
        <w:rPr>
          <w:rFonts w:eastAsia="Palatino Linotype" w:cs="Palatino Linotype"/>
          <w:color w:val="000000"/>
          <w:szCs w:val="24"/>
        </w:rPr>
        <w:t xml:space="preserve"> Se </w:t>
      </w:r>
      <w:r w:rsidRPr="00982EC2">
        <w:rPr>
          <w:rFonts w:eastAsia="Palatino Linotype" w:cs="Palatino Linotype"/>
          <w:b/>
          <w:color w:val="000000"/>
          <w:szCs w:val="24"/>
        </w:rPr>
        <w:t>ORDENA</w:t>
      </w:r>
      <w:r w:rsidRPr="00982EC2">
        <w:rPr>
          <w:rFonts w:eastAsia="Palatino Linotype" w:cs="Palatino Linotype"/>
          <w:color w:val="000000"/>
          <w:szCs w:val="24"/>
        </w:rPr>
        <w:t xml:space="preserve"> al Sujeto Obligado que haga entrega al Recurrente mediante el Sistema de Acceso a la Información Mexiquense (SAIMEX), en</w:t>
      </w:r>
      <w:r>
        <w:rPr>
          <w:rFonts w:eastAsia="Palatino Linotype" w:cs="Palatino Linotype"/>
          <w:color w:val="000000"/>
          <w:szCs w:val="24"/>
        </w:rPr>
        <w:t xml:space="preserve"> </w:t>
      </w:r>
      <w:r w:rsidR="001E3720">
        <w:rPr>
          <w:rFonts w:eastAsia="Palatino Linotype" w:cs="Palatino Linotype"/>
          <w:color w:val="000000"/>
          <w:szCs w:val="24"/>
        </w:rPr>
        <w:t xml:space="preserve"> </w:t>
      </w:r>
      <w:r w:rsidRPr="00982EC2">
        <w:rPr>
          <w:rFonts w:eastAsia="Palatino Linotype" w:cs="Palatino Linotype"/>
          <w:color w:val="000000"/>
          <w:szCs w:val="24"/>
        </w:rPr>
        <w:t xml:space="preserve">versión pública y en términos del </w:t>
      </w:r>
      <w:r w:rsidRPr="00982EC2">
        <w:rPr>
          <w:rFonts w:eastAsia="Palatino Linotype" w:cs="Palatino Linotype"/>
          <w:b/>
          <w:color w:val="000000"/>
          <w:szCs w:val="24"/>
        </w:rPr>
        <w:t xml:space="preserve">Considerando </w:t>
      </w:r>
      <w:r w:rsidR="001E3720">
        <w:rPr>
          <w:rFonts w:eastAsia="Palatino Linotype" w:cs="Palatino Linotype"/>
          <w:b/>
          <w:color w:val="000000"/>
          <w:szCs w:val="24"/>
        </w:rPr>
        <w:t>CUARTO</w:t>
      </w:r>
      <w:r w:rsidRPr="00982EC2">
        <w:rPr>
          <w:rFonts w:eastAsia="Palatino Linotype" w:cs="Palatino Linotype"/>
          <w:color w:val="000000"/>
          <w:szCs w:val="24"/>
        </w:rPr>
        <w:t xml:space="preserve">, de lo siguiente: </w:t>
      </w:r>
    </w:p>
    <w:p w:rsidR="00403A90" w:rsidRPr="00982EC2" w:rsidRDefault="00403A90" w:rsidP="00403A90">
      <w:pPr>
        <w:pBdr>
          <w:top w:val="nil"/>
          <w:left w:val="nil"/>
          <w:bottom w:val="nil"/>
          <w:right w:val="nil"/>
          <w:between w:val="nil"/>
        </w:pBdr>
        <w:rPr>
          <w:rFonts w:eastAsia="Palatino Linotype" w:cs="Palatino Linotype"/>
          <w:color w:val="000000"/>
          <w:szCs w:val="24"/>
        </w:rPr>
      </w:pPr>
    </w:p>
    <w:p w:rsidR="00403A90" w:rsidRPr="001E3720" w:rsidRDefault="001E3720" w:rsidP="001E3720">
      <w:pPr>
        <w:numPr>
          <w:ilvl w:val="0"/>
          <w:numId w:val="1"/>
        </w:num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R</w:t>
      </w:r>
      <w:r w:rsidRPr="001E3720">
        <w:rPr>
          <w:rFonts w:eastAsia="Palatino Linotype" w:cs="Palatino Linotype"/>
          <w:color w:val="000000"/>
          <w:szCs w:val="24"/>
        </w:rPr>
        <w:t>ecibos de nómina o comprobantes fiscales digitales por concepto de nómina (CFDI) del servidor público referido en la solicitud, de la segunda quincena de octubre y de la primera quincena de</w:t>
      </w:r>
      <w:r>
        <w:rPr>
          <w:rFonts w:eastAsia="Palatino Linotype" w:cs="Palatino Linotype"/>
          <w:color w:val="000000"/>
          <w:szCs w:val="24"/>
        </w:rPr>
        <w:t xml:space="preserve"> noviembre de dos mil veintidós.</w:t>
      </w:r>
    </w:p>
    <w:p w:rsidR="00403A90" w:rsidRPr="00982EC2" w:rsidRDefault="00403A90" w:rsidP="00403A90">
      <w:pPr>
        <w:pBdr>
          <w:top w:val="nil"/>
          <w:left w:val="nil"/>
          <w:bottom w:val="nil"/>
          <w:right w:val="nil"/>
          <w:between w:val="nil"/>
        </w:pBdr>
        <w:rPr>
          <w:rFonts w:eastAsia="Palatino Linotype" w:cs="Palatino Linotype"/>
          <w:color w:val="000000"/>
          <w:szCs w:val="24"/>
        </w:rPr>
      </w:pPr>
    </w:p>
    <w:p w:rsidR="00403A90" w:rsidRPr="001E3720" w:rsidRDefault="00403A90" w:rsidP="001E3720">
      <w:pPr>
        <w:pStyle w:val="CitasINFOEM"/>
        <w:spacing w:line="360" w:lineRule="auto"/>
        <w:rPr>
          <w:sz w:val="24"/>
        </w:rPr>
      </w:pPr>
      <w:r w:rsidRPr="001E3720">
        <w:rPr>
          <w:sz w:val="24"/>
        </w:rPr>
        <w:lastRenderedPageBreak/>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403A90" w:rsidRPr="001E3720" w:rsidRDefault="00403A90" w:rsidP="001E3720">
      <w:pPr>
        <w:pBdr>
          <w:top w:val="nil"/>
          <w:left w:val="nil"/>
          <w:bottom w:val="nil"/>
          <w:right w:val="nil"/>
          <w:between w:val="nil"/>
        </w:pBdr>
        <w:rPr>
          <w:rFonts w:eastAsia="Palatino Linotype" w:cs="Palatino Linotype"/>
          <w:color w:val="000000"/>
          <w:sz w:val="28"/>
          <w:szCs w:val="24"/>
        </w:rPr>
      </w:pPr>
    </w:p>
    <w:p w:rsidR="00403A90" w:rsidRPr="00982EC2" w:rsidRDefault="00403A90" w:rsidP="00403A90">
      <w:pPr>
        <w:pBdr>
          <w:top w:val="nil"/>
          <w:left w:val="nil"/>
          <w:bottom w:val="nil"/>
          <w:right w:val="nil"/>
          <w:between w:val="nil"/>
        </w:pBdr>
        <w:rPr>
          <w:rFonts w:eastAsia="Palatino Linotype" w:cs="Palatino Linotype"/>
          <w:color w:val="000000"/>
          <w:szCs w:val="24"/>
        </w:rPr>
      </w:pPr>
      <w:r w:rsidRPr="00982EC2">
        <w:rPr>
          <w:rFonts w:eastAsia="Palatino Linotype" w:cs="Palatino Linotype"/>
          <w:b/>
          <w:color w:val="000000"/>
          <w:szCs w:val="24"/>
        </w:rPr>
        <w:t>TERCERO. Notifíquese</w:t>
      </w:r>
      <w:r w:rsidRPr="00982EC2">
        <w:rPr>
          <w:rFonts w:eastAsia="Palatino Linotype" w:cs="Palatino Linotype"/>
          <w:b/>
          <w:i/>
          <w:color w:val="000000"/>
          <w:szCs w:val="24"/>
        </w:rPr>
        <w:t xml:space="preserve"> </w:t>
      </w:r>
      <w:r w:rsidRPr="00982EC2">
        <w:rPr>
          <w:rFonts w:eastAsia="Palatino Linotype" w:cs="Palatino Linotype"/>
          <w:color w:val="000000"/>
          <w:szCs w:val="24"/>
        </w:rPr>
        <w:t>al Titular de la Unidad de Transparencia del</w:t>
      </w:r>
      <w:r w:rsidRPr="00982EC2">
        <w:rPr>
          <w:rFonts w:eastAsia="Palatino Linotype" w:cs="Palatino Linotype"/>
          <w:b/>
          <w:color w:val="000000"/>
          <w:szCs w:val="24"/>
        </w:rPr>
        <w:t xml:space="preserve"> </w:t>
      </w:r>
      <w:r w:rsidRPr="00982EC2">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03A90" w:rsidRPr="00982EC2" w:rsidRDefault="00403A90" w:rsidP="00403A90">
      <w:pPr>
        <w:pBdr>
          <w:top w:val="nil"/>
          <w:left w:val="nil"/>
          <w:bottom w:val="nil"/>
          <w:right w:val="nil"/>
          <w:between w:val="nil"/>
        </w:pBdr>
        <w:rPr>
          <w:rFonts w:eastAsia="Palatino Linotype" w:cs="Palatino Linotype"/>
          <w:color w:val="000000"/>
          <w:szCs w:val="24"/>
        </w:rPr>
      </w:pPr>
    </w:p>
    <w:p w:rsidR="00403A90" w:rsidRPr="00982EC2" w:rsidRDefault="00403A90" w:rsidP="00403A90">
      <w:pPr>
        <w:pBdr>
          <w:top w:val="nil"/>
          <w:left w:val="nil"/>
          <w:bottom w:val="nil"/>
          <w:right w:val="nil"/>
          <w:between w:val="nil"/>
        </w:pBdr>
        <w:rPr>
          <w:rFonts w:eastAsia="Palatino Linotype" w:cs="Palatino Linotype"/>
          <w:color w:val="000000"/>
          <w:szCs w:val="24"/>
        </w:rPr>
      </w:pPr>
      <w:r w:rsidRPr="00982EC2">
        <w:rPr>
          <w:rFonts w:eastAsia="Palatino Linotype" w:cs="Palatino Linotype"/>
          <w:b/>
          <w:color w:val="000000"/>
          <w:szCs w:val="24"/>
        </w:rPr>
        <w:t xml:space="preserve">CUARTO. </w:t>
      </w:r>
      <w:r w:rsidRPr="00982EC2">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03A90" w:rsidRPr="00982EC2" w:rsidRDefault="00403A90" w:rsidP="00403A90">
      <w:pPr>
        <w:pBdr>
          <w:top w:val="nil"/>
          <w:left w:val="nil"/>
          <w:bottom w:val="nil"/>
          <w:right w:val="nil"/>
          <w:between w:val="nil"/>
        </w:pBdr>
        <w:rPr>
          <w:rFonts w:eastAsia="Palatino Linotype" w:cs="Palatino Linotype"/>
          <w:b/>
          <w:color w:val="000000"/>
          <w:szCs w:val="24"/>
        </w:rPr>
      </w:pPr>
    </w:p>
    <w:p w:rsidR="00403A90" w:rsidRPr="00982EC2" w:rsidRDefault="00403A90" w:rsidP="00403A90">
      <w:pPr>
        <w:pBdr>
          <w:top w:val="nil"/>
          <w:left w:val="nil"/>
          <w:bottom w:val="nil"/>
          <w:right w:val="nil"/>
          <w:between w:val="nil"/>
        </w:pBdr>
        <w:rPr>
          <w:rFonts w:eastAsia="Palatino Linotype" w:cs="Palatino Linotype"/>
          <w:color w:val="000000"/>
          <w:szCs w:val="24"/>
          <w:highlight w:val="white"/>
        </w:rPr>
      </w:pPr>
      <w:r w:rsidRPr="00982EC2">
        <w:rPr>
          <w:rFonts w:eastAsia="Palatino Linotype" w:cs="Palatino Linotype"/>
          <w:b/>
          <w:color w:val="000000"/>
          <w:szCs w:val="24"/>
        </w:rPr>
        <w:t xml:space="preserve">QUINTO. Notifíquese </w:t>
      </w:r>
      <w:r w:rsidRPr="00982EC2">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982EC2">
        <w:rPr>
          <w:rFonts w:eastAsia="Palatino Linotype" w:cs="Palatino Linotype"/>
          <w:color w:val="000000"/>
          <w:szCs w:val="24"/>
          <w:highlight w:val="white"/>
        </w:rPr>
        <w:t xml:space="preserve"> de conformidad con lo </w:t>
      </w:r>
      <w:r w:rsidRPr="00982EC2">
        <w:rPr>
          <w:rFonts w:eastAsia="Palatino Linotype" w:cs="Palatino Linotype"/>
          <w:color w:val="000000"/>
          <w:szCs w:val="24"/>
          <w:highlight w:val="white"/>
        </w:rPr>
        <w:lastRenderedPageBreak/>
        <w:t>establecido en el artículo 196 de la Ley de Transparencia y Acceso a la Información Pública del Estado de México y Municipios.</w:t>
      </w:r>
    </w:p>
    <w:p w:rsidR="00403A90" w:rsidRPr="00982EC2" w:rsidRDefault="00403A90" w:rsidP="00403A90">
      <w:pPr>
        <w:pBdr>
          <w:top w:val="nil"/>
          <w:left w:val="nil"/>
          <w:bottom w:val="nil"/>
          <w:right w:val="nil"/>
          <w:between w:val="nil"/>
        </w:pBdr>
        <w:contextualSpacing/>
        <w:rPr>
          <w:rFonts w:eastAsia="Palatino Linotype" w:cs="Palatino Linotype"/>
          <w:color w:val="000000"/>
          <w:szCs w:val="24"/>
        </w:rPr>
      </w:pPr>
    </w:p>
    <w:p w:rsidR="00403A90" w:rsidRDefault="00403A90" w:rsidP="00403A90">
      <w:pPr>
        <w:pBdr>
          <w:top w:val="nil"/>
          <w:left w:val="nil"/>
          <w:bottom w:val="nil"/>
          <w:right w:val="nil"/>
          <w:between w:val="nil"/>
        </w:pBdr>
        <w:contextualSpacing/>
        <w:rPr>
          <w:rFonts w:eastAsia="Palatino Linotype" w:cs="Palatino Linotype"/>
          <w:color w:val="000000" w:themeColor="text1"/>
          <w:szCs w:val="24"/>
        </w:rPr>
      </w:pPr>
      <w:r w:rsidRPr="009845B9">
        <w:rPr>
          <w:rFonts w:eastAsia="Palatino Linotype" w:cs="Palatino Linotype"/>
          <w:color w:val="000000" w:themeColor="text1"/>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625BE">
        <w:rPr>
          <w:rFonts w:eastAsia="Palatino Linotype" w:cs="Palatino Linotype"/>
          <w:color w:val="000000" w:themeColor="text1"/>
          <w:szCs w:val="24"/>
        </w:rPr>
        <w:t>NOVENA</w:t>
      </w:r>
      <w:r>
        <w:rPr>
          <w:rFonts w:eastAsia="Palatino Linotype" w:cs="Palatino Linotype"/>
          <w:color w:val="000000" w:themeColor="text1"/>
          <w:szCs w:val="24"/>
        </w:rPr>
        <w:t xml:space="preserve"> </w:t>
      </w:r>
      <w:r w:rsidRPr="009845B9">
        <w:rPr>
          <w:rFonts w:eastAsia="Palatino Linotype" w:cs="Palatino Linotype"/>
          <w:color w:val="000000" w:themeColor="text1"/>
          <w:szCs w:val="24"/>
        </w:rPr>
        <w:t>SESIÓN ORDINARIA CELEBRADA EL</w:t>
      </w:r>
      <w:r>
        <w:rPr>
          <w:rFonts w:eastAsia="Palatino Linotype" w:cs="Palatino Linotype"/>
          <w:color w:val="000000" w:themeColor="text1"/>
          <w:szCs w:val="24"/>
        </w:rPr>
        <w:t xml:space="preserve"> </w:t>
      </w:r>
      <w:r w:rsidR="001E3720">
        <w:rPr>
          <w:rFonts w:eastAsia="Palatino Linotype" w:cs="Palatino Linotype"/>
          <w:color w:val="000000" w:themeColor="text1"/>
          <w:szCs w:val="24"/>
        </w:rPr>
        <w:t>OCHO DE MARZO</w:t>
      </w:r>
      <w:r>
        <w:rPr>
          <w:rFonts w:eastAsia="Palatino Linotype" w:cs="Palatino Linotype"/>
          <w:color w:val="000000" w:themeColor="text1"/>
          <w:szCs w:val="24"/>
        </w:rPr>
        <w:t xml:space="preserve"> DE DOS MIL VEINTITRÉS</w:t>
      </w:r>
      <w:r w:rsidRPr="009845B9">
        <w:rPr>
          <w:rFonts w:eastAsia="Palatino Linotype" w:cs="Palatino Linotype"/>
          <w:color w:val="000000" w:themeColor="text1"/>
          <w:szCs w:val="24"/>
        </w:rPr>
        <w:t>, ANTE EL SECRETARIO TÉCNICO DEL PLENO, ALEXIS TAPIA RAMÍREZ.------------------------------------------------------------------------------------------------------</w:t>
      </w:r>
      <w:r>
        <w:rPr>
          <w:rFonts w:eastAsia="Palatino Linotype" w:cs="Palatino Linotype"/>
          <w:color w:val="000000" w:themeColor="text1"/>
          <w:szCs w:val="24"/>
        </w:rPr>
        <w:t>-------------------------------------------------------------------------------------------------------------------------------------------------------------------------------------------------------------------------------------------------------------------------------------------------------------------------------------------------------------------------------------------------------------------------------------------------------------------------------------------------------------------------------------------------------------------------------------------------------------------------------------------------------------------------------------------------------------------------------------------------------------------------</w:t>
      </w:r>
      <w:r w:rsidR="003C0B7A" w:rsidRPr="003C0B7A">
        <w:rPr>
          <w:rFonts w:cs="Arial"/>
        </w:rPr>
        <w:t xml:space="preserve"> </w:t>
      </w:r>
      <w:r w:rsidR="003C0B7A" w:rsidRPr="008A3397">
        <w:rPr>
          <w:rFonts w:cs="Arial"/>
        </w:rPr>
        <w:t>------------------------------------------------------------------------------------------------------------------------------------------------------------------------------------------------------------------------------------------------------------------------------------------------------------------------------------------------------------------------------------------------------------------------------------------------------------------------------------------------------------------------------------------------------------------------------------------</w:t>
      </w:r>
      <w:r w:rsidR="003C0B7A">
        <w:rPr>
          <w:rFonts w:cs="Arial"/>
        </w:rPr>
        <w:t>---------------</w:t>
      </w:r>
    </w:p>
    <w:p w:rsidR="00403A90" w:rsidRPr="001433DE" w:rsidRDefault="001E3720" w:rsidP="00403A90">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 w:val="20"/>
          <w:szCs w:val="20"/>
        </w:rPr>
        <w:t>JMV/CCR/LMST</w:t>
      </w:r>
    </w:p>
    <w:p w:rsidR="00403A90" w:rsidRPr="007657CF" w:rsidRDefault="00403A90" w:rsidP="00403A90">
      <w:pPr>
        <w:pBdr>
          <w:top w:val="nil"/>
          <w:left w:val="nil"/>
          <w:bottom w:val="nil"/>
          <w:right w:val="nil"/>
          <w:between w:val="nil"/>
        </w:pBdr>
        <w:contextualSpacing/>
        <w:rPr>
          <w:rFonts w:eastAsia="Palatino Linotype" w:cs="Palatino Linotype"/>
          <w:color w:val="000000"/>
          <w:sz w:val="20"/>
          <w:szCs w:val="20"/>
        </w:rPr>
      </w:pPr>
    </w:p>
    <w:p w:rsidR="00403A90" w:rsidRPr="007657CF" w:rsidRDefault="00403A90" w:rsidP="00403A90">
      <w:pPr>
        <w:pBdr>
          <w:top w:val="nil"/>
          <w:left w:val="nil"/>
          <w:bottom w:val="nil"/>
          <w:right w:val="nil"/>
          <w:between w:val="nil"/>
        </w:pBdr>
        <w:contextualSpacing/>
        <w:rPr>
          <w:rFonts w:eastAsia="Palatino Linotype" w:cs="Palatino Linotype"/>
          <w:color w:val="000000"/>
          <w:sz w:val="20"/>
          <w:szCs w:val="20"/>
        </w:rPr>
      </w:pPr>
    </w:p>
    <w:p w:rsidR="00403A90" w:rsidRPr="007657CF" w:rsidRDefault="00403A90" w:rsidP="00403A90">
      <w:pPr>
        <w:pBdr>
          <w:top w:val="nil"/>
          <w:left w:val="nil"/>
          <w:bottom w:val="nil"/>
          <w:right w:val="nil"/>
          <w:between w:val="nil"/>
        </w:pBdr>
        <w:contextualSpacing/>
        <w:rPr>
          <w:rFonts w:eastAsia="Palatino Linotype" w:cs="Palatino Linotype"/>
          <w:color w:val="000000"/>
          <w:sz w:val="20"/>
          <w:szCs w:val="20"/>
        </w:rPr>
      </w:pPr>
    </w:p>
    <w:p w:rsidR="00403A90" w:rsidRPr="007657CF" w:rsidRDefault="00403A90" w:rsidP="00403A90">
      <w:pPr>
        <w:pBdr>
          <w:top w:val="nil"/>
          <w:left w:val="nil"/>
          <w:bottom w:val="nil"/>
          <w:right w:val="nil"/>
          <w:between w:val="nil"/>
        </w:pBdr>
        <w:contextualSpacing/>
        <w:rPr>
          <w:rFonts w:eastAsia="Palatino Linotype" w:cs="Palatino Linotype"/>
          <w:color w:val="000000"/>
          <w:sz w:val="20"/>
          <w:szCs w:val="20"/>
        </w:rPr>
      </w:pPr>
    </w:p>
    <w:p w:rsidR="00403A90" w:rsidRPr="007657CF" w:rsidRDefault="00403A90" w:rsidP="00403A90">
      <w:pPr>
        <w:pBdr>
          <w:top w:val="nil"/>
          <w:left w:val="nil"/>
          <w:bottom w:val="nil"/>
          <w:right w:val="nil"/>
          <w:between w:val="nil"/>
        </w:pBdr>
        <w:contextualSpacing/>
        <w:rPr>
          <w:rFonts w:eastAsia="Palatino Linotype" w:cs="Palatino Linotype"/>
          <w:color w:val="000000"/>
          <w:sz w:val="20"/>
          <w:szCs w:val="20"/>
        </w:rPr>
      </w:pPr>
    </w:p>
    <w:p w:rsidR="00403A90" w:rsidRPr="007657CF" w:rsidRDefault="00403A90" w:rsidP="00403A90">
      <w:pPr>
        <w:pBdr>
          <w:top w:val="nil"/>
          <w:left w:val="nil"/>
          <w:bottom w:val="nil"/>
          <w:right w:val="nil"/>
          <w:between w:val="nil"/>
        </w:pBdr>
        <w:contextualSpacing/>
        <w:rPr>
          <w:rFonts w:eastAsia="Palatino Linotype" w:cs="Palatino Linotype"/>
          <w:color w:val="000000"/>
          <w:sz w:val="20"/>
          <w:szCs w:val="20"/>
        </w:rPr>
      </w:pPr>
    </w:p>
    <w:p w:rsidR="00403A90" w:rsidRPr="007657CF" w:rsidRDefault="00403A90" w:rsidP="00403A90">
      <w:pPr>
        <w:pBdr>
          <w:top w:val="nil"/>
          <w:left w:val="nil"/>
          <w:bottom w:val="nil"/>
          <w:right w:val="nil"/>
          <w:between w:val="nil"/>
        </w:pBdr>
        <w:contextualSpacing/>
        <w:rPr>
          <w:rFonts w:eastAsia="Palatino Linotype" w:cs="Palatino Linotype"/>
          <w:color w:val="000000"/>
          <w:sz w:val="20"/>
          <w:szCs w:val="20"/>
        </w:rPr>
      </w:pPr>
    </w:p>
    <w:p w:rsidR="00403A90" w:rsidRPr="007657CF" w:rsidRDefault="00403A90" w:rsidP="00403A90">
      <w:pPr>
        <w:pBdr>
          <w:top w:val="nil"/>
          <w:left w:val="nil"/>
          <w:bottom w:val="nil"/>
          <w:right w:val="nil"/>
          <w:between w:val="nil"/>
        </w:pBdr>
        <w:contextualSpacing/>
        <w:rPr>
          <w:rFonts w:eastAsia="Palatino Linotype" w:cs="Palatino Linotype"/>
          <w:color w:val="000000"/>
          <w:sz w:val="20"/>
          <w:szCs w:val="20"/>
        </w:rPr>
      </w:pPr>
    </w:p>
    <w:p w:rsidR="00403A90" w:rsidRPr="007657CF" w:rsidRDefault="00403A90" w:rsidP="00403A90">
      <w:pPr>
        <w:pBdr>
          <w:top w:val="nil"/>
          <w:left w:val="nil"/>
          <w:bottom w:val="nil"/>
          <w:right w:val="nil"/>
          <w:between w:val="nil"/>
        </w:pBdr>
        <w:contextualSpacing/>
        <w:rPr>
          <w:rFonts w:eastAsia="Palatino Linotype" w:cs="Palatino Linotype"/>
          <w:color w:val="000000"/>
          <w:sz w:val="20"/>
          <w:szCs w:val="20"/>
        </w:rPr>
      </w:pPr>
    </w:p>
    <w:p w:rsidR="00403A90" w:rsidRPr="007657CF" w:rsidRDefault="00403A90" w:rsidP="00403A90"/>
    <w:p w:rsidR="00CD23E8" w:rsidRDefault="00CD23E8"/>
    <w:sectPr w:rsidR="00CD23E8" w:rsidSect="00403A90">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A90" w:rsidRDefault="00403A90" w:rsidP="00403A90">
      <w:pPr>
        <w:spacing w:line="240" w:lineRule="auto"/>
      </w:pPr>
      <w:r>
        <w:separator/>
      </w:r>
    </w:p>
  </w:endnote>
  <w:endnote w:type="continuationSeparator" w:id="0">
    <w:p w:rsidR="00403A90" w:rsidRDefault="00403A90" w:rsidP="00403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90" w:rsidRPr="00871A91" w:rsidRDefault="00403A90" w:rsidP="00403A90">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D253F">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D253F">
      <w:rPr>
        <w:rFonts w:ascii="Palatino Linotype" w:hAnsi="Palatino Linotype"/>
        <w:b/>
        <w:bCs/>
        <w:noProof/>
        <w:sz w:val="20"/>
      </w:rPr>
      <w:t>56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90" w:rsidRPr="00871A91" w:rsidRDefault="00403A90" w:rsidP="00403A90">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D253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D253F">
      <w:rPr>
        <w:rFonts w:ascii="Palatino Linotype" w:hAnsi="Palatino Linotype"/>
        <w:b/>
        <w:bCs/>
        <w:noProof/>
        <w:sz w:val="20"/>
      </w:rPr>
      <w:t>56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A90" w:rsidRDefault="00403A90" w:rsidP="00403A90">
      <w:pPr>
        <w:spacing w:line="240" w:lineRule="auto"/>
      </w:pPr>
      <w:r>
        <w:separator/>
      </w:r>
    </w:p>
  </w:footnote>
  <w:footnote w:type="continuationSeparator" w:id="0">
    <w:p w:rsidR="00403A90" w:rsidRDefault="00403A90" w:rsidP="00403A90">
      <w:pPr>
        <w:spacing w:line="240" w:lineRule="auto"/>
      </w:pPr>
      <w:r>
        <w:continuationSeparator/>
      </w:r>
    </w:p>
  </w:footnote>
  <w:footnote w:id="1">
    <w:p w:rsidR="00392715" w:rsidRPr="005552A8" w:rsidRDefault="00392715" w:rsidP="00392715">
      <w:pPr>
        <w:rPr>
          <w:rFonts w:eastAsia="Times New Roman"/>
          <w:b/>
          <w:bCs/>
          <w:i/>
          <w:sz w:val="16"/>
          <w:szCs w:val="16"/>
        </w:rPr>
      </w:pPr>
      <w:r>
        <w:rPr>
          <w:rStyle w:val="Refdenotaalpie"/>
        </w:rPr>
        <w:footnoteRef/>
      </w:r>
      <w:r>
        <w:t xml:space="preserve"> </w:t>
      </w:r>
      <w:r w:rsidRPr="005552A8">
        <w:rPr>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392715" w:rsidRPr="005552A8" w:rsidRDefault="00392715" w:rsidP="00392715">
      <w:pPr>
        <w:rPr>
          <w:i/>
          <w:sz w:val="16"/>
          <w:szCs w:val="16"/>
        </w:rPr>
      </w:pPr>
      <w:r w:rsidRPr="005552A8">
        <w:rPr>
          <w:i/>
          <w:sz w:val="16"/>
          <w:szCs w:val="16"/>
        </w:rPr>
        <w:t>Del examen de compatibilidad de los artículos</w:t>
      </w:r>
      <w:r w:rsidRPr="005552A8">
        <w:rPr>
          <w:rStyle w:val="apple-converted-space"/>
          <w:i/>
          <w:sz w:val="16"/>
          <w:szCs w:val="16"/>
        </w:rPr>
        <w:t> </w:t>
      </w:r>
      <w:hyperlink r:id="rId1" w:history="1">
        <w:r w:rsidRPr="005552A8">
          <w:rPr>
            <w:rStyle w:val="Hipervnculo"/>
            <w:i/>
            <w:sz w:val="16"/>
            <w:szCs w:val="16"/>
          </w:rPr>
          <w:t>73 y 74 de la Ley de Amparo</w:t>
        </w:r>
      </w:hyperlink>
      <w:r w:rsidRPr="005552A8">
        <w:rPr>
          <w:rStyle w:val="apple-converted-space"/>
          <w:i/>
          <w:sz w:val="16"/>
          <w:szCs w:val="16"/>
        </w:rPr>
        <w:t> </w:t>
      </w:r>
      <w:r w:rsidRPr="005552A8">
        <w:rPr>
          <w:i/>
          <w:sz w:val="16"/>
          <w:szCs w:val="16"/>
        </w:rPr>
        <w:t>con el artículo</w:t>
      </w:r>
      <w:r w:rsidRPr="005552A8">
        <w:rPr>
          <w:rStyle w:val="apple-converted-space"/>
          <w:i/>
          <w:sz w:val="16"/>
          <w:szCs w:val="16"/>
        </w:rPr>
        <w:t> </w:t>
      </w:r>
      <w:hyperlink r:id="rId2" w:history="1">
        <w:r w:rsidRPr="005552A8">
          <w:rPr>
            <w:rStyle w:val="Hipervnculo"/>
            <w:i/>
            <w:sz w:val="16"/>
            <w:szCs w:val="16"/>
          </w:rPr>
          <w:t>25.1 de la Convención Americana sobre Derechos Humanos</w:t>
        </w:r>
      </w:hyperlink>
      <w:r w:rsidRPr="005552A8">
        <w:rPr>
          <w:rStyle w:val="apple-converted-space"/>
          <w:i/>
          <w:sz w:val="16"/>
          <w:szCs w:val="16"/>
        </w:rPr>
        <w:t> </w:t>
      </w:r>
      <w:r w:rsidRPr="005552A8">
        <w:rPr>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B7B0F" w:rsidRPr="00923649" w:rsidRDefault="00CB7B0F" w:rsidP="00CB7B0F">
      <w:pPr>
        <w:pStyle w:val="Textonotapie"/>
        <w:rPr>
          <w:lang w:val="es-MX"/>
        </w:rPr>
      </w:pPr>
      <w:r>
        <w:rPr>
          <w:rStyle w:val="Refdenotaalpie"/>
        </w:rPr>
        <w:footnoteRef/>
      </w:r>
      <w:r>
        <w:t xml:space="preserve"> </w:t>
      </w:r>
      <w:r>
        <w:rPr>
          <w:lang w:val="es-MX"/>
        </w:rPr>
        <w:t xml:space="preserve">Consultado en </w:t>
      </w:r>
      <w:hyperlink r:id="rId3" w:history="1">
        <w:r w:rsidRPr="000E30F5">
          <w:rPr>
            <w:rStyle w:val="Hipervnculo"/>
            <w:lang w:val="es-MX"/>
          </w:rPr>
          <w:t>file:///C:/Users/USUARIO/Downloads/Requisitos+CFD%20(1).pdf</w:t>
        </w:r>
      </w:hyperlink>
      <w:r>
        <w:rPr>
          <w:lang w:val="es-MX"/>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90" w:rsidRDefault="006D253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5"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03A90" w:rsidRPr="00B17577" w:rsidTr="00403A90">
      <w:trPr>
        <w:trHeight w:val="227"/>
      </w:trPr>
      <w:tc>
        <w:tcPr>
          <w:tcW w:w="5103" w:type="dxa"/>
          <w:hideMark/>
        </w:tcPr>
        <w:p w:rsidR="00403A90" w:rsidRPr="00096248" w:rsidRDefault="00403A90" w:rsidP="00403A90">
          <w:pPr>
            <w:ind w:right="69"/>
            <w:jc w:val="right"/>
            <w:rPr>
              <w:rFonts w:cs="Arial"/>
              <w:b/>
              <w:szCs w:val="24"/>
            </w:rPr>
          </w:pPr>
          <w:r w:rsidRPr="00096248">
            <w:rPr>
              <w:rFonts w:cs="Arial"/>
              <w:b/>
              <w:szCs w:val="24"/>
            </w:rPr>
            <w:t>Recurso de Revisión:</w:t>
          </w:r>
        </w:p>
      </w:tc>
      <w:tc>
        <w:tcPr>
          <w:tcW w:w="4395" w:type="dxa"/>
          <w:hideMark/>
        </w:tcPr>
        <w:p w:rsidR="00403A90" w:rsidRPr="00096248" w:rsidRDefault="00403A90" w:rsidP="00403A90">
          <w:pPr>
            <w:ind w:right="71"/>
            <w:jc w:val="right"/>
            <w:rPr>
              <w:rFonts w:cs="Arial"/>
              <w:b/>
              <w:szCs w:val="24"/>
            </w:rPr>
          </w:pPr>
          <w:r>
            <w:rPr>
              <w:rFonts w:cs="Arial"/>
              <w:b/>
              <w:bCs/>
              <w:szCs w:val="24"/>
            </w:rPr>
            <w:t>17265</w:t>
          </w:r>
          <w:r w:rsidRPr="00096248">
            <w:rPr>
              <w:rFonts w:cs="Arial"/>
              <w:b/>
              <w:bCs/>
              <w:szCs w:val="24"/>
            </w:rPr>
            <w:t>/INFOEM/IP/RR/202</w:t>
          </w:r>
          <w:r>
            <w:rPr>
              <w:rFonts w:cs="Arial"/>
              <w:b/>
              <w:bCs/>
              <w:szCs w:val="24"/>
            </w:rPr>
            <w:t>2</w:t>
          </w:r>
        </w:p>
      </w:tc>
    </w:tr>
    <w:tr w:rsidR="00403A90" w:rsidTr="00403A90">
      <w:trPr>
        <w:trHeight w:val="242"/>
      </w:trPr>
      <w:tc>
        <w:tcPr>
          <w:tcW w:w="5103" w:type="dxa"/>
          <w:hideMark/>
        </w:tcPr>
        <w:p w:rsidR="00403A90" w:rsidRPr="00096248" w:rsidRDefault="00403A90" w:rsidP="00403A90">
          <w:pPr>
            <w:ind w:right="69"/>
            <w:jc w:val="right"/>
            <w:rPr>
              <w:rFonts w:cs="Arial"/>
              <w:b/>
              <w:szCs w:val="24"/>
            </w:rPr>
          </w:pPr>
          <w:r w:rsidRPr="00096248">
            <w:rPr>
              <w:rFonts w:cs="Arial"/>
              <w:b/>
              <w:szCs w:val="24"/>
            </w:rPr>
            <w:t>Sujeto Obligado:</w:t>
          </w:r>
        </w:p>
      </w:tc>
      <w:tc>
        <w:tcPr>
          <w:tcW w:w="4395" w:type="dxa"/>
          <w:hideMark/>
        </w:tcPr>
        <w:p w:rsidR="00403A90" w:rsidRPr="00096248" w:rsidRDefault="00403A90" w:rsidP="00403A90">
          <w:pPr>
            <w:spacing w:line="240" w:lineRule="auto"/>
            <w:ind w:right="71"/>
            <w:jc w:val="right"/>
            <w:rPr>
              <w:rFonts w:cs="Arial"/>
              <w:szCs w:val="24"/>
            </w:rPr>
          </w:pPr>
          <w:r w:rsidRPr="00403A90">
            <w:rPr>
              <w:rFonts w:cs="Arial"/>
              <w:szCs w:val="24"/>
            </w:rPr>
            <w:t>Ayuntamiento de Timilpan</w:t>
          </w:r>
        </w:p>
      </w:tc>
    </w:tr>
    <w:tr w:rsidR="00403A90" w:rsidRPr="00F63239" w:rsidTr="00403A90">
      <w:trPr>
        <w:trHeight w:val="342"/>
      </w:trPr>
      <w:tc>
        <w:tcPr>
          <w:tcW w:w="5103" w:type="dxa"/>
          <w:hideMark/>
        </w:tcPr>
        <w:p w:rsidR="00403A90" w:rsidRPr="00096248" w:rsidRDefault="00403A90" w:rsidP="00403A90">
          <w:pPr>
            <w:tabs>
              <w:tab w:val="left" w:pos="4892"/>
            </w:tabs>
            <w:ind w:right="69"/>
            <w:jc w:val="right"/>
            <w:rPr>
              <w:rFonts w:cs="Arial"/>
              <w:b/>
              <w:szCs w:val="24"/>
            </w:rPr>
          </w:pPr>
          <w:r w:rsidRPr="00096248">
            <w:rPr>
              <w:rFonts w:cs="Arial"/>
              <w:b/>
              <w:szCs w:val="24"/>
            </w:rPr>
            <w:t>Comisionado Ponente:</w:t>
          </w:r>
        </w:p>
      </w:tc>
      <w:tc>
        <w:tcPr>
          <w:tcW w:w="4395" w:type="dxa"/>
          <w:hideMark/>
        </w:tcPr>
        <w:p w:rsidR="00403A90" w:rsidRPr="00096248" w:rsidRDefault="00403A90" w:rsidP="00403A90">
          <w:pPr>
            <w:ind w:left="-486" w:right="71" w:firstLine="567"/>
            <w:jc w:val="right"/>
            <w:rPr>
              <w:rFonts w:cs="Arial"/>
              <w:szCs w:val="24"/>
            </w:rPr>
          </w:pPr>
          <w:r w:rsidRPr="00096248">
            <w:rPr>
              <w:rFonts w:cs="Arial"/>
              <w:szCs w:val="24"/>
            </w:rPr>
            <w:t>José Martínez Vilchis</w:t>
          </w:r>
        </w:p>
      </w:tc>
    </w:tr>
  </w:tbl>
  <w:p w:rsidR="00403A90" w:rsidRPr="00871A91" w:rsidRDefault="006D253F">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1.1pt;margin-top:-142.7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403A9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03A90" w:rsidTr="00403A90">
      <w:trPr>
        <w:trHeight w:val="227"/>
      </w:trPr>
      <w:tc>
        <w:tcPr>
          <w:tcW w:w="5103" w:type="dxa"/>
          <w:hideMark/>
        </w:tcPr>
        <w:p w:rsidR="00403A90" w:rsidRPr="00663A37" w:rsidRDefault="00403A90" w:rsidP="00403A90">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rsidR="00403A90" w:rsidRPr="00C81ECD" w:rsidRDefault="00403A90" w:rsidP="00403A90">
          <w:pPr>
            <w:ind w:left="-486" w:right="68" w:firstLine="558"/>
            <w:jc w:val="right"/>
            <w:rPr>
              <w:rFonts w:cs="Arial"/>
              <w:b/>
              <w:szCs w:val="24"/>
            </w:rPr>
          </w:pPr>
          <w:r>
            <w:rPr>
              <w:rFonts w:cs="Arial"/>
              <w:b/>
              <w:bCs/>
              <w:szCs w:val="24"/>
            </w:rPr>
            <w:t>17265</w:t>
          </w:r>
          <w:r w:rsidRPr="00C81ECD">
            <w:rPr>
              <w:rFonts w:cs="Arial"/>
              <w:b/>
              <w:bCs/>
              <w:szCs w:val="24"/>
            </w:rPr>
            <w:t>/INFOEM/IP/RR/2022</w:t>
          </w:r>
        </w:p>
      </w:tc>
    </w:tr>
    <w:tr w:rsidR="00403A90" w:rsidRPr="001F57CD" w:rsidTr="00403A90">
      <w:trPr>
        <w:trHeight w:val="196"/>
      </w:trPr>
      <w:tc>
        <w:tcPr>
          <w:tcW w:w="5103" w:type="dxa"/>
          <w:hideMark/>
        </w:tcPr>
        <w:p w:rsidR="00403A90" w:rsidRPr="00663A37" w:rsidRDefault="00403A90" w:rsidP="00403A90">
          <w:pPr>
            <w:ind w:right="68"/>
            <w:jc w:val="right"/>
            <w:rPr>
              <w:rFonts w:cs="Arial"/>
              <w:b/>
              <w:szCs w:val="24"/>
            </w:rPr>
          </w:pPr>
          <w:r w:rsidRPr="00663A37">
            <w:rPr>
              <w:rFonts w:cs="Arial"/>
              <w:b/>
              <w:szCs w:val="24"/>
            </w:rPr>
            <w:t>Recurrente:</w:t>
          </w:r>
        </w:p>
      </w:tc>
      <w:tc>
        <w:tcPr>
          <w:tcW w:w="4395" w:type="dxa"/>
          <w:hideMark/>
        </w:tcPr>
        <w:p w:rsidR="00403A90" w:rsidRPr="00663A37" w:rsidRDefault="006D253F" w:rsidP="00403A90">
          <w:pPr>
            <w:ind w:right="68"/>
            <w:jc w:val="right"/>
            <w:rPr>
              <w:rFonts w:cs="Arial"/>
              <w:szCs w:val="24"/>
            </w:rPr>
          </w:pPr>
          <w:r>
            <w:rPr>
              <w:rFonts w:cs="Arial"/>
              <w:szCs w:val="24"/>
            </w:rPr>
            <w:t>xxxx</w:t>
          </w:r>
        </w:p>
      </w:tc>
    </w:tr>
    <w:tr w:rsidR="00403A90" w:rsidTr="00403A90">
      <w:trPr>
        <w:trHeight w:val="242"/>
      </w:trPr>
      <w:tc>
        <w:tcPr>
          <w:tcW w:w="5103" w:type="dxa"/>
          <w:hideMark/>
        </w:tcPr>
        <w:p w:rsidR="00403A90" w:rsidRPr="00663A37" w:rsidRDefault="00403A90" w:rsidP="00403A90">
          <w:pPr>
            <w:ind w:right="68"/>
            <w:jc w:val="right"/>
            <w:rPr>
              <w:rFonts w:cs="Arial"/>
              <w:b/>
              <w:szCs w:val="24"/>
            </w:rPr>
          </w:pPr>
          <w:r w:rsidRPr="00663A37">
            <w:rPr>
              <w:rFonts w:cs="Arial"/>
              <w:b/>
              <w:szCs w:val="24"/>
            </w:rPr>
            <w:t>Sujeto Obligado:</w:t>
          </w:r>
        </w:p>
      </w:tc>
      <w:tc>
        <w:tcPr>
          <w:tcW w:w="4395" w:type="dxa"/>
          <w:hideMark/>
        </w:tcPr>
        <w:p w:rsidR="00403A90" w:rsidRPr="00663A37" w:rsidRDefault="00403A90" w:rsidP="00403A90">
          <w:pPr>
            <w:spacing w:line="240" w:lineRule="auto"/>
            <w:ind w:left="-70" w:right="68"/>
            <w:jc w:val="right"/>
            <w:rPr>
              <w:rFonts w:cs="Arial"/>
              <w:szCs w:val="24"/>
            </w:rPr>
          </w:pPr>
          <w:r w:rsidRPr="00403A90">
            <w:rPr>
              <w:rFonts w:cs="Arial"/>
              <w:szCs w:val="24"/>
            </w:rPr>
            <w:t>Ayuntamiento de Timilpan</w:t>
          </w:r>
        </w:p>
      </w:tc>
    </w:tr>
    <w:tr w:rsidR="00403A90" w:rsidTr="00403A90">
      <w:trPr>
        <w:trHeight w:val="342"/>
      </w:trPr>
      <w:tc>
        <w:tcPr>
          <w:tcW w:w="5103" w:type="dxa"/>
          <w:hideMark/>
        </w:tcPr>
        <w:p w:rsidR="00403A90" w:rsidRPr="00663A37" w:rsidRDefault="00403A90" w:rsidP="00403A90">
          <w:pPr>
            <w:tabs>
              <w:tab w:val="left" w:pos="4892"/>
            </w:tabs>
            <w:ind w:right="68"/>
            <w:jc w:val="right"/>
            <w:rPr>
              <w:rFonts w:cs="Arial"/>
              <w:b/>
              <w:szCs w:val="24"/>
            </w:rPr>
          </w:pPr>
          <w:r w:rsidRPr="00663A37">
            <w:rPr>
              <w:rFonts w:cs="Arial"/>
              <w:b/>
              <w:szCs w:val="24"/>
            </w:rPr>
            <w:t>Comisionado Ponente:</w:t>
          </w:r>
        </w:p>
      </w:tc>
      <w:tc>
        <w:tcPr>
          <w:tcW w:w="4395" w:type="dxa"/>
          <w:hideMark/>
        </w:tcPr>
        <w:p w:rsidR="00403A90" w:rsidRPr="00663A37" w:rsidRDefault="00403A90" w:rsidP="00403A90">
          <w:pPr>
            <w:ind w:left="-486" w:right="68" w:firstLine="567"/>
            <w:jc w:val="right"/>
            <w:rPr>
              <w:rFonts w:cs="Arial"/>
              <w:szCs w:val="24"/>
            </w:rPr>
          </w:pPr>
          <w:r w:rsidRPr="00663A37">
            <w:rPr>
              <w:rFonts w:cs="Arial"/>
              <w:szCs w:val="24"/>
            </w:rPr>
            <w:t>José Martínez Vilchis</w:t>
          </w:r>
        </w:p>
      </w:tc>
    </w:tr>
  </w:tbl>
  <w:p w:rsidR="00403A90" w:rsidRPr="00871A91" w:rsidRDefault="00403A90">
    <w:pPr>
      <w:pStyle w:val="Encabezado"/>
      <w:rPr>
        <w:sz w:val="2"/>
      </w:rPr>
    </w:pPr>
    <w:r>
      <w:rPr>
        <w:noProof/>
        <w:lang w:val="es-MX" w:eastAsia="es-MX"/>
      </w:rPr>
      <w:drawing>
        <wp:anchor distT="0" distB="0" distL="114300" distR="114300" simplePos="0" relativeHeight="251661312" behindDoc="1" locked="0" layoutInCell="0" allowOverlap="1">
          <wp:simplePos x="0" y="0"/>
          <wp:positionH relativeFrom="margin">
            <wp:posOffset>-1027430</wp:posOffset>
          </wp:positionH>
          <wp:positionV relativeFrom="margin">
            <wp:posOffset>-1803400</wp:posOffset>
          </wp:positionV>
          <wp:extent cx="7739380" cy="10080625"/>
          <wp:effectExtent l="0" t="0" r="0" b="0"/>
          <wp:wrapNone/>
          <wp:docPr id="2" name="Imagen 2"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27FC3"/>
    <w:multiLevelType w:val="hybridMultilevel"/>
    <w:tmpl w:val="861A3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122E0B"/>
    <w:multiLevelType w:val="multilevel"/>
    <w:tmpl w:val="1B5AA15A"/>
    <w:lvl w:ilvl="0">
      <w:start w:val="1"/>
      <w:numFmt w:val="decimal"/>
      <w:lvlText w:val="%1."/>
      <w:lvlJc w:val="left"/>
      <w:pPr>
        <w:ind w:left="709" w:hanging="425"/>
      </w:pPr>
      <w:rPr>
        <w:rFonts w:hint="default"/>
        <w:i w:val="0"/>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1C70B9"/>
    <w:multiLevelType w:val="hybridMultilevel"/>
    <w:tmpl w:val="8438F04E"/>
    <w:lvl w:ilvl="0" w:tplc="C5526EF0">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4247DE"/>
    <w:multiLevelType w:val="hybridMultilevel"/>
    <w:tmpl w:val="F7FC4266"/>
    <w:lvl w:ilvl="0" w:tplc="0B46D8AC">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2B663E"/>
    <w:multiLevelType w:val="hybridMultilevel"/>
    <w:tmpl w:val="26981340"/>
    <w:lvl w:ilvl="0" w:tplc="080A0001">
      <w:start w:val="1"/>
      <w:numFmt w:val="bullet"/>
      <w:lvlText w:val=""/>
      <w:lvlJc w:val="left"/>
      <w:pPr>
        <w:ind w:left="709" w:hanging="425"/>
      </w:pPr>
      <w:rPr>
        <w:rFonts w:ascii="Symbol" w:hAnsi="Symbol"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563C35"/>
    <w:multiLevelType w:val="hybridMultilevel"/>
    <w:tmpl w:val="142E7D00"/>
    <w:lvl w:ilvl="0" w:tplc="6B620026">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B15677"/>
    <w:multiLevelType w:val="hybridMultilevel"/>
    <w:tmpl w:val="8706773A"/>
    <w:lvl w:ilvl="0" w:tplc="036243F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0"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3"/>
  </w:num>
  <w:num w:numId="3">
    <w:abstractNumId w:val="5"/>
  </w:num>
  <w:num w:numId="4">
    <w:abstractNumId w:val="7"/>
  </w:num>
  <w:num w:numId="5">
    <w:abstractNumId w:val="2"/>
  </w:num>
  <w:num w:numId="6">
    <w:abstractNumId w:val="4"/>
  </w:num>
  <w:num w:numId="7">
    <w:abstractNumId w:val="6"/>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90"/>
    <w:rsid w:val="00017E01"/>
    <w:rsid w:val="001E3720"/>
    <w:rsid w:val="002625BE"/>
    <w:rsid w:val="00357C72"/>
    <w:rsid w:val="00392715"/>
    <w:rsid w:val="003B37D5"/>
    <w:rsid w:val="003B66D1"/>
    <w:rsid w:val="003C0B7A"/>
    <w:rsid w:val="00403A90"/>
    <w:rsid w:val="006D253F"/>
    <w:rsid w:val="00925990"/>
    <w:rsid w:val="00C43EC9"/>
    <w:rsid w:val="00CB7B0F"/>
    <w:rsid w:val="00CD23E8"/>
    <w:rsid w:val="00FE23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70B9174-0528-4311-8160-9842A050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9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403A90"/>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403A90"/>
    <w:pPr>
      <w:keepNext/>
      <w:keepLines/>
      <w:outlineLvl w:val="1"/>
    </w:pPr>
    <w:rPr>
      <w:rFonts w:eastAsiaTheme="majorEastAsia" w:cstheme="majorBidi"/>
      <w:b/>
      <w:color w:val="000000" w:themeColor="tex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403A90"/>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403A90"/>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403A90"/>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403A9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03A90"/>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403A9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03A90"/>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03A90"/>
    <w:rPr>
      <w:rFonts w:ascii="Palatino Linotype" w:eastAsia="Times New Roman" w:hAnsi="Palatino Linotype"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03A90"/>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03A90"/>
    <w:rPr>
      <w:rFonts w:ascii="Palatino Linotype" w:eastAsia="Calibri" w:hAnsi="Palatino Linotype" w:cs="Calibri"/>
      <w:sz w:val="20"/>
      <w:szCs w:val="20"/>
      <w:lang w:val="es-ES_tradnl"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403A9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03A90"/>
    <w:rPr>
      <w:color w:val="0563C1" w:themeColor="hyperlink"/>
      <w:u w:val="single"/>
    </w:rPr>
  </w:style>
  <w:style w:type="paragraph" w:customStyle="1" w:styleId="CitasINFOEM">
    <w:name w:val="Citas INFOEM"/>
    <w:basedOn w:val="Normal"/>
    <w:qFormat/>
    <w:rsid w:val="00403A90"/>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character" w:customStyle="1" w:styleId="apple-converted-space">
    <w:name w:val="apple-converted-space"/>
    <w:basedOn w:val="Fuentedeprrafopredeter"/>
    <w:rsid w:val="00392715"/>
  </w:style>
  <w:style w:type="table" w:styleId="Tablaconcuadrcula">
    <w:name w:val="Table Grid"/>
    <w:basedOn w:val="Tablanormal"/>
    <w:uiPriority w:val="39"/>
    <w:rsid w:val="00392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3B66D1"/>
    <w:pPr>
      <w:spacing w:before="240" w:after="160"/>
      <w:ind w:left="851" w:right="851"/>
    </w:pPr>
    <w:rPr>
      <w:rFonts w:eastAsiaTheme="minorHAnsi" w:cstheme="minorBidi"/>
      <w:i/>
      <w:sz w:val="22"/>
      <w:szCs w:val="14"/>
      <w:lang w:val="es-MX" w:eastAsia="en-US"/>
    </w:rPr>
  </w:style>
  <w:style w:type="paragraph" w:customStyle="1" w:styleId="Fundamentos">
    <w:name w:val="Fundamentos"/>
    <w:basedOn w:val="Normal"/>
    <w:qFormat/>
    <w:rsid w:val="00CB7B0F"/>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Default">
    <w:name w:val="Default"/>
    <w:rsid w:val="00CB7B0F"/>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CB7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ile:///C:/Users/USUARIO/Downloads/Requisitos+CFD%20(1).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56</Pages>
  <Words>13582</Words>
  <Characters>74706</Characters>
  <Application>Microsoft Office Word</Application>
  <DocSecurity>0</DocSecurity>
  <Lines>622</Lines>
  <Paragraphs>176</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
      <vt:lpstr>A N T E C E D E N T E S</vt:lpstr>
      <vt:lpstr>    PRIMERO. De la Solicitud de Información.</vt:lpstr>
      <vt:lpstr>    SEGUNDO. De la respuesta del Sujeto Obligado.</vt:lpstr>
      <vt:lpstr>    TERCERO. Del recurso de revisión.</vt:lpstr>
      <vt:lpstr>    CUARTO. Del turno y admisión del recurso de revisión.</vt:lpstr>
      <vt:lpstr>    QUINTO. De la etapa de instrucción.</vt:lpstr>
      <vt:lpstr>    SEXTO. Del cierre de instrucción.</vt:lpstr>
      <vt:lpstr>    SÉPTIMO. De la ampliación del término para resolver.</vt:lpstr>
      <vt:lpstr>C O N S I D E R A N D O</vt:lpstr>
      <vt:lpstr>    PRIMERO. De la competencia.</vt:lpstr>
    </vt:vector>
  </TitlesOfParts>
  <Company/>
  <LinksUpToDate>false</LinksUpToDate>
  <CharactersWithSpaces>88112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7</cp:revision>
  <dcterms:created xsi:type="dcterms:W3CDTF">2023-02-24T16:41:00Z</dcterms:created>
  <dcterms:modified xsi:type="dcterms:W3CDTF">2023-04-20T18:23:00Z</dcterms:modified>
</cp:coreProperties>
</file>