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357F1" w14:textId="77777777" w:rsidR="007F623C" w:rsidRDefault="007F623C">
      <w:pPr>
        <w:widowControl w:val="0"/>
        <w:pBdr>
          <w:top w:val="nil"/>
          <w:left w:val="nil"/>
          <w:bottom w:val="nil"/>
          <w:right w:val="nil"/>
          <w:between w:val="nil"/>
        </w:pBdr>
        <w:spacing w:after="0" w:line="276" w:lineRule="auto"/>
      </w:pPr>
    </w:p>
    <w:p w14:paraId="3AF19636" w14:textId="77777777" w:rsidR="007F623C" w:rsidRDefault="00000000">
      <w:pPr>
        <w:spacing w:before="240" w:after="24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noProof/>
          <w:sz w:val="24"/>
          <w:szCs w:val="24"/>
        </w:rPr>
        <mc:AlternateContent>
          <mc:Choice Requires="wps">
            <w:drawing>
              <wp:anchor distT="0" distB="0" distL="0" distR="0" simplePos="0" relativeHeight="251658240" behindDoc="1" locked="0" layoutInCell="1" hidden="0" allowOverlap="1" wp14:anchorId="2D79AC09" wp14:editId="2FC9AB5D">
                <wp:simplePos x="0" y="0"/>
                <wp:positionH relativeFrom="margin">
                  <wp:align>center</wp:align>
                </wp:positionH>
                <wp:positionV relativeFrom="margin">
                  <wp:posOffset>931222</wp:posOffset>
                </wp:positionV>
                <wp:extent cx="5606822" cy="5606822"/>
                <wp:effectExtent l="0" t="0" r="0" b="0"/>
                <wp:wrapNone/>
                <wp:docPr id="7" name="Rectángulo 7"/>
                <wp:cNvGraphicFramePr/>
                <a:graphic xmlns:a="http://schemas.openxmlformats.org/drawingml/2006/main">
                  <a:graphicData uri="http://schemas.microsoft.com/office/word/2010/wordprocessingShape">
                    <wps:wsp>
                      <wps:cNvSpPr/>
                      <wps:spPr>
                        <a:xfrm rot="-2700000">
                          <a:off x="1799843" y="3371060"/>
                          <a:ext cx="7092315" cy="817880"/>
                        </a:xfrm>
                        <a:prstGeom prst="rect">
                          <a:avLst/>
                        </a:prstGeom>
                      </wps:spPr>
                      <wps:txbx>
                        <w:txbxContent>
                          <w:p w14:paraId="12716E27" w14:textId="77777777" w:rsidR="007F623C" w:rsidRDefault="00000000">
                            <w:pPr>
                              <w:spacing w:after="0" w:line="240" w:lineRule="auto"/>
                              <w:jc w:val="center"/>
                              <w:textDirection w:val="btLr"/>
                            </w:pPr>
                            <w:r>
                              <w:rPr>
                                <w:rFonts w:ascii="Palatino Linotype" w:eastAsia="Palatino Linotype" w:hAnsi="Palatino Linotype" w:cs="Palatino Linotype"/>
                                <w:color w:val="FFFFFF"/>
                                <w:sz w:val="144"/>
                              </w:rPr>
                              <w:t xml:space="preserve">VOTO DISIDENTE </w:t>
                            </w:r>
                          </w:p>
                        </w:txbxContent>
                      </wps:txbx>
                      <wps:bodyPr spcFirstLastPara="1" wrap="square" lIns="91425" tIns="91425" rIns="91425" bIns="91425" anchor="ctr" anchorCtr="0">
                        <a:noAutofit/>
                      </wps:bodyPr>
                    </wps:wsp>
                  </a:graphicData>
                </a:graphic>
              </wp:anchor>
            </w:drawing>
          </mc:Choice>
          <mc:Fallback>
            <w:pict>
              <v:rect w14:anchorId="2D79AC09" id="Rectángulo 7" o:spid="_x0000_s1026" style="position:absolute;left:0;text-align:left;margin-left:0;margin-top:73.3pt;width:441.5pt;height:441.5pt;rotation:-45;z-index:-251658240;visibility:visible;mso-wrap-style:square;mso-wrap-distance-left:0;mso-wrap-distance-top:0;mso-wrap-distance-right:0;mso-wrap-distance-bottom:0;mso-position-horizontal:center;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" filled="f" stroked="f">
                <v:textbox inset="2.53958mm,2.53958mm,2.53958mm,2.53958mm">
                  <w:txbxContent>
                    <w:p w14:paraId="12716E27" w14:textId="77777777" w:rsidR="007F623C" w:rsidRDefault="00000000">
                      <w:pPr>
                        <w:spacing w:after="0" w:line="240" w:lineRule="auto"/>
                        <w:jc w:val="center"/>
                        <w:textDirection w:val="btLr"/>
                      </w:pPr>
                      <w:r>
                        <w:rPr>
                          <w:rFonts w:ascii="Palatino Linotype" w:eastAsia="Palatino Linotype" w:hAnsi="Palatino Linotype" w:cs="Palatino Linotype"/>
                          <w:color w:val="FFFFFF"/>
                          <w:sz w:val="144"/>
                        </w:rPr>
                        <w:t xml:space="preserve">VOTO DISIDENTE </w:t>
                      </w:r>
                    </w:p>
                  </w:txbxContent>
                </v:textbox>
                <w10:wrap anchorx="margin" anchory="margin"/>
              </v:rect>
            </w:pict>
          </mc:Fallback>
        </mc:AlternateContent>
      </w:r>
      <w:r>
        <w:rPr>
          <w:rFonts w:ascii="Palatino Linotype" w:eastAsia="Palatino Linotype" w:hAnsi="Palatino Linotype" w:cs="Palatino Linotype"/>
          <w:b/>
          <w:sz w:val="24"/>
          <w:szCs w:val="24"/>
        </w:rPr>
        <w:t xml:space="preserve">VOTO DISIDENTE QUE FORMULA LA COMISIONADA GUADALUPE RAMÍREZ PEÑA, EN RELACIÓN CON LA RESOLUCIÓN DICTADA POR EL PLENO DEL INSTITUTO DE TRANSPARENCIA, ACCESO A LA INFORMACIÓN PÚBLICA Y PROTECCIÓN DE DATOS PERSONALES DEL ESTADO DE MÉXICO Y MUNICIPIOS, EN LA VIGÉSIMA CUARTA SESIÓN ORDINARIA DEL VEINTINUEVE DE JUNIO DE DOS MIL VEINTIDÓS, EN EL RECURSO DE REVISIÓN 03599/INFOEM/AD/RR/2022. </w:t>
      </w:r>
    </w:p>
    <w:p w14:paraId="611C7167" w14:textId="77777777" w:rsidR="007F623C" w:rsidRDefault="00000000">
      <w:pPr>
        <w:spacing w:before="240" w:after="24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Con fundamento en lo dispuesto por el artículo 14, fracciones X y XI, del Reglamento del Instituto de Transparencia, Acceso a la Información Pública y Protección de Datos Personales del Estado de México y Municipios, la que suscribe </w:t>
      </w:r>
      <w:r>
        <w:rPr>
          <w:rFonts w:ascii="Palatino Linotype" w:eastAsia="Palatino Linotype" w:hAnsi="Palatino Linotype" w:cs="Palatino Linotype"/>
          <w:b/>
          <w:sz w:val="24"/>
          <w:szCs w:val="24"/>
        </w:rPr>
        <w:t xml:space="preserve">GUADALUPE RAMÍREZ PEÑA </w:t>
      </w:r>
      <w:r>
        <w:rPr>
          <w:rFonts w:ascii="Palatino Linotype" w:eastAsia="Palatino Linotype" w:hAnsi="Palatino Linotype" w:cs="Palatino Linotype"/>
          <w:sz w:val="24"/>
          <w:szCs w:val="24"/>
        </w:rPr>
        <w:t xml:space="preserve"> emite </w:t>
      </w:r>
      <w:r>
        <w:rPr>
          <w:rFonts w:ascii="Palatino Linotype" w:eastAsia="Palatino Linotype" w:hAnsi="Palatino Linotype" w:cs="Palatino Linotype"/>
          <w:b/>
          <w:sz w:val="24"/>
          <w:szCs w:val="24"/>
        </w:rPr>
        <w:t xml:space="preserve">VOTO DISIDENTE </w:t>
      </w:r>
      <w:r>
        <w:rPr>
          <w:rFonts w:ascii="Palatino Linotype" w:eastAsia="Palatino Linotype" w:hAnsi="Palatino Linotype" w:cs="Palatino Linotype"/>
          <w:sz w:val="24"/>
          <w:szCs w:val="24"/>
        </w:rPr>
        <w:t xml:space="preserve">respecto a la resolución dictada en el recurso de revisión </w:t>
      </w:r>
      <w:r>
        <w:rPr>
          <w:rFonts w:ascii="Palatino Linotype" w:eastAsia="Palatino Linotype" w:hAnsi="Palatino Linotype" w:cs="Palatino Linotype"/>
          <w:b/>
          <w:sz w:val="24"/>
          <w:szCs w:val="24"/>
        </w:rPr>
        <w:t>03599/INFOEM/AD/RR/2022</w:t>
      </w:r>
      <w:r>
        <w:rPr>
          <w:rFonts w:ascii="Palatino Linotype" w:eastAsia="Palatino Linotype" w:hAnsi="Palatino Linotype" w:cs="Palatino Linotype"/>
          <w:sz w:val="24"/>
          <w:szCs w:val="24"/>
        </w:rPr>
        <w:t xml:space="preserve">, pronunciada por el Pleno de este Instituto ante el proyecto presentado por la suscrita, el cual fue engrosado conforme al criterio mayoritario del pleno, al tenor siguiente: </w:t>
      </w:r>
    </w:p>
    <w:p w14:paraId="1B3769D1" w14:textId="77777777" w:rsidR="007F623C" w:rsidRDefault="00000000">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I. Antecedentes</w:t>
      </w:r>
      <w:r>
        <w:rPr>
          <w:rFonts w:ascii="Palatino Linotype" w:eastAsia="Palatino Linotype" w:hAnsi="Palatino Linotype" w:cs="Palatino Linotype"/>
          <w:sz w:val="24"/>
          <w:szCs w:val="24"/>
        </w:rPr>
        <w:t xml:space="preserve">. </w:t>
      </w:r>
    </w:p>
    <w:p w14:paraId="37E331E5" w14:textId="77777777" w:rsidR="007F623C" w:rsidRDefault="00000000">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el asunto que nos ocupa, la parte Recurrente solicitó al Sujeto Obligado, le proporcionara:</w:t>
      </w:r>
    </w:p>
    <w:p w14:paraId="21FDF629" w14:textId="77777777" w:rsidR="007F623C" w:rsidRDefault="00000000">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SOLICITUD: </w:t>
      </w:r>
    </w:p>
    <w:p w14:paraId="26D93FD0" w14:textId="77777777" w:rsidR="007F623C" w:rsidRDefault="00000000">
      <w:pPr>
        <w:spacing w:before="240" w:after="240" w:line="264" w:lineRule="auto"/>
        <w:ind w:left="851" w:right="902"/>
        <w:jc w:val="both"/>
        <w:rPr>
          <w:rFonts w:ascii="Palatino Linotype" w:eastAsia="Palatino Linotype" w:hAnsi="Palatino Linotype" w:cs="Palatino Linotype"/>
          <w:i/>
          <w:color w:val="000000"/>
        </w:rPr>
      </w:pPr>
      <w:r>
        <w:rPr>
          <w:rFonts w:ascii="Palatino Linotype" w:eastAsia="Palatino Linotype" w:hAnsi="Palatino Linotype" w:cs="Palatino Linotype"/>
          <w:i/>
        </w:rPr>
        <w:lastRenderedPageBreak/>
        <w:t xml:space="preserve">“Derivado del Recurso de Revisión: 05333/INFOEM/AD/RR/2021 de fecha 22 de noviembre de 2021 y que no fue atendido, solicito nuevamente la información de su servidor que describa el histórico de aportaciones realizadas durante todo el tiempo que he cotizado al </w:t>
      </w:r>
      <w:proofErr w:type="spellStart"/>
      <w:r>
        <w:rPr>
          <w:rFonts w:ascii="Palatino Linotype" w:eastAsia="Palatino Linotype" w:hAnsi="Palatino Linotype" w:cs="Palatino Linotype"/>
          <w:i/>
        </w:rPr>
        <w:t>issemym</w:t>
      </w:r>
      <w:proofErr w:type="spellEnd"/>
      <w:r>
        <w:rPr>
          <w:rFonts w:ascii="Palatino Linotype" w:eastAsia="Palatino Linotype" w:hAnsi="Palatino Linotype" w:cs="Palatino Linotype"/>
          <w:i/>
        </w:rPr>
        <w:t>, indicando monto cotizado, fechas, instituciones. para lo cual anexo documento que acredite mi identidad</w:t>
      </w:r>
      <w:proofErr w:type="gramStart"/>
      <w:r>
        <w:rPr>
          <w:rFonts w:ascii="Palatino Linotype" w:eastAsia="Palatino Linotype" w:hAnsi="Palatino Linotype" w:cs="Palatino Linotype"/>
          <w:i/>
        </w:rPr>
        <w:t>.”(</w:t>
      </w:r>
      <w:proofErr w:type="gramEnd"/>
      <w:r>
        <w:rPr>
          <w:rFonts w:ascii="Palatino Linotype" w:eastAsia="Palatino Linotype" w:hAnsi="Palatino Linotype" w:cs="Palatino Linotype"/>
          <w:i/>
        </w:rPr>
        <w:t>Sic)</w:t>
      </w:r>
    </w:p>
    <w:p w14:paraId="7771DBE3" w14:textId="77777777" w:rsidR="007F623C" w:rsidRDefault="00000000">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RESPUESTA:</w:t>
      </w:r>
    </w:p>
    <w:p w14:paraId="660D7EAF" w14:textId="77777777" w:rsidR="007F623C" w:rsidRDefault="000000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emitió su respuesta de la siguiente manera</w:t>
      </w:r>
    </w:p>
    <w:p w14:paraId="2EC1FD15" w14:textId="77777777" w:rsidR="007F623C" w:rsidRDefault="00000000">
      <w:pPr>
        <w:spacing w:before="240" w:after="0" w:line="264"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 xml:space="preserve">“oficio número 207C 0401210001S- UT-309/2022 de fecha veintidós de febrero de dos mil veintidós, signado por la C. </w:t>
      </w:r>
      <w:proofErr w:type="spellStart"/>
      <w:r>
        <w:rPr>
          <w:rFonts w:ascii="Palatino Linotype" w:eastAsia="Palatino Linotype" w:hAnsi="Palatino Linotype" w:cs="Palatino Linotype"/>
          <w:i/>
        </w:rPr>
        <w:t>Maria</w:t>
      </w:r>
      <w:proofErr w:type="spellEnd"/>
      <w:r>
        <w:rPr>
          <w:rFonts w:ascii="Palatino Linotype" w:eastAsia="Palatino Linotype" w:hAnsi="Palatino Linotype" w:cs="Palatino Linotype"/>
          <w:i/>
        </w:rPr>
        <w:t xml:space="preserve"> Saray Pérez Guerrero, Responsable y Titular de la unidad de Transparencia, mediante el cual menciona que la información relativa a los periodos cotizados al instituto, implicaría procesar la información de las nóminas manuales y automatizadas, por lo que no está obligada a procesar la información, asimismo menciona que mediante el trámite denominado “Proyecto Pensión”, podrá conocer la información solicitada, toda vez que obtendrá una respuesta en la que se contemplan los periodos cotizados, independientemente de realizar el trámite de pensión o no, toda vez que el trámite tiene el carácter de informativo, por lo cual le menciona las instrucciones para generar la cita, la ubicación y la documentación necesaria para realizar dicho trámite.</w:t>
      </w:r>
    </w:p>
    <w:p w14:paraId="6316CB9E" w14:textId="77777777" w:rsidR="007F623C" w:rsidRDefault="007F623C">
      <w:pPr>
        <w:spacing w:after="0" w:line="264" w:lineRule="auto"/>
        <w:ind w:left="851" w:right="902"/>
        <w:jc w:val="both"/>
        <w:rPr>
          <w:rFonts w:ascii="Palatino Linotype" w:eastAsia="Palatino Linotype" w:hAnsi="Palatino Linotype" w:cs="Palatino Linotype"/>
          <w:i/>
        </w:rPr>
      </w:pPr>
    </w:p>
    <w:p w14:paraId="7C8E670D" w14:textId="77777777" w:rsidR="007F623C" w:rsidRDefault="00000000">
      <w:pPr>
        <w:shd w:val="clear" w:color="auto" w:fill="FFFFFF"/>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No conforme el particular con la </w:t>
      </w:r>
      <w:proofErr w:type="gramStart"/>
      <w:r>
        <w:rPr>
          <w:rFonts w:ascii="Palatino Linotype" w:eastAsia="Palatino Linotype" w:hAnsi="Palatino Linotype" w:cs="Palatino Linotype"/>
          <w:sz w:val="24"/>
          <w:szCs w:val="24"/>
        </w:rPr>
        <w:t>respuesta,</w:t>
      </w:r>
      <w:proofErr w:type="gramEnd"/>
      <w:r>
        <w:rPr>
          <w:rFonts w:ascii="Palatino Linotype" w:eastAsia="Palatino Linotype" w:hAnsi="Palatino Linotype" w:cs="Palatino Linotype"/>
          <w:sz w:val="24"/>
          <w:szCs w:val="24"/>
        </w:rPr>
        <w:t xml:space="preserve"> interpone el recurso de revisión que se resuelve, señalando como motivos de inconformidad en lo medular por qué no le anexan ningún archivo con la información solicitada.</w:t>
      </w:r>
    </w:p>
    <w:p w14:paraId="7E146B2F" w14:textId="77777777" w:rsidR="007F623C" w:rsidRDefault="007F623C">
      <w:pPr>
        <w:shd w:val="clear" w:color="auto" w:fill="FFFFFF"/>
        <w:spacing w:after="0" w:line="360" w:lineRule="auto"/>
        <w:jc w:val="both"/>
        <w:rPr>
          <w:rFonts w:ascii="Palatino Linotype" w:eastAsia="Palatino Linotype" w:hAnsi="Palatino Linotype" w:cs="Palatino Linotype"/>
          <w:sz w:val="24"/>
          <w:szCs w:val="24"/>
        </w:rPr>
      </w:pPr>
    </w:p>
    <w:p w14:paraId="7060E7E0" w14:textId="77777777" w:rsidR="007F623C" w:rsidRDefault="00000000">
      <w:pPr>
        <w:spacing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Ante la interposición del Recurso de Revisión,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rindió su informe mediante el cual anexa un oficio en donde describe las constancias que </w:t>
      </w:r>
      <w:r>
        <w:rPr>
          <w:rFonts w:ascii="Palatino Linotype" w:eastAsia="Palatino Linotype" w:hAnsi="Palatino Linotype" w:cs="Palatino Linotype"/>
          <w:sz w:val="24"/>
          <w:szCs w:val="24"/>
        </w:rPr>
        <w:lastRenderedPageBreak/>
        <w:t>obran en el expediente electrónico del SARCOEM, asimismo ratifica su respuesta inicial.</w:t>
      </w:r>
    </w:p>
    <w:p w14:paraId="50AC7BAD" w14:textId="77777777" w:rsidR="007F623C" w:rsidRDefault="00000000">
      <w:pPr>
        <w:spacing w:after="0" w:line="360" w:lineRule="auto"/>
        <w:ind w:right="-9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el estudio del asunto, se determinó que, aunque lo solicitado por el particular pudiera corresponder a un trámite específico, resulta trascendente el numeral 98 de la Ley de Protección de Datos Personales en Posesión de Sujetos Obligados del Estado de México y Municipios, en el que se establece que el Titular de los Datos Personales tiene derecho a ser informado sobre sus datos personales en posesión de alguna autoridad. </w:t>
      </w:r>
    </w:p>
    <w:p w14:paraId="04118D11" w14:textId="77777777" w:rsidR="007F623C" w:rsidRDefault="007F623C">
      <w:pPr>
        <w:spacing w:after="0" w:line="360" w:lineRule="auto"/>
        <w:ind w:right="-91"/>
        <w:jc w:val="both"/>
        <w:rPr>
          <w:rFonts w:ascii="Palatino Linotype" w:eastAsia="Palatino Linotype" w:hAnsi="Palatino Linotype" w:cs="Palatino Linotype"/>
          <w:sz w:val="24"/>
          <w:szCs w:val="24"/>
        </w:rPr>
      </w:pPr>
    </w:p>
    <w:p w14:paraId="305D8A43" w14:textId="77777777" w:rsidR="007F623C" w:rsidRDefault="00000000">
      <w:pPr>
        <w:spacing w:after="0" w:line="360" w:lineRule="auto"/>
        <w:ind w:right="-9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Asimismo, le asiste el derecho a conocer el contenido de los documentos que obren en las bases de datos en poder de las autoridades, entendidas como el conjunto de archivos, registros o ficheros con independencia a la forma o modalidad de creación, tipo de soporte, procesamiento, almacenamiento, organización y acceso, por lo que se concluyó que, en el presente asunto, lo pertinente es MODIFICAR la respuesta del Sujeto Obligado y ORDENAR la entrega de la siguiente información: </w:t>
      </w:r>
    </w:p>
    <w:p w14:paraId="0F8DF1F4" w14:textId="77777777" w:rsidR="007F623C" w:rsidRDefault="007F623C">
      <w:pPr>
        <w:spacing w:after="0" w:line="360" w:lineRule="auto"/>
        <w:ind w:right="-91"/>
        <w:jc w:val="both"/>
        <w:rPr>
          <w:rFonts w:ascii="Palatino Linotype" w:eastAsia="Palatino Linotype" w:hAnsi="Palatino Linotype" w:cs="Palatino Linotype"/>
          <w:sz w:val="24"/>
          <w:szCs w:val="24"/>
        </w:rPr>
      </w:pPr>
    </w:p>
    <w:p w14:paraId="5387C74D" w14:textId="77777777" w:rsidR="007F623C" w:rsidRDefault="00000000">
      <w:pPr>
        <w:pBdr>
          <w:top w:val="nil"/>
          <w:left w:val="nil"/>
          <w:bottom w:val="nil"/>
          <w:right w:val="nil"/>
          <w:between w:val="nil"/>
        </w:pBdr>
        <w:spacing w:line="276" w:lineRule="auto"/>
        <w:ind w:left="708" w:right="619"/>
        <w:jc w:val="both"/>
        <w:rPr>
          <w:rFonts w:ascii="Palatino Linotype" w:eastAsia="Palatino Linotype" w:hAnsi="Palatino Linotype" w:cs="Palatino Linotype"/>
          <w:i/>
        </w:rPr>
      </w:pPr>
      <w:r>
        <w:rPr>
          <w:rFonts w:ascii="Palatino Linotype" w:eastAsia="Palatino Linotype" w:hAnsi="Palatino Linotype" w:cs="Palatino Linotype"/>
          <w:i/>
        </w:rPr>
        <w:t>SEGUNDO. Se MODIFICA la respuesta del SUJETO OBLIGADO y se ordena atienda la solicitud de acceso a datos personales 00087/ISSEMYM/AD/2022, vía SARCOEM, previa búsqueda exhaustiva y razonable en términos del Considerando CUARTO de esta resolución, entregue al RECURRENTE, previa acreditación de su identidad:</w:t>
      </w:r>
    </w:p>
    <w:p w14:paraId="1AF5AE84" w14:textId="77777777" w:rsidR="007F623C" w:rsidRDefault="00000000">
      <w:pPr>
        <w:pBdr>
          <w:top w:val="nil"/>
          <w:left w:val="nil"/>
          <w:bottom w:val="nil"/>
          <w:right w:val="nil"/>
          <w:between w:val="nil"/>
        </w:pBdr>
        <w:spacing w:line="276" w:lineRule="auto"/>
        <w:ind w:left="708" w:right="619"/>
        <w:jc w:val="both"/>
        <w:rPr>
          <w:rFonts w:ascii="Palatino Linotype" w:eastAsia="Palatino Linotype" w:hAnsi="Palatino Linotype" w:cs="Palatino Linotype"/>
          <w:i/>
        </w:rPr>
      </w:pPr>
      <w:r>
        <w:rPr>
          <w:rFonts w:ascii="Palatino Linotype" w:eastAsia="Palatino Linotype" w:hAnsi="Palatino Linotype" w:cs="Palatino Linotype"/>
          <w:i/>
        </w:rPr>
        <w:t xml:space="preserve">-Soporte documental en el que conste el histórico de aportaciones realizadas durante todo el tiempo que ha cotizado en el ISSEMYM, indicando monto cotizado, fechas, </w:t>
      </w:r>
      <w:r>
        <w:rPr>
          <w:rFonts w:ascii="Palatino Linotype" w:eastAsia="Palatino Linotype" w:hAnsi="Palatino Linotype" w:cs="Palatino Linotype"/>
          <w:i/>
        </w:rPr>
        <w:lastRenderedPageBreak/>
        <w:t>instituciones por la persona referida en la solicitud de acceso a datos personales a la fecha de la solicitud.</w:t>
      </w:r>
    </w:p>
    <w:p w14:paraId="5E34B3C0" w14:textId="77777777" w:rsidR="007F623C" w:rsidRDefault="00000000">
      <w:pPr>
        <w:pBdr>
          <w:top w:val="nil"/>
          <w:left w:val="nil"/>
          <w:bottom w:val="nil"/>
          <w:right w:val="nil"/>
          <w:between w:val="nil"/>
        </w:pBdr>
        <w:spacing w:line="276" w:lineRule="auto"/>
        <w:ind w:left="708" w:right="619"/>
        <w:jc w:val="both"/>
        <w:rPr>
          <w:rFonts w:ascii="Palatino Linotype" w:eastAsia="Palatino Linotype" w:hAnsi="Palatino Linotype" w:cs="Palatino Linotype"/>
          <w:i/>
        </w:rPr>
      </w:pPr>
      <w:r>
        <w:rPr>
          <w:rFonts w:ascii="Palatino Linotype" w:eastAsia="Palatino Linotype" w:hAnsi="Palatino Linotype" w:cs="Palatino Linotype"/>
          <w:i/>
        </w:rPr>
        <w:t>Para la acreditación de identidad, El Sujeto Obligado deberá indicar vía Sistema de Acceso, Rectificación, Cancelación y Oposición de Datos Personales del Estado de México (SARCOEM), el procedimiento exacto y detallado (lugar, días y horas hábiles, nombre del servidor público que lo atenderá, entre otros).</w:t>
      </w:r>
    </w:p>
    <w:p w14:paraId="26E0B6A0" w14:textId="77777777" w:rsidR="007F623C" w:rsidRDefault="00000000">
      <w:pPr>
        <w:pBdr>
          <w:top w:val="nil"/>
          <w:left w:val="nil"/>
          <w:bottom w:val="nil"/>
          <w:right w:val="nil"/>
          <w:between w:val="nil"/>
        </w:pBdr>
        <w:spacing w:after="0" w:line="276" w:lineRule="auto"/>
        <w:ind w:left="708" w:right="619"/>
        <w:jc w:val="both"/>
        <w:rPr>
          <w:rFonts w:ascii="Palatino Linotype" w:eastAsia="Palatino Linotype" w:hAnsi="Palatino Linotype" w:cs="Palatino Linotype"/>
          <w:i/>
          <w:color w:val="000000"/>
        </w:rPr>
      </w:pPr>
      <w:r>
        <w:rPr>
          <w:rFonts w:ascii="Palatino Linotype" w:eastAsia="Palatino Linotype" w:hAnsi="Palatino Linotype" w:cs="Palatino Linotype"/>
          <w:i/>
        </w:rPr>
        <w:t>TERCERO. Notifíquese al Titular de la Unidad de Transparencia del SUJETO OBLIGADO, para que conforme a los artículos 137 párrafo segundo de la Ley de Protección de Datos Personales en Posesión de Sujetos Obligados del Estado de México y Municipios, 186 último párrafo y 189 párrafo segundo de la Ley de Transparencia y Acceso a la Información Pública del Estado de México y Municipios de aplicación supletoria, dé cumplimiento a lo ordenado dentro del plazo de sesenta (60) días hábiles, debiendo rendir a este Instituto el informe de cumplimiento de la resolución en un plazo de tres (03) días hábiles posteriores.</w:t>
      </w:r>
    </w:p>
    <w:p w14:paraId="15CAE4DB" w14:textId="77777777" w:rsidR="007F623C" w:rsidRDefault="007F623C">
      <w:pPr>
        <w:spacing w:after="0" w:line="360" w:lineRule="auto"/>
        <w:jc w:val="both"/>
        <w:rPr>
          <w:rFonts w:ascii="Palatino Linotype" w:eastAsia="Palatino Linotype" w:hAnsi="Palatino Linotype" w:cs="Palatino Linotype"/>
          <w:sz w:val="24"/>
          <w:szCs w:val="24"/>
        </w:rPr>
      </w:pPr>
    </w:p>
    <w:p w14:paraId="23BA5909" w14:textId="77777777" w:rsidR="007F623C" w:rsidRDefault="00000000">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II. Razones del Voto Disidente.</w:t>
      </w:r>
    </w:p>
    <w:p w14:paraId="2199878F" w14:textId="1D418501" w:rsidR="00F2414B" w:rsidRPr="00F2414B" w:rsidRDefault="00F2414B" w:rsidP="00FC57B4">
      <w:pPr>
        <w:pStyle w:val="NormalWeb"/>
        <w:spacing w:before="0" w:beforeAutospacing="0" w:after="0" w:afterAutospacing="0" w:line="360" w:lineRule="auto"/>
        <w:jc w:val="both"/>
      </w:pPr>
      <w:r>
        <w:rPr>
          <w:rFonts w:ascii="Palatino Linotype" w:hAnsi="Palatino Linotype"/>
          <w:color w:val="000000"/>
        </w:rPr>
        <w:t xml:space="preserve">Para iniciar la emisión del presente voto, conviene mencionar, que de manera respetuosa, la suscrita </w:t>
      </w:r>
      <w:r>
        <w:rPr>
          <w:rFonts w:ascii="Palatino Linotype" w:hAnsi="Palatino Linotype"/>
          <w:b/>
          <w:bCs/>
          <w:color w:val="000000"/>
        </w:rPr>
        <w:t xml:space="preserve">no comparte </w:t>
      </w:r>
      <w:r>
        <w:rPr>
          <w:rFonts w:ascii="Palatino Linotype" w:hAnsi="Palatino Linotype"/>
          <w:color w:val="000000"/>
        </w:rPr>
        <w:t>las consideraciones que fueron vertidas en la presente resolución, en virtud de que, para la emisora del voto, en el presente caso,</w:t>
      </w:r>
      <w:r>
        <w:rPr>
          <w:rFonts w:ascii="Palatino Linotype" w:hAnsi="Palatino Linotype"/>
          <w:color w:val="000000"/>
        </w:rPr>
        <w:t xml:space="preserve"> r</w:t>
      </w:r>
      <w:r w:rsidRPr="00F2414B">
        <w:rPr>
          <w:rFonts w:ascii="Palatino Linotype" w:hAnsi="Palatino Linotype"/>
          <w:color w:val="000000"/>
        </w:rPr>
        <w:t xml:space="preserve">esulta importante señalar que se comparte en esencia, el sentido de la resolución, sin embargo, el punto medular del presente voto radica en el plazo que se otorgó al Sujeto Obligado para dar cumplimiento a la resolución, el cual consiste en </w:t>
      </w:r>
      <w:r w:rsidRPr="00F2414B">
        <w:rPr>
          <w:rFonts w:ascii="Palatino Linotype" w:hAnsi="Palatino Linotype"/>
          <w:b/>
          <w:bCs/>
          <w:color w:val="000000"/>
        </w:rPr>
        <w:t xml:space="preserve">sesenta días hábiles, </w:t>
      </w:r>
      <w:r w:rsidRPr="00F2414B">
        <w:rPr>
          <w:rFonts w:ascii="Palatino Linotype" w:hAnsi="Palatino Linotype"/>
          <w:color w:val="000000"/>
        </w:rPr>
        <w:t xml:space="preserve">ello bajo el  siguiente argumento </w:t>
      </w:r>
      <w:r w:rsidRPr="00F2414B">
        <w:rPr>
          <w:rFonts w:ascii="Palatino Linotype" w:hAnsi="Palatino Linotype"/>
          <w:i/>
          <w:iCs/>
          <w:color w:val="000000"/>
        </w:rPr>
        <w:t xml:space="preserve">“…de acuerdo a las manifestaciones realizadas por el sujeto obligado tanto en su respuesta como en el informe justificado, los datos que deberá dar acceso al hoy recurrente corresponden a un trámite en específico, </w:t>
      </w:r>
      <w:r w:rsidRPr="00F2414B">
        <w:rPr>
          <w:rFonts w:ascii="Palatino Linotype" w:hAnsi="Palatino Linotype"/>
          <w:i/>
          <w:iCs/>
          <w:color w:val="000000"/>
        </w:rPr>
        <w:lastRenderedPageBreak/>
        <w:t xml:space="preserve">denominado “Proyecto Pensión” previsto en los artículos66, 67, 68 y 82 del Reglamento de Prestaciones del Instituto de Seguridad Social del Estado de México y Municipios, el cual conlleva una carga excesiva de trabajo para el sujeto obligado ya que debe hacer una búsqueda ex profeso, de las documentales en el histórico del hoy recurrente desde que comenzó a cotizar al ISSEMYM, a la fecha de la solicitud, y tomando en cuenta que la lista de espera es de una gran cantidad de derechohabientes, que, derivado de la presente solicitud debe dejar en espera, es que se considera que el términos de atención deba ser </w:t>
      </w:r>
      <w:r w:rsidRPr="00F2414B">
        <w:rPr>
          <w:rFonts w:ascii="Palatino Linotype" w:hAnsi="Palatino Linotype"/>
          <w:b/>
          <w:bCs/>
          <w:i/>
          <w:iCs/>
          <w:color w:val="000000"/>
          <w:u w:val="single"/>
        </w:rPr>
        <w:t>de sesenta (60) días hábiles</w:t>
      </w:r>
      <w:r w:rsidRPr="00F2414B">
        <w:rPr>
          <w:rFonts w:ascii="Palatino Linotype" w:hAnsi="Palatino Linotype"/>
          <w:i/>
          <w:iCs/>
          <w:color w:val="000000"/>
        </w:rPr>
        <w:t>...”(Sic)</w:t>
      </w:r>
    </w:p>
    <w:p w14:paraId="19F2308C" w14:textId="77777777" w:rsidR="00F2414B" w:rsidRPr="00F2414B" w:rsidRDefault="00F2414B" w:rsidP="00FC57B4">
      <w:pPr>
        <w:spacing w:after="0" w:line="360" w:lineRule="auto"/>
        <w:rPr>
          <w:rFonts w:ascii="Times New Roman" w:eastAsia="Times New Roman" w:hAnsi="Times New Roman" w:cs="Times New Roman"/>
          <w:sz w:val="24"/>
          <w:szCs w:val="24"/>
        </w:rPr>
      </w:pPr>
    </w:p>
    <w:p w14:paraId="7B3D3C27" w14:textId="77777777" w:rsidR="00F2414B" w:rsidRPr="00F2414B" w:rsidRDefault="00F2414B" w:rsidP="00FC57B4">
      <w:pPr>
        <w:spacing w:after="0" w:line="360" w:lineRule="auto"/>
        <w:jc w:val="both"/>
        <w:rPr>
          <w:rFonts w:ascii="Times New Roman" w:eastAsia="Times New Roman" w:hAnsi="Times New Roman" w:cs="Times New Roman"/>
          <w:sz w:val="24"/>
          <w:szCs w:val="24"/>
        </w:rPr>
      </w:pPr>
      <w:r w:rsidRPr="00F2414B">
        <w:rPr>
          <w:rFonts w:ascii="Palatino Linotype" w:eastAsia="Times New Roman" w:hAnsi="Palatino Linotype" w:cs="Times New Roman"/>
          <w:color w:val="000000"/>
          <w:sz w:val="24"/>
          <w:szCs w:val="24"/>
        </w:rPr>
        <w:t>En este sentido, cabe insistir que, el artículo 186 de la Ley de Transparencia y Acceso a la Información Pública del Estado de México y Municipios, y que en el presente asunto es de aplicación supletoria, en su último párrafo establece lo siguiente: </w:t>
      </w:r>
    </w:p>
    <w:p w14:paraId="7739A770" w14:textId="77777777" w:rsidR="00F2414B" w:rsidRPr="00F2414B" w:rsidRDefault="00F2414B" w:rsidP="00F2414B">
      <w:pPr>
        <w:spacing w:after="0" w:line="240" w:lineRule="auto"/>
        <w:rPr>
          <w:rFonts w:ascii="Times New Roman" w:eastAsia="Times New Roman" w:hAnsi="Times New Roman" w:cs="Times New Roman"/>
          <w:sz w:val="24"/>
          <w:szCs w:val="24"/>
        </w:rPr>
      </w:pPr>
    </w:p>
    <w:p w14:paraId="79D97CE1" w14:textId="77777777" w:rsidR="00F2414B" w:rsidRPr="00F2414B" w:rsidRDefault="00F2414B" w:rsidP="00F2414B">
      <w:pPr>
        <w:spacing w:after="0" w:line="240" w:lineRule="auto"/>
        <w:ind w:left="567" w:right="990"/>
        <w:jc w:val="both"/>
        <w:rPr>
          <w:rFonts w:ascii="Times New Roman" w:eastAsia="Times New Roman" w:hAnsi="Times New Roman" w:cs="Times New Roman"/>
          <w:sz w:val="24"/>
          <w:szCs w:val="24"/>
        </w:rPr>
      </w:pPr>
      <w:r w:rsidRPr="00F2414B">
        <w:rPr>
          <w:rFonts w:ascii="Palatino Linotype" w:eastAsia="Times New Roman" w:hAnsi="Palatino Linotype" w:cs="Times New Roman"/>
          <w:i/>
          <w:iCs/>
          <w:color w:val="000000"/>
        </w:rPr>
        <w:t>“Artículo 186</w:t>
      </w:r>
    </w:p>
    <w:p w14:paraId="2798B40F" w14:textId="77777777" w:rsidR="00F2414B" w:rsidRPr="00F2414B" w:rsidRDefault="00F2414B" w:rsidP="00F2414B">
      <w:pPr>
        <w:spacing w:after="0" w:line="240" w:lineRule="auto"/>
        <w:ind w:left="567" w:right="990"/>
        <w:jc w:val="both"/>
        <w:rPr>
          <w:rFonts w:ascii="Times New Roman" w:eastAsia="Times New Roman" w:hAnsi="Times New Roman" w:cs="Times New Roman"/>
          <w:sz w:val="24"/>
          <w:szCs w:val="24"/>
        </w:rPr>
      </w:pPr>
      <w:r w:rsidRPr="00F2414B">
        <w:rPr>
          <w:rFonts w:ascii="Palatino Linotype" w:eastAsia="Times New Roman" w:hAnsi="Palatino Linotype" w:cs="Times New Roman"/>
          <w:i/>
          <w:iCs/>
          <w:color w:val="000000"/>
        </w:rPr>
        <w:t>…</w:t>
      </w:r>
    </w:p>
    <w:p w14:paraId="284061B7" w14:textId="77777777" w:rsidR="00F2414B" w:rsidRPr="00F2414B" w:rsidRDefault="00F2414B" w:rsidP="00F2414B">
      <w:pPr>
        <w:spacing w:after="0" w:line="240" w:lineRule="auto"/>
        <w:ind w:left="567" w:right="990"/>
        <w:jc w:val="both"/>
        <w:rPr>
          <w:rFonts w:ascii="Times New Roman" w:eastAsia="Times New Roman" w:hAnsi="Times New Roman" w:cs="Times New Roman"/>
          <w:sz w:val="24"/>
          <w:szCs w:val="24"/>
        </w:rPr>
      </w:pPr>
      <w:r w:rsidRPr="00F2414B">
        <w:rPr>
          <w:rFonts w:ascii="Palatino Linotype" w:eastAsia="Times New Roman" w:hAnsi="Palatino Linotype" w:cs="Times New Roman"/>
          <w:i/>
          <w:iCs/>
          <w:color w:val="000000"/>
        </w:rPr>
        <w:t xml:space="preserve">Las resoluciones establecerán, en su caso, los plazos y términos para su cumplimiento y los procedimientos para asegurar su ejecución, </w:t>
      </w:r>
      <w:r w:rsidRPr="00F2414B">
        <w:rPr>
          <w:rFonts w:ascii="Palatino Linotype" w:eastAsia="Times New Roman" w:hAnsi="Palatino Linotype" w:cs="Times New Roman"/>
          <w:b/>
          <w:bCs/>
          <w:i/>
          <w:iCs/>
          <w:color w:val="000000"/>
          <w:u w:val="single"/>
        </w:rPr>
        <w:t>los cuales no podrán exceder de diez días hábiles para la entrega de información</w:t>
      </w:r>
      <w:r w:rsidRPr="00F2414B">
        <w:rPr>
          <w:rFonts w:ascii="Palatino Linotype" w:eastAsia="Times New Roman" w:hAnsi="Palatino Linotype" w:cs="Times New Roman"/>
          <w:i/>
          <w:iCs/>
          <w:color w:val="000000"/>
        </w:rPr>
        <w:t xml:space="preserve">. Excepcionalmente el Instituto, previa fundamentación y motivación, podrán ampliar estos plazos cuando el asunto así lo </w:t>
      </w:r>
      <w:proofErr w:type="gramStart"/>
      <w:r w:rsidRPr="00F2414B">
        <w:rPr>
          <w:rFonts w:ascii="Palatino Linotype" w:eastAsia="Times New Roman" w:hAnsi="Palatino Linotype" w:cs="Times New Roman"/>
          <w:i/>
          <w:iCs/>
          <w:color w:val="000000"/>
        </w:rPr>
        <w:t>requiera</w:t>
      </w:r>
      <w:r w:rsidRPr="00F2414B">
        <w:rPr>
          <w:rFonts w:ascii="Palatino Linotype" w:eastAsia="Times New Roman" w:hAnsi="Palatino Linotype" w:cs="Times New Roman"/>
          <w:b/>
          <w:bCs/>
          <w:i/>
          <w:iCs/>
          <w:color w:val="000000"/>
        </w:rPr>
        <w:t xml:space="preserve">” </w:t>
      </w:r>
      <w:r w:rsidRPr="00F2414B">
        <w:rPr>
          <w:rFonts w:ascii="Palatino Linotype" w:eastAsia="Times New Roman" w:hAnsi="Palatino Linotype" w:cs="Times New Roman"/>
          <w:i/>
          <w:iCs/>
          <w:color w:val="000000"/>
        </w:rPr>
        <w:t> (</w:t>
      </w:r>
      <w:proofErr w:type="gramEnd"/>
      <w:r w:rsidRPr="00F2414B">
        <w:rPr>
          <w:rFonts w:ascii="Palatino Linotype" w:eastAsia="Times New Roman" w:hAnsi="Palatino Linotype" w:cs="Times New Roman"/>
          <w:i/>
          <w:iCs/>
          <w:color w:val="000000"/>
        </w:rPr>
        <w:t>Énfasis añadido)</w:t>
      </w:r>
    </w:p>
    <w:p w14:paraId="48F18125" w14:textId="77777777" w:rsidR="00F2414B" w:rsidRPr="00F2414B" w:rsidRDefault="00F2414B" w:rsidP="00F2414B">
      <w:pPr>
        <w:spacing w:after="0" w:line="240" w:lineRule="auto"/>
        <w:rPr>
          <w:rFonts w:ascii="Times New Roman" w:eastAsia="Times New Roman" w:hAnsi="Times New Roman" w:cs="Times New Roman"/>
          <w:sz w:val="24"/>
          <w:szCs w:val="24"/>
        </w:rPr>
      </w:pPr>
    </w:p>
    <w:p w14:paraId="73F45635" w14:textId="77777777" w:rsidR="00F2414B" w:rsidRPr="00F2414B" w:rsidRDefault="00F2414B" w:rsidP="00FC57B4">
      <w:pPr>
        <w:spacing w:after="0" w:line="360" w:lineRule="auto"/>
        <w:ind w:right="-6"/>
        <w:jc w:val="both"/>
        <w:rPr>
          <w:rFonts w:ascii="Times New Roman" w:eastAsia="Times New Roman" w:hAnsi="Times New Roman" w:cs="Times New Roman"/>
          <w:sz w:val="24"/>
          <w:szCs w:val="24"/>
        </w:rPr>
      </w:pPr>
      <w:r w:rsidRPr="00F2414B">
        <w:rPr>
          <w:rFonts w:ascii="Palatino Linotype" w:eastAsia="Times New Roman" w:hAnsi="Palatino Linotype" w:cs="Times New Roman"/>
          <w:color w:val="000000"/>
          <w:sz w:val="24"/>
          <w:szCs w:val="24"/>
        </w:rPr>
        <w:t xml:space="preserve">Es así </w:t>
      </w:r>
      <w:proofErr w:type="gramStart"/>
      <w:r w:rsidRPr="00F2414B">
        <w:rPr>
          <w:rFonts w:ascii="Palatino Linotype" w:eastAsia="Times New Roman" w:hAnsi="Palatino Linotype" w:cs="Times New Roman"/>
          <w:color w:val="000000"/>
          <w:sz w:val="24"/>
          <w:szCs w:val="24"/>
        </w:rPr>
        <w:t>que</w:t>
      </w:r>
      <w:proofErr w:type="gramEnd"/>
      <w:r w:rsidRPr="00F2414B">
        <w:rPr>
          <w:rFonts w:ascii="Palatino Linotype" w:eastAsia="Times New Roman" w:hAnsi="Palatino Linotype" w:cs="Times New Roman"/>
          <w:color w:val="000000"/>
          <w:sz w:val="24"/>
          <w:szCs w:val="24"/>
        </w:rPr>
        <w:t xml:space="preserve"> resulta importante traer a colación el contenido de este precepto legal, en razón de que el plazo concedido para el cumplimiento de las resoluciones es de diez días hábiles, sin embargo, la legislación establece una excepción para la ampliación de dicho plazo previa fundamentación y motivación cuando el asunto así lo requiera.</w:t>
      </w:r>
    </w:p>
    <w:p w14:paraId="7F9C336D" w14:textId="77777777" w:rsidR="00F2414B" w:rsidRPr="00F2414B" w:rsidRDefault="00F2414B" w:rsidP="00FC57B4">
      <w:pPr>
        <w:spacing w:after="0" w:line="360" w:lineRule="auto"/>
        <w:rPr>
          <w:rFonts w:ascii="Times New Roman" w:eastAsia="Times New Roman" w:hAnsi="Times New Roman" w:cs="Times New Roman"/>
          <w:sz w:val="24"/>
          <w:szCs w:val="24"/>
        </w:rPr>
      </w:pPr>
    </w:p>
    <w:p w14:paraId="266DC653" w14:textId="77777777" w:rsidR="00F2414B" w:rsidRPr="00F2414B" w:rsidRDefault="00F2414B" w:rsidP="00FC57B4">
      <w:pPr>
        <w:spacing w:after="0" w:line="360" w:lineRule="auto"/>
        <w:ind w:right="-6"/>
        <w:jc w:val="both"/>
        <w:rPr>
          <w:rFonts w:ascii="Times New Roman" w:eastAsia="Times New Roman" w:hAnsi="Times New Roman" w:cs="Times New Roman"/>
          <w:sz w:val="24"/>
          <w:szCs w:val="24"/>
        </w:rPr>
      </w:pPr>
      <w:r w:rsidRPr="00F2414B">
        <w:rPr>
          <w:rFonts w:ascii="Palatino Linotype" w:eastAsia="Times New Roman" w:hAnsi="Palatino Linotype" w:cs="Times New Roman"/>
          <w:color w:val="000000"/>
          <w:sz w:val="24"/>
          <w:szCs w:val="24"/>
        </w:rPr>
        <w:lastRenderedPageBreak/>
        <w:t>En este sentido, como ya se mencionó, si bien en la resolución se señaló como motivos para justificar la ampliación de plazo para el cumplimiento de la resolución que: “…</w:t>
      </w:r>
      <w:r w:rsidRPr="00F2414B">
        <w:rPr>
          <w:rFonts w:ascii="Palatino Linotype" w:eastAsia="Times New Roman" w:hAnsi="Palatino Linotype" w:cs="Times New Roman"/>
          <w:b/>
          <w:bCs/>
          <w:i/>
          <w:iCs/>
          <w:color w:val="000000"/>
          <w:sz w:val="24"/>
          <w:szCs w:val="24"/>
          <w:u w:val="single"/>
        </w:rPr>
        <w:t xml:space="preserve">el término de diez días para dar cumplimiento es insuficiente para hacer la búsqueda del histórico del hoy recurrente a efecto de darle acceso a sus datos </w:t>
      </w:r>
      <w:proofErr w:type="gramStart"/>
      <w:r w:rsidRPr="00F2414B">
        <w:rPr>
          <w:rFonts w:ascii="Palatino Linotype" w:eastAsia="Times New Roman" w:hAnsi="Palatino Linotype" w:cs="Times New Roman"/>
          <w:b/>
          <w:bCs/>
          <w:i/>
          <w:iCs/>
          <w:color w:val="000000"/>
          <w:sz w:val="24"/>
          <w:szCs w:val="24"/>
          <w:u w:val="single"/>
        </w:rPr>
        <w:t>personales..</w:t>
      </w:r>
      <w:proofErr w:type="gramEnd"/>
      <w:r w:rsidRPr="00F2414B">
        <w:rPr>
          <w:rFonts w:ascii="Palatino Linotype" w:eastAsia="Times New Roman" w:hAnsi="Palatino Linotype" w:cs="Times New Roman"/>
          <w:b/>
          <w:bCs/>
          <w:i/>
          <w:iCs/>
          <w:color w:val="000000"/>
          <w:sz w:val="24"/>
          <w:szCs w:val="24"/>
          <w:u w:val="single"/>
        </w:rPr>
        <w:t>”</w:t>
      </w:r>
    </w:p>
    <w:p w14:paraId="5C5E1D04" w14:textId="77777777" w:rsidR="00F2414B" w:rsidRPr="00F2414B" w:rsidRDefault="00F2414B" w:rsidP="00FC57B4">
      <w:pPr>
        <w:spacing w:after="0" w:line="360" w:lineRule="auto"/>
        <w:rPr>
          <w:rFonts w:ascii="Times New Roman" w:eastAsia="Times New Roman" w:hAnsi="Times New Roman" w:cs="Times New Roman"/>
          <w:sz w:val="24"/>
          <w:szCs w:val="24"/>
        </w:rPr>
      </w:pPr>
    </w:p>
    <w:p w14:paraId="218C0B81" w14:textId="77777777" w:rsidR="00F2414B" w:rsidRPr="00F2414B" w:rsidRDefault="00F2414B" w:rsidP="00FC57B4">
      <w:pPr>
        <w:spacing w:after="0" w:line="360" w:lineRule="auto"/>
        <w:ind w:right="-6"/>
        <w:jc w:val="both"/>
        <w:rPr>
          <w:rFonts w:ascii="Times New Roman" w:eastAsia="Times New Roman" w:hAnsi="Times New Roman" w:cs="Times New Roman"/>
          <w:sz w:val="24"/>
          <w:szCs w:val="24"/>
        </w:rPr>
      </w:pPr>
      <w:r w:rsidRPr="00F2414B">
        <w:rPr>
          <w:rFonts w:ascii="Palatino Linotype" w:eastAsia="Times New Roman" w:hAnsi="Palatino Linotype" w:cs="Times New Roman"/>
          <w:color w:val="000000"/>
          <w:sz w:val="24"/>
          <w:szCs w:val="24"/>
        </w:rPr>
        <w:t>También lo es que dentro del análisis realizado en la propia resolución se señala que: </w:t>
      </w:r>
    </w:p>
    <w:p w14:paraId="14A220AB" w14:textId="77777777" w:rsidR="00F2414B" w:rsidRPr="00F2414B" w:rsidRDefault="00F2414B" w:rsidP="00F2414B">
      <w:pPr>
        <w:spacing w:after="0" w:line="240" w:lineRule="auto"/>
        <w:rPr>
          <w:rFonts w:ascii="Times New Roman" w:eastAsia="Times New Roman" w:hAnsi="Times New Roman" w:cs="Times New Roman"/>
          <w:sz w:val="24"/>
          <w:szCs w:val="24"/>
        </w:rPr>
      </w:pPr>
    </w:p>
    <w:p w14:paraId="2ACBFA91" w14:textId="77777777" w:rsidR="00F2414B" w:rsidRPr="00F2414B" w:rsidRDefault="00F2414B" w:rsidP="00F2414B">
      <w:pPr>
        <w:spacing w:line="240" w:lineRule="auto"/>
        <w:ind w:left="567" w:right="706"/>
        <w:jc w:val="both"/>
        <w:rPr>
          <w:rFonts w:ascii="Times New Roman" w:eastAsia="Times New Roman" w:hAnsi="Times New Roman" w:cs="Times New Roman"/>
          <w:sz w:val="24"/>
          <w:szCs w:val="24"/>
        </w:rPr>
      </w:pPr>
      <w:proofErr w:type="gramStart"/>
      <w:r w:rsidRPr="00F2414B">
        <w:rPr>
          <w:rFonts w:ascii="Palatino Linotype" w:eastAsia="Times New Roman" w:hAnsi="Palatino Linotype" w:cs="Times New Roman"/>
          <w:i/>
          <w:iCs/>
          <w:color w:val="000000"/>
          <w:sz w:val="20"/>
          <w:szCs w:val="20"/>
        </w:rPr>
        <w:t>“..</w:t>
      </w:r>
      <w:proofErr w:type="gramEnd"/>
      <w:r w:rsidRPr="00F2414B">
        <w:rPr>
          <w:rFonts w:ascii="Palatino Linotype" w:eastAsia="Times New Roman" w:hAnsi="Palatino Linotype" w:cs="Times New Roman"/>
          <w:i/>
          <w:iCs/>
          <w:color w:val="000000"/>
        </w:rPr>
        <w:t xml:space="preserve">aunque lo solicitado por el particular </w:t>
      </w:r>
      <w:r w:rsidRPr="00F2414B">
        <w:rPr>
          <w:rFonts w:ascii="Palatino Linotype" w:eastAsia="Times New Roman" w:hAnsi="Palatino Linotype" w:cs="Times New Roman"/>
          <w:b/>
          <w:bCs/>
          <w:i/>
          <w:iCs/>
          <w:color w:val="000000"/>
          <w:u w:val="single"/>
        </w:rPr>
        <w:t>pudiera corresponder a un trámite especifico</w:t>
      </w:r>
      <w:r w:rsidRPr="00F2414B">
        <w:rPr>
          <w:rFonts w:ascii="Palatino Linotype" w:eastAsia="Times New Roman" w:hAnsi="Palatino Linotype" w:cs="Times New Roman"/>
          <w:i/>
          <w:iCs/>
          <w:color w:val="000000"/>
        </w:rPr>
        <w:t xml:space="preserve">, resulta trascendente el numeral 98 de la Ley de Protección de Datos Personales en Posesión de Sujetos Obligados del Estado de México y Municipios, en el que se establece que </w:t>
      </w:r>
      <w:r w:rsidRPr="00F2414B">
        <w:rPr>
          <w:rFonts w:ascii="Palatino Linotype" w:eastAsia="Times New Roman" w:hAnsi="Palatino Linotype" w:cs="Times New Roman"/>
          <w:b/>
          <w:bCs/>
          <w:i/>
          <w:iCs/>
          <w:color w:val="000000"/>
          <w:u w:val="single"/>
        </w:rPr>
        <w:t>el Titular de los Datos Personales tiene derecho a ser informado sobre sus datos personales en posesión de alguna autoridad…”</w:t>
      </w:r>
    </w:p>
    <w:p w14:paraId="6E585A39" w14:textId="77777777" w:rsidR="00F2414B" w:rsidRPr="00F2414B" w:rsidRDefault="00F2414B" w:rsidP="00F2414B">
      <w:pPr>
        <w:spacing w:after="0" w:line="240" w:lineRule="auto"/>
        <w:rPr>
          <w:rFonts w:ascii="Times New Roman" w:eastAsia="Times New Roman" w:hAnsi="Times New Roman" w:cs="Times New Roman"/>
          <w:sz w:val="24"/>
          <w:szCs w:val="24"/>
        </w:rPr>
      </w:pPr>
    </w:p>
    <w:p w14:paraId="4E8A3CD5" w14:textId="77777777" w:rsidR="00F2414B" w:rsidRPr="00F2414B" w:rsidRDefault="00F2414B" w:rsidP="00FC57B4">
      <w:pPr>
        <w:spacing w:after="0" w:line="360" w:lineRule="auto"/>
        <w:ind w:right="-3"/>
        <w:jc w:val="both"/>
        <w:rPr>
          <w:rFonts w:ascii="Times New Roman" w:eastAsia="Times New Roman" w:hAnsi="Times New Roman" w:cs="Times New Roman"/>
          <w:sz w:val="24"/>
          <w:szCs w:val="24"/>
        </w:rPr>
      </w:pPr>
      <w:r w:rsidRPr="00F2414B">
        <w:rPr>
          <w:rFonts w:ascii="Palatino Linotype" w:eastAsia="Times New Roman" w:hAnsi="Palatino Linotype" w:cs="Times New Roman"/>
          <w:color w:val="000000"/>
          <w:sz w:val="24"/>
          <w:szCs w:val="24"/>
        </w:rPr>
        <w:t xml:space="preserve">De los argumentos antes expuestos, se destaca que si bien el acceso a las semanas cotizadas ente el Instituto de Seguridad Social del Estado de México y Municipios, se trata de un trámite en específico, la resolución se sustenta en lo dispuesto por el artículo 98 de la Ley de Protección de Datos Personales en Posesión de Sujetos Obligados del Estado de México y Municipios, en el que se otorga al titular de los datos personales la posibilidad de ser informado sobre los datos en posesión de alguna autoridad; sin embargo, si bien es cierto que en primera intención se pretende garantizar el derecho de acceso a los datos personales del solicitante, también lo es que, resulta contradictorio el plazo de 60 días hábiles, otorgado para la entrega de la información requerida, siendo un plazo totalmente excesivo a lo establecido por la </w:t>
      </w:r>
      <w:r w:rsidRPr="00F2414B">
        <w:rPr>
          <w:rFonts w:ascii="Palatino Linotype" w:eastAsia="Times New Roman" w:hAnsi="Palatino Linotype" w:cs="Times New Roman"/>
          <w:color w:val="000000"/>
          <w:sz w:val="24"/>
          <w:szCs w:val="24"/>
        </w:rPr>
        <w:lastRenderedPageBreak/>
        <w:t>Ley de Transparencia Local de aplicación supletoria, al no observarse debidamente fundamentada y motivada la justificación de la ampliación de plazo para el cumplimiento de la presente resolución. </w:t>
      </w:r>
    </w:p>
    <w:p w14:paraId="284CA899" w14:textId="77777777" w:rsidR="00F2414B" w:rsidRPr="00F2414B" w:rsidRDefault="00F2414B" w:rsidP="00FC57B4">
      <w:pPr>
        <w:spacing w:after="0" w:line="360" w:lineRule="auto"/>
        <w:rPr>
          <w:rFonts w:ascii="Times New Roman" w:eastAsia="Times New Roman" w:hAnsi="Times New Roman" w:cs="Times New Roman"/>
          <w:sz w:val="24"/>
          <w:szCs w:val="24"/>
        </w:rPr>
      </w:pPr>
    </w:p>
    <w:p w14:paraId="1FECBAAB" w14:textId="77777777" w:rsidR="00F2414B" w:rsidRPr="00F2414B" w:rsidRDefault="00F2414B" w:rsidP="00FC57B4">
      <w:pPr>
        <w:spacing w:after="0" w:line="360" w:lineRule="auto"/>
        <w:ind w:right="-3"/>
        <w:jc w:val="both"/>
        <w:rPr>
          <w:rFonts w:ascii="Times New Roman" w:eastAsia="Times New Roman" w:hAnsi="Times New Roman" w:cs="Times New Roman"/>
          <w:sz w:val="24"/>
          <w:szCs w:val="24"/>
        </w:rPr>
      </w:pPr>
      <w:r w:rsidRPr="00F2414B">
        <w:rPr>
          <w:rFonts w:ascii="Palatino Linotype" w:eastAsia="Times New Roman" w:hAnsi="Palatino Linotype" w:cs="Times New Roman"/>
          <w:color w:val="000000"/>
          <w:sz w:val="24"/>
          <w:szCs w:val="24"/>
        </w:rPr>
        <w:t>Por consiguiente, otorgar el plazo de 60 días hábiles al Sujeto Obligado para el cumplimiento de la resolución y atender la solicitud del Titular de los datos personales, además de dilatar la entrega de la información solicitada; determinación que se contrapone a la Ley de Protección de Datos Personales en Posesión de Sujetos Obligados del Estado de México y Municipios, cuya finalidad es determinar procedimientos sencillos y expeditos para el acceso a los datos personales. </w:t>
      </w:r>
    </w:p>
    <w:p w14:paraId="57C1F7BA" w14:textId="77777777" w:rsidR="00F2414B" w:rsidRPr="00F2414B" w:rsidRDefault="00F2414B" w:rsidP="00FC57B4">
      <w:pPr>
        <w:spacing w:after="0" w:line="360" w:lineRule="auto"/>
        <w:rPr>
          <w:rFonts w:ascii="Times New Roman" w:eastAsia="Times New Roman" w:hAnsi="Times New Roman" w:cs="Times New Roman"/>
          <w:sz w:val="24"/>
          <w:szCs w:val="24"/>
        </w:rPr>
      </w:pPr>
    </w:p>
    <w:p w14:paraId="474990F5" w14:textId="77777777" w:rsidR="00F2414B" w:rsidRPr="00F2414B" w:rsidRDefault="00F2414B" w:rsidP="00FC57B4">
      <w:pPr>
        <w:spacing w:line="360" w:lineRule="auto"/>
        <w:jc w:val="both"/>
        <w:rPr>
          <w:rFonts w:ascii="Times New Roman" w:eastAsia="Times New Roman" w:hAnsi="Times New Roman" w:cs="Times New Roman"/>
          <w:sz w:val="24"/>
          <w:szCs w:val="24"/>
        </w:rPr>
      </w:pPr>
      <w:r w:rsidRPr="00F2414B">
        <w:rPr>
          <w:rFonts w:ascii="Palatino Linotype" w:eastAsia="Times New Roman" w:hAnsi="Palatino Linotype" w:cs="Times New Roman"/>
          <w:color w:val="000000"/>
          <w:sz w:val="24"/>
          <w:szCs w:val="24"/>
        </w:rPr>
        <w:t>Es por todo lo vertido en líneas anteriores que la suscrita no comparte el sentido de la resolución, y formula el presente voto disidente. </w:t>
      </w:r>
    </w:p>
    <w:p w14:paraId="3EF67FF1" w14:textId="6C4AE08A" w:rsidR="007F623C" w:rsidRDefault="007F623C">
      <w:pPr>
        <w:spacing w:after="0" w:line="360" w:lineRule="auto"/>
        <w:jc w:val="both"/>
        <w:rPr>
          <w:rFonts w:ascii="Palatino Linotype" w:eastAsia="Palatino Linotype" w:hAnsi="Palatino Linotype" w:cs="Palatino Linotype"/>
          <w:sz w:val="24"/>
          <w:szCs w:val="24"/>
          <w:highlight w:val="red"/>
        </w:rPr>
      </w:pPr>
    </w:p>
    <w:p w14:paraId="119719F2" w14:textId="77777777" w:rsidR="007F623C" w:rsidRDefault="007F623C">
      <w:pPr>
        <w:spacing w:after="0" w:line="360" w:lineRule="auto"/>
        <w:jc w:val="both"/>
        <w:rPr>
          <w:rFonts w:ascii="Palatino Linotype" w:eastAsia="Palatino Linotype" w:hAnsi="Palatino Linotype" w:cs="Palatino Linotype"/>
          <w:sz w:val="24"/>
          <w:szCs w:val="24"/>
        </w:rPr>
      </w:pPr>
    </w:p>
    <w:p w14:paraId="6CCB00C6" w14:textId="77777777" w:rsidR="007F623C" w:rsidRDefault="007F623C">
      <w:pPr>
        <w:spacing w:after="0" w:line="360" w:lineRule="auto"/>
        <w:jc w:val="both"/>
        <w:rPr>
          <w:rFonts w:ascii="Palatino Linotype" w:eastAsia="Palatino Linotype" w:hAnsi="Palatino Linotype" w:cs="Palatino Linotype"/>
          <w:sz w:val="24"/>
          <w:szCs w:val="24"/>
        </w:rPr>
      </w:pPr>
    </w:p>
    <w:p w14:paraId="42E99E0C" w14:textId="77777777" w:rsidR="007F623C" w:rsidRDefault="007F623C">
      <w:pPr>
        <w:spacing w:after="0" w:line="360" w:lineRule="auto"/>
        <w:jc w:val="both"/>
        <w:rPr>
          <w:rFonts w:ascii="Palatino Linotype" w:eastAsia="Palatino Linotype" w:hAnsi="Palatino Linotype" w:cs="Palatino Linotype"/>
          <w:sz w:val="24"/>
          <w:szCs w:val="24"/>
        </w:rPr>
      </w:pPr>
    </w:p>
    <w:p w14:paraId="1760FE6A" w14:textId="77777777" w:rsidR="007F623C" w:rsidRDefault="007F623C">
      <w:pPr>
        <w:spacing w:after="0" w:line="360" w:lineRule="auto"/>
        <w:jc w:val="both"/>
        <w:rPr>
          <w:rFonts w:ascii="Palatino Linotype" w:eastAsia="Palatino Linotype" w:hAnsi="Palatino Linotype" w:cs="Palatino Linotype"/>
          <w:sz w:val="24"/>
          <w:szCs w:val="24"/>
        </w:rPr>
        <w:sectPr w:rsidR="007F623C">
          <w:headerReference w:type="even" r:id="rId7"/>
          <w:headerReference w:type="default" r:id="rId8"/>
          <w:footerReference w:type="default" r:id="rId9"/>
          <w:headerReference w:type="first" r:id="rId10"/>
          <w:pgSz w:w="12240" w:h="15840"/>
          <w:pgMar w:top="1276" w:right="1701" w:bottom="3544" w:left="1701" w:header="709" w:footer="709" w:gutter="0"/>
          <w:pgNumType w:start="1"/>
          <w:cols w:space="720"/>
        </w:sectPr>
      </w:pPr>
    </w:p>
    <w:p w14:paraId="7F0CE9FE" w14:textId="77777777" w:rsidR="007F623C" w:rsidRDefault="007F623C">
      <w:pPr>
        <w:rPr>
          <w:rFonts w:ascii="Palatino Linotype" w:eastAsia="Palatino Linotype" w:hAnsi="Palatino Linotype" w:cs="Palatino Linotype"/>
          <w:sz w:val="24"/>
          <w:szCs w:val="24"/>
        </w:rPr>
      </w:pPr>
    </w:p>
    <w:sectPr w:rsidR="007F623C">
      <w:headerReference w:type="default" r:id="rId11"/>
      <w:pgSz w:w="12240" w:h="15840"/>
      <w:pgMar w:top="1276" w:right="1701" w:bottom="2211"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813BD" w14:textId="77777777" w:rsidR="00EB32D5" w:rsidRDefault="00EB32D5">
      <w:pPr>
        <w:spacing w:after="0" w:line="240" w:lineRule="auto"/>
      </w:pPr>
      <w:r>
        <w:separator/>
      </w:r>
    </w:p>
  </w:endnote>
  <w:endnote w:type="continuationSeparator" w:id="0">
    <w:p w14:paraId="0AD77A5F" w14:textId="77777777" w:rsidR="00EB32D5" w:rsidRDefault="00EB3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3B653" w14:textId="77777777" w:rsidR="007F623C" w:rsidRDefault="00000000">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2414B">
      <w:rPr>
        <w:noProof/>
        <w:color w:val="000000"/>
      </w:rPr>
      <w:t>1</w:t>
    </w:r>
    <w:r>
      <w:rPr>
        <w:color w:val="000000"/>
      </w:rPr>
      <w:fldChar w:fldCharType="end"/>
    </w:r>
    <w:r>
      <w:rPr>
        <w:color w:val="000000"/>
      </w:rPr>
      <w:t xml:space="preserve"> de 12</w:t>
    </w:r>
  </w:p>
  <w:p w14:paraId="47065735" w14:textId="77777777" w:rsidR="007F623C" w:rsidRDefault="007F623C">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EB7F3" w14:textId="77777777" w:rsidR="00EB32D5" w:rsidRDefault="00EB32D5">
      <w:pPr>
        <w:spacing w:after="0" w:line="240" w:lineRule="auto"/>
      </w:pPr>
      <w:r>
        <w:separator/>
      </w:r>
    </w:p>
  </w:footnote>
  <w:footnote w:type="continuationSeparator" w:id="0">
    <w:p w14:paraId="31A6D5C5" w14:textId="77777777" w:rsidR="00EB32D5" w:rsidRDefault="00EB32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D4551" w14:textId="77777777" w:rsidR="007F623C"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1C21B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598.5pt;height:779.2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8B4F1" w14:textId="77777777" w:rsidR="007F623C" w:rsidRDefault="00000000">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rPr>
      <w:pict w14:anchorId="54B5D8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alt="" style="position:absolute;left:0;text-align:left;margin-left:-53.7pt;margin-top:-93.55pt;width:598.5pt;height:779.25pt;z-index:-251659776;mso-position-horizontal:absolute;mso-position-horizontal-relative:margin;mso-position-vertical:absolute;mso-position-vertical-relative:margin">
          <v:imagedata r:id="rId1" o:title="image1"/>
          <w10:wrap anchorx="margin" anchory="margin"/>
        </v:shape>
      </w:pict>
    </w:r>
  </w:p>
  <w:p w14:paraId="5EC24A4E" w14:textId="77777777" w:rsidR="007F623C" w:rsidRDefault="00000000">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VOTO DISIDENTE </w:t>
    </w:r>
  </w:p>
  <w:p w14:paraId="5EA97A7C" w14:textId="77777777" w:rsidR="007F623C" w:rsidRDefault="00000000">
    <w:pPr>
      <w:pBdr>
        <w:top w:val="nil"/>
        <w:left w:val="nil"/>
        <w:bottom w:val="nil"/>
        <w:right w:val="nil"/>
        <w:between w:val="nil"/>
      </w:pBdr>
      <w:tabs>
        <w:tab w:val="center" w:pos="4419"/>
        <w:tab w:val="right" w:pos="8838"/>
      </w:tabs>
      <w:spacing w:after="0" w:line="240" w:lineRule="auto"/>
      <w:jc w:val="right"/>
      <w:rPr>
        <w:color w:val="000000"/>
      </w:rPr>
    </w:pPr>
    <w:r>
      <w:rPr>
        <w:rFonts w:ascii="Palatino Linotype" w:eastAsia="Palatino Linotype" w:hAnsi="Palatino Linotype" w:cs="Palatino Linotype"/>
        <w:b/>
        <w:color w:val="000000"/>
      </w:rPr>
      <w:t>RECURSO DE REVISIÓN 03599/INFOEM/AD/RR/2022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811CB" w14:textId="77777777" w:rsidR="007F623C"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5F426D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8.5pt;height:779.25pt;z-index:-251658752;mso-position-horizontal:center;mso-position-horizontal-relative:margin;mso-position-vertical:center;mso-position-vertical-relative:margin">
          <v:imagedata r:id="rId1" o:title="image1"/>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9F469" w14:textId="77777777" w:rsidR="007F623C" w:rsidRDefault="007F623C">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p w14:paraId="25D23830" w14:textId="77777777" w:rsidR="007F623C" w:rsidRDefault="007F623C">
    <w:pPr>
      <w:pBdr>
        <w:top w:val="nil"/>
        <w:left w:val="nil"/>
        <w:bottom w:val="nil"/>
        <w:right w:val="nil"/>
        <w:between w:val="nil"/>
      </w:pBdr>
      <w:tabs>
        <w:tab w:val="center" w:pos="4419"/>
        <w:tab w:val="right" w:pos="8838"/>
      </w:tabs>
      <w:spacing w:after="0" w:line="240" w:lineRule="auto"/>
      <w:jc w:val="right"/>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23C"/>
    <w:rsid w:val="007F623C"/>
    <w:rsid w:val="00EB32D5"/>
    <w:rsid w:val="00F2414B"/>
    <w:rsid w:val="00FC57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6EF33"/>
  <w15:docId w15:val="{62657FAC-6360-4BE3-AFBB-A5573F76C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40" w:after="0"/>
      <w:outlineLvl w:val="1"/>
    </w:pPr>
    <w:rPr>
      <w:color w:val="2E75B5"/>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spacing w:line="240" w:lineRule="auto"/>
      <w:outlineLvl w:val="4"/>
    </w:pPr>
    <w:rPr>
      <w:rFonts w:ascii="Times New Roman" w:eastAsia="Times New Roman" w:hAnsi="Times New Roman" w:cs="Times New Roman"/>
      <w:b/>
      <w:sz w:val="20"/>
      <w:szCs w:val="20"/>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iedepgina">
    <w:name w:val="footer"/>
    <w:basedOn w:val="Normal"/>
    <w:link w:val="PiedepginaCar"/>
    <w:uiPriority w:val="99"/>
    <w:unhideWhenUsed/>
    <w:rsid w:val="002574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7473"/>
  </w:style>
  <w:style w:type="paragraph" w:styleId="NormalWeb">
    <w:name w:val="Normal (Web)"/>
    <w:basedOn w:val="Normal"/>
    <w:uiPriority w:val="99"/>
    <w:semiHidden/>
    <w:unhideWhenUsed/>
    <w:rsid w:val="00F241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848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wETc2BxlVJCeCUL27625LSgKlQ==">AMUW2mVgnwu6IxBhCHCgtdoNRqLytW641UaN7/vh1dhmm6e0Va0N/Dby51i9m9XCotxCUXAorfFxIG5AmsHDLG6G3n8WVM70ItAEpnB5JeE/p8JMz+PkW+g=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1564</Words>
  <Characters>8604</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AllInOne-HP</dc:creator>
  <cp:lastModifiedBy>DIANA LAURA RENDON GARCIA</cp:lastModifiedBy>
  <cp:revision>2</cp:revision>
  <dcterms:created xsi:type="dcterms:W3CDTF">2022-07-01T00:24:00Z</dcterms:created>
  <dcterms:modified xsi:type="dcterms:W3CDTF">2022-07-04T15:19:00Z</dcterms:modified>
</cp:coreProperties>
</file>