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5DCA3" w14:textId="169A19A5" w:rsidR="00994396" w:rsidRPr="008D0ABC" w:rsidRDefault="00994396" w:rsidP="00AB4D0E">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bCs/>
          <w:color w:val="0D0D0D" w:themeColor="text1" w:themeTint="F2"/>
          <w:sz w:val="22"/>
          <w:szCs w:val="22"/>
        </w:rPr>
        <w:t xml:space="preserve">Resolución del Pleno del Instituto de Transparencia, Acceso a la Información Pública y Protección de Datos Personales del Estado de México y Municipios, con domicilio en Metepec, Estado de México, de fecha </w:t>
      </w:r>
      <w:r w:rsidR="009D7477" w:rsidRPr="008D0ABC">
        <w:rPr>
          <w:rFonts w:ascii="Palatino Linotype" w:hAnsi="Palatino Linotype" w:cs="Tahoma"/>
          <w:bCs/>
          <w:color w:val="0D0D0D" w:themeColor="text1" w:themeTint="F2"/>
          <w:sz w:val="22"/>
          <w:szCs w:val="22"/>
        </w:rPr>
        <w:t>primero</w:t>
      </w:r>
      <w:r w:rsidR="00773F73" w:rsidRPr="008D0ABC">
        <w:rPr>
          <w:rFonts w:ascii="Palatino Linotype" w:hAnsi="Palatino Linotype" w:cs="Tahoma"/>
          <w:bCs/>
          <w:color w:val="0D0D0D" w:themeColor="text1" w:themeTint="F2"/>
          <w:sz w:val="22"/>
          <w:szCs w:val="22"/>
        </w:rPr>
        <w:t xml:space="preserve"> de </w:t>
      </w:r>
      <w:r w:rsidR="009D7477" w:rsidRPr="008D0ABC">
        <w:rPr>
          <w:rFonts w:ascii="Palatino Linotype" w:hAnsi="Palatino Linotype" w:cs="Tahoma"/>
          <w:bCs/>
          <w:color w:val="0D0D0D" w:themeColor="text1" w:themeTint="F2"/>
          <w:sz w:val="22"/>
          <w:szCs w:val="22"/>
        </w:rPr>
        <w:t>marzo</w:t>
      </w:r>
      <w:r w:rsidR="009C12F9" w:rsidRPr="008D0ABC">
        <w:rPr>
          <w:rFonts w:ascii="Palatino Linotype" w:hAnsi="Palatino Linotype" w:cs="Tahoma"/>
          <w:bCs/>
          <w:color w:val="0D0D0D" w:themeColor="text1" w:themeTint="F2"/>
          <w:sz w:val="22"/>
          <w:szCs w:val="22"/>
        </w:rPr>
        <w:t xml:space="preserve"> de dos mil veint</w:t>
      </w:r>
      <w:r w:rsidR="009D7477" w:rsidRPr="008D0ABC">
        <w:rPr>
          <w:rFonts w:ascii="Palatino Linotype" w:hAnsi="Palatino Linotype" w:cs="Tahoma"/>
          <w:bCs/>
          <w:color w:val="0D0D0D" w:themeColor="text1" w:themeTint="F2"/>
          <w:sz w:val="22"/>
          <w:szCs w:val="22"/>
        </w:rPr>
        <w:t>itrés</w:t>
      </w:r>
      <w:r w:rsidRPr="008D0ABC">
        <w:rPr>
          <w:rFonts w:ascii="Palatino Linotype" w:hAnsi="Palatino Linotype" w:cs="Tahoma"/>
          <w:bCs/>
          <w:color w:val="0D0D0D" w:themeColor="text1" w:themeTint="F2"/>
          <w:sz w:val="22"/>
          <w:szCs w:val="22"/>
        </w:rPr>
        <w:t>.</w:t>
      </w:r>
    </w:p>
    <w:p w14:paraId="0D2E2891" w14:textId="77777777" w:rsidR="00B31222" w:rsidRPr="008D0ABC" w:rsidRDefault="00B31222" w:rsidP="00A920AD">
      <w:pPr>
        <w:spacing w:line="360" w:lineRule="auto"/>
        <w:jc w:val="center"/>
        <w:rPr>
          <w:rFonts w:ascii="Palatino Linotype" w:hAnsi="Palatino Linotype" w:cs="Tahoma"/>
          <w:bCs/>
          <w:color w:val="0D0D0D" w:themeColor="text1" w:themeTint="F2"/>
          <w:sz w:val="22"/>
          <w:szCs w:val="22"/>
        </w:rPr>
      </w:pPr>
    </w:p>
    <w:p w14:paraId="3ED703DD" w14:textId="0F1F4BFB" w:rsidR="00B31222" w:rsidRPr="008D0ABC" w:rsidRDefault="36AAED7B" w:rsidP="36AAED7B">
      <w:pPr>
        <w:spacing w:line="360" w:lineRule="auto"/>
        <w:jc w:val="both"/>
        <w:rPr>
          <w:rFonts w:ascii="Palatino Linotype" w:hAnsi="Palatino Linotype" w:cs="Tahoma"/>
          <w:color w:val="0D0D0D" w:themeColor="text1" w:themeTint="F2"/>
          <w:sz w:val="22"/>
          <w:szCs w:val="22"/>
        </w:rPr>
      </w:pPr>
      <w:r w:rsidRPr="36AAED7B">
        <w:rPr>
          <w:rFonts w:ascii="Palatino Linotype" w:hAnsi="Palatino Linotype" w:cs="Tahoma"/>
          <w:b/>
          <w:bCs/>
          <w:color w:val="0D0D0D" w:themeColor="text1" w:themeTint="F2"/>
          <w:sz w:val="22"/>
          <w:szCs w:val="22"/>
        </w:rPr>
        <w:t xml:space="preserve">VISTO </w:t>
      </w:r>
      <w:r w:rsidRPr="36AAED7B">
        <w:rPr>
          <w:rFonts w:ascii="Palatino Linotype" w:hAnsi="Palatino Linotype" w:cs="Tahoma"/>
          <w:color w:val="0D0D0D" w:themeColor="text1" w:themeTint="F2"/>
          <w:sz w:val="22"/>
          <w:szCs w:val="22"/>
        </w:rPr>
        <w:t xml:space="preserve">el expediente conformado con motivo del Recurso de Revisión </w:t>
      </w:r>
      <w:r w:rsidRPr="36AAED7B">
        <w:rPr>
          <w:rFonts w:ascii="Palatino Linotype" w:hAnsi="Palatino Linotype" w:cs="Tahoma"/>
          <w:b/>
          <w:bCs/>
          <w:color w:val="0D0D0D" w:themeColor="text1" w:themeTint="F2"/>
          <w:sz w:val="22"/>
          <w:szCs w:val="22"/>
        </w:rPr>
        <w:t>13016/INFOEM/IP/RR/2022</w:t>
      </w:r>
      <w:r w:rsidRPr="36AAED7B">
        <w:rPr>
          <w:rFonts w:ascii="Palatino Linotype" w:hAnsi="Palatino Linotype" w:cs="Tahoma"/>
          <w:color w:val="0D0D0D" w:themeColor="text1" w:themeTint="F2"/>
          <w:sz w:val="22"/>
          <w:szCs w:val="22"/>
        </w:rPr>
        <w:t xml:space="preserve">, interpuesto por </w:t>
      </w:r>
      <w:r w:rsidRPr="36AAED7B">
        <w:rPr>
          <w:rFonts w:ascii="Palatino Linotype" w:hAnsi="Palatino Linotype" w:cs="Tahoma"/>
          <w:color w:val="0D0D0D" w:themeColor="text1" w:themeTint="F2"/>
          <w:sz w:val="22"/>
          <w:szCs w:val="22"/>
          <w:highlight w:val="black"/>
        </w:rPr>
        <w:t>XXXXXXXXXXX</w:t>
      </w:r>
      <w:r w:rsidRPr="36AAED7B">
        <w:rPr>
          <w:rFonts w:ascii="Palatino Linotype" w:hAnsi="Palatino Linotype" w:cs="Tahoma"/>
          <w:color w:val="0D0D0D" w:themeColor="text1" w:themeTint="F2"/>
          <w:sz w:val="22"/>
          <w:szCs w:val="22"/>
        </w:rPr>
        <w:t>, en lo sucesivo, la Recurrente o Particular, en contra de la respuesta del Sujeto Obligado, Ayuntamiento de Aculco, a la solicitud de acceso a la información pública 00105/ACULCO/IP/2022, se emite la presente Resolución, con base en los Antecedentes y Considerandos que a continuación se exponen:</w:t>
      </w:r>
    </w:p>
    <w:p w14:paraId="59BC102C" w14:textId="77777777" w:rsidR="00735915" w:rsidRPr="008D0ABC" w:rsidRDefault="00735915" w:rsidP="00AB4D0E">
      <w:pPr>
        <w:spacing w:line="360" w:lineRule="auto"/>
        <w:rPr>
          <w:rFonts w:ascii="Palatino Linotype" w:hAnsi="Palatino Linotype" w:cs="Tahoma"/>
          <w:color w:val="0D0D0D" w:themeColor="text1" w:themeTint="F2"/>
          <w:sz w:val="22"/>
          <w:szCs w:val="22"/>
        </w:rPr>
      </w:pPr>
    </w:p>
    <w:p w14:paraId="1EC54E7D" w14:textId="77777777" w:rsidR="00B31222" w:rsidRPr="008D0ABC" w:rsidRDefault="00B31222" w:rsidP="00AB4D0E">
      <w:pPr>
        <w:tabs>
          <w:tab w:val="center" w:pos="4522"/>
          <w:tab w:val="left" w:pos="7245"/>
        </w:tabs>
        <w:spacing w:line="360" w:lineRule="auto"/>
        <w:jc w:val="center"/>
        <w:rPr>
          <w:rFonts w:ascii="Palatino Linotype" w:hAnsi="Palatino Linotype" w:cs="Tahoma"/>
          <w:b/>
          <w:color w:val="0D0D0D" w:themeColor="text1" w:themeTint="F2"/>
          <w:sz w:val="22"/>
          <w:szCs w:val="22"/>
        </w:rPr>
      </w:pPr>
      <w:r w:rsidRPr="008D0ABC">
        <w:rPr>
          <w:rFonts w:ascii="Palatino Linotype" w:hAnsi="Palatino Linotype" w:cs="Tahoma"/>
          <w:b/>
          <w:color w:val="0D0D0D" w:themeColor="text1" w:themeTint="F2"/>
          <w:sz w:val="22"/>
          <w:szCs w:val="22"/>
        </w:rPr>
        <w:t>ANTECEDENTES:</w:t>
      </w:r>
    </w:p>
    <w:p w14:paraId="1260D779" w14:textId="77777777" w:rsidR="00B31222" w:rsidRPr="008D0ABC" w:rsidRDefault="00B31222" w:rsidP="00AB4D0E">
      <w:pPr>
        <w:pStyle w:val="Prrafodelista"/>
        <w:tabs>
          <w:tab w:val="left" w:pos="567"/>
        </w:tabs>
        <w:spacing w:line="360" w:lineRule="auto"/>
        <w:ind w:left="0"/>
        <w:contextualSpacing w:val="0"/>
        <w:jc w:val="both"/>
        <w:rPr>
          <w:rFonts w:ascii="Palatino Linotype" w:hAnsi="Palatino Linotype" w:cs="Tahoma"/>
          <w:color w:val="0D0D0D" w:themeColor="text1" w:themeTint="F2"/>
          <w:szCs w:val="22"/>
        </w:rPr>
      </w:pPr>
    </w:p>
    <w:p w14:paraId="2836EA11" w14:textId="65653047" w:rsidR="00DC1594" w:rsidRPr="008D0ABC" w:rsidRDefault="00B31222" w:rsidP="00AB4D0E">
      <w:pPr>
        <w:pStyle w:val="Prrafodelista"/>
        <w:tabs>
          <w:tab w:val="left" w:pos="567"/>
        </w:tabs>
        <w:spacing w:line="360" w:lineRule="auto"/>
        <w:ind w:left="0"/>
        <w:contextualSpacing w:val="0"/>
        <w:jc w:val="both"/>
        <w:rPr>
          <w:rFonts w:ascii="Palatino Linotype" w:hAnsi="Palatino Linotype" w:cs="Tahoma"/>
          <w:b/>
          <w:color w:val="0D0D0D" w:themeColor="text1" w:themeTint="F2"/>
          <w:szCs w:val="22"/>
        </w:rPr>
      </w:pPr>
      <w:r w:rsidRPr="008D0ABC">
        <w:rPr>
          <w:rFonts w:ascii="Palatino Linotype" w:hAnsi="Palatino Linotype" w:cs="Tahoma"/>
          <w:b/>
          <w:color w:val="0D0D0D" w:themeColor="text1" w:themeTint="F2"/>
          <w:szCs w:val="22"/>
        </w:rPr>
        <w:t xml:space="preserve">I. Presentación de </w:t>
      </w:r>
      <w:r w:rsidR="00C5689A" w:rsidRPr="008D0ABC">
        <w:rPr>
          <w:rFonts w:ascii="Palatino Linotype" w:hAnsi="Palatino Linotype" w:cs="Tahoma"/>
          <w:b/>
          <w:color w:val="0D0D0D" w:themeColor="text1" w:themeTint="F2"/>
          <w:szCs w:val="22"/>
        </w:rPr>
        <w:t>la solicitud</w:t>
      </w:r>
      <w:r w:rsidRPr="008D0ABC">
        <w:rPr>
          <w:rFonts w:ascii="Palatino Linotype" w:hAnsi="Palatino Linotype" w:cs="Tahoma"/>
          <w:b/>
          <w:color w:val="0D0D0D" w:themeColor="text1" w:themeTint="F2"/>
          <w:szCs w:val="22"/>
        </w:rPr>
        <w:t xml:space="preserve"> de información. </w:t>
      </w:r>
    </w:p>
    <w:p w14:paraId="5DBE4EFD" w14:textId="77777777" w:rsidR="00DC1594" w:rsidRPr="008D0ABC" w:rsidRDefault="00DC1594" w:rsidP="00AB4D0E">
      <w:pPr>
        <w:pStyle w:val="Prrafodelista"/>
        <w:tabs>
          <w:tab w:val="left" w:pos="567"/>
        </w:tabs>
        <w:spacing w:line="360" w:lineRule="auto"/>
        <w:ind w:left="0"/>
        <w:contextualSpacing w:val="0"/>
        <w:jc w:val="both"/>
        <w:rPr>
          <w:rFonts w:ascii="Palatino Linotype" w:hAnsi="Palatino Linotype" w:cs="Tahoma"/>
          <w:color w:val="0D0D0D" w:themeColor="text1" w:themeTint="F2"/>
          <w:szCs w:val="22"/>
        </w:rPr>
      </w:pPr>
    </w:p>
    <w:p w14:paraId="465B915E" w14:textId="6BA2243D" w:rsidR="00A707F7" w:rsidRPr="008D0ABC" w:rsidRDefault="00A707F7" w:rsidP="00A707F7">
      <w:pPr>
        <w:pStyle w:val="Prrafodelista"/>
        <w:tabs>
          <w:tab w:val="left" w:pos="567"/>
        </w:tabs>
        <w:spacing w:line="360" w:lineRule="auto"/>
        <w:ind w:left="0"/>
        <w:contextualSpacing w:val="0"/>
        <w:jc w:val="both"/>
        <w:rPr>
          <w:rFonts w:ascii="Palatino Linotype" w:hAnsi="Palatino Linotype" w:cs="Tahoma"/>
          <w:color w:val="0D0D0D" w:themeColor="text1" w:themeTint="F2"/>
          <w:szCs w:val="22"/>
        </w:rPr>
      </w:pPr>
      <w:r w:rsidRPr="008D0ABC">
        <w:rPr>
          <w:rFonts w:ascii="Palatino Linotype" w:hAnsi="Palatino Linotype" w:cs="Tahoma"/>
          <w:color w:val="0D0D0D" w:themeColor="text1" w:themeTint="F2"/>
          <w:szCs w:val="22"/>
        </w:rPr>
        <w:t xml:space="preserve">Con fecha </w:t>
      </w:r>
      <w:r w:rsidR="00C433EA" w:rsidRPr="008D0ABC">
        <w:rPr>
          <w:rFonts w:ascii="Palatino Linotype" w:hAnsi="Palatino Linotype" w:cs="Tahoma"/>
          <w:color w:val="0D0D0D" w:themeColor="text1" w:themeTint="F2"/>
          <w:szCs w:val="22"/>
        </w:rPr>
        <w:t xml:space="preserve">veintidós </w:t>
      </w:r>
      <w:r w:rsidR="00773F73" w:rsidRPr="008D0ABC">
        <w:rPr>
          <w:rFonts w:ascii="Palatino Linotype" w:hAnsi="Palatino Linotype" w:cs="Tahoma"/>
          <w:color w:val="0D0D0D" w:themeColor="text1" w:themeTint="F2"/>
          <w:szCs w:val="22"/>
        </w:rPr>
        <w:t xml:space="preserve">de </w:t>
      </w:r>
      <w:r w:rsidR="00C433EA" w:rsidRPr="008D0ABC">
        <w:rPr>
          <w:rFonts w:ascii="Palatino Linotype" w:hAnsi="Palatino Linotype" w:cs="Tahoma"/>
          <w:color w:val="0D0D0D" w:themeColor="text1" w:themeTint="F2"/>
          <w:szCs w:val="22"/>
        </w:rPr>
        <w:t>junio</w:t>
      </w:r>
      <w:r w:rsidR="00FA103D" w:rsidRPr="008D0ABC">
        <w:rPr>
          <w:rFonts w:ascii="Palatino Linotype" w:hAnsi="Palatino Linotype" w:cs="Tahoma"/>
          <w:color w:val="0D0D0D" w:themeColor="text1" w:themeTint="F2"/>
          <w:szCs w:val="22"/>
        </w:rPr>
        <w:t xml:space="preserve"> de dos mil veinti</w:t>
      </w:r>
      <w:r w:rsidR="00680EFE" w:rsidRPr="008D0ABC">
        <w:rPr>
          <w:rFonts w:ascii="Palatino Linotype" w:hAnsi="Palatino Linotype" w:cs="Tahoma"/>
          <w:color w:val="0D0D0D" w:themeColor="text1" w:themeTint="F2"/>
          <w:szCs w:val="22"/>
        </w:rPr>
        <w:t>dós</w:t>
      </w:r>
      <w:r w:rsidRPr="008D0ABC">
        <w:rPr>
          <w:rFonts w:ascii="Palatino Linotype" w:hAnsi="Palatino Linotype" w:cs="Tahoma"/>
          <w:color w:val="0D0D0D" w:themeColor="text1" w:themeTint="F2"/>
          <w:szCs w:val="22"/>
        </w:rPr>
        <w:t xml:space="preserve">, </w:t>
      </w:r>
      <w:r w:rsidR="00C433EA" w:rsidRPr="008D0ABC">
        <w:rPr>
          <w:rFonts w:ascii="Palatino Linotype" w:hAnsi="Palatino Linotype" w:cs="Tahoma"/>
          <w:color w:val="0D0D0D" w:themeColor="text1" w:themeTint="F2"/>
          <w:szCs w:val="22"/>
        </w:rPr>
        <w:t>el</w:t>
      </w:r>
      <w:r w:rsidRPr="008D0ABC">
        <w:rPr>
          <w:rFonts w:ascii="Palatino Linotype" w:hAnsi="Palatino Linotype" w:cs="Tahoma"/>
          <w:color w:val="0D0D0D" w:themeColor="text1" w:themeTint="F2"/>
          <w:szCs w:val="22"/>
        </w:rPr>
        <w:t xml:space="preserve"> Particular presentó una solicitud de acceso a la información pública, </w:t>
      </w:r>
      <w:r w:rsidR="002E0130" w:rsidRPr="008D0ABC">
        <w:rPr>
          <w:rFonts w:ascii="Palatino Linotype" w:hAnsi="Palatino Linotype" w:cs="Tahoma"/>
          <w:color w:val="0D0D0D" w:themeColor="text1" w:themeTint="F2"/>
          <w:szCs w:val="22"/>
        </w:rPr>
        <w:t xml:space="preserve">a través </w:t>
      </w:r>
      <w:r w:rsidR="00FA103D" w:rsidRPr="008D0ABC">
        <w:rPr>
          <w:rFonts w:ascii="Palatino Linotype" w:hAnsi="Palatino Linotype" w:cs="Tahoma"/>
          <w:color w:val="0D0D0D" w:themeColor="text1" w:themeTint="F2"/>
          <w:szCs w:val="22"/>
        </w:rPr>
        <w:t>del Sistema de Acceso a la Información Mexiquense (SAIMEX)</w:t>
      </w:r>
      <w:r w:rsidRPr="008D0ABC">
        <w:rPr>
          <w:rFonts w:ascii="Palatino Linotype" w:hAnsi="Palatino Linotype" w:cs="Tahoma"/>
          <w:color w:val="0D0D0D" w:themeColor="text1" w:themeTint="F2"/>
          <w:szCs w:val="22"/>
        </w:rPr>
        <w:t xml:space="preserve">, ante </w:t>
      </w:r>
      <w:r w:rsidR="00600975" w:rsidRPr="008D0ABC">
        <w:rPr>
          <w:rFonts w:ascii="Palatino Linotype" w:hAnsi="Palatino Linotype" w:cs="Tahoma"/>
          <w:color w:val="0D0D0D" w:themeColor="text1" w:themeTint="F2"/>
          <w:szCs w:val="22"/>
        </w:rPr>
        <w:t>el</w:t>
      </w:r>
      <w:r w:rsidRPr="008D0ABC">
        <w:rPr>
          <w:rFonts w:ascii="Palatino Linotype" w:hAnsi="Palatino Linotype" w:cs="Tahoma"/>
          <w:color w:val="0D0D0D" w:themeColor="text1" w:themeTint="F2"/>
          <w:szCs w:val="22"/>
        </w:rPr>
        <w:t xml:space="preserve"> </w:t>
      </w:r>
      <w:r w:rsidR="00600975" w:rsidRPr="008D0ABC">
        <w:rPr>
          <w:rFonts w:ascii="Palatino Linotype" w:hAnsi="Palatino Linotype" w:cs="Tahoma"/>
          <w:color w:val="0D0D0D" w:themeColor="text1" w:themeTint="F2"/>
          <w:szCs w:val="22"/>
        </w:rPr>
        <w:t xml:space="preserve">Ayuntamiento de </w:t>
      </w:r>
      <w:r w:rsidR="00C433EA" w:rsidRPr="008D0ABC">
        <w:rPr>
          <w:rFonts w:ascii="Palatino Linotype" w:hAnsi="Palatino Linotype" w:cs="Tahoma"/>
          <w:color w:val="0D0D0D" w:themeColor="text1" w:themeTint="F2"/>
          <w:szCs w:val="22"/>
        </w:rPr>
        <w:t>Aculco</w:t>
      </w:r>
      <w:r w:rsidRPr="008D0ABC">
        <w:rPr>
          <w:rFonts w:ascii="Palatino Linotype" w:hAnsi="Palatino Linotype" w:cs="Tahoma"/>
          <w:color w:val="0D0D0D" w:themeColor="text1" w:themeTint="F2"/>
          <w:szCs w:val="22"/>
        </w:rPr>
        <w:t>, en donde requirió lo siguiente:</w:t>
      </w:r>
    </w:p>
    <w:p w14:paraId="728DC233" w14:textId="77777777" w:rsidR="00A707F7" w:rsidRPr="008D0ABC" w:rsidRDefault="00A707F7" w:rsidP="00A707F7">
      <w:pPr>
        <w:tabs>
          <w:tab w:val="left" w:pos="4667"/>
        </w:tabs>
        <w:spacing w:line="360" w:lineRule="auto"/>
        <w:ind w:left="567" w:right="567"/>
        <w:jc w:val="both"/>
        <w:rPr>
          <w:rFonts w:ascii="Palatino Linotype" w:hAnsi="Palatino Linotype" w:cs="Tahoma"/>
          <w:b/>
          <w:bCs/>
          <w:i/>
          <w:color w:val="0D0D0D" w:themeColor="text1" w:themeTint="F2"/>
        </w:rPr>
      </w:pPr>
      <w:r w:rsidRPr="008D0ABC">
        <w:rPr>
          <w:rFonts w:ascii="Palatino Linotype" w:hAnsi="Palatino Linotype" w:cs="Tahoma"/>
          <w:b/>
          <w:bCs/>
          <w:i/>
          <w:color w:val="0D0D0D" w:themeColor="text1" w:themeTint="F2"/>
        </w:rPr>
        <w:t xml:space="preserve"> </w:t>
      </w:r>
    </w:p>
    <w:p w14:paraId="09E3BFF5" w14:textId="7728C801" w:rsidR="00D01F75" w:rsidRPr="008D0ABC" w:rsidRDefault="00D01F75" w:rsidP="00A707F7">
      <w:pPr>
        <w:tabs>
          <w:tab w:val="left" w:pos="4667"/>
        </w:tabs>
        <w:spacing w:line="360" w:lineRule="auto"/>
        <w:ind w:left="567" w:right="567"/>
        <w:jc w:val="both"/>
        <w:rPr>
          <w:rFonts w:ascii="Palatino Linotype" w:hAnsi="Palatino Linotype" w:cs="Tahoma"/>
          <w:b/>
          <w:bCs/>
          <w:i/>
          <w:color w:val="0D0D0D" w:themeColor="text1" w:themeTint="F2"/>
        </w:rPr>
      </w:pPr>
      <w:r w:rsidRPr="008D0ABC">
        <w:rPr>
          <w:rFonts w:ascii="Palatino Linotype" w:hAnsi="Palatino Linotype" w:cs="Tahoma"/>
          <w:b/>
          <w:bCs/>
          <w:i/>
          <w:color w:val="0D0D0D" w:themeColor="text1" w:themeTint="F2"/>
        </w:rPr>
        <w:t>“DESCRIPCIÓN CLARA Y PRECISA DE LA INFORMACIÓN SOLICITADA</w:t>
      </w:r>
    </w:p>
    <w:p w14:paraId="0147D8B9" w14:textId="338F3BB2" w:rsidR="00D01F75" w:rsidRPr="008D0ABC" w:rsidRDefault="00C433EA" w:rsidP="00AB4D0E">
      <w:pPr>
        <w:tabs>
          <w:tab w:val="left" w:pos="4667"/>
        </w:tabs>
        <w:spacing w:line="360" w:lineRule="auto"/>
        <w:ind w:left="567" w:right="567"/>
        <w:jc w:val="both"/>
        <w:rPr>
          <w:rFonts w:ascii="Palatino Linotype" w:hAnsi="Palatino Linotype" w:cs="Tahoma"/>
          <w:bCs/>
          <w:i/>
          <w:color w:val="0D0D0D" w:themeColor="text1" w:themeTint="F2"/>
        </w:rPr>
      </w:pPr>
      <w:r w:rsidRPr="008D0ABC">
        <w:rPr>
          <w:rFonts w:ascii="Palatino Linotype" w:hAnsi="Palatino Linotype" w:cs="Tahoma"/>
          <w:bCs/>
          <w:i/>
          <w:color w:val="0D0D0D" w:themeColor="text1" w:themeTint="F2"/>
        </w:rPr>
        <w:t>Solicito la lista de nombres de proveedores,del ayuntamiento del periodo 1 de enero al 22 de junio del 2022. Solicito copia de los contratos asignados para obra del periodo 1 de enero al 22 de junio del 2022. Solicito los montos y la asignación a empresa y/o persona física de obra de acuerdo a la programación anual de obras. Solicito los contratos de obras y de servicios asignados desde fecha 1 de enero al 22 de junio del 2022.</w:t>
      </w:r>
      <w:r w:rsidR="00D01F75" w:rsidRPr="008D0ABC">
        <w:rPr>
          <w:rFonts w:ascii="Palatino Linotype" w:hAnsi="Palatino Linotype" w:cs="Tahoma"/>
          <w:bCs/>
          <w:i/>
          <w:color w:val="0D0D0D" w:themeColor="text1" w:themeTint="F2"/>
        </w:rPr>
        <w:t>” (Sic.)</w:t>
      </w:r>
    </w:p>
    <w:p w14:paraId="23E50F13" w14:textId="77777777" w:rsidR="00FE42E4" w:rsidRPr="008D0ABC" w:rsidRDefault="00FE42E4" w:rsidP="00AB4D0E">
      <w:pPr>
        <w:tabs>
          <w:tab w:val="left" w:pos="4667"/>
        </w:tabs>
        <w:spacing w:line="360" w:lineRule="auto"/>
        <w:ind w:left="567" w:right="567"/>
        <w:jc w:val="both"/>
        <w:rPr>
          <w:rFonts w:ascii="Palatino Linotype" w:hAnsi="Palatino Linotype" w:cs="Tahoma"/>
          <w:bCs/>
          <w:i/>
          <w:color w:val="0D0D0D" w:themeColor="text1" w:themeTint="F2"/>
        </w:rPr>
      </w:pPr>
    </w:p>
    <w:p w14:paraId="5307D82E" w14:textId="77777777" w:rsidR="002E0130" w:rsidRPr="008D0ABC" w:rsidRDefault="002E0130" w:rsidP="002E0130">
      <w:pPr>
        <w:tabs>
          <w:tab w:val="left" w:pos="4667"/>
        </w:tabs>
        <w:spacing w:line="360" w:lineRule="auto"/>
        <w:ind w:left="567" w:right="567"/>
        <w:jc w:val="both"/>
        <w:rPr>
          <w:rFonts w:ascii="Palatino Linotype" w:hAnsi="Palatino Linotype" w:cs="Tahoma"/>
          <w:b/>
          <w:bCs/>
          <w:i/>
          <w:iCs/>
          <w:color w:val="0D0D0D" w:themeColor="text1" w:themeTint="F2"/>
        </w:rPr>
      </w:pPr>
      <w:r w:rsidRPr="008D0ABC">
        <w:rPr>
          <w:rFonts w:ascii="Palatino Linotype" w:hAnsi="Palatino Linotype" w:cs="Tahoma"/>
          <w:b/>
          <w:bCs/>
          <w:i/>
          <w:iCs/>
          <w:color w:val="0D0D0D" w:themeColor="text1" w:themeTint="F2"/>
        </w:rPr>
        <w:t>“MODALIDAD DE ENTREGA</w:t>
      </w:r>
    </w:p>
    <w:p w14:paraId="09549E77" w14:textId="0235E774" w:rsidR="002E0130" w:rsidRPr="008D0ABC" w:rsidRDefault="00773F73" w:rsidP="002E0130">
      <w:pPr>
        <w:spacing w:line="360" w:lineRule="auto"/>
        <w:ind w:left="567" w:right="567"/>
        <w:jc w:val="both"/>
        <w:rPr>
          <w:rFonts w:ascii="Palatino Linotype" w:hAnsi="Palatino Linotype" w:cs="Tahoma"/>
          <w:bCs/>
          <w:i/>
          <w:color w:val="0D0D0D" w:themeColor="text1" w:themeTint="F2"/>
          <w:szCs w:val="22"/>
        </w:rPr>
      </w:pPr>
      <w:r w:rsidRPr="008D0ABC">
        <w:rPr>
          <w:rFonts w:ascii="Palatino Linotype" w:hAnsi="Palatino Linotype" w:cs="Tahoma"/>
          <w:bCs/>
          <w:i/>
          <w:color w:val="0D0D0D" w:themeColor="text1" w:themeTint="F2"/>
          <w:szCs w:val="22"/>
        </w:rPr>
        <w:t>A través del SAIMEX</w:t>
      </w:r>
      <w:r w:rsidR="002E0130" w:rsidRPr="008D0ABC">
        <w:rPr>
          <w:rFonts w:ascii="Palatino Linotype" w:hAnsi="Palatino Linotype" w:cs="Tahoma"/>
          <w:bCs/>
          <w:i/>
          <w:color w:val="0D0D0D" w:themeColor="text1" w:themeTint="F2"/>
          <w:szCs w:val="22"/>
        </w:rPr>
        <w:t>”</w:t>
      </w:r>
    </w:p>
    <w:p w14:paraId="0056011E" w14:textId="7E46D9B4" w:rsidR="00AA5A86" w:rsidRPr="008D0ABC" w:rsidRDefault="006C1B1D" w:rsidP="00AB4D0E">
      <w:pPr>
        <w:pStyle w:val="Prrafodelista"/>
        <w:tabs>
          <w:tab w:val="left" w:pos="567"/>
        </w:tabs>
        <w:spacing w:line="360" w:lineRule="auto"/>
        <w:ind w:left="0"/>
        <w:contextualSpacing w:val="0"/>
        <w:jc w:val="both"/>
        <w:rPr>
          <w:rFonts w:ascii="Palatino Linotype" w:hAnsi="Palatino Linotype" w:cs="Tahoma"/>
          <w:b/>
          <w:color w:val="0D0D0D" w:themeColor="text1" w:themeTint="F2"/>
          <w:szCs w:val="22"/>
        </w:rPr>
      </w:pPr>
      <w:r w:rsidRPr="008D0ABC">
        <w:rPr>
          <w:rFonts w:ascii="Palatino Linotype" w:hAnsi="Palatino Linotype" w:cs="Tahoma"/>
          <w:b/>
          <w:color w:val="0D0D0D" w:themeColor="text1" w:themeTint="F2"/>
          <w:szCs w:val="22"/>
        </w:rPr>
        <w:t>II</w:t>
      </w:r>
      <w:r w:rsidR="00C55151" w:rsidRPr="008D0ABC">
        <w:rPr>
          <w:rFonts w:ascii="Palatino Linotype" w:hAnsi="Palatino Linotype" w:cs="Tahoma"/>
          <w:b/>
          <w:color w:val="0D0D0D" w:themeColor="text1" w:themeTint="F2"/>
          <w:szCs w:val="22"/>
        </w:rPr>
        <w:t>.</w:t>
      </w:r>
      <w:r w:rsidR="00D34402" w:rsidRPr="008D0ABC">
        <w:rPr>
          <w:rFonts w:ascii="Palatino Linotype" w:hAnsi="Palatino Linotype" w:cs="Tahoma"/>
          <w:b/>
          <w:color w:val="0D0D0D" w:themeColor="text1" w:themeTint="F2"/>
          <w:szCs w:val="22"/>
        </w:rPr>
        <w:t xml:space="preserve"> </w:t>
      </w:r>
      <w:r w:rsidR="00AA5A86" w:rsidRPr="008D0ABC">
        <w:rPr>
          <w:rFonts w:ascii="Palatino Linotype" w:hAnsi="Palatino Linotype" w:cs="Tahoma"/>
          <w:b/>
          <w:color w:val="0D0D0D" w:themeColor="text1" w:themeTint="F2"/>
          <w:szCs w:val="22"/>
        </w:rPr>
        <w:t>Respuesta del Sujeto Obligado.</w:t>
      </w:r>
    </w:p>
    <w:p w14:paraId="0E42A25D" w14:textId="77777777" w:rsidR="00E92E54" w:rsidRPr="008D0ABC" w:rsidRDefault="00E92E54" w:rsidP="00AB4D0E">
      <w:pPr>
        <w:pStyle w:val="Prrafodelista"/>
        <w:tabs>
          <w:tab w:val="left" w:pos="567"/>
        </w:tabs>
        <w:spacing w:line="360" w:lineRule="auto"/>
        <w:ind w:left="0"/>
        <w:contextualSpacing w:val="0"/>
        <w:jc w:val="both"/>
        <w:rPr>
          <w:rFonts w:ascii="Palatino Linotype" w:hAnsi="Palatino Linotype" w:cs="Tahoma"/>
          <w:b/>
          <w:color w:val="0D0D0D" w:themeColor="text1" w:themeTint="F2"/>
          <w:szCs w:val="22"/>
        </w:rPr>
      </w:pPr>
    </w:p>
    <w:p w14:paraId="20047E2A" w14:textId="5E5D0BCC" w:rsidR="005A6996" w:rsidRPr="008D0ABC" w:rsidRDefault="00E43A0F"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Con fecha </w:t>
      </w:r>
      <w:r w:rsidR="00C433EA" w:rsidRPr="008D0ABC">
        <w:rPr>
          <w:rFonts w:ascii="Palatino Linotype" w:hAnsi="Palatino Linotype" w:cs="Tahoma"/>
          <w:color w:val="0D0D0D" w:themeColor="text1" w:themeTint="F2"/>
          <w:sz w:val="22"/>
          <w:szCs w:val="22"/>
        </w:rPr>
        <w:t>trece</w:t>
      </w:r>
      <w:r w:rsidR="00B4656A" w:rsidRPr="008D0ABC">
        <w:rPr>
          <w:rFonts w:ascii="Palatino Linotype" w:hAnsi="Palatino Linotype" w:cs="Tahoma"/>
          <w:color w:val="0D0D0D" w:themeColor="text1" w:themeTint="F2"/>
          <w:sz w:val="22"/>
          <w:szCs w:val="22"/>
        </w:rPr>
        <w:t xml:space="preserve"> de </w:t>
      </w:r>
      <w:r w:rsidR="00C433EA" w:rsidRPr="008D0ABC">
        <w:rPr>
          <w:rFonts w:ascii="Palatino Linotype" w:hAnsi="Palatino Linotype" w:cs="Tahoma"/>
          <w:color w:val="0D0D0D" w:themeColor="text1" w:themeTint="F2"/>
          <w:sz w:val="22"/>
          <w:szCs w:val="22"/>
        </w:rPr>
        <w:t>juli</w:t>
      </w:r>
      <w:r w:rsidR="00600975" w:rsidRPr="008D0ABC">
        <w:rPr>
          <w:rFonts w:ascii="Palatino Linotype" w:hAnsi="Palatino Linotype" w:cs="Tahoma"/>
          <w:color w:val="0D0D0D" w:themeColor="text1" w:themeTint="F2"/>
          <w:sz w:val="22"/>
          <w:szCs w:val="22"/>
        </w:rPr>
        <w:t xml:space="preserve">o </w:t>
      </w:r>
      <w:r w:rsidR="00FA103D" w:rsidRPr="008D0ABC">
        <w:rPr>
          <w:rFonts w:ascii="Palatino Linotype" w:hAnsi="Palatino Linotype" w:cs="Tahoma"/>
          <w:color w:val="0D0D0D" w:themeColor="text1" w:themeTint="F2"/>
          <w:sz w:val="22"/>
          <w:szCs w:val="22"/>
        </w:rPr>
        <w:t>de dos mil veinti</w:t>
      </w:r>
      <w:r w:rsidR="00600975" w:rsidRPr="008D0ABC">
        <w:rPr>
          <w:rFonts w:ascii="Palatino Linotype" w:hAnsi="Palatino Linotype" w:cs="Tahoma"/>
          <w:color w:val="0D0D0D" w:themeColor="text1" w:themeTint="F2"/>
          <w:sz w:val="22"/>
          <w:szCs w:val="22"/>
        </w:rPr>
        <w:t>dós</w:t>
      </w:r>
      <w:r w:rsidRPr="008D0ABC">
        <w:rPr>
          <w:rFonts w:ascii="Palatino Linotype" w:hAnsi="Palatino Linotype" w:cs="Tahoma"/>
          <w:color w:val="0D0D0D" w:themeColor="text1" w:themeTint="F2"/>
          <w:sz w:val="22"/>
          <w:szCs w:val="22"/>
        </w:rPr>
        <w:t xml:space="preserve">, </w:t>
      </w:r>
      <w:r w:rsidR="00600975" w:rsidRPr="008D0ABC">
        <w:rPr>
          <w:rFonts w:ascii="Palatino Linotype" w:hAnsi="Palatino Linotype" w:cs="Tahoma"/>
          <w:color w:val="0D0D0D" w:themeColor="text1" w:themeTint="F2"/>
          <w:sz w:val="22"/>
          <w:szCs w:val="22"/>
        </w:rPr>
        <w:t>el Sujeto Obligado</w:t>
      </w:r>
      <w:r w:rsidRPr="008D0ABC">
        <w:rPr>
          <w:rFonts w:ascii="Palatino Linotype" w:hAnsi="Palatino Linotype" w:cs="Tahoma"/>
          <w:color w:val="0D0D0D" w:themeColor="text1" w:themeTint="F2"/>
          <w:sz w:val="22"/>
          <w:szCs w:val="22"/>
        </w:rPr>
        <w:t xml:space="preserve"> notificó </w:t>
      </w:r>
      <w:r w:rsidR="00FA103D" w:rsidRPr="008D0ABC">
        <w:rPr>
          <w:rFonts w:ascii="Palatino Linotype" w:hAnsi="Palatino Linotype" w:cs="Tahoma"/>
          <w:color w:val="0D0D0D" w:themeColor="text1" w:themeTint="F2"/>
          <w:sz w:val="22"/>
          <w:szCs w:val="22"/>
        </w:rPr>
        <w:t>a</w:t>
      </w:r>
      <w:r w:rsidR="00B4656A" w:rsidRPr="008D0ABC">
        <w:rPr>
          <w:rFonts w:ascii="Palatino Linotype" w:hAnsi="Palatino Linotype" w:cs="Tahoma"/>
          <w:color w:val="0D0D0D" w:themeColor="text1" w:themeTint="F2"/>
          <w:sz w:val="22"/>
          <w:szCs w:val="22"/>
        </w:rPr>
        <w:t xml:space="preserve"> </w:t>
      </w:r>
      <w:r w:rsidR="00FA103D" w:rsidRPr="008D0ABC">
        <w:rPr>
          <w:rFonts w:ascii="Palatino Linotype" w:hAnsi="Palatino Linotype" w:cs="Tahoma"/>
          <w:color w:val="0D0D0D" w:themeColor="text1" w:themeTint="F2"/>
          <w:sz w:val="22"/>
          <w:szCs w:val="22"/>
        </w:rPr>
        <w:t>l</w:t>
      </w:r>
      <w:r w:rsidR="00B4656A" w:rsidRPr="008D0ABC">
        <w:rPr>
          <w:rFonts w:ascii="Palatino Linotype" w:hAnsi="Palatino Linotype" w:cs="Tahoma"/>
          <w:color w:val="0D0D0D" w:themeColor="text1" w:themeTint="F2"/>
          <w:sz w:val="22"/>
          <w:szCs w:val="22"/>
        </w:rPr>
        <w:t>a</w:t>
      </w:r>
      <w:r w:rsidRPr="008D0ABC">
        <w:rPr>
          <w:rFonts w:ascii="Palatino Linotype" w:hAnsi="Palatino Linotype" w:cs="Tahoma"/>
          <w:color w:val="0D0D0D" w:themeColor="text1" w:themeTint="F2"/>
          <w:sz w:val="22"/>
          <w:szCs w:val="22"/>
        </w:rPr>
        <w:t xml:space="preserve"> </w:t>
      </w:r>
      <w:r w:rsidR="00D34402" w:rsidRPr="008D0ABC">
        <w:rPr>
          <w:rFonts w:ascii="Palatino Linotype" w:hAnsi="Palatino Linotype" w:cs="Tahoma"/>
          <w:color w:val="0D0D0D" w:themeColor="text1" w:themeTint="F2"/>
          <w:sz w:val="22"/>
          <w:szCs w:val="22"/>
        </w:rPr>
        <w:t>Solicitante</w:t>
      </w:r>
      <w:r w:rsidRPr="008D0ABC">
        <w:rPr>
          <w:rFonts w:ascii="Palatino Linotype" w:hAnsi="Palatino Linotype" w:cs="Tahoma"/>
          <w:color w:val="0D0D0D" w:themeColor="text1" w:themeTint="F2"/>
          <w:sz w:val="22"/>
          <w:szCs w:val="22"/>
        </w:rPr>
        <w:t>, mediante el Sistema de Acceso a la Información Me</w:t>
      </w:r>
      <w:r w:rsidR="003C5C01" w:rsidRPr="008D0ABC">
        <w:rPr>
          <w:rFonts w:ascii="Palatino Linotype" w:hAnsi="Palatino Linotype" w:cs="Tahoma"/>
          <w:color w:val="0D0D0D" w:themeColor="text1" w:themeTint="F2"/>
          <w:sz w:val="22"/>
          <w:szCs w:val="22"/>
        </w:rPr>
        <w:t>xiquense (SAIME</w:t>
      </w:r>
      <w:r w:rsidR="005A6996" w:rsidRPr="008D0ABC">
        <w:rPr>
          <w:rFonts w:ascii="Palatino Linotype" w:hAnsi="Palatino Linotype" w:cs="Tahoma"/>
          <w:color w:val="0D0D0D" w:themeColor="text1" w:themeTint="F2"/>
          <w:sz w:val="22"/>
          <w:szCs w:val="22"/>
        </w:rPr>
        <w:t xml:space="preserve">X), la respuesta, a través </w:t>
      </w:r>
      <w:r w:rsidR="00B4656A" w:rsidRPr="008D0ABC">
        <w:rPr>
          <w:rFonts w:ascii="Palatino Linotype" w:hAnsi="Palatino Linotype" w:cs="Tahoma"/>
          <w:color w:val="0D0D0D" w:themeColor="text1" w:themeTint="F2"/>
          <w:sz w:val="22"/>
          <w:szCs w:val="22"/>
        </w:rPr>
        <w:t xml:space="preserve">del </w:t>
      </w:r>
      <w:r w:rsidR="000E55F2" w:rsidRPr="008D0ABC">
        <w:rPr>
          <w:rFonts w:ascii="Palatino Linotype" w:hAnsi="Palatino Linotype" w:cs="Tahoma"/>
          <w:color w:val="0D0D0D" w:themeColor="text1" w:themeTint="F2"/>
          <w:sz w:val="22"/>
          <w:szCs w:val="22"/>
        </w:rPr>
        <w:t xml:space="preserve">oficio número </w:t>
      </w:r>
      <w:r w:rsidR="00C433EA" w:rsidRPr="008D0ABC">
        <w:rPr>
          <w:rFonts w:ascii="Palatino Linotype" w:hAnsi="Palatino Linotype" w:cs="Tahoma"/>
          <w:color w:val="0D0D0D" w:themeColor="text1" w:themeTint="F2"/>
          <w:sz w:val="22"/>
          <w:szCs w:val="22"/>
        </w:rPr>
        <w:t>E00125/15/2022</w:t>
      </w:r>
      <w:r w:rsidR="00B4656A" w:rsidRPr="008D0ABC">
        <w:rPr>
          <w:rFonts w:ascii="Palatino Linotype" w:hAnsi="Palatino Linotype" w:cs="Tahoma"/>
          <w:color w:val="0D0D0D" w:themeColor="text1" w:themeTint="F2"/>
          <w:sz w:val="22"/>
          <w:szCs w:val="22"/>
        </w:rPr>
        <w:t xml:space="preserve">, </w:t>
      </w:r>
      <w:r w:rsidR="00C433EA" w:rsidRPr="008D0ABC">
        <w:rPr>
          <w:rFonts w:ascii="Palatino Linotype" w:hAnsi="Palatino Linotype" w:cs="Tahoma"/>
          <w:color w:val="0D0D0D" w:themeColor="text1" w:themeTint="F2"/>
          <w:sz w:val="22"/>
          <w:szCs w:val="22"/>
        </w:rPr>
        <w:t>del cinco del mismo mes y año</w:t>
      </w:r>
      <w:r w:rsidR="00B4656A" w:rsidRPr="008D0ABC">
        <w:rPr>
          <w:rFonts w:ascii="Palatino Linotype" w:hAnsi="Palatino Linotype" w:cs="Tahoma"/>
          <w:color w:val="0D0D0D" w:themeColor="text1" w:themeTint="F2"/>
          <w:sz w:val="22"/>
          <w:szCs w:val="22"/>
        </w:rPr>
        <w:t>, suscrit</w:t>
      </w:r>
      <w:r w:rsidR="000E55F2" w:rsidRPr="008D0ABC">
        <w:rPr>
          <w:rFonts w:ascii="Palatino Linotype" w:hAnsi="Palatino Linotype" w:cs="Tahoma"/>
          <w:color w:val="0D0D0D" w:themeColor="text1" w:themeTint="F2"/>
          <w:sz w:val="22"/>
          <w:szCs w:val="22"/>
        </w:rPr>
        <w:t>o</w:t>
      </w:r>
      <w:r w:rsidR="00B4656A" w:rsidRPr="008D0ABC">
        <w:rPr>
          <w:rFonts w:ascii="Palatino Linotype" w:hAnsi="Palatino Linotype" w:cs="Tahoma"/>
          <w:color w:val="0D0D0D" w:themeColor="text1" w:themeTint="F2"/>
          <w:sz w:val="22"/>
          <w:szCs w:val="22"/>
        </w:rPr>
        <w:t xml:space="preserve"> por </w:t>
      </w:r>
      <w:r w:rsidR="000E55F2" w:rsidRPr="008D0ABC">
        <w:rPr>
          <w:rFonts w:ascii="Palatino Linotype" w:hAnsi="Palatino Linotype" w:cs="Tahoma"/>
          <w:color w:val="0D0D0D" w:themeColor="text1" w:themeTint="F2"/>
          <w:sz w:val="22"/>
          <w:szCs w:val="22"/>
        </w:rPr>
        <w:t xml:space="preserve">la </w:t>
      </w:r>
      <w:r w:rsidR="00C433EA" w:rsidRPr="008D0ABC">
        <w:rPr>
          <w:rFonts w:ascii="Palatino Linotype" w:hAnsi="Palatino Linotype" w:cs="Tahoma"/>
          <w:color w:val="0D0D0D" w:themeColor="text1" w:themeTint="F2"/>
          <w:sz w:val="22"/>
          <w:szCs w:val="22"/>
        </w:rPr>
        <w:t>Subdirección de Recursos Materiales</w:t>
      </w:r>
      <w:r w:rsidR="000E55F2" w:rsidRPr="008D0ABC">
        <w:rPr>
          <w:rFonts w:ascii="Palatino Linotype" w:hAnsi="Palatino Linotype" w:cs="Tahoma"/>
          <w:color w:val="0D0D0D" w:themeColor="text1" w:themeTint="F2"/>
          <w:sz w:val="22"/>
          <w:szCs w:val="22"/>
        </w:rPr>
        <w:t xml:space="preserve"> y dirigido </w:t>
      </w:r>
      <w:r w:rsidR="00EE38B2" w:rsidRPr="008D0ABC">
        <w:rPr>
          <w:rFonts w:ascii="Palatino Linotype" w:hAnsi="Palatino Linotype" w:cs="Tahoma"/>
          <w:color w:val="0D0D0D" w:themeColor="text1" w:themeTint="F2"/>
          <w:sz w:val="22"/>
          <w:szCs w:val="22"/>
        </w:rPr>
        <w:t xml:space="preserve">a la </w:t>
      </w:r>
      <w:r w:rsidR="00C433EA" w:rsidRPr="008D0ABC">
        <w:rPr>
          <w:rFonts w:ascii="Palatino Linotype" w:hAnsi="Palatino Linotype" w:cs="Tahoma"/>
          <w:color w:val="0D0D0D" w:themeColor="text1" w:themeTint="F2"/>
          <w:sz w:val="22"/>
          <w:szCs w:val="22"/>
        </w:rPr>
        <w:t xml:space="preserve">Dirección de la Unidad de Información, Planeación, Programación, Evaluación y Transparencia del Gobierno Municipal, </w:t>
      </w:r>
      <w:r w:rsidR="00EE38B2" w:rsidRPr="008D0ABC">
        <w:rPr>
          <w:rFonts w:ascii="Palatino Linotype" w:hAnsi="Palatino Linotype" w:cs="Tahoma"/>
          <w:color w:val="0D0D0D" w:themeColor="text1" w:themeTint="F2"/>
          <w:sz w:val="22"/>
          <w:szCs w:val="22"/>
        </w:rPr>
        <w:t>en los siguientes términos</w:t>
      </w:r>
      <w:r w:rsidR="0090483E" w:rsidRPr="008D0ABC">
        <w:rPr>
          <w:rFonts w:ascii="Palatino Linotype" w:hAnsi="Palatino Linotype" w:cs="Tahoma"/>
          <w:color w:val="0D0D0D" w:themeColor="text1" w:themeTint="F2"/>
          <w:sz w:val="22"/>
          <w:szCs w:val="22"/>
        </w:rPr>
        <w:t>:</w:t>
      </w:r>
    </w:p>
    <w:p w14:paraId="706E5D36" w14:textId="2D49DFFE" w:rsidR="0090483E" w:rsidRPr="008D0ABC" w:rsidRDefault="0090483E" w:rsidP="00EE38B2">
      <w:pPr>
        <w:autoSpaceDE w:val="0"/>
        <w:autoSpaceDN w:val="0"/>
        <w:adjustRightInd w:val="0"/>
        <w:spacing w:line="360" w:lineRule="auto"/>
        <w:rPr>
          <w:rFonts w:ascii="Palatino Linotype" w:hAnsi="Palatino Linotype" w:cs="Tahoma"/>
          <w:color w:val="0D0D0D" w:themeColor="text1" w:themeTint="F2"/>
          <w:sz w:val="22"/>
          <w:szCs w:val="22"/>
        </w:rPr>
      </w:pPr>
    </w:p>
    <w:p w14:paraId="1B5E8B46" w14:textId="2AED1FC8" w:rsidR="00D211AB" w:rsidRPr="008D0ABC" w:rsidRDefault="00EE38B2" w:rsidP="0090310A">
      <w:pPr>
        <w:autoSpaceDE w:val="0"/>
        <w:autoSpaceDN w:val="0"/>
        <w:adjustRightInd w:val="0"/>
        <w:spacing w:line="360" w:lineRule="auto"/>
        <w:ind w:left="567" w:right="567"/>
        <w:jc w:val="both"/>
        <w:rPr>
          <w:rFonts w:ascii="Palatino Linotype" w:hAnsi="Palatino Linotype" w:cs="Tahoma"/>
          <w:color w:val="0D0D0D" w:themeColor="text1" w:themeTint="F2"/>
        </w:rPr>
      </w:pPr>
      <w:r w:rsidRPr="008D0ABC">
        <w:rPr>
          <w:rFonts w:ascii="Palatino Linotype" w:hAnsi="Palatino Linotype" w:cs="Tahoma"/>
          <w:color w:val="0D0D0D" w:themeColor="text1" w:themeTint="F2"/>
        </w:rPr>
        <w:t>“…</w:t>
      </w:r>
    </w:p>
    <w:p w14:paraId="0C8D54E8" w14:textId="77777777" w:rsidR="00EB1B13" w:rsidRPr="008D0ABC" w:rsidRDefault="00EB1B13" w:rsidP="0090310A">
      <w:pPr>
        <w:autoSpaceDE w:val="0"/>
        <w:autoSpaceDN w:val="0"/>
        <w:adjustRightInd w:val="0"/>
        <w:spacing w:line="360" w:lineRule="auto"/>
        <w:ind w:left="567" w:right="567"/>
        <w:jc w:val="both"/>
        <w:rPr>
          <w:rFonts w:ascii="Palatino Linotype" w:hAnsi="Palatino Linotype" w:cs="Tahoma"/>
          <w:i/>
          <w:iCs/>
          <w:color w:val="0D0D0D" w:themeColor="text1" w:themeTint="F2"/>
        </w:rPr>
      </w:pPr>
      <w:r w:rsidRPr="008D0ABC">
        <w:rPr>
          <w:rFonts w:ascii="Palatino Linotype" w:hAnsi="Palatino Linotype" w:cs="Tahoma"/>
          <w:i/>
          <w:iCs/>
          <w:color w:val="0D0D0D" w:themeColor="text1" w:themeTint="F2"/>
        </w:rPr>
        <w:t>La Subdirección de Recursos Materiales del Gobierno Municipal de Aculco, se anexa padrón de proveedores, del ayuntamiento del periodo 1 de enero al 22 de junio de 2022.</w:t>
      </w:r>
    </w:p>
    <w:p w14:paraId="39AC2BBF" w14:textId="24FEFD55" w:rsidR="0090310A" w:rsidRPr="008D0ABC" w:rsidRDefault="0090310A" w:rsidP="0090310A">
      <w:pPr>
        <w:autoSpaceDE w:val="0"/>
        <w:autoSpaceDN w:val="0"/>
        <w:adjustRightInd w:val="0"/>
        <w:spacing w:line="360" w:lineRule="auto"/>
        <w:ind w:left="567" w:right="567"/>
        <w:jc w:val="both"/>
        <w:rPr>
          <w:rFonts w:ascii="Palatino Linotype" w:hAnsi="Palatino Linotype" w:cs="Tahoma"/>
          <w:color w:val="0D0D0D" w:themeColor="text1" w:themeTint="F2"/>
        </w:rPr>
      </w:pPr>
      <w:r w:rsidRPr="008D0ABC">
        <w:rPr>
          <w:rFonts w:ascii="Palatino Linotype" w:hAnsi="Palatino Linotype" w:cs="Tahoma"/>
          <w:color w:val="0D0D0D" w:themeColor="text1" w:themeTint="F2"/>
        </w:rPr>
        <w:t>…”</w:t>
      </w:r>
    </w:p>
    <w:p w14:paraId="3B3AE779" w14:textId="77777777" w:rsidR="00E32AA7" w:rsidRPr="008D0ABC" w:rsidRDefault="00E32AA7"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p>
    <w:p w14:paraId="36FC6843" w14:textId="5D0B8A6E" w:rsidR="00FD2435" w:rsidRPr="008D0ABC" w:rsidRDefault="004D566B"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El Sujeto Obligado adjuntó la digitalización de </w:t>
      </w:r>
      <w:r w:rsidR="00EB1B13" w:rsidRPr="008D0ABC">
        <w:rPr>
          <w:rFonts w:ascii="Palatino Linotype" w:hAnsi="Palatino Linotype" w:cs="Tahoma"/>
          <w:color w:val="0D0D0D" w:themeColor="text1" w:themeTint="F2"/>
          <w:sz w:val="22"/>
          <w:szCs w:val="22"/>
        </w:rPr>
        <w:t xml:space="preserve">los siguientes documentos: </w:t>
      </w:r>
    </w:p>
    <w:p w14:paraId="137044C3" w14:textId="77777777" w:rsidR="00EB1B13" w:rsidRPr="008D0ABC" w:rsidRDefault="00EB1B13"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p>
    <w:p w14:paraId="2DD4F018" w14:textId="0231E8F5" w:rsidR="00EB1B13" w:rsidRPr="008D0ABC" w:rsidRDefault="00EB1B13"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i) Padrón de proveedores con los rubros: nombre de proveedor, RFC, domicilio, giro comercial y empresa, como se muestra a continuación: </w:t>
      </w:r>
    </w:p>
    <w:p w14:paraId="33CA9E23" w14:textId="77777777" w:rsidR="00EB1B13" w:rsidRPr="008D0ABC" w:rsidRDefault="00EB1B13" w:rsidP="00AB4D0E">
      <w:pPr>
        <w:autoSpaceDE w:val="0"/>
        <w:autoSpaceDN w:val="0"/>
        <w:adjustRightInd w:val="0"/>
        <w:spacing w:line="360" w:lineRule="auto"/>
        <w:jc w:val="both"/>
        <w:rPr>
          <w:rFonts w:ascii="Palatino Linotype" w:hAnsi="Palatino Linotype" w:cs="Tahoma"/>
          <w:noProof/>
          <w:color w:val="0D0D0D" w:themeColor="text1" w:themeTint="F2"/>
          <w:sz w:val="22"/>
          <w:szCs w:val="22"/>
          <w:lang w:eastAsia="es-MX"/>
        </w:rPr>
      </w:pPr>
    </w:p>
    <w:p w14:paraId="48DBC6AD" w14:textId="23590A0C" w:rsidR="00EB1B13" w:rsidRPr="008D0ABC" w:rsidRDefault="00EB1B13" w:rsidP="00EB1B13">
      <w:pPr>
        <w:autoSpaceDE w:val="0"/>
        <w:autoSpaceDN w:val="0"/>
        <w:adjustRightInd w:val="0"/>
        <w:spacing w:line="360" w:lineRule="auto"/>
        <w:jc w:val="center"/>
        <w:rPr>
          <w:rFonts w:ascii="Palatino Linotype" w:hAnsi="Palatino Linotype" w:cs="Tahoma"/>
          <w:color w:val="0D0D0D" w:themeColor="text1" w:themeTint="F2"/>
          <w:sz w:val="22"/>
          <w:szCs w:val="22"/>
        </w:rPr>
      </w:pPr>
      <w:r w:rsidRPr="008D0ABC">
        <w:rPr>
          <w:rFonts w:ascii="Palatino Linotype" w:hAnsi="Palatino Linotype" w:cs="Tahoma"/>
          <w:noProof/>
          <w:color w:val="0D0D0D" w:themeColor="text1" w:themeTint="F2"/>
          <w:sz w:val="22"/>
          <w:szCs w:val="22"/>
          <w:lang w:eastAsia="es-MX"/>
        </w:rPr>
        <w:drawing>
          <wp:inline distT="0" distB="0" distL="0" distR="0" wp14:anchorId="0BD8185C" wp14:editId="3ECABFB5">
            <wp:extent cx="2847975" cy="22136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232" t="17018" r="13650" b="41672"/>
                    <a:stretch/>
                  </pic:blipFill>
                  <pic:spPr bwMode="auto">
                    <a:xfrm>
                      <a:off x="0" y="0"/>
                      <a:ext cx="2861498" cy="2224135"/>
                    </a:xfrm>
                    <a:prstGeom prst="rect">
                      <a:avLst/>
                    </a:prstGeom>
                    <a:noFill/>
                    <a:ln>
                      <a:noFill/>
                    </a:ln>
                    <a:extLst>
                      <a:ext uri="{53640926-AAD7-44D8-BBD7-CCE9431645EC}">
                        <a14:shadowObscured xmlns:a14="http://schemas.microsoft.com/office/drawing/2010/main"/>
                      </a:ext>
                    </a:extLst>
                  </pic:spPr>
                </pic:pic>
              </a:graphicData>
            </a:graphic>
          </wp:inline>
        </w:drawing>
      </w:r>
    </w:p>
    <w:p w14:paraId="1455A9AE" w14:textId="77777777" w:rsidR="002605A0" w:rsidRPr="008D0ABC" w:rsidRDefault="002605A0"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p>
    <w:p w14:paraId="1AA694E8" w14:textId="333BB32E" w:rsidR="00EB1B13" w:rsidRPr="008D0ABC" w:rsidRDefault="00EB1B13"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ii) Oficio número 087, del doce de julio de dos mil veintidós, signado por el Director de Obras Públicas y Desarrollo Urbano y dirigido a la Dirección de la Unidad de Información, Planeación, Programación, Evaluación y Transparencia del Gobierno Municipal</w:t>
      </w:r>
      <w:r w:rsidR="00206944" w:rsidRPr="008D0ABC">
        <w:rPr>
          <w:rFonts w:ascii="Palatino Linotype" w:hAnsi="Palatino Linotype" w:cs="Tahoma"/>
          <w:color w:val="0D0D0D" w:themeColor="text1" w:themeTint="F2"/>
          <w:sz w:val="22"/>
          <w:szCs w:val="22"/>
        </w:rPr>
        <w:t xml:space="preserve">, por medio del cual manifiesta y expone: </w:t>
      </w:r>
    </w:p>
    <w:p w14:paraId="25C4CC31" w14:textId="77777777" w:rsidR="00206944" w:rsidRPr="008D0ABC" w:rsidRDefault="00206944"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p>
    <w:p w14:paraId="146BDA93" w14:textId="5EA9A07C" w:rsidR="00206944" w:rsidRPr="008D0ABC" w:rsidRDefault="00206944" w:rsidP="00206944">
      <w:pPr>
        <w:autoSpaceDE w:val="0"/>
        <w:autoSpaceDN w:val="0"/>
        <w:adjustRightInd w:val="0"/>
        <w:spacing w:line="360" w:lineRule="auto"/>
        <w:ind w:left="567" w:right="567"/>
        <w:jc w:val="both"/>
        <w:rPr>
          <w:rFonts w:ascii="Palatino Linotype" w:hAnsi="Palatino Linotype" w:cs="Tahoma"/>
          <w:i/>
          <w:color w:val="0D0D0D" w:themeColor="text1" w:themeTint="F2"/>
          <w:szCs w:val="22"/>
        </w:rPr>
      </w:pPr>
      <w:r w:rsidRPr="008D0ABC">
        <w:rPr>
          <w:rFonts w:ascii="Palatino Linotype" w:hAnsi="Palatino Linotype" w:cs="Tahoma"/>
          <w:i/>
          <w:color w:val="0D0D0D" w:themeColor="text1" w:themeTint="F2"/>
          <w:szCs w:val="22"/>
        </w:rPr>
        <w:t>“…</w:t>
      </w:r>
    </w:p>
    <w:p w14:paraId="2C7E8D3D" w14:textId="4D2BB7CE" w:rsidR="00206944" w:rsidRPr="008D0ABC" w:rsidRDefault="00206944" w:rsidP="00206944">
      <w:pPr>
        <w:autoSpaceDE w:val="0"/>
        <w:autoSpaceDN w:val="0"/>
        <w:adjustRightInd w:val="0"/>
        <w:spacing w:line="360" w:lineRule="auto"/>
        <w:ind w:left="567" w:right="567"/>
        <w:jc w:val="both"/>
        <w:rPr>
          <w:rFonts w:ascii="Palatino Linotype" w:hAnsi="Palatino Linotype" w:cs="Tahoma"/>
          <w:i/>
          <w:color w:val="0D0D0D" w:themeColor="text1" w:themeTint="F2"/>
          <w:szCs w:val="22"/>
        </w:rPr>
      </w:pPr>
      <w:r w:rsidRPr="008D0ABC">
        <w:rPr>
          <w:rFonts w:ascii="Palatino Linotype" w:hAnsi="Palatino Linotype" w:cs="Tahoma"/>
          <w:i/>
          <w:color w:val="0D0D0D" w:themeColor="text1" w:themeTint="F2"/>
          <w:szCs w:val="22"/>
        </w:rPr>
        <w:t>Se adjuntan al presente como anexos los contratos de obra celebrados en el periodo de tiempo establecido, mismos que concentran la información, montos y asignación a empresa y/o persona física.</w:t>
      </w:r>
    </w:p>
    <w:p w14:paraId="21374523" w14:textId="55E03C62" w:rsidR="00206944" w:rsidRPr="008D0ABC" w:rsidRDefault="00206944" w:rsidP="00206944">
      <w:pPr>
        <w:autoSpaceDE w:val="0"/>
        <w:autoSpaceDN w:val="0"/>
        <w:adjustRightInd w:val="0"/>
        <w:spacing w:line="360" w:lineRule="auto"/>
        <w:ind w:left="567" w:right="567"/>
        <w:jc w:val="both"/>
        <w:rPr>
          <w:rFonts w:ascii="Palatino Linotype" w:hAnsi="Palatino Linotype" w:cs="Tahoma"/>
          <w:i/>
          <w:color w:val="0D0D0D" w:themeColor="text1" w:themeTint="F2"/>
          <w:szCs w:val="22"/>
        </w:rPr>
      </w:pPr>
      <w:r w:rsidRPr="008D0ABC">
        <w:rPr>
          <w:rFonts w:ascii="Palatino Linotype" w:hAnsi="Palatino Linotype" w:cs="Tahoma"/>
          <w:i/>
          <w:color w:val="0D0D0D" w:themeColor="text1" w:themeTint="F2"/>
          <w:szCs w:val="22"/>
        </w:rPr>
        <w:t>…”</w:t>
      </w:r>
    </w:p>
    <w:p w14:paraId="1679530C" w14:textId="77777777" w:rsidR="002440F4" w:rsidRPr="008D0ABC" w:rsidRDefault="002440F4" w:rsidP="00206944">
      <w:pPr>
        <w:autoSpaceDE w:val="0"/>
        <w:autoSpaceDN w:val="0"/>
        <w:adjustRightInd w:val="0"/>
        <w:spacing w:line="360" w:lineRule="auto"/>
        <w:ind w:left="567" w:right="567"/>
        <w:jc w:val="both"/>
        <w:rPr>
          <w:rFonts w:ascii="Palatino Linotype" w:hAnsi="Palatino Linotype" w:cs="Tahoma"/>
          <w:i/>
          <w:color w:val="0D0D0D" w:themeColor="text1" w:themeTint="F2"/>
          <w:szCs w:val="22"/>
        </w:rPr>
      </w:pPr>
    </w:p>
    <w:p w14:paraId="52FFF7F3" w14:textId="7B44EDEB" w:rsidR="00904BC8" w:rsidRPr="008D0ABC" w:rsidRDefault="00EB1B13"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 </w:t>
      </w:r>
      <w:r w:rsidR="00206944" w:rsidRPr="008D0ABC">
        <w:rPr>
          <w:rFonts w:ascii="Palatino Linotype" w:hAnsi="Palatino Linotype" w:cs="Tahoma"/>
          <w:color w:val="0D0D0D" w:themeColor="text1" w:themeTint="F2"/>
          <w:sz w:val="22"/>
          <w:szCs w:val="22"/>
        </w:rPr>
        <w:t>iii) Contrato número MAC/DOPYDU/AD/FISM-63/202</w:t>
      </w:r>
      <w:r w:rsidR="00904BC8" w:rsidRPr="008D0ABC">
        <w:rPr>
          <w:rFonts w:ascii="Palatino Linotype" w:hAnsi="Palatino Linotype" w:cs="Tahoma"/>
          <w:color w:val="0D0D0D" w:themeColor="text1" w:themeTint="F2"/>
          <w:sz w:val="22"/>
          <w:szCs w:val="22"/>
        </w:rPr>
        <w:t>2</w:t>
      </w:r>
      <w:r w:rsidR="00206944" w:rsidRPr="008D0ABC">
        <w:rPr>
          <w:rFonts w:ascii="Palatino Linotype" w:hAnsi="Palatino Linotype" w:cs="Tahoma"/>
          <w:color w:val="0D0D0D" w:themeColor="text1" w:themeTint="F2"/>
          <w:sz w:val="22"/>
          <w:szCs w:val="22"/>
        </w:rPr>
        <w:t xml:space="preserve">, para la </w:t>
      </w:r>
      <w:r w:rsidR="002440F4" w:rsidRPr="008D0ABC">
        <w:rPr>
          <w:rFonts w:ascii="Palatino Linotype" w:hAnsi="Palatino Linotype" w:cs="Tahoma"/>
          <w:color w:val="0D0D0D" w:themeColor="text1" w:themeTint="F2"/>
          <w:sz w:val="22"/>
          <w:szCs w:val="22"/>
        </w:rPr>
        <w:t>ejecución de</w:t>
      </w:r>
      <w:r w:rsidR="00206944" w:rsidRPr="008D0ABC">
        <w:rPr>
          <w:rFonts w:ascii="Palatino Linotype" w:hAnsi="Palatino Linotype" w:cs="Tahoma"/>
          <w:color w:val="0D0D0D" w:themeColor="text1" w:themeTint="F2"/>
          <w:sz w:val="22"/>
          <w:szCs w:val="22"/>
        </w:rPr>
        <w:t xml:space="preserve"> los trabajos de la “Obra Pública” denominada “Construcción de Drenaje Sanitario en la comunidad de Santa Ana Matlavat Centro</w:t>
      </w:r>
      <w:r w:rsidR="00496F96" w:rsidRPr="008D0ABC">
        <w:rPr>
          <w:rFonts w:ascii="Palatino Linotype" w:hAnsi="Palatino Linotype" w:cs="Tahoma"/>
          <w:color w:val="0D0D0D" w:themeColor="text1" w:themeTint="F2"/>
          <w:sz w:val="22"/>
          <w:szCs w:val="22"/>
        </w:rPr>
        <w:t>”</w:t>
      </w:r>
      <w:r w:rsidR="00206944" w:rsidRPr="008D0ABC">
        <w:rPr>
          <w:rFonts w:ascii="Palatino Linotype" w:hAnsi="Palatino Linotype" w:cs="Tahoma"/>
          <w:color w:val="0D0D0D" w:themeColor="text1" w:themeTint="F2"/>
          <w:sz w:val="22"/>
          <w:szCs w:val="22"/>
        </w:rPr>
        <w:t>, en versión pública</w:t>
      </w:r>
      <w:r w:rsidR="00BF30F0" w:rsidRPr="008D0ABC">
        <w:rPr>
          <w:rFonts w:ascii="Palatino Linotype" w:hAnsi="Palatino Linotype" w:cs="Tahoma"/>
          <w:color w:val="0D0D0D" w:themeColor="text1" w:themeTint="F2"/>
          <w:sz w:val="22"/>
          <w:szCs w:val="22"/>
        </w:rPr>
        <w:t>.</w:t>
      </w:r>
      <w:r w:rsidR="00206944" w:rsidRPr="008D0ABC">
        <w:rPr>
          <w:rFonts w:ascii="Palatino Linotype" w:hAnsi="Palatino Linotype" w:cs="Tahoma"/>
          <w:color w:val="0D0D0D" w:themeColor="text1" w:themeTint="F2"/>
          <w:sz w:val="22"/>
          <w:szCs w:val="22"/>
        </w:rPr>
        <w:t xml:space="preserve"> </w:t>
      </w:r>
      <w:r w:rsidR="00657D9B" w:rsidRPr="008D0ABC">
        <w:rPr>
          <w:rFonts w:ascii="Palatino Linotype" w:hAnsi="Palatino Linotype" w:cs="Tahoma"/>
          <w:color w:val="0D0D0D" w:themeColor="text1" w:themeTint="F2"/>
          <w:sz w:val="22"/>
          <w:szCs w:val="22"/>
        </w:rPr>
        <w:t xml:space="preserve"> </w:t>
      </w:r>
    </w:p>
    <w:p w14:paraId="5482EF80" w14:textId="77777777" w:rsidR="00904BC8" w:rsidRPr="008D0ABC" w:rsidRDefault="00904BC8"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p>
    <w:p w14:paraId="1A51913A" w14:textId="77777777" w:rsidR="00BF30F0" w:rsidRPr="008D0ABC" w:rsidRDefault="00904BC8"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iv) </w:t>
      </w:r>
      <w:r w:rsidR="00657D9B" w:rsidRPr="008D0ABC">
        <w:rPr>
          <w:rFonts w:ascii="Palatino Linotype" w:hAnsi="Palatino Linotype" w:cs="Tahoma"/>
          <w:color w:val="0D0D0D" w:themeColor="text1" w:themeTint="F2"/>
          <w:sz w:val="22"/>
          <w:szCs w:val="22"/>
        </w:rPr>
        <w:t xml:space="preserve"> </w:t>
      </w:r>
      <w:bookmarkStart w:id="0" w:name="_Hlk127908068"/>
      <w:r w:rsidRPr="008D0ABC">
        <w:rPr>
          <w:rFonts w:ascii="Palatino Linotype" w:hAnsi="Palatino Linotype" w:cs="Tahoma"/>
          <w:color w:val="0D0D0D" w:themeColor="text1" w:themeTint="F2"/>
          <w:sz w:val="22"/>
          <w:szCs w:val="22"/>
        </w:rPr>
        <w:t>Contrato número MAC/DOPYDU/AD/FISM-78/2022, para la ejecución  de los trabajos de la “Obra Pública” denominada</w:t>
      </w:r>
      <w:r w:rsidR="00496F96" w:rsidRPr="008D0ABC">
        <w:rPr>
          <w:rFonts w:ascii="Palatino Linotype" w:hAnsi="Palatino Linotype" w:cs="Tahoma"/>
          <w:color w:val="0D0D0D" w:themeColor="text1" w:themeTint="F2"/>
          <w:sz w:val="22"/>
          <w:szCs w:val="22"/>
        </w:rPr>
        <w:t xml:space="preserve"> “Ampliación del Sistema de Drenaje Sanitario en la Comunidad de Arroyo Zarco Pueblo</w:t>
      </w:r>
      <w:r w:rsidR="002E35A5" w:rsidRPr="008D0ABC">
        <w:rPr>
          <w:rFonts w:ascii="Palatino Linotype" w:hAnsi="Palatino Linotype" w:cs="Tahoma"/>
          <w:color w:val="0D0D0D" w:themeColor="text1" w:themeTint="F2"/>
          <w:sz w:val="22"/>
          <w:szCs w:val="22"/>
        </w:rPr>
        <w:t>”,</w:t>
      </w:r>
      <w:r w:rsidR="00BF30F0" w:rsidRPr="008D0ABC">
        <w:rPr>
          <w:rFonts w:ascii="Palatino Linotype" w:hAnsi="Palatino Linotype" w:cs="Tahoma"/>
          <w:color w:val="0D0D0D" w:themeColor="text1" w:themeTint="F2"/>
          <w:sz w:val="22"/>
          <w:szCs w:val="22"/>
        </w:rPr>
        <w:t xml:space="preserve"> </w:t>
      </w:r>
      <w:bookmarkEnd w:id="0"/>
      <w:r w:rsidR="00BF30F0" w:rsidRPr="008D0ABC">
        <w:rPr>
          <w:rFonts w:ascii="Palatino Linotype" w:hAnsi="Palatino Linotype" w:cs="Tahoma"/>
          <w:color w:val="0D0D0D" w:themeColor="text1" w:themeTint="F2"/>
          <w:sz w:val="22"/>
          <w:szCs w:val="22"/>
        </w:rPr>
        <w:t>en versión pública.</w:t>
      </w:r>
      <w:r w:rsidR="002E35A5" w:rsidRPr="008D0ABC">
        <w:rPr>
          <w:rFonts w:ascii="Palatino Linotype" w:hAnsi="Palatino Linotype" w:cs="Tahoma"/>
          <w:color w:val="0D0D0D" w:themeColor="text1" w:themeTint="F2"/>
          <w:sz w:val="22"/>
          <w:szCs w:val="22"/>
        </w:rPr>
        <w:t xml:space="preserve"> </w:t>
      </w:r>
    </w:p>
    <w:p w14:paraId="57433463" w14:textId="6299289E" w:rsidR="002E35A5" w:rsidRPr="008D0ABC" w:rsidRDefault="002E35A5"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p>
    <w:p w14:paraId="28B81BAD" w14:textId="2E1F801C" w:rsidR="002E35A5" w:rsidRPr="008D0ABC" w:rsidRDefault="002E35A5"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v) </w:t>
      </w:r>
      <w:bookmarkStart w:id="1" w:name="_Hlk127903541"/>
      <w:r w:rsidRPr="008D0ABC">
        <w:rPr>
          <w:rFonts w:ascii="Palatino Linotype" w:hAnsi="Palatino Linotype" w:cs="Tahoma"/>
          <w:color w:val="0D0D0D" w:themeColor="text1" w:themeTint="F2"/>
          <w:sz w:val="22"/>
          <w:szCs w:val="22"/>
        </w:rPr>
        <w:t>Contrato número MAC/DOPYDU/AD/FISM-</w:t>
      </w:r>
      <w:r w:rsidR="00385943" w:rsidRPr="008D0ABC">
        <w:rPr>
          <w:rFonts w:ascii="Palatino Linotype" w:hAnsi="Palatino Linotype" w:cs="Tahoma"/>
          <w:color w:val="0D0D0D" w:themeColor="text1" w:themeTint="F2"/>
          <w:sz w:val="22"/>
          <w:szCs w:val="22"/>
        </w:rPr>
        <w:t>80</w:t>
      </w:r>
      <w:r w:rsidRPr="008D0ABC">
        <w:rPr>
          <w:rFonts w:ascii="Palatino Linotype" w:hAnsi="Palatino Linotype" w:cs="Tahoma"/>
          <w:color w:val="0D0D0D" w:themeColor="text1" w:themeTint="F2"/>
          <w:sz w:val="22"/>
          <w:szCs w:val="22"/>
        </w:rPr>
        <w:t xml:space="preserve">/2022, para la </w:t>
      </w:r>
      <w:r w:rsidR="00BF30F0" w:rsidRPr="008D0ABC">
        <w:rPr>
          <w:rFonts w:ascii="Palatino Linotype" w:hAnsi="Palatino Linotype" w:cs="Tahoma"/>
          <w:color w:val="0D0D0D" w:themeColor="text1" w:themeTint="F2"/>
          <w:sz w:val="22"/>
          <w:szCs w:val="22"/>
        </w:rPr>
        <w:t>ejecución de</w:t>
      </w:r>
      <w:r w:rsidRPr="008D0ABC">
        <w:rPr>
          <w:rFonts w:ascii="Palatino Linotype" w:hAnsi="Palatino Linotype" w:cs="Tahoma"/>
          <w:color w:val="0D0D0D" w:themeColor="text1" w:themeTint="F2"/>
          <w:sz w:val="22"/>
          <w:szCs w:val="22"/>
        </w:rPr>
        <w:t xml:space="preserve"> los trabajos de la “Obra Pública” denominada “</w:t>
      </w:r>
      <w:r w:rsidR="00150C07" w:rsidRPr="008D0ABC">
        <w:rPr>
          <w:rFonts w:ascii="Palatino Linotype" w:hAnsi="Palatino Linotype" w:cs="Tahoma"/>
          <w:color w:val="0D0D0D" w:themeColor="text1" w:themeTint="F2"/>
          <w:sz w:val="22"/>
          <w:szCs w:val="22"/>
        </w:rPr>
        <w:t xml:space="preserve">Construcción de Drenaje </w:t>
      </w:r>
      <w:r w:rsidR="00BF30F0" w:rsidRPr="008D0ABC">
        <w:rPr>
          <w:rFonts w:ascii="Palatino Linotype" w:hAnsi="Palatino Linotype" w:cs="Tahoma"/>
          <w:color w:val="0D0D0D" w:themeColor="text1" w:themeTint="F2"/>
          <w:sz w:val="22"/>
          <w:szCs w:val="22"/>
        </w:rPr>
        <w:t>Sanitario de</w:t>
      </w:r>
      <w:r w:rsidR="00150C07" w:rsidRPr="008D0ABC">
        <w:rPr>
          <w:rFonts w:ascii="Palatino Linotype" w:hAnsi="Palatino Linotype" w:cs="Tahoma"/>
          <w:color w:val="0D0D0D" w:themeColor="text1" w:themeTint="F2"/>
          <w:sz w:val="22"/>
          <w:szCs w:val="22"/>
        </w:rPr>
        <w:t xml:space="preserve"> la Comunidad de San Francisquito</w:t>
      </w:r>
      <w:r w:rsidRPr="008D0ABC">
        <w:rPr>
          <w:rFonts w:ascii="Palatino Linotype" w:hAnsi="Palatino Linotype" w:cs="Tahoma"/>
          <w:color w:val="0D0D0D" w:themeColor="text1" w:themeTint="F2"/>
          <w:sz w:val="22"/>
          <w:szCs w:val="22"/>
        </w:rPr>
        <w:t>”,</w:t>
      </w:r>
      <w:r w:rsidR="00385943" w:rsidRPr="008D0ABC">
        <w:rPr>
          <w:rFonts w:ascii="Palatino Linotype" w:hAnsi="Palatino Linotype" w:cs="Tahoma"/>
          <w:color w:val="0D0D0D" w:themeColor="text1" w:themeTint="F2"/>
          <w:sz w:val="22"/>
          <w:szCs w:val="22"/>
        </w:rPr>
        <w:t xml:space="preserve"> en versión </w:t>
      </w:r>
      <w:r w:rsidR="00BF30F0" w:rsidRPr="008D0ABC">
        <w:rPr>
          <w:rFonts w:ascii="Palatino Linotype" w:hAnsi="Palatino Linotype" w:cs="Tahoma"/>
          <w:color w:val="0D0D0D" w:themeColor="text1" w:themeTint="F2"/>
          <w:sz w:val="22"/>
          <w:szCs w:val="22"/>
        </w:rPr>
        <w:t xml:space="preserve">pública. </w:t>
      </w:r>
      <w:r w:rsidR="00385943" w:rsidRPr="008D0ABC">
        <w:rPr>
          <w:rFonts w:ascii="Palatino Linotype" w:hAnsi="Palatino Linotype" w:cs="Tahoma"/>
          <w:color w:val="0D0D0D" w:themeColor="text1" w:themeTint="F2"/>
          <w:sz w:val="22"/>
          <w:szCs w:val="22"/>
        </w:rPr>
        <w:t xml:space="preserve"> </w:t>
      </w:r>
      <w:bookmarkEnd w:id="1"/>
    </w:p>
    <w:p w14:paraId="4F8F88E9" w14:textId="77777777" w:rsidR="00385943" w:rsidRPr="008D0ABC" w:rsidRDefault="00385943"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p>
    <w:p w14:paraId="22978338" w14:textId="6DAFDE60" w:rsidR="00385943" w:rsidRPr="008D0ABC" w:rsidRDefault="00385943"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vi) Contrato número MAC/DOPYDU/AD/FISM-99/2022, para la </w:t>
      </w:r>
      <w:r w:rsidR="00BF30F0" w:rsidRPr="008D0ABC">
        <w:rPr>
          <w:rFonts w:ascii="Palatino Linotype" w:hAnsi="Palatino Linotype" w:cs="Tahoma"/>
          <w:color w:val="0D0D0D" w:themeColor="text1" w:themeTint="F2"/>
          <w:sz w:val="22"/>
          <w:szCs w:val="22"/>
        </w:rPr>
        <w:t>ejecución de</w:t>
      </w:r>
      <w:r w:rsidRPr="008D0ABC">
        <w:rPr>
          <w:rFonts w:ascii="Palatino Linotype" w:hAnsi="Palatino Linotype" w:cs="Tahoma"/>
          <w:color w:val="0D0D0D" w:themeColor="text1" w:themeTint="F2"/>
          <w:sz w:val="22"/>
          <w:szCs w:val="22"/>
        </w:rPr>
        <w:t xml:space="preserve"> los trabajos de la “Obra Pública” denominada “Ampliación de Electrificación en la Comunidad de el Colorado”, en versión íntegra.</w:t>
      </w:r>
    </w:p>
    <w:p w14:paraId="4AD840DD" w14:textId="20257E96" w:rsidR="00904BC8" w:rsidRPr="008D0ABC" w:rsidRDefault="00BF30F0"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Cabe precisar </w:t>
      </w:r>
      <w:r w:rsidR="002440F4" w:rsidRPr="008D0ABC">
        <w:rPr>
          <w:rFonts w:ascii="Palatino Linotype" w:hAnsi="Palatino Linotype" w:cs="Tahoma"/>
          <w:color w:val="0D0D0D" w:themeColor="text1" w:themeTint="F2"/>
          <w:sz w:val="22"/>
          <w:szCs w:val="22"/>
        </w:rPr>
        <w:t>que,</w:t>
      </w:r>
      <w:r w:rsidRPr="008D0ABC">
        <w:rPr>
          <w:rFonts w:ascii="Palatino Linotype" w:hAnsi="Palatino Linotype" w:cs="Tahoma"/>
          <w:color w:val="0D0D0D" w:themeColor="text1" w:themeTint="F2"/>
          <w:sz w:val="22"/>
          <w:szCs w:val="22"/>
        </w:rPr>
        <w:t xml:space="preserve"> de los contratos entregados por el Sujeto Obligado en versión pública, se</w:t>
      </w:r>
      <w:r w:rsidR="002440F4" w:rsidRPr="008D0ABC">
        <w:rPr>
          <w:rFonts w:ascii="Palatino Linotype" w:hAnsi="Palatino Linotype" w:cs="Tahoma"/>
          <w:color w:val="0D0D0D" w:themeColor="text1" w:themeTint="F2"/>
          <w:sz w:val="22"/>
          <w:szCs w:val="22"/>
        </w:rPr>
        <w:t xml:space="preserve"> clasificó el número de acta de nacimiento,</w:t>
      </w:r>
      <w:r w:rsidR="002440F4" w:rsidRPr="008D0ABC">
        <w:t xml:space="preserve"> </w:t>
      </w:r>
      <w:r w:rsidR="002440F4" w:rsidRPr="008D0ABC">
        <w:rPr>
          <w:rFonts w:ascii="Palatino Linotype" w:hAnsi="Palatino Linotype" w:cs="Tahoma"/>
          <w:color w:val="0D0D0D" w:themeColor="text1" w:themeTint="F2"/>
          <w:sz w:val="22"/>
          <w:szCs w:val="22"/>
        </w:rPr>
        <w:t>número de escritura pública, número de credencial para votar, Registro Federal de Contribuyentes y domicilio del contratista.</w:t>
      </w:r>
    </w:p>
    <w:p w14:paraId="61B53A1B" w14:textId="77777777" w:rsidR="00BF30F0" w:rsidRPr="008D0ABC" w:rsidRDefault="00BF30F0" w:rsidP="00AB4D0E">
      <w:pPr>
        <w:autoSpaceDE w:val="0"/>
        <w:autoSpaceDN w:val="0"/>
        <w:adjustRightInd w:val="0"/>
        <w:spacing w:line="360" w:lineRule="auto"/>
        <w:jc w:val="both"/>
        <w:rPr>
          <w:rFonts w:ascii="Palatino Linotype" w:hAnsi="Palatino Linotype" w:cs="Tahoma"/>
          <w:color w:val="0D0D0D" w:themeColor="text1" w:themeTint="F2"/>
          <w:sz w:val="22"/>
          <w:szCs w:val="22"/>
        </w:rPr>
      </w:pPr>
    </w:p>
    <w:p w14:paraId="06E8A130" w14:textId="5DCEF09C" w:rsidR="00587F23" w:rsidRPr="008D0ABC" w:rsidRDefault="00F8243E" w:rsidP="00AB4D0E">
      <w:pPr>
        <w:autoSpaceDE w:val="0"/>
        <w:autoSpaceDN w:val="0"/>
        <w:adjustRightInd w:val="0"/>
        <w:spacing w:line="360" w:lineRule="auto"/>
        <w:jc w:val="both"/>
        <w:rPr>
          <w:rFonts w:ascii="Palatino Linotype" w:hAnsi="Palatino Linotype" w:cs="Tahoma"/>
          <w:b/>
          <w:color w:val="0D0D0D" w:themeColor="text1" w:themeTint="F2"/>
          <w:sz w:val="22"/>
          <w:szCs w:val="22"/>
        </w:rPr>
      </w:pPr>
      <w:r w:rsidRPr="008D0ABC">
        <w:rPr>
          <w:rFonts w:ascii="Palatino Linotype" w:hAnsi="Palatino Linotype" w:cs="Tahoma"/>
          <w:b/>
          <w:color w:val="0D0D0D" w:themeColor="text1" w:themeTint="F2"/>
          <w:sz w:val="22"/>
          <w:szCs w:val="22"/>
        </w:rPr>
        <w:t>III</w:t>
      </w:r>
      <w:r w:rsidR="00AA5A86" w:rsidRPr="008D0ABC">
        <w:rPr>
          <w:rFonts w:ascii="Palatino Linotype" w:hAnsi="Palatino Linotype" w:cs="Tahoma"/>
          <w:b/>
          <w:color w:val="0D0D0D" w:themeColor="text1" w:themeTint="F2"/>
          <w:sz w:val="22"/>
          <w:szCs w:val="22"/>
        </w:rPr>
        <w:t xml:space="preserve">. </w:t>
      </w:r>
      <w:r w:rsidR="004100AA" w:rsidRPr="008D0ABC">
        <w:rPr>
          <w:rFonts w:ascii="Palatino Linotype" w:hAnsi="Palatino Linotype" w:cs="Tahoma"/>
          <w:b/>
          <w:color w:val="0D0D0D" w:themeColor="text1" w:themeTint="F2"/>
          <w:sz w:val="22"/>
          <w:szCs w:val="22"/>
        </w:rPr>
        <w:t>Interposición</w:t>
      </w:r>
      <w:r w:rsidR="00C459A9" w:rsidRPr="008D0ABC">
        <w:rPr>
          <w:rFonts w:ascii="Palatino Linotype" w:hAnsi="Palatino Linotype" w:cs="Tahoma"/>
          <w:b/>
          <w:color w:val="0D0D0D" w:themeColor="text1" w:themeTint="F2"/>
          <w:sz w:val="22"/>
          <w:szCs w:val="22"/>
        </w:rPr>
        <w:t xml:space="preserve"> del Recurso de R</w:t>
      </w:r>
      <w:r w:rsidR="00C25238" w:rsidRPr="008D0ABC">
        <w:rPr>
          <w:rFonts w:ascii="Palatino Linotype" w:hAnsi="Palatino Linotype" w:cs="Tahoma"/>
          <w:b/>
          <w:color w:val="0D0D0D" w:themeColor="text1" w:themeTint="F2"/>
          <w:sz w:val="22"/>
          <w:szCs w:val="22"/>
        </w:rPr>
        <w:t xml:space="preserve">evisión. </w:t>
      </w:r>
    </w:p>
    <w:p w14:paraId="032966A3" w14:textId="77777777" w:rsidR="00EB1B13" w:rsidRPr="008D0ABC" w:rsidRDefault="00EB1B13" w:rsidP="00AB4D0E">
      <w:pPr>
        <w:autoSpaceDE w:val="0"/>
        <w:autoSpaceDN w:val="0"/>
        <w:adjustRightInd w:val="0"/>
        <w:spacing w:line="360" w:lineRule="auto"/>
        <w:jc w:val="both"/>
        <w:rPr>
          <w:rFonts w:ascii="Palatino Linotype" w:hAnsi="Palatino Linotype" w:cs="Tahoma"/>
          <w:b/>
          <w:color w:val="0D0D0D" w:themeColor="text1" w:themeTint="F2"/>
          <w:sz w:val="22"/>
          <w:szCs w:val="22"/>
        </w:rPr>
      </w:pPr>
    </w:p>
    <w:p w14:paraId="524FE51E" w14:textId="594DFBDA" w:rsidR="000C6872" w:rsidRPr="008D0ABC" w:rsidRDefault="000C6872" w:rsidP="00BD607C">
      <w:pPr>
        <w:widowControl w:val="0"/>
        <w:autoSpaceDE w:val="0"/>
        <w:autoSpaceDN w:val="0"/>
        <w:adjustRightInd w:val="0"/>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Con fecha </w:t>
      </w:r>
      <w:r w:rsidR="002440F4" w:rsidRPr="008D0ABC">
        <w:rPr>
          <w:rFonts w:ascii="Palatino Linotype" w:hAnsi="Palatino Linotype" w:cs="Tahoma"/>
          <w:color w:val="0D0D0D" w:themeColor="text1" w:themeTint="F2"/>
          <w:sz w:val="22"/>
          <w:szCs w:val="22"/>
        </w:rPr>
        <w:t>primero</w:t>
      </w:r>
      <w:r w:rsidR="00B93699" w:rsidRPr="008D0ABC">
        <w:rPr>
          <w:rFonts w:ascii="Palatino Linotype" w:hAnsi="Palatino Linotype" w:cs="Tahoma"/>
          <w:color w:val="0D0D0D" w:themeColor="text1" w:themeTint="F2"/>
          <w:sz w:val="22"/>
          <w:szCs w:val="22"/>
        </w:rPr>
        <w:t xml:space="preserve"> de </w:t>
      </w:r>
      <w:r w:rsidR="002440F4" w:rsidRPr="008D0ABC">
        <w:rPr>
          <w:rFonts w:ascii="Palatino Linotype" w:hAnsi="Palatino Linotype" w:cs="Tahoma"/>
          <w:color w:val="0D0D0D" w:themeColor="text1" w:themeTint="F2"/>
          <w:sz w:val="22"/>
          <w:szCs w:val="22"/>
        </w:rPr>
        <w:t>agosto</w:t>
      </w:r>
      <w:r w:rsidR="00F8243E" w:rsidRPr="008D0ABC">
        <w:rPr>
          <w:rFonts w:ascii="Palatino Linotype" w:hAnsi="Palatino Linotype" w:cs="Tahoma"/>
          <w:color w:val="0D0D0D" w:themeColor="text1" w:themeTint="F2"/>
          <w:sz w:val="22"/>
          <w:szCs w:val="22"/>
        </w:rPr>
        <w:t xml:space="preserve"> de dos mil veinti</w:t>
      </w:r>
      <w:r w:rsidR="00F161A1" w:rsidRPr="008D0ABC">
        <w:rPr>
          <w:rFonts w:ascii="Palatino Linotype" w:hAnsi="Palatino Linotype" w:cs="Tahoma"/>
          <w:color w:val="0D0D0D" w:themeColor="text1" w:themeTint="F2"/>
          <w:sz w:val="22"/>
          <w:szCs w:val="22"/>
        </w:rPr>
        <w:t>dós</w:t>
      </w:r>
      <w:r w:rsidRPr="008D0ABC">
        <w:rPr>
          <w:rFonts w:ascii="Palatino Linotype" w:hAnsi="Palatino Linotype" w:cs="Tahoma"/>
          <w:color w:val="0D0D0D" w:themeColor="text1" w:themeTint="F2"/>
          <w:sz w:val="22"/>
          <w:szCs w:val="22"/>
        </w:rPr>
        <w:t xml:space="preserve">, se recibió en este </w:t>
      </w:r>
      <w:r w:rsidRPr="008D0ABC">
        <w:rPr>
          <w:rFonts w:ascii="Palatino Linotype" w:eastAsia="Calibri" w:hAnsi="Palatino Linotype" w:cs="Tahoma"/>
          <w:color w:val="0D0D0D" w:themeColor="text1" w:themeTint="F2"/>
          <w:sz w:val="22"/>
          <w:szCs w:val="22"/>
          <w:lang w:eastAsia="en-US"/>
        </w:rPr>
        <w:t xml:space="preserve">Instituto, a través del </w:t>
      </w:r>
      <w:r w:rsidRPr="008D0ABC">
        <w:rPr>
          <w:rFonts w:ascii="Palatino Linotype" w:hAnsi="Palatino Linotype" w:cs="Tahoma"/>
          <w:color w:val="0D0D0D" w:themeColor="text1" w:themeTint="F2"/>
          <w:sz w:val="22"/>
          <w:szCs w:val="22"/>
          <w:lang w:val="es-ES"/>
        </w:rPr>
        <w:t>Sistema de Acceso a la Información Mexiquense (SAIMEX)</w:t>
      </w:r>
      <w:r w:rsidRPr="008D0ABC">
        <w:rPr>
          <w:rFonts w:ascii="Palatino Linotype" w:hAnsi="Palatino Linotype" w:cs="Tahoma"/>
          <w:color w:val="0D0D0D" w:themeColor="text1" w:themeTint="F2"/>
          <w:sz w:val="22"/>
          <w:szCs w:val="22"/>
        </w:rPr>
        <w:t xml:space="preserve">, Recurso de Revisión interpuesto por la parte Recurrente, en contra de la respuesta del Sujeto Obligado, </w:t>
      </w:r>
      <w:r w:rsidR="002440F4" w:rsidRPr="008D0ABC">
        <w:rPr>
          <w:rFonts w:ascii="Palatino Linotype" w:hAnsi="Palatino Linotype" w:cs="Tahoma"/>
          <w:b/>
          <w:sz w:val="22"/>
          <w:szCs w:val="22"/>
        </w:rPr>
        <w:t>ya que si bien, se registró el veintisiete de julio del mismo año,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del Instituto, para el año dos mil veintidós y enero dos mil veintitrés, por lo que, se tuvo por presentado el día hábil subsecuente</w:t>
      </w:r>
      <w:r w:rsidR="002440F4" w:rsidRPr="008D0ABC">
        <w:rPr>
          <w:rFonts w:ascii="Palatino Linotype" w:hAnsi="Palatino Linotype" w:cs="Tahoma"/>
          <w:sz w:val="22"/>
          <w:szCs w:val="22"/>
        </w:rPr>
        <w:t xml:space="preserve"> </w:t>
      </w:r>
      <w:r w:rsidRPr="008D0ABC">
        <w:rPr>
          <w:rFonts w:ascii="Palatino Linotype" w:hAnsi="Palatino Linotype" w:cs="Tahoma"/>
          <w:color w:val="0D0D0D" w:themeColor="text1" w:themeTint="F2"/>
          <w:sz w:val="22"/>
          <w:szCs w:val="22"/>
        </w:rPr>
        <w:t>en los siguientes términos:</w:t>
      </w:r>
    </w:p>
    <w:p w14:paraId="6C18694E" w14:textId="77777777" w:rsidR="00D71850" w:rsidRPr="008D0ABC" w:rsidRDefault="00D71850" w:rsidP="00AB4D0E">
      <w:pPr>
        <w:widowControl w:val="0"/>
        <w:autoSpaceDE w:val="0"/>
        <w:autoSpaceDN w:val="0"/>
        <w:adjustRightInd w:val="0"/>
        <w:spacing w:line="360" w:lineRule="auto"/>
        <w:jc w:val="both"/>
        <w:rPr>
          <w:rFonts w:ascii="Palatino Linotype" w:hAnsi="Palatino Linotype" w:cs="Tahoma"/>
          <w:color w:val="0D0D0D" w:themeColor="text1" w:themeTint="F2"/>
          <w:sz w:val="22"/>
          <w:szCs w:val="22"/>
        </w:rPr>
      </w:pPr>
    </w:p>
    <w:p w14:paraId="5562A362" w14:textId="77777777" w:rsidR="00C25238" w:rsidRPr="008D0ABC" w:rsidRDefault="00B727C5" w:rsidP="00AB4D0E">
      <w:pPr>
        <w:tabs>
          <w:tab w:val="left" w:pos="4667"/>
        </w:tabs>
        <w:spacing w:line="360" w:lineRule="auto"/>
        <w:ind w:left="567" w:right="567"/>
        <w:jc w:val="both"/>
        <w:rPr>
          <w:rFonts w:ascii="Palatino Linotype" w:hAnsi="Palatino Linotype" w:cs="Tahoma"/>
          <w:bCs/>
          <w:i/>
          <w:color w:val="0D0D0D" w:themeColor="text1" w:themeTint="F2"/>
        </w:rPr>
      </w:pPr>
      <w:r w:rsidRPr="008D0ABC">
        <w:rPr>
          <w:rFonts w:ascii="Palatino Linotype" w:hAnsi="Palatino Linotype" w:cs="Tahoma"/>
          <w:b/>
          <w:bCs/>
          <w:i/>
          <w:color w:val="0D0D0D" w:themeColor="text1" w:themeTint="F2"/>
        </w:rPr>
        <w:t>“</w:t>
      </w:r>
      <w:r w:rsidR="00C25238" w:rsidRPr="008D0ABC">
        <w:rPr>
          <w:rFonts w:ascii="Palatino Linotype" w:hAnsi="Palatino Linotype" w:cs="Tahoma"/>
          <w:b/>
          <w:bCs/>
          <w:i/>
          <w:color w:val="0D0D0D" w:themeColor="text1" w:themeTint="F2"/>
        </w:rPr>
        <w:t>ACTO IMPUGNADO</w:t>
      </w:r>
    </w:p>
    <w:p w14:paraId="4422BEB8" w14:textId="195E22FA" w:rsidR="00CD3A5D" w:rsidRPr="008D0ABC" w:rsidRDefault="002440F4" w:rsidP="00AB4D0E">
      <w:pPr>
        <w:autoSpaceDE w:val="0"/>
        <w:autoSpaceDN w:val="0"/>
        <w:adjustRightInd w:val="0"/>
        <w:spacing w:line="360" w:lineRule="auto"/>
        <w:ind w:left="567" w:right="567"/>
        <w:jc w:val="both"/>
        <w:rPr>
          <w:rFonts w:ascii="Palatino Linotype" w:hAnsi="Palatino Linotype" w:cs="Tahoma"/>
          <w:i/>
          <w:color w:val="0D0D0D" w:themeColor="text1" w:themeTint="F2"/>
        </w:rPr>
      </w:pPr>
      <w:r w:rsidRPr="008D0ABC">
        <w:rPr>
          <w:rFonts w:ascii="Palatino Linotype" w:hAnsi="Palatino Linotype" w:cs="Tahoma"/>
          <w:i/>
          <w:color w:val="0D0D0D" w:themeColor="text1" w:themeTint="F2"/>
        </w:rPr>
        <w:t>La respuesta de la autoridad obliga, por incompleta y participé de ocultación de información publica.</w:t>
      </w:r>
      <w:r w:rsidR="00B727C5" w:rsidRPr="008D0ABC">
        <w:rPr>
          <w:rFonts w:ascii="Palatino Linotype" w:hAnsi="Palatino Linotype" w:cs="Tahoma"/>
          <w:i/>
          <w:color w:val="0D0D0D" w:themeColor="text1" w:themeTint="F2"/>
        </w:rPr>
        <w:t>”</w:t>
      </w:r>
      <w:r w:rsidR="00092475" w:rsidRPr="008D0ABC">
        <w:rPr>
          <w:rFonts w:ascii="Palatino Linotype" w:hAnsi="Palatino Linotype" w:cs="Tahoma"/>
          <w:i/>
          <w:color w:val="0D0D0D" w:themeColor="text1" w:themeTint="F2"/>
        </w:rPr>
        <w:t xml:space="preserve"> (Sic.)</w:t>
      </w:r>
    </w:p>
    <w:p w14:paraId="30A8DEB7" w14:textId="77777777" w:rsidR="0027499F" w:rsidRPr="008D0ABC" w:rsidRDefault="0027499F" w:rsidP="00AB4D0E">
      <w:pPr>
        <w:autoSpaceDE w:val="0"/>
        <w:autoSpaceDN w:val="0"/>
        <w:adjustRightInd w:val="0"/>
        <w:spacing w:line="360" w:lineRule="auto"/>
        <w:ind w:left="567" w:right="567"/>
        <w:jc w:val="both"/>
        <w:rPr>
          <w:rFonts w:ascii="Palatino Linotype" w:hAnsi="Palatino Linotype" w:cs="Tahoma"/>
          <w:i/>
          <w:color w:val="0D0D0D" w:themeColor="text1" w:themeTint="F2"/>
        </w:rPr>
      </w:pPr>
    </w:p>
    <w:p w14:paraId="5E2C8F1C" w14:textId="77777777" w:rsidR="00C25238" w:rsidRPr="008D0ABC" w:rsidRDefault="00B727C5" w:rsidP="00AB4D0E">
      <w:pPr>
        <w:autoSpaceDE w:val="0"/>
        <w:autoSpaceDN w:val="0"/>
        <w:adjustRightInd w:val="0"/>
        <w:spacing w:line="360" w:lineRule="auto"/>
        <w:ind w:left="567" w:right="567"/>
        <w:jc w:val="both"/>
        <w:rPr>
          <w:rFonts w:ascii="Palatino Linotype" w:hAnsi="Palatino Linotype" w:cs="Tahoma"/>
          <w:b/>
          <w:i/>
          <w:color w:val="0D0D0D" w:themeColor="text1" w:themeTint="F2"/>
        </w:rPr>
      </w:pPr>
      <w:r w:rsidRPr="008D0ABC">
        <w:rPr>
          <w:rFonts w:ascii="Palatino Linotype" w:hAnsi="Palatino Linotype" w:cs="Tahoma"/>
          <w:b/>
          <w:i/>
          <w:color w:val="0D0D0D" w:themeColor="text1" w:themeTint="F2"/>
        </w:rPr>
        <w:t>“</w:t>
      </w:r>
      <w:r w:rsidR="00C25238" w:rsidRPr="008D0ABC">
        <w:rPr>
          <w:rFonts w:ascii="Palatino Linotype" w:hAnsi="Palatino Linotype" w:cs="Tahoma"/>
          <w:b/>
          <w:i/>
          <w:color w:val="0D0D0D" w:themeColor="text1" w:themeTint="F2"/>
        </w:rPr>
        <w:t>RAZONES O MOTIVOS DE LA INCONFORMIDAD</w:t>
      </w:r>
    </w:p>
    <w:p w14:paraId="6E7B1124" w14:textId="5A6580EA" w:rsidR="00B31222" w:rsidRPr="008D0ABC" w:rsidRDefault="002440F4" w:rsidP="00D916BD">
      <w:pPr>
        <w:widowControl w:val="0"/>
        <w:autoSpaceDE w:val="0"/>
        <w:autoSpaceDN w:val="0"/>
        <w:adjustRightInd w:val="0"/>
        <w:spacing w:line="360" w:lineRule="auto"/>
        <w:ind w:left="567" w:right="567"/>
        <w:jc w:val="both"/>
        <w:rPr>
          <w:rFonts w:ascii="Palatino Linotype" w:hAnsi="Palatino Linotype" w:cs="Tahoma"/>
          <w:i/>
          <w:color w:val="0D0D0D" w:themeColor="text1" w:themeTint="F2"/>
        </w:rPr>
      </w:pPr>
      <w:r w:rsidRPr="008D0ABC">
        <w:rPr>
          <w:rFonts w:ascii="Palatino Linotype" w:hAnsi="Palatino Linotype" w:cs="Tahoma"/>
          <w:i/>
          <w:color w:val="0D0D0D" w:themeColor="text1" w:themeTint="F2"/>
        </w:rPr>
        <w:t>Como se prueba la autoridad responsable no proporciona información completa que se solicitara misma que lo fue: Solicito la lista de nombres de proveedores,del ayuntamiento del periodo 1 de enero al 22 de junio del 2022. Solicito copia de los contratos asignados para obra del periodo 1 de enero al 22 de junio del 2022. Solicito los montos y la asignación a empresa y/o persona física de obra de acuerdo a la programación anual de obras. Solicito los contratos de obras y de servicios asignados desde fecha 1 de enero al 22 de junio del 2022. Asi mismo por tratar de ocultar información pública usando argumento no debidamente motivados y fundamentados. ,Pretendiendo que se de por satisfecho el requerimiento violentando el derecho a la información que se tiene y consagrado en la constitución.</w:t>
      </w:r>
      <w:r w:rsidR="00B727C5" w:rsidRPr="008D0ABC">
        <w:rPr>
          <w:rFonts w:ascii="Palatino Linotype" w:hAnsi="Palatino Linotype" w:cs="Tahoma"/>
          <w:i/>
          <w:color w:val="0D0D0D" w:themeColor="text1" w:themeTint="F2"/>
        </w:rPr>
        <w:t>”</w:t>
      </w:r>
      <w:r w:rsidR="006C1B1D" w:rsidRPr="008D0ABC">
        <w:rPr>
          <w:rFonts w:ascii="Palatino Linotype" w:hAnsi="Palatino Linotype" w:cs="Tahoma"/>
          <w:i/>
          <w:color w:val="0D0D0D" w:themeColor="text1" w:themeTint="F2"/>
        </w:rPr>
        <w:t xml:space="preserve"> (Sic.)</w:t>
      </w:r>
    </w:p>
    <w:p w14:paraId="5A6C595B" w14:textId="77777777" w:rsidR="005228ED" w:rsidRPr="008D0ABC" w:rsidRDefault="005228ED" w:rsidP="00AB4D0E">
      <w:pPr>
        <w:spacing w:line="360" w:lineRule="auto"/>
        <w:jc w:val="both"/>
        <w:rPr>
          <w:rFonts w:ascii="Palatino Linotype" w:hAnsi="Palatino Linotype" w:cs="Tahoma"/>
          <w:b/>
          <w:color w:val="0D0D0D" w:themeColor="text1" w:themeTint="F2"/>
          <w:sz w:val="22"/>
          <w:szCs w:val="22"/>
        </w:rPr>
      </w:pPr>
    </w:p>
    <w:p w14:paraId="737916C4" w14:textId="2F67EFBB" w:rsidR="00B31222" w:rsidRPr="008D0ABC" w:rsidRDefault="00F8243E" w:rsidP="00AB4D0E">
      <w:pPr>
        <w:spacing w:line="360" w:lineRule="auto"/>
        <w:jc w:val="both"/>
        <w:rPr>
          <w:rFonts w:ascii="Palatino Linotype" w:eastAsia="Batang" w:hAnsi="Palatino Linotype" w:cs="Tahoma"/>
          <w:b/>
          <w:bCs/>
          <w:color w:val="0D0D0D" w:themeColor="text1" w:themeTint="F2"/>
          <w:sz w:val="22"/>
          <w:szCs w:val="22"/>
        </w:rPr>
      </w:pPr>
      <w:r w:rsidRPr="008D0ABC">
        <w:rPr>
          <w:rFonts w:ascii="Palatino Linotype" w:hAnsi="Palatino Linotype" w:cs="Tahoma"/>
          <w:b/>
          <w:color w:val="0D0D0D" w:themeColor="text1" w:themeTint="F2"/>
          <w:sz w:val="22"/>
          <w:szCs w:val="22"/>
        </w:rPr>
        <w:t>I</w:t>
      </w:r>
      <w:r w:rsidR="0030032A" w:rsidRPr="008D0ABC">
        <w:rPr>
          <w:rFonts w:ascii="Palatino Linotype" w:hAnsi="Palatino Linotype" w:cs="Tahoma"/>
          <w:b/>
          <w:color w:val="0D0D0D" w:themeColor="text1" w:themeTint="F2"/>
          <w:sz w:val="22"/>
          <w:szCs w:val="22"/>
        </w:rPr>
        <w:t>V</w:t>
      </w:r>
      <w:r w:rsidR="00B31222" w:rsidRPr="008D0ABC">
        <w:rPr>
          <w:rFonts w:ascii="Palatino Linotype" w:hAnsi="Palatino Linotype" w:cs="Tahoma"/>
          <w:b/>
          <w:color w:val="0D0D0D" w:themeColor="text1" w:themeTint="F2"/>
          <w:sz w:val="22"/>
          <w:szCs w:val="22"/>
        </w:rPr>
        <w:t xml:space="preserve">. </w:t>
      </w:r>
      <w:r w:rsidR="00B31222" w:rsidRPr="008D0ABC">
        <w:rPr>
          <w:rFonts w:ascii="Palatino Linotype" w:eastAsia="Batang" w:hAnsi="Palatino Linotype" w:cs="Tahoma"/>
          <w:b/>
          <w:bCs/>
          <w:color w:val="0D0D0D" w:themeColor="text1" w:themeTint="F2"/>
          <w:sz w:val="22"/>
          <w:szCs w:val="22"/>
        </w:rPr>
        <w:t xml:space="preserve">Trámite del </w:t>
      </w:r>
      <w:r w:rsidR="00C459A9" w:rsidRPr="008D0ABC">
        <w:rPr>
          <w:rFonts w:ascii="Palatino Linotype" w:hAnsi="Palatino Linotype" w:cs="Tahoma"/>
          <w:b/>
          <w:color w:val="0D0D0D" w:themeColor="text1" w:themeTint="F2"/>
          <w:sz w:val="22"/>
          <w:szCs w:val="22"/>
        </w:rPr>
        <w:t>Recurso de Revisión</w:t>
      </w:r>
      <w:r w:rsidR="00AE489D" w:rsidRPr="008D0ABC">
        <w:rPr>
          <w:rFonts w:ascii="Palatino Linotype" w:hAnsi="Palatino Linotype" w:cs="Tahoma"/>
          <w:b/>
          <w:color w:val="0D0D0D" w:themeColor="text1" w:themeTint="F2"/>
          <w:sz w:val="22"/>
          <w:szCs w:val="22"/>
        </w:rPr>
        <w:t xml:space="preserve"> </w:t>
      </w:r>
      <w:r w:rsidR="00B31222" w:rsidRPr="008D0ABC">
        <w:rPr>
          <w:rFonts w:ascii="Palatino Linotype" w:eastAsia="Batang" w:hAnsi="Palatino Linotype" w:cs="Tahoma"/>
          <w:b/>
          <w:bCs/>
          <w:color w:val="0D0D0D" w:themeColor="text1" w:themeTint="F2"/>
          <w:sz w:val="22"/>
          <w:szCs w:val="22"/>
        </w:rPr>
        <w:t>ante el Instituto</w:t>
      </w:r>
      <w:r w:rsidR="00E445DA" w:rsidRPr="008D0ABC">
        <w:rPr>
          <w:rFonts w:ascii="Palatino Linotype" w:eastAsia="Batang" w:hAnsi="Palatino Linotype" w:cs="Tahoma"/>
          <w:b/>
          <w:bCs/>
          <w:color w:val="0D0D0D" w:themeColor="text1" w:themeTint="F2"/>
          <w:sz w:val="22"/>
          <w:szCs w:val="22"/>
        </w:rPr>
        <w:t>.</w:t>
      </w:r>
    </w:p>
    <w:p w14:paraId="076B5FBC" w14:textId="77777777" w:rsidR="00E445DA" w:rsidRPr="008D0ABC" w:rsidRDefault="00E445DA" w:rsidP="00AB4D0E">
      <w:pPr>
        <w:spacing w:line="360" w:lineRule="auto"/>
        <w:jc w:val="both"/>
        <w:rPr>
          <w:rFonts w:ascii="Palatino Linotype" w:eastAsia="Batang" w:hAnsi="Palatino Linotype" w:cs="Tahoma"/>
          <w:b/>
          <w:bCs/>
          <w:color w:val="0D0D0D" w:themeColor="text1" w:themeTint="F2"/>
          <w:sz w:val="22"/>
          <w:szCs w:val="22"/>
        </w:rPr>
      </w:pPr>
    </w:p>
    <w:p w14:paraId="3D446386" w14:textId="2E95F3A9" w:rsidR="00BE4843" w:rsidRPr="008D0ABC" w:rsidRDefault="00A90F9B" w:rsidP="00AB4D0E">
      <w:pPr>
        <w:spacing w:line="360" w:lineRule="auto"/>
        <w:jc w:val="both"/>
        <w:rPr>
          <w:rFonts w:ascii="Palatino Linotype" w:eastAsia="Batang" w:hAnsi="Palatino Linotype" w:cs="Tahoma"/>
          <w:bCs/>
          <w:color w:val="0D0D0D" w:themeColor="text1" w:themeTint="F2"/>
          <w:sz w:val="22"/>
          <w:szCs w:val="22"/>
        </w:rPr>
      </w:pPr>
      <w:r w:rsidRPr="008D0ABC">
        <w:rPr>
          <w:rFonts w:ascii="Palatino Linotype" w:eastAsia="Batang" w:hAnsi="Palatino Linotype" w:cs="Tahoma"/>
          <w:b/>
          <w:bCs/>
          <w:color w:val="0D0D0D" w:themeColor="text1" w:themeTint="F2"/>
          <w:sz w:val="22"/>
          <w:szCs w:val="22"/>
        </w:rPr>
        <w:t xml:space="preserve">a) </w:t>
      </w:r>
      <w:r w:rsidR="00B31222" w:rsidRPr="008D0ABC">
        <w:rPr>
          <w:rFonts w:ascii="Palatino Linotype" w:eastAsia="Batang" w:hAnsi="Palatino Linotype" w:cs="Tahoma"/>
          <w:b/>
          <w:bCs/>
          <w:color w:val="0D0D0D" w:themeColor="text1" w:themeTint="F2"/>
          <w:sz w:val="22"/>
          <w:szCs w:val="22"/>
        </w:rPr>
        <w:t xml:space="preserve">Turno del </w:t>
      </w:r>
      <w:r w:rsidR="00C459A9" w:rsidRPr="008D0ABC">
        <w:rPr>
          <w:rFonts w:ascii="Palatino Linotype" w:hAnsi="Palatino Linotype" w:cs="Tahoma"/>
          <w:b/>
          <w:color w:val="0D0D0D" w:themeColor="text1" w:themeTint="F2"/>
          <w:sz w:val="22"/>
          <w:szCs w:val="22"/>
        </w:rPr>
        <w:t>Recurso de Revisión</w:t>
      </w:r>
      <w:r w:rsidRPr="008D0ABC">
        <w:rPr>
          <w:rFonts w:ascii="Palatino Linotype" w:eastAsia="Batang" w:hAnsi="Palatino Linotype" w:cs="Tahoma"/>
          <w:b/>
          <w:bCs/>
          <w:color w:val="0D0D0D" w:themeColor="text1" w:themeTint="F2"/>
          <w:sz w:val="22"/>
          <w:szCs w:val="22"/>
        </w:rPr>
        <w:t>.</w:t>
      </w:r>
      <w:r w:rsidR="00AE489D" w:rsidRPr="008D0ABC">
        <w:rPr>
          <w:rFonts w:ascii="Palatino Linotype" w:eastAsia="Batang" w:hAnsi="Palatino Linotype" w:cs="Tahoma"/>
          <w:b/>
          <w:bCs/>
          <w:color w:val="0D0D0D" w:themeColor="text1" w:themeTint="F2"/>
          <w:sz w:val="22"/>
          <w:szCs w:val="22"/>
        </w:rPr>
        <w:t xml:space="preserve"> </w:t>
      </w:r>
      <w:r w:rsidR="00BE4843" w:rsidRPr="008D0ABC">
        <w:rPr>
          <w:rFonts w:ascii="Palatino Linotype" w:eastAsia="Batang" w:hAnsi="Palatino Linotype" w:cs="Tahoma"/>
          <w:bCs/>
          <w:color w:val="0D0D0D" w:themeColor="text1" w:themeTint="F2"/>
          <w:sz w:val="22"/>
          <w:szCs w:val="22"/>
        </w:rPr>
        <w:t xml:space="preserve">El </w:t>
      </w:r>
      <w:r w:rsidR="002440F4" w:rsidRPr="008D0ABC">
        <w:rPr>
          <w:rFonts w:ascii="Palatino Linotype" w:eastAsia="Batang" w:hAnsi="Palatino Linotype" w:cs="Tahoma"/>
          <w:bCs/>
          <w:color w:val="0D0D0D" w:themeColor="text1" w:themeTint="F2"/>
          <w:sz w:val="22"/>
          <w:szCs w:val="22"/>
        </w:rPr>
        <w:t>veintisiete</w:t>
      </w:r>
      <w:r w:rsidR="00746BAC" w:rsidRPr="008D0ABC">
        <w:rPr>
          <w:rFonts w:ascii="Palatino Linotype" w:eastAsia="Batang" w:hAnsi="Palatino Linotype" w:cs="Tahoma"/>
          <w:bCs/>
          <w:color w:val="0D0D0D" w:themeColor="text1" w:themeTint="F2"/>
          <w:sz w:val="22"/>
          <w:szCs w:val="22"/>
        </w:rPr>
        <w:t xml:space="preserve"> de </w:t>
      </w:r>
      <w:r w:rsidR="002440F4" w:rsidRPr="008D0ABC">
        <w:rPr>
          <w:rFonts w:ascii="Palatino Linotype" w:eastAsia="Batang" w:hAnsi="Palatino Linotype" w:cs="Tahoma"/>
          <w:bCs/>
          <w:color w:val="0D0D0D" w:themeColor="text1" w:themeTint="F2"/>
          <w:sz w:val="22"/>
          <w:szCs w:val="22"/>
        </w:rPr>
        <w:t>julio</w:t>
      </w:r>
      <w:r w:rsidR="00746BAC" w:rsidRPr="008D0ABC">
        <w:rPr>
          <w:rFonts w:ascii="Palatino Linotype" w:eastAsia="Batang" w:hAnsi="Palatino Linotype" w:cs="Tahoma"/>
          <w:bCs/>
          <w:color w:val="0D0D0D" w:themeColor="text1" w:themeTint="F2"/>
          <w:sz w:val="22"/>
          <w:szCs w:val="22"/>
        </w:rPr>
        <w:t xml:space="preserve"> </w:t>
      </w:r>
      <w:r w:rsidR="001B34AD" w:rsidRPr="008D0ABC">
        <w:rPr>
          <w:rFonts w:ascii="Palatino Linotype" w:eastAsia="Batang" w:hAnsi="Palatino Linotype" w:cs="Tahoma"/>
          <w:bCs/>
          <w:color w:val="0D0D0D" w:themeColor="text1" w:themeTint="F2"/>
          <w:sz w:val="22"/>
          <w:szCs w:val="22"/>
        </w:rPr>
        <w:t xml:space="preserve">de dos mil </w:t>
      </w:r>
      <w:r w:rsidR="00BA60CE" w:rsidRPr="008D0ABC">
        <w:rPr>
          <w:rFonts w:ascii="Palatino Linotype" w:eastAsia="Batang" w:hAnsi="Palatino Linotype" w:cs="Tahoma"/>
          <w:bCs/>
          <w:color w:val="0D0D0D" w:themeColor="text1" w:themeTint="F2"/>
          <w:sz w:val="22"/>
          <w:szCs w:val="22"/>
        </w:rPr>
        <w:t>veinti</w:t>
      </w:r>
      <w:r w:rsidR="00F161A1" w:rsidRPr="008D0ABC">
        <w:rPr>
          <w:rFonts w:ascii="Palatino Linotype" w:eastAsia="Batang" w:hAnsi="Palatino Linotype" w:cs="Tahoma"/>
          <w:bCs/>
          <w:color w:val="0D0D0D" w:themeColor="text1" w:themeTint="F2"/>
          <w:sz w:val="22"/>
          <w:szCs w:val="22"/>
        </w:rPr>
        <w:t>dós</w:t>
      </w:r>
      <w:r w:rsidR="00BE4843" w:rsidRPr="008D0ABC">
        <w:rPr>
          <w:rFonts w:ascii="Palatino Linotype" w:eastAsia="Batang" w:hAnsi="Palatino Linotype" w:cs="Tahoma"/>
          <w:bCs/>
          <w:color w:val="0D0D0D" w:themeColor="text1" w:themeTint="F2"/>
          <w:sz w:val="22"/>
          <w:szCs w:val="22"/>
        </w:rPr>
        <w:t xml:space="preserve">, el </w:t>
      </w:r>
      <w:r w:rsidR="00BE4843" w:rsidRPr="008D0ABC">
        <w:rPr>
          <w:rFonts w:ascii="Palatino Linotype" w:hAnsi="Palatino Linotype" w:cs="Tahoma"/>
          <w:color w:val="0D0D0D" w:themeColor="text1" w:themeTint="F2"/>
          <w:sz w:val="22"/>
          <w:szCs w:val="22"/>
          <w:lang w:val="es-ES"/>
        </w:rPr>
        <w:t>Sistema de Acceso a la Información Mexiquense (SAIMEX),</w:t>
      </w:r>
      <w:r w:rsidR="00BE4843" w:rsidRPr="008D0ABC">
        <w:rPr>
          <w:rFonts w:ascii="Palatino Linotype" w:eastAsia="Batang" w:hAnsi="Palatino Linotype" w:cs="Tahoma"/>
          <w:bCs/>
          <w:color w:val="0D0D0D" w:themeColor="text1" w:themeTint="F2"/>
          <w:sz w:val="22"/>
          <w:szCs w:val="22"/>
        </w:rPr>
        <w:t xml:space="preserve"> asignó el número de expediente </w:t>
      </w:r>
      <w:r w:rsidR="002440F4" w:rsidRPr="008D0ABC">
        <w:rPr>
          <w:rFonts w:ascii="Palatino Linotype" w:eastAsia="Batang" w:hAnsi="Palatino Linotype" w:cs="Tahoma"/>
          <w:b/>
          <w:color w:val="0D0D0D" w:themeColor="text1" w:themeTint="F2"/>
          <w:sz w:val="22"/>
          <w:szCs w:val="22"/>
        </w:rPr>
        <w:t>13016/INFOEM/IP/RR/2022</w:t>
      </w:r>
      <w:r w:rsidR="00BE4843" w:rsidRPr="008D0ABC">
        <w:rPr>
          <w:rFonts w:ascii="Palatino Linotype" w:eastAsia="Batang" w:hAnsi="Palatino Linotype" w:cs="Tahoma"/>
          <w:bCs/>
          <w:color w:val="0D0D0D" w:themeColor="text1" w:themeTint="F2"/>
          <w:sz w:val="22"/>
          <w:szCs w:val="22"/>
        </w:rPr>
        <w:t>,</w:t>
      </w:r>
      <w:r w:rsidR="00AE489D" w:rsidRPr="008D0ABC">
        <w:rPr>
          <w:rFonts w:ascii="Palatino Linotype" w:eastAsia="Batang" w:hAnsi="Palatino Linotype" w:cs="Tahoma"/>
          <w:bCs/>
          <w:color w:val="0D0D0D" w:themeColor="text1" w:themeTint="F2"/>
          <w:sz w:val="22"/>
          <w:szCs w:val="22"/>
        </w:rPr>
        <w:t xml:space="preserve"> </w:t>
      </w:r>
      <w:r w:rsidR="00BE4843" w:rsidRPr="008D0ABC">
        <w:rPr>
          <w:rFonts w:ascii="Palatino Linotype" w:eastAsia="Batang" w:hAnsi="Palatino Linotype" w:cs="Tahoma"/>
          <w:bCs/>
          <w:color w:val="0D0D0D" w:themeColor="text1" w:themeTint="F2"/>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1A19038A" w14:textId="77777777" w:rsidR="00B24057" w:rsidRPr="008D0ABC" w:rsidRDefault="00B24057" w:rsidP="00AB4D0E">
      <w:pPr>
        <w:spacing w:line="360" w:lineRule="auto"/>
        <w:jc w:val="both"/>
        <w:rPr>
          <w:rFonts w:ascii="Palatino Linotype" w:eastAsia="Batang" w:hAnsi="Palatino Linotype" w:cs="Tahoma"/>
          <w:b/>
          <w:bCs/>
          <w:color w:val="0D0D0D" w:themeColor="text1" w:themeTint="F2"/>
          <w:sz w:val="22"/>
          <w:szCs w:val="22"/>
        </w:rPr>
      </w:pPr>
    </w:p>
    <w:p w14:paraId="4BEC6B3E" w14:textId="03305958" w:rsidR="00B31222" w:rsidRPr="008D0ABC" w:rsidRDefault="00625DFB" w:rsidP="00AB4D0E">
      <w:pPr>
        <w:spacing w:line="360" w:lineRule="auto"/>
        <w:jc w:val="both"/>
        <w:rPr>
          <w:rFonts w:ascii="Palatino Linotype" w:eastAsia="Batang" w:hAnsi="Palatino Linotype" w:cs="Tahoma"/>
          <w:bCs/>
          <w:color w:val="0D0D0D" w:themeColor="text1" w:themeTint="F2"/>
          <w:sz w:val="22"/>
          <w:szCs w:val="22"/>
          <w:lang w:val="es-ES_tradnl"/>
        </w:rPr>
      </w:pPr>
      <w:r w:rsidRPr="008D0ABC">
        <w:rPr>
          <w:rFonts w:ascii="Palatino Linotype" w:eastAsia="Batang" w:hAnsi="Palatino Linotype" w:cs="Tahoma"/>
          <w:b/>
          <w:bCs/>
          <w:color w:val="0D0D0D" w:themeColor="text1" w:themeTint="F2"/>
          <w:sz w:val="22"/>
          <w:szCs w:val="22"/>
        </w:rPr>
        <w:t>b</w:t>
      </w:r>
      <w:r w:rsidR="009F46DC" w:rsidRPr="008D0ABC">
        <w:rPr>
          <w:rFonts w:ascii="Palatino Linotype" w:eastAsia="Batang" w:hAnsi="Palatino Linotype" w:cs="Tahoma"/>
          <w:b/>
          <w:bCs/>
          <w:color w:val="0D0D0D" w:themeColor="text1" w:themeTint="F2"/>
          <w:sz w:val="22"/>
          <w:szCs w:val="22"/>
        </w:rPr>
        <w:t xml:space="preserve">) </w:t>
      </w:r>
      <w:r w:rsidR="00B31222" w:rsidRPr="008D0ABC">
        <w:rPr>
          <w:rFonts w:ascii="Palatino Linotype" w:eastAsia="Batang" w:hAnsi="Palatino Linotype" w:cs="Tahoma"/>
          <w:b/>
          <w:bCs/>
          <w:color w:val="0D0D0D" w:themeColor="text1" w:themeTint="F2"/>
          <w:sz w:val="22"/>
          <w:szCs w:val="22"/>
        </w:rPr>
        <w:t>Admisión del</w:t>
      </w:r>
      <w:r w:rsidR="00AE489D" w:rsidRPr="008D0ABC">
        <w:rPr>
          <w:rFonts w:ascii="Palatino Linotype" w:eastAsia="Batang" w:hAnsi="Palatino Linotype" w:cs="Tahoma"/>
          <w:b/>
          <w:bCs/>
          <w:color w:val="0D0D0D" w:themeColor="text1" w:themeTint="F2"/>
          <w:sz w:val="22"/>
          <w:szCs w:val="22"/>
        </w:rPr>
        <w:t xml:space="preserve"> </w:t>
      </w:r>
      <w:r w:rsidR="00C459A9" w:rsidRPr="008D0ABC">
        <w:rPr>
          <w:rFonts w:ascii="Palatino Linotype" w:hAnsi="Palatino Linotype" w:cs="Tahoma"/>
          <w:b/>
          <w:color w:val="0D0D0D" w:themeColor="text1" w:themeTint="F2"/>
          <w:sz w:val="22"/>
          <w:szCs w:val="22"/>
        </w:rPr>
        <w:t>Recurso de Revisión</w:t>
      </w:r>
      <w:r w:rsidR="00B31222" w:rsidRPr="008D0ABC">
        <w:rPr>
          <w:rFonts w:ascii="Palatino Linotype" w:eastAsia="Batang" w:hAnsi="Palatino Linotype" w:cs="Tahoma"/>
          <w:b/>
          <w:bCs/>
          <w:color w:val="0D0D0D" w:themeColor="text1" w:themeTint="F2"/>
          <w:sz w:val="22"/>
          <w:szCs w:val="22"/>
          <w:lang w:val="es-ES_tradnl"/>
        </w:rPr>
        <w:t xml:space="preserve">. </w:t>
      </w:r>
      <w:r w:rsidR="00BE4843" w:rsidRPr="008D0ABC">
        <w:rPr>
          <w:rFonts w:ascii="Palatino Linotype" w:eastAsia="Batang" w:hAnsi="Palatino Linotype" w:cs="Tahoma"/>
          <w:bCs/>
          <w:color w:val="0D0D0D" w:themeColor="text1" w:themeTint="F2"/>
          <w:sz w:val="22"/>
          <w:szCs w:val="22"/>
          <w:lang w:val="es-ES_tradnl"/>
        </w:rPr>
        <w:t xml:space="preserve">El </w:t>
      </w:r>
      <w:r w:rsidR="002440F4" w:rsidRPr="008D0ABC">
        <w:rPr>
          <w:rFonts w:ascii="Palatino Linotype" w:eastAsia="Batang" w:hAnsi="Palatino Linotype" w:cs="Tahoma"/>
          <w:bCs/>
          <w:color w:val="0D0D0D" w:themeColor="text1" w:themeTint="F2"/>
          <w:sz w:val="22"/>
          <w:szCs w:val="22"/>
          <w:lang w:val="es-ES_tradnl"/>
        </w:rPr>
        <w:t>cuatro</w:t>
      </w:r>
      <w:r w:rsidR="00746BAC" w:rsidRPr="008D0ABC">
        <w:rPr>
          <w:rFonts w:ascii="Palatino Linotype" w:eastAsia="Batang" w:hAnsi="Palatino Linotype" w:cs="Tahoma"/>
          <w:bCs/>
          <w:color w:val="0D0D0D" w:themeColor="text1" w:themeTint="F2"/>
          <w:sz w:val="22"/>
          <w:szCs w:val="22"/>
          <w:lang w:val="es-ES_tradnl"/>
        </w:rPr>
        <w:t xml:space="preserve"> de </w:t>
      </w:r>
      <w:r w:rsidR="002440F4" w:rsidRPr="008D0ABC">
        <w:rPr>
          <w:rFonts w:ascii="Palatino Linotype" w:eastAsia="Batang" w:hAnsi="Palatino Linotype" w:cs="Tahoma"/>
          <w:bCs/>
          <w:color w:val="0D0D0D" w:themeColor="text1" w:themeTint="F2"/>
          <w:sz w:val="22"/>
          <w:szCs w:val="22"/>
          <w:lang w:val="es-ES_tradnl"/>
        </w:rPr>
        <w:t>agosto</w:t>
      </w:r>
      <w:r w:rsidR="00BA60CE" w:rsidRPr="008D0ABC">
        <w:rPr>
          <w:rFonts w:ascii="Palatino Linotype" w:eastAsia="Batang" w:hAnsi="Palatino Linotype" w:cs="Tahoma"/>
          <w:bCs/>
          <w:color w:val="0D0D0D" w:themeColor="text1" w:themeTint="F2"/>
          <w:sz w:val="22"/>
          <w:szCs w:val="22"/>
          <w:lang w:val="es-ES_tradnl"/>
        </w:rPr>
        <w:t xml:space="preserve"> de dos mil veinti</w:t>
      </w:r>
      <w:r w:rsidR="00F161A1" w:rsidRPr="008D0ABC">
        <w:rPr>
          <w:rFonts w:ascii="Palatino Linotype" w:eastAsia="Batang" w:hAnsi="Palatino Linotype" w:cs="Tahoma"/>
          <w:bCs/>
          <w:color w:val="0D0D0D" w:themeColor="text1" w:themeTint="F2"/>
          <w:sz w:val="22"/>
          <w:szCs w:val="22"/>
          <w:lang w:val="es-ES_tradnl"/>
        </w:rPr>
        <w:t>dós</w:t>
      </w:r>
      <w:r w:rsidR="00BE4843" w:rsidRPr="008D0ABC">
        <w:rPr>
          <w:rFonts w:ascii="Palatino Linotype" w:eastAsia="Batang" w:hAnsi="Palatino Linotype" w:cs="Tahoma"/>
          <w:bCs/>
          <w:color w:val="0D0D0D" w:themeColor="text1" w:themeTint="F2"/>
          <w:sz w:val="22"/>
          <w:szCs w:val="22"/>
          <w:lang w:val="es-ES_tradnl"/>
        </w:rPr>
        <w:t xml:space="preserve">, se acordó la admisión del Recurso de Revisión interpuesto por </w:t>
      </w:r>
      <w:r w:rsidR="001D503B" w:rsidRPr="008D0ABC">
        <w:rPr>
          <w:rFonts w:ascii="Palatino Linotype" w:eastAsia="Batang" w:hAnsi="Palatino Linotype" w:cs="Tahoma"/>
          <w:bCs/>
          <w:color w:val="0D0D0D" w:themeColor="text1" w:themeTint="F2"/>
          <w:sz w:val="22"/>
          <w:szCs w:val="22"/>
          <w:lang w:val="es-ES_tradnl"/>
        </w:rPr>
        <w:t xml:space="preserve">la </w:t>
      </w:r>
      <w:r w:rsidR="00BE4843" w:rsidRPr="008D0ABC">
        <w:rPr>
          <w:rFonts w:ascii="Palatino Linotype" w:eastAsia="Batang" w:hAnsi="Palatino Linotype" w:cs="Tahoma"/>
          <w:bCs/>
          <w:color w:val="0D0D0D" w:themeColor="text1" w:themeTint="F2"/>
          <w:sz w:val="22"/>
          <w:szCs w:val="22"/>
          <w:lang w:val="es-ES_tradnl"/>
        </w:rPr>
        <w:t xml:space="preserve">Recurrente en contra del </w:t>
      </w:r>
      <w:r w:rsidR="00141895" w:rsidRPr="008D0ABC">
        <w:rPr>
          <w:rFonts w:ascii="Palatino Linotype" w:eastAsia="Batang" w:hAnsi="Palatino Linotype" w:cs="Tahoma"/>
          <w:bCs/>
          <w:color w:val="0D0D0D" w:themeColor="text1" w:themeTint="F2"/>
          <w:sz w:val="22"/>
          <w:szCs w:val="22"/>
          <w:lang w:val="es-ES_tradnl"/>
        </w:rPr>
        <w:t>Sujeto Obligado</w:t>
      </w:r>
      <w:r w:rsidR="00BE4843" w:rsidRPr="008D0ABC">
        <w:rPr>
          <w:rFonts w:ascii="Palatino Linotype" w:eastAsia="Batang" w:hAnsi="Palatino Linotype" w:cs="Tahoma"/>
          <w:bCs/>
          <w:color w:val="0D0D0D" w:themeColor="text1" w:themeTint="F2"/>
          <w:sz w:val="22"/>
          <w:szCs w:val="22"/>
          <w:lang w:val="es-ES_tradnl"/>
        </w:rPr>
        <w:t xml:space="preserve">, en términos del artículo 185, fracciones I y II de la Ley de Transparencia y Acceso a la Información Pública del Estado de México y Municipios, el cual fue notificado a las partes el </w:t>
      </w:r>
      <w:r w:rsidR="002440F4" w:rsidRPr="008D0ABC">
        <w:rPr>
          <w:rFonts w:ascii="Palatino Linotype" w:eastAsia="Batang" w:hAnsi="Palatino Linotype" w:cs="Tahoma"/>
          <w:bCs/>
          <w:color w:val="0D0D0D" w:themeColor="text1" w:themeTint="F2"/>
          <w:sz w:val="22"/>
          <w:szCs w:val="22"/>
          <w:lang w:val="es-ES_tradnl"/>
        </w:rPr>
        <w:t>cinco del mismo mes y año</w:t>
      </w:r>
      <w:r w:rsidR="00BE4843" w:rsidRPr="008D0ABC">
        <w:rPr>
          <w:rFonts w:ascii="Palatino Linotype" w:eastAsia="Batang" w:hAnsi="Palatino Linotype" w:cs="Tahoma"/>
          <w:bCs/>
          <w:color w:val="0D0D0D" w:themeColor="text1" w:themeTint="F2"/>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70E041E2" w14:textId="77777777" w:rsidR="00D932E4" w:rsidRPr="008D0ABC" w:rsidRDefault="00D932E4" w:rsidP="00AB4D0E">
      <w:pPr>
        <w:spacing w:line="360" w:lineRule="auto"/>
        <w:jc w:val="both"/>
        <w:rPr>
          <w:rFonts w:ascii="Palatino Linotype" w:hAnsi="Palatino Linotype" w:cs="Tahoma"/>
          <w:bCs/>
          <w:color w:val="0D0D0D" w:themeColor="text1" w:themeTint="F2"/>
          <w:sz w:val="22"/>
          <w:szCs w:val="22"/>
        </w:rPr>
      </w:pPr>
    </w:p>
    <w:p w14:paraId="2D2BB0F6" w14:textId="17917D7D" w:rsidR="00D932E4" w:rsidRPr="008D0ABC" w:rsidRDefault="00D932E4" w:rsidP="00D932E4">
      <w:pPr>
        <w:spacing w:line="360" w:lineRule="auto"/>
        <w:jc w:val="both"/>
        <w:rPr>
          <w:rFonts w:ascii="Palatino Linotype" w:eastAsia="Palatino Linotype" w:hAnsi="Palatino Linotype" w:cs="Palatino Linotype"/>
          <w:color w:val="0D0D0D" w:themeColor="text1" w:themeTint="F2"/>
          <w:sz w:val="22"/>
          <w:szCs w:val="22"/>
          <w:lang w:val="es-ES"/>
        </w:rPr>
      </w:pPr>
      <w:r w:rsidRPr="008D0ABC">
        <w:rPr>
          <w:rFonts w:ascii="Palatino Linotype" w:hAnsi="Palatino Linotype" w:cs="Tahoma"/>
          <w:b/>
          <w:bCs/>
          <w:color w:val="0D0D0D" w:themeColor="text1" w:themeTint="F2"/>
          <w:sz w:val="22"/>
          <w:szCs w:val="22"/>
          <w:lang w:val="es-ES_tradnl"/>
        </w:rPr>
        <w:t xml:space="preserve">d) </w:t>
      </w:r>
      <w:r w:rsidRPr="008D0ABC">
        <w:rPr>
          <w:rFonts w:ascii="Palatino Linotype" w:eastAsia="Palatino Linotype" w:hAnsi="Palatino Linotype" w:cs="Palatino Linotype"/>
          <w:b/>
          <w:bCs/>
          <w:color w:val="0D0D0D" w:themeColor="text1" w:themeTint="F2"/>
          <w:sz w:val="22"/>
          <w:szCs w:val="22"/>
          <w:lang w:val="es-ES"/>
        </w:rPr>
        <w:t xml:space="preserve">Ampliación del plazo para resolver. </w:t>
      </w:r>
      <w:r w:rsidRPr="008D0ABC">
        <w:rPr>
          <w:rFonts w:ascii="Palatino Linotype" w:eastAsia="Palatino Linotype" w:hAnsi="Palatino Linotype" w:cs="Palatino Linotype"/>
          <w:color w:val="0D0D0D" w:themeColor="text1" w:themeTint="F2"/>
          <w:sz w:val="22"/>
          <w:szCs w:val="22"/>
          <w:lang w:val="es-ES"/>
        </w:rPr>
        <w:t>El seis de octubre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mediante el Sistema de Acceso a la Información Mexiquense (SAIMEX).</w:t>
      </w:r>
    </w:p>
    <w:p w14:paraId="0030953A"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2D98CF6"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 </w:t>
      </w:r>
    </w:p>
    <w:p w14:paraId="4F01B0BB"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EE5C55C"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 </w:t>
      </w:r>
    </w:p>
    <w:p w14:paraId="1FD12295"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285E89"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 </w:t>
      </w:r>
    </w:p>
    <w:p w14:paraId="68BF6E48"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2F6A90F"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p>
    <w:p w14:paraId="1BC06351"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AEDD1D"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 </w:t>
      </w:r>
    </w:p>
    <w:p w14:paraId="55656E56" w14:textId="77777777" w:rsidR="00D932E4" w:rsidRPr="008D0ABC" w:rsidRDefault="00D932E4">
      <w:pPr>
        <w:numPr>
          <w:ilvl w:val="0"/>
          <w:numId w:val="4"/>
        </w:numPr>
        <w:spacing w:line="360" w:lineRule="auto"/>
        <w:contextualSpacing/>
        <w:jc w:val="both"/>
        <w:rPr>
          <w:rFonts w:ascii="Palatino Linotype" w:eastAsia="Palatino Linotype" w:hAnsi="Palatino Linotype" w:cs="Palatino Linotype"/>
          <w:color w:val="000000" w:themeColor="text1"/>
          <w:sz w:val="22"/>
          <w:szCs w:val="24"/>
        </w:rPr>
      </w:pPr>
      <w:r w:rsidRPr="008D0ABC">
        <w:rPr>
          <w:rFonts w:ascii="Palatino Linotype" w:eastAsia="Palatino Linotype" w:hAnsi="Palatino Linotype" w:cs="Palatino Linotype"/>
          <w:b/>
          <w:bCs/>
          <w:color w:val="000000" w:themeColor="text1"/>
          <w:sz w:val="22"/>
          <w:szCs w:val="24"/>
        </w:rPr>
        <w:t>Complejidad del asunto:</w:t>
      </w:r>
      <w:r w:rsidRPr="008D0ABC">
        <w:rPr>
          <w:rFonts w:ascii="Palatino Linotype" w:eastAsia="Palatino Linotype" w:hAnsi="Palatino Linotype" w:cs="Palatino Linotype"/>
          <w:color w:val="000000" w:themeColor="text1"/>
          <w:sz w:val="22"/>
          <w:szCs w:val="24"/>
        </w:rPr>
        <w:t xml:space="preserve"> La complejidad de la prueba, la pluralidad de sujetos procesales, el tiempo transcurrido, las características y contexto del recurso.</w:t>
      </w:r>
    </w:p>
    <w:p w14:paraId="2F46BA0D" w14:textId="77777777" w:rsidR="00D932E4" w:rsidRPr="008D0ABC" w:rsidRDefault="00D932E4" w:rsidP="00D932E4">
      <w:pPr>
        <w:spacing w:line="360" w:lineRule="auto"/>
        <w:ind w:left="720"/>
        <w:contextualSpacing/>
        <w:jc w:val="both"/>
        <w:rPr>
          <w:rFonts w:ascii="Palatino Linotype" w:eastAsia="Palatino Linotype" w:hAnsi="Palatino Linotype" w:cs="Palatino Linotype"/>
          <w:color w:val="000000" w:themeColor="text1"/>
          <w:sz w:val="22"/>
          <w:szCs w:val="24"/>
        </w:rPr>
      </w:pPr>
    </w:p>
    <w:p w14:paraId="475C5246" w14:textId="77777777" w:rsidR="00D932E4" w:rsidRPr="008D0ABC" w:rsidRDefault="00D932E4">
      <w:pPr>
        <w:numPr>
          <w:ilvl w:val="0"/>
          <w:numId w:val="4"/>
        </w:numPr>
        <w:spacing w:line="360" w:lineRule="auto"/>
        <w:contextualSpacing/>
        <w:jc w:val="both"/>
        <w:rPr>
          <w:rFonts w:ascii="Palatino Linotype" w:eastAsia="Palatino Linotype" w:hAnsi="Palatino Linotype" w:cs="Palatino Linotype"/>
          <w:color w:val="000000" w:themeColor="text1"/>
          <w:sz w:val="22"/>
          <w:szCs w:val="24"/>
        </w:rPr>
      </w:pPr>
      <w:r w:rsidRPr="008D0ABC">
        <w:rPr>
          <w:rFonts w:ascii="Palatino Linotype" w:eastAsia="Palatino Linotype" w:hAnsi="Palatino Linotype" w:cs="Palatino Linotype"/>
          <w:b/>
          <w:bCs/>
          <w:color w:val="000000" w:themeColor="text1"/>
          <w:sz w:val="22"/>
          <w:szCs w:val="24"/>
        </w:rPr>
        <w:t>Actividad Procesal del interesado:</w:t>
      </w:r>
      <w:r w:rsidRPr="008D0ABC">
        <w:rPr>
          <w:rFonts w:ascii="Palatino Linotype" w:eastAsia="Palatino Linotype" w:hAnsi="Palatino Linotype" w:cs="Palatino Linotype"/>
          <w:color w:val="000000" w:themeColor="text1"/>
          <w:sz w:val="22"/>
          <w:szCs w:val="24"/>
        </w:rPr>
        <w:t xml:space="preserve"> Acciones u omisiones del interesado.</w:t>
      </w:r>
    </w:p>
    <w:p w14:paraId="3BCD2132" w14:textId="77777777" w:rsidR="00D932E4" w:rsidRPr="008D0ABC" w:rsidRDefault="00D932E4" w:rsidP="00D932E4">
      <w:pPr>
        <w:spacing w:line="360" w:lineRule="auto"/>
        <w:ind w:left="720"/>
        <w:contextualSpacing/>
        <w:jc w:val="both"/>
        <w:rPr>
          <w:rFonts w:ascii="Palatino Linotype" w:eastAsia="Palatino Linotype" w:hAnsi="Palatino Linotype" w:cs="Palatino Linotype"/>
          <w:color w:val="000000" w:themeColor="text1"/>
          <w:sz w:val="22"/>
          <w:szCs w:val="24"/>
        </w:rPr>
      </w:pPr>
    </w:p>
    <w:p w14:paraId="477F45DE" w14:textId="77777777" w:rsidR="00D932E4" w:rsidRPr="008D0ABC" w:rsidRDefault="00D932E4">
      <w:pPr>
        <w:numPr>
          <w:ilvl w:val="0"/>
          <w:numId w:val="4"/>
        </w:numPr>
        <w:spacing w:line="360" w:lineRule="auto"/>
        <w:contextualSpacing/>
        <w:jc w:val="both"/>
        <w:rPr>
          <w:rFonts w:ascii="Palatino Linotype" w:eastAsia="Palatino Linotype" w:hAnsi="Palatino Linotype" w:cs="Palatino Linotype"/>
          <w:color w:val="000000" w:themeColor="text1"/>
          <w:sz w:val="22"/>
          <w:szCs w:val="24"/>
        </w:rPr>
      </w:pPr>
      <w:r w:rsidRPr="008D0ABC">
        <w:rPr>
          <w:rFonts w:ascii="Palatino Linotype" w:eastAsia="Palatino Linotype" w:hAnsi="Palatino Linotype" w:cs="Palatino Linotype"/>
          <w:b/>
          <w:bCs/>
          <w:color w:val="000000" w:themeColor="text1"/>
          <w:sz w:val="22"/>
          <w:szCs w:val="24"/>
        </w:rPr>
        <w:t>Conducta de la Autoridad:</w:t>
      </w:r>
      <w:r w:rsidRPr="008D0ABC">
        <w:rPr>
          <w:rFonts w:ascii="Palatino Linotype" w:eastAsia="Palatino Linotype" w:hAnsi="Palatino Linotype" w:cs="Palatino Linotype"/>
          <w:color w:val="000000" w:themeColor="text1"/>
          <w:sz w:val="22"/>
          <w:szCs w:val="24"/>
        </w:rPr>
        <w:t xml:space="preserve"> Las Acciones u omisiones realizadas en el procedimiento. Así como si la autoridad actuó con la debida diligencia.</w:t>
      </w:r>
    </w:p>
    <w:p w14:paraId="78A83328" w14:textId="77777777" w:rsidR="00D932E4" w:rsidRPr="008D0ABC" w:rsidRDefault="00D932E4" w:rsidP="00D932E4">
      <w:pPr>
        <w:spacing w:line="360" w:lineRule="auto"/>
        <w:ind w:left="720"/>
        <w:contextualSpacing/>
        <w:jc w:val="both"/>
        <w:rPr>
          <w:rFonts w:ascii="Palatino Linotype" w:eastAsia="Palatino Linotype" w:hAnsi="Palatino Linotype" w:cs="Palatino Linotype"/>
          <w:color w:val="000000" w:themeColor="text1"/>
          <w:sz w:val="22"/>
          <w:szCs w:val="24"/>
        </w:rPr>
      </w:pPr>
    </w:p>
    <w:p w14:paraId="67BF79BE" w14:textId="77777777" w:rsidR="00D932E4" w:rsidRPr="008D0ABC" w:rsidRDefault="00D932E4">
      <w:pPr>
        <w:numPr>
          <w:ilvl w:val="0"/>
          <w:numId w:val="4"/>
        </w:numPr>
        <w:spacing w:line="360" w:lineRule="auto"/>
        <w:contextualSpacing/>
        <w:jc w:val="both"/>
        <w:rPr>
          <w:rFonts w:ascii="Palatino Linotype" w:eastAsia="Palatino Linotype" w:hAnsi="Palatino Linotype" w:cs="Palatino Linotype"/>
          <w:color w:val="000000" w:themeColor="text1"/>
          <w:sz w:val="22"/>
          <w:szCs w:val="24"/>
        </w:rPr>
      </w:pPr>
      <w:r w:rsidRPr="008D0ABC">
        <w:rPr>
          <w:rFonts w:ascii="Palatino Linotype" w:eastAsia="Palatino Linotype" w:hAnsi="Palatino Linotype" w:cs="Palatino Linotype"/>
          <w:b/>
          <w:bCs/>
          <w:color w:val="000000" w:themeColor="text1"/>
          <w:sz w:val="22"/>
          <w:szCs w:val="24"/>
        </w:rPr>
        <w:t xml:space="preserve">La afectación generada en la situación jurídica de la persona involucrada en el proceso: </w:t>
      </w:r>
      <w:r w:rsidRPr="008D0ABC">
        <w:rPr>
          <w:rFonts w:ascii="Palatino Linotype" w:eastAsia="Palatino Linotype" w:hAnsi="Palatino Linotype" w:cs="Palatino Linotype"/>
          <w:color w:val="000000" w:themeColor="text1"/>
          <w:sz w:val="22"/>
          <w:szCs w:val="24"/>
        </w:rPr>
        <w:t>Violación a sus derechos humanos.</w:t>
      </w:r>
    </w:p>
    <w:p w14:paraId="37AE63BD"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p>
    <w:p w14:paraId="38350AD9"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EE01B8"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 </w:t>
      </w:r>
    </w:p>
    <w:p w14:paraId="76C4D658"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Argumento que encuentra sustento en la jurisprudencia P./J. 32/92 emitida por el Pleno de la Suprema Corte de Justicia de la Nación de rubro </w:t>
      </w:r>
      <w:r w:rsidRPr="008D0ABC">
        <w:rPr>
          <w:rFonts w:ascii="Palatino Linotype" w:eastAsia="Calibri" w:hAnsi="Palatino Linotype" w:cs="Tahoma"/>
          <w:b/>
          <w:color w:val="000000" w:themeColor="text1"/>
          <w:sz w:val="22"/>
          <w:szCs w:val="22"/>
          <w:lang w:eastAsia="en-US"/>
        </w:rPr>
        <w:t>“TÉRMINOS PROCESALES. PARA DETERMINAR SI UN FUNCIONARIO JUDICIAL ACTUÓ INDEBIDAMENTE POR NO RESPETARLOS SE DEBE ATENDER AL PRESUPUESTO QUE CONSIDERÓ EL LEGISLADOR AL FIJARLOS Y LAS CARACTERÍSTICAS DEL CASO.”</w:t>
      </w:r>
      <w:r w:rsidRPr="008D0ABC">
        <w:rPr>
          <w:rFonts w:ascii="Palatino Linotype" w:eastAsia="Calibri" w:hAnsi="Palatino Linotype" w:cs="Tahoma"/>
          <w:bCs/>
          <w:color w:val="000000" w:themeColor="text1"/>
          <w:sz w:val="22"/>
          <w:szCs w:val="22"/>
          <w:lang w:eastAsia="en-US"/>
        </w:rPr>
        <w:t>, visible en la Gaceta del Seminario Judicial de la Federación con el registro digital 205635.</w:t>
      </w:r>
    </w:p>
    <w:p w14:paraId="785FDA63"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 </w:t>
      </w:r>
    </w:p>
    <w:p w14:paraId="104A01E0"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36B63C"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p>
    <w:p w14:paraId="07F9D6B2"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Al respecto, también son de considerar los criterios sostenidos por el Cuarto Tribunal Colegiado en Materia Administrativa del Primer Circuito, cuyos rubros y datos de identificación son los siguientes:</w:t>
      </w:r>
    </w:p>
    <w:p w14:paraId="16AE154E"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 </w:t>
      </w:r>
    </w:p>
    <w:p w14:paraId="2F740301"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
          <w:color w:val="000000" w:themeColor="text1"/>
          <w:sz w:val="22"/>
          <w:szCs w:val="22"/>
          <w:lang w:eastAsia="en-US"/>
        </w:rPr>
        <w:t xml:space="preserve"> “PLAZO RAZONABLE PARA RESOLVER. DIMENSIÓN Y EFECTOS DE ESTE CONCEPTO CUANDO SE ADUCE EXCESIVA CARGA DE TRABAJO.”</w:t>
      </w:r>
      <w:r w:rsidRPr="008D0ABC">
        <w:rPr>
          <w:rFonts w:ascii="Palatino Linotype" w:eastAsia="Calibri" w:hAnsi="Palatino Linotype" w:cs="Tahoma"/>
          <w:bCs/>
          <w:color w:val="000000" w:themeColor="text1"/>
          <w:sz w:val="22"/>
          <w:szCs w:val="22"/>
          <w:lang w:eastAsia="en-US"/>
        </w:rPr>
        <w:t xml:space="preserve"> consultable en el Seminario Judicial de la Federación y su gaceta, con el registro digital 2002351.</w:t>
      </w:r>
    </w:p>
    <w:p w14:paraId="10A4185E"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 </w:t>
      </w:r>
    </w:p>
    <w:p w14:paraId="02478590"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
          <w:color w:val="000000" w:themeColor="text1"/>
          <w:sz w:val="22"/>
          <w:szCs w:val="22"/>
          <w:lang w:eastAsia="en-US"/>
        </w:rPr>
        <w:t>“PLAZO RAZONABLE PARA RESOLVER. CONCEPTO Y ELEMENTOS QUE LO INTEGRAN A LA LUZ DEL DERECHO INTERNACIONAL DE LOS DERECHOS HUMANOS.”</w:t>
      </w:r>
      <w:r w:rsidRPr="008D0ABC">
        <w:rPr>
          <w:rFonts w:ascii="Palatino Linotype" w:eastAsia="Calibri" w:hAnsi="Palatino Linotype" w:cs="Tahoma"/>
          <w:bCs/>
          <w:color w:val="000000" w:themeColor="text1"/>
          <w:sz w:val="22"/>
          <w:szCs w:val="22"/>
          <w:lang w:eastAsia="en-US"/>
        </w:rPr>
        <w:t>, visible en el Seminario Judicial de la Federación y su gaceta, con el registro digital 2002350.</w:t>
      </w:r>
    </w:p>
    <w:p w14:paraId="0CDB9203"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p>
    <w:p w14:paraId="5E7D2AC2" w14:textId="77777777" w:rsidR="00D932E4" w:rsidRPr="008D0ABC" w:rsidRDefault="00D932E4" w:rsidP="00D932E4">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Por ello, este organismo garante comprometido con la tutela de los derechos humanos confiados, señala que este exceso del plazo legal para resolver el presente asunto, resulta de carácter excepcional.</w:t>
      </w:r>
    </w:p>
    <w:p w14:paraId="47DAFB7F" w14:textId="77777777" w:rsidR="0061115C" w:rsidRPr="008D0ABC" w:rsidRDefault="0061115C" w:rsidP="00AB4D0E">
      <w:pPr>
        <w:spacing w:line="360" w:lineRule="auto"/>
        <w:jc w:val="both"/>
        <w:rPr>
          <w:rFonts w:ascii="Palatino Linotype" w:hAnsi="Palatino Linotype" w:cs="Tahoma"/>
          <w:bCs/>
          <w:color w:val="0D0D0D" w:themeColor="text1" w:themeTint="F2"/>
          <w:sz w:val="22"/>
          <w:szCs w:val="22"/>
        </w:rPr>
      </w:pPr>
    </w:p>
    <w:p w14:paraId="1BFF7A1D" w14:textId="6E10EA15" w:rsidR="00193950" w:rsidRPr="008D0ABC" w:rsidRDefault="00D932E4" w:rsidP="00582D9A">
      <w:pPr>
        <w:autoSpaceDE w:val="0"/>
        <w:autoSpaceDN w:val="0"/>
        <w:adjustRightInd w:val="0"/>
        <w:spacing w:line="360" w:lineRule="auto"/>
        <w:jc w:val="both"/>
        <w:rPr>
          <w:rFonts w:ascii="Palatino Linotype" w:hAnsi="Palatino Linotype" w:cs="Tahoma"/>
          <w:color w:val="0D0D0D" w:themeColor="text1" w:themeTint="F2"/>
          <w:sz w:val="22"/>
          <w:szCs w:val="22"/>
          <w:lang w:val="es-ES_tradnl"/>
        </w:rPr>
      </w:pPr>
      <w:r w:rsidRPr="008D0ABC">
        <w:rPr>
          <w:rFonts w:ascii="Palatino Linotype" w:hAnsi="Palatino Linotype" w:cs="Tahoma"/>
          <w:b/>
          <w:color w:val="0D0D0D" w:themeColor="text1" w:themeTint="F2"/>
          <w:sz w:val="22"/>
          <w:szCs w:val="22"/>
        </w:rPr>
        <w:t>d</w:t>
      </w:r>
      <w:r w:rsidR="00B31222" w:rsidRPr="008D0ABC">
        <w:rPr>
          <w:rFonts w:ascii="Palatino Linotype" w:hAnsi="Palatino Linotype" w:cs="Tahoma"/>
          <w:b/>
          <w:color w:val="0D0D0D" w:themeColor="text1" w:themeTint="F2"/>
          <w:sz w:val="22"/>
          <w:szCs w:val="22"/>
        </w:rPr>
        <w:t>)</w:t>
      </w:r>
      <w:r w:rsidR="002B4018" w:rsidRPr="008D0ABC">
        <w:rPr>
          <w:rFonts w:ascii="Palatino Linotype" w:hAnsi="Palatino Linotype" w:cs="Tahoma"/>
          <w:color w:val="0D0D0D" w:themeColor="text1" w:themeTint="F2"/>
          <w:sz w:val="22"/>
          <w:szCs w:val="22"/>
          <w:lang w:val="es-ES_tradnl"/>
        </w:rPr>
        <w:t xml:space="preserve"> </w:t>
      </w:r>
      <w:r w:rsidR="009C2585" w:rsidRPr="008D0ABC">
        <w:rPr>
          <w:rFonts w:ascii="Palatino Linotype" w:hAnsi="Palatino Linotype" w:cs="Tahoma"/>
          <w:b/>
          <w:color w:val="0D0D0D" w:themeColor="text1" w:themeTint="F2"/>
          <w:sz w:val="22"/>
          <w:szCs w:val="22"/>
          <w:lang w:val="es-ES_tradnl"/>
        </w:rPr>
        <w:t xml:space="preserve">Informe Justificado. </w:t>
      </w:r>
      <w:r w:rsidR="00CC7F02" w:rsidRPr="008D0ABC">
        <w:rPr>
          <w:rFonts w:ascii="Palatino Linotype" w:hAnsi="Palatino Linotype" w:cs="Tahoma"/>
          <w:color w:val="0D0D0D" w:themeColor="text1" w:themeTint="F2"/>
          <w:sz w:val="22"/>
          <w:szCs w:val="22"/>
          <w:lang w:val="es-ES_tradnl"/>
        </w:rPr>
        <w:t xml:space="preserve">El </w:t>
      </w:r>
      <w:r w:rsidR="00582D9A" w:rsidRPr="008D0ABC">
        <w:rPr>
          <w:rFonts w:ascii="Palatino Linotype" w:hAnsi="Palatino Linotype" w:cs="Tahoma"/>
          <w:color w:val="0D0D0D" w:themeColor="text1" w:themeTint="F2"/>
          <w:sz w:val="22"/>
          <w:szCs w:val="22"/>
          <w:lang w:val="es-ES_tradnl"/>
        </w:rPr>
        <w:t>quince</w:t>
      </w:r>
      <w:r w:rsidR="00416BB9" w:rsidRPr="008D0ABC">
        <w:rPr>
          <w:rFonts w:ascii="Palatino Linotype" w:hAnsi="Palatino Linotype" w:cs="Tahoma"/>
          <w:color w:val="0D0D0D" w:themeColor="text1" w:themeTint="F2"/>
          <w:sz w:val="22"/>
          <w:szCs w:val="22"/>
          <w:lang w:val="es-ES_tradnl"/>
        </w:rPr>
        <w:t xml:space="preserve"> de </w:t>
      </w:r>
      <w:r w:rsidR="00582D9A" w:rsidRPr="008D0ABC">
        <w:rPr>
          <w:rFonts w:ascii="Palatino Linotype" w:hAnsi="Palatino Linotype" w:cs="Tahoma"/>
          <w:color w:val="0D0D0D" w:themeColor="text1" w:themeTint="F2"/>
          <w:sz w:val="22"/>
          <w:szCs w:val="22"/>
          <w:lang w:val="es-ES_tradnl"/>
        </w:rPr>
        <w:t>febrero</w:t>
      </w:r>
      <w:r w:rsidR="00416BB9" w:rsidRPr="008D0ABC">
        <w:rPr>
          <w:rFonts w:ascii="Palatino Linotype" w:hAnsi="Palatino Linotype" w:cs="Tahoma"/>
          <w:color w:val="0D0D0D" w:themeColor="text1" w:themeTint="F2"/>
          <w:sz w:val="22"/>
          <w:szCs w:val="22"/>
          <w:lang w:val="es-ES_tradnl"/>
        </w:rPr>
        <w:t xml:space="preserve"> de dos mil veinti</w:t>
      </w:r>
      <w:r w:rsidR="00582D9A" w:rsidRPr="008D0ABC">
        <w:rPr>
          <w:rFonts w:ascii="Palatino Linotype" w:hAnsi="Palatino Linotype" w:cs="Tahoma"/>
          <w:color w:val="0D0D0D" w:themeColor="text1" w:themeTint="F2"/>
          <w:sz w:val="22"/>
          <w:szCs w:val="22"/>
          <w:lang w:val="es-ES_tradnl"/>
        </w:rPr>
        <w:t>trés</w:t>
      </w:r>
      <w:r w:rsidR="00CC7F02" w:rsidRPr="008D0ABC">
        <w:rPr>
          <w:rFonts w:ascii="Palatino Linotype" w:hAnsi="Palatino Linotype" w:cs="Tahoma"/>
          <w:color w:val="0D0D0D" w:themeColor="text1" w:themeTint="F2"/>
          <w:sz w:val="22"/>
          <w:szCs w:val="22"/>
          <w:lang w:val="es-ES_tradnl"/>
        </w:rPr>
        <w:t>, se recibió en este Instituto, a través del Sistema de Acceso a la Información Mexiquense (SAIMEX), el Informe Justificado</w:t>
      </w:r>
      <w:r w:rsidR="00416BB9" w:rsidRPr="008D0ABC">
        <w:rPr>
          <w:rFonts w:ascii="Palatino Linotype" w:hAnsi="Palatino Linotype" w:cs="Tahoma"/>
          <w:color w:val="0D0D0D" w:themeColor="text1" w:themeTint="F2"/>
          <w:sz w:val="22"/>
          <w:szCs w:val="22"/>
          <w:lang w:val="es-ES_tradnl"/>
        </w:rPr>
        <w:t xml:space="preserve"> del Sujeto Obligado, por medio del </w:t>
      </w:r>
      <w:r w:rsidR="00582D9A" w:rsidRPr="008D0ABC">
        <w:rPr>
          <w:rFonts w:ascii="Palatino Linotype" w:hAnsi="Palatino Linotype" w:cs="Tahoma"/>
          <w:color w:val="0D0D0D" w:themeColor="text1" w:themeTint="F2"/>
          <w:sz w:val="22"/>
          <w:szCs w:val="22"/>
          <w:lang w:val="es-ES_tradnl"/>
        </w:rPr>
        <w:t xml:space="preserve">Titular de la Unidad de Transparencia en los siguientes términos: </w:t>
      </w:r>
    </w:p>
    <w:p w14:paraId="19F1133B" w14:textId="06715C11" w:rsidR="00582D9A" w:rsidRPr="008D0ABC" w:rsidRDefault="00582D9A" w:rsidP="00582D9A">
      <w:pPr>
        <w:autoSpaceDE w:val="0"/>
        <w:autoSpaceDN w:val="0"/>
        <w:adjustRightInd w:val="0"/>
        <w:spacing w:line="360" w:lineRule="auto"/>
        <w:jc w:val="both"/>
        <w:rPr>
          <w:rFonts w:ascii="Palatino Linotype" w:hAnsi="Palatino Linotype" w:cs="Tahoma"/>
          <w:color w:val="0D0D0D" w:themeColor="text1" w:themeTint="F2"/>
          <w:sz w:val="22"/>
          <w:szCs w:val="22"/>
          <w:lang w:val="es-ES_tradnl"/>
        </w:rPr>
      </w:pPr>
    </w:p>
    <w:p w14:paraId="45E5B17F" w14:textId="2249B37F" w:rsidR="00582D9A" w:rsidRPr="008D0ABC" w:rsidRDefault="00582D9A" w:rsidP="00582D9A">
      <w:pPr>
        <w:autoSpaceDE w:val="0"/>
        <w:autoSpaceDN w:val="0"/>
        <w:adjustRightInd w:val="0"/>
        <w:spacing w:line="360" w:lineRule="auto"/>
        <w:ind w:left="567" w:right="567"/>
        <w:jc w:val="both"/>
        <w:rPr>
          <w:rFonts w:ascii="Palatino Linotype" w:hAnsi="Palatino Linotype" w:cs="Tahoma"/>
          <w:i/>
          <w:iCs/>
          <w:color w:val="0D0D0D" w:themeColor="text1" w:themeTint="F2"/>
          <w:lang w:val="es-ES_tradnl"/>
        </w:rPr>
      </w:pPr>
      <w:r w:rsidRPr="008D0ABC">
        <w:rPr>
          <w:rFonts w:ascii="Palatino Linotype" w:hAnsi="Palatino Linotype" w:cs="Tahoma"/>
          <w:i/>
          <w:iCs/>
          <w:color w:val="0D0D0D" w:themeColor="text1" w:themeTint="F2"/>
          <w:lang w:val="es-ES_tradnl"/>
        </w:rPr>
        <w:t>“Las obras inicialmente no estaban en el programa anual de obras y se implementaron en atención al acta de COPACI.”</w:t>
      </w:r>
    </w:p>
    <w:p w14:paraId="0077E51F" w14:textId="129D8728" w:rsidR="00582D9A" w:rsidRPr="008D0ABC" w:rsidRDefault="00582D9A" w:rsidP="00582D9A">
      <w:pPr>
        <w:autoSpaceDE w:val="0"/>
        <w:autoSpaceDN w:val="0"/>
        <w:adjustRightInd w:val="0"/>
        <w:spacing w:line="360" w:lineRule="auto"/>
        <w:jc w:val="both"/>
        <w:rPr>
          <w:rFonts w:ascii="Palatino Linotype" w:hAnsi="Palatino Linotype" w:cs="Tahoma"/>
          <w:color w:val="0D0D0D" w:themeColor="text1" w:themeTint="F2"/>
          <w:sz w:val="22"/>
          <w:szCs w:val="22"/>
          <w:lang w:val="es-ES_tradnl"/>
        </w:rPr>
      </w:pPr>
    </w:p>
    <w:p w14:paraId="4056BDCC" w14:textId="0F3C6470" w:rsidR="00582D9A" w:rsidRPr="008D0ABC" w:rsidRDefault="00582D9A" w:rsidP="00582D9A">
      <w:pPr>
        <w:autoSpaceDE w:val="0"/>
        <w:autoSpaceDN w:val="0"/>
        <w:adjustRightInd w:val="0"/>
        <w:spacing w:line="360" w:lineRule="auto"/>
        <w:jc w:val="both"/>
        <w:rPr>
          <w:rFonts w:ascii="Palatino Linotype" w:hAnsi="Palatino Linotype" w:cs="Tahoma"/>
          <w:color w:val="0D0D0D" w:themeColor="text1" w:themeTint="F2"/>
          <w:sz w:val="22"/>
          <w:szCs w:val="22"/>
          <w:lang w:val="es-ES_tradnl"/>
        </w:rPr>
      </w:pPr>
      <w:r w:rsidRPr="008D0ABC">
        <w:rPr>
          <w:rFonts w:ascii="Palatino Linotype" w:hAnsi="Palatino Linotype" w:cs="Tahoma"/>
          <w:color w:val="0D0D0D" w:themeColor="text1" w:themeTint="F2"/>
          <w:sz w:val="22"/>
          <w:szCs w:val="22"/>
          <w:lang w:val="es-ES_tradnl"/>
        </w:rPr>
        <w:t xml:space="preserve">El Sujeto Obligado adjuntó la digitalización de los siguientes documentos: </w:t>
      </w:r>
    </w:p>
    <w:p w14:paraId="7863A118" w14:textId="77777777" w:rsidR="00582D9A" w:rsidRPr="008D0ABC" w:rsidRDefault="00582D9A" w:rsidP="00582D9A">
      <w:pPr>
        <w:autoSpaceDE w:val="0"/>
        <w:autoSpaceDN w:val="0"/>
        <w:adjustRightInd w:val="0"/>
        <w:spacing w:line="360" w:lineRule="auto"/>
        <w:jc w:val="both"/>
        <w:rPr>
          <w:rFonts w:ascii="Palatino Linotype" w:hAnsi="Palatino Linotype" w:cs="Tahoma"/>
          <w:color w:val="0D0D0D" w:themeColor="text1" w:themeTint="F2"/>
          <w:sz w:val="22"/>
          <w:szCs w:val="22"/>
          <w:lang w:val="es-ES_tradnl"/>
        </w:rPr>
      </w:pPr>
    </w:p>
    <w:p w14:paraId="7498B299" w14:textId="7B0E5DC2" w:rsidR="00387694" w:rsidRPr="00431A83" w:rsidRDefault="00582D9A" w:rsidP="00BD607C">
      <w:pPr>
        <w:spacing w:line="360" w:lineRule="auto"/>
        <w:jc w:val="both"/>
        <w:rPr>
          <w:rFonts w:ascii="Palatino Linotype" w:hAnsi="Palatino Linotype" w:cs="Tahoma"/>
          <w:color w:val="0D0D0D" w:themeColor="text1" w:themeTint="F2"/>
          <w:sz w:val="22"/>
          <w:szCs w:val="22"/>
          <w:lang w:val="es-ES_tradnl"/>
        </w:rPr>
      </w:pPr>
      <w:r w:rsidRPr="008D0ABC">
        <w:rPr>
          <w:rFonts w:ascii="Palatino Linotype" w:hAnsi="Palatino Linotype" w:cs="Tahoma"/>
          <w:color w:val="0D0D0D" w:themeColor="text1" w:themeTint="F2"/>
          <w:sz w:val="22"/>
          <w:szCs w:val="22"/>
          <w:lang w:val="es-ES_tradnl"/>
        </w:rPr>
        <w:t xml:space="preserve">i) </w:t>
      </w:r>
      <w:r w:rsidR="00387694" w:rsidRPr="008D0ABC">
        <w:rPr>
          <w:rFonts w:ascii="Palatino Linotype" w:hAnsi="Palatino Linotype" w:cs="Tahoma"/>
          <w:color w:val="0D0D0D" w:themeColor="text1" w:themeTint="F2"/>
          <w:sz w:val="22"/>
          <w:szCs w:val="22"/>
          <w:lang w:val="es-ES_tradnl"/>
        </w:rPr>
        <w:t xml:space="preserve">Oficio número E00125/15/2022 descrito en el Antecedente II, así como la relación de proveedores en versión íntegra como se muestra a continuación: </w:t>
      </w:r>
    </w:p>
    <w:p w14:paraId="713E389A" w14:textId="77777777" w:rsidR="00431A83" w:rsidRDefault="00431A83" w:rsidP="00431A83">
      <w:pPr>
        <w:spacing w:line="360" w:lineRule="auto"/>
        <w:rPr>
          <w:noProof/>
          <w:lang w:eastAsia="es-MX"/>
        </w:rPr>
      </w:pPr>
    </w:p>
    <w:p w14:paraId="76ED6C95" w14:textId="100748CC" w:rsidR="00387694" w:rsidRPr="008D0ABC" w:rsidRDefault="00431A83" w:rsidP="00387694">
      <w:pPr>
        <w:spacing w:line="360" w:lineRule="auto"/>
        <w:jc w:val="center"/>
        <w:rPr>
          <w:rFonts w:ascii="Palatino Linotype" w:hAnsi="Palatino Linotype" w:cs="Tahoma"/>
          <w:color w:val="0D0D0D" w:themeColor="text1" w:themeTint="F2"/>
          <w:sz w:val="22"/>
          <w:szCs w:val="22"/>
          <w:lang w:val="es-ES_tradnl"/>
        </w:rPr>
      </w:pPr>
      <w:r>
        <w:rPr>
          <w:noProof/>
          <w:lang w:eastAsia="es-MX"/>
        </w:rPr>
        <w:drawing>
          <wp:inline distT="0" distB="0" distL="0" distR="0" wp14:anchorId="028073CF" wp14:editId="369A0970">
            <wp:extent cx="3027442" cy="234569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42" t="15922" r="24204" b="24219"/>
                    <a:stretch/>
                  </pic:blipFill>
                  <pic:spPr bwMode="auto">
                    <a:xfrm>
                      <a:off x="0" y="0"/>
                      <a:ext cx="3047333" cy="2361101"/>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p w14:paraId="36386987" w14:textId="77777777" w:rsidR="00387694" w:rsidRPr="008D0ABC" w:rsidRDefault="00387694" w:rsidP="00BD607C">
      <w:pPr>
        <w:spacing w:line="360" w:lineRule="auto"/>
        <w:jc w:val="both"/>
        <w:rPr>
          <w:rFonts w:ascii="Palatino Linotype" w:hAnsi="Palatino Linotype" w:cs="Tahoma"/>
          <w:bCs/>
          <w:color w:val="0D0D0D" w:themeColor="text1" w:themeTint="F2"/>
          <w:sz w:val="22"/>
          <w:szCs w:val="22"/>
        </w:rPr>
      </w:pPr>
    </w:p>
    <w:p w14:paraId="221B6AFA" w14:textId="6D56AB12" w:rsidR="00EB6F7A" w:rsidRPr="008D0ABC" w:rsidRDefault="00387694" w:rsidP="00BD607C">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bCs/>
          <w:color w:val="0D0D0D" w:themeColor="text1" w:themeTint="F2"/>
          <w:sz w:val="22"/>
          <w:szCs w:val="22"/>
        </w:rPr>
        <w:t xml:space="preserve">ii) </w:t>
      </w:r>
      <w:r w:rsidRPr="008D0ABC">
        <w:rPr>
          <w:rFonts w:ascii="Palatino Linotype" w:hAnsi="Palatino Linotype" w:cs="Tahoma"/>
          <w:color w:val="0D0D0D" w:themeColor="text1" w:themeTint="F2"/>
          <w:sz w:val="22"/>
          <w:szCs w:val="22"/>
        </w:rPr>
        <w:t>Contrato número MAC/DOPYDU/AD/FISM-63/2022, para la ejecución de los trabajos de la “Obra Pública” denominada “Construcción de Drenaje Sanitario en la comunidad de Santa Ana Matlavat Centro”.</w:t>
      </w:r>
    </w:p>
    <w:p w14:paraId="30EDC036" w14:textId="2BF39609" w:rsidR="00387694" w:rsidRPr="008D0ABC" w:rsidRDefault="00387694" w:rsidP="00BD607C">
      <w:pPr>
        <w:spacing w:line="360" w:lineRule="auto"/>
        <w:jc w:val="both"/>
        <w:rPr>
          <w:rFonts w:ascii="Palatino Linotype" w:hAnsi="Palatino Linotype" w:cs="Tahoma"/>
          <w:color w:val="0D0D0D" w:themeColor="text1" w:themeTint="F2"/>
          <w:sz w:val="22"/>
          <w:szCs w:val="22"/>
        </w:rPr>
      </w:pPr>
    </w:p>
    <w:p w14:paraId="3ACF9682" w14:textId="3D2D9C11" w:rsidR="00387694" w:rsidRPr="008D0ABC" w:rsidRDefault="00387694" w:rsidP="00BD607C">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iii) Contrato número MAC/DOPYDU/AD/FISM-78/2022, para la ejecución  de los trabajos de la “Obra Pública” denominada “Ampliación del Sistema de Drenaje Sanitario en la Comunidad de Arroyo Zarco Pueblo”.</w:t>
      </w:r>
    </w:p>
    <w:p w14:paraId="19C9068E" w14:textId="696BC478" w:rsidR="00387694" w:rsidRPr="008D0ABC" w:rsidRDefault="00387694" w:rsidP="00BD607C">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iv) Contrato número MAC/DOPYDU/AD/FISM-80/2022, para la ejecución de los trabajos de la “Obra Pública” denominada “Construcción de Drenaje Sanitario de la Comunidad de San Francisquito”</w:t>
      </w:r>
      <w:r w:rsidR="00280998" w:rsidRPr="008D0ABC">
        <w:rPr>
          <w:rFonts w:ascii="Palatino Linotype" w:hAnsi="Palatino Linotype" w:cs="Tahoma"/>
          <w:color w:val="0D0D0D" w:themeColor="text1" w:themeTint="F2"/>
          <w:sz w:val="22"/>
          <w:szCs w:val="22"/>
        </w:rPr>
        <w:t>.</w:t>
      </w:r>
    </w:p>
    <w:p w14:paraId="614ED4A4" w14:textId="28408726" w:rsidR="00280998" w:rsidRPr="008D0ABC" w:rsidRDefault="00280998" w:rsidP="00BD607C">
      <w:pPr>
        <w:spacing w:line="360" w:lineRule="auto"/>
        <w:jc w:val="both"/>
        <w:rPr>
          <w:rFonts w:ascii="Palatino Linotype" w:hAnsi="Palatino Linotype" w:cs="Tahoma"/>
          <w:color w:val="0D0D0D" w:themeColor="text1" w:themeTint="F2"/>
          <w:sz w:val="22"/>
          <w:szCs w:val="22"/>
        </w:rPr>
      </w:pPr>
    </w:p>
    <w:p w14:paraId="4E8D820A" w14:textId="665D1C50" w:rsidR="00280998" w:rsidRPr="008D0ABC" w:rsidRDefault="00280998" w:rsidP="00BD607C">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v) Contrato número MAC/DOPYDU/AD/FISM-99/2022, para la ejecución de los trabajos de la “Obra Pública” denominada “Ampliación de Electrificación en la Comunidad de el Colorado”. </w:t>
      </w:r>
    </w:p>
    <w:p w14:paraId="1D141869" w14:textId="45AB4B29" w:rsidR="00280998" w:rsidRPr="008D0ABC" w:rsidRDefault="00280998" w:rsidP="00BD607C">
      <w:pPr>
        <w:spacing w:line="360" w:lineRule="auto"/>
        <w:jc w:val="both"/>
        <w:rPr>
          <w:rFonts w:ascii="Palatino Linotype" w:hAnsi="Palatino Linotype" w:cs="Tahoma"/>
          <w:color w:val="0D0D0D" w:themeColor="text1" w:themeTint="F2"/>
          <w:sz w:val="22"/>
          <w:szCs w:val="22"/>
        </w:rPr>
      </w:pPr>
    </w:p>
    <w:p w14:paraId="576F2CE0" w14:textId="09363C44" w:rsidR="00280998" w:rsidRPr="008D0ABC" w:rsidRDefault="00280998" w:rsidP="00BD607C">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vi) Acta de la Sétima Sesión Ordinara del Comité de Transparencia por medio del cual se aprueba por unanimidad de votos la versión pública de los contratos asignados a obra del primero de enero al veintidós de junio de dos mil veintidós</w:t>
      </w:r>
      <w:r w:rsidR="002849C9" w:rsidRPr="008D0ABC">
        <w:rPr>
          <w:rFonts w:ascii="Palatino Linotype" w:hAnsi="Palatino Linotype" w:cs="Tahoma"/>
          <w:color w:val="0D0D0D" w:themeColor="text1" w:themeTint="F2"/>
          <w:sz w:val="22"/>
          <w:szCs w:val="22"/>
        </w:rPr>
        <w:t xml:space="preserve">, en las cuales se clasificó Número de acta de nacimiento, IMSS, y clave de elector. </w:t>
      </w:r>
    </w:p>
    <w:p w14:paraId="00B2A625" w14:textId="77777777" w:rsidR="002849C9" w:rsidRPr="008D0ABC" w:rsidRDefault="002849C9" w:rsidP="00BD607C">
      <w:pPr>
        <w:spacing w:line="360" w:lineRule="auto"/>
        <w:jc w:val="both"/>
        <w:rPr>
          <w:rFonts w:ascii="Palatino Linotype" w:hAnsi="Palatino Linotype" w:cs="Tahoma"/>
          <w:color w:val="0D0D0D" w:themeColor="text1" w:themeTint="F2"/>
          <w:sz w:val="22"/>
          <w:szCs w:val="22"/>
        </w:rPr>
      </w:pPr>
    </w:p>
    <w:p w14:paraId="609C77B6" w14:textId="586EB93F" w:rsidR="002849C9" w:rsidRPr="008D0ABC" w:rsidRDefault="005831C3" w:rsidP="00BD607C">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vii) Acta número ACU/SE//01/2022 correspondiente a la Primer Sesión Extraordinaria de Consejo de Participación Ciudadana , mismo que contiene el número de obra, comunidad, nombre de la obra y monto autorizado, como se muestra en el siguiente extracto: </w:t>
      </w:r>
    </w:p>
    <w:p w14:paraId="659B2D08" w14:textId="77777777" w:rsidR="005831C3" w:rsidRPr="008D0ABC" w:rsidRDefault="005831C3" w:rsidP="00BD607C">
      <w:pPr>
        <w:spacing w:line="360" w:lineRule="auto"/>
        <w:jc w:val="both"/>
        <w:rPr>
          <w:noProof/>
          <w:lang w:eastAsia="es-MX"/>
        </w:rPr>
      </w:pPr>
    </w:p>
    <w:p w14:paraId="0E1F0E27" w14:textId="29779FBB" w:rsidR="005831C3" w:rsidRPr="008D0ABC" w:rsidRDefault="005831C3" w:rsidP="005831C3">
      <w:pPr>
        <w:spacing w:line="360" w:lineRule="auto"/>
        <w:jc w:val="center"/>
        <w:rPr>
          <w:rFonts w:ascii="Palatino Linotype" w:hAnsi="Palatino Linotype" w:cs="Tahoma"/>
          <w:color w:val="0D0D0D" w:themeColor="text1" w:themeTint="F2"/>
          <w:sz w:val="22"/>
          <w:szCs w:val="22"/>
        </w:rPr>
      </w:pPr>
      <w:r w:rsidRPr="008D0ABC">
        <w:rPr>
          <w:rFonts w:ascii="Palatino Linotype" w:hAnsi="Palatino Linotype" w:cs="Tahoma"/>
          <w:noProof/>
          <w:color w:val="0D0D0D" w:themeColor="text1" w:themeTint="F2"/>
          <w:sz w:val="22"/>
          <w:szCs w:val="22"/>
          <w:lang w:eastAsia="es-MX"/>
        </w:rPr>
        <w:drawing>
          <wp:inline distT="0" distB="0" distL="0" distR="0" wp14:anchorId="1BE73F53" wp14:editId="378FFA07">
            <wp:extent cx="4773295" cy="2152015"/>
            <wp:effectExtent l="0" t="0" r="825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3295" cy="2152015"/>
                    </a:xfrm>
                    <a:prstGeom prst="rect">
                      <a:avLst/>
                    </a:prstGeom>
                    <a:noFill/>
                  </pic:spPr>
                </pic:pic>
              </a:graphicData>
            </a:graphic>
          </wp:inline>
        </w:drawing>
      </w:r>
    </w:p>
    <w:p w14:paraId="6F3EC683" w14:textId="355B3401" w:rsidR="00387694" w:rsidRPr="008D0ABC" w:rsidRDefault="00387694" w:rsidP="00BD607C">
      <w:pPr>
        <w:spacing w:line="360" w:lineRule="auto"/>
        <w:jc w:val="both"/>
        <w:rPr>
          <w:rFonts w:ascii="Palatino Linotype" w:hAnsi="Palatino Linotype" w:cs="Tahoma"/>
          <w:bCs/>
          <w:color w:val="0D0D0D" w:themeColor="text1" w:themeTint="F2"/>
          <w:sz w:val="22"/>
          <w:szCs w:val="22"/>
        </w:rPr>
      </w:pPr>
    </w:p>
    <w:p w14:paraId="06E6E242" w14:textId="6282B3EC" w:rsidR="002605A0" w:rsidRPr="008D0ABC" w:rsidRDefault="002605A0" w:rsidP="00BD607C">
      <w:pPr>
        <w:spacing w:line="360" w:lineRule="auto"/>
        <w:jc w:val="both"/>
        <w:rPr>
          <w:rFonts w:ascii="Palatino Linotype" w:hAnsi="Palatino Linotype" w:cs="Tahoma"/>
          <w:bCs/>
          <w:color w:val="0D0D0D" w:themeColor="text1" w:themeTint="F2"/>
          <w:sz w:val="22"/>
          <w:szCs w:val="22"/>
        </w:rPr>
      </w:pPr>
    </w:p>
    <w:p w14:paraId="014352CF" w14:textId="19F68B40" w:rsidR="005831C3" w:rsidRPr="008D0ABC" w:rsidRDefault="005831C3" w:rsidP="00BD607C">
      <w:pPr>
        <w:spacing w:line="360" w:lineRule="auto"/>
        <w:jc w:val="both"/>
        <w:rPr>
          <w:rFonts w:ascii="Palatino Linotype" w:hAnsi="Palatino Linotype" w:cs="Tahoma"/>
          <w:bCs/>
          <w:color w:val="0D0D0D" w:themeColor="text1" w:themeTint="F2"/>
          <w:sz w:val="22"/>
          <w:szCs w:val="22"/>
        </w:rPr>
      </w:pPr>
      <w:r w:rsidRPr="008D0ABC">
        <w:rPr>
          <w:rFonts w:ascii="Palatino Linotype" w:hAnsi="Palatino Linotype" w:cs="Tahoma"/>
          <w:bCs/>
          <w:color w:val="0D0D0D" w:themeColor="text1" w:themeTint="F2"/>
          <w:sz w:val="22"/>
          <w:szCs w:val="22"/>
        </w:rPr>
        <w:t xml:space="preserve">viii) Oficio número 030/UIPPE/2022 del quince de febrero de dos mil veintitrés, emitido por la Directora de la unidad de Información, Planeación, Programación, Evaluación y Transparencia y dirigido al Comisionado  Ponente en los siguientes términos: </w:t>
      </w:r>
    </w:p>
    <w:p w14:paraId="6A7808CD" w14:textId="77777777" w:rsidR="005831C3" w:rsidRPr="008D0ABC" w:rsidRDefault="005831C3" w:rsidP="00BD607C">
      <w:pPr>
        <w:spacing w:line="360" w:lineRule="auto"/>
        <w:jc w:val="both"/>
        <w:rPr>
          <w:rFonts w:ascii="Palatino Linotype" w:hAnsi="Palatino Linotype" w:cs="Tahoma"/>
          <w:bCs/>
          <w:color w:val="0D0D0D" w:themeColor="text1" w:themeTint="F2"/>
          <w:sz w:val="22"/>
          <w:szCs w:val="22"/>
        </w:rPr>
      </w:pPr>
    </w:p>
    <w:p w14:paraId="2248C382" w14:textId="4036CCF8" w:rsidR="005831C3"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r w:rsidRPr="008D0ABC">
        <w:rPr>
          <w:rFonts w:ascii="Palatino Linotype" w:hAnsi="Palatino Linotype" w:cs="Tahoma"/>
          <w:bCs/>
          <w:i/>
          <w:color w:val="0D0D0D" w:themeColor="text1" w:themeTint="F2"/>
          <w:szCs w:val="22"/>
        </w:rPr>
        <w:t>“…</w:t>
      </w:r>
    </w:p>
    <w:p w14:paraId="11621AC4" w14:textId="5F591303" w:rsidR="00DA49C1"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r w:rsidRPr="008D0ABC">
        <w:rPr>
          <w:rFonts w:ascii="Palatino Linotype" w:hAnsi="Palatino Linotype" w:cs="Tahoma"/>
          <w:bCs/>
          <w:i/>
          <w:color w:val="0D0D0D" w:themeColor="text1" w:themeTint="F2"/>
          <w:szCs w:val="22"/>
        </w:rPr>
        <w:t xml:space="preserve">3. Se adjunta a este informe justificado los archivos con la ampliación de la respuesta solicitada para dar cabal cumplimiento a lo solicitado, los cuales llevan por nombre </w:t>
      </w:r>
      <w:r w:rsidRPr="008D0ABC">
        <w:rPr>
          <w:rFonts w:ascii="Palatino Linotype" w:hAnsi="Palatino Linotype" w:cs="Tahoma"/>
          <w:b/>
          <w:bCs/>
          <w:i/>
          <w:color w:val="0D0D0D" w:themeColor="text1" w:themeTint="F2"/>
          <w:szCs w:val="22"/>
        </w:rPr>
        <w:t>ACTA COPACI 2022 AMP DREN SAN ARROYO Z P 78, AMP ELECTRIF EL COLORADO 99, CONST DREN SAN FQUITO 80, CONST DREN SANIT STA ANA M C 63, PROVEEDORES Y SESION VERSION PUBLICA</w:t>
      </w:r>
    </w:p>
    <w:p w14:paraId="773B4D67" w14:textId="77777777" w:rsidR="00DA49C1"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p>
    <w:p w14:paraId="33E742EF" w14:textId="77777777" w:rsidR="00DA49C1"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r w:rsidRPr="008D0ABC">
        <w:rPr>
          <w:rFonts w:ascii="Palatino Linotype" w:hAnsi="Palatino Linotype" w:cs="Tahoma"/>
          <w:bCs/>
          <w:i/>
          <w:color w:val="0D0D0D" w:themeColor="text1" w:themeTint="F2"/>
          <w:szCs w:val="22"/>
        </w:rPr>
        <w:t>4. Por último ponemos a disposición del recurrente C. Solicitante los archivos adjuntos con el requerimiento de información para su consulta.</w:t>
      </w:r>
    </w:p>
    <w:p w14:paraId="49FFA6B0" w14:textId="77777777" w:rsidR="00DA49C1"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p>
    <w:p w14:paraId="6FAA7BEF" w14:textId="4CB27238" w:rsidR="00DA49C1"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r w:rsidRPr="008D0ABC">
        <w:rPr>
          <w:rFonts w:ascii="Palatino Linotype" w:hAnsi="Palatino Linotype" w:cs="Tahoma"/>
          <w:bCs/>
          <w:i/>
          <w:color w:val="0D0D0D" w:themeColor="text1" w:themeTint="F2"/>
          <w:szCs w:val="22"/>
        </w:rPr>
        <w:t xml:space="preserve">Aunado a lo anterior me permito, privilegiando el derecho de acceso a la información pública, que es un derecho que versa sobre acceso a </w:t>
      </w:r>
      <w:r w:rsidRPr="008D0ABC">
        <w:rPr>
          <w:rFonts w:ascii="Palatino Linotype" w:hAnsi="Palatino Linotype" w:cs="Tahoma"/>
          <w:bCs/>
          <w:i/>
          <w:color w:val="0D0D0D" w:themeColor="text1" w:themeTint="F2"/>
          <w:szCs w:val="22"/>
          <w:u w:val="single"/>
        </w:rPr>
        <w:t>documentos</w:t>
      </w:r>
      <w:r w:rsidRPr="008D0ABC">
        <w:rPr>
          <w:rFonts w:ascii="Palatino Linotype" w:hAnsi="Palatino Linotype" w:cs="Tahoma"/>
          <w:bCs/>
          <w:i/>
          <w:color w:val="0D0D0D" w:themeColor="text1" w:themeTint="F2"/>
          <w:szCs w:val="22"/>
        </w:rPr>
        <w:t xml:space="preserve">, en los que conste </w:t>
      </w:r>
      <w:r w:rsidRPr="008D0ABC">
        <w:rPr>
          <w:rFonts w:ascii="Palatino Linotype" w:hAnsi="Palatino Linotype" w:cs="Tahoma"/>
          <w:bCs/>
          <w:i/>
          <w:color w:val="0D0D0D" w:themeColor="text1" w:themeTint="F2"/>
          <w:szCs w:val="22"/>
          <w:u w:val="single"/>
        </w:rPr>
        <w:t>u obre la información</w:t>
      </w:r>
      <w:r w:rsidRPr="008D0ABC">
        <w:rPr>
          <w:rFonts w:ascii="Palatino Linotype" w:hAnsi="Palatino Linotype" w:cs="Tahoma"/>
          <w:bCs/>
          <w:i/>
          <w:color w:val="0D0D0D" w:themeColor="text1" w:themeTint="F2"/>
          <w:szCs w:val="22"/>
        </w:rPr>
        <w:t xml:space="preserve">, por lo que los sujetos </w:t>
      </w:r>
      <w:r w:rsidRPr="008D0ABC">
        <w:rPr>
          <w:rFonts w:ascii="Palatino Linotype" w:hAnsi="Palatino Linotype" w:cs="Tahoma"/>
          <w:bCs/>
          <w:i/>
          <w:color w:val="0D0D0D" w:themeColor="text1" w:themeTint="F2"/>
          <w:szCs w:val="22"/>
          <w:u w:val="single"/>
        </w:rPr>
        <w:t>obligados deben entregarla en el estado en que se encuentra sin la necesidad de procesarla o entregarla conforme a los intereses de los particulares</w:t>
      </w:r>
      <w:r w:rsidRPr="008D0ABC">
        <w:rPr>
          <w:rFonts w:ascii="Palatino Linotype" w:hAnsi="Palatino Linotype" w:cs="Tahoma"/>
          <w:bCs/>
          <w:i/>
          <w:color w:val="0D0D0D" w:themeColor="text1" w:themeTint="F2"/>
          <w:szCs w:val="22"/>
        </w:rPr>
        <w:t>, por lo que del presente asunto se advierte que el derecho del particular no debería colmarse con la entrega de un documento ad hoc,</w:t>
      </w:r>
    </w:p>
    <w:p w14:paraId="7A618365" w14:textId="77777777" w:rsidR="00DA49C1"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p>
    <w:p w14:paraId="09FAB866" w14:textId="1DB21FD6" w:rsidR="00DA49C1"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r w:rsidRPr="008D0ABC">
        <w:rPr>
          <w:rFonts w:ascii="Palatino Linotype" w:hAnsi="Palatino Linotype" w:cs="Tahoma"/>
          <w:bCs/>
          <w:i/>
          <w:color w:val="0D0D0D" w:themeColor="text1" w:themeTint="F2"/>
          <w:szCs w:val="22"/>
        </w:rPr>
        <w:t xml:space="preserve">Es decir, el Derecho de Acceso a la Información Pública se satisface en aquellos casos en </w:t>
      </w:r>
      <w:r w:rsidRPr="008D0ABC">
        <w:rPr>
          <w:rFonts w:ascii="Palatino Linotype" w:hAnsi="Palatino Linotype" w:cs="Tahoma"/>
          <w:bCs/>
          <w:i/>
          <w:color w:val="0D0D0D" w:themeColor="text1" w:themeTint="F2"/>
          <w:szCs w:val="22"/>
          <w:u w:val="single"/>
        </w:rPr>
        <w:t>que se entregue el soporte documental en que conste la información pública</w:t>
      </w:r>
      <w:r w:rsidRPr="008D0ABC">
        <w:rPr>
          <w:rFonts w:ascii="Palatino Linotype" w:hAnsi="Palatino Linotype" w:cs="Tahoma"/>
          <w:bCs/>
          <w:i/>
          <w:color w:val="0D0D0D" w:themeColor="text1" w:themeTint="F2"/>
          <w:szCs w:val="22"/>
        </w:rPr>
        <w:t>, toda vez que no se tiene el deber de generar un documento ad hoc, para satisfacer la solicitud.</w:t>
      </w:r>
    </w:p>
    <w:p w14:paraId="7280DA86" w14:textId="77777777" w:rsidR="00DA49C1"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p>
    <w:p w14:paraId="4F353727" w14:textId="544C2CBB" w:rsidR="005831C3"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r w:rsidRPr="008D0ABC">
        <w:rPr>
          <w:rFonts w:ascii="Palatino Linotype" w:hAnsi="Palatino Linotype" w:cs="Tahoma"/>
          <w:bCs/>
          <w:i/>
          <w:color w:val="0D0D0D" w:themeColor="text1" w:themeTint="F2"/>
          <w:szCs w:val="22"/>
        </w:rPr>
        <w:t>Por lo que la información que obra en los archivos de la Subdirección de Recursos Materiales y en la Dirección de Obras Publicas y Desarrollo Urbano se le proporciona al recurrente en términos de lo dispuesto por el artículo 12 de la Ley de Transparencia y Acceso a la Información Pública del Estado de México Municipios que a la letra dice:</w:t>
      </w:r>
    </w:p>
    <w:p w14:paraId="76BD2AB4" w14:textId="7CCFA98E" w:rsidR="00DA49C1" w:rsidRPr="008D0ABC" w:rsidRDefault="00DA49C1" w:rsidP="00DA49C1">
      <w:pPr>
        <w:spacing w:line="360" w:lineRule="auto"/>
        <w:ind w:left="567" w:right="567"/>
        <w:jc w:val="both"/>
        <w:rPr>
          <w:rFonts w:ascii="Palatino Linotype" w:hAnsi="Palatino Linotype" w:cs="Tahoma"/>
          <w:bCs/>
          <w:i/>
          <w:color w:val="0D0D0D" w:themeColor="text1" w:themeTint="F2"/>
          <w:szCs w:val="22"/>
        </w:rPr>
      </w:pPr>
      <w:r w:rsidRPr="008D0ABC">
        <w:rPr>
          <w:rFonts w:ascii="Palatino Linotype" w:hAnsi="Palatino Linotype" w:cs="Tahoma"/>
          <w:bCs/>
          <w:i/>
          <w:color w:val="0D0D0D" w:themeColor="text1" w:themeTint="F2"/>
          <w:szCs w:val="22"/>
        </w:rPr>
        <w:t>…”</w:t>
      </w:r>
    </w:p>
    <w:p w14:paraId="7AF6BF73" w14:textId="3AE362E7" w:rsidR="001240E9" w:rsidRPr="008D0ABC" w:rsidRDefault="00C53361" w:rsidP="001240E9">
      <w:pPr>
        <w:spacing w:line="360" w:lineRule="auto"/>
        <w:jc w:val="both"/>
        <w:rPr>
          <w:rFonts w:ascii="Palatino Linotype" w:hAnsi="Palatino Linotype"/>
          <w:color w:val="0D0D0D" w:themeColor="text1" w:themeTint="F2"/>
          <w:sz w:val="22"/>
          <w:szCs w:val="22"/>
        </w:rPr>
      </w:pPr>
      <w:r w:rsidRPr="008D0ABC">
        <w:rPr>
          <w:rFonts w:ascii="Palatino Linotype" w:hAnsi="Palatino Linotype" w:cs="Tahoma"/>
          <w:b/>
          <w:color w:val="0D0D0D" w:themeColor="text1" w:themeTint="F2"/>
          <w:sz w:val="22"/>
          <w:szCs w:val="22"/>
        </w:rPr>
        <w:t>e</w:t>
      </w:r>
      <w:r w:rsidR="00BA60CE" w:rsidRPr="008D0ABC">
        <w:rPr>
          <w:rFonts w:ascii="Palatino Linotype" w:hAnsi="Palatino Linotype" w:cs="Tahoma"/>
          <w:b/>
          <w:color w:val="0D0D0D" w:themeColor="text1" w:themeTint="F2"/>
          <w:sz w:val="22"/>
          <w:szCs w:val="22"/>
        </w:rPr>
        <w:t xml:space="preserve">) </w:t>
      </w:r>
      <w:r w:rsidR="001240E9" w:rsidRPr="008D0ABC">
        <w:rPr>
          <w:rFonts w:ascii="Palatino Linotype" w:hAnsi="Palatino Linotype"/>
          <w:b/>
          <w:color w:val="0D0D0D" w:themeColor="text1" w:themeTint="F2"/>
          <w:sz w:val="22"/>
          <w:szCs w:val="22"/>
        </w:rPr>
        <w:t xml:space="preserve">Vista del Informe Justificado: </w:t>
      </w:r>
      <w:r w:rsidR="001240E9" w:rsidRPr="008D0ABC">
        <w:rPr>
          <w:rFonts w:ascii="Palatino Linotype" w:hAnsi="Palatino Linotype"/>
          <w:color w:val="0D0D0D" w:themeColor="text1" w:themeTint="F2"/>
          <w:sz w:val="22"/>
          <w:szCs w:val="22"/>
        </w:rPr>
        <w:t xml:space="preserve">El </w:t>
      </w:r>
      <w:r w:rsidR="00DA49C1" w:rsidRPr="008D0ABC">
        <w:rPr>
          <w:rFonts w:ascii="Palatino Linotype" w:hAnsi="Palatino Linotype"/>
          <w:color w:val="0D0D0D" w:themeColor="text1" w:themeTint="F2"/>
          <w:sz w:val="22"/>
          <w:szCs w:val="22"/>
        </w:rPr>
        <w:t>quince</w:t>
      </w:r>
      <w:r w:rsidR="001240E9" w:rsidRPr="008D0ABC">
        <w:rPr>
          <w:rFonts w:ascii="Palatino Linotype" w:hAnsi="Palatino Linotype"/>
          <w:color w:val="0D0D0D" w:themeColor="text1" w:themeTint="F2"/>
          <w:sz w:val="22"/>
          <w:szCs w:val="22"/>
        </w:rPr>
        <w:t xml:space="preserve"> de </w:t>
      </w:r>
      <w:r w:rsidR="00DA49C1" w:rsidRPr="008D0ABC">
        <w:rPr>
          <w:rFonts w:ascii="Palatino Linotype" w:hAnsi="Palatino Linotype"/>
          <w:color w:val="0D0D0D" w:themeColor="text1" w:themeTint="F2"/>
          <w:sz w:val="22"/>
          <w:szCs w:val="22"/>
        </w:rPr>
        <w:t>febrero</w:t>
      </w:r>
      <w:r w:rsidR="001240E9" w:rsidRPr="008D0ABC">
        <w:rPr>
          <w:rFonts w:ascii="Palatino Linotype" w:hAnsi="Palatino Linotype"/>
          <w:color w:val="0D0D0D" w:themeColor="text1" w:themeTint="F2"/>
          <w:sz w:val="22"/>
          <w:szCs w:val="22"/>
        </w:rPr>
        <w:t xml:space="preserve"> de dos mil veinti</w:t>
      </w:r>
      <w:r w:rsidR="00DA49C1" w:rsidRPr="008D0ABC">
        <w:rPr>
          <w:rFonts w:ascii="Palatino Linotype" w:hAnsi="Palatino Linotype"/>
          <w:color w:val="0D0D0D" w:themeColor="text1" w:themeTint="F2"/>
          <w:sz w:val="22"/>
          <w:szCs w:val="22"/>
        </w:rPr>
        <w:t>trés</w:t>
      </w:r>
      <w:r w:rsidR="001240E9" w:rsidRPr="008D0ABC">
        <w:rPr>
          <w:rFonts w:ascii="Palatino Linotype" w:hAnsi="Palatino Linotype"/>
          <w:color w:val="0D0D0D" w:themeColor="text1" w:themeTint="F2"/>
          <w:sz w:val="22"/>
          <w:szCs w:val="22"/>
        </w:rPr>
        <w:t xml:space="preserve">, se dictó acuerdo mediante el cual </w:t>
      </w:r>
      <w:r w:rsidR="001240E9" w:rsidRPr="008D0ABC">
        <w:rPr>
          <w:rFonts w:ascii="Palatino Linotype" w:hAnsi="Palatino Linotype"/>
          <w:b/>
          <w:color w:val="0D0D0D" w:themeColor="text1" w:themeTint="F2"/>
          <w:sz w:val="22"/>
          <w:szCs w:val="22"/>
        </w:rPr>
        <w:t>se puso a la vista de la Particular el Informe Justificado,</w:t>
      </w:r>
      <w:r w:rsidR="001240E9" w:rsidRPr="008D0ABC">
        <w:rPr>
          <w:rFonts w:ascii="Palatino Linotype" w:hAnsi="Palatino Linotype"/>
          <w:color w:val="0D0D0D" w:themeColor="text1" w:themeTint="F2"/>
          <w:sz w:val="22"/>
          <w:szCs w:val="22"/>
        </w:rPr>
        <w:t xml:space="preserve"> entregado por el Sujeto Obligado, el cual fue notificado a las partes, a través del Sistema de Acceso a la Información Mexiquense (SAIMEX), el mismo </w:t>
      </w:r>
      <w:r w:rsidRPr="008D0ABC">
        <w:rPr>
          <w:rFonts w:ascii="Palatino Linotype" w:hAnsi="Palatino Linotype"/>
          <w:color w:val="0D0D0D" w:themeColor="text1" w:themeTint="F2"/>
          <w:sz w:val="22"/>
          <w:szCs w:val="22"/>
        </w:rPr>
        <w:t>día</w:t>
      </w:r>
      <w:r w:rsidR="001240E9" w:rsidRPr="008D0ABC">
        <w:rPr>
          <w:rFonts w:ascii="Palatino Linotype" w:hAnsi="Palatino Linotype"/>
          <w:color w:val="0D0D0D" w:themeColor="text1" w:themeTint="F2"/>
          <w:sz w:val="22"/>
          <w:szCs w:val="22"/>
        </w:rPr>
        <w:t xml:space="preserve">. </w:t>
      </w:r>
      <w:r w:rsidR="001240E9" w:rsidRPr="008D0ABC">
        <w:rPr>
          <w:rFonts w:ascii="Palatino Linotype" w:hAnsi="Palatino Linotype"/>
          <w:b/>
          <w:bCs/>
          <w:color w:val="0D0D0D" w:themeColor="text1" w:themeTint="F2"/>
          <w:sz w:val="22"/>
          <w:szCs w:val="22"/>
        </w:rPr>
        <w:t>Cabe señalar que la Recurrente fue omisa en realizar alguna manifestación que a su derecho conviniera y asistiera.</w:t>
      </w:r>
      <w:r w:rsidR="001240E9" w:rsidRPr="008D0ABC">
        <w:rPr>
          <w:rFonts w:ascii="Palatino Linotype" w:hAnsi="Palatino Linotype"/>
          <w:color w:val="0D0D0D" w:themeColor="text1" w:themeTint="F2"/>
          <w:sz w:val="22"/>
          <w:szCs w:val="22"/>
        </w:rPr>
        <w:t xml:space="preserve"> </w:t>
      </w:r>
    </w:p>
    <w:p w14:paraId="35530C5F" w14:textId="77777777" w:rsidR="00BA60CE" w:rsidRPr="008D0ABC" w:rsidRDefault="00BA60CE" w:rsidP="00BD607C">
      <w:pPr>
        <w:spacing w:line="360" w:lineRule="auto"/>
        <w:jc w:val="both"/>
        <w:rPr>
          <w:rFonts w:ascii="Palatino Linotype" w:hAnsi="Palatino Linotype" w:cs="Tahoma"/>
          <w:b/>
          <w:color w:val="0D0D0D" w:themeColor="text1" w:themeTint="F2"/>
          <w:sz w:val="22"/>
          <w:szCs w:val="22"/>
        </w:rPr>
      </w:pPr>
    </w:p>
    <w:p w14:paraId="6F92ADBC" w14:textId="1CEF72D2" w:rsidR="00F1491F" w:rsidRPr="008D0ABC" w:rsidRDefault="00C53361" w:rsidP="00BD607C">
      <w:pPr>
        <w:spacing w:line="360" w:lineRule="auto"/>
        <w:jc w:val="both"/>
        <w:rPr>
          <w:rFonts w:ascii="Palatino Linotype" w:hAnsi="Palatino Linotype" w:cs="Tahoma"/>
          <w:color w:val="0D0D0D" w:themeColor="text1" w:themeTint="F2"/>
          <w:sz w:val="22"/>
          <w:szCs w:val="22"/>
          <w:lang w:val="es-ES_tradnl"/>
        </w:rPr>
      </w:pPr>
      <w:r w:rsidRPr="008D0ABC">
        <w:rPr>
          <w:rFonts w:ascii="Palatino Linotype" w:hAnsi="Palatino Linotype" w:cs="Tahoma"/>
          <w:b/>
          <w:color w:val="0D0D0D" w:themeColor="text1" w:themeTint="F2"/>
          <w:sz w:val="22"/>
          <w:szCs w:val="22"/>
        </w:rPr>
        <w:t>f</w:t>
      </w:r>
      <w:r w:rsidR="00BA60CE" w:rsidRPr="008D0ABC">
        <w:rPr>
          <w:rFonts w:ascii="Palatino Linotype" w:hAnsi="Palatino Linotype" w:cs="Tahoma"/>
          <w:b/>
          <w:color w:val="0D0D0D" w:themeColor="text1" w:themeTint="F2"/>
          <w:sz w:val="22"/>
          <w:szCs w:val="22"/>
        </w:rPr>
        <w:t xml:space="preserve">) </w:t>
      </w:r>
      <w:r w:rsidR="003A1F1C" w:rsidRPr="008D0ABC">
        <w:rPr>
          <w:rFonts w:ascii="Palatino Linotype" w:hAnsi="Palatino Linotype" w:cs="Tahoma"/>
          <w:b/>
          <w:color w:val="0D0D0D" w:themeColor="text1" w:themeTint="F2"/>
          <w:sz w:val="22"/>
          <w:szCs w:val="22"/>
        </w:rPr>
        <w:t>Cierre de instrucción.</w:t>
      </w:r>
      <w:r w:rsidR="003A1F1C" w:rsidRPr="008D0ABC">
        <w:rPr>
          <w:rFonts w:ascii="Palatino Linotype" w:hAnsi="Palatino Linotype" w:cs="Tahoma"/>
          <w:color w:val="0D0D0D" w:themeColor="text1" w:themeTint="F2"/>
          <w:sz w:val="22"/>
          <w:szCs w:val="22"/>
        </w:rPr>
        <w:t xml:space="preserve"> El </w:t>
      </w:r>
      <w:r w:rsidR="00DA49C1" w:rsidRPr="008D0ABC">
        <w:rPr>
          <w:rFonts w:ascii="Palatino Linotype" w:hAnsi="Palatino Linotype" w:cs="Tahoma"/>
          <w:color w:val="0D0D0D" w:themeColor="text1" w:themeTint="F2"/>
          <w:sz w:val="22"/>
          <w:szCs w:val="22"/>
        </w:rPr>
        <w:t>veintidós</w:t>
      </w:r>
      <w:r w:rsidR="00F917A3" w:rsidRPr="008D0ABC">
        <w:rPr>
          <w:rFonts w:ascii="Palatino Linotype" w:hAnsi="Palatino Linotype" w:cs="Tahoma"/>
          <w:color w:val="0D0D0D" w:themeColor="text1" w:themeTint="F2"/>
          <w:sz w:val="22"/>
          <w:szCs w:val="22"/>
        </w:rPr>
        <w:t xml:space="preserve"> de</w:t>
      </w:r>
      <w:r w:rsidR="00DA49C1" w:rsidRPr="008D0ABC">
        <w:rPr>
          <w:rFonts w:ascii="Palatino Linotype" w:hAnsi="Palatino Linotype" w:cs="Tahoma"/>
          <w:color w:val="0D0D0D" w:themeColor="text1" w:themeTint="F2"/>
          <w:sz w:val="22"/>
          <w:szCs w:val="22"/>
        </w:rPr>
        <w:t xml:space="preserve"> febrero</w:t>
      </w:r>
      <w:r w:rsidR="00FB0ECE" w:rsidRPr="008D0ABC">
        <w:rPr>
          <w:rFonts w:ascii="Palatino Linotype" w:hAnsi="Palatino Linotype" w:cs="Tahoma"/>
          <w:color w:val="0D0D0D" w:themeColor="text1" w:themeTint="F2"/>
          <w:sz w:val="22"/>
          <w:szCs w:val="22"/>
        </w:rPr>
        <w:t xml:space="preserve"> de dos mil veinti</w:t>
      </w:r>
      <w:r w:rsidR="00DA49C1" w:rsidRPr="008D0ABC">
        <w:rPr>
          <w:rFonts w:ascii="Palatino Linotype" w:hAnsi="Palatino Linotype" w:cs="Tahoma"/>
          <w:color w:val="0D0D0D" w:themeColor="text1" w:themeTint="F2"/>
          <w:sz w:val="22"/>
          <w:szCs w:val="22"/>
        </w:rPr>
        <w:t>trés</w:t>
      </w:r>
      <w:r w:rsidR="003A1F1C" w:rsidRPr="008D0ABC">
        <w:rPr>
          <w:rFonts w:ascii="Palatino Linotype" w:hAnsi="Palatino Linotype" w:cs="Tahoma"/>
          <w:color w:val="0D0D0D" w:themeColor="text1" w:themeTint="F2"/>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a través del </w:t>
      </w:r>
      <w:r w:rsidR="003A1F1C" w:rsidRPr="008D0ABC">
        <w:rPr>
          <w:rFonts w:ascii="Palatino Linotype" w:hAnsi="Palatino Linotype" w:cs="Tahoma"/>
          <w:color w:val="0D0D0D" w:themeColor="text1" w:themeTint="F2"/>
          <w:sz w:val="22"/>
          <w:szCs w:val="22"/>
          <w:lang w:val="es-ES"/>
        </w:rPr>
        <w:t>Sistema de Acceso a la Información Mexiquense (SAIMEX)</w:t>
      </w:r>
      <w:r w:rsidR="003A1F1C" w:rsidRPr="008D0ABC">
        <w:rPr>
          <w:rFonts w:ascii="Palatino Linotype" w:hAnsi="Palatino Linotype" w:cs="Tahoma"/>
          <w:color w:val="0D0D0D" w:themeColor="text1" w:themeTint="F2"/>
          <w:sz w:val="22"/>
          <w:szCs w:val="22"/>
        </w:rPr>
        <w:t xml:space="preserve">.  </w:t>
      </w:r>
    </w:p>
    <w:p w14:paraId="6D79E078" w14:textId="77777777" w:rsidR="009C2585" w:rsidRPr="008D0ABC" w:rsidRDefault="009C2585" w:rsidP="00BD607C">
      <w:pPr>
        <w:spacing w:line="360" w:lineRule="auto"/>
        <w:jc w:val="both"/>
        <w:rPr>
          <w:rFonts w:ascii="Palatino Linotype" w:hAnsi="Palatino Linotype" w:cs="Tahoma"/>
          <w:b/>
          <w:color w:val="0D0D0D" w:themeColor="text1" w:themeTint="F2"/>
          <w:sz w:val="22"/>
          <w:szCs w:val="22"/>
        </w:rPr>
      </w:pPr>
    </w:p>
    <w:p w14:paraId="3B555A95" w14:textId="77777777" w:rsidR="004F2D88" w:rsidRPr="008D0ABC" w:rsidRDefault="004F2D88" w:rsidP="00CC1718">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En </w:t>
      </w:r>
      <w:r w:rsidR="00367F82" w:rsidRPr="008D0ABC">
        <w:rPr>
          <w:rFonts w:ascii="Palatino Linotype" w:hAnsi="Palatino Linotype" w:cs="Tahoma"/>
          <w:color w:val="0D0D0D" w:themeColor="text1" w:themeTint="F2"/>
          <w:sz w:val="22"/>
          <w:szCs w:val="22"/>
        </w:rPr>
        <w:t>razón de que fue debidamente su</w:t>
      </w:r>
      <w:r w:rsidRPr="008D0ABC">
        <w:rPr>
          <w:rFonts w:ascii="Palatino Linotype" w:hAnsi="Palatino Linotype" w:cs="Tahoma"/>
          <w:color w:val="0D0D0D" w:themeColor="text1" w:themeTint="F2"/>
          <w:sz w:val="22"/>
          <w:szCs w:val="22"/>
        </w:rPr>
        <w:t xml:space="preserve">stanciado el expediente </w:t>
      </w:r>
      <w:r w:rsidR="00367F82" w:rsidRPr="008D0ABC">
        <w:rPr>
          <w:rFonts w:ascii="Palatino Linotype" w:hAnsi="Palatino Linotype" w:cs="Tahoma"/>
          <w:color w:val="0D0D0D" w:themeColor="text1" w:themeTint="F2"/>
          <w:sz w:val="22"/>
          <w:szCs w:val="22"/>
        </w:rPr>
        <w:t xml:space="preserve">electrónico </w:t>
      </w:r>
      <w:r w:rsidRPr="008D0ABC">
        <w:rPr>
          <w:rFonts w:ascii="Palatino Linotype" w:hAnsi="Palatino Linotype" w:cs="Tahoma"/>
          <w:color w:val="0D0D0D" w:themeColor="text1" w:themeTint="F2"/>
          <w:sz w:val="22"/>
          <w:szCs w:val="22"/>
        </w:rPr>
        <w:t>y no exist</w:t>
      </w:r>
      <w:r w:rsidR="00367F82" w:rsidRPr="008D0ABC">
        <w:rPr>
          <w:rFonts w:ascii="Palatino Linotype" w:hAnsi="Palatino Linotype" w:cs="Tahoma"/>
          <w:color w:val="0D0D0D" w:themeColor="text1" w:themeTint="F2"/>
          <w:sz w:val="22"/>
          <w:szCs w:val="22"/>
        </w:rPr>
        <w:t>e</w:t>
      </w:r>
      <w:r w:rsidRPr="008D0ABC">
        <w:rPr>
          <w:rFonts w:ascii="Palatino Linotype" w:hAnsi="Palatino Linotype" w:cs="Tahoma"/>
          <w:color w:val="0D0D0D" w:themeColor="text1" w:themeTint="F2"/>
          <w:sz w:val="22"/>
          <w:szCs w:val="22"/>
        </w:rPr>
        <w:t xml:space="preserve"> dilige</w:t>
      </w:r>
      <w:r w:rsidR="00367F82" w:rsidRPr="008D0ABC">
        <w:rPr>
          <w:rFonts w:ascii="Palatino Linotype" w:hAnsi="Palatino Linotype" w:cs="Tahoma"/>
          <w:color w:val="0D0D0D" w:themeColor="text1" w:themeTint="F2"/>
          <w:sz w:val="22"/>
          <w:szCs w:val="22"/>
        </w:rPr>
        <w:t xml:space="preserve">ncia pendiente de desahogo, se </w:t>
      </w:r>
      <w:r w:rsidRPr="008D0ABC">
        <w:rPr>
          <w:rFonts w:ascii="Palatino Linotype" w:hAnsi="Palatino Linotype" w:cs="Tahoma"/>
          <w:color w:val="0D0D0D" w:themeColor="text1" w:themeTint="F2"/>
          <w:sz w:val="22"/>
          <w:szCs w:val="22"/>
        </w:rPr>
        <w:t>emit</w:t>
      </w:r>
      <w:r w:rsidR="00367F82" w:rsidRPr="008D0ABC">
        <w:rPr>
          <w:rFonts w:ascii="Palatino Linotype" w:hAnsi="Palatino Linotype" w:cs="Tahoma"/>
          <w:color w:val="0D0D0D" w:themeColor="text1" w:themeTint="F2"/>
          <w:sz w:val="22"/>
          <w:szCs w:val="22"/>
        </w:rPr>
        <w:t>e</w:t>
      </w:r>
      <w:r w:rsidRPr="008D0ABC">
        <w:rPr>
          <w:rFonts w:ascii="Palatino Linotype" w:hAnsi="Palatino Linotype" w:cs="Tahoma"/>
          <w:color w:val="0D0D0D" w:themeColor="text1" w:themeTint="F2"/>
          <w:sz w:val="22"/>
          <w:szCs w:val="22"/>
        </w:rPr>
        <w:t xml:space="preserve"> la resolución que conforme a Derecho proceda, de acuerdo a l</w:t>
      </w:r>
      <w:r w:rsidR="009A620E" w:rsidRPr="008D0ABC">
        <w:rPr>
          <w:rFonts w:ascii="Palatino Linotype" w:hAnsi="Palatino Linotype" w:cs="Tahoma"/>
          <w:color w:val="0D0D0D" w:themeColor="text1" w:themeTint="F2"/>
          <w:sz w:val="22"/>
          <w:szCs w:val="22"/>
        </w:rPr>
        <w:t>o</w:t>
      </w:r>
      <w:r w:rsidRPr="008D0ABC">
        <w:rPr>
          <w:rFonts w:ascii="Palatino Linotype" w:hAnsi="Palatino Linotype" w:cs="Tahoma"/>
          <w:color w:val="0D0D0D" w:themeColor="text1" w:themeTint="F2"/>
          <w:sz w:val="22"/>
          <w:szCs w:val="22"/>
        </w:rPr>
        <w:t xml:space="preserve">s siguientes: </w:t>
      </w:r>
    </w:p>
    <w:p w14:paraId="5480E7FC" w14:textId="77777777" w:rsidR="00A56F39" w:rsidRPr="008D0ABC" w:rsidRDefault="00A56F39" w:rsidP="00AB4D0E">
      <w:pPr>
        <w:spacing w:line="360" w:lineRule="auto"/>
        <w:jc w:val="center"/>
        <w:rPr>
          <w:rFonts w:ascii="Palatino Linotype" w:hAnsi="Palatino Linotype" w:cs="Tahoma"/>
          <w:b/>
          <w:color w:val="0D0D0D" w:themeColor="text1" w:themeTint="F2"/>
          <w:sz w:val="22"/>
          <w:szCs w:val="22"/>
        </w:rPr>
      </w:pPr>
    </w:p>
    <w:p w14:paraId="705090ED" w14:textId="77777777" w:rsidR="004F2D88" w:rsidRPr="008D0ABC" w:rsidRDefault="009A620E" w:rsidP="00AB4D0E">
      <w:pPr>
        <w:spacing w:line="360" w:lineRule="auto"/>
        <w:jc w:val="center"/>
        <w:rPr>
          <w:rFonts w:ascii="Palatino Linotype" w:hAnsi="Palatino Linotype" w:cs="Tahoma"/>
          <w:b/>
          <w:color w:val="0D0D0D" w:themeColor="text1" w:themeTint="F2"/>
          <w:sz w:val="22"/>
          <w:szCs w:val="22"/>
          <w:lang w:val="es-ES"/>
        </w:rPr>
      </w:pPr>
      <w:r w:rsidRPr="008D0ABC">
        <w:rPr>
          <w:rFonts w:ascii="Palatino Linotype" w:hAnsi="Palatino Linotype" w:cs="Tahoma"/>
          <w:b/>
          <w:color w:val="0D0D0D" w:themeColor="text1" w:themeTint="F2"/>
          <w:sz w:val="22"/>
          <w:szCs w:val="22"/>
          <w:lang w:val="es-ES"/>
        </w:rPr>
        <w:t>CONSIDERANDOS</w:t>
      </w:r>
      <w:r w:rsidR="004F2D88" w:rsidRPr="008D0ABC">
        <w:rPr>
          <w:rFonts w:ascii="Palatino Linotype" w:hAnsi="Palatino Linotype" w:cs="Tahoma"/>
          <w:b/>
          <w:color w:val="0D0D0D" w:themeColor="text1" w:themeTint="F2"/>
          <w:sz w:val="22"/>
          <w:szCs w:val="22"/>
          <w:lang w:val="es-ES"/>
        </w:rPr>
        <w:t>:</w:t>
      </w:r>
    </w:p>
    <w:p w14:paraId="315CA9D7" w14:textId="77777777" w:rsidR="007A548C" w:rsidRPr="008D0ABC" w:rsidRDefault="007A548C" w:rsidP="00AB4D0E">
      <w:pPr>
        <w:autoSpaceDE w:val="0"/>
        <w:autoSpaceDN w:val="0"/>
        <w:adjustRightInd w:val="0"/>
        <w:spacing w:line="360" w:lineRule="auto"/>
        <w:jc w:val="both"/>
        <w:rPr>
          <w:rFonts w:ascii="Palatino Linotype" w:eastAsia="Calibri" w:hAnsi="Palatino Linotype" w:cs="Tahoma"/>
          <w:b/>
          <w:color w:val="0D0D0D" w:themeColor="text1" w:themeTint="F2"/>
          <w:sz w:val="22"/>
          <w:szCs w:val="22"/>
          <w:lang w:val="es-ES" w:eastAsia="es-MX"/>
        </w:rPr>
      </w:pPr>
    </w:p>
    <w:p w14:paraId="45F8E124" w14:textId="77777777" w:rsidR="00B64641" w:rsidRPr="008D0ABC" w:rsidRDefault="00B64641" w:rsidP="00AB4D0E">
      <w:pPr>
        <w:autoSpaceDE w:val="0"/>
        <w:autoSpaceDN w:val="0"/>
        <w:adjustRightInd w:val="0"/>
        <w:spacing w:line="360" w:lineRule="auto"/>
        <w:jc w:val="both"/>
        <w:rPr>
          <w:rFonts w:ascii="Palatino Linotype" w:hAnsi="Palatino Linotype" w:cs="Tahoma"/>
          <w:b/>
          <w:color w:val="0D0D0D" w:themeColor="text1" w:themeTint="F2"/>
          <w:sz w:val="22"/>
          <w:szCs w:val="22"/>
          <w:lang w:val="es-ES"/>
        </w:rPr>
      </w:pPr>
      <w:r w:rsidRPr="008D0ABC">
        <w:rPr>
          <w:rFonts w:ascii="Palatino Linotype" w:eastAsia="Calibri" w:hAnsi="Palatino Linotype" w:cs="Tahoma"/>
          <w:b/>
          <w:color w:val="0D0D0D" w:themeColor="text1" w:themeTint="F2"/>
          <w:sz w:val="22"/>
          <w:szCs w:val="22"/>
          <w:lang w:val="es-ES" w:eastAsia="es-MX"/>
        </w:rPr>
        <w:t>PRIMER</w:t>
      </w:r>
      <w:r w:rsidR="002241A6" w:rsidRPr="008D0ABC">
        <w:rPr>
          <w:rFonts w:ascii="Palatino Linotype" w:eastAsia="Calibri" w:hAnsi="Palatino Linotype" w:cs="Tahoma"/>
          <w:b/>
          <w:color w:val="0D0D0D" w:themeColor="text1" w:themeTint="F2"/>
          <w:sz w:val="22"/>
          <w:szCs w:val="22"/>
          <w:lang w:val="es-ES" w:eastAsia="es-MX"/>
        </w:rPr>
        <w:t>O</w:t>
      </w:r>
      <w:r w:rsidRPr="008D0ABC">
        <w:rPr>
          <w:rFonts w:ascii="Palatino Linotype" w:eastAsia="Calibri" w:hAnsi="Palatino Linotype" w:cs="Tahoma"/>
          <w:color w:val="0D0D0D" w:themeColor="text1" w:themeTint="F2"/>
          <w:sz w:val="22"/>
          <w:szCs w:val="22"/>
          <w:lang w:val="es-ES" w:eastAsia="es-MX"/>
        </w:rPr>
        <w:t xml:space="preserve">. </w:t>
      </w:r>
      <w:r w:rsidRPr="008D0ABC">
        <w:rPr>
          <w:rFonts w:ascii="Palatino Linotype" w:hAnsi="Palatino Linotype" w:cs="Tahoma"/>
          <w:b/>
          <w:color w:val="0D0D0D" w:themeColor="text1" w:themeTint="F2"/>
          <w:sz w:val="22"/>
          <w:szCs w:val="22"/>
          <w:lang w:val="es-ES"/>
        </w:rPr>
        <w:t>Competencia.</w:t>
      </w:r>
    </w:p>
    <w:p w14:paraId="77E1F4A5" w14:textId="77777777" w:rsidR="00B727C5" w:rsidRPr="008D0ABC" w:rsidRDefault="00B727C5" w:rsidP="00AB4D0E">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p>
    <w:p w14:paraId="52F64E86" w14:textId="48A1ADDE" w:rsidR="00FB0ECE" w:rsidRPr="008D0ABC" w:rsidRDefault="00FB0ECE" w:rsidP="00FB0ECE">
      <w:pPr>
        <w:spacing w:line="360" w:lineRule="auto"/>
        <w:jc w:val="both"/>
        <w:rPr>
          <w:rFonts w:ascii="Palatino Linotype" w:hAnsi="Palatino Linotype" w:cs="Tahoma"/>
          <w:bCs/>
          <w:color w:val="0D0D0D" w:themeColor="text1" w:themeTint="F2"/>
          <w:sz w:val="22"/>
          <w:szCs w:val="22"/>
        </w:rPr>
      </w:pPr>
      <w:r w:rsidRPr="008D0ABC">
        <w:rPr>
          <w:rFonts w:ascii="Palatino Linotype" w:hAnsi="Palatino Linotype" w:cs="Tahoma"/>
          <w:bCs/>
          <w:color w:val="0D0D0D" w:themeColor="text1" w:themeTint="F2"/>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240E9" w:rsidRPr="008D0ABC">
        <w:rPr>
          <w:rFonts w:ascii="Palatino Linotype" w:hAnsi="Palatino Linotype" w:cs="Tahoma"/>
          <w:bCs/>
          <w:color w:val="0D0D0D" w:themeColor="text1" w:themeTint="F2"/>
          <w:sz w:val="22"/>
          <w:szCs w:val="22"/>
        </w:rPr>
        <w:t>trigésimo,</w:t>
      </w:r>
      <w:r w:rsidRPr="008D0ABC">
        <w:rPr>
          <w:rFonts w:ascii="Palatino Linotype" w:hAnsi="Palatino Linotype" w:cs="Tahoma"/>
          <w:bCs/>
          <w:color w:val="0D0D0D" w:themeColor="text1" w:themeTint="F2"/>
          <w:sz w:val="22"/>
          <w:szCs w:val="22"/>
        </w:rPr>
        <w:t xml:space="preserve"> trigésimo primero</w:t>
      </w:r>
      <w:r w:rsidR="001240E9" w:rsidRPr="008D0ABC">
        <w:rPr>
          <w:rFonts w:ascii="Palatino Linotype" w:hAnsi="Palatino Linotype" w:cs="Tahoma"/>
          <w:bCs/>
          <w:color w:val="0D0D0D" w:themeColor="text1" w:themeTint="F2"/>
          <w:sz w:val="22"/>
          <w:szCs w:val="22"/>
        </w:rPr>
        <w:t xml:space="preserve"> y trigésimo segundo</w:t>
      </w:r>
      <w:r w:rsidRPr="008D0ABC">
        <w:rPr>
          <w:rFonts w:ascii="Palatino Linotype" w:hAnsi="Palatino Linotype" w:cs="Tahoma"/>
          <w:bCs/>
          <w:color w:val="0D0D0D" w:themeColor="text1" w:themeTint="F2"/>
          <w:sz w:val="22"/>
          <w:szCs w:val="22"/>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D0ABC">
        <w:rPr>
          <w:rFonts w:ascii="Palatino Linotype" w:hAnsi="Palatino Linotype"/>
          <w:bCs/>
          <w:color w:val="0D0D0D" w:themeColor="text1" w:themeTint="F2"/>
          <w:sz w:val="22"/>
          <w:szCs w:val="22"/>
        </w:rPr>
        <w:t xml:space="preserve"> 7°, </w:t>
      </w:r>
      <w:r w:rsidRPr="008D0ABC">
        <w:rPr>
          <w:rFonts w:ascii="Palatino Linotype" w:hAnsi="Palatino Linotype" w:cs="Tahoma"/>
          <w:bCs/>
          <w:color w:val="0D0D0D" w:themeColor="text1" w:themeTint="F2"/>
          <w:sz w:val="22"/>
          <w:szCs w:val="22"/>
        </w:rPr>
        <w:t>9°, fracciones I y XXIV y 11 del Reglamento Interior del Instituto de Transparencia, Acceso a la Información Pública y Protección de Datos Personales del Estado de México y Municipios.</w:t>
      </w:r>
    </w:p>
    <w:p w14:paraId="7CC5EC64" w14:textId="77777777" w:rsidR="00337C58" w:rsidRPr="008D0ABC" w:rsidRDefault="00337C58" w:rsidP="00FB0ECE">
      <w:pPr>
        <w:spacing w:line="360" w:lineRule="auto"/>
        <w:jc w:val="both"/>
        <w:rPr>
          <w:rFonts w:ascii="Palatino Linotype" w:hAnsi="Palatino Linotype" w:cs="Tahoma"/>
          <w:bCs/>
          <w:color w:val="0D0D0D" w:themeColor="text1" w:themeTint="F2"/>
          <w:sz w:val="22"/>
          <w:szCs w:val="22"/>
        </w:rPr>
      </w:pPr>
    </w:p>
    <w:p w14:paraId="554DD6C6" w14:textId="77777777" w:rsidR="007765C0" w:rsidRPr="008D0ABC" w:rsidRDefault="004F2D88" w:rsidP="007765C0">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r w:rsidRPr="008D0ABC">
        <w:rPr>
          <w:rFonts w:ascii="Palatino Linotype" w:eastAsia="Calibri" w:hAnsi="Palatino Linotype" w:cs="Tahoma"/>
          <w:b/>
          <w:color w:val="0D0D0D" w:themeColor="text1" w:themeTint="F2"/>
          <w:sz w:val="22"/>
          <w:szCs w:val="22"/>
          <w:lang w:val="es-ES" w:eastAsia="es-MX"/>
        </w:rPr>
        <w:t>SEGUND</w:t>
      </w:r>
      <w:r w:rsidR="002241A6" w:rsidRPr="008D0ABC">
        <w:rPr>
          <w:rFonts w:ascii="Palatino Linotype" w:eastAsia="Calibri" w:hAnsi="Palatino Linotype" w:cs="Tahoma"/>
          <w:b/>
          <w:color w:val="0D0D0D" w:themeColor="text1" w:themeTint="F2"/>
          <w:sz w:val="22"/>
          <w:szCs w:val="22"/>
          <w:lang w:val="es-ES" w:eastAsia="es-MX"/>
        </w:rPr>
        <w:t>O</w:t>
      </w:r>
      <w:r w:rsidRPr="008D0ABC">
        <w:rPr>
          <w:rFonts w:ascii="Palatino Linotype" w:eastAsia="Calibri" w:hAnsi="Palatino Linotype" w:cs="Tahoma"/>
          <w:color w:val="0D0D0D" w:themeColor="text1" w:themeTint="F2"/>
          <w:sz w:val="22"/>
          <w:szCs w:val="22"/>
          <w:lang w:val="es-ES" w:eastAsia="es-MX"/>
        </w:rPr>
        <w:t xml:space="preserve">. </w:t>
      </w:r>
      <w:r w:rsidR="007765C0" w:rsidRPr="008D0ABC">
        <w:rPr>
          <w:rFonts w:ascii="Palatino Linotype" w:hAnsi="Palatino Linotype" w:cs="Tahoma"/>
          <w:b/>
          <w:color w:val="0D0D0D" w:themeColor="text1" w:themeTint="F2"/>
          <w:sz w:val="22"/>
          <w:szCs w:val="22"/>
          <w:lang w:val="es-ES"/>
        </w:rPr>
        <w:t>Causales de improcedencia y sobreseimiento.</w:t>
      </w:r>
    </w:p>
    <w:p w14:paraId="2635493E" w14:textId="77777777" w:rsidR="007765C0" w:rsidRPr="008D0ABC" w:rsidRDefault="007765C0" w:rsidP="007765C0">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p>
    <w:p w14:paraId="654784CC" w14:textId="77777777" w:rsidR="007765C0" w:rsidRPr="008D0ABC" w:rsidRDefault="007765C0" w:rsidP="007765C0">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 xml:space="preserve">De las constancias que forma parte del Recurso de Revisión que se analiza, se advierte que previo al estudio del fondo de la </w:t>
      </w:r>
      <w:r w:rsidRPr="008D0ABC">
        <w:rPr>
          <w:rFonts w:ascii="Palatino Linotype" w:hAnsi="Palatino Linotype" w:cs="Tahoma"/>
          <w:i/>
          <w:color w:val="0D0D0D" w:themeColor="text1" w:themeTint="F2"/>
          <w:sz w:val="22"/>
          <w:szCs w:val="22"/>
          <w:lang w:val="es-ES"/>
        </w:rPr>
        <w:t>litis</w:t>
      </w:r>
      <w:r w:rsidRPr="008D0ABC">
        <w:rPr>
          <w:rFonts w:ascii="Palatino Linotype" w:hAnsi="Palatino Linotype" w:cs="Tahoma"/>
          <w:color w:val="0D0D0D" w:themeColor="text1" w:themeTint="F2"/>
          <w:sz w:val="22"/>
          <w:szCs w:val="22"/>
          <w:lang w:val="es-ES"/>
        </w:rPr>
        <w:t>, es necesario estudiar las causales de improcedencia y sobreseimiento que se adviertan, para determinar lo que en Derecho proceda.</w:t>
      </w:r>
    </w:p>
    <w:p w14:paraId="39BBD4CE" w14:textId="77777777" w:rsidR="007765C0" w:rsidRPr="008D0ABC" w:rsidRDefault="007765C0" w:rsidP="00AB4D0E">
      <w:pPr>
        <w:autoSpaceDE w:val="0"/>
        <w:autoSpaceDN w:val="0"/>
        <w:adjustRightInd w:val="0"/>
        <w:spacing w:line="360" w:lineRule="auto"/>
        <w:jc w:val="both"/>
        <w:rPr>
          <w:rFonts w:ascii="Palatino Linotype" w:eastAsia="Calibri" w:hAnsi="Palatino Linotype" w:cs="Tahoma"/>
          <w:color w:val="0D0D0D" w:themeColor="text1" w:themeTint="F2"/>
          <w:sz w:val="22"/>
          <w:szCs w:val="22"/>
          <w:lang w:val="es-ES" w:eastAsia="es-MX"/>
        </w:rPr>
      </w:pPr>
    </w:p>
    <w:p w14:paraId="21303B65" w14:textId="0A715AFA" w:rsidR="00436FD3" w:rsidRPr="008D0ABC" w:rsidRDefault="007A548C" w:rsidP="00AB4D0E">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b/>
          <w:color w:val="0D0D0D" w:themeColor="text1" w:themeTint="F2"/>
          <w:sz w:val="22"/>
          <w:szCs w:val="22"/>
          <w:lang w:val="es-ES"/>
        </w:rPr>
        <w:t>Causales de improcedencia</w:t>
      </w:r>
      <w:r w:rsidR="00A414EC" w:rsidRPr="008D0ABC">
        <w:rPr>
          <w:rFonts w:ascii="Palatino Linotype" w:hAnsi="Palatino Linotype" w:cs="Tahoma"/>
          <w:b/>
          <w:color w:val="0D0D0D" w:themeColor="text1" w:themeTint="F2"/>
          <w:sz w:val="22"/>
          <w:szCs w:val="22"/>
          <w:lang w:val="es-ES"/>
        </w:rPr>
        <w:t>.</w:t>
      </w:r>
    </w:p>
    <w:p w14:paraId="526355A7" w14:textId="77777777" w:rsidR="00303CAD" w:rsidRPr="008D0ABC" w:rsidRDefault="00303CAD" w:rsidP="00AB4D0E">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p>
    <w:p w14:paraId="066E9A96" w14:textId="49E1943E" w:rsidR="00A56F39" w:rsidRPr="008D0ABC" w:rsidRDefault="00A56F39" w:rsidP="00AB4D0E">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E00ECB5" w14:textId="77777777" w:rsidR="003A1F1C" w:rsidRPr="008D0ABC" w:rsidRDefault="003A1F1C" w:rsidP="00AB4D0E">
      <w:pPr>
        <w:spacing w:line="360" w:lineRule="auto"/>
        <w:jc w:val="both"/>
        <w:rPr>
          <w:rFonts w:ascii="Palatino Linotype" w:hAnsi="Palatino Linotype" w:cs="Tahoma"/>
          <w:color w:val="0D0D0D" w:themeColor="text1" w:themeTint="F2"/>
          <w:sz w:val="22"/>
          <w:szCs w:val="22"/>
        </w:rPr>
      </w:pPr>
    </w:p>
    <w:p w14:paraId="5C2D1A0C" w14:textId="7E18543B" w:rsidR="00A56F39" w:rsidRPr="008D0ABC" w:rsidRDefault="00A56F39" w:rsidP="00AB4D0E">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En el presente caso, </w:t>
      </w:r>
      <w:r w:rsidRPr="008D0ABC">
        <w:rPr>
          <w:rFonts w:ascii="Palatino Linotype" w:hAnsi="Palatino Linotype" w:cs="Tahoma"/>
          <w:b/>
          <w:bCs/>
          <w:color w:val="0D0D0D" w:themeColor="text1" w:themeTint="F2"/>
          <w:sz w:val="22"/>
          <w:szCs w:val="22"/>
        </w:rPr>
        <w:t xml:space="preserve">no se actualiza </w:t>
      </w:r>
      <w:r w:rsidR="006F762A" w:rsidRPr="008D0ABC">
        <w:rPr>
          <w:rFonts w:ascii="Palatino Linotype" w:hAnsi="Palatino Linotype" w:cs="Tahoma"/>
          <w:b/>
          <w:bCs/>
          <w:color w:val="0D0D0D" w:themeColor="text1" w:themeTint="F2"/>
          <w:sz w:val="22"/>
          <w:szCs w:val="22"/>
        </w:rPr>
        <w:t xml:space="preserve">alguna </w:t>
      </w:r>
      <w:r w:rsidRPr="008D0ABC">
        <w:rPr>
          <w:rFonts w:ascii="Palatino Linotype" w:hAnsi="Palatino Linotype" w:cs="Tahoma"/>
          <w:b/>
          <w:bCs/>
          <w:color w:val="0D0D0D" w:themeColor="text1" w:themeTint="F2"/>
          <w:sz w:val="22"/>
          <w:szCs w:val="22"/>
        </w:rPr>
        <w:t>de las causales de improcedencia</w:t>
      </w:r>
      <w:r w:rsidRPr="008D0ABC">
        <w:rPr>
          <w:rFonts w:ascii="Palatino Linotype" w:hAnsi="Palatino Linotype" w:cs="Tahoma"/>
          <w:color w:val="0D0D0D" w:themeColor="text1" w:themeTint="F2"/>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1D503B" w:rsidRPr="008D0ABC">
        <w:rPr>
          <w:rFonts w:ascii="Palatino Linotype" w:hAnsi="Palatino Linotype" w:cs="Tahoma"/>
          <w:color w:val="0D0D0D" w:themeColor="text1" w:themeTint="F2"/>
          <w:sz w:val="22"/>
          <w:szCs w:val="22"/>
        </w:rPr>
        <w:t xml:space="preserve">la </w:t>
      </w:r>
      <w:r w:rsidR="008F5C96" w:rsidRPr="008D0ABC">
        <w:rPr>
          <w:rFonts w:ascii="Palatino Linotype" w:hAnsi="Palatino Linotype" w:cs="Tahoma"/>
          <w:color w:val="0D0D0D" w:themeColor="text1" w:themeTint="F2"/>
          <w:sz w:val="22"/>
          <w:szCs w:val="22"/>
        </w:rPr>
        <w:t>R</w:t>
      </w:r>
      <w:r w:rsidRPr="008D0ABC">
        <w:rPr>
          <w:rFonts w:ascii="Palatino Linotype" w:hAnsi="Palatino Linotype" w:cs="Tahoma"/>
          <w:color w:val="0D0D0D" w:themeColor="text1" w:themeTint="F2"/>
          <w:sz w:val="22"/>
          <w:szCs w:val="22"/>
        </w:rPr>
        <w:t>ecurrente ante otra instancia; no existió prevención alguna; la veracidad de la respuesta no formó parte del agravio; ni se realiz</w:t>
      </w:r>
      <w:r w:rsidR="006F762A" w:rsidRPr="008D0ABC">
        <w:rPr>
          <w:rFonts w:ascii="Palatino Linotype" w:hAnsi="Palatino Linotype" w:cs="Tahoma"/>
          <w:color w:val="0D0D0D" w:themeColor="text1" w:themeTint="F2"/>
          <w:sz w:val="22"/>
          <w:szCs w:val="22"/>
        </w:rPr>
        <w:t xml:space="preserve">ó una </w:t>
      </w:r>
      <w:r w:rsidRPr="008D0ABC">
        <w:rPr>
          <w:rFonts w:ascii="Palatino Linotype" w:hAnsi="Palatino Linotype" w:cs="Tahoma"/>
          <w:color w:val="0D0D0D" w:themeColor="text1" w:themeTint="F2"/>
          <w:sz w:val="22"/>
          <w:szCs w:val="22"/>
        </w:rPr>
        <w:t>ampliación a los alcances del requerimiento informativo.</w:t>
      </w:r>
    </w:p>
    <w:p w14:paraId="494D28FB" w14:textId="77777777" w:rsidR="00A56F39" w:rsidRPr="008D0ABC" w:rsidRDefault="00A56F39" w:rsidP="00AB4D0E">
      <w:pPr>
        <w:spacing w:line="360" w:lineRule="auto"/>
        <w:jc w:val="both"/>
        <w:rPr>
          <w:rFonts w:ascii="Palatino Linotype" w:hAnsi="Palatino Linotype" w:cs="Tahoma"/>
          <w:color w:val="0D0D0D" w:themeColor="text1" w:themeTint="F2"/>
          <w:sz w:val="22"/>
          <w:szCs w:val="22"/>
        </w:rPr>
      </w:pPr>
    </w:p>
    <w:p w14:paraId="1D81C2CB" w14:textId="685038F5" w:rsidR="00717748" w:rsidRPr="008D0ABC" w:rsidRDefault="00717748" w:rsidP="00717748">
      <w:pPr>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rPr>
        <w:t xml:space="preserve">Asimismo, se actualiza la causal de procedencia del Recurso de Revisión señalada en el artículo 179, </w:t>
      </w:r>
      <w:r w:rsidR="000B0BC1" w:rsidRPr="008D0ABC">
        <w:rPr>
          <w:rFonts w:ascii="Palatino Linotype" w:hAnsi="Palatino Linotype" w:cs="Tahoma"/>
          <w:color w:val="0D0D0D" w:themeColor="text1" w:themeTint="F2"/>
          <w:sz w:val="22"/>
          <w:szCs w:val="22"/>
        </w:rPr>
        <w:t>fracción V</w:t>
      </w:r>
      <w:r w:rsidR="00D73600" w:rsidRPr="008D0ABC">
        <w:rPr>
          <w:rFonts w:ascii="Palatino Linotype" w:hAnsi="Palatino Linotype" w:cs="Tahoma"/>
          <w:color w:val="0D0D0D" w:themeColor="text1" w:themeTint="F2"/>
          <w:sz w:val="22"/>
          <w:szCs w:val="22"/>
        </w:rPr>
        <w:t>,</w:t>
      </w:r>
      <w:r w:rsidR="006664B3" w:rsidRPr="008D0ABC">
        <w:rPr>
          <w:rFonts w:ascii="Palatino Linotype" w:hAnsi="Palatino Linotype" w:cs="Tahoma"/>
          <w:color w:val="0D0D0D" w:themeColor="text1" w:themeTint="F2"/>
          <w:sz w:val="22"/>
          <w:szCs w:val="22"/>
        </w:rPr>
        <w:t xml:space="preserve"> </w:t>
      </w:r>
      <w:r w:rsidRPr="008D0ABC">
        <w:rPr>
          <w:rFonts w:ascii="Palatino Linotype" w:hAnsi="Palatino Linotype" w:cs="Tahoma"/>
          <w:color w:val="0D0D0D" w:themeColor="text1" w:themeTint="F2"/>
          <w:sz w:val="22"/>
          <w:szCs w:val="22"/>
        </w:rPr>
        <w:t xml:space="preserve">de la Ley en cita, </w:t>
      </w:r>
      <w:r w:rsidRPr="008D0ABC">
        <w:rPr>
          <w:rFonts w:ascii="Palatino Linotype" w:eastAsia="Calibri" w:hAnsi="Palatino Linotype" w:cs="Tahoma"/>
          <w:color w:val="0D0D0D" w:themeColor="text1" w:themeTint="F2"/>
          <w:sz w:val="22"/>
          <w:szCs w:val="22"/>
          <w:lang w:eastAsia="es-MX"/>
        </w:rPr>
        <w:t xml:space="preserve">pues </w:t>
      </w:r>
      <w:r w:rsidR="001D503B" w:rsidRPr="008D0ABC">
        <w:rPr>
          <w:rFonts w:ascii="Palatino Linotype" w:eastAsia="Calibri" w:hAnsi="Palatino Linotype" w:cs="Tahoma"/>
          <w:color w:val="0D0D0D" w:themeColor="text1" w:themeTint="F2"/>
          <w:sz w:val="22"/>
          <w:szCs w:val="22"/>
          <w:lang w:eastAsia="es-MX"/>
        </w:rPr>
        <w:t>la</w:t>
      </w:r>
      <w:r w:rsidRPr="008D0ABC">
        <w:rPr>
          <w:rFonts w:ascii="Palatino Linotype" w:eastAsia="Calibri" w:hAnsi="Palatino Linotype" w:cs="Tahoma"/>
          <w:color w:val="0D0D0D" w:themeColor="text1" w:themeTint="F2"/>
          <w:sz w:val="22"/>
          <w:szCs w:val="22"/>
          <w:lang w:eastAsia="es-MX"/>
        </w:rPr>
        <w:t xml:space="preserve"> Recurrente se inconformó </w:t>
      </w:r>
      <w:r w:rsidR="003A1F1C" w:rsidRPr="008D0ABC">
        <w:rPr>
          <w:rFonts w:ascii="Palatino Linotype" w:hAnsi="Palatino Linotype" w:cs="Tahoma"/>
          <w:color w:val="0D0D0D" w:themeColor="text1" w:themeTint="F2"/>
          <w:sz w:val="22"/>
          <w:szCs w:val="22"/>
          <w:lang w:val="es-ES"/>
        </w:rPr>
        <w:t xml:space="preserve">con la </w:t>
      </w:r>
      <w:r w:rsidR="000B0BC1" w:rsidRPr="008D0ABC">
        <w:rPr>
          <w:rFonts w:ascii="Palatino Linotype" w:hAnsi="Palatino Linotype" w:cs="Tahoma"/>
          <w:color w:val="0D0D0D" w:themeColor="text1" w:themeTint="F2"/>
          <w:sz w:val="22"/>
          <w:szCs w:val="22"/>
          <w:lang w:val="es-ES"/>
        </w:rPr>
        <w:t xml:space="preserve">entrega de información incompleta.  </w:t>
      </w:r>
      <w:r w:rsidR="00E25DCF" w:rsidRPr="008D0ABC">
        <w:rPr>
          <w:rFonts w:ascii="Palatino Linotype" w:hAnsi="Palatino Linotype" w:cs="Tahoma"/>
          <w:color w:val="0D0D0D" w:themeColor="text1" w:themeTint="F2"/>
          <w:sz w:val="22"/>
          <w:szCs w:val="22"/>
          <w:lang w:val="es-ES"/>
        </w:rPr>
        <w:t xml:space="preserve"> </w:t>
      </w:r>
    </w:p>
    <w:p w14:paraId="13FB1A90" w14:textId="77777777" w:rsidR="00BD607C" w:rsidRPr="008D0ABC" w:rsidRDefault="00BD607C" w:rsidP="00717748">
      <w:pPr>
        <w:spacing w:line="360" w:lineRule="auto"/>
        <w:jc w:val="both"/>
        <w:rPr>
          <w:rFonts w:ascii="Palatino Linotype" w:hAnsi="Palatino Linotype" w:cs="Tahoma"/>
          <w:color w:val="0D0D0D" w:themeColor="text1" w:themeTint="F2"/>
          <w:sz w:val="22"/>
          <w:szCs w:val="22"/>
          <w:lang w:val="es-ES"/>
        </w:rPr>
      </w:pPr>
    </w:p>
    <w:p w14:paraId="19509665" w14:textId="77777777" w:rsidR="00ED0632" w:rsidRPr="008D0ABC" w:rsidRDefault="00ED0632" w:rsidP="00ED0632">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b/>
          <w:bCs/>
          <w:color w:val="0D0D0D" w:themeColor="text1" w:themeTint="F2"/>
          <w:sz w:val="22"/>
          <w:szCs w:val="22"/>
        </w:rPr>
        <w:t>Causales de sobreseimiento.</w:t>
      </w:r>
    </w:p>
    <w:p w14:paraId="606DD5A9" w14:textId="25800885" w:rsidR="00ED0632" w:rsidRPr="008D0ABC" w:rsidRDefault="00ED0632" w:rsidP="00ED0632">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w:t>
      </w:r>
    </w:p>
    <w:p w14:paraId="42A4613E" w14:textId="77777777" w:rsidR="00E25DCF" w:rsidRPr="008D0ABC" w:rsidRDefault="00E25DCF" w:rsidP="00E25DCF">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Por ser de previo y especial pronunciamiento, este Instituto analiza si se actualiza alguna causal de sobreseimiento.</w:t>
      </w:r>
    </w:p>
    <w:p w14:paraId="373362C9" w14:textId="77777777" w:rsidR="00E25DCF" w:rsidRPr="008D0ABC" w:rsidRDefault="00E25DCF" w:rsidP="00E25DCF">
      <w:pPr>
        <w:spacing w:line="360" w:lineRule="auto"/>
        <w:jc w:val="both"/>
        <w:rPr>
          <w:rFonts w:ascii="Palatino Linotype" w:hAnsi="Palatino Linotype" w:cs="Tahoma"/>
          <w:color w:val="0D0D0D" w:themeColor="text1" w:themeTint="F2"/>
          <w:sz w:val="22"/>
          <w:szCs w:val="22"/>
        </w:rPr>
      </w:pPr>
    </w:p>
    <w:p w14:paraId="49619C00" w14:textId="77777777" w:rsidR="00E25DCF" w:rsidRPr="008D0ABC" w:rsidRDefault="00E25DCF" w:rsidP="00E25DCF">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40AA83D1" w14:textId="77777777" w:rsidR="00E25DCF" w:rsidRPr="008D0ABC" w:rsidRDefault="00E25DCF" w:rsidP="00E25DCF">
      <w:pPr>
        <w:spacing w:line="360" w:lineRule="auto"/>
        <w:jc w:val="both"/>
        <w:rPr>
          <w:rFonts w:ascii="Palatino Linotype" w:hAnsi="Palatino Linotype" w:cs="Tahoma"/>
          <w:color w:val="0D0D0D" w:themeColor="text1" w:themeTint="F2"/>
          <w:sz w:val="22"/>
          <w:szCs w:val="22"/>
        </w:rPr>
      </w:pPr>
    </w:p>
    <w:p w14:paraId="33B36FAB" w14:textId="4A1F5B9B" w:rsidR="00FB0ECE" w:rsidRPr="008D0ABC" w:rsidRDefault="00E25DCF" w:rsidP="00E25DCF">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Por tales motivos, se considera procedente entrar al fondo del presente asunto.</w:t>
      </w:r>
    </w:p>
    <w:p w14:paraId="300A23C0" w14:textId="77777777" w:rsidR="00E25DCF" w:rsidRPr="008D0ABC" w:rsidRDefault="00E25DCF" w:rsidP="00E25DCF">
      <w:pPr>
        <w:spacing w:line="360" w:lineRule="auto"/>
        <w:jc w:val="both"/>
        <w:rPr>
          <w:rFonts w:ascii="Palatino Linotype" w:hAnsi="Palatino Linotype" w:cs="Tahoma"/>
          <w:bCs/>
          <w:iCs/>
          <w:color w:val="0D0D0D" w:themeColor="text1" w:themeTint="F2"/>
          <w:sz w:val="22"/>
          <w:szCs w:val="22"/>
        </w:rPr>
      </w:pPr>
    </w:p>
    <w:p w14:paraId="32A97C3F" w14:textId="77777777" w:rsidR="007765C0" w:rsidRPr="008D0ABC" w:rsidRDefault="007765C0" w:rsidP="007765C0">
      <w:pPr>
        <w:tabs>
          <w:tab w:val="left" w:pos="4962"/>
        </w:tabs>
        <w:spacing w:line="360" w:lineRule="auto"/>
        <w:jc w:val="both"/>
        <w:rPr>
          <w:rFonts w:ascii="Palatino Linotype" w:eastAsia="Calibri" w:hAnsi="Palatino Linotype" w:cs="Tahoma"/>
          <w:b/>
          <w:iCs/>
          <w:color w:val="0D0D0D" w:themeColor="text1" w:themeTint="F2"/>
          <w:sz w:val="22"/>
          <w:szCs w:val="22"/>
          <w:lang w:val="es-ES" w:eastAsia="es-ES_tradnl"/>
        </w:rPr>
      </w:pPr>
      <w:r w:rsidRPr="008D0ABC">
        <w:rPr>
          <w:rFonts w:ascii="Palatino Linotype" w:eastAsia="Calibri" w:hAnsi="Palatino Linotype" w:cs="Tahoma"/>
          <w:b/>
          <w:iCs/>
          <w:color w:val="0D0D0D" w:themeColor="text1" w:themeTint="F2"/>
          <w:sz w:val="22"/>
          <w:szCs w:val="22"/>
          <w:lang w:val="es-ES" w:eastAsia="es-ES_tradnl"/>
        </w:rPr>
        <w:t xml:space="preserve">TERCERO. Determinación de la Controversia. </w:t>
      </w:r>
    </w:p>
    <w:p w14:paraId="2B105215" w14:textId="45A89D94" w:rsidR="007765C0" w:rsidRPr="008D0ABC" w:rsidRDefault="007765C0" w:rsidP="007765C0">
      <w:pPr>
        <w:tabs>
          <w:tab w:val="left" w:pos="4962"/>
        </w:tabs>
        <w:spacing w:line="360" w:lineRule="auto"/>
        <w:jc w:val="both"/>
        <w:rPr>
          <w:rFonts w:ascii="Palatino Linotype" w:eastAsia="Calibri" w:hAnsi="Palatino Linotype" w:cs="Tahoma"/>
          <w:b/>
          <w:iCs/>
          <w:color w:val="0D0D0D" w:themeColor="text1" w:themeTint="F2"/>
          <w:sz w:val="22"/>
          <w:szCs w:val="22"/>
          <w:lang w:val="es-ES" w:eastAsia="es-ES_tradnl"/>
        </w:rPr>
      </w:pPr>
    </w:p>
    <w:p w14:paraId="70B20D4E" w14:textId="77777777" w:rsidR="002605A0" w:rsidRPr="008D0ABC" w:rsidRDefault="002605A0" w:rsidP="007765C0">
      <w:pPr>
        <w:tabs>
          <w:tab w:val="left" w:pos="4962"/>
        </w:tabs>
        <w:spacing w:line="360" w:lineRule="auto"/>
        <w:jc w:val="both"/>
        <w:rPr>
          <w:rFonts w:ascii="Palatino Linotype" w:eastAsia="Calibri" w:hAnsi="Palatino Linotype" w:cs="Tahoma"/>
          <w:b/>
          <w:iCs/>
          <w:color w:val="0D0D0D" w:themeColor="text1" w:themeTint="F2"/>
          <w:sz w:val="22"/>
          <w:szCs w:val="22"/>
          <w:lang w:val="es-ES" w:eastAsia="es-ES_tradnl"/>
        </w:rPr>
      </w:pPr>
    </w:p>
    <w:p w14:paraId="313ACB27" w14:textId="79B561AB" w:rsidR="00163A96" w:rsidRPr="008D0ABC" w:rsidRDefault="00163A96" w:rsidP="00163A96">
      <w:pPr>
        <w:widowControl w:val="0"/>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r w:rsidRPr="008D0ABC">
        <w:rPr>
          <w:rFonts w:ascii="Palatino Linotype" w:eastAsia="Calibri" w:hAnsi="Palatino Linotype" w:cs="Tahoma"/>
          <w:color w:val="000000"/>
          <w:sz w:val="22"/>
          <w:szCs w:val="22"/>
          <w:lang w:val="es-ES" w:eastAsia="es-MX"/>
        </w:rPr>
        <w:t xml:space="preserve">Con el objeto de ilustrar la controversia planteada, resulta conveniente precisar, que una vez realizado el estudio de las constancias que integran el expediente en que se actúa, se desprende que el Particular </w:t>
      </w:r>
      <w:r w:rsidRPr="008D0ABC">
        <w:rPr>
          <w:rFonts w:ascii="Palatino Linotype" w:eastAsiaTheme="minorHAnsi" w:hAnsi="Palatino Linotype" w:cs="Tahoma"/>
          <w:color w:val="000000" w:themeColor="text1"/>
          <w:sz w:val="22"/>
          <w:szCs w:val="22"/>
          <w:lang w:eastAsia="en-US"/>
        </w:rPr>
        <w:t xml:space="preserve">requirió </w:t>
      </w:r>
      <w:r w:rsidR="000B0BC1" w:rsidRPr="008D0ABC">
        <w:rPr>
          <w:rFonts w:ascii="Palatino Linotype" w:eastAsiaTheme="minorHAnsi" w:hAnsi="Palatino Linotype" w:cs="Tahoma"/>
          <w:color w:val="000000" w:themeColor="text1"/>
          <w:sz w:val="22"/>
          <w:szCs w:val="22"/>
          <w:lang w:eastAsia="en-US"/>
        </w:rPr>
        <w:t xml:space="preserve">del primero de enero al veintidós de junio de dos mil veintidós, lo siguiente: </w:t>
      </w:r>
    </w:p>
    <w:p w14:paraId="00304BC7" w14:textId="77777777" w:rsidR="000B0BC1" w:rsidRPr="008D0ABC" w:rsidRDefault="000B0BC1" w:rsidP="00163A96">
      <w:pPr>
        <w:widowControl w:val="0"/>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14:paraId="0CC6DE2E" w14:textId="16028AA5" w:rsidR="000B0BC1" w:rsidRPr="008D0ABC" w:rsidRDefault="000B0BC1">
      <w:pPr>
        <w:pStyle w:val="Prrafodelista"/>
        <w:widowControl w:val="0"/>
        <w:numPr>
          <w:ilvl w:val="0"/>
          <w:numId w:val="5"/>
        </w:numPr>
        <w:autoSpaceDE w:val="0"/>
        <w:autoSpaceDN w:val="0"/>
        <w:adjustRightInd w:val="0"/>
        <w:spacing w:line="360" w:lineRule="auto"/>
        <w:jc w:val="both"/>
        <w:rPr>
          <w:rFonts w:ascii="Palatino Linotype" w:eastAsiaTheme="minorHAnsi" w:hAnsi="Palatino Linotype" w:cs="Tahoma"/>
          <w:color w:val="000000" w:themeColor="text1"/>
          <w:szCs w:val="22"/>
          <w:lang w:eastAsia="en-US"/>
        </w:rPr>
      </w:pPr>
      <w:r w:rsidRPr="008D0ABC">
        <w:rPr>
          <w:rFonts w:ascii="Palatino Linotype" w:eastAsiaTheme="minorHAnsi" w:hAnsi="Palatino Linotype" w:cs="Tahoma"/>
          <w:color w:val="000000" w:themeColor="text1"/>
          <w:szCs w:val="22"/>
          <w:lang w:eastAsia="en-US"/>
        </w:rPr>
        <w:t xml:space="preserve">Lista </w:t>
      </w:r>
      <w:r w:rsidR="002605A0" w:rsidRPr="008D0ABC">
        <w:rPr>
          <w:rFonts w:ascii="Palatino Linotype" w:eastAsiaTheme="minorHAnsi" w:hAnsi="Palatino Linotype" w:cs="Tahoma"/>
          <w:color w:val="000000" w:themeColor="text1"/>
          <w:szCs w:val="22"/>
          <w:lang w:eastAsia="en-US"/>
        </w:rPr>
        <w:t>con el nombre</w:t>
      </w:r>
      <w:r w:rsidRPr="008D0ABC">
        <w:rPr>
          <w:rFonts w:ascii="Palatino Linotype" w:eastAsiaTheme="minorHAnsi" w:hAnsi="Palatino Linotype" w:cs="Tahoma"/>
          <w:color w:val="000000" w:themeColor="text1"/>
          <w:szCs w:val="22"/>
          <w:lang w:eastAsia="en-US"/>
        </w:rPr>
        <w:t xml:space="preserve"> de proveedores</w:t>
      </w:r>
      <w:r w:rsidR="002605A0" w:rsidRPr="008D0ABC">
        <w:rPr>
          <w:rFonts w:ascii="Palatino Linotype" w:eastAsiaTheme="minorHAnsi" w:hAnsi="Palatino Linotype" w:cs="Tahoma"/>
          <w:color w:val="000000" w:themeColor="text1"/>
          <w:szCs w:val="22"/>
          <w:lang w:eastAsia="en-US"/>
        </w:rPr>
        <w:t xml:space="preserve"> del Ayuntamiento</w:t>
      </w:r>
      <w:r w:rsidRPr="008D0ABC">
        <w:rPr>
          <w:rFonts w:ascii="Palatino Linotype" w:eastAsiaTheme="minorHAnsi" w:hAnsi="Palatino Linotype" w:cs="Tahoma"/>
          <w:color w:val="000000" w:themeColor="text1"/>
          <w:szCs w:val="22"/>
          <w:lang w:eastAsia="en-US"/>
        </w:rPr>
        <w:t>;</w:t>
      </w:r>
    </w:p>
    <w:p w14:paraId="37D76826" w14:textId="27503BAE" w:rsidR="000B0BC1" w:rsidRPr="008D0ABC" w:rsidRDefault="002605A0">
      <w:pPr>
        <w:pStyle w:val="Prrafodelista"/>
        <w:widowControl w:val="0"/>
        <w:numPr>
          <w:ilvl w:val="0"/>
          <w:numId w:val="5"/>
        </w:numPr>
        <w:autoSpaceDE w:val="0"/>
        <w:autoSpaceDN w:val="0"/>
        <w:adjustRightInd w:val="0"/>
        <w:spacing w:line="360" w:lineRule="auto"/>
        <w:jc w:val="both"/>
        <w:rPr>
          <w:rFonts w:ascii="Palatino Linotype" w:eastAsiaTheme="minorHAnsi" w:hAnsi="Palatino Linotype" w:cs="Tahoma"/>
          <w:color w:val="000000" w:themeColor="text1"/>
          <w:szCs w:val="22"/>
          <w:lang w:eastAsia="en-US"/>
        </w:rPr>
      </w:pPr>
      <w:r w:rsidRPr="008D0ABC">
        <w:rPr>
          <w:rFonts w:ascii="Palatino Linotype" w:eastAsiaTheme="minorHAnsi" w:hAnsi="Palatino Linotype" w:cs="Tahoma"/>
          <w:color w:val="000000" w:themeColor="text1"/>
          <w:szCs w:val="22"/>
          <w:lang w:eastAsia="en-US"/>
        </w:rPr>
        <w:t>Contratos de obra pública y servicios relacionados con las mismas</w:t>
      </w:r>
      <w:r w:rsidR="000B0BC1" w:rsidRPr="008D0ABC">
        <w:rPr>
          <w:rFonts w:ascii="Palatino Linotype" w:eastAsiaTheme="minorHAnsi" w:hAnsi="Palatino Linotype" w:cs="Tahoma"/>
          <w:color w:val="000000" w:themeColor="text1"/>
          <w:szCs w:val="22"/>
          <w:lang w:eastAsia="en-US"/>
        </w:rPr>
        <w:t>;</w:t>
      </w:r>
    </w:p>
    <w:p w14:paraId="4A4B44A3" w14:textId="65058B15" w:rsidR="000B0BC1" w:rsidRPr="008D0ABC" w:rsidRDefault="000B0BC1">
      <w:pPr>
        <w:pStyle w:val="Prrafodelista"/>
        <w:widowControl w:val="0"/>
        <w:numPr>
          <w:ilvl w:val="0"/>
          <w:numId w:val="5"/>
        </w:numPr>
        <w:autoSpaceDE w:val="0"/>
        <w:autoSpaceDN w:val="0"/>
        <w:adjustRightInd w:val="0"/>
        <w:spacing w:line="360" w:lineRule="auto"/>
        <w:jc w:val="both"/>
        <w:rPr>
          <w:rFonts w:ascii="Palatino Linotype" w:eastAsiaTheme="minorHAnsi" w:hAnsi="Palatino Linotype" w:cs="Tahoma"/>
          <w:color w:val="000000" w:themeColor="text1"/>
          <w:szCs w:val="22"/>
          <w:lang w:eastAsia="en-US"/>
        </w:rPr>
      </w:pPr>
      <w:r w:rsidRPr="008D0ABC">
        <w:rPr>
          <w:rFonts w:ascii="Palatino Linotype" w:eastAsiaTheme="minorHAnsi" w:hAnsi="Palatino Linotype" w:cs="Tahoma"/>
          <w:color w:val="000000" w:themeColor="text1"/>
          <w:szCs w:val="22"/>
          <w:lang w:eastAsia="en-US"/>
        </w:rPr>
        <w:t>Montos pagados por obra</w:t>
      </w:r>
      <w:r w:rsidR="002605A0" w:rsidRPr="008D0ABC">
        <w:rPr>
          <w:rFonts w:ascii="Palatino Linotype" w:eastAsiaTheme="minorHAnsi" w:hAnsi="Palatino Linotype" w:cs="Tahoma"/>
          <w:color w:val="000000" w:themeColor="text1"/>
          <w:szCs w:val="22"/>
          <w:lang w:eastAsia="en-US"/>
        </w:rPr>
        <w:t>, y</w:t>
      </w:r>
    </w:p>
    <w:p w14:paraId="64A5E5A0" w14:textId="04B99E1F" w:rsidR="000B0BC1" w:rsidRPr="008D0ABC" w:rsidRDefault="000B0BC1">
      <w:pPr>
        <w:pStyle w:val="Prrafodelista"/>
        <w:widowControl w:val="0"/>
        <w:numPr>
          <w:ilvl w:val="0"/>
          <w:numId w:val="5"/>
        </w:numPr>
        <w:autoSpaceDE w:val="0"/>
        <w:autoSpaceDN w:val="0"/>
        <w:adjustRightInd w:val="0"/>
        <w:spacing w:line="360" w:lineRule="auto"/>
        <w:jc w:val="both"/>
        <w:rPr>
          <w:rFonts w:ascii="Palatino Linotype" w:eastAsiaTheme="minorHAnsi" w:hAnsi="Palatino Linotype" w:cs="Tahoma"/>
          <w:color w:val="000000" w:themeColor="text1"/>
          <w:szCs w:val="22"/>
          <w:lang w:eastAsia="en-US"/>
        </w:rPr>
      </w:pPr>
      <w:r w:rsidRPr="008D0ABC">
        <w:rPr>
          <w:rFonts w:ascii="Palatino Linotype" w:eastAsiaTheme="minorHAnsi" w:hAnsi="Palatino Linotype" w:cs="Tahoma"/>
          <w:color w:val="000000" w:themeColor="text1"/>
          <w:szCs w:val="22"/>
          <w:lang w:eastAsia="en-US"/>
        </w:rPr>
        <w:t>Asignación de montos de acuerdo al programa anual de obras</w:t>
      </w:r>
      <w:r w:rsidR="002605A0" w:rsidRPr="008D0ABC">
        <w:rPr>
          <w:rFonts w:ascii="Palatino Linotype" w:eastAsiaTheme="minorHAnsi" w:hAnsi="Palatino Linotype" w:cs="Tahoma"/>
          <w:color w:val="000000" w:themeColor="text1"/>
          <w:szCs w:val="22"/>
          <w:lang w:eastAsia="en-US"/>
        </w:rPr>
        <w:t>.</w:t>
      </w:r>
    </w:p>
    <w:p w14:paraId="21066284" w14:textId="0CFE19EE" w:rsidR="00163A96" w:rsidRPr="008D0ABC" w:rsidRDefault="00163A96" w:rsidP="00163A96">
      <w:pPr>
        <w:widowControl w:val="0"/>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14:paraId="674553A3" w14:textId="7CA69DDB" w:rsidR="00163A96" w:rsidRPr="008D0ABC" w:rsidRDefault="00163A96" w:rsidP="00626FF5">
      <w:pPr>
        <w:autoSpaceDE w:val="0"/>
        <w:autoSpaceDN w:val="0"/>
        <w:adjustRightInd w:val="0"/>
        <w:spacing w:line="360" w:lineRule="auto"/>
        <w:jc w:val="both"/>
        <w:rPr>
          <w:rFonts w:ascii="Palatino Linotype" w:hAnsi="Palatino Linotype" w:cs="Tahoma"/>
          <w:color w:val="000000"/>
          <w:sz w:val="22"/>
          <w:szCs w:val="22"/>
        </w:rPr>
      </w:pPr>
      <w:r w:rsidRPr="008D0ABC">
        <w:rPr>
          <w:rFonts w:ascii="Palatino Linotype" w:eastAsia="Calibri" w:hAnsi="Palatino Linotype" w:cs="Tahoma"/>
          <w:color w:val="000000"/>
          <w:sz w:val="22"/>
          <w:szCs w:val="24"/>
          <w:lang w:val="es-ES" w:eastAsia="es-MX"/>
        </w:rPr>
        <w:t xml:space="preserve">En Respuesta, el Sujeto Obligado, a través de </w:t>
      </w:r>
      <w:r w:rsidR="004D566B" w:rsidRPr="008D0ABC">
        <w:rPr>
          <w:rFonts w:ascii="Palatino Linotype" w:eastAsia="Calibri" w:hAnsi="Palatino Linotype" w:cs="Tahoma"/>
          <w:color w:val="000000"/>
          <w:sz w:val="22"/>
          <w:szCs w:val="24"/>
          <w:lang w:val="es-ES" w:eastAsia="es-MX"/>
        </w:rPr>
        <w:t xml:space="preserve">la </w:t>
      </w:r>
      <w:r w:rsidR="00EB0591" w:rsidRPr="008D0ABC">
        <w:rPr>
          <w:rFonts w:ascii="Palatino Linotype" w:eastAsia="Calibri" w:hAnsi="Palatino Linotype" w:cs="Tahoma"/>
          <w:color w:val="000000"/>
          <w:sz w:val="22"/>
          <w:szCs w:val="24"/>
          <w:lang w:val="es-ES" w:eastAsia="es-MX"/>
        </w:rPr>
        <w:t>Subdirección de Recursos Materiales y la Dirección de Obras Públicas y Desarrollo Urbano</w:t>
      </w:r>
      <w:r w:rsidR="008F0B29" w:rsidRPr="008D0ABC">
        <w:rPr>
          <w:rFonts w:ascii="Palatino Linotype" w:eastAsia="Calibri" w:hAnsi="Palatino Linotype" w:cs="Tahoma"/>
          <w:color w:val="000000"/>
          <w:sz w:val="22"/>
          <w:szCs w:val="24"/>
          <w:lang w:val="es-ES" w:eastAsia="es-MX"/>
        </w:rPr>
        <w:t xml:space="preserve">, </w:t>
      </w:r>
      <w:r w:rsidR="00EB0591" w:rsidRPr="008D0ABC">
        <w:rPr>
          <w:rFonts w:ascii="Palatino Linotype" w:eastAsia="Calibri" w:hAnsi="Palatino Linotype" w:cs="Tahoma"/>
          <w:color w:val="000000"/>
          <w:sz w:val="22"/>
          <w:szCs w:val="24"/>
          <w:lang w:val="es-ES" w:eastAsia="es-MX"/>
        </w:rPr>
        <w:t>proporcionaron una relación de proveedores y cuatro contratos de obra celebrados del primero de enero al veintidós de junio de dos mil veintidós</w:t>
      </w:r>
      <w:r w:rsidR="00626FF5" w:rsidRPr="008D0ABC">
        <w:rPr>
          <w:rFonts w:ascii="Palatino Linotype" w:eastAsia="Calibri" w:hAnsi="Palatino Linotype" w:cs="Tahoma"/>
          <w:color w:val="000000"/>
          <w:sz w:val="22"/>
          <w:szCs w:val="24"/>
          <w:lang w:val="es-ES" w:eastAsia="es-MX"/>
        </w:rPr>
        <w:t>; a</w:t>
      </w:r>
      <w:r w:rsidR="00EB0591" w:rsidRPr="008D0ABC">
        <w:rPr>
          <w:rFonts w:ascii="Palatino Linotype" w:eastAsia="Calibri" w:hAnsi="Palatino Linotype" w:cs="Tahoma"/>
          <w:bCs/>
          <w:color w:val="000000"/>
          <w:sz w:val="22"/>
          <w:szCs w:val="22"/>
          <w:lang w:val="es-ES_tradnl" w:eastAsia="en-US"/>
        </w:rPr>
        <w:t>nte</w:t>
      </w:r>
      <w:r w:rsidRPr="008D0ABC">
        <w:rPr>
          <w:rFonts w:ascii="Palatino Linotype" w:eastAsia="Calibri" w:hAnsi="Palatino Linotype" w:cs="Tahoma"/>
          <w:bCs/>
          <w:color w:val="000000"/>
          <w:sz w:val="22"/>
          <w:szCs w:val="22"/>
          <w:lang w:val="es-ES_tradnl" w:eastAsia="en-US"/>
        </w:rPr>
        <w:t xml:space="preserve"> tal circunstancia, </w:t>
      </w:r>
      <w:r w:rsidR="002605A0" w:rsidRPr="008D0ABC">
        <w:rPr>
          <w:rFonts w:ascii="Palatino Linotype" w:eastAsia="Calibri" w:hAnsi="Palatino Linotype" w:cs="Tahoma"/>
          <w:bCs/>
          <w:color w:val="000000"/>
          <w:sz w:val="22"/>
          <w:szCs w:val="22"/>
          <w:lang w:val="es-ES_tradnl" w:eastAsia="en-US"/>
        </w:rPr>
        <w:t>el</w:t>
      </w:r>
      <w:r w:rsidRPr="008D0ABC">
        <w:rPr>
          <w:rFonts w:ascii="Palatino Linotype" w:eastAsia="Calibri" w:hAnsi="Palatino Linotype" w:cs="Tahoma"/>
          <w:bCs/>
          <w:color w:val="000000"/>
          <w:sz w:val="22"/>
          <w:szCs w:val="22"/>
          <w:lang w:val="es-ES_tradnl" w:eastAsia="en-US"/>
        </w:rPr>
        <w:t xml:space="preserve"> Solicitante señaló que el Sujeto Obligado</w:t>
      </w:r>
      <w:r w:rsidR="00EB0591" w:rsidRPr="008D0ABC">
        <w:rPr>
          <w:rFonts w:ascii="Palatino Linotype" w:eastAsia="Calibri" w:hAnsi="Palatino Linotype" w:cs="Tahoma"/>
          <w:bCs/>
          <w:color w:val="000000"/>
          <w:sz w:val="22"/>
          <w:szCs w:val="22"/>
          <w:lang w:val="es-ES_tradnl" w:eastAsia="en-US"/>
        </w:rPr>
        <w:t xml:space="preserve"> no </w:t>
      </w:r>
      <w:r w:rsidRPr="008D0ABC">
        <w:rPr>
          <w:rFonts w:ascii="Palatino Linotype" w:eastAsia="Calibri" w:hAnsi="Palatino Linotype" w:cs="Tahoma"/>
          <w:bCs/>
          <w:color w:val="000000"/>
          <w:sz w:val="22"/>
          <w:szCs w:val="22"/>
          <w:lang w:val="es-ES_tradnl" w:eastAsia="en-US"/>
        </w:rPr>
        <w:t xml:space="preserve"> había </w:t>
      </w:r>
      <w:r w:rsidR="00EB0591" w:rsidRPr="008D0ABC">
        <w:rPr>
          <w:rFonts w:ascii="Palatino Linotype" w:eastAsia="Calibri" w:hAnsi="Palatino Linotype" w:cs="Tahoma"/>
          <w:bCs/>
          <w:color w:val="000000"/>
          <w:sz w:val="22"/>
          <w:szCs w:val="22"/>
          <w:lang w:val="es-ES_tradnl" w:eastAsia="en-US"/>
        </w:rPr>
        <w:t>entregado la información completa</w:t>
      </w:r>
      <w:r w:rsidRPr="008D0ABC">
        <w:rPr>
          <w:rFonts w:ascii="Palatino Linotype" w:eastAsia="Calibri" w:hAnsi="Palatino Linotype" w:cs="Tahoma"/>
          <w:bCs/>
          <w:color w:val="000000"/>
          <w:sz w:val="22"/>
          <w:szCs w:val="22"/>
          <w:lang w:val="es-ES_tradnl" w:eastAsia="en-US"/>
        </w:rPr>
        <w:t>, lo cual actualiza la causal de procedencia establecida en el artículo 179, fracción</w:t>
      </w:r>
      <w:r w:rsidR="00EB0591" w:rsidRPr="008D0ABC">
        <w:rPr>
          <w:rFonts w:ascii="Palatino Linotype" w:eastAsia="Calibri" w:hAnsi="Palatino Linotype" w:cs="Tahoma"/>
          <w:bCs/>
          <w:color w:val="000000"/>
          <w:sz w:val="22"/>
          <w:szCs w:val="22"/>
          <w:lang w:val="es-ES_tradnl" w:eastAsia="en-US"/>
        </w:rPr>
        <w:t xml:space="preserve"> V</w:t>
      </w:r>
      <w:r w:rsidRPr="008D0ABC">
        <w:rPr>
          <w:rFonts w:ascii="Palatino Linotype" w:eastAsia="Calibri" w:hAnsi="Palatino Linotype" w:cs="Tahoma"/>
          <w:bCs/>
          <w:color w:val="000000"/>
          <w:sz w:val="22"/>
          <w:szCs w:val="22"/>
          <w:lang w:val="es-ES_tradnl" w:eastAsia="en-US"/>
        </w:rPr>
        <w:t>, de la Ley de Transparencia y Acceso a la Información Pública del Estado de México y Municipios.</w:t>
      </w:r>
      <w:r w:rsidRPr="008D0ABC">
        <w:rPr>
          <w:rFonts w:ascii="Palatino Linotype" w:hAnsi="Palatino Linotype" w:cs="Tahoma"/>
          <w:color w:val="000000"/>
          <w:sz w:val="22"/>
          <w:szCs w:val="22"/>
        </w:rPr>
        <w:t xml:space="preserve"> </w:t>
      </w:r>
    </w:p>
    <w:p w14:paraId="69A69431" w14:textId="77777777" w:rsidR="00163A96" w:rsidRPr="008D0ABC" w:rsidRDefault="00163A96" w:rsidP="00163A96">
      <w:pPr>
        <w:spacing w:line="360" w:lineRule="auto"/>
        <w:jc w:val="both"/>
        <w:rPr>
          <w:rFonts w:ascii="Palatino Linotype" w:hAnsi="Palatino Linotype" w:cs="Tahoma"/>
          <w:iCs/>
          <w:sz w:val="22"/>
          <w:szCs w:val="22"/>
          <w:lang w:val="es-ES"/>
        </w:rPr>
      </w:pPr>
    </w:p>
    <w:p w14:paraId="29714FD1" w14:textId="53060F77" w:rsidR="00905C0C" w:rsidRPr="008D0ABC" w:rsidRDefault="00905C0C" w:rsidP="00905C0C">
      <w:pPr>
        <w:autoSpaceDE w:val="0"/>
        <w:autoSpaceDN w:val="0"/>
        <w:adjustRightInd w:val="0"/>
        <w:spacing w:line="360" w:lineRule="auto"/>
        <w:jc w:val="both"/>
        <w:rPr>
          <w:rFonts w:ascii="Palatino Linotype" w:hAnsi="Palatino Linotype" w:cs="Tahoma"/>
          <w:bCs/>
          <w:iCs/>
          <w:color w:val="000000"/>
          <w:sz w:val="22"/>
          <w:szCs w:val="22"/>
        </w:rPr>
      </w:pPr>
      <w:r w:rsidRPr="008D0ABC">
        <w:rPr>
          <w:rFonts w:ascii="Palatino Linotype" w:eastAsia="Calibri" w:hAnsi="Palatino Linotype" w:cs="Tahoma"/>
          <w:color w:val="000000"/>
          <w:sz w:val="22"/>
          <w:szCs w:val="24"/>
          <w:lang w:val="es-ES" w:eastAsia="es-MX"/>
        </w:rPr>
        <w:t>A</w:t>
      </w:r>
      <w:r w:rsidRPr="008D0ABC">
        <w:rPr>
          <w:rFonts w:ascii="Palatino Linotype" w:hAnsi="Palatino Linotype" w:cs="Tahoma"/>
          <w:bCs/>
          <w:iCs/>
          <w:color w:val="000000"/>
          <w:sz w:val="22"/>
          <w:szCs w:val="22"/>
        </w:rPr>
        <w:t xml:space="preserve">sí las cosas, una vez interpuesto y notificado el Recurso de Revisión a las partes, el Sujeto Obligado, proporcionó </w:t>
      </w:r>
      <w:r w:rsidR="008C026B" w:rsidRPr="008D0ABC">
        <w:rPr>
          <w:rFonts w:ascii="Palatino Linotype" w:hAnsi="Palatino Linotype" w:cs="Tahoma"/>
          <w:bCs/>
          <w:iCs/>
          <w:color w:val="000000"/>
          <w:sz w:val="22"/>
          <w:szCs w:val="22"/>
        </w:rPr>
        <w:t>la relación de proveedores, los contratos asignados para obra</w:t>
      </w:r>
      <w:r w:rsidR="002605A0" w:rsidRPr="008D0ABC">
        <w:rPr>
          <w:rFonts w:ascii="Palatino Linotype" w:hAnsi="Palatino Linotype" w:cs="Tahoma"/>
          <w:bCs/>
          <w:iCs/>
          <w:color w:val="000000"/>
          <w:sz w:val="22"/>
          <w:szCs w:val="22"/>
        </w:rPr>
        <w:t xml:space="preserve"> </w:t>
      </w:r>
      <w:r w:rsidR="008C026B" w:rsidRPr="008D0ABC">
        <w:rPr>
          <w:rFonts w:ascii="Palatino Linotype" w:hAnsi="Palatino Linotype" w:cs="Tahoma"/>
          <w:bCs/>
          <w:iCs/>
          <w:color w:val="000000"/>
          <w:sz w:val="22"/>
          <w:szCs w:val="22"/>
        </w:rPr>
        <w:t xml:space="preserve">y el Acta del Consejo de Participación Ciudadana por medio del cual se autorizaron las obras. </w:t>
      </w:r>
    </w:p>
    <w:p w14:paraId="7B0FDF96" w14:textId="77777777" w:rsidR="00905C0C" w:rsidRPr="008D0ABC" w:rsidRDefault="00905C0C" w:rsidP="00905C0C">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694A8394" w14:textId="5789CB38" w:rsidR="00163A96" w:rsidRPr="008D0ABC" w:rsidRDefault="00163A96" w:rsidP="00163A96">
      <w:pPr>
        <w:spacing w:line="360" w:lineRule="auto"/>
        <w:jc w:val="both"/>
        <w:rPr>
          <w:rFonts w:ascii="Palatino Linotype" w:hAnsi="Palatino Linotype" w:cs="Tahoma"/>
          <w:iCs/>
          <w:sz w:val="22"/>
          <w:szCs w:val="22"/>
          <w:lang w:val="es-ES"/>
        </w:rPr>
      </w:pPr>
      <w:r w:rsidRPr="008D0ABC">
        <w:rPr>
          <w:rFonts w:ascii="Palatino Linotype" w:hAnsi="Palatino Linotype" w:cs="Tahoma"/>
          <w:iCs/>
          <w:sz w:val="22"/>
          <w:szCs w:val="22"/>
          <w:lang w:val="es-ES"/>
        </w:rPr>
        <w:t xml:space="preserve">Lo anterior, se desprende de las documentales que obran en el expediente de referencia, materia de la presente resolución, consistentes en la solicitud de acceso a la información; la respuesta del </w:t>
      </w:r>
      <w:r w:rsidRPr="008D0ABC">
        <w:rPr>
          <w:rFonts w:ascii="Palatino Linotype" w:eastAsia="Calibri" w:hAnsi="Palatino Linotype" w:cs="Tahoma"/>
          <w:bCs/>
          <w:sz w:val="22"/>
          <w:szCs w:val="22"/>
          <w:lang w:eastAsia="en-US"/>
        </w:rPr>
        <w:t xml:space="preserve">Ayuntamiento de </w:t>
      </w:r>
      <w:r w:rsidR="008C026B" w:rsidRPr="008D0ABC">
        <w:rPr>
          <w:rFonts w:ascii="Palatino Linotype" w:eastAsia="Calibri" w:hAnsi="Palatino Linotype" w:cs="Tahoma"/>
          <w:bCs/>
          <w:sz w:val="22"/>
          <w:szCs w:val="22"/>
          <w:lang w:eastAsia="en-US"/>
        </w:rPr>
        <w:t>Aculco</w:t>
      </w:r>
      <w:r w:rsidRPr="008D0ABC">
        <w:rPr>
          <w:rFonts w:ascii="Palatino Linotype" w:eastAsia="Calibri" w:hAnsi="Palatino Linotype" w:cs="Tahoma"/>
          <w:sz w:val="22"/>
          <w:szCs w:val="22"/>
          <w:lang w:eastAsia="en-US"/>
        </w:rPr>
        <w:t>; el escrito recursal</w:t>
      </w:r>
      <w:r w:rsidRPr="008D0ABC">
        <w:rPr>
          <w:rFonts w:ascii="Palatino Linotype" w:hAnsi="Palatino Linotype" w:cs="Tahoma"/>
          <w:iCs/>
          <w:sz w:val="22"/>
          <w:szCs w:val="22"/>
          <w:lang w:val="es-ES"/>
        </w:rPr>
        <w:t xml:space="preserve">, y el Informe con Justificación del Sujeto Obligado, instrumentales que se toman en cuenta a efecto de resolver el presente medio de impugnación, conforme a lo dispuesto por el artículo 185, fracción IV, de la Ley de Transparencia y Acceso a la Información Pública del Estado de México y Municipios. </w:t>
      </w:r>
    </w:p>
    <w:p w14:paraId="27896F17" w14:textId="77777777" w:rsidR="00630AC8" w:rsidRPr="008D0ABC" w:rsidRDefault="00630AC8" w:rsidP="00C8219E">
      <w:pPr>
        <w:spacing w:line="360" w:lineRule="auto"/>
        <w:jc w:val="both"/>
        <w:rPr>
          <w:rFonts w:ascii="Palatino Linotype" w:hAnsi="Palatino Linotype" w:cs="Tahoma"/>
          <w:b/>
          <w:color w:val="0D0D0D" w:themeColor="text1" w:themeTint="F2"/>
          <w:sz w:val="22"/>
          <w:szCs w:val="22"/>
          <w:lang w:val="es-ES"/>
        </w:rPr>
      </w:pPr>
    </w:p>
    <w:p w14:paraId="4FEE31C8" w14:textId="17565F83" w:rsidR="00C8219E" w:rsidRPr="008D0ABC" w:rsidRDefault="00C8219E" w:rsidP="00C8219E">
      <w:pPr>
        <w:spacing w:line="360" w:lineRule="auto"/>
        <w:jc w:val="both"/>
        <w:rPr>
          <w:rFonts w:ascii="Palatino Linotype" w:hAnsi="Palatino Linotype" w:cs="Tahoma"/>
          <w:b/>
          <w:color w:val="0D0D0D" w:themeColor="text1" w:themeTint="F2"/>
          <w:sz w:val="22"/>
          <w:szCs w:val="22"/>
        </w:rPr>
      </w:pPr>
      <w:r w:rsidRPr="008D0ABC">
        <w:rPr>
          <w:rFonts w:ascii="Palatino Linotype" w:hAnsi="Palatino Linotype" w:cs="Tahoma"/>
          <w:b/>
          <w:color w:val="0D0D0D" w:themeColor="text1" w:themeTint="F2"/>
          <w:sz w:val="22"/>
          <w:szCs w:val="22"/>
          <w:lang w:val="es-ES"/>
        </w:rPr>
        <w:t xml:space="preserve">CUARTO. </w:t>
      </w:r>
      <w:r w:rsidRPr="008D0ABC">
        <w:rPr>
          <w:rFonts w:ascii="Palatino Linotype" w:hAnsi="Palatino Linotype" w:cs="Tahoma"/>
          <w:b/>
          <w:color w:val="0D0D0D" w:themeColor="text1" w:themeTint="F2"/>
          <w:sz w:val="22"/>
          <w:szCs w:val="22"/>
        </w:rPr>
        <w:t>Marco normativo aplicable en materia de transparencia y acceso a la información pública.</w:t>
      </w:r>
    </w:p>
    <w:p w14:paraId="7FF892C1" w14:textId="77777777" w:rsidR="00C8219E" w:rsidRPr="008D0ABC" w:rsidRDefault="00C8219E" w:rsidP="00C8219E">
      <w:pPr>
        <w:spacing w:line="360" w:lineRule="auto"/>
        <w:jc w:val="both"/>
        <w:rPr>
          <w:rFonts w:ascii="Palatino Linotype" w:hAnsi="Palatino Linotype" w:cs="Tahoma"/>
          <w:b/>
          <w:color w:val="0D0D0D" w:themeColor="text1" w:themeTint="F2"/>
          <w:sz w:val="22"/>
          <w:szCs w:val="22"/>
        </w:rPr>
      </w:pPr>
    </w:p>
    <w:p w14:paraId="0131C9EB" w14:textId="77777777" w:rsidR="005D5898" w:rsidRPr="008D0ABC" w:rsidRDefault="005D5898" w:rsidP="005D5898">
      <w:pPr>
        <w:widowControl w:val="0"/>
        <w:spacing w:line="360" w:lineRule="auto"/>
        <w:jc w:val="both"/>
        <w:rPr>
          <w:rFonts w:ascii="Palatino Linotype" w:hAnsi="Palatino Linotype" w:cs="Tahoma"/>
          <w:bCs/>
          <w:iCs/>
          <w:sz w:val="22"/>
          <w:szCs w:val="22"/>
        </w:rPr>
      </w:pPr>
      <w:r w:rsidRPr="008D0ABC">
        <w:rPr>
          <w:rFonts w:ascii="Palatino Linotype" w:hAnsi="Palatino Linotype" w:cs="Tahoma"/>
          <w:bCs/>
          <w:i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E1BDEFC" w14:textId="77777777" w:rsidR="005D5898" w:rsidRPr="008D0ABC" w:rsidRDefault="005D5898" w:rsidP="005D5898">
      <w:pPr>
        <w:spacing w:line="360" w:lineRule="auto"/>
        <w:jc w:val="both"/>
        <w:rPr>
          <w:rFonts w:ascii="Palatino Linotype" w:hAnsi="Palatino Linotype" w:cs="Tahoma"/>
          <w:bCs/>
          <w:iCs/>
          <w:sz w:val="22"/>
          <w:szCs w:val="22"/>
        </w:rPr>
      </w:pPr>
    </w:p>
    <w:p w14:paraId="3E46669B" w14:textId="77777777" w:rsidR="005D5898" w:rsidRPr="008D0ABC" w:rsidRDefault="005D5898" w:rsidP="005D5898">
      <w:pPr>
        <w:spacing w:line="360" w:lineRule="auto"/>
        <w:jc w:val="both"/>
        <w:rPr>
          <w:rFonts w:ascii="Palatino Linotype" w:hAnsi="Palatino Linotype" w:cs="Tahoma"/>
          <w:bCs/>
          <w:iCs/>
          <w:sz w:val="22"/>
          <w:szCs w:val="22"/>
        </w:rPr>
      </w:pPr>
      <w:r w:rsidRPr="008D0ABC">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DDB0D78" w14:textId="77777777" w:rsidR="005D5898" w:rsidRPr="008D0ABC" w:rsidRDefault="005D5898" w:rsidP="005D5898">
      <w:pPr>
        <w:spacing w:line="360" w:lineRule="auto"/>
        <w:jc w:val="both"/>
        <w:rPr>
          <w:rFonts w:ascii="Palatino Linotype" w:hAnsi="Palatino Linotype" w:cs="Tahoma"/>
          <w:bCs/>
          <w:iCs/>
          <w:sz w:val="22"/>
          <w:szCs w:val="22"/>
        </w:rPr>
      </w:pPr>
    </w:p>
    <w:p w14:paraId="47A0812C" w14:textId="77777777" w:rsidR="005D5898" w:rsidRPr="008D0ABC" w:rsidRDefault="005D5898" w:rsidP="005D5898">
      <w:pPr>
        <w:spacing w:line="360" w:lineRule="auto"/>
        <w:jc w:val="both"/>
        <w:rPr>
          <w:rFonts w:ascii="Palatino Linotype" w:hAnsi="Palatino Linotype" w:cs="Tahoma"/>
          <w:bCs/>
          <w:iCs/>
          <w:sz w:val="22"/>
          <w:szCs w:val="22"/>
        </w:rPr>
      </w:pPr>
      <w:r w:rsidRPr="008D0ABC">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38840E2" w14:textId="77777777" w:rsidR="005D5898" w:rsidRPr="008D0ABC" w:rsidRDefault="005D5898" w:rsidP="005D5898">
      <w:pPr>
        <w:spacing w:line="360" w:lineRule="auto"/>
        <w:jc w:val="both"/>
        <w:rPr>
          <w:rFonts w:ascii="Palatino Linotype" w:hAnsi="Palatino Linotype" w:cs="Tahoma"/>
          <w:bCs/>
          <w:iCs/>
          <w:sz w:val="22"/>
          <w:szCs w:val="22"/>
        </w:rPr>
      </w:pPr>
    </w:p>
    <w:p w14:paraId="4D2E1E61" w14:textId="77777777" w:rsidR="005D5898" w:rsidRPr="008D0ABC" w:rsidRDefault="005D5898" w:rsidP="005D5898">
      <w:pPr>
        <w:spacing w:line="360" w:lineRule="auto"/>
        <w:jc w:val="both"/>
        <w:rPr>
          <w:rFonts w:ascii="Palatino Linotype" w:hAnsi="Palatino Linotype" w:cs="Tahoma"/>
          <w:bCs/>
          <w:iCs/>
          <w:sz w:val="22"/>
          <w:szCs w:val="22"/>
        </w:rPr>
      </w:pPr>
      <w:r w:rsidRPr="008D0ABC">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14:paraId="7D5047E0" w14:textId="77777777" w:rsidR="005D5898" w:rsidRPr="008D0ABC" w:rsidRDefault="005D5898" w:rsidP="005D5898">
      <w:pPr>
        <w:spacing w:line="360" w:lineRule="auto"/>
        <w:jc w:val="both"/>
        <w:rPr>
          <w:rFonts w:ascii="Palatino Linotype" w:hAnsi="Palatino Linotype" w:cs="Tahoma"/>
          <w:bCs/>
          <w:iCs/>
          <w:sz w:val="22"/>
          <w:szCs w:val="22"/>
        </w:rPr>
      </w:pPr>
    </w:p>
    <w:p w14:paraId="0BE25803" w14:textId="77777777" w:rsidR="005D5898" w:rsidRPr="008D0ABC" w:rsidRDefault="005D5898" w:rsidP="005D5898">
      <w:pPr>
        <w:spacing w:line="360" w:lineRule="auto"/>
        <w:jc w:val="both"/>
        <w:rPr>
          <w:rFonts w:ascii="Palatino Linotype" w:hAnsi="Palatino Linotype" w:cs="Tahoma"/>
          <w:bCs/>
          <w:iCs/>
          <w:sz w:val="22"/>
          <w:szCs w:val="22"/>
        </w:rPr>
      </w:pPr>
      <w:r w:rsidRPr="008D0ABC">
        <w:rPr>
          <w:rFonts w:ascii="Palatino Linotype" w:hAnsi="Palatino Linotype" w:cs="Tahoma"/>
          <w:bCs/>
          <w:iCs/>
          <w:sz w:val="22"/>
          <w:szCs w:val="22"/>
        </w:rPr>
        <w:t>El artículo 12, que, quienes generen, recopilen, administren, manejen, procesen, archiven o conserven información pública serán responsables de la misma.</w:t>
      </w:r>
    </w:p>
    <w:p w14:paraId="0557137B" w14:textId="77777777" w:rsidR="005D5898" w:rsidRPr="008D0ABC" w:rsidRDefault="005D5898" w:rsidP="005D5898">
      <w:pPr>
        <w:spacing w:line="360" w:lineRule="auto"/>
        <w:jc w:val="both"/>
        <w:rPr>
          <w:rFonts w:ascii="Palatino Linotype" w:hAnsi="Palatino Linotype" w:cs="Tahoma"/>
          <w:bCs/>
          <w:iCs/>
          <w:sz w:val="22"/>
          <w:szCs w:val="22"/>
        </w:rPr>
      </w:pPr>
    </w:p>
    <w:p w14:paraId="7893057C" w14:textId="77777777" w:rsidR="005D5898" w:rsidRPr="008D0ABC" w:rsidRDefault="005D5898" w:rsidP="005D5898">
      <w:pPr>
        <w:spacing w:line="360" w:lineRule="auto"/>
        <w:jc w:val="both"/>
        <w:rPr>
          <w:rFonts w:ascii="Palatino Linotype" w:hAnsi="Palatino Linotype" w:cs="Tahoma"/>
          <w:bCs/>
          <w:iCs/>
          <w:sz w:val="22"/>
          <w:szCs w:val="22"/>
        </w:rPr>
      </w:pPr>
      <w:r w:rsidRPr="008D0ABC">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B4661E7" w14:textId="77777777" w:rsidR="005D5898" w:rsidRPr="008D0ABC" w:rsidRDefault="005D5898" w:rsidP="005D5898">
      <w:pPr>
        <w:spacing w:line="360" w:lineRule="auto"/>
        <w:jc w:val="both"/>
        <w:rPr>
          <w:rFonts w:ascii="Palatino Linotype" w:hAnsi="Palatino Linotype" w:cs="Tahoma"/>
          <w:bCs/>
          <w:iCs/>
          <w:sz w:val="22"/>
          <w:szCs w:val="22"/>
        </w:rPr>
      </w:pPr>
    </w:p>
    <w:p w14:paraId="1626BE80" w14:textId="77777777" w:rsidR="005D5898" w:rsidRPr="008D0ABC" w:rsidRDefault="005D5898" w:rsidP="005D5898">
      <w:pPr>
        <w:spacing w:line="360" w:lineRule="auto"/>
        <w:jc w:val="both"/>
        <w:rPr>
          <w:rFonts w:ascii="Palatino Linotype" w:hAnsi="Palatino Linotype" w:cs="Tahoma"/>
          <w:bCs/>
          <w:iCs/>
          <w:sz w:val="22"/>
          <w:szCs w:val="22"/>
        </w:rPr>
      </w:pPr>
      <w:r w:rsidRPr="008D0ABC">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96577A6" w14:textId="627E5EFB" w:rsidR="00C8219E" w:rsidRPr="008D0ABC" w:rsidRDefault="00C8219E" w:rsidP="00AB4D0E">
      <w:pPr>
        <w:spacing w:line="360" w:lineRule="auto"/>
        <w:jc w:val="both"/>
        <w:rPr>
          <w:rFonts w:ascii="Palatino Linotype" w:hAnsi="Palatino Linotype" w:cs="Tahoma"/>
          <w:bCs/>
          <w:color w:val="0D0D0D" w:themeColor="text1" w:themeTint="F2"/>
          <w:sz w:val="22"/>
          <w:szCs w:val="22"/>
        </w:rPr>
      </w:pPr>
    </w:p>
    <w:p w14:paraId="055956E1" w14:textId="52EF1BA6" w:rsidR="008C026B" w:rsidRPr="008D0ABC" w:rsidRDefault="008C026B" w:rsidP="008C026B">
      <w:pPr>
        <w:spacing w:line="360" w:lineRule="auto"/>
        <w:jc w:val="both"/>
        <w:rPr>
          <w:rFonts w:ascii="Palatino Linotype" w:hAnsi="Palatino Linotype" w:cs="Tahoma"/>
          <w:bCs/>
          <w:color w:val="0D0D0D" w:themeColor="text1" w:themeTint="F2"/>
          <w:sz w:val="22"/>
          <w:szCs w:val="22"/>
        </w:rPr>
      </w:pPr>
      <w:r w:rsidRPr="008D0ABC">
        <w:rPr>
          <w:rFonts w:ascii="Palatino Linotype" w:hAnsi="Palatino Linotype" w:cs="Tahoma"/>
          <w:bCs/>
          <w:color w:val="0D0D0D" w:themeColor="text1" w:themeTint="F2"/>
          <w:sz w:val="22"/>
          <w:szCs w:val="22"/>
        </w:rPr>
        <w:t>El artículo 92, enlista la información que corresponde a las Obligaciones de Transparencia  Comunes de las que destaca la contenida en la fracción XXIX, concerniente a la información  sobre los procesos y resultados sobre procedimientos de contratación, que incluya la versión  pública del expediente respectivo y de los contratos celebrados</w:t>
      </w:r>
    </w:p>
    <w:p w14:paraId="7DF464B3" w14:textId="77777777" w:rsidR="008C026B" w:rsidRPr="008D0ABC" w:rsidRDefault="008C026B" w:rsidP="008C026B">
      <w:pPr>
        <w:spacing w:line="360" w:lineRule="auto"/>
        <w:jc w:val="both"/>
        <w:rPr>
          <w:rFonts w:ascii="Palatino Linotype" w:hAnsi="Palatino Linotype" w:cs="Tahoma"/>
          <w:bCs/>
          <w:color w:val="0D0D0D" w:themeColor="text1" w:themeTint="F2"/>
          <w:sz w:val="22"/>
          <w:szCs w:val="22"/>
        </w:rPr>
      </w:pPr>
    </w:p>
    <w:p w14:paraId="629F4678" w14:textId="5B71EEC7" w:rsidR="00C8219E" w:rsidRPr="008D0ABC" w:rsidRDefault="00C8219E" w:rsidP="00C8219E">
      <w:pPr>
        <w:spacing w:line="360" w:lineRule="auto"/>
        <w:jc w:val="both"/>
        <w:rPr>
          <w:rFonts w:ascii="Palatino Linotype" w:hAnsi="Palatino Linotype" w:cs="Tahoma"/>
          <w:b/>
          <w:color w:val="0D0D0D" w:themeColor="text1" w:themeTint="F2"/>
          <w:sz w:val="22"/>
          <w:szCs w:val="22"/>
          <w:lang w:val="es-ES"/>
        </w:rPr>
      </w:pPr>
      <w:r w:rsidRPr="008D0ABC">
        <w:rPr>
          <w:rFonts w:ascii="Palatino Linotype" w:hAnsi="Palatino Linotype" w:cs="Tahoma"/>
          <w:b/>
          <w:color w:val="0D0D0D" w:themeColor="text1" w:themeTint="F2"/>
          <w:sz w:val="22"/>
          <w:szCs w:val="22"/>
          <w:lang w:val="es-ES"/>
        </w:rPr>
        <w:t>QUINTO. Estudio de Fondo.</w:t>
      </w:r>
    </w:p>
    <w:p w14:paraId="31D61DA9" w14:textId="77777777" w:rsidR="00C86DC9" w:rsidRPr="008D0ABC" w:rsidRDefault="00C86DC9" w:rsidP="00C8219E">
      <w:pPr>
        <w:spacing w:line="360" w:lineRule="auto"/>
        <w:jc w:val="both"/>
        <w:rPr>
          <w:rFonts w:ascii="Palatino Linotype" w:hAnsi="Palatino Linotype" w:cs="Tahoma"/>
          <w:b/>
          <w:color w:val="0D0D0D" w:themeColor="text1" w:themeTint="F2"/>
          <w:sz w:val="22"/>
          <w:szCs w:val="22"/>
          <w:lang w:val="es-ES"/>
        </w:rPr>
      </w:pPr>
    </w:p>
    <w:p w14:paraId="0AFF154D" w14:textId="77777777" w:rsidR="00A2168A" w:rsidRPr="008D0ABC" w:rsidRDefault="005B0914" w:rsidP="00A2168A">
      <w:pPr>
        <w:spacing w:line="360" w:lineRule="auto"/>
        <w:jc w:val="both"/>
        <w:rPr>
          <w:rFonts w:ascii="Palatino Linotype" w:hAnsi="Palatino Linotype" w:cs="Tahoma"/>
          <w:bCs/>
          <w:color w:val="0D0D0D" w:themeColor="text1" w:themeTint="F2"/>
          <w:sz w:val="22"/>
          <w:szCs w:val="22"/>
        </w:rPr>
      </w:pPr>
      <w:r w:rsidRPr="008D0ABC">
        <w:rPr>
          <w:rFonts w:ascii="Palatino Linotype" w:hAnsi="Palatino Linotype" w:cs="Tahoma"/>
          <w:bCs/>
          <w:color w:val="0D0D0D" w:themeColor="text1" w:themeTint="F2"/>
          <w:sz w:val="22"/>
          <w:szCs w:val="22"/>
        </w:rPr>
        <w:t xml:space="preserve">Una vez establecido lo anterior, se procede analizar el agravio hecho valer por el ahora Recurrente, </w:t>
      </w:r>
      <w:r w:rsidR="00A2168A" w:rsidRPr="008D0ABC">
        <w:rPr>
          <w:rFonts w:ascii="Palatino Linotype" w:hAnsi="Palatino Linotype" w:cs="Tahoma"/>
          <w:bCs/>
          <w:color w:val="0D0D0D" w:themeColor="text1" w:themeTint="F2"/>
          <w:sz w:val="22"/>
          <w:szCs w:val="22"/>
        </w:rPr>
        <w:t xml:space="preserve">concerniente a la entrega de información incompleta, para lo cual, en principio es </w:t>
      </w:r>
    </w:p>
    <w:p w14:paraId="1852E2E0" w14:textId="1071169A" w:rsidR="000A0006" w:rsidRPr="008D0ABC" w:rsidRDefault="00A2168A" w:rsidP="00A2168A">
      <w:pPr>
        <w:spacing w:line="360" w:lineRule="auto"/>
        <w:jc w:val="both"/>
        <w:rPr>
          <w:rFonts w:ascii="Palatino Linotype" w:hAnsi="Palatino Linotype" w:cs="Tahoma"/>
          <w:bCs/>
          <w:color w:val="0D0D0D" w:themeColor="text1" w:themeTint="F2"/>
          <w:sz w:val="22"/>
          <w:szCs w:val="22"/>
        </w:rPr>
      </w:pPr>
      <w:r w:rsidRPr="008D0ABC">
        <w:rPr>
          <w:rFonts w:ascii="Palatino Linotype" w:hAnsi="Palatino Linotype" w:cs="Tahoma"/>
          <w:bCs/>
          <w:color w:val="0D0D0D" w:themeColor="text1" w:themeTint="F2"/>
          <w:sz w:val="22"/>
          <w:szCs w:val="22"/>
        </w:rPr>
        <w:t xml:space="preserve">necesario contextualizar la solicitud de información, relacionada con la lista de proveedores y las obras públicas  realizadas por el Ayuntamiento, del primero de enero al veintidós de junio de dos mil veintidós. </w:t>
      </w:r>
    </w:p>
    <w:p w14:paraId="34E00AB2" w14:textId="18E0AFA8" w:rsidR="00C86DC9" w:rsidRPr="008D0ABC" w:rsidRDefault="00C86DC9" w:rsidP="00C8219E">
      <w:pPr>
        <w:spacing w:line="360" w:lineRule="auto"/>
        <w:jc w:val="both"/>
        <w:rPr>
          <w:rFonts w:ascii="Palatino Linotype" w:hAnsi="Palatino Linotype" w:cs="Tahoma"/>
          <w:b/>
          <w:color w:val="0D0D0D" w:themeColor="text1" w:themeTint="F2"/>
          <w:sz w:val="22"/>
          <w:szCs w:val="22"/>
          <w:lang w:val="es-ES"/>
        </w:rPr>
      </w:pPr>
    </w:p>
    <w:p w14:paraId="61FC1563" w14:textId="1E58CFFA" w:rsidR="00AB18D7" w:rsidRPr="008D0ABC" w:rsidRDefault="00AB18D7" w:rsidP="00AB18D7">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Ahora bien, por lo que hace a lo requerido,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Además, conforme a los artículos 26 y 27 de dicho ordenamiento jurídico, las adquisiciones, arrendamientos y servicios, se adjudicarán a través de procedimientos de </w:t>
      </w:r>
      <w:r w:rsidRPr="008D0ABC">
        <w:rPr>
          <w:rFonts w:ascii="Palatino Linotype" w:eastAsia="Calibri" w:hAnsi="Palatino Linotype" w:cs="Tahoma"/>
          <w:b/>
          <w:bCs/>
          <w:color w:val="000000" w:themeColor="text1"/>
          <w:sz w:val="22"/>
          <w:szCs w:val="22"/>
          <w:lang w:eastAsia="en-US"/>
        </w:rPr>
        <w:t>licitación pública, invitación restringida y adjudicación directa.</w:t>
      </w:r>
    </w:p>
    <w:p w14:paraId="1ECD53F4" w14:textId="77777777" w:rsidR="00AB18D7" w:rsidRPr="008D0ABC" w:rsidRDefault="00AB18D7" w:rsidP="00AB18D7">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
          <w:bCs/>
          <w:color w:val="000000" w:themeColor="text1"/>
          <w:sz w:val="22"/>
          <w:szCs w:val="22"/>
          <w:lang w:eastAsia="en-US"/>
        </w:rPr>
        <w:t> </w:t>
      </w:r>
    </w:p>
    <w:p w14:paraId="461A7B13" w14:textId="77777777" w:rsidR="00AB18D7" w:rsidRPr="008D0ABC" w:rsidRDefault="00AB18D7" w:rsidP="00AB18D7">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Ayuntamiento y la persona a la cual haya ganado el procedimiento respectivo, dentro de los diez días hábiles siguientes a la notificación del fallo.</w:t>
      </w:r>
    </w:p>
    <w:p w14:paraId="00F07407" w14:textId="77777777" w:rsidR="00AB18D7" w:rsidRPr="008D0ABC" w:rsidRDefault="00AB18D7" w:rsidP="00AB18D7">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
          <w:bCs/>
          <w:color w:val="000000" w:themeColor="text1"/>
          <w:sz w:val="22"/>
          <w:szCs w:val="22"/>
          <w:lang w:eastAsia="en-US"/>
        </w:rPr>
        <w:t> </w:t>
      </w:r>
    </w:p>
    <w:p w14:paraId="239FE824" w14:textId="723EC76E" w:rsidR="00AB18D7" w:rsidRPr="008D0ABC" w:rsidRDefault="00AB18D7" w:rsidP="00AB18D7">
      <w:pPr>
        <w:spacing w:line="360" w:lineRule="auto"/>
        <w:jc w:val="both"/>
        <w:rPr>
          <w:rFonts w:ascii="Palatino Linotype" w:eastAsia="Calibri" w:hAnsi="Palatino Linotype" w:cs="Tahoma"/>
          <w:bCs/>
          <w:color w:val="000000" w:themeColor="text1"/>
          <w:sz w:val="22"/>
          <w:szCs w:val="22"/>
          <w:lang w:eastAsia="en-US"/>
        </w:rPr>
      </w:pPr>
      <w:r w:rsidRPr="008D0ABC">
        <w:rPr>
          <w:rFonts w:ascii="Palatino Linotype" w:eastAsia="Calibri" w:hAnsi="Palatino Linotype" w:cs="Tahoma"/>
          <w:bCs/>
          <w:color w:val="000000" w:themeColor="text1"/>
          <w:sz w:val="22"/>
          <w:szCs w:val="22"/>
          <w:lang w:eastAsia="en-US"/>
        </w:rPr>
        <w:t xml:space="preserve">En ese sentido, el artículo 2°, fracción XXII del Reglamento de la Ley de Contratación Pública del Estado de México y Municipios, señala que un proveedor es la persona que celebra contratos de adquisición de bienes, entre otros con los Ayuntamientos. Además, el artículo 92, fracción XXV, establece como obligación de transparencia del Ayuntamiento de </w:t>
      </w:r>
      <w:r w:rsidR="001874BE" w:rsidRPr="008D0ABC">
        <w:rPr>
          <w:rFonts w:ascii="Palatino Linotype" w:eastAsia="Calibri" w:hAnsi="Palatino Linotype" w:cs="Tahoma"/>
          <w:bCs/>
          <w:color w:val="000000" w:themeColor="text1"/>
          <w:sz w:val="22"/>
          <w:szCs w:val="22"/>
          <w:lang w:eastAsia="en-US"/>
        </w:rPr>
        <w:t>Aculco,</w:t>
      </w:r>
      <w:r w:rsidRPr="008D0ABC">
        <w:rPr>
          <w:rFonts w:ascii="Palatino Linotype" w:eastAsia="Calibri" w:hAnsi="Palatino Linotype" w:cs="Tahoma"/>
          <w:bCs/>
          <w:color w:val="000000" w:themeColor="text1"/>
          <w:sz w:val="22"/>
          <w:szCs w:val="22"/>
          <w:lang w:eastAsia="en-US"/>
        </w:rPr>
        <w:t xml:space="preserve"> contar con el Padrón de Proveedores, mismo que deberá publicar en sus Portales de Internet. </w:t>
      </w:r>
    </w:p>
    <w:p w14:paraId="27FB508C" w14:textId="77777777" w:rsidR="004220FE" w:rsidRPr="008D0ABC" w:rsidRDefault="004220FE" w:rsidP="004220FE">
      <w:pPr>
        <w:spacing w:line="360" w:lineRule="auto"/>
        <w:jc w:val="both"/>
        <w:rPr>
          <w:rFonts w:ascii="Palatino Linotype" w:hAnsi="Palatino Linotype" w:cs="Tahoma"/>
          <w:color w:val="0D0D0D" w:themeColor="text1" w:themeTint="F2"/>
          <w:sz w:val="22"/>
          <w:szCs w:val="22"/>
          <w:lang w:val="es-ES"/>
        </w:rPr>
      </w:pPr>
    </w:p>
    <w:p w14:paraId="6F4DCD8B" w14:textId="5E77506C" w:rsidR="004220FE" w:rsidRPr="008D0ABC" w:rsidRDefault="004220FE" w:rsidP="004220FE">
      <w:pPr>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Por otro lado, en relación a las obras públicas, el artículo 12.4 del Código Administrativo del Estado de México, establece que las obras públicas son aquellas cuyo objeto principal es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w:t>
      </w:r>
    </w:p>
    <w:p w14:paraId="225534F3" w14:textId="77777777" w:rsidR="004220FE" w:rsidRPr="008D0ABC" w:rsidRDefault="004220FE" w:rsidP="004220FE">
      <w:pPr>
        <w:spacing w:line="360" w:lineRule="auto"/>
        <w:jc w:val="both"/>
        <w:rPr>
          <w:rFonts w:ascii="Palatino Linotype" w:hAnsi="Palatino Linotype" w:cs="Tahoma"/>
          <w:color w:val="0D0D0D" w:themeColor="text1" w:themeTint="F2"/>
          <w:sz w:val="22"/>
          <w:szCs w:val="22"/>
          <w:lang w:val="es-ES"/>
        </w:rPr>
      </w:pPr>
    </w:p>
    <w:p w14:paraId="6A2FB89D" w14:textId="25BED187" w:rsidR="004220FE" w:rsidRPr="008D0ABC" w:rsidRDefault="004220FE" w:rsidP="004220FE">
      <w:pPr>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 xml:space="preserve">Además, conforme al artículo 12.6 de dicho ordenamiento jurídico, uno de los entes que pueden llevar a cabo contratos de obra pública o servicios relacionados con la misma, son los </w:t>
      </w:r>
    </w:p>
    <w:p w14:paraId="39DD0F77" w14:textId="415EEAC1" w:rsidR="004220FE" w:rsidRPr="008D0ABC" w:rsidRDefault="004220FE" w:rsidP="004220FE">
      <w:pPr>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Municipios, a través de los Ayuntamientos.</w:t>
      </w:r>
    </w:p>
    <w:p w14:paraId="4BF1CA55" w14:textId="6AC83BA1" w:rsidR="004220FE" w:rsidRPr="008D0ABC" w:rsidRDefault="004220FE" w:rsidP="004220FE">
      <w:pPr>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 xml:space="preserve">En ese orden de ideas, es responsabilidad de los Ayuntamientos ejecutar la obra </w:t>
      </w:r>
      <w:r w:rsidR="001874BE" w:rsidRPr="008D0ABC">
        <w:rPr>
          <w:rFonts w:ascii="Palatino Linotype" w:hAnsi="Palatino Linotype" w:cs="Tahoma"/>
          <w:color w:val="0D0D0D" w:themeColor="text1" w:themeTint="F2"/>
          <w:sz w:val="22"/>
          <w:szCs w:val="22"/>
          <w:lang w:val="es-ES"/>
        </w:rPr>
        <w:t>pública respectiva</w:t>
      </w:r>
      <w:r w:rsidRPr="008D0ABC">
        <w:rPr>
          <w:rFonts w:ascii="Palatino Linotype" w:hAnsi="Palatino Linotype" w:cs="Tahoma"/>
          <w:color w:val="0D0D0D" w:themeColor="text1" w:themeTint="F2"/>
          <w:sz w:val="22"/>
          <w:szCs w:val="22"/>
          <w:lang w:val="es-ES"/>
        </w:rPr>
        <w:t xml:space="preserve">, mediante contrato con terceros o por administración directa; dicho acto </w:t>
      </w:r>
      <w:r w:rsidR="001874BE" w:rsidRPr="008D0ABC">
        <w:rPr>
          <w:rFonts w:ascii="Palatino Linotype" w:hAnsi="Palatino Linotype" w:cs="Tahoma"/>
          <w:color w:val="0D0D0D" w:themeColor="text1" w:themeTint="F2"/>
          <w:sz w:val="22"/>
          <w:szCs w:val="22"/>
          <w:lang w:val="es-ES"/>
        </w:rPr>
        <w:t>jurídico, será</w:t>
      </w:r>
      <w:r w:rsidRPr="008D0ABC">
        <w:rPr>
          <w:rFonts w:ascii="Palatino Linotype" w:hAnsi="Palatino Linotype" w:cs="Tahoma"/>
          <w:color w:val="0D0D0D" w:themeColor="text1" w:themeTint="F2"/>
          <w:sz w:val="22"/>
          <w:szCs w:val="22"/>
          <w:lang w:val="es-ES"/>
        </w:rPr>
        <w:t xml:space="preserve"> adjudicado a través de licitaciones públicas, invitación restringida o adjudicación </w:t>
      </w:r>
      <w:r w:rsidR="001874BE" w:rsidRPr="008D0ABC">
        <w:rPr>
          <w:rFonts w:ascii="Palatino Linotype" w:hAnsi="Palatino Linotype" w:cs="Tahoma"/>
          <w:color w:val="0D0D0D" w:themeColor="text1" w:themeTint="F2"/>
          <w:sz w:val="22"/>
          <w:szCs w:val="22"/>
          <w:lang w:val="es-ES"/>
        </w:rPr>
        <w:t>directa, conforme</w:t>
      </w:r>
      <w:r w:rsidRPr="008D0ABC">
        <w:rPr>
          <w:rFonts w:ascii="Palatino Linotype" w:hAnsi="Palatino Linotype" w:cs="Tahoma"/>
          <w:color w:val="0D0D0D" w:themeColor="text1" w:themeTint="F2"/>
          <w:sz w:val="22"/>
          <w:szCs w:val="22"/>
          <w:lang w:val="es-ES"/>
        </w:rPr>
        <w:t xml:space="preserve"> a los artículos 12.8, 12.20 y 12.21 del Código mencionado.</w:t>
      </w:r>
    </w:p>
    <w:p w14:paraId="7A818A2D" w14:textId="77777777" w:rsidR="004220FE" w:rsidRPr="008D0ABC" w:rsidRDefault="004220FE" w:rsidP="004220FE">
      <w:pPr>
        <w:spacing w:line="360" w:lineRule="auto"/>
        <w:jc w:val="both"/>
        <w:rPr>
          <w:rFonts w:ascii="Palatino Linotype" w:hAnsi="Palatino Linotype" w:cs="Tahoma"/>
          <w:color w:val="0D0D0D" w:themeColor="text1" w:themeTint="F2"/>
          <w:sz w:val="22"/>
          <w:szCs w:val="22"/>
          <w:lang w:val="es-ES"/>
        </w:rPr>
      </w:pPr>
    </w:p>
    <w:p w14:paraId="11C91591" w14:textId="35EBB4A6" w:rsidR="004220FE" w:rsidRPr="008D0ABC" w:rsidRDefault="004220FE" w:rsidP="004220FE">
      <w:pPr>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En ese orden de ideas, es responsabilidad de los Ayuntamientos ejecutar la obra pública  respectiva, mediante contrato con terceros o por administración</w:t>
      </w:r>
      <w:r w:rsidR="00560162" w:rsidRPr="008D0ABC">
        <w:rPr>
          <w:rFonts w:ascii="Palatino Linotype" w:hAnsi="Palatino Linotype" w:cs="Tahoma"/>
          <w:color w:val="0D0D0D" w:themeColor="text1" w:themeTint="F2"/>
          <w:sz w:val="22"/>
          <w:szCs w:val="22"/>
          <w:lang w:val="es-ES"/>
        </w:rPr>
        <w:t xml:space="preserve"> directa; dicho acto jurídico, </w:t>
      </w:r>
      <w:r w:rsidRPr="008D0ABC">
        <w:rPr>
          <w:rFonts w:ascii="Palatino Linotype" w:hAnsi="Palatino Linotype" w:cs="Tahoma"/>
          <w:color w:val="0D0D0D" w:themeColor="text1" w:themeTint="F2"/>
          <w:sz w:val="22"/>
          <w:szCs w:val="22"/>
          <w:lang w:val="es-ES"/>
        </w:rPr>
        <w:t xml:space="preserve">será adjudicado a través de licitaciones públicas, invitación restringida o adjudicación directa, </w:t>
      </w:r>
    </w:p>
    <w:p w14:paraId="248CFBD7" w14:textId="6D75CAC2" w:rsidR="004220FE" w:rsidRPr="008D0ABC" w:rsidRDefault="004220FE" w:rsidP="004220FE">
      <w:pPr>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conforme a los artículos 12.8, 12.20 y 12.21 del Código mencionado</w:t>
      </w:r>
      <w:r w:rsidR="00560162" w:rsidRPr="008D0ABC">
        <w:rPr>
          <w:rFonts w:ascii="Palatino Linotype" w:hAnsi="Palatino Linotype" w:cs="Tahoma"/>
          <w:color w:val="0D0D0D" w:themeColor="text1" w:themeTint="F2"/>
          <w:sz w:val="22"/>
          <w:szCs w:val="22"/>
          <w:lang w:val="es-ES"/>
        </w:rPr>
        <w:t>.</w:t>
      </w:r>
    </w:p>
    <w:p w14:paraId="5AF061CC" w14:textId="77777777" w:rsidR="001874BE" w:rsidRPr="008D0ABC" w:rsidRDefault="001874BE" w:rsidP="004220FE">
      <w:pPr>
        <w:spacing w:line="360" w:lineRule="auto"/>
        <w:jc w:val="both"/>
        <w:rPr>
          <w:rFonts w:ascii="Palatino Linotype" w:hAnsi="Palatino Linotype" w:cs="Tahoma"/>
          <w:color w:val="0D0D0D" w:themeColor="text1" w:themeTint="F2"/>
          <w:sz w:val="22"/>
          <w:szCs w:val="22"/>
          <w:lang w:val="es-ES"/>
        </w:rPr>
      </w:pPr>
    </w:p>
    <w:p w14:paraId="2E7E22F1" w14:textId="1D112726" w:rsidR="00560162" w:rsidRPr="008D0ABC" w:rsidRDefault="00560162" w:rsidP="00560162">
      <w:pPr>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 xml:space="preserve">Además, el artículo 12.38 del Código Administrativo del Estado de México, establece que la adjudicación de un procedimiento de </w:t>
      </w:r>
      <w:r w:rsidRPr="008D0ABC">
        <w:rPr>
          <w:rFonts w:ascii="Palatino Linotype" w:hAnsi="Palatino Linotype" w:cs="Tahoma"/>
          <w:b/>
          <w:color w:val="0D0D0D" w:themeColor="text1" w:themeTint="F2"/>
          <w:sz w:val="22"/>
          <w:szCs w:val="22"/>
          <w:lang w:val="es-ES"/>
        </w:rPr>
        <w:t>ejecución de obra</w:t>
      </w:r>
      <w:r w:rsidRPr="008D0ABC">
        <w:rPr>
          <w:rFonts w:ascii="Palatino Linotype" w:hAnsi="Palatino Linotype" w:cs="Tahoma"/>
          <w:color w:val="0D0D0D" w:themeColor="text1" w:themeTint="F2"/>
          <w:sz w:val="22"/>
          <w:szCs w:val="22"/>
          <w:lang w:val="es-ES"/>
        </w:rPr>
        <w:t>, se realizará mediante la suscripción de un contrato, entre el Ayuntamiento y la persona a la cual haya ganado el procedimiento respectivo, dentro de los diez días hábiles siguientes a la notificación del fallo.</w:t>
      </w:r>
    </w:p>
    <w:p w14:paraId="3617ABB5" w14:textId="77777777" w:rsidR="00560162" w:rsidRPr="008D0ABC" w:rsidRDefault="00560162" w:rsidP="00560162">
      <w:pPr>
        <w:spacing w:line="360" w:lineRule="auto"/>
        <w:jc w:val="both"/>
        <w:rPr>
          <w:rFonts w:ascii="Palatino Linotype" w:hAnsi="Palatino Linotype" w:cs="Tahoma"/>
          <w:color w:val="0D0D0D" w:themeColor="text1" w:themeTint="F2"/>
          <w:sz w:val="22"/>
          <w:szCs w:val="22"/>
          <w:lang w:val="es-ES"/>
        </w:rPr>
      </w:pPr>
    </w:p>
    <w:p w14:paraId="4522FC7F" w14:textId="41F5A1D1" w:rsidR="00560162" w:rsidRPr="008D0ABC" w:rsidRDefault="00560162" w:rsidP="00560162">
      <w:pPr>
        <w:spacing w:line="360" w:lineRule="auto"/>
        <w:jc w:val="both"/>
        <w:rPr>
          <w:rFonts w:ascii="Palatino Linotype" w:hAnsi="Palatino Linotype" w:cs="Tahoma"/>
          <w:b/>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 xml:space="preserve">Asimismo, el artículo 92, fracción XXIX, de la Ley de Transparencia y Acceso a la Información Pública del Estado de México y Municipios, precisa que es información que es pública de oficio, la documentación sobre los procesos y resultados sobre procedimientos de adjudicación directa, invitación restringida y licitación de pública, que </w:t>
      </w:r>
      <w:r w:rsidRPr="008D0ABC">
        <w:rPr>
          <w:rFonts w:ascii="Palatino Linotype" w:hAnsi="Palatino Linotype" w:cs="Tahoma"/>
          <w:b/>
          <w:color w:val="0D0D0D" w:themeColor="text1" w:themeTint="F2"/>
          <w:sz w:val="22"/>
          <w:szCs w:val="22"/>
          <w:lang w:val="es-ES"/>
        </w:rPr>
        <w:t>incluye la versión pública del expediente respectivo y de los contratos celebrados.</w:t>
      </w:r>
    </w:p>
    <w:p w14:paraId="63DE62A6" w14:textId="77777777" w:rsidR="00560162" w:rsidRPr="008D0ABC" w:rsidRDefault="00560162" w:rsidP="00560162">
      <w:pPr>
        <w:spacing w:line="360" w:lineRule="auto"/>
        <w:jc w:val="both"/>
        <w:rPr>
          <w:rFonts w:ascii="Palatino Linotype" w:hAnsi="Palatino Linotype" w:cs="Tahoma"/>
          <w:color w:val="0D0D0D" w:themeColor="text1" w:themeTint="F2"/>
          <w:sz w:val="22"/>
          <w:szCs w:val="22"/>
          <w:lang w:val="es-ES"/>
        </w:rPr>
      </w:pPr>
    </w:p>
    <w:p w14:paraId="72561413" w14:textId="1B4C26CA" w:rsidR="0046432F" w:rsidRPr="008D0ABC" w:rsidRDefault="001874BE" w:rsidP="00560162">
      <w:pPr>
        <w:spacing w:line="360" w:lineRule="auto"/>
        <w:jc w:val="both"/>
        <w:rPr>
          <w:rFonts w:ascii="Palatino Linotype" w:hAnsi="Palatino Linotype" w:cs="Tahoma"/>
          <w:color w:val="0D0D0D" w:themeColor="text1" w:themeTint="F2"/>
          <w:sz w:val="22"/>
          <w:szCs w:val="22"/>
          <w:lang w:val="es-ES"/>
        </w:rPr>
      </w:pPr>
      <w:r w:rsidRPr="008D0ABC">
        <w:rPr>
          <w:rFonts w:ascii="Palatino Linotype" w:hAnsi="Palatino Linotype" w:cs="Tahoma"/>
          <w:color w:val="0D0D0D" w:themeColor="text1" w:themeTint="F2"/>
          <w:sz w:val="22"/>
          <w:szCs w:val="22"/>
          <w:lang w:val="es-ES"/>
        </w:rPr>
        <w:t>Conforme a lo anterior, se logra vislumbrar que la pretensión del ahora Recurrente, es obtener los montos y los contratos de obra pública; así como, la asignación de montos de acuerdo al Programa Anual de Obras, del primero de enero al veintidós de junio de dos mil veintidós.</w:t>
      </w:r>
    </w:p>
    <w:p w14:paraId="074B932E" w14:textId="77777777" w:rsidR="0046432F" w:rsidRPr="008D0ABC" w:rsidRDefault="0046432F" w:rsidP="00560162">
      <w:pPr>
        <w:spacing w:line="360" w:lineRule="auto"/>
        <w:jc w:val="both"/>
        <w:rPr>
          <w:rFonts w:ascii="Palatino Linotype" w:hAnsi="Palatino Linotype" w:cs="Tahoma"/>
          <w:color w:val="0D0D0D" w:themeColor="text1" w:themeTint="F2"/>
          <w:sz w:val="22"/>
          <w:szCs w:val="22"/>
          <w:lang w:val="es-ES"/>
        </w:rPr>
      </w:pPr>
    </w:p>
    <w:p w14:paraId="240F1F12" w14:textId="25167852" w:rsidR="0046432F" w:rsidRPr="008D0ABC" w:rsidRDefault="0046432F" w:rsidP="0046432F">
      <w:pPr>
        <w:spacing w:line="360" w:lineRule="auto"/>
        <w:jc w:val="both"/>
        <w:rPr>
          <w:rFonts w:ascii="Palatino Linotype" w:hAnsi="Palatino Linotype" w:cs="Tahoma"/>
          <w:bCs/>
          <w:iCs/>
          <w:sz w:val="22"/>
          <w:szCs w:val="22"/>
          <w:lang w:val="es-ES"/>
        </w:rPr>
      </w:pPr>
      <w:r w:rsidRPr="008D0ABC">
        <w:rPr>
          <w:rFonts w:ascii="Palatino Linotype" w:eastAsia="Calibri" w:hAnsi="Palatino Linotype" w:cs="Tahoma"/>
          <w:bCs/>
          <w:color w:val="000000" w:themeColor="text1"/>
          <w:sz w:val="22"/>
          <w:szCs w:val="22"/>
          <w:lang w:eastAsia="en-US"/>
        </w:rPr>
        <w:t>Establecido lo anterior, se procede analizar la respuesta proporcionada por el Ayuntamiento de Aculco; por lo que, en principio es de señalar que de las constancias que obran en el expediente, se advierte que el Sujeto Obligado turnó la solicitud de información a la Dirección de Obras Públicas y Desarrollo Urbano, y a la Subdirección de Recursos Materiales; sobre lo anterior,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w:t>
      </w:r>
      <w:r w:rsidRPr="008D0ABC">
        <w:rPr>
          <w:rFonts w:ascii="Palatino Linotype" w:hAnsi="Palatino Linotype" w:cs="Tahoma"/>
          <w:bCs/>
          <w:iCs/>
          <w:sz w:val="22"/>
          <w:szCs w:val="22"/>
          <w:lang w:val="es-ES"/>
        </w:rPr>
        <w:t>, mismo que es el siguiente:</w:t>
      </w:r>
    </w:p>
    <w:p w14:paraId="7327C256" w14:textId="77777777" w:rsidR="0046432F" w:rsidRPr="008D0ABC" w:rsidRDefault="0046432F" w:rsidP="0046432F">
      <w:pPr>
        <w:spacing w:line="360" w:lineRule="auto"/>
        <w:ind w:right="-28"/>
        <w:jc w:val="both"/>
        <w:rPr>
          <w:rFonts w:ascii="Palatino Linotype" w:hAnsi="Palatino Linotype" w:cs="Tahoma"/>
          <w:iCs/>
          <w:sz w:val="22"/>
          <w:szCs w:val="22"/>
          <w:lang w:val="es-ES"/>
        </w:rPr>
      </w:pPr>
    </w:p>
    <w:p w14:paraId="57576469" w14:textId="77777777" w:rsidR="0046432F" w:rsidRPr="008D0ABC" w:rsidRDefault="0046432F">
      <w:pPr>
        <w:numPr>
          <w:ilvl w:val="0"/>
          <w:numId w:val="6"/>
        </w:numPr>
        <w:spacing w:line="360" w:lineRule="auto"/>
        <w:ind w:right="-28"/>
        <w:jc w:val="both"/>
        <w:rPr>
          <w:rFonts w:ascii="Palatino Linotype" w:hAnsi="Palatino Linotype" w:cs="Tahoma"/>
          <w:bCs/>
          <w:iCs/>
          <w:sz w:val="22"/>
          <w:szCs w:val="22"/>
          <w:lang w:val="es-ES"/>
        </w:rPr>
      </w:pPr>
      <w:r w:rsidRPr="008D0ABC">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EB4040F" w14:textId="77777777" w:rsidR="0046432F" w:rsidRPr="008D0ABC" w:rsidRDefault="0046432F" w:rsidP="0046432F">
      <w:pPr>
        <w:spacing w:line="360" w:lineRule="auto"/>
        <w:ind w:right="-28"/>
        <w:jc w:val="both"/>
        <w:rPr>
          <w:rFonts w:ascii="Palatino Linotype" w:hAnsi="Palatino Linotype" w:cs="Tahoma"/>
          <w:bCs/>
          <w:iCs/>
          <w:sz w:val="22"/>
          <w:szCs w:val="22"/>
          <w:lang w:val="es-ES"/>
        </w:rPr>
      </w:pPr>
    </w:p>
    <w:p w14:paraId="6B0C8D36" w14:textId="77777777" w:rsidR="0046432F" w:rsidRPr="008D0ABC" w:rsidRDefault="0046432F">
      <w:pPr>
        <w:numPr>
          <w:ilvl w:val="0"/>
          <w:numId w:val="6"/>
        </w:numPr>
        <w:spacing w:line="360" w:lineRule="auto"/>
        <w:ind w:right="-28"/>
        <w:jc w:val="both"/>
        <w:rPr>
          <w:rFonts w:ascii="Palatino Linotype" w:hAnsi="Palatino Linotype" w:cs="Tahoma"/>
          <w:bCs/>
          <w:iCs/>
          <w:sz w:val="22"/>
          <w:szCs w:val="22"/>
          <w:lang w:val="es-ES"/>
        </w:rPr>
      </w:pPr>
      <w:r w:rsidRPr="008D0ABC">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B9241AF" w14:textId="77777777" w:rsidR="0046432F" w:rsidRPr="008D0ABC" w:rsidRDefault="0046432F" w:rsidP="0046432F">
      <w:pPr>
        <w:spacing w:line="360" w:lineRule="auto"/>
        <w:ind w:right="-28"/>
        <w:jc w:val="both"/>
        <w:rPr>
          <w:rFonts w:ascii="Palatino Linotype" w:hAnsi="Palatino Linotype" w:cs="Tahoma"/>
          <w:b/>
          <w:bCs/>
          <w:iCs/>
          <w:sz w:val="22"/>
          <w:szCs w:val="22"/>
        </w:rPr>
      </w:pPr>
    </w:p>
    <w:p w14:paraId="6CECFEB0" w14:textId="233E5380" w:rsidR="004220FE" w:rsidRPr="008D0ABC" w:rsidRDefault="0046432F" w:rsidP="0046432F">
      <w:pPr>
        <w:spacing w:line="360" w:lineRule="auto"/>
        <w:jc w:val="both"/>
        <w:rPr>
          <w:rFonts w:ascii="Palatino Linotype" w:hAnsi="Palatino Linotype" w:cs="Tahoma"/>
          <w:bCs/>
          <w:iCs/>
          <w:sz w:val="22"/>
          <w:szCs w:val="22"/>
        </w:rPr>
      </w:pPr>
      <w:r w:rsidRPr="008D0ABC">
        <w:rPr>
          <w:rFonts w:ascii="Palatino Linotype" w:hAnsi="Palatino Linotype" w:cs="Tahoma"/>
          <w:bCs/>
          <w:iCs/>
          <w:sz w:val="22"/>
          <w:szCs w:val="22"/>
        </w:rPr>
        <w:t xml:space="preserve">Así efecto de verificar que se cumplió con el procedimiento de búsqueda es necesario traer a colación los artículos </w:t>
      </w:r>
      <w:r w:rsidR="00BC1DE3" w:rsidRPr="008D0ABC">
        <w:rPr>
          <w:rFonts w:ascii="Palatino Linotype" w:hAnsi="Palatino Linotype" w:cs="Tahoma"/>
          <w:bCs/>
          <w:iCs/>
          <w:sz w:val="22"/>
          <w:szCs w:val="22"/>
        </w:rPr>
        <w:t>62, fracciones XIII y XIV, inciso a)</w:t>
      </w:r>
      <w:r w:rsidR="00FF23D1" w:rsidRPr="008D0ABC">
        <w:rPr>
          <w:rFonts w:ascii="Palatino Linotype" w:hAnsi="Palatino Linotype" w:cs="Tahoma"/>
          <w:bCs/>
          <w:iCs/>
          <w:sz w:val="22"/>
          <w:szCs w:val="22"/>
        </w:rPr>
        <w:t xml:space="preserve"> y </w:t>
      </w:r>
      <w:r w:rsidR="00BC1DE3" w:rsidRPr="008D0ABC">
        <w:rPr>
          <w:rFonts w:ascii="Palatino Linotype" w:hAnsi="Palatino Linotype" w:cs="Tahoma"/>
          <w:bCs/>
          <w:iCs/>
          <w:sz w:val="22"/>
          <w:szCs w:val="22"/>
        </w:rPr>
        <w:t>79</w:t>
      </w:r>
      <w:r w:rsidR="00FF23D1" w:rsidRPr="008D0ABC">
        <w:rPr>
          <w:rFonts w:ascii="Palatino Linotype" w:hAnsi="Palatino Linotype" w:cs="Tahoma"/>
          <w:bCs/>
          <w:iCs/>
          <w:sz w:val="22"/>
          <w:szCs w:val="22"/>
        </w:rPr>
        <w:t xml:space="preserve"> del bando Municipal, dos mil veintidós, del Ayuntamiento de Aculco, en relación con las Funciones  de la Dirección de Obras Públicas y Desarrollo Urbano, y la Dirección de Administración y Recursos Materiales del Manual de Organización del Gobierno Municipal de Aculco, establecen que el Sujeto Obligado cuenta con diversas unidades administrativas para el ejercicio de sus funciones, entre las cuales se encuentran las siguientes:</w:t>
      </w:r>
    </w:p>
    <w:p w14:paraId="291627A0" w14:textId="77777777" w:rsidR="00FF23D1" w:rsidRPr="008D0ABC" w:rsidRDefault="00FF23D1" w:rsidP="0046432F">
      <w:pPr>
        <w:spacing w:line="360" w:lineRule="auto"/>
        <w:jc w:val="both"/>
        <w:rPr>
          <w:rFonts w:ascii="Palatino Linotype" w:hAnsi="Palatino Linotype" w:cs="Tahoma"/>
          <w:bCs/>
          <w:iCs/>
          <w:sz w:val="22"/>
          <w:szCs w:val="22"/>
        </w:rPr>
      </w:pPr>
    </w:p>
    <w:p w14:paraId="51FADB99" w14:textId="49D2D514" w:rsidR="00FF23D1" w:rsidRPr="008D0ABC" w:rsidRDefault="00FF23D1">
      <w:pPr>
        <w:pStyle w:val="Prrafodelista"/>
        <w:numPr>
          <w:ilvl w:val="0"/>
          <w:numId w:val="7"/>
        </w:numPr>
        <w:spacing w:line="360" w:lineRule="auto"/>
        <w:jc w:val="both"/>
        <w:rPr>
          <w:rFonts w:ascii="Palatino Linotype" w:hAnsi="Palatino Linotype" w:cs="Tahoma"/>
          <w:bCs/>
          <w:iCs/>
          <w:szCs w:val="22"/>
        </w:rPr>
      </w:pPr>
      <w:r w:rsidRPr="008D0ABC">
        <w:rPr>
          <w:rFonts w:ascii="Palatino Linotype" w:hAnsi="Palatino Linotype" w:cs="Tahoma"/>
          <w:b/>
          <w:bCs/>
          <w:iCs/>
          <w:szCs w:val="22"/>
        </w:rPr>
        <w:t>Dirección de Obras Públicas y Desarrollo Urbano</w:t>
      </w:r>
      <w:r w:rsidR="00372DBA" w:rsidRPr="008D0ABC">
        <w:rPr>
          <w:rFonts w:ascii="Palatino Linotype" w:hAnsi="Palatino Linotype" w:cs="Tahoma"/>
          <w:b/>
          <w:bCs/>
          <w:iCs/>
          <w:szCs w:val="22"/>
        </w:rPr>
        <w:t>:</w:t>
      </w:r>
      <w:r w:rsidR="00372DBA" w:rsidRPr="008D0ABC">
        <w:rPr>
          <w:rFonts w:ascii="Palatino Linotype" w:hAnsi="Palatino Linotype" w:cs="Tahoma"/>
          <w:bCs/>
          <w:iCs/>
          <w:szCs w:val="22"/>
        </w:rPr>
        <w:t xml:space="preserve"> Encargada de planear, coordinar y ejecutar las obras públicas y servicios relacionados con las mismas que hayan sido adjudicadas a los contratistas. </w:t>
      </w:r>
    </w:p>
    <w:p w14:paraId="38453370" w14:textId="77777777" w:rsidR="00372DBA" w:rsidRPr="008D0ABC" w:rsidRDefault="00372DBA" w:rsidP="00372DBA">
      <w:pPr>
        <w:pStyle w:val="Prrafodelista"/>
        <w:spacing w:line="360" w:lineRule="auto"/>
        <w:jc w:val="both"/>
        <w:rPr>
          <w:rFonts w:ascii="Palatino Linotype" w:hAnsi="Palatino Linotype" w:cs="Tahoma"/>
          <w:bCs/>
          <w:iCs/>
          <w:szCs w:val="22"/>
        </w:rPr>
      </w:pPr>
    </w:p>
    <w:p w14:paraId="0653E2B8" w14:textId="554E3E9A" w:rsidR="00FF23D1" w:rsidRPr="008D0ABC" w:rsidRDefault="00372DBA">
      <w:pPr>
        <w:pStyle w:val="Prrafodelista"/>
        <w:numPr>
          <w:ilvl w:val="0"/>
          <w:numId w:val="7"/>
        </w:numPr>
        <w:spacing w:line="360" w:lineRule="auto"/>
        <w:jc w:val="both"/>
        <w:rPr>
          <w:rFonts w:ascii="Palatino Linotype" w:hAnsi="Palatino Linotype" w:cs="Tahoma"/>
          <w:bCs/>
          <w:iCs/>
          <w:szCs w:val="22"/>
        </w:rPr>
      </w:pPr>
      <w:r w:rsidRPr="008D0ABC">
        <w:rPr>
          <w:rFonts w:ascii="Palatino Linotype" w:hAnsi="Palatino Linotype" w:cs="Tahoma"/>
          <w:b/>
          <w:bCs/>
          <w:iCs/>
          <w:szCs w:val="22"/>
        </w:rPr>
        <w:t>Subdirección de Recursos Materiales:</w:t>
      </w:r>
      <w:r w:rsidRPr="008D0ABC">
        <w:rPr>
          <w:rFonts w:ascii="Palatino Linotype" w:hAnsi="Palatino Linotype" w:cs="Tahoma"/>
          <w:bCs/>
          <w:iCs/>
          <w:szCs w:val="22"/>
        </w:rPr>
        <w:t xml:space="preserve"> Responsable de la integración, operación y actualización del catálogo de proveedores y prestadores de servicios. </w:t>
      </w:r>
    </w:p>
    <w:p w14:paraId="24825DB7" w14:textId="77777777" w:rsidR="0046432F" w:rsidRPr="008D0ABC" w:rsidRDefault="0046432F" w:rsidP="0046432F">
      <w:pPr>
        <w:spacing w:line="360" w:lineRule="auto"/>
        <w:jc w:val="both"/>
        <w:rPr>
          <w:rFonts w:ascii="Palatino Linotype" w:hAnsi="Palatino Linotype" w:cs="Tahoma"/>
          <w:b/>
          <w:color w:val="0D0D0D" w:themeColor="text1" w:themeTint="F2"/>
          <w:sz w:val="22"/>
          <w:szCs w:val="22"/>
          <w:lang w:val="es-ES"/>
        </w:rPr>
      </w:pPr>
    </w:p>
    <w:p w14:paraId="4F4337D5" w14:textId="2D853552" w:rsidR="00372DBA" w:rsidRPr="008D0ABC" w:rsidRDefault="00372DBA" w:rsidP="00372DBA">
      <w:pPr>
        <w:spacing w:line="360" w:lineRule="auto"/>
        <w:jc w:val="both"/>
        <w:rPr>
          <w:rFonts w:ascii="Palatino Linotype" w:hAnsi="Palatino Linotype" w:cs="Tahoma"/>
          <w:bCs/>
          <w:iCs/>
          <w:sz w:val="22"/>
          <w:szCs w:val="22"/>
        </w:rPr>
      </w:pPr>
      <w:r w:rsidRPr="008D0ABC">
        <w:rPr>
          <w:rFonts w:ascii="Palatino Linotype" w:eastAsia="Calibri" w:hAnsi="Palatino Linotype" w:cs="Tahoma"/>
          <w:color w:val="000000" w:themeColor="text1"/>
          <w:sz w:val="22"/>
          <w:szCs w:val="22"/>
          <w:lang w:eastAsia="en-US"/>
        </w:rPr>
        <w:t xml:space="preserve">De tal circunstancia, se advierte que el Ente Recurrido turno la solicitud de información a las unidades administrativas competentes para conocer de lo peticionado, con lo cual cumplió </w:t>
      </w:r>
      <w:r w:rsidRPr="008D0ABC">
        <w:rPr>
          <w:rFonts w:ascii="Palatino Linotype" w:hAnsi="Palatino Linotype" w:cs="Tahoma"/>
          <w:bCs/>
          <w:iCs/>
          <w:sz w:val="22"/>
          <w:szCs w:val="22"/>
        </w:rPr>
        <w:t>con el procedimiento de búsqueda previsto en el artículo 162 de la Ley de Transparencia y Acceso a la Información Pública del Estado de México y Municipios</w:t>
      </w:r>
      <w:r w:rsidR="001874BE" w:rsidRPr="008D0ABC">
        <w:rPr>
          <w:rFonts w:ascii="Palatino Linotype" w:hAnsi="Palatino Linotype" w:cs="Tahoma"/>
          <w:bCs/>
          <w:iCs/>
          <w:sz w:val="22"/>
          <w:szCs w:val="22"/>
        </w:rPr>
        <w:t>; establecido lo anterior, se procede analizar la información proporcionada, conforme a lo siguiente:</w:t>
      </w:r>
    </w:p>
    <w:p w14:paraId="6A5B544B" w14:textId="4CBDA25A" w:rsidR="001874BE" w:rsidRPr="008D0ABC" w:rsidRDefault="001874BE" w:rsidP="00372DBA">
      <w:pPr>
        <w:spacing w:line="360" w:lineRule="auto"/>
        <w:jc w:val="both"/>
        <w:rPr>
          <w:rFonts w:ascii="Palatino Linotype" w:hAnsi="Palatino Linotype" w:cs="Tahoma"/>
          <w:bCs/>
          <w:iCs/>
          <w:sz w:val="22"/>
          <w:szCs w:val="22"/>
        </w:rPr>
      </w:pPr>
    </w:p>
    <w:p w14:paraId="220A401F" w14:textId="22A491FF" w:rsidR="001874BE" w:rsidRPr="008D0ABC" w:rsidRDefault="001874BE">
      <w:pPr>
        <w:pStyle w:val="Prrafodelista"/>
        <w:numPr>
          <w:ilvl w:val="0"/>
          <w:numId w:val="9"/>
        </w:numPr>
        <w:spacing w:line="360" w:lineRule="auto"/>
        <w:jc w:val="both"/>
        <w:rPr>
          <w:rFonts w:ascii="Palatino Linotype" w:hAnsi="Palatino Linotype" w:cs="Tahoma"/>
          <w:b/>
          <w:iCs/>
          <w:szCs w:val="22"/>
        </w:rPr>
      </w:pPr>
      <w:r w:rsidRPr="008D0ABC">
        <w:rPr>
          <w:rFonts w:ascii="Palatino Linotype" w:hAnsi="Palatino Linotype" w:cs="Tahoma"/>
          <w:b/>
          <w:iCs/>
          <w:szCs w:val="22"/>
        </w:rPr>
        <w:t>Padrón de proveedores, y</w:t>
      </w:r>
    </w:p>
    <w:p w14:paraId="1E81A6A0" w14:textId="77777777" w:rsidR="001874BE" w:rsidRPr="008D0ABC" w:rsidRDefault="001874BE" w:rsidP="001874BE">
      <w:pPr>
        <w:pStyle w:val="Prrafodelista"/>
        <w:spacing w:line="360" w:lineRule="auto"/>
        <w:jc w:val="both"/>
        <w:rPr>
          <w:rFonts w:ascii="Palatino Linotype" w:hAnsi="Palatino Linotype" w:cs="Tahoma"/>
          <w:b/>
          <w:iCs/>
          <w:szCs w:val="22"/>
        </w:rPr>
      </w:pPr>
    </w:p>
    <w:p w14:paraId="25394F51" w14:textId="10C09D9C" w:rsidR="001874BE" w:rsidRPr="008D0ABC" w:rsidRDefault="001874BE">
      <w:pPr>
        <w:pStyle w:val="Prrafodelista"/>
        <w:numPr>
          <w:ilvl w:val="0"/>
          <w:numId w:val="9"/>
        </w:numPr>
        <w:spacing w:line="360" w:lineRule="auto"/>
        <w:jc w:val="both"/>
        <w:rPr>
          <w:rFonts w:ascii="Palatino Linotype" w:hAnsi="Palatino Linotype" w:cs="Tahoma"/>
          <w:b/>
          <w:iCs/>
          <w:szCs w:val="22"/>
        </w:rPr>
      </w:pPr>
      <w:r w:rsidRPr="008D0ABC">
        <w:rPr>
          <w:rFonts w:ascii="Palatino Linotype" w:hAnsi="Palatino Linotype" w:cs="Tahoma"/>
          <w:b/>
          <w:iCs/>
          <w:szCs w:val="22"/>
        </w:rPr>
        <w:t>Obras públicas realizadas.</w:t>
      </w:r>
    </w:p>
    <w:p w14:paraId="60C1B580" w14:textId="486B2983" w:rsidR="00372DBA" w:rsidRPr="008D0ABC" w:rsidRDefault="00372DBA" w:rsidP="00372DBA">
      <w:pPr>
        <w:spacing w:line="360" w:lineRule="auto"/>
        <w:jc w:val="both"/>
        <w:rPr>
          <w:rFonts w:ascii="Palatino Linotype" w:hAnsi="Palatino Linotype" w:cs="Tahoma"/>
          <w:color w:val="000000" w:themeColor="text1"/>
          <w:sz w:val="22"/>
          <w:szCs w:val="22"/>
          <w:lang w:eastAsia="es-MX"/>
        </w:rPr>
      </w:pPr>
    </w:p>
    <w:p w14:paraId="52245723" w14:textId="4CA390DD" w:rsidR="001874BE" w:rsidRPr="008D0ABC" w:rsidRDefault="001874BE" w:rsidP="00372DBA">
      <w:pPr>
        <w:spacing w:line="360" w:lineRule="auto"/>
        <w:jc w:val="both"/>
        <w:rPr>
          <w:rFonts w:ascii="Palatino Linotype" w:hAnsi="Palatino Linotype" w:cs="Tahoma"/>
          <w:b/>
          <w:bCs/>
          <w:color w:val="000000" w:themeColor="text1"/>
          <w:sz w:val="22"/>
          <w:szCs w:val="22"/>
          <w:lang w:eastAsia="es-MX"/>
        </w:rPr>
      </w:pPr>
      <w:r w:rsidRPr="008D0ABC">
        <w:rPr>
          <w:rFonts w:ascii="Palatino Linotype" w:hAnsi="Palatino Linotype" w:cs="Tahoma"/>
          <w:b/>
          <w:bCs/>
          <w:color w:val="000000" w:themeColor="text1"/>
          <w:sz w:val="22"/>
          <w:szCs w:val="22"/>
          <w:lang w:eastAsia="es-MX"/>
        </w:rPr>
        <w:t>Padrón de proveedores</w:t>
      </w:r>
    </w:p>
    <w:p w14:paraId="5D8C2ECC" w14:textId="77777777" w:rsidR="001874BE" w:rsidRPr="008D0ABC" w:rsidRDefault="001874BE" w:rsidP="00372DBA">
      <w:pPr>
        <w:spacing w:line="360" w:lineRule="auto"/>
        <w:jc w:val="both"/>
        <w:rPr>
          <w:rFonts w:ascii="Palatino Linotype" w:hAnsi="Palatino Linotype" w:cs="Tahoma"/>
          <w:color w:val="000000" w:themeColor="text1"/>
          <w:sz w:val="22"/>
          <w:szCs w:val="22"/>
          <w:lang w:eastAsia="es-MX"/>
        </w:rPr>
      </w:pPr>
    </w:p>
    <w:p w14:paraId="49C5BA70" w14:textId="698A1B7F" w:rsidR="001874BE" w:rsidRPr="008D0ABC" w:rsidRDefault="001874BE" w:rsidP="00372DBA">
      <w:pPr>
        <w:spacing w:line="360" w:lineRule="auto"/>
        <w:jc w:val="both"/>
        <w:rPr>
          <w:rFonts w:ascii="Palatino Linotype" w:hAnsi="Palatino Linotype" w:cs="Tahoma"/>
          <w:color w:val="000000" w:themeColor="text1"/>
          <w:sz w:val="22"/>
          <w:szCs w:val="22"/>
          <w:lang w:eastAsia="es-MX"/>
        </w:rPr>
      </w:pPr>
      <w:r w:rsidRPr="008D0ABC">
        <w:rPr>
          <w:rFonts w:ascii="Palatino Linotype" w:hAnsi="Palatino Linotype" w:cs="Tahoma"/>
          <w:color w:val="000000" w:themeColor="text1"/>
          <w:sz w:val="22"/>
          <w:szCs w:val="22"/>
          <w:lang w:eastAsia="es-MX"/>
        </w:rPr>
        <w:t>La Subdirección de Recursos Materiales precisó que proporcionaba el Padrón de Proveedores, del primero de enero al veintidós de junio de dos mil veintidós</w:t>
      </w:r>
      <w:r w:rsidR="004159E2" w:rsidRPr="008D0ABC">
        <w:rPr>
          <w:rFonts w:ascii="Palatino Linotype" w:hAnsi="Palatino Linotype" w:cs="Tahoma"/>
          <w:color w:val="000000" w:themeColor="text1"/>
          <w:sz w:val="22"/>
          <w:szCs w:val="22"/>
          <w:lang w:eastAsia="es-MX"/>
        </w:rPr>
        <w:t>, tal como se muestra en el siguiente ejemplo:</w:t>
      </w:r>
    </w:p>
    <w:p w14:paraId="07FAAB49" w14:textId="15B863F6" w:rsidR="001874BE" w:rsidRPr="008D0ABC" w:rsidRDefault="001874BE" w:rsidP="00372DBA">
      <w:pPr>
        <w:spacing w:line="360" w:lineRule="auto"/>
        <w:jc w:val="both"/>
        <w:rPr>
          <w:rFonts w:ascii="Palatino Linotype" w:hAnsi="Palatino Linotype" w:cs="Tahoma"/>
          <w:color w:val="000000" w:themeColor="text1"/>
          <w:sz w:val="22"/>
          <w:szCs w:val="22"/>
          <w:lang w:eastAsia="es-MX"/>
        </w:rPr>
      </w:pPr>
    </w:p>
    <w:p w14:paraId="5DDF9A33" w14:textId="662B7B74" w:rsidR="004159E2" w:rsidRPr="008D0ABC" w:rsidRDefault="004159E2" w:rsidP="004159E2">
      <w:pPr>
        <w:spacing w:line="360" w:lineRule="auto"/>
        <w:jc w:val="center"/>
        <w:rPr>
          <w:rFonts w:ascii="Palatino Linotype" w:hAnsi="Palatino Linotype" w:cs="Tahoma"/>
          <w:color w:val="000000" w:themeColor="text1"/>
          <w:sz w:val="22"/>
          <w:szCs w:val="22"/>
          <w:lang w:eastAsia="es-MX"/>
        </w:rPr>
      </w:pPr>
      <w:r w:rsidRPr="008D0ABC">
        <w:rPr>
          <w:rFonts w:ascii="Palatino Linotype" w:hAnsi="Palatino Linotype" w:cs="Tahoma"/>
          <w:noProof/>
          <w:color w:val="0D0D0D" w:themeColor="text1" w:themeTint="F2"/>
          <w:sz w:val="22"/>
          <w:szCs w:val="22"/>
          <w:lang w:eastAsia="es-MX"/>
        </w:rPr>
        <w:drawing>
          <wp:inline distT="0" distB="0" distL="0" distR="0" wp14:anchorId="2D2C04AE" wp14:editId="1A33B5F7">
            <wp:extent cx="4457669" cy="10287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232" t="17018" r="13650" b="70717"/>
                    <a:stretch/>
                  </pic:blipFill>
                  <pic:spPr bwMode="auto">
                    <a:xfrm>
                      <a:off x="0" y="0"/>
                      <a:ext cx="4483882" cy="1034749"/>
                    </a:xfrm>
                    <a:prstGeom prst="rect">
                      <a:avLst/>
                    </a:prstGeom>
                    <a:noFill/>
                    <a:ln>
                      <a:noFill/>
                    </a:ln>
                    <a:extLst>
                      <a:ext uri="{53640926-AAD7-44D8-BBD7-CCE9431645EC}">
                        <a14:shadowObscured xmlns:a14="http://schemas.microsoft.com/office/drawing/2010/main"/>
                      </a:ext>
                    </a:extLst>
                  </pic:spPr>
                </pic:pic>
              </a:graphicData>
            </a:graphic>
          </wp:inline>
        </w:drawing>
      </w:r>
    </w:p>
    <w:p w14:paraId="5F161917" w14:textId="25600ED0" w:rsidR="004159E2" w:rsidRPr="008D0ABC" w:rsidRDefault="004159E2" w:rsidP="004159E2">
      <w:pPr>
        <w:spacing w:line="360" w:lineRule="auto"/>
        <w:jc w:val="both"/>
        <w:rPr>
          <w:rFonts w:ascii="Palatino Linotype" w:hAnsi="Palatino Linotype" w:cs="Tahoma"/>
          <w:bCs/>
          <w:iCs/>
          <w:sz w:val="22"/>
          <w:szCs w:val="22"/>
        </w:rPr>
      </w:pPr>
      <w:r w:rsidRPr="008D0ABC">
        <w:rPr>
          <w:rFonts w:ascii="Palatino Linotype" w:eastAsia="Calibri" w:hAnsi="Palatino Linotype"/>
          <w:color w:val="000000" w:themeColor="text1"/>
          <w:sz w:val="22"/>
          <w:szCs w:val="22"/>
          <w:lang w:eastAsia="en-US"/>
        </w:rPr>
        <w:t>S</w:t>
      </w:r>
      <w:r w:rsidRPr="008D0ABC">
        <w:rPr>
          <w:rFonts w:ascii="Palatino Linotype" w:hAnsi="Palatino Linotype"/>
          <w:iCs/>
          <w:sz w:val="22"/>
        </w:rPr>
        <w:t>obre lo anterior, cabe precisar</w:t>
      </w:r>
      <w:r w:rsidRPr="008D0ABC">
        <w:rPr>
          <w:rFonts w:ascii="Palatino Linotype" w:hAnsi="Palatino Linotype" w:cs="Tahoma"/>
          <w:bCs/>
          <w:iCs/>
          <w:sz w:val="22"/>
          <w:szCs w:val="22"/>
        </w:rPr>
        <w:t xml:space="preserve"> que este Instituto, no tiene atribuciones para pronunciarse sobre la veracidad de la información. Apoya lo anterior, el </w:t>
      </w:r>
      <w:r w:rsidRPr="008D0ABC">
        <w:rPr>
          <w:rFonts w:ascii="Palatino Linotype" w:eastAsia="Calibri" w:hAnsi="Palatino Linotype" w:cs="Tahoma"/>
          <w:bCs/>
          <w:sz w:val="22"/>
          <w:szCs w:val="22"/>
          <w:lang w:val="es-ES" w:eastAsia="en-US"/>
        </w:rPr>
        <w:t xml:space="preserve">Criterio de Interpretación, de la Primera Época, con número de registro </w:t>
      </w:r>
      <w:r w:rsidRPr="008D0ABC">
        <w:rPr>
          <w:rFonts w:ascii="Palatino Linotype" w:eastAsia="Calibri" w:hAnsi="Palatino Linotype" w:cs="Tahoma"/>
          <w:bCs/>
          <w:sz w:val="22"/>
          <w:szCs w:val="22"/>
          <w:lang w:eastAsia="en-US"/>
        </w:rPr>
        <w:t>SO/031/2010,</w:t>
      </w:r>
      <w:r w:rsidRPr="008D0ABC">
        <w:rPr>
          <w:rFonts w:ascii="Palatino Linotype" w:hAnsi="Palatino Linotype" w:cs="Tahoma"/>
          <w:bCs/>
          <w:iCs/>
          <w:sz w:val="22"/>
          <w:szCs w:val="22"/>
        </w:rPr>
        <w:t xml:space="preserve"> emitido por el Pleno del entonces Instituto Federal de Acceso a la Información y Protección de Datos, que a continuación se cita:</w:t>
      </w:r>
    </w:p>
    <w:p w14:paraId="6DCD5F9E" w14:textId="77777777" w:rsidR="004159E2" w:rsidRPr="008D0ABC" w:rsidRDefault="004159E2" w:rsidP="004159E2">
      <w:pPr>
        <w:spacing w:line="360" w:lineRule="auto"/>
        <w:jc w:val="both"/>
        <w:rPr>
          <w:rFonts w:ascii="Palatino Linotype" w:hAnsi="Palatino Linotype" w:cs="Tahoma"/>
          <w:bCs/>
          <w:iCs/>
          <w:sz w:val="22"/>
          <w:szCs w:val="22"/>
        </w:rPr>
      </w:pPr>
    </w:p>
    <w:p w14:paraId="7ADA2F8C" w14:textId="77777777" w:rsidR="004159E2" w:rsidRPr="008D0ABC" w:rsidRDefault="004159E2" w:rsidP="004159E2">
      <w:pPr>
        <w:spacing w:line="360" w:lineRule="auto"/>
        <w:ind w:left="567" w:right="567"/>
        <w:jc w:val="both"/>
        <w:rPr>
          <w:rFonts w:ascii="Palatino Linotype" w:hAnsi="Palatino Linotype" w:cs="Tahoma"/>
          <w:bCs/>
          <w:i/>
          <w:iCs/>
        </w:rPr>
      </w:pPr>
      <w:r w:rsidRPr="008D0ABC">
        <w:rPr>
          <w:rFonts w:ascii="Palatino Linotype" w:hAnsi="Palatino Linotype" w:cs="Tahoma"/>
          <w:b/>
          <w:i/>
          <w:iCs/>
        </w:rPr>
        <w:t>“El Instituto Federal de Acceso a la Información y Protección de Datos no cuenta con facultades para pronunciarse respecto de la veracidad de los documentos proporcionados por los sujetos obligados.</w:t>
      </w:r>
      <w:r w:rsidRPr="008D0ABC">
        <w:rPr>
          <w:rFonts w:ascii="Palatino Linotype" w:hAnsi="Palatino Linotype" w:cs="Tahoma"/>
          <w:bCs/>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F5F1781" w14:textId="77777777" w:rsidR="004159E2" w:rsidRPr="008D0ABC" w:rsidRDefault="004159E2" w:rsidP="004159E2">
      <w:pPr>
        <w:spacing w:line="360" w:lineRule="auto"/>
        <w:jc w:val="both"/>
        <w:rPr>
          <w:rFonts w:ascii="Palatino Linotype" w:eastAsia="Calibri" w:hAnsi="Palatino Linotype"/>
          <w:color w:val="000000" w:themeColor="text1"/>
          <w:sz w:val="22"/>
          <w:szCs w:val="22"/>
          <w:lang w:eastAsia="en-US"/>
        </w:rPr>
      </w:pPr>
    </w:p>
    <w:p w14:paraId="1E157D44" w14:textId="7F19F244" w:rsidR="004159E2" w:rsidRPr="008D0ABC" w:rsidRDefault="004159E2" w:rsidP="004159E2">
      <w:pPr>
        <w:spacing w:line="360" w:lineRule="auto"/>
        <w:jc w:val="both"/>
        <w:rPr>
          <w:rFonts w:ascii="Palatino Linotype" w:hAnsi="Palatino Linotype" w:cs="Tahoma"/>
          <w:sz w:val="22"/>
          <w:szCs w:val="24"/>
          <w:lang w:val="es-ES"/>
        </w:rPr>
      </w:pPr>
      <w:r w:rsidRPr="008D0ABC">
        <w:rPr>
          <w:rFonts w:ascii="Palatino Linotype" w:hAnsi="Palatino Linotype" w:cs="Tahoma"/>
          <w:bCs/>
          <w:iCs/>
          <w:sz w:val="22"/>
          <w:szCs w:val="22"/>
          <w:lang w:val="es-ES"/>
        </w:rPr>
        <w:t xml:space="preserve">De tales circunstancias, se logra vislumbrar que el Sujeto Obligado proporcionó los documentos que contienen la información requerida por el Particular, a saber, el Padrón de Proveedores, con la información del periodo requerido; </w:t>
      </w:r>
      <w:r w:rsidRPr="008D0ABC">
        <w:rPr>
          <w:rFonts w:ascii="Palatino Linotype" w:hAnsi="Palatino Linotype" w:cs="Tahoma"/>
          <w:sz w:val="22"/>
          <w:szCs w:val="24"/>
          <w:lang w:val="es-ES"/>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9736588" w14:textId="77777777" w:rsidR="004159E2" w:rsidRPr="008D0ABC" w:rsidRDefault="004159E2" w:rsidP="004159E2">
      <w:pPr>
        <w:spacing w:line="360" w:lineRule="auto"/>
        <w:jc w:val="both"/>
        <w:rPr>
          <w:rFonts w:ascii="Palatino Linotype" w:hAnsi="Palatino Linotype" w:cs="Tahoma"/>
          <w:sz w:val="22"/>
          <w:szCs w:val="24"/>
          <w:lang w:val="es-ES"/>
        </w:rPr>
      </w:pPr>
    </w:p>
    <w:p w14:paraId="1B0AE55B" w14:textId="77777777" w:rsidR="004159E2" w:rsidRPr="008D0ABC" w:rsidRDefault="004159E2" w:rsidP="004159E2">
      <w:pPr>
        <w:spacing w:line="360" w:lineRule="auto"/>
        <w:jc w:val="both"/>
        <w:rPr>
          <w:rFonts w:ascii="Palatino Linotype" w:hAnsi="Palatino Linotype" w:cs="Tahoma"/>
          <w:i/>
          <w:iCs/>
          <w:lang w:val="es-ES"/>
        </w:rPr>
      </w:pPr>
      <w:r w:rsidRPr="008D0ABC">
        <w:rPr>
          <w:rFonts w:ascii="Palatino Linotype" w:hAnsi="Palatino Linotype" w:cs="Tahoma"/>
          <w:sz w:val="22"/>
          <w:szCs w:val="24"/>
          <w:lang w:val="es-E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0C0D8A76" w14:textId="77777777" w:rsidR="004159E2" w:rsidRPr="008D0ABC" w:rsidRDefault="004159E2" w:rsidP="004159E2">
      <w:pPr>
        <w:spacing w:line="360" w:lineRule="auto"/>
        <w:jc w:val="both"/>
        <w:rPr>
          <w:rFonts w:ascii="Palatino Linotype" w:hAnsi="Palatino Linotype" w:cs="Tahoma"/>
          <w:sz w:val="22"/>
          <w:szCs w:val="24"/>
          <w:lang w:val="es-ES"/>
        </w:rPr>
      </w:pPr>
    </w:p>
    <w:p w14:paraId="7E857F65" w14:textId="3AA6780E" w:rsidR="004159E2" w:rsidRPr="008D0ABC" w:rsidRDefault="004159E2" w:rsidP="004159E2">
      <w:pPr>
        <w:spacing w:line="360" w:lineRule="auto"/>
        <w:jc w:val="both"/>
        <w:rPr>
          <w:rFonts w:ascii="Palatino Linotype" w:hAnsi="Palatino Linotype" w:cs="Tahoma"/>
          <w:sz w:val="22"/>
          <w:szCs w:val="24"/>
          <w:lang w:val="es-ES"/>
        </w:rPr>
      </w:pPr>
      <w:r w:rsidRPr="008D0ABC">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Obligado, proporcionó el documento que da cuenta de lo solicitado.</w:t>
      </w:r>
    </w:p>
    <w:p w14:paraId="1F5875F3" w14:textId="1FB19BFC" w:rsidR="004159E2" w:rsidRPr="008D0ABC" w:rsidRDefault="004159E2" w:rsidP="004159E2">
      <w:pPr>
        <w:spacing w:line="360" w:lineRule="auto"/>
        <w:jc w:val="both"/>
        <w:rPr>
          <w:rFonts w:ascii="Palatino Linotype" w:hAnsi="Palatino Linotype" w:cs="Tahoma"/>
          <w:sz w:val="22"/>
          <w:szCs w:val="24"/>
          <w:lang w:val="es-ES"/>
        </w:rPr>
      </w:pPr>
    </w:p>
    <w:p w14:paraId="7BB9C891" w14:textId="190906CD" w:rsidR="004159E2" w:rsidRPr="008D0ABC" w:rsidRDefault="004159E2" w:rsidP="004159E2">
      <w:pPr>
        <w:spacing w:line="360" w:lineRule="auto"/>
        <w:jc w:val="both"/>
        <w:rPr>
          <w:rFonts w:ascii="Palatino Linotype" w:hAnsi="Palatino Linotype" w:cs="Tahoma"/>
          <w:sz w:val="22"/>
          <w:szCs w:val="24"/>
          <w:lang w:val="es-ES"/>
        </w:rPr>
      </w:pPr>
      <w:r w:rsidRPr="008D0ABC">
        <w:rPr>
          <w:rFonts w:ascii="Palatino Linotype" w:hAnsi="Palatino Linotype" w:cs="Tahoma"/>
          <w:sz w:val="22"/>
          <w:szCs w:val="24"/>
          <w:lang w:val="es-ES"/>
        </w:rPr>
        <w:t>Ahora bien, de la revisión de dicho documento, se logra vislumbrar que lo proporcionó en versión pública, en donde clasificó como información confidencial, el Registro Federal de Contribuyentes de los proveedores (personas físicas o morales), por lo que, es necesario analizar si dichos datos son públicos o privados.</w:t>
      </w:r>
    </w:p>
    <w:p w14:paraId="4E2E8C44" w14:textId="6AC7DDD9" w:rsidR="004159E2" w:rsidRPr="008D0ABC" w:rsidRDefault="004159E2" w:rsidP="004159E2">
      <w:pPr>
        <w:spacing w:line="360" w:lineRule="auto"/>
        <w:jc w:val="both"/>
        <w:rPr>
          <w:rFonts w:ascii="Palatino Linotype" w:hAnsi="Palatino Linotype" w:cs="Tahoma"/>
          <w:sz w:val="22"/>
          <w:szCs w:val="24"/>
          <w:lang w:val="es-ES"/>
        </w:rPr>
      </w:pPr>
    </w:p>
    <w:p w14:paraId="450E679A" w14:textId="77777777" w:rsidR="004159E2" w:rsidRPr="008D0ABC" w:rsidRDefault="004159E2">
      <w:pPr>
        <w:pStyle w:val="Prrafodelista"/>
        <w:numPr>
          <w:ilvl w:val="0"/>
          <w:numId w:val="10"/>
        </w:numPr>
        <w:spacing w:line="360" w:lineRule="auto"/>
        <w:jc w:val="both"/>
        <w:rPr>
          <w:rFonts w:ascii="Palatino Linotype" w:eastAsia="Calibri" w:hAnsi="Palatino Linotype" w:cs="Tahoma"/>
          <w:b/>
          <w:szCs w:val="22"/>
          <w:lang w:eastAsia="en-US"/>
        </w:rPr>
      </w:pPr>
      <w:r w:rsidRPr="008D0ABC">
        <w:rPr>
          <w:rFonts w:ascii="Palatino Linotype" w:eastAsia="Calibri" w:hAnsi="Palatino Linotype" w:cs="Tahoma"/>
          <w:b/>
          <w:szCs w:val="22"/>
          <w:lang w:eastAsia="en-US"/>
        </w:rPr>
        <w:t>Registro Federal de Contribuyentes de proveedor.</w:t>
      </w:r>
    </w:p>
    <w:p w14:paraId="54A94A66" w14:textId="77777777" w:rsidR="004159E2" w:rsidRPr="008D0ABC" w:rsidRDefault="004159E2" w:rsidP="004159E2">
      <w:pPr>
        <w:spacing w:line="360" w:lineRule="auto"/>
        <w:rPr>
          <w:rFonts w:ascii="Palatino Linotype" w:eastAsia="Calibri" w:hAnsi="Palatino Linotype" w:cs="Tahoma"/>
          <w:b/>
          <w:bCs/>
          <w:iCs/>
          <w:sz w:val="22"/>
          <w:szCs w:val="22"/>
          <w:lang w:val="es-ES" w:eastAsia="en-US"/>
        </w:rPr>
      </w:pPr>
    </w:p>
    <w:p w14:paraId="7D980185" w14:textId="77777777" w:rsidR="004159E2" w:rsidRPr="008D0ABC" w:rsidRDefault="004159E2" w:rsidP="004159E2">
      <w:pPr>
        <w:spacing w:line="360" w:lineRule="auto"/>
        <w:rPr>
          <w:rFonts w:ascii="Palatino Linotype" w:eastAsia="Calibri" w:hAnsi="Palatino Linotype" w:cs="Tahoma"/>
          <w:b/>
          <w:bCs/>
          <w:sz w:val="22"/>
          <w:szCs w:val="22"/>
          <w:lang w:val="es-ES_tradnl" w:eastAsia="en-US"/>
        </w:rPr>
      </w:pPr>
      <w:r w:rsidRPr="008D0ABC">
        <w:rPr>
          <w:rFonts w:ascii="Palatino Linotype" w:eastAsia="Calibri" w:hAnsi="Palatino Linotype" w:cs="Tahoma"/>
          <w:b/>
          <w:bCs/>
          <w:sz w:val="22"/>
          <w:szCs w:val="22"/>
          <w:lang w:val="es-ES_tradnl" w:eastAsia="en-US"/>
        </w:rPr>
        <w:t>Persona física:</w:t>
      </w:r>
    </w:p>
    <w:p w14:paraId="4B7F3CAF" w14:textId="77777777" w:rsidR="004159E2" w:rsidRPr="008D0ABC" w:rsidRDefault="004159E2" w:rsidP="004159E2">
      <w:pPr>
        <w:spacing w:line="360" w:lineRule="auto"/>
        <w:rPr>
          <w:rFonts w:ascii="Palatino Linotype" w:eastAsia="Calibri" w:hAnsi="Palatino Linotype" w:cs="Tahoma"/>
          <w:b/>
          <w:bCs/>
          <w:sz w:val="22"/>
          <w:szCs w:val="22"/>
          <w:lang w:val="es-ES_tradnl" w:eastAsia="en-US"/>
        </w:rPr>
      </w:pPr>
    </w:p>
    <w:p w14:paraId="6B47D8AB" w14:textId="77777777" w:rsidR="004159E2" w:rsidRPr="008D0ABC" w:rsidRDefault="004159E2" w:rsidP="004159E2">
      <w:pPr>
        <w:spacing w:line="360" w:lineRule="auto"/>
        <w:jc w:val="both"/>
        <w:rPr>
          <w:rFonts w:ascii="Palatino Linotype" w:hAnsi="Palatino Linotype" w:cs="Tahoma"/>
          <w:sz w:val="22"/>
          <w:szCs w:val="22"/>
          <w:lang w:eastAsia="es-MX"/>
        </w:rPr>
      </w:pPr>
      <w:r w:rsidRPr="008D0ABC">
        <w:rPr>
          <w:rFonts w:ascii="Palatino Linotype" w:hAnsi="Palatino Linotype" w:cs="Tahoma"/>
          <w:sz w:val="22"/>
          <w:szCs w:val="22"/>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E5002D2" w14:textId="77777777" w:rsidR="004159E2" w:rsidRPr="008D0ABC" w:rsidRDefault="004159E2" w:rsidP="004159E2">
      <w:pPr>
        <w:spacing w:line="360" w:lineRule="auto"/>
        <w:rPr>
          <w:rFonts w:ascii="Palatino Linotype" w:eastAsia="Calibri" w:hAnsi="Palatino Linotype" w:cs="Tahoma"/>
          <w:b/>
          <w:bCs/>
          <w:sz w:val="22"/>
          <w:szCs w:val="22"/>
          <w:lang w:val="es-ES_tradnl" w:eastAsia="en-US"/>
        </w:rPr>
      </w:pPr>
    </w:p>
    <w:p w14:paraId="1E88FEF1" w14:textId="77777777" w:rsidR="004159E2" w:rsidRPr="008D0ABC" w:rsidRDefault="004159E2" w:rsidP="004159E2">
      <w:pPr>
        <w:spacing w:line="360" w:lineRule="auto"/>
        <w:jc w:val="both"/>
        <w:rPr>
          <w:rFonts w:ascii="Palatino Linotype" w:hAnsi="Palatino Linotype" w:cs="Tahoma"/>
          <w:sz w:val="22"/>
          <w:szCs w:val="22"/>
          <w:lang w:eastAsia="es-MX"/>
        </w:rPr>
      </w:pPr>
      <w:r w:rsidRPr="008D0ABC">
        <w:rPr>
          <w:rFonts w:ascii="Palatino Linotype" w:hAnsi="Palatino Linotype" w:cs="Tahoma"/>
          <w:sz w:val="22"/>
          <w:szCs w:val="22"/>
          <w:lang w:eastAsia="es-MX"/>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8A9366D" w14:textId="77777777" w:rsidR="004159E2" w:rsidRPr="008D0ABC" w:rsidRDefault="004159E2" w:rsidP="004159E2">
      <w:pPr>
        <w:spacing w:line="360" w:lineRule="auto"/>
        <w:jc w:val="both"/>
        <w:rPr>
          <w:rFonts w:ascii="Palatino Linotype" w:hAnsi="Palatino Linotype" w:cs="Tahoma"/>
          <w:sz w:val="22"/>
          <w:szCs w:val="22"/>
          <w:lang w:eastAsia="es-MX"/>
        </w:rPr>
      </w:pPr>
    </w:p>
    <w:p w14:paraId="5E99A307" w14:textId="67FAF4DE" w:rsidR="004159E2" w:rsidRPr="008D0ABC" w:rsidRDefault="004159E2" w:rsidP="000613DF">
      <w:pPr>
        <w:spacing w:line="360" w:lineRule="auto"/>
        <w:jc w:val="both"/>
        <w:rPr>
          <w:rFonts w:ascii="Palatino Linotype" w:eastAsia="Calibri" w:hAnsi="Palatino Linotype" w:cs="Tahoma"/>
          <w:bCs/>
          <w:sz w:val="22"/>
          <w:szCs w:val="22"/>
          <w:lang w:eastAsia="es-MX"/>
        </w:rPr>
      </w:pPr>
      <w:r w:rsidRPr="008D0ABC">
        <w:rPr>
          <w:rFonts w:ascii="Palatino Linotype" w:hAnsi="Palatino Linotype" w:cs="Tahoma"/>
          <w:sz w:val="22"/>
          <w:szCs w:val="22"/>
          <w:lang w:eastAsia="es-MX"/>
        </w:rPr>
        <w:t>Conforme a lo expuesto, el Registro Federal de Contribuyentes, es un dato personal, ya que hace a las personas físicas identificas e identificables, además de que las relaciona como contribuyentes de las autoridades fiscales. L</w:t>
      </w:r>
      <w:r w:rsidRPr="008D0ABC">
        <w:rPr>
          <w:rFonts w:ascii="Palatino Linotype" w:eastAsia="Calibri" w:hAnsi="Palatino Linotype" w:cs="Tahoma"/>
          <w:bCs/>
          <w:sz w:val="22"/>
          <w:szCs w:val="22"/>
          <w:lang w:eastAsia="es-MX"/>
        </w:rPr>
        <w:t xml:space="preserve">o anterior, resulta congruente con el </w:t>
      </w:r>
      <w:r w:rsidR="000613DF" w:rsidRPr="008D0ABC">
        <w:rPr>
          <w:rFonts w:ascii="Palatino Linotype" w:eastAsia="Calibri" w:hAnsi="Palatino Linotype" w:cs="Tahoma"/>
          <w:bCs/>
          <w:sz w:val="22"/>
          <w:szCs w:val="22"/>
          <w:lang w:val="es-ES" w:eastAsia="en-US"/>
        </w:rPr>
        <w:t xml:space="preserve">Criterio de Interpretación, de la Segunda Época, con número de registro </w:t>
      </w:r>
      <w:r w:rsidR="000613DF" w:rsidRPr="008D0ABC">
        <w:rPr>
          <w:rFonts w:ascii="Palatino Linotype" w:eastAsia="Calibri" w:hAnsi="Palatino Linotype" w:cs="Tahoma"/>
          <w:bCs/>
          <w:sz w:val="22"/>
          <w:szCs w:val="22"/>
          <w:lang w:eastAsia="en-US"/>
        </w:rPr>
        <w:t>SO/019/2017</w:t>
      </w:r>
      <w:r w:rsidR="000613DF" w:rsidRPr="008D0ABC">
        <w:rPr>
          <w:rFonts w:ascii="Palatino Linotype" w:eastAsia="Calibri" w:hAnsi="Palatino Linotype" w:cs="Tahoma"/>
          <w:bCs/>
          <w:sz w:val="22"/>
          <w:szCs w:val="22"/>
          <w:lang w:eastAsia="es-MX"/>
        </w:rPr>
        <w:t xml:space="preserve">, </w:t>
      </w:r>
      <w:r w:rsidRPr="008D0ABC">
        <w:rPr>
          <w:rFonts w:ascii="Palatino Linotype" w:eastAsia="Calibri" w:hAnsi="Palatino Linotype" w:cs="Tahoma"/>
          <w:bCs/>
          <w:sz w:val="22"/>
          <w:szCs w:val="22"/>
          <w:lang w:eastAsia="es-MX"/>
        </w:rPr>
        <w:t>emitido por el Instituto Nacional de Transparencia, Acceso a la Información y Protección de Datos Personales, en el cual se señala lo siguiente:</w:t>
      </w:r>
    </w:p>
    <w:p w14:paraId="47101C8F" w14:textId="77777777" w:rsidR="004159E2" w:rsidRPr="008D0ABC" w:rsidRDefault="004159E2" w:rsidP="004159E2">
      <w:pPr>
        <w:spacing w:line="360" w:lineRule="auto"/>
        <w:jc w:val="both"/>
        <w:rPr>
          <w:rFonts w:ascii="Palatino Linotype" w:hAnsi="Palatino Linotype" w:cs="Tahoma"/>
          <w:sz w:val="22"/>
          <w:szCs w:val="22"/>
          <w:lang w:eastAsia="es-MX"/>
        </w:rPr>
      </w:pPr>
    </w:p>
    <w:p w14:paraId="50246BB2" w14:textId="77777777" w:rsidR="004159E2" w:rsidRPr="008D0ABC" w:rsidRDefault="004159E2" w:rsidP="004159E2">
      <w:pPr>
        <w:spacing w:line="360" w:lineRule="auto"/>
        <w:ind w:left="567" w:right="567"/>
        <w:contextualSpacing/>
        <w:jc w:val="both"/>
        <w:rPr>
          <w:rFonts w:ascii="Palatino Linotype" w:hAnsi="Palatino Linotype" w:cs="Tahoma"/>
          <w:i/>
        </w:rPr>
      </w:pPr>
      <w:r w:rsidRPr="008D0ABC">
        <w:rPr>
          <w:rFonts w:ascii="Palatino Linotype" w:hAnsi="Palatino Linotype" w:cs="Tahoma"/>
          <w:b/>
          <w:i/>
        </w:rPr>
        <w:t>“Registro Federal de Contribuyentes (RFC) de personas físicas.</w:t>
      </w:r>
      <w:r w:rsidRPr="008D0ABC">
        <w:rPr>
          <w:rFonts w:ascii="Palatino Linotype" w:hAnsi="Palatino Linotype" w:cs="Tahoma"/>
          <w:i/>
        </w:rPr>
        <w:t xml:space="preserve"> El RFC es una clave de carácter fiscal, única e irrepetible, que permite identificar al titular, su edad y fecha de nacimiento, por lo que es un dato personal de carácter confidencial.”</w:t>
      </w:r>
    </w:p>
    <w:p w14:paraId="20446C06" w14:textId="77777777" w:rsidR="004159E2" w:rsidRPr="008D0ABC" w:rsidRDefault="004159E2" w:rsidP="004159E2">
      <w:pPr>
        <w:spacing w:line="360" w:lineRule="auto"/>
        <w:ind w:left="567" w:right="567"/>
        <w:contextualSpacing/>
        <w:jc w:val="both"/>
        <w:rPr>
          <w:rFonts w:ascii="Palatino Linotype" w:hAnsi="Palatino Linotype" w:cs="Tahoma"/>
          <w:sz w:val="22"/>
          <w:szCs w:val="22"/>
        </w:rPr>
      </w:pPr>
    </w:p>
    <w:p w14:paraId="7BF0EC48" w14:textId="77777777" w:rsidR="004159E2" w:rsidRPr="008D0ABC" w:rsidRDefault="004159E2" w:rsidP="004159E2">
      <w:pPr>
        <w:spacing w:line="360" w:lineRule="auto"/>
        <w:ind w:right="-93"/>
        <w:jc w:val="both"/>
        <w:rPr>
          <w:rFonts w:ascii="Palatino Linotype" w:eastAsia="Calibri" w:hAnsi="Palatino Linotype" w:cs="Tahoma"/>
          <w:bCs/>
          <w:sz w:val="22"/>
          <w:szCs w:val="22"/>
          <w:lang w:eastAsia="en-US"/>
        </w:rPr>
      </w:pPr>
      <w:r w:rsidRPr="008D0ABC">
        <w:rPr>
          <w:rFonts w:ascii="Palatino Linotype" w:eastAsia="Calibri" w:hAnsi="Palatino Linotype" w:cs="Tahoma"/>
          <w:bCs/>
          <w:sz w:val="22"/>
          <w:szCs w:val="22"/>
          <w:lang w:val="es-ES_tradnl" w:eastAsia="en-US"/>
        </w:rPr>
        <w:t xml:space="preserve">No obstante lo anterior, </w:t>
      </w:r>
      <w:r w:rsidRPr="008D0ABC">
        <w:rPr>
          <w:rFonts w:ascii="Palatino Linotype" w:eastAsia="Calibri" w:hAnsi="Palatino Linotype" w:cs="Tahoma"/>
          <w:bCs/>
          <w:sz w:val="22"/>
          <w:szCs w:val="22"/>
          <w:lang w:eastAsia="en-US"/>
        </w:rPr>
        <w:t xml:space="preserve">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8D0ABC">
        <w:rPr>
          <w:rFonts w:ascii="Palatino Linotype" w:eastAsia="Calibri" w:hAnsi="Palatino Linotype" w:cs="Tahoma"/>
          <w:b/>
          <w:bCs/>
          <w:sz w:val="22"/>
          <w:szCs w:val="22"/>
          <w:lang w:eastAsia="en-US"/>
        </w:rPr>
        <w:t>la cédula de identificación fiscal (Registro Federal de Contribuyentes);</w:t>
      </w:r>
      <w:r w:rsidRPr="008D0ABC">
        <w:rPr>
          <w:rFonts w:ascii="Palatino Linotype" w:eastAsia="Calibri" w:hAnsi="Palatino Linotype" w:cs="Tahoma"/>
          <w:bCs/>
          <w:sz w:val="22"/>
          <w:szCs w:val="22"/>
          <w:lang w:eastAsia="en-US"/>
        </w:rPr>
        <w:t xml:space="preserve"> por lo que la entrega de dicho dato permite verificar cumplimiento de esta disposición legal.</w:t>
      </w:r>
    </w:p>
    <w:p w14:paraId="64A578A5" w14:textId="29C2B65C" w:rsidR="004159E2" w:rsidRPr="008D0ABC" w:rsidRDefault="004159E2" w:rsidP="004159E2">
      <w:pPr>
        <w:spacing w:line="360" w:lineRule="auto"/>
        <w:ind w:right="-93"/>
        <w:jc w:val="both"/>
        <w:rPr>
          <w:rFonts w:ascii="Palatino Linotype" w:eastAsia="Calibri" w:hAnsi="Palatino Linotype" w:cs="Tahoma"/>
          <w:bCs/>
          <w:sz w:val="22"/>
          <w:szCs w:val="22"/>
          <w:lang w:eastAsia="en-US"/>
        </w:rPr>
      </w:pPr>
    </w:p>
    <w:p w14:paraId="6232307D" w14:textId="0677DDC4" w:rsidR="000613DF" w:rsidRPr="008D0ABC" w:rsidRDefault="000613DF" w:rsidP="000613DF">
      <w:pPr>
        <w:spacing w:line="360" w:lineRule="auto"/>
        <w:ind w:right="-93"/>
        <w:jc w:val="both"/>
        <w:rPr>
          <w:rFonts w:ascii="Palatino Linotype" w:eastAsia="Calibri" w:hAnsi="Palatino Linotype" w:cs="Tahoma"/>
          <w:b/>
          <w:bCs/>
          <w:sz w:val="22"/>
          <w:szCs w:val="22"/>
          <w:lang w:eastAsia="en-US"/>
        </w:rPr>
      </w:pPr>
      <w:r w:rsidRPr="008D0ABC">
        <w:rPr>
          <w:rFonts w:ascii="Palatino Linotype" w:eastAsia="Calibri" w:hAnsi="Palatino Linotype" w:cs="Tahoma"/>
          <w:bCs/>
          <w:sz w:val="22"/>
          <w:szCs w:val="22"/>
          <w:lang w:eastAsia="en-US"/>
        </w:rPr>
        <w:t xml:space="preserve">Por lo tanto, </w:t>
      </w:r>
      <w:r w:rsidRPr="008D0ABC">
        <w:rPr>
          <w:rFonts w:ascii="Palatino Linotype" w:eastAsia="Calibri" w:hAnsi="Palatino Linotype" w:cs="Tahoma"/>
          <w:b/>
          <w:bCs/>
          <w:sz w:val="22"/>
          <w:szCs w:val="22"/>
          <w:lang w:eastAsia="en-US"/>
        </w:rPr>
        <w:t>en el presente caso, si bien el Registro Federal de Contribuyentes de personas físicas es un dato personal, también lo es, que corresponde a un requisito indispensable para ser proveedor y poder llevar a cabo actividades comerciales con la Entidad</w:t>
      </w:r>
      <w:r w:rsidRPr="008D0ABC">
        <w:rPr>
          <w:rFonts w:ascii="Palatino Linotype" w:eastAsia="Calibri" w:hAnsi="Palatino Linotype" w:cs="Tahoma"/>
          <w:bCs/>
          <w:sz w:val="22"/>
          <w:szCs w:val="22"/>
          <w:lang w:eastAsia="en-US"/>
        </w:rPr>
        <w:t xml:space="preserve">, ya que, sin este, no se pueden realizar dichas acciones, </w:t>
      </w:r>
      <w:r w:rsidRPr="008D0ABC">
        <w:rPr>
          <w:rFonts w:ascii="Palatino Linotype" w:eastAsia="Calibri" w:hAnsi="Palatino Linotype" w:cs="Tahoma"/>
          <w:b/>
          <w:bCs/>
          <w:sz w:val="22"/>
          <w:szCs w:val="22"/>
          <w:lang w:eastAsia="en-US"/>
        </w:rPr>
        <w:t>por lo que su entrega es un elemento adicional que respalda la legalidad de los procesos adquisitivos.</w:t>
      </w:r>
    </w:p>
    <w:p w14:paraId="3A7B09AC" w14:textId="77777777" w:rsidR="000613DF" w:rsidRPr="008D0ABC" w:rsidRDefault="000613DF" w:rsidP="000613DF">
      <w:pPr>
        <w:spacing w:line="360" w:lineRule="auto"/>
        <w:ind w:right="-93"/>
        <w:jc w:val="both"/>
        <w:rPr>
          <w:rFonts w:ascii="Palatino Linotype" w:eastAsia="Calibri" w:hAnsi="Palatino Linotype" w:cs="Tahoma"/>
          <w:b/>
          <w:bCs/>
          <w:sz w:val="22"/>
          <w:szCs w:val="22"/>
          <w:lang w:eastAsia="en-US"/>
        </w:rPr>
      </w:pPr>
    </w:p>
    <w:p w14:paraId="1D2ED24B" w14:textId="77777777" w:rsidR="000613DF" w:rsidRPr="008D0ABC" w:rsidRDefault="000613DF" w:rsidP="000613DF">
      <w:pPr>
        <w:spacing w:line="360" w:lineRule="auto"/>
        <w:ind w:right="-93"/>
        <w:jc w:val="both"/>
        <w:rPr>
          <w:rFonts w:ascii="Palatino Linotype" w:eastAsia="Calibri" w:hAnsi="Palatino Linotype" w:cs="Tahoma"/>
          <w:bCs/>
          <w:sz w:val="22"/>
          <w:szCs w:val="22"/>
          <w:lang w:eastAsia="en-US"/>
        </w:rPr>
      </w:pPr>
      <w:r w:rsidRPr="008D0ABC">
        <w:rPr>
          <w:rFonts w:ascii="Palatino Linotype" w:eastAsia="Calibri" w:hAnsi="Palatino Linotype" w:cs="Tahoma"/>
          <w:bCs/>
          <w:sz w:val="22"/>
          <w:szCs w:val="22"/>
          <w:lang w:eastAsia="en-US"/>
        </w:rPr>
        <w:t xml:space="preserve">En ese contexto, entregar el Registro Federal de Contribuyentes aún de personas físicas cuando son proveedores de instituciones públicas, </w:t>
      </w:r>
      <w:r w:rsidRPr="008D0ABC">
        <w:rPr>
          <w:rFonts w:ascii="Palatino Linotype" w:eastAsia="Calibri" w:hAnsi="Palatino Linotype" w:cs="Tahoma"/>
          <w:b/>
          <w:bCs/>
          <w:sz w:val="22"/>
          <w:szCs w:val="22"/>
          <w:lang w:eastAsia="en-US"/>
        </w:rPr>
        <w:t>propiciaría la rendición de cuentas</w:t>
      </w:r>
      <w:r w:rsidRPr="008D0ABC">
        <w:rPr>
          <w:rFonts w:ascii="Palatino Linotype" w:eastAsia="Calibri" w:hAnsi="Palatino Linotype" w:cs="Tahoma"/>
          <w:bCs/>
          <w:sz w:val="22"/>
          <w:szCs w:val="22"/>
          <w:lang w:eastAsia="en-US"/>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5FF557B2" w14:textId="77777777" w:rsidR="000613DF" w:rsidRPr="008D0ABC" w:rsidRDefault="000613DF" w:rsidP="004159E2">
      <w:pPr>
        <w:spacing w:line="360" w:lineRule="auto"/>
        <w:ind w:right="-93"/>
        <w:jc w:val="both"/>
        <w:rPr>
          <w:rFonts w:ascii="Palatino Linotype" w:eastAsia="Calibri" w:hAnsi="Palatino Linotype" w:cs="Tahoma"/>
          <w:bCs/>
          <w:sz w:val="22"/>
          <w:szCs w:val="22"/>
          <w:lang w:eastAsia="en-US"/>
        </w:rPr>
      </w:pPr>
    </w:p>
    <w:p w14:paraId="116D851D" w14:textId="5C7B6F93" w:rsidR="000613DF" w:rsidRPr="008D0ABC" w:rsidRDefault="004159E2" w:rsidP="000613DF">
      <w:pPr>
        <w:spacing w:line="360" w:lineRule="auto"/>
        <w:jc w:val="both"/>
        <w:rPr>
          <w:rFonts w:ascii="Palatino Linotype" w:eastAsia="Calibri" w:hAnsi="Palatino Linotype" w:cs="Tahoma"/>
          <w:bCs/>
          <w:sz w:val="22"/>
          <w:szCs w:val="22"/>
          <w:lang w:eastAsia="es-MX"/>
        </w:rPr>
      </w:pPr>
      <w:r w:rsidRPr="008D0ABC">
        <w:rPr>
          <w:rFonts w:ascii="Palatino Linotype" w:eastAsia="Calibri" w:hAnsi="Palatino Linotype" w:cs="Tahoma"/>
          <w:bCs/>
          <w:sz w:val="22"/>
          <w:szCs w:val="22"/>
          <w:lang w:eastAsia="en-US"/>
        </w:rPr>
        <w:t xml:space="preserve">Lo anterior, </w:t>
      </w:r>
      <w:r w:rsidR="000613DF" w:rsidRPr="008D0ABC">
        <w:rPr>
          <w:rFonts w:ascii="Palatino Linotype" w:eastAsia="Calibri" w:hAnsi="Palatino Linotype" w:cs="Tahoma"/>
          <w:bCs/>
          <w:sz w:val="22"/>
          <w:szCs w:val="22"/>
          <w:lang w:eastAsia="en-US"/>
        </w:rPr>
        <w:t xml:space="preserve">se robustece con </w:t>
      </w:r>
      <w:r w:rsidR="000613DF" w:rsidRPr="008D0ABC">
        <w:rPr>
          <w:rFonts w:ascii="Palatino Linotype" w:eastAsia="Calibri" w:hAnsi="Palatino Linotype" w:cs="Tahoma"/>
          <w:bCs/>
          <w:sz w:val="22"/>
          <w:szCs w:val="22"/>
          <w:lang w:eastAsia="es-MX"/>
        </w:rPr>
        <w:t xml:space="preserve">el </w:t>
      </w:r>
      <w:r w:rsidR="000613DF" w:rsidRPr="008D0ABC">
        <w:rPr>
          <w:rFonts w:ascii="Palatino Linotype" w:eastAsia="Calibri" w:hAnsi="Palatino Linotype" w:cs="Tahoma"/>
          <w:bCs/>
          <w:sz w:val="22"/>
          <w:szCs w:val="22"/>
          <w:lang w:val="es-ES" w:eastAsia="en-US"/>
        </w:rPr>
        <w:t xml:space="preserve">Criterio de Interpretación, de la Segunda Época, con número de registro </w:t>
      </w:r>
      <w:r w:rsidR="000613DF" w:rsidRPr="008D0ABC">
        <w:rPr>
          <w:rFonts w:ascii="Palatino Linotype" w:eastAsia="Calibri" w:hAnsi="Palatino Linotype" w:cs="Tahoma"/>
          <w:bCs/>
          <w:sz w:val="22"/>
          <w:szCs w:val="22"/>
          <w:lang w:eastAsia="en-US"/>
        </w:rPr>
        <w:t>SO/004/2021</w:t>
      </w:r>
      <w:r w:rsidR="000613DF" w:rsidRPr="008D0ABC">
        <w:rPr>
          <w:rFonts w:ascii="Palatino Linotype" w:eastAsia="Calibri" w:hAnsi="Palatino Linotype" w:cs="Tahoma"/>
          <w:bCs/>
          <w:sz w:val="22"/>
          <w:szCs w:val="22"/>
          <w:lang w:eastAsia="es-MX"/>
        </w:rPr>
        <w:t>, emitido por el Instituto Nacional de Transparencia, Acceso a la Información y Protección de Datos Personales, en el cual se señala lo siguiente:</w:t>
      </w:r>
    </w:p>
    <w:p w14:paraId="5B471237" w14:textId="77777777" w:rsidR="000613DF" w:rsidRPr="008D0ABC" w:rsidRDefault="000613DF" w:rsidP="000613DF">
      <w:pPr>
        <w:spacing w:line="360" w:lineRule="auto"/>
        <w:jc w:val="both"/>
        <w:rPr>
          <w:rFonts w:ascii="Palatino Linotype" w:eastAsia="Calibri" w:hAnsi="Palatino Linotype" w:cs="Tahoma"/>
          <w:bCs/>
          <w:sz w:val="22"/>
          <w:szCs w:val="22"/>
          <w:lang w:eastAsia="es-MX"/>
        </w:rPr>
      </w:pPr>
    </w:p>
    <w:p w14:paraId="69E615A3" w14:textId="319869FA" w:rsidR="004159E2" w:rsidRPr="008D0ABC" w:rsidRDefault="004159E2" w:rsidP="000613DF">
      <w:pPr>
        <w:spacing w:line="360" w:lineRule="auto"/>
        <w:ind w:left="567" w:right="567"/>
        <w:jc w:val="both"/>
        <w:rPr>
          <w:rFonts w:ascii="Palatino Linotype" w:hAnsi="Palatino Linotype" w:cs="Tahoma"/>
          <w:bCs/>
          <w:i/>
        </w:rPr>
      </w:pPr>
      <w:r w:rsidRPr="008D0ABC">
        <w:rPr>
          <w:rFonts w:ascii="Palatino Linotype" w:hAnsi="Palatino Linotype" w:cs="Tahoma"/>
          <w:b/>
          <w:i/>
        </w:rPr>
        <w:t xml:space="preserve">“Registro Federal de Contribuyentes (RFC) de personas físicas proveedores o contratistas. </w:t>
      </w:r>
      <w:r w:rsidRPr="008D0ABC">
        <w:rPr>
          <w:rFonts w:ascii="Palatino Linotype" w:hAnsi="Palatino Linotype" w:cs="Tahoma"/>
          <w:bCs/>
          <w:i/>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90B36E3" w14:textId="77777777" w:rsidR="004159E2" w:rsidRPr="008D0ABC" w:rsidRDefault="004159E2" w:rsidP="004159E2">
      <w:pPr>
        <w:spacing w:line="360" w:lineRule="auto"/>
        <w:ind w:right="-93"/>
        <w:jc w:val="both"/>
        <w:rPr>
          <w:rFonts w:ascii="Palatino Linotype" w:eastAsia="Calibri" w:hAnsi="Palatino Linotype" w:cs="Tahoma"/>
          <w:bCs/>
          <w:sz w:val="22"/>
          <w:szCs w:val="22"/>
          <w:lang w:eastAsia="en-US"/>
        </w:rPr>
      </w:pPr>
    </w:p>
    <w:p w14:paraId="2554D00F" w14:textId="6F4B258E" w:rsidR="004159E2" w:rsidRPr="008D0ABC" w:rsidRDefault="004159E2" w:rsidP="004159E2">
      <w:pPr>
        <w:spacing w:line="360" w:lineRule="auto"/>
        <w:jc w:val="both"/>
        <w:rPr>
          <w:rFonts w:ascii="Palatino Linotype" w:hAnsi="Palatino Linotype"/>
          <w:b/>
          <w:sz w:val="22"/>
          <w:szCs w:val="22"/>
          <w:u w:val="single"/>
        </w:rPr>
      </w:pPr>
      <w:r w:rsidRPr="008D0ABC">
        <w:rPr>
          <w:rFonts w:ascii="Palatino Linotype" w:eastAsia="Calibri" w:hAnsi="Palatino Linotype" w:cs="Tahoma"/>
          <w:bCs/>
          <w:sz w:val="22"/>
          <w:szCs w:val="22"/>
          <w:lang w:eastAsia="en-US"/>
        </w:rPr>
        <w:t>En conclusión, toda vez, que el Registro Federal de Contribuyentes de proveedores, es un requisito indispensable, para poder participar en adquisiciones públicas y contracción de servicios</w:t>
      </w:r>
      <w:r w:rsidR="000613DF" w:rsidRPr="008D0ABC">
        <w:rPr>
          <w:rFonts w:ascii="Palatino Linotype" w:eastAsia="Calibri" w:hAnsi="Palatino Linotype" w:cs="Tahoma"/>
          <w:bCs/>
          <w:sz w:val="22"/>
          <w:szCs w:val="22"/>
          <w:lang w:eastAsia="en-US"/>
        </w:rPr>
        <w:t xml:space="preserve"> y que abona a la transparencia con la que deben administrarse los recursos públicos</w:t>
      </w:r>
      <w:r w:rsidRPr="008D0ABC">
        <w:rPr>
          <w:rFonts w:ascii="Palatino Linotype" w:eastAsia="Calibri" w:hAnsi="Palatino Linotype" w:cs="Tahoma"/>
          <w:bCs/>
          <w:sz w:val="22"/>
          <w:szCs w:val="22"/>
          <w:lang w:eastAsia="en-US"/>
        </w:rPr>
        <w:t>, no actualiza la causal de clasificación prevista en el artículo 143, fracción I de la Ley de Transparencia y Acceso a la Información Pública del Estado de México y Municipios.</w:t>
      </w:r>
    </w:p>
    <w:p w14:paraId="41BE9F8C" w14:textId="77777777" w:rsidR="004159E2" w:rsidRPr="008D0ABC" w:rsidRDefault="004159E2" w:rsidP="004159E2">
      <w:pPr>
        <w:spacing w:line="360" w:lineRule="auto"/>
        <w:rPr>
          <w:rFonts w:ascii="Palatino Linotype" w:eastAsia="Calibri" w:hAnsi="Palatino Linotype" w:cs="Tahoma"/>
          <w:b/>
          <w:sz w:val="22"/>
          <w:szCs w:val="22"/>
          <w:lang w:val="es-ES_tradnl" w:eastAsia="en-US"/>
        </w:rPr>
      </w:pPr>
    </w:p>
    <w:p w14:paraId="48FB9E5E" w14:textId="77777777" w:rsidR="004159E2" w:rsidRPr="008D0ABC" w:rsidRDefault="004159E2" w:rsidP="004159E2">
      <w:pPr>
        <w:spacing w:line="360" w:lineRule="auto"/>
        <w:jc w:val="both"/>
        <w:rPr>
          <w:rFonts w:ascii="Palatino Linotype" w:eastAsia="Calibri" w:hAnsi="Palatino Linotype" w:cs="Tahoma"/>
          <w:b/>
          <w:sz w:val="22"/>
          <w:szCs w:val="22"/>
          <w:lang w:eastAsia="en-US"/>
        </w:rPr>
      </w:pPr>
      <w:r w:rsidRPr="008D0ABC">
        <w:rPr>
          <w:rFonts w:ascii="Palatino Linotype" w:eastAsia="Calibri" w:hAnsi="Palatino Linotype" w:cs="Tahoma"/>
          <w:b/>
          <w:sz w:val="22"/>
          <w:szCs w:val="22"/>
          <w:lang w:eastAsia="en-US"/>
        </w:rPr>
        <w:t>Persona Moral.</w:t>
      </w:r>
    </w:p>
    <w:p w14:paraId="77F75430" w14:textId="77777777" w:rsidR="004159E2" w:rsidRPr="008D0ABC" w:rsidRDefault="004159E2" w:rsidP="004159E2">
      <w:pPr>
        <w:spacing w:line="360" w:lineRule="auto"/>
        <w:jc w:val="both"/>
        <w:rPr>
          <w:rFonts w:ascii="Palatino Linotype" w:eastAsia="Calibri" w:hAnsi="Palatino Linotype" w:cs="Tahoma"/>
          <w:bCs/>
          <w:sz w:val="22"/>
          <w:szCs w:val="22"/>
          <w:lang w:eastAsia="en-US"/>
        </w:rPr>
      </w:pPr>
    </w:p>
    <w:p w14:paraId="66659FAF" w14:textId="77777777" w:rsidR="004159E2" w:rsidRPr="008D0ABC" w:rsidRDefault="004159E2" w:rsidP="004159E2">
      <w:pPr>
        <w:spacing w:line="360" w:lineRule="auto"/>
        <w:jc w:val="both"/>
        <w:rPr>
          <w:rFonts w:ascii="Palatino Linotype" w:eastAsia="Calibri" w:hAnsi="Palatino Linotype" w:cs="Tahoma"/>
          <w:bCs/>
          <w:sz w:val="22"/>
          <w:szCs w:val="22"/>
          <w:lang w:eastAsia="en-US"/>
        </w:rPr>
      </w:pPr>
      <w:r w:rsidRPr="008D0ABC">
        <w:rPr>
          <w:rFonts w:ascii="Palatino Linotype" w:eastAsia="Calibri" w:hAnsi="Palatino Linotype" w:cs="Tahoma"/>
          <w:bCs/>
          <w:sz w:val="22"/>
          <w:szCs w:val="22"/>
          <w:lang w:eastAsia="en-US"/>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63ABEC4A" w14:textId="77777777" w:rsidR="004159E2" w:rsidRPr="008D0ABC" w:rsidRDefault="004159E2" w:rsidP="004159E2">
      <w:pPr>
        <w:spacing w:line="360" w:lineRule="auto"/>
        <w:jc w:val="both"/>
        <w:rPr>
          <w:rFonts w:ascii="Palatino Linotype" w:eastAsia="Calibri" w:hAnsi="Palatino Linotype" w:cs="Tahoma"/>
          <w:bCs/>
          <w:sz w:val="22"/>
          <w:szCs w:val="22"/>
          <w:lang w:eastAsia="en-US"/>
        </w:rPr>
      </w:pPr>
    </w:p>
    <w:p w14:paraId="5594CC6A" w14:textId="77777777" w:rsidR="004159E2" w:rsidRPr="008D0ABC" w:rsidRDefault="004159E2" w:rsidP="004159E2">
      <w:pPr>
        <w:spacing w:line="360" w:lineRule="auto"/>
        <w:jc w:val="both"/>
        <w:rPr>
          <w:rFonts w:ascii="Palatino Linotype" w:eastAsia="Calibri" w:hAnsi="Palatino Linotype" w:cs="Tahoma"/>
          <w:bCs/>
          <w:sz w:val="22"/>
          <w:szCs w:val="22"/>
          <w:lang w:eastAsia="en-US"/>
        </w:rPr>
      </w:pPr>
      <w:r w:rsidRPr="008D0ABC">
        <w:rPr>
          <w:rFonts w:ascii="Palatino Linotype" w:eastAsia="Calibri" w:hAnsi="Palatino Linotype" w:cs="Tahoma"/>
          <w:bCs/>
          <w:sz w:val="22"/>
          <w:szCs w:val="22"/>
          <w:lang w:eastAsia="en-US"/>
        </w:rPr>
        <w:t>Por ende, la información correspondiente al Registro Federal de Contribuyentes de una persona moral da cuenta del cumplimiento o no en sus obligaciones fiscales; por tanto, no se actualiza su clasificación como confidencial.</w:t>
      </w:r>
    </w:p>
    <w:p w14:paraId="4872F02D" w14:textId="77777777" w:rsidR="004159E2" w:rsidRPr="008D0ABC" w:rsidRDefault="004159E2" w:rsidP="004159E2">
      <w:pPr>
        <w:spacing w:line="360" w:lineRule="auto"/>
        <w:jc w:val="both"/>
        <w:rPr>
          <w:rFonts w:ascii="Palatino Linotype" w:eastAsia="Calibri" w:hAnsi="Palatino Linotype" w:cs="Tahoma"/>
          <w:bCs/>
          <w:sz w:val="22"/>
          <w:szCs w:val="22"/>
          <w:lang w:eastAsia="en-US"/>
        </w:rPr>
      </w:pPr>
    </w:p>
    <w:p w14:paraId="7C74B6E0" w14:textId="5976799C" w:rsidR="004159E2" w:rsidRPr="008D0ABC" w:rsidRDefault="004159E2" w:rsidP="004159E2">
      <w:pPr>
        <w:spacing w:line="360" w:lineRule="auto"/>
        <w:jc w:val="both"/>
        <w:rPr>
          <w:rFonts w:ascii="Palatino Linotype" w:eastAsia="Calibri" w:hAnsi="Palatino Linotype" w:cs="Tahoma"/>
          <w:bCs/>
          <w:sz w:val="22"/>
          <w:szCs w:val="22"/>
          <w:lang w:eastAsia="en-US"/>
        </w:rPr>
      </w:pPr>
      <w:r w:rsidRPr="008D0ABC">
        <w:rPr>
          <w:rFonts w:ascii="Palatino Linotype" w:eastAsia="Calibri" w:hAnsi="Palatino Linotype" w:cs="Tahoma"/>
          <w:bCs/>
          <w:sz w:val="22"/>
          <w:szCs w:val="22"/>
          <w:lang w:eastAsia="en-US"/>
        </w:rPr>
        <w:t xml:space="preserve">Además, resulta aplicable por analogía el </w:t>
      </w:r>
      <w:r w:rsidR="000613DF" w:rsidRPr="008D0ABC">
        <w:rPr>
          <w:rFonts w:ascii="Palatino Linotype" w:eastAsia="Calibri" w:hAnsi="Palatino Linotype" w:cs="Tahoma"/>
          <w:bCs/>
          <w:sz w:val="22"/>
          <w:szCs w:val="22"/>
          <w:lang w:val="es-ES" w:eastAsia="en-US"/>
        </w:rPr>
        <w:t xml:space="preserve">Criterio de Interpretación, de la Segunda Época, con número de registro </w:t>
      </w:r>
      <w:r w:rsidR="000613DF" w:rsidRPr="008D0ABC">
        <w:rPr>
          <w:rFonts w:ascii="Palatino Linotype" w:eastAsia="Calibri" w:hAnsi="Palatino Linotype" w:cs="Tahoma"/>
          <w:bCs/>
          <w:sz w:val="22"/>
          <w:szCs w:val="22"/>
          <w:lang w:eastAsia="en-US"/>
        </w:rPr>
        <w:t>SO/008/2019</w:t>
      </w:r>
      <w:r w:rsidR="000613DF" w:rsidRPr="008D0ABC">
        <w:rPr>
          <w:rFonts w:ascii="Palatino Linotype" w:eastAsia="Calibri" w:hAnsi="Palatino Linotype" w:cs="Tahoma"/>
          <w:bCs/>
          <w:sz w:val="22"/>
          <w:szCs w:val="22"/>
          <w:lang w:eastAsia="es-MX"/>
        </w:rPr>
        <w:t xml:space="preserve">, emitido por el Instituto Nacional de Transparencia, Acceso a la Información y Protección de Datos Personales, </w:t>
      </w:r>
      <w:r w:rsidR="000613DF" w:rsidRPr="008D0ABC">
        <w:rPr>
          <w:rFonts w:ascii="Palatino Linotype" w:eastAsia="Calibri" w:hAnsi="Palatino Linotype" w:cs="Tahoma"/>
          <w:bCs/>
          <w:sz w:val="22"/>
          <w:szCs w:val="22"/>
          <w:lang w:eastAsia="en-US"/>
        </w:rPr>
        <w:t>que precisa</w:t>
      </w:r>
      <w:r w:rsidRPr="008D0ABC">
        <w:rPr>
          <w:rFonts w:ascii="Palatino Linotype" w:eastAsia="Calibri" w:hAnsi="Palatino Linotype" w:cs="Tahoma"/>
          <w:bCs/>
          <w:sz w:val="22"/>
          <w:szCs w:val="22"/>
          <w:lang w:eastAsia="en-US"/>
        </w:rPr>
        <w:t xml:space="preserve"> que el Registro Federal de Contribuyentes de personas morales, es público, al no referir a hechos o actos de carácter económico, contable, jurídico o administrativo que sean útiles o representen una ventaja a sus competidores.</w:t>
      </w:r>
    </w:p>
    <w:p w14:paraId="2498A8FC" w14:textId="77777777" w:rsidR="004159E2" w:rsidRPr="008D0ABC" w:rsidRDefault="004159E2" w:rsidP="004159E2">
      <w:pPr>
        <w:spacing w:line="360" w:lineRule="auto"/>
        <w:jc w:val="both"/>
        <w:rPr>
          <w:rFonts w:ascii="Palatino Linotype" w:eastAsia="Calibri" w:hAnsi="Palatino Linotype" w:cs="Tahoma"/>
          <w:bCs/>
          <w:sz w:val="22"/>
          <w:szCs w:val="22"/>
          <w:lang w:eastAsia="en-US"/>
        </w:rPr>
      </w:pPr>
    </w:p>
    <w:p w14:paraId="0F979DE5" w14:textId="77777777" w:rsidR="004159E2" w:rsidRPr="008D0ABC" w:rsidRDefault="004159E2" w:rsidP="004159E2">
      <w:pPr>
        <w:spacing w:line="360" w:lineRule="auto"/>
        <w:jc w:val="both"/>
        <w:rPr>
          <w:rFonts w:ascii="Palatino Linotype" w:eastAsia="Calibri" w:hAnsi="Palatino Linotype" w:cs="Tahoma"/>
          <w:bCs/>
          <w:sz w:val="22"/>
          <w:szCs w:val="22"/>
          <w:lang w:eastAsia="en-US"/>
        </w:rPr>
      </w:pPr>
      <w:r w:rsidRPr="008D0ABC">
        <w:rPr>
          <w:rFonts w:ascii="Palatino Linotype" w:eastAsia="Calibri" w:hAnsi="Palatino Linotype" w:cs="Tahoma"/>
          <w:bCs/>
          <w:sz w:val="22"/>
          <w:szCs w:val="22"/>
          <w:lang w:eastAsia="en-US"/>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1096C32C" w14:textId="77777777" w:rsidR="004159E2" w:rsidRPr="008D0ABC" w:rsidRDefault="004159E2" w:rsidP="004159E2">
      <w:pPr>
        <w:spacing w:line="360" w:lineRule="auto"/>
        <w:jc w:val="both"/>
        <w:rPr>
          <w:rFonts w:ascii="Palatino Linotype" w:hAnsi="Palatino Linotype" w:cs="Tahoma"/>
          <w:sz w:val="22"/>
          <w:szCs w:val="24"/>
          <w:lang w:val="es-ES"/>
        </w:rPr>
      </w:pPr>
    </w:p>
    <w:p w14:paraId="60C7E2C0" w14:textId="44D345F1" w:rsidR="001874BE" w:rsidRPr="008D0ABC" w:rsidRDefault="000613DF" w:rsidP="00372DBA">
      <w:pPr>
        <w:spacing w:line="360" w:lineRule="auto"/>
        <w:jc w:val="both"/>
        <w:rPr>
          <w:rFonts w:ascii="Palatino Linotype" w:hAnsi="Palatino Linotype" w:cs="Tahoma"/>
          <w:color w:val="000000" w:themeColor="text1"/>
          <w:sz w:val="22"/>
          <w:szCs w:val="22"/>
          <w:lang w:eastAsia="es-MX"/>
        </w:rPr>
      </w:pPr>
      <w:r w:rsidRPr="008D0ABC">
        <w:rPr>
          <w:rFonts w:ascii="Palatino Linotype" w:hAnsi="Palatino Linotype" w:cs="Tahoma"/>
          <w:color w:val="000000" w:themeColor="text1"/>
          <w:sz w:val="22"/>
          <w:szCs w:val="22"/>
          <w:lang w:eastAsia="es-MX"/>
        </w:rPr>
        <w:t>Conforme a lo anterior, se logra vislumbrar que el Sujeto Obligado si bien proporcionó el documento que daba cuenta de lo solicitado, lo proporcionó en versión pública, en donde clasificó datos de naturaleza público, a saber, el Registro Federal de Contribuyentes; no obstante, durante la sustanciación del Medio de Impugnación, modificó su actuar y entregó el Padrón de Proveedores, en versión íntegra, tal como se muestra a continuación:</w:t>
      </w:r>
    </w:p>
    <w:p w14:paraId="782F0850" w14:textId="3F5ED621" w:rsidR="000613DF" w:rsidRPr="008D0ABC" w:rsidRDefault="000613DF" w:rsidP="00372DBA">
      <w:pPr>
        <w:spacing w:line="360" w:lineRule="auto"/>
        <w:jc w:val="both"/>
        <w:rPr>
          <w:rFonts w:ascii="Palatino Linotype" w:hAnsi="Palatino Linotype" w:cs="Tahoma"/>
          <w:color w:val="000000" w:themeColor="text1"/>
          <w:sz w:val="22"/>
          <w:szCs w:val="22"/>
          <w:lang w:eastAsia="es-MX"/>
        </w:rPr>
      </w:pPr>
    </w:p>
    <w:p w14:paraId="34498D93" w14:textId="1C32258B" w:rsidR="000613DF" w:rsidRPr="008D0ABC" w:rsidRDefault="000613DF" w:rsidP="000613DF">
      <w:pPr>
        <w:spacing w:line="360" w:lineRule="auto"/>
        <w:jc w:val="center"/>
        <w:rPr>
          <w:rFonts w:ascii="Palatino Linotype" w:hAnsi="Palatino Linotype" w:cs="Tahoma"/>
          <w:color w:val="000000" w:themeColor="text1"/>
          <w:sz w:val="22"/>
          <w:szCs w:val="22"/>
          <w:lang w:eastAsia="es-MX"/>
        </w:rPr>
      </w:pPr>
      <w:r w:rsidRPr="008D0ABC">
        <w:rPr>
          <w:noProof/>
          <w:lang w:eastAsia="es-MX"/>
        </w:rPr>
        <w:drawing>
          <wp:inline distT="0" distB="0" distL="0" distR="0" wp14:anchorId="4AD717D8" wp14:editId="38BA84D9">
            <wp:extent cx="5124450" cy="3790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4450" cy="3790950"/>
                    </a:xfrm>
                    <a:prstGeom prst="rect">
                      <a:avLst/>
                    </a:prstGeom>
                  </pic:spPr>
                </pic:pic>
              </a:graphicData>
            </a:graphic>
          </wp:inline>
        </w:drawing>
      </w:r>
    </w:p>
    <w:p w14:paraId="2AE9E8B7" w14:textId="440626AD" w:rsidR="004159E2" w:rsidRPr="008D0ABC" w:rsidRDefault="004159E2" w:rsidP="00372DBA">
      <w:pPr>
        <w:spacing w:line="360" w:lineRule="auto"/>
        <w:jc w:val="both"/>
        <w:rPr>
          <w:rFonts w:ascii="Palatino Linotype" w:hAnsi="Palatino Linotype" w:cs="Tahoma"/>
          <w:color w:val="000000" w:themeColor="text1"/>
          <w:sz w:val="22"/>
          <w:szCs w:val="22"/>
          <w:lang w:eastAsia="es-MX"/>
        </w:rPr>
      </w:pPr>
    </w:p>
    <w:p w14:paraId="3B069AA5" w14:textId="30A254C6" w:rsidR="000613DF" w:rsidRPr="008D0ABC" w:rsidRDefault="000613DF" w:rsidP="00372DBA">
      <w:pPr>
        <w:spacing w:line="360" w:lineRule="auto"/>
        <w:jc w:val="both"/>
        <w:rPr>
          <w:rFonts w:ascii="Palatino Linotype" w:hAnsi="Palatino Linotype" w:cs="Tahoma"/>
          <w:color w:val="000000" w:themeColor="text1"/>
          <w:sz w:val="22"/>
          <w:szCs w:val="22"/>
          <w:lang w:eastAsia="es-MX"/>
        </w:rPr>
      </w:pPr>
      <w:r w:rsidRPr="008D0ABC">
        <w:rPr>
          <w:rFonts w:ascii="Palatino Linotype" w:hAnsi="Palatino Linotype" w:cs="Tahoma"/>
          <w:color w:val="000000" w:themeColor="text1"/>
          <w:sz w:val="22"/>
          <w:szCs w:val="22"/>
          <w:lang w:eastAsia="es-MX"/>
        </w:rPr>
        <w:t>De tales circunstancias, se considera que el Sujeto Obligado dio cumplimiento a los artículos 12 y 160 de la Ley de Transparencia y Acceso a la Información Pública del Estado de México y Municipios, al proporcionar el Padrón de Proveedores, del primero de enero al veintidós de junio de dos mil veintidós, en versión íntegra, por lo que, se tiene por atendido el requerimiento de información.</w:t>
      </w:r>
    </w:p>
    <w:p w14:paraId="6C613938" w14:textId="5E9B07E5" w:rsidR="004159E2" w:rsidRPr="008D0ABC" w:rsidRDefault="004159E2" w:rsidP="00372DBA">
      <w:pPr>
        <w:spacing w:line="360" w:lineRule="auto"/>
        <w:jc w:val="both"/>
        <w:rPr>
          <w:rFonts w:ascii="Palatino Linotype" w:hAnsi="Palatino Linotype" w:cs="Tahoma"/>
          <w:color w:val="000000" w:themeColor="text1"/>
          <w:sz w:val="22"/>
          <w:szCs w:val="22"/>
          <w:lang w:eastAsia="es-MX"/>
        </w:rPr>
      </w:pPr>
    </w:p>
    <w:p w14:paraId="7C8ABF78" w14:textId="7F0453AA" w:rsidR="000613DF" w:rsidRPr="008D0ABC" w:rsidRDefault="000613DF" w:rsidP="00372DBA">
      <w:pPr>
        <w:spacing w:line="360" w:lineRule="auto"/>
        <w:jc w:val="both"/>
        <w:rPr>
          <w:rFonts w:ascii="Palatino Linotype" w:hAnsi="Palatino Linotype" w:cs="Tahoma"/>
          <w:b/>
          <w:bCs/>
          <w:color w:val="000000" w:themeColor="text1"/>
          <w:sz w:val="22"/>
          <w:szCs w:val="22"/>
          <w:lang w:eastAsia="es-MX"/>
        </w:rPr>
      </w:pPr>
      <w:r w:rsidRPr="008D0ABC">
        <w:rPr>
          <w:rFonts w:ascii="Palatino Linotype" w:hAnsi="Palatino Linotype" w:cs="Tahoma"/>
          <w:b/>
          <w:bCs/>
          <w:color w:val="000000" w:themeColor="text1"/>
          <w:sz w:val="22"/>
          <w:szCs w:val="22"/>
          <w:lang w:eastAsia="es-MX"/>
        </w:rPr>
        <w:t>Obras Públicas.</w:t>
      </w:r>
    </w:p>
    <w:p w14:paraId="45C17F61" w14:textId="77777777" w:rsidR="000613DF" w:rsidRPr="008D0ABC" w:rsidRDefault="000613DF" w:rsidP="00372DBA">
      <w:pPr>
        <w:spacing w:line="360" w:lineRule="auto"/>
        <w:jc w:val="both"/>
        <w:rPr>
          <w:rFonts w:ascii="Palatino Linotype" w:hAnsi="Palatino Linotype" w:cs="Tahoma"/>
          <w:color w:val="000000" w:themeColor="text1"/>
          <w:sz w:val="22"/>
          <w:szCs w:val="22"/>
          <w:lang w:eastAsia="es-MX"/>
        </w:rPr>
      </w:pPr>
    </w:p>
    <w:p w14:paraId="1FEB6DC0" w14:textId="40FEC420" w:rsidR="009835B0" w:rsidRPr="008D0ABC" w:rsidRDefault="0040775A" w:rsidP="00372DBA">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00000" w:themeColor="text1"/>
          <w:sz w:val="22"/>
          <w:szCs w:val="22"/>
          <w:lang w:eastAsia="es-MX"/>
        </w:rPr>
        <w:t xml:space="preserve">Ahora bien, la Dirección de Obras Públicas, precisó que proporcionaba los contratos de obra pública celebrados del primero de enero al veintidós de junio de dos mil veintidós, mismos que contenían los montos y asignación de cotratistas; por lo que, proporcionó los contratos con número </w:t>
      </w:r>
      <w:r w:rsidRPr="008D0ABC">
        <w:rPr>
          <w:rFonts w:ascii="Palatino Linotype" w:hAnsi="Palatino Linotype" w:cs="Tahoma"/>
          <w:color w:val="0D0D0D" w:themeColor="text1" w:themeTint="F2"/>
          <w:sz w:val="22"/>
          <w:szCs w:val="22"/>
        </w:rPr>
        <w:t xml:space="preserve">MAC/DOPYDU/AD/FISM-63/2022, MAC/DOPYDU/AD/FISM-78/2022, MAC/DOPYDU/AD/FISM-80/2022 y MAC/DOPYDU/AD/FISM-99/2022. </w:t>
      </w:r>
    </w:p>
    <w:p w14:paraId="08B6E216" w14:textId="6B0C187E" w:rsidR="0040775A" w:rsidRPr="008D0ABC" w:rsidRDefault="0040775A" w:rsidP="00372DBA">
      <w:pPr>
        <w:spacing w:line="360" w:lineRule="auto"/>
        <w:jc w:val="both"/>
        <w:rPr>
          <w:rFonts w:ascii="Palatino Linotype" w:hAnsi="Palatino Linotype" w:cs="Tahoma"/>
          <w:color w:val="0D0D0D" w:themeColor="text1" w:themeTint="F2"/>
          <w:sz w:val="22"/>
          <w:szCs w:val="22"/>
        </w:rPr>
      </w:pPr>
    </w:p>
    <w:p w14:paraId="4A1483F2" w14:textId="62D68FA1" w:rsidR="0040775A" w:rsidRPr="008D0ABC" w:rsidRDefault="0040775A" w:rsidP="00372DBA">
      <w:pPr>
        <w:spacing w:line="360" w:lineRule="auto"/>
        <w:jc w:val="both"/>
        <w:rPr>
          <w:rFonts w:ascii="Palatino Linotype" w:hAnsi="Palatino Linotype" w:cs="Tahoma"/>
          <w:color w:val="000000" w:themeColor="text1"/>
          <w:sz w:val="22"/>
          <w:szCs w:val="22"/>
          <w:lang w:eastAsia="es-MX"/>
        </w:rPr>
      </w:pPr>
      <w:r w:rsidRPr="008D0ABC">
        <w:rPr>
          <w:rFonts w:ascii="Palatino Linotype" w:hAnsi="Palatino Linotype" w:cs="Tahoma"/>
          <w:color w:val="0D0D0D" w:themeColor="text1" w:themeTint="F2"/>
          <w:sz w:val="22"/>
          <w:szCs w:val="22"/>
        </w:rPr>
        <w:t xml:space="preserve">Conforme a lo anterior, se logra vislumbrar que el Sujeto Obligado proporcionó parte de lo solicitado, toda vez que proporcionó el documento requerido por el Particular, que incluye la asignación del Recurso y los montos por las obras, en términos del artículo 12 y 160 de la Ley de la materia; sin embargo, no se puede dar por valida dicha información, toda vez que el contrato número </w:t>
      </w:r>
      <w:r w:rsidR="00F53616" w:rsidRPr="008D0ABC">
        <w:rPr>
          <w:rFonts w:ascii="Palatino Linotype" w:hAnsi="Palatino Linotype" w:cs="Tahoma"/>
          <w:color w:val="0D0D0D" w:themeColor="text1" w:themeTint="F2"/>
          <w:sz w:val="22"/>
          <w:szCs w:val="22"/>
        </w:rPr>
        <w:t>MAC/DOPYDU/AD/FISM-99/2022 fue entregado de manera incompleta, al omitir la página 2, mientras que el resto, fue proporcionado en versión pública.</w:t>
      </w:r>
    </w:p>
    <w:p w14:paraId="10C3D026" w14:textId="640A8D8D" w:rsidR="007662E1" w:rsidRPr="008D0ABC" w:rsidRDefault="007662E1" w:rsidP="007662E1">
      <w:pPr>
        <w:autoSpaceDE w:val="0"/>
        <w:autoSpaceDN w:val="0"/>
        <w:adjustRightInd w:val="0"/>
        <w:spacing w:line="360" w:lineRule="auto"/>
        <w:jc w:val="both"/>
        <w:rPr>
          <w:rFonts w:ascii="Palatino Linotype" w:eastAsia="Calibri" w:hAnsi="Palatino Linotype" w:cs="Tahoma"/>
          <w:bCs/>
          <w:sz w:val="22"/>
          <w:szCs w:val="24"/>
          <w:lang w:eastAsia="es-MX"/>
        </w:rPr>
      </w:pPr>
    </w:p>
    <w:p w14:paraId="6725EFFA" w14:textId="7E5ACCCA" w:rsidR="000613DF" w:rsidRPr="008D0ABC" w:rsidRDefault="00F53616" w:rsidP="007662E1">
      <w:pPr>
        <w:autoSpaceDE w:val="0"/>
        <w:autoSpaceDN w:val="0"/>
        <w:adjustRightInd w:val="0"/>
        <w:spacing w:line="360" w:lineRule="auto"/>
        <w:jc w:val="both"/>
        <w:rPr>
          <w:rFonts w:ascii="Palatino Linotype" w:eastAsia="Calibri" w:hAnsi="Palatino Linotype" w:cs="Tahoma"/>
          <w:bCs/>
          <w:sz w:val="22"/>
          <w:szCs w:val="24"/>
          <w:lang w:eastAsia="es-MX"/>
        </w:rPr>
      </w:pPr>
      <w:r w:rsidRPr="008D0ABC">
        <w:rPr>
          <w:rFonts w:ascii="Palatino Linotype" w:eastAsia="Calibri" w:hAnsi="Palatino Linotype" w:cs="Tahoma"/>
          <w:bCs/>
          <w:sz w:val="22"/>
          <w:szCs w:val="24"/>
          <w:lang w:eastAsia="es-MX"/>
        </w:rPr>
        <w:t>No obstante, durante la sustanciación del Medio de Impugnación, la Dirección de Obras Públicas, remitió de nueva cuenta los contratos entregados en respuesta, de cuya revisión se advierte que los cuatro están completos y donde únicamente clasificó los siguientes datos:</w:t>
      </w:r>
    </w:p>
    <w:p w14:paraId="7C6F6195" w14:textId="57FF893D" w:rsidR="00F53616" w:rsidRPr="008D0ABC" w:rsidRDefault="00F53616" w:rsidP="007662E1">
      <w:pPr>
        <w:autoSpaceDE w:val="0"/>
        <w:autoSpaceDN w:val="0"/>
        <w:adjustRightInd w:val="0"/>
        <w:spacing w:line="360" w:lineRule="auto"/>
        <w:jc w:val="both"/>
        <w:rPr>
          <w:rFonts w:ascii="Palatino Linotype" w:eastAsia="Calibri" w:hAnsi="Palatino Linotype" w:cs="Tahoma"/>
          <w:bCs/>
          <w:sz w:val="22"/>
          <w:szCs w:val="24"/>
          <w:lang w:eastAsia="es-MX"/>
        </w:rPr>
      </w:pPr>
    </w:p>
    <w:p w14:paraId="0140C999" w14:textId="0F8087A8" w:rsidR="00F53616" w:rsidRPr="008D0ABC" w:rsidRDefault="00FB6E64">
      <w:pPr>
        <w:pStyle w:val="Prrafodelista"/>
        <w:numPr>
          <w:ilvl w:val="0"/>
          <w:numId w:val="10"/>
        </w:numPr>
        <w:autoSpaceDE w:val="0"/>
        <w:autoSpaceDN w:val="0"/>
        <w:adjustRightInd w:val="0"/>
        <w:spacing w:line="360" w:lineRule="auto"/>
        <w:jc w:val="both"/>
        <w:rPr>
          <w:rFonts w:ascii="Palatino Linotype" w:eastAsia="Calibri" w:hAnsi="Palatino Linotype" w:cs="Tahoma"/>
          <w:bCs/>
          <w:lang w:eastAsia="es-MX"/>
        </w:rPr>
      </w:pPr>
      <w:r w:rsidRPr="008D0ABC">
        <w:rPr>
          <w:rFonts w:ascii="Palatino Linotype" w:eastAsia="Calibri" w:hAnsi="Palatino Linotype" w:cs="Tahoma"/>
          <w:bCs/>
          <w:lang w:eastAsia="es-MX"/>
        </w:rPr>
        <w:t>Número de credencial de elector del representante legal;</w:t>
      </w:r>
    </w:p>
    <w:p w14:paraId="50E10428" w14:textId="1C8B312D" w:rsidR="00FB6E64" w:rsidRPr="008D0ABC" w:rsidRDefault="00FB6E64">
      <w:pPr>
        <w:pStyle w:val="Prrafodelista"/>
        <w:numPr>
          <w:ilvl w:val="0"/>
          <w:numId w:val="10"/>
        </w:numPr>
        <w:autoSpaceDE w:val="0"/>
        <w:autoSpaceDN w:val="0"/>
        <w:adjustRightInd w:val="0"/>
        <w:spacing w:line="360" w:lineRule="auto"/>
        <w:jc w:val="both"/>
        <w:rPr>
          <w:rFonts w:ascii="Palatino Linotype" w:eastAsia="Calibri" w:hAnsi="Palatino Linotype" w:cs="Tahoma"/>
          <w:bCs/>
          <w:lang w:eastAsia="es-MX"/>
        </w:rPr>
      </w:pPr>
      <w:r w:rsidRPr="008D0ABC">
        <w:rPr>
          <w:rFonts w:ascii="Palatino Linotype" w:eastAsia="Calibri" w:hAnsi="Palatino Linotype" w:cs="Tahoma"/>
          <w:bCs/>
          <w:lang w:eastAsia="es-MX"/>
        </w:rPr>
        <w:t>Número acta de nacimiento, y</w:t>
      </w:r>
    </w:p>
    <w:p w14:paraId="22EA4EA3" w14:textId="29C173D6" w:rsidR="00FB6E64" w:rsidRPr="008D0ABC" w:rsidRDefault="00FB6E64">
      <w:pPr>
        <w:pStyle w:val="Prrafodelista"/>
        <w:numPr>
          <w:ilvl w:val="0"/>
          <w:numId w:val="10"/>
        </w:numPr>
        <w:autoSpaceDE w:val="0"/>
        <w:autoSpaceDN w:val="0"/>
        <w:adjustRightInd w:val="0"/>
        <w:spacing w:line="360" w:lineRule="auto"/>
        <w:jc w:val="both"/>
        <w:rPr>
          <w:rFonts w:ascii="Palatino Linotype" w:eastAsia="Calibri" w:hAnsi="Palatino Linotype" w:cs="Tahoma"/>
          <w:bCs/>
          <w:lang w:eastAsia="es-MX"/>
        </w:rPr>
      </w:pPr>
      <w:r w:rsidRPr="008D0ABC">
        <w:rPr>
          <w:rFonts w:ascii="Palatino Linotype" w:eastAsia="Calibri" w:hAnsi="Palatino Linotype" w:cs="Tahoma"/>
          <w:bCs/>
          <w:lang w:eastAsia="es-MX"/>
        </w:rPr>
        <w:t>Número patronal del Instituto Mexicano del Seguro Social.</w:t>
      </w:r>
    </w:p>
    <w:p w14:paraId="7D859E92" w14:textId="3A62D6DF" w:rsidR="00FB6E64" w:rsidRPr="008D0ABC" w:rsidRDefault="00FB6E64" w:rsidP="00FB6E64">
      <w:pPr>
        <w:autoSpaceDE w:val="0"/>
        <w:autoSpaceDN w:val="0"/>
        <w:adjustRightInd w:val="0"/>
        <w:spacing w:line="360" w:lineRule="auto"/>
        <w:jc w:val="both"/>
        <w:rPr>
          <w:rFonts w:ascii="Palatino Linotype" w:eastAsia="Calibri" w:hAnsi="Palatino Linotype" w:cs="Tahoma"/>
          <w:bCs/>
          <w:lang w:eastAsia="es-MX"/>
        </w:rPr>
      </w:pPr>
    </w:p>
    <w:p w14:paraId="1CDDB725"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color w:val="0D0D0D" w:themeColor="text1" w:themeTint="F2"/>
          <w:sz w:val="22"/>
          <w:szCs w:val="22"/>
          <w:lang w:eastAsia="es-MX"/>
        </w:rPr>
        <w:t xml:space="preserve">Sin menoscabar lo anterior, se procede a analizar si los datos previamente referidos son confidenciales o públicos; </w:t>
      </w:r>
      <w:r w:rsidRPr="008D0ABC">
        <w:rPr>
          <w:rFonts w:ascii="Palatino Linotype" w:hAnsi="Palatino Linotype" w:cs="Tahoma"/>
          <w:sz w:val="22"/>
          <w:szCs w:val="22"/>
        </w:rPr>
        <w:t>e</w:t>
      </w:r>
      <w:r w:rsidRPr="008D0ABC">
        <w:rPr>
          <w:rFonts w:ascii="Palatino Linotype" w:hAnsi="Palatino Linotype" w:cs="Tahoma"/>
          <w:bCs/>
          <w:sz w:val="22"/>
          <w:szCs w:val="22"/>
        </w:rPr>
        <w:t>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0C7DB0A" w14:textId="77777777" w:rsidR="00FB6E64" w:rsidRPr="008D0ABC" w:rsidRDefault="00FB6E64" w:rsidP="00FB6E64">
      <w:pPr>
        <w:spacing w:line="360" w:lineRule="auto"/>
        <w:jc w:val="both"/>
        <w:rPr>
          <w:rFonts w:ascii="Palatino Linotype" w:hAnsi="Palatino Linotype" w:cs="Tahoma"/>
          <w:bCs/>
          <w:sz w:val="22"/>
          <w:szCs w:val="22"/>
        </w:rPr>
      </w:pPr>
    </w:p>
    <w:p w14:paraId="0E2AC4E2"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9CFD910" w14:textId="77777777" w:rsidR="00FB6E64" w:rsidRPr="008D0ABC" w:rsidRDefault="00FB6E64" w:rsidP="00FB6E64">
      <w:pPr>
        <w:spacing w:line="360" w:lineRule="auto"/>
        <w:jc w:val="both"/>
        <w:rPr>
          <w:rFonts w:ascii="Palatino Linotype" w:hAnsi="Palatino Linotype" w:cs="Tahoma"/>
          <w:bCs/>
          <w:sz w:val="22"/>
          <w:szCs w:val="22"/>
        </w:rPr>
      </w:pPr>
    </w:p>
    <w:p w14:paraId="55C6FA50"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D7DB9CC" w14:textId="77777777" w:rsidR="00FB6E64" w:rsidRPr="008D0ABC" w:rsidRDefault="00FB6E64" w:rsidP="00FB6E64">
      <w:pPr>
        <w:spacing w:line="360" w:lineRule="auto"/>
        <w:jc w:val="both"/>
        <w:rPr>
          <w:rFonts w:ascii="Palatino Linotype" w:hAnsi="Palatino Linotype" w:cs="Tahoma"/>
          <w:bCs/>
          <w:sz w:val="22"/>
          <w:szCs w:val="22"/>
        </w:rPr>
      </w:pPr>
    </w:p>
    <w:p w14:paraId="6B4DAA76"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D916B87" w14:textId="77777777" w:rsidR="00FB6E64" w:rsidRPr="008D0ABC" w:rsidRDefault="00FB6E64" w:rsidP="00FB6E64">
      <w:pPr>
        <w:spacing w:line="360" w:lineRule="auto"/>
        <w:jc w:val="both"/>
        <w:rPr>
          <w:rFonts w:ascii="Palatino Linotype" w:hAnsi="Palatino Linotype" w:cs="Tahoma"/>
          <w:bCs/>
          <w:sz w:val="22"/>
          <w:szCs w:val="22"/>
        </w:rPr>
      </w:pPr>
    </w:p>
    <w:p w14:paraId="6ED6DADA"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396E1F8" w14:textId="77777777" w:rsidR="00FB6E64" w:rsidRPr="008D0ABC" w:rsidRDefault="00FB6E64" w:rsidP="00FB6E64">
      <w:pPr>
        <w:spacing w:line="360" w:lineRule="auto"/>
        <w:jc w:val="both"/>
        <w:rPr>
          <w:rFonts w:ascii="Palatino Linotype" w:hAnsi="Palatino Linotype" w:cs="Tahoma"/>
          <w:bCs/>
          <w:sz w:val="22"/>
          <w:szCs w:val="22"/>
        </w:rPr>
      </w:pPr>
    </w:p>
    <w:p w14:paraId="0E67BBD7"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C9DEB4A" w14:textId="77777777" w:rsidR="00FB6E64" w:rsidRPr="008D0ABC" w:rsidRDefault="00FB6E64" w:rsidP="00FB6E64">
      <w:pPr>
        <w:spacing w:line="360" w:lineRule="auto"/>
        <w:jc w:val="both"/>
        <w:rPr>
          <w:rFonts w:ascii="Palatino Linotype" w:hAnsi="Palatino Linotype" w:cs="Tahoma"/>
          <w:bCs/>
          <w:sz w:val="22"/>
          <w:szCs w:val="22"/>
        </w:rPr>
      </w:pPr>
    </w:p>
    <w:p w14:paraId="11585AF7"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En términos de lo expuesto, la documentación y aquellos datos que se consideren confidenciales, serán una limitante del derecho de acceso a la información, siempre y cuando:</w:t>
      </w:r>
    </w:p>
    <w:p w14:paraId="05A66A7C" w14:textId="77777777" w:rsidR="00FB6E64" w:rsidRPr="008D0ABC" w:rsidRDefault="00FB6E64" w:rsidP="00FB6E64">
      <w:pPr>
        <w:spacing w:line="360" w:lineRule="auto"/>
        <w:jc w:val="both"/>
        <w:rPr>
          <w:rFonts w:ascii="Palatino Linotype" w:hAnsi="Palatino Linotype" w:cs="Tahoma"/>
          <w:bCs/>
          <w:sz w:val="22"/>
          <w:szCs w:val="22"/>
        </w:rPr>
      </w:pPr>
    </w:p>
    <w:p w14:paraId="5C4FC5BA" w14:textId="77777777" w:rsidR="00FB6E64" w:rsidRPr="008D0ABC" w:rsidRDefault="00FB6E64">
      <w:pPr>
        <w:numPr>
          <w:ilvl w:val="0"/>
          <w:numId w:val="8"/>
        </w:num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 xml:space="preserve">Se trate de datos personales o información privada; esto es, información concerniente a una persona física o jurídico colectiva y que esta sea identificada o identificable. </w:t>
      </w:r>
    </w:p>
    <w:p w14:paraId="7B6150A0" w14:textId="77777777" w:rsidR="00FB6E64" w:rsidRPr="008D0ABC" w:rsidRDefault="00FB6E64" w:rsidP="00FB6E64">
      <w:pPr>
        <w:spacing w:line="360" w:lineRule="auto"/>
        <w:jc w:val="both"/>
        <w:rPr>
          <w:rFonts w:ascii="Palatino Linotype" w:hAnsi="Palatino Linotype" w:cs="Tahoma"/>
          <w:bCs/>
          <w:sz w:val="22"/>
          <w:szCs w:val="22"/>
        </w:rPr>
      </w:pPr>
    </w:p>
    <w:p w14:paraId="5F5F0515" w14:textId="77777777" w:rsidR="00FB6E64" w:rsidRPr="008D0ABC" w:rsidRDefault="00FB6E64">
      <w:pPr>
        <w:numPr>
          <w:ilvl w:val="0"/>
          <w:numId w:val="8"/>
        </w:num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 xml:space="preserve">Para la difusión de los datos, se requiera el consentimiento del titular. </w:t>
      </w:r>
    </w:p>
    <w:p w14:paraId="5B52D350" w14:textId="77777777" w:rsidR="00FB6E64" w:rsidRPr="008D0ABC" w:rsidRDefault="00FB6E64" w:rsidP="00FB6E64">
      <w:pPr>
        <w:spacing w:line="360" w:lineRule="auto"/>
        <w:jc w:val="both"/>
        <w:rPr>
          <w:rFonts w:ascii="Palatino Linotype" w:hAnsi="Palatino Linotype" w:cs="Tahoma"/>
          <w:bCs/>
          <w:sz w:val="22"/>
          <w:szCs w:val="22"/>
        </w:rPr>
      </w:pPr>
    </w:p>
    <w:p w14:paraId="1381985B"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DBE8AEF" w14:textId="77777777" w:rsidR="00FB6E64" w:rsidRPr="008D0ABC" w:rsidRDefault="00FB6E64" w:rsidP="00FB6E64">
      <w:pPr>
        <w:spacing w:line="360" w:lineRule="auto"/>
        <w:jc w:val="both"/>
        <w:rPr>
          <w:rFonts w:ascii="Palatino Linotype" w:hAnsi="Palatino Linotype" w:cs="Tahoma"/>
          <w:bCs/>
          <w:sz w:val="22"/>
          <w:szCs w:val="22"/>
        </w:rPr>
      </w:pPr>
    </w:p>
    <w:p w14:paraId="41E4F5A6"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Además, en el artículo 5° de dicho ordenamiento jurídico, establece que es la Ley aplicable para todo tratamiento de datos personales.</w:t>
      </w:r>
    </w:p>
    <w:p w14:paraId="07B0C0D8" w14:textId="77777777" w:rsidR="00FB6E64" w:rsidRPr="008D0ABC" w:rsidRDefault="00FB6E64" w:rsidP="00FB6E64">
      <w:pPr>
        <w:spacing w:line="360" w:lineRule="auto"/>
        <w:jc w:val="both"/>
        <w:rPr>
          <w:rFonts w:ascii="Palatino Linotype" w:hAnsi="Palatino Linotype" w:cs="Tahoma"/>
          <w:bCs/>
          <w:sz w:val="22"/>
          <w:szCs w:val="22"/>
        </w:rPr>
      </w:pPr>
    </w:p>
    <w:p w14:paraId="22E2C249"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0443D9D" w14:textId="77777777" w:rsidR="00FB6E64" w:rsidRPr="008D0ABC" w:rsidRDefault="00FB6E64" w:rsidP="00FB6E64">
      <w:pPr>
        <w:spacing w:line="360" w:lineRule="auto"/>
        <w:jc w:val="both"/>
        <w:rPr>
          <w:rFonts w:ascii="Palatino Linotype" w:hAnsi="Palatino Linotype" w:cs="Tahoma"/>
          <w:bCs/>
          <w:sz w:val="22"/>
          <w:szCs w:val="22"/>
        </w:rPr>
      </w:pPr>
    </w:p>
    <w:p w14:paraId="04FC9ABD"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9C8EAF2" w14:textId="77777777" w:rsidR="00FB6E64" w:rsidRPr="008D0ABC" w:rsidRDefault="00FB6E64" w:rsidP="00FB6E64">
      <w:pPr>
        <w:spacing w:line="360" w:lineRule="auto"/>
        <w:jc w:val="both"/>
        <w:rPr>
          <w:rFonts w:ascii="Palatino Linotype" w:hAnsi="Palatino Linotype" w:cs="Tahoma"/>
          <w:bCs/>
          <w:sz w:val="22"/>
          <w:szCs w:val="22"/>
        </w:rPr>
      </w:pPr>
    </w:p>
    <w:p w14:paraId="5BEA3F26"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4856A99" w14:textId="77777777" w:rsidR="00FB6E64" w:rsidRPr="008D0ABC" w:rsidRDefault="00FB6E64" w:rsidP="00FB6E64">
      <w:pPr>
        <w:spacing w:line="360" w:lineRule="auto"/>
        <w:jc w:val="both"/>
        <w:rPr>
          <w:rFonts w:ascii="Palatino Linotype" w:hAnsi="Palatino Linotype" w:cs="Tahoma"/>
          <w:bCs/>
          <w:sz w:val="22"/>
          <w:szCs w:val="22"/>
        </w:rPr>
      </w:pPr>
    </w:p>
    <w:p w14:paraId="4D574899"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De tal suerte, las instituciones públicas tienen la doble responsabilidad, por un lado, de proteger los datos personales y por otro, darles publicidad cuando la relevancia de esos datos sea de interés público.</w:t>
      </w:r>
    </w:p>
    <w:p w14:paraId="2888E755" w14:textId="77777777" w:rsidR="00FB6E64" w:rsidRPr="008D0ABC" w:rsidRDefault="00FB6E64" w:rsidP="00FB6E64">
      <w:pPr>
        <w:spacing w:line="360" w:lineRule="auto"/>
        <w:jc w:val="both"/>
        <w:rPr>
          <w:rFonts w:ascii="Palatino Linotype" w:hAnsi="Palatino Linotype" w:cs="Tahoma"/>
          <w:bCs/>
          <w:sz w:val="22"/>
          <w:szCs w:val="22"/>
        </w:rPr>
      </w:pPr>
    </w:p>
    <w:p w14:paraId="271F61E0"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79FA987A" w14:textId="77777777" w:rsidR="00FB6E64" w:rsidRPr="008D0ABC" w:rsidRDefault="00FB6E64" w:rsidP="00FB6E64">
      <w:pPr>
        <w:spacing w:line="360" w:lineRule="auto"/>
        <w:jc w:val="both"/>
        <w:rPr>
          <w:rFonts w:ascii="Palatino Linotype" w:hAnsi="Palatino Linotype" w:cs="Tahoma"/>
          <w:bCs/>
          <w:sz w:val="22"/>
          <w:szCs w:val="22"/>
        </w:rPr>
      </w:pPr>
    </w:p>
    <w:p w14:paraId="1DB872D0"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038B219"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A15191C" w14:textId="77777777" w:rsidR="00FB6E64" w:rsidRPr="008D0ABC" w:rsidRDefault="00FB6E64" w:rsidP="00FB6E64">
      <w:pPr>
        <w:spacing w:line="360" w:lineRule="auto"/>
        <w:jc w:val="both"/>
        <w:rPr>
          <w:rFonts w:ascii="Palatino Linotype" w:hAnsi="Palatino Linotype" w:cs="Tahoma"/>
          <w:bCs/>
          <w:sz w:val="22"/>
          <w:szCs w:val="22"/>
        </w:rPr>
      </w:pPr>
    </w:p>
    <w:p w14:paraId="46713192" w14:textId="77777777" w:rsidR="00FB6E64" w:rsidRPr="008D0ABC" w:rsidRDefault="00FB6E64" w:rsidP="00FB6E64">
      <w:pPr>
        <w:spacing w:line="360" w:lineRule="auto"/>
        <w:jc w:val="both"/>
        <w:rPr>
          <w:rFonts w:ascii="Palatino Linotype" w:hAnsi="Palatino Linotype" w:cs="Tahoma"/>
          <w:bCs/>
          <w:sz w:val="22"/>
          <w:szCs w:val="22"/>
        </w:rPr>
      </w:pPr>
      <w:r w:rsidRPr="008D0ABC">
        <w:rPr>
          <w:rFonts w:ascii="Palatino Linotype" w:hAnsi="Palatino Linotype" w:cs="Tahoma"/>
          <w:bCs/>
          <w:sz w:val="22"/>
          <w:szCs w:val="22"/>
        </w:rPr>
        <w:t>Bajo ese contexto, se analizarán si los datos mencionados, deben ser considerados confidenciales, en términos del artículo 143, fracción I, de la Ley de Transparencia y Acceso a la Información Pública del Estado de México y Municipios, o públicos.</w:t>
      </w:r>
    </w:p>
    <w:p w14:paraId="3A5D4643" w14:textId="77777777" w:rsidR="00FB6E64" w:rsidRPr="008D0ABC" w:rsidRDefault="00FB6E64" w:rsidP="00FB6E64">
      <w:pPr>
        <w:spacing w:line="360" w:lineRule="auto"/>
        <w:jc w:val="both"/>
        <w:rPr>
          <w:rFonts w:ascii="Palatino Linotype" w:eastAsia="Calibri" w:hAnsi="Palatino Linotype" w:cs="Tahoma"/>
          <w:b/>
          <w:iCs/>
          <w:szCs w:val="22"/>
          <w:lang w:eastAsia="en-US"/>
        </w:rPr>
      </w:pPr>
    </w:p>
    <w:p w14:paraId="275D55B4" w14:textId="46CCF7FB" w:rsidR="00FB6E64" w:rsidRPr="008D0ABC" w:rsidRDefault="00FB6E64">
      <w:pPr>
        <w:pStyle w:val="Prrafodelista"/>
        <w:numPr>
          <w:ilvl w:val="0"/>
          <w:numId w:val="11"/>
        </w:numPr>
        <w:spacing w:line="360" w:lineRule="auto"/>
        <w:ind w:right="-93"/>
        <w:jc w:val="both"/>
        <w:rPr>
          <w:rFonts w:ascii="Palatino Linotype" w:eastAsia="Calibri" w:hAnsi="Palatino Linotype" w:cs="Tahoma"/>
          <w:b/>
          <w:iCs/>
          <w:lang w:eastAsia="en-US"/>
        </w:rPr>
      </w:pPr>
      <w:r w:rsidRPr="008D0ABC">
        <w:rPr>
          <w:rFonts w:ascii="Palatino Linotype" w:eastAsia="Calibri" w:hAnsi="Palatino Linotype" w:cs="Tahoma"/>
          <w:b/>
          <w:iCs/>
          <w:lang w:eastAsia="en-US"/>
        </w:rPr>
        <w:t>Folio de credencial de elector</w:t>
      </w:r>
      <w:r w:rsidR="009667B0" w:rsidRPr="008D0ABC">
        <w:rPr>
          <w:rFonts w:ascii="Palatino Linotype" w:eastAsia="Calibri" w:hAnsi="Palatino Linotype" w:cs="Tahoma"/>
          <w:b/>
          <w:iCs/>
          <w:lang w:eastAsia="en-US"/>
        </w:rPr>
        <w:t>.</w:t>
      </w:r>
    </w:p>
    <w:p w14:paraId="42AD9A4E" w14:textId="77777777" w:rsidR="00FB6E64" w:rsidRPr="008D0ABC" w:rsidRDefault="00FB6E64" w:rsidP="00FB6E64">
      <w:pPr>
        <w:spacing w:line="360" w:lineRule="auto"/>
        <w:jc w:val="both"/>
        <w:rPr>
          <w:rFonts w:ascii="Palatino Linotype" w:eastAsia="Calibri" w:hAnsi="Palatino Linotype" w:cs="Tahoma"/>
          <w:b/>
          <w:iCs/>
          <w:szCs w:val="22"/>
          <w:lang w:eastAsia="en-US"/>
        </w:rPr>
      </w:pPr>
    </w:p>
    <w:p w14:paraId="190579DB" w14:textId="77777777" w:rsidR="00FB6E64" w:rsidRPr="008D0ABC" w:rsidRDefault="00FB6E64" w:rsidP="009667B0">
      <w:pPr>
        <w:spacing w:line="360" w:lineRule="auto"/>
        <w:ind w:right="-93"/>
        <w:jc w:val="both"/>
        <w:rPr>
          <w:rFonts w:ascii="Palatino Linotype" w:eastAsia="Calibri" w:hAnsi="Palatino Linotype" w:cs="Tahoma"/>
          <w:bCs/>
          <w:sz w:val="22"/>
          <w:szCs w:val="22"/>
          <w:lang w:val="es-ES" w:eastAsia="en-US"/>
        </w:rPr>
      </w:pPr>
      <w:r w:rsidRPr="008D0ABC">
        <w:rPr>
          <w:rFonts w:ascii="Palatino Linotype" w:eastAsia="Calibri" w:hAnsi="Palatino Linotype" w:cs="Tahoma"/>
          <w:bCs/>
          <w:sz w:val="22"/>
          <w:szCs w:val="22"/>
          <w:lang w:val="es-ES" w:eastAsia="en-US"/>
        </w:rPr>
        <w:t xml:space="preserve">Al respecto, debe precisarse que, en el reverso de la credencial de elector, se advierte la incorporación de un número de control denominado OCR -Reconocimiento Óptico de Caracteres-, el cual se integra por 12 o 13 dígitos de la siguiente manera: los 4 primeros deben coincidir con la clave de la sección de la residencia del ciudadano, los restantes corresponden a un número consecutivo único asignado al momento de conformar la clave de elector correspondiente. </w:t>
      </w:r>
    </w:p>
    <w:p w14:paraId="02208008" w14:textId="77777777" w:rsidR="00FB6E64" w:rsidRPr="008D0ABC" w:rsidRDefault="00FB6E64" w:rsidP="009667B0">
      <w:pPr>
        <w:spacing w:line="360" w:lineRule="auto"/>
        <w:ind w:right="-93"/>
        <w:jc w:val="both"/>
        <w:rPr>
          <w:rFonts w:ascii="Palatino Linotype" w:eastAsia="Calibri" w:hAnsi="Palatino Linotype" w:cs="Tahoma"/>
          <w:bCs/>
          <w:sz w:val="22"/>
          <w:szCs w:val="22"/>
          <w:lang w:val="es-ES" w:eastAsia="en-US"/>
        </w:rPr>
      </w:pPr>
    </w:p>
    <w:p w14:paraId="33DC7299" w14:textId="77777777" w:rsidR="00FB6E64" w:rsidRPr="008D0ABC" w:rsidRDefault="00FB6E64" w:rsidP="009667B0">
      <w:pPr>
        <w:spacing w:line="360" w:lineRule="auto"/>
        <w:ind w:right="-93"/>
        <w:jc w:val="both"/>
        <w:rPr>
          <w:rFonts w:ascii="Palatino Linotype" w:eastAsia="Calibri" w:hAnsi="Palatino Linotype" w:cs="Tahoma"/>
          <w:bCs/>
          <w:sz w:val="22"/>
          <w:szCs w:val="22"/>
          <w:lang w:val="es-ES" w:eastAsia="en-US"/>
        </w:rPr>
      </w:pPr>
      <w:r w:rsidRPr="008D0ABC">
        <w:rPr>
          <w:rFonts w:ascii="Palatino Linotype" w:eastAsia="Calibri" w:hAnsi="Palatino Linotype" w:cs="Tahoma"/>
          <w:bCs/>
          <w:sz w:val="22"/>
          <w:szCs w:val="22"/>
          <w:lang w:val="es-ES" w:eastAsia="en-US"/>
        </w:rPr>
        <w:t xml:space="preserve">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geoelectoral ahí contenida. </w:t>
      </w:r>
    </w:p>
    <w:p w14:paraId="2B251A32" w14:textId="77777777" w:rsidR="00FB6E64" w:rsidRPr="008D0ABC" w:rsidRDefault="00FB6E64" w:rsidP="009667B0">
      <w:pPr>
        <w:spacing w:line="360" w:lineRule="auto"/>
        <w:ind w:right="-93"/>
        <w:jc w:val="both"/>
        <w:rPr>
          <w:rFonts w:ascii="Palatino Linotype" w:eastAsia="Calibri" w:hAnsi="Palatino Linotype" w:cs="Tahoma"/>
          <w:bCs/>
          <w:sz w:val="22"/>
          <w:szCs w:val="22"/>
          <w:lang w:val="es-ES" w:eastAsia="en-US"/>
        </w:rPr>
      </w:pPr>
    </w:p>
    <w:p w14:paraId="496ACD00" w14:textId="77777777" w:rsidR="00FB6E64" w:rsidRPr="008D0ABC" w:rsidRDefault="00FB6E64" w:rsidP="009667B0">
      <w:pPr>
        <w:spacing w:line="360" w:lineRule="auto"/>
        <w:ind w:right="-93"/>
        <w:jc w:val="both"/>
        <w:rPr>
          <w:rFonts w:ascii="Palatino Linotype" w:eastAsia="Calibri" w:hAnsi="Palatino Linotype" w:cs="Tahoma"/>
          <w:bCs/>
          <w:sz w:val="22"/>
          <w:szCs w:val="22"/>
          <w:lang w:val="es-ES" w:eastAsia="en-US"/>
        </w:rPr>
      </w:pPr>
      <w:r w:rsidRPr="008D0ABC">
        <w:rPr>
          <w:rFonts w:ascii="Palatino Linotype" w:eastAsia="Calibri" w:hAnsi="Palatino Linotype" w:cs="Tahoma"/>
          <w:bCs/>
          <w:sz w:val="22"/>
          <w:szCs w:val="22"/>
          <w:lang w:val="es-ES" w:eastAsia="en-US"/>
        </w:rPr>
        <w:t>Por lo tanto, se determina que tal dato debe ser considerado como confidencial, por configurarse la hipótesis prevista en el artículo 143, fracción I de la Ley de la materia.</w:t>
      </w:r>
    </w:p>
    <w:p w14:paraId="214754DD" w14:textId="77777777" w:rsidR="00FB6E64" w:rsidRPr="008D0ABC" w:rsidRDefault="00FB6E64" w:rsidP="00FB6E64">
      <w:pPr>
        <w:spacing w:line="360" w:lineRule="auto"/>
        <w:jc w:val="both"/>
        <w:rPr>
          <w:rFonts w:ascii="Palatino Linotype" w:eastAsia="Calibri" w:hAnsi="Palatino Linotype" w:cs="Tahoma"/>
          <w:b/>
          <w:iCs/>
          <w:szCs w:val="22"/>
          <w:lang w:eastAsia="en-US"/>
        </w:rPr>
      </w:pPr>
    </w:p>
    <w:p w14:paraId="488F7049" w14:textId="2CF3FABD" w:rsidR="00FB6E64" w:rsidRPr="008D0ABC" w:rsidRDefault="009667B0">
      <w:pPr>
        <w:numPr>
          <w:ilvl w:val="0"/>
          <w:numId w:val="11"/>
        </w:numPr>
        <w:shd w:val="clear" w:color="auto" w:fill="FFFFFF" w:themeFill="background1"/>
        <w:spacing w:line="360" w:lineRule="auto"/>
        <w:jc w:val="both"/>
        <w:rPr>
          <w:rFonts w:ascii="Palatino Linotype" w:eastAsia="Calibri" w:hAnsi="Palatino Linotype" w:cs="Tahoma"/>
          <w:b/>
          <w:bCs/>
          <w:iCs/>
          <w:sz w:val="22"/>
          <w:szCs w:val="22"/>
          <w:lang w:val="es-ES_tradnl" w:eastAsia="en-US"/>
        </w:rPr>
      </w:pPr>
      <w:r w:rsidRPr="008D0ABC">
        <w:rPr>
          <w:rFonts w:ascii="Palatino Linotype" w:eastAsia="Calibri" w:hAnsi="Palatino Linotype" w:cs="Tahoma"/>
          <w:b/>
          <w:bCs/>
          <w:iCs/>
          <w:sz w:val="22"/>
          <w:szCs w:val="22"/>
          <w:lang w:eastAsia="en-US"/>
        </w:rPr>
        <w:t>N</w:t>
      </w:r>
      <w:r w:rsidR="00FB6E64" w:rsidRPr="008D0ABC">
        <w:rPr>
          <w:rFonts w:ascii="Palatino Linotype" w:eastAsia="Calibri" w:hAnsi="Palatino Linotype" w:cs="Tahoma"/>
          <w:b/>
          <w:bCs/>
          <w:iCs/>
          <w:sz w:val="22"/>
          <w:szCs w:val="22"/>
          <w:lang w:eastAsia="en-US"/>
        </w:rPr>
        <w:t>úmero de folio del Acta de Nacimiento</w:t>
      </w:r>
      <w:r w:rsidRPr="008D0ABC">
        <w:rPr>
          <w:rFonts w:ascii="Palatino Linotype" w:eastAsia="Calibri" w:hAnsi="Palatino Linotype" w:cs="Tahoma"/>
          <w:b/>
          <w:bCs/>
          <w:iCs/>
          <w:sz w:val="22"/>
          <w:szCs w:val="22"/>
          <w:lang w:eastAsia="en-US"/>
        </w:rPr>
        <w:t>.</w:t>
      </w:r>
    </w:p>
    <w:p w14:paraId="41D37DBB" w14:textId="77777777" w:rsidR="00FB6E64" w:rsidRPr="008D0ABC" w:rsidRDefault="00FB6E64" w:rsidP="00FB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698B4746" w14:textId="77777777" w:rsidR="00FB6E64" w:rsidRPr="008D0ABC" w:rsidRDefault="00FB6E64" w:rsidP="00FB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8D0ABC">
        <w:rPr>
          <w:rFonts w:ascii="Palatino Linotype" w:eastAsia="Calibri" w:hAnsi="Palatino Linotype" w:cs="Tahoma"/>
          <w:bCs/>
          <w:iCs/>
          <w:sz w:val="22"/>
          <w:szCs w:val="22"/>
          <w:lang w:eastAsia="en-US"/>
        </w:rPr>
        <w:t xml:space="preserve">Al respecto, el Anexo 1, Formato Único del Acta de Nacimiento “Diseño, contenido, medidas de seguridad y periodo de transición” (consultado el primero de octubre de dos mil veinte, a las diez horas en la liga </w:t>
      </w:r>
      <w:hyperlink r:id="rId12" w:history="1">
        <w:r w:rsidRPr="008D0ABC">
          <w:rPr>
            <w:rFonts w:ascii="Palatino Linotype" w:eastAsia="Calibri" w:hAnsi="Palatino Linotype" w:cs="Tahoma"/>
            <w:bCs/>
            <w:iCs/>
            <w:color w:val="0563C1" w:themeColor="hyperlink"/>
            <w:sz w:val="22"/>
            <w:szCs w:val="22"/>
            <w:u w:val="single"/>
            <w:lang w:eastAsia="en-US"/>
          </w:rPr>
          <w:t>http://www.diputados.gob.mx/documentos/N_Acta_Nacimiento.pdf</w:t>
        </w:r>
      </w:hyperlink>
      <w:r w:rsidRPr="008D0ABC">
        <w:rPr>
          <w:rFonts w:ascii="Palatino Linotype" w:eastAsia="Calibri" w:hAnsi="Palatino Linotype" w:cs="Tahoma"/>
          <w:bCs/>
          <w:iCs/>
          <w:sz w:val="22"/>
          <w:szCs w:val="22"/>
          <w:lang w:eastAsia="en-US"/>
        </w:rPr>
        <w:t xml:space="preserve">), del cual se desprende que dicho dato corresponde al número del certificado que expide la Secretaría de Salud para acreditar el nacimiento de una persona. </w:t>
      </w:r>
    </w:p>
    <w:p w14:paraId="1F3A2831" w14:textId="77777777" w:rsidR="00FB6E64" w:rsidRPr="008D0ABC" w:rsidRDefault="00FB6E64" w:rsidP="00FB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15249886" w14:textId="77777777" w:rsidR="00FB6E64" w:rsidRPr="008D0ABC" w:rsidRDefault="00FB6E64" w:rsidP="00FB6E64">
      <w:pPr>
        <w:shd w:val="clear" w:color="auto" w:fill="FFFFFF" w:themeFill="background1"/>
        <w:spacing w:line="360" w:lineRule="auto"/>
        <w:jc w:val="both"/>
        <w:rPr>
          <w:rFonts w:ascii="Palatino Linotype" w:eastAsia="Calibri" w:hAnsi="Palatino Linotype" w:cs="Tahoma"/>
          <w:b/>
          <w:bCs/>
          <w:iCs/>
          <w:sz w:val="22"/>
          <w:szCs w:val="22"/>
          <w:lang w:val="es-ES" w:eastAsia="en-US"/>
        </w:rPr>
      </w:pPr>
      <w:r w:rsidRPr="008D0ABC">
        <w:rPr>
          <w:rFonts w:ascii="Palatino Linotype" w:eastAsia="Calibri" w:hAnsi="Palatino Linotype" w:cs="Tahoma"/>
          <w:bCs/>
          <w:iCs/>
          <w:sz w:val="22"/>
          <w:szCs w:val="22"/>
          <w:lang w:val="es-ES" w:eastAsia="en-US"/>
        </w:rPr>
        <w:t xml:space="preserve">Como se logra observar, el dato en comento identifica ante la Secretaría de Salud, el nacimiento de una persona física, en el presente caso, de un prestador de servicios, información que se considera que pertenece a su </w:t>
      </w:r>
      <w:r w:rsidRPr="008D0ABC">
        <w:rPr>
          <w:rFonts w:ascii="Palatino Linotype" w:eastAsia="Calibri" w:hAnsi="Palatino Linotype" w:cs="Tahoma"/>
          <w:b/>
          <w:bCs/>
          <w:iCs/>
          <w:sz w:val="22"/>
          <w:szCs w:val="22"/>
          <w:lang w:val="es-ES" w:eastAsia="en-US"/>
        </w:rPr>
        <w:t>esfera íntima, así como a su vida privada.</w:t>
      </w:r>
    </w:p>
    <w:p w14:paraId="37FC136A" w14:textId="77777777" w:rsidR="00FB6E64" w:rsidRPr="008D0ABC" w:rsidRDefault="00FB6E64" w:rsidP="00FB6E64">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5C818EF7" w14:textId="77777777" w:rsidR="00FB6E64" w:rsidRPr="008D0ABC" w:rsidRDefault="00FB6E64" w:rsidP="00FB6E64">
      <w:pPr>
        <w:spacing w:line="360" w:lineRule="auto"/>
        <w:jc w:val="both"/>
        <w:rPr>
          <w:rFonts w:ascii="Palatino Linotype" w:eastAsia="Calibri" w:hAnsi="Palatino Linotype" w:cs="Tahoma"/>
          <w:bCs/>
          <w:sz w:val="22"/>
          <w:szCs w:val="22"/>
          <w:lang w:val="es-ES" w:eastAsia="en-US"/>
        </w:rPr>
      </w:pPr>
      <w:r w:rsidRPr="008D0ABC">
        <w:rPr>
          <w:rFonts w:ascii="Palatino Linotype" w:eastAsia="Calibri" w:hAnsi="Palatino Linotype" w:cs="Tahoma"/>
          <w:bCs/>
          <w:sz w:val="22"/>
          <w:szCs w:val="22"/>
          <w:lang w:eastAsia="en-US"/>
        </w:rPr>
        <w:t xml:space="preserve">Al respecto, resulta necesario precisar que </w:t>
      </w:r>
      <w:r w:rsidRPr="008D0ABC">
        <w:rPr>
          <w:rFonts w:ascii="Palatino Linotype" w:eastAsia="Calibri" w:hAnsi="Palatino Linotype" w:cs="Tahoma"/>
          <w:bCs/>
          <w:sz w:val="22"/>
          <w:szCs w:val="22"/>
          <w:lang w:val="es-ES" w:eastAsia="en-US"/>
        </w:rPr>
        <w:t xml:space="preserve">la Suprema Corte de Justicia de la Nación ha reconocido como derecho fundamental de la persona, </w:t>
      </w:r>
      <w:r w:rsidRPr="008D0ABC">
        <w:rPr>
          <w:rFonts w:ascii="Palatino Linotype" w:eastAsia="Calibri" w:hAnsi="Palatino Linotype" w:cs="Tahoma"/>
          <w:b/>
          <w:bCs/>
          <w:sz w:val="22"/>
          <w:szCs w:val="22"/>
          <w:lang w:val="es-ES" w:eastAsia="en-US"/>
        </w:rPr>
        <w:t>el derecho a la intimidad</w:t>
      </w:r>
      <w:r w:rsidRPr="008D0ABC">
        <w:rPr>
          <w:rFonts w:ascii="Palatino Linotype" w:eastAsia="Calibri" w:hAnsi="Palatino Linotype" w:cs="Tahoma"/>
          <w:bCs/>
          <w:sz w:val="22"/>
          <w:szCs w:val="22"/>
          <w:lang w:val="es-ES" w:eastAsia="en-US"/>
        </w:rPr>
        <w:t>, en el siguiente criterio:</w:t>
      </w:r>
    </w:p>
    <w:p w14:paraId="7156822E" w14:textId="77777777" w:rsidR="00FB6E64" w:rsidRPr="008D0ABC" w:rsidRDefault="00FB6E64" w:rsidP="00FB6E64">
      <w:pPr>
        <w:spacing w:line="360" w:lineRule="auto"/>
        <w:ind w:right="-93"/>
        <w:jc w:val="both"/>
        <w:rPr>
          <w:rFonts w:ascii="Palatino Linotype" w:eastAsia="Calibri" w:hAnsi="Palatino Linotype" w:cs="Tahoma"/>
          <w:bCs/>
          <w:sz w:val="22"/>
          <w:szCs w:val="22"/>
          <w:lang w:val="es-ES" w:eastAsia="en-US"/>
        </w:rPr>
      </w:pPr>
    </w:p>
    <w:p w14:paraId="1ECD007F" w14:textId="77777777" w:rsidR="00FB6E64" w:rsidRPr="008D0ABC" w:rsidRDefault="00FB6E64" w:rsidP="00FB6E64">
      <w:pPr>
        <w:spacing w:line="360" w:lineRule="auto"/>
        <w:ind w:left="567" w:right="567"/>
        <w:jc w:val="both"/>
        <w:rPr>
          <w:rFonts w:ascii="Palatino Linotype" w:eastAsia="Calibri" w:hAnsi="Palatino Linotype" w:cs="Tahoma"/>
          <w:b/>
          <w:bCs/>
          <w:i/>
          <w:lang w:val="es-ES" w:eastAsia="en-US"/>
        </w:rPr>
      </w:pPr>
      <w:r w:rsidRPr="008D0ABC">
        <w:rPr>
          <w:rFonts w:ascii="Palatino Linotype" w:eastAsia="Calibri" w:hAnsi="Palatino Linotype" w:cs="Tahoma"/>
          <w:bCs/>
          <w:i/>
          <w:lang w:val="es-ES" w:eastAsia="en-US"/>
        </w:rPr>
        <w:t>“</w:t>
      </w:r>
      <w:r w:rsidRPr="008D0ABC">
        <w:rPr>
          <w:rFonts w:ascii="Palatino Linotype" w:eastAsia="Calibri" w:hAnsi="Palatino Linotype" w:cs="Tahoma"/>
          <w:b/>
          <w:bCs/>
          <w:i/>
          <w:lang w:val="es-ES" w:eastAsia="en-US"/>
        </w:rPr>
        <w:t xml:space="preserve">DERECHOS A LA INTIMIDAD, PROPIA IMAGEN, IDENTIDAD PERSONAL Y SEXUAL. CONSTITUYEN DERECHOS DE DEFENSA Y GARANTÍA ESENCIAL PARA LA CONDICIÓN HUMANA.  </w:t>
      </w:r>
      <w:r w:rsidRPr="008D0ABC">
        <w:rPr>
          <w:rFonts w:ascii="Palatino Linotype" w:eastAsia="Calibri" w:hAnsi="Palatino Linotype" w:cs="Tahoma"/>
          <w:bCs/>
          <w:i/>
          <w:lang w:val="es-ES" w:eastAsia="en-US"/>
        </w:rPr>
        <w:t xml:space="preserve">Dentro de los derechos personalísimos se encuentran necesariamente comprendidos el </w:t>
      </w:r>
      <w:r w:rsidRPr="008D0ABC">
        <w:rPr>
          <w:rFonts w:ascii="Palatino Linotype" w:eastAsia="Calibri" w:hAnsi="Palatino Linotype" w:cs="Tahoma"/>
          <w:b/>
          <w:bCs/>
          <w:i/>
          <w:lang w:val="es-ES" w:eastAsia="en-US"/>
        </w:rPr>
        <w:t>derecho a la intimidad y a la propia imagen</w:t>
      </w:r>
      <w:r w:rsidRPr="008D0ABC">
        <w:rPr>
          <w:rFonts w:ascii="Palatino Linotype" w:eastAsia="Calibri" w:hAnsi="Palatino Linotype" w:cs="Tahoma"/>
          <w:bCs/>
          <w:i/>
          <w:lang w:val="es-ES" w:eastAsia="en-US"/>
        </w:rPr>
        <w:t xml:space="preserve">, así como a la </w:t>
      </w:r>
      <w:r w:rsidRPr="008D0ABC">
        <w:rPr>
          <w:rFonts w:ascii="Palatino Linotype" w:eastAsia="Calibri" w:hAnsi="Palatino Linotype" w:cs="Tahoma"/>
          <w:b/>
          <w:bCs/>
          <w:i/>
          <w:lang w:val="es-ES" w:eastAsia="en-US"/>
        </w:rPr>
        <w:t>identidad personal</w:t>
      </w:r>
      <w:r w:rsidRPr="008D0ABC">
        <w:rPr>
          <w:rFonts w:ascii="Palatino Linotype" w:eastAsia="Calibri" w:hAnsi="Palatino Linotype" w:cs="Tahoma"/>
          <w:bCs/>
          <w:i/>
          <w:lang w:val="es-ES" w:eastAsia="en-US"/>
        </w:rPr>
        <w:t xml:space="preserve"> y sexual; entendiéndose por el primero, </w:t>
      </w:r>
      <w:r w:rsidRPr="008D0ABC">
        <w:rPr>
          <w:rFonts w:ascii="Palatino Linotype" w:eastAsia="Calibri" w:hAnsi="Palatino Linotype" w:cs="Tahoma"/>
          <w:b/>
          <w:bCs/>
          <w:i/>
          <w:lang w:val="es-ES" w:eastAsia="en-US"/>
        </w:rPr>
        <w:t>el derecho del individuo a no ser conocido por otros en ciertos aspectos de su vida</w:t>
      </w:r>
      <w:r w:rsidRPr="008D0ABC">
        <w:rPr>
          <w:rFonts w:ascii="Palatino Linotype" w:eastAsia="Calibri" w:hAnsi="Palatino Linotype" w:cs="Tahoma"/>
          <w:bCs/>
          <w:i/>
          <w:lang w:val="es-ES" w:eastAsia="en-US"/>
        </w:rPr>
        <w:t xml:space="preserve"> y, </w:t>
      </w:r>
      <w:r w:rsidRPr="008D0ABC">
        <w:rPr>
          <w:rFonts w:ascii="Palatino Linotype" w:eastAsia="Calibri" w:hAnsi="Palatino Linotype" w:cs="Tahoma"/>
          <w:b/>
          <w:bCs/>
          <w:i/>
          <w:lang w:val="es-ES" w:eastAsia="en-US"/>
        </w:rPr>
        <w:t>por ende, el poder de decisión sobre la publicidad o información de datos relativos a su persona</w:t>
      </w:r>
      <w:r w:rsidRPr="008D0ABC">
        <w:rPr>
          <w:rFonts w:ascii="Palatino Linotype" w:eastAsia="Calibri" w:hAnsi="Palatino Linotype" w:cs="Tahoma"/>
          <w:bCs/>
          <w:i/>
          <w:lang w:val="es-ES" w:eastAsia="en-US"/>
        </w:rPr>
        <w:t>, familia, pensamientos o sentimientos;</w:t>
      </w:r>
      <w:r w:rsidRPr="008D0ABC">
        <w:rPr>
          <w:rFonts w:ascii="Palatino Linotype" w:eastAsia="Calibri" w:hAnsi="Palatino Linotype" w:cs="Tahoma"/>
          <w:b/>
          <w:bCs/>
          <w:i/>
          <w:lang w:val="es-ES" w:eastAsia="en-US"/>
        </w:rPr>
        <w:t xml:space="preserve"> </w:t>
      </w:r>
      <w:r w:rsidRPr="008D0ABC">
        <w:rPr>
          <w:rFonts w:ascii="Palatino Linotype" w:eastAsia="Calibri" w:hAnsi="Palatino Linotype" w:cs="Tahoma"/>
          <w:bCs/>
          <w:i/>
          <w:lang w:val="es-ES" w:eastAsia="en-US"/>
        </w:rPr>
        <w:t xml:space="preserve">a la </w:t>
      </w:r>
      <w:r w:rsidRPr="008D0ABC">
        <w:rPr>
          <w:rFonts w:ascii="Palatino Linotype" w:eastAsia="Calibri" w:hAnsi="Palatino Linotype" w:cs="Tahoma"/>
          <w:b/>
          <w:bCs/>
          <w:i/>
          <w:lang w:val="es-ES" w:eastAsia="en-US"/>
        </w:rPr>
        <w:t>propia imagen, como aquel derecho de decidir, en forma libre, sobre la manera en que elige mostrarse frente a los demás</w:t>
      </w:r>
      <w:r w:rsidRPr="008D0ABC">
        <w:rPr>
          <w:rFonts w:ascii="Palatino Linotype" w:eastAsia="Calibri" w:hAnsi="Palatino Linotype" w:cs="Tahoma"/>
          <w:bCs/>
          <w:i/>
          <w:lang w:val="es-ES" w:eastAsia="en-US"/>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8D0ABC">
        <w:rPr>
          <w:rFonts w:ascii="Palatino Linotype" w:eastAsia="Calibri" w:hAnsi="Palatino Linotype" w:cs="Tahoma"/>
          <w:b/>
          <w:bCs/>
          <w:i/>
          <w:lang w:val="es-ES" w:eastAsia="en-US"/>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8D0ABC">
        <w:rPr>
          <w:rFonts w:ascii="Palatino Linotype" w:eastAsia="Calibri" w:hAnsi="Palatino Linotype" w:cs="Tahoma"/>
          <w:bCs/>
          <w:i/>
          <w:lang w:val="es-ES" w:eastAsia="en-US"/>
        </w:rPr>
        <w:t>”</w:t>
      </w:r>
    </w:p>
    <w:p w14:paraId="3998BD43" w14:textId="77777777" w:rsidR="00FB6E64" w:rsidRPr="008D0ABC" w:rsidRDefault="00FB6E64" w:rsidP="00FB6E64">
      <w:pPr>
        <w:spacing w:line="360" w:lineRule="auto"/>
        <w:ind w:right="-93"/>
        <w:jc w:val="both"/>
        <w:rPr>
          <w:rFonts w:ascii="Palatino Linotype" w:eastAsia="Calibri" w:hAnsi="Palatino Linotype" w:cs="Tahoma"/>
          <w:bCs/>
          <w:sz w:val="22"/>
          <w:szCs w:val="22"/>
          <w:lang w:val="es-ES" w:eastAsia="en-US"/>
        </w:rPr>
      </w:pPr>
      <w:r w:rsidRPr="008D0ABC">
        <w:rPr>
          <w:rFonts w:ascii="Palatino Linotype" w:eastAsia="Calibri" w:hAnsi="Palatino Linotype" w:cs="Tahoma"/>
          <w:bCs/>
          <w:sz w:val="22"/>
          <w:szCs w:val="22"/>
          <w:lang w:val="es-ES" w:eastAsia="en-US"/>
        </w:rPr>
        <w:t xml:space="preserve"> </w:t>
      </w:r>
    </w:p>
    <w:p w14:paraId="33A184DD" w14:textId="77777777" w:rsidR="00FB6E64" w:rsidRPr="008D0ABC" w:rsidRDefault="00FB6E64" w:rsidP="00FB6E64">
      <w:pPr>
        <w:spacing w:line="360" w:lineRule="auto"/>
        <w:jc w:val="both"/>
        <w:rPr>
          <w:rFonts w:ascii="Palatino Linotype" w:eastAsia="Calibri" w:hAnsi="Palatino Linotype" w:cs="Tahoma"/>
          <w:bCs/>
          <w:sz w:val="22"/>
          <w:szCs w:val="22"/>
          <w:lang w:val="es-ES" w:eastAsia="en-US"/>
        </w:rPr>
      </w:pPr>
      <w:r w:rsidRPr="008D0ABC">
        <w:rPr>
          <w:rFonts w:ascii="Palatino Linotype" w:eastAsia="Calibri" w:hAnsi="Palatino Linotype" w:cs="Tahoma"/>
          <w:bCs/>
          <w:sz w:val="22"/>
          <w:szCs w:val="22"/>
          <w:lang w:val="es-ES" w:eastAsia="en-US"/>
        </w:rPr>
        <w:t xml:space="preserve">En ese sentido, es derecho de todo individuo a no ser conocido por otros en ciertos aspectos de su vida y, por ende, el poder de decisión sobre la publicidad o información de datos relativos a su persona </w:t>
      </w:r>
      <w:r w:rsidRPr="008D0ABC">
        <w:rPr>
          <w:rFonts w:ascii="Palatino Linotype" w:eastAsia="Calibri" w:hAnsi="Palatino Linotype" w:cs="Tahoma"/>
          <w:b/>
          <w:bCs/>
          <w:sz w:val="22"/>
          <w:szCs w:val="22"/>
          <w:lang w:val="es-ES" w:eastAsia="en-US"/>
        </w:rPr>
        <w:t>(derecho a la intimidad).</w:t>
      </w:r>
    </w:p>
    <w:p w14:paraId="5672DDBD" w14:textId="77777777" w:rsidR="00FB6E64" w:rsidRPr="008D0ABC" w:rsidRDefault="00FB6E64" w:rsidP="00FB6E64">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0FB17221" w14:textId="77777777" w:rsidR="00FB6E64" w:rsidRPr="008D0ABC" w:rsidRDefault="00FB6E64" w:rsidP="00FB6E64">
      <w:pPr>
        <w:spacing w:line="360" w:lineRule="auto"/>
        <w:ind w:right="-93"/>
        <w:jc w:val="both"/>
        <w:rPr>
          <w:rFonts w:ascii="Palatino Linotype" w:eastAsia="Calibri" w:hAnsi="Palatino Linotype" w:cs="Tahoma"/>
          <w:bCs/>
          <w:sz w:val="22"/>
          <w:szCs w:val="22"/>
          <w:lang w:val="es-ES" w:eastAsia="en-US"/>
        </w:rPr>
      </w:pPr>
      <w:r w:rsidRPr="008D0ABC">
        <w:rPr>
          <w:rFonts w:ascii="Palatino Linotype" w:eastAsia="Calibri" w:hAnsi="Palatino Linotype" w:cs="Tahoma"/>
          <w:bCs/>
          <w:iCs/>
          <w:sz w:val="22"/>
          <w:szCs w:val="22"/>
          <w:lang w:val="es-ES" w:eastAsia="en-US"/>
        </w:rPr>
        <w:t xml:space="preserve">Además, por lo que hace </w:t>
      </w:r>
      <w:r w:rsidRPr="008D0ABC">
        <w:rPr>
          <w:rFonts w:ascii="Palatino Linotype" w:eastAsia="Calibri" w:hAnsi="Palatino Linotype" w:cs="Tahoma"/>
          <w:b/>
          <w:bCs/>
          <w:iCs/>
          <w:sz w:val="22"/>
          <w:szCs w:val="22"/>
          <w:lang w:val="es-ES" w:eastAsia="en-US"/>
        </w:rPr>
        <w:t>a la vida privada</w:t>
      </w:r>
      <w:r w:rsidRPr="008D0ABC">
        <w:rPr>
          <w:rFonts w:ascii="Palatino Linotype" w:eastAsia="Calibri" w:hAnsi="Palatino Linotype" w:cs="Tahoma"/>
          <w:bCs/>
          <w:iCs/>
          <w:sz w:val="22"/>
          <w:szCs w:val="22"/>
          <w:lang w:val="es-ES" w:eastAsia="en-US"/>
        </w:rPr>
        <w:t xml:space="preserve">, </w:t>
      </w:r>
      <w:r w:rsidRPr="008D0ABC">
        <w:rPr>
          <w:rFonts w:ascii="Palatino Linotype" w:eastAsia="Calibri" w:hAnsi="Palatino Linotype" w:cs="Tahoma"/>
          <w:bCs/>
          <w:sz w:val="22"/>
          <w:szCs w:val="22"/>
          <w:lang w:val="es-ES" w:eastAsia="en-US"/>
        </w:rPr>
        <w:t xml:space="preserve">en la tesis aislada número 1a. CCXIV/2009, emitida por la Primera Sala de la Suprema Corte de Justicia de la Nación, publicada </w:t>
      </w:r>
      <w:r w:rsidRPr="008D0ABC">
        <w:rPr>
          <w:rFonts w:ascii="Palatino Linotype" w:eastAsia="Calibri" w:hAnsi="Palatino Linotype" w:cs="Tahoma"/>
          <w:bCs/>
          <w:iCs/>
          <w:sz w:val="22"/>
          <w:szCs w:val="22"/>
          <w:lang w:val="es-ES" w:eastAsia="en-US"/>
        </w:rPr>
        <w:t>en la Gaceta del Semanario Judicial de la Federación, Tomo XXX, de diciembre de 2009, página 277, de la Novena Época, materia constitucional,</w:t>
      </w:r>
      <w:r w:rsidRPr="008D0ABC">
        <w:rPr>
          <w:rFonts w:ascii="Palatino Linotype" w:eastAsia="Calibri" w:hAnsi="Palatino Linotype" w:cs="Tahoma"/>
          <w:bCs/>
          <w:sz w:val="22"/>
          <w:szCs w:val="22"/>
          <w:lang w:val="es-ES" w:eastAsia="en-US"/>
        </w:rPr>
        <w:t xml:space="preserve"> se establece lo siguiente:</w:t>
      </w:r>
    </w:p>
    <w:p w14:paraId="257426FE" w14:textId="77777777" w:rsidR="00FB6E64" w:rsidRPr="008D0ABC" w:rsidRDefault="00FB6E64" w:rsidP="00FB6E64">
      <w:pPr>
        <w:spacing w:line="360" w:lineRule="auto"/>
        <w:ind w:right="-93"/>
        <w:jc w:val="both"/>
        <w:rPr>
          <w:rFonts w:ascii="Palatino Linotype" w:eastAsia="Calibri" w:hAnsi="Palatino Linotype" w:cs="Tahoma"/>
          <w:bCs/>
          <w:sz w:val="22"/>
          <w:szCs w:val="22"/>
          <w:lang w:val="es-ES" w:eastAsia="en-US"/>
        </w:rPr>
      </w:pPr>
    </w:p>
    <w:p w14:paraId="7408B14B" w14:textId="77777777" w:rsidR="00FB6E64" w:rsidRPr="008D0ABC" w:rsidRDefault="00FB6E64" w:rsidP="00FB6E64">
      <w:pPr>
        <w:spacing w:line="360" w:lineRule="auto"/>
        <w:ind w:left="567" w:right="567"/>
        <w:jc w:val="both"/>
        <w:rPr>
          <w:rFonts w:ascii="Palatino Linotype" w:eastAsia="Calibri" w:hAnsi="Palatino Linotype" w:cs="Tahoma"/>
          <w:bCs/>
          <w:i/>
          <w:lang w:val="es-ES" w:eastAsia="en-US"/>
        </w:rPr>
      </w:pPr>
      <w:r w:rsidRPr="008D0ABC">
        <w:rPr>
          <w:rFonts w:ascii="Palatino Linotype" w:eastAsia="Calibri" w:hAnsi="Palatino Linotype" w:cs="Tahoma"/>
          <w:bCs/>
          <w:i/>
          <w:lang w:val="es-ES" w:eastAsia="en-US"/>
        </w:rPr>
        <w:t>“</w:t>
      </w:r>
      <w:r w:rsidRPr="008D0ABC">
        <w:rPr>
          <w:rFonts w:ascii="Palatino Linotype" w:eastAsia="Calibri" w:hAnsi="Palatino Linotype" w:cs="Tahoma"/>
          <w:b/>
          <w:bCs/>
          <w:i/>
          <w:lang w:val="es-ES" w:eastAsia="en-US"/>
        </w:rPr>
        <w:t xml:space="preserve">DERECHO A LA VIDA PRIVADA. SU CONTENIDO GENERAL Y LA IMPORTANCIA DE NO DESCONTEXTUALIZAR LAS REFERENCIAS A LA MISMA. </w:t>
      </w:r>
      <w:r w:rsidRPr="008D0ABC">
        <w:rPr>
          <w:rFonts w:ascii="Palatino Linotype" w:eastAsia="Calibri" w:hAnsi="Palatino Linotype" w:cs="Tahoma"/>
          <w:bCs/>
          <w:i/>
          <w:lang w:val="es-ES" w:eastAsia="en-U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8D0ABC">
        <w:rPr>
          <w:rFonts w:ascii="Palatino Linotype" w:eastAsia="Calibri" w:hAnsi="Palatino Linotype" w:cs="Tahoma"/>
          <w:b/>
          <w:bCs/>
          <w:i/>
          <w:lang w:val="es-ES" w:eastAsia="en-U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8D0ABC">
        <w:rPr>
          <w:rFonts w:ascii="Palatino Linotype" w:eastAsia="Calibri" w:hAnsi="Palatino Linotype" w:cs="Tahoma"/>
          <w:bCs/>
          <w:i/>
          <w:lang w:val="es-ES" w:eastAsia="en-U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8D0ABC">
        <w:rPr>
          <w:rFonts w:ascii="Palatino Linotype" w:eastAsia="Calibri" w:hAnsi="Palatino Linotype" w:cs="Tahoma"/>
          <w:b/>
          <w:bCs/>
          <w:i/>
          <w:lang w:val="es-ES" w:eastAsia="en-US"/>
        </w:rPr>
        <w:t>En un sentido amplio, entonces, la protección constitucional de la vida privada implica poder conducir parte de la vida de uno protegido de la mirada y las injerencias de los demás</w:t>
      </w:r>
      <w:r w:rsidRPr="008D0ABC">
        <w:rPr>
          <w:rFonts w:ascii="Palatino Linotype" w:eastAsia="Calibri" w:hAnsi="Palatino Linotype" w:cs="Tahoma"/>
          <w:bCs/>
          <w:i/>
          <w:lang w:val="es-ES" w:eastAsia="en-U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0C866DFB" w14:textId="77777777" w:rsidR="00FB6E64" w:rsidRPr="008D0ABC" w:rsidRDefault="00FB6E64" w:rsidP="00FB6E64">
      <w:pPr>
        <w:spacing w:line="360" w:lineRule="auto"/>
        <w:ind w:right="-93"/>
        <w:jc w:val="both"/>
        <w:rPr>
          <w:rFonts w:ascii="Palatino Linotype" w:eastAsia="Calibri" w:hAnsi="Palatino Linotype" w:cs="Tahoma"/>
          <w:bCs/>
          <w:sz w:val="22"/>
          <w:szCs w:val="22"/>
          <w:lang w:val="es-ES" w:eastAsia="en-US"/>
        </w:rPr>
      </w:pPr>
    </w:p>
    <w:p w14:paraId="1C35E0AC" w14:textId="77777777" w:rsidR="00FB6E64" w:rsidRPr="008D0ABC" w:rsidRDefault="00FB6E64" w:rsidP="00FB6E64">
      <w:pPr>
        <w:spacing w:line="360" w:lineRule="auto"/>
        <w:ind w:right="-93"/>
        <w:jc w:val="both"/>
        <w:rPr>
          <w:rFonts w:ascii="Palatino Linotype" w:eastAsia="Calibri" w:hAnsi="Palatino Linotype" w:cs="Tahoma"/>
          <w:b/>
          <w:bCs/>
          <w:sz w:val="22"/>
          <w:szCs w:val="22"/>
          <w:lang w:val="es-ES" w:eastAsia="en-US"/>
        </w:rPr>
      </w:pPr>
      <w:r w:rsidRPr="008D0ABC">
        <w:rPr>
          <w:rFonts w:ascii="Palatino Linotype" w:eastAsia="Calibri" w:hAnsi="Palatino Linotype" w:cs="Tahoma"/>
          <w:bCs/>
          <w:sz w:val="22"/>
          <w:szCs w:val="22"/>
          <w:lang w:val="es-ES" w:eastAsia="en-US"/>
        </w:rPr>
        <w:t xml:space="preserve">De conformidad con lo señalado, se colige que </w:t>
      </w:r>
      <w:r w:rsidRPr="008D0ABC">
        <w:rPr>
          <w:rFonts w:ascii="Palatino Linotype" w:eastAsia="Calibri" w:hAnsi="Palatino Linotype" w:cs="Tahoma"/>
          <w:b/>
          <w:bCs/>
          <w:sz w:val="22"/>
          <w:szCs w:val="22"/>
          <w:lang w:val="es-ES" w:eastAsia="en-US"/>
        </w:rPr>
        <w:t>las actividades que realicen los particulares, dentro del ámbito privado, o dentro de la esfera particular, es información que debe protegerse.</w:t>
      </w:r>
    </w:p>
    <w:p w14:paraId="59F8D996" w14:textId="77777777" w:rsidR="00FB6E64" w:rsidRPr="008D0ABC" w:rsidRDefault="00FB6E64" w:rsidP="009667B0">
      <w:pPr>
        <w:spacing w:line="360" w:lineRule="auto"/>
        <w:ind w:right="-93"/>
        <w:jc w:val="both"/>
        <w:rPr>
          <w:rFonts w:ascii="Palatino Linotype" w:eastAsia="Calibri" w:hAnsi="Palatino Linotype" w:cs="Tahoma"/>
          <w:bCs/>
          <w:iCs/>
          <w:sz w:val="22"/>
          <w:szCs w:val="22"/>
          <w:lang w:val="es-ES" w:eastAsia="en-US"/>
        </w:rPr>
      </w:pPr>
    </w:p>
    <w:p w14:paraId="3AC024B0" w14:textId="78F1349F" w:rsidR="00FB6E64" w:rsidRPr="008D0ABC" w:rsidRDefault="00FB6E64" w:rsidP="00FB6E64">
      <w:pPr>
        <w:spacing w:line="360" w:lineRule="auto"/>
        <w:ind w:right="-93"/>
        <w:jc w:val="both"/>
        <w:rPr>
          <w:rFonts w:ascii="Palatino Linotype" w:eastAsia="Calibri" w:hAnsi="Palatino Linotype" w:cs="Tahoma"/>
          <w:bCs/>
          <w:sz w:val="22"/>
          <w:szCs w:val="22"/>
          <w:lang w:val="es-ES" w:eastAsia="en-US"/>
        </w:rPr>
      </w:pPr>
      <w:r w:rsidRPr="008D0ABC">
        <w:rPr>
          <w:rFonts w:ascii="Palatino Linotype" w:eastAsia="Calibri" w:hAnsi="Palatino Linotype" w:cs="Tahoma"/>
          <w:bCs/>
          <w:sz w:val="22"/>
          <w:szCs w:val="22"/>
          <w:lang w:val="es-ES" w:eastAsia="en-US"/>
        </w:rPr>
        <w:t>Conforme a lo anterior, el Número de Certificado de Nacimiento, al ser un dato que únicamente le atañe a la persona a quién le pertenece el mismo y que corresponde a su esfera íntima y privada, pues acredita que el individuo nació ante la Secretaría de Salud; por lo que no le atañe a la ciudadanía conocer dicha información, ni abona a la transparencia.</w:t>
      </w:r>
    </w:p>
    <w:p w14:paraId="587CA23C" w14:textId="77777777" w:rsidR="00FB6E64" w:rsidRPr="008D0ABC" w:rsidRDefault="00FB6E64" w:rsidP="00FB6E64">
      <w:pPr>
        <w:spacing w:line="360" w:lineRule="auto"/>
        <w:ind w:right="-93"/>
        <w:jc w:val="both"/>
        <w:rPr>
          <w:rFonts w:ascii="Palatino Linotype" w:eastAsia="Calibri" w:hAnsi="Palatino Linotype" w:cs="Tahoma"/>
          <w:bCs/>
          <w:sz w:val="22"/>
          <w:szCs w:val="22"/>
          <w:lang w:val="es-ES" w:eastAsia="en-US"/>
        </w:rPr>
      </w:pPr>
    </w:p>
    <w:p w14:paraId="784C3B91" w14:textId="77777777" w:rsidR="00FB6E64" w:rsidRPr="008D0ABC" w:rsidRDefault="00FB6E64" w:rsidP="00FB6E64">
      <w:pPr>
        <w:spacing w:line="360" w:lineRule="auto"/>
        <w:ind w:right="-93"/>
        <w:jc w:val="both"/>
        <w:rPr>
          <w:rFonts w:ascii="Palatino Linotype" w:eastAsia="Calibri" w:hAnsi="Palatino Linotype" w:cs="Tahoma"/>
          <w:bCs/>
          <w:sz w:val="22"/>
          <w:szCs w:val="22"/>
          <w:lang w:val="es-ES" w:eastAsia="en-US"/>
        </w:rPr>
      </w:pPr>
      <w:r w:rsidRPr="008D0ABC">
        <w:rPr>
          <w:rFonts w:ascii="Palatino Linotype" w:eastAsia="Calibri" w:hAnsi="Palatino Linotype" w:cs="Tahoma"/>
          <w:bCs/>
          <w:sz w:val="22"/>
          <w:szCs w:val="22"/>
          <w:lang w:val="es-ES" w:eastAsia="en-US"/>
        </w:rPr>
        <w:t>Por lo que, se considera que el dato en comento, actualiza la causal de clasificación, establecida en el artículo 143, fracción I, de la Ley de Transparencia y Acceso a la Información Pública del Estado de México y Municipios.</w:t>
      </w:r>
    </w:p>
    <w:p w14:paraId="7CDA00E6" w14:textId="0D5C8EE0" w:rsidR="00FB6E64" w:rsidRPr="008D0ABC" w:rsidRDefault="00FB6E64" w:rsidP="00FB6E64">
      <w:pPr>
        <w:autoSpaceDE w:val="0"/>
        <w:autoSpaceDN w:val="0"/>
        <w:adjustRightInd w:val="0"/>
        <w:spacing w:line="360" w:lineRule="auto"/>
        <w:jc w:val="both"/>
        <w:rPr>
          <w:rFonts w:ascii="Palatino Linotype" w:eastAsia="Calibri" w:hAnsi="Palatino Linotype" w:cs="Tahoma"/>
          <w:bCs/>
          <w:lang w:eastAsia="es-MX"/>
        </w:rPr>
      </w:pPr>
    </w:p>
    <w:p w14:paraId="5A22CB1D" w14:textId="44AD8C49" w:rsidR="009667B0" w:rsidRPr="008D0ABC" w:rsidRDefault="009667B0">
      <w:pPr>
        <w:numPr>
          <w:ilvl w:val="0"/>
          <w:numId w:val="11"/>
        </w:numPr>
        <w:shd w:val="clear" w:color="auto" w:fill="FFFFFF" w:themeFill="background1"/>
        <w:spacing w:line="360" w:lineRule="auto"/>
        <w:jc w:val="both"/>
        <w:rPr>
          <w:rFonts w:ascii="Palatino Linotype" w:eastAsia="Calibri" w:hAnsi="Palatino Linotype" w:cs="Tahoma"/>
          <w:b/>
          <w:bCs/>
          <w:iCs/>
          <w:sz w:val="22"/>
          <w:szCs w:val="22"/>
          <w:lang w:val="es-ES_tradnl" w:eastAsia="en-US"/>
        </w:rPr>
      </w:pPr>
      <w:r w:rsidRPr="008D0ABC">
        <w:rPr>
          <w:rFonts w:ascii="Palatino Linotype" w:eastAsia="Calibri" w:hAnsi="Palatino Linotype" w:cs="Tahoma"/>
          <w:b/>
          <w:bCs/>
          <w:iCs/>
          <w:sz w:val="22"/>
          <w:szCs w:val="22"/>
          <w:lang w:eastAsia="en-US"/>
        </w:rPr>
        <w:t>Registro Patronal ante el Instituto Mexicano del Seguro Social.</w:t>
      </w:r>
    </w:p>
    <w:p w14:paraId="32E1D60E" w14:textId="50EBA65C" w:rsidR="00FB6E64" w:rsidRPr="008D0ABC" w:rsidRDefault="00FB6E64" w:rsidP="00FB6E64">
      <w:pPr>
        <w:autoSpaceDE w:val="0"/>
        <w:autoSpaceDN w:val="0"/>
        <w:adjustRightInd w:val="0"/>
        <w:spacing w:line="360" w:lineRule="auto"/>
        <w:jc w:val="both"/>
        <w:rPr>
          <w:rFonts w:ascii="Palatino Linotype" w:eastAsia="Calibri" w:hAnsi="Palatino Linotype" w:cs="Tahoma"/>
          <w:bCs/>
          <w:lang w:eastAsia="es-MX"/>
        </w:rPr>
      </w:pPr>
    </w:p>
    <w:p w14:paraId="7B59E917" w14:textId="273D8D6C" w:rsidR="009667B0" w:rsidRPr="008D0ABC" w:rsidRDefault="009667B0" w:rsidP="00C72C05">
      <w:pPr>
        <w:autoSpaceDE w:val="0"/>
        <w:autoSpaceDN w:val="0"/>
        <w:adjustRightInd w:val="0"/>
        <w:spacing w:line="360" w:lineRule="auto"/>
        <w:jc w:val="both"/>
        <w:rPr>
          <w:rFonts w:ascii="Palatino Linotype" w:eastAsia="Calibri" w:hAnsi="Palatino Linotype" w:cs="Tahoma"/>
          <w:bCs/>
          <w:sz w:val="22"/>
          <w:szCs w:val="22"/>
          <w:lang w:eastAsia="es-MX"/>
        </w:rPr>
      </w:pPr>
      <w:r w:rsidRPr="008D0ABC">
        <w:rPr>
          <w:rFonts w:ascii="Palatino Linotype" w:eastAsia="Calibri" w:hAnsi="Palatino Linotype" w:cs="Tahoma"/>
          <w:bCs/>
          <w:sz w:val="22"/>
          <w:szCs w:val="22"/>
          <w:lang w:eastAsia="es-MX"/>
        </w:rPr>
        <w:t>Al respecto,</w:t>
      </w:r>
      <w:r w:rsidR="00C72C05" w:rsidRPr="008D0ABC">
        <w:rPr>
          <w:rFonts w:ascii="Palatino Linotype" w:eastAsia="Calibri" w:hAnsi="Palatino Linotype" w:cs="Tahoma"/>
          <w:bCs/>
          <w:sz w:val="22"/>
          <w:szCs w:val="22"/>
          <w:lang w:eastAsia="es-MX"/>
        </w:rPr>
        <w:t xml:space="preserve"> de conformidad con los artículos 12 y 13 del Reglamento de la Ley del Seguro Social en materia de afiliación, clasificación de empresas, recaudación y fiscalización, precisa que el </w:t>
      </w:r>
      <w:r w:rsidRPr="008D0ABC">
        <w:rPr>
          <w:rFonts w:ascii="Palatino Linotype" w:eastAsia="Calibri" w:hAnsi="Palatino Linotype" w:cs="Tahoma"/>
          <w:bCs/>
          <w:sz w:val="22"/>
          <w:szCs w:val="22"/>
          <w:lang w:eastAsia="es-MX"/>
        </w:rPr>
        <w:t xml:space="preserve"> registro patronal es la clave alfanumérica que identifica a los patrones que solicitan su inscripción ante el Instituto Mexicano del Seguro Social y mediante la cual es posible identificar el municipio al cual pertenece </w:t>
      </w:r>
      <w:r w:rsidR="00C72C05" w:rsidRPr="008D0ABC">
        <w:rPr>
          <w:rFonts w:ascii="Palatino Linotype" w:eastAsia="Calibri" w:hAnsi="Palatino Linotype" w:cs="Tahoma"/>
          <w:bCs/>
          <w:sz w:val="22"/>
          <w:szCs w:val="22"/>
          <w:lang w:eastAsia="es-MX"/>
        </w:rPr>
        <w:t>este; además, que cualquier persona estará obligada a registrarse como patrón</w:t>
      </w:r>
      <w:r w:rsidRPr="008D0ABC">
        <w:rPr>
          <w:rFonts w:ascii="Palatino Linotype" w:eastAsia="Calibri" w:hAnsi="Palatino Linotype" w:cs="Tahoma"/>
          <w:bCs/>
          <w:sz w:val="22"/>
          <w:szCs w:val="22"/>
          <w:lang w:eastAsia="es-MX"/>
        </w:rPr>
        <w:t xml:space="preserve"> a partir de que empiece a utilizar los servicios de uno </w:t>
      </w:r>
      <w:r w:rsidR="00C72C05" w:rsidRPr="008D0ABC">
        <w:rPr>
          <w:rFonts w:ascii="Palatino Linotype" w:eastAsia="Calibri" w:hAnsi="Palatino Linotype" w:cs="Tahoma"/>
          <w:bCs/>
          <w:sz w:val="22"/>
          <w:szCs w:val="22"/>
          <w:lang w:eastAsia="es-MX"/>
        </w:rPr>
        <w:t>o varios trabajadores.</w:t>
      </w:r>
    </w:p>
    <w:p w14:paraId="7F672406" w14:textId="32DDF86F" w:rsidR="00C72C05" w:rsidRPr="008D0ABC" w:rsidRDefault="00C72C05" w:rsidP="00C72C05">
      <w:pPr>
        <w:autoSpaceDE w:val="0"/>
        <w:autoSpaceDN w:val="0"/>
        <w:adjustRightInd w:val="0"/>
        <w:spacing w:line="360" w:lineRule="auto"/>
        <w:jc w:val="both"/>
        <w:rPr>
          <w:rFonts w:ascii="Palatino Linotype" w:eastAsia="Calibri" w:hAnsi="Palatino Linotype" w:cs="Tahoma"/>
          <w:bCs/>
          <w:sz w:val="22"/>
          <w:szCs w:val="22"/>
          <w:lang w:eastAsia="es-MX"/>
        </w:rPr>
      </w:pPr>
    </w:p>
    <w:p w14:paraId="089096B7" w14:textId="3CF701B8" w:rsidR="00C72C05" w:rsidRPr="008D0ABC" w:rsidRDefault="00C72C05" w:rsidP="00C72C05">
      <w:pPr>
        <w:autoSpaceDE w:val="0"/>
        <w:autoSpaceDN w:val="0"/>
        <w:adjustRightInd w:val="0"/>
        <w:spacing w:line="360" w:lineRule="auto"/>
        <w:jc w:val="both"/>
        <w:rPr>
          <w:rFonts w:ascii="Palatino Linotype" w:eastAsia="Calibri" w:hAnsi="Palatino Linotype" w:cs="Tahoma"/>
          <w:bCs/>
          <w:sz w:val="22"/>
          <w:szCs w:val="22"/>
          <w:lang w:eastAsia="es-MX"/>
        </w:rPr>
      </w:pPr>
      <w:r w:rsidRPr="008D0ABC">
        <w:rPr>
          <w:rFonts w:ascii="Palatino Linotype" w:eastAsia="Calibri" w:hAnsi="Palatino Linotype" w:cs="Tahoma"/>
          <w:bCs/>
          <w:sz w:val="22"/>
          <w:szCs w:val="22"/>
          <w:lang w:eastAsia="es-MX"/>
        </w:rPr>
        <w:t>Conforme a lo anterior, se logra vislumbrar que el Registro Patronal es un dato para uso interno de una empresa, para que sus trabajadores, puedan recibir los beneficios de la seguridad social que brinda el Instituto Mexicano del Seguro Social, lo cual guarda la naturaleza privada, pues no abona a la transparencia de los proveedores, ni ayuda a rendir cuentas de la forma en que eroga recursos públicos el Sujeto Obligado; por lo que, se considera que actualiza la causal de clasificación prevista en el artículo 143, fracción I, de la Ley de Transparencia y Acceso a la Información Pública del Estado de México y Municipios.</w:t>
      </w:r>
    </w:p>
    <w:p w14:paraId="72935B78" w14:textId="77777777" w:rsidR="009667B0" w:rsidRPr="008D0ABC" w:rsidRDefault="009667B0" w:rsidP="00FB6E64">
      <w:pPr>
        <w:autoSpaceDE w:val="0"/>
        <w:autoSpaceDN w:val="0"/>
        <w:adjustRightInd w:val="0"/>
        <w:spacing w:line="360" w:lineRule="auto"/>
        <w:jc w:val="both"/>
        <w:rPr>
          <w:rFonts w:ascii="Palatino Linotype" w:eastAsia="Calibri" w:hAnsi="Palatino Linotype" w:cs="Tahoma"/>
          <w:bCs/>
          <w:lang w:eastAsia="es-MX"/>
        </w:rPr>
      </w:pPr>
    </w:p>
    <w:p w14:paraId="469F5880" w14:textId="5F7E6203" w:rsidR="000613DF" w:rsidRPr="008D0ABC" w:rsidRDefault="00C72C05" w:rsidP="007662E1">
      <w:pPr>
        <w:autoSpaceDE w:val="0"/>
        <w:autoSpaceDN w:val="0"/>
        <w:adjustRightInd w:val="0"/>
        <w:spacing w:line="360" w:lineRule="auto"/>
        <w:jc w:val="both"/>
        <w:rPr>
          <w:rFonts w:ascii="Palatino Linotype" w:eastAsia="Calibri" w:hAnsi="Palatino Linotype" w:cs="Tahoma"/>
          <w:bCs/>
          <w:sz w:val="22"/>
          <w:szCs w:val="24"/>
          <w:lang w:eastAsia="es-MX"/>
        </w:rPr>
      </w:pPr>
      <w:r w:rsidRPr="008D0ABC">
        <w:rPr>
          <w:rFonts w:ascii="Palatino Linotype" w:eastAsia="Calibri" w:hAnsi="Palatino Linotype" w:cs="Tahoma"/>
          <w:bCs/>
          <w:sz w:val="22"/>
          <w:szCs w:val="24"/>
          <w:lang w:eastAsia="es-MX"/>
        </w:rPr>
        <w:t>Conforme a lo anterior, se logra vislumbrar que el Sujeto Obligado clasificó de manera correcta, los datos localizados en los contratos de obra pública, en términos del artículo 143, fracción I, de la Ley de Transparencia y Acceso a la Información Pública del Estado de México y Municipios, a saber, el número de acta de nacimiento, folio de la credencial de elector y el Registro Patronal emitido por el Instituto Mexicano del Seguro Social.</w:t>
      </w:r>
    </w:p>
    <w:p w14:paraId="2C8AAB01" w14:textId="6296F304" w:rsidR="00C72C05" w:rsidRPr="008D0ABC" w:rsidRDefault="00C72C05" w:rsidP="007662E1">
      <w:pPr>
        <w:autoSpaceDE w:val="0"/>
        <w:autoSpaceDN w:val="0"/>
        <w:adjustRightInd w:val="0"/>
        <w:spacing w:line="360" w:lineRule="auto"/>
        <w:jc w:val="both"/>
        <w:rPr>
          <w:rFonts w:ascii="Palatino Linotype" w:eastAsia="Calibri" w:hAnsi="Palatino Linotype" w:cs="Tahoma"/>
          <w:bCs/>
          <w:sz w:val="22"/>
          <w:szCs w:val="24"/>
          <w:lang w:eastAsia="es-MX"/>
        </w:rPr>
      </w:pPr>
    </w:p>
    <w:p w14:paraId="1FD31310" w14:textId="3EBF7C0D" w:rsidR="00C72C05" w:rsidRPr="008D0ABC" w:rsidRDefault="00C72C05" w:rsidP="00C72C05">
      <w:pPr>
        <w:spacing w:line="360" w:lineRule="auto"/>
        <w:jc w:val="both"/>
        <w:rPr>
          <w:rFonts w:ascii="Palatino Linotype" w:hAnsi="Palatino Linotype" w:cs="Tahoma"/>
          <w:color w:val="0D0D0D" w:themeColor="text1" w:themeTint="F2"/>
          <w:sz w:val="22"/>
          <w:szCs w:val="22"/>
          <w:lang w:eastAsia="es-MX"/>
        </w:rPr>
      </w:pPr>
      <w:r w:rsidRPr="008D0ABC">
        <w:rPr>
          <w:rFonts w:ascii="Palatino Linotype" w:hAnsi="Palatino Linotype" w:cs="Tahoma"/>
          <w:color w:val="0D0D0D" w:themeColor="text1" w:themeTint="F2"/>
          <w:sz w:val="22"/>
          <w:szCs w:val="22"/>
          <w:lang w:eastAsia="es-MX"/>
        </w:rPr>
        <w:t xml:space="preserve">Ahora bien, en cumplimiento del artículo 168 de la Ley de la materia, el Sujeto Obligado proporcionó </w:t>
      </w:r>
      <w:r w:rsidR="00B9421D" w:rsidRPr="008D0ABC">
        <w:rPr>
          <w:rFonts w:ascii="Palatino Linotype" w:hAnsi="Palatino Linotype" w:cs="Tahoma"/>
          <w:color w:val="0D0D0D" w:themeColor="text1" w:themeTint="F2"/>
          <w:sz w:val="22"/>
          <w:szCs w:val="22"/>
          <w:lang w:eastAsia="es-MX"/>
        </w:rPr>
        <w:t>el Acuerdo</w:t>
      </w:r>
      <w:r w:rsidRPr="008D0ABC">
        <w:rPr>
          <w:rFonts w:ascii="Palatino Linotype" w:hAnsi="Palatino Linotype" w:cs="Tahoma"/>
          <w:color w:val="0D0D0D" w:themeColor="text1" w:themeTint="F2"/>
          <w:sz w:val="22"/>
          <w:szCs w:val="22"/>
          <w:lang w:eastAsia="es-MX"/>
        </w:rPr>
        <w:t xml:space="preserve"> del Comité de Transparencia por medio del cual se clasificó </w:t>
      </w:r>
      <w:r w:rsidR="00B9421D" w:rsidRPr="008D0ABC">
        <w:rPr>
          <w:rFonts w:ascii="Palatino Linotype" w:hAnsi="Palatino Linotype" w:cs="Tahoma"/>
          <w:color w:val="0D0D0D" w:themeColor="text1" w:themeTint="F2"/>
          <w:sz w:val="22"/>
          <w:szCs w:val="22"/>
          <w:lang w:eastAsia="es-MX"/>
        </w:rPr>
        <w:t>los previamente solicitados.</w:t>
      </w:r>
    </w:p>
    <w:p w14:paraId="2FC1928A" w14:textId="25454956" w:rsidR="00C72C05" w:rsidRPr="008D0ABC" w:rsidRDefault="00B9421D" w:rsidP="00C72C05">
      <w:pPr>
        <w:spacing w:line="360" w:lineRule="auto"/>
        <w:jc w:val="both"/>
        <w:rPr>
          <w:rFonts w:ascii="Palatino Linotype" w:hAnsi="Palatino Linotype" w:cs="Tahoma"/>
          <w:b/>
          <w:sz w:val="22"/>
          <w:szCs w:val="22"/>
          <w:lang w:eastAsia="es-MX"/>
        </w:rPr>
      </w:pPr>
      <w:r w:rsidRPr="008D0ABC">
        <w:rPr>
          <w:rFonts w:ascii="Palatino Linotype" w:hAnsi="Palatino Linotype" w:cs="Tahoma"/>
          <w:color w:val="0D0D0D" w:themeColor="text1" w:themeTint="F2"/>
          <w:sz w:val="22"/>
          <w:szCs w:val="22"/>
          <w:lang w:eastAsia="es-MX"/>
        </w:rPr>
        <w:t>Sobre e</w:t>
      </w:r>
      <w:r w:rsidR="00C72C05" w:rsidRPr="008D0ABC">
        <w:rPr>
          <w:rFonts w:ascii="Palatino Linotype" w:hAnsi="Palatino Linotype" w:cs="Tahoma"/>
          <w:color w:val="0D0D0D" w:themeColor="text1" w:themeTint="F2"/>
          <w:sz w:val="22"/>
          <w:szCs w:val="22"/>
          <w:lang w:eastAsia="es-MX"/>
        </w:rPr>
        <w:t xml:space="preserve">l tema, el </w:t>
      </w:r>
      <w:r w:rsidR="00C72C05" w:rsidRPr="008D0ABC">
        <w:rPr>
          <w:rFonts w:ascii="Palatino Linotype" w:hAnsi="Palatino Linotype" w:cs="Tahoma"/>
          <w:sz w:val="22"/>
          <w:szCs w:val="22"/>
        </w:rPr>
        <w:t xml:space="preserve">al artículo 108, de la Ley General de Transparencia y Acceso a la Información Pública, el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00C72C05" w:rsidRPr="008D0ABC">
        <w:rPr>
          <w:rFonts w:ascii="Palatino Linotype" w:hAnsi="Palatino Linotype" w:cs="Tahoma"/>
          <w:b/>
          <w:sz w:val="22"/>
          <w:szCs w:val="22"/>
        </w:rPr>
        <w:t>análisis caso por caso.</w:t>
      </w:r>
    </w:p>
    <w:p w14:paraId="301F8BD4" w14:textId="77777777" w:rsidR="00C72C05" w:rsidRPr="008D0ABC" w:rsidRDefault="00C72C05" w:rsidP="00C72C05">
      <w:pPr>
        <w:spacing w:line="360" w:lineRule="auto"/>
        <w:jc w:val="both"/>
        <w:rPr>
          <w:rFonts w:ascii="Palatino Linotype" w:hAnsi="Palatino Linotype" w:cs="Tahoma"/>
          <w:b/>
          <w:sz w:val="22"/>
          <w:szCs w:val="22"/>
        </w:rPr>
      </w:pPr>
    </w:p>
    <w:p w14:paraId="454419BC" w14:textId="77777777" w:rsidR="00C72C05" w:rsidRPr="008D0ABC" w:rsidRDefault="00C72C05" w:rsidP="00C72C05">
      <w:pPr>
        <w:spacing w:line="360" w:lineRule="auto"/>
        <w:jc w:val="both"/>
        <w:rPr>
          <w:rFonts w:ascii="Palatino Linotype" w:hAnsi="Palatino Linotype" w:cs="Tahoma"/>
          <w:sz w:val="22"/>
          <w:szCs w:val="22"/>
        </w:rPr>
      </w:pPr>
      <w:r w:rsidRPr="008D0ABC">
        <w:rPr>
          <w:rFonts w:ascii="Palatino Linotype" w:hAnsi="Palatino Linotype" w:cs="Tahoma"/>
          <w:sz w:val="22"/>
          <w:szCs w:val="22"/>
        </w:rPr>
        <w:t xml:space="preserve">Sobre lo anterior, el artículo 131 de la Ley referida, así como el Quinto de los Lineamientos Generales, establecen que los sujetos obligados </w:t>
      </w:r>
      <w:r w:rsidRPr="008D0ABC">
        <w:rPr>
          <w:rFonts w:ascii="Palatino Linotype" w:hAnsi="Palatino Linotype" w:cs="Tahoma"/>
          <w:b/>
          <w:sz w:val="22"/>
          <w:szCs w:val="22"/>
        </w:rPr>
        <w:t>deberán fundar y motivar</w:t>
      </w:r>
      <w:r w:rsidRPr="008D0ABC">
        <w:rPr>
          <w:rFonts w:ascii="Palatino Linotype" w:hAnsi="Palatino Linotype" w:cs="Tahoma"/>
          <w:sz w:val="22"/>
          <w:szCs w:val="22"/>
        </w:rPr>
        <w:t xml:space="preserve"> debidamente la clasificación de la información.</w:t>
      </w:r>
    </w:p>
    <w:p w14:paraId="609C1357" w14:textId="77777777" w:rsidR="00C72C05" w:rsidRPr="008D0ABC" w:rsidRDefault="00C72C05" w:rsidP="00C72C05">
      <w:pPr>
        <w:spacing w:line="360" w:lineRule="auto"/>
        <w:jc w:val="both"/>
        <w:rPr>
          <w:rFonts w:ascii="Palatino Linotype" w:hAnsi="Palatino Linotype" w:cs="Tahoma"/>
          <w:b/>
          <w:sz w:val="22"/>
          <w:szCs w:val="22"/>
        </w:rPr>
      </w:pPr>
    </w:p>
    <w:p w14:paraId="5E9EECD6" w14:textId="77777777" w:rsidR="00C72C05" w:rsidRPr="008D0ABC" w:rsidRDefault="00C72C05" w:rsidP="00C72C05">
      <w:pPr>
        <w:spacing w:line="360" w:lineRule="auto"/>
        <w:jc w:val="both"/>
        <w:rPr>
          <w:rFonts w:ascii="Palatino Linotype" w:hAnsi="Palatino Linotype" w:cs="Tahoma"/>
          <w:bCs/>
          <w:iCs/>
          <w:sz w:val="22"/>
          <w:szCs w:val="22"/>
        </w:rPr>
      </w:pPr>
      <w:r w:rsidRPr="008D0ABC">
        <w:rPr>
          <w:rFonts w:ascii="Palatino Linotype" w:hAnsi="Palatino Linotype" w:cs="Tahoma"/>
          <w:sz w:val="22"/>
          <w:szCs w:val="22"/>
        </w:rPr>
        <w:t>Al respecto, e</w:t>
      </w:r>
      <w:r w:rsidRPr="008D0ABC">
        <w:rPr>
          <w:rFonts w:ascii="Palatino Linotype" w:hAnsi="Palatino Linotype" w:cs="Tahoma"/>
          <w:bCs/>
          <w:iCs/>
          <w:sz w:val="22"/>
          <w:szCs w:val="22"/>
        </w:rPr>
        <w:t>l Octavo de los Lineamientos Generales, precisa lo siguiente:</w:t>
      </w:r>
    </w:p>
    <w:p w14:paraId="11F0ADBA" w14:textId="77777777" w:rsidR="00C72C05" w:rsidRPr="008D0ABC" w:rsidRDefault="00C72C05" w:rsidP="00C72C05">
      <w:pPr>
        <w:spacing w:line="360" w:lineRule="auto"/>
        <w:jc w:val="both"/>
        <w:rPr>
          <w:rFonts w:ascii="Palatino Linotype" w:hAnsi="Palatino Linotype" w:cs="Tahoma"/>
          <w:bCs/>
          <w:iCs/>
          <w:sz w:val="22"/>
          <w:szCs w:val="22"/>
        </w:rPr>
      </w:pPr>
    </w:p>
    <w:p w14:paraId="59458632" w14:textId="77777777" w:rsidR="00C72C05" w:rsidRPr="008D0ABC" w:rsidRDefault="00C72C05">
      <w:pPr>
        <w:numPr>
          <w:ilvl w:val="0"/>
          <w:numId w:val="2"/>
        </w:numPr>
        <w:spacing w:line="360" w:lineRule="auto"/>
        <w:jc w:val="both"/>
        <w:rPr>
          <w:rFonts w:ascii="Palatino Linotype" w:hAnsi="Palatino Linotype" w:cs="Tahoma"/>
          <w:bCs/>
          <w:sz w:val="22"/>
          <w:szCs w:val="22"/>
          <w:u w:val="single"/>
        </w:rPr>
      </w:pPr>
      <w:r w:rsidRPr="008D0ABC">
        <w:rPr>
          <w:rFonts w:ascii="Palatino Linotype" w:hAnsi="Palatino Linotype" w:cs="Tahoma"/>
          <w:b/>
          <w:bCs/>
          <w:sz w:val="22"/>
          <w:szCs w:val="22"/>
        </w:rPr>
        <w:t>Para fundar la clasificación</w:t>
      </w:r>
      <w:r w:rsidRPr="008D0ABC">
        <w:rPr>
          <w:rFonts w:ascii="Palatino Linotype" w:hAnsi="Palatino Linotype" w:cs="Tahoma"/>
          <w:bCs/>
          <w:sz w:val="22"/>
          <w:szCs w:val="22"/>
        </w:rPr>
        <w:t xml:space="preserve"> de la información se deberán </w:t>
      </w:r>
      <w:r w:rsidRPr="008D0ABC">
        <w:rPr>
          <w:rFonts w:ascii="Palatino Linotype" w:hAnsi="Palatino Linotype" w:cs="Tahoma"/>
          <w:bCs/>
          <w:sz w:val="22"/>
          <w:szCs w:val="22"/>
          <w:u w:val="single"/>
        </w:rPr>
        <w:t>señalar el artículo, fracción, inciso, párrafo o numeral de la Ley aplicable;</w:t>
      </w:r>
    </w:p>
    <w:p w14:paraId="5B3A0CE5" w14:textId="77777777" w:rsidR="00C72C05" w:rsidRPr="008D0ABC" w:rsidRDefault="00C72C05" w:rsidP="00C72C05">
      <w:pPr>
        <w:spacing w:line="360" w:lineRule="auto"/>
        <w:jc w:val="both"/>
        <w:rPr>
          <w:rFonts w:ascii="Palatino Linotype" w:hAnsi="Palatino Linotype" w:cs="Tahoma"/>
          <w:bCs/>
          <w:sz w:val="22"/>
          <w:szCs w:val="22"/>
        </w:rPr>
      </w:pPr>
    </w:p>
    <w:p w14:paraId="5D0D9A23" w14:textId="77777777" w:rsidR="00C72C05" w:rsidRPr="008D0ABC" w:rsidRDefault="00C72C05">
      <w:pPr>
        <w:numPr>
          <w:ilvl w:val="0"/>
          <w:numId w:val="2"/>
        </w:numPr>
        <w:spacing w:line="360" w:lineRule="auto"/>
        <w:jc w:val="both"/>
        <w:rPr>
          <w:rFonts w:ascii="Palatino Linotype" w:hAnsi="Palatino Linotype" w:cs="Tahoma"/>
          <w:bCs/>
          <w:sz w:val="22"/>
          <w:szCs w:val="22"/>
        </w:rPr>
      </w:pPr>
      <w:r w:rsidRPr="008D0ABC">
        <w:rPr>
          <w:rFonts w:ascii="Palatino Linotype" w:hAnsi="Palatino Linotype" w:cs="Tahoma"/>
          <w:b/>
          <w:bCs/>
          <w:sz w:val="22"/>
          <w:szCs w:val="22"/>
        </w:rPr>
        <w:t>Para motivar la clasificación</w:t>
      </w:r>
      <w:r w:rsidRPr="008D0ABC">
        <w:rPr>
          <w:rFonts w:ascii="Palatino Linotype" w:hAnsi="Palatino Linotype" w:cs="Tahoma"/>
          <w:bCs/>
          <w:sz w:val="22"/>
          <w:szCs w:val="22"/>
        </w:rPr>
        <w:t xml:space="preserve"> se deberán </w:t>
      </w:r>
      <w:r w:rsidRPr="008D0ABC">
        <w:rPr>
          <w:rFonts w:ascii="Palatino Linotype" w:hAnsi="Palatino Linotype" w:cs="Tahoma"/>
          <w:bCs/>
          <w:sz w:val="22"/>
          <w:szCs w:val="22"/>
          <w:u w:val="single"/>
        </w:rPr>
        <w:t>indicar las razones y circunstancias</w:t>
      </w:r>
      <w:r w:rsidRPr="008D0ABC">
        <w:rPr>
          <w:rFonts w:ascii="Palatino Linotype" w:hAnsi="Palatino Linotype" w:cs="Tahoma"/>
          <w:bCs/>
          <w:sz w:val="22"/>
          <w:szCs w:val="22"/>
        </w:rPr>
        <w:t xml:space="preserve">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6DDF0E99" w14:textId="77777777" w:rsidR="00C72C05" w:rsidRPr="008D0ABC" w:rsidRDefault="00C72C05" w:rsidP="00C72C05">
      <w:pPr>
        <w:spacing w:line="360" w:lineRule="auto"/>
        <w:ind w:left="720"/>
        <w:contextualSpacing/>
        <w:rPr>
          <w:rFonts w:ascii="Palatino Linotype" w:hAnsi="Palatino Linotype" w:cs="Tahoma"/>
          <w:bCs/>
          <w:sz w:val="22"/>
          <w:szCs w:val="22"/>
        </w:rPr>
      </w:pPr>
    </w:p>
    <w:p w14:paraId="213FF447" w14:textId="77777777" w:rsidR="00C72C05" w:rsidRPr="008D0ABC" w:rsidRDefault="00C72C05" w:rsidP="00C72C05">
      <w:pPr>
        <w:spacing w:line="360" w:lineRule="auto"/>
        <w:jc w:val="both"/>
        <w:rPr>
          <w:rFonts w:ascii="Palatino Linotype" w:hAnsi="Palatino Linotype" w:cs="Tahoma"/>
          <w:sz w:val="22"/>
          <w:szCs w:val="22"/>
        </w:rPr>
      </w:pPr>
      <w:r w:rsidRPr="008D0ABC">
        <w:rPr>
          <w:rFonts w:ascii="Palatino Linotype" w:hAnsi="Palatino Linotype" w:cs="Tahoma"/>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2D8B0277" w14:textId="77777777" w:rsidR="00C72C05" w:rsidRPr="008D0ABC" w:rsidRDefault="00C72C05" w:rsidP="00C72C05">
      <w:pPr>
        <w:spacing w:line="360" w:lineRule="auto"/>
        <w:jc w:val="both"/>
        <w:rPr>
          <w:rFonts w:ascii="Palatino Linotype" w:hAnsi="Palatino Linotype" w:cs="Tahoma"/>
        </w:rPr>
      </w:pPr>
    </w:p>
    <w:p w14:paraId="48EA4B53" w14:textId="77777777" w:rsidR="00C72C05" w:rsidRPr="008D0ABC" w:rsidRDefault="00C72C05" w:rsidP="00C72C05">
      <w:pPr>
        <w:spacing w:line="360" w:lineRule="auto"/>
        <w:ind w:left="567" w:right="567"/>
        <w:jc w:val="both"/>
        <w:rPr>
          <w:rFonts w:ascii="Palatino Linotype" w:hAnsi="Palatino Linotype" w:cs="Tahoma"/>
          <w:i/>
        </w:rPr>
      </w:pPr>
      <w:r w:rsidRPr="008D0ABC">
        <w:rPr>
          <w:rFonts w:ascii="Palatino Linotype" w:hAnsi="Palatino Linotype" w:cs="Tahoma"/>
          <w:b/>
          <w:i/>
        </w:rPr>
        <w:t xml:space="preserve">“FUNDAMENTACION Y MOTIVACION, CONCEPTO DE. </w:t>
      </w:r>
      <w:r w:rsidRPr="008D0ABC">
        <w:rPr>
          <w:rFonts w:ascii="Palatino Linotype" w:hAnsi="Palatino Linotype" w:cs="Tahoma"/>
          <w:i/>
        </w:rPr>
        <w:t xml:space="preserve">La </w:t>
      </w:r>
      <w:r w:rsidRPr="008D0ABC">
        <w:rPr>
          <w:rFonts w:ascii="Palatino Linotype" w:hAnsi="Palatino Linotype" w:cs="Tahoma"/>
          <w:i/>
          <w:u w:val="single"/>
        </w:rPr>
        <w:t>garantía de legalidad consagrada en el artículo 16 de nuestra Carta Magna</w:t>
      </w:r>
      <w:r w:rsidRPr="008D0ABC">
        <w:rPr>
          <w:rFonts w:ascii="Palatino Linotype" w:hAnsi="Palatino Linotype" w:cs="Tahoma"/>
          <w:i/>
        </w:rPr>
        <w:t>,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5F587C8D" w14:textId="77777777" w:rsidR="00C72C05" w:rsidRPr="008D0ABC" w:rsidRDefault="00C72C05" w:rsidP="00C72C05">
      <w:pPr>
        <w:spacing w:line="360" w:lineRule="auto"/>
        <w:jc w:val="both"/>
        <w:rPr>
          <w:rFonts w:ascii="Palatino Linotype" w:hAnsi="Palatino Linotype" w:cs="Tahoma"/>
          <w:sz w:val="22"/>
          <w:szCs w:val="22"/>
        </w:rPr>
      </w:pPr>
    </w:p>
    <w:p w14:paraId="60AF1F69" w14:textId="77777777" w:rsidR="00C72C05" w:rsidRPr="008D0ABC" w:rsidRDefault="00C72C05" w:rsidP="00C72C05">
      <w:pPr>
        <w:spacing w:line="360" w:lineRule="auto"/>
        <w:jc w:val="both"/>
        <w:rPr>
          <w:rFonts w:ascii="Palatino Linotype" w:hAnsi="Palatino Linotype" w:cs="Tahoma"/>
          <w:sz w:val="22"/>
          <w:szCs w:val="22"/>
        </w:rPr>
      </w:pPr>
      <w:r w:rsidRPr="008D0ABC">
        <w:rPr>
          <w:rFonts w:ascii="Palatino Linotype" w:hAnsi="Palatino Linotype" w:cs="Tahoma"/>
          <w:sz w:val="22"/>
          <w:szCs w:val="22"/>
        </w:rPr>
        <w:t>Conforme a lo anterior, se advierte lo siguiente:</w:t>
      </w:r>
    </w:p>
    <w:p w14:paraId="3954F874" w14:textId="77777777" w:rsidR="00C72C05" w:rsidRPr="008D0ABC" w:rsidRDefault="00C72C05" w:rsidP="00C72C05">
      <w:pPr>
        <w:spacing w:line="360" w:lineRule="auto"/>
        <w:jc w:val="both"/>
        <w:rPr>
          <w:rFonts w:ascii="Palatino Linotype" w:hAnsi="Palatino Linotype" w:cs="Tahoma"/>
          <w:sz w:val="22"/>
          <w:szCs w:val="22"/>
        </w:rPr>
      </w:pPr>
    </w:p>
    <w:p w14:paraId="0BCC56E8" w14:textId="77777777" w:rsidR="00C72C05" w:rsidRPr="008D0ABC" w:rsidRDefault="00C72C05">
      <w:pPr>
        <w:numPr>
          <w:ilvl w:val="0"/>
          <w:numId w:val="3"/>
        </w:numPr>
        <w:spacing w:line="360" w:lineRule="auto"/>
        <w:jc w:val="both"/>
        <w:rPr>
          <w:rFonts w:ascii="Palatino Linotype" w:hAnsi="Palatino Linotype" w:cs="Tahoma"/>
          <w:b/>
          <w:sz w:val="22"/>
          <w:szCs w:val="22"/>
        </w:rPr>
      </w:pPr>
      <w:r w:rsidRPr="008D0ABC">
        <w:rPr>
          <w:rFonts w:ascii="Palatino Linotype" w:hAnsi="Palatino Linotype" w:cs="Tahoma"/>
          <w:b/>
          <w:sz w:val="22"/>
          <w:szCs w:val="22"/>
        </w:rPr>
        <w:t xml:space="preserve">Fundamentación: </w:t>
      </w:r>
      <w:r w:rsidRPr="008D0ABC">
        <w:rPr>
          <w:rFonts w:ascii="Palatino Linotype" w:hAnsi="Palatino Linotype" w:cs="Tahoma"/>
          <w:sz w:val="22"/>
          <w:szCs w:val="22"/>
        </w:rPr>
        <w:t>Obligación de la autoridad que emite un acto, para citar los preceptos legales, sustantivos y adjetivos, en que se apoye para la determinación tomada.</w:t>
      </w:r>
    </w:p>
    <w:p w14:paraId="392EB0D0" w14:textId="77777777" w:rsidR="00C72C05" w:rsidRPr="008D0ABC" w:rsidRDefault="00C72C05" w:rsidP="00C72C05">
      <w:pPr>
        <w:spacing w:line="360" w:lineRule="auto"/>
        <w:ind w:left="720"/>
        <w:contextualSpacing/>
        <w:jc w:val="both"/>
        <w:rPr>
          <w:rFonts w:ascii="Palatino Linotype" w:hAnsi="Palatino Linotype" w:cs="Tahoma"/>
          <w:b/>
          <w:sz w:val="22"/>
          <w:szCs w:val="22"/>
        </w:rPr>
      </w:pPr>
    </w:p>
    <w:p w14:paraId="4F41EDAF" w14:textId="77777777" w:rsidR="00C72C05" w:rsidRPr="008D0ABC" w:rsidRDefault="00C72C05">
      <w:pPr>
        <w:numPr>
          <w:ilvl w:val="0"/>
          <w:numId w:val="3"/>
        </w:numPr>
        <w:spacing w:line="360" w:lineRule="auto"/>
        <w:jc w:val="both"/>
        <w:rPr>
          <w:rFonts w:ascii="Palatino Linotype" w:hAnsi="Palatino Linotype" w:cs="Tahoma"/>
          <w:b/>
          <w:sz w:val="22"/>
          <w:szCs w:val="22"/>
        </w:rPr>
      </w:pPr>
      <w:r w:rsidRPr="008D0ABC">
        <w:rPr>
          <w:rFonts w:ascii="Palatino Linotype" w:hAnsi="Palatino Linotype" w:cs="Tahoma"/>
          <w:b/>
          <w:sz w:val="22"/>
          <w:szCs w:val="22"/>
        </w:rPr>
        <w:t xml:space="preserve">Motivación: </w:t>
      </w:r>
      <w:r w:rsidRPr="008D0ABC">
        <w:rPr>
          <w:rFonts w:ascii="Palatino Linotype" w:hAnsi="Palatino Linotype" w:cs="Tahoma"/>
          <w:sz w:val="22"/>
          <w:szCs w:val="22"/>
        </w:rPr>
        <w:t>Razonamientos lógico-jurídicos sobre porque se consideró en el caso en concreto, que se ajusta a la hipótesis normativa.</w:t>
      </w:r>
    </w:p>
    <w:p w14:paraId="2F482F69" w14:textId="77777777" w:rsidR="00C72C05" w:rsidRPr="008D0ABC" w:rsidRDefault="00C72C05" w:rsidP="00C72C05">
      <w:pPr>
        <w:spacing w:line="360" w:lineRule="auto"/>
        <w:jc w:val="both"/>
        <w:rPr>
          <w:rFonts w:ascii="Palatino Linotype" w:eastAsia="Calibri" w:hAnsi="Palatino Linotype" w:cs="Tahoma"/>
          <w:sz w:val="22"/>
          <w:szCs w:val="22"/>
          <w:lang w:val="es-ES" w:eastAsia="en-US"/>
        </w:rPr>
      </w:pPr>
    </w:p>
    <w:p w14:paraId="7F4FAB01" w14:textId="6E1B34AB" w:rsidR="00C72C05" w:rsidRPr="008D0ABC" w:rsidRDefault="00C72C05" w:rsidP="00C72C05">
      <w:pPr>
        <w:spacing w:line="360" w:lineRule="auto"/>
        <w:jc w:val="both"/>
        <w:rPr>
          <w:rFonts w:ascii="Palatino Linotype" w:eastAsia="Calibri" w:hAnsi="Palatino Linotype" w:cs="Tahoma"/>
          <w:sz w:val="22"/>
          <w:szCs w:val="22"/>
          <w:lang w:val="es-ES" w:eastAsia="en-US"/>
        </w:rPr>
      </w:pPr>
      <w:r w:rsidRPr="008D0ABC">
        <w:rPr>
          <w:rFonts w:ascii="Palatino Linotype" w:eastAsia="Calibri" w:hAnsi="Palatino Linotype" w:cs="Tahoma"/>
          <w:sz w:val="22"/>
          <w:szCs w:val="22"/>
          <w:lang w:val="es-ES" w:eastAsia="en-US"/>
        </w:rPr>
        <w:t xml:space="preserve">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w:t>
      </w:r>
    </w:p>
    <w:p w14:paraId="24C06874" w14:textId="0473E603" w:rsidR="00B9421D" w:rsidRPr="008D0ABC" w:rsidRDefault="00B9421D" w:rsidP="00C72C05">
      <w:pPr>
        <w:spacing w:line="360" w:lineRule="auto"/>
        <w:jc w:val="both"/>
        <w:rPr>
          <w:rFonts w:ascii="Palatino Linotype" w:eastAsia="Calibri" w:hAnsi="Palatino Linotype" w:cs="Tahoma"/>
          <w:sz w:val="22"/>
          <w:szCs w:val="22"/>
          <w:lang w:val="es-ES" w:eastAsia="en-US"/>
        </w:rPr>
      </w:pPr>
    </w:p>
    <w:p w14:paraId="074DF8FE" w14:textId="77777777" w:rsidR="00B9421D" w:rsidRPr="008D0ABC" w:rsidRDefault="00B9421D" w:rsidP="00C72C05">
      <w:pPr>
        <w:spacing w:line="360" w:lineRule="auto"/>
        <w:jc w:val="both"/>
        <w:rPr>
          <w:rFonts w:ascii="Palatino Linotype" w:eastAsia="Calibri" w:hAnsi="Palatino Linotype" w:cs="Tahoma"/>
          <w:sz w:val="22"/>
          <w:szCs w:val="22"/>
          <w:lang w:val="es-ES" w:eastAsia="en-US"/>
        </w:rPr>
      </w:pPr>
      <w:r w:rsidRPr="008D0ABC">
        <w:rPr>
          <w:rFonts w:ascii="Palatino Linotype" w:eastAsia="Calibri" w:hAnsi="Palatino Linotype" w:cs="Tahoma"/>
          <w:sz w:val="22"/>
          <w:szCs w:val="22"/>
          <w:lang w:val="es-ES" w:eastAsia="en-US"/>
        </w:rPr>
        <w:t xml:space="preserve">En ese contexto, este Instituto revisó el Acuerdo emitido y advierte que el Acuerdo, no está debidamente fundado y motivado, toda vez que omitió señalar las circunstancias específicas por las cuales, los tres datos testados, actualizaba la causal de clasificación establecida; es decir, no señaló de manera clara y precisa, las razones por las cuales actualizaban la confidencialidad, en términos del artículo 143, fracción I, y 149 de la Ley de la materia. </w:t>
      </w:r>
    </w:p>
    <w:p w14:paraId="5C462A9E" w14:textId="77777777" w:rsidR="00B9421D" w:rsidRPr="008D0ABC" w:rsidRDefault="00B9421D" w:rsidP="00C72C05">
      <w:pPr>
        <w:spacing w:line="360" w:lineRule="auto"/>
        <w:jc w:val="both"/>
        <w:rPr>
          <w:rFonts w:ascii="Palatino Linotype" w:eastAsia="Calibri" w:hAnsi="Palatino Linotype" w:cs="Tahoma"/>
          <w:sz w:val="22"/>
          <w:szCs w:val="22"/>
          <w:lang w:val="es-ES" w:eastAsia="en-US"/>
        </w:rPr>
      </w:pPr>
    </w:p>
    <w:p w14:paraId="6D4BB995" w14:textId="625F4BCE" w:rsidR="00B9421D" w:rsidRPr="008D0ABC" w:rsidRDefault="00B9421D" w:rsidP="00C72C05">
      <w:pPr>
        <w:spacing w:line="360" w:lineRule="auto"/>
        <w:jc w:val="both"/>
        <w:rPr>
          <w:rFonts w:ascii="Palatino Linotype" w:eastAsia="Calibri" w:hAnsi="Palatino Linotype" w:cs="Tahoma"/>
          <w:sz w:val="22"/>
          <w:szCs w:val="22"/>
          <w:lang w:val="es-ES" w:eastAsia="en-US"/>
        </w:rPr>
      </w:pPr>
      <w:r w:rsidRPr="008D0ABC">
        <w:rPr>
          <w:rFonts w:ascii="Palatino Linotype" w:eastAsia="Calibri" w:hAnsi="Palatino Linotype" w:cs="Tahoma"/>
          <w:sz w:val="22"/>
          <w:szCs w:val="22"/>
          <w:lang w:val="es-ES" w:eastAsia="en-US"/>
        </w:rPr>
        <w:t>Por lo cual, para atender el requerimiento de información deberá proporcionar el Acuerdo del Comité de Transparencia, en donde de manera fundada y motivada, confirme la clasificación del número de acta de nacimiento, folio de elector y Registro Pat</w:t>
      </w:r>
      <w:r w:rsidR="009E6E61" w:rsidRPr="008D0ABC">
        <w:rPr>
          <w:rFonts w:ascii="Palatino Linotype" w:eastAsia="Calibri" w:hAnsi="Palatino Linotype" w:cs="Tahoma"/>
          <w:sz w:val="22"/>
          <w:szCs w:val="22"/>
          <w:lang w:val="es-ES" w:eastAsia="en-US"/>
        </w:rPr>
        <w:t>ronal emitido por el Instituto Mexicano del Seguro Social.</w:t>
      </w:r>
    </w:p>
    <w:p w14:paraId="53F5C229" w14:textId="62049EFE" w:rsidR="00C72C05" w:rsidRPr="008D0ABC" w:rsidRDefault="00C72C05" w:rsidP="007662E1">
      <w:pPr>
        <w:autoSpaceDE w:val="0"/>
        <w:autoSpaceDN w:val="0"/>
        <w:adjustRightInd w:val="0"/>
        <w:spacing w:line="360" w:lineRule="auto"/>
        <w:jc w:val="both"/>
        <w:rPr>
          <w:rFonts w:ascii="Palatino Linotype" w:eastAsia="Calibri" w:hAnsi="Palatino Linotype" w:cs="Tahoma"/>
          <w:bCs/>
          <w:sz w:val="22"/>
          <w:szCs w:val="24"/>
          <w:lang w:eastAsia="es-MX"/>
        </w:rPr>
      </w:pPr>
    </w:p>
    <w:p w14:paraId="2C24B5B8" w14:textId="3864F931" w:rsidR="009E6E61" w:rsidRPr="008D0ABC" w:rsidRDefault="009E6E61" w:rsidP="009E6E61">
      <w:pPr>
        <w:tabs>
          <w:tab w:val="left" w:pos="4962"/>
        </w:tabs>
        <w:spacing w:line="360" w:lineRule="auto"/>
        <w:jc w:val="both"/>
        <w:rPr>
          <w:rFonts w:ascii="Palatino Linotype" w:eastAsia="Calibri" w:hAnsi="Palatino Linotype"/>
          <w:color w:val="000000"/>
          <w:sz w:val="22"/>
          <w:szCs w:val="22"/>
          <w:lang w:eastAsia="en-US"/>
        </w:rPr>
      </w:pPr>
      <w:r w:rsidRPr="008D0ABC">
        <w:rPr>
          <w:rFonts w:ascii="Palatino Linotype" w:eastAsia="Calibri" w:hAnsi="Palatino Linotype" w:cs="Tahoma"/>
          <w:bCs/>
          <w:sz w:val="22"/>
          <w:szCs w:val="24"/>
          <w:lang w:eastAsia="es-MX"/>
        </w:rPr>
        <w:t xml:space="preserve">Ahora bien, por lo que hace a la asignación de montos de acuerdo al programa anual de obras, es necesario precisar que la Dirección de Obras Públicas omitió realizar un pronunciamiento expreso sobre las cuatro obras públicas señaladas en respuesta; </w:t>
      </w:r>
      <w:r w:rsidRPr="008D0ABC">
        <w:rPr>
          <w:rFonts w:ascii="Palatino Linotype" w:hAnsi="Palatino Linotype" w:cs="Tahoma"/>
          <w:bCs/>
          <w:color w:val="0D0D0D"/>
          <w:sz w:val="22"/>
          <w:szCs w:val="24"/>
          <w:lang w:val="es-ES"/>
        </w:rPr>
        <w:t xml:space="preserve">sobre el tema, </w:t>
      </w:r>
      <w:r w:rsidRPr="008D0ABC">
        <w:rPr>
          <w:rFonts w:ascii="Palatino Linotype" w:eastAsia="Calibri" w:hAnsi="Palatino Linotype"/>
          <w:color w:val="000000"/>
          <w:sz w:val="22"/>
          <w:szCs w:val="22"/>
          <w:lang w:eastAsia="en-US"/>
        </w:rPr>
        <w:t xml:space="preserve">la fracción XIII, del artículo 1.8 del </w:t>
      </w:r>
      <w:r w:rsidRPr="008D0ABC">
        <w:rPr>
          <w:rFonts w:ascii="Palatino Linotype" w:eastAsia="Calibri" w:hAnsi="Palatino Linotype"/>
          <w:color w:val="000000"/>
          <w:sz w:val="22"/>
          <w:szCs w:val="22"/>
          <w:lang w:val="es-ES" w:eastAsia="en-US"/>
        </w:rPr>
        <w:t xml:space="preserve">Código Administrativo del Estado de México, el cual estable que para que un </w:t>
      </w:r>
      <w:r w:rsidRPr="008D0ABC">
        <w:rPr>
          <w:rFonts w:ascii="Palatino Linotype" w:eastAsia="Calibri" w:hAnsi="Palatino Linotype"/>
          <w:b/>
          <w:bCs/>
          <w:color w:val="000000"/>
          <w:sz w:val="22"/>
          <w:szCs w:val="22"/>
          <w:lang w:val="es-ES" w:eastAsia="en-US"/>
        </w:rPr>
        <w:t>acto administrativo tenga validez</w:t>
      </w:r>
      <w:r w:rsidRPr="008D0ABC">
        <w:rPr>
          <w:rFonts w:ascii="Palatino Linotype" w:eastAsia="Calibri" w:hAnsi="Palatino Linotype"/>
          <w:color w:val="000000"/>
          <w:sz w:val="22"/>
          <w:szCs w:val="22"/>
          <w:lang w:val="es-ES" w:eastAsia="en-US"/>
        </w:rPr>
        <w:t xml:space="preserve">, deberá resolver expresamente todos los puntos propuestos por los interesados. </w:t>
      </w:r>
    </w:p>
    <w:p w14:paraId="175C1602" w14:textId="77777777" w:rsidR="009E6E61" w:rsidRPr="008D0ABC" w:rsidRDefault="009E6E61" w:rsidP="009E6E61">
      <w:pPr>
        <w:spacing w:after="160" w:line="360" w:lineRule="auto"/>
        <w:contextualSpacing/>
        <w:jc w:val="both"/>
        <w:rPr>
          <w:rFonts w:ascii="Palatino Linotype" w:eastAsia="Calibri" w:hAnsi="Palatino Linotype"/>
          <w:color w:val="000000"/>
          <w:sz w:val="22"/>
          <w:szCs w:val="22"/>
          <w:lang w:eastAsia="en-US"/>
        </w:rPr>
      </w:pPr>
    </w:p>
    <w:p w14:paraId="42C50D1D" w14:textId="77777777" w:rsidR="009E6E61" w:rsidRPr="008D0ABC" w:rsidRDefault="009E6E61" w:rsidP="009E6E61">
      <w:pPr>
        <w:spacing w:after="160" w:line="360" w:lineRule="auto"/>
        <w:contextualSpacing/>
        <w:jc w:val="both"/>
        <w:rPr>
          <w:rFonts w:ascii="Palatino Linotype" w:eastAsia="Calibri" w:hAnsi="Palatino Linotype"/>
          <w:bCs/>
          <w:color w:val="000000"/>
          <w:sz w:val="22"/>
          <w:szCs w:val="22"/>
          <w:lang w:val="es-ES" w:eastAsia="en-US"/>
        </w:rPr>
      </w:pPr>
      <w:r w:rsidRPr="008D0ABC">
        <w:rPr>
          <w:rFonts w:ascii="Palatino Linotype" w:eastAsia="Calibri" w:hAnsi="Palatino Linotype"/>
          <w:color w:val="000000"/>
          <w:sz w:val="22"/>
          <w:szCs w:val="22"/>
          <w:lang w:eastAsia="en-US"/>
        </w:rPr>
        <w:t>A mayor abundamiento, resulta necesario citar</w:t>
      </w:r>
      <w:r w:rsidRPr="008D0ABC">
        <w:rPr>
          <w:rFonts w:ascii="Palatino Linotype" w:eastAsia="Calibri" w:hAnsi="Palatino Linotype"/>
          <w:bCs/>
          <w:color w:val="000000"/>
          <w:sz w:val="22"/>
          <w:szCs w:val="22"/>
          <w:lang w:val="es-ES" w:eastAsia="en-US"/>
        </w:rPr>
        <w:t xml:space="preserve"> el Criterio de Interpretación</w:t>
      </w:r>
      <w:r w:rsidRPr="008D0ABC">
        <w:rPr>
          <w:rFonts w:ascii="Palatino Linotype" w:eastAsia="Calibri" w:hAnsi="Palatino Linotype"/>
          <w:bCs/>
          <w:color w:val="000000"/>
          <w:sz w:val="22"/>
          <w:szCs w:val="22"/>
          <w:lang w:val="x-none" w:eastAsia="en-US"/>
        </w:rPr>
        <w:t xml:space="preserve">, con clave de control </w:t>
      </w:r>
      <w:r w:rsidRPr="008D0ABC">
        <w:rPr>
          <w:rFonts w:ascii="Palatino Linotype" w:eastAsia="Calibri" w:hAnsi="Palatino Linotype"/>
          <w:bCs/>
          <w:color w:val="000000"/>
          <w:sz w:val="22"/>
          <w:szCs w:val="22"/>
          <w:lang w:val="es-ES" w:eastAsia="en-US"/>
        </w:rPr>
        <w:t xml:space="preserve">SO/002/2017, de la Segunda Época, emitido por el Instituto Nacional de Transparencia, Acceso a la Información y Protección de Datos Personales, cuyo texto y rubro es el siguiente: </w:t>
      </w:r>
    </w:p>
    <w:p w14:paraId="1C94E8D4" w14:textId="77777777" w:rsidR="009E6E61" w:rsidRPr="008D0ABC" w:rsidRDefault="009E6E61" w:rsidP="009E6E61">
      <w:pPr>
        <w:spacing w:after="160" w:line="360" w:lineRule="auto"/>
        <w:contextualSpacing/>
        <w:jc w:val="both"/>
        <w:rPr>
          <w:rFonts w:ascii="Palatino Linotype" w:eastAsia="Calibri" w:hAnsi="Palatino Linotype"/>
          <w:bCs/>
          <w:color w:val="000000"/>
          <w:sz w:val="22"/>
          <w:szCs w:val="22"/>
          <w:lang w:val="es-ES" w:eastAsia="en-US"/>
        </w:rPr>
      </w:pPr>
    </w:p>
    <w:p w14:paraId="17B4D7F2" w14:textId="77777777" w:rsidR="009E6E61" w:rsidRPr="008D0ABC" w:rsidRDefault="009E6E61" w:rsidP="009E6E61">
      <w:pPr>
        <w:spacing w:line="360" w:lineRule="auto"/>
        <w:ind w:left="567" w:right="567"/>
        <w:contextualSpacing/>
        <w:jc w:val="both"/>
        <w:rPr>
          <w:rFonts w:ascii="Palatino Linotype" w:eastAsia="Calibri" w:hAnsi="Palatino Linotype"/>
          <w:i/>
          <w:color w:val="000000"/>
          <w:lang w:eastAsia="en-US"/>
        </w:rPr>
      </w:pPr>
      <w:r w:rsidRPr="008D0ABC">
        <w:rPr>
          <w:rFonts w:ascii="Palatino Linotype" w:eastAsia="Calibri" w:hAnsi="Palatino Linotype"/>
          <w:b/>
          <w:bCs/>
          <w:i/>
          <w:color w:val="000000"/>
          <w:lang w:eastAsia="en-US"/>
        </w:rPr>
        <w:t xml:space="preserve">“Congruencia y exhaustividad. Sus alcances para garantizar el derecho de acceso a la información. </w:t>
      </w:r>
      <w:r w:rsidRPr="008D0ABC">
        <w:rPr>
          <w:rFonts w:ascii="Palatino Linotype" w:eastAsia="Calibri" w:hAnsi="Palatino Linotype"/>
          <w:bCs/>
          <w:i/>
          <w:color w:val="000000"/>
          <w:lang w:eastAsia="en-US"/>
        </w:rPr>
        <w:t xml:space="preserve">De conformidad con el artículo </w:t>
      </w:r>
      <w:r w:rsidRPr="008D0ABC">
        <w:rPr>
          <w:rFonts w:ascii="Palatino Linotype" w:eastAsia="Calibri" w:hAnsi="Palatino Linotype"/>
          <w:bCs/>
          <w:i/>
          <w:color w:val="000000"/>
          <w:lang w:val="es-ES_tradnl" w:eastAsia="en-US"/>
        </w:rPr>
        <w:t>3 de la Ley Federal de Procedimiento Administrativo</w:t>
      </w:r>
      <w:r w:rsidRPr="008D0ABC">
        <w:rPr>
          <w:rFonts w:ascii="Palatino Linotype" w:eastAsia="Calibri" w:hAnsi="Palatino Linotype"/>
          <w:bCs/>
          <w:i/>
          <w:color w:val="00000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D0ABC">
        <w:rPr>
          <w:rFonts w:ascii="Palatino Linotype" w:eastAsia="Calibri" w:hAnsi="Palatino Linotype"/>
          <w:b/>
          <w:bCs/>
          <w:i/>
          <w:color w:val="000000"/>
          <w:lang w:eastAsia="en-US"/>
        </w:rPr>
        <w:t>la exhaustividad significa que dicha respuesta se refiera expresamente a cada uno de los puntos solicitados.</w:t>
      </w:r>
      <w:r w:rsidRPr="008D0ABC">
        <w:rPr>
          <w:rFonts w:ascii="Palatino Linotype" w:eastAsia="Calibri" w:hAnsi="Palatino Linotype"/>
          <w:i/>
          <w:color w:val="000000"/>
          <w:lang w:eastAsia="en-US"/>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FCD2AF8" w14:textId="77777777" w:rsidR="009E6E61" w:rsidRPr="008D0ABC" w:rsidRDefault="009E6E61" w:rsidP="009E6E61">
      <w:pPr>
        <w:spacing w:after="160" w:line="360" w:lineRule="auto"/>
        <w:contextualSpacing/>
        <w:jc w:val="both"/>
        <w:rPr>
          <w:rFonts w:ascii="Palatino Linotype" w:eastAsia="Calibri" w:hAnsi="Palatino Linotype"/>
          <w:color w:val="000000"/>
          <w:sz w:val="22"/>
          <w:szCs w:val="22"/>
          <w:lang w:val="es-ES" w:eastAsia="en-US"/>
        </w:rPr>
      </w:pPr>
    </w:p>
    <w:p w14:paraId="6DBF7A0F" w14:textId="6D67B182" w:rsidR="009E6E61" w:rsidRPr="008D0ABC" w:rsidRDefault="009E6E61" w:rsidP="009E6E61">
      <w:pPr>
        <w:spacing w:after="160" w:line="360" w:lineRule="auto"/>
        <w:contextualSpacing/>
        <w:jc w:val="both"/>
        <w:rPr>
          <w:rFonts w:ascii="Palatino Linotype" w:eastAsia="Calibri" w:hAnsi="Palatino Linotype"/>
          <w:b/>
          <w:bCs/>
          <w:color w:val="000000"/>
          <w:sz w:val="22"/>
          <w:szCs w:val="22"/>
          <w:lang w:val="es-ES" w:eastAsia="en-US"/>
        </w:rPr>
      </w:pPr>
      <w:r w:rsidRPr="008D0ABC">
        <w:rPr>
          <w:rFonts w:ascii="Palatino Linotype" w:eastAsia="Calibri" w:hAnsi="Palatino Linotype"/>
          <w:color w:val="000000"/>
          <w:sz w:val="22"/>
          <w:szCs w:val="22"/>
          <w:lang w:eastAsia="en-US"/>
        </w:rPr>
        <w:t xml:space="preserve">Del citado criterio, se desprende que </w:t>
      </w:r>
      <w:r w:rsidRPr="008D0ABC">
        <w:rPr>
          <w:rFonts w:ascii="Palatino Linotype" w:eastAsia="Calibri" w:hAnsi="Palatino Linotype"/>
          <w:bCs/>
          <w:color w:val="000000"/>
          <w:sz w:val="22"/>
          <w:szCs w:val="22"/>
          <w:lang w:eastAsia="en-US"/>
        </w:rPr>
        <w:t>todo acto administrativo debe apegarse al</w:t>
      </w:r>
      <w:r w:rsidRPr="008D0ABC">
        <w:rPr>
          <w:rFonts w:ascii="Palatino Linotype" w:eastAsia="Calibri" w:hAnsi="Palatino Linotype"/>
          <w:color w:val="000000"/>
          <w:sz w:val="22"/>
          <w:szCs w:val="22"/>
          <w:lang w:val="es-ES" w:eastAsia="en-US"/>
        </w:rPr>
        <w:t xml:space="preserve"> </w:t>
      </w:r>
      <w:r w:rsidRPr="008D0ABC">
        <w:rPr>
          <w:rFonts w:ascii="Palatino Linotype" w:eastAsia="Calibri" w:hAnsi="Palatino Linotype"/>
          <w:b/>
          <w:color w:val="000000"/>
          <w:sz w:val="22"/>
          <w:szCs w:val="22"/>
          <w:lang w:val="es-ES" w:eastAsia="en-US"/>
        </w:rPr>
        <w:t xml:space="preserve">Principio de Exhaustividad, </w:t>
      </w:r>
      <w:r w:rsidRPr="008D0ABC">
        <w:rPr>
          <w:rFonts w:ascii="Palatino Linotype" w:eastAsia="Calibri" w:hAnsi="Palatino Linotype"/>
          <w:color w:val="000000"/>
          <w:sz w:val="22"/>
          <w:szCs w:val="22"/>
          <w:lang w:val="es-ES" w:eastAsia="en-US"/>
        </w:rPr>
        <w:t>el cual</w:t>
      </w:r>
      <w:r w:rsidRPr="008D0ABC">
        <w:rPr>
          <w:rFonts w:ascii="Palatino Linotype" w:eastAsia="Calibri" w:hAnsi="Palatino Linotype"/>
          <w:b/>
          <w:color w:val="000000"/>
          <w:sz w:val="22"/>
          <w:szCs w:val="22"/>
          <w:lang w:val="es-ES" w:eastAsia="en-US"/>
        </w:rPr>
        <w:t xml:space="preserve"> </w:t>
      </w:r>
      <w:r w:rsidRPr="008D0ABC">
        <w:rPr>
          <w:rFonts w:ascii="Palatino Linotype" w:eastAsia="Calibri" w:hAnsi="Palatino Linotype"/>
          <w:color w:val="000000"/>
          <w:sz w:val="22"/>
          <w:szCs w:val="22"/>
          <w:lang w:val="es-ES" w:eastAsia="en-US"/>
        </w:rPr>
        <w:t>implica que exista concordancia entre el requerimiento formulado y la respuesta entregada; por tales consideraciones, al incumplir con dicho principio,</w:t>
      </w:r>
      <w:r w:rsidRPr="008D0ABC">
        <w:rPr>
          <w:rFonts w:ascii="Palatino Linotype" w:eastAsia="Calibri" w:hAnsi="Palatino Linotype"/>
          <w:b/>
          <w:color w:val="000000"/>
          <w:sz w:val="22"/>
          <w:szCs w:val="22"/>
          <w:lang w:val="es-ES" w:eastAsia="en-US"/>
        </w:rPr>
        <w:t xml:space="preserve"> </w:t>
      </w:r>
      <w:r w:rsidRPr="008D0ABC">
        <w:rPr>
          <w:rFonts w:ascii="Palatino Linotype" w:eastAsia="Calibri" w:hAnsi="Palatino Linotype"/>
          <w:color w:val="000000"/>
          <w:sz w:val="22"/>
          <w:szCs w:val="22"/>
          <w:lang w:val="es-ES" w:eastAsia="en-US"/>
        </w:rPr>
        <w:t xml:space="preserve">por parte del </w:t>
      </w:r>
      <w:r w:rsidRPr="008D0ABC">
        <w:rPr>
          <w:rFonts w:ascii="Palatino Linotype" w:eastAsia="Calibri" w:hAnsi="Palatino Linotype"/>
          <w:color w:val="000000"/>
          <w:sz w:val="22"/>
          <w:szCs w:val="22"/>
          <w:lang w:eastAsia="en-US"/>
        </w:rPr>
        <w:t>Sujeto Obligado</w:t>
      </w:r>
      <w:r w:rsidRPr="008D0ABC">
        <w:rPr>
          <w:rFonts w:ascii="Palatino Linotype" w:eastAsia="Calibri" w:hAnsi="Palatino Linotype"/>
          <w:color w:val="000000"/>
          <w:sz w:val="22"/>
          <w:szCs w:val="22"/>
          <w:lang w:val="es-ES" w:eastAsia="en-US"/>
        </w:rPr>
        <w:t>, pues no se pronunció sobre la información requerida</w:t>
      </w:r>
    </w:p>
    <w:p w14:paraId="65BA7F5E" w14:textId="77777777" w:rsidR="009E6E61" w:rsidRPr="008D0ABC" w:rsidRDefault="009E6E61" w:rsidP="009E6E61">
      <w:pPr>
        <w:spacing w:line="360" w:lineRule="auto"/>
        <w:jc w:val="both"/>
        <w:rPr>
          <w:rFonts w:ascii="Palatino Linotype" w:eastAsia="Calibri" w:hAnsi="Palatino Linotype" w:cs="Tahoma"/>
          <w:bCs/>
          <w:color w:val="000000"/>
          <w:sz w:val="22"/>
          <w:szCs w:val="22"/>
          <w:lang w:val="es-ES" w:eastAsia="en-US"/>
        </w:rPr>
      </w:pPr>
    </w:p>
    <w:p w14:paraId="6654732D" w14:textId="27FC3106" w:rsidR="00C72C05" w:rsidRPr="008D0ABC" w:rsidRDefault="009E6E61" w:rsidP="009E6E61">
      <w:pPr>
        <w:autoSpaceDE w:val="0"/>
        <w:autoSpaceDN w:val="0"/>
        <w:adjustRightInd w:val="0"/>
        <w:spacing w:line="360" w:lineRule="auto"/>
        <w:jc w:val="both"/>
        <w:rPr>
          <w:rFonts w:ascii="Palatino Linotype" w:eastAsia="Calibri" w:hAnsi="Palatino Linotype" w:cs="Tahoma"/>
          <w:bCs/>
          <w:sz w:val="22"/>
          <w:szCs w:val="24"/>
          <w:lang w:eastAsia="es-MX"/>
        </w:rPr>
      </w:pPr>
      <w:r w:rsidRPr="008D0ABC">
        <w:rPr>
          <w:rFonts w:ascii="Palatino Linotype" w:hAnsi="Palatino Linotype" w:cs="Tahoma"/>
          <w:bCs/>
          <w:color w:val="0D0D0D"/>
          <w:sz w:val="22"/>
          <w:szCs w:val="24"/>
          <w:lang w:val="es-ES_tradnl"/>
        </w:rPr>
        <w:t xml:space="preserve">No obstante, durante la sustanciación del Medio de Impugnación, la Dirección de Obras Públicas aclaró que las cuatro obras adjudicadas, no se localizaban en el Programa Anual de Obras, pues habían sido implementadas mediante el Acta </w:t>
      </w:r>
      <w:r w:rsidRPr="008D0ABC">
        <w:rPr>
          <w:rFonts w:ascii="Palatino Linotype" w:hAnsi="Palatino Linotype"/>
          <w:sz w:val="22"/>
        </w:rPr>
        <w:t>número ACU/SE//01/2022 de la Primer Sesión Extraordinaria de Consejo de Participación Ciudadana, mediante el cual se realiza un informe de los cambios de obra o acciones del programa del Fondo de Infraestructura Social Municipal, dos mil veintidós, de cuya revisión se advierten las obras entregadas, tal como se muestra a continuación:</w:t>
      </w:r>
    </w:p>
    <w:p w14:paraId="5C897179" w14:textId="77777777" w:rsidR="00C72C05" w:rsidRPr="008D0ABC" w:rsidRDefault="00C72C05" w:rsidP="007662E1">
      <w:pPr>
        <w:autoSpaceDE w:val="0"/>
        <w:autoSpaceDN w:val="0"/>
        <w:adjustRightInd w:val="0"/>
        <w:spacing w:line="360" w:lineRule="auto"/>
        <w:jc w:val="both"/>
        <w:rPr>
          <w:rFonts w:ascii="Palatino Linotype" w:eastAsia="Calibri" w:hAnsi="Palatino Linotype" w:cs="Tahoma"/>
          <w:bCs/>
          <w:sz w:val="22"/>
          <w:szCs w:val="24"/>
          <w:lang w:eastAsia="es-MX"/>
        </w:rPr>
      </w:pPr>
    </w:p>
    <w:p w14:paraId="176384FF" w14:textId="77777777" w:rsidR="00E9759B" w:rsidRPr="008D0ABC" w:rsidRDefault="00E9759B" w:rsidP="007662E1">
      <w:pPr>
        <w:spacing w:line="360" w:lineRule="auto"/>
        <w:jc w:val="both"/>
        <w:rPr>
          <w:rFonts w:ascii="Palatino Linotype" w:hAnsi="Palatino Linotype"/>
          <w:sz w:val="22"/>
        </w:rPr>
      </w:pPr>
    </w:p>
    <w:p w14:paraId="2FBA517A" w14:textId="1ACAB8A1" w:rsidR="00E9759B" w:rsidRPr="008D0ABC" w:rsidRDefault="00B3183D" w:rsidP="00E9759B">
      <w:pPr>
        <w:spacing w:line="360" w:lineRule="auto"/>
        <w:jc w:val="center"/>
        <w:rPr>
          <w:rFonts w:ascii="Palatino Linotype" w:hAnsi="Palatino Linotype" w:cs="Tahoma"/>
          <w:iCs/>
          <w:sz w:val="22"/>
          <w:szCs w:val="22"/>
          <w:lang w:val="es-ES"/>
        </w:rPr>
      </w:pPr>
      <w:r w:rsidRPr="008D0ABC">
        <w:rPr>
          <w:rFonts w:ascii="Palatino Linotype" w:hAnsi="Palatino Linotype" w:cs="Tahoma"/>
          <w:iCs/>
          <w:noProof/>
          <w:sz w:val="22"/>
          <w:szCs w:val="22"/>
          <w:lang w:eastAsia="es-MX"/>
        </w:rPr>
        <w:drawing>
          <wp:inline distT="0" distB="0" distL="0" distR="0" wp14:anchorId="3FBD52F9" wp14:editId="43C940E0">
            <wp:extent cx="5602605" cy="3416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605" cy="341630"/>
                    </a:xfrm>
                    <a:prstGeom prst="rect">
                      <a:avLst/>
                    </a:prstGeom>
                    <a:noFill/>
                  </pic:spPr>
                </pic:pic>
              </a:graphicData>
            </a:graphic>
          </wp:inline>
        </w:drawing>
      </w:r>
    </w:p>
    <w:p w14:paraId="1E1696E0" w14:textId="32969FF8" w:rsidR="00B3183D" w:rsidRPr="008D0ABC" w:rsidRDefault="00B3183D" w:rsidP="00B3183D">
      <w:pPr>
        <w:spacing w:line="360" w:lineRule="auto"/>
        <w:jc w:val="center"/>
        <w:rPr>
          <w:noProof/>
          <w:lang w:eastAsia="es-MX"/>
        </w:rPr>
      </w:pPr>
      <w:r w:rsidRPr="008D0ABC">
        <w:rPr>
          <w:noProof/>
          <w:lang w:eastAsia="es-MX"/>
        </w:rPr>
        <w:t>…</w:t>
      </w:r>
    </w:p>
    <w:p w14:paraId="5DDC58B7" w14:textId="6227BB13" w:rsidR="00B3183D" w:rsidRPr="008D0ABC" w:rsidRDefault="00B3183D" w:rsidP="007662E1">
      <w:pPr>
        <w:spacing w:line="360" w:lineRule="auto"/>
        <w:jc w:val="both"/>
        <w:rPr>
          <w:rFonts w:ascii="Palatino Linotype" w:hAnsi="Palatino Linotype" w:cs="Tahoma"/>
          <w:iCs/>
          <w:sz w:val="22"/>
          <w:szCs w:val="22"/>
          <w:lang w:val="es-ES"/>
        </w:rPr>
      </w:pPr>
      <w:r w:rsidRPr="008D0ABC">
        <w:rPr>
          <w:rFonts w:ascii="Palatino Linotype" w:hAnsi="Palatino Linotype" w:cs="Tahoma"/>
          <w:iCs/>
          <w:noProof/>
          <w:sz w:val="22"/>
          <w:szCs w:val="22"/>
          <w:lang w:eastAsia="es-MX"/>
        </w:rPr>
        <w:drawing>
          <wp:inline distT="0" distB="0" distL="0" distR="0" wp14:anchorId="08A36D64" wp14:editId="0603FDAE">
            <wp:extent cx="5669915" cy="323215"/>
            <wp:effectExtent l="0" t="0" r="698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915" cy="323215"/>
                    </a:xfrm>
                    <a:prstGeom prst="rect">
                      <a:avLst/>
                    </a:prstGeom>
                    <a:noFill/>
                  </pic:spPr>
                </pic:pic>
              </a:graphicData>
            </a:graphic>
          </wp:inline>
        </w:drawing>
      </w:r>
    </w:p>
    <w:p w14:paraId="00ACEEA8" w14:textId="64901BDF" w:rsidR="00B3183D" w:rsidRPr="008D0ABC" w:rsidRDefault="00B3183D" w:rsidP="007662E1">
      <w:pPr>
        <w:spacing w:line="360" w:lineRule="auto"/>
        <w:jc w:val="both"/>
        <w:rPr>
          <w:rFonts w:ascii="Palatino Linotype" w:hAnsi="Palatino Linotype" w:cs="Tahoma"/>
          <w:iCs/>
          <w:sz w:val="22"/>
          <w:szCs w:val="22"/>
          <w:lang w:val="es-ES"/>
        </w:rPr>
      </w:pPr>
      <w:r w:rsidRPr="008D0ABC">
        <w:rPr>
          <w:rFonts w:ascii="Palatino Linotype" w:hAnsi="Palatino Linotype" w:cs="Tahoma"/>
          <w:iCs/>
          <w:noProof/>
          <w:sz w:val="22"/>
          <w:szCs w:val="22"/>
          <w:lang w:eastAsia="es-MX"/>
        </w:rPr>
        <w:drawing>
          <wp:inline distT="0" distB="0" distL="0" distR="0" wp14:anchorId="1A79B102" wp14:editId="4FA0BD6F">
            <wp:extent cx="5621020" cy="2743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020" cy="274320"/>
                    </a:xfrm>
                    <a:prstGeom prst="rect">
                      <a:avLst/>
                    </a:prstGeom>
                    <a:noFill/>
                  </pic:spPr>
                </pic:pic>
              </a:graphicData>
            </a:graphic>
          </wp:inline>
        </w:drawing>
      </w:r>
    </w:p>
    <w:p w14:paraId="3BEDF495" w14:textId="3A163628" w:rsidR="00B3183D" w:rsidRPr="008D0ABC" w:rsidRDefault="00B3183D" w:rsidP="00B3183D">
      <w:pPr>
        <w:spacing w:line="360" w:lineRule="auto"/>
        <w:jc w:val="center"/>
        <w:rPr>
          <w:noProof/>
          <w:lang w:eastAsia="es-MX"/>
        </w:rPr>
      </w:pPr>
      <w:r w:rsidRPr="008D0ABC">
        <w:rPr>
          <w:noProof/>
          <w:lang w:eastAsia="es-MX"/>
        </w:rPr>
        <w:t>…</w:t>
      </w:r>
    </w:p>
    <w:p w14:paraId="45664D36" w14:textId="369DE30A" w:rsidR="00B3183D" w:rsidRPr="008D0ABC" w:rsidRDefault="00B3183D" w:rsidP="007662E1">
      <w:pPr>
        <w:spacing w:line="360" w:lineRule="auto"/>
        <w:jc w:val="both"/>
        <w:rPr>
          <w:rFonts w:ascii="Palatino Linotype" w:hAnsi="Palatino Linotype" w:cs="Tahoma"/>
          <w:iCs/>
          <w:sz w:val="22"/>
          <w:szCs w:val="22"/>
          <w:lang w:val="es-ES"/>
        </w:rPr>
      </w:pPr>
      <w:r w:rsidRPr="008D0ABC">
        <w:rPr>
          <w:rFonts w:ascii="Palatino Linotype" w:hAnsi="Palatino Linotype" w:cs="Tahoma"/>
          <w:iCs/>
          <w:noProof/>
          <w:sz w:val="22"/>
          <w:szCs w:val="22"/>
          <w:lang w:eastAsia="es-MX"/>
        </w:rPr>
        <w:drawing>
          <wp:inline distT="0" distB="0" distL="0" distR="0" wp14:anchorId="49CBAA8C" wp14:editId="35C08AE9">
            <wp:extent cx="5608955" cy="2863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286385"/>
                    </a:xfrm>
                    <a:prstGeom prst="rect">
                      <a:avLst/>
                    </a:prstGeom>
                    <a:noFill/>
                  </pic:spPr>
                </pic:pic>
              </a:graphicData>
            </a:graphic>
          </wp:inline>
        </w:drawing>
      </w:r>
    </w:p>
    <w:p w14:paraId="50F2C8C5" w14:textId="77777777" w:rsidR="007662E1" w:rsidRPr="008D0ABC" w:rsidRDefault="007662E1" w:rsidP="007662E1">
      <w:pPr>
        <w:spacing w:line="360" w:lineRule="auto"/>
        <w:jc w:val="both"/>
        <w:rPr>
          <w:rFonts w:ascii="Palatino Linotype" w:hAnsi="Palatino Linotype" w:cs="Tahoma"/>
          <w:b/>
          <w:color w:val="0D0D0D" w:themeColor="text1" w:themeTint="F2"/>
          <w:sz w:val="22"/>
          <w:szCs w:val="22"/>
          <w:lang w:val="es-ES"/>
        </w:rPr>
      </w:pPr>
    </w:p>
    <w:p w14:paraId="792DF5DF" w14:textId="475266AF" w:rsidR="00925A04" w:rsidRPr="008D0ABC" w:rsidRDefault="009E6E61" w:rsidP="00925A04">
      <w:pPr>
        <w:spacing w:line="360" w:lineRule="auto"/>
        <w:jc w:val="both"/>
        <w:rPr>
          <w:rFonts w:ascii="Palatino Linotype" w:hAnsi="Palatino Linotype"/>
          <w:sz w:val="22"/>
        </w:rPr>
      </w:pPr>
      <w:r w:rsidRPr="008D0ABC">
        <w:rPr>
          <w:rFonts w:ascii="Palatino Linotype" w:hAnsi="Palatino Linotype" w:cs="Tahoma"/>
          <w:color w:val="0D0D0D" w:themeColor="text1" w:themeTint="F2"/>
          <w:sz w:val="22"/>
          <w:szCs w:val="22"/>
          <w:lang w:eastAsia="es-MX"/>
        </w:rPr>
        <w:t xml:space="preserve">Conforme a lo anterior, se logra vislumbrar que el Sujeto Obligado proporcionó el documento mediante el cual, se modificaron las obras públicas a realizar </w:t>
      </w:r>
      <w:r w:rsidRPr="008D0ABC">
        <w:rPr>
          <w:rFonts w:ascii="Palatino Linotype" w:hAnsi="Palatino Linotype"/>
          <w:sz w:val="22"/>
        </w:rPr>
        <w:t>Fondo de Infraestructura Social Municipal, dos mil veintidós, mediante las cuales se incluyeron las cuatro obras entregadas y se les asignó una cantidad de recursos, por lo que, se considera que proporcionó el documento que da cuenta de lo peticionado, tal como obra en sus archivos, por lo que, dio cumplimiento a los artículos 12 y 160 de la Ley de la materia.</w:t>
      </w:r>
    </w:p>
    <w:p w14:paraId="3F3A174C" w14:textId="329CA2A4" w:rsidR="009E6E61" w:rsidRPr="008D0ABC" w:rsidRDefault="009E6E61" w:rsidP="00925A04">
      <w:pPr>
        <w:spacing w:line="360" w:lineRule="auto"/>
        <w:jc w:val="both"/>
        <w:rPr>
          <w:rFonts w:ascii="Palatino Linotype" w:hAnsi="Palatino Linotype"/>
          <w:sz w:val="22"/>
        </w:rPr>
      </w:pPr>
    </w:p>
    <w:p w14:paraId="3E1833DC" w14:textId="100B8E92" w:rsidR="009E6E61" w:rsidRPr="008D0ABC" w:rsidRDefault="009E6E61" w:rsidP="00925A04">
      <w:pPr>
        <w:spacing w:line="360" w:lineRule="auto"/>
        <w:jc w:val="both"/>
        <w:rPr>
          <w:rFonts w:ascii="Palatino Linotype" w:hAnsi="Palatino Linotype" w:cs="Tahoma"/>
          <w:color w:val="0D0D0D" w:themeColor="text1" w:themeTint="F2"/>
          <w:sz w:val="22"/>
          <w:szCs w:val="22"/>
          <w:lang w:eastAsia="es-MX"/>
        </w:rPr>
      </w:pPr>
      <w:r w:rsidRPr="008D0ABC">
        <w:rPr>
          <w:rFonts w:ascii="Palatino Linotype" w:hAnsi="Palatino Linotype"/>
          <w:sz w:val="22"/>
        </w:rPr>
        <w:t xml:space="preserve">Así, se concluye que el agravio es </w:t>
      </w:r>
      <w:r w:rsidRPr="008D0ABC">
        <w:rPr>
          <w:rFonts w:ascii="Palatino Linotype" w:hAnsi="Palatino Linotype"/>
          <w:b/>
          <w:bCs/>
          <w:sz w:val="22"/>
        </w:rPr>
        <w:t xml:space="preserve">PARCIALMENTE FUNDADO, </w:t>
      </w:r>
      <w:r w:rsidRPr="008D0ABC">
        <w:rPr>
          <w:rFonts w:ascii="Palatino Linotype" w:hAnsi="Palatino Linotype"/>
          <w:sz w:val="22"/>
        </w:rPr>
        <w:t>pues si bien desde respuesta proporcionó parte de la información requerida, la entrego en una incorrecta versión pública, a parte de que no se pronunció sobre todos los puntos solicitados.</w:t>
      </w:r>
    </w:p>
    <w:p w14:paraId="5D64174A" w14:textId="77777777" w:rsidR="00560162" w:rsidRPr="008D0ABC" w:rsidRDefault="00560162" w:rsidP="00925A04">
      <w:pPr>
        <w:spacing w:line="360" w:lineRule="auto"/>
        <w:jc w:val="both"/>
        <w:rPr>
          <w:rFonts w:ascii="Palatino Linotype" w:eastAsia="Calibri" w:hAnsi="Palatino Linotype" w:cs="Tahoma"/>
          <w:bCs/>
          <w:color w:val="0D0D0D" w:themeColor="text1" w:themeTint="F2"/>
          <w:sz w:val="22"/>
          <w:szCs w:val="22"/>
          <w:lang w:eastAsia="en-US"/>
        </w:rPr>
      </w:pPr>
    </w:p>
    <w:p w14:paraId="1DC61A66" w14:textId="26C350DF" w:rsidR="00FE0F18" w:rsidRPr="008D0ABC" w:rsidRDefault="00FE0F18" w:rsidP="00FE0F18">
      <w:pPr>
        <w:spacing w:line="360" w:lineRule="auto"/>
        <w:jc w:val="both"/>
        <w:rPr>
          <w:rFonts w:ascii="Palatino Linotype" w:hAnsi="Palatino Linotype" w:cs="Tahoma"/>
          <w:b/>
          <w:color w:val="0D0D0D" w:themeColor="text1" w:themeTint="F2"/>
          <w:sz w:val="22"/>
          <w:szCs w:val="22"/>
          <w:lang w:val="es-ES"/>
        </w:rPr>
      </w:pPr>
      <w:r w:rsidRPr="008D0ABC">
        <w:rPr>
          <w:rFonts w:ascii="Palatino Linotype" w:hAnsi="Palatino Linotype" w:cs="Tahoma"/>
          <w:b/>
          <w:color w:val="0D0D0D" w:themeColor="text1" w:themeTint="F2"/>
          <w:sz w:val="22"/>
          <w:szCs w:val="22"/>
          <w:lang w:val="es-ES"/>
        </w:rPr>
        <w:t xml:space="preserve">SEXTO. Decisión. </w:t>
      </w:r>
    </w:p>
    <w:p w14:paraId="2E0249C3" w14:textId="77777777" w:rsidR="009A71DB" w:rsidRPr="008D0ABC" w:rsidRDefault="009A71DB" w:rsidP="00FE0F18">
      <w:pPr>
        <w:spacing w:line="360" w:lineRule="auto"/>
        <w:jc w:val="both"/>
        <w:rPr>
          <w:rFonts w:ascii="Palatino Linotype" w:hAnsi="Palatino Linotype" w:cs="Tahoma"/>
          <w:b/>
          <w:color w:val="0D0D0D" w:themeColor="text1" w:themeTint="F2"/>
          <w:sz w:val="22"/>
          <w:szCs w:val="22"/>
          <w:lang w:val="es-ES"/>
        </w:rPr>
      </w:pPr>
    </w:p>
    <w:p w14:paraId="2EF88160" w14:textId="5BE51593" w:rsidR="00FE0F18" w:rsidRPr="008D0ABC" w:rsidRDefault="00FE0F18" w:rsidP="00DA5371">
      <w:pPr>
        <w:spacing w:line="360" w:lineRule="auto"/>
        <w:jc w:val="both"/>
        <w:rPr>
          <w:rFonts w:ascii="Palatino Linotype" w:hAnsi="Palatino Linotype" w:cs="Tahoma"/>
          <w:color w:val="0D0D0D" w:themeColor="text1" w:themeTint="F2"/>
          <w:sz w:val="22"/>
          <w:szCs w:val="22"/>
        </w:rPr>
      </w:pPr>
      <w:r w:rsidRPr="008D0ABC">
        <w:rPr>
          <w:rFonts w:ascii="Palatino Linotype" w:hAnsi="Palatino Linotype" w:cs="Tahoma"/>
          <w:color w:val="0D0D0D" w:themeColor="text1" w:themeTint="F2"/>
          <w:sz w:val="22"/>
          <w:szCs w:val="22"/>
        </w:rPr>
        <w:t xml:space="preserve">Con fundamento en el artículo 186, fracción III, de la Ley de Transparencia y Acceso a la Información Pública del Estado de México y Municipios, este Instituto considera procedente </w:t>
      </w:r>
      <w:r w:rsidR="005A640F" w:rsidRPr="008D0ABC">
        <w:rPr>
          <w:rFonts w:ascii="Palatino Linotype" w:hAnsi="Palatino Linotype" w:cs="Tahoma"/>
          <w:b/>
          <w:bCs/>
          <w:color w:val="0D0D0D" w:themeColor="text1" w:themeTint="F2"/>
          <w:sz w:val="22"/>
          <w:szCs w:val="22"/>
        </w:rPr>
        <w:t>MODIFICAR</w:t>
      </w:r>
      <w:r w:rsidRPr="008D0ABC">
        <w:rPr>
          <w:rFonts w:ascii="Palatino Linotype" w:hAnsi="Palatino Linotype" w:cs="Tahoma"/>
          <w:b/>
          <w:bCs/>
          <w:color w:val="0D0D0D" w:themeColor="text1" w:themeTint="F2"/>
          <w:sz w:val="22"/>
          <w:szCs w:val="22"/>
        </w:rPr>
        <w:t xml:space="preserve"> </w:t>
      </w:r>
      <w:r w:rsidRPr="008D0ABC">
        <w:rPr>
          <w:rFonts w:ascii="Palatino Linotype" w:hAnsi="Palatino Linotype" w:cs="Tahoma"/>
          <w:color w:val="0D0D0D" w:themeColor="text1" w:themeTint="F2"/>
          <w:sz w:val="22"/>
          <w:szCs w:val="22"/>
        </w:rPr>
        <w:t>la respuesta de</w:t>
      </w:r>
      <w:r w:rsidR="009A71DB" w:rsidRPr="008D0ABC">
        <w:rPr>
          <w:rFonts w:ascii="Palatino Linotype" w:hAnsi="Palatino Linotype" w:cs="Tahoma"/>
          <w:color w:val="0D0D0D" w:themeColor="text1" w:themeTint="F2"/>
          <w:sz w:val="22"/>
          <w:szCs w:val="22"/>
        </w:rPr>
        <w:t>l</w:t>
      </w:r>
      <w:r w:rsidRPr="008D0ABC">
        <w:rPr>
          <w:rFonts w:ascii="Palatino Linotype" w:hAnsi="Palatino Linotype" w:cs="Tahoma"/>
          <w:color w:val="0D0D0D" w:themeColor="text1" w:themeTint="F2"/>
          <w:sz w:val="22"/>
          <w:szCs w:val="22"/>
        </w:rPr>
        <w:t xml:space="preserve"> </w:t>
      </w:r>
      <w:r w:rsidR="0013343A" w:rsidRPr="008D0ABC">
        <w:rPr>
          <w:rFonts w:ascii="Palatino Linotype" w:hAnsi="Palatino Linotype" w:cs="Tahoma"/>
          <w:color w:val="0D0D0D" w:themeColor="text1" w:themeTint="F2"/>
          <w:sz w:val="22"/>
          <w:szCs w:val="22"/>
        </w:rPr>
        <w:t>Ayuntamiento de Aculco</w:t>
      </w:r>
      <w:r w:rsidRPr="008D0ABC">
        <w:rPr>
          <w:rFonts w:ascii="Palatino Linotype" w:hAnsi="Palatino Linotype" w:cs="Tahoma"/>
          <w:color w:val="0D0D0D" w:themeColor="text1" w:themeTint="F2"/>
          <w:sz w:val="22"/>
          <w:szCs w:val="22"/>
        </w:rPr>
        <w:t xml:space="preserve">, a efecto de que, </w:t>
      </w:r>
      <w:r w:rsidR="00627A13" w:rsidRPr="008D0ABC">
        <w:rPr>
          <w:rFonts w:ascii="Palatino Linotype" w:hAnsi="Palatino Linotype" w:cs="Tahoma"/>
          <w:color w:val="0D0D0D" w:themeColor="text1" w:themeTint="F2"/>
          <w:sz w:val="22"/>
          <w:szCs w:val="22"/>
        </w:rPr>
        <w:t>a través, del</w:t>
      </w:r>
      <w:r w:rsidRPr="008D0ABC">
        <w:rPr>
          <w:rFonts w:ascii="Palatino Linotype" w:hAnsi="Palatino Linotype" w:cs="Tahoma"/>
          <w:color w:val="0D0D0D" w:themeColor="text1" w:themeTint="F2"/>
          <w:sz w:val="22"/>
          <w:szCs w:val="22"/>
        </w:rPr>
        <w:t xml:space="preserve"> Sistema de Acceso a la Información Mexiquense (SAIMEX), </w:t>
      </w:r>
      <w:r w:rsidR="00627A13" w:rsidRPr="008D0ABC">
        <w:rPr>
          <w:rFonts w:ascii="Palatino Linotype" w:hAnsi="Palatino Linotype" w:cs="Tahoma"/>
          <w:color w:val="0D0D0D" w:themeColor="text1" w:themeTint="F2"/>
          <w:sz w:val="22"/>
          <w:szCs w:val="22"/>
        </w:rPr>
        <w:t xml:space="preserve">entregue </w:t>
      </w:r>
      <w:bookmarkStart w:id="3" w:name="_Hlk107446449"/>
      <w:r w:rsidR="00DA5371" w:rsidRPr="008D0ABC">
        <w:rPr>
          <w:rFonts w:ascii="Palatino Linotype" w:hAnsi="Palatino Linotype" w:cs="Tahoma"/>
          <w:color w:val="0D0D0D" w:themeColor="text1" w:themeTint="F2"/>
          <w:sz w:val="22"/>
          <w:szCs w:val="22"/>
        </w:rPr>
        <w:t>el Acuerdo de C</w:t>
      </w:r>
      <w:r w:rsidR="00A75B53" w:rsidRPr="008D0ABC">
        <w:rPr>
          <w:rFonts w:ascii="Palatino Linotype" w:hAnsi="Palatino Linotype" w:cs="Tahoma"/>
          <w:color w:val="0D0D0D" w:themeColor="text1" w:themeTint="F2"/>
          <w:sz w:val="22"/>
          <w:szCs w:val="22"/>
        </w:rPr>
        <w:t>lasificación emitido por el Comité de Transparencia, en donde de manera fundada y motiv</w:t>
      </w:r>
      <w:r w:rsidR="0013343A" w:rsidRPr="008D0ABC">
        <w:rPr>
          <w:rFonts w:ascii="Palatino Linotype" w:hAnsi="Palatino Linotype" w:cs="Tahoma"/>
          <w:color w:val="0D0D0D" w:themeColor="text1" w:themeTint="F2"/>
          <w:sz w:val="22"/>
          <w:szCs w:val="22"/>
        </w:rPr>
        <w:t>ada, confirme la eliminación de los datos</w:t>
      </w:r>
      <w:r w:rsidR="00EA4E88" w:rsidRPr="008D0ABC">
        <w:rPr>
          <w:rFonts w:ascii="Palatino Linotype" w:hAnsi="Palatino Linotype" w:cs="Tahoma"/>
          <w:color w:val="0D0D0D" w:themeColor="text1" w:themeTint="F2"/>
          <w:sz w:val="22"/>
          <w:szCs w:val="22"/>
        </w:rPr>
        <w:t xml:space="preserve"> clasificados,</w:t>
      </w:r>
      <w:r w:rsidR="0013343A" w:rsidRPr="008D0ABC">
        <w:rPr>
          <w:rFonts w:ascii="Palatino Linotype" w:hAnsi="Palatino Linotype" w:cs="Tahoma"/>
          <w:color w:val="0D0D0D" w:themeColor="text1" w:themeTint="F2"/>
          <w:sz w:val="22"/>
          <w:szCs w:val="22"/>
        </w:rPr>
        <w:t xml:space="preserve"> en la versión pública </w:t>
      </w:r>
      <w:r w:rsidR="00EA4E88" w:rsidRPr="008D0ABC">
        <w:rPr>
          <w:rFonts w:ascii="Palatino Linotype" w:hAnsi="Palatino Linotype" w:cs="Tahoma"/>
          <w:color w:val="0D0D0D" w:themeColor="text1" w:themeTint="F2"/>
          <w:sz w:val="22"/>
          <w:szCs w:val="22"/>
        </w:rPr>
        <w:t>entregada en Informe Justificado</w:t>
      </w:r>
      <w:r w:rsidR="0013343A" w:rsidRPr="008D0ABC">
        <w:rPr>
          <w:rFonts w:ascii="Palatino Linotype" w:hAnsi="Palatino Linotype" w:cs="Tahoma"/>
          <w:color w:val="0D0D0D" w:themeColor="text1" w:themeTint="F2"/>
          <w:sz w:val="22"/>
          <w:szCs w:val="22"/>
        </w:rPr>
        <w:t>, de conformidad con los artículos 49, fracciones II y VIII</w:t>
      </w:r>
      <w:r w:rsidR="00EA4E88" w:rsidRPr="008D0ABC">
        <w:rPr>
          <w:rFonts w:ascii="Palatino Linotype" w:hAnsi="Palatino Linotype" w:cs="Tahoma"/>
          <w:color w:val="0D0D0D" w:themeColor="text1" w:themeTint="F2"/>
          <w:sz w:val="22"/>
          <w:szCs w:val="22"/>
        </w:rPr>
        <w:t>,</w:t>
      </w:r>
      <w:r w:rsidR="0013343A" w:rsidRPr="008D0ABC">
        <w:rPr>
          <w:rFonts w:ascii="Palatino Linotype" w:hAnsi="Palatino Linotype" w:cs="Tahoma"/>
          <w:color w:val="0D0D0D" w:themeColor="text1" w:themeTint="F2"/>
          <w:sz w:val="22"/>
          <w:szCs w:val="22"/>
        </w:rPr>
        <w:t xml:space="preserve"> 132, fracción II</w:t>
      </w:r>
      <w:r w:rsidR="00EA4E88" w:rsidRPr="008D0ABC">
        <w:rPr>
          <w:rFonts w:ascii="Palatino Linotype" w:hAnsi="Palatino Linotype" w:cs="Tahoma"/>
          <w:color w:val="0D0D0D" w:themeColor="text1" w:themeTint="F2"/>
          <w:sz w:val="22"/>
          <w:szCs w:val="22"/>
        </w:rPr>
        <w:t>, 143, fracción I, y 149</w:t>
      </w:r>
      <w:r w:rsidR="0013343A" w:rsidRPr="008D0ABC">
        <w:rPr>
          <w:rFonts w:ascii="Palatino Linotype" w:hAnsi="Palatino Linotype" w:cs="Tahoma"/>
          <w:color w:val="0D0D0D" w:themeColor="text1" w:themeTint="F2"/>
          <w:sz w:val="22"/>
          <w:szCs w:val="22"/>
        </w:rPr>
        <w:t xml:space="preserve"> de la Ley de Transparencia y Acceso a la Información Pública del Estado de México y Municipios.</w:t>
      </w:r>
    </w:p>
    <w:bookmarkEnd w:id="3"/>
    <w:p w14:paraId="5D6DEFF4" w14:textId="77777777" w:rsidR="00627A13" w:rsidRPr="008D0ABC" w:rsidRDefault="00627A13" w:rsidP="00FE0F18">
      <w:pPr>
        <w:spacing w:line="360" w:lineRule="auto"/>
        <w:ind w:right="-93"/>
        <w:jc w:val="both"/>
        <w:rPr>
          <w:rFonts w:ascii="Palatino Linotype" w:hAnsi="Palatino Linotype" w:cs="Tahoma"/>
          <w:color w:val="0D0D0D" w:themeColor="text1" w:themeTint="F2"/>
          <w:sz w:val="22"/>
          <w:szCs w:val="22"/>
        </w:rPr>
      </w:pPr>
    </w:p>
    <w:p w14:paraId="2574A85E" w14:textId="4B9526B4" w:rsidR="00FE0F18" w:rsidRPr="008D0ABC" w:rsidRDefault="00FE0F18" w:rsidP="00FE0F18">
      <w:pPr>
        <w:autoSpaceDE w:val="0"/>
        <w:autoSpaceDN w:val="0"/>
        <w:adjustRightInd w:val="0"/>
        <w:spacing w:line="360" w:lineRule="auto"/>
        <w:jc w:val="both"/>
        <w:rPr>
          <w:rFonts w:ascii="Palatino Linotype" w:eastAsia="Calibri" w:hAnsi="Palatino Linotype" w:cs="Tahoma"/>
          <w:b/>
          <w:bCs/>
          <w:iCs/>
          <w:color w:val="0D0D0D" w:themeColor="text1" w:themeTint="F2"/>
          <w:sz w:val="22"/>
          <w:szCs w:val="22"/>
          <w:lang w:eastAsia="en-US"/>
        </w:rPr>
      </w:pPr>
      <w:r w:rsidRPr="008D0ABC">
        <w:rPr>
          <w:rFonts w:ascii="Palatino Linotype" w:eastAsia="Calibri" w:hAnsi="Palatino Linotype" w:cs="Tahoma"/>
          <w:b/>
          <w:bCs/>
          <w:iCs/>
          <w:color w:val="0D0D0D" w:themeColor="text1" w:themeTint="F2"/>
          <w:sz w:val="22"/>
          <w:szCs w:val="22"/>
          <w:lang w:eastAsia="en-US"/>
        </w:rPr>
        <w:t>Términos de la Resolución para conocimiento del Particular.</w:t>
      </w:r>
    </w:p>
    <w:p w14:paraId="33FAA906" w14:textId="38590023" w:rsidR="00FB2140" w:rsidRPr="008D0ABC" w:rsidRDefault="00FB2140" w:rsidP="00FE0F18">
      <w:pPr>
        <w:autoSpaceDE w:val="0"/>
        <w:autoSpaceDN w:val="0"/>
        <w:adjustRightInd w:val="0"/>
        <w:spacing w:line="360" w:lineRule="auto"/>
        <w:jc w:val="both"/>
        <w:rPr>
          <w:rFonts w:ascii="Palatino Linotype" w:eastAsia="Calibri" w:hAnsi="Palatino Linotype" w:cs="Tahoma"/>
          <w:b/>
          <w:bCs/>
          <w:iCs/>
          <w:color w:val="0D0D0D" w:themeColor="text1" w:themeTint="F2"/>
          <w:sz w:val="22"/>
          <w:szCs w:val="22"/>
          <w:lang w:eastAsia="en-US"/>
        </w:rPr>
      </w:pPr>
    </w:p>
    <w:p w14:paraId="56AF5877" w14:textId="5D5405A8" w:rsidR="00FE0F18" w:rsidRPr="008D0ABC" w:rsidRDefault="00FE0F18" w:rsidP="00FE0F18">
      <w:pPr>
        <w:autoSpaceDE w:val="0"/>
        <w:autoSpaceDN w:val="0"/>
        <w:adjustRightInd w:val="0"/>
        <w:spacing w:line="360" w:lineRule="auto"/>
        <w:jc w:val="both"/>
        <w:rPr>
          <w:rFonts w:ascii="Palatino Linotype" w:eastAsia="Calibri" w:hAnsi="Palatino Linotype" w:cs="Tahoma"/>
          <w:bCs/>
          <w:iCs/>
          <w:color w:val="0D0D0D" w:themeColor="text1" w:themeTint="F2"/>
          <w:sz w:val="22"/>
          <w:szCs w:val="22"/>
          <w:lang w:eastAsia="en-US"/>
        </w:rPr>
      </w:pPr>
      <w:r w:rsidRPr="008D0ABC">
        <w:rPr>
          <w:rFonts w:ascii="Palatino Linotype" w:eastAsia="Calibri" w:hAnsi="Palatino Linotype" w:cs="Tahoma"/>
          <w:bCs/>
          <w:iCs/>
          <w:color w:val="0D0D0D" w:themeColor="text1" w:themeTint="F2"/>
          <w:sz w:val="22"/>
          <w:szCs w:val="22"/>
          <w:lang w:eastAsia="en-US"/>
        </w:rPr>
        <w:t xml:space="preserve">Se le hace del conocimiento al Particular, que, en el presente caso, se le da </w:t>
      </w:r>
      <w:r w:rsidR="00DA5371" w:rsidRPr="008D0ABC">
        <w:rPr>
          <w:rFonts w:ascii="Palatino Linotype" w:eastAsia="Calibri" w:hAnsi="Palatino Linotype" w:cs="Tahoma"/>
          <w:bCs/>
          <w:iCs/>
          <w:color w:val="0D0D0D" w:themeColor="text1" w:themeTint="F2"/>
          <w:sz w:val="22"/>
          <w:szCs w:val="22"/>
          <w:lang w:eastAsia="en-US"/>
        </w:rPr>
        <w:t xml:space="preserve">parcialmente </w:t>
      </w:r>
      <w:r w:rsidRPr="008D0ABC">
        <w:rPr>
          <w:rFonts w:ascii="Palatino Linotype" w:eastAsia="Calibri" w:hAnsi="Palatino Linotype" w:cs="Tahoma"/>
          <w:bCs/>
          <w:iCs/>
          <w:color w:val="0D0D0D" w:themeColor="text1" w:themeTint="F2"/>
          <w:sz w:val="22"/>
          <w:szCs w:val="22"/>
          <w:lang w:eastAsia="en-US"/>
        </w:rPr>
        <w:t>la razón, pues el Sujeto Obligado</w:t>
      </w:r>
      <w:r w:rsidR="005A640F" w:rsidRPr="008D0ABC">
        <w:rPr>
          <w:rFonts w:ascii="Palatino Linotype" w:eastAsia="Calibri" w:hAnsi="Palatino Linotype" w:cs="Tahoma"/>
          <w:bCs/>
          <w:iCs/>
          <w:color w:val="0D0D0D" w:themeColor="text1" w:themeTint="F2"/>
          <w:sz w:val="22"/>
          <w:szCs w:val="22"/>
          <w:lang w:eastAsia="en-US"/>
        </w:rPr>
        <w:t xml:space="preserve"> </w:t>
      </w:r>
      <w:r w:rsidR="00A75B53" w:rsidRPr="008D0ABC">
        <w:rPr>
          <w:rFonts w:ascii="Palatino Linotype" w:eastAsia="Calibri" w:hAnsi="Palatino Linotype" w:cs="Tahoma"/>
          <w:bCs/>
          <w:iCs/>
          <w:color w:val="0D0D0D" w:themeColor="text1" w:themeTint="F2"/>
          <w:sz w:val="22"/>
          <w:szCs w:val="22"/>
          <w:lang w:eastAsia="en-US"/>
        </w:rPr>
        <w:t xml:space="preserve">no fundó, ni motivo de manera correcta </w:t>
      </w:r>
      <w:r w:rsidR="00DA5371" w:rsidRPr="008D0ABC">
        <w:rPr>
          <w:rFonts w:ascii="Palatino Linotype" w:eastAsia="Calibri" w:hAnsi="Palatino Linotype" w:cs="Tahoma"/>
          <w:bCs/>
          <w:iCs/>
          <w:color w:val="0D0D0D" w:themeColor="text1" w:themeTint="F2"/>
          <w:sz w:val="22"/>
          <w:szCs w:val="22"/>
          <w:lang w:eastAsia="en-US"/>
        </w:rPr>
        <w:t>la clasificación de información</w:t>
      </w:r>
      <w:r w:rsidR="00A75B53" w:rsidRPr="008D0ABC">
        <w:rPr>
          <w:rFonts w:ascii="Palatino Linotype" w:eastAsia="Calibri" w:hAnsi="Palatino Linotype" w:cs="Tahoma"/>
          <w:bCs/>
          <w:iCs/>
          <w:color w:val="0D0D0D" w:themeColor="text1" w:themeTint="F2"/>
          <w:sz w:val="22"/>
          <w:szCs w:val="22"/>
          <w:lang w:eastAsia="en-US"/>
        </w:rPr>
        <w:t xml:space="preserve">, por lo que, deberá entregarle el Acuerdo del Comité de Transparencia, en donde confirme </w:t>
      </w:r>
      <w:r w:rsidR="00DA5371" w:rsidRPr="008D0ABC">
        <w:rPr>
          <w:rFonts w:ascii="Palatino Linotype" w:eastAsia="Calibri" w:hAnsi="Palatino Linotype" w:cs="Tahoma"/>
          <w:bCs/>
          <w:iCs/>
          <w:color w:val="0D0D0D" w:themeColor="text1" w:themeTint="F2"/>
          <w:sz w:val="22"/>
          <w:szCs w:val="22"/>
          <w:lang w:eastAsia="en-US"/>
        </w:rPr>
        <w:t>la eliminación de los datos o información clasificada, en la versión pública de los contratos entregados, de conformidad con los artículos 49, fracciones II y VIII y 132, fracción II de la Ley de Transparencia y Acceso a la Información Pública del Estado de México y Municipios.</w:t>
      </w:r>
    </w:p>
    <w:p w14:paraId="41771268" w14:textId="77777777" w:rsidR="00FE0F18" w:rsidRPr="008D0ABC" w:rsidRDefault="00FE0F18" w:rsidP="00FE0F18">
      <w:pPr>
        <w:autoSpaceDE w:val="0"/>
        <w:autoSpaceDN w:val="0"/>
        <w:adjustRightInd w:val="0"/>
        <w:spacing w:line="360" w:lineRule="auto"/>
        <w:jc w:val="both"/>
        <w:rPr>
          <w:rFonts w:ascii="Palatino Linotype" w:eastAsia="Calibri" w:hAnsi="Palatino Linotype" w:cs="Tahoma"/>
          <w:bCs/>
          <w:iCs/>
          <w:color w:val="0D0D0D" w:themeColor="text1" w:themeTint="F2"/>
          <w:sz w:val="22"/>
          <w:szCs w:val="22"/>
          <w:lang w:eastAsia="en-US"/>
        </w:rPr>
      </w:pPr>
    </w:p>
    <w:p w14:paraId="7FB20C1F" w14:textId="2B546CF2" w:rsidR="00F87EC0" w:rsidRPr="008D0ABC" w:rsidRDefault="00FE0F18" w:rsidP="00CF337A">
      <w:pPr>
        <w:autoSpaceDE w:val="0"/>
        <w:autoSpaceDN w:val="0"/>
        <w:adjustRightInd w:val="0"/>
        <w:spacing w:line="360" w:lineRule="auto"/>
        <w:jc w:val="both"/>
        <w:rPr>
          <w:rFonts w:ascii="Palatino Linotype" w:eastAsia="Calibri" w:hAnsi="Palatino Linotype" w:cs="Tahoma"/>
          <w:bCs/>
          <w:iCs/>
          <w:color w:val="0D0D0D" w:themeColor="text1" w:themeTint="F2"/>
          <w:sz w:val="22"/>
          <w:szCs w:val="22"/>
          <w:lang w:eastAsia="en-US"/>
        </w:rPr>
      </w:pPr>
      <w:r w:rsidRPr="008D0ABC">
        <w:rPr>
          <w:rFonts w:ascii="Palatino Linotype" w:eastAsia="Calibri" w:hAnsi="Palatino Linotype" w:cs="Tahoma"/>
          <w:bCs/>
          <w:iCs/>
          <w:color w:val="0D0D0D" w:themeColor="text1" w:themeTint="F2"/>
          <w:sz w:val="22"/>
          <w:szCs w:val="22"/>
          <w:lang w:eastAsia="en-US"/>
        </w:rPr>
        <w:t>La labor de este Instituto, es apoyar a la población a acceder a la información pública y garantizar la protección de sus datos personales.</w:t>
      </w:r>
    </w:p>
    <w:p w14:paraId="60E445F8" w14:textId="77777777" w:rsidR="00E37CA9" w:rsidRPr="008D0ABC" w:rsidRDefault="00E37CA9" w:rsidP="00CF337A">
      <w:pPr>
        <w:autoSpaceDE w:val="0"/>
        <w:autoSpaceDN w:val="0"/>
        <w:adjustRightInd w:val="0"/>
        <w:spacing w:line="360" w:lineRule="auto"/>
        <w:jc w:val="both"/>
        <w:rPr>
          <w:rFonts w:ascii="Palatino Linotype" w:eastAsia="Calibri" w:hAnsi="Palatino Linotype" w:cs="Tahoma"/>
          <w:bCs/>
          <w:iCs/>
          <w:color w:val="0D0D0D" w:themeColor="text1" w:themeTint="F2"/>
          <w:sz w:val="22"/>
          <w:szCs w:val="22"/>
          <w:lang w:eastAsia="en-US"/>
        </w:rPr>
      </w:pPr>
    </w:p>
    <w:p w14:paraId="3C7AC25A" w14:textId="54DA9882" w:rsidR="00026569" w:rsidRPr="008D0ABC" w:rsidRDefault="00026569" w:rsidP="00CF337A">
      <w:pPr>
        <w:spacing w:line="360" w:lineRule="auto"/>
        <w:jc w:val="both"/>
        <w:rPr>
          <w:rFonts w:ascii="Palatino Linotype" w:eastAsia="Calibri" w:hAnsi="Palatino Linotype" w:cs="Tahoma"/>
          <w:bCs/>
          <w:color w:val="0D0D0D" w:themeColor="text1" w:themeTint="F2"/>
          <w:sz w:val="22"/>
          <w:szCs w:val="22"/>
          <w:lang w:eastAsia="en-US"/>
        </w:rPr>
      </w:pPr>
      <w:r w:rsidRPr="008D0ABC">
        <w:rPr>
          <w:rFonts w:ascii="Palatino Linotype" w:eastAsia="Calibri" w:hAnsi="Palatino Linotype" w:cs="Tahoma"/>
          <w:bCs/>
          <w:color w:val="0D0D0D" w:themeColor="text1" w:themeTint="F2"/>
          <w:sz w:val="22"/>
          <w:szCs w:val="22"/>
          <w:lang w:eastAsia="en-US"/>
        </w:rPr>
        <w:t>Por lo expuesto y fundado, este Pleno:</w:t>
      </w:r>
    </w:p>
    <w:p w14:paraId="53F34A62" w14:textId="77777777" w:rsidR="007741D6" w:rsidRPr="008D0ABC" w:rsidRDefault="007741D6" w:rsidP="00026569">
      <w:pPr>
        <w:tabs>
          <w:tab w:val="left" w:pos="4962"/>
        </w:tabs>
        <w:spacing w:line="360" w:lineRule="auto"/>
        <w:jc w:val="both"/>
        <w:rPr>
          <w:rFonts w:ascii="Palatino Linotype" w:eastAsia="Calibri" w:hAnsi="Palatino Linotype" w:cs="Tahoma"/>
          <w:iCs/>
          <w:color w:val="0D0D0D" w:themeColor="text1" w:themeTint="F2"/>
          <w:szCs w:val="22"/>
          <w:lang w:val="es-ES" w:eastAsia="es-ES_tradnl"/>
        </w:rPr>
      </w:pPr>
    </w:p>
    <w:p w14:paraId="4C7EBF13" w14:textId="4E63B127" w:rsidR="00026569" w:rsidRPr="008D0ABC" w:rsidRDefault="00026569" w:rsidP="00026569">
      <w:pPr>
        <w:spacing w:line="360" w:lineRule="auto"/>
        <w:jc w:val="center"/>
        <w:rPr>
          <w:rFonts w:ascii="Palatino Linotype" w:eastAsia="Calibri" w:hAnsi="Palatino Linotype" w:cs="Tahoma"/>
          <w:b/>
          <w:bCs/>
          <w:color w:val="0D0D0D" w:themeColor="text1" w:themeTint="F2"/>
          <w:sz w:val="22"/>
          <w:szCs w:val="22"/>
          <w:lang w:eastAsia="en-US"/>
        </w:rPr>
      </w:pPr>
      <w:r w:rsidRPr="008D0ABC">
        <w:rPr>
          <w:rFonts w:ascii="Palatino Linotype" w:eastAsia="Calibri" w:hAnsi="Palatino Linotype" w:cs="Tahoma"/>
          <w:b/>
          <w:bCs/>
          <w:color w:val="0D0D0D" w:themeColor="text1" w:themeTint="F2"/>
          <w:sz w:val="22"/>
          <w:szCs w:val="22"/>
          <w:lang w:eastAsia="en-US"/>
        </w:rPr>
        <w:t>RESUELVE</w:t>
      </w:r>
      <w:r w:rsidR="00CC1718" w:rsidRPr="008D0ABC">
        <w:rPr>
          <w:rFonts w:ascii="Palatino Linotype" w:eastAsia="Calibri" w:hAnsi="Palatino Linotype" w:cs="Tahoma"/>
          <w:b/>
          <w:bCs/>
          <w:color w:val="0D0D0D" w:themeColor="text1" w:themeTint="F2"/>
          <w:sz w:val="22"/>
          <w:szCs w:val="22"/>
          <w:lang w:eastAsia="en-US"/>
        </w:rPr>
        <w:t>:</w:t>
      </w:r>
    </w:p>
    <w:p w14:paraId="618FFE68" w14:textId="77777777" w:rsidR="00FB2140" w:rsidRPr="008D0ABC" w:rsidRDefault="00FB2140" w:rsidP="00026569">
      <w:pPr>
        <w:spacing w:line="360" w:lineRule="auto"/>
        <w:jc w:val="center"/>
        <w:rPr>
          <w:rFonts w:ascii="Palatino Linotype" w:eastAsia="Calibri" w:hAnsi="Palatino Linotype" w:cs="Tahoma"/>
          <w:b/>
          <w:bCs/>
          <w:color w:val="0D0D0D" w:themeColor="text1" w:themeTint="F2"/>
          <w:sz w:val="22"/>
          <w:szCs w:val="22"/>
          <w:lang w:eastAsia="en-US"/>
        </w:rPr>
      </w:pPr>
    </w:p>
    <w:p w14:paraId="6A7C0CEA" w14:textId="393E1052" w:rsidR="00026569" w:rsidRPr="008D0ABC" w:rsidRDefault="00026569" w:rsidP="00CC1718">
      <w:pPr>
        <w:spacing w:line="360" w:lineRule="auto"/>
        <w:jc w:val="both"/>
        <w:rPr>
          <w:rFonts w:ascii="Palatino Linotype" w:eastAsia="Calibri" w:hAnsi="Palatino Linotype"/>
          <w:color w:val="0D0D0D" w:themeColor="text1" w:themeTint="F2"/>
          <w:sz w:val="22"/>
          <w:szCs w:val="22"/>
        </w:rPr>
      </w:pPr>
      <w:r w:rsidRPr="008D0ABC">
        <w:rPr>
          <w:rFonts w:ascii="Palatino Linotype" w:eastAsia="Calibri" w:hAnsi="Palatino Linotype"/>
          <w:b/>
          <w:bCs/>
          <w:color w:val="0D0D0D" w:themeColor="text1" w:themeTint="F2"/>
          <w:sz w:val="22"/>
          <w:szCs w:val="22"/>
        </w:rPr>
        <w:t>PRIMERO.</w:t>
      </w:r>
      <w:r w:rsidRPr="008D0ABC">
        <w:rPr>
          <w:rFonts w:ascii="Palatino Linotype" w:eastAsia="Calibri" w:hAnsi="Palatino Linotype"/>
          <w:color w:val="0D0D0D" w:themeColor="text1" w:themeTint="F2"/>
          <w:sz w:val="22"/>
          <w:szCs w:val="22"/>
        </w:rPr>
        <w:t xml:space="preserve"> Se </w:t>
      </w:r>
      <w:r w:rsidR="005A640F" w:rsidRPr="008D0ABC">
        <w:rPr>
          <w:rFonts w:ascii="Palatino Linotype" w:eastAsia="Calibri" w:hAnsi="Palatino Linotype"/>
          <w:b/>
          <w:bCs/>
          <w:color w:val="0D0D0D" w:themeColor="text1" w:themeTint="F2"/>
          <w:sz w:val="22"/>
          <w:szCs w:val="22"/>
        </w:rPr>
        <w:t>MODIFICA</w:t>
      </w:r>
      <w:r w:rsidRPr="008D0ABC">
        <w:rPr>
          <w:rFonts w:ascii="Palatino Linotype" w:eastAsia="Calibri" w:hAnsi="Palatino Linotype"/>
          <w:color w:val="0D0D0D" w:themeColor="text1" w:themeTint="F2"/>
          <w:sz w:val="22"/>
          <w:szCs w:val="22"/>
        </w:rPr>
        <w:t xml:space="preserve"> la respuesta entregada por el Sujeto Obligado a la solicitud de información con número </w:t>
      </w:r>
      <w:r w:rsidR="00DA5371" w:rsidRPr="008D0ABC">
        <w:rPr>
          <w:rFonts w:ascii="Palatino Linotype" w:eastAsia="Calibri" w:hAnsi="Palatino Linotype"/>
          <w:color w:val="0D0D0D" w:themeColor="text1" w:themeTint="F2"/>
          <w:sz w:val="22"/>
          <w:szCs w:val="22"/>
        </w:rPr>
        <w:t>00105/ACULCO/IP/2022</w:t>
      </w:r>
      <w:r w:rsidRPr="008D0ABC">
        <w:rPr>
          <w:rFonts w:ascii="Palatino Linotype" w:eastAsia="Calibri" w:hAnsi="Palatino Linotype"/>
          <w:color w:val="0D0D0D" w:themeColor="text1" w:themeTint="F2"/>
          <w:sz w:val="22"/>
          <w:szCs w:val="22"/>
        </w:rPr>
        <w:t>, por resultar</w:t>
      </w:r>
      <w:r w:rsidR="00EA4E88" w:rsidRPr="008D0ABC">
        <w:rPr>
          <w:rFonts w:ascii="Palatino Linotype" w:eastAsia="Calibri" w:hAnsi="Palatino Linotype"/>
          <w:color w:val="0D0D0D" w:themeColor="text1" w:themeTint="F2"/>
          <w:sz w:val="22"/>
          <w:szCs w:val="22"/>
        </w:rPr>
        <w:t xml:space="preserve"> </w:t>
      </w:r>
      <w:r w:rsidR="00EA4E88" w:rsidRPr="008D0ABC">
        <w:rPr>
          <w:rFonts w:ascii="Palatino Linotype" w:eastAsia="Calibri" w:hAnsi="Palatino Linotype"/>
          <w:b/>
          <w:bCs/>
          <w:color w:val="0D0D0D" w:themeColor="text1" w:themeTint="F2"/>
          <w:sz w:val="22"/>
          <w:szCs w:val="22"/>
        </w:rPr>
        <w:t>PARCIALMENTE</w:t>
      </w:r>
      <w:r w:rsidRPr="008D0ABC">
        <w:rPr>
          <w:rFonts w:ascii="Palatino Linotype" w:eastAsia="Calibri" w:hAnsi="Palatino Linotype"/>
          <w:color w:val="0D0D0D" w:themeColor="text1" w:themeTint="F2"/>
          <w:sz w:val="22"/>
          <w:szCs w:val="22"/>
        </w:rPr>
        <w:t xml:space="preserve"> </w:t>
      </w:r>
      <w:r w:rsidRPr="008D0ABC">
        <w:rPr>
          <w:rFonts w:ascii="Palatino Linotype" w:eastAsia="Calibri" w:hAnsi="Palatino Linotype"/>
          <w:b/>
          <w:bCs/>
          <w:color w:val="0D0D0D" w:themeColor="text1" w:themeTint="F2"/>
          <w:sz w:val="22"/>
          <w:szCs w:val="22"/>
        </w:rPr>
        <w:t>FUNDADO</w:t>
      </w:r>
      <w:r w:rsidR="005A640F" w:rsidRPr="008D0ABC">
        <w:rPr>
          <w:rFonts w:ascii="Palatino Linotype" w:eastAsia="Calibri" w:hAnsi="Palatino Linotype"/>
          <w:b/>
          <w:bCs/>
          <w:color w:val="0D0D0D" w:themeColor="text1" w:themeTint="F2"/>
          <w:sz w:val="22"/>
          <w:szCs w:val="22"/>
        </w:rPr>
        <w:t>S</w:t>
      </w:r>
      <w:r w:rsidRPr="008D0ABC">
        <w:rPr>
          <w:rFonts w:ascii="Palatino Linotype" w:eastAsia="Calibri" w:hAnsi="Palatino Linotype"/>
          <w:color w:val="0D0D0D" w:themeColor="text1" w:themeTint="F2"/>
          <w:sz w:val="22"/>
          <w:szCs w:val="22"/>
        </w:rPr>
        <w:t xml:space="preserve"> </w:t>
      </w:r>
      <w:r w:rsidR="005A640F" w:rsidRPr="008D0ABC">
        <w:rPr>
          <w:rFonts w:ascii="Palatino Linotype" w:eastAsia="Calibri" w:hAnsi="Palatino Linotype"/>
          <w:color w:val="0D0D0D" w:themeColor="text1" w:themeTint="F2"/>
          <w:sz w:val="22"/>
          <w:szCs w:val="22"/>
        </w:rPr>
        <w:t>los</w:t>
      </w:r>
      <w:r w:rsidRPr="008D0ABC">
        <w:rPr>
          <w:rFonts w:ascii="Palatino Linotype" w:eastAsia="Calibri" w:hAnsi="Palatino Linotype"/>
          <w:color w:val="0D0D0D" w:themeColor="text1" w:themeTint="F2"/>
          <w:sz w:val="22"/>
          <w:szCs w:val="22"/>
        </w:rPr>
        <w:t xml:space="preserve"> motivo</w:t>
      </w:r>
      <w:r w:rsidR="005A640F" w:rsidRPr="008D0ABC">
        <w:rPr>
          <w:rFonts w:ascii="Palatino Linotype" w:eastAsia="Calibri" w:hAnsi="Palatino Linotype"/>
          <w:color w:val="0D0D0D" w:themeColor="text1" w:themeTint="F2"/>
          <w:sz w:val="22"/>
          <w:szCs w:val="22"/>
        </w:rPr>
        <w:t>s</w:t>
      </w:r>
      <w:r w:rsidRPr="008D0ABC">
        <w:rPr>
          <w:rFonts w:ascii="Palatino Linotype" w:eastAsia="Calibri" w:hAnsi="Palatino Linotype"/>
          <w:color w:val="0D0D0D" w:themeColor="text1" w:themeTint="F2"/>
          <w:sz w:val="22"/>
          <w:szCs w:val="22"/>
        </w:rPr>
        <w:t xml:space="preserve"> de inconformidad vertido</w:t>
      </w:r>
      <w:r w:rsidR="005A640F" w:rsidRPr="008D0ABC">
        <w:rPr>
          <w:rFonts w:ascii="Palatino Linotype" w:eastAsia="Calibri" w:hAnsi="Palatino Linotype"/>
          <w:color w:val="0D0D0D" w:themeColor="text1" w:themeTint="F2"/>
          <w:sz w:val="22"/>
          <w:szCs w:val="22"/>
        </w:rPr>
        <w:t>s</w:t>
      </w:r>
      <w:r w:rsidRPr="008D0ABC">
        <w:rPr>
          <w:rFonts w:ascii="Palatino Linotype" w:eastAsia="Calibri" w:hAnsi="Palatino Linotype"/>
          <w:color w:val="0D0D0D" w:themeColor="text1" w:themeTint="F2"/>
          <w:sz w:val="22"/>
          <w:szCs w:val="22"/>
        </w:rPr>
        <w:t xml:space="preserve"> por </w:t>
      </w:r>
      <w:r w:rsidR="001D503B" w:rsidRPr="008D0ABC">
        <w:rPr>
          <w:rFonts w:ascii="Palatino Linotype" w:eastAsia="Calibri" w:hAnsi="Palatino Linotype"/>
          <w:color w:val="0D0D0D" w:themeColor="text1" w:themeTint="F2"/>
          <w:sz w:val="22"/>
          <w:szCs w:val="22"/>
        </w:rPr>
        <w:t>la</w:t>
      </w:r>
      <w:r w:rsidRPr="008D0ABC">
        <w:rPr>
          <w:rFonts w:ascii="Palatino Linotype" w:eastAsia="Calibri" w:hAnsi="Palatino Linotype"/>
          <w:color w:val="0D0D0D" w:themeColor="text1" w:themeTint="F2"/>
          <w:sz w:val="22"/>
          <w:szCs w:val="22"/>
        </w:rPr>
        <w:t xml:space="preserve"> Recurrente, en términos de los Considerandos QUINTO y SEXTO de la presente Resolución.</w:t>
      </w:r>
    </w:p>
    <w:p w14:paraId="2A61C713" w14:textId="77777777" w:rsidR="00FB2140" w:rsidRPr="008D0ABC" w:rsidRDefault="00FB2140" w:rsidP="00CC1718">
      <w:pPr>
        <w:spacing w:line="360" w:lineRule="auto"/>
        <w:jc w:val="both"/>
        <w:rPr>
          <w:rFonts w:ascii="Palatino Linotype" w:eastAsia="Calibri" w:hAnsi="Palatino Linotype"/>
          <w:color w:val="0D0D0D" w:themeColor="text1" w:themeTint="F2"/>
          <w:sz w:val="22"/>
          <w:szCs w:val="22"/>
        </w:rPr>
      </w:pPr>
    </w:p>
    <w:p w14:paraId="6C8FC2DE" w14:textId="0E2BFDC1" w:rsidR="00FB2140" w:rsidRPr="008D0ABC" w:rsidRDefault="00026569" w:rsidP="009C12F9">
      <w:pPr>
        <w:widowControl w:val="0"/>
        <w:spacing w:line="360" w:lineRule="auto"/>
        <w:jc w:val="both"/>
        <w:rPr>
          <w:rFonts w:ascii="Palatino Linotype" w:hAnsi="Palatino Linotype"/>
          <w:color w:val="0D0D0D" w:themeColor="text1" w:themeTint="F2"/>
          <w:sz w:val="22"/>
          <w:szCs w:val="22"/>
        </w:rPr>
      </w:pPr>
      <w:r w:rsidRPr="008D0ABC">
        <w:rPr>
          <w:rFonts w:ascii="Palatino Linotype" w:hAnsi="Palatino Linotype"/>
          <w:b/>
          <w:bCs/>
          <w:color w:val="0D0D0D" w:themeColor="text1" w:themeTint="F2"/>
          <w:sz w:val="22"/>
          <w:szCs w:val="22"/>
        </w:rPr>
        <w:t>SEGUNDO.</w:t>
      </w:r>
      <w:r w:rsidRPr="008D0ABC">
        <w:rPr>
          <w:rFonts w:ascii="Palatino Linotype" w:hAnsi="Palatino Linotype"/>
          <w:color w:val="0D0D0D" w:themeColor="text1" w:themeTint="F2"/>
          <w:sz w:val="22"/>
          <w:szCs w:val="22"/>
        </w:rPr>
        <w:t xml:space="preserve">  Se </w:t>
      </w:r>
      <w:r w:rsidRPr="008D0ABC">
        <w:rPr>
          <w:rFonts w:ascii="Palatino Linotype" w:hAnsi="Palatino Linotype"/>
          <w:b/>
          <w:bCs/>
          <w:color w:val="0D0D0D" w:themeColor="text1" w:themeTint="F2"/>
          <w:sz w:val="22"/>
          <w:szCs w:val="22"/>
        </w:rPr>
        <w:t>ORDENA</w:t>
      </w:r>
      <w:r w:rsidRPr="008D0ABC">
        <w:rPr>
          <w:rFonts w:ascii="Palatino Linotype" w:hAnsi="Palatino Linotype"/>
          <w:color w:val="0D0D0D" w:themeColor="text1" w:themeTint="F2"/>
          <w:sz w:val="22"/>
          <w:szCs w:val="22"/>
        </w:rPr>
        <w:t xml:space="preserve"> a</w:t>
      </w:r>
      <w:r w:rsidR="00CF337A" w:rsidRPr="008D0ABC">
        <w:rPr>
          <w:rFonts w:ascii="Palatino Linotype" w:hAnsi="Palatino Linotype"/>
          <w:color w:val="0D0D0D" w:themeColor="text1" w:themeTint="F2"/>
          <w:sz w:val="22"/>
          <w:szCs w:val="22"/>
        </w:rPr>
        <w:t>l</w:t>
      </w:r>
      <w:r w:rsidR="00A75B53" w:rsidRPr="008D0ABC">
        <w:rPr>
          <w:rFonts w:ascii="Palatino Linotype" w:hAnsi="Palatino Linotype"/>
          <w:color w:val="0D0D0D" w:themeColor="text1" w:themeTint="F2"/>
          <w:sz w:val="22"/>
          <w:szCs w:val="22"/>
        </w:rPr>
        <w:t xml:space="preserve"> </w:t>
      </w:r>
      <w:r w:rsidR="00DA5371" w:rsidRPr="008D0ABC">
        <w:rPr>
          <w:rFonts w:ascii="Palatino Linotype" w:hAnsi="Palatino Linotype"/>
          <w:color w:val="0D0D0D" w:themeColor="text1" w:themeTint="F2"/>
          <w:sz w:val="22"/>
          <w:szCs w:val="22"/>
        </w:rPr>
        <w:t>Ayuntamiento de Aculco</w:t>
      </w:r>
      <w:r w:rsidRPr="008D0ABC">
        <w:rPr>
          <w:rFonts w:ascii="Palatino Linotype" w:hAnsi="Palatino Linotype"/>
          <w:color w:val="0D0D0D" w:themeColor="text1" w:themeTint="F2"/>
          <w:sz w:val="22"/>
          <w:szCs w:val="22"/>
        </w:rPr>
        <w:t xml:space="preserve">, </w:t>
      </w:r>
      <w:r w:rsidR="00FE0F18" w:rsidRPr="008D0ABC">
        <w:rPr>
          <w:rFonts w:ascii="Palatino Linotype" w:hAnsi="Palatino Linotype"/>
          <w:color w:val="0D0D0D" w:themeColor="text1" w:themeTint="F2"/>
          <w:sz w:val="22"/>
          <w:szCs w:val="22"/>
        </w:rPr>
        <w:t xml:space="preserve">a efecto de que, entregue, a través del Sistema de Acceso a la Información Mexiquense (SAIMEX), </w:t>
      </w:r>
      <w:r w:rsidR="00FB2140" w:rsidRPr="008D0ABC">
        <w:rPr>
          <w:rFonts w:ascii="Palatino Linotype" w:hAnsi="Palatino Linotype"/>
          <w:color w:val="0D0D0D" w:themeColor="text1" w:themeTint="F2"/>
          <w:sz w:val="22"/>
          <w:szCs w:val="22"/>
        </w:rPr>
        <w:t>lo siguiente:</w:t>
      </w:r>
    </w:p>
    <w:p w14:paraId="6233B7BB" w14:textId="77777777" w:rsidR="00FB2140" w:rsidRPr="008D0ABC" w:rsidRDefault="00FB2140" w:rsidP="00FB2140">
      <w:pPr>
        <w:spacing w:line="360" w:lineRule="auto"/>
        <w:jc w:val="both"/>
        <w:rPr>
          <w:rFonts w:ascii="Palatino Linotype" w:hAnsi="Palatino Linotype" w:cs="Tahoma"/>
          <w:color w:val="0D0D0D" w:themeColor="text1" w:themeTint="F2"/>
          <w:sz w:val="22"/>
          <w:szCs w:val="22"/>
        </w:rPr>
      </w:pPr>
    </w:p>
    <w:p w14:paraId="30023D7B" w14:textId="7C2399D7" w:rsidR="005A640F" w:rsidRPr="008D0ABC" w:rsidRDefault="00EA4E88">
      <w:pPr>
        <w:pStyle w:val="Prrafodelista"/>
        <w:numPr>
          <w:ilvl w:val="0"/>
          <w:numId w:val="12"/>
        </w:numPr>
        <w:spacing w:line="360" w:lineRule="auto"/>
        <w:jc w:val="both"/>
        <w:rPr>
          <w:rFonts w:ascii="Palatino Linotype" w:hAnsi="Palatino Linotype" w:cs="Tahoma"/>
          <w:color w:val="0D0D0D" w:themeColor="text1" w:themeTint="F2"/>
          <w:szCs w:val="22"/>
          <w:lang w:val="es-ES"/>
        </w:rPr>
      </w:pPr>
      <w:r w:rsidRPr="008D0ABC">
        <w:rPr>
          <w:rFonts w:ascii="Palatino Linotype" w:hAnsi="Palatino Linotype" w:cs="Tahoma"/>
          <w:color w:val="0D0D0D" w:themeColor="text1" w:themeTint="F2"/>
          <w:szCs w:val="22"/>
        </w:rPr>
        <w:t>El Acuerdo de Clasificación emitido por el Comité de Transparencia, en donde de manera fundada y motivada, confirme la eliminación de los datos, en términos del Considerando QUINTO, en la versión pública entregada en Informe Justificado, de conformidad con los artículos 49, fracciones II y VIII, 132, fracción II, 143, fracción I, y 149 de la Ley de Transparencia y Acceso a la Información Pública del Estado de México y Municipios.</w:t>
      </w:r>
    </w:p>
    <w:p w14:paraId="2F07B537" w14:textId="2FD9D997" w:rsidR="00026569" w:rsidRPr="008D0ABC" w:rsidRDefault="00026569" w:rsidP="00026569">
      <w:pPr>
        <w:spacing w:line="360" w:lineRule="auto"/>
        <w:jc w:val="both"/>
        <w:rPr>
          <w:rFonts w:ascii="Palatino Linotype" w:hAnsi="Palatino Linotype" w:cs="Tahoma"/>
          <w:color w:val="0D0D0D" w:themeColor="text1" w:themeTint="F2"/>
          <w:sz w:val="22"/>
          <w:szCs w:val="22"/>
        </w:rPr>
      </w:pPr>
      <w:r w:rsidRPr="008D0ABC">
        <w:rPr>
          <w:rFonts w:ascii="Palatino Linotype" w:eastAsia="Calibri" w:hAnsi="Palatino Linotype" w:cs="Tahoma"/>
          <w:b/>
          <w:bCs/>
          <w:color w:val="0D0D0D" w:themeColor="text1" w:themeTint="F2"/>
          <w:sz w:val="22"/>
          <w:szCs w:val="22"/>
          <w:lang w:eastAsia="en-US"/>
        </w:rPr>
        <w:t>TERCERO.</w:t>
      </w:r>
      <w:r w:rsidRPr="008D0ABC">
        <w:rPr>
          <w:rFonts w:ascii="Palatino Linotype" w:hAnsi="Palatino Linotype" w:cs="Tahoma"/>
          <w:color w:val="0D0D0D" w:themeColor="text1" w:themeTint="F2"/>
          <w:sz w:val="22"/>
          <w:szCs w:val="22"/>
        </w:rPr>
        <w:t xml:space="preserve"> </w:t>
      </w:r>
      <w:r w:rsidRPr="008D0ABC">
        <w:rPr>
          <w:rFonts w:ascii="Palatino Linotype" w:hAnsi="Palatino Linotype" w:cs="Tahoma"/>
          <w:b/>
          <w:color w:val="0D0D0D" w:themeColor="text1" w:themeTint="F2"/>
          <w:sz w:val="22"/>
          <w:szCs w:val="22"/>
        </w:rPr>
        <w:t xml:space="preserve">NOTIFÍQUESE </w:t>
      </w:r>
      <w:r w:rsidRPr="008D0ABC">
        <w:rPr>
          <w:rFonts w:ascii="Palatino Linotype" w:hAnsi="Palatino Linotype" w:cs="Tahoma"/>
          <w:color w:val="0D0D0D" w:themeColor="text1" w:themeTint="F2"/>
          <w:sz w:val="22"/>
          <w:szCs w:val="22"/>
        </w:rPr>
        <w:t>la presente resolución a</w:t>
      </w:r>
      <w:r w:rsidR="00A75B53" w:rsidRPr="008D0ABC">
        <w:rPr>
          <w:rFonts w:ascii="Palatino Linotype" w:hAnsi="Palatino Linotype" w:cs="Tahoma"/>
          <w:color w:val="0D0D0D" w:themeColor="text1" w:themeTint="F2"/>
          <w:sz w:val="22"/>
          <w:szCs w:val="22"/>
        </w:rPr>
        <w:t xml:space="preserve"> </w:t>
      </w:r>
      <w:r w:rsidRPr="008D0ABC">
        <w:rPr>
          <w:rFonts w:ascii="Palatino Linotype" w:hAnsi="Palatino Linotype" w:cs="Tahoma"/>
          <w:color w:val="0D0D0D" w:themeColor="text1" w:themeTint="F2"/>
          <w:sz w:val="22"/>
          <w:szCs w:val="22"/>
        </w:rPr>
        <w:t>l</w:t>
      </w:r>
      <w:r w:rsidR="00A75B53" w:rsidRPr="008D0ABC">
        <w:rPr>
          <w:rFonts w:ascii="Palatino Linotype" w:hAnsi="Palatino Linotype" w:cs="Tahoma"/>
          <w:color w:val="0D0D0D" w:themeColor="text1" w:themeTint="F2"/>
          <w:sz w:val="22"/>
          <w:szCs w:val="22"/>
        </w:rPr>
        <w:t>a</w:t>
      </w:r>
      <w:r w:rsidRPr="008D0ABC">
        <w:rPr>
          <w:rFonts w:ascii="Palatino Linotype" w:hAnsi="Palatino Linotype" w:cs="Tahoma"/>
          <w:color w:val="0D0D0D" w:themeColor="text1" w:themeTint="F2"/>
          <w:sz w:val="22"/>
          <w:szCs w:val="22"/>
        </w:rPr>
        <w:t xml:space="preserve">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7741D6" w:rsidRPr="008D0ABC">
        <w:rPr>
          <w:rFonts w:ascii="Palatino Linotype" w:hAnsi="Palatino Linotype" w:cs="Tahoma"/>
          <w:color w:val="0D0D0D" w:themeColor="text1" w:themeTint="F2"/>
          <w:sz w:val="22"/>
          <w:szCs w:val="22"/>
        </w:rPr>
        <w:t>die</w:t>
      </w:r>
      <w:r w:rsidR="004A5691" w:rsidRPr="008D0ABC">
        <w:rPr>
          <w:rFonts w:ascii="Palatino Linotype" w:hAnsi="Palatino Linotype" w:cs="Tahoma"/>
          <w:color w:val="0D0D0D" w:themeColor="text1" w:themeTint="F2"/>
          <w:sz w:val="22"/>
          <w:szCs w:val="22"/>
        </w:rPr>
        <w:t>z</w:t>
      </w:r>
      <w:r w:rsidRPr="008D0ABC">
        <w:rPr>
          <w:rFonts w:ascii="Palatino Linotype" w:hAnsi="Palatino Linotype" w:cs="Tahoma"/>
          <w:color w:val="0D0D0D" w:themeColor="text1" w:themeTint="F2"/>
          <w:sz w:val="22"/>
          <w:szCs w:val="22"/>
        </w:rPr>
        <w:t xml:space="preserve"> días hábiles, e informe a este Instituto en un plazo de tres días hábiles siguientes sobre el cumplimiento dado a la presente.</w:t>
      </w:r>
    </w:p>
    <w:p w14:paraId="7C19659B" w14:textId="77777777" w:rsidR="000F4B84" w:rsidRPr="008D0ABC" w:rsidRDefault="000F4B84" w:rsidP="00026569">
      <w:pPr>
        <w:spacing w:line="360" w:lineRule="auto"/>
        <w:jc w:val="both"/>
        <w:rPr>
          <w:rFonts w:ascii="Palatino Linotype" w:hAnsi="Palatino Linotype" w:cs="Tahoma"/>
          <w:color w:val="0D0D0D" w:themeColor="text1" w:themeTint="F2"/>
          <w:sz w:val="22"/>
          <w:szCs w:val="22"/>
        </w:rPr>
      </w:pPr>
    </w:p>
    <w:p w14:paraId="7F366266" w14:textId="77777777" w:rsidR="00FB2140" w:rsidRPr="008D0ABC" w:rsidRDefault="00FB2140" w:rsidP="00FB2140">
      <w:pPr>
        <w:spacing w:line="360" w:lineRule="auto"/>
        <w:jc w:val="both"/>
        <w:rPr>
          <w:rFonts w:ascii="Palatino Linotype" w:eastAsia="Calibri" w:hAnsi="Palatino Linotype" w:cs="Tahoma"/>
          <w:iCs/>
          <w:color w:val="0D0D0D" w:themeColor="text1" w:themeTint="F2"/>
          <w:sz w:val="22"/>
          <w:szCs w:val="22"/>
          <w:lang w:eastAsia="en-US"/>
        </w:rPr>
      </w:pPr>
      <w:r w:rsidRPr="008D0ABC">
        <w:rPr>
          <w:rFonts w:ascii="Palatino Linotype" w:eastAsia="Calibri" w:hAnsi="Palatino Linotype" w:cs="Tahoma"/>
          <w:iCs/>
          <w:color w:val="0D0D0D" w:themeColor="text1" w:themeTint="F2"/>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BFBE5E" w14:textId="77777777" w:rsidR="00026569" w:rsidRPr="008D0ABC" w:rsidRDefault="00026569" w:rsidP="00FB2140">
      <w:pPr>
        <w:spacing w:line="360" w:lineRule="auto"/>
        <w:jc w:val="both"/>
        <w:rPr>
          <w:rFonts w:ascii="Palatino Linotype" w:hAnsi="Palatino Linotype" w:cs="Tahoma"/>
          <w:color w:val="0D0D0D" w:themeColor="text1" w:themeTint="F2"/>
          <w:sz w:val="22"/>
          <w:szCs w:val="22"/>
        </w:rPr>
      </w:pPr>
    </w:p>
    <w:p w14:paraId="74563134" w14:textId="14CD0355" w:rsidR="007741D6" w:rsidRPr="008D0ABC" w:rsidRDefault="007741D6" w:rsidP="007741D6">
      <w:pPr>
        <w:spacing w:line="360" w:lineRule="auto"/>
        <w:ind w:right="-93"/>
        <w:jc w:val="both"/>
        <w:rPr>
          <w:rFonts w:ascii="Palatino Linotype" w:hAnsi="Palatino Linotype" w:cs="Tahoma"/>
          <w:sz w:val="22"/>
          <w:szCs w:val="22"/>
        </w:rPr>
      </w:pPr>
      <w:r w:rsidRPr="008D0ABC">
        <w:rPr>
          <w:rFonts w:ascii="Palatino Linotype" w:eastAsia="Calibri" w:hAnsi="Palatino Linotype" w:cs="Tahoma"/>
          <w:b/>
          <w:sz w:val="22"/>
          <w:szCs w:val="22"/>
          <w:lang w:eastAsia="es-MX"/>
        </w:rPr>
        <w:t>CUARTO</w:t>
      </w:r>
      <w:r w:rsidRPr="008D0ABC">
        <w:rPr>
          <w:rFonts w:ascii="Palatino Linotype" w:eastAsia="Calibri" w:hAnsi="Palatino Linotype" w:cs="Tahoma"/>
          <w:b/>
          <w:bCs/>
          <w:sz w:val="22"/>
          <w:szCs w:val="22"/>
          <w:lang w:eastAsia="en-US"/>
        </w:rPr>
        <w:t>.</w:t>
      </w:r>
      <w:r w:rsidRPr="008D0ABC">
        <w:rPr>
          <w:rFonts w:ascii="Palatino Linotype" w:eastAsia="Calibri" w:hAnsi="Palatino Linotype" w:cs="Tahoma"/>
          <w:sz w:val="22"/>
          <w:szCs w:val="22"/>
          <w:lang w:eastAsia="es-MX"/>
        </w:rPr>
        <w:t xml:space="preserve"> </w:t>
      </w:r>
      <w:r w:rsidRPr="008D0ABC">
        <w:rPr>
          <w:rFonts w:ascii="Palatino Linotype" w:hAnsi="Palatino Linotype" w:cs="Tahoma"/>
          <w:b/>
          <w:sz w:val="22"/>
          <w:szCs w:val="22"/>
        </w:rPr>
        <w:t>NOTIFÍQUESE</w:t>
      </w:r>
      <w:r w:rsidRPr="008D0ABC">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EA4E88" w:rsidRPr="008D0ABC">
        <w:rPr>
          <w:rFonts w:ascii="Palatino Linotype" w:hAnsi="Palatino Linotype" w:cs="Tahoma"/>
          <w:sz w:val="22"/>
          <w:szCs w:val="22"/>
        </w:rPr>
        <w:t>.</w:t>
      </w:r>
    </w:p>
    <w:p w14:paraId="57F1E1AE" w14:textId="77777777" w:rsidR="009028B5" w:rsidRPr="008D0ABC" w:rsidRDefault="009028B5" w:rsidP="00026569">
      <w:pPr>
        <w:spacing w:line="360" w:lineRule="auto"/>
        <w:ind w:right="-93"/>
        <w:jc w:val="both"/>
        <w:rPr>
          <w:rFonts w:ascii="Palatino Linotype" w:hAnsi="Palatino Linotype" w:cs="Tahoma"/>
          <w:color w:val="0D0D0D" w:themeColor="text1" w:themeTint="F2"/>
          <w:sz w:val="22"/>
          <w:szCs w:val="22"/>
        </w:rPr>
      </w:pPr>
    </w:p>
    <w:p w14:paraId="0E19B016" w14:textId="04954C1E" w:rsidR="00387FE7" w:rsidRPr="00ED6603" w:rsidRDefault="00387FE7" w:rsidP="00387FE7">
      <w:pPr>
        <w:spacing w:line="360" w:lineRule="auto"/>
        <w:ind w:right="-93"/>
        <w:jc w:val="both"/>
        <w:rPr>
          <w:rFonts w:ascii="Palatino Linotype" w:hAnsi="Palatino Linotype" w:cs="Tahoma"/>
          <w:bCs/>
          <w:sz w:val="22"/>
          <w:szCs w:val="22"/>
          <w:lang w:eastAsia="es-MX"/>
        </w:rPr>
      </w:pPr>
      <w:r w:rsidRPr="008D0ABC">
        <w:rPr>
          <w:rFonts w:ascii="Palatino Linotype" w:hAnsi="Palatino Linotype" w:cs="Tahoma"/>
          <w:bCs/>
          <w:sz w:val="22"/>
          <w:szCs w:val="22"/>
          <w:lang w:val="es-ES_tradnl" w:eastAsia="es-MX"/>
        </w:rPr>
        <w:t xml:space="preserve">ASÍ LO RESUELVE, POR </w:t>
      </w:r>
      <w:r w:rsidRPr="008D0ABC">
        <w:rPr>
          <w:rFonts w:ascii="Palatino Linotype" w:hAnsi="Palatino Linotype" w:cs="Tahoma"/>
          <w:b/>
          <w:bCs/>
          <w:sz w:val="22"/>
          <w:szCs w:val="22"/>
          <w:lang w:val="es-ES_tradnl" w:eastAsia="es-MX"/>
        </w:rPr>
        <w:t>UNANIMIDAD</w:t>
      </w:r>
      <w:r w:rsidRPr="008D0ABC">
        <w:rPr>
          <w:rFonts w:ascii="Palatino Linotype" w:hAnsi="Palatino Linotype" w:cs="Tahoma"/>
          <w:bCs/>
          <w:sz w:val="22"/>
          <w:szCs w:val="22"/>
          <w:lang w:val="es-ES_tradnl"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w:t>
      </w:r>
      <w:r w:rsidR="00592383" w:rsidRPr="008D0ABC">
        <w:rPr>
          <w:rFonts w:ascii="Palatino Linotype" w:hAnsi="Palatino Linotype" w:cs="Tahoma"/>
          <w:bCs/>
          <w:sz w:val="22"/>
          <w:szCs w:val="22"/>
          <w:lang w:val="es-ES_tradnl" w:eastAsia="es-MX"/>
        </w:rPr>
        <w:t>A</w:t>
      </w:r>
      <w:r w:rsidRPr="008D0ABC">
        <w:rPr>
          <w:rFonts w:ascii="Palatino Linotype" w:hAnsi="Palatino Linotype" w:cs="Tahoma"/>
          <w:bCs/>
          <w:sz w:val="22"/>
          <w:szCs w:val="22"/>
          <w:lang w:val="es-ES_tradnl" w:eastAsia="es-MX"/>
        </w:rPr>
        <w:t xml:space="preserve">, EN LA </w:t>
      </w:r>
      <w:r w:rsidR="00624DF4" w:rsidRPr="008D0ABC">
        <w:rPr>
          <w:rFonts w:ascii="Palatino Linotype" w:hAnsi="Palatino Linotype" w:cs="Tahoma"/>
          <w:bCs/>
          <w:sz w:val="22"/>
          <w:szCs w:val="22"/>
          <w:lang w:val="es-ES_tradnl" w:eastAsia="es-MX"/>
        </w:rPr>
        <w:t>OCTAVA</w:t>
      </w:r>
      <w:r w:rsidRPr="008D0ABC">
        <w:rPr>
          <w:rFonts w:ascii="Palatino Linotype" w:hAnsi="Palatino Linotype" w:cs="Tahoma"/>
          <w:bCs/>
          <w:sz w:val="22"/>
          <w:szCs w:val="22"/>
          <w:lang w:val="es-ES_tradnl" w:eastAsia="es-MX"/>
        </w:rPr>
        <w:t xml:space="preserve"> SESIÓN ORDINARIA, CELEBRADA EL </w:t>
      </w:r>
      <w:r w:rsidR="00624DF4" w:rsidRPr="008D0ABC">
        <w:rPr>
          <w:rFonts w:ascii="Palatino Linotype" w:hAnsi="Palatino Linotype" w:cs="Tahoma"/>
          <w:bCs/>
          <w:sz w:val="22"/>
          <w:szCs w:val="22"/>
          <w:lang w:eastAsia="es-MX"/>
        </w:rPr>
        <w:t>PRIMERO</w:t>
      </w:r>
      <w:r w:rsidRPr="008D0ABC">
        <w:rPr>
          <w:rFonts w:ascii="Palatino Linotype" w:hAnsi="Palatino Linotype" w:cs="Tahoma"/>
          <w:bCs/>
          <w:sz w:val="22"/>
          <w:szCs w:val="22"/>
          <w:lang w:eastAsia="es-MX"/>
        </w:rPr>
        <w:t xml:space="preserve"> DE </w:t>
      </w:r>
      <w:r w:rsidR="00624DF4" w:rsidRPr="008D0ABC">
        <w:rPr>
          <w:rFonts w:ascii="Palatino Linotype" w:hAnsi="Palatino Linotype" w:cs="Tahoma"/>
          <w:bCs/>
          <w:sz w:val="22"/>
          <w:szCs w:val="22"/>
          <w:lang w:eastAsia="es-MX"/>
        </w:rPr>
        <w:t>MARZO</w:t>
      </w:r>
      <w:r w:rsidR="00ED6603" w:rsidRPr="008D0ABC">
        <w:rPr>
          <w:rFonts w:ascii="Palatino Linotype" w:hAnsi="Palatino Linotype" w:cs="Tahoma"/>
          <w:bCs/>
          <w:sz w:val="22"/>
          <w:szCs w:val="22"/>
          <w:lang w:eastAsia="es-MX"/>
        </w:rPr>
        <w:t xml:space="preserve"> DE DOS MIL VEINTITRÉS</w:t>
      </w:r>
      <w:r w:rsidRPr="008D0ABC">
        <w:rPr>
          <w:rFonts w:ascii="Palatino Linotype" w:hAnsi="Palatino Linotype" w:cs="Tahoma"/>
          <w:bCs/>
          <w:sz w:val="22"/>
          <w:szCs w:val="22"/>
          <w:lang w:val="es-ES_tradnl" w:eastAsia="es-MX"/>
        </w:rPr>
        <w:t>, ANTE EL SECRETARIO TÉCNICO DEL PLENO, ALEXIS TAPIA RAMÍREZ.</w:t>
      </w:r>
    </w:p>
    <w:p w14:paraId="46C1FEE7" w14:textId="0C85AB57" w:rsidR="00AB08CB" w:rsidRDefault="00AB08CB">
      <w:pPr>
        <w:spacing w:after="160" w:line="259" w:lineRule="auto"/>
        <w:rPr>
          <w:rFonts w:ascii="Palatino Linotype" w:eastAsia="Calibri" w:hAnsi="Palatino Linotype" w:cs="Tahoma"/>
          <w:b/>
          <w:bCs/>
          <w:color w:val="0D0D0D" w:themeColor="text1" w:themeTint="F2"/>
          <w:sz w:val="22"/>
          <w:szCs w:val="22"/>
          <w:lang w:eastAsia="en-US"/>
        </w:rPr>
      </w:pPr>
      <w:r>
        <w:rPr>
          <w:rFonts w:ascii="Palatino Linotype" w:eastAsia="Calibri" w:hAnsi="Palatino Linotype" w:cs="Tahoma"/>
          <w:b/>
          <w:bCs/>
          <w:color w:val="0D0D0D" w:themeColor="text1" w:themeTint="F2"/>
          <w:sz w:val="22"/>
          <w:szCs w:val="22"/>
          <w:lang w:eastAsia="en-US"/>
        </w:rPr>
        <w:br w:type="page"/>
      </w:r>
    </w:p>
    <w:p w14:paraId="7F0ADC01" w14:textId="77777777" w:rsidR="004A24D4" w:rsidRPr="00624DF4" w:rsidRDefault="004A24D4" w:rsidP="00624DF4">
      <w:pPr>
        <w:spacing w:after="160" w:line="259" w:lineRule="auto"/>
        <w:rPr>
          <w:rFonts w:ascii="Palatino Linotype" w:eastAsia="Calibri" w:hAnsi="Palatino Linotype" w:cs="Tahoma"/>
          <w:b/>
          <w:bCs/>
          <w:color w:val="0D0D0D" w:themeColor="text1" w:themeTint="F2"/>
          <w:sz w:val="22"/>
          <w:szCs w:val="22"/>
          <w:lang w:eastAsia="en-US"/>
        </w:rPr>
      </w:pPr>
    </w:p>
    <w:sectPr w:rsidR="004A24D4" w:rsidRPr="00624DF4" w:rsidSect="00DB7E5F">
      <w:headerReference w:type="even" r:id="rId17"/>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99090" w14:textId="77777777" w:rsidR="00F10A6E" w:rsidRDefault="00F10A6E" w:rsidP="00B31222">
      <w:r>
        <w:separator/>
      </w:r>
    </w:p>
  </w:endnote>
  <w:endnote w:type="continuationSeparator" w:id="0">
    <w:p w14:paraId="4561B95C" w14:textId="77777777" w:rsidR="00F10A6E" w:rsidRDefault="00F10A6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Times New Roman"/>
    <w:panose1 w:val="02040502050505030304"/>
    <w:charset w:val="00"/>
    <w:family w:val="roman"/>
    <w:pitch w:val="variable"/>
    <w:sig w:usb0="E0000287" w:usb1="40000013" w:usb2="00000000" w:usb3="00000000" w:csb0="0000019F" w:csb1="00000000"/>
  </w:font>
  <w:font w:name="Tahoma">
    <w:altName w:val="Times New Roman"/>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5F3B126B" w14:textId="2AC738F2" w:rsidR="005831C3" w:rsidRDefault="005831C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31A83">
              <w:rPr>
                <w:b/>
                <w:bCs/>
                <w:noProof/>
              </w:rPr>
              <w:t>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31A83">
              <w:rPr>
                <w:b/>
                <w:bCs/>
                <w:noProof/>
              </w:rPr>
              <w:t>46</w:t>
            </w:r>
            <w:r>
              <w:rPr>
                <w:b/>
                <w:bCs/>
                <w:sz w:val="24"/>
                <w:szCs w:val="24"/>
              </w:rPr>
              <w:fldChar w:fldCharType="end"/>
            </w:r>
          </w:p>
        </w:sdtContent>
      </w:sdt>
    </w:sdtContent>
  </w:sdt>
  <w:p w14:paraId="783E849C" w14:textId="77777777" w:rsidR="005831C3" w:rsidRDefault="005831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7F244" w14:textId="72AA659B" w:rsidR="005831C3" w:rsidRDefault="005831C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0A6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0A6E">
      <w:rPr>
        <w:b/>
        <w:bCs/>
        <w:noProof/>
      </w:rPr>
      <w:t>1</w:t>
    </w:r>
    <w:r>
      <w:rPr>
        <w:b/>
        <w:bCs/>
        <w:sz w:val="24"/>
        <w:szCs w:val="24"/>
      </w:rPr>
      <w:fldChar w:fldCharType="end"/>
    </w:r>
  </w:p>
  <w:p w14:paraId="52F5CF74" w14:textId="77777777" w:rsidR="005831C3" w:rsidRDefault="005831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5DD63" w14:textId="77777777" w:rsidR="00F10A6E" w:rsidRDefault="00F10A6E" w:rsidP="00B31222">
      <w:r>
        <w:separator/>
      </w:r>
    </w:p>
  </w:footnote>
  <w:footnote w:type="continuationSeparator" w:id="0">
    <w:p w14:paraId="1D59589A" w14:textId="77777777" w:rsidR="00F10A6E" w:rsidRDefault="00F10A6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3604D" w14:textId="5AF9B128" w:rsidR="005831C3" w:rsidRDefault="00F10A6E">
    <w:pPr>
      <w:pStyle w:val="Encabezado"/>
    </w:pPr>
    <w:r>
      <w:rPr>
        <w:noProof/>
      </w:rPr>
      <w:pict w14:anchorId="380E3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416251" o:spid="_x0000_s2050" type="#_x0000_t75" style="position:absolute;margin-left:0;margin-top:0;width:663.5pt;height:12in;z-index:-251657216;mso-position-horizontal:center;mso-position-horizontal-relative:margin;mso-position-vertical:center;mso-position-vertical-relative:margin" o:allowincell="f">
          <v:imagedata r:id="rId1" o:title="PHOTO-2020-08-13-10-14-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1985"/>
      <w:gridCol w:w="7087"/>
    </w:tblGrid>
    <w:tr w:rsidR="005831C3" w:rsidRPr="005C106F" w14:paraId="35720ED2" w14:textId="77777777" w:rsidTr="00A75B53">
      <w:trPr>
        <w:trHeight w:val="1435"/>
      </w:trPr>
      <w:tc>
        <w:tcPr>
          <w:tcW w:w="1985" w:type="dxa"/>
          <w:shd w:val="clear" w:color="auto" w:fill="auto"/>
        </w:tcPr>
        <w:p w14:paraId="64271C59" w14:textId="77777777" w:rsidR="005831C3" w:rsidRPr="005C106F" w:rsidRDefault="005831C3" w:rsidP="00EF4A64">
          <w:pPr>
            <w:tabs>
              <w:tab w:val="right" w:pos="4273"/>
            </w:tabs>
            <w:rPr>
              <w:rFonts w:ascii="Garamond" w:eastAsia="Calibri" w:hAnsi="Garamond"/>
              <w:sz w:val="16"/>
              <w:szCs w:val="16"/>
              <w:lang w:eastAsia="en-US"/>
            </w:rPr>
          </w:pPr>
        </w:p>
      </w:tc>
      <w:tc>
        <w:tcPr>
          <w:tcW w:w="7087" w:type="dxa"/>
          <w:shd w:val="clear" w:color="auto" w:fill="auto"/>
        </w:tcPr>
        <w:p w14:paraId="4B7762D7" w14:textId="77777777" w:rsidR="005831C3" w:rsidRDefault="005831C3" w:rsidP="005743D2"/>
        <w:tbl>
          <w:tblPr>
            <w:tblStyle w:val="Tablaconcuadrcula"/>
            <w:tblW w:w="6521" w:type="dxa"/>
            <w:tblInd w:w="1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794"/>
          </w:tblGrid>
          <w:tr w:rsidR="005831C3" w14:paraId="3D504A82" w14:textId="77777777" w:rsidTr="009D7477">
            <w:trPr>
              <w:trHeight w:val="144"/>
            </w:trPr>
            <w:tc>
              <w:tcPr>
                <w:tcW w:w="2727" w:type="dxa"/>
              </w:tcPr>
              <w:p w14:paraId="3E17AA26" w14:textId="77777777" w:rsidR="005831C3" w:rsidRPr="00A920AD" w:rsidRDefault="005831C3" w:rsidP="00A920AD">
                <w:pPr>
                  <w:tabs>
                    <w:tab w:val="right" w:pos="8838"/>
                  </w:tabs>
                  <w:spacing w:line="276" w:lineRule="auto"/>
                  <w:ind w:right="-105"/>
                  <w:rPr>
                    <w:rFonts w:ascii="Palatino Linotype" w:eastAsia="Calibri" w:hAnsi="Palatino Linotype" w:cs="Tahoma"/>
                    <w:b/>
                    <w:sz w:val="22"/>
                    <w:szCs w:val="22"/>
                    <w:lang w:val="es-MX" w:eastAsia="en-US"/>
                  </w:rPr>
                </w:pPr>
                <w:r w:rsidRPr="00A920AD">
                  <w:rPr>
                    <w:rFonts w:ascii="Palatino Linotype" w:eastAsia="Calibri" w:hAnsi="Palatino Linotype" w:cs="Tahoma"/>
                    <w:b/>
                    <w:sz w:val="22"/>
                    <w:szCs w:val="22"/>
                    <w:lang w:val="es-MX" w:eastAsia="en-US"/>
                  </w:rPr>
                  <w:t>Recurso de Revisión:</w:t>
                </w:r>
              </w:p>
            </w:tc>
            <w:tc>
              <w:tcPr>
                <w:tcW w:w="3794" w:type="dxa"/>
              </w:tcPr>
              <w:p w14:paraId="2CE737B1" w14:textId="502E7B4A" w:rsidR="005831C3" w:rsidRPr="00A920AD" w:rsidRDefault="005831C3" w:rsidP="00A920AD">
                <w:pPr>
                  <w:tabs>
                    <w:tab w:val="right" w:pos="8838"/>
                  </w:tabs>
                  <w:spacing w:line="276" w:lineRule="auto"/>
                  <w:ind w:left="-28" w:right="171"/>
                  <w:jc w:val="both"/>
                  <w:rPr>
                    <w:rFonts w:ascii="Palatino Linotype" w:eastAsia="Calibri" w:hAnsi="Palatino Linotype" w:cs="Tahoma"/>
                    <w:bCs/>
                    <w:sz w:val="22"/>
                    <w:szCs w:val="22"/>
                    <w:lang w:eastAsia="en-US"/>
                  </w:rPr>
                </w:pPr>
                <w:r w:rsidRPr="009D7477">
                  <w:rPr>
                    <w:rFonts w:ascii="Palatino Linotype" w:eastAsia="Calibri" w:hAnsi="Palatino Linotype" w:cs="Tahoma"/>
                    <w:bCs/>
                    <w:sz w:val="22"/>
                    <w:szCs w:val="22"/>
                    <w:lang w:eastAsia="en-US"/>
                  </w:rPr>
                  <w:t>13016/INFOEM/IP/RR/2022</w:t>
                </w:r>
              </w:p>
            </w:tc>
          </w:tr>
          <w:tr w:rsidR="005831C3" w14:paraId="4271964A" w14:textId="77777777" w:rsidTr="009D7477">
            <w:trPr>
              <w:trHeight w:val="283"/>
            </w:trPr>
            <w:tc>
              <w:tcPr>
                <w:tcW w:w="2727" w:type="dxa"/>
              </w:tcPr>
              <w:p w14:paraId="4C472276" w14:textId="77777777" w:rsidR="005831C3" w:rsidRPr="00A920AD" w:rsidRDefault="005831C3" w:rsidP="00A920AD">
                <w:pPr>
                  <w:tabs>
                    <w:tab w:val="right" w:pos="8838"/>
                  </w:tabs>
                  <w:spacing w:line="276" w:lineRule="auto"/>
                  <w:ind w:right="-105"/>
                  <w:rPr>
                    <w:rFonts w:ascii="Palatino Linotype" w:eastAsia="Calibri" w:hAnsi="Palatino Linotype" w:cs="Tahoma"/>
                    <w:b/>
                    <w:sz w:val="22"/>
                    <w:szCs w:val="22"/>
                    <w:lang w:val="es-MX" w:eastAsia="en-US"/>
                  </w:rPr>
                </w:pPr>
                <w:r w:rsidRPr="00A920AD">
                  <w:rPr>
                    <w:rFonts w:ascii="Palatino Linotype" w:eastAsia="Calibri" w:hAnsi="Palatino Linotype" w:cs="Tahoma"/>
                    <w:b/>
                    <w:sz w:val="22"/>
                    <w:szCs w:val="22"/>
                    <w:lang w:val="es-MX" w:eastAsia="en-US"/>
                  </w:rPr>
                  <w:t>Sujeto Obligado:</w:t>
                </w:r>
              </w:p>
            </w:tc>
            <w:tc>
              <w:tcPr>
                <w:tcW w:w="3794" w:type="dxa"/>
              </w:tcPr>
              <w:p w14:paraId="6001DC69" w14:textId="44E45088" w:rsidR="005831C3" w:rsidRPr="00A920AD" w:rsidRDefault="005831C3" w:rsidP="00A75B53">
                <w:pPr>
                  <w:tabs>
                    <w:tab w:val="left" w:pos="2834"/>
                    <w:tab w:val="right" w:pos="8838"/>
                  </w:tabs>
                  <w:spacing w:line="276" w:lineRule="auto"/>
                  <w:ind w:right="319"/>
                  <w:jc w:val="both"/>
                  <w:rPr>
                    <w:rFonts w:ascii="Palatino Linotype" w:eastAsia="Calibri" w:hAnsi="Palatino Linotype" w:cs="Tahoma"/>
                    <w:b/>
                    <w:sz w:val="22"/>
                    <w:szCs w:val="22"/>
                    <w:lang w:val="es-MX" w:eastAsia="en-US"/>
                  </w:rPr>
                </w:pPr>
                <w:r w:rsidRPr="009D7477">
                  <w:rPr>
                    <w:rFonts w:ascii="Palatino Linotype" w:eastAsia="Calibri" w:hAnsi="Palatino Linotype" w:cs="Tahoma"/>
                    <w:sz w:val="22"/>
                    <w:szCs w:val="22"/>
                    <w:lang w:val="es-MX" w:eastAsia="en-US"/>
                  </w:rPr>
                  <w:t>Ayuntamiento de Aculco</w:t>
                </w:r>
              </w:p>
            </w:tc>
          </w:tr>
          <w:tr w:rsidR="005831C3" w14:paraId="406E8C79" w14:textId="77777777" w:rsidTr="009D7477">
            <w:trPr>
              <w:trHeight w:val="283"/>
            </w:trPr>
            <w:tc>
              <w:tcPr>
                <w:tcW w:w="2727" w:type="dxa"/>
              </w:tcPr>
              <w:p w14:paraId="1A9F6F2D" w14:textId="77777777" w:rsidR="005831C3" w:rsidRPr="00A920AD" w:rsidRDefault="005831C3" w:rsidP="00A920AD">
                <w:pPr>
                  <w:tabs>
                    <w:tab w:val="right" w:pos="8838"/>
                  </w:tabs>
                  <w:spacing w:line="276" w:lineRule="auto"/>
                  <w:ind w:right="-105"/>
                  <w:rPr>
                    <w:rFonts w:ascii="Palatino Linotype" w:eastAsia="Calibri" w:hAnsi="Palatino Linotype" w:cs="Tahoma"/>
                    <w:b/>
                    <w:sz w:val="22"/>
                    <w:szCs w:val="22"/>
                    <w:lang w:val="es-MX" w:eastAsia="en-US"/>
                  </w:rPr>
                </w:pPr>
                <w:r w:rsidRPr="00A920AD">
                  <w:rPr>
                    <w:rFonts w:ascii="Palatino Linotype" w:eastAsia="Calibri" w:hAnsi="Palatino Linotype" w:cs="Tahoma"/>
                    <w:b/>
                    <w:sz w:val="22"/>
                    <w:szCs w:val="22"/>
                    <w:lang w:val="es-MX" w:eastAsia="en-US"/>
                  </w:rPr>
                  <w:t>Comisionado Ponente:</w:t>
                </w:r>
              </w:p>
            </w:tc>
            <w:tc>
              <w:tcPr>
                <w:tcW w:w="3794" w:type="dxa"/>
              </w:tcPr>
              <w:p w14:paraId="770BB61D" w14:textId="77777777" w:rsidR="005831C3" w:rsidRDefault="005831C3" w:rsidP="00A920AD">
                <w:pPr>
                  <w:tabs>
                    <w:tab w:val="right" w:pos="8838"/>
                  </w:tabs>
                  <w:spacing w:line="276" w:lineRule="auto"/>
                  <w:ind w:right="171"/>
                  <w:jc w:val="both"/>
                  <w:rPr>
                    <w:rFonts w:ascii="Palatino Linotype" w:eastAsia="Calibri" w:hAnsi="Palatino Linotype" w:cs="Tahoma"/>
                    <w:sz w:val="22"/>
                    <w:szCs w:val="22"/>
                    <w:lang w:val="es-MX" w:eastAsia="en-US"/>
                  </w:rPr>
                </w:pPr>
                <w:r w:rsidRPr="00A920AD">
                  <w:rPr>
                    <w:rFonts w:ascii="Palatino Linotype" w:eastAsia="Calibri" w:hAnsi="Palatino Linotype" w:cs="Tahoma"/>
                    <w:sz w:val="22"/>
                    <w:szCs w:val="22"/>
                    <w:lang w:val="es-MX" w:eastAsia="en-US"/>
                  </w:rPr>
                  <w:t>Luis Gustavo Parra Noriega</w:t>
                </w:r>
              </w:p>
              <w:p w14:paraId="7178C01A" w14:textId="6F60FE61" w:rsidR="005831C3" w:rsidRPr="00A920AD" w:rsidRDefault="005831C3" w:rsidP="00A920AD">
                <w:pPr>
                  <w:tabs>
                    <w:tab w:val="right" w:pos="8838"/>
                  </w:tabs>
                  <w:spacing w:line="276" w:lineRule="auto"/>
                  <w:ind w:right="171"/>
                  <w:jc w:val="both"/>
                  <w:rPr>
                    <w:rFonts w:ascii="Palatino Linotype" w:eastAsia="Calibri" w:hAnsi="Palatino Linotype" w:cs="Tahoma"/>
                    <w:sz w:val="22"/>
                    <w:szCs w:val="22"/>
                    <w:lang w:val="es-MX" w:eastAsia="en-US"/>
                  </w:rPr>
                </w:pPr>
              </w:p>
            </w:tc>
          </w:tr>
        </w:tbl>
        <w:p w14:paraId="6C0FCE81" w14:textId="77777777" w:rsidR="005831C3" w:rsidRPr="005C106F" w:rsidRDefault="005831C3" w:rsidP="005743D2">
          <w:pPr>
            <w:tabs>
              <w:tab w:val="right" w:pos="8838"/>
            </w:tabs>
            <w:ind w:left="-28"/>
            <w:jc w:val="both"/>
            <w:rPr>
              <w:rFonts w:ascii="Arial" w:eastAsia="Calibri" w:hAnsi="Arial" w:cs="Arial"/>
              <w:b/>
              <w:sz w:val="22"/>
              <w:szCs w:val="22"/>
              <w:lang w:eastAsia="en-US"/>
            </w:rPr>
          </w:pPr>
        </w:p>
      </w:tc>
    </w:tr>
  </w:tbl>
  <w:p w14:paraId="73AF4DC0" w14:textId="144901D4" w:rsidR="005831C3" w:rsidRPr="00443C6B" w:rsidRDefault="00F10A6E" w:rsidP="00EF4A64">
    <w:pPr>
      <w:pStyle w:val="Encabezado"/>
      <w:rPr>
        <w:sz w:val="14"/>
      </w:rPr>
    </w:pPr>
    <w:r>
      <w:rPr>
        <w:noProof/>
        <w:sz w:val="14"/>
      </w:rPr>
      <w:pict w14:anchorId="4FD7E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416252" o:spid="_x0000_s2051" type="#_x0000_t75" style="position:absolute;margin-left:-106.55pt;margin-top:-133.4pt;width:663.5pt;height:12in;z-index:-251656192;mso-position-horizontal-relative:margin;mso-position-vertical-relative:margin" o:allowincell="f">
          <v:imagedata r:id="rId1" o:title="PHOTO-2020-08-13-10-14-3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2127"/>
      <w:gridCol w:w="7229"/>
    </w:tblGrid>
    <w:tr w:rsidR="005831C3" w:rsidRPr="00330DA7" w14:paraId="56A6FEA1" w14:textId="77777777" w:rsidTr="36AAED7B">
      <w:trPr>
        <w:trHeight w:val="1435"/>
      </w:trPr>
      <w:tc>
        <w:tcPr>
          <w:tcW w:w="2127" w:type="dxa"/>
          <w:shd w:val="clear" w:color="auto" w:fill="auto"/>
        </w:tcPr>
        <w:p w14:paraId="68A238F7" w14:textId="77777777" w:rsidR="005831C3" w:rsidRPr="00330DA7" w:rsidRDefault="005831C3" w:rsidP="00DB7E5F">
          <w:pPr>
            <w:tabs>
              <w:tab w:val="right" w:pos="4273"/>
            </w:tabs>
            <w:rPr>
              <w:rFonts w:ascii="Garamond" w:eastAsia="Calibri" w:hAnsi="Garamond"/>
              <w:sz w:val="22"/>
              <w:szCs w:val="22"/>
              <w:lang w:eastAsia="en-US"/>
            </w:rPr>
          </w:pPr>
        </w:p>
      </w:tc>
      <w:tc>
        <w:tcPr>
          <w:tcW w:w="7229" w:type="dxa"/>
          <w:shd w:val="clear" w:color="auto" w:fill="auto"/>
        </w:tcPr>
        <w:p w14:paraId="75A05E8A" w14:textId="77777777" w:rsidR="005831C3" w:rsidRDefault="005831C3"/>
        <w:tbl>
          <w:tblPr>
            <w:tblStyle w:val="Tablaconcuadrcula"/>
            <w:tblW w:w="5244"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2800"/>
          </w:tblGrid>
          <w:tr w:rsidR="005831C3" w:rsidRPr="00330DA7" w14:paraId="5B69F0DA" w14:textId="77777777" w:rsidTr="36AAED7B">
            <w:trPr>
              <w:trHeight w:val="144"/>
            </w:trPr>
            <w:tc>
              <w:tcPr>
                <w:tcW w:w="2444" w:type="dxa"/>
              </w:tcPr>
              <w:p w14:paraId="32705BB6" w14:textId="77777777" w:rsidR="005831C3" w:rsidRPr="00330DA7" w:rsidRDefault="005831C3"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2800" w:type="dxa"/>
              </w:tcPr>
              <w:p w14:paraId="1B7B11E3" w14:textId="2533D104" w:rsidR="005831C3" w:rsidRPr="00330DA7" w:rsidRDefault="005831C3" w:rsidP="00844CB5">
                <w:pPr>
                  <w:tabs>
                    <w:tab w:val="right" w:pos="8838"/>
                  </w:tabs>
                  <w:ind w:left="-74" w:right="-105"/>
                  <w:jc w:val="both"/>
                  <w:rPr>
                    <w:rFonts w:ascii="Palatino Linotype" w:eastAsia="Calibri" w:hAnsi="Palatino Linotype" w:cs="Tahoma"/>
                    <w:bCs/>
                    <w:sz w:val="22"/>
                    <w:szCs w:val="22"/>
                    <w:lang w:eastAsia="en-US"/>
                  </w:rPr>
                </w:pPr>
                <w:r w:rsidRPr="009D7477">
                  <w:rPr>
                    <w:rFonts w:ascii="Palatino Linotype" w:eastAsia="Calibri" w:hAnsi="Palatino Linotype" w:cs="Tahoma"/>
                    <w:bCs/>
                    <w:sz w:val="22"/>
                    <w:szCs w:val="22"/>
                    <w:lang w:eastAsia="en-US"/>
                  </w:rPr>
                  <w:t>13016/INFOEM/IP/RR/2022</w:t>
                </w:r>
              </w:p>
            </w:tc>
          </w:tr>
          <w:tr w:rsidR="005831C3" w:rsidRPr="00330DA7" w14:paraId="6523CC8C" w14:textId="77777777" w:rsidTr="36AAED7B">
            <w:trPr>
              <w:trHeight w:val="144"/>
            </w:trPr>
            <w:tc>
              <w:tcPr>
                <w:tcW w:w="2444" w:type="dxa"/>
              </w:tcPr>
              <w:p w14:paraId="0A49CEAA" w14:textId="77777777" w:rsidR="005831C3" w:rsidRPr="00330DA7" w:rsidRDefault="005831C3"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2800" w:type="dxa"/>
              </w:tcPr>
              <w:p w14:paraId="4C89FFB6" w14:textId="42D5D03A" w:rsidR="005831C3" w:rsidRPr="00330DA7" w:rsidRDefault="36AAED7B" w:rsidP="36AAED7B">
                <w:pPr>
                  <w:tabs>
                    <w:tab w:val="left" w:pos="3122"/>
                    <w:tab w:val="right" w:pos="8838"/>
                  </w:tabs>
                  <w:ind w:left="-74" w:right="-105"/>
                  <w:jc w:val="both"/>
                  <w:rPr>
                    <w:rFonts w:ascii="Palatino Linotype" w:eastAsia="Calibri" w:hAnsi="Palatino Linotype" w:cs="Tahoma"/>
                    <w:sz w:val="22"/>
                    <w:szCs w:val="22"/>
                    <w:highlight w:val="black"/>
                    <w:lang w:val="es-MX" w:eastAsia="en-US"/>
                  </w:rPr>
                </w:pPr>
                <w:r w:rsidRPr="36AAED7B">
                  <w:rPr>
                    <w:rFonts w:ascii="Palatino Linotype" w:eastAsia="Calibri" w:hAnsi="Palatino Linotype" w:cs="Tahoma"/>
                    <w:sz w:val="22"/>
                    <w:szCs w:val="22"/>
                    <w:highlight w:val="black"/>
                    <w:lang w:val="es-MX" w:eastAsia="en-US"/>
                  </w:rPr>
                  <w:t>XXXXXXXXXXXX</w:t>
                </w:r>
              </w:p>
            </w:tc>
          </w:tr>
          <w:tr w:rsidR="005831C3" w:rsidRPr="00330DA7" w14:paraId="12468C58" w14:textId="77777777" w:rsidTr="36AAED7B">
            <w:trPr>
              <w:trHeight w:val="283"/>
            </w:trPr>
            <w:tc>
              <w:tcPr>
                <w:tcW w:w="2444" w:type="dxa"/>
              </w:tcPr>
              <w:p w14:paraId="296AF220" w14:textId="77777777" w:rsidR="005831C3" w:rsidRPr="00330DA7" w:rsidRDefault="005831C3"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2800" w:type="dxa"/>
              </w:tcPr>
              <w:p w14:paraId="06D7723F" w14:textId="335FC009" w:rsidR="005831C3" w:rsidRPr="00330DA7" w:rsidRDefault="005831C3" w:rsidP="00844CB5">
                <w:pPr>
                  <w:tabs>
                    <w:tab w:val="left" w:pos="2834"/>
                    <w:tab w:val="right" w:pos="8838"/>
                  </w:tabs>
                  <w:ind w:left="-74" w:right="-105"/>
                  <w:jc w:val="both"/>
                  <w:rPr>
                    <w:rFonts w:ascii="Palatino Linotype" w:eastAsia="Calibri" w:hAnsi="Palatino Linotype" w:cs="Tahoma"/>
                    <w:b/>
                    <w:sz w:val="22"/>
                    <w:szCs w:val="22"/>
                    <w:lang w:val="es-MX" w:eastAsia="en-US"/>
                  </w:rPr>
                </w:pPr>
                <w:r w:rsidRPr="009D7477">
                  <w:rPr>
                    <w:rFonts w:ascii="Palatino Linotype" w:eastAsia="Calibri" w:hAnsi="Palatino Linotype" w:cs="Tahoma"/>
                    <w:sz w:val="22"/>
                    <w:szCs w:val="22"/>
                    <w:lang w:val="es-MX" w:eastAsia="en-US"/>
                  </w:rPr>
                  <w:t>Ayuntamiento de Aculco</w:t>
                </w:r>
              </w:p>
            </w:tc>
          </w:tr>
          <w:tr w:rsidR="005831C3" w:rsidRPr="00330DA7" w14:paraId="2A6135F2" w14:textId="77777777" w:rsidTr="36AAED7B">
            <w:trPr>
              <w:trHeight w:val="283"/>
            </w:trPr>
            <w:tc>
              <w:tcPr>
                <w:tcW w:w="2444" w:type="dxa"/>
              </w:tcPr>
              <w:p w14:paraId="3782BAF3" w14:textId="77777777" w:rsidR="005831C3" w:rsidRPr="00330DA7" w:rsidRDefault="005831C3"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2800" w:type="dxa"/>
              </w:tcPr>
              <w:p w14:paraId="2D4AD1D9" w14:textId="42D4014E" w:rsidR="005831C3" w:rsidRPr="0090419B" w:rsidRDefault="005831C3" w:rsidP="0090419B">
                <w:pPr>
                  <w:tabs>
                    <w:tab w:val="right" w:pos="8838"/>
                  </w:tabs>
                  <w:ind w:left="-74" w:right="-105"/>
                  <w:jc w:val="both"/>
                  <w:rPr>
                    <w:rFonts w:ascii="Palatino Linotype" w:eastAsia="Calibri" w:hAnsi="Palatino Linotype" w:cs="Tahoma"/>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6E5F3CA9" w14:textId="77777777" w:rsidR="005831C3" w:rsidRPr="00330DA7" w:rsidRDefault="005831C3" w:rsidP="00DB7E5F">
          <w:pPr>
            <w:tabs>
              <w:tab w:val="right" w:pos="8838"/>
            </w:tabs>
            <w:ind w:left="-28"/>
            <w:jc w:val="both"/>
            <w:rPr>
              <w:rFonts w:ascii="Arial" w:eastAsia="Calibri" w:hAnsi="Arial" w:cs="Arial"/>
              <w:b/>
              <w:sz w:val="22"/>
              <w:szCs w:val="22"/>
              <w:lang w:eastAsia="en-US"/>
            </w:rPr>
          </w:pPr>
        </w:p>
      </w:tc>
    </w:tr>
  </w:tbl>
  <w:p w14:paraId="5F833B3B" w14:textId="7189BA97" w:rsidR="005831C3" w:rsidRPr="00330DA7" w:rsidRDefault="00F10A6E" w:rsidP="00B727C5">
    <w:pPr>
      <w:pStyle w:val="Encabezado"/>
      <w:rPr>
        <w:sz w:val="22"/>
        <w:szCs w:val="22"/>
      </w:rPr>
    </w:pPr>
    <w:r>
      <w:rPr>
        <w:noProof/>
        <w:sz w:val="22"/>
        <w:szCs w:val="22"/>
      </w:rPr>
      <w:pict w14:anchorId="4BC83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416250" o:spid="_x0000_s2049" type="#_x0000_t75" style="position:absolute;margin-left:-105.8pt;margin-top:-125.6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BA60E1"/>
    <w:multiLevelType w:val="hybridMultilevel"/>
    <w:tmpl w:val="39E6B736"/>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C73D98"/>
    <w:multiLevelType w:val="hybridMultilevel"/>
    <w:tmpl w:val="584AA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3F3539"/>
    <w:multiLevelType w:val="hybridMultilevel"/>
    <w:tmpl w:val="4D16B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F958E0"/>
    <w:multiLevelType w:val="hybridMultilevel"/>
    <w:tmpl w:val="AC909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8C7DF8"/>
    <w:multiLevelType w:val="hybridMultilevel"/>
    <w:tmpl w:val="BC2ED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ED7307"/>
    <w:multiLevelType w:val="hybridMultilevel"/>
    <w:tmpl w:val="78A869C8"/>
    <w:lvl w:ilvl="0" w:tplc="7AD27094">
      <w:start w:val="1"/>
      <w:numFmt w:val="decimal"/>
      <w:lvlText w:val="%1."/>
      <w:lvlJc w:val="left"/>
      <w:pPr>
        <w:tabs>
          <w:tab w:val="num" w:pos="720"/>
        </w:tabs>
        <w:ind w:left="720" w:hanging="360"/>
      </w:pPr>
      <w:rPr>
        <w:b/>
        <w:lang w:val="es-MX"/>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15:restartNumberingAfterBreak="0">
    <w:nsid w:val="71CA17AA"/>
    <w:multiLevelType w:val="hybridMultilevel"/>
    <w:tmpl w:val="F57C4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7"/>
  </w:num>
  <w:num w:numId="10">
    <w:abstractNumId w:val="4"/>
  </w:num>
  <w:num w:numId="11">
    <w:abstractNumId w:val="2"/>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E2D"/>
    <w:rsid w:val="000016AD"/>
    <w:rsid w:val="000027EB"/>
    <w:rsid w:val="0000485A"/>
    <w:rsid w:val="00006543"/>
    <w:rsid w:val="00011A92"/>
    <w:rsid w:val="00012882"/>
    <w:rsid w:val="0001318A"/>
    <w:rsid w:val="0001398B"/>
    <w:rsid w:val="00013A19"/>
    <w:rsid w:val="00013EF9"/>
    <w:rsid w:val="00014465"/>
    <w:rsid w:val="000148B9"/>
    <w:rsid w:val="000148C3"/>
    <w:rsid w:val="00014B7D"/>
    <w:rsid w:val="00015FB8"/>
    <w:rsid w:val="00017858"/>
    <w:rsid w:val="00017D26"/>
    <w:rsid w:val="00020468"/>
    <w:rsid w:val="00020818"/>
    <w:rsid w:val="000212E5"/>
    <w:rsid w:val="00021A72"/>
    <w:rsid w:val="00021C64"/>
    <w:rsid w:val="00022A04"/>
    <w:rsid w:val="000231B7"/>
    <w:rsid w:val="000237AD"/>
    <w:rsid w:val="00023ACB"/>
    <w:rsid w:val="000241C5"/>
    <w:rsid w:val="00024D74"/>
    <w:rsid w:val="00025AF8"/>
    <w:rsid w:val="00025F5D"/>
    <w:rsid w:val="00026569"/>
    <w:rsid w:val="00026CCA"/>
    <w:rsid w:val="000270B0"/>
    <w:rsid w:val="00030990"/>
    <w:rsid w:val="0003118E"/>
    <w:rsid w:val="000313A7"/>
    <w:rsid w:val="00032F5B"/>
    <w:rsid w:val="00032FEF"/>
    <w:rsid w:val="00034E9D"/>
    <w:rsid w:val="00035D2E"/>
    <w:rsid w:val="00035F9E"/>
    <w:rsid w:val="000372A6"/>
    <w:rsid w:val="000373BC"/>
    <w:rsid w:val="000378BC"/>
    <w:rsid w:val="00037B34"/>
    <w:rsid w:val="00037E5B"/>
    <w:rsid w:val="00037F4B"/>
    <w:rsid w:val="000415F1"/>
    <w:rsid w:val="00043C4B"/>
    <w:rsid w:val="000457B9"/>
    <w:rsid w:val="00045B8C"/>
    <w:rsid w:val="0004646B"/>
    <w:rsid w:val="00047C5D"/>
    <w:rsid w:val="000507B3"/>
    <w:rsid w:val="0005212E"/>
    <w:rsid w:val="000528E6"/>
    <w:rsid w:val="00055BA5"/>
    <w:rsid w:val="0005670F"/>
    <w:rsid w:val="000571D0"/>
    <w:rsid w:val="00057250"/>
    <w:rsid w:val="00057C67"/>
    <w:rsid w:val="0006017B"/>
    <w:rsid w:val="0006107B"/>
    <w:rsid w:val="000613DF"/>
    <w:rsid w:val="00061E4D"/>
    <w:rsid w:val="000620E1"/>
    <w:rsid w:val="000621A4"/>
    <w:rsid w:val="00062BB3"/>
    <w:rsid w:val="0006482B"/>
    <w:rsid w:val="00064855"/>
    <w:rsid w:val="00067980"/>
    <w:rsid w:val="00067BE3"/>
    <w:rsid w:val="00070DEC"/>
    <w:rsid w:val="00071172"/>
    <w:rsid w:val="00071A4A"/>
    <w:rsid w:val="00073489"/>
    <w:rsid w:val="000758B2"/>
    <w:rsid w:val="00075940"/>
    <w:rsid w:val="000774C9"/>
    <w:rsid w:val="00077B74"/>
    <w:rsid w:val="00080105"/>
    <w:rsid w:val="000802C3"/>
    <w:rsid w:val="000802DB"/>
    <w:rsid w:val="00080BA4"/>
    <w:rsid w:val="00080C44"/>
    <w:rsid w:val="000813B0"/>
    <w:rsid w:val="0008148B"/>
    <w:rsid w:val="000818FA"/>
    <w:rsid w:val="00083589"/>
    <w:rsid w:val="00083A00"/>
    <w:rsid w:val="000844A3"/>
    <w:rsid w:val="00084B3D"/>
    <w:rsid w:val="00087216"/>
    <w:rsid w:val="00087BFB"/>
    <w:rsid w:val="000903D4"/>
    <w:rsid w:val="0009161E"/>
    <w:rsid w:val="00091A5D"/>
    <w:rsid w:val="00092475"/>
    <w:rsid w:val="00095310"/>
    <w:rsid w:val="00095C99"/>
    <w:rsid w:val="00096408"/>
    <w:rsid w:val="000967FC"/>
    <w:rsid w:val="00097211"/>
    <w:rsid w:val="000A0006"/>
    <w:rsid w:val="000A0518"/>
    <w:rsid w:val="000A0861"/>
    <w:rsid w:val="000A13C8"/>
    <w:rsid w:val="000A1879"/>
    <w:rsid w:val="000A20A4"/>
    <w:rsid w:val="000A4DC8"/>
    <w:rsid w:val="000A5058"/>
    <w:rsid w:val="000A5A4E"/>
    <w:rsid w:val="000A7211"/>
    <w:rsid w:val="000A776C"/>
    <w:rsid w:val="000B0BC1"/>
    <w:rsid w:val="000B1D37"/>
    <w:rsid w:val="000B2994"/>
    <w:rsid w:val="000B2C93"/>
    <w:rsid w:val="000B36DD"/>
    <w:rsid w:val="000B3953"/>
    <w:rsid w:val="000B4244"/>
    <w:rsid w:val="000B444F"/>
    <w:rsid w:val="000B449E"/>
    <w:rsid w:val="000B5711"/>
    <w:rsid w:val="000B6020"/>
    <w:rsid w:val="000C2283"/>
    <w:rsid w:val="000C27CA"/>
    <w:rsid w:val="000C563E"/>
    <w:rsid w:val="000C56BF"/>
    <w:rsid w:val="000C59CB"/>
    <w:rsid w:val="000C6872"/>
    <w:rsid w:val="000D00D0"/>
    <w:rsid w:val="000D01DC"/>
    <w:rsid w:val="000D0B08"/>
    <w:rsid w:val="000D1997"/>
    <w:rsid w:val="000D1DDF"/>
    <w:rsid w:val="000D2A27"/>
    <w:rsid w:val="000D62EF"/>
    <w:rsid w:val="000D758F"/>
    <w:rsid w:val="000E0BEA"/>
    <w:rsid w:val="000E484A"/>
    <w:rsid w:val="000E55F2"/>
    <w:rsid w:val="000E67B9"/>
    <w:rsid w:val="000E6E8B"/>
    <w:rsid w:val="000F24C8"/>
    <w:rsid w:val="000F2EBF"/>
    <w:rsid w:val="000F3DA0"/>
    <w:rsid w:val="000F4183"/>
    <w:rsid w:val="000F4876"/>
    <w:rsid w:val="000F4B84"/>
    <w:rsid w:val="000F4F79"/>
    <w:rsid w:val="000F555D"/>
    <w:rsid w:val="000F6639"/>
    <w:rsid w:val="000F6834"/>
    <w:rsid w:val="000F68DF"/>
    <w:rsid w:val="000F6D82"/>
    <w:rsid w:val="000F764F"/>
    <w:rsid w:val="000F76AB"/>
    <w:rsid w:val="000F7A45"/>
    <w:rsid w:val="000F7FD8"/>
    <w:rsid w:val="00100BAC"/>
    <w:rsid w:val="00100BF4"/>
    <w:rsid w:val="001017B7"/>
    <w:rsid w:val="001026F0"/>
    <w:rsid w:val="001034C6"/>
    <w:rsid w:val="001049B0"/>
    <w:rsid w:val="00104ADB"/>
    <w:rsid w:val="001057BC"/>
    <w:rsid w:val="00105B12"/>
    <w:rsid w:val="00107D2F"/>
    <w:rsid w:val="001133D5"/>
    <w:rsid w:val="00114068"/>
    <w:rsid w:val="001146EA"/>
    <w:rsid w:val="001150E9"/>
    <w:rsid w:val="00115CBD"/>
    <w:rsid w:val="001160CC"/>
    <w:rsid w:val="001166C8"/>
    <w:rsid w:val="001171BD"/>
    <w:rsid w:val="001221B8"/>
    <w:rsid w:val="00122397"/>
    <w:rsid w:val="001240E9"/>
    <w:rsid w:val="00127757"/>
    <w:rsid w:val="001279BF"/>
    <w:rsid w:val="00132A80"/>
    <w:rsid w:val="00132F95"/>
    <w:rsid w:val="001332F8"/>
    <w:rsid w:val="0013343A"/>
    <w:rsid w:val="001340B7"/>
    <w:rsid w:val="00134409"/>
    <w:rsid w:val="0013647C"/>
    <w:rsid w:val="001367ED"/>
    <w:rsid w:val="0013791C"/>
    <w:rsid w:val="00137B8F"/>
    <w:rsid w:val="00140F2A"/>
    <w:rsid w:val="00141192"/>
    <w:rsid w:val="00141895"/>
    <w:rsid w:val="00141C50"/>
    <w:rsid w:val="0014307A"/>
    <w:rsid w:val="00143C05"/>
    <w:rsid w:val="00144D0B"/>
    <w:rsid w:val="00144E03"/>
    <w:rsid w:val="00145F62"/>
    <w:rsid w:val="001462EB"/>
    <w:rsid w:val="001473A0"/>
    <w:rsid w:val="00147566"/>
    <w:rsid w:val="00147666"/>
    <w:rsid w:val="00147887"/>
    <w:rsid w:val="00150852"/>
    <w:rsid w:val="00150C07"/>
    <w:rsid w:val="00150E21"/>
    <w:rsid w:val="00151053"/>
    <w:rsid w:val="00151C31"/>
    <w:rsid w:val="00151FBB"/>
    <w:rsid w:val="00152719"/>
    <w:rsid w:val="0015381E"/>
    <w:rsid w:val="00154310"/>
    <w:rsid w:val="00155F96"/>
    <w:rsid w:val="00156408"/>
    <w:rsid w:val="00156A6B"/>
    <w:rsid w:val="00161BCA"/>
    <w:rsid w:val="00161DF9"/>
    <w:rsid w:val="00162383"/>
    <w:rsid w:val="0016242A"/>
    <w:rsid w:val="00162CCE"/>
    <w:rsid w:val="00163943"/>
    <w:rsid w:val="00163A96"/>
    <w:rsid w:val="00163C5F"/>
    <w:rsid w:val="00164444"/>
    <w:rsid w:val="00164C2B"/>
    <w:rsid w:val="00164D72"/>
    <w:rsid w:val="00164EFD"/>
    <w:rsid w:val="00165891"/>
    <w:rsid w:val="00165C55"/>
    <w:rsid w:val="0016639C"/>
    <w:rsid w:val="00167134"/>
    <w:rsid w:val="00167184"/>
    <w:rsid w:val="00170545"/>
    <w:rsid w:val="00171ADD"/>
    <w:rsid w:val="00172B4A"/>
    <w:rsid w:val="0017459B"/>
    <w:rsid w:val="00174E87"/>
    <w:rsid w:val="00175125"/>
    <w:rsid w:val="00175CEB"/>
    <w:rsid w:val="00176367"/>
    <w:rsid w:val="00176D88"/>
    <w:rsid w:val="00182D6C"/>
    <w:rsid w:val="00182DCE"/>
    <w:rsid w:val="00182F0F"/>
    <w:rsid w:val="00183639"/>
    <w:rsid w:val="00183D24"/>
    <w:rsid w:val="001851A6"/>
    <w:rsid w:val="001874BE"/>
    <w:rsid w:val="001875A7"/>
    <w:rsid w:val="001879E1"/>
    <w:rsid w:val="0019015D"/>
    <w:rsid w:val="0019081D"/>
    <w:rsid w:val="001937B9"/>
    <w:rsid w:val="0019389B"/>
    <w:rsid w:val="001938F9"/>
    <w:rsid w:val="00193950"/>
    <w:rsid w:val="00193A94"/>
    <w:rsid w:val="00194417"/>
    <w:rsid w:val="00194F95"/>
    <w:rsid w:val="00196522"/>
    <w:rsid w:val="00196B82"/>
    <w:rsid w:val="0019729D"/>
    <w:rsid w:val="00197F06"/>
    <w:rsid w:val="001A1B94"/>
    <w:rsid w:val="001A22F5"/>
    <w:rsid w:val="001A3124"/>
    <w:rsid w:val="001A4B83"/>
    <w:rsid w:val="001A7FD2"/>
    <w:rsid w:val="001B0B2B"/>
    <w:rsid w:val="001B107D"/>
    <w:rsid w:val="001B1D04"/>
    <w:rsid w:val="001B2CD9"/>
    <w:rsid w:val="001B2E2A"/>
    <w:rsid w:val="001B34AD"/>
    <w:rsid w:val="001B38FF"/>
    <w:rsid w:val="001B3EB6"/>
    <w:rsid w:val="001B4451"/>
    <w:rsid w:val="001B62A0"/>
    <w:rsid w:val="001B7A08"/>
    <w:rsid w:val="001C17B0"/>
    <w:rsid w:val="001C282F"/>
    <w:rsid w:val="001C3829"/>
    <w:rsid w:val="001C471C"/>
    <w:rsid w:val="001C6723"/>
    <w:rsid w:val="001C6970"/>
    <w:rsid w:val="001D0086"/>
    <w:rsid w:val="001D0094"/>
    <w:rsid w:val="001D08EA"/>
    <w:rsid w:val="001D1A33"/>
    <w:rsid w:val="001D281D"/>
    <w:rsid w:val="001D503B"/>
    <w:rsid w:val="001D67AC"/>
    <w:rsid w:val="001D7012"/>
    <w:rsid w:val="001D71B9"/>
    <w:rsid w:val="001D7BD2"/>
    <w:rsid w:val="001E22B3"/>
    <w:rsid w:val="001E2A4D"/>
    <w:rsid w:val="001E37A6"/>
    <w:rsid w:val="001E53C2"/>
    <w:rsid w:val="001E5A07"/>
    <w:rsid w:val="001E6FC5"/>
    <w:rsid w:val="001F017F"/>
    <w:rsid w:val="001F0E9C"/>
    <w:rsid w:val="001F0EB8"/>
    <w:rsid w:val="001F1540"/>
    <w:rsid w:val="001F3922"/>
    <w:rsid w:val="001F3B39"/>
    <w:rsid w:val="001F4CC6"/>
    <w:rsid w:val="001F5AEF"/>
    <w:rsid w:val="001F652C"/>
    <w:rsid w:val="001F67A5"/>
    <w:rsid w:val="001F698C"/>
    <w:rsid w:val="001F6AC4"/>
    <w:rsid w:val="001F78D9"/>
    <w:rsid w:val="00200DA2"/>
    <w:rsid w:val="002011D4"/>
    <w:rsid w:val="00201241"/>
    <w:rsid w:val="00202C02"/>
    <w:rsid w:val="00202DB8"/>
    <w:rsid w:val="0020444D"/>
    <w:rsid w:val="002050B4"/>
    <w:rsid w:val="002058B4"/>
    <w:rsid w:val="002060B4"/>
    <w:rsid w:val="00206944"/>
    <w:rsid w:val="002073E6"/>
    <w:rsid w:val="002074DF"/>
    <w:rsid w:val="00207736"/>
    <w:rsid w:val="00207876"/>
    <w:rsid w:val="00210A2E"/>
    <w:rsid w:val="00210A50"/>
    <w:rsid w:val="00212460"/>
    <w:rsid w:val="0021250A"/>
    <w:rsid w:val="00213D68"/>
    <w:rsid w:val="00215838"/>
    <w:rsid w:val="00215D0D"/>
    <w:rsid w:val="00216C7E"/>
    <w:rsid w:val="00217AEF"/>
    <w:rsid w:val="00217BBE"/>
    <w:rsid w:val="00217E2B"/>
    <w:rsid w:val="00220198"/>
    <w:rsid w:val="002201C0"/>
    <w:rsid w:val="00220A23"/>
    <w:rsid w:val="00221EC9"/>
    <w:rsid w:val="00222731"/>
    <w:rsid w:val="00223818"/>
    <w:rsid w:val="00223C6D"/>
    <w:rsid w:val="00223ECD"/>
    <w:rsid w:val="002241A6"/>
    <w:rsid w:val="002241E8"/>
    <w:rsid w:val="00224774"/>
    <w:rsid w:val="002247B0"/>
    <w:rsid w:val="00224F7A"/>
    <w:rsid w:val="00225152"/>
    <w:rsid w:val="00230E81"/>
    <w:rsid w:val="00232673"/>
    <w:rsid w:val="002328C4"/>
    <w:rsid w:val="00232BF5"/>
    <w:rsid w:val="002335AB"/>
    <w:rsid w:val="00236863"/>
    <w:rsid w:val="00237C1F"/>
    <w:rsid w:val="00237D0D"/>
    <w:rsid w:val="00241116"/>
    <w:rsid w:val="00241A78"/>
    <w:rsid w:val="00242F00"/>
    <w:rsid w:val="002433A4"/>
    <w:rsid w:val="002435DC"/>
    <w:rsid w:val="002440F4"/>
    <w:rsid w:val="002462FD"/>
    <w:rsid w:val="00246501"/>
    <w:rsid w:val="00247B17"/>
    <w:rsid w:val="0025000C"/>
    <w:rsid w:val="00250382"/>
    <w:rsid w:val="00250389"/>
    <w:rsid w:val="00251FF7"/>
    <w:rsid w:val="00252669"/>
    <w:rsid w:val="0025413C"/>
    <w:rsid w:val="00254209"/>
    <w:rsid w:val="00254288"/>
    <w:rsid w:val="0025469C"/>
    <w:rsid w:val="0025526E"/>
    <w:rsid w:val="00256E5E"/>
    <w:rsid w:val="00257152"/>
    <w:rsid w:val="002579CE"/>
    <w:rsid w:val="002605A0"/>
    <w:rsid w:val="00260851"/>
    <w:rsid w:val="00260FEC"/>
    <w:rsid w:val="00261DD6"/>
    <w:rsid w:val="00264EA3"/>
    <w:rsid w:val="00265150"/>
    <w:rsid w:val="002657E2"/>
    <w:rsid w:val="002717EA"/>
    <w:rsid w:val="00271E0B"/>
    <w:rsid w:val="0027219B"/>
    <w:rsid w:val="002727CC"/>
    <w:rsid w:val="00273656"/>
    <w:rsid w:val="00273679"/>
    <w:rsid w:val="0027393F"/>
    <w:rsid w:val="00273AE8"/>
    <w:rsid w:val="00273D20"/>
    <w:rsid w:val="00273E4F"/>
    <w:rsid w:val="00274621"/>
    <w:rsid w:val="0027499F"/>
    <w:rsid w:val="00274DB6"/>
    <w:rsid w:val="0027547D"/>
    <w:rsid w:val="00275CC4"/>
    <w:rsid w:val="002760D8"/>
    <w:rsid w:val="00276DD0"/>
    <w:rsid w:val="00277B5F"/>
    <w:rsid w:val="00280998"/>
    <w:rsid w:val="00281A35"/>
    <w:rsid w:val="00281AD9"/>
    <w:rsid w:val="002829B0"/>
    <w:rsid w:val="00282F1C"/>
    <w:rsid w:val="00283814"/>
    <w:rsid w:val="00284486"/>
    <w:rsid w:val="002849C9"/>
    <w:rsid w:val="00285118"/>
    <w:rsid w:val="00285644"/>
    <w:rsid w:val="00285780"/>
    <w:rsid w:val="0028581E"/>
    <w:rsid w:val="0028646B"/>
    <w:rsid w:val="00286A64"/>
    <w:rsid w:val="00286D40"/>
    <w:rsid w:val="00287034"/>
    <w:rsid w:val="0028761D"/>
    <w:rsid w:val="002916B7"/>
    <w:rsid w:val="002916E0"/>
    <w:rsid w:val="002917E2"/>
    <w:rsid w:val="0029344F"/>
    <w:rsid w:val="00293491"/>
    <w:rsid w:val="00293908"/>
    <w:rsid w:val="00293BA5"/>
    <w:rsid w:val="00295A3A"/>
    <w:rsid w:val="00295F1E"/>
    <w:rsid w:val="00295F53"/>
    <w:rsid w:val="002A0C9F"/>
    <w:rsid w:val="002A0FB8"/>
    <w:rsid w:val="002A1B97"/>
    <w:rsid w:val="002A21B5"/>
    <w:rsid w:val="002A3A82"/>
    <w:rsid w:val="002A4F45"/>
    <w:rsid w:val="002A57D2"/>
    <w:rsid w:val="002A5DA0"/>
    <w:rsid w:val="002A60AE"/>
    <w:rsid w:val="002A6193"/>
    <w:rsid w:val="002A66CD"/>
    <w:rsid w:val="002A7BD4"/>
    <w:rsid w:val="002A7F32"/>
    <w:rsid w:val="002B03E7"/>
    <w:rsid w:val="002B152D"/>
    <w:rsid w:val="002B1BCD"/>
    <w:rsid w:val="002B1E0B"/>
    <w:rsid w:val="002B20A1"/>
    <w:rsid w:val="002B226E"/>
    <w:rsid w:val="002B4018"/>
    <w:rsid w:val="002B4558"/>
    <w:rsid w:val="002B46D4"/>
    <w:rsid w:val="002B54CF"/>
    <w:rsid w:val="002B68EA"/>
    <w:rsid w:val="002C06E4"/>
    <w:rsid w:val="002C09F5"/>
    <w:rsid w:val="002C3467"/>
    <w:rsid w:val="002C39A4"/>
    <w:rsid w:val="002C4046"/>
    <w:rsid w:val="002C458A"/>
    <w:rsid w:val="002C49DC"/>
    <w:rsid w:val="002C500F"/>
    <w:rsid w:val="002C7FD6"/>
    <w:rsid w:val="002D0B3C"/>
    <w:rsid w:val="002D0FF9"/>
    <w:rsid w:val="002D1BE4"/>
    <w:rsid w:val="002D1D6C"/>
    <w:rsid w:val="002D2048"/>
    <w:rsid w:val="002D2235"/>
    <w:rsid w:val="002D58DA"/>
    <w:rsid w:val="002D7BA8"/>
    <w:rsid w:val="002D7D58"/>
    <w:rsid w:val="002E0130"/>
    <w:rsid w:val="002E0E01"/>
    <w:rsid w:val="002E0E9C"/>
    <w:rsid w:val="002E2418"/>
    <w:rsid w:val="002E28C7"/>
    <w:rsid w:val="002E35A5"/>
    <w:rsid w:val="002E3DAB"/>
    <w:rsid w:val="002E5015"/>
    <w:rsid w:val="002E6922"/>
    <w:rsid w:val="002E7442"/>
    <w:rsid w:val="002E79CF"/>
    <w:rsid w:val="002E7ACF"/>
    <w:rsid w:val="002F0638"/>
    <w:rsid w:val="002F0C1A"/>
    <w:rsid w:val="002F0CE9"/>
    <w:rsid w:val="002F16C1"/>
    <w:rsid w:val="002F3BD0"/>
    <w:rsid w:val="002F5373"/>
    <w:rsid w:val="002F58D8"/>
    <w:rsid w:val="002F5C4B"/>
    <w:rsid w:val="002F5E85"/>
    <w:rsid w:val="002F623F"/>
    <w:rsid w:val="002F7FB0"/>
    <w:rsid w:val="0030032A"/>
    <w:rsid w:val="0030058C"/>
    <w:rsid w:val="00300A0B"/>
    <w:rsid w:val="00300A39"/>
    <w:rsid w:val="00301F46"/>
    <w:rsid w:val="003034AB"/>
    <w:rsid w:val="00303CAD"/>
    <w:rsid w:val="00303E71"/>
    <w:rsid w:val="0030416A"/>
    <w:rsid w:val="003047C6"/>
    <w:rsid w:val="00304E7C"/>
    <w:rsid w:val="00305688"/>
    <w:rsid w:val="00305B33"/>
    <w:rsid w:val="00306418"/>
    <w:rsid w:val="0030688C"/>
    <w:rsid w:val="003100F3"/>
    <w:rsid w:val="003102B3"/>
    <w:rsid w:val="00310C11"/>
    <w:rsid w:val="0031127D"/>
    <w:rsid w:val="00311C33"/>
    <w:rsid w:val="00311D8B"/>
    <w:rsid w:val="00312042"/>
    <w:rsid w:val="00312456"/>
    <w:rsid w:val="00312B7D"/>
    <w:rsid w:val="0031312D"/>
    <w:rsid w:val="00314030"/>
    <w:rsid w:val="00315F31"/>
    <w:rsid w:val="00316528"/>
    <w:rsid w:val="00316600"/>
    <w:rsid w:val="00316D5E"/>
    <w:rsid w:val="003172EC"/>
    <w:rsid w:val="00320B8E"/>
    <w:rsid w:val="00320C81"/>
    <w:rsid w:val="0032170B"/>
    <w:rsid w:val="00323325"/>
    <w:rsid w:val="003243B0"/>
    <w:rsid w:val="00325EC0"/>
    <w:rsid w:val="00327017"/>
    <w:rsid w:val="0032702D"/>
    <w:rsid w:val="003305E8"/>
    <w:rsid w:val="00330729"/>
    <w:rsid w:val="00330DA7"/>
    <w:rsid w:val="003319FF"/>
    <w:rsid w:val="00332012"/>
    <w:rsid w:val="00332F65"/>
    <w:rsid w:val="003340EC"/>
    <w:rsid w:val="003350FF"/>
    <w:rsid w:val="003367D3"/>
    <w:rsid w:val="003370AE"/>
    <w:rsid w:val="00337C58"/>
    <w:rsid w:val="0034057C"/>
    <w:rsid w:val="00342AF6"/>
    <w:rsid w:val="003444A9"/>
    <w:rsid w:val="003446B6"/>
    <w:rsid w:val="00350142"/>
    <w:rsid w:val="00350539"/>
    <w:rsid w:val="00350D3D"/>
    <w:rsid w:val="00352AC6"/>
    <w:rsid w:val="00352BD3"/>
    <w:rsid w:val="00353B6D"/>
    <w:rsid w:val="00353F6B"/>
    <w:rsid w:val="003548CF"/>
    <w:rsid w:val="00354920"/>
    <w:rsid w:val="00355DC6"/>
    <w:rsid w:val="00357700"/>
    <w:rsid w:val="00357E00"/>
    <w:rsid w:val="003604D7"/>
    <w:rsid w:val="00360B2A"/>
    <w:rsid w:val="00361176"/>
    <w:rsid w:val="0036164E"/>
    <w:rsid w:val="0036351E"/>
    <w:rsid w:val="00363615"/>
    <w:rsid w:val="003638C4"/>
    <w:rsid w:val="00364521"/>
    <w:rsid w:val="003645AF"/>
    <w:rsid w:val="00365026"/>
    <w:rsid w:val="00367C61"/>
    <w:rsid w:val="00367F82"/>
    <w:rsid w:val="00367FCE"/>
    <w:rsid w:val="00370CB0"/>
    <w:rsid w:val="00370DDF"/>
    <w:rsid w:val="00372803"/>
    <w:rsid w:val="00372DBA"/>
    <w:rsid w:val="00373387"/>
    <w:rsid w:val="003749EC"/>
    <w:rsid w:val="003756AF"/>
    <w:rsid w:val="00375815"/>
    <w:rsid w:val="00375D7D"/>
    <w:rsid w:val="00380441"/>
    <w:rsid w:val="00380ADC"/>
    <w:rsid w:val="00381447"/>
    <w:rsid w:val="0038168C"/>
    <w:rsid w:val="00382696"/>
    <w:rsid w:val="0038290F"/>
    <w:rsid w:val="0038358D"/>
    <w:rsid w:val="0038438A"/>
    <w:rsid w:val="003843E9"/>
    <w:rsid w:val="00384485"/>
    <w:rsid w:val="00385943"/>
    <w:rsid w:val="00386279"/>
    <w:rsid w:val="003864D2"/>
    <w:rsid w:val="00387141"/>
    <w:rsid w:val="00387694"/>
    <w:rsid w:val="00387FE7"/>
    <w:rsid w:val="00390249"/>
    <w:rsid w:val="00390BF8"/>
    <w:rsid w:val="0039109D"/>
    <w:rsid w:val="003923D6"/>
    <w:rsid w:val="00392877"/>
    <w:rsid w:val="00392E12"/>
    <w:rsid w:val="00393056"/>
    <w:rsid w:val="00394D7E"/>
    <w:rsid w:val="00394E66"/>
    <w:rsid w:val="003956E9"/>
    <w:rsid w:val="003961D3"/>
    <w:rsid w:val="003965EC"/>
    <w:rsid w:val="00396BA0"/>
    <w:rsid w:val="003A0BFD"/>
    <w:rsid w:val="003A0E17"/>
    <w:rsid w:val="003A1568"/>
    <w:rsid w:val="003A1AF3"/>
    <w:rsid w:val="003A1F1C"/>
    <w:rsid w:val="003A24F5"/>
    <w:rsid w:val="003A357E"/>
    <w:rsid w:val="003A6E62"/>
    <w:rsid w:val="003A78B5"/>
    <w:rsid w:val="003A7BE8"/>
    <w:rsid w:val="003A7C85"/>
    <w:rsid w:val="003A7FBE"/>
    <w:rsid w:val="003B0A05"/>
    <w:rsid w:val="003B0D09"/>
    <w:rsid w:val="003B165A"/>
    <w:rsid w:val="003B1A7B"/>
    <w:rsid w:val="003B1AFD"/>
    <w:rsid w:val="003B2140"/>
    <w:rsid w:val="003B24A3"/>
    <w:rsid w:val="003B2B61"/>
    <w:rsid w:val="003B3D1D"/>
    <w:rsid w:val="003B50FB"/>
    <w:rsid w:val="003B53BF"/>
    <w:rsid w:val="003B5AD4"/>
    <w:rsid w:val="003B5D41"/>
    <w:rsid w:val="003B6BEF"/>
    <w:rsid w:val="003B7EC1"/>
    <w:rsid w:val="003C0AFA"/>
    <w:rsid w:val="003C12CD"/>
    <w:rsid w:val="003C15CD"/>
    <w:rsid w:val="003C1821"/>
    <w:rsid w:val="003C1B21"/>
    <w:rsid w:val="003C28B8"/>
    <w:rsid w:val="003C299B"/>
    <w:rsid w:val="003C475E"/>
    <w:rsid w:val="003C5C01"/>
    <w:rsid w:val="003C5D5C"/>
    <w:rsid w:val="003C6934"/>
    <w:rsid w:val="003C7AE9"/>
    <w:rsid w:val="003C7FD0"/>
    <w:rsid w:val="003D0268"/>
    <w:rsid w:val="003D09C3"/>
    <w:rsid w:val="003D1070"/>
    <w:rsid w:val="003D1590"/>
    <w:rsid w:val="003D1A43"/>
    <w:rsid w:val="003D1A64"/>
    <w:rsid w:val="003D212C"/>
    <w:rsid w:val="003D23BA"/>
    <w:rsid w:val="003D2BA5"/>
    <w:rsid w:val="003D4AFD"/>
    <w:rsid w:val="003D5D84"/>
    <w:rsid w:val="003D5FF4"/>
    <w:rsid w:val="003D624F"/>
    <w:rsid w:val="003D75E8"/>
    <w:rsid w:val="003D79D0"/>
    <w:rsid w:val="003E08C6"/>
    <w:rsid w:val="003E2F62"/>
    <w:rsid w:val="003E31E5"/>
    <w:rsid w:val="003E32ED"/>
    <w:rsid w:val="003E3A39"/>
    <w:rsid w:val="003E3B3A"/>
    <w:rsid w:val="003E5327"/>
    <w:rsid w:val="003E58C9"/>
    <w:rsid w:val="003E601E"/>
    <w:rsid w:val="003E68B5"/>
    <w:rsid w:val="003F0A0B"/>
    <w:rsid w:val="003F0DFC"/>
    <w:rsid w:val="003F2343"/>
    <w:rsid w:val="003F30D1"/>
    <w:rsid w:val="003F32E5"/>
    <w:rsid w:val="003F3A2F"/>
    <w:rsid w:val="003F43E4"/>
    <w:rsid w:val="003F4598"/>
    <w:rsid w:val="003F50F1"/>
    <w:rsid w:val="003F650B"/>
    <w:rsid w:val="004004E9"/>
    <w:rsid w:val="00401781"/>
    <w:rsid w:val="004021DB"/>
    <w:rsid w:val="0040362D"/>
    <w:rsid w:val="00403CFA"/>
    <w:rsid w:val="00404A85"/>
    <w:rsid w:val="004052C5"/>
    <w:rsid w:val="004059FB"/>
    <w:rsid w:val="0040704E"/>
    <w:rsid w:val="0040775A"/>
    <w:rsid w:val="00407A93"/>
    <w:rsid w:val="00410051"/>
    <w:rsid w:val="004100AA"/>
    <w:rsid w:val="00410CD2"/>
    <w:rsid w:val="00412203"/>
    <w:rsid w:val="00413C23"/>
    <w:rsid w:val="004140AB"/>
    <w:rsid w:val="004141B7"/>
    <w:rsid w:val="0041473D"/>
    <w:rsid w:val="00414F9B"/>
    <w:rsid w:val="0041573D"/>
    <w:rsid w:val="004159E2"/>
    <w:rsid w:val="0041623E"/>
    <w:rsid w:val="00416BB9"/>
    <w:rsid w:val="00417DE3"/>
    <w:rsid w:val="00420B07"/>
    <w:rsid w:val="00421E7A"/>
    <w:rsid w:val="004220FE"/>
    <w:rsid w:val="004225E1"/>
    <w:rsid w:val="00422869"/>
    <w:rsid w:val="0042291F"/>
    <w:rsid w:val="00422E63"/>
    <w:rsid w:val="00423AAD"/>
    <w:rsid w:val="00423D2F"/>
    <w:rsid w:val="00423F48"/>
    <w:rsid w:val="00424545"/>
    <w:rsid w:val="00424AE6"/>
    <w:rsid w:val="00425BA6"/>
    <w:rsid w:val="00426092"/>
    <w:rsid w:val="00426448"/>
    <w:rsid w:val="00426613"/>
    <w:rsid w:val="00426919"/>
    <w:rsid w:val="00426ABC"/>
    <w:rsid w:val="00427457"/>
    <w:rsid w:val="004276AC"/>
    <w:rsid w:val="004314B6"/>
    <w:rsid w:val="004314D9"/>
    <w:rsid w:val="004317D2"/>
    <w:rsid w:val="00431A83"/>
    <w:rsid w:val="004321C5"/>
    <w:rsid w:val="0043257A"/>
    <w:rsid w:val="004339FC"/>
    <w:rsid w:val="00434202"/>
    <w:rsid w:val="0043605F"/>
    <w:rsid w:val="0043686C"/>
    <w:rsid w:val="00436AE1"/>
    <w:rsid w:val="00436FD3"/>
    <w:rsid w:val="004406CF"/>
    <w:rsid w:val="0044087C"/>
    <w:rsid w:val="004416D9"/>
    <w:rsid w:val="00441804"/>
    <w:rsid w:val="00441CA0"/>
    <w:rsid w:val="004435B4"/>
    <w:rsid w:val="00444BA0"/>
    <w:rsid w:val="0044550A"/>
    <w:rsid w:val="00447E1E"/>
    <w:rsid w:val="00447F7D"/>
    <w:rsid w:val="004522B5"/>
    <w:rsid w:val="004530A4"/>
    <w:rsid w:val="00453416"/>
    <w:rsid w:val="00453730"/>
    <w:rsid w:val="0045579F"/>
    <w:rsid w:val="00456C6E"/>
    <w:rsid w:val="004579C8"/>
    <w:rsid w:val="00460032"/>
    <w:rsid w:val="0046048A"/>
    <w:rsid w:val="00461B56"/>
    <w:rsid w:val="004631ED"/>
    <w:rsid w:val="0046432F"/>
    <w:rsid w:val="0046463C"/>
    <w:rsid w:val="004647FF"/>
    <w:rsid w:val="00464900"/>
    <w:rsid w:val="00466346"/>
    <w:rsid w:val="00467658"/>
    <w:rsid w:val="004702B0"/>
    <w:rsid w:val="004703D9"/>
    <w:rsid w:val="0047093E"/>
    <w:rsid w:val="00470DD0"/>
    <w:rsid w:val="004722F9"/>
    <w:rsid w:val="0047331C"/>
    <w:rsid w:val="004751D6"/>
    <w:rsid w:val="00475E6B"/>
    <w:rsid w:val="004762EB"/>
    <w:rsid w:val="004776B3"/>
    <w:rsid w:val="00477DBA"/>
    <w:rsid w:val="00477E20"/>
    <w:rsid w:val="004806D9"/>
    <w:rsid w:val="00480BB8"/>
    <w:rsid w:val="00481D51"/>
    <w:rsid w:val="004841E6"/>
    <w:rsid w:val="0048519E"/>
    <w:rsid w:val="00485EC7"/>
    <w:rsid w:val="004860BD"/>
    <w:rsid w:val="004869D2"/>
    <w:rsid w:val="00487192"/>
    <w:rsid w:val="00487430"/>
    <w:rsid w:val="0048757F"/>
    <w:rsid w:val="004910A8"/>
    <w:rsid w:val="0049184E"/>
    <w:rsid w:val="00495555"/>
    <w:rsid w:val="00496F96"/>
    <w:rsid w:val="004A0A7B"/>
    <w:rsid w:val="004A0BB0"/>
    <w:rsid w:val="004A24D4"/>
    <w:rsid w:val="004A260B"/>
    <w:rsid w:val="004A26CD"/>
    <w:rsid w:val="004A2C97"/>
    <w:rsid w:val="004A3335"/>
    <w:rsid w:val="004A3584"/>
    <w:rsid w:val="004A359D"/>
    <w:rsid w:val="004A3E2E"/>
    <w:rsid w:val="004A466C"/>
    <w:rsid w:val="004A5121"/>
    <w:rsid w:val="004A54BF"/>
    <w:rsid w:val="004A5691"/>
    <w:rsid w:val="004A577A"/>
    <w:rsid w:val="004A5780"/>
    <w:rsid w:val="004A6ECB"/>
    <w:rsid w:val="004A7990"/>
    <w:rsid w:val="004B1796"/>
    <w:rsid w:val="004B4D53"/>
    <w:rsid w:val="004B591D"/>
    <w:rsid w:val="004B7542"/>
    <w:rsid w:val="004B769A"/>
    <w:rsid w:val="004B7DB2"/>
    <w:rsid w:val="004B7E2D"/>
    <w:rsid w:val="004C14AC"/>
    <w:rsid w:val="004C28E4"/>
    <w:rsid w:val="004C4839"/>
    <w:rsid w:val="004C4ACC"/>
    <w:rsid w:val="004C5096"/>
    <w:rsid w:val="004C6F68"/>
    <w:rsid w:val="004C7E83"/>
    <w:rsid w:val="004D12FE"/>
    <w:rsid w:val="004D1761"/>
    <w:rsid w:val="004D275F"/>
    <w:rsid w:val="004D2B43"/>
    <w:rsid w:val="004D3A06"/>
    <w:rsid w:val="004D3BDC"/>
    <w:rsid w:val="004D5606"/>
    <w:rsid w:val="004D566B"/>
    <w:rsid w:val="004D5758"/>
    <w:rsid w:val="004D583C"/>
    <w:rsid w:val="004D5DB3"/>
    <w:rsid w:val="004D6371"/>
    <w:rsid w:val="004D70B8"/>
    <w:rsid w:val="004D7C2B"/>
    <w:rsid w:val="004E0D6F"/>
    <w:rsid w:val="004E0DE5"/>
    <w:rsid w:val="004E1498"/>
    <w:rsid w:val="004E14E3"/>
    <w:rsid w:val="004E2FC6"/>
    <w:rsid w:val="004E345F"/>
    <w:rsid w:val="004E3BBA"/>
    <w:rsid w:val="004E401B"/>
    <w:rsid w:val="004E41C7"/>
    <w:rsid w:val="004E557C"/>
    <w:rsid w:val="004E73B2"/>
    <w:rsid w:val="004E7DB7"/>
    <w:rsid w:val="004F1390"/>
    <w:rsid w:val="004F2AC0"/>
    <w:rsid w:val="004F2C63"/>
    <w:rsid w:val="004F2D88"/>
    <w:rsid w:val="004F2E4B"/>
    <w:rsid w:val="004F3D21"/>
    <w:rsid w:val="004F3F75"/>
    <w:rsid w:val="004F60EF"/>
    <w:rsid w:val="004F79A0"/>
    <w:rsid w:val="00502827"/>
    <w:rsid w:val="00502CE0"/>
    <w:rsid w:val="00503148"/>
    <w:rsid w:val="00503BDF"/>
    <w:rsid w:val="00504AED"/>
    <w:rsid w:val="00505869"/>
    <w:rsid w:val="005059F3"/>
    <w:rsid w:val="00506F53"/>
    <w:rsid w:val="005070C3"/>
    <w:rsid w:val="005104C3"/>
    <w:rsid w:val="00512551"/>
    <w:rsid w:val="0051276F"/>
    <w:rsid w:val="005130AC"/>
    <w:rsid w:val="00514071"/>
    <w:rsid w:val="00514EB6"/>
    <w:rsid w:val="005166B5"/>
    <w:rsid w:val="00517705"/>
    <w:rsid w:val="005220BE"/>
    <w:rsid w:val="005228ED"/>
    <w:rsid w:val="00526050"/>
    <w:rsid w:val="00526575"/>
    <w:rsid w:val="00527863"/>
    <w:rsid w:val="0053306F"/>
    <w:rsid w:val="00533B79"/>
    <w:rsid w:val="00533FD4"/>
    <w:rsid w:val="00534258"/>
    <w:rsid w:val="005348FA"/>
    <w:rsid w:val="00534E52"/>
    <w:rsid w:val="00536006"/>
    <w:rsid w:val="005370C9"/>
    <w:rsid w:val="00537FDB"/>
    <w:rsid w:val="00541570"/>
    <w:rsid w:val="00541B6B"/>
    <w:rsid w:val="005420B4"/>
    <w:rsid w:val="00542A8B"/>
    <w:rsid w:val="00542D5F"/>
    <w:rsid w:val="005435DE"/>
    <w:rsid w:val="00543AD3"/>
    <w:rsid w:val="005441AD"/>
    <w:rsid w:val="00544C28"/>
    <w:rsid w:val="00545297"/>
    <w:rsid w:val="005462E1"/>
    <w:rsid w:val="00546769"/>
    <w:rsid w:val="00546BAE"/>
    <w:rsid w:val="00546C4E"/>
    <w:rsid w:val="00550721"/>
    <w:rsid w:val="00552EBD"/>
    <w:rsid w:val="00553827"/>
    <w:rsid w:val="005545C0"/>
    <w:rsid w:val="00554C80"/>
    <w:rsid w:val="005552AB"/>
    <w:rsid w:val="00555795"/>
    <w:rsid w:val="00555F71"/>
    <w:rsid w:val="00557191"/>
    <w:rsid w:val="005577A9"/>
    <w:rsid w:val="00560162"/>
    <w:rsid w:val="00560635"/>
    <w:rsid w:val="005621BC"/>
    <w:rsid w:val="0056222B"/>
    <w:rsid w:val="00563BEB"/>
    <w:rsid w:val="00565584"/>
    <w:rsid w:val="00566186"/>
    <w:rsid w:val="00566849"/>
    <w:rsid w:val="00570981"/>
    <w:rsid w:val="00571012"/>
    <w:rsid w:val="005740F6"/>
    <w:rsid w:val="005743D2"/>
    <w:rsid w:val="00575905"/>
    <w:rsid w:val="005802BD"/>
    <w:rsid w:val="00580BBC"/>
    <w:rsid w:val="005814B9"/>
    <w:rsid w:val="00582D9A"/>
    <w:rsid w:val="005831C3"/>
    <w:rsid w:val="005834ED"/>
    <w:rsid w:val="00583F23"/>
    <w:rsid w:val="00584916"/>
    <w:rsid w:val="00586FA8"/>
    <w:rsid w:val="005877D2"/>
    <w:rsid w:val="00587F23"/>
    <w:rsid w:val="0059020C"/>
    <w:rsid w:val="00591E3A"/>
    <w:rsid w:val="00592383"/>
    <w:rsid w:val="00592BAB"/>
    <w:rsid w:val="00592CAB"/>
    <w:rsid w:val="00593CB4"/>
    <w:rsid w:val="00593E68"/>
    <w:rsid w:val="00594AB7"/>
    <w:rsid w:val="005A1AB2"/>
    <w:rsid w:val="005A30B4"/>
    <w:rsid w:val="005A45C1"/>
    <w:rsid w:val="005A52AC"/>
    <w:rsid w:val="005A62BE"/>
    <w:rsid w:val="005A640F"/>
    <w:rsid w:val="005A6996"/>
    <w:rsid w:val="005A75BB"/>
    <w:rsid w:val="005A75F7"/>
    <w:rsid w:val="005B0444"/>
    <w:rsid w:val="005B08E6"/>
    <w:rsid w:val="005B0914"/>
    <w:rsid w:val="005B0D7C"/>
    <w:rsid w:val="005B0E86"/>
    <w:rsid w:val="005B2B6B"/>
    <w:rsid w:val="005B3F04"/>
    <w:rsid w:val="005B3FE8"/>
    <w:rsid w:val="005B5CB1"/>
    <w:rsid w:val="005B6854"/>
    <w:rsid w:val="005B6B33"/>
    <w:rsid w:val="005B7F80"/>
    <w:rsid w:val="005C048C"/>
    <w:rsid w:val="005C0BAF"/>
    <w:rsid w:val="005C142B"/>
    <w:rsid w:val="005C153B"/>
    <w:rsid w:val="005C1943"/>
    <w:rsid w:val="005C1B17"/>
    <w:rsid w:val="005C2B96"/>
    <w:rsid w:val="005C37A0"/>
    <w:rsid w:val="005C4034"/>
    <w:rsid w:val="005C47C0"/>
    <w:rsid w:val="005C483A"/>
    <w:rsid w:val="005C4D5C"/>
    <w:rsid w:val="005C5B36"/>
    <w:rsid w:val="005C5DE4"/>
    <w:rsid w:val="005C651C"/>
    <w:rsid w:val="005C656A"/>
    <w:rsid w:val="005C6881"/>
    <w:rsid w:val="005C6916"/>
    <w:rsid w:val="005D1427"/>
    <w:rsid w:val="005D2072"/>
    <w:rsid w:val="005D22D3"/>
    <w:rsid w:val="005D4482"/>
    <w:rsid w:val="005D457F"/>
    <w:rsid w:val="005D49C8"/>
    <w:rsid w:val="005D5224"/>
    <w:rsid w:val="005D5607"/>
    <w:rsid w:val="005D5898"/>
    <w:rsid w:val="005D5E14"/>
    <w:rsid w:val="005D6A2B"/>
    <w:rsid w:val="005D6AD9"/>
    <w:rsid w:val="005E1EE5"/>
    <w:rsid w:val="005E3370"/>
    <w:rsid w:val="005E35E1"/>
    <w:rsid w:val="005E37E9"/>
    <w:rsid w:val="005E539D"/>
    <w:rsid w:val="005E5AD8"/>
    <w:rsid w:val="005E5BEE"/>
    <w:rsid w:val="005F03DB"/>
    <w:rsid w:val="005F27DB"/>
    <w:rsid w:val="005F373C"/>
    <w:rsid w:val="005F38CC"/>
    <w:rsid w:val="005F3A70"/>
    <w:rsid w:val="005F48F1"/>
    <w:rsid w:val="005F4C91"/>
    <w:rsid w:val="005F5030"/>
    <w:rsid w:val="00600782"/>
    <w:rsid w:val="0060089E"/>
    <w:rsid w:val="00600975"/>
    <w:rsid w:val="00601A7E"/>
    <w:rsid w:val="00601E59"/>
    <w:rsid w:val="00603A46"/>
    <w:rsid w:val="00606194"/>
    <w:rsid w:val="00610F36"/>
    <w:rsid w:val="0061115C"/>
    <w:rsid w:val="00611A49"/>
    <w:rsid w:val="00611E92"/>
    <w:rsid w:val="00613017"/>
    <w:rsid w:val="00613A54"/>
    <w:rsid w:val="006148E9"/>
    <w:rsid w:val="006158AD"/>
    <w:rsid w:val="00615B73"/>
    <w:rsid w:val="00616189"/>
    <w:rsid w:val="0062034B"/>
    <w:rsid w:val="0062078C"/>
    <w:rsid w:val="00620E8F"/>
    <w:rsid w:val="00621760"/>
    <w:rsid w:val="006217BB"/>
    <w:rsid w:val="00623444"/>
    <w:rsid w:val="00624DF4"/>
    <w:rsid w:val="00625BD5"/>
    <w:rsid w:val="00625DFB"/>
    <w:rsid w:val="00626FF5"/>
    <w:rsid w:val="00627416"/>
    <w:rsid w:val="006277B7"/>
    <w:rsid w:val="00627A13"/>
    <w:rsid w:val="00630034"/>
    <w:rsid w:val="00630AC8"/>
    <w:rsid w:val="0063140B"/>
    <w:rsid w:val="00632B1A"/>
    <w:rsid w:val="006338BC"/>
    <w:rsid w:val="0063397E"/>
    <w:rsid w:val="00634D1A"/>
    <w:rsid w:val="00635073"/>
    <w:rsid w:val="00636070"/>
    <w:rsid w:val="00637179"/>
    <w:rsid w:val="006415B7"/>
    <w:rsid w:val="006418ED"/>
    <w:rsid w:val="00641D8E"/>
    <w:rsid w:val="00642B13"/>
    <w:rsid w:val="006431FF"/>
    <w:rsid w:val="0064389E"/>
    <w:rsid w:val="00645358"/>
    <w:rsid w:val="00645AB8"/>
    <w:rsid w:val="00645F7D"/>
    <w:rsid w:val="00646100"/>
    <w:rsid w:val="006476CA"/>
    <w:rsid w:val="00650AE0"/>
    <w:rsid w:val="00650AF9"/>
    <w:rsid w:val="00652029"/>
    <w:rsid w:val="00652389"/>
    <w:rsid w:val="00652E82"/>
    <w:rsid w:val="00654ABB"/>
    <w:rsid w:val="006552AE"/>
    <w:rsid w:val="00655773"/>
    <w:rsid w:val="00656267"/>
    <w:rsid w:val="006563CA"/>
    <w:rsid w:val="006578FC"/>
    <w:rsid w:val="00657D9B"/>
    <w:rsid w:val="006608AB"/>
    <w:rsid w:val="006620DA"/>
    <w:rsid w:val="00664587"/>
    <w:rsid w:val="006648FC"/>
    <w:rsid w:val="00665E1E"/>
    <w:rsid w:val="00665F49"/>
    <w:rsid w:val="006664B3"/>
    <w:rsid w:val="00666886"/>
    <w:rsid w:val="00666F25"/>
    <w:rsid w:val="00667C1C"/>
    <w:rsid w:val="0067001F"/>
    <w:rsid w:val="00670A43"/>
    <w:rsid w:val="00671FD5"/>
    <w:rsid w:val="00672B98"/>
    <w:rsid w:val="00673C8C"/>
    <w:rsid w:val="00673DC8"/>
    <w:rsid w:val="00673DD4"/>
    <w:rsid w:val="00673E72"/>
    <w:rsid w:val="00673FDB"/>
    <w:rsid w:val="0067417F"/>
    <w:rsid w:val="00674962"/>
    <w:rsid w:val="00674AEB"/>
    <w:rsid w:val="0067639C"/>
    <w:rsid w:val="0067655A"/>
    <w:rsid w:val="00680EFE"/>
    <w:rsid w:val="006828D8"/>
    <w:rsid w:val="0068292C"/>
    <w:rsid w:val="00682C95"/>
    <w:rsid w:val="00683640"/>
    <w:rsid w:val="0068455C"/>
    <w:rsid w:val="00684887"/>
    <w:rsid w:val="006867FA"/>
    <w:rsid w:val="00692847"/>
    <w:rsid w:val="00693C8E"/>
    <w:rsid w:val="006941EC"/>
    <w:rsid w:val="00695165"/>
    <w:rsid w:val="006962B2"/>
    <w:rsid w:val="006969BA"/>
    <w:rsid w:val="00696B14"/>
    <w:rsid w:val="00697328"/>
    <w:rsid w:val="00697FF1"/>
    <w:rsid w:val="006A026A"/>
    <w:rsid w:val="006A0425"/>
    <w:rsid w:val="006A1D62"/>
    <w:rsid w:val="006A33C2"/>
    <w:rsid w:val="006A4EAE"/>
    <w:rsid w:val="006A53AF"/>
    <w:rsid w:val="006A56C3"/>
    <w:rsid w:val="006A615D"/>
    <w:rsid w:val="006A6B88"/>
    <w:rsid w:val="006A6D7F"/>
    <w:rsid w:val="006A6E07"/>
    <w:rsid w:val="006A72A4"/>
    <w:rsid w:val="006B0298"/>
    <w:rsid w:val="006B0E83"/>
    <w:rsid w:val="006B1B29"/>
    <w:rsid w:val="006B2006"/>
    <w:rsid w:val="006B465A"/>
    <w:rsid w:val="006B4940"/>
    <w:rsid w:val="006B4C89"/>
    <w:rsid w:val="006B5470"/>
    <w:rsid w:val="006B5493"/>
    <w:rsid w:val="006B5570"/>
    <w:rsid w:val="006B5EAD"/>
    <w:rsid w:val="006B6BC3"/>
    <w:rsid w:val="006B77E2"/>
    <w:rsid w:val="006B79B9"/>
    <w:rsid w:val="006C10C0"/>
    <w:rsid w:val="006C1B1D"/>
    <w:rsid w:val="006C32BB"/>
    <w:rsid w:val="006C351F"/>
    <w:rsid w:val="006C3747"/>
    <w:rsid w:val="006C3EF8"/>
    <w:rsid w:val="006C60F9"/>
    <w:rsid w:val="006C7760"/>
    <w:rsid w:val="006C7886"/>
    <w:rsid w:val="006C7EEA"/>
    <w:rsid w:val="006D10B2"/>
    <w:rsid w:val="006D233A"/>
    <w:rsid w:val="006D47C0"/>
    <w:rsid w:val="006D522C"/>
    <w:rsid w:val="006D5425"/>
    <w:rsid w:val="006D56AA"/>
    <w:rsid w:val="006D56C2"/>
    <w:rsid w:val="006D7795"/>
    <w:rsid w:val="006D7ACB"/>
    <w:rsid w:val="006D7F54"/>
    <w:rsid w:val="006E00EF"/>
    <w:rsid w:val="006E06BB"/>
    <w:rsid w:val="006E1A7A"/>
    <w:rsid w:val="006E204E"/>
    <w:rsid w:val="006E4723"/>
    <w:rsid w:val="006E498B"/>
    <w:rsid w:val="006E5832"/>
    <w:rsid w:val="006E62FD"/>
    <w:rsid w:val="006E716F"/>
    <w:rsid w:val="006E785D"/>
    <w:rsid w:val="006E78A5"/>
    <w:rsid w:val="006E7A8C"/>
    <w:rsid w:val="006E7DA9"/>
    <w:rsid w:val="006E7DEE"/>
    <w:rsid w:val="006F00E7"/>
    <w:rsid w:val="006F01E7"/>
    <w:rsid w:val="006F11BC"/>
    <w:rsid w:val="006F164A"/>
    <w:rsid w:val="006F1F3A"/>
    <w:rsid w:val="006F1FD7"/>
    <w:rsid w:val="006F5D1E"/>
    <w:rsid w:val="006F6039"/>
    <w:rsid w:val="006F762A"/>
    <w:rsid w:val="006F7EB8"/>
    <w:rsid w:val="0070094A"/>
    <w:rsid w:val="00700ED1"/>
    <w:rsid w:val="0070129F"/>
    <w:rsid w:val="00702DD7"/>
    <w:rsid w:val="007047D3"/>
    <w:rsid w:val="007055F7"/>
    <w:rsid w:val="00705663"/>
    <w:rsid w:val="0070593A"/>
    <w:rsid w:val="00705C40"/>
    <w:rsid w:val="007066E2"/>
    <w:rsid w:val="00707DCF"/>
    <w:rsid w:val="0071061E"/>
    <w:rsid w:val="0071087E"/>
    <w:rsid w:val="00712253"/>
    <w:rsid w:val="007125C3"/>
    <w:rsid w:val="007147C2"/>
    <w:rsid w:val="00714AA9"/>
    <w:rsid w:val="00714AE4"/>
    <w:rsid w:val="00715319"/>
    <w:rsid w:val="00715394"/>
    <w:rsid w:val="007169A8"/>
    <w:rsid w:val="00717748"/>
    <w:rsid w:val="007177CA"/>
    <w:rsid w:val="007210A6"/>
    <w:rsid w:val="00721648"/>
    <w:rsid w:val="007229A1"/>
    <w:rsid w:val="00722F18"/>
    <w:rsid w:val="007235AA"/>
    <w:rsid w:val="007236EF"/>
    <w:rsid w:val="00723CB5"/>
    <w:rsid w:val="00723E1F"/>
    <w:rsid w:val="00725E35"/>
    <w:rsid w:val="00726CF1"/>
    <w:rsid w:val="007274F1"/>
    <w:rsid w:val="00730D35"/>
    <w:rsid w:val="00731355"/>
    <w:rsid w:val="00732266"/>
    <w:rsid w:val="00732289"/>
    <w:rsid w:val="00733193"/>
    <w:rsid w:val="007343FD"/>
    <w:rsid w:val="0073482A"/>
    <w:rsid w:val="00735766"/>
    <w:rsid w:val="00735915"/>
    <w:rsid w:val="007359E2"/>
    <w:rsid w:val="00735C21"/>
    <w:rsid w:val="0073614A"/>
    <w:rsid w:val="00736FF2"/>
    <w:rsid w:val="00737C07"/>
    <w:rsid w:val="0074079C"/>
    <w:rsid w:val="007407E1"/>
    <w:rsid w:val="00740C8C"/>
    <w:rsid w:val="00741AC4"/>
    <w:rsid w:val="00742CA5"/>
    <w:rsid w:val="007439BA"/>
    <w:rsid w:val="007464BE"/>
    <w:rsid w:val="00746BAC"/>
    <w:rsid w:val="00750BC0"/>
    <w:rsid w:val="007513F0"/>
    <w:rsid w:val="007515BC"/>
    <w:rsid w:val="00752135"/>
    <w:rsid w:val="00752606"/>
    <w:rsid w:val="0075402E"/>
    <w:rsid w:val="00755475"/>
    <w:rsid w:val="0075691A"/>
    <w:rsid w:val="00756D3D"/>
    <w:rsid w:val="007573B2"/>
    <w:rsid w:val="007574BB"/>
    <w:rsid w:val="0075764C"/>
    <w:rsid w:val="00762198"/>
    <w:rsid w:val="00763CE8"/>
    <w:rsid w:val="00763D4A"/>
    <w:rsid w:val="007641C8"/>
    <w:rsid w:val="007647A8"/>
    <w:rsid w:val="007662C5"/>
    <w:rsid w:val="007662E1"/>
    <w:rsid w:val="0076715C"/>
    <w:rsid w:val="00770792"/>
    <w:rsid w:val="00770A7E"/>
    <w:rsid w:val="007737B5"/>
    <w:rsid w:val="00773F73"/>
    <w:rsid w:val="007741D6"/>
    <w:rsid w:val="00774322"/>
    <w:rsid w:val="00774FF7"/>
    <w:rsid w:val="00774FFE"/>
    <w:rsid w:val="00775638"/>
    <w:rsid w:val="00775677"/>
    <w:rsid w:val="0077599A"/>
    <w:rsid w:val="00775AB8"/>
    <w:rsid w:val="007765C0"/>
    <w:rsid w:val="00776811"/>
    <w:rsid w:val="0077724D"/>
    <w:rsid w:val="00777353"/>
    <w:rsid w:val="007808C1"/>
    <w:rsid w:val="0078095D"/>
    <w:rsid w:val="00780B58"/>
    <w:rsid w:val="00780CD6"/>
    <w:rsid w:val="00780D4C"/>
    <w:rsid w:val="00781A64"/>
    <w:rsid w:val="007829BD"/>
    <w:rsid w:val="007829FC"/>
    <w:rsid w:val="00782EA4"/>
    <w:rsid w:val="0078444C"/>
    <w:rsid w:val="007844A9"/>
    <w:rsid w:val="0078480D"/>
    <w:rsid w:val="00785461"/>
    <w:rsid w:val="007854ED"/>
    <w:rsid w:val="00786FF3"/>
    <w:rsid w:val="0078767F"/>
    <w:rsid w:val="007876CF"/>
    <w:rsid w:val="00787B77"/>
    <w:rsid w:val="0079001D"/>
    <w:rsid w:val="0079285D"/>
    <w:rsid w:val="00793090"/>
    <w:rsid w:val="007936F5"/>
    <w:rsid w:val="0079384A"/>
    <w:rsid w:val="00793C4D"/>
    <w:rsid w:val="00793D13"/>
    <w:rsid w:val="00794241"/>
    <w:rsid w:val="00794AEB"/>
    <w:rsid w:val="00795ACF"/>
    <w:rsid w:val="00796E06"/>
    <w:rsid w:val="00796F2A"/>
    <w:rsid w:val="007A0176"/>
    <w:rsid w:val="007A0F02"/>
    <w:rsid w:val="007A0F29"/>
    <w:rsid w:val="007A0F2A"/>
    <w:rsid w:val="007A26B3"/>
    <w:rsid w:val="007A2F67"/>
    <w:rsid w:val="007A3918"/>
    <w:rsid w:val="007A3E0C"/>
    <w:rsid w:val="007A5398"/>
    <w:rsid w:val="007A548C"/>
    <w:rsid w:val="007B0E89"/>
    <w:rsid w:val="007B12FB"/>
    <w:rsid w:val="007B2C38"/>
    <w:rsid w:val="007B2E54"/>
    <w:rsid w:val="007B3B62"/>
    <w:rsid w:val="007B56A8"/>
    <w:rsid w:val="007B6B01"/>
    <w:rsid w:val="007B7498"/>
    <w:rsid w:val="007B7AEE"/>
    <w:rsid w:val="007C0100"/>
    <w:rsid w:val="007C1F04"/>
    <w:rsid w:val="007C4110"/>
    <w:rsid w:val="007C428F"/>
    <w:rsid w:val="007C43CD"/>
    <w:rsid w:val="007C5C9B"/>
    <w:rsid w:val="007C626F"/>
    <w:rsid w:val="007C666C"/>
    <w:rsid w:val="007C6C24"/>
    <w:rsid w:val="007C7EB6"/>
    <w:rsid w:val="007D2F75"/>
    <w:rsid w:val="007D48B8"/>
    <w:rsid w:val="007D4D77"/>
    <w:rsid w:val="007D710E"/>
    <w:rsid w:val="007D74F3"/>
    <w:rsid w:val="007D7E3A"/>
    <w:rsid w:val="007D7EFD"/>
    <w:rsid w:val="007E0380"/>
    <w:rsid w:val="007E073D"/>
    <w:rsid w:val="007E07FA"/>
    <w:rsid w:val="007E0DA9"/>
    <w:rsid w:val="007E1177"/>
    <w:rsid w:val="007E2156"/>
    <w:rsid w:val="007E22E7"/>
    <w:rsid w:val="007E2893"/>
    <w:rsid w:val="007E2F67"/>
    <w:rsid w:val="007E3CA6"/>
    <w:rsid w:val="007E4232"/>
    <w:rsid w:val="007E565F"/>
    <w:rsid w:val="007E5C74"/>
    <w:rsid w:val="007E5F6B"/>
    <w:rsid w:val="007E68AE"/>
    <w:rsid w:val="007E69BB"/>
    <w:rsid w:val="007E6AAC"/>
    <w:rsid w:val="007E6AB8"/>
    <w:rsid w:val="007E71CB"/>
    <w:rsid w:val="007E7E96"/>
    <w:rsid w:val="007F0B8E"/>
    <w:rsid w:val="007F0E4E"/>
    <w:rsid w:val="007F2109"/>
    <w:rsid w:val="007F21C5"/>
    <w:rsid w:val="007F26EE"/>
    <w:rsid w:val="007F27E8"/>
    <w:rsid w:val="007F3EF1"/>
    <w:rsid w:val="007F4056"/>
    <w:rsid w:val="007F44CE"/>
    <w:rsid w:val="007F528C"/>
    <w:rsid w:val="007F6694"/>
    <w:rsid w:val="007F6ADC"/>
    <w:rsid w:val="0080007F"/>
    <w:rsid w:val="0080056E"/>
    <w:rsid w:val="00801457"/>
    <w:rsid w:val="00801BCE"/>
    <w:rsid w:val="00801BE6"/>
    <w:rsid w:val="00801E7D"/>
    <w:rsid w:val="00802204"/>
    <w:rsid w:val="00802515"/>
    <w:rsid w:val="00803C2E"/>
    <w:rsid w:val="00804132"/>
    <w:rsid w:val="00806A8E"/>
    <w:rsid w:val="00807232"/>
    <w:rsid w:val="008117D6"/>
    <w:rsid w:val="00811C2F"/>
    <w:rsid w:val="00811CFB"/>
    <w:rsid w:val="008122AE"/>
    <w:rsid w:val="008125FC"/>
    <w:rsid w:val="0081283F"/>
    <w:rsid w:val="00812C0C"/>
    <w:rsid w:val="00813597"/>
    <w:rsid w:val="00813B65"/>
    <w:rsid w:val="00813D55"/>
    <w:rsid w:val="00813DF1"/>
    <w:rsid w:val="0081480A"/>
    <w:rsid w:val="008202C9"/>
    <w:rsid w:val="008202EB"/>
    <w:rsid w:val="0082058C"/>
    <w:rsid w:val="00820F86"/>
    <w:rsid w:val="008242C5"/>
    <w:rsid w:val="00826816"/>
    <w:rsid w:val="00827F88"/>
    <w:rsid w:val="00830EE7"/>
    <w:rsid w:val="008315CE"/>
    <w:rsid w:val="00832776"/>
    <w:rsid w:val="008336A5"/>
    <w:rsid w:val="00834C88"/>
    <w:rsid w:val="00835474"/>
    <w:rsid w:val="008373C0"/>
    <w:rsid w:val="008405A7"/>
    <w:rsid w:val="0084105A"/>
    <w:rsid w:val="0084145F"/>
    <w:rsid w:val="008417C1"/>
    <w:rsid w:val="00841DA2"/>
    <w:rsid w:val="00841DA5"/>
    <w:rsid w:val="00843F67"/>
    <w:rsid w:val="00844CB5"/>
    <w:rsid w:val="008458F6"/>
    <w:rsid w:val="00845AED"/>
    <w:rsid w:val="00846EC4"/>
    <w:rsid w:val="0084708E"/>
    <w:rsid w:val="00850DF1"/>
    <w:rsid w:val="00851AE4"/>
    <w:rsid w:val="008529B8"/>
    <w:rsid w:val="00855019"/>
    <w:rsid w:val="0085545E"/>
    <w:rsid w:val="008554B6"/>
    <w:rsid w:val="0085579D"/>
    <w:rsid w:val="0085598D"/>
    <w:rsid w:val="008570E8"/>
    <w:rsid w:val="00860813"/>
    <w:rsid w:val="00860FC0"/>
    <w:rsid w:val="008619CF"/>
    <w:rsid w:val="00862771"/>
    <w:rsid w:val="008632D8"/>
    <w:rsid w:val="008644D6"/>
    <w:rsid w:val="008648E3"/>
    <w:rsid w:val="00864D8C"/>
    <w:rsid w:val="0086682F"/>
    <w:rsid w:val="00866CEA"/>
    <w:rsid w:val="00867687"/>
    <w:rsid w:val="008704DF"/>
    <w:rsid w:val="00874748"/>
    <w:rsid w:val="00874894"/>
    <w:rsid w:val="00876F54"/>
    <w:rsid w:val="00877292"/>
    <w:rsid w:val="0087754A"/>
    <w:rsid w:val="0087766C"/>
    <w:rsid w:val="00877E7E"/>
    <w:rsid w:val="00880232"/>
    <w:rsid w:val="00880552"/>
    <w:rsid w:val="00881EAC"/>
    <w:rsid w:val="008839DA"/>
    <w:rsid w:val="00883E63"/>
    <w:rsid w:val="008845FD"/>
    <w:rsid w:val="00884EE8"/>
    <w:rsid w:val="00885168"/>
    <w:rsid w:val="00886CCE"/>
    <w:rsid w:val="0089173B"/>
    <w:rsid w:val="00891E76"/>
    <w:rsid w:val="0089220F"/>
    <w:rsid w:val="0089221C"/>
    <w:rsid w:val="00892E6A"/>
    <w:rsid w:val="008935AA"/>
    <w:rsid w:val="00893DF9"/>
    <w:rsid w:val="0089487E"/>
    <w:rsid w:val="00895105"/>
    <w:rsid w:val="0089515B"/>
    <w:rsid w:val="00895BD3"/>
    <w:rsid w:val="008963F0"/>
    <w:rsid w:val="00897444"/>
    <w:rsid w:val="008A015E"/>
    <w:rsid w:val="008A03A5"/>
    <w:rsid w:val="008A0DF3"/>
    <w:rsid w:val="008A1B76"/>
    <w:rsid w:val="008A282C"/>
    <w:rsid w:val="008A4138"/>
    <w:rsid w:val="008A4356"/>
    <w:rsid w:val="008A5D96"/>
    <w:rsid w:val="008A6C8F"/>
    <w:rsid w:val="008A7BF3"/>
    <w:rsid w:val="008B5AB3"/>
    <w:rsid w:val="008B6848"/>
    <w:rsid w:val="008B6F7A"/>
    <w:rsid w:val="008C026B"/>
    <w:rsid w:val="008C0BBD"/>
    <w:rsid w:val="008C12F6"/>
    <w:rsid w:val="008C2A71"/>
    <w:rsid w:val="008C2FA1"/>
    <w:rsid w:val="008C58DF"/>
    <w:rsid w:val="008C6EC3"/>
    <w:rsid w:val="008C708D"/>
    <w:rsid w:val="008C7F9A"/>
    <w:rsid w:val="008D0ABC"/>
    <w:rsid w:val="008D1369"/>
    <w:rsid w:val="008D2A1F"/>
    <w:rsid w:val="008D2C4C"/>
    <w:rsid w:val="008D34E3"/>
    <w:rsid w:val="008D42C4"/>
    <w:rsid w:val="008D59E2"/>
    <w:rsid w:val="008D71B8"/>
    <w:rsid w:val="008D733C"/>
    <w:rsid w:val="008D7E0D"/>
    <w:rsid w:val="008D7EDB"/>
    <w:rsid w:val="008E023C"/>
    <w:rsid w:val="008E0372"/>
    <w:rsid w:val="008E05A1"/>
    <w:rsid w:val="008E1829"/>
    <w:rsid w:val="008E1A61"/>
    <w:rsid w:val="008E2327"/>
    <w:rsid w:val="008E2D66"/>
    <w:rsid w:val="008E3677"/>
    <w:rsid w:val="008E5077"/>
    <w:rsid w:val="008E5E74"/>
    <w:rsid w:val="008E64F0"/>
    <w:rsid w:val="008E6FF3"/>
    <w:rsid w:val="008E7B05"/>
    <w:rsid w:val="008F0B29"/>
    <w:rsid w:val="008F17C7"/>
    <w:rsid w:val="008F18ED"/>
    <w:rsid w:val="008F338B"/>
    <w:rsid w:val="008F4051"/>
    <w:rsid w:val="008F46C2"/>
    <w:rsid w:val="008F59CC"/>
    <w:rsid w:val="008F5C96"/>
    <w:rsid w:val="008F656A"/>
    <w:rsid w:val="008F7068"/>
    <w:rsid w:val="009028B5"/>
    <w:rsid w:val="0090310A"/>
    <w:rsid w:val="0090320A"/>
    <w:rsid w:val="0090360E"/>
    <w:rsid w:val="00903D37"/>
    <w:rsid w:val="0090419B"/>
    <w:rsid w:val="00904627"/>
    <w:rsid w:val="0090483E"/>
    <w:rsid w:val="00904BC8"/>
    <w:rsid w:val="00905C0C"/>
    <w:rsid w:val="00905F68"/>
    <w:rsid w:val="0091055D"/>
    <w:rsid w:val="00910BA1"/>
    <w:rsid w:val="00912C8C"/>
    <w:rsid w:val="00913B7D"/>
    <w:rsid w:val="00914C61"/>
    <w:rsid w:val="009157EC"/>
    <w:rsid w:val="00916F57"/>
    <w:rsid w:val="009174E8"/>
    <w:rsid w:val="00917D6F"/>
    <w:rsid w:val="0092073B"/>
    <w:rsid w:val="00921B1A"/>
    <w:rsid w:val="00921B7F"/>
    <w:rsid w:val="00921DDA"/>
    <w:rsid w:val="00921F96"/>
    <w:rsid w:val="00922DE1"/>
    <w:rsid w:val="00923030"/>
    <w:rsid w:val="009233BF"/>
    <w:rsid w:val="00923D86"/>
    <w:rsid w:val="00924AE1"/>
    <w:rsid w:val="009259CD"/>
    <w:rsid w:val="00925A04"/>
    <w:rsid w:val="0092600D"/>
    <w:rsid w:val="0092695C"/>
    <w:rsid w:val="00926C9D"/>
    <w:rsid w:val="00926D17"/>
    <w:rsid w:val="00927BB5"/>
    <w:rsid w:val="00930345"/>
    <w:rsid w:val="0093039D"/>
    <w:rsid w:val="00931352"/>
    <w:rsid w:val="00931E4F"/>
    <w:rsid w:val="0093364D"/>
    <w:rsid w:val="00934605"/>
    <w:rsid w:val="009347EA"/>
    <w:rsid w:val="00934BD0"/>
    <w:rsid w:val="0093532E"/>
    <w:rsid w:val="00936574"/>
    <w:rsid w:val="00937EE1"/>
    <w:rsid w:val="0094171A"/>
    <w:rsid w:val="00943BCE"/>
    <w:rsid w:val="00944D3C"/>
    <w:rsid w:val="00944DFE"/>
    <w:rsid w:val="00947729"/>
    <w:rsid w:val="009508A0"/>
    <w:rsid w:val="009515F0"/>
    <w:rsid w:val="009515F8"/>
    <w:rsid w:val="009517A5"/>
    <w:rsid w:val="00953FF0"/>
    <w:rsid w:val="009546DE"/>
    <w:rsid w:val="009569A3"/>
    <w:rsid w:val="009579C3"/>
    <w:rsid w:val="00960212"/>
    <w:rsid w:val="00960346"/>
    <w:rsid w:val="00960A64"/>
    <w:rsid w:val="009612E4"/>
    <w:rsid w:val="009617D3"/>
    <w:rsid w:val="009630C2"/>
    <w:rsid w:val="0096463B"/>
    <w:rsid w:val="00964EA0"/>
    <w:rsid w:val="009657C2"/>
    <w:rsid w:val="009667B0"/>
    <w:rsid w:val="00967869"/>
    <w:rsid w:val="0096796E"/>
    <w:rsid w:val="00971B10"/>
    <w:rsid w:val="00971BA7"/>
    <w:rsid w:val="00971F54"/>
    <w:rsid w:val="009721DB"/>
    <w:rsid w:val="009725C5"/>
    <w:rsid w:val="00972AEA"/>
    <w:rsid w:val="00972B4E"/>
    <w:rsid w:val="00973F40"/>
    <w:rsid w:val="00974A6E"/>
    <w:rsid w:val="00977F28"/>
    <w:rsid w:val="00980900"/>
    <w:rsid w:val="009835B0"/>
    <w:rsid w:val="00983EDC"/>
    <w:rsid w:val="00983EED"/>
    <w:rsid w:val="009849EF"/>
    <w:rsid w:val="00985CC8"/>
    <w:rsid w:val="00986DB7"/>
    <w:rsid w:val="00986FAB"/>
    <w:rsid w:val="00990654"/>
    <w:rsid w:val="00990A6D"/>
    <w:rsid w:val="00991628"/>
    <w:rsid w:val="00991D54"/>
    <w:rsid w:val="009934CF"/>
    <w:rsid w:val="00994280"/>
    <w:rsid w:val="00994396"/>
    <w:rsid w:val="00994FB1"/>
    <w:rsid w:val="00995B7C"/>
    <w:rsid w:val="00996036"/>
    <w:rsid w:val="009967E1"/>
    <w:rsid w:val="00996D4C"/>
    <w:rsid w:val="009A0D75"/>
    <w:rsid w:val="009A1C71"/>
    <w:rsid w:val="009A2B8A"/>
    <w:rsid w:val="009A306D"/>
    <w:rsid w:val="009A347A"/>
    <w:rsid w:val="009A620E"/>
    <w:rsid w:val="009A6C28"/>
    <w:rsid w:val="009A71DB"/>
    <w:rsid w:val="009B1B82"/>
    <w:rsid w:val="009B47CB"/>
    <w:rsid w:val="009B4C59"/>
    <w:rsid w:val="009B4E57"/>
    <w:rsid w:val="009B6452"/>
    <w:rsid w:val="009B6A6F"/>
    <w:rsid w:val="009B7A2A"/>
    <w:rsid w:val="009C048E"/>
    <w:rsid w:val="009C10CC"/>
    <w:rsid w:val="009C12F9"/>
    <w:rsid w:val="009C1AFE"/>
    <w:rsid w:val="009C2585"/>
    <w:rsid w:val="009C3E33"/>
    <w:rsid w:val="009C4623"/>
    <w:rsid w:val="009C5650"/>
    <w:rsid w:val="009C5F24"/>
    <w:rsid w:val="009C6382"/>
    <w:rsid w:val="009D00AD"/>
    <w:rsid w:val="009D048B"/>
    <w:rsid w:val="009D0F2C"/>
    <w:rsid w:val="009D1B5D"/>
    <w:rsid w:val="009D1CCC"/>
    <w:rsid w:val="009D24A3"/>
    <w:rsid w:val="009D3839"/>
    <w:rsid w:val="009D4395"/>
    <w:rsid w:val="009D43FE"/>
    <w:rsid w:val="009D4A02"/>
    <w:rsid w:val="009D4C55"/>
    <w:rsid w:val="009D69C6"/>
    <w:rsid w:val="009D6D88"/>
    <w:rsid w:val="009D6F70"/>
    <w:rsid w:val="009D7477"/>
    <w:rsid w:val="009E10E1"/>
    <w:rsid w:val="009E3345"/>
    <w:rsid w:val="009E3AC0"/>
    <w:rsid w:val="009E5419"/>
    <w:rsid w:val="009E5A6E"/>
    <w:rsid w:val="009E6CBF"/>
    <w:rsid w:val="009E6E61"/>
    <w:rsid w:val="009E70E7"/>
    <w:rsid w:val="009E7995"/>
    <w:rsid w:val="009E7AFB"/>
    <w:rsid w:val="009E7B35"/>
    <w:rsid w:val="009F0D18"/>
    <w:rsid w:val="009F113B"/>
    <w:rsid w:val="009F1886"/>
    <w:rsid w:val="009F25A8"/>
    <w:rsid w:val="009F46DC"/>
    <w:rsid w:val="009F48DB"/>
    <w:rsid w:val="009F5336"/>
    <w:rsid w:val="009F65AF"/>
    <w:rsid w:val="00A0062B"/>
    <w:rsid w:val="00A0068C"/>
    <w:rsid w:val="00A01C00"/>
    <w:rsid w:val="00A01C0F"/>
    <w:rsid w:val="00A02488"/>
    <w:rsid w:val="00A031FA"/>
    <w:rsid w:val="00A03A1B"/>
    <w:rsid w:val="00A044B4"/>
    <w:rsid w:val="00A06CC5"/>
    <w:rsid w:val="00A11084"/>
    <w:rsid w:val="00A11CAD"/>
    <w:rsid w:val="00A131C3"/>
    <w:rsid w:val="00A1328B"/>
    <w:rsid w:val="00A132E4"/>
    <w:rsid w:val="00A1553B"/>
    <w:rsid w:val="00A15761"/>
    <w:rsid w:val="00A15EEC"/>
    <w:rsid w:val="00A16142"/>
    <w:rsid w:val="00A1620D"/>
    <w:rsid w:val="00A16AC0"/>
    <w:rsid w:val="00A16DC1"/>
    <w:rsid w:val="00A17DF6"/>
    <w:rsid w:val="00A214AC"/>
    <w:rsid w:val="00A2168A"/>
    <w:rsid w:val="00A232CE"/>
    <w:rsid w:val="00A23D31"/>
    <w:rsid w:val="00A24C9B"/>
    <w:rsid w:val="00A26ECD"/>
    <w:rsid w:val="00A27251"/>
    <w:rsid w:val="00A27A2A"/>
    <w:rsid w:val="00A27D2B"/>
    <w:rsid w:val="00A301A7"/>
    <w:rsid w:val="00A30B1F"/>
    <w:rsid w:val="00A30C34"/>
    <w:rsid w:val="00A30FD3"/>
    <w:rsid w:val="00A31901"/>
    <w:rsid w:val="00A34223"/>
    <w:rsid w:val="00A346C0"/>
    <w:rsid w:val="00A34F11"/>
    <w:rsid w:val="00A35E2F"/>
    <w:rsid w:val="00A35E47"/>
    <w:rsid w:val="00A35FF0"/>
    <w:rsid w:val="00A36013"/>
    <w:rsid w:val="00A36722"/>
    <w:rsid w:val="00A37891"/>
    <w:rsid w:val="00A37F9C"/>
    <w:rsid w:val="00A40A51"/>
    <w:rsid w:val="00A40E94"/>
    <w:rsid w:val="00A414EC"/>
    <w:rsid w:val="00A415BA"/>
    <w:rsid w:val="00A422AD"/>
    <w:rsid w:val="00A44354"/>
    <w:rsid w:val="00A445A9"/>
    <w:rsid w:val="00A447B9"/>
    <w:rsid w:val="00A44B7B"/>
    <w:rsid w:val="00A4594F"/>
    <w:rsid w:val="00A469EE"/>
    <w:rsid w:val="00A47916"/>
    <w:rsid w:val="00A536DA"/>
    <w:rsid w:val="00A5406C"/>
    <w:rsid w:val="00A54801"/>
    <w:rsid w:val="00A55626"/>
    <w:rsid w:val="00A5596D"/>
    <w:rsid w:val="00A56F39"/>
    <w:rsid w:val="00A571CD"/>
    <w:rsid w:val="00A57C3D"/>
    <w:rsid w:val="00A6120F"/>
    <w:rsid w:val="00A63202"/>
    <w:rsid w:val="00A63C30"/>
    <w:rsid w:val="00A640C3"/>
    <w:rsid w:val="00A6697B"/>
    <w:rsid w:val="00A703F5"/>
    <w:rsid w:val="00A707F7"/>
    <w:rsid w:val="00A719AA"/>
    <w:rsid w:val="00A73504"/>
    <w:rsid w:val="00A73DE3"/>
    <w:rsid w:val="00A74C2D"/>
    <w:rsid w:val="00A75724"/>
    <w:rsid w:val="00A75B53"/>
    <w:rsid w:val="00A76155"/>
    <w:rsid w:val="00A76B34"/>
    <w:rsid w:val="00A8062D"/>
    <w:rsid w:val="00A81504"/>
    <w:rsid w:val="00A82670"/>
    <w:rsid w:val="00A83359"/>
    <w:rsid w:val="00A83487"/>
    <w:rsid w:val="00A8434D"/>
    <w:rsid w:val="00A84A8E"/>
    <w:rsid w:val="00A854FF"/>
    <w:rsid w:val="00A86E30"/>
    <w:rsid w:val="00A87024"/>
    <w:rsid w:val="00A87035"/>
    <w:rsid w:val="00A8745D"/>
    <w:rsid w:val="00A8785C"/>
    <w:rsid w:val="00A9008D"/>
    <w:rsid w:val="00A908DA"/>
    <w:rsid w:val="00A909ED"/>
    <w:rsid w:val="00A90F9B"/>
    <w:rsid w:val="00A911E6"/>
    <w:rsid w:val="00A920AD"/>
    <w:rsid w:val="00A92694"/>
    <w:rsid w:val="00A93072"/>
    <w:rsid w:val="00A93B0E"/>
    <w:rsid w:val="00A9629C"/>
    <w:rsid w:val="00AA18D1"/>
    <w:rsid w:val="00AA2289"/>
    <w:rsid w:val="00AA2324"/>
    <w:rsid w:val="00AA2538"/>
    <w:rsid w:val="00AA32EA"/>
    <w:rsid w:val="00AA35D5"/>
    <w:rsid w:val="00AA36B9"/>
    <w:rsid w:val="00AA417B"/>
    <w:rsid w:val="00AA4A98"/>
    <w:rsid w:val="00AA533F"/>
    <w:rsid w:val="00AA5A86"/>
    <w:rsid w:val="00AA7787"/>
    <w:rsid w:val="00AA7F48"/>
    <w:rsid w:val="00AA7F8E"/>
    <w:rsid w:val="00AB010D"/>
    <w:rsid w:val="00AB0749"/>
    <w:rsid w:val="00AB08CB"/>
    <w:rsid w:val="00AB1117"/>
    <w:rsid w:val="00AB18D7"/>
    <w:rsid w:val="00AB2661"/>
    <w:rsid w:val="00AB4158"/>
    <w:rsid w:val="00AB498D"/>
    <w:rsid w:val="00AB499B"/>
    <w:rsid w:val="00AB4D0E"/>
    <w:rsid w:val="00AB5818"/>
    <w:rsid w:val="00AB5D4D"/>
    <w:rsid w:val="00AB6134"/>
    <w:rsid w:val="00AB63A3"/>
    <w:rsid w:val="00AB6B53"/>
    <w:rsid w:val="00AB6D79"/>
    <w:rsid w:val="00AB76D8"/>
    <w:rsid w:val="00AB7E6A"/>
    <w:rsid w:val="00AC017A"/>
    <w:rsid w:val="00AC1AF9"/>
    <w:rsid w:val="00AC1B50"/>
    <w:rsid w:val="00AC1B61"/>
    <w:rsid w:val="00AC2C6E"/>
    <w:rsid w:val="00AC5EE6"/>
    <w:rsid w:val="00AD0D24"/>
    <w:rsid w:val="00AD1923"/>
    <w:rsid w:val="00AD2611"/>
    <w:rsid w:val="00AD32C4"/>
    <w:rsid w:val="00AD3AC5"/>
    <w:rsid w:val="00AD3D57"/>
    <w:rsid w:val="00AD413E"/>
    <w:rsid w:val="00AD497C"/>
    <w:rsid w:val="00AD4B96"/>
    <w:rsid w:val="00AD4EAF"/>
    <w:rsid w:val="00AD5078"/>
    <w:rsid w:val="00AD50F9"/>
    <w:rsid w:val="00AD5A38"/>
    <w:rsid w:val="00AD7928"/>
    <w:rsid w:val="00AD7ECE"/>
    <w:rsid w:val="00AE0B4B"/>
    <w:rsid w:val="00AE295F"/>
    <w:rsid w:val="00AE2F9A"/>
    <w:rsid w:val="00AE47BF"/>
    <w:rsid w:val="00AE489D"/>
    <w:rsid w:val="00AE5075"/>
    <w:rsid w:val="00AE552E"/>
    <w:rsid w:val="00AE5886"/>
    <w:rsid w:val="00AF0047"/>
    <w:rsid w:val="00AF0133"/>
    <w:rsid w:val="00AF0A77"/>
    <w:rsid w:val="00AF0FA3"/>
    <w:rsid w:val="00AF2AF4"/>
    <w:rsid w:val="00AF4895"/>
    <w:rsid w:val="00AF4C29"/>
    <w:rsid w:val="00AF4ECA"/>
    <w:rsid w:val="00AF5FB6"/>
    <w:rsid w:val="00AF6432"/>
    <w:rsid w:val="00AF6821"/>
    <w:rsid w:val="00AF6DED"/>
    <w:rsid w:val="00AF79BD"/>
    <w:rsid w:val="00B01191"/>
    <w:rsid w:val="00B01612"/>
    <w:rsid w:val="00B02103"/>
    <w:rsid w:val="00B0356C"/>
    <w:rsid w:val="00B0494C"/>
    <w:rsid w:val="00B07100"/>
    <w:rsid w:val="00B07F12"/>
    <w:rsid w:val="00B07FE3"/>
    <w:rsid w:val="00B10BAE"/>
    <w:rsid w:val="00B11C80"/>
    <w:rsid w:val="00B131CC"/>
    <w:rsid w:val="00B136B5"/>
    <w:rsid w:val="00B138B4"/>
    <w:rsid w:val="00B14154"/>
    <w:rsid w:val="00B1415B"/>
    <w:rsid w:val="00B15278"/>
    <w:rsid w:val="00B17BC3"/>
    <w:rsid w:val="00B21E46"/>
    <w:rsid w:val="00B222A2"/>
    <w:rsid w:val="00B232CD"/>
    <w:rsid w:val="00B234EC"/>
    <w:rsid w:val="00B24057"/>
    <w:rsid w:val="00B2535A"/>
    <w:rsid w:val="00B274AE"/>
    <w:rsid w:val="00B274BF"/>
    <w:rsid w:val="00B275F5"/>
    <w:rsid w:val="00B27BBE"/>
    <w:rsid w:val="00B30145"/>
    <w:rsid w:val="00B31222"/>
    <w:rsid w:val="00B3138F"/>
    <w:rsid w:val="00B3183D"/>
    <w:rsid w:val="00B318C9"/>
    <w:rsid w:val="00B31FDB"/>
    <w:rsid w:val="00B328CA"/>
    <w:rsid w:val="00B33D59"/>
    <w:rsid w:val="00B33E8B"/>
    <w:rsid w:val="00B3681A"/>
    <w:rsid w:val="00B379E3"/>
    <w:rsid w:val="00B4044D"/>
    <w:rsid w:val="00B4105F"/>
    <w:rsid w:val="00B41A84"/>
    <w:rsid w:val="00B42C7F"/>
    <w:rsid w:val="00B42E81"/>
    <w:rsid w:val="00B43072"/>
    <w:rsid w:val="00B4329D"/>
    <w:rsid w:val="00B4474A"/>
    <w:rsid w:val="00B44E7F"/>
    <w:rsid w:val="00B45BEE"/>
    <w:rsid w:val="00B4656A"/>
    <w:rsid w:val="00B466F0"/>
    <w:rsid w:val="00B50D07"/>
    <w:rsid w:val="00B520F9"/>
    <w:rsid w:val="00B52812"/>
    <w:rsid w:val="00B53104"/>
    <w:rsid w:val="00B5440E"/>
    <w:rsid w:val="00B5443C"/>
    <w:rsid w:val="00B54848"/>
    <w:rsid w:val="00B5495A"/>
    <w:rsid w:val="00B55225"/>
    <w:rsid w:val="00B56F95"/>
    <w:rsid w:val="00B577A3"/>
    <w:rsid w:val="00B579CA"/>
    <w:rsid w:val="00B60DFC"/>
    <w:rsid w:val="00B6144B"/>
    <w:rsid w:val="00B6170F"/>
    <w:rsid w:val="00B62EFC"/>
    <w:rsid w:val="00B64415"/>
    <w:rsid w:val="00B64641"/>
    <w:rsid w:val="00B65C96"/>
    <w:rsid w:val="00B67631"/>
    <w:rsid w:val="00B70D48"/>
    <w:rsid w:val="00B71585"/>
    <w:rsid w:val="00B7262F"/>
    <w:rsid w:val="00B727C5"/>
    <w:rsid w:val="00B735E0"/>
    <w:rsid w:val="00B737AF"/>
    <w:rsid w:val="00B73FD4"/>
    <w:rsid w:val="00B740C8"/>
    <w:rsid w:val="00B7453A"/>
    <w:rsid w:val="00B74FC5"/>
    <w:rsid w:val="00B751F8"/>
    <w:rsid w:val="00B75A6C"/>
    <w:rsid w:val="00B76720"/>
    <w:rsid w:val="00B81CAD"/>
    <w:rsid w:val="00B81D4A"/>
    <w:rsid w:val="00B82140"/>
    <w:rsid w:val="00B82257"/>
    <w:rsid w:val="00B82F2D"/>
    <w:rsid w:val="00B83E2A"/>
    <w:rsid w:val="00B83E38"/>
    <w:rsid w:val="00B84361"/>
    <w:rsid w:val="00B843E4"/>
    <w:rsid w:val="00B85DF3"/>
    <w:rsid w:val="00B86C19"/>
    <w:rsid w:val="00B873FD"/>
    <w:rsid w:val="00B91831"/>
    <w:rsid w:val="00B92186"/>
    <w:rsid w:val="00B92EDF"/>
    <w:rsid w:val="00B92F81"/>
    <w:rsid w:val="00B93510"/>
    <w:rsid w:val="00B93640"/>
    <w:rsid w:val="00B93699"/>
    <w:rsid w:val="00B93E33"/>
    <w:rsid w:val="00B93FFB"/>
    <w:rsid w:val="00B9421D"/>
    <w:rsid w:val="00B94586"/>
    <w:rsid w:val="00B954F3"/>
    <w:rsid w:val="00B95BCD"/>
    <w:rsid w:val="00B95CDC"/>
    <w:rsid w:val="00B95CE5"/>
    <w:rsid w:val="00B96107"/>
    <w:rsid w:val="00B97606"/>
    <w:rsid w:val="00BA0D0B"/>
    <w:rsid w:val="00BA0E8D"/>
    <w:rsid w:val="00BA11BD"/>
    <w:rsid w:val="00BA41EC"/>
    <w:rsid w:val="00BA4694"/>
    <w:rsid w:val="00BA4CE5"/>
    <w:rsid w:val="00BA5BDD"/>
    <w:rsid w:val="00BA60CE"/>
    <w:rsid w:val="00BA6C0C"/>
    <w:rsid w:val="00BB08A0"/>
    <w:rsid w:val="00BB1CE3"/>
    <w:rsid w:val="00BB2B79"/>
    <w:rsid w:val="00BB303C"/>
    <w:rsid w:val="00BB375D"/>
    <w:rsid w:val="00BB49A0"/>
    <w:rsid w:val="00BB515F"/>
    <w:rsid w:val="00BB532B"/>
    <w:rsid w:val="00BB58FA"/>
    <w:rsid w:val="00BB702B"/>
    <w:rsid w:val="00BC0924"/>
    <w:rsid w:val="00BC0F40"/>
    <w:rsid w:val="00BC13C3"/>
    <w:rsid w:val="00BC18C8"/>
    <w:rsid w:val="00BC1DE3"/>
    <w:rsid w:val="00BC1FA5"/>
    <w:rsid w:val="00BC2C0C"/>
    <w:rsid w:val="00BC49F1"/>
    <w:rsid w:val="00BC5558"/>
    <w:rsid w:val="00BC5B92"/>
    <w:rsid w:val="00BC5E24"/>
    <w:rsid w:val="00BC732A"/>
    <w:rsid w:val="00BC758B"/>
    <w:rsid w:val="00BC7987"/>
    <w:rsid w:val="00BC7EAF"/>
    <w:rsid w:val="00BD0126"/>
    <w:rsid w:val="00BD17AF"/>
    <w:rsid w:val="00BD2170"/>
    <w:rsid w:val="00BD2EAC"/>
    <w:rsid w:val="00BD3377"/>
    <w:rsid w:val="00BD3EC7"/>
    <w:rsid w:val="00BD43AC"/>
    <w:rsid w:val="00BD4BB3"/>
    <w:rsid w:val="00BD607C"/>
    <w:rsid w:val="00BD72B7"/>
    <w:rsid w:val="00BE0D2F"/>
    <w:rsid w:val="00BE109F"/>
    <w:rsid w:val="00BE17C6"/>
    <w:rsid w:val="00BE1AA7"/>
    <w:rsid w:val="00BE1D5C"/>
    <w:rsid w:val="00BE2BD3"/>
    <w:rsid w:val="00BE4843"/>
    <w:rsid w:val="00BE4865"/>
    <w:rsid w:val="00BE5595"/>
    <w:rsid w:val="00BE55C5"/>
    <w:rsid w:val="00BE69BF"/>
    <w:rsid w:val="00BE725A"/>
    <w:rsid w:val="00BE73C1"/>
    <w:rsid w:val="00BE7430"/>
    <w:rsid w:val="00BE7B48"/>
    <w:rsid w:val="00BF0BD4"/>
    <w:rsid w:val="00BF2DCE"/>
    <w:rsid w:val="00BF30F0"/>
    <w:rsid w:val="00BF3381"/>
    <w:rsid w:val="00BF5BC6"/>
    <w:rsid w:val="00BF5BE5"/>
    <w:rsid w:val="00BF667D"/>
    <w:rsid w:val="00BF7527"/>
    <w:rsid w:val="00C030E8"/>
    <w:rsid w:val="00C03973"/>
    <w:rsid w:val="00C05912"/>
    <w:rsid w:val="00C07B0B"/>
    <w:rsid w:val="00C10646"/>
    <w:rsid w:val="00C10774"/>
    <w:rsid w:val="00C10FCF"/>
    <w:rsid w:val="00C110FB"/>
    <w:rsid w:val="00C123F4"/>
    <w:rsid w:val="00C12810"/>
    <w:rsid w:val="00C1294E"/>
    <w:rsid w:val="00C12DA7"/>
    <w:rsid w:val="00C133CD"/>
    <w:rsid w:val="00C138CA"/>
    <w:rsid w:val="00C13A6D"/>
    <w:rsid w:val="00C149AC"/>
    <w:rsid w:val="00C16B4B"/>
    <w:rsid w:val="00C17427"/>
    <w:rsid w:val="00C20C00"/>
    <w:rsid w:val="00C210FD"/>
    <w:rsid w:val="00C21F35"/>
    <w:rsid w:val="00C22901"/>
    <w:rsid w:val="00C25238"/>
    <w:rsid w:val="00C305F2"/>
    <w:rsid w:val="00C31C48"/>
    <w:rsid w:val="00C32250"/>
    <w:rsid w:val="00C32461"/>
    <w:rsid w:val="00C32DF6"/>
    <w:rsid w:val="00C3345C"/>
    <w:rsid w:val="00C33D45"/>
    <w:rsid w:val="00C34A59"/>
    <w:rsid w:val="00C36AB0"/>
    <w:rsid w:val="00C407E5"/>
    <w:rsid w:val="00C42DAC"/>
    <w:rsid w:val="00C433EA"/>
    <w:rsid w:val="00C4342B"/>
    <w:rsid w:val="00C44517"/>
    <w:rsid w:val="00C459A9"/>
    <w:rsid w:val="00C45A66"/>
    <w:rsid w:val="00C45CA4"/>
    <w:rsid w:val="00C46D15"/>
    <w:rsid w:val="00C477E7"/>
    <w:rsid w:val="00C479E7"/>
    <w:rsid w:val="00C47E93"/>
    <w:rsid w:val="00C502A5"/>
    <w:rsid w:val="00C518BD"/>
    <w:rsid w:val="00C520B2"/>
    <w:rsid w:val="00C521F7"/>
    <w:rsid w:val="00C52F50"/>
    <w:rsid w:val="00C53008"/>
    <w:rsid w:val="00C53361"/>
    <w:rsid w:val="00C55151"/>
    <w:rsid w:val="00C5575D"/>
    <w:rsid w:val="00C558FF"/>
    <w:rsid w:val="00C560FA"/>
    <w:rsid w:val="00C56772"/>
    <w:rsid w:val="00C5689A"/>
    <w:rsid w:val="00C56BAF"/>
    <w:rsid w:val="00C57FF9"/>
    <w:rsid w:val="00C60812"/>
    <w:rsid w:val="00C61841"/>
    <w:rsid w:val="00C62896"/>
    <w:rsid w:val="00C64434"/>
    <w:rsid w:val="00C64A51"/>
    <w:rsid w:val="00C64B27"/>
    <w:rsid w:val="00C65C4D"/>
    <w:rsid w:val="00C700B7"/>
    <w:rsid w:val="00C7063C"/>
    <w:rsid w:val="00C70A63"/>
    <w:rsid w:val="00C71C6E"/>
    <w:rsid w:val="00C72C05"/>
    <w:rsid w:val="00C73C57"/>
    <w:rsid w:val="00C73D2A"/>
    <w:rsid w:val="00C746D9"/>
    <w:rsid w:val="00C74D43"/>
    <w:rsid w:val="00C74E6B"/>
    <w:rsid w:val="00C75CA7"/>
    <w:rsid w:val="00C7683D"/>
    <w:rsid w:val="00C77073"/>
    <w:rsid w:val="00C81950"/>
    <w:rsid w:val="00C8219E"/>
    <w:rsid w:val="00C844BB"/>
    <w:rsid w:val="00C85450"/>
    <w:rsid w:val="00C85CA9"/>
    <w:rsid w:val="00C86432"/>
    <w:rsid w:val="00C86DC9"/>
    <w:rsid w:val="00C86FC6"/>
    <w:rsid w:val="00C901BB"/>
    <w:rsid w:val="00C90CD3"/>
    <w:rsid w:val="00C91D79"/>
    <w:rsid w:val="00C92552"/>
    <w:rsid w:val="00C92C27"/>
    <w:rsid w:val="00C93F1B"/>
    <w:rsid w:val="00C9455B"/>
    <w:rsid w:val="00C94E14"/>
    <w:rsid w:val="00C96628"/>
    <w:rsid w:val="00C96DFE"/>
    <w:rsid w:val="00C976D1"/>
    <w:rsid w:val="00CA067C"/>
    <w:rsid w:val="00CA0F86"/>
    <w:rsid w:val="00CA185B"/>
    <w:rsid w:val="00CA2B68"/>
    <w:rsid w:val="00CA308F"/>
    <w:rsid w:val="00CA4CFB"/>
    <w:rsid w:val="00CA54B4"/>
    <w:rsid w:val="00CA71D4"/>
    <w:rsid w:val="00CB02AC"/>
    <w:rsid w:val="00CB13A0"/>
    <w:rsid w:val="00CB58AF"/>
    <w:rsid w:val="00CB5B4C"/>
    <w:rsid w:val="00CB5D29"/>
    <w:rsid w:val="00CB675A"/>
    <w:rsid w:val="00CB6EC8"/>
    <w:rsid w:val="00CB782B"/>
    <w:rsid w:val="00CC082B"/>
    <w:rsid w:val="00CC0E77"/>
    <w:rsid w:val="00CC1718"/>
    <w:rsid w:val="00CC2092"/>
    <w:rsid w:val="00CC2373"/>
    <w:rsid w:val="00CC23B4"/>
    <w:rsid w:val="00CC285C"/>
    <w:rsid w:val="00CC485D"/>
    <w:rsid w:val="00CC4EDD"/>
    <w:rsid w:val="00CC5595"/>
    <w:rsid w:val="00CC57B1"/>
    <w:rsid w:val="00CC5E76"/>
    <w:rsid w:val="00CC711E"/>
    <w:rsid w:val="00CC7F02"/>
    <w:rsid w:val="00CD1770"/>
    <w:rsid w:val="00CD2229"/>
    <w:rsid w:val="00CD23F0"/>
    <w:rsid w:val="00CD3A5D"/>
    <w:rsid w:val="00CD3EB5"/>
    <w:rsid w:val="00CD4C1A"/>
    <w:rsid w:val="00CD4C21"/>
    <w:rsid w:val="00CD5FD4"/>
    <w:rsid w:val="00CD6861"/>
    <w:rsid w:val="00CD6DCF"/>
    <w:rsid w:val="00CD7F4B"/>
    <w:rsid w:val="00CE0DCE"/>
    <w:rsid w:val="00CE1BC9"/>
    <w:rsid w:val="00CE1D54"/>
    <w:rsid w:val="00CE218C"/>
    <w:rsid w:val="00CE29F3"/>
    <w:rsid w:val="00CE33C1"/>
    <w:rsid w:val="00CE4839"/>
    <w:rsid w:val="00CE4DD6"/>
    <w:rsid w:val="00CE5030"/>
    <w:rsid w:val="00CE5F24"/>
    <w:rsid w:val="00CE76FF"/>
    <w:rsid w:val="00CF1CF7"/>
    <w:rsid w:val="00CF23F2"/>
    <w:rsid w:val="00CF337A"/>
    <w:rsid w:val="00CF3C7B"/>
    <w:rsid w:val="00CF4012"/>
    <w:rsid w:val="00CF43D5"/>
    <w:rsid w:val="00CF479E"/>
    <w:rsid w:val="00CF7003"/>
    <w:rsid w:val="00D01F75"/>
    <w:rsid w:val="00D02BC6"/>
    <w:rsid w:val="00D0310D"/>
    <w:rsid w:val="00D036BF"/>
    <w:rsid w:val="00D03C21"/>
    <w:rsid w:val="00D05803"/>
    <w:rsid w:val="00D05C7C"/>
    <w:rsid w:val="00D06906"/>
    <w:rsid w:val="00D06DAF"/>
    <w:rsid w:val="00D07742"/>
    <w:rsid w:val="00D103C8"/>
    <w:rsid w:val="00D11B7F"/>
    <w:rsid w:val="00D1276A"/>
    <w:rsid w:val="00D14894"/>
    <w:rsid w:val="00D14C91"/>
    <w:rsid w:val="00D14DB7"/>
    <w:rsid w:val="00D15A9D"/>
    <w:rsid w:val="00D15ACC"/>
    <w:rsid w:val="00D15ED5"/>
    <w:rsid w:val="00D16656"/>
    <w:rsid w:val="00D17D2B"/>
    <w:rsid w:val="00D17EFB"/>
    <w:rsid w:val="00D200AB"/>
    <w:rsid w:val="00D211AB"/>
    <w:rsid w:val="00D215C4"/>
    <w:rsid w:val="00D26E41"/>
    <w:rsid w:val="00D302F2"/>
    <w:rsid w:val="00D31CD5"/>
    <w:rsid w:val="00D3418F"/>
    <w:rsid w:val="00D34402"/>
    <w:rsid w:val="00D348F7"/>
    <w:rsid w:val="00D3564E"/>
    <w:rsid w:val="00D36EF4"/>
    <w:rsid w:val="00D371D0"/>
    <w:rsid w:val="00D374DC"/>
    <w:rsid w:val="00D4062A"/>
    <w:rsid w:val="00D40BC3"/>
    <w:rsid w:val="00D434EC"/>
    <w:rsid w:val="00D43729"/>
    <w:rsid w:val="00D44651"/>
    <w:rsid w:val="00D44E9D"/>
    <w:rsid w:val="00D472A7"/>
    <w:rsid w:val="00D51515"/>
    <w:rsid w:val="00D51580"/>
    <w:rsid w:val="00D542C5"/>
    <w:rsid w:val="00D545B9"/>
    <w:rsid w:val="00D54BD5"/>
    <w:rsid w:val="00D55411"/>
    <w:rsid w:val="00D55D26"/>
    <w:rsid w:val="00D575F0"/>
    <w:rsid w:val="00D60578"/>
    <w:rsid w:val="00D61A0E"/>
    <w:rsid w:val="00D62D4C"/>
    <w:rsid w:val="00D63F02"/>
    <w:rsid w:val="00D655B7"/>
    <w:rsid w:val="00D65F68"/>
    <w:rsid w:val="00D70855"/>
    <w:rsid w:val="00D70A17"/>
    <w:rsid w:val="00D71850"/>
    <w:rsid w:val="00D71CF9"/>
    <w:rsid w:val="00D73600"/>
    <w:rsid w:val="00D756F8"/>
    <w:rsid w:val="00D75DFD"/>
    <w:rsid w:val="00D7608E"/>
    <w:rsid w:val="00D7675E"/>
    <w:rsid w:val="00D80080"/>
    <w:rsid w:val="00D80398"/>
    <w:rsid w:val="00D8066D"/>
    <w:rsid w:val="00D80F34"/>
    <w:rsid w:val="00D80F9D"/>
    <w:rsid w:val="00D80FFB"/>
    <w:rsid w:val="00D81BAE"/>
    <w:rsid w:val="00D83740"/>
    <w:rsid w:val="00D84005"/>
    <w:rsid w:val="00D8428E"/>
    <w:rsid w:val="00D84B17"/>
    <w:rsid w:val="00D8507D"/>
    <w:rsid w:val="00D851C9"/>
    <w:rsid w:val="00D85946"/>
    <w:rsid w:val="00D86735"/>
    <w:rsid w:val="00D8718E"/>
    <w:rsid w:val="00D871FB"/>
    <w:rsid w:val="00D90C9D"/>
    <w:rsid w:val="00D90E57"/>
    <w:rsid w:val="00D916BD"/>
    <w:rsid w:val="00D91910"/>
    <w:rsid w:val="00D91AA8"/>
    <w:rsid w:val="00D932E4"/>
    <w:rsid w:val="00D933F2"/>
    <w:rsid w:val="00D93D8A"/>
    <w:rsid w:val="00D941D7"/>
    <w:rsid w:val="00D9441A"/>
    <w:rsid w:val="00D94420"/>
    <w:rsid w:val="00D944A6"/>
    <w:rsid w:val="00D95B5F"/>
    <w:rsid w:val="00D962CB"/>
    <w:rsid w:val="00D96FC3"/>
    <w:rsid w:val="00DA0839"/>
    <w:rsid w:val="00DA12C3"/>
    <w:rsid w:val="00DA22B5"/>
    <w:rsid w:val="00DA495D"/>
    <w:rsid w:val="00DA49C1"/>
    <w:rsid w:val="00DA4F15"/>
    <w:rsid w:val="00DA5371"/>
    <w:rsid w:val="00DA5DCA"/>
    <w:rsid w:val="00DA757C"/>
    <w:rsid w:val="00DA7BA0"/>
    <w:rsid w:val="00DB09C2"/>
    <w:rsid w:val="00DB1409"/>
    <w:rsid w:val="00DB3411"/>
    <w:rsid w:val="00DB42F5"/>
    <w:rsid w:val="00DB469A"/>
    <w:rsid w:val="00DB46F7"/>
    <w:rsid w:val="00DB52C3"/>
    <w:rsid w:val="00DB5454"/>
    <w:rsid w:val="00DB5DA3"/>
    <w:rsid w:val="00DB7E5F"/>
    <w:rsid w:val="00DC0A7E"/>
    <w:rsid w:val="00DC10B0"/>
    <w:rsid w:val="00DC13AB"/>
    <w:rsid w:val="00DC1594"/>
    <w:rsid w:val="00DC1BF8"/>
    <w:rsid w:val="00DC2FB2"/>
    <w:rsid w:val="00DC4BCD"/>
    <w:rsid w:val="00DC5718"/>
    <w:rsid w:val="00DC6D70"/>
    <w:rsid w:val="00DC749C"/>
    <w:rsid w:val="00DD05CC"/>
    <w:rsid w:val="00DD0BEC"/>
    <w:rsid w:val="00DD1107"/>
    <w:rsid w:val="00DD178F"/>
    <w:rsid w:val="00DD1FE4"/>
    <w:rsid w:val="00DD2180"/>
    <w:rsid w:val="00DD5733"/>
    <w:rsid w:val="00DD5B73"/>
    <w:rsid w:val="00DE2966"/>
    <w:rsid w:val="00DE40E0"/>
    <w:rsid w:val="00DE4107"/>
    <w:rsid w:val="00DF006E"/>
    <w:rsid w:val="00DF04ED"/>
    <w:rsid w:val="00DF0B5E"/>
    <w:rsid w:val="00DF0ED5"/>
    <w:rsid w:val="00DF1FEB"/>
    <w:rsid w:val="00DF2C8B"/>
    <w:rsid w:val="00DF4E88"/>
    <w:rsid w:val="00DF69DB"/>
    <w:rsid w:val="00DF707C"/>
    <w:rsid w:val="00DF72D9"/>
    <w:rsid w:val="00DF7EC8"/>
    <w:rsid w:val="00E028ED"/>
    <w:rsid w:val="00E03F42"/>
    <w:rsid w:val="00E04899"/>
    <w:rsid w:val="00E0499F"/>
    <w:rsid w:val="00E04DA9"/>
    <w:rsid w:val="00E05721"/>
    <w:rsid w:val="00E05905"/>
    <w:rsid w:val="00E06508"/>
    <w:rsid w:val="00E10389"/>
    <w:rsid w:val="00E104F6"/>
    <w:rsid w:val="00E10748"/>
    <w:rsid w:val="00E12F57"/>
    <w:rsid w:val="00E14282"/>
    <w:rsid w:val="00E156F2"/>
    <w:rsid w:val="00E1606D"/>
    <w:rsid w:val="00E166A1"/>
    <w:rsid w:val="00E2017D"/>
    <w:rsid w:val="00E20CA1"/>
    <w:rsid w:val="00E21FA2"/>
    <w:rsid w:val="00E2250E"/>
    <w:rsid w:val="00E226F9"/>
    <w:rsid w:val="00E2275B"/>
    <w:rsid w:val="00E245F8"/>
    <w:rsid w:val="00E24BF5"/>
    <w:rsid w:val="00E25DCF"/>
    <w:rsid w:val="00E275E9"/>
    <w:rsid w:val="00E27DDF"/>
    <w:rsid w:val="00E27E01"/>
    <w:rsid w:val="00E30A90"/>
    <w:rsid w:val="00E32AA7"/>
    <w:rsid w:val="00E32DBA"/>
    <w:rsid w:val="00E37CA9"/>
    <w:rsid w:val="00E40703"/>
    <w:rsid w:val="00E43469"/>
    <w:rsid w:val="00E4369C"/>
    <w:rsid w:val="00E43A0F"/>
    <w:rsid w:val="00E445DA"/>
    <w:rsid w:val="00E44D33"/>
    <w:rsid w:val="00E45379"/>
    <w:rsid w:val="00E465CB"/>
    <w:rsid w:val="00E4686D"/>
    <w:rsid w:val="00E47C0D"/>
    <w:rsid w:val="00E50318"/>
    <w:rsid w:val="00E50B22"/>
    <w:rsid w:val="00E51154"/>
    <w:rsid w:val="00E5134A"/>
    <w:rsid w:val="00E51E18"/>
    <w:rsid w:val="00E51E8F"/>
    <w:rsid w:val="00E533BD"/>
    <w:rsid w:val="00E53706"/>
    <w:rsid w:val="00E53A3A"/>
    <w:rsid w:val="00E53AC0"/>
    <w:rsid w:val="00E5668B"/>
    <w:rsid w:val="00E566EE"/>
    <w:rsid w:val="00E5717D"/>
    <w:rsid w:val="00E57CE2"/>
    <w:rsid w:val="00E57D36"/>
    <w:rsid w:val="00E60333"/>
    <w:rsid w:val="00E60F40"/>
    <w:rsid w:val="00E617BD"/>
    <w:rsid w:val="00E61E05"/>
    <w:rsid w:val="00E622CB"/>
    <w:rsid w:val="00E6259E"/>
    <w:rsid w:val="00E62BDE"/>
    <w:rsid w:val="00E63B57"/>
    <w:rsid w:val="00E64608"/>
    <w:rsid w:val="00E64BD9"/>
    <w:rsid w:val="00E6519C"/>
    <w:rsid w:val="00E66CB9"/>
    <w:rsid w:val="00E67E50"/>
    <w:rsid w:val="00E705B4"/>
    <w:rsid w:val="00E719CE"/>
    <w:rsid w:val="00E71ECF"/>
    <w:rsid w:val="00E72967"/>
    <w:rsid w:val="00E72F58"/>
    <w:rsid w:val="00E733A6"/>
    <w:rsid w:val="00E74D56"/>
    <w:rsid w:val="00E75577"/>
    <w:rsid w:val="00E762AC"/>
    <w:rsid w:val="00E764DD"/>
    <w:rsid w:val="00E8155D"/>
    <w:rsid w:val="00E82754"/>
    <w:rsid w:val="00E84AD7"/>
    <w:rsid w:val="00E85CC0"/>
    <w:rsid w:val="00E86507"/>
    <w:rsid w:val="00E8724E"/>
    <w:rsid w:val="00E876AC"/>
    <w:rsid w:val="00E9006F"/>
    <w:rsid w:val="00E925E4"/>
    <w:rsid w:val="00E92E54"/>
    <w:rsid w:val="00E94EBC"/>
    <w:rsid w:val="00E959C0"/>
    <w:rsid w:val="00E96E1A"/>
    <w:rsid w:val="00E9759B"/>
    <w:rsid w:val="00E978DE"/>
    <w:rsid w:val="00EA0E04"/>
    <w:rsid w:val="00EA1783"/>
    <w:rsid w:val="00EA1A2E"/>
    <w:rsid w:val="00EA1A42"/>
    <w:rsid w:val="00EA220D"/>
    <w:rsid w:val="00EA3156"/>
    <w:rsid w:val="00EA3E45"/>
    <w:rsid w:val="00EA40A2"/>
    <w:rsid w:val="00EA4CD5"/>
    <w:rsid w:val="00EA4E88"/>
    <w:rsid w:val="00EA55E7"/>
    <w:rsid w:val="00EA5D2C"/>
    <w:rsid w:val="00EA5D8E"/>
    <w:rsid w:val="00EA6D14"/>
    <w:rsid w:val="00EA768C"/>
    <w:rsid w:val="00EA7EFE"/>
    <w:rsid w:val="00EB0591"/>
    <w:rsid w:val="00EB07CF"/>
    <w:rsid w:val="00EB1B13"/>
    <w:rsid w:val="00EB276D"/>
    <w:rsid w:val="00EB32AB"/>
    <w:rsid w:val="00EB3B88"/>
    <w:rsid w:val="00EB4252"/>
    <w:rsid w:val="00EB4A90"/>
    <w:rsid w:val="00EB6A84"/>
    <w:rsid w:val="00EB6F7A"/>
    <w:rsid w:val="00EB7EF4"/>
    <w:rsid w:val="00EC07A6"/>
    <w:rsid w:val="00EC0C14"/>
    <w:rsid w:val="00EC0DC7"/>
    <w:rsid w:val="00EC1E63"/>
    <w:rsid w:val="00EC2B42"/>
    <w:rsid w:val="00EC3B8F"/>
    <w:rsid w:val="00EC4622"/>
    <w:rsid w:val="00EC5CA0"/>
    <w:rsid w:val="00EC7372"/>
    <w:rsid w:val="00EC7D5A"/>
    <w:rsid w:val="00EC7DA4"/>
    <w:rsid w:val="00ED0632"/>
    <w:rsid w:val="00ED0940"/>
    <w:rsid w:val="00ED19D1"/>
    <w:rsid w:val="00ED1DD8"/>
    <w:rsid w:val="00ED2315"/>
    <w:rsid w:val="00ED2AC0"/>
    <w:rsid w:val="00ED30E8"/>
    <w:rsid w:val="00ED3B69"/>
    <w:rsid w:val="00ED3ECA"/>
    <w:rsid w:val="00ED3F39"/>
    <w:rsid w:val="00ED4373"/>
    <w:rsid w:val="00ED4F91"/>
    <w:rsid w:val="00ED5EB2"/>
    <w:rsid w:val="00ED63AE"/>
    <w:rsid w:val="00ED6603"/>
    <w:rsid w:val="00ED6C96"/>
    <w:rsid w:val="00ED6CD1"/>
    <w:rsid w:val="00ED7A42"/>
    <w:rsid w:val="00EE0E71"/>
    <w:rsid w:val="00EE11C0"/>
    <w:rsid w:val="00EE12CA"/>
    <w:rsid w:val="00EE1C59"/>
    <w:rsid w:val="00EE30CB"/>
    <w:rsid w:val="00EE38B2"/>
    <w:rsid w:val="00EE3E8C"/>
    <w:rsid w:val="00EE467E"/>
    <w:rsid w:val="00EE5C93"/>
    <w:rsid w:val="00EE5F2E"/>
    <w:rsid w:val="00EE6118"/>
    <w:rsid w:val="00EE684A"/>
    <w:rsid w:val="00EE70A1"/>
    <w:rsid w:val="00EF13C1"/>
    <w:rsid w:val="00EF2227"/>
    <w:rsid w:val="00EF2528"/>
    <w:rsid w:val="00EF2C2D"/>
    <w:rsid w:val="00EF4A64"/>
    <w:rsid w:val="00F01ECB"/>
    <w:rsid w:val="00F02171"/>
    <w:rsid w:val="00F02725"/>
    <w:rsid w:val="00F033EF"/>
    <w:rsid w:val="00F03B2D"/>
    <w:rsid w:val="00F0519C"/>
    <w:rsid w:val="00F061A6"/>
    <w:rsid w:val="00F06EED"/>
    <w:rsid w:val="00F0710C"/>
    <w:rsid w:val="00F104A3"/>
    <w:rsid w:val="00F10A6E"/>
    <w:rsid w:val="00F11AB3"/>
    <w:rsid w:val="00F11E04"/>
    <w:rsid w:val="00F1277D"/>
    <w:rsid w:val="00F14017"/>
    <w:rsid w:val="00F1491F"/>
    <w:rsid w:val="00F161A1"/>
    <w:rsid w:val="00F1684C"/>
    <w:rsid w:val="00F16E61"/>
    <w:rsid w:val="00F20633"/>
    <w:rsid w:val="00F21B29"/>
    <w:rsid w:val="00F21C7F"/>
    <w:rsid w:val="00F22EBE"/>
    <w:rsid w:val="00F23370"/>
    <w:rsid w:val="00F2491B"/>
    <w:rsid w:val="00F25102"/>
    <w:rsid w:val="00F2526C"/>
    <w:rsid w:val="00F25CFE"/>
    <w:rsid w:val="00F26FE5"/>
    <w:rsid w:val="00F27AA9"/>
    <w:rsid w:val="00F30578"/>
    <w:rsid w:val="00F307D5"/>
    <w:rsid w:val="00F3402C"/>
    <w:rsid w:val="00F3448F"/>
    <w:rsid w:val="00F35243"/>
    <w:rsid w:val="00F36E9F"/>
    <w:rsid w:val="00F41B19"/>
    <w:rsid w:val="00F43E6E"/>
    <w:rsid w:val="00F43EBF"/>
    <w:rsid w:val="00F4409E"/>
    <w:rsid w:val="00F44423"/>
    <w:rsid w:val="00F45D48"/>
    <w:rsid w:val="00F45DBA"/>
    <w:rsid w:val="00F46D1B"/>
    <w:rsid w:val="00F50BE6"/>
    <w:rsid w:val="00F51236"/>
    <w:rsid w:val="00F51288"/>
    <w:rsid w:val="00F524CA"/>
    <w:rsid w:val="00F53616"/>
    <w:rsid w:val="00F5374C"/>
    <w:rsid w:val="00F541B8"/>
    <w:rsid w:val="00F54777"/>
    <w:rsid w:val="00F56739"/>
    <w:rsid w:val="00F56B6D"/>
    <w:rsid w:val="00F56CC2"/>
    <w:rsid w:val="00F57B05"/>
    <w:rsid w:val="00F60BC0"/>
    <w:rsid w:val="00F6182C"/>
    <w:rsid w:val="00F61990"/>
    <w:rsid w:val="00F61AC0"/>
    <w:rsid w:val="00F61B7F"/>
    <w:rsid w:val="00F62370"/>
    <w:rsid w:val="00F628D3"/>
    <w:rsid w:val="00F62B07"/>
    <w:rsid w:val="00F62EF2"/>
    <w:rsid w:val="00F6497E"/>
    <w:rsid w:val="00F677E2"/>
    <w:rsid w:val="00F67853"/>
    <w:rsid w:val="00F70724"/>
    <w:rsid w:val="00F7099C"/>
    <w:rsid w:val="00F71547"/>
    <w:rsid w:val="00F717E6"/>
    <w:rsid w:val="00F72F63"/>
    <w:rsid w:val="00F73751"/>
    <w:rsid w:val="00F75EAD"/>
    <w:rsid w:val="00F7639A"/>
    <w:rsid w:val="00F76BF2"/>
    <w:rsid w:val="00F76FAA"/>
    <w:rsid w:val="00F77154"/>
    <w:rsid w:val="00F80051"/>
    <w:rsid w:val="00F80F33"/>
    <w:rsid w:val="00F80FB8"/>
    <w:rsid w:val="00F8243E"/>
    <w:rsid w:val="00F83D15"/>
    <w:rsid w:val="00F845A6"/>
    <w:rsid w:val="00F846D6"/>
    <w:rsid w:val="00F86526"/>
    <w:rsid w:val="00F871D7"/>
    <w:rsid w:val="00F87318"/>
    <w:rsid w:val="00F87CCD"/>
    <w:rsid w:val="00F87EC0"/>
    <w:rsid w:val="00F9173A"/>
    <w:rsid w:val="00F917A3"/>
    <w:rsid w:val="00F91800"/>
    <w:rsid w:val="00F91A39"/>
    <w:rsid w:val="00F921D0"/>
    <w:rsid w:val="00F92DC6"/>
    <w:rsid w:val="00F93F4E"/>
    <w:rsid w:val="00F94E99"/>
    <w:rsid w:val="00F96230"/>
    <w:rsid w:val="00F9650A"/>
    <w:rsid w:val="00F967C7"/>
    <w:rsid w:val="00F96DA2"/>
    <w:rsid w:val="00FA0437"/>
    <w:rsid w:val="00FA103D"/>
    <w:rsid w:val="00FA233F"/>
    <w:rsid w:val="00FA2E05"/>
    <w:rsid w:val="00FA3199"/>
    <w:rsid w:val="00FA3DF0"/>
    <w:rsid w:val="00FA699F"/>
    <w:rsid w:val="00FA7D57"/>
    <w:rsid w:val="00FB0008"/>
    <w:rsid w:val="00FB071C"/>
    <w:rsid w:val="00FB0ECE"/>
    <w:rsid w:val="00FB1965"/>
    <w:rsid w:val="00FB1ACE"/>
    <w:rsid w:val="00FB2140"/>
    <w:rsid w:val="00FB239C"/>
    <w:rsid w:val="00FB3ABB"/>
    <w:rsid w:val="00FB3DEC"/>
    <w:rsid w:val="00FB3EA0"/>
    <w:rsid w:val="00FB5471"/>
    <w:rsid w:val="00FB55F4"/>
    <w:rsid w:val="00FB58D8"/>
    <w:rsid w:val="00FB5B6D"/>
    <w:rsid w:val="00FB5D9D"/>
    <w:rsid w:val="00FB6947"/>
    <w:rsid w:val="00FB6E64"/>
    <w:rsid w:val="00FB7140"/>
    <w:rsid w:val="00FB7298"/>
    <w:rsid w:val="00FB7369"/>
    <w:rsid w:val="00FC003E"/>
    <w:rsid w:val="00FC0B63"/>
    <w:rsid w:val="00FC1FB3"/>
    <w:rsid w:val="00FC2209"/>
    <w:rsid w:val="00FC7531"/>
    <w:rsid w:val="00FC7A47"/>
    <w:rsid w:val="00FC7EAA"/>
    <w:rsid w:val="00FD03F3"/>
    <w:rsid w:val="00FD0926"/>
    <w:rsid w:val="00FD1FA0"/>
    <w:rsid w:val="00FD2435"/>
    <w:rsid w:val="00FD251F"/>
    <w:rsid w:val="00FD2808"/>
    <w:rsid w:val="00FD3602"/>
    <w:rsid w:val="00FD4A77"/>
    <w:rsid w:val="00FD4FA5"/>
    <w:rsid w:val="00FD5166"/>
    <w:rsid w:val="00FD564B"/>
    <w:rsid w:val="00FD68CD"/>
    <w:rsid w:val="00FD758C"/>
    <w:rsid w:val="00FE01F0"/>
    <w:rsid w:val="00FE0E71"/>
    <w:rsid w:val="00FE0E96"/>
    <w:rsid w:val="00FE0F18"/>
    <w:rsid w:val="00FE13D1"/>
    <w:rsid w:val="00FE4011"/>
    <w:rsid w:val="00FE42E4"/>
    <w:rsid w:val="00FF05B9"/>
    <w:rsid w:val="00FF0EB1"/>
    <w:rsid w:val="00FF23D1"/>
    <w:rsid w:val="00FF2692"/>
    <w:rsid w:val="00FF456A"/>
    <w:rsid w:val="00FF46FD"/>
    <w:rsid w:val="00FF6204"/>
    <w:rsid w:val="00FF634D"/>
    <w:rsid w:val="00FF6D3B"/>
    <w:rsid w:val="36AAED7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647199"/>
  <w15:docId w15:val="{449F6835-23DF-4093-99F2-DF5C8B88D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7B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B3138F"/>
    <w:rPr>
      <w:color w:val="605E5C"/>
      <w:shd w:val="clear" w:color="auto" w:fill="E1DFDD"/>
    </w:rPr>
  </w:style>
  <w:style w:type="character" w:customStyle="1" w:styleId="Mencinsinresolver2">
    <w:name w:val="Mención sin resolver2"/>
    <w:basedOn w:val="Fuentedeprrafopredeter"/>
    <w:uiPriority w:val="99"/>
    <w:semiHidden/>
    <w:unhideWhenUsed/>
    <w:rsid w:val="00AB4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06991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1320509">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803929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6481546">
      <w:bodyDiv w:val="1"/>
      <w:marLeft w:val="0"/>
      <w:marRight w:val="0"/>
      <w:marTop w:val="0"/>
      <w:marBottom w:val="0"/>
      <w:divBdr>
        <w:top w:val="none" w:sz="0" w:space="0" w:color="auto"/>
        <w:left w:val="none" w:sz="0" w:space="0" w:color="auto"/>
        <w:bottom w:val="none" w:sz="0" w:space="0" w:color="auto"/>
        <w:right w:val="none" w:sz="0" w:space="0" w:color="auto"/>
      </w:divBdr>
    </w:div>
    <w:div w:id="237326823">
      <w:bodyDiv w:val="1"/>
      <w:marLeft w:val="0"/>
      <w:marRight w:val="0"/>
      <w:marTop w:val="0"/>
      <w:marBottom w:val="0"/>
      <w:divBdr>
        <w:top w:val="none" w:sz="0" w:space="0" w:color="auto"/>
        <w:left w:val="none" w:sz="0" w:space="0" w:color="auto"/>
        <w:bottom w:val="none" w:sz="0" w:space="0" w:color="auto"/>
        <w:right w:val="none" w:sz="0" w:space="0" w:color="auto"/>
      </w:divBdr>
    </w:div>
    <w:div w:id="242420889">
      <w:bodyDiv w:val="1"/>
      <w:marLeft w:val="0"/>
      <w:marRight w:val="0"/>
      <w:marTop w:val="0"/>
      <w:marBottom w:val="0"/>
      <w:divBdr>
        <w:top w:val="none" w:sz="0" w:space="0" w:color="auto"/>
        <w:left w:val="none" w:sz="0" w:space="0" w:color="auto"/>
        <w:bottom w:val="none" w:sz="0" w:space="0" w:color="auto"/>
        <w:right w:val="none" w:sz="0" w:space="0" w:color="auto"/>
      </w:divBdr>
    </w:div>
    <w:div w:id="251817357">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12872734">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2170029">
      <w:bodyDiv w:val="1"/>
      <w:marLeft w:val="0"/>
      <w:marRight w:val="0"/>
      <w:marTop w:val="0"/>
      <w:marBottom w:val="0"/>
      <w:divBdr>
        <w:top w:val="none" w:sz="0" w:space="0" w:color="auto"/>
        <w:left w:val="none" w:sz="0" w:space="0" w:color="auto"/>
        <w:bottom w:val="none" w:sz="0" w:space="0" w:color="auto"/>
        <w:right w:val="none" w:sz="0" w:space="0" w:color="auto"/>
      </w:divBdr>
    </w:div>
    <w:div w:id="37678319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464176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258413">
      <w:bodyDiv w:val="1"/>
      <w:marLeft w:val="0"/>
      <w:marRight w:val="0"/>
      <w:marTop w:val="0"/>
      <w:marBottom w:val="0"/>
      <w:divBdr>
        <w:top w:val="none" w:sz="0" w:space="0" w:color="auto"/>
        <w:left w:val="none" w:sz="0" w:space="0" w:color="auto"/>
        <w:bottom w:val="none" w:sz="0" w:space="0" w:color="auto"/>
        <w:right w:val="none" w:sz="0" w:space="0" w:color="auto"/>
      </w:divBdr>
    </w:div>
    <w:div w:id="46407956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992540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07395239">
      <w:bodyDiv w:val="1"/>
      <w:marLeft w:val="0"/>
      <w:marRight w:val="0"/>
      <w:marTop w:val="0"/>
      <w:marBottom w:val="0"/>
      <w:divBdr>
        <w:top w:val="none" w:sz="0" w:space="0" w:color="auto"/>
        <w:left w:val="none" w:sz="0" w:space="0" w:color="auto"/>
        <w:bottom w:val="none" w:sz="0" w:space="0" w:color="auto"/>
        <w:right w:val="none" w:sz="0" w:space="0" w:color="auto"/>
      </w:divBdr>
    </w:div>
    <w:div w:id="60897068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5989746">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9940281">
      <w:bodyDiv w:val="1"/>
      <w:marLeft w:val="0"/>
      <w:marRight w:val="0"/>
      <w:marTop w:val="0"/>
      <w:marBottom w:val="0"/>
      <w:divBdr>
        <w:top w:val="none" w:sz="0" w:space="0" w:color="auto"/>
        <w:left w:val="none" w:sz="0" w:space="0" w:color="auto"/>
        <w:bottom w:val="none" w:sz="0" w:space="0" w:color="auto"/>
        <w:right w:val="none" w:sz="0" w:space="0" w:color="auto"/>
      </w:divBdr>
    </w:div>
    <w:div w:id="665786124">
      <w:bodyDiv w:val="1"/>
      <w:marLeft w:val="0"/>
      <w:marRight w:val="0"/>
      <w:marTop w:val="0"/>
      <w:marBottom w:val="0"/>
      <w:divBdr>
        <w:top w:val="none" w:sz="0" w:space="0" w:color="auto"/>
        <w:left w:val="none" w:sz="0" w:space="0" w:color="auto"/>
        <w:bottom w:val="none" w:sz="0" w:space="0" w:color="auto"/>
        <w:right w:val="none" w:sz="0" w:space="0" w:color="auto"/>
      </w:divBdr>
    </w:div>
    <w:div w:id="681012123">
      <w:bodyDiv w:val="1"/>
      <w:marLeft w:val="0"/>
      <w:marRight w:val="0"/>
      <w:marTop w:val="0"/>
      <w:marBottom w:val="0"/>
      <w:divBdr>
        <w:top w:val="none" w:sz="0" w:space="0" w:color="auto"/>
        <w:left w:val="none" w:sz="0" w:space="0" w:color="auto"/>
        <w:bottom w:val="none" w:sz="0" w:space="0" w:color="auto"/>
        <w:right w:val="none" w:sz="0" w:space="0" w:color="auto"/>
      </w:divBdr>
    </w:div>
    <w:div w:id="681517920">
      <w:bodyDiv w:val="1"/>
      <w:marLeft w:val="0"/>
      <w:marRight w:val="0"/>
      <w:marTop w:val="0"/>
      <w:marBottom w:val="0"/>
      <w:divBdr>
        <w:top w:val="none" w:sz="0" w:space="0" w:color="auto"/>
        <w:left w:val="none" w:sz="0" w:space="0" w:color="auto"/>
        <w:bottom w:val="none" w:sz="0" w:space="0" w:color="auto"/>
        <w:right w:val="none" w:sz="0" w:space="0" w:color="auto"/>
      </w:divBdr>
    </w:div>
    <w:div w:id="701587509">
      <w:bodyDiv w:val="1"/>
      <w:marLeft w:val="0"/>
      <w:marRight w:val="0"/>
      <w:marTop w:val="0"/>
      <w:marBottom w:val="0"/>
      <w:divBdr>
        <w:top w:val="none" w:sz="0" w:space="0" w:color="auto"/>
        <w:left w:val="none" w:sz="0" w:space="0" w:color="auto"/>
        <w:bottom w:val="none" w:sz="0" w:space="0" w:color="auto"/>
        <w:right w:val="none" w:sz="0" w:space="0" w:color="auto"/>
      </w:divBdr>
    </w:div>
    <w:div w:id="722564108">
      <w:bodyDiv w:val="1"/>
      <w:marLeft w:val="0"/>
      <w:marRight w:val="0"/>
      <w:marTop w:val="0"/>
      <w:marBottom w:val="0"/>
      <w:divBdr>
        <w:top w:val="none" w:sz="0" w:space="0" w:color="auto"/>
        <w:left w:val="none" w:sz="0" w:space="0" w:color="auto"/>
        <w:bottom w:val="none" w:sz="0" w:space="0" w:color="auto"/>
        <w:right w:val="none" w:sz="0" w:space="0" w:color="auto"/>
      </w:divBdr>
    </w:div>
    <w:div w:id="724060715">
      <w:bodyDiv w:val="1"/>
      <w:marLeft w:val="0"/>
      <w:marRight w:val="0"/>
      <w:marTop w:val="0"/>
      <w:marBottom w:val="0"/>
      <w:divBdr>
        <w:top w:val="none" w:sz="0" w:space="0" w:color="auto"/>
        <w:left w:val="none" w:sz="0" w:space="0" w:color="auto"/>
        <w:bottom w:val="none" w:sz="0" w:space="0" w:color="auto"/>
        <w:right w:val="none" w:sz="0" w:space="0" w:color="auto"/>
      </w:divBdr>
    </w:div>
    <w:div w:id="72949764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0827950">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0342">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0195529">
      <w:bodyDiv w:val="1"/>
      <w:marLeft w:val="0"/>
      <w:marRight w:val="0"/>
      <w:marTop w:val="0"/>
      <w:marBottom w:val="0"/>
      <w:divBdr>
        <w:top w:val="none" w:sz="0" w:space="0" w:color="auto"/>
        <w:left w:val="none" w:sz="0" w:space="0" w:color="auto"/>
        <w:bottom w:val="none" w:sz="0" w:space="0" w:color="auto"/>
        <w:right w:val="none" w:sz="0" w:space="0" w:color="auto"/>
      </w:divBdr>
    </w:div>
    <w:div w:id="822351344">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10426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2545437">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0802986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9800023">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224679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2265073">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49913372">
      <w:bodyDiv w:val="1"/>
      <w:marLeft w:val="0"/>
      <w:marRight w:val="0"/>
      <w:marTop w:val="0"/>
      <w:marBottom w:val="0"/>
      <w:divBdr>
        <w:top w:val="none" w:sz="0" w:space="0" w:color="auto"/>
        <w:left w:val="none" w:sz="0" w:space="0" w:color="auto"/>
        <w:bottom w:val="none" w:sz="0" w:space="0" w:color="auto"/>
        <w:right w:val="none" w:sz="0" w:space="0" w:color="auto"/>
      </w:divBdr>
    </w:div>
    <w:div w:id="1060786542">
      <w:bodyDiv w:val="1"/>
      <w:marLeft w:val="0"/>
      <w:marRight w:val="0"/>
      <w:marTop w:val="0"/>
      <w:marBottom w:val="0"/>
      <w:divBdr>
        <w:top w:val="none" w:sz="0" w:space="0" w:color="auto"/>
        <w:left w:val="none" w:sz="0" w:space="0" w:color="auto"/>
        <w:bottom w:val="none" w:sz="0" w:space="0" w:color="auto"/>
        <w:right w:val="none" w:sz="0" w:space="0" w:color="auto"/>
      </w:divBdr>
    </w:div>
    <w:div w:id="1081832180">
      <w:bodyDiv w:val="1"/>
      <w:marLeft w:val="0"/>
      <w:marRight w:val="0"/>
      <w:marTop w:val="0"/>
      <w:marBottom w:val="0"/>
      <w:divBdr>
        <w:top w:val="none" w:sz="0" w:space="0" w:color="auto"/>
        <w:left w:val="none" w:sz="0" w:space="0" w:color="auto"/>
        <w:bottom w:val="none" w:sz="0" w:space="0" w:color="auto"/>
        <w:right w:val="none" w:sz="0" w:space="0" w:color="auto"/>
      </w:divBdr>
    </w:div>
    <w:div w:id="1088304486">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697623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3472915">
      <w:bodyDiv w:val="1"/>
      <w:marLeft w:val="0"/>
      <w:marRight w:val="0"/>
      <w:marTop w:val="0"/>
      <w:marBottom w:val="0"/>
      <w:divBdr>
        <w:top w:val="none" w:sz="0" w:space="0" w:color="auto"/>
        <w:left w:val="none" w:sz="0" w:space="0" w:color="auto"/>
        <w:bottom w:val="none" w:sz="0" w:space="0" w:color="auto"/>
        <w:right w:val="none" w:sz="0" w:space="0" w:color="auto"/>
      </w:divBdr>
    </w:div>
    <w:div w:id="1167593698">
      <w:bodyDiv w:val="1"/>
      <w:marLeft w:val="0"/>
      <w:marRight w:val="0"/>
      <w:marTop w:val="0"/>
      <w:marBottom w:val="0"/>
      <w:divBdr>
        <w:top w:val="none" w:sz="0" w:space="0" w:color="auto"/>
        <w:left w:val="none" w:sz="0" w:space="0" w:color="auto"/>
        <w:bottom w:val="none" w:sz="0" w:space="0" w:color="auto"/>
        <w:right w:val="none" w:sz="0" w:space="0" w:color="auto"/>
      </w:divBdr>
    </w:div>
    <w:div w:id="1208564366">
      <w:bodyDiv w:val="1"/>
      <w:marLeft w:val="0"/>
      <w:marRight w:val="0"/>
      <w:marTop w:val="0"/>
      <w:marBottom w:val="0"/>
      <w:divBdr>
        <w:top w:val="none" w:sz="0" w:space="0" w:color="auto"/>
        <w:left w:val="none" w:sz="0" w:space="0" w:color="auto"/>
        <w:bottom w:val="none" w:sz="0" w:space="0" w:color="auto"/>
        <w:right w:val="none" w:sz="0" w:space="0" w:color="auto"/>
      </w:divBdr>
    </w:div>
    <w:div w:id="1219710467">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039110">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3703390">
      <w:bodyDiv w:val="1"/>
      <w:marLeft w:val="0"/>
      <w:marRight w:val="0"/>
      <w:marTop w:val="0"/>
      <w:marBottom w:val="0"/>
      <w:divBdr>
        <w:top w:val="none" w:sz="0" w:space="0" w:color="auto"/>
        <w:left w:val="none" w:sz="0" w:space="0" w:color="auto"/>
        <w:bottom w:val="none" w:sz="0" w:space="0" w:color="auto"/>
        <w:right w:val="none" w:sz="0" w:space="0" w:color="auto"/>
      </w:divBdr>
    </w:div>
    <w:div w:id="1274751692">
      <w:bodyDiv w:val="1"/>
      <w:marLeft w:val="0"/>
      <w:marRight w:val="0"/>
      <w:marTop w:val="0"/>
      <w:marBottom w:val="0"/>
      <w:divBdr>
        <w:top w:val="none" w:sz="0" w:space="0" w:color="auto"/>
        <w:left w:val="none" w:sz="0" w:space="0" w:color="auto"/>
        <w:bottom w:val="none" w:sz="0" w:space="0" w:color="auto"/>
        <w:right w:val="none" w:sz="0" w:space="0" w:color="auto"/>
      </w:divBdr>
    </w:div>
    <w:div w:id="1275015075">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3660411">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38725475">
      <w:bodyDiv w:val="1"/>
      <w:marLeft w:val="0"/>
      <w:marRight w:val="0"/>
      <w:marTop w:val="0"/>
      <w:marBottom w:val="0"/>
      <w:divBdr>
        <w:top w:val="none" w:sz="0" w:space="0" w:color="auto"/>
        <w:left w:val="none" w:sz="0" w:space="0" w:color="auto"/>
        <w:bottom w:val="none" w:sz="0" w:space="0" w:color="auto"/>
        <w:right w:val="none" w:sz="0" w:space="0" w:color="auto"/>
      </w:divBdr>
    </w:div>
    <w:div w:id="1342584853">
      <w:bodyDiv w:val="1"/>
      <w:marLeft w:val="0"/>
      <w:marRight w:val="0"/>
      <w:marTop w:val="0"/>
      <w:marBottom w:val="0"/>
      <w:divBdr>
        <w:top w:val="none" w:sz="0" w:space="0" w:color="auto"/>
        <w:left w:val="none" w:sz="0" w:space="0" w:color="auto"/>
        <w:bottom w:val="none" w:sz="0" w:space="0" w:color="auto"/>
        <w:right w:val="none" w:sz="0" w:space="0" w:color="auto"/>
      </w:divBdr>
    </w:div>
    <w:div w:id="134921621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656267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176105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8629581">
      <w:bodyDiv w:val="1"/>
      <w:marLeft w:val="0"/>
      <w:marRight w:val="0"/>
      <w:marTop w:val="0"/>
      <w:marBottom w:val="0"/>
      <w:divBdr>
        <w:top w:val="none" w:sz="0" w:space="0" w:color="auto"/>
        <w:left w:val="none" w:sz="0" w:space="0" w:color="auto"/>
        <w:bottom w:val="none" w:sz="0" w:space="0" w:color="auto"/>
        <w:right w:val="none" w:sz="0" w:space="0" w:color="auto"/>
      </w:divBdr>
    </w:div>
    <w:div w:id="140649305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8603881">
      <w:bodyDiv w:val="1"/>
      <w:marLeft w:val="0"/>
      <w:marRight w:val="0"/>
      <w:marTop w:val="0"/>
      <w:marBottom w:val="0"/>
      <w:divBdr>
        <w:top w:val="none" w:sz="0" w:space="0" w:color="auto"/>
        <w:left w:val="none" w:sz="0" w:space="0" w:color="auto"/>
        <w:bottom w:val="none" w:sz="0" w:space="0" w:color="auto"/>
        <w:right w:val="none" w:sz="0" w:space="0" w:color="auto"/>
      </w:divBdr>
    </w:div>
    <w:div w:id="1440949955">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9534490">
      <w:bodyDiv w:val="1"/>
      <w:marLeft w:val="0"/>
      <w:marRight w:val="0"/>
      <w:marTop w:val="0"/>
      <w:marBottom w:val="0"/>
      <w:divBdr>
        <w:top w:val="none" w:sz="0" w:space="0" w:color="auto"/>
        <w:left w:val="none" w:sz="0" w:space="0" w:color="auto"/>
        <w:bottom w:val="none" w:sz="0" w:space="0" w:color="auto"/>
        <w:right w:val="none" w:sz="0" w:space="0" w:color="auto"/>
      </w:divBdr>
    </w:div>
    <w:div w:id="1502044703">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9563511">
      <w:bodyDiv w:val="1"/>
      <w:marLeft w:val="0"/>
      <w:marRight w:val="0"/>
      <w:marTop w:val="0"/>
      <w:marBottom w:val="0"/>
      <w:divBdr>
        <w:top w:val="none" w:sz="0" w:space="0" w:color="auto"/>
        <w:left w:val="none" w:sz="0" w:space="0" w:color="auto"/>
        <w:bottom w:val="none" w:sz="0" w:space="0" w:color="auto"/>
        <w:right w:val="none" w:sz="0" w:space="0" w:color="auto"/>
      </w:divBdr>
    </w:div>
    <w:div w:id="152170211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9529532">
      <w:bodyDiv w:val="1"/>
      <w:marLeft w:val="0"/>
      <w:marRight w:val="0"/>
      <w:marTop w:val="0"/>
      <w:marBottom w:val="0"/>
      <w:divBdr>
        <w:top w:val="none" w:sz="0" w:space="0" w:color="auto"/>
        <w:left w:val="none" w:sz="0" w:space="0" w:color="auto"/>
        <w:bottom w:val="none" w:sz="0" w:space="0" w:color="auto"/>
        <w:right w:val="none" w:sz="0" w:space="0" w:color="auto"/>
      </w:divBdr>
    </w:div>
    <w:div w:id="162006753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3157099">
      <w:bodyDiv w:val="1"/>
      <w:marLeft w:val="0"/>
      <w:marRight w:val="0"/>
      <w:marTop w:val="0"/>
      <w:marBottom w:val="0"/>
      <w:divBdr>
        <w:top w:val="none" w:sz="0" w:space="0" w:color="auto"/>
        <w:left w:val="none" w:sz="0" w:space="0" w:color="auto"/>
        <w:bottom w:val="none" w:sz="0" w:space="0" w:color="auto"/>
        <w:right w:val="none" w:sz="0" w:space="0" w:color="auto"/>
      </w:divBdr>
    </w:div>
    <w:div w:id="1759475784">
      <w:bodyDiv w:val="1"/>
      <w:marLeft w:val="0"/>
      <w:marRight w:val="0"/>
      <w:marTop w:val="0"/>
      <w:marBottom w:val="0"/>
      <w:divBdr>
        <w:top w:val="none" w:sz="0" w:space="0" w:color="auto"/>
        <w:left w:val="none" w:sz="0" w:space="0" w:color="auto"/>
        <w:bottom w:val="none" w:sz="0" w:space="0" w:color="auto"/>
        <w:right w:val="none" w:sz="0" w:space="0" w:color="auto"/>
      </w:divBdr>
    </w:div>
    <w:div w:id="1761488158">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7602344">
      <w:bodyDiv w:val="1"/>
      <w:marLeft w:val="0"/>
      <w:marRight w:val="0"/>
      <w:marTop w:val="0"/>
      <w:marBottom w:val="0"/>
      <w:divBdr>
        <w:top w:val="none" w:sz="0" w:space="0" w:color="auto"/>
        <w:left w:val="none" w:sz="0" w:space="0" w:color="auto"/>
        <w:bottom w:val="none" w:sz="0" w:space="0" w:color="auto"/>
        <w:right w:val="none" w:sz="0" w:space="0" w:color="auto"/>
      </w:divBdr>
    </w:div>
    <w:div w:id="1807627650">
      <w:bodyDiv w:val="1"/>
      <w:marLeft w:val="0"/>
      <w:marRight w:val="0"/>
      <w:marTop w:val="0"/>
      <w:marBottom w:val="0"/>
      <w:divBdr>
        <w:top w:val="none" w:sz="0" w:space="0" w:color="auto"/>
        <w:left w:val="none" w:sz="0" w:space="0" w:color="auto"/>
        <w:bottom w:val="none" w:sz="0" w:space="0" w:color="auto"/>
        <w:right w:val="none" w:sz="0" w:space="0" w:color="auto"/>
      </w:divBdr>
    </w:div>
    <w:div w:id="181104901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8771336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270225">
      <w:bodyDiv w:val="1"/>
      <w:marLeft w:val="0"/>
      <w:marRight w:val="0"/>
      <w:marTop w:val="0"/>
      <w:marBottom w:val="0"/>
      <w:divBdr>
        <w:top w:val="none" w:sz="0" w:space="0" w:color="auto"/>
        <w:left w:val="none" w:sz="0" w:space="0" w:color="auto"/>
        <w:bottom w:val="none" w:sz="0" w:space="0" w:color="auto"/>
        <w:right w:val="none" w:sz="0" w:space="0" w:color="auto"/>
      </w:divBdr>
    </w:div>
    <w:div w:id="1952009383">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6398">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13934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193837">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045303">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6269872">
      <w:bodyDiv w:val="1"/>
      <w:marLeft w:val="0"/>
      <w:marRight w:val="0"/>
      <w:marTop w:val="0"/>
      <w:marBottom w:val="0"/>
      <w:divBdr>
        <w:top w:val="none" w:sz="0" w:space="0" w:color="auto"/>
        <w:left w:val="none" w:sz="0" w:space="0" w:color="auto"/>
        <w:bottom w:val="none" w:sz="0" w:space="0" w:color="auto"/>
        <w:right w:val="none" w:sz="0" w:space="0" w:color="auto"/>
      </w:divBdr>
    </w:div>
    <w:div w:id="2133787266">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diputados.gob.mx/documentos/N_Acta_Nacimiento.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Times New Roman"/>
    <w:panose1 w:val="02040502050505030304"/>
    <w:charset w:val="00"/>
    <w:family w:val="roman"/>
    <w:pitch w:val="variable"/>
    <w:sig w:usb0="E0000287" w:usb1="40000013" w:usb2="00000000" w:usb3="00000000" w:csb0="0000019F" w:csb1="00000000"/>
  </w:font>
  <w:font w:name="Tahoma">
    <w:altName w:val="Times New Roman"/>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7E60AB"/>
    <w:rsid w:val="00100BB2"/>
    <w:rsid w:val="007E6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FFC12-7967-40E0-8BEE-B723BB6ED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11740</Words>
  <Characters>64576</Characters>
  <Application>Microsoft Office Word</Application>
  <DocSecurity>0</DocSecurity>
  <Lines>538</Lines>
  <Paragraphs>152</Paragraphs>
  <ScaleCrop>false</ScaleCrop>
  <Company>Hewlett-Packard Company</Company>
  <LinksUpToDate>false</LinksUpToDate>
  <CharactersWithSpaces>76164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cp:lastModifiedBy>Cuenta Microsoft</cp:lastModifiedBy>
  <cp:revision>10</cp:revision>
  <cp:lastPrinted>2019-05-16T23:53:00Z</cp:lastPrinted>
  <dcterms:created xsi:type="dcterms:W3CDTF">2023-02-23T05:42:00Z</dcterms:created>
  <dcterms:modified xsi:type="dcterms:W3CDTF">2023-07-03T16:54:00Z</dcterms:modified>
</cp:coreProperties>
</file>