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8E1B9" w14:textId="77777777" w:rsidR="007E5B84" w:rsidRDefault="007E5B84" w:rsidP="00B31E90">
      <w:pPr>
        <w:tabs>
          <w:tab w:val="left" w:pos="3465"/>
        </w:tabs>
        <w:spacing w:line="360" w:lineRule="auto"/>
        <w:jc w:val="both"/>
        <w:rPr>
          <w:rFonts w:ascii="Palatino Linotype" w:hAnsi="Palatino Linotype"/>
          <w:color w:val="000000" w:themeColor="text1"/>
        </w:rPr>
      </w:pPr>
    </w:p>
    <w:p w14:paraId="73F7F940" w14:textId="152A5CB1" w:rsidR="00662C69" w:rsidRPr="006E21B6"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6E21B6">
        <w:rPr>
          <w:rFonts w:ascii="Palatino Linotype" w:hAnsi="Palatino Linotype"/>
          <w:color w:val="000000" w:themeColor="text1"/>
        </w:rPr>
        <w:t>R</w:t>
      </w:r>
      <w:r w:rsidR="00662C69" w:rsidRPr="006E21B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E21B6">
        <w:rPr>
          <w:rFonts w:ascii="Palatino Linotype" w:hAnsi="Palatino Linotype"/>
          <w:color w:val="000000" w:themeColor="text1"/>
        </w:rPr>
        <w:t>icipios, con</w:t>
      </w:r>
      <w:r w:rsidR="00662C69" w:rsidRPr="006E21B6">
        <w:rPr>
          <w:rFonts w:ascii="Palatino Linotype" w:hAnsi="Palatino Linotype"/>
          <w:color w:val="000000" w:themeColor="text1"/>
        </w:rPr>
        <w:t xml:space="preserve"> </w:t>
      </w:r>
      <w:r w:rsidR="00485DB6" w:rsidRPr="006E21B6">
        <w:rPr>
          <w:rFonts w:ascii="Palatino Linotype" w:hAnsi="Palatino Linotype"/>
          <w:color w:val="000000" w:themeColor="text1"/>
        </w:rPr>
        <w:t xml:space="preserve">domicilio </w:t>
      </w:r>
      <w:r w:rsidR="00662C69" w:rsidRPr="006E21B6">
        <w:rPr>
          <w:rFonts w:ascii="Palatino Linotype" w:hAnsi="Palatino Linotype"/>
          <w:color w:val="000000" w:themeColor="text1"/>
        </w:rPr>
        <w:t xml:space="preserve">en Metepec, Estado de México; de </w:t>
      </w:r>
      <w:r w:rsidR="006E21B6" w:rsidRPr="006E21B6">
        <w:rPr>
          <w:rFonts w:ascii="Palatino Linotype" w:hAnsi="Palatino Linotype"/>
          <w:color w:val="000000" w:themeColor="text1"/>
        </w:rPr>
        <w:t xml:space="preserve">fecha </w:t>
      </w:r>
      <w:r w:rsidR="00B14FFA" w:rsidRPr="006E21B6">
        <w:rPr>
          <w:rFonts w:ascii="Palatino Linotype" w:hAnsi="Palatino Linotype"/>
          <w:color w:val="000000" w:themeColor="text1"/>
        </w:rPr>
        <w:t>uno</w:t>
      </w:r>
      <w:r w:rsidR="007076C5" w:rsidRPr="006E21B6">
        <w:rPr>
          <w:rFonts w:ascii="Palatino Linotype" w:hAnsi="Palatino Linotype"/>
          <w:color w:val="000000" w:themeColor="text1"/>
        </w:rPr>
        <w:t xml:space="preserve"> (</w:t>
      </w:r>
      <w:r w:rsidR="006E21B6" w:rsidRPr="006E21B6">
        <w:rPr>
          <w:rFonts w:ascii="Palatino Linotype" w:hAnsi="Palatino Linotype"/>
          <w:color w:val="000000" w:themeColor="text1"/>
        </w:rPr>
        <w:t>0</w:t>
      </w:r>
      <w:r w:rsidR="00B14FFA" w:rsidRPr="006E21B6">
        <w:rPr>
          <w:rFonts w:ascii="Palatino Linotype" w:hAnsi="Palatino Linotype"/>
          <w:color w:val="000000" w:themeColor="text1"/>
        </w:rPr>
        <w:t>1</w:t>
      </w:r>
      <w:r w:rsidR="007076C5" w:rsidRPr="006E21B6">
        <w:rPr>
          <w:rFonts w:ascii="Palatino Linotype" w:hAnsi="Palatino Linotype"/>
          <w:color w:val="000000" w:themeColor="text1"/>
        </w:rPr>
        <w:t xml:space="preserve">) de </w:t>
      </w:r>
      <w:r w:rsidR="00B14FFA" w:rsidRPr="006E21B6">
        <w:rPr>
          <w:rFonts w:ascii="Palatino Linotype" w:hAnsi="Palatino Linotype"/>
          <w:color w:val="000000" w:themeColor="text1"/>
        </w:rPr>
        <w:t>marzo</w:t>
      </w:r>
      <w:r w:rsidR="002D1AA7" w:rsidRPr="006E21B6">
        <w:rPr>
          <w:rFonts w:ascii="Palatino Linotype" w:hAnsi="Palatino Linotype"/>
          <w:color w:val="000000" w:themeColor="text1"/>
        </w:rPr>
        <w:t xml:space="preserve"> de dos mil veinti</w:t>
      </w:r>
      <w:r w:rsidR="003B4803" w:rsidRPr="006E21B6">
        <w:rPr>
          <w:rFonts w:ascii="Palatino Linotype" w:hAnsi="Palatino Linotype"/>
          <w:color w:val="000000" w:themeColor="text1"/>
        </w:rPr>
        <w:t>trés</w:t>
      </w:r>
      <w:r w:rsidR="00662C69" w:rsidRPr="006E21B6">
        <w:rPr>
          <w:rFonts w:ascii="Palatino Linotype" w:hAnsi="Palatino Linotype"/>
          <w:color w:val="000000" w:themeColor="text1"/>
        </w:rPr>
        <w:t>.</w:t>
      </w:r>
    </w:p>
    <w:p w14:paraId="1181C59D" w14:textId="77777777" w:rsidR="00B31E90" w:rsidRPr="006E21B6" w:rsidRDefault="00B31E90" w:rsidP="00B31E90">
      <w:pPr>
        <w:tabs>
          <w:tab w:val="left" w:pos="3465"/>
        </w:tabs>
        <w:spacing w:line="360" w:lineRule="auto"/>
        <w:jc w:val="both"/>
        <w:rPr>
          <w:rFonts w:ascii="Palatino Linotype" w:hAnsi="Palatino Linotype"/>
          <w:color w:val="000000" w:themeColor="text1"/>
        </w:rPr>
      </w:pPr>
    </w:p>
    <w:p w14:paraId="04F87235" w14:textId="621EC299" w:rsidR="005F0007" w:rsidRPr="006E21B6" w:rsidRDefault="00662C69" w:rsidP="00B31E90">
      <w:pPr>
        <w:spacing w:line="360" w:lineRule="auto"/>
        <w:jc w:val="both"/>
        <w:rPr>
          <w:rFonts w:ascii="Palatino Linotype" w:eastAsia="Times New Roman" w:hAnsi="Palatino Linotype" w:cs="Times New Roman"/>
          <w:color w:val="000000" w:themeColor="text1"/>
        </w:rPr>
      </w:pPr>
      <w:r w:rsidRPr="006E21B6">
        <w:rPr>
          <w:rFonts w:ascii="Palatino Linotype" w:hAnsi="Palatino Linotype"/>
          <w:b/>
          <w:color w:val="000000" w:themeColor="text1"/>
        </w:rPr>
        <w:t>VISTO</w:t>
      </w:r>
      <w:r w:rsidRPr="006E21B6">
        <w:rPr>
          <w:rFonts w:ascii="Palatino Linotype" w:hAnsi="Palatino Linotype"/>
          <w:color w:val="000000" w:themeColor="text1"/>
        </w:rPr>
        <w:t xml:space="preserve"> el expediente electrónico for</w:t>
      </w:r>
      <w:r w:rsidR="00D37494" w:rsidRPr="006E21B6">
        <w:rPr>
          <w:rFonts w:ascii="Palatino Linotype" w:hAnsi="Palatino Linotype"/>
          <w:color w:val="000000" w:themeColor="text1"/>
        </w:rPr>
        <w:t>mado con motivo del</w:t>
      </w:r>
      <w:r w:rsidRPr="006E21B6">
        <w:rPr>
          <w:rFonts w:ascii="Palatino Linotype" w:hAnsi="Palatino Linotype"/>
          <w:color w:val="000000" w:themeColor="text1"/>
        </w:rPr>
        <w:t xml:space="preserve"> recurso de revisión </w:t>
      </w:r>
      <w:r w:rsidR="00B14FFA" w:rsidRPr="006E21B6">
        <w:rPr>
          <w:rFonts w:ascii="Palatino Linotype" w:hAnsi="Palatino Linotype"/>
          <w:b/>
          <w:szCs w:val="22"/>
        </w:rPr>
        <w:t>17268/INFOEM/IP/RR/2022</w:t>
      </w:r>
      <w:r w:rsidR="005F1362" w:rsidRPr="006E21B6">
        <w:rPr>
          <w:rFonts w:ascii="Palatino Linotype" w:eastAsia="Times New Roman" w:hAnsi="Palatino Linotype" w:cs="Arial"/>
          <w:bCs/>
          <w:color w:val="000000" w:themeColor="text1"/>
        </w:rPr>
        <w:t xml:space="preserve">, </w:t>
      </w:r>
      <w:r w:rsidR="006B31E7" w:rsidRPr="006E21B6">
        <w:rPr>
          <w:rFonts w:ascii="Palatino Linotype" w:eastAsia="Times New Roman" w:hAnsi="Palatino Linotype" w:cs="Times New Roman"/>
          <w:color w:val="000000" w:themeColor="text1"/>
        </w:rPr>
        <w:t>interpuesto por</w:t>
      </w:r>
      <w:r w:rsidR="0078249C" w:rsidRPr="006E21B6">
        <w:rPr>
          <w:rFonts w:ascii="Palatino Linotype" w:eastAsia="Times New Roman" w:hAnsi="Palatino Linotype" w:cs="Times New Roman"/>
          <w:color w:val="000000" w:themeColor="text1"/>
        </w:rPr>
        <w:t xml:space="preserve"> </w:t>
      </w:r>
      <w:r w:rsidR="00127EC9">
        <w:rPr>
          <w:rFonts w:ascii="Palatino Linotype" w:hAnsi="Palatino Linotype"/>
          <w:b/>
          <w:szCs w:val="22"/>
        </w:rPr>
        <w:t>XXXXXXX</w:t>
      </w:r>
      <w:r w:rsidR="004402C5" w:rsidRPr="006E21B6">
        <w:rPr>
          <w:rFonts w:ascii="Palatino Linotype" w:eastAsia="Times New Roman" w:hAnsi="Palatino Linotype" w:cs="Times New Roman"/>
          <w:color w:val="000000" w:themeColor="text1"/>
        </w:rPr>
        <w:t>,</w:t>
      </w:r>
      <w:r w:rsidR="00D0377B" w:rsidRPr="006E21B6">
        <w:rPr>
          <w:rFonts w:ascii="Palatino Linotype" w:eastAsia="Times New Roman" w:hAnsi="Palatino Linotype" w:cs="Times New Roman"/>
          <w:color w:val="000000" w:themeColor="text1"/>
        </w:rPr>
        <w:t xml:space="preserve"> </w:t>
      </w:r>
      <w:r w:rsidR="007076C5" w:rsidRPr="006E21B6">
        <w:rPr>
          <w:rFonts w:ascii="Palatino Linotype" w:eastAsia="Times New Roman" w:hAnsi="Palatino Linotype" w:cs="Times New Roman"/>
          <w:color w:val="000000" w:themeColor="text1"/>
        </w:rPr>
        <w:t>en adelante la</w:t>
      </w:r>
      <w:r w:rsidR="00E92215" w:rsidRPr="006E21B6">
        <w:rPr>
          <w:rFonts w:ascii="Palatino Linotype" w:eastAsia="Times New Roman" w:hAnsi="Palatino Linotype" w:cs="Times New Roman"/>
          <w:color w:val="000000" w:themeColor="text1"/>
        </w:rPr>
        <w:t xml:space="preserve"> </w:t>
      </w:r>
      <w:r w:rsidR="006B31E7" w:rsidRPr="006E21B6">
        <w:rPr>
          <w:rFonts w:ascii="Palatino Linotype" w:eastAsia="Times New Roman" w:hAnsi="Palatino Linotype" w:cs="Times New Roman"/>
          <w:b/>
          <w:bCs/>
          <w:color w:val="000000" w:themeColor="text1"/>
        </w:rPr>
        <w:t>RECURRENTE</w:t>
      </w:r>
      <w:r w:rsidR="00E647FF" w:rsidRPr="006E21B6">
        <w:rPr>
          <w:rFonts w:ascii="Palatino Linotype" w:eastAsia="Times New Roman" w:hAnsi="Palatino Linotype" w:cs="Arial"/>
          <w:color w:val="000000" w:themeColor="text1"/>
        </w:rPr>
        <w:t>;</w:t>
      </w:r>
      <w:r w:rsidR="005F1362" w:rsidRPr="006E21B6">
        <w:rPr>
          <w:rFonts w:ascii="Palatino Linotype" w:eastAsia="Times New Roman" w:hAnsi="Palatino Linotype" w:cs="Arial"/>
          <w:color w:val="000000" w:themeColor="text1"/>
        </w:rPr>
        <w:t xml:space="preserve"> en contra de la respuesta de</w:t>
      </w:r>
      <w:r w:rsidR="003B4803" w:rsidRPr="006E21B6">
        <w:rPr>
          <w:rFonts w:ascii="Palatino Linotype" w:eastAsia="Times New Roman" w:hAnsi="Palatino Linotype" w:cs="Arial"/>
          <w:color w:val="000000" w:themeColor="text1"/>
        </w:rPr>
        <w:t xml:space="preserve"> </w:t>
      </w:r>
      <w:r w:rsidR="005F1362" w:rsidRPr="006E21B6">
        <w:rPr>
          <w:rFonts w:ascii="Palatino Linotype" w:eastAsia="Times New Roman" w:hAnsi="Palatino Linotype" w:cs="Arial"/>
          <w:color w:val="000000" w:themeColor="text1"/>
        </w:rPr>
        <w:t>l</w:t>
      </w:r>
      <w:r w:rsidR="003B4803" w:rsidRPr="006E21B6">
        <w:rPr>
          <w:rFonts w:ascii="Palatino Linotype" w:eastAsia="Times New Roman" w:hAnsi="Palatino Linotype" w:cs="Arial"/>
          <w:color w:val="000000" w:themeColor="text1"/>
        </w:rPr>
        <w:t>a</w:t>
      </w:r>
      <w:r w:rsidR="002C1007" w:rsidRPr="006E21B6">
        <w:rPr>
          <w:rFonts w:ascii="Palatino Linotype" w:eastAsia="Times New Roman" w:hAnsi="Palatino Linotype" w:cs="Arial"/>
          <w:color w:val="000000" w:themeColor="text1"/>
        </w:rPr>
        <w:t xml:space="preserve"> </w:t>
      </w:r>
      <w:r w:rsidR="00B14FFA" w:rsidRPr="006E21B6">
        <w:rPr>
          <w:rFonts w:ascii="Palatino Linotype" w:eastAsia="Calibri" w:hAnsi="Palatino Linotype" w:cs="Arial"/>
          <w:b/>
          <w:bCs/>
          <w:lang w:val="es-ES"/>
        </w:rPr>
        <w:t>Secretaría de Medio Ambiente</w:t>
      </w:r>
      <w:r w:rsidR="009572EE" w:rsidRPr="006E21B6">
        <w:rPr>
          <w:rFonts w:ascii="Palatino Linotype" w:eastAsia="Calibri" w:hAnsi="Palatino Linotype" w:cs="Arial"/>
          <w:color w:val="000000" w:themeColor="text1"/>
          <w:lang w:val="es-ES"/>
        </w:rPr>
        <w:t>,</w:t>
      </w:r>
      <w:r w:rsidR="005F1362" w:rsidRPr="006E21B6">
        <w:rPr>
          <w:rFonts w:ascii="Palatino Linotype" w:eastAsia="Calibri" w:hAnsi="Palatino Linotype" w:cs="Arial"/>
          <w:color w:val="000000" w:themeColor="text1"/>
          <w:lang w:val="es-ES"/>
        </w:rPr>
        <w:t xml:space="preserve"> </w:t>
      </w:r>
      <w:r w:rsidR="005F1362" w:rsidRPr="006E21B6">
        <w:rPr>
          <w:rFonts w:ascii="Palatino Linotype" w:eastAsia="Times New Roman" w:hAnsi="Palatino Linotype" w:cs="Times New Roman"/>
          <w:color w:val="000000" w:themeColor="text1"/>
        </w:rPr>
        <w:t>en lo sucesivo el</w:t>
      </w:r>
      <w:r w:rsidR="005F1362" w:rsidRPr="006E21B6">
        <w:rPr>
          <w:rFonts w:ascii="Palatino Linotype" w:eastAsia="Times New Roman" w:hAnsi="Palatino Linotype" w:cs="Times New Roman"/>
          <w:b/>
          <w:color w:val="000000" w:themeColor="text1"/>
        </w:rPr>
        <w:t xml:space="preserve"> SUJETO OBLIGADO, </w:t>
      </w:r>
      <w:r w:rsidR="005F1362" w:rsidRPr="006E21B6">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6E21B6" w:rsidRDefault="003E0075" w:rsidP="00B31E90">
      <w:pPr>
        <w:spacing w:line="360" w:lineRule="auto"/>
        <w:jc w:val="both"/>
        <w:rPr>
          <w:rFonts w:ascii="Palatino Linotype" w:eastAsia="Times New Roman" w:hAnsi="Palatino Linotype" w:cs="Times New Roman"/>
          <w:color w:val="000000" w:themeColor="text1"/>
        </w:rPr>
      </w:pPr>
    </w:p>
    <w:p w14:paraId="769E1410" w14:textId="5FD6FAFC" w:rsidR="00587366" w:rsidRPr="006E21B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E21B6">
        <w:rPr>
          <w:b/>
          <w:color w:val="000000" w:themeColor="text1"/>
        </w:rPr>
        <w:t>A</w:t>
      </w:r>
      <w:r w:rsidR="00C967DD" w:rsidRPr="006E21B6">
        <w:rPr>
          <w:b/>
          <w:color w:val="000000" w:themeColor="text1"/>
        </w:rPr>
        <w:t xml:space="preserve"> </w:t>
      </w:r>
      <w:r w:rsidRPr="006E21B6">
        <w:rPr>
          <w:b/>
          <w:color w:val="000000" w:themeColor="text1"/>
        </w:rPr>
        <w:t>N</w:t>
      </w:r>
      <w:r w:rsidR="00C967DD" w:rsidRPr="006E21B6">
        <w:rPr>
          <w:b/>
          <w:color w:val="000000" w:themeColor="text1"/>
        </w:rPr>
        <w:t xml:space="preserve"> </w:t>
      </w:r>
      <w:r w:rsidRPr="006E21B6">
        <w:rPr>
          <w:b/>
          <w:color w:val="000000" w:themeColor="text1"/>
        </w:rPr>
        <w:t>T</w:t>
      </w:r>
      <w:r w:rsidR="00C967DD" w:rsidRPr="006E21B6">
        <w:rPr>
          <w:b/>
          <w:color w:val="000000" w:themeColor="text1"/>
        </w:rPr>
        <w:t xml:space="preserve"> </w:t>
      </w:r>
      <w:r w:rsidRPr="006E21B6">
        <w:rPr>
          <w:b/>
          <w:color w:val="000000" w:themeColor="text1"/>
        </w:rPr>
        <w:t>E</w:t>
      </w:r>
      <w:r w:rsidR="00C967DD" w:rsidRPr="006E21B6">
        <w:rPr>
          <w:b/>
          <w:color w:val="000000" w:themeColor="text1"/>
        </w:rPr>
        <w:t xml:space="preserve"> </w:t>
      </w:r>
      <w:r w:rsidRPr="006E21B6">
        <w:rPr>
          <w:b/>
          <w:color w:val="000000" w:themeColor="text1"/>
        </w:rPr>
        <w:t>C</w:t>
      </w:r>
      <w:r w:rsidR="00C967DD" w:rsidRPr="006E21B6">
        <w:rPr>
          <w:b/>
          <w:color w:val="000000" w:themeColor="text1"/>
        </w:rPr>
        <w:t xml:space="preserve"> </w:t>
      </w:r>
      <w:r w:rsidRPr="006E21B6">
        <w:rPr>
          <w:b/>
          <w:color w:val="000000" w:themeColor="text1"/>
        </w:rPr>
        <w:t>E</w:t>
      </w:r>
      <w:r w:rsidR="00C967DD" w:rsidRPr="006E21B6">
        <w:rPr>
          <w:b/>
          <w:color w:val="000000" w:themeColor="text1"/>
        </w:rPr>
        <w:t xml:space="preserve"> </w:t>
      </w:r>
      <w:r w:rsidRPr="006E21B6">
        <w:rPr>
          <w:b/>
          <w:color w:val="000000" w:themeColor="text1"/>
        </w:rPr>
        <w:t>D</w:t>
      </w:r>
      <w:r w:rsidR="00C967DD" w:rsidRPr="006E21B6">
        <w:rPr>
          <w:b/>
          <w:color w:val="000000" w:themeColor="text1"/>
        </w:rPr>
        <w:t xml:space="preserve"> </w:t>
      </w:r>
      <w:r w:rsidRPr="006E21B6">
        <w:rPr>
          <w:b/>
          <w:color w:val="000000" w:themeColor="text1"/>
        </w:rPr>
        <w:t>E</w:t>
      </w:r>
      <w:r w:rsidR="00C967DD" w:rsidRPr="006E21B6">
        <w:rPr>
          <w:b/>
          <w:color w:val="000000" w:themeColor="text1"/>
        </w:rPr>
        <w:t xml:space="preserve"> </w:t>
      </w:r>
      <w:r w:rsidRPr="006E21B6">
        <w:rPr>
          <w:b/>
          <w:color w:val="000000" w:themeColor="text1"/>
        </w:rPr>
        <w:t>N</w:t>
      </w:r>
      <w:r w:rsidR="00C967DD" w:rsidRPr="006E21B6">
        <w:rPr>
          <w:b/>
          <w:color w:val="000000" w:themeColor="text1"/>
        </w:rPr>
        <w:t xml:space="preserve"> </w:t>
      </w:r>
      <w:r w:rsidRPr="006E21B6">
        <w:rPr>
          <w:b/>
          <w:color w:val="000000" w:themeColor="text1"/>
        </w:rPr>
        <w:t>T</w:t>
      </w:r>
      <w:r w:rsidR="00C967DD" w:rsidRPr="006E21B6">
        <w:rPr>
          <w:b/>
          <w:color w:val="000000" w:themeColor="text1"/>
        </w:rPr>
        <w:t xml:space="preserve"> </w:t>
      </w:r>
      <w:r w:rsidRPr="006E21B6">
        <w:rPr>
          <w:b/>
          <w:color w:val="000000" w:themeColor="text1"/>
        </w:rPr>
        <w:t>E</w:t>
      </w:r>
      <w:r w:rsidR="00C967DD" w:rsidRPr="006E21B6">
        <w:rPr>
          <w:b/>
          <w:color w:val="000000" w:themeColor="text1"/>
        </w:rPr>
        <w:t xml:space="preserve"> </w:t>
      </w:r>
      <w:r w:rsidRPr="006E21B6">
        <w:rPr>
          <w:b/>
          <w:color w:val="000000" w:themeColor="text1"/>
        </w:rPr>
        <w:t>S</w:t>
      </w:r>
      <w:bookmarkEnd w:id="0"/>
      <w:bookmarkEnd w:id="1"/>
      <w:bookmarkEnd w:id="2"/>
    </w:p>
    <w:p w14:paraId="55677ED2" w14:textId="77777777" w:rsidR="003E0075" w:rsidRPr="006E21B6" w:rsidRDefault="003E0075" w:rsidP="003E0075">
      <w:pPr>
        <w:rPr>
          <w:lang w:eastAsia="en-US"/>
        </w:rPr>
      </w:pPr>
    </w:p>
    <w:p w14:paraId="402A4C0A" w14:textId="779F4D0B" w:rsidR="00D9392E" w:rsidRPr="006E21B6"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E21B6">
        <w:rPr>
          <w:rFonts w:ascii="Palatino Linotype" w:eastAsia="Calibri" w:hAnsi="Palatino Linotype" w:cs="Arial"/>
          <w:color w:val="000000" w:themeColor="text1"/>
          <w:lang w:val="es-ES"/>
        </w:rPr>
        <w:t>El</w:t>
      </w:r>
      <w:r w:rsidR="00D9392E" w:rsidRPr="006E21B6">
        <w:rPr>
          <w:rFonts w:ascii="Palatino Linotype" w:eastAsia="Calibri" w:hAnsi="Palatino Linotype" w:cs="Arial"/>
          <w:color w:val="000000" w:themeColor="text1"/>
          <w:lang w:val="es-ES"/>
        </w:rPr>
        <w:t xml:space="preserve"> </w:t>
      </w:r>
      <w:r w:rsidR="00B14FFA" w:rsidRPr="006E21B6">
        <w:rPr>
          <w:rFonts w:ascii="Palatino Linotype" w:eastAsia="Calibri" w:hAnsi="Palatino Linotype" w:cs="Arial"/>
          <w:color w:val="000000" w:themeColor="text1"/>
          <w:lang w:val="es-ES"/>
        </w:rPr>
        <w:t>catorce</w:t>
      </w:r>
      <w:r w:rsidR="00755146" w:rsidRPr="006E21B6">
        <w:rPr>
          <w:rFonts w:ascii="Palatino Linotype" w:eastAsia="Calibri" w:hAnsi="Palatino Linotype" w:cs="Arial"/>
          <w:color w:val="000000" w:themeColor="text1"/>
          <w:lang w:val="es-ES"/>
        </w:rPr>
        <w:t xml:space="preserve"> </w:t>
      </w:r>
      <w:r w:rsidR="007076C5" w:rsidRPr="006E21B6">
        <w:rPr>
          <w:rFonts w:ascii="Palatino Linotype" w:eastAsia="Calibri" w:hAnsi="Palatino Linotype" w:cs="Arial"/>
          <w:color w:val="000000" w:themeColor="text1"/>
          <w:lang w:val="es-ES"/>
        </w:rPr>
        <w:t>(</w:t>
      </w:r>
      <w:r w:rsidR="00B14FFA" w:rsidRPr="006E21B6">
        <w:rPr>
          <w:rFonts w:ascii="Palatino Linotype" w:eastAsia="Calibri" w:hAnsi="Palatino Linotype" w:cs="Arial"/>
          <w:color w:val="000000" w:themeColor="text1"/>
          <w:lang w:val="es-ES"/>
        </w:rPr>
        <w:t>14</w:t>
      </w:r>
      <w:r w:rsidR="007076C5" w:rsidRPr="006E21B6">
        <w:rPr>
          <w:rFonts w:ascii="Palatino Linotype" w:eastAsia="Calibri" w:hAnsi="Palatino Linotype" w:cs="Arial"/>
          <w:color w:val="000000" w:themeColor="text1"/>
          <w:lang w:val="es-ES"/>
        </w:rPr>
        <w:t xml:space="preserve">) de </w:t>
      </w:r>
      <w:r w:rsidR="00B14FFA" w:rsidRPr="006E21B6">
        <w:rPr>
          <w:rFonts w:ascii="Palatino Linotype" w:eastAsia="Calibri" w:hAnsi="Palatino Linotype" w:cs="Arial"/>
          <w:color w:val="000000" w:themeColor="text1"/>
          <w:lang w:val="es-ES"/>
        </w:rPr>
        <w:t>noviembre</w:t>
      </w:r>
      <w:r w:rsidR="003B4803" w:rsidRPr="006E21B6">
        <w:rPr>
          <w:rFonts w:ascii="Palatino Linotype" w:eastAsia="Calibri" w:hAnsi="Palatino Linotype" w:cs="Arial"/>
          <w:color w:val="000000" w:themeColor="text1"/>
          <w:lang w:val="es-ES"/>
        </w:rPr>
        <w:t xml:space="preserve"> </w:t>
      </w:r>
      <w:r w:rsidR="00B31E90" w:rsidRPr="006E21B6">
        <w:rPr>
          <w:rFonts w:ascii="Palatino Linotype" w:eastAsia="Calibri" w:hAnsi="Palatino Linotype" w:cs="Arial"/>
          <w:color w:val="000000" w:themeColor="text1"/>
          <w:lang w:val="es-ES"/>
        </w:rPr>
        <w:t>de dos mil veinti</w:t>
      </w:r>
      <w:r w:rsidR="00DC6944" w:rsidRPr="006E21B6">
        <w:rPr>
          <w:rFonts w:ascii="Palatino Linotype" w:eastAsia="Calibri" w:hAnsi="Palatino Linotype" w:cs="Arial"/>
          <w:color w:val="000000" w:themeColor="text1"/>
          <w:lang w:val="es-ES"/>
        </w:rPr>
        <w:t>dós</w:t>
      </w:r>
      <w:r w:rsidR="005F1362" w:rsidRPr="006E21B6">
        <w:rPr>
          <w:rFonts w:ascii="Palatino Linotype" w:eastAsia="Calibri" w:hAnsi="Palatino Linotype" w:cs="Arial"/>
          <w:color w:val="000000" w:themeColor="text1"/>
          <w:lang w:val="es-ES"/>
        </w:rPr>
        <w:t xml:space="preserve">, </w:t>
      </w:r>
      <w:r w:rsidR="004E197E" w:rsidRPr="006E21B6">
        <w:rPr>
          <w:rFonts w:ascii="Palatino Linotype" w:eastAsia="Calibri" w:hAnsi="Palatino Linotype" w:cs="Arial"/>
          <w:color w:val="000000" w:themeColor="text1"/>
          <w:lang w:val="es-ES"/>
        </w:rPr>
        <w:t>el</w:t>
      </w:r>
      <w:r w:rsidR="00B31E90" w:rsidRPr="006E21B6">
        <w:rPr>
          <w:rFonts w:ascii="Palatino Linotype" w:hAnsi="Palatino Linotype"/>
          <w:color w:val="000000" w:themeColor="text1"/>
        </w:rPr>
        <w:t xml:space="preserve"> particular</w:t>
      </w:r>
      <w:r w:rsidR="005F1362" w:rsidRPr="006E21B6">
        <w:rPr>
          <w:rFonts w:ascii="Palatino Linotype" w:hAnsi="Palatino Linotype"/>
          <w:color w:val="000000" w:themeColor="text1"/>
        </w:rPr>
        <w:t xml:space="preserve"> presentó</w:t>
      </w:r>
      <w:r w:rsidR="005F1362" w:rsidRPr="006E21B6">
        <w:rPr>
          <w:rFonts w:ascii="Palatino Linotype" w:hAnsi="Palatino Linotype"/>
          <w:b/>
          <w:color w:val="000000" w:themeColor="text1"/>
        </w:rPr>
        <w:t xml:space="preserve"> </w:t>
      </w:r>
      <w:r w:rsidR="00127E68" w:rsidRPr="006E21B6">
        <w:rPr>
          <w:rFonts w:ascii="Palatino Linotype" w:hAnsi="Palatino Linotype"/>
          <w:bCs/>
          <w:color w:val="000000" w:themeColor="text1"/>
        </w:rPr>
        <w:t xml:space="preserve">a través </w:t>
      </w:r>
      <w:bookmarkStart w:id="3" w:name="_GoBack"/>
      <w:bookmarkEnd w:id="3"/>
      <w:r w:rsidR="00DE4F75" w:rsidRPr="006E21B6">
        <w:rPr>
          <w:rFonts w:ascii="Palatino Linotype" w:hAnsi="Palatino Linotype"/>
          <w:bCs/>
          <w:color w:val="000000" w:themeColor="text1"/>
        </w:rPr>
        <w:t>de</w:t>
      </w:r>
      <w:r w:rsidR="004863BC" w:rsidRPr="006E21B6">
        <w:rPr>
          <w:rFonts w:ascii="Palatino Linotype" w:hAnsi="Palatino Linotype"/>
          <w:bCs/>
          <w:color w:val="000000" w:themeColor="text1"/>
        </w:rPr>
        <w:t xml:space="preserve">l </w:t>
      </w:r>
      <w:r w:rsidR="005F1362" w:rsidRPr="006E21B6">
        <w:rPr>
          <w:rFonts w:ascii="Palatino Linotype" w:eastAsia="Calibri" w:hAnsi="Palatino Linotype" w:cs="Arial"/>
          <w:color w:val="000000" w:themeColor="text1"/>
          <w:lang w:val="es-ES"/>
        </w:rPr>
        <w:t xml:space="preserve">Sistema de Acceso a la Información Mexiquense </w:t>
      </w:r>
      <w:r w:rsidR="005F1362" w:rsidRPr="006E21B6">
        <w:rPr>
          <w:rFonts w:ascii="Palatino Linotype" w:eastAsia="Calibri" w:hAnsi="Palatino Linotype" w:cs="Arial"/>
          <w:bCs/>
          <w:color w:val="000000" w:themeColor="text1"/>
          <w:lang w:val="es-ES"/>
        </w:rPr>
        <w:t>(SAIMEX)</w:t>
      </w:r>
      <w:r w:rsidR="005F1362" w:rsidRPr="006E21B6">
        <w:rPr>
          <w:rFonts w:ascii="Palatino Linotype" w:eastAsia="Calibri" w:hAnsi="Palatino Linotype" w:cs="Arial"/>
          <w:color w:val="000000" w:themeColor="text1"/>
          <w:lang w:val="es-ES"/>
        </w:rPr>
        <w:t>, la solicitud de información pública registrada con el número</w:t>
      </w:r>
      <w:r w:rsidR="005F1362" w:rsidRPr="006E21B6">
        <w:rPr>
          <w:rFonts w:ascii="Palatino Linotype" w:hAnsi="Palatino Linotype"/>
          <w:b/>
          <w:bCs/>
          <w:color w:val="000000" w:themeColor="text1"/>
        </w:rPr>
        <w:t xml:space="preserve"> </w:t>
      </w:r>
      <w:r w:rsidR="004402C5" w:rsidRPr="006E21B6">
        <w:rPr>
          <w:rFonts w:ascii="Palatino Linotype" w:hAnsi="Palatino Linotype"/>
          <w:b/>
          <w:bCs/>
          <w:color w:val="000000" w:themeColor="text1"/>
        </w:rPr>
        <w:t>0</w:t>
      </w:r>
      <w:r w:rsidR="00114756" w:rsidRPr="006E21B6">
        <w:rPr>
          <w:rFonts w:ascii="Palatino Linotype" w:hAnsi="Palatino Linotype"/>
          <w:b/>
          <w:bCs/>
          <w:color w:val="000000" w:themeColor="text1"/>
        </w:rPr>
        <w:t>0</w:t>
      </w:r>
      <w:r w:rsidR="00B14FFA" w:rsidRPr="006E21B6">
        <w:rPr>
          <w:rFonts w:ascii="Palatino Linotype" w:hAnsi="Palatino Linotype"/>
          <w:b/>
          <w:bCs/>
          <w:color w:val="000000" w:themeColor="text1"/>
        </w:rPr>
        <w:t>542</w:t>
      </w:r>
      <w:r w:rsidR="004402C5" w:rsidRPr="006E21B6">
        <w:rPr>
          <w:rFonts w:ascii="Palatino Linotype" w:hAnsi="Palatino Linotype"/>
          <w:b/>
          <w:bCs/>
          <w:color w:val="000000" w:themeColor="text1"/>
        </w:rPr>
        <w:t>/</w:t>
      </w:r>
      <w:r w:rsidR="00B14FFA" w:rsidRPr="006E21B6">
        <w:rPr>
          <w:rFonts w:ascii="Palatino Linotype" w:hAnsi="Palatino Linotype"/>
          <w:b/>
          <w:bCs/>
          <w:color w:val="000000" w:themeColor="text1"/>
        </w:rPr>
        <w:t>SMA</w:t>
      </w:r>
      <w:r w:rsidR="004402C5" w:rsidRPr="006E21B6">
        <w:rPr>
          <w:rFonts w:ascii="Palatino Linotype" w:hAnsi="Palatino Linotype"/>
          <w:b/>
          <w:bCs/>
          <w:color w:val="000000" w:themeColor="text1"/>
        </w:rPr>
        <w:t>/IP/2022</w:t>
      </w:r>
      <w:r w:rsidR="005F1362" w:rsidRPr="006E21B6">
        <w:rPr>
          <w:rFonts w:ascii="Palatino Linotype" w:hAnsi="Palatino Linotype"/>
          <w:b/>
          <w:bCs/>
          <w:color w:val="000000" w:themeColor="text1"/>
        </w:rPr>
        <w:t>,</w:t>
      </w:r>
      <w:r w:rsidR="005F1362" w:rsidRPr="006E21B6">
        <w:rPr>
          <w:rFonts w:ascii="Palatino Linotype" w:eastAsia="Calibri" w:hAnsi="Palatino Linotype" w:cs="Arial"/>
          <w:color w:val="000000" w:themeColor="text1"/>
          <w:lang w:val="es-ES"/>
        </w:rPr>
        <w:t xml:space="preserve"> mediante la cual requirió</w:t>
      </w:r>
      <w:r w:rsidR="00022D89" w:rsidRPr="006E21B6">
        <w:rPr>
          <w:rFonts w:ascii="Palatino Linotype" w:eastAsia="Calibri" w:hAnsi="Palatino Linotype" w:cs="Arial"/>
          <w:color w:val="000000" w:themeColor="text1"/>
          <w:lang w:val="es-ES"/>
        </w:rPr>
        <w:t xml:space="preserve"> lo siguiente</w:t>
      </w:r>
      <w:r w:rsidR="005F1362" w:rsidRPr="006E21B6">
        <w:rPr>
          <w:rFonts w:ascii="Palatino Linotype" w:eastAsia="Calibri" w:hAnsi="Palatino Linotype" w:cs="Arial"/>
          <w:color w:val="000000" w:themeColor="text1"/>
          <w:lang w:val="es-ES"/>
        </w:rPr>
        <w:t>:</w:t>
      </w:r>
    </w:p>
    <w:p w14:paraId="76EB7490" w14:textId="77777777" w:rsidR="00B31E90" w:rsidRPr="006E21B6"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B39FECF" w:rsidR="0097210F" w:rsidRPr="006E21B6"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6E21B6">
        <w:rPr>
          <w:rFonts w:ascii="Palatino Linotype" w:hAnsi="Palatino Linotype"/>
          <w:i/>
          <w:color w:val="000000" w:themeColor="text1"/>
          <w:sz w:val="22"/>
          <w:szCs w:val="22"/>
        </w:rPr>
        <w:t>“</w:t>
      </w:r>
      <w:r w:rsidR="00B14FFA" w:rsidRPr="006E21B6">
        <w:rPr>
          <w:rFonts w:ascii="Palatino Linotype" w:hAnsi="Palatino Linotype"/>
          <w:bCs/>
          <w:i/>
          <w:color w:val="000000"/>
          <w:sz w:val="22"/>
          <w:szCs w:val="22"/>
        </w:rPr>
        <w:t>Solicito el Análisis de Impacto Regulatorio emitido respecto a la NORMA TÉCNICA ESTATAL AMBIENTAL NTEA-011-SeMAGEM-RS-2022, QUE ESTABLECE LOS REQUISITOS PARA EL MANEJO DE LOS RESIDUOS DE LA CONSTRUCCIÓN Y DEMOLICIÓN Y SU TRAZABILIDAD PARA EL ESTADO DE MÉXICO, publicada en la Gaceta de Gobierno del estado de México el 14 de noviembre de 2022.</w:t>
      </w:r>
      <w:r w:rsidRPr="006E21B6">
        <w:rPr>
          <w:rFonts w:ascii="Palatino Linotype" w:hAnsi="Palatino Linotype"/>
          <w:i/>
          <w:color w:val="000000" w:themeColor="text1"/>
          <w:sz w:val="22"/>
          <w:szCs w:val="22"/>
        </w:rPr>
        <w:t>” (Sic).</w:t>
      </w:r>
    </w:p>
    <w:p w14:paraId="010F49EF" w14:textId="4293FA51" w:rsidR="004E197E" w:rsidRPr="006E21B6"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6E21B6"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E21B6">
        <w:rPr>
          <w:rFonts w:ascii="Palatino Linotype" w:hAnsi="Palatino Linotype" w:cs="Arial"/>
          <w:color w:val="000000" w:themeColor="text1"/>
        </w:rPr>
        <w:t>Modalidad de entrega: A través d</w:t>
      </w:r>
      <w:r w:rsidR="009C0215" w:rsidRPr="006E21B6">
        <w:rPr>
          <w:rFonts w:ascii="Palatino Linotype" w:hAnsi="Palatino Linotype" w:cs="Arial"/>
          <w:color w:val="000000" w:themeColor="text1"/>
        </w:rPr>
        <w:t>e</w:t>
      </w:r>
      <w:r w:rsidR="00755146" w:rsidRPr="006E21B6">
        <w:rPr>
          <w:rFonts w:ascii="Palatino Linotype" w:hAnsi="Palatino Linotype" w:cs="Arial"/>
          <w:color w:val="000000" w:themeColor="text1"/>
        </w:rPr>
        <w:t>l SAIMEX</w:t>
      </w:r>
      <w:r w:rsidR="004E197E" w:rsidRPr="006E21B6">
        <w:rPr>
          <w:rFonts w:ascii="Palatino Linotype" w:hAnsi="Palatino Linotype" w:cs="Arial"/>
          <w:color w:val="000000" w:themeColor="text1"/>
        </w:rPr>
        <w:t>.</w:t>
      </w:r>
      <w:r w:rsidR="009E6A7E" w:rsidRPr="006E21B6">
        <w:rPr>
          <w:rFonts w:ascii="Palatino Linotype" w:hAnsi="Palatino Linotype" w:cs="Arial"/>
          <w:color w:val="000000" w:themeColor="text1"/>
        </w:rPr>
        <w:t xml:space="preserve"> </w:t>
      </w:r>
    </w:p>
    <w:p w14:paraId="35BA18A9" w14:textId="77777777" w:rsidR="0039142B" w:rsidRPr="006E21B6"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DD18806" w:rsidR="0022448D" w:rsidRPr="006E21B6"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E21B6">
        <w:rPr>
          <w:rFonts w:ascii="Palatino Linotype" w:eastAsia="MS Mincho" w:hAnsi="Palatino Linotype" w:cs="Times New Roman"/>
          <w:color w:val="000000" w:themeColor="text1"/>
        </w:rPr>
        <w:t xml:space="preserve">El </w:t>
      </w:r>
      <w:r w:rsidR="003B4803" w:rsidRPr="006E21B6">
        <w:rPr>
          <w:rFonts w:ascii="Palatino Linotype" w:eastAsia="MS Mincho" w:hAnsi="Palatino Linotype" w:cs="Times New Roman"/>
          <w:color w:val="000000" w:themeColor="text1"/>
        </w:rPr>
        <w:t>trece</w:t>
      </w:r>
      <w:r w:rsidR="00FD2865" w:rsidRPr="006E21B6">
        <w:rPr>
          <w:rFonts w:ascii="Palatino Linotype" w:eastAsia="MS Mincho" w:hAnsi="Palatino Linotype" w:cs="Times New Roman"/>
          <w:color w:val="000000" w:themeColor="text1"/>
        </w:rPr>
        <w:t xml:space="preserve"> </w:t>
      </w:r>
      <w:r w:rsidR="007076C5" w:rsidRPr="006E21B6">
        <w:rPr>
          <w:rFonts w:ascii="Palatino Linotype" w:eastAsia="MS Mincho" w:hAnsi="Palatino Linotype" w:cs="Times New Roman"/>
          <w:color w:val="000000" w:themeColor="text1"/>
        </w:rPr>
        <w:t>(</w:t>
      </w:r>
      <w:r w:rsidR="003B4803" w:rsidRPr="006E21B6">
        <w:rPr>
          <w:rFonts w:ascii="Palatino Linotype" w:eastAsia="MS Mincho" w:hAnsi="Palatino Linotype" w:cs="Times New Roman"/>
          <w:color w:val="000000" w:themeColor="text1"/>
        </w:rPr>
        <w:t>13</w:t>
      </w:r>
      <w:r w:rsidR="007076C5" w:rsidRPr="006E21B6">
        <w:rPr>
          <w:rFonts w:ascii="Palatino Linotype" w:eastAsia="MS Mincho" w:hAnsi="Palatino Linotype" w:cs="Times New Roman"/>
          <w:color w:val="000000" w:themeColor="text1"/>
        </w:rPr>
        <w:t xml:space="preserve">) de </w:t>
      </w:r>
      <w:r w:rsidR="003B4803" w:rsidRPr="006E21B6">
        <w:rPr>
          <w:rFonts w:ascii="Palatino Linotype" w:eastAsia="MS Mincho" w:hAnsi="Palatino Linotype" w:cs="Times New Roman"/>
          <w:color w:val="000000" w:themeColor="text1"/>
        </w:rPr>
        <w:t>octubre</w:t>
      </w:r>
      <w:r w:rsidR="00762697" w:rsidRPr="006E21B6">
        <w:rPr>
          <w:rFonts w:ascii="Palatino Linotype" w:eastAsia="MS Mincho" w:hAnsi="Palatino Linotype" w:cs="Times New Roman"/>
          <w:color w:val="000000" w:themeColor="text1"/>
        </w:rPr>
        <w:t xml:space="preserve"> de dos mil veinti</w:t>
      </w:r>
      <w:r w:rsidR="00AD2900" w:rsidRPr="006E21B6">
        <w:rPr>
          <w:rFonts w:ascii="Palatino Linotype" w:eastAsia="MS Mincho" w:hAnsi="Palatino Linotype" w:cs="Times New Roman"/>
          <w:color w:val="000000" w:themeColor="text1"/>
        </w:rPr>
        <w:t>dós</w:t>
      </w:r>
      <w:r w:rsidR="00762697" w:rsidRPr="006E21B6">
        <w:rPr>
          <w:rFonts w:ascii="Palatino Linotype" w:eastAsia="MS Mincho" w:hAnsi="Palatino Linotype" w:cs="Times New Roman"/>
          <w:color w:val="000000" w:themeColor="text1"/>
        </w:rPr>
        <w:t xml:space="preserve">, </w:t>
      </w:r>
      <w:r w:rsidR="005F1362" w:rsidRPr="006E21B6">
        <w:rPr>
          <w:rFonts w:ascii="Palatino Linotype" w:hAnsi="Palatino Linotype"/>
          <w:color w:val="000000" w:themeColor="text1"/>
          <w:szCs w:val="14"/>
        </w:rPr>
        <w:t xml:space="preserve">el </w:t>
      </w:r>
      <w:r w:rsidR="005F1362" w:rsidRPr="006E21B6">
        <w:rPr>
          <w:rFonts w:ascii="Palatino Linotype" w:hAnsi="Palatino Linotype"/>
          <w:b/>
          <w:color w:val="000000" w:themeColor="text1"/>
          <w:szCs w:val="14"/>
        </w:rPr>
        <w:t>SUJETO OBLIGADO</w:t>
      </w:r>
      <w:r w:rsidR="005F1362" w:rsidRPr="006E21B6">
        <w:rPr>
          <w:rFonts w:ascii="Palatino Linotype" w:hAnsi="Palatino Linotype"/>
          <w:color w:val="000000" w:themeColor="text1"/>
          <w:szCs w:val="14"/>
        </w:rPr>
        <w:t xml:space="preserve"> </w:t>
      </w:r>
      <w:r w:rsidR="007076C5" w:rsidRPr="006E21B6">
        <w:rPr>
          <w:rFonts w:ascii="Palatino Linotype" w:hAnsi="Palatino Linotype"/>
          <w:color w:val="000000" w:themeColor="text1"/>
          <w:szCs w:val="14"/>
        </w:rPr>
        <w:t xml:space="preserve">dio respuesta a la solicitud de información </w:t>
      </w:r>
      <w:r w:rsidR="00B14FFA" w:rsidRPr="006E21B6">
        <w:rPr>
          <w:rFonts w:ascii="Palatino Linotype" w:hAnsi="Palatino Linotype"/>
          <w:b/>
          <w:bCs/>
          <w:color w:val="000000" w:themeColor="text1"/>
        </w:rPr>
        <w:t>00542/SMA/IP/2022</w:t>
      </w:r>
      <w:r w:rsidR="007076C5" w:rsidRPr="006E21B6">
        <w:rPr>
          <w:rFonts w:ascii="Palatino Linotype" w:hAnsi="Palatino Linotype"/>
          <w:color w:val="000000" w:themeColor="text1"/>
          <w:szCs w:val="14"/>
        </w:rPr>
        <w:t xml:space="preserve"> en los siguientes términos</w:t>
      </w:r>
      <w:r w:rsidR="005F1362" w:rsidRPr="006E21B6">
        <w:rPr>
          <w:rFonts w:ascii="Palatino Linotype" w:hAnsi="Palatino Linotype"/>
          <w:color w:val="000000" w:themeColor="text1"/>
          <w:szCs w:val="14"/>
        </w:rPr>
        <w:t>:</w:t>
      </w:r>
    </w:p>
    <w:p w14:paraId="0E759FD5" w14:textId="77777777" w:rsidR="009A593A" w:rsidRPr="006E21B6" w:rsidRDefault="009A593A" w:rsidP="00B31E90">
      <w:pPr>
        <w:pStyle w:val="Sinespaciado"/>
        <w:ind w:left="567" w:right="567"/>
        <w:jc w:val="right"/>
        <w:rPr>
          <w:rFonts w:ascii="Palatino Linotype" w:hAnsi="Palatino Linotype"/>
          <w:i/>
          <w:noProof/>
          <w:color w:val="000000" w:themeColor="text1"/>
          <w:lang w:eastAsia="es-MX"/>
        </w:rPr>
      </w:pPr>
    </w:p>
    <w:p w14:paraId="54A0F3F9" w14:textId="77777777" w:rsidR="00B14FFA" w:rsidRPr="006E21B6" w:rsidRDefault="005F1362" w:rsidP="00B14FF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E21B6">
        <w:rPr>
          <w:rFonts w:ascii="Palatino Linotype" w:hAnsi="Palatino Linotype"/>
          <w:i/>
          <w:noProof/>
          <w:color w:val="000000" w:themeColor="text1"/>
          <w:sz w:val="22"/>
          <w:szCs w:val="22"/>
          <w:lang w:val="es-MX" w:eastAsia="es-MX"/>
        </w:rPr>
        <w:t>“</w:t>
      </w:r>
      <w:r w:rsidR="00B14FFA" w:rsidRPr="006E21B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BC8454" w14:textId="77777777" w:rsidR="00B14FFA" w:rsidRPr="006E21B6" w:rsidRDefault="00B14FFA" w:rsidP="00B14FF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E21B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En atención a la presente solicitud con número de Folio 0542/SMA/IP/2022, por este medio se envía en archivo electrónico formato PDF, la información emitida por la Dirección General de Manejo Integral de Residuos mediante el cual da respuesta a lo requerido por el solicitante.</w:t>
      </w:r>
    </w:p>
    <w:p w14:paraId="042D6170" w14:textId="77777777" w:rsidR="00B14FFA" w:rsidRPr="006E21B6" w:rsidRDefault="00B14FFA" w:rsidP="00B14FF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E21B6">
        <w:rPr>
          <w:rFonts w:ascii="Palatino Linotype" w:hAnsi="Palatino Linotype"/>
          <w:i/>
          <w:noProof/>
          <w:color w:val="000000" w:themeColor="text1"/>
          <w:sz w:val="22"/>
          <w:szCs w:val="22"/>
          <w:lang w:val="es-MX" w:eastAsia="es-MX"/>
        </w:rPr>
        <w:t>ATENTAMENTE</w:t>
      </w:r>
    </w:p>
    <w:p w14:paraId="35A36DE0" w14:textId="5BFFADC6" w:rsidR="0039142B" w:rsidRPr="006E21B6" w:rsidRDefault="00B14FFA" w:rsidP="00B14FF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E21B6">
        <w:rPr>
          <w:rFonts w:ascii="Palatino Linotype" w:hAnsi="Palatino Linotype"/>
          <w:i/>
          <w:noProof/>
          <w:color w:val="000000" w:themeColor="text1"/>
          <w:sz w:val="22"/>
          <w:szCs w:val="22"/>
          <w:lang w:val="es-MX" w:eastAsia="es-MX"/>
        </w:rPr>
        <w:t>LIC. JUAN JOSÉ ALVA SÁNCHEZ</w:t>
      </w:r>
      <w:r w:rsidR="005F1362" w:rsidRPr="006E21B6">
        <w:rPr>
          <w:rFonts w:ascii="Palatino Linotype" w:hAnsi="Palatino Linotype"/>
          <w:i/>
          <w:noProof/>
          <w:color w:val="000000" w:themeColor="text1"/>
          <w:sz w:val="22"/>
          <w:szCs w:val="22"/>
          <w:lang w:val="es-MX" w:eastAsia="es-MX"/>
        </w:rPr>
        <w:t>”</w:t>
      </w:r>
      <w:r w:rsidR="00EB3DF7" w:rsidRPr="006E21B6">
        <w:rPr>
          <w:rFonts w:ascii="Palatino Linotype" w:hAnsi="Palatino Linotype"/>
          <w:noProof/>
          <w:color w:val="000000" w:themeColor="text1"/>
          <w:sz w:val="22"/>
          <w:szCs w:val="22"/>
          <w:lang w:val="es-MX" w:eastAsia="es-MX"/>
        </w:rPr>
        <w:t xml:space="preserve"> (Sic.)</w:t>
      </w:r>
    </w:p>
    <w:p w14:paraId="2D68519B" w14:textId="77777777" w:rsidR="0097210F" w:rsidRPr="006E21B6" w:rsidRDefault="0097210F" w:rsidP="009A593A">
      <w:pPr>
        <w:pStyle w:val="Sinespaciado"/>
        <w:ind w:right="567"/>
        <w:jc w:val="both"/>
        <w:rPr>
          <w:rFonts w:ascii="Palatino Linotype" w:hAnsi="Palatino Linotype"/>
          <w:noProof/>
          <w:color w:val="000000" w:themeColor="text1"/>
          <w:lang w:val="es-MX" w:eastAsia="es-MX"/>
        </w:rPr>
      </w:pPr>
    </w:p>
    <w:p w14:paraId="272B63B3" w14:textId="243734B0" w:rsidR="000D5A1D" w:rsidRPr="006E21B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E21B6">
        <w:rPr>
          <w:rFonts w:ascii="Palatino Linotype" w:eastAsia="Times New Roman" w:hAnsi="Palatino Linotype" w:cs="Arial"/>
          <w:color w:val="000000" w:themeColor="text1"/>
          <w:lang w:val="es-ES"/>
        </w:rPr>
        <w:t>D</w:t>
      </w:r>
      <w:r w:rsidR="00561ED1" w:rsidRPr="006E21B6">
        <w:rPr>
          <w:rFonts w:ascii="Palatino Linotype" w:eastAsia="Times New Roman" w:hAnsi="Palatino Linotype" w:cs="Arial"/>
          <w:color w:val="000000" w:themeColor="text1"/>
          <w:lang w:val="es-ES"/>
        </w:rPr>
        <w:t xml:space="preserve">erivado de la respuesta emitida por el </w:t>
      </w:r>
      <w:r w:rsidR="00561ED1" w:rsidRPr="006E21B6">
        <w:rPr>
          <w:rFonts w:ascii="Palatino Linotype" w:eastAsia="Times New Roman" w:hAnsi="Palatino Linotype" w:cs="Arial"/>
          <w:b/>
          <w:color w:val="000000" w:themeColor="text1"/>
          <w:lang w:val="es-ES"/>
        </w:rPr>
        <w:t>SUJETO OBLIGADO</w:t>
      </w:r>
      <w:r w:rsidR="00561ED1" w:rsidRPr="006E21B6">
        <w:rPr>
          <w:rFonts w:ascii="Palatino Linotype" w:eastAsia="Times New Roman" w:hAnsi="Palatino Linotype" w:cs="Arial"/>
          <w:color w:val="000000" w:themeColor="text1"/>
          <w:lang w:val="es-ES"/>
        </w:rPr>
        <w:t>, e</w:t>
      </w:r>
      <w:r w:rsidR="00DB4BEF" w:rsidRPr="006E21B6">
        <w:rPr>
          <w:rFonts w:ascii="Palatino Linotype" w:eastAsia="Times New Roman" w:hAnsi="Palatino Linotype" w:cs="Arial"/>
          <w:color w:val="000000" w:themeColor="text1"/>
          <w:lang w:val="es-ES"/>
        </w:rPr>
        <w:t xml:space="preserve">l </w:t>
      </w:r>
      <w:r w:rsidR="005154ED" w:rsidRPr="006E21B6">
        <w:rPr>
          <w:rFonts w:ascii="Palatino Linotype" w:eastAsia="Times New Roman" w:hAnsi="Palatino Linotype" w:cs="Arial"/>
          <w:color w:val="000000" w:themeColor="text1"/>
          <w:lang w:val="es-ES"/>
        </w:rPr>
        <w:t>trece</w:t>
      </w:r>
      <w:r w:rsidR="00AF7319" w:rsidRPr="006E21B6">
        <w:rPr>
          <w:rFonts w:ascii="Palatino Linotype" w:eastAsia="Times New Roman" w:hAnsi="Palatino Linotype" w:cs="Arial"/>
          <w:color w:val="000000" w:themeColor="text1"/>
          <w:lang w:val="es-ES"/>
        </w:rPr>
        <w:t xml:space="preserve"> </w:t>
      </w:r>
      <w:r w:rsidR="002D6CF5" w:rsidRPr="006E21B6">
        <w:rPr>
          <w:rFonts w:ascii="Palatino Linotype" w:eastAsia="Times New Roman" w:hAnsi="Palatino Linotype" w:cs="Arial"/>
          <w:color w:val="000000" w:themeColor="text1"/>
          <w:lang w:val="es-ES"/>
        </w:rPr>
        <w:t>(</w:t>
      </w:r>
      <w:r w:rsidR="005154ED" w:rsidRPr="006E21B6">
        <w:rPr>
          <w:rFonts w:ascii="Palatino Linotype" w:eastAsia="Times New Roman" w:hAnsi="Palatino Linotype" w:cs="Arial"/>
          <w:color w:val="000000" w:themeColor="text1"/>
          <w:lang w:val="es-ES"/>
        </w:rPr>
        <w:t>13</w:t>
      </w:r>
      <w:r w:rsidR="007A078A" w:rsidRPr="006E21B6">
        <w:rPr>
          <w:rFonts w:ascii="Palatino Linotype" w:eastAsia="Times New Roman" w:hAnsi="Palatino Linotype" w:cs="Arial"/>
          <w:color w:val="000000" w:themeColor="text1"/>
          <w:lang w:val="es-ES"/>
        </w:rPr>
        <w:t xml:space="preserve">) de </w:t>
      </w:r>
      <w:r w:rsidR="005154ED" w:rsidRPr="006E21B6">
        <w:rPr>
          <w:rFonts w:ascii="Palatino Linotype" w:eastAsia="Times New Roman" w:hAnsi="Palatino Linotype" w:cs="Arial"/>
          <w:color w:val="000000" w:themeColor="text1"/>
          <w:lang w:val="es-ES"/>
        </w:rPr>
        <w:t>diciembre</w:t>
      </w:r>
      <w:r w:rsidR="00120024" w:rsidRPr="006E21B6">
        <w:rPr>
          <w:rFonts w:ascii="Palatino Linotype" w:eastAsia="Times New Roman" w:hAnsi="Palatino Linotype" w:cs="Arial"/>
          <w:color w:val="000000" w:themeColor="text1"/>
          <w:lang w:val="es-ES"/>
        </w:rPr>
        <w:t xml:space="preserve"> </w:t>
      </w:r>
      <w:r w:rsidR="00613655" w:rsidRPr="006E21B6">
        <w:rPr>
          <w:rFonts w:ascii="Palatino Linotype" w:eastAsia="Times New Roman" w:hAnsi="Palatino Linotype" w:cs="Arial"/>
          <w:color w:val="000000" w:themeColor="text1"/>
          <w:lang w:val="es-ES"/>
        </w:rPr>
        <w:t>dos mil veinti</w:t>
      </w:r>
      <w:r w:rsidR="00751F6F" w:rsidRPr="006E21B6">
        <w:rPr>
          <w:rFonts w:ascii="Palatino Linotype" w:eastAsia="Times New Roman" w:hAnsi="Palatino Linotype" w:cs="Arial"/>
          <w:color w:val="000000" w:themeColor="text1"/>
          <w:lang w:val="es-ES"/>
        </w:rPr>
        <w:t>dós</w:t>
      </w:r>
      <w:r w:rsidR="00FE49E3" w:rsidRPr="006E21B6">
        <w:rPr>
          <w:rFonts w:ascii="Palatino Linotype" w:eastAsia="Times New Roman" w:hAnsi="Palatino Linotype" w:cs="Arial"/>
          <w:color w:val="000000" w:themeColor="text1"/>
          <w:lang w:val="es-ES"/>
        </w:rPr>
        <w:t xml:space="preserve">, </w:t>
      </w:r>
      <w:r w:rsidR="007A078A" w:rsidRPr="006E21B6">
        <w:rPr>
          <w:rFonts w:ascii="Palatino Linotype" w:eastAsia="Times New Roman" w:hAnsi="Palatino Linotype" w:cs="Arial"/>
          <w:color w:val="000000" w:themeColor="text1"/>
          <w:lang w:val="es-ES"/>
        </w:rPr>
        <w:t>la</w:t>
      </w:r>
      <w:r w:rsidR="005F1362" w:rsidRPr="006E21B6">
        <w:rPr>
          <w:rFonts w:ascii="Palatino Linotype" w:eastAsia="Times New Roman" w:hAnsi="Palatino Linotype" w:cs="Arial"/>
          <w:color w:val="000000" w:themeColor="text1"/>
          <w:lang w:val="es-ES"/>
        </w:rPr>
        <w:t xml:space="preserve"> particular</w:t>
      </w:r>
      <w:r w:rsidR="00DB4BEF" w:rsidRPr="006E21B6">
        <w:rPr>
          <w:rFonts w:ascii="Palatino Linotype" w:eastAsia="Times New Roman" w:hAnsi="Palatino Linotype" w:cs="Arial"/>
          <w:color w:val="000000" w:themeColor="text1"/>
          <w:lang w:val="es-ES"/>
        </w:rPr>
        <w:t xml:space="preserve"> interpuso</w:t>
      </w:r>
      <w:r w:rsidR="009316E9" w:rsidRPr="006E21B6">
        <w:rPr>
          <w:rFonts w:ascii="Palatino Linotype" w:eastAsia="Times New Roman" w:hAnsi="Palatino Linotype" w:cs="Arial"/>
          <w:color w:val="000000" w:themeColor="text1"/>
          <w:lang w:val="es-ES"/>
        </w:rPr>
        <w:t xml:space="preserve"> </w:t>
      </w:r>
      <w:r w:rsidR="00102D65" w:rsidRPr="006E21B6">
        <w:rPr>
          <w:rFonts w:ascii="Palatino Linotype" w:eastAsia="Times New Roman" w:hAnsi="Palatino Linotype" w:cs="Arial"/>
          <w:color w:val="000000" w:themeColor="text1"/>
          <w:lang w:val="es-ES"/>
        </w:rPr>
        <w:t>el</w:t>
      </w:r>
      <w:r w:rsidR="004D68F8" w:rsidRPr="006E21B6">
        <w:rPr>
          <w:rFonts w:ascii="Palatino Linotype" w:eastAsia="Times New Roman" w:hAnsi="Palatino Linotype" w:cs="Arial"/>
          <w:color w:val="000000" w:themeColor="text1"/>
          <w:lang w:val="es-ES"/>
        </w:rPr>
        <w:t xml:space="preserve"> recurso de revisión </w:t>
      </w:r>
      <w:r w:rsidR="00B14FFA" w:rsidRPr="006E21B6">
        <w:rPr>
          <w:rFonts w:ascii="Palatino Linotype" w:hAnsi="Palatino Linotype"/>
          <w:b/>
          <w:szCs w:val="22"/>
        </w:rPr>
        <w:t>17268/INFOEM/IP/RR/2022</w:t>
      </w:r>
      <w:r w:rsidR="009A0461" w:rsidRPr="006E21B6">
        <w:rPr>
          <w:rFonts w:ascii="Palatino Linotype" w:eastAsia="Calibri" w:hAnsi="Palatino Linotype" w:cs="Arial"/>
          <w:b/>
          <w:color w:val="000000" w:themeColor="text1"/>
          <w:lang w:val="es-ES"/>
        </w:rPr>
        <w:t>;</w:t>
      </w:r>
      <w:r w:rsidR="00102D65" w:rsidRPr="006E21B6">
        <w:rPr>
          <w:rFonts w:ascii="Palatino Linotype" w:eastAsia="Times New Roman" w:hAnsi="Palatino Linotype" w:cs="Arial"/>
          <w:color w:val="000000" w:themeColor="text1"/>
          <w:lang w:val="es-ES"/>
        </w:rPr>
        <w:t xml:space="preserve"> impugnación</w:t>
      </w:r>
      <w:r w:rsidR="004D68F8" w:rsidRPr="006E21B6">
        <w:rPr>
          <w:rFonts w:ascii="Palatino Linotype" w:eastAsia="Times New Roman" w:hAnsi="Palatino Linotype" w:cs="Arial"/>
          <w:color w:val="000000" w:themeColor="text1"/>
          <w:lang w:val="es-ES"/>
        </w:rPr>
        <w:t xml:space="preserve"> </w:t>
      </w:r>
      <w:r w:rsidR="00A45546" w:rsidRPr="006E21B6">
        <w:rPr>
          <w:rFonts w:ascii="Palatino Linotype" w:eastAsia="Times New Roman" w:hAnsi="Palatino Linotype" w:cs="Arial"/>
          <w:color w:val="000000" w:themeColor="text1"/>
          <w:lang w:val="es-ES"/>
        </w:rPr>
        <w:t xml:space="preserve">en </w:t>
      </w:r>
      <w:r w:rsidR="00977D37" w:rsidRPr="006E21B6">
        <w:rPr>
          <w:rFonts w:ascii="Palatino Linotype" w:eastAsia="Times New Roman" w:hAnsi="Palatino Linotype" w:cs="Arial"/>
          <w:color w:val="000000" w:themeColor="text1"/>
          <w:lang w:val="es-ES"/>
        </w:rPr>
        <w:t>la</w:t>
      </w:r>
      <w:r w:rsidR="00A45546" w:rsidRPr="006E21B6">
        <w:rPr>
          <w:rFonts w:ascii="Palatino Linotype" w:eastAsia="Times New Roman" w:hAnsi="Palatino Linotype" w:cs="Arial"/>
          <w:color w:val="000000" w:themeColor="text1"/>
          <w:lang w:val="es-ES"/>
        </w:rPr>
        <w:t xml:space="preserve"> que refirió </w:t>
      </w:r>
      <w:r w:rsidR="004D68F8" w:rsidRPr="006E21B6">
        <w:rPr>
          <w:rFonts w:ascii="Palatino Linotype" w:eastAsia="Times New Roman" w:hAnsi="Palatino Linotype" w:cs="Arial"/>
          <w:color w:val="000000" w:themeColor="text1"/>
          <w:lang w:val="es-ES"/>
        </w:rPr>
        <w:t>lo siguiente:</w:t>
      </w:r>
    </w:p>
    <w:p w14:paraId="054906C6" w14:textId="77777777" w:rsidR="00E34622" w:rsidRPr="006E21B6"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36954A8" w:rsidR="00E34622" w:rsidRPr="006E21B6" w:rsidRDefault="00E34622" w:rsidP="00B14FF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E21B6">
        <w:rPr>
          <w:rFonts w:ascii="Palatino Linotype" w:eastAsia="Times New Roman" w:hAnsi="Palatino Linotype" w:cs="Arial"/>
          <w:b/>
          <w:color w:val="000000" w:themeColor="text1"/>
          <w:lang w:val="es-ES"/>
        </w:rPr>
        <w:t>Acto impugnado:</w:t>
      </w:r>
      <w:r w:rsidRPr="006E21B6">
        <w:rPr>
          <w:rFonts w:ascii="Palatino Linotype" w:eastAsia="Times New Roman" w:hAnsi="Palatino Linotype" w:cs="Arial"/>
          <w:color w:val="000000" w:themeColor="text1"/>
          <w:lang w:val="es-ES"/>
        </w:rPr>
        <w:t xml:space="preserve"> “</w:t>
      </w:r>
      <w:r w:rsidR="00B14FFA" w:rsidRPr="006E21B6">
        <w:rPr>
          <w:rFonts w:ascii="Palatino Linotype" w:eastAsia="Times New Roman" w:hAnsi="Palatino Linotype" w:cs="Arial"/>
          <w:i/>
          <w:color w:val="000000" w:themeColor="text1"/>
          <w:lang w:val="es-ES"/>
        </w:rPr>
        <w:t>La falta de respuesta por parte de la autoridad, toda vez que menciona adjuntar lo solicitado y no se hizo entrega de la información en el tiempo establecido por ley.</w:t>
      </w:r>
      <w:r w:rsidRPr="006E21B6">
        <w:rPr>
          <w:rFonts w:ascii="Palatino Linotype" w:eastAsia="Times New Roman" w:hAnsi="Palatino Linotype" w:cs="Arial"/>
          <w:i/>
          <w:color w:val="000000" w:themeColor="text1"/>
          <w:lang w:val="es-ES"/>
        </w:rPr>
        <w:t>”</w:t>
      </w:r>
      <w:r w:rsidRPr="006E21B6">
        <w:rPr>
          <w:rFonts w:ascii="Palatino Linotype" w:eastAsia="Times New Roman" w:hAnsi="Palatino Linotype" w:cs="Arial"/>
          <w:color w:val="000000" w:themeColor="text1"/>
          <w:lang w:val="es-ES"/>
        </w:rPr>
        <w:t xml:space="preserve"> (Sic).</w:t>
      </w:r>
    </w:p>
    <w:p w14:paraId="033BFDE8" w14:textId="6F9B993B" w:rsidR="00901BB1" w:rsidRPr="006E21B6" w:rsidRDefault="00901BB1" w:rsidP="00B14FF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E21B6">
        <w:rPr>
          <w:rFonts w:ascii="Palatino Linotype" w:eastAsia="Times New Roman" w:hAnsi="Palatino Linotype" w:cs="Arial"/>
          <w:b/>
          <w:color w:val="000000" w:themeColor="text1"/>
          <w:lang w:val="es-ES"/>
        </w:rPr>
        <w:t>Motivos o razones de inconformidad:</w:t>
      </w:r>
      <w:r w:rsidRPr="006E21B6">
        <w:rPr>
          <w:rFonts w:ascii="Palatino Linotype" w:eastAsia="Times New Roman" w:hAnsi="Palatino Linotype" w:cs="Arial"/>
          <w:color w:val="000000" w:themeColor="text1"/>
          <w:lang w:val="es-ES"/>
        </w:rPr>
        <w:t xml:space="preserve"> </w:t>
      </w:r>
      <w:r w:rsidR="0044013B" w:rsidRPr="006E21B6">
        <w:rPr>
          <w:rFonts w:ascii="Palatino Linotype" w:eastAsia="Times New Roman" w:hAnsi="Palatino Linotype" w:cs="Arial"/>
          <w:i/>
          <w:color w:val="000000" w:themeColor="text1"/>
          <w:lang w:val="es-ES"/>
        </w:rPr>
        <w:t>“</w:t>
      </w:r>
      <w:r w:rsidR="00B14FFA" w:rsidRPr="006E21B6">
        <w:rPr>
          <w:rFonts w:ascii="Palatino Linotype" w:eastAsia="Times New Roman" w:hAnsi="Palatino Linotype" w:cs="Arial"/>
          <w:i/>
          <w:color w:val="000000" w:themeColor="text1"/>
          <w:lang w:val="es-ES"/>
        </w:rPr>
        <w:t>La falta de respuesta por parte de la autoridad, toda vez que menciona adjuntar lo solicitado y no se hizo entrega de la información en el tiempo establecido por ley.</w:t>
      </w:r>
      <w:r w:rsidR="0044013B" w:rsidRPr="006E21B6">
        <w:rPr>
          <w:rFonts w:ascii="Palatino Linotype" w:eastAsia="Times New Roman" w:hAnsi="Palatino Linotype" w:cs="Arial"/>
          <w:i/>
          <w:color w:val="000000" w:themeColor="text1"/>
          <w:lang w:val="es-ES"/>
        </w:rPr>
        <w:t>”</w:t>
      </w:r>
      <w:r w:rsidR="005B0765" w:rsidRPr="006E21B6">
        <w:rPr>
          <w:rFonts w:ascii="Palatino Linotype" w:eastAsia="Times New Roman" w:hAnsi="Palatino Linotype" w:cs="Arial"/>
          <w:i/>
          <w:color w:val="000000" w:themeColor="text1"/>
          <w:lang w:val="es-ES"/>
        </w:rPr>
        <w:t xml:space="preserve"> (sic)</w:t>
      </w:r>
      <w:r w:rsidR="00E76251" w:rsidRPr="006E21B6">
        <w:rPr>
          <w:rFonts w:ascii="Palatino Linotype" w:eastAsia="Times New Roman" w:hAnsi="Palatino Linotype" w:cs="Arial"/>
          <w:color w:val="000000" w:themeColor="text1"/>
          <w:lang w:val="es-ES"/>
        </w:rPr>
        <w:t xml:space="preserve"> </w:t>
      </w:r>
    </w:p>
    <w:p w14:paraId="19A80D3F" w14:textId="77777777" w:rsidR="00725CA2" w:rsidRPr="006E21B6"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6E21B6"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E21B6">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6E21B6">
        <w:rPr>
          <w:rFonts w:ascii="Palatino Linotype" w:hAnsi="Palatino Linotype" w:cs="Arial"/>
          <w:bCs/>
          <w:color w:val="000000" w:themeColor="text1"/>
        </w:rPr>
        <w:t>al rubro indicado, asi</w:t>
      </w:r>
      <w:r w:rsidRPr="006E21B6">
        <w:rPr>
          <w:rFonts w:ascii="Palatino Linotype" w:hAnsi="Palatino Linotype" w:cs="Arial"/>
          <w:bCs/>
          <w:color w:val="000000" w:themeColor="text1"/>
        </w:rPr>
        <w:t xml:space="preserve">mismo, con fundamento en lo dispuesto por el </w:t>
      </w:r>
      <w:r w:rsidRPr="006E21B6">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E21B6">
        <w:rPr>
          <w:rFonts w:ascii="Palatino Linotype" w:eastAsia="Times New Roman" w:hAnsi="Palatino Linotype" w:cs="Arial"/>
          <w:bCs/>
          <w:color w:val="000000" w:themeColor="text1"/>
          <w:lang w:val="es-ES"/>
        </w:rPr>
        <w:t xml:space="preserve">se turnó </w:t>
      </w:r>
      <w:r w:rsidR="0096234B" w:rsidRPr="006E21B6">
        <w:rPr>
          <w:rFonts w:ascii="Palatino Linotype" w:eastAsia="Times New Roman" w:hAnsi="Palatino Linotype" w:cs="Arial"/>
          <w:bCs/>
          <w:color w:val="000000" w:themeColor="text1"/>
          <w:lang w:val="es-ES"/>
        </w:rPr>
        <w:t xml:space="preserve">a la </w:t>
      </w:r>
      <w:r w:rsidR="0096234B" w:rsidRPr="006E21B6">
        <w:rPr>
          <w:rFonts w:ascii="Palatino Linotype" w:eastAsia="Times New Roman" w:hAnsi="Palatino Linotype" w:cs="Arial"/>
          <w:b/>
          <w:bCs/>
          <w:color w:val="000000" w:themeColor="text1"/>
          <w:lang w:val="es-ES"/>
        </w:rPr>
        <w:t xml:space="preserve">Comisionada </w:t>
      </w:r>
      <w:r w:rsidR="00D12402" w:rsidRPr="006E21B6">
        <w:rPr>
          <w:rFonts w:ascii="Palatino Linotype" w:eastAsia="Times New Roman" w:hAnsi="Palatino Linotype" w:cs="Arial"/>
          <w:b/>
          <w:bCs/>
          <w:color w:val="000000" w:themeColor="text1"/>
          <w:lang w:val="es-ES"/>
        </w:rPr>
        <w:t>María del Rosario Mejía Ayala</w:t>
      </w:r>
      <w:r w:rsidRPr="006E21B6">
        <w:rPr>
          <w:rFonts w:ascii="Palatino Linotype" w:eastAsia="Times New Roman" w:hAnsi="Palatino Linotype" w:cs="Arial"/>
          <w:bCs/>
          <w:color w:val="000000" w:themeColor="text1"/>
          <w:lang w:val="es-ES"/>
        </w:rPr>
        <w:t xml:space="preserve">, con el objeto de </w:t>
      </w:r>
      <w:r w:rsidRPr="006E21B6">
        <w:rPr>
          <w:rFonts w:ascii="Palatino Linotype" w:eastAsia="Times New Roman" w:hAnsi="Palatino Linotype" w:cs="Arial"/>
          <w:bCs/>
          <w:color w:val="000000" w:themeColor="text1"/>
        </w:rPr>
        <w:t>su análisis.</w:t>
      </w:r>
    </w:p>
    <w:p w14:paraId="2BDE682E" w14:textId="77777777" w:rsidR="005F1362" w:rsidRPr="006E21B6"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60750B0" w:rsidR="007446C2" w:rsidRPr="006E21B6"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E21B6">
        <w:rPr>
          <w:rFonts w:ascii="Palatino Linotype" w:eastAsia="Times New Roman" w:hAnsi="Palatino Linotype" w:cs="Arial"/>
          <w:color w:val="000000" w:themeColor="text1"/>
          <w:lang w:val="es-ES"/>
        </w:rPr>
        <w:t>La</w:t>
      </w:r>
      <w:r w:rsidR="00E647FF" w:rsidRPr="006E21B6">
        <w:rPr>
          <w:rFonts w:ascii="Palatino Linotype" w:eastAsia="Times New Roman" w:hAnsi="Palatino Linotype" w:cs="Arial"/>
          <w:color w:val="000000" w:themeColor="text1"/>
          <w:lang w:val="es-ES"/>
        </w:rPr>
        <w:t xml:space="preserve"> </w:t>
      </w:r>
      <w:r w:rsidR="0004686A" w:rsidRPr="006E21B6">
        <w:rPr>
          <w:rFonts w:ascii="Palatino Linotype" w:eastAsia="Calibri" w:hAnsi="Palatino Linotype" w:cs="Arial"/>
          <w:color w:val="000000" w:themeColor="text1"/>
          <w:lang w:val="es-ES"/>
        </w:rPr>
        <w:t>Comisionad</w:t>
      </w:r>
      <w:r w:rsidRPr="006E21B6">
        <w:rPr>
          <w:rFonts w:ascii="Palatino Linotype" w:eastAsia="Calibri" w:hAnsi="Palatino Linotype" w:cs="Arial"/>
          <w:color w:val="000000" w:themeColor="text1"/>
          <w:lang w:val="es-ES"/>
        </w:rPr>
        <w:t>a</w:t>
      </w:r>
      <w:r w:rsidR="0004686A" w:rsidRPr="006E21B6">
        <w:rPr>
          <w:rFonts w:ascii="Palatino Linotype" w:eastAsia="Calibri" w:hAnsi="Palatino Linotype" w:cs="Arial"/>
          <w:color w:val="000000" w:themeColor="text1"/>
          <w:lang w:val="es-ES"/>
        </w:rPr>
        <w:t xml:space="preserve"> Ponente</w:t>
      </w:r>
      <w:r w:rsidR="006B31E7" w:rsidRPr="006E21B6">
        <w:rPr>
          <w:rFonts w:ascii="Palatino Linotype" w:eastAsia="Calibri" w:hAnsi="Palatino Linotype" w:cs="Arial"/>
          <w:color w:val="000000" w:themeColor="text1"/>
          <w:lang w:val="es-ES"/>
        </w:rPr>
        <w:t>,</w:t>
      </w:r>
      <w:r w:rsidR="0004686A" w:rsidRPr="006E21B6">
        <w:rPr>
          <w:rFonts w:ascii="Palatino Linotype" w:eastAsia="Calibri" w:hAnsi="Palatino Linotype" w:cs="Arial"/>
          <w:color w:val="000000" w:themeColor="text1"/>
          <w:lang w:val="es-ES"/>
        </w:rPr>
        <w:t xml:space="preserve"> con fundamento en lo dispuesto por el artículo 185 fracción II de la </w:t>
      </w:r>
      <w:r w:rsidR="00613655" w:rsidRPr="006E21B6">
        <w:rPr>
          <w:rFonts w:ascii="Palatino Linotype" w:eastAsia="Calibri" w:hAnsi="Palatino Linotype" w:cs="Arial"/>
          <w:color w:val="000000" w:themeColor="text1"/>
          <w:lang w:val="es-ES"/>
        </w:rPr>
        <w:t>Ley de Transparencia y Acceso a la Información Pública del Estado de México y Municipios</w:t>
      </w:r>
      <w:r w:rsidR="0004686A" w:rsidRPr="006E21B6">
        <w:rPr>
          <w:rFonts w:ascii="Palatino Linotype" w:eastAsia="Calibri" w:hAnsi="Palatino Linotype" w:cs="Arial"/>
          <w:color w:val="000000" w:themeColor="text1"/>
          <w:lang w:val="es-ES"/>
        </w:rPr>
        <w:t xml:space="preserve">, a través </w:t>
      </w:r>
      <w:r w:rsidR="006E4E2A" w:rsidRPr="006E21B6">
        <w:rPr>
          <w:rFonts w:ascii="Palatino Linotype" w:eastAsia="Calibri" w:hAnsi="Palatino Linotype" w:cs="Arial"/>
          <w:color w:val="000000" w:themeColor="text1"/>
          <w:lang w:val="es-ES"/>
        </w:rPr>
        <w:t>del</w:t>
      </w:r>
      <w:r w:rsidR="0004686A" w:rsidRPr="006E21B6">
        <w:rPr>
          <w:rFonts w:ascii="Palatino Linotype" w:eastAsia="Calibri" w:hAnsi="Palatino Linotype" w:cs="Arial"/>
          <w:color w:val="000000" w:themeColor="text1"/>
          <w:lang w:val="es-ES"/>
        </w:rPr>
        <w:t xml:space="preserve"> </w:t>
      </w:r>
      <w:r w:rsidR="00B81371" w:rsidRPr="006E21B6">
        <w:rPr>
          <w:rFonts w:ascii="Palatino Linotype" w:eastAsia="Calibri" w:hAnsi="Palatino Linotype" w:cs="Arial"/>
          <w:color w:val="000000" w:themeColor="text1"/>
          <w:lang w:val="es-ES"/>
        </w:rPr>
        <w:t xml:space="preserve">acuerdo </w:t>
      </w:r>
      <w:r w:rsidR="00F147C6" w:rsidRPr="006E21B6">
        <w:rPr>
          <w:rFonts w:ascii="Palatino Linotype" w:eastAsia="Calibri" w:hAnsi="Palatino Linotype" w:cs="Arial"/>
          <w:color w:val="000000" w:themeColor="text1"/>
          <w:lang w:val="es-ES"/>
        </w:rPr>
        <w:t xml:space="preserve">de admisión </w:t>
      </w:r>
      <w:r w:rsidR="00091F3E" w:rsidRPr="006E21B6">
        <w:rPr>
          <w:rFonts w:ascii="Palatino Linotype" w:eastAsia="Calibri" w:hAnsi="Palatino Linotype" w:cs="Arial"/>
          <w:color w:val="000000" w:themeColor="text1"/>
          <w:lang w:val="es-ES"/>
        </w:rPr>
        <w:t>de</w:t>
      </w:r>
      <w:r w:rsidR="00395353" w:rsidRPr="006E21B6">
        <w:rPr>
          <w:rFonts w:ascii="Palatino Linotype" w:eastAsia="Calibri" w:hAnsi="Palatino Linotype" w:cs="Arial"/>
          <w:color w:val="000000" w:themeColor="text1"/>
          <w:lang w:val="es-ES"/>
        </w:rPr>
        <w:t xml:space="preserve"> fecha </w:t>
      </w:r>
      <w:r w:rsidR="005154ED" w:rsidRPr="006E21B6">
        <w:rPr>
          <w:rFonts w:ascii="Palatino Linotype" w:eastAsia="Calibri" w:hAnsi="Palatino Linotype" w:cs="Arial"/>
          <w:color w:val="000000" w:themeColor="text1"/>
          <w:lang w:val="es-ES"/>
        </w:rPr>
        <w:t>nueve</w:t>
      </w:r>
      <w:r w:rsidR="00BD6C40" w:rsidRPr="006E21B6">
        <w:rPr>
          <w:rFonts w:ascii="Palatino Linotype" w:eastAsia="Calibri" w:hAnsi="Palatino Linotype" w:cs="Arial"/>
          <w:color w:val="000000" w:themeColor="text1"/>
          <w:lang w:val="es-ES"/>
        </w:rPr>
        <w:t xml:space="preserve"> (</w:t>
      </w:r>
      <w:r w:rsidR="005154ED" w:rsidRPr="006E21B6">
        <w:rPr>
          <w:rFonts w:ascii="Palatino Linotype" w:eastAsia="Calibri" w:hAnsi="Palatino Linotype" w:cs="Arial"/>
          <w:color w:val="000000" w:themeColor="text1"/>
          <w:lang w:val="es-ES"/>
        </w:rPr>
        <w:t>9</w:t>
      </w:r>
      <w:r w:rsidR="00BD6C40" w:rsidRPr="006E21B6">
        <w:rPr>
          <w:rFonts w:ascii="Palatino Linotype" w:eastAsia="Calibri" w:hAnsi="Palatino Linotype" w:cs="Arial"/>
          <w:color w:val="000000" w:themeColor="text1"/>
          <w:lang w:val="es-ES"/>
        </w:rPr>
        <w:t xml:space="preserve">) de </w:t>
      </w:r>
      <w:r w:rsidR="005154ED" w:rsidRPr="006E21B6">
        <w:rPr>
          <w:rFonts w:ascii="Palatino Linotype" w:eastAsia="Calibri" w:hAnsi="Palatino Linotype" w:cs="Arial"/>
          <w:color w:val="000000" w:themeColor="text1"/>
          <w:lang w:val="es-ES"/>
        </w:rPr>
        <w:t>enero</w:t>
      </w:r>
      <w:r w:rsidR="00613655" w:rsidRPr="006E21B6">
        <w:rPr>
          <w:rFonts w:ascii="Palatino Linotype" w:eastAsia="Calibri" w:hAnsi="Palatino Linotype" w:cs="Arial"/>
          <w:color w:val="000000" w:themeColor="text1"/>
          <w:lang w:val="es-ES"/>
        </w:rPr>
        <w:t xml:space="preserve"> de dos mil veinti</w:t>
      </w:r>
      <w:r w:rsidR="00751F6F" w:rsidRPr="006E21B6">
        <w:rPr>
          <w:rFonts w:ascii="Palatino Linotype" w:eastAsia="Calibri" w:hAnsi="Palatino Linotype" w:cs="Arial"/>
          <w:color w:val="000000" w:themeColor="text1"/>
          <w:lang w:val="es-ES"/>
        </w:rPr>
        <w:t>dós</w:t>
      </w:r>
      <w:r w:rsidR="006A1047" w:rsidRPr="006E21B6">
        <w:rPr>
          <w:rFonts w:ascii="Palatino Linotype" w:eastAsia="Calibri" w:hAnsi="Palatino Linotype" w:cs="Arial"/>
          <w:color w:val="000000" w:themeColor="text1"/>
          <w:lang w:val="es-ES"/>
        </w:rPr>
        <w:t xml:space="preserve">, </w:t>
      </w:r>
      <w:r w:rsidR="00B81371" w:rsidRPr="006E21B6">
        <w:rPr>
          <w:rFonts w:ascii="Palatino Linotype" w:eastAsia="Calibri" w:hAnsi="Palatino Linotype" w:cs="Arial"/>
          <w:color w:val="000000" w:themeColor="text1"/>
          <w:lang w:val="es-ES"/>
        </w:rPr>
        <w:t xml:space="preserve">puso a </w:t>
      </w:r>
      <w:r w:rsidR="00875167" w:rsidRPr="006E21B6">
        <w:rPr>
          <w:rFonts w:ascii="Palatino Linotype" w:eastAsia="Calibri" w:hAnsi="Palatino Linotype" w:cs="Arial"/>
          <w:color w:val="000000" w:themeColor="text1"/>
          <w:lang w:val="es-ES"/>
        </w:rPr>
        <w:t>disposición</w:t>
      </w:r>
      <w:r w:rsidR="00B81371" w:rsidRPr="006E21B6">
        <w:rPr>
          <w:rFonts w:ascii="Palatino Linotype" w:eastAsia="Calibri" w:hAnsi="Palatino Linotype" w:cs="Arial"/>
          <w:color w:val="000000" w:themeColor="text1"/>
          <w:lang w:val="es-ES"/>
        </w:rPr>
        <w:t xml:space="preserve"> de las partes el expediente electrónico </w:t>
      </w:r>
      <w:r w:rsidR="00B81371" w:rsidRPr="006E21B6">
        <w:rPr>
          <w:rFonts w:ascii="Palatino Linotype" w:eastAsia="Calibri" w:hAnsi="Palatino Linotype" w:cs="Arial"/>
          <w:color w:val="000000" w:themeColor="text1"/>
        </w:rPr>
        <w:t xml:space="preserve">vía </w:t>
      </w:r>
      <w:r w:rsidR="00B81371" w:rsidRPr="006E21B6">
        <w:rPr>
          <w:rFonts w:ascii="Palatino Linotype" w:eastAsia="Calibri" w:hAnsi="Palatino Linotype" w:cs="Arial"/>
          <w:color w:val="000000" w:themeColor="text1"/>
          <w:lang w:val="es-ES"/>
        </w:rPr>
        <w:t xml:space="preserve">Sistema de Acceso a la Información Mexiquense </w:t>
      </w:r>
      <w:r w:rsidR="001468E9" w:rsidRPr="006E21B6">
        <w:rPr>
          <w:rFonts w:ascii="Palatino Linotype" w:eastAsia="Calibri" w:hAnsi="Palatino Linotype" w:cs="Arial"/>
          <w:color w:val="000000" w:themeColor="text1"/>
          <w:lang w:val="es-ES"/>
        </w:rPr>
        <w:t>(</w:t>
      </w:r>
      <w:r w:rsidR="00B81371" w:rsidRPr="006E21B6">
        <w:rPr>
          <w:rFonts w:ascii="Palatino Linotype" w:eastAsia="Calibri" w:hAnsi="Palatino Linotype" w:cs="Arial"/>
          <w:b/>
          <w:i/>
          <w:color w:val="000000" w:themeColor="text1"/>
          <w:lang w:val="es-ES"/>
        </w:rPr>
        <w:t>SAIMEX</w:t>
      </w:r>
      <w:r w:rsidR="001468E9" w:rsidRPr="006E21B6">
        <w:rPr>
          <w:rFonts w:ascii="Palatino Linotype" w:eastAsia="Calibri" w:hAnsi="Palatino Linotype" w:cs="Arial"/>
          <w:b/>
          <w:i/>
          <w:color w:val="000000" w:themeColor="text1"/>
          <w:lang w:val="es-ES"/>
        </w:rPr>
        <w:t>)</w:t>
      </w:r>
      <w:r w:rsidR="00B81371" w:rsidRPr="006E21B6">
        <w:rPr>
          <w:rFonts w:ascii="Palatino Linotype" w:eastAsia="Calibri" w:hAnsi="Palatino Linotype" w:cs="Arial"/>
          <w:b/>
          <w:color w:val="000000" w:themeColor="text1"/>
          <w:lang w:val="es-ES"/>
        </w:rPr>
        <w:t xml:space="preserve"> </w:t>
      </w:r>
      <w:r w:rsidR="00B81371" w:rsidRPr="006E21B6">
        <w:rPr>
          <w:rFonts w:ascii="Palatino Linotype" w:eastAsia="Calibri" w:hAnsi="Palatino Linotype" w:cs="Arial"/>
          <w:color w:val="000000" w:themeColor="text1"/>
          <w:lang w:val="es-ES"/>
        </w:rPr>
        <w:t xml:space="preserve">a efecto de que en un plazo máximo de siete días </w:t>
      </w:r>
      <w:r w:rsidR="00875167" w:rsidRPr="006E21B6">
        <w:rPr>
          <w:rFonts w:ascii="Palatino Linotype" w:eastAsia="Calibri" w:hAnsi="Palatino Linotype" w:cs="Arial"/>
          <w:color w:val="000000" w:themeColor="text1"/>
          <w:lang w:val="es-ES"/>
        </w:rPr>
        <w:t>manifestaran</w:t>
      </w:r>
      <w:r w:rsidR="00B81371" w:rsidRPr="006E21B6">
        <w:rPr>
          <w:rFonts w:ascii="Palatino Linotype" w:eastAsia="Calibri" w:hAnsi="Palatino Linotype" w:cs="Arial"/>
          <w:color w:val="000000" w:themeColor="text1"/>
          <w:lang w:val="es-ES"/>
        </w:rPr>
        <w:t xml:space="preserve"> lo que a</w:t>
      </w:r>
      <w:r w:rsidR="003A2029" w:rsidRPr="006E21B6">
        <w:rPr>
          <w:rFonts w:ascii="Palatino Linotype" w:eastAsia="Calibri" w:hAnsi="Palatino Linotype" w:cs="Arial"/>
          <w:color w:val="000000" w:themeColor="text1"/>
          <w:lang w:val="es-ES"/>
        </w:rPr>
        <w:t xml:space="preserve"> su</w:t>
      </w:r>
      <w:r w:rsidR="00B81371" w:rsidRPr="006E21B6">
        <w:rPr>
          <w:rFonts w:ascii="Palatino Linotype" w:eastAsia="Calibri" w:hAnsi="Palatino Linotype" w:cs="Arial"/>
          <w:color w:val="000000" w:themeColor="text1"/>
          <w:lang w:val="es-ES"/>
        </w:rPr>
        <w:t xml:space="preserve"> derecho conviniera</w:t>
      </w:r>
      <w:r w:rsidR="00875167" w:rsidRPr="006E21B6">
        <w:rPr>
          <w:rFonts w:ascii="Palatino Linotype" w:eastAsia="Calibri" w:hAnsi="Palatino Linotype" w:cs="Arial"/>
          <w:color w:val="000000" w:themeColor="text1"/>
          <w:lang w:val="es-ES"/>
        </w:rPr>
        <w:t>n</w:t>
      </w:r>
      <w:r w:rsidR="00032493" w:rsidRPr="006E21B6">
        <w:rPr>
          <w:rFonts w:ascii="Palatino Linotype" w:eastAsia="Calibri" w:hAnsi="Palatino Linotype" w:cs="Arial"/>
          <w:color w:val="000000" w:themeColor="text1"/>
          <w:lang w:val="es-ES"/>
        </w:rPr>
        <w:t>,</w:t>
      </w:r>
      <w:r w:rsidR="00B81371" w:rsidRPr="006E21B6">
        <w:rPr>
          <w:rFonts w:ascii="Palatino Linotype" w:eastAsia="Calibri" w:hAnsi="Palatino Linotype" w:cs="Arial"/>
          <w:color w:val="000000" w:themeColor="text1"/>
          <w:lang w:val="es-ES"/>
        </w:rPr>
        <w:t xml:space="preserve"> </w:t>
      </w:r>
      <w:r w:rsidR="00875167" w:rsidRPr="006E21B6">
        <w:rPr>
          <w:rFonts w:ascii="Palatino Linotype" w:eastAsia="Calibri" w:hAnsi="Palatino Linotype" w:cs="Arial"/>
          <w:color w:val="000000" w:themeColor="text1"/>
          <w:lang w:val="es-ES"/>
        </w:rPr>
        <w:t>ofrecieran pruebas y</w:t>
      </w:r>
      <w:r w:rsidR="00132C06" w:rsidRPr="006E21B6">
        <w:rPr>
          <w:rFonts w:ascii="Palatino Linotype" w:eastAsia="Calibri" w:hAnsi="Palatino Linotype" w:cs="Arial"/>
          <w:color w:val="000000" w:themeColor="text1"/>
          <w:lang w:val="es-ES"/>
        </w:rPr>
        <w:t xml:space="preserve"> </w:t>
      </w:r>
      <w:r w:rsidR="00875167" w:rsidRPr="006E21B6">
        <w:rPr>
          <w:rFonts w:ascii="Palatino Linotype" w:eastAsia="Calibri" w:hAnsi="Palatino Linotype" w:cs="Arial"/>
          <w:color w:val="000000" w:themeColor="text1"/>
          <w:lang w:val="es-ES"/>
        </w:rPr>
        <w:t>alegatos según corresponda a</w:t>
      </w:r>
      <w:r w:rsidR="004C20F2" w:rsidRPr="006E21B6">
        <w:rPr>
          <w:rFonts w:ascii="Palatino Linotype" w:eastAsia="Calibri" w:hAnsi="Palatino Linotype" w:cs="Arial"/>
          <w:color w:val="000000" w:themeColor="text1"/>
          <w:lang w:val="es-ES"/>
        </w:rPr>
        <w:t xml:space="preserve"> </w:t>
      </w:r>
      <w:r w:rsidR="00875167" w:rsidRPr="006E21B6">
        <w:rPr>
          <w:rFonts w:ascii="Palatino Linotype" w:eastAsia="Calibri" w:hAnsi="Palatino Linotype" w:cs="Arial"/>
          <w:color w:val="000000" w:themeColor="text1"/>
          <w:lang w:val="es-ES"/>
        </w:rPr>
        <w:t>l</w:t>
      </w:r>
      <w:r w:rsidR="004C20F2" w:rsidRPr="006E21B6">
        <w:rPr>
          <w:rFonts w:ascii="Palatino Linotype" w:eastAsia="Calibri" w:hAnsi="Palatino Linotype" w:cs="Arial"/>
          <w:color w:val="000000" w:themeColor="text1"/>
          <w:lang w:val="es-ES"/>
        </w:rPr>
        <w:t>os</w:t>
      </w:r>
      <w:r w:rsidR="00875167" w:rsidRPr="006E21B6">
        <w:rPr>
          <w:rFonts w:ascii="Palatino Linotype" w:eastAsia="Calibri" w:hAnsi="Palatino Linotype" w:cs="Arial"/>
          <w:color w:val="000000" w:themeColor="text1"/>
          <w:lang w:val="es-ES"/>
        </w:rPr>
        <w:t xml:space="preserve"> caso</w:t>
      </w:r>
      <w:r w:rsidR="004C20F2" w:rsidRPr="006E21B6">
        <w:rPr>
          <w:rFonts w:ascii="Palatino Linotype" w:eastAsia="Calibri" w:hAnsi="Palatino Linotype" w:cs="Arial"/>
          <w:color w:val="000000" w:themeColor="text1"/>
          <w:lang w:val="es-ES"/>
        </w:rPr>
        <w:t>s</w:t>
      </w:r>
      <w:r w:rsidR="00875167" w:rsidRPr="006E21B6">
        <w:rPr>
          <w:rFonts w:ascii="Palatino Linotype" w:eastAsia="Calibri" w:hAnsi="Palatino Linotype" w:cs="Arial"/>
          <w:color w:val="000000" w:themeColor="text1"/>
          <w:lang w:val="es-ES"/>
        </w:rPr>
        <w:t xml:space="preserve"> concreto</w:t>
      </w:r>
      <w:r w:rsidR="004C20F2" w:rsidRPr="006E21B6">
        <w:rPr>
          <w:rFonts w:ascii="Palatino Linotype" w:eastAsia="Calibri" w:hAnsi="Palatino Linotype" w:cs="Arial"/>
          <w:color w:val="000000" w:themeColor="text1"/>
          <w:lang w:val="es-ES"/>
        </w:rPr>
        <w:t>s</w:t>
      </w:r>
      <w:r w:rsidR="00875167" w:rsidRPr="006E21B6">
        <w:rPr>
          <w:rFonts w:ascii="Palatino Linotype" w:eastAsia="Calibri" w:hAnsi="Palatino Linotype" w:cs="Arial"/>
          <w:color w:val="000000" w:themeColor="text1"/>
          <w:lang w:val="es-ES"/>
        </w:rPr>
        <w:t xml:space="preserve">, </w:t>
      </w:r>
      <w:r w:rsidR="00F147C6" w:rsidRPr="006E21B6">
        <w:rPr>
          <w:rFonts w:ascii="Palatino Linotype" w:eastAsia="Calibri" w:hAnsi="Palatino Linotype" w:cs="Arial"/>
          <w:color w:val="000000" w:themeColor="text1"/>
          <w:lang w:val="es-ES"/>
        </w:rPr>
        <w:t>de esta forma</w:t>
      </w:r>
      <w:r w:rsidR="00875167" w:rsidRPr="006E21B6">
        <w:rPr>
          <w:rFonts w:ascii="Palatino Linotype" w:eastAsia="Calibri" w:hAnsi="Palatino Linotype" w:cs="Arial"/>
          <w:color w:val="000000" w:themeColor="text1"/>
          <w:lang w:val="es-ES"/>
        </w:rPr>
        <w:t xml:space="preserve"> para que el </w:t>
      </w:r>
      <w:r w:rsidR="00875167" w:rsidRPr="006E21B6">
        <w:rPr>
          <w:rFonts w:ascii="Palatino Linotype" w:eastAsia="Calibri" w:hAnsi="Palatino Linotype" w:cs="Arial"/>
          <w:b/>
          <w:color w:val="000000" w:themeColor="text1"/>
          <w:lang w:val="es-ES"/>
        </w:rPr>
        <w:t>SUJETO OBLIGADO</w:t>
      </w:r>
      <w:r w:rsidR="00875167" w:rsidRPr="006E21B6">
        <w:rPr>
          <w:rFonts w:ascii="Palatino Linotype" w:eastAsia="Calibri" w:hAnsi="Palatino Linotype" w:cs="Arial"/>
          <w:color w:val="000000" w:themeColor="text1"/>
          <w:lang w:val="es-ES"/>
        </w:rPr>
        <w:t xml:space="preserve"> </w:t>
      </w:r>
      <w:r w:rsidR="00B81371" w:rsidRPr="006E21B6">
        <w:rPr>
          <w:rFonts w:ascii="Palatino Linotype" w:eastAsia="Calibri" w:hAnsi="Palatino Linotype" w:cs="Arial"/>
          <w:color w:val="000000" w:themeColor="text1"/>
          <w:lang w:val="es-ES"/>
        </w:rPr>
        <w:t>presentar</w:t>
      </w:r>
      <w:r w:rsidR="003A03D0" w:rsidRPr="006E21B6">
        <w:rPr>
          <w:rFonts w:ascii="Palatino Linotype" w:eastAsia="Calibri" w:hAnsi="Palatino Linotype" w:cs="Arial"/>
          <w:color w:val="000000" w:themeColor="text1"/>
          <w:lang w:val="es-ES"/>
        </w:rPr>
        <w:t>a</w:t>
      </w:r>
      <w:r w:rsidR="00B81371" w:rsidRPr="006E21B6">
        <w:rPr>
          <w:rFonts w:ascii="Palatino Linotype" w:eastAsia="Calibri" w:hAnsi="Palatino Linotype" w:cs="Arial"/>
          <w:color w:val="000000" w:themeColor="text1"/>
          <w:lang w:val="es-ES"/>
        </w:rPr>
        <w:t xml:space="preserve"> el </w:t>
      </w:r>
      <w:r w:rsidR="00556F72" w:rsidRPr="006E21B6">
        <w:rPr>
          <w:rFonts w:ascii="Palatino Linotype" w:eastAsia="Calibri" w:hAnsi="Palatino Linotype" w:cs="Arial"/>
          <w:color w:val="000000" w:themeColor="text1"/>
          <w:lang w:val="es-ES"/>
        </w:rPr>
        <w:t xml:space="preserve">informe justificado </w:t>
      </w:r>
      <w:r w:rsidR="00875167" w:rsidRPr="006E21B6">
        <w:rPr>
          <w:rFonts w:ascii="Palatino Linotype" w:eastAsia="Calibri" w:hAnsi="Palatino Linotype" w:cs="Arial"/>
          <w:color w:val="000000" w:themeColor="text1"/>
          <w:lang w:val="es-ES"/>
        </w:rPr>
        <w:t>procedente</w:t>
      </w:r>
      <w:r w:rsidR="00787184" w:rsidRPr="006E21B6">
        <w:rPr>
          <w:rFonts w:ascii="Palatino Linotype" w:eastAsia="Calibri" w:hAnsi="Palatino Linotype" w:cs="Arial"/>
          <w:color w:val="000000" w:themeColor="text1"/>
          <w:lang w:val="es-ES"/>
        </w:rPr>
        <w:t>.</w:t>
      </w:r>
    </w:p>
    <w:p w14:paraId="67D7209A" w14:textId="77777777" w:rsidR="001B32B2" w:rsidRPr="006E21B6" w:rsidRDefault="001B32B2" w:rsidP="001B32B2">
      <w:pPr>
        <w:pStyle w:val="Prrafodelista"/>
        <w:rPr>
          <w:rFonts w:ascii="Palatino Linotype" w:eastAsia="Calibri" w:hAnsi="Palatino Linotype" w:cs="Arial"/>
          <w:color w:val="000000" w:themeColor="text1"/>
          <w:lang w:val="es-ES"/>
        </w:rPr>
      </w:pPr>
    </w:p>
    <w:p w14:paraId="6ADB31B9" w14:textId="711DAA8A" w:rsidR="00C27B22" w:rsidRPr="006E21B6"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6E21B6">
        <w:rPr>
          <w:rFonts w:ascii="Palatino Linotype" w:eastAsia="Calibri" w:hAnsi="Palatino Linotype" w:cs="Arial"/>
          <w:color w:val="000000" w:themeColor="text1"/>
          <w:lang w:val="es-ES"/>
        </w:rPr>
        <w:t>De las constancias que obran en el expediente elec</w:t>
      </w:r>
      <w:r w:rsidR="00AF7319" w:rsidRPr="006E21B6">
        <w:rPr>
          <w:rFonts w:ascii="Palatino Linotype" w:eastAsia="Calibri" w:hAnsi="Palatino Linotype" w:cs="Arial"/>
          <w:color w:val="000000" w:themeColor="text1"/>
          <w:lang w:val="es-ES"/>
        </w:rPr>
        <w:t xml:space="preserve">trónico del SAIMEX, se aprecia </w:t>
      </w:r>
      <w:r w:rsidR="00411700" w:rsidRPr="006E21B6">
        <w:rPr>
          <w:rFonts w:ascii="Palatino Linotype" w:eastAsia="Calibri" w:hAnsi="Palatino Linotype" w:cs="Arial"/>
          <w:color w:val="000000" w:themeColor="text1"/>
          <w:lang w:val="es-ES"/>
        </w:rPr>
        <w:t>que</w:t>
      </w:r>
      <w:r w:rsidR="00C27B22" w:rsidRPr="006E21B6">
        <w:rPr>
          <w:rFonts w:ascii="Palatino Linotype" w:eastAsia="Calibri" w:hAnsi="Palatino Linotype" w:cs="Arial"/>
          <w:color w:val="000000" w:themeColor="text1"/>
          <w:lang w:val="es-ES"/>
        </w:rPr>
        <w:t xml:space="preserve"> el treinta y uno (31) de octubre de dos mil veintidós el Sujeto Obligado rindió su informe justificado a través de los dos documentos electrónicos que serán descritos a continuación, los cuales se pusieron a la vista del particular el </w:t>
      </w:r>
      <w:r w:rsidR="001F5D1F" w:rsidRPr="006E21B6">
        <w:rPr>
          <w:rFonts w:ascii="Palatino Linotype" w:eastAsia="Calibri" w:hAnsi="Palatino Linotype" w:cs="Arial"/>
          <w:color w:val="000000" w:themeColor="text1"/>
          <w:lang w:val="es-ES"/>
        </w:rPr>
        <w:t>dieciséis</w:t>
      </w:r>
      <w:r w:rsidR="00C27B22" w:rsidRPr="006E21B6">
        <w:rPr>
          <w:rFonts w:ascii="Palatino Linotype" w:eastAsia="Calibri" w:hAnsi="Palatino Linotype" w:cs="Arial"/>
          <w:color w:val="000000" w:themeColor="text1"/>
          <w:lang w:val="es-ES"/>
        </w:rPr>
        <w:t xml:space="preserve"> (</w:t>
      </w:r>
      <w:r w:rsidR="001F5D1F" w:rsidRPr="006E21B6">
        <w:rPr>
          <w:rFonts w:ascii="Palatino Linotype" w:eastAsia="Calibri" w:hAnsi="Palatino Linotype" w:cs="Arial"/>
          <w:color w:val="000000" w:themeColor="text1"/>
          <w:lang w:val="es-ES"/>
        </w:rPr>
        <w:t>16</w:t>
      </w:r>
      <w:r w:rsidR="00C27B22" w:rsidRPr="006E21B6">
        <w:rPr>
          <w:rFonts w:ascii="Palatino Linotype" w:eastAsia="Calibri" w:hAnsi="Palatino Linotype" w:cs="Arial"/>
          <w:color w:val="000000" w:themeColor="text1"/>
          <w:lang w:val="es-ES"/>
        </w:rPr>
        <w:t>) de febrero de dos mil veintitrés:</w:t>
      </w:r>
    </w:p>
    <w:p w14:paraId="4EB44300" w14:textId="77777777" w:rsidR="00C27B22" w:rsidRPr="006E21B6" w:rsidRDefault="00C27B22" w:rsidP="00C27B22">
      <w:pPr>
        <w:pStyle w:val="Prrafodelista"/>
        <w:rPr>
          <w:rFonts w:ascii="Palatino Linotype" w:hAnsi="Palatino Linotype"/>
          <w:color w:val="000000" w:themeColor="text1"/>
        </w:rPr>
      </w:pPr>
    </w:p>
    <w:p w14:paraId="706023E0" w14:textId="45994E2F" w:rsidR="005154ED" w:rsidRPr="006E21B6" w:rsidRDefault="005154ED" w:rsidP="001F5D1F">
      <w:pPr>
        <w:pStyle w:val="Prrafodelista"/>
        <w:numPr>
          <w:ilvl w:val="0"/>
          <w:numId w:val="38"/>
        </w:numPr>
        <w:tabs>
          <w:tab w:val="left" w:pos="426"/>
        </w:tabs>
        <w:spacing w:line="360" w:lineRule="auto"/>
        <w:ind w:left="567"/>
        <w:jc w:val="both"/>
        <w:rPr>
          <w:rFonts w:ascii="Palatino Linotype" w:hAnsi="Palatino Linotype"/>
          <w:b/>
          <w:color w:val="000000" w:themeColor="text1"/>
        </w:rPr>
      </w:pPr>
      <w:r w:rsidRPr="006E21B6">
        <w:rPr>
          <w:rFonts w:ascii="Palatino Linotype" w:hAnsi="Palatino Linotype"/>
          <w:b/>
          <w:color w:val="000000" w:themeColor="text1"/>
        </w:rPr>
        <w:t xml:space="preserve">Respuesta SAIMEX 00542.pdf: Oficio suscrito por la Dirección General de Manejo Integral de Residuos mediante el cual hace de conocimiento que la expedición de Normas Técnicas se realiza mediante un procedimiento que comprende diversas fases hasta su aprobación, por lo que no existe sólo un </w:t>
      </w:r>
      <w:r w:rsidRPr="006E21B6">
        <w:rPr>
          <w:rFonts w:ascii="Palatino Linotype" w:hAnsi="Palatino Linotype"/>
          <w:b/>
          <w:color w:val="000000" w:themeColor="text1"/>
        </w:rPr>
        <w:lastRenderedPageBreak/>
        <w:t xml:space="preserve">análisis de Impacto Regulatorio AIR sino los que corresponden a cada etapa. En su fase de proyecto la propuesta de AIR se consulta en </w:t>
      </w:r>
      <w:hyperlink r:id="rId8" w:history="1">
        <w:r w:rsidR="00A9761B" w:rsidRPr="006E21B6">
          <w:rPr>
            <w:rStyle w:val="Hipervnculo"/>
            <w:rFonts w:ascii="Palatino Linotype" w:hAnsi="Palatino Linotype"/>
            <w:b/>
          </w:rPr>
          <w:t>https://cemer.edomex.gob.mx/sites/cemer.edomex.gob.mx/files/files/AIR%202021/222/Formato_AIR_Ordinario.pdf</w:t>
        </w:r>
      </w:hyperlink>
    </w:p>
    <w:p w14:paraId="39C4D605" w14:textId="3B90A0D8" w:rsidR="001F5D1F" w:rsidRPr="006E21B6" w:rsidRDefault="005154ED" w:rsidP="001F5D1F">
      <w:pPr>
        <w:pStyle w:val="Prrafodelista"/>
        <w:numPr>
          <w:ilvl w:val="0"/>
          <w:numId w:val="40"/>
        </w:numPr>
        <w:tabs>
          <w:tab w:val="left" w:pos="426"/>
        </w:tabs>
        <w:spacing w:line="360" w:lineRule="auto"/>
        <w:jc w:val="both"/>
        <w:rPr>
          <w:rFonts w:ascii="Palatino Linotype" w:hAnsi="Palatino Linotype"/>
          <w:b/>
          <w:color w:val="000000" w:themeColor="text1"/>
        </w:rPr>
      </w:pPr>
      <w:r w:rsidRPr="006E21B6">
        <w:rPr>
          <w:rFonts w:ascii="Palatino Linotype" w:hAnsi="Palatino Linotype"/>
          <w:b/>
          <w:color w:val="000000" w:themeColor="text1"/>
        </w:rPr>
        <w:t xml:space="preserve">En respuesta a la solicitud, la Comisión Estatal de Mejora Regulatoria emitió el Análisis de Impacto Regulatorio Ordinario, cuyo documento es público y puede ser consultado en la dirección electrónica </w:t>
      </w:r>
      <w:hyperlink r:id="rId9" w:history="1">
        <w:r w:rsidR="00A9761B" w:rsidRPr="006E21B6">
          <w:rPr>
            <w:rStyle w:val="Hipervnculo"/>
            <w:rFonts w:ascii="Palatino Linotype" w:hAnsi="Palatino Linotype"/>
            <w:b/>
          </w:rPr>
          <w:t>https://cemer.edomex.gob.mx/sites/cemer.edomex.gob.mx/files/files/AIR%202021/416/Oficio_Dictamen_firmado.pdf</w:t>
        </w:r>
      </w:hyperlink>
    </w:p>
    <w:p w14:paraId="44289BA8" w14:textId="4F533E7B" w:rsidR="005154ED" w:rsidRPr="006E21B6" w:rsidRDefault="005154ED" w:rsidP="001F5D1F">
      <w:pPr>
        <w:pStyle w:val="Prrafodelista"/>
        <w:numPr>
          <w:ilvl w:val="0"/>
          <w:numId w:val="40"/>
        </w:numPr>
        <w:tabs>
          <w:tab w:val="left" w:pos="426"/>
        </w:tabs>
        <w:spacing w:line="360" w:lineRule="auto"/>
        <w:jc w:val="both"/>
        <w:rPr>
          <w:rFonts w:ascii="Palatino Linotype" w:hAnsi="Palatino Linotype"/>
          <w:b/>
          <w:color w:val="000000" w:themeColor="text1"/>
        </w:rPr>
      </w:pPr>
      <w:r w:rsidRPr="006E21B6">
        <w:rPr>
          <w:rFonts w:ascii="Palatino Linotype" w:hAnsi="Palatino Linotype"/>
          <w:b/>
          <w:color w:val="000000" w:themeColor="text1"/>
        </w:rPr>
        <w:t xml:space="preserve">Asimismo, al ser aprobada la Norma Técnica Estatal Ambiental por el Comité Estatal de Normalización Ambiental, se determinó expedir el Análisis de Impacto Regulatorio, el cual se encuentra en la siguiente dirección electrónica </w:t>
      </w:r>
      <w:hyperlink r:id="rId10" w:history="1">
        <w:r w:rsidRPr="006E21B6">
          <w:rPr>
            <w:rStyle w:val="Hipervnculo"/>
            <w:rFonts w:ascii="Palatino Linotype" w:hAnsi="Palatino Linotype"/>
            <w:b/>
          </w:rPr>
          <w:t>https://cemer.edomex.gob.mx/sites/cemer.edomex.gob.mx/files/files/AIR%202022/399/Oficio_Dictamen_firmado.pdf</w:t>
        </w:r>
      </w:hyperlink>
    </w:p>
    <w:p w14:paraId="7E84CBE1" w14:textId="77777777" w:rsidR="005154ED" w:rsidRPr="006E21B6" w:rsidRDefault="005154ED" w:rsidP="005154ED">
      <w:pPr>
        <w:tabs>
          <w:tab w:val="left" w:pos="426"/>
        </w:tabs>
        <w:spacing w:line="360" w:lineRule="auto"/>
        <w:jc w:val="both"/>
        <w:rPr>
          <w:rFonts w:ascii="Palatino Linotype" w:hAnsi="Palatino Linotype"/>
          <w:b/>
          <w:color w:val="000000" w:themeColor="text1"/>
        </w:rPr>
      </w:pPr>
    </w:p>
    <w:p w14:paraId="64753657" w14:textId="7B786E4C" w:rsidR="005154ED" w:rsidRPr="006E21B6" w:rsidRDefault="005154ED" w:rsidP="001F5D1F">
      <w:pPr>
        <w:pStyle w:val="Prrafodelista"/>
        <w:numPr>
          <w:ilvl w:val="0"/>
          <w:numId w:val="38"/>
        </w:numPr>
        <w:tabs>
          <w:tab w:val="left" w:pos="426"/>
        </w:tabs>
        <w:spacing w:line="360" w:lineRule="auto"/>
        <w:ind w:left="426"/>
        <w:jc w:val="both"/>
        <w:rPr>
          <w:rFonts w:ascii="Palatino Linotype" w:hAnsi="Palatino Linotype"/>
          <w:color w:val="000000" w:themeColor="text1"/>
        </w:rPr>
      </w:pPr>
      <w:r w:rsidRPr="006E21B6">
        <w:rPr>
          <w:rFonts w:ascii="Palatino Linotype" w:hAnsi="Palatino Linotype"/>
          <w:b/>
          <w:color w:val="000000" w:themeColor="text1"/>
        </w:rPr>
        <w:t>RR 1726801-10-2023-162813.pdf</w:t>
      </w:r>
      <w:r w:rsidR="00EE228B" w:rsidRPr="006E21B6">
        <w:rPr>
          <w:rFonts w:ascii="Palatino Linotype" w:hAnsi="Palatino Linotype"/>
          <w:b/>
          <w:color w:val="000000" w:themeColor="text1"/>
        </w:rPr>
        <w:t xml:space="preserve">: </w:t>
      </w:r>
      <w:r w:rsidR="00EE228B" w:rsidRPr="006E21B6">
        <w:rPr>
          <w:rFonts w:ascii="Palatino Linotype" w:hAnsi="Palatino Linotype"/>
          <w:color w:val="000000" w:themeColor="text1"/>
        </w:rPr>
        <w:t>Documento suscrito por el Titular de la Unidad de Transparencia, mediante el cual medularmente refiere que rinde el informe justificado correspondiente, el cual se pone a disposición del particular.</w:t>
      </w:r>
    </w:p>
    <w:p w14:paraId="1BA88AC2" w14:textId="77777777" w:rsidR="00411700" w:rsidRPr="006E21B6" w:rsidRDefault="00411700" w:rsidP="00411700">
      <w:pPr>
        <w:pStyle w:val="Prrafodelista"/>
        <w:rPr>
          <w:rFonts w:ascii="Palatino Linotype" w:eastAsia="Calibri" w:hAnsi="Palatino Linotype" w:cs="Arial"/>
          <w:color w:val="000000" w:themeColor="text1"/>
          <w:lang w:val="es-ES"/>
        </w:rPr>
      </w:pPr>
    </w:p>
    <w:p w14:paraId="2DC160D3" w14:textId="4FCFDC29" w:rsidR="00B95B40" w:rsidRPr="006E21B6"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6E21B6">
        <w:rPr>
          <w:rFonts w:ascii="Palatino Linotype" w:hAnsi="Palatino Linotype" w:cs="Arial"/>
          <w:color w:val="000000" w:themeColor="text1"/>
        </w:rPr>
        <w:t xml:space="preserve">El </w:t>
      </w:r>
      <w:r w:rsidR="001F5D1F" w:rsidRPr="006E21B6">
        <w:rPr>
          <w:rFonts w:ascii="Palatino Linotype" w:hAnsi="Palatino Linotype" w:cs="Arial"/>
          <w:color w:val="000000" w:themeColor="text1"/>
        </w:rPr>
        <w:t>dieciséis</w:t>
      </w:r>
      <w:r w:rsidR="00E23CA4" w:rsidRPr="006E21B6">
        <w:rPr>
          <w:rFonts w:ascii="Palatino Linotype" w:hAnsi="Palatino Linotype" w:cs="Arial"/>
          <w:color w:val="000000" w:themeColor="text1"/>
        </w:rPr>
        <w:t xml:space="preserve"> (</w:t>
      </w:r>
      <w:r w:rsidR="001F5D1F" w:rsidRPr="006E21B6">
        <w:rPr>
          <w:rFonts w:ascii="Palatino Linotype" w:hAnsi="Palatino Linotype" w:cs="Arial"/>
          <w:color w:val="000000" w:themeColor="text1"/>
        </w:rPr>
        <w:t>16</w:t>
      </w:r>
      <w:r w:rsidR="00E23CA4" w:rsidRPr="006E21B6">
        <w:rPr>
          <w:rFonts w:ascii="Palatino Linotype" w:hAnsi="Palatino Linotype" w:cs="Arial"/>
          <w:color w:val="000000" w:themeColor="text1"/>
        </w:rPr>
        <w:t xml:space="preserve">) de </w:t>
      </w:r>
      <w:r w:rsidR="00B95B40" w:rsidRPr="006E21B6">
        <w:rPr>
          <w:rFonts w:ascii="Palatino Linotype" w:hAnsi="Palatino Linotype" w:cs="Arial"/>
          <w:color w:val="000000" w:themeColor="text1"/>
        </w:rPr>
        <w:t>febrero</w:t>
      </w:r>
      <w:r w:rsidR="00E23CA4" w:rsidRPr="006E21B6">
        <w:rPr>
          <w:rFonts w:ascii="Palatino Linotype" w:hAnsi="Palatino Linotype" w:cs="Arial"/>
          <w:color w:val="000000" w:themeColor="text1"/>
        </w:rPr>
        <w:t xml:space="preserve"> de dos mil veinti</w:t>
      </w:r>
      <w:r w:rsidR="00B95B40" w:rsidRPr="006E21B6">
        <w:rPr>
          <w:rFonts w:ascii="Palatino Linotype" w:hAnsi="Palatino Linotype" w:cs="Arial"/>
          <w:color w:val="000000" w:themeColor="text1"/>
        </w:rPr>
        <w:t>trés</w:t>
      </w:r>
      <w:r w:rsidR="00E23CA4" w:rsidRPr="006E21B6">
        <w:rPr>
          <w:rFonts w:ascii="Palatino Linotype" w:hAnsi="Palatino Linotype" w:cs="Arial"/>
          <w:color w:val="000000" w:themeColor="text1"/>
        </w:rPr>
        <w:t xml:space="preserve">, </w:t>
      </w:r>
      <w:r w:rsidR="00041DCC" w:rsidRPr="006E21B6">
        <w:rPr>
          <w:rFonts w:ascii="Palatino Linotype" w:hAnsi="Palatino Linotype" w:cs="Arial"/>
          <w:color w:val="000000" w:themeColor="text1"/>
        </w:rPr>
        <w:t xml:space="preserve">la Comisionada Ponente </w:t>
      </w:r>
      <w:r w:rsidR="00374B45" w:rsidRPr="006E21B6">
        <w:rPr>
          <w:rFonts w:ascii="Palatino Linotype" w:hAnsi="Palatino Linotype" w:cs="Arial"/>
          <w:color w:val="000000" w:themeColor="text1"/>
        </w:rPr>
        <w:t>notificó el acuerdo mediante el cual se amplió el plazo para emitir resolución</w:t>
      </w:r>
      <w:r w:rsidR="00B95B40" w:rsidRPr="006E21B6">
        <w:rPr>
          <w:rFonts w:ascii="Palatino Linotype" w:hAnsi="Palatino Linotype" w:cs="Arial"/>
          <w:color w:val="000000" w:themeColor="text1"/>
        </w:rPr>
        <w:t>.</w:t>
      </w:r>
    </w:p>
    <w:p w14:paraId="6555A53C" w14:textId="77777777" w:rsidR="00B95B40" w:rsidRPr="006E21B6" w:rsidRDefault="00B95B40" w:rsidP="00B95B40">
      <w:pPr>
        <w:pStyle w:val="Prrafodelista"/>
        <w:tabs>
          <w:tab w:val="left" w:pos="426"/>
        </w:tabs>
        <w:spacing w:line="360" w:lineRule="auto"/>
        <w:ind w:left="0"/>
        <w:jc w:val="both"/>
        <w:rPr>
          <w:rFonts w:ascii="Palatino Linotype" w:hAnsi="Palatino Linotype"/>
          <w:color w:val="000000" w:themeColor="text1"/>
        </w:rPr>
      </w:pPr>
    </w:p>
    <w:p w14:paraId="3001AA57" w14:textId="2AF76C86" w:rsidR="008965EF" w:rsidRPr="006E21B6" w:rsidRDefault="001F5D1F"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6E21B6">
        <w:rPr>
          <w:rFonts w:ascii="Palatino Linotype" w:hAnsi="Palatino Linotype" w:cs="Arial"/>
          <w:color w:val="000000" w:themeColor="text1"/>
        </w:rPr>
        <w:lastRenderedPageBreak/>
        <w:t>El veintidós</w:t>
      </w:r>
      <w:r w:rsidR="00B95B40" w:rsidRPr="006E21B6">
        <w:rPr>
          <w:rFonts w:ascii="Palatino Linotype" w:hAnsi="Palatino Linotype" w:cs="Arial"/>
          <w:color w:val="000000" w:themeColor="text1"/>
        </w:rPr>
        <w:t xml:space="preserve"> (</w:t>
      </w:r>
      <w:r w:rsidRPr="006E21B6">
        <w:rPr>
          <w:rFonts w:ascii="Palatino Linotype" w:hAnsi="Palatino Linotype" w:cs="Arial"/>
          <w:color w:val="000000" w:themeColor="text1"/>
        </w:rPr>
        <w:t>22</w:t>
      </w:r>
      <w:r w:rsidR="00B95B40" w:rsidRPr="006E21B6">
        <w:rPr>
          <w:rFonts w:ascii="Palatino Linotype" w:hAnsi="Palatino Linotype" w:cs="Arial"/>
          <w:color w:val="000000" w:themeColor="text1"/>
        </w:rPr>
        <w:t>) de febrero de dos mil veintitrés</w:t>
      </w:r>
      <w:r w:rsidR="00374B45" w:rsidRPr="006E21B6">
        <w:rPr>
          <w:rFonts w:ascii="Palatino Linotype" w:hAnsi="Palatino Linotype" w:cs="Arial"/>
          <w:color w:val="000000" w:themeColor="text1"/>
        </w:rPr>
        <w:t>,</w:t>
      </w:r>
      <w:r w:rsidR="00B95B40" w:rsidRPr="006E21B6">
        <w:rPr>
          <w:rFonts w:ascii="Palatino Linotype" w:hAnsi="Palatino Linotype" w:cs="Arial"/>
          <w:color w:val="000000" w:themeColor="text1"/>
        </w:rPr>
        <w:t xml:space="preserve"> la Comisionada Ponente decretó el cierre de instrucción,</w:t>
      </w:r>
      <w:r w:rsidR="00AD6AC5" w:rsidRPr="006E21B6">
        <w:rPr>
          <w:rFonts w:ascii="Palatino Linotype" w:hAnsi="Palatino Linotype" w:cs="Arial"/>
          <w:color w:val="000000" w:themeColor="text1"/>
        </w:rPr>
        <w:t xml:space="preserve"> por lo que ordenó turnar el expediente para su resolución, misma que ahora se pronuncia</w:t>
      </w:r>
      <w:r w:rsidR="009537F3" w:rsidRPr="006E21B6">
        <w:rPr>
          <w:rFonts w:ascii="Palatino Linotype" w:hAnsi="Palatino Linotype" w:cs="Arial"/>
          <w:color w:val="000000" w:themeColor="text1"/>
        </w:rPr>
        <w:t>.</w:t>
      </w:r>
    </w:p>
    <w:p w14:paraId="6409D30C" w14:textId="77777777" w:rsidR="00291A54" w:rsidRPr="006E21B6" w:rsidRDefault="00291A54" w:rsidP="00291A54">
      <w:pPr>
        <w:pStyle w:val="Prrafodelista"/>
        <w:rPr>
          <w:rFonts w:ascii="Palatino Linotype" w:hAnsi="Palatino Linotype"/>
          <w:color w:val="000000" w:themeColor="text1"/>
        </w:rPr>
      </w:pPr>
    </w:p>
    <w:p w14:paraId="277F253D" w14:textId="77777777" w:rsidR="00291A54" w:rsidRPr="006E21B6" w:rsidRDefault="00291A54" w:rsidP="00291A54">
      <w:pPr>
        <w:pStyle w:val="Prrafodelista"/>
        <w:numPr>
          <w:ilvl w:val="0"/>
          <w:numId w:val="1"/>
        </w:numPr>
        <w:spacing w:before="240" w:after="240" w:line="360" w:lineRule="auto"/>
        <w:ind w:hanging="11"/>
        <w:jc w:val="both"/>
        <w:rPr>
          <w:rFonts w:ascii="Palatino Linotype" w:hAnsi="Palatino Linotype"/>
          <w:b/>
          <w:sz w:val="28"/>
          <w:u w:val="single"/>
        </w:rPr>
      </w:pPr>
      <w:r w:rsidRPr="006E21B6">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C4621C" w14:textId="77777777" w:rsidR="00291A54" w:rsidRPr="006E21B6" w:rsidRDefault="00291A54" w:rsidP="00291A54">
      <w:pPr>
        <w:pStyle w:val="Prrafodelista"/>
        <w:rPr>
          <w:rFonts w:ascii="Palatino Linotype" w:hAnsi="Palatino Linotype"/>
        </w:rPr>
      </w:pPr>
    </w:p>
    <w:p w14:paraId="2FF4BAEB" w14:textId="77777777"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B38EAE" w14:textId="77777777" w:rsidR="00291A54" w:rsidRPr="006E21B6" w:rsidRDefault="00291A54" w:rsidP="00291A54">
      <w:pPr>
        <w:pStyle w:val="Prrafodelista"/>
        <w:spacing w:before="240" w:after="240" w:line="360" w:lineRule="auto"/>
        <w:ind w:left="0"/>
        <w:jc w:val="both"/>
        <w:rPr>
          <w:rFonts w:ascii="Palatino Linotype" w:hAnsi="Palatino Linotype"/>
        </w:rPr>
      </w:pPr>
    </w:p>
    <w:p w14:paraId="357583BA" w14:textId="77777777"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4B3A3A" w14:textId="77777777" w:rsidR="00291A54" w:rsidRPr="006E21B6" w:rsidRDefault="00291A54" w:rsidP="00291A54">
      <w:pPr>
        <w:pStyle w:val="Prrafodelista"/>
        <w:rPr>
          <w:rFonts w:ascii="Palatino Linotype" w:hAnsi="Palatino Linotype"/>
        </w:rPr>
      </w:pPr>
    </w:p>
    <w:p w14:paraId="7905C418" w14:textId="77777777"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 xml:space="preserve">En ese sentido, el legislador fijó los términos procesales en las leyes, de manera general, sin que pudiera prever la variada gama de casos que son resueltos </w:t>
      </w:r>
      <w:r w:rsidRPr="006E21B6">
        <w:rPr>
          <w:rFonts w:ascii="Palatino Linotype" w:hAnsi="Palatino Linotype"/>
        </w:rPr>
        <w:lastRenderedPageBreak/>
        <w:t>por los órganos jurisdiccionales o cuasi jurisdiccionales, tanto por la complejidad de los hechos, como por el número de casos que conocen.</w:t>
      </w:r>
    </w:p>
    <w:p w14:paraId="6D40C4D4" w14:textId="77777777" w:rsidR="00291A54" w:rsidRPr="006E21B6" w:rsidRDefault="00291A54" w:rsidP="00291A54">
      <w:pPr>
        <w:pStyle w:val="Prrafodelista"/>
        <w:spacing w:before="240" w:after="240" w:line="360" w:lineRule="auto"/>
        <w:ind w:left="0"/>
        <w:jc w:val="both"/>
        <w:rPr>
          <w:rFonts w:ascii="Palatino Linotype" w:hAnsi="Palatino Linotype"/>
        </w:rPr>
      </w:pPr>
    </w:p>
    <w:p w14:paraId="68CBD972" w14:textId="77777777"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61E1EC" w14:textId="77777777" w:rsidR="00291A54" w:rsidRPr="006E21B6" w:rsidRDefault="00291A54" w:rsidP="00291A54">
      <w:pPr>
        <w:pStyle w:val="Prrafodelista"/>
        <w:spacing w:before="240" w:after="240" w:line="360" w:lineRule="auto"/>
        <w:ind w:left="0"/>
        <w:jc w:val="both"/>
        <w:rPr>
          <w:rFonts w:ascii="Palatino Linotype" w:hAnsi="Palatino Linotype"/>
        </w:rPr>
      </w:pPr>
    </w:p>
    <w:p w14:paraId="19251013" w14:textId="77777777" w:rsidR="00291A54" w:rsidRPr="006E21B6" w:rsidRDefault="00291A54" w:rsidP="00291A54">
      <w:pPr>
        <w:pStyle w:val="Prrafodelista"/>
        <w:spacing w:before="240" w:after="240" w:line="360" w:lineRule="auto"/>
        <w:ind w:left="284"/>
        <w:jc w:val="both"/>
        <w:rPr>
          <w:rFonts w:ascii="Palatino Linotype" w:hAnsi="Palatino Linotype"/>
        </w:rPr>
      </w:pPr>
      <w:r w:rsidRPr="006E21B6">
        <w:rPr>
          <w:rFonts w:ascii="Palatino Linotype" w:hAnsi="Palatino Linotype"/>
        </w:rPr>
        <w:t>a)      Complejidad del asunto: La complejidad de la prueba, la pluralidad de sujetos procesales, el tiempo transcurrido, las características y contexto del recurso.</w:t>
      </w:r>
    </w:p>
    <w:p w14:paraId="3DE66DC3" w14:textId="77777777" w:rsidR="00291A54" w:rsidRPr="006E21B6" w:rsidRDefault="00291A54" w:rsidP="00291A54">
      <w:pPr>
        <w:pStyle w:val="Prrafodelista"/>
        <w:spacing w:before="240" w:after="240" w:line="360" w:lineRule="auto"/>
        <w:ind w:left="284"/>
        <w:jc w:val="both"/>
        <w:rPr>
          <w:rFonts w:ascii="Palatino Linotype" w:hAnsi="Palatino Linotype"/>
        </w:rPr>
      </w:pPr>
      <w:r w:rsidRPr="006E21B6">
        <w:rPr>
          <w:rFonts w:ascii="Palatino Linotype" w:hAnsi="Palatino Linotype"/>
        </w:rPr>
        <w:t>b)     Actividad Procesal del interesado: Acciones u omisiones del interesado.</w:t>
      </w:r>
    </w:p>
    <w:p w14:paraId="4C0DA8E8" w14:textId="77777777" w:rsidR="00291A54" w:rsidRPr="006E21B6" w:rsidRDefault="00291A54" w:rsidP="00291A54">
      <w:pPr>
        <w:pStyle w:val="Prrafodelista"/>
        <w:spacing w:before="240" w:after="240" w:line="360" w:lineRule="auto"/>
        <w:ind w:left="284"/>
        <w:jc w:val="both"/>
        <w:rPr>
          <w:rFonts w:ascii="Palatino Linotype" w:hAnsi="Palatino Linotype"/>
        </w:rPr>
      </w:pPr>
      <w:r w:rsidRPr="006E21B6">
        <w:rPr>
          <w:rFonts w:ascii="Palatino Linotype" w:hAnsi="Palatino Linotype"/>
        </w:rPr>
        <w:t>c)      Conducta de la Autoridad: Las Acciones u omisiones realizadas en el procedimiento. Así como si la autoridad actuó con la debida diligencia.</w:t>
      </w:r>
    </w:p>
    <w:p w14:paraId="4315A8AB" w14:textId="77777777" w:rsidR="00291A54" w:rsidRPr="006E21B6" w:rsidRDefault="00291A54" w:rsidP="00291A54">
      <w:pPr>
        <w:pStyle w:val="Prrafodelista"/>
        <w:spacing w:before="240" w:after="240" w:line="360" w:lineRule="auto"/>
        <w:ind w:left="284"/>
        <w:jc w:val="both"/>
        <w:rPr>
          <w:rFonts w:ascii="Palatino Linotype" w:hAnsi="Palatino Linotype"/>
        </w:rPr>
      </w:pPr>
      <w:r w:rsidRPr="006E21B6">
        <w:rPr>
          <w:rFonts w:ascii="Palatino Linotype" w:hAnsi="Palatino Linotype"/>
        </w:rPr>
        <w:t>d) La afectación generada en la situación jurídica de la persona involucrada en el proceso: Violación a sus derechos humanos.</w:t>
      </w:r>
    </w:p>
    <w:p w14:paraId="30F4808A" w14:textId="77777777" w:rsidR="00291A54" w:rsidRPr="006E21B6" w:rsidRDefault="00291A54" w:rsidP="00291A54">
      <w:pPr>
        <w:pStyle w:val="Prrafodelista"/>
        <w:spacing w:before="240" w:after="240" w:line="360" w:lineRule="auto"/>
        <w:ind w:left="0"/>
        <w:jc w:val="both"/>
        <w:rPr>
          <w:rFonts w:ascii="Palatino Linotype" w:hAnsi="Palatino Linotype"/>
        </w:rPr>
      </w:pPr>
    </w:p>
    <w:p w14:paraId="2EF3EE7F" w14:textId="77777777"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115919" w14:textId="77777777" w:rsidR="00291A54" w:rsidRPr="006E21B6" w:rsidRDefault="00291A54" w:rsidP="00291A54">
      <w:pPr>
        <w:pStyle w:val="Prrafodelista"/>
        <w:spacing w:before="240" w:after="240" w:line="360" w:lineRule="auto"/>
        <w:ind w:left="0"/>
        <w:jc w:val="both"/>
        <w:rPr>
          <w:rFonts w:ascii="Palatino Linotype" w:hAnsi="Palatino Linotype"/>
        </w:rPr>
      </w:pPr>
    </w:p>
    <w:p w14:paraId="3794018E" w14:textId="77777777"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Argumento que encuentra sustento en la jurisprudencia P</w:t>
      </w:r>
      <w:proofErr w:type="gramStart"/>
      <w:r w:rsidRPr="006E21B6">
        <w:rPr>
          <w:rFonts w:ascii="Palatino Linotype" w:hAnsi="Palatino Linotype"/>
        </w:rPr>
        <w:t>./</w:t>
      </w:r>
      <w:proofErr w:type="gramEnd"/>
      <w:r w:rsidRPr="006E21B6">
        <w:rPr>
          <w:rFonts w:ascii="Palatino Linotype" w:hAnsi="Palatino Linotype"/>
        </w:rPr>
        <w:t xml:space="preserve">J. 32/92 emitida por el Pleno de la Suprema Corte de Justicia de la Nación de rubro “TÉRMINOS </w:t>
      </w:r>
      <w:r w:rsidRPr="006E21B6">
        <w:rPr>
          <w:rFonts w:ascii="Palatino Linotype" w:hAnsi="Palatino Linotype"/>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0C6686" w14:textId="77777777" w:rsidR="00291A54" w:rsidRPr="006E21B6" w:rsidRDefault="00291A54" w:rsidP="00291A54">
      <w:pPr>
        <w:pStyle w:val="Prrafodelista"/>
        <w:rPr>
          <w:rFonts w:ascii="Palatino Linotype" w:hAnsi="Palatino Linotype"/>
        </w:rPr>
      </w:pPr>
    </w:p>
    <w:p w14:paraId="2AC5F687" w14:textId="77777777"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8F5657" w14:textId="77777777" w:rsidR="00291A54" w:rsidRPr="006E21B6" w:rsidRDefault="00291A54" w:rsidP="00291A54">
      <w:pPr>
        <w:pStyle w:val="Prrafodelista"/>
        <w:spacing w:before="240" w:after="240" w:line="360" w:lineRule="auto"/>
        <w:ind w:left="0"/>
        <w:jc w:val="both"/>
        <w:rPr>
          <w:rFonts w:ascii="Palatino Linotype" w:hAnsi="Palatino Linotype"/>
        </w:rPr>
      </w:pPr>
    </w:p>
    <w:p w14:paraId="20EFEB0C" w14:textId="77777777"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F1901FA" w14:textId="77777777" w:rsidR="00291A54" w:rsidRPr="006E21B6" w:rsidRDefault="00291A54" w:rsidP="00291A54">
      <w:pPr>
        <w:pStyle w:val="Prrafodelista"/>
        <w:rPr>
          <w:rFonts w:ascii="Palatino Linotype" w:hAnsi="Palatino Linotype"/>
        </w:rPr>
      </w:pPr>
    </w:p>
    <w:p w14:paraId="6D6DACC2" w14:textId="77777777" w:rsidR="00291A54" w:rsidRPr="006E21B6" w:rsidRDefault="00291A54" w:rsidP="00291A54">
      <w:pPr>
        <w:pStyle w:val="Prrafodelista"/>
        <w:spacing w:before="240" w:after="240" w:line="360" w:lineRule="auto"/>
        <w:ind w:left="567"/>
        <w:jc w:val="both"/>
        <w:rPr>
          <w:rFonts w:ascii="Palatino Linotype" w:hAnsi="Palatino Linotype"/>
        </w:rPr>
      </w:pPr>
      <w:r w:rsidRPr="006E21B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897F9F" w14:textId="77777777" w:rsidR="00291A54" w:rsidRPr="006E21B6" w:rsidRDefault="00291A54" w:rsidP="00291A54">
      <w:pPr>
        <w:pStyle w:val="Prrafodelista"/>
        <w:spacing w:before="240" w:after="240" w:line="360" w:lineRule="auto"/>
        <w:ind w:left="567"/>
        <w:jc w:val="both"/>
        <w:rPr>
          <w:rFonts w:ascii="Palatino Linotype" w:hAnsi="Palatino Linotype"/>
        </w:rPr>
      </w:pPr>
      <w:r w:rsidRPr="006E21B6">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6CF1B506" w14:textId="77777777" w:rsidR="00291A54" w:rsidRPr="006E21B6" w:rsidRDefault="00291A54" w:rsidP="00291A54">
      <w:pPr>
        <w:pStyle w:val="Prrafodelista"/>
        <w:spacing w:before="240" w:after="240" w:line="360" w:lineRule="auto"/>
        <w:ind w:left="708"/>
        <w:jc w:val="both"/>
        <w:rPr>
          <w:rFonts w:ascii="Palatino Linotype" w:hAnsi="Palatino Linotype"/>
        </w:rPr>
      </w:pPr>
    </w:p>
    <w:p w14:paraId="0FBAA536" w14:textId="16FDC3EF" w:rsidR="00291A54" w:rsidRPr="006E21B6" w:rsidRDefault="00291A54" w:rsidP="00291A54">
      <w:pPr>
        <w:pStyle w:val="Prrafodelista"/>
        <w:numPr>
          <w:ilvl w:val="0"/>
          <w:numId w:val="1"/>
        </w:numPr>
        <w:spacing w:before="240" w:after="240" w:line="360" w:lineRule="auto"/>
        <w:jc w:val="both"/>
        <w:rPr>
          <w:rFonts w:ascii="Palatino Linotype" w:hAnsi="Palatino Linotype"/>
        </w:rPr>
      </w:pPr>
      <w:r w:rsidRPr="006E21B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F5E9E3A" w14:textId="77777777" w:rsidR="009537F3" w:rsidRPr="006E21B6" w:rsidRDefault="009537F3" w:rsidP="009537F3">
      <w:pPr>
        <w:pStyle w:val="Prrafodelista"/>
        <w:rPr>
          <w:rFonts w:ascii="Palatino Linotype" w:hAnsi="Palatino Linotype"/>
          <w:color w:val="000000" w:themeColor="text1"/>
        </w:rPr>
      </w:pPr>
    </w:p>
    <w:p w14:paraId="5CB47E4D" w14:textId="272D7EDF" w:rsidR="00C33279" w:rsidRPr="006E21B6" w:rsidRDefault="007C0013" w:rsidP="00B31E90">
      <w:pPr>
        <w:pStyle w:val="Ttulo1"/>
        <w:spacing w:before="0"/>
        <w:jc w:val="center"/>
        <w:rPr>
          <w:b/>
          <w:color w:val="000000" w:themeColor="text1"/>
        </w:rPr>
      </w:pPr>
      <w:bookmarkStart w:id="6" w:name="_Toc87456485"/>
      <w:r w:rsidRPr="006E21B6">
        <w:rPr>
          <w:b/>
          <w:color w:val="000000" w:themeColor="text1"/>
        </w:rPr>
        <w:t>CONSIDERANDO</w:t>
      </w:r>
      <w:bookmarkEnd w:id="4"/>
      <w:bookmarkEnd w:id="5"/>
      <w:bookmarkEnd w:id="6"/>
    </w:p>
    <w:p w14:paraId="629A5BE2" w14:textId="56C3E7D5" w:rsidR="007C0013" w:rsidRPr="006E21B6"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6E21B6">
        <w:rPr>
          <w:rFonts w:ascii="Palatino Linotype" w:hAnsi="Palatino Linotype"/>
          <w:b/>
          <w:color w:val="000000" w:themeColor="text1"/>
          <w:sz w:val="24"/>
        </w:rPr>
        <w:t>PRIMERO. De la competencia</w:t>
      </w:r>
      <w:bookmarkEnd w:id="7"/>
      <w:bookmarkEnd w:id="8"/>
      <w:bookmarkEnd w:id="9"/>
    </w:p>
    <w:p w14:paraId="60FBD8C7" w14:textId="77777777" w:rsidR="00FC1DA7" w:rsidRPr="006E21B6" w:rsidRDefault="00FC1DA7" w:rsidP="00B31E90">
      <w:pPr>
        <w:rPr>
          <w:rFonts w:ascii="Palatino Linotype" w:hAnsi="Palatino Linotype"/>
          <w:color w:val="000000" w:themeColor="text1"/>
          <w:lang w:eastAsia="en-US"/>
        </w:rPr>
      </w:pPr>
    </w:p>
    <w:p w14:paraId="0BF52B18" w14:textId="515C3AEB" w:rsidR="005A228F" w:rsidRPr="006E21B6"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E21B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E21B6">
        <w:rPr>
          <w:rFonts w:ascii="Palatino Linotype" w:eastAsia="Calibri" w:hAnsi="Palatino Linotype" w:cs="Times New Roman"/>
          <w:color w:val="000000" w:themeColor="text1"/>
          <w:lang w:val="es-ES"/>
        </w:rPr>
        <w:t xml:space="preserve">etente para conocer y resolver </w:t>
      </w:r>
      <w:r w:rsidRPr="006E21B6">
        <w:rPr>
          <w:rFonts w:ascii="Palatino Linotype" w:eastAsia="Calibri" w:hAnsi="Palatino Linotype" w:cs="Times New Roman"/>
          <w:color w:val="000000" w:themeColor="text1"/>
          <w:lang w:val="es-ES"/>
        </w:rPr>
        <w:t xml:space="preserve">el presente recurso de conformidad con el artículo: 6, apartado A, fracción IV de la </w:t>
      </w:r>
      <w:r w:rsidRPr="006E21B6">
        <w:rPr>
          <w:rFonts w:ascii="Palatino Linotype" w:eastAsia="Calibri" w:hAnsi="Palatino Linotype" w:cs="Times New Roman"/>
          <w:b/>
          <w:color w:val="000000" w:themeColor="text1"/>
          <w:lang w:val="es-ES"/>
        </w:rPr>
        <w:t>Constitución Política de los Estados Unidos Mexicanos</w:t>
      </w:r>
      <w:r w:rsidRPr="006E21B6">
        <w:rPr>
          <w:rFonts w:ascii="Palatino Linotype" w:eastAsia="Calibri" w:hAnsi="Palatino Linotype" w:cs="Times New Roman"/>
          <w:color w:val="000000" w:themeColor="text1"/>
          <w:lang w:val="es-ES"/>
        </w:rPr>
        <w:t xml:space="preserve">; 5, párrafos </w:t>
      </w:r>
      <w:r w:rsidR="000B7C4F" w:rsidRPr="006E21B6">
        <w:rPr>
          <w:rFonts w:ascii="Palatino Linotype" w:eastAsia="Calibri" w:hAnsi="Palatino Linotype" w:cs="Times New Roman"/>
          <w:color w:val="000000" w:themeColor="text1"/>
          <w:lang w:val="es-ES"/>
        </w:rPr>
        <w:t>trigésimo, trigésimo primero y trigésimo segundo</w:t>
      </w:r>
      <w:r w:rsidR="004F785F" w:rsidRPr="006E21B6">
        <w:rPr>
          <w:rFonts w:ascii="Palatino Linotype" w:eastAsia="Calibri" w:hAnsi="Palatino Linotype" w:cs="Times New Roman"/>
          <w:color w:val="000000" w:themeColor="text1"/>
          <w:lang w:val="es-ES"/>
        </w:rPr>
        <w:t>,</w:t>
      </w:r>
      <w:r w:rsidRPr="006E21B6">
        <w:rPr>
          <w:rFonts w:ascii="Palatino Linotype" w:eastAsia="Calibri" w:hAnsi="Palatino Linotype" w:cs="Times New Roman"/>
          <w:color w:val="000000" w:themeColor="text1"/>
          <w:lang w:val="es-ES"/>
        </w:rPr>
        <w:t xml:space="preserve"> fracciones IV y V</w:t>
      </w:r>
      <w:r w:rsidR="004F785F" w:rsidRPr="006E21B6">
        <w:rPr>
          <w:rFonts w:ascii="Palatino Linotype" w:eastAsia="Calibri" w:hAnsi="Palatino Linotype" w:cs="Times New Roman"/>
          <w:color w:val="000000" w:themeColor="text1"/>
          <w:lang w:val="es-ES"/>
        </w:rPr>
        <w:t>,</w:t>
      </w:r>
      <w:r w:rsidRPr="006E21B6">
        <w:rPr>
          <w:rFonts w:ascii="Palatino Linotype" w:eastAsia="Calibri" w:hAnsi="Palatino Linotype" w:cs="Times New Roman"/>
          <w:color w:val="000000" w:themeColor="text1"/>
          <w:lang w:val="es-ES"/>
        </w:rPr>
        <w:t xml:space="preserve"> de la </w:t>
      </w:r>
      <w:r w:rsidRPr="006E21B6">
        <w:rPr>
          <w:rFonts w:ascii="Palatino Linotype" w:eastAsia="Calibri" w:hAnsi="Palatino Linotype" w:cs="Times New Roman"/>
          <w:b/>
          <w:color w:val="000000" w:themeColor="text1"/>
          <w:lang w:val="es-ES"/>
        </w:rPr>
        <w:t>Constitución Política del Estado Libre y Soberano de México</w:t>
      </w:r>
      <w:r w:rsidRPr="006E21B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E21B6">
        <w:rPr>
          <w:rFonts w:ascii="Palatino Linotype" w:eastAsia="Calibri" w:hAnsi="Palatino Linotype" w:cs="Arial"/>
          <w:color w:val="000000" w:themeColor="text1"/>
          <w:lang w:val="es-ES"/>
        </w:rPr>
        <w:t xml:space="preserve">de la </w:t>
      </w:r>
      <w:r w:rsidRPr="006E21B6">
        <w:rPr>
          <w:rFonts w:ascii="Palatino Linotype" w:eastAsia="Calibri" w:hAnsi="Palatino Linotype" w:cs="Arial"/>
          <w:b/>
          <w:color w:val="000000" w:themeColor="text1"/>
          <w:lang w:val="es-ES"/>
        </w:rPr>
        <w:t>Ley de Transparencia y Acceso a la Información Pública del Estado de México y Municipios</w:t>
      </w:r>
      <w:r w:rsidRPr="006E21B6">
        <w:rPr>
          <w:rFonts w:ascii="Palatino Linotype" w:eastAsia="Calibri" w:hAnsi="Palatino Linotype" w:cs="Arial"/>
          <w:color w:val="000000" w:themeColor="text1"/>
          <w:lang w:val="es-ES"/>
        </w:rPr>
        <w:t xml:space="preserve">; y 10, 7, 9 fracciones I y XXIV, y 11 del </w:t>
      </w:r>
      <w:r w:rsidRPr="006E21B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313EF584" w14:textId="77777777" w:rsidR="00D10133" w:rsidRPr="006E21B6" w:rsidRDefault="00D10133" w:rsidP="00D10133">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7A0A8E3" w14:textId="77777777" w:rsidR="002630E4" w:rsidRPr="006E21B6"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5D48A685" w14:textId="77777777" w:rsidR="00B95B40" w:rsidRPr="006E21B6" w:rsidRDefault="00B95B40"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72927C3" w14:textId="77777777" w:rsidR="00B95B40" w:rsidRPr="006E21B6" w:rsidRDefault="00B95B40"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E21B6"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6E21B6">
        <w:rPr>
          <w:rFonts w:ascii="Palatino Linotype" w:hAnsi="Palatino Linotype"/>
          <w:b/>
          <w:color w:val="000000" w:themeColor="text1"/>
          <w:sz w:val="24"/>
        </w:rPr>
        <w:t>SEGUNDO. De la oportunidad y proced</w:t>
      </w:r>
      <w:r w:rsidR="00F35C44" w:rsidRPr="006E21B6">
        <w:rPr>
          <w:rFonts w:ascii="Palatino Linotype" w:hAnsi="Palatino Linotype"/>
          <w:b/>
          <w:color w:val="000000" w:themeColor="text1"/>
          <w:sz w:val="24"/>
        </w:rPr>
        <w:t>encia</w:t>
      </w:r>
      <w:r w:rsidRPr="006E21B6">
        <w:rPr>
          <w:rFonts w:ascii="Palatino Linotype" w:hAnsi="Palatino Linotype"/>
          <w:b/>
          <w:color w:val="000000" w:themeColor="text1"/>
          <w:sz w:val="24"/>
        </w:rPr>
        <w:t>.</w:t>
      </w:r>
      <w:bookmarkEnd w:id="10"/>
      <w:bookmarkEnd w:id="11"/>
      <w:bookmarkEnd w:id="12"/>
    </w:p>
    <w:p w14:paraId="18E22450" w14:textId="77777777" w:rsidR="00C6440A" w:rsidRPr="006E21B6" w:rsidRDefault="00C6440A" w:rsidP="00B31E90">
      <w:pPr>
        <w:rPr>
          <w:color w:val="000000" w:themeColor="text1"/>
          <w:lang w:eastAsia="en-US"/>
        </w:rPr>
      </w:pPr>
    </w:p>
    <w:p w14:paraId="7D631690" w14:textId="36DD51CD" w:rsidR="00B34758" w:rsidRPr="006E21B6"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E21B6">
        <w:rPr>
          <w:rFonts w:ascii="Palatino Linotype" w:eastAsia="Calibri" w:hAnsi="Palatino Linotype" w:cs="Arial"/>
          <w:color w:val="000000" w:themeColor="text1"/>
        </w:rPr>
        <w:t xml:space="preserve">El </w:t>
      </w:r>
      <w:r w:rsidR="00740BA4" w:rsidRPr="006E21B6">
        <w:rPr>
          <w:rFonts w:ascii="Palatino Linotype" w:eastAsia="Calibri" w:hAnsi="Palatino Linotype" w:cs="Arial"/>
          <w:color w:val="000000" w:themeColor="text1"/>
        </w:rPr>
        <w:t xml:space="preserve">medio de impugnación fue presentado a través del </w:t>
      </w:r>
      <w:r w:rsidR="00740BA4" w:rsidRPr="006E21B6">
        <w:rPr>
          <w:rFonts w:ascii="Palatino Linotype" w:eastAsia="Calibri" w:hAnsi="Palatino Linotype" w:cs="Arial"/>
          <w:bCs/>
          <w:iCs/>
          <w:color w:val="000000" w:themeColor="text1"/>
        </w:rPr>
        <w:t>SAIMEX</w:t>
      </w:r>
      <w:r w:rsidR="00740BA4" w:rsidRPr="006E21B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E21B6">
        <w:rPr>
          <w:rFonts w:ascii="Palatino Linotype" w:eastAsia="Calibri" w:hAnsi="Palatino Linotype" w:cs="Arial"/>
          <w:b/>
          <w:color w:val="000000" w:themeColor="text1"/>
        </w:rPr>
        <w:t>SUJETO OBLIGADO</w:t>
      </w:r>
      <w:r w:rsidR="00740BA4" w:rsidRPr="006E21B6">
        <w:rPr>
          <w:rFonts w:ascii="Palatino Linotype" w:eastAsia="Calibri" w:hAnsi="Palatino Linotype" w:cs="Arial"/>
          <w:color w:val="000000" w:themeColor="text1"/>
        </w:rPr>
        <w:t xml:space="preserve"> entregó respuesta el </w:t>
      </w:r>
      <w:r w:rsidR="001F5D1F" w:rsidRPr="006E21B6">
        <w:rPr>
          <w:rFonts w:ascii="Palatino Linotype" w:eastAsia="Calibri" w:hAnsi="Palatino Linotype" w:cs="Arial"/>
          <w:color w:val="000000" w:themeColor="text1"/>
        </w:rPr>
        <w:t>cinco</w:t>
      </w:r>
      <w:r w:rsidR="00921375" w:rsidRPr="006E21B6">
        <w:rPr>
          <w:rFonts w:ascii="Palatino Linotype" w:eastAsia="Calibri" w:hAnsi="Palatino Linotype" w:cs="Arial"/>
          <w:color w:val="000000" w:themeColor="text1"/>
        </w:rPr>
        <w:t xml:space="preserve"> (</w:t>
      </w:r>
      <w:r w:rsidR="001F5D1F" w:rsidRPr="006E21B6">
        <w:rPr>
          <w:rFonts w:ascii="Palatino Linotype" w:eastAsia="Calibri" w:hAnsi="Palatino Linotype" w:cs="Arial"/>
          <w:color w:val="000000" w:themeColor="text1"/>
        </w:rPr>
        <w:t>5</w:t>
      </w:r>
      <w:r w:rsidR="00921375" w:rsidRPr="006E21B6">
        <w:rPr>
          <w:rFonts w:ascii="Palatino Linotype" w:eastAsia="Calibri" w:hAnsi="Palatino Linotype" w:cs="Arial"/>
          <w:color w:val="000000" w:themeColor="text1"/>
        </w:rPr>
        <w:t xml:space="preserve">) de </w:t>
      </w:r>
      <w:r w:rsidR="001F5D1F" w:rsidRPr="006E21B6">
        <w:rPr>
          <w:rFonts w:ascii="Palatino Linotype" w:eastAsia="Calibri" w:hAnsi="Palatino Linotype" w:cs="Arial"/>
          <w:color w:val="000000" w:themeColor="text1"/>
        </w:rPr>
        <w:t>diciembre</w:t>
      </w:r>
      <w:r w:rsidR="007F372C" w:rsidRPr="006E21B6">
        <w:rPr>
          <w:rFonts w:ascii="Palatino Linotype" w:eastAsia="Calibri" w:hAnsi="Palatino Linotype" w:cs="Arial"/>
          <w:color w:val="000000" w:themeColor="text1"/>
        </w:rPr>
        <w:t xml:space="preserve"> </w:t>
      </w:r>
      <w:r w:rsidR="00740BA4" w:rsidRPr="006E21B6">
        <w:rPr>
          <w:rFonts w:ascii="Palatino Linotype" w:eastAsia="Calibri" w:hAnsi="Palatino Linotype" w:cs="Arial"/>
          <w:color w:val="000000" w:themeColor="text1"/>
        </w:rPr>
        <w:t>de dos mil veinti</w:t>
      </w:r>
      <w:r w:rsidR="001B32B2" w:rsidRPr="006E21B6">
        <w:rPr>
          <w:rFonts w:ascii="Palatino Linotype" w:eastAsia="Calibri" w:hAnsi="Palatino Linotype" w:cs="Arial"/>
          <w:color w:val="000000" w:themeColor="text1"/>
        </w:rPr>
        <w:t>dós</w:t>
      </w:r>
      <w:r w:rsidR="00740BA4" w:rsidRPr="006E21B6">
        <w:rPr>
          <w:rFonts w:ascii="Palatino Linotype" w:eastAsia="Calibri" w:hAnsi="Palatino Linotype" w:cs="Arial"/>
          <w:color w:val="000000" w:themeColor="text1"/>
        </w:rPr>
        <w:t>, de tal forma que el plazo para interponer el recurso de revisión transcurrió del</w:t>
      </w:r>
      <w:r w:rsidR="005A3F61" w:rsidRPr="006E21B6">
        <w:rPr>
          <w:rFonts w:ascii="Palatino Linotype" w:eastAsia="Calibri" w:hAnsi="Palatino Linotype" w:cs="Arial"/>
          <w:color w:val="000000" w:themeColor="text1"/>
        </w:rPr>
        <w:t xml:space="preserve"> </w:t>
      </w:r>
      <w:r w:rsidR="001F5D1F" w:rsidRPr="006E21B6">
        <w:rPr>
          <w:rFonts w:ascii="Palatino Linotype" w:eastAsia="Calibri" w:hAnsi="Palatino Linotype" w:cs="Arial"/>
          <w:color w:val="000000" w:themeColor="text1"/>
        </w:rPr>
        <w:t>seis</w:t>
      </w:r>
      <w:r w:rsidR="00CE035D" w:rsidRPr="006E21B6">
        <w:rPr>
          <w:rFonts w:ascii="Palatino Linotype" w:eastAsia="Calibri" w:hAnsi="Palatino Linotype" w:cs="Arial"/>
          <w:color w:val="000000" w:themeColor="text1"/>
        </w:rPr>
        <w:t xml:space="preserve"> </w:t>
      </w:r>
      <w:r w:rsidR="00921375" w:rsidRPr="006E21B6">
        <w:rPr>
          <w:rFonts w:ascii="Palatino Linotype" w:eastAsia="Calibri" w:hAnsi="Palatino Linotype" w:cs="Arial"/>
          <w:color w:val="000000" w:themeColor="text1"/>
        </w:rPr>
        <w:t>(</w:t>
      </w:r>
      <w:r w:rsidR="001F5D1F" w:rsidRPr="006E21B6">
        <w:rPr>
          <w:rFonts w:ascii="Palatino Linotype" w:eastAsia="Calibri" w:hAnsi="Palatino Linotype" w:cs="Arial"/>
          <w:color w:val="000000" w:themeColor="text1"/>
        </w:rPr>
        <w:t>06</w:t>
      </w:r>
      <w:r w:rsidR="00921375" w:rsidRPr="006E21B6">
        <w:rPr>
          <w:rFonts w:ascii="Palatino Linotype" w:eastAsia="Calibri" w:hAnsi="Palatino Linotype" w:cs="Arial"/>
          <w:color w:val="000000" w:themeColor="text1"/>
        </w:rPr>
        <w:t xml:space="preserve">) </w:t>
      </w:r>
      <w:r w:rsidR="003E0075" w:rsidRPr="006E21B6">
        <w:rPr>
          <w:rFonts w:ascii="Palatino Linotype" w:eastAsia="Calibri" w:hAnsi="Palatino Linotype" w:cs="Arial"/>
          <w:color w:val="000000" w:themeColor="text1"/>
        </w:rPr>
        <w:t xml:space="preserve">de </w:t>
      </w:r>
      <w:r w:rsidR="001F5D1F" w:rsidRPr="006E21B6">
        <w:rPr>
          <w:rFonts w:ascii="Palatino Linotype" w:eastAsia="Calibri" w:hAnsi="Palatino Linotype" w:cs="Arial"/>
          <w:color w:val="000000" w:themeColor="text1"/>
        </w:rPr>
        <w:t>diciembre de dos mil veintidós</w:t>
      </w:r>
      <w:r w:rsidR="00F963A6" w:rsidRPr="006E21B6">
        <w:rPr>
          <w:rFonts w:ascii="Palatino Linotype" w:eastAsia="Calibri" w:hAnsi="Palatino Linotype" w:cs="Arial"/>
          <w:color w:val="000000" w:themeColor="text1"/>
        </w:rPr>
        <w:t xml:space="preserve"> </w:t>
      </w:r>
      <w:r w:rsidR="003E0075" w:rsidRPr="006E21B6">
        <w:rPr>
          <w:rFonts w:ascii="Palatino Linotype" w:eastAsia="Calibri" w:hAnsi="Palatino Linotype" w:cs="Arial"/>
          <w:color w:val="000000" w:themeColor="text1"/>
        </w:rPr>
        <w:t xml:space="preserve">al </w:t>
      </w:r>
      <w:r w:rsidR="001F5D1F" w:rsidRPr="006E21B6">
        <w:rPr>
          <w:rFonts w:ascii="Palatino Linotype" w:eastAsia="Calibri" w:hAnsi="Palatino Linotype" w:cs="Arial"/>
          <w:color w:val="000000" w:themeColor="text1"/>
        </w:rPr>
        <w:t>once</w:t>
      </w:r>
      <w:r w:rsidR="00C27213" w:rsidRPr="006E21B6">
        <w:rPr>
          <w:rFonts w:ascii="Palatino Linotype" w:eastAsia="Calibri" w:hAnsi="Palatino Linotype" w:cs="Arial"/>
          <w:color w:val="000000" w:themeColor="text1"/>
        </w:rPr>
        <w:t xml:space="preserve"> (</w:t>
      </w:r>
      <w:r w:rsidR="001F5D1F" w:rsidRPr="006E21B6">
        <w:rPr>
          <w:rFonts w:ascii="Palatino Linotype" w:eastAsia="Calibri" w:hAnsi="Palatino Linotype" w:cs="Arial"/>
          <w:color w:val="000000" w:themeColor="text1"/>
        </w:rPr>
        <w:t>11</w:t>
      </w:r>
      <w:r w:rsidR="00C27213" w:rsidRPr="006E21B6">
        <w:rPr>
          <w:rFonts w:ascii="Palatino Linotype" w:eastAsia="Calibri" w:hAnsi="Palatino Linotype" w:cs="Arial"/>
          <w:color w:val="000000" w:themeColor="text1"/>
        </w:rPr>
        <w:t xml:space="preserve">) de </w:t>
      </w:r>
      <w:r w:rsidR="001F5D1F" w:rsidRPr="006E21B6">
        <w:rPr>
          <w:rFonts w:ascii="Palatino Linotype" w:eastAsia="Calibri" w:hAnsi="Palatino Linotype" w:cs="Arial"/>
          <w:color w:val="000000" w:themeColor="text1"/>
        </w:rPr>
        <w:t>enero</w:t>
      </w:r>
      <w:r w:rsidR="00C27213" w:rsidRPr="006E21B6">
        <w:rPr>
          <w:rFonts w:ascii="Palatino Linotype" w:eastAsia="Calibri" w:hAnsi="Palatino Linotype" w:cs="Arial"/>
          <w:color w:val="000000" w:themeColor="text1"/>
        </w:rPr>
        <w:t xml:space="preserve"> </w:t>
      </w:r>
      <w:r w:rsidR="00921375" w:rsidRPr="006E21B6">
        <w:rPr>
          <w:rFonts w:ascii="Palatino Linotype" w:eastAsia="Calibri" w:hAnsi="Palatino Linotype" w:cs="Arial"/>
          <w:color w:val="000000" w:themeColor="text1"/>
        </w:rPr>
        <w:t xml:space="preserve">de dos mil </w:t>
      </w:r>
      <w:r w:rsidR="00AA37A7" w:rsidRPr="006E21B6">
        <w:rPr>
          <w:rFonts w:ascii="Palatino Linotype" w:eastAsia="Calibri" w:hAnsi="Palatino Linotype" w:cs="Arial"/>
          <w:color w:val="000000" w:themeColor="text1"/>
        </w:rPr>
        <w:t>veinti</w:t>
      </w:r>
      <w:r w:rsidR="001F5D1F" w:rsidRPr="006E21B6">
        <w:rPr>
          <w:rFonts w:ascii="Palatino Linotype" w:eastAsia="Calibri" w:hAnsi="Palatino Linotype" w:cs="Arial"/>
          <w:color w:val="000000" w:themeColor="text1"/>
        </w:rPr>
        <w:t>trés</w:t>
      </w:r>
      <w:r w:rsidR="00CE035D" w:rsidRPr="006E21B6">
        <w:rPr>
          <w:rFonts w:ascii="Palatino Linotype" w:eastAsia="Calibri" w:hAnsi="Palatino Linotype" w:cs="Arial"/>
          <w:color w:val="000000" w:themeColor="text1"/>
        </w:rPr>
        <w:t xml:space="preserve">, el recurso de revisión </w:t>
      </w:r>
      <w:r w:rsidR="00E95534" w:rsidRPr="006E21B6">
        <w:rPr>
          <w:rFonts w:ascii="Palatino Linotype" w:hAnsi="Palatino Linotype"/>
          <w:color w:val="000000" w:themeColor="text1"/>
        </w:rPr>
        <w:t xml:space="preserve">fue interpuesto el </w:t>
      </w:r>
      <w:r w:rsidR="001F5D1F" w:rsidRPr="006E21B6">
        <w:rPr>
          <w:rFonts w:ascii="Palatino Linotype" w:eastAsia="Calibri" w:hAnsi="Palatino Linotype" w:cs="Arial"/>
          <w:color w:val="000000" w:themeColor="text1"/>
        </w:rPr>
        <w:t xml:space="preserve">nueve (9) </w:t>
      </w:r>
      <w:r w:rsidR="00921375" w:rsidRPr="006E21B6">
        <w:rPr>
          <w:rFonts w:ascii="Palatino Linotype" w:hAnsi="Palatino Linotype"/>
          <w:color w:val="000000" w:themeColor="text1"/>
        </w:rPr>
        <w:t xml:space="preserve"> de </w:t>
      </w:r>
      <w:r w:rsidR="001F5D1F" w:rsidRPr="006E21B6">
        <w:rPr>
          <w:rFonts w:ascii="Palatino Linotype" w:hAnsi="Palatino Linotype"/>
          <w:color w:val="000000" w:themeColor="text1"/>
        </w:rPr>
        <w:t>enero</w:t>
      </w:r>
      <w:r w:rsidR="00061A86" w:rsidRPr="006E21B6">
        <w:rPr>
          <w:rFonts w:ascii="Palatino Linotype" w:hAnsi="Palatino Linotype"/>
          <w:color w:val="000000" w:themeColor="text1"/>
        </w:rPr>
        <w:t xml:space="preserve"> de dos mil veinti</w:t>
      </w:r>
      <w:r w:rsidR="001F5D1F" w:rsidRPr="006E21B6">
        <w:rPr>
          <w:rFonts w:ascii="Palatino Linotype" w:hAnsi="Palatino Linotype"/>
          <w:color w:val="000000" w:themeColor="text1"/>
        </w:rPr>
        <w:t>trés</w:t>
      </w:r>
      <w:r w:rsidR="00E95534" w:rsidRPr="006E21B6">
        <w:rPr>
          <w:rFonts w:ascii="Palatino Linotype" w:hAnsi="Palatino Linotype"/>
          <w:color w:val="000000" w:themeColor="text1"/>
        </w:rPr>
        <w:t>, éste</w:t>
      </w:r>
      <w:r w:rsidR="00E95534" w:rsidRPr="006E21B6">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E21B6">
        <w:rPr>
          <w:rFonts w:ascii="Palatino Linotype" w:hAnsi="Palatino Linotype" w:cs="Arial"/>
          <w:b/>
          <w:color w:val="000000" w:themeColor="text1"/>
        </w:rPr>
        <w:t xml:space="preserve"> </w:t>
      </w:r>
      <w:r w:rsidR="00E95534" w:rsidRPr="006E21B6">
        <w:rPr>
          <w:rFonts w:ascii="Palatino Linotype" w:hAnsi="Palatino Linotype" w:cs="Arial"/>
          <w:color w:val="000000" w:themeColor="text1"/>
        </w:rPr>
        <w:t>vigente.</w:t>
      </w:r>
      <w:r w:rsidR="00291A54" w:rsidRPr="006E21B6">
        <w:rPr>
          <w:rFonts w:ascii="Palatino Linotype" w:hAnsi="Palatino Linotype" w:cs="Arial"/>
          <w:color w:val="000000" w:themeColor="text1"/>
        </w:rPr>
        <w:t xml:space="preserve"> </w:t>
      </w:r>
    </w:p>
    <w:p w14:paraId="5CB8FFBB" w14:textId="77777777" w:rsidR="00D91544" w:rsidRPr="006E21B6"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6E21B6"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E21B6">
        <w:rPr>
          <w:rFonts w:ascii="Palatino Linotype" w:eastAsia="Calibri" w:hAnsi="Palatino Linotype" w:cs="Arial"/>
          <w:color w:val="000000" w:themeColor="text1"/>
        </w:rPr>
        <w:t>C</w:t>
      </w:r>
      <w:r w:rsidR="00AF6795" w:rsidRPr="006E21B6">
        <w:rPr>
          <w:rFonts w:ascii="Palatino Linotype" w:eastAsia="Calibri" w:hAnsi="Palatino Linotype" w:cs="Arial"/>
          <w:color w:val="000000" w:themeColor="text1"/>
        </w:rPr>
        <w:t>onsecuencia de lo anterior, este</w:t>
      </w:r>
      <w:r w:rsidRPr="006E21B6">
        <w:rPr>
          <w:rFonts w:ascii="Palatino Linotype" w:eastAsia="Calibri" w:hAnsi="Palatino Linotype" w:cs="Arial"/>
          <w:color w:val="000000" w:themeColor="text1"/>
        </w:rPr>
        <w:t xml:space="preserve"> </w:t>
      </w:r>
      <w:r w:rsidR="00AF6795" w:rsidRPr="006E21B6">
        <w:rPr>
          <w:rFonts w:ascii="Palatino Linotype" w:eastAsia="Calibri" w:hAnsi="Palatino Linotype" w:cs="Arial"/>
          <w:color w:val="000000" w:themeColor="text1"/>
        </w:rPr>
        <w:t>Órgano Garante</w:t>
      </w:r>
      <w:r w:rsidRPr="006E21B6">
        <w:rPr>
          <w:rFonts w:ascii="Palatino Linotype" w:eastAsia="Calibri" w:hAnsi="Palatino Linotype" w:cs="Arial"/>
          <w:color w:val="000000" w:themeColor="text1"/>
        </w:rPr>
        <w:t xml:space="preserve"> advierte que </w:t>
      </w:r>
      <w:r w:rsidR="00540208" w:rsidRPr="006E21B6">
        <w:rPr>
          <w:rFonts w:ascii="Palatino Linotype" w:eastAsia="Calibri" w:hAnsi="Palatino Linotype" w:cs="Arial"/>
          <w:color w:val="000000" w:themeColor="text1"/>
        </w:rPr>
        <w:t xml:space="preserve">el escrito contiene las formalidades previstas por el artículo 180 último párrafo de la Ley </w:t>
      </w:r>
      <w:r w:rsidR="004911B6" w:rsidRPr="006E21B6">
        <w:rPr>
          <w:rFonts w:ascii="Palatino Linotype" w:eastAsia="Calibri" w:hAnsi="Palatino Linotype" w:cs="Arial"/>
          <w:color w:val="000000" w:themeColor="text1"/>
        </w:rPr>
        <w:t>de Transparencia y Acceso a la Información Pública del Estado de México y Municipios</w:t>
      </w:r>
      <w:r w:rsidR="00540208" w:rsidRPr="006E21B6">
        <w:rPr>
          <w:rFonts w:ascii="Palatino Linotype" w:eastAsia="Calibri" w:hAnsi="Palatino Linotype" w:cs="Arial"/>
          <w:color w:val="000000" w:themeColor="text1"/>
        </w:rPr>
        <w:t xml:space="preserve">, por lo que es procedente que </w:t>
      </w:r>
      <w:r w:rsidR="004911B6" w:rsidRPr="006E21B6">
        <w:rPr>
          <w:rFonts w:ascii="Palatino Linotype" w:eastAsia="Calibri" w:hAnsi="Palatino Linotype" w:cs="Arial"/>
          <w:color w:val="000000" w:themeColor="text1"/>
        </w:rPr>
        <w:t>e</w:t>
      </w:r>
      <w:r w:rsidR="00540208" w:rsidRPr="006E21B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6E21B6" w:rsidRDefault="00262C1D" w:rsidP="00262C1D">
      <w:pPr>
        <w:pStyle w:val="Prrafodelista"/>
        <w:rPr>
          <w:rFonts w:ascii="Palatino Linotype" w:eastAsia="Times New Roman" w:hAnsi="Palatino Linotype" w:cs="Arial"/>
          <w:bCs/>
          <w:color w:val="000000" w:themeColor="text1"/>
          <w:lang w:eastAsia="es-MX"/>
        </w:rPr>
      </w:pPr>
    </w:p>
    <w:p w14:paraId="15661DD9" w14:textId="7C89D4B4" w:rsidR="00540208" w:rsidRPr="006E21B6"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6E21B6">
        <w:rPr>
          <w:rFonts w:ascii="Palatino Linotype" w:hAnsi="Palatino Linotype"/>
          <w:b/>
          <w:color w:val="000000" w:themeColor="text1"/>
          <w:sz w:val="24"/>
          <w:szCs w:val="24"/>
        </w:rPr>
        <w:t>TERCERO</w:t>
      </w:r>
      <w:r w:rsidR="00C50A2B" w:rsidRPr="006E21B6">
        <w:rPr>
          <w:rFonts w:ascii="Palatino Linotype" w:hAnsi="Palatino Linotype"/>
          <w:b/>
          <w:color w:val="000000" w:themeColor="text1"/>
          <w:sz w:val="24"/>
          <w:szCs w:val="24"/>
        </w:rPr>
        <w:t>. De</w:t>
      </w:r>
      <w:r w:rsidR="00260D68" w:rsidRPr="006E21B6">
        <w:rPr>
          <w:rFonts w:ascii="Palatino Linotype" w:hAnsi="Palatino Linotype"/>
          <w:b/>
          <w:color w:val="000000" w:themeColor="text1"/>
          <w:sz w:val="24"/>
          <w:szCs w:val="24"/>
        </w:rPr>
        <w:t xml:space="preserve"> las causales del sobreseimiento</w:t>
      </w:r>
      <w:bookmarkEnd w:id="13"/>
      <w:bookmarkEnd w:id="14"/>
      <w:bookmarkEnd w:id="15"/>
      <w:r w:rsidR="00260D68" w:rsidRPr="006E21B6">
        <w:rPr>
          <w:rFonts w:ascii="Palatino Linotype" w:hAnsi="Palatino Linotype"/>
          <w:b/>
          <w:color w:val="000000" w:themeColor="text1"/>
          <w:sz w:val="24"/>
          <w:szCs w:val="24"/>
        </w:rPr>
        <w:t>.</w:t>
      </w:r>
    </w:p>
    <w:p w14:paraId="4231B8D5" w14:textId="77777777" w:rsidR="00540208" w:rsidRPr="006E21B6" w:rsidRDefault="00540208" w:rsidP="00B31E90">
      <w:pPr>
        <w:rPr>
          <w:rFonts w:ascii="Palatino Linotype" w:hAnsi="Palatino Linotype"/>
          <w:color w:val="000000" w:themeColor="text1"/>
          <w:lang w:eastAsia="en-US"/>
        </w:rPr>
      </w:pPr>
    </w:p>
    <w:bookmarkEnd w:id="16"/>
    <w:bookmarkEnd w:id="17"/>
    <w:p w14:paraId="708330BF" w14:textId="578B1353" w:rsidR="001F413A" w:rsidRPr="006E21B6"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E21B6">
        <w:rPr>
          <w:rFonts w:ascii="Palatino Linotype" w:hAnsi="Palatino Linotype" w:cs="Arial"/>
          <w:color w:val="000000" w:themeColor="text1"/>
        </w:rPr>
        <w:t>El Recurrente solicitó</w:t>
      </w:r>
      <w:r w:rsidR="001F413A" w:rsidRPr="006E21B6">
        <w:rPr>
          <w:rFonts w:ascii="Palatino Linotype" w:hAnsi="Palatino Linotype" w:cs="Arial"/>
          <w:color w:val="000000" w:themeColor="text1"/>
        </w:rPr>
        <w:t xml:space="preserve"> la siguiente información:</w:t>
      </w:r>
    </w:p>
    <w:p w14:paraId="0D713903" w14:textId="77777777" w:rsidR="00C27213" w:rsidRPr="006E21B6"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55D79804" w14:textId="5E5F805B" w:rsidR="001F5D1F" w:rsidRPr="006E21B6" w:rsidRDefault="001F5D1F" w:rsidP="001F5D1F">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6E21B6">
        <w:rPr>
          <w:rFonts w:ascii="Palatino Linotype" w:hAnsi="Palatino Linotype" w:cs="Arial"/>
          <w:color w:val="000000" w:themeColor="text1"/>
        </w:rPr>
        <w:lastRenderedPageBreak/>
        <w:t>Análisis de Impacto Regulatorio emitido respecto a la NORMA TÉCNICA ESTATAL AMBIENTAL NTEA-011-SeMAGEM-RS-2022, publicada en la Gaceta de Gobierno del estado de México el 14 de noviembre de 2022.</w:t>
      </w:r>
    </w:p>
    <w:p w14:paraId="4AEFA30D" w14:textId="77777777" w:rsidR="001F5D1F" w:rsidRPr="006E21B6" w:rsidRDefault="001F5D1F" w:rsidP="001F5D1F">
      <w:pPr>
        <w:pStyle w:val="Prrafodelista"/>
        <w:tabs>
          <w:tab w:val="left" w:pos="426"/>
        </w:tabs>
        <w:spacing w:line="360" w:lineRule="auto"/>
        <w:ind w:right="49"/>
        <w:jc w:val="both"/>
        <w:rPr>
          <w:rFonts w:ascii="Palatino Linotype" w:hAnsi="Palatino Linotype" w:cs="Arial"/>
          <w:color w:val="000000" w:themeColor="text1"/>
        </w:rPr>
      </w:pPr>
    </w:p>
    <w:p w14:paraId="11C3A4E8" w14:textId="53C60F1B" w:rsidR="001F5D1F" w:rsidRPr="006E21B6" w:rsidRDefault="00C27213" w:rsidP="001F5D1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E21B6">
        <w:rPr>
          <w:rFonts w:ascii="Palatino Linotype" w:hAnsi="Palatino Linotype" w:cs="Arial"/>
          <w:color w:val="000000" w:themeColor="text1"/>
        </w:rPr>
        <w:t xml:space="preserve">El Sujeto Obligado </w:t>
      </w:r>
      <w:r w:rsidR="00286915" w:rsidRPr="006E21B6">
        <w:rPr>
          <w:rFonts w:ascii="Palatino Linotype" w:hAnsi="Palatino Linotype" w:cs="Arial"/>
          <w:color w:val="000000" w:themeColor="text1"/>
        </w:rPr>
        <w:t xml:space="preserve">refirió que, </w:t>
      </w:r>
      <w:r w:rsidR="001F5D1F" w:rsidRPr="006E21B6">
        <w:rPr>
          <w:rFonts w:ascii="Palatino Linotype" w:hAnsi="Palatino Linotype" w:cs="Arial"/>
          <w:color w:val="000000" w:themeColor="text1"/>
        </w:rPr>
        <w:t xml:space="preserve">entrega en PDF el documento de la </w:t>
      </w:r>
      <w:r w:rsidR="001F5D1F" w:rsidRPr="006E21B6">
        <w:rPr>
          <w:rFonts w:ascii="Palatino Linotype" w:hAnsi="Palatino Linotype"/>
          <w:color w:val="000000"/>
        </w:rPr>
        <w:t>Dirección General de Manejo Integral de Residuos mediante el cual da respuesta a lo requerido por el solicitante.</w:t>
      </w:r>
    </w:p>
    <w:p w14:paraId="199A1FB1" w14:textId="77777777" w:rsidR="001F5D1F" w:rsidRPr="006E21B6" w:rsidRDefault="001F5D1F" w:rsidP="001F5D1F">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7243821F" w:rsidR="000A0A85" w:rsidRPr="006E21B6"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6E21B6">
        <w:rPr>
          <w:rFonts w:ascii="Palatino Linotype" w:eastAsia="Calibri" w:hAnsi="Palatino Linotype" w:cs="Tahoma"/>
          <w:color w:val="000000"/>
          <w:lang w:val="es-ES" w:eastAsia="es-MX"/>
        </w:rPr>
        <w:t xml:space="preserve">El Particular se inconformó </w:t>
      </w:r>
      <w:r w:rsidR="00286915" w:rsidRPr="006E21B6">
        <w:rPr>
          <w:rFonts w:ascii="Palatino Linotype" w:eastAsia="Calibri" w:hAnsi="Palatino Linotype" w:cs="Tahoma"/>
          <w:color w:val="000000"/>
          <w:lang w:val="es-ES" w:eastAsia="es-MX"/>
        </w:rPr>
        <w:t xml:space="preserve">por la </w:t>
      </w:r>
      <w:r w:rsidR="00E26FFA" w:rsidRPr="006E21B6">
        <w:rPr>
          <w:rFonts w:ascii="Palatino Linotype" w:eastAsia="Calibri" w:hAnsi="Palatino Linotype" w:cs="Tahoma"/>
          <w:color w:val="000000"/>
          <w:lang w:val="es-ES" w:eastAsia="es-MX"/>
        </w:rPr>
        <w:t>falta de respuesta.</w:t>
      </w:r>
    </w:p>
    <w:p w14:paraId="7BA13BA8" w14:textId="77777777" w:rsidR="00810806" w:rsidRPr="006E21B6"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85768B5" w:rsidR="009F1566" w:rsidRPr="006E21B6"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E21B6">
        <w:rPr>
          <w:rFonts w:ascii="Palatino Linotype" w:hAnsi="Palatino Linotype" w:cs="Arial"/>
          <w:color w:val="000000" w:themeColor="text1"/>
          <w:szCs w:val="23"/>
        </w:rPr>
        <w:t xml:space="preserve">Por lo anterior, la </w:t>
      </w:r>
      <w:r w:rsidRPr="006E21B6">
        <w:rPr>
          <w:rFonts w:ascii="Palatino Linotype" w:hAnsi="Palatino Linotype" w:cs="Arial"/>
          <w:i/>
          <w:color w:val="000000" w:themeColor="text1"/>
          <w:szCs w:val="23"/>
        </w:rPr>
        <w:t>Litis</w:t>
      </w:r>
      <w:r w:rsidRPr="006E21B6">
        <w:rPr>
          <w:rFonts w:ascii="Palatino Linotype" w:hAnsi="Palatino Linotype" w:cs="Arial"/>
          <w:color w:val="000000" w:themeColor="text1"/>
          <w:szCs w:val="23"/>
        </w:rPr>
        <w:t xml:space="preserve"> a resolver en el presente recurso se circunscribe en determinar si</w:t>
      </w:r>
      <w:r w:rsidR="002C6561" w:rsidRPr="006E21B6">
        <w:rPr>
          <w:rFonts w:ascii="Palatino Linotype" w:hAnsi="Palatino Linotype" w:cs="Arial"/>
          <w:color w:val="000000" w:themeColor="text1"/>
          <w:szCs w:val="23"/>
        </w:rPr>
        <w:t xml:space="preserve"> </w:t>
      </w:r>
      <w:r w:rsidR="004B0EB6" w:rsidRPr="006E21B6">
        <w:rPr>
          <w:rFonts w:ascii="Palatino Linotype" w:hAnsi="Palatino Linotype" w:cs="Arial"/>
          <w:color w:val="000000" w:themeColor="text1"/>
          <w:szCs w:val="23"/>
        </w:rPr>
        <w:t>la respuesta del</w:t>
      </w:r>
      <w:r w:rsidR="002C6561" w:rsidRPr="006E21B6">
        <w:rPr>
          <w:rFonts w:ascii="Palatino Linotype" w:hAnsi="Palatino Linotype" w:cs="Arial"/>
          <w:color w:val="000000" w:themeColor="text1"/>
          <w:szCs w:val="23"/>
        </w:rPr>
        <w:t xml:space="preserve"> </w:t>
      </w:r>
      <w:r w:rsidR="002C6561" w:rsidRPr="006E21B6">
        <w:rPr>
          <w:rFonts w:ascii="Palatino Linotype" w:hAnsi="Palatino Linotype" w:cs="Arial"/>
          <w:b/>
          <w:bCs/>
          <w:color w:val="000000" w:themeColor="text1"/>
          <w:szCs w:val="23"/>
        </w:rPr>
        <w:t>SUJETO OBLIGADO</w:t>
      </w:r>
      <w:r w:rsidR="002C6561" w:rsidRPr="006E21B6">
        <w:rPr>
          <w:rFonts w:ascii="Palatino Linotype" w:hAnsi="Palatino Linotype" w:cs="Arial"/>
          <w:color w:val="000000" w:themeColor="text1"/>
          <w:szCs w:val="23"/>
        </w:rPr>
        <w:t xml:space="preserve"> </w:t>
      </w:r>
      <w:r w:rsidR="004B0EB6" w:rsidRPr="006E21B6">
        <w:rPr>
          <w:rFonts w:ascii="Palatino Linotype" w:hAnsi="Palatino Linotype" w:cs="Arial"/>
          <w:color w:val="000000" w:themeColor="text1"/>
          <w:szCs w:val="23"/>
        </w:rPr>
        <w:t xml:space="preserve">colma el derecho de acceso a la información ejercido por el </w:t>
      </w:r>
      <w:r w:rsidR="004B0EB6" w:rsidRPr="006E21B6">
        <w:rPr>
          <w:rFonts w:ascii="Palatino Linotype" w:hAnsi="Palatino Linotype" w:cs="Arial"/>
          <w:b/>
          <w:bCs/>
          <w:color w:val="000000" w:themeColor="text1"/>
          <w:szCs w:val="23"/>
        </w:rPr>
        <w:t>RECURRENTE</w:t>
      </w:r>
      <w:r w:rsidR="002C6561" w:rsidRPr="006E21B6">
        <w:rPr>
          <w:rFonts w:ascii="Palatino Linotype" w:hAnsi="Palatino Linotype" w:cs="Arial"/>
          <w:color w:val="000000" w:themeColor="text1"/>
          <w:szCs w:val="23"/>
        </w:rPr>
        <w:t>; o si, por el contrario, se</w:t>
      </w:r>
      <w:r w:rsidR="00E32652" w:rsidRPr="006E21B6">
        <w:rPr>
          <w:rFonts w:ascii="Palatino Linotype" w:hAnsi="Palatino Linotype" w:cs="Arial"/>
          <w:color w:val="000000" w:themeColor="text1"/>
          <w:szCs w:val="23"/>
        </w:rPr>
        <w:t xml:space="preserve"> </w:t>
      </w:r>
      <w:r w:rsidR="0028248C" w:rsidRPr="006E21B6">
        <w:rPr>
          <w:rFonts w:ascii="Palatino Linotype" w:hAnsi="Palatino Linotype"/>
          <w:color w:val="000000" w:themeColor="text1"/>
        </w:rPr>
        <w:t>actualiza la causal de procedencia</w:t>
      </w:r>
      <w:r w:rsidR="00E66A80" w:rsidRPr="006E21B6">
        <w:rPr>
          <w:rFonts w:ascii="Palatino Linotype" w:hAnsi="Palatino Linotype" w:cs="Arial"/>
          <w:color w:val="000000" w:themeColor="text1"/>
          <w:szCs w:val="23"/>
        </w:rPr>
        <w:t xml:space="preserve"> del recurso de revisión establecida</w:t>
      </w:r>
      <w:r w:rsidR="00A42161" w:rsidRPr="006E21B6">
        <w:rPr>
          <w:rFonts w:ascii="Palatino Linotype" w:hAnsi="Palatino Linotype" w:cs="Arial"/>
          <w:color w:val="000000" w:themeColor="text1"/>
          <w:szCs w:val="23"/>
        </w:rPr>
        <w:t xml:space="preserve"> en la fracci</w:t>
      </w:r>
      <w:r w:rsidR="00765786" w:rsidRPr="006E21B6">
        <w:rPr>
          <w:rFonts w:ascii="Palatino Linotype" w:hAnsi="Palatino Linotype" w:cs="Arial"/>
          <w:color w:val="000000" w:themeColor="text1"/>
          <w:szCs w:val="23"/>
        </w:rPr>
        <w:t>ón</w:t>
      </w:r>
      <w:r w:rsidR="00AC75F5" w:rsidRPr="006E21B6">
        <w:rPr>
          <w:rFonts w:ascii="Palatino Linotype" w:hAnsi="Palatino Linotype" w:cs="Arial"/>
          <w:color w:val="000000" w:themeColor="text1"/>
          <w:szCs w:val="23"/>
        </w:rPr>
        <w:t xml:space="preserve"> </w:t>
      </w:r>
      <w:r w:rsidR="00E26FFA" w:rsidRPr="006E21B6">
        <w:rPr>
          <w:rFonts w:ascii="Palatino Linotype" w:hAnsi="Palatino Linotype" w:cs="Arial"/>
          <w:color w:val="000000" w:themeColor="text1"/>
          <w:szCs w:val="23"/>
        </w:rPr>
        <w:t>V</w:t>
      </w:r>
      <w:r w:rsidR="00286915" w:rsidRPr="006E21B6">
        <w:rPr>
          <w:rFonts w:ascii="Palatino Linotype" w:hAnsi="Palatino Linotype" w:cs="Arial"/>
          <w:color w:val="000000" w:themeColor="text1"/>
          <w:szCs w:val="23"/>
        </w:rPr>
        <w:t>I</w:t>
      </w:r>
      <w:r w:rsidR="00E438D6" w:rsidRPr="006E21B6">
        <w:rPr>
          <w:rFonts w:ascii="Palatino Linotype" w:hAnsi="Palatino Linotype" w:cs="Arial"/>
          <w:color w:val="000000" w:themeColor="text1"/>
          <w:szCs w:val="23"/>
        </w:rPr>
        <w:t>I</w:t>
      </w:r>
      <w:r w:rsidR="00E66A80" w:rsidRPr="006E21B6">
        <w:rPr>
          <w:rFonts w:ascii="Palatino Linotype" w:hAnsi="Palatino Linotype" w:cs="Arial"/>
          <w:color w:val="000000" w:themeColor="text1"/>
          <w:szCs w:val="23"/>
        </w:rPr>
        <w:t xml:space="preserve"> </w:t>
      </w:r>
      <w:r w:rsidR="00A42161" w:rsidRPr="006E21B6">
        <w:rPr>
          <w:rFonts w:ascii="Palatino Linotype" w:hAnsi="Palatino Linotype" w:cs="Arial"/>
          <w:color w:val="000000" w:themeColor="text1"/>
          <w:szCs w:val="23"/>
        </w:rPr>
        <w:t>de</w:t>
      </w:r>
      <w:r w:rsidR="00E66A80" w:rsidRPr="006E21B6">
        <w:rPr>
          <w:rFonts w:ascii="Palatino Linotype" w:hAnsi="Palatino Linotype" w:cs="Arial"/>
          <w:color w:val="000000" w:themeColor="text1"/>
          <w:szCs w:val="23"/>
        </w:rPr>
        <w:t>l artículo 179</w:t>
      </w:r>
      <w:r w:rsidR="008E4483" w:rsidRPr="006E21B6">
        <w:rPr>
          <w:rFonts w:ascii="Palatino Linotype" w:hAnsi="Palatino Linotype" w:cs="Arial"/>
          <w:color w:val="000000" w:themeColor="text1"/>
          <w:szCs w:val="23"/>
        </w:rPr>
        <w:t xml:space="preserve"> </w:t>
      </w:r>
      <w:r w:rsidR="00E66A80" w:rsidRPr="006E21B6">
        <w:rPr>
          <w:rFonts w:ascii="Palatino Linotype" w:hAnsi="Palatino Linotype" w:cs="Arial"/>
          <w:color w:val="000000" w:themeColor="text1"/>
          <w:szCs w:val="23"/>
        </w:rPr>
        <w:t xml:space="preserve">de la Ley de Transparencia y Acceso a la Información Pública del Estado de México y Municipios, </w:t>
      </w:r>
      <w:r w:rsidR="004364EE" w:rsidRPr="006E21B6">
        <w:rPr>
          <w:rFonts w:ascii="Palatino Linotype" w:hAnsi="Palatino Linotype" w:cs="Arial"/>
          <w:color w:val="000000" w:themeColor="text1"/>
          <w:szCs w:val="23"/>
        </w:rPr>
        <w:t>misma</w:t>
      </w:r>
      <w:r w:rsidR="00C51671" w:rsidRPr="006E21B6">
        <w:rPr>
          <w:rFonts w:ascii="Palatino Linotype" w:hAnsi="Palatino Linotype" w:cs="Arial"/>
          <w:color w:val="000000" w:themeColor="text1"/>
          <w:szCs w:val="23"/>
        </w:rPr>
        <w:t xml:space="preserve"> </w:t>
      </w:r>
      <w:r w:rsidR="00E66A80" w:rsidRPr="006E21B6">
        <w:rPr>
          <w:rFonts w:ascii="Palatino Linotype" w:hAnsi="Palatino Linotype" w:cs="Arial"/>
          <w:color w:val="000000" w:themeColor="text1"/>
          <w:szCs w:val="23"/>
        </w:rPr>
        <w:t>que se transcribe a continuación:</w:t>
      </w:r>
    </w:p>
    <w:p w14:paraId="0F0C773B" w14:textId="77777777" w:rsidR="005946F4" w:rsidRPr="006E21B6" w:rsidRDefault="005946F4" w:rsidP="005946F4">
      <w:pPr>
        <w:pStyle w:val="Prrafodelista"/>
        <w:rPr>
          <w:rFonts w:ascii="Palatino Linotype" w:hAnsi="Palatino Linotype" w:cs="Arial"/>
          <w:color w:val="000000" w:themeColor="text1"/>
        </w:rPr>
      </w:pPr>
    </w:p>
    <w:p w14:paraId="31379DA7" w14:textId="77777777" w:rsidR="005946F4" w:rsidRPr="006E21B6" w:rsidRDefault="005946F4" w:rsidP="005946F4">
      <w:pPr>
        <w:tabs>
          <w:tab w:val="left" w:pos="426"/>
        </w:tabs>
        <w:spacing w:line="360" w:lineRule="auto"/>
        <w:ind w:left="567" w:right="616"/>
        <w:jc w:val="both"/>
        <w:rPr>
          <w:rFonts w:ascii="Palatino Linotype" w:hAnsi="Palatino Linotype"/>
          <w:i/>
          <w:iCs/>
          <w:sz w:val="22"/>
        </w:rPr>
      </w:pPr>
      <w:r w:rsidRPr="006E21B6">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22385F58" w14:textId="0E443446" w:rsidR="00286915" w:rsidRPr="006E21B6" w:rsidRDefault="00286915" w:rsidP="005946F4">
      <w:pPr>
        <w:tabs>
          <w:tab w:val="left" w:pos="426"/>
        </w:tabs>
        <w:spacing w:line="360" w:lineRule="auto"/>
        <w:ind w:left="567" w:right="616"/>
        <w:jc w:val="both"/>
        <w:rPr>
          <w:rFonts w:ascii="Palatino Linotype" w:hAnsi="Palatino Linotype"/>
          <w:i/>
          <w:iCs/>
          <w:sz w:val="22"/>
        </w:rPr>
      </w:pPr>
      <w:r w:rsidRPr="006E21B6">
        <w:rPr>
          <w:rFonts w:ascii="Palatino Linotype" w:hAnsi="Palatino Linotype"/>
          <w:i/>
          <w:iCs/>
          <w:sz w:val="22"/>
        </w:rPr>
        <w:t>…</w:t>
      </w:r>
    </w:p>
    <w:p w14:paraId="6E27DAFB" w14:textId="27DAF8BC" w:rsidR="00AC75F5" w:rsidRPr="006E21B6" w:rsidRDefault="00E26FFA" w:rsidP="005946F4">
      <w:pPr>
        <w:tabs>
          <w:tab w:val="left" w:pos="426"/>
        </w:tabs>
        <w:spacing w:line="360" w:lineRule="auto"/>
        <w:ind w:left="567" w:right="616"/>
        <w:jc w:val="both"/>
        <w:rPr>
          <w:rFonts w:ascii="Palatino Linotype" w:hAnsi="Palatino Linotype"/>
          <w:i/>
          <w:sz w:val="22"/>
        </w:rPr>
      </w:pPr>
      <w:r w:rsidRPr="006E21B6">
        <w:rPr>
          <w:rFonts w:ascii="Palatino Linotype" w:hAnsi="Palatino Linotype"/>
          <w:i/>
          <w:sz w:val="22"/>
        </w:rPr>
        <w:t>VII. La falta de respuesta a una solicitud de acceso a la información;</w:t>
      </w:r>
      <w:r w:rsidRPr="006E21B6">
        <w:rPr>
          <w:rFonts w:ascii="Palatino Linotype" w:hAnsi="Palatino Linotype"/>
          <w:i/>
          <w:sz w:val="22"/>
        </w:rPr>
        <w:cr/>
      </w:r>
      <w:r w:rsidR="00AC75F5" w:rsidRPr="006E21B6">
        <w:rPr>
          <w:rFonts w:ascii="Palatino Linotype" w:hAnsi="Palatino Linotype"/>
          <w:i/>
          <w:sz w:val="22"/>
        </w:rPr>
        <w:t>…</w:t>
      </w:r>
    </w:p>
    <w:p w14:paraId="26AD5E23" w14:textId="77777777" w:rsidR="008E4483" w:rsidRPr="006E21B6" w:rsidRDefault="008E4483" w:rsidP="008E4483">
      <w:pPr>
        <w:pStyle w:val="Prrafodelista"/>
        <w:rPr>
          <w:rFonts w:ascii="Palatino Linotype" w:hAnsi="Palatino Linotype" w:cs="Arial"/>
          <w:color w:val="000000" w:themeColor="text1"/>
        </w:rPr>
      </w:pPr>
    </w:p>
    <w:p w14:paraId="46B0833E" w14:textId="66D496E7" w:rsidR="00DA2D95" w:rsidRPr="006E21B6"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8"/>
      <w:bookmarkEnd w:id="19"/>
      <w:bookmarkEnd w:id="20"/>
      <w:bookmarkEnd w:id="21"/>
      <w:bookmarkEnd w:id="22"/>
      <w:r w:rsidRPr="006E21B6">
        <w:rPr>
          <w:rFonts w:ascii="Palatino Linotype" w:hAnsi="Palatino Linotype"/>
          <w:b/>
          <w:bCs/>
          <w:color w:val="000000" w:themeColor="text1"/>
        </w:rPr>
        <w:t xml:space="preserve">I. De la </w:t>
      </w:r>
      <w:r w:rsidR="00167813" w:rsidRPr="006E21B6">
        <w:rPr>
          <w:rFonts w:ascii="Palatino Linotype" w:hAnsi="Palatino Linotype"/>
          <w:b/>
          <w:bCs/>
          <w:color w:val="000000" w:themeColor="text1"/>
        </w:rPr>
        <w:t>atención</w:t>
      </w:r>
      <w:r w:rsidR="00D00269" w:rsidRPr="006E21B6">
        <w:rPr>
          <w:rFonts w:ascii="Palatino Linotype" w:hAnsi="Palatino Linotype"/>
          <w:b/>
          <w:bCs/>
          <w:color w:val="000000" w:themeColor="text1"/>
        </w:rPr>
        <w:t xml:space="preserve"> a la solicitud de información</w:t>
      </w:r>
      <w:r w:rsidRPr="006E21B6">
        <w:rPr>
          <w:rFonts w:ascii="Palatino Linotype" w:hAnsi="Palatino Linotype"/>
          <w:b/>
          <w:bCs/>
          <w:color w:val="000000" w:themeColor="text1"/>
        </w:rPr>
        <w:t>.</w:t>
      </w:r>
      <w:bookmarkEnd w:id="23"/>
    </w:p>
    <w:p w14:paraId="4AC32336" w14:textId="77777777" w:rsidR="008E4483" w:rsidRPr="006E21B6"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6E21B6">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6E21B6" w:rsidRDefault="008E4483" w:rsidP="008E4483">
      <w:pPr>
        <w:rPr>
          <w:lang w:val="es-ES"/>
        </w:rPr>
      </w:pPr>
    </w:p>
    <w:p w14:paraId="7178C08C" w14:textId="77777777" w:rsidR="008E4483" w:rsidRPr="006E21B6" w:rsidRDefault="008E4483" w:rsidP="008E4483">
      <w:pPr>
        <w:numPr>
          <w:ilvl w:val="0"/>
          <w:numId w:val="1"/>
        </w:numPr>
        <w:spacing w:line="360" w:lineRule="auto"/>
        <w:ind w:right="34"/>
        <w:contextualSpacing/>
        <w:jc w:val="both"/>
        <w:rPr>
          <w:rFonts w:ascii="Palatino Linotype" w:eastAsia="MS Mincho" w:hAnsi="Palatino Linotype" w:cs="Arial"/>
        </w:rPr>
      </w:pPr>
      <w:r w:rsidRPr="006E21B6">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E21B6">
        <w:rPr>
          <w:rFonts w:ascii="Palatino Linotype" w:hAnsi="Palatino Linotype" w:cs="Arial"/>
          <w:color w:val="000000"/>
        </w:rPr>
        <w:t xml:space="preserve"> </w:t>
      </w:r>
      <w:r w:rsidRPr="006E21B6">
        <w:rPr>
          <w:rFonts w:ascii="Palatino Linotype" w:hAnsi="Palatino Linotype" w:cs="Arial"/>
          <w:b/>
          <w:color w:val="000000"/>
        </w:rPr>
        <w:t>SUJETO OBLIGADO</w:t>
      </w:r>
      <w:r w:rsidRPr="006E21B6">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E21B6">
        <w:rPr>
          <w:rFonts w:ascii="Palatino Linotype" w:hAnsi="Palatino Linotype" w:cs="Arial"/>
          <w:b/>
          <w:color w:val="000000"/>
        </w:rPr>
        <w:t xml:space="preserve">Constitución Política de los Estados Unidos Mexicanos </w:t>
      </w:r>
      <w:r w:rsidRPr="006E21B6">
        <w:rPr>
          <w:rFonts w:ascii="Palatino Linotype" w:hAnsi="Palatino Linotype" w:cs="Arial"/>
          <w:color w:val="000000"/>
        </w:rPr>
        <w:t xml:space="preserve">al señalar la obligación de “promover, </w:t>
      </w:r>
      <w:r w:rsidRPr="006E21B6">
        <w:rPr>
          <w:rFonts w:ascii="Palatino Linotype" w:hAnsi="Palatino Linotype" w:cs="Arial"/>
          <w:b/>
          <w:color w:val="000000"/>
        </w:rPr>
        <w:t>respetar</w:t>
      </w:r>
      <w:r w:rsidRPr="006E21B6">
        <w:rPr>
          <w:rFonts w:ascii="Palatino Linotype" w:hAnsi="Palatino Linotype" w:cs="Arial"/>
          <w:color w:val="000000"/>
        </w:rPr>
        <w:t xml:space="preserve">, proteger y </w:t>
      </w:r>
      <w:r w:rsidRPr="006E21B6">
        <w:rPr>
          <w:rFonts w:ascii="Palatino Linotype" w:hAnsi="Palatino Linotype" w:cs="Arial"/>
          <w:b/>
          <w:color w:val="000000"/>
        </w:rPr>
        <w:t>garantizar</w:t>
      </w:r>
      <w:r w:rsidRPr="006E21B6">
        <w:rPr>
          <w:rFonts w:ascii="Palatino Linotype" w:hAnsi="Palatino Linotype" w:cs="Arial"/>
          <w:color w:val="000000"/>
        </w:rPr>
        <w:t xml:space="preserve"> los derechos humanos”, entre los cuales se encuentra dicho derecho. </w:t>
      </w:r>
    </w:p>
    <w:p w14:paraId="407FBD4F" w14:textId="77777777" w:rsidR="008E4483" w:rsidRPr="006E21B6"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6E21B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E21B6">
        <w:rPr>
          <w:rFonts w:ascii="Palatino Linotype" w:hAnsi="Palatino Linotype"/>
        </w:rPr>
        <w:t xml:space="preserve">Definiendo el Derecho de Acceso a la Información Pública como: </w:t>
      </w:r>
      <w:r w:rsidRPr="006E21B6">
        <w:rPr>
          <w:rFonts w:ascii="Palatino Linotype" w:hAnsi="Palatino Linotype"/>
          <w:i/>
          <w:color w:val="000000"/>
          <w:sz w:val="22"/>
        </w:rPr>
        <w:t>La igualdad de oportunidades para recibir, buscar e impartir información</w:t>
      </w:r>
      <w:r w:rsidRPr="006E21B6">
        <w:rPr>
          <w:rFonts w:ascii="Palatino Linotype" w:hAnsi="Palatino Linotype"/>
          <w:i/>
          <w:color w:val="000000"/>
          <w:sz w:val="22"/>
          <w:vertAlign w:val="superscript"/>
        </w:rPr>
        <w:footnoteReference w:id="1"/>
      </w:r>
      <w:r w:rsidRPr="006E21B6">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E21B6">
        <w:rPr>
          <w:rFonts w:ascii="Palatino Linotype" w:hAnsi="Palatino Linotype"/>
          <w:i/>
          <w:color w:val="000000"/>
          <w:sz w:val="22"/>
          <w:vertAlign w:val="superscript"/>
        </w:rPr>
        <w:footnoteReference w:id="2"/>
      </w:r>
      <w:r w:rsidRPr="006E21B6">
        <w:rPr>
          <w:rFonts w:ascii="Palatino Linotype" w:hAnsi="Palatino Linotype"/>
          <w:color w:val="000000"/>
          <w:sz w:val="22"/>
        </w:rPr>
        <w:t>que se constituye como una herramienta fundamental para ejercer</w:t>
      </w:r>
      <w:r w:rsidRPr="006E21B6">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6E21B6">
        <w:rPr>
          <w:rFonts w:ascii="Palatino Linotype" w:hAnsi="Palatino Linotype"/>
          <w:i/>
          <w:color w:val="000000"/>
          <w:sz w:val="22"/>
          <w:vertAlign w:val="superscript"/>
        </w:rPr>
        <w:footnoteReference w:id="3"/>
      </w:r>
      <w:r w:rsidRPr="006E21B6">
        <w:rPr>
          <w:rFonts w:ascii="Palatino Linotype" w:hAnsi="Palatino Linotype"/>
          <w:color w:val="000000"/>
          <w:sz w:val="22"/>
        </w:rPr>
        <w:t>fomentando</w:t>
      </w:r>
      <w:r w:rsidRPr="006E21B6">
        <w:rPr>
          <w:rFonts w:ascii="Palatino Linotype" w:hAnsi="Palatino Linotype"/>
          <w:i/>
          <w:color w:val="000000"/>
          <w:sz w:val="22"/>
        </w:rPr>
        <w:t xml:space="preserve"> la transparencia de las actividades estatales y </w:t>
      </w:r>
      <w:r w:rsidRPr="006E21B6">
        <w:rPr>
          <w:rFonts w:ascii="Palatino Linotype" w:hAnsi="Palatino Linotype"/>
          <w:color w:val="000000"/>
          <w:sz w:val="22"/>
        </w:rPr>
        <w:t>promoviendo</w:t>
      </w:r>
      <w:r w:rsidRPr="006E21B6">
        <w:rPr>
          <w:rFonts w:ascii="Palatino Linotype" w:hAnsi="Palatino Linotype"/>
          <w:i/>
          <w:color w:val="000000"/>
          <w:sz w:val="22"/>
        </w:rPr>
        <w:t xml:space="preserve"> la responsabilidad de los funcionarios sobre su gestión </w:t>
      </w:r>
      <w:r w:rsidRPr="006E21B6">
        <w:rPr>
          <w:rFonts w:ascii="Palatino Linotype" w:hAnsi="Palatino Linotype"/>
          <w:i/>
          <w:color w:val="000000"/>
          <w:sz w:val="22"/>
        </w:rPr>
        <w:lastRenderedPageBreak/>
        <w:t>pública,</w:t>
      </w:r>
      <w:r w:rsidRPr="006E21B6">
        <w:rPr>
          <w:rFonts w:ascii="Palatino Linotype" w:hAnsi="Palatino Linotype"/>
          <w:i/>
          <w:color w:val="000000"/>
          <w:sz w:val="22"/>
          <w:vertAlign w:val="superscript"/>
        </w:rPr>
        <w:footnoteReference w:id="4"/>
      </w:r>
      <w:r w:rsidRPr="006E21B6">
        <w:rPr>
          <w:rFonts w:ascii="Palatino Linotype" w:hAnsi="Palatino Linotype"/>
          <w:color w:val="000000"/>
          <w:sz w:val="22"/>
        </w:rPr>
        <w:t>que permite</w:t>
      </w:r>
      <w:r w:rsidRPr="006E21B6">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6E21B6" w:rsidRDefault="008E4483" w:rsidP="008E4483">
      <w:pPr>
        <w:tabs>
          <w:tab w:val="left" w:pos="284"/>
        </w:tabs>
        <w:contextualSpacing/>
        <w:rPr>
          <w:rFonts w:ascii="Palatino Linotype" w:hAnsi="Palatino Linotype"/>
        </w:rPr>
      </w:pPr>
    </w:p>
    <w:p w14:paraId="223832E3" w14:textId="3A93AA98" w:rsidR="008E4483" w:rsidRPr="006E21B6"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6E21B6">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6E21B6" w:rsidRDefault="008E4483" w:rsidP="008E4483">
      <w:pPr>
        <w:tabs>
          <w:tab w:val="left" w:pos="284"/>
        </w:tabs>
        <w:spacing w:before="240" w:after="240" w:line="360" w:lineRule="auto"/>
        <w:contextualSpacing/>
        <w:jc w:val="both"/>
        <w:rPr>
          <w:rFonts w:ascii="Palatino Linotype" w:hAnsi="Palatino Linotype"/>
          <w:i/>
        </w:rPr>
      </w:pPr>
      <w:r w:rsidRPr="006E21B6">
        <w:rPr>
          <w:rFonts w:ascii="Palatino Linotype" w:hAnsi="Palatino Linotype"/>
          <w:i/>
        </w:rPr>
        <w:t xml:space="preserve"> </w:t>
      </w:r>
    </w:p>
    <w:p w14:paraId="18789162" w14:textId="77777777" w:rsidR="008E4483" w:rsidRPr="006E21B6" w:rsidRDefault="008E4483" w:rsidP="008E4483">
      <w:pPr>
        <w:numPr>
          <w:ilvl w:val="0"/>
          <w:numId w:val="1"/>
        </w:numPr>
        <w:tabs>
          <w:tab w:val="left" w:pos="284"/>
        </w:tabs>
        <w:spacing w:before="240" w:line="360" w:lineRule="auto"/>
        <w:contextualSpacing/>
        <w:jc w:val="both"/>
        <w:rPr>
          <w:rFonts w:ascii="Palatino Linotype" w:hAnsi="Palatino Linotype"/>
        </w:rPr>
      </w:pPr>
      <w:r w:rsidRPr="006E21B6">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E21B6">
        <w:rPr>
          <w:rFonts w:ascii="Palatino Linotype" w:hAnsi="Palatino Linotype" w:cs="Arial"/>
          <w:i/>
          <w:sz w:val="22"/>
        </w:rPr>
        <w:t>por los principios de simplicidad, rapidez gratuidad del procedimiento, auxilio y orientación a los particulares</w:t>
      </w:r>
      <w:r w:rsidRPr="006E21B6">
        <w:rPr>
          <w:rFonts w:ascii="Palatino Linotype" w:hAnsi="Palatino Linotype" w:cs="Arial"/>
          <w:sz w:val="22"/>
        </w:rPr>
        <w:t xml:space="preserve">, contemplando el derecho de las personas con discapacidad y hablantes de lengua indígena. </w:t>
      </w:r>
    </w:p>
    <w:p w14:paraId="646E1459" w14:textId="77777777" w:rsidR="008E4483" w:rsidRPr="006E21B6"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6E21B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E21B6">
        <w:rPr>
          <w:rFonts w:ascii="Palatino Linotype" w:hAnsi="Palatino Linotype"/>
        </w:rPr>
        <w:t xml:space="preserve">Es así que la </w:t>
      </w:r>
      <w:r w:rsidRPr="006E21B6">
        <w:rPr>
          <w:rFonts w:ascii="Palatino Linotype" w:hAnsi="Palatino Linotype"/>
          <w:b/>
        </w:rPr>
        <w:t xml:space="preserve">Ley de Transparencia y Acceso a la Información Pública del Estado de México y Municipios, </w:t>
      </w:r>
      <w:r w:rsidRPr="006E21B6">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6E21B6">
        <w:rPr>
          <w:rFonts w:ascii="Palatino Linotype" w:hAnsi="Palatino Linotype"/>
          <w:b/>
        </w:rPr>
        <w:t xml:space="preserve"> </w:t>
      </w:r>
      <w:r w:rsidRPr="006E21B6">
        <w:rPr>
          <w:rFonts w:ascii="Palatino Linotype" w:hAnsi="Palatino Linotype"/>
        </w:rPr>
        <w:t xml:space="preserve">establece que </w:t>
      </w:r>
      <w:r w:rsidRPr="006E21B6">
        <w:rPr>
          <w:rFonts w:ascii="Palatino Linotype" w:hAnsi="Palatino Linotype"/>
          <w:b/>
          <w:i/>
          <w:sz w:val="22"/>
          <w:u w:val="single"/>
        </w:rPr>
        <w:t>el recurso de revisión es la garantía secundaria</w:t>
      </w:r>
      <w:r w:rsidRPr="006E21B6">
        <w:rPr>
          <w:rFonts w:ascii="Palatino Linotype" w:hAnsi="Palatino Linotype"/>
          <w:b/>
          <w:i/>
          <w:sz w:val="22"/>
        </w:rPr>
        <w:t xml:space="preserve"> mediante la cual se pretende reparar cualquier posible afectación al derecho de acceso a la información pública</w:t>
      </w:r>
      <w:r w:rsidRPr="006E21B6">
        <w:rPr>
          <w:rFonts w:ascii="Palatino Linotype" w:hAnsi="Palatino Linotype"/>
          <w:b/>
          <w:sz w:val="22"/>
        </w:rPr>
        <w:t>, s</w:t>
      </w:r>
      <w:r w:rsidRPr="006E21B6">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6E21B6">
        <w:rPr>
          <w:rFonts w:ascii="Palatino Linotype" w:hAnsi="Palatino Linotype"/>
          <w:sz w:val="22"/>
        </w:rPr>
        <w:t xml:space="preserve"> </w:t>
      </w:r>
    </w:p>
    <w:p w14:paraId="62B78458" w14:textId="77777777" w:rsidR="008E4483" w:rsidRPr="006E21B6" w:rsidRDefault="008E4483" w:rsidP="008E4483">
      <w:pPr>
        <w:tabs>
          <w:tab w:val="left" w:pos="284"/>
        </w:tabs>
        <w:rPr>
          <w:rFonts w:ascii="Palatino Linotype" w:eastAsia="MS Mincho" w:hAnsi="Palatino Linotype" w:cs="Arial"/>
        </w:rPr>
      </w:pPr>
    </w:p>
    <w:p w14:paraId="355D07B3" w14:textId="77777777" w:rsidR="008E4483" w:rsidRPr="006E21B6"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6E21B6">
        <w:rPr>
          <w:rFonts w:ascii="Palatino Linotype" w:eastAsia="Calibri" w:hAnsi="Palatino Linotype"/>
        </w:rPr>
        <w:lastRenderedPageBreak/>
        <w:t xml:space="preserve">Establecido lo anterior, resulta evidente que las razones o motivos de inconformidad hechos valer en el recurso de revisión resultan </w:t>
      </w:r>
      <w:r w:rsidRPr="006E21B6">
        <w:rPr>
          <w:rFonts w:ascii="Palatino Linotype" w:eastAsia="Calibri" w:hAnsi="Palatino Linotype"/>
          <w:b/>
        </w:rPr>
        <w:t>fundadas y procedentes</w:t>
      </w:r>
      <w:r w:rsidRPr="006E21B6">
        <w:rPr>
          <w:rFonts w:ascii="Palatino Linotype" w:eastAsia="Calibri" w:hAnsi="Palatino Linotype"/>
        </w:rPr>
        <w:t xml:space="preserve">, debido a que el </w:t>
      </w:r>
      <w:r w:rsidRPr="006E21B6">
        <w:rPr>
          <w:rFonts w:ascii="Palatino Linotype" w:eastAsia="Calibri" w:hAnsi="Palatino Linotype"/>
          <w:b/>
        </w:rPr>
        <w:t>SUJETO OBLIGADO</w:t>
      </w:r>
      <w:r w:rsidRPr="006E21B6">
        <w:rPr>
          <w:rFonts w:ascii="Palatino Linotype" w:eastAsia="Calibri" w:hAnsi="Palatino Linotype"/>
        </w:rPr>
        <w:t xml:space="preserve"> proporcionó información que no corresponde con lo solicitado.</w:t>
      </w:r>
    </w:p>
    <w:p w14:paraId="4CFD2ECD" w14:textId="0AA5462A" w:rsidR="008E4483" w:rsidRPr="006E21B6"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6E21B6">
        <w:rPr>
          <w:rFonts w:ascii="Palatino Linotype" w:hAnsi="Palatino Linotype" w:cs="Arial"/>
        </w:rPr>
        <w:t xml:space="preserve">Ahora bien, para entender los alcances de la información pública se considera importante citar el criterio </w:t>
      </w:r>
      <w:r w:rsidRPr="006E21B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E21B6">
        <w:rPr>
          <w:rFonts w:ascii="Palatino Linotype" w:hAnsi="Palatino Linotype" w:cs="Arial"/>
        </w:rPr>
        <w:t>cuyo rubro y texto dispone:</w:t>
      </w:r>
    </w:p>
    <w:p w14:paraId="27F940F8" w14:textId="77777777" w:rsidR="008E4483" w:rsidRPr="006E21B6"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6E21B6"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6E21B6">
        <w:rPr>
          <w:rFonts w:ascii="Palatino Linotype" w:hAnsi="Palatino Linotype" w:cs="Arial"/>
          <w:b/>
          <w:i/>
          <w:sz w:val="22"/>
          <w:szCs w:val="22"/>
          <w:lang w:eastAsia="es-MX"/>
        </w:rPr>
        <w:t>“CRITERIO 0002-11</w:t>
      </w:r>
    </w:p>
    <w:p w14:paraId="0FACDA68" w14:textId="77777777" w:rsidR="008E4483" w:rsidRPr="006E21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E21B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6E21B6">
        <w:rPr>
          <w:rFonts w:ascii="Palatino Linotype" w:hAnsi="Palatino Linotype" w:cs="Arial"/>
          <w:b/>
          <w:bCs/>
          <w:i/>
          <w:sz w:val="22"/>
          <w:szCs w:val="22"/>
          <w:lang w:eastAsia="es-MX"/>
        </w:rPr>
        <w:t xml:space="preserve">V, XV, Y XVI, </w:t>
      </w:r>
      <w:r w:rsidRPr="006E21B6">
        <w:rPr>
          <w:rFonts w:ascii="Palatino Linotype" w:hAnsi="Palatino Linotype" w:cs="Arial"/>
          <w:b/>
          <w:i/>
          <w:sz w:val="22"/>
          <w:szCs w:val="22"/>
          <w:lang w:eastAsia="es-MX"/>
        </w:rPr>
        <w:t>3, 4,11 Y 41.</w:t>
      </w:r>
      <w:r w:rsidRPr="006E21B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6E21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E21B6">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6E21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E21B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6E21B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E21B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6E21B6" w:rsidRDefault="008E4483" w:rsidP="008E4483">
      <w:pPr>
        <w:ind w:left="567" w:right="567"/>
        <w:jc w:val="both"/>
        <w:rPr>
          <w:rFonts w:ascii="Palatino Linotype" w:hAnsi="Palatino Linotype" w:cs="Arial"/>
          <w:i/>
          <w:color w:val="000000" w:themeColor="text1"/>
          <w:sz w:val="22"/>
          <w:szCs w:val="22"/>
        </w:rPr>
      </w:pPr>
      <w:r w:rsidRPr="006E21B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6E21B6"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6E21B6"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6E21B6">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6E21B6" w:rsidRDefault="008E4483" w:rsidP="008E4483">
      <w:pPr>
        <w:autoSpaceDE w:val="0"/>
        <w:autoSpaceDN w:val="0"/>
        <w:adjustRightInd w:val="0"/>
        <w:ind w:left="567" w:right="567"/>
        <w:jc w:val="both"/>
        <w:rPr>
          <w:rFonts w:ascii="Palatino Linotype" w:hAnsi="Palatino Linotype"/>
          <w:i/>
          <w:sz w:val="28"/>
          <w:lang w:val="es-ES"/>
        </w:rPr>
      </w:pPr>
      <w:r w:rsidRPr="006E21B6">
        <w:rPr>
          <w:rFonts w:ascii="Palatino Linotype" w:eastAsiaTheme="minorHAnsi" w:hAnsi="Palatino Linotype" w:cs="Bookman Old Style,Bold"/>
          <w:b/>
          <w:bCs/>
          <w:i/>
          <w:sz w:val="22"/>
          <w:lang w:eastAsia="en-US"/>
        </w:rPr>
        <w:t xml:space="preserve">XI. Documento: </w:t>
      </w:r>
      <w:r w:rsidRPr="006E21B6">
        <w:rPr>
          <w:rFonts w:ascii="Palatino Linotype" w:eastAsiaTheme="minorHAnsi" w:hAnsi="Palatino Linotype" w:cs="Bookman Old Style"/>
          <w:i/>
          <w:sz w:val="22"/>
          <w:lang w:eastAsia="en-US"/>
        </w:rPr>
        <w:t xml:space="preserve">Los expedientes, reportes, estudios, actas, resoluciones, </w:t>
      </w:r>
      <w:r w:rsidRPr="006E21B6">
        <w:rPr>
          <w:rFonts w:ascii="Palatino Linotype" w:eastAsiaTheme="minorHAnsi" w:hAnsi="Palatino Linotype" w:cs="Bookman Old Style"/>
          <w:b/>
          <w:i/>
          <w:sz w:val="22"/>
          <w:lang w:eastAsia="en-US"/>
        </w:rPr>
        <w:t>oficios,</w:t>
      </w:r>
      <w:r w:rsidRPr="006E21B6">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6E21B6">
        <w:rPr>
          <w:rFonts w:ascii="Palatino Linotype" w:eastAsiaTheme="minorHAnsi" w:hAnsi="Palatino Linotype" w:cs="Bookman Old Style"/>
          <w:b/>
          <w:i/>
          <w:sz w:val="22"/>
          <w:lang w:eastAsia="en-US"/>
        </w:rPr>
        <w:t>cualquier otro registro</w:t>
      </w:r>
      <w:r w:rsidRPr="006E21B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6E21B6"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6E21B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E21B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6E21B6"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6E21B6" w:rsidRDefault="008E4483" w:rsidP="003B5FD2">
      <w:pPr>
        <w:pStyle w:val="Prrafodelista"/>
        <w:numPr>
          <w:ilvl w:val="0"/>
          <w:numId w:val="4"/>
        </w:numPr>
        <w:spacing w:line="360" w:lineRule="auto"/>
        <w:jc w:val="both"/>
        <w:rPr>
          <w:rFonts w:ascii="Palatino Linotype" w:eastAsia="Calibri" w:hAnsi="Palatino Linotype" w:cs="Arial"/>
        </w:rPr>
      </w:pPr>
      <w:r w:rsidRPr="006E21B6">
        <w:rPr>
          <w:rFonts w:ascii="Palatino Linotype" w:hAnsi="Palatino Linotype"/>
          <w:color w:val="000000" w:themeColor="text1"/>
        </w:rPr>
        <w:t xml:space="preserve">Resulta necesario referir que, el </w:t>
      </w:r>
      <w:r w:rsidRPr="006E21B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E21B6">
        <w:rPr>
          <w:rFonts w:ascii="Palatino Linotype" w:eastAsia="Calibri" w:hAnsi="Palatino Linotype" w:cs="Arial"/>
          <w:b/>
        </w:rPr>
        <w:t>los Sujetos Obligados deberán documentar todo acto que se derive del ejercicio de sus facultades, competencias o funciones,</w:t>
      </w:r>
      <w:r w:rsidRPr="006E21B6">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6E21B6" w:rsidRDefault="008E4483" w:rsidP="008E4483">
      <w:pPr>
        <w:pStyle w:val="Prrafodelista"/>
        <w:rPr>
          <w:rFonts w:ascii="Palatino Linotype" w:eastAsia="Calibri" w:hAnsi="Palatino Linotype" w:cs="Arial"/>
        </w:rPr>
      </w:pPr>
    </w:p>
    <w:p w14:paraId="308FCB42" w14:textId="77777777" w:rsidR="008E4483" w:rsidRPr="006E21B6" w:rsidRDefault="008E4483" w:rsidP="003B5FD2">
      <w:pPr>
        <w:pStyle w:val="Prrafodelista"/>
        <w:numPr>
          <w:ilvl w:val="0"/>
          <w:numId w:val="4"/>
        </w:numPr>
        <w:spacing w:line="360" w:lineRule="auto"/>
        <w:jc w:val="both"/>
        <w:rPr>
          <w:rFonts w:ascii="Palatino Linotype" w:eastAsia="Calibri" w:hAnsi="Palatino Linotype" w:cs="Arial"/>
        </w:rPr>
      </w:pPr>
      <w:r w:rsidRPr="006E21B6">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6E21B6" w:rsidRDefault="008E4483" w:rsidP="008E4483">
      <w:pPr>
        <w:pStyle w:val="Prrafodelista"/>
        <w:spacing w:line="360" w:lineRule="auto"/>
        <w:rPr>
          <w:rFonts w:ascii="Palatino Linotype" w:hAnsi="Palatino Linotype" w:cs="Arial"/>
          <w:color w:val="000000"/>
        </w:rPr>
      </w:pPr>
    </w:p>
    <w:p w14:paraId="0DE0F687" w14:textId="77777777" w:rsidR="008E4483" w:rsidRPr="006E21B6" w:rsidRDefault="008E4483" w:rsidP="008E4483">
      <w:pPr>
        <w:autoSpaceDE w:val="0"/>
        <w:autoSpaceDN w:val="0"/>
        <w:adjustRightInd w:val="0"/>
        <w:ind w:left="567" w:right="567"/>
        <w:jc w:val="both"/>
        <w:rPr>
          <w:rFonts w:ascii="Palatino Linotype" w:hAnsi="Palatino Linotype" w:cs="Bookman Old Style"/>
          <w:i/>
          <w:sz w:val="22"/>
        </w:rPr>
      </w:pPr>
      <w:r w:rsidRPr="006E21B6">
        <w:rPr>
          <w:rFonts w:ascii="Palatino Linotype" w:hAnsi="Palatino Linotype" w:cs="Bookman Old Style,Bold"/>
          <w:b/>
          <w:bCs/>
          <w:i/>
          <w:sz w:val="22"/>
        </w:rPr>
        <w:t xml:space="preserve">Artículo 4. </w:t>
      </w:r>
      <w:r w:rsidRPr="006E21B6">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6E21B6"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6E21B6" w:rsidRDefault="008E4483" w:rsidP="008E4483">
      <w:pPr>
        <w:autoSpaceDE w:val="0"/>
        <w:autoSpaceDN w:val="0"/>
        <w:adjustRightInd w:val="0"/>
        <w:ind w:left="567" w:right="567"/>
        <w:jc w:val="both"/>
        <w:rPr>
          <w:rFonts w:ascii="Palatino Linotype" w:hAnsi="Palatino Linotype" w:cs="Bookman Old Style"/>
          <w:i/>
          <w:sz w:val="22"/>
        </w:rPr>
      </w:pPr>
      <w:r w:rsidRPr="006E21B6">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6E21B6"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6E21B6" w:rsidRDefault="008E4483" w:rsidP="008E4483">
      <w:pPr>
        <w:autoSpaceDE w:val="0"/>
        <w:autoSpaceDN w:val="0"/>
        <w:adjustRightInd w:val="0"/>
        <w:ind w:left="567" w:right="567"/>
        <w:jc w:val="both"/>
        <w:rPr>
          <w:rFonts w:ascii="Palatino Linotype" w:hAnsi="Palatino Linotype" w:cs="Bookman Old Style"/>
          <w:i/>
          <w:sz w:val="22"/>
        </w:rPr>
      </w:pPr>
      <w:r w:rsidRPr="006E21B6">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6E21B6"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6E21B6" w:rsidRDefault="008E4483" w:rsidP="008E4483">
      <w:pPr>
        <w:autoSpaceDE w:val="0"/>
        <w:autoSpaceDN w:val="0"/>
        <w:adjustRightInd w:val="0"/>
        <w:ind w:left="567" w:right="567"/>
        <w:jc w:val="both"/>
        <w:rPr>
          <w:rFonts w:ascii="Palatino Linotype" w:hAnsi="Palatino Linotype" w:cs="Bookman Old Style"/>
          <w:i/>
          <w:sz w:val="22"/>
        </w:rPr>
      </w:pPr>
      <w:r w:rsidRPr="006E21B6">
        <w:rPr>
          <w:rFonts w:ascii="Palatino Linotype" w:hAnsi="Palatino Linotype" w:cs="Bookman Old Style,Bold"/>
          <w:b/>
          <w:bCs/>
          <w:i/>
          <w:sz w:val="22"/>
        </w:rPr>
        <w:t xml:space="preserve">Artículo 12. </w:t>
      </w:r>
      <w:r w:rsidRPr="006E21B6">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6E21B6"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6E21B6" w:rsidRDefault="008E4483" w:rsidP="008E4483">
      <w:pPr>
        <w:autoSpaceDE w:val="0"/>
        <w:autoSpaceDN w:val="0"/>
        <w:adjustRightInd w:val="0"/>
        <w:ind w:left="567" w:right="567"/>
        <w:jc w:val="both"/>
        <w:rPr>
          <w:rFonts w:ascii="Palatino Linotype" w:hAnsi="Palatino Linotype" w:cs="Bookman Old Style"/>
          <w:b/>
          <w:i/>
          <w:sz w:val="22"/>
        </w:rPr>
      </w:pPr>
      <w:r w:rsidRPr="006E21B6">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6E21B6">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6E21B6"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6E21B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E21B6">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6E21B6">
        <w:rPr>
          <w:rFonts w:ascii="Palatino Linotype" w:hAnsi="Palatino Linotype"/>
          <w:lang w:val="es-ES"/>
        </w:rPr>
        <w:lastRenderedPageBreak/>
        <w:t>principios de eficacia</w:t>
      </w:r>
      <w:r w:rsidRPr="006E21B6">
        <w:rPr>
          <w:rStyle w:val="Refdenotaalpie"/>
          <w:lang w:val="es-ES"/>
        </w:rPr>
        <w:footnoteReference w:id="5"/>
      </w:r>
      <w:r w:rsidRPr="006E21B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6E21B6"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6E21B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E21B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6E21B6" w:rsidRDefault="008E4483" w:rsidP="008E4483">
      <w:pPr>
        <w:pStyle w:val="Prrafodelista"/>
        <w:spacing w:line="360" w:lineRule="auto"/>
        <w:rPr>
          <w:rFonts w:ascii="Palatino Linotype" w:hAnsi="Palatino Linotype"/>
          <w:lang w:val="es-ES"/>
        </w:rPr>
      </w:pPr>
    </w:p>
    <w:p w14:paraId="1C9461BC" w14:textId="77777777" w:rsidR="008E4483" w:rsidRPr="006E21B6" w:rsidRDefault="008E4483" w:rsidP="008E4483">
      <w:pPr>
        <w:pStyle w:val="Prrafodelista"/>
        <w:tabs>
          <w:tab w:val="left" w:pos="851"/>
        </w:tabs>
        <w:ind w:left="567" w:right="567"/>
        <w:jc w:val="both"/>
        <w:rPr>
          <w:rFonts w:ascii="Palatino Linotype" w:hAnsi="Palatino Linotype"/>
          <w:i/>
        </w:rPr>
      </w:pPr>
      <w:r w:rsidRPr="006E21B6">
        <w:rPr>
          <w:rFonts w:ascii="Palatino Linotype" w:hAnsi="Palatino Linotype"/>
          <w:b/>
          <w:i/>
        </w:rPr>
        <w:t>ACCESO A LA INFORMACIÓN. IMPLICACIÓN DEL PRINCIPIO DE MÁXIMA PUBLICIDAD EN EL DERECHO FUNDAMENTAL RELATIVO.</w:t>
      </w:r>
      <w:r w:rsidRPr="006E21B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6E21B6">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6E21B6"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6E21B6" w:rsidRDefault="008E4483" w:rsidP="008E4483">
      <w:pPr>
        <w:pStyle w:val="Prrafodelista"/>
        <w:tabs>
          <w:tab w:val="left" w:pos="851"/>
        </w:tabs>
        <w:ind w:left="567" w:right="567"/>
        <w:jc w:val="both"/>
        <w:rPr>
          <w:rFonts w:ascii="Palatino Linotype" w:hAnsi="Palatino Linotype"/>
          <w:i/>
        </w:rPr>
      </w:pPr>
      <w:r w:rsidRPr="006E21B6">
        <w:rPr>
          <w:rFonts w:ascii="Palatino Linotype" w:hAnsi="Palatino Linotype"/>
          <w:i/>
        </w:rPr>
        <w:t xml:space="preserve">CUARTO TRIBUNAL COLEGIADO EN MATERIA ADMINISTRATIVA DEL PRIMER CIRCUITO. </w:t>
      </w:r>
    </w:p>
    <w:p w14:paraId="31A63FA8" w14:textId="77777777" w:rsidR="008E4483" w:rsidRPr="006E21B6"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6E21B6" w:rsidRDefault="008E4483" w:rsidP="008E4483">
      <w:pPr>
        <w:pStyle w:val="Prrafodelista"/>
        <w:tabs>
          <w:tab w:val="left" w:pos="851"/>
        </w:tabs>
        <w:ind w:left="567" w:right="567"/>
        <w:jc w:val="both"/>
        <w:rPr>
          <w:rFonts w:ascii="Palatino Linotype" w:hAnsi="Palatino Linotype"/>
          <w:i/>
        </w:rPr>
      </w:pPr>
      <w:r w:rsidRPr="006E21B6">
        <w:rPr>
          <w:rFonts w:ascii="Palatino Linotype" w:hAnsi="Palatino Linotype"/>
          <w:i/>
        </w:rPr>
        <w:t xml:space="preserve">Amparo en revisión 257/2012. Ruth Corona Muñoz. 6 de diciembre de 2012. Unanimidad de votos. Ponente: Jean Claude </w:t>
      </w:r>
      <w:proofErr w:type="spellStart"/>
      <w:r w:rsidRPr="006E21B6">
        <w:rPr>
          <w:rFonts w:ascii="Palatino Linotype" w:hAnsi="Palatino Linotype"/>
          <w:i/>
        </w:rPr>
        <w:t>Tron</w:t>
      </w:r>
      <w:proofErr w:type="spellEnd"/>
      <w:r w:rsidRPr="006E21B6">
        <w:rPr>
          <w:rFonts w:ascii="Palatino Linotype" w:hAnsi="Palatino Linotype"/>
          <w:i/>
        </w:rPr>
        <w:t xml:space="preserve"> </w:t>
      </w:r>
      <w:proofErr w:type="spellStart"/>
      <w:r w:rsidRPr="006E21B6">
        <w:rPr>
          <w:rFonts w:ascii="Palatino Linotype" w:hAnsi="Palatino Linotype"/>
          <w:i/>
        </w:rPr>
        <w:t>Petit</w:t>
      </w:r>
      <w:proofErr w:type="spellEnd"/>
      <w:r w:rsidRPr="006E21B6">
        <w:rPr>
          <w:rFonts w:ascii="Palatino Linotype" w:hAnsi="Palatino Linotype"/>
          <w:i/>
        </w:rPr>
        <w:t>. Secretaria: Mayra Susana Martínez López.</w:t>
      </w:r>
    </w:p>
    <w:p w14:paraId="5662BC61" w14:textId="77777777" w:rsidR="008E4483" w:rsidRPr="006E21B6"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6E21B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E21B6">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6E21B6"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6E21B6"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6E21B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b/>
          <w:i/>
          <w:sz w:val="22"/>
        </w:rPr>
        <w:t>“Artículo 6o.</w:t>
      </w:r>
      <w:r w:rsidRPr="006E21B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E21B6">
        <w:rPr>
          <w:rFonts w:ascii="Palatino Linotype" w:hAnsi="Palatino Linotype" w:cs="Arial"/>
          <w:b/>
          <w:i/>
          <w:sz w:val="22"/>
        </w:rPr>
        <w:t>El derecho a la información será garantizado por el Estado.</w:t>
      </w:r>
      <w:r w:rsidRPr="006E21B6">
        <w:rPr>
          <w:rFonts w:ascii="Palatino Linotype" w:hAnsi="Palatino Linotype" w:cs="Arial"/>
          <w:i/>
          <w:sz w:val="22"/>
        </w:rPr>
        <w:t xml:space="preserve"> </w:t>
      </w:r>
    </w:p>
    <w:p w14:paraId="4AC38F1F" w14:textId="77777777" w:rsidR="008E4483" w:rsidRPr="006E21B6" w:rsidRDefault="008E4483" w:rsidP="008E4483">
      <w:pPr>
        <w:ind w:left="567" w:right="567"/>
        <w:jc w:val="both"/>
        <w:rPr>
          <w:rFonts w:ascii="Palatino Linotype" w:hAnsi="Palatino Linotype" w:cs="Arial"/>
          <w:i/>
          <w:sz w:val="22"/>
        </w:rPr>
      </w:pPr>
    </w:p>
    <w:p w14:paraId="4B5681D6"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6E21B6" w:rsidRDefault="008E4483" w:rsidP="008E4483">
      <w:pPr>
        <w:ind w:left="567" w:right="567"/>
        <w:jc w:val="both"/>
        <w:rPr>
          <w:rFonts w:ascii="Palatino Linotype" w:hAnsi="Palatino Linotype" w:cs="Arial"/>
          <w:i/>
          <w:sz w:val="22"/>
        </w:rPr>
      </w:pPr>
    </w:p>
    <w:p w14:paraId="681A3253"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lastRenderedPageBreak/>
        <w:t>Para efectos de lo dispuesto en el presente artículo se observará lo siguiente:</w:t>
      </w:r>
    </w:p>
    <w:p w14:paraId="500990B0" w14:textId="77777777" w:rsidR="008E4483" w:rsidRPr="006E21B6" w:rsidRDefault="008E4483" w:rsidP="008E4483">
      <w:pPr>
        <w:ind w:left="567" w:right="567"/>
        <w:jc w:val="both"/>
        <w:rPr>
          <w:rFonts w:ascii="Palatino Linotype" w:hAnsi="Palatino Linotype" w:cs="Arial"/>
          <w:i/>
          <w:sz w:val="22"/>
        </w:rPr>
      </w:pPr>
    </w:p>
    <w:p w14:paraId="1A00976B"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6E21B6" w:rsidRDefault="008E4483" w:rsidP="008E4483">
      <w:pPr>
        <w:ind w:left="567" w:right="567"/>
        <w:jc w:val="both"/>
        <w:rPr>
          <w:rFonts w:ascii="Palatino Linotype" w:hAnsi="Palatino Linotype" w:cs="Arial"/>
          <w:b/>
          <w:i/>
          <w:sz w:val="22"/>
        </w:rPr>
      </w:pPr>
    </w:p>
    <w:p w14:paraId="3A80ED39"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b/>
          <w:i/>
          <w:sz w:val="22"/>
        </w:rPr>
        <w:t>I. Toda la información en posesión de</w:t>
      </w:r>
      <w:r w:rsidRPr="006E21B6">
        <w:rPr>
          <w:rFonts w:ascii="Palatino Linotype" w:hAnsi="Palatino Linotype" w:cs="Arial"/>
          <w:i/>
          <w:sz w:val="22"/>
        </w:rPr>
        <w:t xml:space="preserve"> </w:t>
      </w:r>
      <w:r w:rsidRPr="006E21B6">
        <w:rPr>
          <w:rFonts w:ascii="Palatino Linotype" w:hAnsi="Palatino Linotype" w:cs="Arial"/>
          <w:b/>
          <w:i/>
          <w:sz w:val="22"/>
        </w:rPr>
        <w:t>cualquier autoridad</w:t>
      </w:r>
      <w:r w:rsidRPr="006E21B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E21B6">
        <w:rPr>
          <w:rFonts w:ascii="Palatino Linotype" w:hAnsi="Palatino Linotype" w:cs="Arial"/>
          <w:b/>
          <w:i/>
          <w:sz w:val="22"/>
        </w:rPr>
        <w:t>es pública</w:t>
      </w:r>
      <w:r w:rsidRPr="006E21B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E21B6">
        <w:rPr>
          <w:rFonts w:ascii="Palatino Linotype" w:hAnsi="Palatino Linotype" w:cs="Arial"/>
          <w:b/>
          <w:i/>
          <w:sz w:val="22"/>
        </w:rPr>
        <w:t>Los sujetos obligados deberán documentar todo acto que derive del ejercicio de sus facultades, competencias o funciones</w:t>
      </w:r>
      <w:r w:rsidRPr="006E21B6">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6E21B6" w:rsidRDefault="008E4483" w:rsidP="008E4483">
      <w:pPr>
        <w:ind w:left="567" w:right="567"/>
        <w:jc w:val="both"/>
        <w:rPr>
          <w:rFonts w:ascii="Palatino Linotype" w:hAnsi="Palatino Linotype" w:cs="Arial"/>
          <w:i/>
          <w:sz w:val="22"/>
        </w:rPr>
      </w:pPr>
    </w:p>
    <w:p w14:paraId="0CECF853"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6E21B6" w:rsidRDefault="008E4483" w:rsidP="008E4483">
      <w:pPr>
        <w:ind w:left="567" w:right="567"/>
        <w:jc w:val="both"/>
        <w:rPr>
          <w:rFonts w:ascii="Palatino Linotype" w:hAnsi="Palatino Linotype" w:cs="Arial"/>
          <w:i/>
          <w:sz w:val="22"/>
        </w:rPr>
      </w:pPr>
    </w:p>
    <w:p w14:paraId="4EF8A8A9"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6E21B6" w:rsidRDefault="008E4483" w:rsidP="008E4483">
      <w:pPr>
        <w:ind w:left="567" w:right="567"/>
        <w:jc w:val="both"/>
        <w:rPr>
          <w:rFonts w:ascii="Palatino Linotype" w:hAnsi="Palatino Linotype" w:cs="Arial"/>
          <w:i/>
          <w:sz w:val="22"/>
        </w:rPr>
      </w:pPr>
    </w:p>
    <w:p w14:paraId="112801FD"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6E21B6" w:rsidRDefault="008E4483" w:rsidP="008E4483">
      <w:pPr>
        <w:ind w:left="567" w:right="567"/>
        <w:jc w:val="both"/>
        <w:rPr>
          <w:rFonts w:ascii="Palatino Linotype" w:hAnsi="Palatino Linotype" w:cs="Arial"/>
          <w:b/>
          <w:i/>
          <w:sz w:val="22"/>
        </w:rPr>
      </w:pPr>
    </w:p>
    <w:p w14:paraId="3FB33C7B"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b/>
          <w:i/>
          <w:sz w:val="22"/>
        </w:rPr>
        <w:t>V. Los sujetos obligados deberán preservar sus documentos en archivos administrativos actualizados y publicarán, a través de los medios electrónicos disponibles</w:t>
      </w:r>
      <w:r w:rsidRPr="006E21B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6E21B6" w:rsidRDefault="008E4483" w:rsidP="008E4483">
      <w:pPr>
        <w:ind w:left="567" w:right="567"/>
        <w:jc w:val="both"/>
        <w:rPr>
          <w:rFonts w:ascii="Palatino Linotype" w:hAnsi="Palatino Linotype" w:cs="Arial"/>
          <w:i/>
          <w:sz w:val="22"/>
        </w:rPr>
      </w:pPr>
    </w:p>
    <w:p w14:paraId="37399313"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6E21B6" w:rsidRDefault="008E4483" w:rsidP="008E4483">
      <w:pPr>
        <w:ind w:left="567" w:right="567"/>
        <w:jc w:val="both"/>
        <w:rPr>
          <w:rFonts w:ascii="Palatino Linotype" w:hAnsi="Palatino Linotype" w:cs="Arial"/>
          <w:i/>
          <w:sz w:val="22"/>
        </w:rPr>
      </w:pPr>
    </w:p>
    <w:p w14:paraId="4D04B6B7"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6E21B6" w:rsidRDefault="008E4483" w:rsidP="008E4483">
      <w:pPr>
        <w:ind w:left="567" w:right="567"/>
        <w:jc w:val="both"/>
        <w:rPr>
          <w:rFonts w:ascii="Palatino Linotype" w:hAnsi="Palatino Linotype" w:cs="Arial"/>
          <w:i/>
          <w:sz w:val="22"/>
        </w:rPr>
      </w:pPr>
    </w:p>
    <w:p w14:paraId="30D06838"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w:t>
      </w:r>
    </w:p>
    <w:p w14:paraId="6140CC8E"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cs="Arial"/>
          <w:i/>
          <w:sz w:val="22"/>
        </w:rPr>
        <w:t>La ley establecerá aquella información que se considere reservada o confidencial.”</w:t>
      </w:r>
    </w:p>
    <w:p w14:paraId="0DF4504F" w14:textId="77777777" w:rsidR="008E4483" w:rsidRPr="006E21B6" w:rsidRDefault="008E4483" w:rsidP="008E4483">
      <w:pPr>
        <w:ind w:left="567" w:right="567"/>
        <w:jc w:val="both"/>
        <w:rPr>
          <w:rFonts w:ascii="Palatino Linotype" w:hAnsi="Palatino Linotype"/>
          <w:i/>
          <w:sz w:val="22"/>
        </w:rPr>
      </w:pPr>
    </w:p>
    <w:p w14:paraId="70B9AFAD"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i/>
          <w:sz w:val="22"/>
        </w:rPr>
        <w:t>(Énfasis añadido)</w:t>
      </w:r>
    </w:p>
    <w:p w14:paraId="1E957CE8" w14:textId="77777777" w:rsidR="008E4483" w:rsidRPr="006E21B6" w:rsidRDefault="008E4483" w:rsidP="008E4483">
      <w:pPr>
        <w:spacing w:line="360" w:lineRule="auto"/>
        <w:ind w:left="709" w:right="757"/>
        <w:jc w:val="both"/>
        <w:rPr>
          <w:rFonts w:ascii="Palatino Linotype" w:hAnsi="Palatino Linotype"/>
        </w:rPr>
      </w:pPr>
    </w:p>
    <w:p w14:paraId="67E589E6" w14:textId="77777777" w:rsidR="008E4483" w:rsidRPr="006E21B6" w:rsidRDefault="008E4483" w:rsidP="008E4483">
      <w:pPr>
        <w:pStyle w:val="Prrafodelista"/>
        <w:numPr>
          <w:ilvl w:val="0"/>
          <w:numId w:val="1"/>
        </w:numPr>
        <w:spacing w:line="360" w:lineRule="auto"/>
        <w:jc w:val="both"/>
        <w:rPr>
          <w:rFonts w:ascii="Palatino Linotype" w:hAnsi="Palatino Linotype" w:cs="Arial"/>
        </w:rPr>
      </w:pPr>
      <w:r w:rsidRPr="006E21B6">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6E21B6" w:rsidRDefault="008E4483" w:rsidP="008E4483">
      <w:pPr>
        <w:spacing w:line="360" w:lineRule="auto"/>
        <w:ind w:left="709" w:right="757"/>
        <w:jc w:val="both"/>
        <w:rPr>
          <w:rFonts w:ascii="Palatino Linotype" w:hAnsi="Palatino Linotype" w:cs="Arial"/>
        </w:rPr>
      </w:pPr>
    </w:p>
    <w:p w14:paraId="459B253A" w14:textId="77777777" w:rsidR="008E4483" w:rsidRPr="006E21B6" w:rsidRDefault="008E4483" w:rsidP="008E4483">
      <w:pPr>
        <w:ind w:left="567" w:right="567"/>
        <w:jc w:val="both"/>
        <w:rPr>
          <w:rFonts w:ascii="Palatino Linotype" w:hAnsi="Palatino Linotype" w:cs="Arial"/>
          <w:b/>
          <w:i/>
          <w:sz w:val="22"/>
        </w:rPr>
      </w:pPr>
      <w:r w:rsidRPr="006E21B6">
        <w:rPr>
          <w:rFonts w:ascii="Palatino Linotype" w:hAnsi="Palatino Linotype" w:cs="Arial"/>
          <w:b/>
          <w:i/>
          <w:sz w:val="22"/>
        </w:rPr>
        <w:t xml:space="preserve">“Artículo 5. … </w:t>
      </w:r>
    </w:p>
    <w:p w14:paraId="6BF00F17"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b/>
          <w:i/>
          <w:sz w:val="22"/>
        </w:rPr>
        <w:t>El derecho a la información será garantizado por el Estado</w:t>
      </w:r>
      <w:r w:rsidRPr="006E21B6">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6E21B6" w:rsidRDefault="008E4483" w:rsidP="008E4483">
      <w:pPr>
        <w:ind w:left="567" w:right="567"/>
        <w:jc w:val="both"/>
        <w:rPr>
          <w:rFonts w:ascii="Palatino Linotype" w:hAnsi="Palatino Linotype"/>
          <w:i/>
          <w:sz w:val="22"/>
        </w:rPr>
      </w:pPr>
    </w:p>
    <w:p w14:paraId="480C22E0"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i/>
          <w:sz w:val="22"/>
        </w:rPr>
        <w:t>Este derecho se regirá por los principios y bases siguientes:</w:t>
      </w:r>
    </w:p>
    <w:p w14:paraId="14A2C90A" w14:textId="77777777" w:rsidR="008E4483" w:rsidRPr="006E21B6" w:rsidRDefault="008E4483" w:rsidP="008E4483">
      <w:pPr>
        <w:ind w:left="567" w:right="567"/>
        <w:jc w:val="both"/>
        <w:rPr>
          <w:rFonts w:ascii="Palatino Linotype" w:hAnsi="Palatino Linotype"/>
          <w:b/>
          <w:i/>
          <w:sz w:val="22"/>
        </w:rPr>
      </w:pPr>
    </w:p>
    <w:p w14:paraId="44073A0F"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b/>
          <w:i/>
          <w:sz w:val="22"/>
        </w:rPr>
        <w:t xml:space="preserve">I. Toda la información en posesión </w:t>
      </w:r>
      <w:r w:rsidRPr="006E21B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E21B6">
        <w:rPr>
          <w:rFonts w:ascii="Palatino Linotype" w:hAnsi="Palatino Linotype"/>
          <w:b/>
          <w:i/>
          <w:sz w:val="22"/>
        </w:rPr>
        <w:t>del gobierno y de la administración pública municipal y sus organismos descentralizados</w:t>
      </w:r>
      <w:r w:rsidRPr="006E21B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E21B6">
        <w:rPr>
          <w:rFonts w:ascii="Palatino Linotype" w:hAnsi="Palatino Linotype"/>
          <w:b/>
          <w:i/>
          <w:sz w:val="22"/>
        </w:rPr>
        <w:t>es pública</w:t>
      </w:r>
      <w:r w:rsidRPr="006E21B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6E21B6" w:rsidRDefault="008E4483" w:rsidP="008E4483">
      <w:pPr>
        <w:ind w:left="567" w:right="567"/>
        <w:jc w:val="both"/>
        <w:rPr>
          <w:rFonts w:ascii="Palatino Linotype" w:hAnsi="Palatino Linotype"/>
          <w:i/>
          <w:sz w:val="22"/>
        </w:rPr>
      </w:pPr>
    </w:p>
    <w:p w14:paraId="2FF70804"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6E21B6" w:rsidRDefault="008E4483" w:rsidP="008E4483">
      <w:pPr>
        <w:ind w:left="567" w:right="567"/>
        <w:jc w:val="both"/>
        <w:rPr>
          <w:rFonts w:ascii="Palatino Linotype" w:hAnsi="Palatino Linotype"/>
          <w:i/>
          <w:sz w:val="22"/>
        </w:rPr>
      </w:pPr>
    </w:p>
    <w:p w14:paraId="6FA24126"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6E21B6" w:rsidRDefault="008E4483" w:rsidP="008E4483">
      <w:pPr>
        <w:ind w:left="567" w:right="567"/>
        <w:jc w:val="both"/>
        <w:rPr>
          <w:rFonts w:ascii="Palatino Linotype" w:hAnsi="Palatino Linotype"/>
          <w:i/>
          <w:sz w:val="22"/>
        </w:rPr>
      </w:pPr>
    </w:p>
    <w:p w14:paraId="24C5C6FF"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6E21B6" w:rsidRDefault="008E4483" w:rsidP="008E4483">
      <w:pPr>
        <w:ind w:left="567" w:right="567"/>
        <w:jc w:val="both"/>
        <w:rPr>
          <w:rFonts w:ascii="Palatino Linotype" w:hAnsi="Palatino Linotype"/>
          <w:i/>
          <w:sz w:val="22"/>
        </w:rPr>
      </w:pPr>
    </w:p>
    <w:p w14:paraId="2D1804C7"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6E21B6" w:rsidRDefault="008E4483" w:rsidP="008E4483">
      <w:pPr>
        <w:ind w:left="567" w:right="567"/>
        <w:jc w:val="both"/>
        <w:rPr>
          <w:rFonts w:ascii="Palatino Linotype" w:hAnsi="Palatino Linotype"/>
          <w:b/>
          <w:i/>
          <w:sz w:val="22"/>
        </w:rPr>
      </w:pPr>
    </w:p>
    <w:p w14:paraId="6DB2EC7A" w14:textId="77777777" w:rsidR="008E4483" w:rsidRPr="006E21B6" w:rsidRDefault="008E4483" w:rsidP="008E4483">
      <w:pPr>
        <w:ind w:left="567" w:right="567"/>
        <w:jc w:val="both"/>
        <w:rPr>
          <w:rFonts w:ascii="Palatino Linotype" w:hAnsi="Palatino Linotype"/>
          <w:i/>
          <w:sz w:val="22"/>
        </w:rPr>
      </w:pPr>
      <w:r w:rsidRPr="006E21B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E21B6">
        <w:rPr>
          <w:rFonts w:ascii="Palatino Linotype" w:hAnsi="Palatino Linotype"/>
          <w:i/>
          <w:sz w:val="22"/>
        </w:rPr>
        <w:t xml:space="preserve"> y los indicadores que permitan rendir cuenta del cumplimiento de sus objetivos y los resultados obtenidos.</w:t>
      </w:r>
    </w:p>
    <w:p w14:paraId="042705A7" w14:textId="77777777" w:rsidR="008E4483" w:rsidRPr="006E21B6" w:rsidRDefault="008E4483" w:rsidP="008E4483">
      <w:pPr>
        <w:ind w:left="567" w:right="567"/>
        <w:jc w:val="both"/>
        <w:rPr>
          <w:rFonts w:ascii="Palatino Linotype" w:hAnsi="Palatino Linotype"/>
          <w:i/>
          <w:sz w:val="22"/>
        </w:rPr>
      </w:pPr>
    </w:p>
    <w:p w14:paraId="6810788F" w14:textId="77777777" w:rsidR="008E4483" w:rsidRPr="006E21B6" w:rsidRDefault="008E4483" w:rsidP="008E4483">
      <w:pPr>
        <w:ind w:left="567" w:right="567"/>
        <w:jc w:val="both"/>
        <w:rPr>
          <w:rFonts w:ascii="Palatino Linotype" w:hAnsi="Palatino Linotype" w:cs="Arial"/>
          <w:i/>
          <w:sz w:val="22"/>
        </w:rPr>
      </w:pPr>
      <w:r w:rsidRPr="006E21B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6E21B6" w:rsidRDefault="008E4483" w:rsidP="008E4483">
      <w:pPr>
        <w:ind w:left="567" w:right="567"/>
        <w:jc w:val="both"/>
        <w:rPr>
          <w:rFonts w:ascii="Palatino Linotype" w:hAnsi="Palatino Linotype"/>
          <w:sz w:val="22"/>
        </w:rPr>
      </w:pPr>
    </w:p>
    <w:p w14:paraId="76F0890A" w14:textId="77777777" w:rsidR="008E4483" w:rsidRPr="006E21B6" w:rsidRDefault="008E4483" w:rsidP="008E4483">
      <w:pPr>
        <w:ind w:left="567" w:right="567"/>
        <w:jc w:val="both"/>
        <w:rPr>
          <w:rFonts w:ascii="Palatino Linotype" w:hAnsi="Palatino Linotype"/>
          <w:sz w:val="22"/>
        </w:rPr>
      </w:pPr>
      <w:r w:rsidRPr="006E21B6">
        <w:rPr>
          <w:rFonts w:ascii="Palatino Linotype" w:hAnsi="Palatino Linotype"/>
          <w:sz w:val="22"/>
        </w:rPr>
        <w:t>(Énfasis añadido)</w:t>
      </w:r>
    </w:p>
    <w:p w14:paraId="04C6290A" w14:textId="77777777" w:rsidR="008E4483" w:rsidRPr="006E21B6" w:rsidRDefault="008E4483" w:rsidP="008E4483">
      <w:pPr>
        <w:spacing w:line="360" w:lineRule="auto"/>
        <w:ind w:left="567" w:right="567"/>
        <w:jc w:val="both"/>
        <w:rPr>
          <w:rFonts w:ascii="Palatino Linotype" w:hAnsi="Palatino Linotype"/>
          <w:sz w:val="22"/>
        </w:rPr>
      </w:pPr>
    </w:p>
    <w:p w14:paraId="41212765" w14:textId="50E2D4CC" w:rsidR="008E4483" w:rsidRPr="006E21B6" w:rsidRDefault="008E4483" w:rsidP="008E4483">
      <w:pPr>
        <w:pStyle w:val="Prrafodelista"/>
        <w:numPr>
          <w:ilvl w:val="0"/>
          <w:numId w:val="1"/>
        </w:numPr>
        <w:spacing w:line="360" w:lineRule="auto"/>
        <w:jc w:val="both"/>
        <w:rPr>
          <w:rFonts w:ascii="Palatino Linotype" w:hAnsi="Palatino Linotype" w:cs="Arial"/>
        </w:rPr>
      </w:pPr>
      <w:r w:rsidRPr="006E21B6">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6E21B6" w:rsidRDefault="008E4483" w:rsidP="008E4483">
      <w:pPr>
        <w:spacing w:line="360" w:lineRule="auto"/>
        <w:jc w:val="both"/>
        <w:rPr>
          <w:rFonts w:ascii="Palatino Linotype" w:hAnsi="Palatino Linotype" w:cs="Arial"/>
        </w:rPr>
      </w:pPr>
    </w:p>
    <w:p w14:paraId="509D888E" w14:textId="77777777" w:rsidR="008E4483" w:rsidRPr="006E21B6" w:rsidRDefault="008E4483" w:rsidP="008E4483">
      <w:pPr>
        <w:ind w:left="567" w:right="822"/>
        <w:jc w:val="both"/>
        <w:rPr>
          <w:rFonts w:ascii="Palatino Linotype" w:eastAsia="MS Mincho" w:hAnsi="Palatino Linotype" w:cs="Arial"/>
          <w:i/>
          <w:sz w:val="22"/>
          <w:szCs w:val="22"/>
        </w:rPr>
      </w:pPr>
      <w:r w:rsidRPr="006E21B6">
        <w:rPr>
          <w:rFonts w:ascii="Palatino Linotype" w:eastAsia="MS Mincho" w:hAnsi="Palatino Linotype" w:cs="Arial"/>
          <w:b/>
          <w:i/>
          <w:sz w:val="22"/>
          <w:szCs w:val="22"/>
        </w:rPr>
        <w:lastRenderedPageBreak/>
        <w:t xml:space="preserve">“Artículo 23. Son sujetos obligados a transparentar y permitir el acceso a su información y </w:t>
      </w:r>
      <w:r w:rsidRPr="006E21B6">
        <w:rPr>
          <w:rFonts w:ascii="Palatino Linotype" w:eastAsia="MS Mincho" w:hAnsi="Palatino Linotype"/>
          <w:b/>
          <w:i/>
          <w:sz w:val="22"/>
          <w:szCs w:val="22"/>
        </w:rPr>
        <w:t>proteger</w:t>
      </w:r>
      <w:r w:rsidRPr="006E21B6">
        <w:rPr>
          <w:rFonts w:ascii="Palatino Linotype" w:eastAsia="MS Mincho" w:hAnsi="Palatino Linotype" w:cs="Arial"/>
          <w:b/>
          <w:i/>
          <w:sz w:val="22"/>
          <w:szCs w:val="22"/>
        </w:rPr>
        <w:t xml:space="preserve"> los datos personales que obren en su poder</w:t>
      </w:r>
      <w:r w:rsidRPr="006E21B6">
        <w:rPr>
          <w:rFonts w:ascii="Palatino Linotype" w:eastAsia="MS Mincho" w:hAnsi="Palatino Linotype" w:cs="Arial"/>
          <w:i/>
          <w:sz w:val="22"/>
          <w:szCs w:val="22"/>
        </w:rPr>
        <w:t>:</w:t>
      </w:r>
    </w:p>
    <w:p w14:paraId="468C7D83" w14:textId="042810AB" w:rsidR="008E4483" w:rsidRPr="006E21B6" w:rsidRDefault="00E00CF8" w:rsidP="008E4483">
      <w:pPr>
        <w:ind w:left="567" w:right="822"/>
        <w:jc w:val="both"/>
        <w:rPr>
          <w:rFonts w:ascii="Palatino Linotype" w:eastAsia="MS Mincho" w:hAnsi="Palatino Linotype" w:cs="Arial"/>
          <w:i/>
          <w:sz w:val="22"/>
          <w:szCs w:val="22"/>
        </w:rPr>
      </w:pPr>
      <w:r w:rsidRPr="006E21B6">
        <w:rPr>
          <w:rFonts w:ascii="Palatino Linotype" w:eastAsia="MS Mincho" w:hAnsi="Palatino Linotype" w:cs="Arial"/>
          <w:i/>
          <w:sz w:val="22"/>
          <w:szCs w:val="22"/>
        </w:rPr>
        <w:t>…</w:t>
      </w:r>
    </w:p>
    <w:p w14:paraId="12C7BD03" w14:textId="04D9A972" w:rsidR="00286915" w:rsidRPr="006E21B6" w:rsidRDefault="00286915" w:rsidP="00286915">
      <w:pPr>
        <w:ind w:left="567" w:right="822"/>
        <w:jc w:val="both"/>
        <w:rPr>
          <w:rFonts w:ascii="Palatino Linotype" w:eastAsia="MS Mincho" w:hAnsi="Palatino Linotype" w:cs="Arial"/>
          <w:b/>
          <w:i/>
          <w:iCs/>
          <w:sz w:val="22"/>
          <w:szCs w:val="22"/>
        </w:rPr>
      </w:pPr>
      <w:r w:rsidRPr="006E21B6">
        <w:rPr>
          <w:rFonts w:ascii="Palatino Linotype" w:hAnsi="Palatino Linotype"/>
          <w:i/>
          <w:iCs/>
        </w:rPr>
        <w:t>I. El Poder Ejecutivo del Estado de México, las dependencias, organismos auxiliares, órganos, entidades, fideicomisos y fondos públicos, así como la Procuraduría General de Justicia;</w:t>
      </w:r>
      <w:r w:rsidRPr="006E21B6">
        <w:rPr>
          <w:rFonts w:ascii="Palatino Linotype" w:eastAsia="MS Mincho" w:hAnsi="Palatino Linotype" w:cs="Arial"/>
          <w:b/>
          <w:i/>
          <w:iCs/>
          <w:sz w:val="22"/>
          <w:szCs w:val="22"/>
        </w:rPr>
        <w:t xml:space="preserve"> </w:t>
      </w:r>
    </w:p>
    <w:p w14:paraId="273927D8" w14:textId="13AAC62A" w:rsidR="008E4483" w:rsidRPr="006E21B6" w:rsidRDefault="008E4483" w:rsidP="00286915">
      <w:pPr>
        <w:ind w:left="567" w:right="822"/>
        <w:jc w:val="both"/>
        <w:rPr>
          <w:rFonts w:ascii="Palatino Linotype" w:eastAsia="MS Mincho" w:hAnsi="Palatino Linotype" w:cs="Arial"/>
          <w:b/>
          <w:i/>
          <w:sz w:val="22"/>
          <w:szCs w:val="22"/>
        </w:rPr>
      </w:pPr>
      <w:r w:rsidRPr="006E21B6">
        <w:rPr>
          <w:rFonts w:ascii="Palatino Linotype" w:eastAsia="MS Mincho" w:hAnsi="Palatino Linotype" w:cs="Arial"/>
          <w:b/>
          <w:i/>
          <w:sz w:val="22"/>
          <w:szCs w:val="22"/>
        </w:rPr>
        <w:t>…</w:t>
      </w:r>
    </w:p>
    <w:p w14:paraId="2D463FFD" w14:textId="77777777" w:rsidR="00286915" w:rsidRPr="006E21B6" w:rsidRDefault="00286915" w:rsidP="00286915">
      <w:pPr>
        <w:ind w:left="567" w:right="822"/>
        <w:jc w:val="both"/>
        <w:rPr>
          <w:rFonts w:ascii="Palatino Linotype" w:eastAsia="MS Mincho" w:hAnsi="Palatino Linotype" w:cs="Arial"/>
          <w:b/>
          <w:i/>
          <w:sz w:val="22"/>
          <w:szCs w:val="22"/>
        </w:rPr>
      </w:pPr>
    </w:p>
    <w:p w14:paraId="56BA427D" w14:textId="77777777" w:rsidR="008E4483" w:rsidRPr="006E21B6" w:rsidRDefault="008E4483" w:rsidP="008E4483">
      <w:pPr>
        <w:ind w:left="567" w:right="822"/>
        <w:jc w:val="both"/>
        <w:rPr>
          <w:rFonts w:ascii="Palatino Linotype" w:eastAsia="MS Mincho" w:hAnsi="Palatino Linotype"/>
          <w:b/>
          <w:i/>
          <w:sz w:val="22"/>
          <w:szCs w:val="22"/>
        </w:rPr>
      </w:pPr>
      <w:r w:rsidRPr="006E21B6">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6E21B6">
        <w:rPr>
          <w:rFonts w:ascii="Palatino Linotype" w:eastAsia="MS Mincho" w:hAnsi="Palatino Linotype"/>
          <w:i/>
          <w:sz w:val="22"/>
          <w:szCs w:val="22"/>
        </w:rPr>
        <w:t xml:space="preserve">, </w:t>
      </w:r>
      <w:r w:rsidRPr="006E21B6">
        <w:rPr>
          <w:rFonts w:ascii="Palatino Linotype" w:eastAsia="MS Mincho" w:hAnsi="Palatino Linotype"/>
          <w:b/>
          <w:i/>
          <w:sz w:val="22"/>
          <w:szCs w:val="22"/>
        </w:rPr>
        <w:t>así como</w:t>
      </w:r>
      <w:r w:rsidRPr="006E21B6">
        <w:rPr>
          <w:rFonts w:ascii="Palatino Linotype" w:eastAsia="MS Mincho" w:hAnsi="Palatino Linotype"/>
          <w:i/>
          <w:sz w:val="22"/>
          <w:szCs w:val="22"/>
        </w:rPr>
        <w:t xml:space="preserve"> </w:t>
      </w:r>
      <w:r w:rsidRPr="006E21B6">
        <w:rPr>
          <w:rFonts w:ascii="Palatino Linotype" w:eastAsia="MS Mincho" w:hAnsi="Palatino Linotype"/>
          <w:b/>
          <w:i/>
          <w:sz w:val="22"/>
          <w:szCs w:val="22"/>
        </w:rPr>
        <w:t>los informes que dichas personas les entreguen sobre el uso y destino de dichos recursos.</w:t>
      </w:r>
    </w:p>
    <w:p w14:paraId="42959804" w14:textId="77777777" w:rsidR="008E4483" w:rsidRPr="006E21B6" w:rsidRDefault="008E4483" w:rsidP="008E4483">
      <w:pPr>
        <w:ind w:left="567" w:right="822"/>
        <w:jc w:val="both"/>
        <w:rPr>
          <w:rFonts w:ascii="Palatino Linotype" w:eastAsia="MS Mincho" w:hAnsi="Palatino Linotype"/>
          <w:b/>
          <w:i/>
          <w:sz w:val="22"/>
          <w:szCs w:val="22"/>
        </w:rPr>
      </w:pPr>
    </w:p>
    <w:p w14:paraId="7FF5ACCA" w14:textId="77777777" w:rsidR="008E4483" w:rsidRPr="006E21B6" w:rsidRDefault="008E4483" w:rsidP="008E4483">
      <w:pPr>
        <w:ind w:left="567" w:right="822"/>
        <w:jc w:val="both"/>
        <w:rPr>
          <w:rFonts w:ascii="Palatino Linotype" w:eastAsia="MS Mincho" w:hAnsi="Palatino Linotype" w:cs="Arial"/>
          <w:i/>
          <w:sz w:val="22"/>
          <w:szCs w:val="22"/>
        </w:rPr>
      </w:pPr>
      <w:r w:rsidRPr="006E21B6">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6E21B6" w:rsidRDefault="008E4483" w:rsidP="008E4483">
      <w:pPr>
        <w:ind w:left="567" w:right="822"/>
        <w:jc w:val="both"/>
        <w:rPr>
          <w:rFonts w:ascii="Palatino Linotype" w:eastAsia="MS Mincho" w:hAnsi="Palatino Linotype" w:cs="Arial"/>
          <w:i/>
          <w:sz w:val="22"/>
          <w:szCs w:val="22"/>
        </w:rPr>
      </w:pPr>
      <w:r w:rsidRPr="006E21B6">
        <w:rPr>
          <w:rFonts w:ascii="Palatino Linotype" w:eastAsia="MS Mincho" w:hAnsi="Palatino Linotype" w:cs="Arial"/>
          <w:i/>
          <w:sz w:val="22"/>
          <w:szCs w:val="22"/>
        </w:rPr>
        <w:t>(Énfasis añadido)</w:t>
      </w:r>
    </w:p>
    <w:p w14:paraId="0EA3AFBA" w14:textId="77777777" w:rsidR="008E4483" w:rsidRPr="006E21B6" w:rsidRDefault="008E4483" w:rsidP="008E4483">
      <w:pPr>
        <w:spacing w:line="360" w:lineRule="auto"/>
        <w:jc w:val="both"/>
        <w:rPr>
          <w:rFonts w:ascii="Palatino Linotype" w:hAnsi="Palatino Linotype" w:cs="Arial"/>
        </w:rPr>
      </w:pPr>
    </w:p>
    <w:p w14:paraId="38992FDD" w14:textId="77777777" w:rsidR="008E4483" w:rsidRPr="006E21B6" w:rsidRDefault="008E4483" w:rsidP="008E4483">
      <w:pPr>
        <w:pStyle w:val="Prrafodelista"/>
        <w:numPr>
          <w:ilvl w:val="0"/>
          <w:numId w:val="1"/>
        </w:numPr>
        <w:spacing w:line="360" w:lineRule="auto"/>
        <w:jc w:val="both"/>
        <w:rPr>
          <w:rFonts w:ascii="Palatino Linotype" w:hAnsi="Palatino Linotype" w:cs="Arial"/>
        </w:rPr>
      </w:pPr>
      <w:r w:rsidRPr="006E21B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6E21B6" w:rsidRDefault="008E4483" w:rsidP="008E4483">
      <w:pPr>
        <w:pStyle w:val="Prrafodelista"/>
        <w:spacing w:line="360" w:lineRule="auto"/>
        <w:ind w:left="0"/>
        <w:jc w:val="both"/>
        <w:rPr>
          <w:rFonts w:ascii="Palatino Linotype" w:hAnsi="Palatino Linotype" w:cs="Arial"/>
        </w:rPr>
      </w:pPr>
    </w:p>
    <w:p w14:paraId="642677F8" w14:textId="578A3F64" w:rsidR="008E4483" w:rsidRPr="006E21B6" w:rsidRDefault="008E4483" w:rsidP="008E4483">
      <w:pPr>
        <w:pStyle w:val="Prrafodelista"/>
        <w:numPr>
          <w:ilvl w:val="0"/>
          <w:numId w:val="1"/>
        </w:numPr>
        <w:spacing w:line="360" w:lineRule="auto"/>
        <w:jc w:val="both"/>
        <w:rPr>
          <w:rFonts w:ascii="Palatino Linotype" w:hAnsi="Palatino Linotype" w:cs="Arial"/>
        </w:rPr>
      </w:pPr>
      <w:r w:rsidRPr="006E21B6">
        <w:rPr>
          <w:rFonts w:ascii="Palatino Linotype" w:hAnsi="Palatino Linotype" w:cs="Arial"/>
        </w:rPr>
        <w:t>Por lo anterior, es de referir que,</w:t>
      </w:r>
      <w:r w:rsidRPr="006E21B6">
        <w:rPr>
          <w:rFonts w:ascii="Palatino Linotype" w:hAnsi="Palatino Linotype" w:cs="Arial"/>
          <w:b/>
        </w:rPr>
        <w:t xml:space="preserve"> </w:t>
      </w:r>
      <w:r w:rsidR="003B4803" w:rsidRPr="006E21B6">
        <w:rPr>
          <w:rFonts w:ascii="Palatino Linotype" w:hAnsi="Palatino Linotype" w:cs="Arial"/>
          <w:b/>
        </w:rPr>
        <w:t>la</w:t>
      </w:r>
      <w:r w:rsidRPr="006E21B6">
        <w:rPr>
          <w:rFonts w:ascii="Palatino Linotype" w:hAnsi="Palatino Linotype"/>
          <w:b/>
          <w:bCs/>
        </w:rPr>
        <w:t xml:space="preserve"> </w:t>
      </w:r>
      <w:r w:rsidR="00B14FFA" w:rsidRPr="006E21B6">
        <w:rPr>
          <w:rFonts w:ascii="Palatino Linotype" w:eastAsia="Calibri" w:hAnsi="Palatino Linotype" w:cs="Arial"/>
          <w:b/>
          <w:bCs/>
          <w:lang w:val="es-ES"/>
        </w:rPr>
        <w:t>Secretaría de Medio Ambiente</w:t>
      </w:r>
      <w:r w:rsidRPr="006E21B6">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6E21B6" w:rsidRDefault="00075BAC" w:rsidP="00075BAC">
      <w:pPr>
        <w:pStyle w:val="Prrafodelista"/>
        <w:rPr>
          <w:rFonts w:ascii="Palatino Linotype" w:hAnsi="Palatino Linotype" w:cs="Arial"/>
        </w:rPr>
      </w:pPr>
    </w:p>
    <w:p w14:paraId="70E5BB51" w14:textId="482FBDEA" w:rsidR="00AC75F5" w:rsidRPr="006E21B6"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6E21B6">
        <w:rPr>
          <w:rFonts w:ascii="Palatino Linotype" w:hAnsi="Palatino Linotype"/>
          <w:b/>
          <w:color w:val="000000" w:themeColor="text1"/>
        </w:rPr>
        <w:t xml:space="preserve">II. </w:t>
      </w:r>
      <w:r w:rsidR="00FD0BDD" w:rsidRPr="006E21B6">
        <w:rPr>
          <w:rFonts w:ascii="Palatino Linotype" w:hAnsi="Palatino Linotype"/>
          <w:b/>
          <w:color w:val="000000" w:themeColor="text1"/>
        </w:rPr>
        <w:t>De</w:t>
      </w:r>
      <w:r w:rsidR="00765786" w:rsidRPr="006E21B6">
        <w:rPr>
          <w:rFonts w:ascii="Palatino Linotype" w:hAnsi="Palatino Linotype"/>
          <w:b/>
          <w:color w:val="000000" w:themeColor="text1"/>
        </w:rPr>
        <w:t xml:space="preserve"> la</w:t>
      </w:r>
      <w:r w:rsidR="00EE3FD0" w:rsidRPr="006E21B6">
        <w:rPr>
          <w:rFonts w:ascii="Palatino Linotype" w:hAnsi="Palatino Linotype"/>
          <w:b/>
          <w:color w:val="000000" w:themeColor="text1"/>
        </w:rPr>
        <w:t xml:space="preserve"> </w:t>
      </w:r>
      <w:r w:rsidR="000A0A85" w:rsidRPr="006E21B6">
        <w:rPr>
          <w:rFonts w:ascii="Palatino Linotype" w:hAnsi="Palatino Linotype"/>
          <w:b/>
          <w:color w:val="000000" w:themeColor="text1"/>
        </w:rPr>
        <w:t>inconformidad del particular.</w:t>
      </w:r>
      <w:bookmarkEnd w:id="31"/>
    </w:p>
    <w:p w14:paraId="6A9589F4" w14:textId="77777777" w:rsidR="00AC75F5" w:rsidRPr="006E21B6"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6018F6AE" w14:textId="36F3EBF0" w:rsidR="00E26FFA" w:rsidRPr="006E21B6" w:rsidRDefault="00C87F27" w:rsidP="00E26FFA">
      <w:pPr>
        <w:pStyle w:val="Prrafodelista"/>
        <w:numPr>
          <w:ilvl w:val="0"/>
          <w:numId w:val="1"/>
        </w:numPr>
        <w:tabs>
          <w:tab w:val="left" w:pos="567"/>
        </w:tabs>
        <w:spacing w:line="360" w:lineRule="auto"/>
        <w:jc w:val="both"/>
        <w:rPr>
          <w:rFonts w:ascii="Palatino Linotype" w:eastAsia="Calibri" w:hAnsi="Palatino Linotype" w:cs="Arial"/>
        </w:rPr>
      </w:pPr>
      <w:r w:rsidRPr="006E21B6">
        <w:rPr>
          <w:rFonts w:ascii="Palatino Linotype" w:eastAsia="Calibri" w:hAnsi="Palatino Linotype" w:cs="Arial"/>
        </w:rPr>
        <w:lastRenderedPageBreak/>
        <w:t xml:space="preserve">El particular </w:t>
      </w:r>
      <w:r w:rsidR="00E26FFA" w:rsidRPr="006E21B6">
        <w:rPr>
          <w:rFonts w:ascii="Palatino Linotype" w:eastAsia="Calibri" w:hAnsi="Palatino Linotype" w:cs="Arial"/>
        </w:rPr>
        <w:t xml:space="preserve">solicitó información relativa al Análisis de Impacto Regulatorio  de la </w:t>
      </w:r>
      <w:r w:rsidR="00E26FFA" w:rsidRPr="006E21B6">
        <w:rPr>
          <w:rFonts w:ascii="Palatino Linotype" w:hAnsi="Palatino Linotype"/>
          <w:color w:val="000000"/>
          <w:szCs w:val="14"/>
        </w:rPr>
        <w:t>Norma Técnica Estatal Ambiental NTEA-011-SEMAGEM-RS-2022, publicada en la Gaceta de Gobierno del Estado de México el 14 de noviembre de 2022.</w:t>
      </w:r>
    </w:p>
    <w:p w14:paraId="38BC5757" w14:textId="77777777" w:rsidR="00E26FFA" w:rsidRPr="006E21B6" w:rsidRDefault="00E26FFA" w:rsidP="00E26FFA">
      <w:pPr>
        <w:pStyle w:val="Prrafodelista"/>
        <w:tabs>
          <w:tab w:val="left" w:pos="567"/>
        </w:tabs>
        <w:spacing w:line="360" w:lineRule="auto"/>
        <w:ind w:left="0"/>
        <w:jc w:val="both"/>
        <w:rPr>
          <w:rFonts w:ascii="Palatino Linotype" w:eastAsia="Calibri" w:hAnsi="Palatino Linotype" w:cs="Arial"/>
        </w:rPr>
      </w:pPr>
    </w:p>
    <w:p w14:paraId="6FF81C51" w14:textId="025B607B" w:rsidR="00E26FFA" w:rsidRPr="006E21B6" w:rsidRDefault="00C87F27" w:rsidP="00E26FFA">
      <w:pPr>
        <w:pStyle w:val="Prrafodelista"/>
        <w:numPr>
          <w:ilvl w:val="0"/>
          <w:numId w:val="1"/>
        </w:numPr>
        <w:tabs>
          <w:tab w:val="left" w:pos="567"/>
        </w:tabs>
        <w:spacing w:line="360" w:lineRule="auto"/>
        <w:jc w:val="both"/>
        <w:rPr>
          <w:rFonts w:ascii="Palatino Linotype" w:eastAsia="Calibri" w:hAnsi="Palatino Linotype" w:cs="Arial"/>
        </w:rPr>
      </w:pPr>
      <w:r w:rsidRPr="006E21B6">
        <w:rPr>
          <w:rFonts w:ascii="Palatino Linotype" w:eastAsia="MS Mincho" w:hAnsi="Palatino Linotype"/>
        </w:rPr>
        <w:t xml:space="preserve">El Sujeto Obligado </w:t>
      </w:r>
      <w:r w:rsidR="00286915" w:rsidRPr="006E21B6">
        <w:rPr>
          <w:rFonts w:ascii="Palatino Linotype" w:eastAsia="MS Mincho" w:hAnsi="Palatino Linotype"/>
        </w:rPr>
        <w:t xml:space="preserve">manifestó que </w:t>
      </w:r>
      <w:r w:rsidR="00E26FFA" w:rsidRPr="006E21B6">
        <w:rPr>
          <w:rFonts w:ascii="Palatino Linotype" w:eastAsia="MS Mincho" w:hAnsi="Palatino Linotype"/>
        </w:rPr>
        <w:t>entregaba en PDF la respuesta de la Dirección General de Manejo Integral de Residuos sin que se adjuntara ningún documento electrónico.</w:t>
      </w:r>
    </w:p>
    <w:p w14:paraId="25692DE6" w14:textId="77777777" w:rsidR="00E26FFA" w:rsidRPr="006E21B6" w:rsidRDefault="00E26FFA" w:rsidP="00E26FFA">
      <w:pPr>
        <w:pStyle w:val="Prrafodelista"/>
        <w:rPr>
          <w:rFonts w:ascii="Palatino Linotype" w:eastAsia="MS Mincho" w:hAnsi="Palatino Linotype"/>
        </w:rPr>
      </w:pPr>
    </w:p>
    <w:p w14:paraId="1BD1C11B" w14:textId="474D0CDA" w:rsidR="006F1C87" w:rsidRPr="006E21B6" w:rsidRDefault="00C87F27" w:rsidP="006F1C87">
      <w:pPr>
        <w:pStyle w:val="Prrafodelista"/>
        <w:numPr>
          <w:ilvl w:val="0"/>
          <w:numId w:val="1"/>
        </w:numPr>
        <w:tabs>
          <w:tab w:val="left" w:pos="567"/>
        </w:tabs>
        <w:spacing w:line="360" w:lineRule="auto"/>
        <w:jc w:val="both"/>
        <w:rPr>
          <w:rFonts w:ascii="Palatino Linotype" w:eastAsia="Calibri" w:hAnsi="Palatino Linotype" w:cs="Arial"/>
        </w:rPr>
      </w:pPr>
      <w:r w:rsidRPr="006E21B6">
        <w:rPr>
          <w:rFonts w:ascii="Palatino Linotype" w:eastAsia="MS Mincho" w:hAnsi="Palatino Linotype"/>
        </w:rPr>
        <w:t xml:space="preserve">El particular se inconformó </w:t>
      </w:r>
      <w:r w:rsidR="00286915" w:rsidRPr="006E21B6">
        <w:rPr>
          <w:rFonts w:ascii="Palatino Linotype" w:eastAsia="MS Mincho" w:hAnsi="Palatino Linotype"/>
        </w:rPr>
        <w:t>porque</w:t>
      </w:r>
      <w:r w:rsidR="00E26FFA" w:rsidRPr="006E21B6">
        <w:rPr>
          <w:rFonts w:ascii="Palatino Linotype" w:eastAsia="MS Mincho" w:hAnsi="Palatino Linotype"/>
        </w:rPr>
        <w:t xml:space="preserve"> no se entregó lo solicitado en el plazo que establece la ley.</w:t>
      </w:r>
    </w:p>
    <w:p w14:paraId="1A4DE84D" w14:textId="77777777" w:rsidR="006F1C87" w:rsidRPr="006E21B6" w:rsidRDefault="006F1C87" w:rsidP="006F1C87">
      <w:pPr>
        <w:pStyle w:val="Prrafodelista"/>
        <w:tabs>
          <w:tab w:val="left" w:pos="567"/>
        </w:tabs>
        <w:spacing w:line="360" w:lineRule="auto"/>
        <w:ind w:left="0"/>
        <w:jc w:val="both"/>
        <w:rPr>
          <w:rFonts w:ascii="Palatino Linotype" w:eastAsia="Calibri" w:hAnsi="Palatino Linotype" w:cs="Arial"/>
        </w:rPr>
      </w:pPr>
    </w:p>
    <w:p w14:paraId="518466F2" w14:textId="77777777" w:rsidR="00E26FFA" w:rsidRPr="006E21B6" w:rsidRDefault="00E26FFA" w:rsidP="00E26FFA">
      <w:pPr>
        <w:pStyle w:val="Prrafodelista"/>
        <w:numPr>
          <w:ilvl w:val="0"/>
          <w:numId w:val="1"/>
        </w:numPr>
        <w:tabs>
          <w:tab w:val="left" w:pos="0"/>
        </w:tabs>
        <w:spacing w:line="360" w:lineRule="auto"/>
        <w:ind w:right="49"/>
        <w:jc w:val="both"/>
        <w:rPr>
          <w:rFonts w:ascii="Palatino Linotype" w:hAnsi="Palatino Linotype"/>
        </w:rPr>
      </w:pPr>
      <w:r w:rsidRPr="006E21B6">
        <w:rPr>
          <w:rFonts w:ascii="Palatino Linotype" w:eastAsia="MS Mincho" w:hAnsi="Palatino Linotype"/>
        </w:rPr>
        <w:t xml:space="preserve">Debemos mencionar que el acceso a la información es un derecho humano constitucional y convencionalmente reconocido y para tal efecto </w:t>
      </w:r>
      <w:r w:rsidRPr="006E21B6">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6E21B6">
        <w:rPr>
          <w:rFonts w:ascii="Palatino Linotype" w:eastAsia="Calibri" w:hAnsi="Palatino Linotype"/>
          <w:i/>
          <w:lang w:val="es-ES"/>
        </w:rPr>
        <w:t xml:space="preserve">en el ámbito de sus atribuciones, de promover, respetar, proteger y </w:t>
      </w:r>
      <w:r w:rsidRPr="006E21B6">
        <w:rPr>
          <w:rFonts w:ascii="Palatino Linotype" w:eastAsia="Calibri" w:hAnsi="Palatino Linotype"/>
          <w:b/>
          <w:i/>
          <w:lang w:val="es-ES"/>
        </w:rPr>
        <w:t>garantizar</w:t>
      </w:r>
      <w:r w:rsidRPr="006E21B6">
        <w:rPr>
          <w:rFonts w:ascii="Palatino Linotype" w:eastAsia="Calibri" w:hAnsi="Palatino Linotype"/>
          <w:i/>
          <w:lang w:val="es-ES"/>
        </w:rPr>
        <w:t xml:space="preserve"> los derechos humanos. </w:t>
      </w:r>
      <w:r w:rsidRPr="006E21B6">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6E21B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6E21B6">
        <w:rPr>
          <w:rStyle w:val="Refdenotaalpie"/>
          <w:i/>
        </w:rPr>
        <w:footnoteReference w:id="6"/>
      </w:r>
      <w:r w:rsidRPr="006E21B6">
        <w:rPr>
          <w:rFonts w:ascii="Palatino Linotype" w:hAnsi="Palatino Linotype"/>
          <w:i/>
        </w:rPr>
        <w:t xml:space="preserve">, </w:t>
      </w:r>
      <w:r w:rsidRPr="006E21B6">
        <w:rPr>
          <w:rFonts w:ascii="Palatino Linotype" w:hAnsi="Palatino Linotype"/>
        </w:rPr>
        <w:t>asimismo establece</w:t>
      </w:r>
      <w:r w:rsidRPr="006E21B6">
        <w:rPr>
          <w:rFonts w:ascii="Palatino Linotype" w:hAnsi="Palatino Linotype"/>
          <w:i/>
        </w:rPr>
        <w:t xml:space="preserve"> que las unidades de transparencia de los Sujetos Obligados deberán garantizar las medidas y condiciones de accesibilidad para que toda persona pueda ejercer el </w:t>
      </w:r>
      <w:r w:rsidRPr="006E21B6">
        <w:rPr>
          <w:rFonts w:ascii="Palatino Linotype" w:hAnsi="Palatino Linotype"/>
          <w:i/>
        </w:rPr>
        <w:lastRenderedPageBreak/>
        <w:t>derecho de acceso a la información, mediante solicitudes de información y deberá apoyar al solicitante en la elaboración de las mismas.</w:t>
      </w:r>
    </w:p>
    <w:p w14:paraId="5F6E3677" w14:textId="77777777" w:rsidR="00E26FFA" w:rsidRPr="006E21B6" w:rsidRDefault="00E26FFA" w:rsidP="00E26FFA">
      <w:pPr>
        <w:pStyle w:val="Prrafodelista"/>
        <w:rPr>
          <w:rFonts w:ascii="Palatino Linotype" w:eastAsia="Calibri" w:hAnsi="Palatino Linotype" w:cs="Arial"/>
        </w:rPr>
      </w:pPr>
    </w:p>
    <w:p w14:paraId="222C6A4B" w14:textId="77777777" w:rsidR="00E26FFA" w:rsidRPr="006E21B6" w:rsidRDefault="00E26FFA" w:rsidP="00E26FFA">
      <w:pPr>
        <w:pStyle w:val="Prrafodelista"/>
        <w:numPr>
          <w:ilvl w:val="0"/>
          <w:numId w:val="1"/>
        </w:numPr>
        <w:spacing w:line="360" w:lineRule="auto"/>
        <w:jc w:val="both"/>
        <w:rPr>
          <w:rFonts w:ascii="Palatino Linotype" w:eastAsia="Calibri" w:hAnsi="Palatino Linotype" w:cs="Arial"/>
          <w:b/>
          <w:u w:val="single"/>
        </w:rPr>
      </w:pPr>
      <w:r w:rsidRPr="006E21B6">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w:t>
      </w:r>
      <w:r w:rsidRPr="006E21B6">
        <w:rPr>
          <w:rFonts w:ascii="Palatino Linotype" w:hAnsi="Palatino Linotype"/>
          <w:b/>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CF68AC7" w14:textId="77777777" w:rsidR="00E26FFA" w:rsidRPr="006E21B6" w:rsidRDefault="00E26FFA" w:rsidP="00E26FFA">
      <w:pPr>
        <w:pStyle w:val="Prrafodelista"/>
        <w:rPr>
          <w:rFonts w:ascii="Palatino Linotype" w:hAnsi="Palatino Linotype"/>
        </w:rPr>
      </w:pPr>
    </w:p>
    <w:p w14:paraId="3936AB5E" w14:textId="77777777" w:rsidR="00E26FFA" w:rsidRPr="006E21B6" w:rsidRDefault="00E26FFA" w:rsidP="00E26FFA">
      <w:pPr>
        <w:pStyle w:val="Prrafodelista"/>
        <w:numPr>
          <w:ilvl w:val="0"/>
          <w:numId w:val="1"/>
        </w:numPr>
        <w:spacing w:line="360" w:lineRule="auto"/>
        <w:jc w:val="both"/>
        <w:rPr>
          <w:rFonts w:ascii="Palatino Linotype" w:eastAsia="Calibri" w:hAnsi="Palatino Linotype" w:cs="Arial"/>
        </w:rPr>
      </w:pPr>
      <w:r w:rsidRPr="006E21B6">
        <w:rPr>
          <w:rFonts w:ascii="Palatino Linotype" w:hAnsi="Palatino Linotype"/>
        </w:rPr>
        <w:t xml:space="preserve">Es así que, su obligación es </w:t>
      </w:r>
      <w:r w:rsidRPr="006E21B6">
        <w:rPr>
          <w:rFonts w:ascii="Palatino Linotype" w:hAnsi="Palatino Linotype"/>
          <w:i/>
        </w:rPr>
        <w:t>realizar, con efectividad, los trámites internos necesarios para la atención de las solicitudes de información</w:t>
      </w:r>
      <w:r w:rsidRPr="006E21B6">
        <w:rPr>
          <w:rStyle w:val="Refdenotaalpie"/>
        </w:rPr>
        <w:footnoteReference w:id="7"/>
      </w:r>
      <w:r w:rsidRPr="006E21B6">
        <w:rPr>
          <w:rFonts w:ascii="Palatino Linotype" w:hAnsi="Palatino Linotype"/>
        </w:rPr>
        <w:t>, es decir, deben otorgar respuestas concisas, contundentes y sobre todo que den la certeza de los actos que realizan.</w:t>
      </w:r>
    </w:p>
    <w:p w14:paraId="0158FC09" w14:textId="77777777" w:rsidR="00E26FFA" w:rsidRPr="006E21B6" w:rsidRDefault="00E26FFA" w:rsidP="00E26FFA">
      <w:pPr>
        <w:pStyle w:val="Prrafodelista"/>
        <w:rPr>
          <w:rFonts w:ascii="Palatino Linotype" w:eastAsia="Calibri" w:hAnsi="Palatino Linotype" w:cs="Arial"/>
        </w:rPr>
      </w:pPr>
    </w:p>
    <w:p w14:paraId="4DC9924D" w14:textId="77777777" w:rsidR="00E26FFA" w:rsidRPr="006E21B6" w:rsidRDefault="00E26FFA" w:rsidP="00E26FFA">
      <w:pPr>
        <w:pStyle w:val="Prrafodelista"/>
        <w:numPr>
          <w:ilvl w:val="0"/>
          <w:numId w:val="1"/>
        </w:numPr>
        <w:spacing w:line="360" w:lineRule="auto"/>
        <w:jc w:val="both"/>
        <w:rPr>
          <w:rFonts w:ascii="Palatino Linotype" w:eastAsia="MS Mincho" w:hAnsi="Palatino Linotype"/>
        </w:rPr>
      </w:pPr>
      <w:r w:rsidRPr="006E21B6">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6E21B6">
        <w:rPr>
          <w:rFonts w:ascii="Palatino Linotype" w:eastAsia="Arial Unicode MS" w:hAnsi="Palatino Linotype" w:cs="Arial"/>
          <w:lang w:eastAsia="en-US"/>
        </w:rPr>
        <w:t>de la Ley de Transparencia y Acceso a la Información del Estado de México y Municipios, que a la letra estipulan lo siguiente:</w:t>
      </w:r>
    </w:p>
    <w:p w14:paraId="48FE742E" w14:textId="77777777" w:rsidR="00E26FFA" w:rsidRPr="006E21B6" w:rsidRDefault="00E26FFA" w:rsidP="00E26FFA">
      <w:pPr>
        <w:spacing w:line="360" w:lineRule="auto"/>
        <w:jc w:val="both"/>
        <w:rPr>
          <w:rFonts w:ascii="Palatino Linotype" w:eastAsia="Arial Unicode MS" w:hAnsi="Palatino Linotype" w:cs="Arial"/>
          <w:lang w:eastAsia="en-US"/>
        </w:rPr>
      </w:pPr>
    </w:p>
    <w:p w14:paraId="64BBF6B4"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b/>
          <w:i/>
          <w:iCs/>
          <w:sz w:val="22"/>
        </w:rPr>
        <w:lastRenderedPageBreak/>
        <w:t xml:space="preserve">Artículo 50. </w:t>
      </w:r>
      <w:r w:rsidRPr="006E21B6">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19F44A1C"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p>
    <w:p w14:paraId="4BCBCB2B"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b/>
          <w:i/>
          <w:iCs/>
          <w:sz w:val="22"/>
        </w:rPr>
        <w:t xml:space="preserve">Artículo 53. </w:t>
      </w:r>
      <w:r w:rsidRPr="006E21B6">
        <w:rPr>
          <w:rFonts w:ascii="Palatino Linotype" w:eastAsia="Palatino Linotype" w:hAnsi="Palatino Linotype" w:cs="Palatino Linotype"/>
          <w:i/>
          <w:iCs/>
          <w:sz w:val="22"/>
        </w:rPr>
        <w:t>Las Unidades de Transparencia tendrán las siguientes funciones:</w:t>
      </w:r>
    </w:p>
    <w:p w14:paraId="643E16E5"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i/>
          <w:iCs/>
          <w:sz w:val="22"/>
        </w:rPr>
        <w:t>(…)</w:t>
      </w:r>
    </w:p>
    <w:p w14:paraId="3D014D12" w14:textId="77777777" w:rsidR="00E26FFA" w:rsidRPr="006E21B6" w:rsidRDefault="00E26FFA" w:rsidP="00E26FFA">
      <w:pPr>
        <w:spacing w:line="360" w:lineRule="auto"/>
        <w:ind w:left="567" w:right="616"/>
        <w:jc w:val="both"/>
        <w:rPr>
          <w:rFonts w:ascii="Palatino Linotype" w:eastAsia="Palatino Linotype" w:hAnsi="Palatino Linotype" w:cs="Palatino Linotype"/>
          <w:b/>
          <w:i/>
          <w:iCs/>
          <w:sz w:val="22"/>
        </w:rPr>
      </w:pPr>
      <w:r w:rsidRPr="006E21B6">
        <w:rPr>
          <w:rFonts w:ascii="Palatino Linotype" w:eastAsia="Palatino Linotype" w:hAnsi="Palatino Linotype" w:cs="Palatino Linotype"/>
          <w:b/>
          <w:bCs/>
          <w:i/>
          <w:iCs/>
          <w:sz w:val="22"/>
        </w:rPr>
        <w:t>II.</w:t>
      </w:r>
      <w:r w:rsidRPr="006E21B6">
        <w:rPr>
          <w:rFonts w:ascii="Palatino Linotype" w:eastAsia="Palatino Linotype" w:hAnsi="Palatino Linotype" w:cs="Palatino Linotype"/>
          <w:b/>
          <w:i/>
          <w:iCs/>
          <w:sz w:val="22"/>
        </w:rPr>
        <w:t xml:space="preserve"> Recibir, tramitar y dar respuesta a las solicitudes de acceso a la información;</w:t>
      </w:r>
    </w:p>
    <w:p w14:paraId="75F68B5F"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i/>
          <w:iCs/>
          <w:sz w:val="22"/>
        </w:rPr>
        <w:t>(…)</w:t>
      </w:r>
    </w:p>
    <w:p w14:paraId="0E4DA191" w14:textId="77777777" w:rsidR="00E26FFA" w:rsidRPr="006E21B6" w:rsidRDefault="00E26FFA" w:rsidP="00E26FFA">
      <w:pPr>
        <w:spacing w:line="360" w:lineRule="auto"/>
        <w:ind w:left="567" w:right="616"/>
        <w:jc w:val="both"/>
        <w:rPr>
          <w:rFonts w:ascii="Palatino Linotype" w:eastAsia="Palatino Linotype" w:hAnsi="Palatino Linotype" w:cs="Palatino Linotype"/>
          <w:b/>
          <w:i/>
          <w:iCs/>
          <w:sz w:val="22"/>
        </w:rPr>
      </w:pPr>
      <w:r w:rsidRPr="006E21B6">
        <w:rPr>
          <w:rFonts w:ascii="Palatino Linotype" w:eastAsia="Palatino Linotype" w:hAnsi="Palatino Linotype" w:cs="Palatino Linotype"/>
          <w:b/>
          <w:bCs/>
          <w:i/>
          <w:iCs/>
          <w:sz w:val="22"/>
        </w:rPr>
        <w:t>IV.</w:t>
      </w:r>
      <w:r w:rsidRPr="006E21B6">
        <w:rPr>
          <w:rFonts w:ascii="Palatino Linotype" w:eastAsia="Palatino Linotype" w:hAnsi="Palatino Linotype" w:cs="Palatino Linotype"/>
          <w:b/>
          <w:i/>
          <w:iCs/>
          <w:sz w:val="22"/>
        </w:rPr>
        <w:t xml:space="preserve"> Realizar, con efectividad, los trámites internos necesarios para la atención de las solicitudes de acceso a la información;</w:t>
      </w:r>
    </w:p>
    <w:p w14:paraId="533BFA70"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b/>
          <w:bCs/>
          <w:i/>
          <w:iCs/>
          <w:sz w:val="22"/>
        </w:rPr>
        <w:t>V.</w:t>
      </w:r>
      <w:r w:rsidRPr="006E21B6">
        <w:rPr>
          <w:rFonts w:ascii="Palatino Linotype" w:eastAsia="Palatino Linotype" w:hAnsi="Palatino Linotype" w:cs="Palatino Linotype"/>
          <w:i/>
          <w:iCs/>
          <w:sz w:val="22"/>
        </w:rPr>
        <w:t xml:space="preserve"> Entregar, en su caso, a los particulares la información solicitada;</w:t>
      </w:r>
    </w:p>
    <w:p w14:paraId="3F036E75"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i/>
          <w:iCs/>
          <w:sz w:val="22"/>
        </w:rPr>
        <w:t>(…)</w:t>
      </w:r>
    </w:p>
    <w:p w14:paraId="01B15B32"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p>
    <w:p w14:paraId="0C0434BB"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b/>
          <w:i/>
          <w:iCs/>
          <w:sz w:val="22"/>
        </w:rPr>
        <w:t xml:space="preserve">Artículo 58. </w:t>
      </w:r>
      <w:r w:rsidRPr="006E21B6">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186799D1"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p>
    <w:p w14:paraId="5984B404"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b/>
          <w:i/>
          <w:iCs/>
          <w:sz w:val="22"/>
        </w:rPr>
        <w:t xml:space="preserve">Artículo 59. </w:t>
      </w:r>
      <w:r w:rsidRPr="006E21B6">
        <w:rPr>
          <w:rFonts w:ascii="Palatino Linotype" w:eastAsia="Palatino Linotype" w:hAnsi="Palatino Linotype" w:cs="Palatino Linotype"/>
          <w:i/>
          <w:iCs/>
          <w:sz w:val="22"/>
        </w:rPr>
        <w:t>Los servidores públicos habilitados tendrán las funciones siguientes:</w:t>
      </w:r>
    </w:p>
    <w:p w14:paraId="52FAEAE3"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p>
    <w:p w14:paraId="7F11D822"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b/>
          <w:bCs/>
          <w:i/>
          <w:iCs/>
          <w:sz w:val="22"/>
        </w:rPr>
        <w:t>I.</w:t>
      </w:r>
      <w:r w:rsidRPr="006E21B6">
        <w:rPr>
          <w:rFonts w:ascii="Palatino Linotype" w:eastAsia="Palatino Linotype" w:hAnsi="Palatino Linotype" w:cs="Palatino Linotype"/>
          <w:i/>
          <w:iCs/>
          <w:sz w:val="22"/>
        </w:rPr>
        <w:t xml:space="preserve"> Localizar la información que le solicite la Unidad de Transparencia;</w:t>
      </w:r>
    </w:p>
    <w:p w14:paraId="6A9D901A"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bCs/>
          <w:i/>
          <w:iCs/>
          <w:sz w:val="22"/>
        </w:rPr>
        <w:t>II.</w:t>
      </w:r>
      <w:r w:rsidRPr="006E21B6">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39AE2A1C"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r w:rsidRPr="006E21B6">
        <w:rPr>
          <w:rFonts w:ascii="Palatino Linotype" w:eastAsia="Palatino Linotype" w:hAnsi="Palatino Linotype" w:cs="Palatino Linotype"/>
          <w:i/>
          <w:iCs/>
          <w:sz w:val="22"/>
        </w:rPr>
        <w:t>(...)</w:t>
      </w:r>
    </w:p>
    <w:p w14:paraId="699246E4" w14:textId="77777777" w:rsidR="00E26FFA" w:rsidRPr="006E21B6" w:rsidRDefault="00E26FFA" w:rsidP="00E26FFA">
      <w:pPr>
        <w:spacing w:line="360" w:lineRule="auto"/>
        <w:ind w:left="567" w:right="616"/>
        <w:jc w:val="both"/>
        <w:rPr>
          <w:rFonts w:ascii="Palatino Linotype" w:eastAsia="Palatino Linotype" w:hAnsi="Palatino Linotype" w:cs="Palatino Linotype"/>
          <w:i/>
          <w:iCs/>
          <w:sz w:val="22"/>
        </w:rPr>
      </w:pPr>
    </w:p>
    <w:p w14:paraId="2BB6870D" w14:textId="77777777" w:rsidR="00E26FFA" w:rsidRPr="006E21B6" w:rsidRDefault="00E26FFA" w:rsidP="00E26FFA">
      <w:pPr>
        <w:spacing w:line="360" w:lineRule="auto"/>
        <w:ind w:left="567" w:right="616"/>
        <w:jc w:val="both"/>
        <w:rPr>
          <w:rFonts w:ascii="Palatino Linotype" w:eastAsia="Palatino Linotype" w:hAnsi="Palatino Linotype" w:cs="Palatino Linotype"/>
          <w:b/>
          <w:i/>
          <w:iCs/>
          <w:sz w:val="22"/>
          <w:u w:val="single"/>
        </w:rPr>
      </w:pPr>
      <w:r w:rsidRPr="006E21B6">
        <w:rPr>
          <w:rFonts w:ascii="Palatino Linotype" w:eastAsia="Palatino Linotype" w:hAnsi="Palatino Linotype" w:cs="Palatino Linotype"/>
          <w:b/>
          <w:i/>
          <w:iCs/>
          <w:sz w:val="22"/>
        </w:rPr>
        <w:t xml:space="preserve">Artículo 162. </w:t>
      </w:r>
      <w:r w:rsidRPr="006E21B6">
        <w:rPr>
          <w:rFonts w:ascii="Palatino Linotype" w:eastAsia="Palatino Linotype" w:hAnsi="Palatino Linotype" w:cs="Palatino Linotype"/>
          <w:b/>
          <w:i/>
          <w:iCs/>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467B89F" w14:textId="77777777" w:rsidR="00E26FFA" w:rsidRPr="006E21B6" w:rsidRDefault="00E26FFA" w:rsidP="00E26FFA">
      <w:pPr>
        <w:spacing w:line="360" w:lineRule="auto"/>
        <w:ind w:left="567" w:right="616"/>
        <w:jc w:val="both"/>
        <w:rPr>
          <w:rFonts w:ascii="Palatino Linotype" w:eastAsia="Palatino Linotype" w:hAnsi="Palatino Linotype" w:cs="Palatino Linotype"/>
          <w:b/>
          <w:i/>
          <w:iCs/>
          <w:sz w:val="22"/>
          <w:u w:val="single"/>
        </w:rPr>
      </w:pPr>
      <w:r w:rsidRPr="006E21B6">
        <w:rPr>
          <w:rFonts w:ascii="Palatino Linotype" w:eastAsia="Palatino Linotype" w:hAnsi="Palatino Linotype" w:cs="Palatino Linotype"/>
          <w:b/>
          <w:i/>
          <w:iCs/>
          <w:sz w:val="22"/>
        </w:rPr>
        <w:lastRenderedPageBreak/>
        <w:t>(Énfasis añadido)</w:t>
      </w:r>
    </w:p>
    <w:p w14:paraId="6A225665" w14:textId="77777777" w:rsidR="00E26FFA" w:rsidRPr="006E21B6" w:rsidRDefault="00E26FFA" w:rsidP="00E26FFA">
      <w:pPr>
        <w:spacing w:line="360" w:lineRule="auto"/>
        <w:jc w:val="both"/>
        <w:rPr>
          <w:rFonts w:ascii="Palatino Linotype" w:eastAsia="Palatino Linotype" w:hAnsi="Palatino Linotype" w:cs="Palatino Linotype"/>
        </w:rPr>
      </w:pPr>
    </w:p>
    <w:p w14:paraId="42594818" w14:textId="77777777" w:rsidR="00E26FFA" w:rsidRPr="006E21B6" w:rsidRDefault="00E26FFA" w:rsidP="00E26FFA">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6E21B6">
        <w:rPr>
          <w:rFonts w:ascii="Palatino Linotype" w:eastAsia="Arial Unicode MS" w:hAnsi="Palatino Linotype" w:cs="Arial"/>
          <w:lang w:eastAsia="en-US"/>
        </w:rPr>
        <w:t xml:space="preserve">las solicitudes de información y tienen, entre otras funciones, las de recibir, tramitar y </w:t>
      </w:r>
      <w:r w:rsidRPr="006E21B6">
        <w:rPr>
          <w:rFonts w:ascii="Palatino Linotype" w:eastAsia="Arial Unicode MS" w:hAnsi="Palatino Linotype" w:cs="Arial"/>
          <w:b/>
          <w:lang w:eastAsia="en-US"/>
        </w:rPr>
        <w:t>dar respuesta a las solicitudes de acceso a la información</w:t>
      </w:r>
      <w:r w:rsidRPr="006E21B6">
        <w:rPr>
          <w:rFonts w:ascii="Palatino Linotype" w:eastAsia="Arial Unicode MS" w:hAnsi="Palatino Linotype" w:cs="Arial"/>
          <w:lang w:eastAsia="en-US"/>
        </w:rPr>
        <w:t xml:space="preserve">; realizar, con efectividad, los trámites internos necesarios para la atención de las solicitudes de acceso a la información; así como, entregar, en su caso, a los particulares la información. Por su parte, </w:t>
      </w:r>
      <w:r w:rsidRPr="006E21B6">
        <w:rPr>
          <w:rFonts w:ascii="Palatino Linotype" w:eastAsia="Arial Unicode MS" w:hAnsi="Palatino Linotype" w:cs="Arial"/>
          <w:b/>
          <w:lang w:eastAsia="en-US"/>
        </w:rPr>
        <w:t>los servidores públicos habilitados auxiliarán a las Unidades de Transparencia localizando la información solicitada y proporcionando la misma que obre en sus archivos.</w:t>
      </w:r>
      <w:r w:rsidRPr="006E21B6">
        <w:rPr>
          <w:rFonts w:ascii="Palatino Linotype" w:eastAsia="Arial Unicode MS" w:hAnsi="Palatino Linotype" w:cs="Arial"/>
          <w:lang w:eastAsia="en-US"/>
        </w:rPr>
        <w:t xml:space="preserve"> Asimismo, es una obligación de las Unidades de Transparencia turnar a todas las áreas que se consideren competentes para que realicen una búsqueda exhaustiva y razonable de la información solicitada a fin de que ésta sea entregada a los solicitantes.</w:t>
      </w:r>
    </w:p>
    <w:p w14:paraId="762F8DAB" w14:textId="77777777" w:rsidR="00E26FFA" w:rsidRPr="006E21B6" w:rsidRDefault="00E26FFA" w:rsidP="00E26FFA">
      <w:pPr>
        <w:pStyle w:val="Prrafodelista"/>
        <w:spacing w:line="360" w:lineRule="auto"/>
        <w:ind w:left="0"/>
        <w:jc w:val="both"/>
        <w:rPr>
          <w:rFonts w:ascii="Palatino Linotype" w:eastAsia="Arial Unicode MS" w:hAnsi="Palatino Linotype" w:cs="Arial"/>
          <w:lang w:eastAsia="en-US"/>
        </w:rPr>
      </w:pPr>
    </w:p>
    <w:p w14:paraId="2C290D4D" w14:textId="1B9467DE" w:rsidR="00E26FFA" w:rsidRPr="006E21B6" w:rsidRDefault="00E26FFA" w:rsidP="00E26FFA">
      <w:pPr>
        <w:pStyle w:val="Prrafodelista"/>
        <w:numPr>
          <w:ilvl w:val="0"/>
          <w:numId w:val="1"/>
        </w:numPr>
        <w:spacing w:line="360" w:lineRule="auto"/>
        <w:jc w:val="both"/>
        <w:rPr>
          <w:rFonts w:ascii="Palatino Linotype" w:eastAsia="Arial Unicode MS" w:hAnsi="Palatino Linotype" w:cs="Arial"/>
          <w:sz w:val="36"/>
          <w:lang w:eastAsia="en-US"/>
        </w:rPr>
      </w:pPr>
      <w:r w:rsidRPr="006E21B6">
        <w:rPr>
          <w:rFonts w:ascii="Palatino Linotype" w:eastAsia="Arial Unicode MS" w:hAnsi="Palatino Linotype" w:cs="Arial"/>
          <w:lang w:eastAsia="en-US"/>
        </w:rPr>
        <w:t xml:space="preserve">En el presente asunto en particular, se aprecia que el Titular de la Unidad de Transparencia refirió que adjuntaba la respuesta de la </w:t>
      </w:r>
      <w:r w:rsidRPr="006E21B6">
        <w:rPr>
          <w:rFonts w:ascii="Palatino Linotype" w:hAnsi="Palatino Linotype"/>
          <w:color w:val="000000"/>
          <w:szCs w:val="18"/>
        </w:rPr>
        <w:t>Dirección General de Manejo Integral de Residuos, sin que esto se materializara, en consecuencia, resulta procedente el recurso de revisión hecho valer por el particular, toda vez que su derecho no ha sido satisfecho.</w:t>
      </w:r>
    </w:p>
    <w:p w14:paraId="3D5DA274" w14:textId="77777777" w:rsidR="00E26FFA" w:rsidRPr="006E21B6" w:rsidRDefault="00E26FFA" w:rsidP="00E26FFA">
      <w:pPr>
        <w:pStyle w:val="Prrafodelista"/>
        <w:rPr>
          <w:rFonts w:ascii="Palatino Linotype" w:eastAsia="Arial Unicode MS" w:hAnsi="Palatino Linotype" w:cs="Arial"/>
          <w:lang w:eastAsia="en-US"/>
        </w:rPr>
      </w:pPr>
    </w:p>
    <w:p w14:paraId="7F928C9C" w14:textId="77777777" w:rsidR="007434AE" w:rsidRPr="006E21B6" w:rsidRDefault="007434AE" w:rsidP="00E26FFA">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El Sujeto Obligado a través de su informe justificado remitió la siguiente información:</w:t>
      </w:r>
    </w:p>
    <w:p w14:paraId="2AB86A3A" w14:textId="77777777" w:rsidR="007434AE" w:rsidRPr="006E21B6" w:rsidRDefault="007434AE" w:rsidP="007434AE">
      <w:pPr>
        <w:pStyle w:val="Prrafodelista"/>
        <w:rPr>
          <w:rFonts w:ascii="Palatino Linotype" w:eastAsia="Arial Unicode MS" w:hAnsi="Palatino Linotype" w:cs="Arial"/>
          <w:lang w:eastAsia="en-US"/>
        </w:rPr>
      </w:pPr>
    </w:p>
    <w:p w14:paraId="5CC4EF5D" w14:textId="77777777" w:rsidR="007434AE" w:rsidRPr="006E21B6" w:rsidRDefault="007434AE" w:rsidP="007434AE">
      <w:pPr>
        <w:pStyle w:val="Prrafodelista"/>
        <w:rPr>
          <w:rFonts w:ascii="Palatino Linotype" w:eastAsia="Arial Unicode MS" w:hAnsi="Palatino Linotype" w:cs="Arial"/>
          <w:lang w:eastAsia="en-US"/>
        </w:rPr>
      </w:pPr>
    </w:p>
    <w:p w14:paraId="0A1FA2C6" w14:textId="77777777" w:rsidR="007434AE" w:rsidRPr="006E21B6" w:rsidRDefault="007434AE" w:rsidP="007434AE">
      <w:pPr>
        <w:rPr>
          <w:rFonts w:ascii="Palatino Linotype" w:eastAsia="Arial Unicode MS" w:hAnsi="Palatino Linotype" w:cs="Arial"/>
          <w:lang w:eastAsia="en-US"/>
        </w:rPr>
      </w:pPr>
    </w:p>
    <w:p w14:paraId="3D4C9CB7" w14:textId="77777777" w:rsidR="007434AE" w:rsidRPr="006E21B6" w:rsidRDefault="007434AE" w:rsidP="007434AE">
      <w:pPr>
        <w:rPr>
          <w:rFonts w:ascii="Palatino Linotype" w:eastAsia="Arial Unicode MS" w:hAnsi="Palatino Linotype" w:cs="Arial"/>
          <w:lang w:eastAsia="en-US"/>
        </w:rPr>
      </w:pPr>
    </w:p>
    <w:p w14:paraId="7645F52A" w14:textId="1D272FEE" w:rsidR="007434AE" w:rsidRPr="006E21B6" w:rsidRDefault="007434AE" w:rsidP="00A9761B">
      <w:pPr>
        <w:pStyle w:val="Prrafodelista"/>
        <w:numPr>
          <w:ilvl w:val="0"/>
          <w:numId w:val="41"/>
        </w:numPr>
        <w:tabs>
          <w:tab w:val="left" w:pos="993"/>
        </w:tabs>
        <w:spacing w:line="360" w:lineRule="auto"/>
        <w:ind w:left="567"/>
        <w:jc w:val="both"/>
        <w:rPr>
          <w:rFonts w:ascii="Palatino Linotype" w:hAnsi="Palatino Linotype"/>
          <w:color w:val="000000" w:themeColor="text1"/>
        </w:rPr>
      </w:pPr>
      <w:r w:rsidRPr="006E21B6">
        <w:rPr>
          <w:rFonts w:ascii="Palatino Linotype" w:hAnsi="Palatino Linotype"/>
          <w:color w:val="000000" w:themeColor="text1"/>
        </w:rPr>
        <w:t>Se hace de conocimiento que la expedición de Normas Técnicas se realiza mediante un procedimiento que comprende diversas fases hasta su aprobación, p</w:t>
      </w:r>
      <w:r w:rsidRPr="006E21B6">
        <w:rPr>
          <w:rFonts w:ascii="Palatino Linotype" w:hAnsi="Palatino Linotype"/>
          <w:b/>
          <w:color w:val="000000" w:themeColor="text1"/>
        </w:rPr>
        <w:t>or lo que no existe sólo un análisis de Impacto Regulatorio AIR sino los que corresponden a cada etapa.</w:t>
      </w:r>
      <w:r w:rsidRPr="006E21B6">
        <w:rPr>
          <w:rFonts w:ascii="Palatino Linotype" w:hAnsi="Palatino Linotype"/>
          <w:color w:val="000000" w:themeColor="text1"/>
        </w:rPr>
        <w:t xml:space="preserve"> En su fase de proyecto la propuesta de AIR se consulta en </w:t>
      </w:r>
      <w:hyperlink r:id="rId11" w:history="1">
        <w:r w:rsidR="00D10350" w:rsidRPr="006E21B6">
          <w:rPr>
            <w:rStyle w:val="Hipervnculo"/>
            <w:rFonts w:ascii="Palatino Linotype" w:hAnsi="Palatino Linotype"/>
          </w:rPr>
          <w:t>https://cemer.edomex.gob.mx/sites/cemer.edomex.gob.mx/files/files/AIR%202021/222/Formato_AIR_Ordinario.pdf</w:t>
        </w:r>
      </w:hyperlink>
    </w:p>
    <w:p w14:paraId="3FCBAD98" w14:textId="77777777" w:rsidR="00D10350" w:rsidRPr="006E21B6" w:rsidRDefault="00D10350" w:rsidP="00D10350">
      <w:pPr>
        <w:pStyle w:val="Prrafodelista"/>
        <w:tabs>
          <w:tab w:val="left" w:pos="993"/>
        </w:tabs>
        <w:spacing w:line="360" w:lineRule="auto"/>
        <w:ind w:left="567"/>
        <w:jc w:val="both"/>
        <w:rPr>
          <w:rFonts w:ascii="Palatino Linotype" w:hAnsi="Palatino Linotype"/>
          <w:color w:val="000000" w:themeColor="text1"/>
        </w:rPr>
      </w:pPr>
    </w:p>
    <w:p w14:paraId="74DB3634" w14:textId="153E7085" w:rsidR="007434AE" w:rsidRPr="006E21B6" w:rsidRDefault="007434AE" w:rsidP="007434AE">
      <w:pPr>
        <w:pStyle w:val="Prrafodelista"/>
        <w:numPr>
          <w:ilvl w:val="0"/>
          <w:numId w:val="41"/>
        </w:numPr>
        <w:tabs>
          <w:tab w:val="left" w:pos="993"/>
        </w:tabs>
        <w:spacing w:line="360" w:lineRule="auto"/>
        <w:ind w:left="567"/>
        <w:jc w:val="both"/>
        <w:rPr>
          <w:rFonts w:ascii="Palatino Linotype" w:hAnsi="Palatino Linotype"/>
          <w:color w:val="000000" w:themeColor="text1"/>
        </w:rPr>
      </w:pPr>
      <w:r w:rsidRPr="006E21B6">
        <w:rPr>
          <w:rFonts w:ascii="Palatino Linotype" w:hAnsi="Palatino Linotype"/>
          <w:color w:val="000000" w:themeColor="text1"/>
        </w:rPr>
        <w:t xml:space="preserve">En respuesta a la solicitud, la Comisión Estatal de Mejora Regulatoria emitió el Análisis de Impacto Regulatorio Ordinario, cuyo documento es público y puede ser consultado en la dirección electrónica </w:t>
      </w:r>
      <w:hyperlink r:id="rId12" w:history="1">
        <w:r w:rsidR="00A9761B" w:rsidRPr="006E21B6">
          <w:rPr>
            <w:rStyle w:val="Hipervnculo"/>
            <w:rFonts w:ascii="Palatino Linotype" w:hAnsi="Palatino Linotype"/>
          </w:rPr>
          <w:t>https://cemer.edomex.gob.mx/sites/cemer.edomex.gob.mx/files/files/AIR%202021/416/Oficio_Dictamen_firmado.pdf</w:t>
        </w:r>
      </w:hyperlink>
    </w:p>
    <w:p w14:paraId="1441EA71" w14:textId="77777777" w:rsidR="00D10350" w:rsidRPr="006E21B6" w:rsidRDefault="00D10350" w:rsidP="00D10350">
      <w:pPr>
        <w:pStyle w:val="Prrafodelista"/>
        <w:tabs>
          <w:tab w:val="left" w:pos="993"/>
        </w:tabs>
        <w:spacing w:line="360" w:lineRule="auto"/>
        <w:ind w:left="567"/>
        <w:jc w:val="both"/>
        <w:rPr>
          <w:rFonts w:ascii="Palatino Linotype" w:hAnsi="Palatino Linotype"/>
          <w:color w:val="000000" w:themeColor="text1"/>
        </w:rPr>
      </w:pPr>
    </w:p>
    <w:p w14:paraId="18BB631A" w14:textId="77777777" w:rsidR="007434AE" w:rsidRPr="006E21B6" w:rsidRDefault="007434AE" w:rsidP="007434AE">
      <w:pPr>
        <w:pStyle w:val="Prrafodelista"/>
        <w:numPr>
          <w:ilvl w:val="0"/>
          <w:numId w:val="41"/>
        </w:numPr>
        <w:tabs>
          <w:tab w:val="left" w:pos="993"/>
        </w:tabs>
        <w:spacing w:line="360" w:lineRule="auto"/>
        <w:ind w:left="567"/>
        <w:jc w:val="both"/>
        <w:rPr>
          <w:rFonts w:ascii="Palatino Linotype" w:hAnsi="Palatino Linotype"/>
          <w:color w:val="000000" w:themeColor="text1"/>
        </w:rPr>
      </w:pPr>
      <w:r w:rsidRPr="006E21B6">
        <w:rPr>
          <w:rFonts w:ascii="Palatino Linotype" w:hAnsi="Palatino Linotype"/>
          <w:color w:val="000000" w:themeColor="text1"/>
        </w:rPr>
        <w:t xml:space="preserve">Asimismo, al ser aprobada la Norma Técnica Estatal Ambiental por el Comité Estatal de Normalización Ambiental, se determinó expedir el Análisis de Impacto Regulatorio, el cual se encuentra en la siguiente dirección electrónica </w:t>
      </w:r>
      <w:hyperlink r:id="rId13" w:history="1">
        <w:r w:rsidRPr="006E21B6">
          <w:rPr>
            <w:rStyle w:val="Hipervnculo"/>
            <w:rFonts w:ascii="Palatino Linotype" w:hAnsi="Palatino Linotype"/>
          </w:rPr>
          <w:t>https://cemer.edomex.gob.mx/sites/cemer.edomex.gob.mx/files/files/AIR%202022/399/Oficio_Dictamen_firmado.pdf</w:t>
        </w:r>
      </w:hyperlink>
    </w:p>
    <w:p w14:paraId="3F24F7DD" w14:textId="77777777" w:rsidR="007434AE" w:rsidRPr="006E21B6" w:rsidRDefault="007434AE" w:rsidP="007434AE">
      <w:pPr>
        <w:rPr>
          <w:rFonts w:ascii="Palatino Linotype" w:eastAsia="Arial Unicode MS" w:hAnsi="Palatino Linotype" w:cs="Arial"/>
          <w:lang w:eastAsia="en-US"/>
        </w:rPr>
      </w:pPr>
    </w:p>
    <w:p w14:paraId="0845BBE5" w14:textId="77777777" w:rsidR="007434AE" w:rsidRPr="006E21B6" w:rsidRDefault="007434AE" w:rsidP="007434AE">
      <w:pPr>
        <w:rPr>
          <w:rFonts w:ascii="Palatino Linotype" w:eastAsia="Arial Unicode MS" w:hAnsi="Palatino Linotype" w:cs="Arial"/>
          <w:lang w:eastAsia="en-US"/>
        </w:rPr>
      </w:pPr>
    </w:p>
    <w:p w14:paraId="3A314CC7" w14:textId="22B0D660" w:rsidR="00D10350" w:rsidRPr="006E21B6" w:rsidRDefault="00D10350" w:rsidP="00D10350">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 xml:space="preserve">De la información remitida mediante informe justificado se aprecian dos elementos a considerar, el primero es que el Sujeto Obligado asume generar, administrar y poseer la información requerida por el particular, por lo que se obvia el análisis de la fuente obligacional. Mientras que el segundo aspecto es que se </w:t>
      </w:r>
      <w:r w:rsidRPr="006E21B6">
        <w:rPr>
          <w:rFonts w:ascii="Palatino Linotype" w:eastAsia="Arial Unicode MS" w:hAnsi="Palatino Linotype" w:cs="Arial"/>
          <w:lang w:eastAsia="en-US"/>
        </w:rPr>
        <w:lastRenderedPageBreak/>
        <w:t>remitieron diversas direcciones electrónicas en las cuales a lo dicho por el Sujeto Obligado se localiza la información requerida por el particular.</w:t>
      </w:r>
    </w:p>
    <w:p w14:paraId="68D9306F" w14:textId="77777777" w:rsidR="00D10350" w:rsidRPr="006E21B6" w:rsidRDefault="00D10350" w:rsidP="00D10350">
      <w:pPr>
        <w:pStyle w:val="Prrafodelista"/>
        <w:spacing w:line="360" w:lineRule="auto"/>
        <w:ind w:left="0"/>
        <w:jc w:val="both"/>
        <w:rPr>
          <w:rFonts w:ascii="Palatino Linotype" w:eastAsia="Arial Unicode MS" w:hAnsi="Palatino Linotype" w:cs="Arial"/>
          <w:lang w:eastAsia="en-US"/>
        </w:rPr>
      </w:pPr>
    </w:p>
    <w:p w14:paraId="751CEBBA" w14:textId="3446201A" w:rsidR="00D10350" w:rsidRPr="006E21B6" w:rsidRDefault="00D10350" w:rsidP="00D10350">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Asimismo, es necesario mencionar que el Sujeto Obligado en aras de garantizar el derecho del particular hizo mención que, en la expedición de Normas Técnicas no sólo se genera un Análisis de Impacto Regulatorio, sino las que correspondan a cada etapa.</w:t>
      </w:r>
    </w:p>
    <w:p w14:paraId="105B39F9" w14:textId="77777777" w:rsidR="00D10350" w:rsidRPr="006E21B6" w:rsidRDefault="00D10350" w:rsidP="00D10350">
      <w:pPr>
        <w:pStyle w:val="Prrafodelista"/>
        <w:spacing w:line="360" w:lineRule="auto"/>
        <w:ind w:left="0"/>
        <w:jc w:val="both"/>
        <w:rPr>
          <w:rFonts w:ascii="Palatino Linotype" w:eastAsia="Arial Unicode MS" w:hAnsi="Palatino Linotype" w:cs="Arial"/>
          <w:lang w:eastAsia="en-US"/>
        </w:rPr>
      </w:pPr>
    </w:p>
    <w:p w14:paraId="707D7B4D" w14:textId="38E1C903" w:rsidR="00D10350" w:rsidRPr="006E21B6" w:rsidRDefault="00D10350" w:rsidP="00E26FFA">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El Sujeto Obligado entregó las siguientes direcciones electrónicas:</w:t>
      </w:r>
    </w:p>
    <w:p w14:paraId="176F546B" w14:textId="77777777" w:rsidR="00A9761B" w:rsidRPr="006E21B6" w:rsidRDefault="00A9761B" w:rsidP="00A9761B">
      <w:pPr>
        <w:spacing w:line="360" w:lineRule="auto"/>
        <w:jc w:val="both"/>
        <w:rPr>
          <w:rFonts w:ascii="Palatino Linotype" w:eastAsia="Arial Unicode MS" w:hAnsi="Palatino Linotype" w:cs="Arial"/>
          <w:lang w:eastAsia="en-US"/>
        </w:rPr>
      </w:pPr>
    </w:p>
    <w:p w14:paraId="25593B24" w14:textId="77777777" w:rsidR="00A9761B" w:rsidRPr="006E21B6" w:rsidRDefault="00494420" w:rsidP="00A9761B">
      <w:pPr>
        <w:pStyle w:val="Prrafodelista"/>
        <w:numPr>
          <w:ilvl w:val="0"/>
          <w:numId w:val="38"/>
        </w:numPr>
        <w:tabs>
          <w:tab w:val="left" w:pos="426"/>
        </w:tabs>
        <w:spacing w:line="360" w:lineRule="auto"/>
        <w:ind w:left="567"/>
        <w:jc w:val="both"/>
        <w:rPr>
          <w:rFonts w:ascii="Palatino Linotype" w:hAnsi="Palatino Linotype"/>
          <w:b/>
          <w:color w:val="000000" w:themeColor="text1"/>
        </w:rPr>
      </w:pPr>
      <w:hyperlink r:id="rId14" w:history="1">
        <w:r w:rsidR="00A9761B" w:rsidRPr="006E21B6">
          <w:rPr>
            <w:rStyle w:val="Hipervnculo"/>
            <w:rFonts w:ascii="Palatino Linotype" w:hAnsi="Palatino Linotype"/>
            <w:b/>
          </w:rPr>
          <w:t>https://cemer.edomex.gob.mx/sites/cemer.edomex.gob.mx/files/files/AIR%202021/222/Formato_AIR_Ordinario.pdf</w:t>
        </w:r>
      </w:hyperlink>
    </w:p>
    <w:p w14:paraId="664D1E35" w14:textId="77777777" w:rsidR="00A9761B" w:rsidRPr="006E21B6" w:rsidRDefault="00494420" w:rsidP="00A9761B">
      <w:pPr>
        <w:pStyle w:val="Prrafodelista"/>
        <w:numPr>
          <w:ilvl w:val="0"/>
          <w:numId w:val="38"/>
        </w:numPr>
        <w:tabs>
          <w:tab w:val="left" w:pos="426"/>
        </w:tabs>
        <w:spacing w:line="360" w:lineRule="auto"/>
        <w:jc w:val="both"/>
        <w:rPr>
          <w:rFonts w:ascii="Palatino Linotype" w:hAnsi="Palatino Linotype"/>
          <w:b/>
          <w:color w:val="000000" w:themeColor="text1"/>
        </w:rPr>
      </w:pPr>
      <w:hyperlink r:id="rId15" w:history="1">
        <w:r w:rsidR="00A9761B" w:rsidRPr="006E21B6">
          <w:rPr>
            <w:rStyle w:val="Hipervnculo"/>
            <w:rFonts w:ascii="Palatino Linotype" w:hAnsi="Palatino Linotype"/>
            <w:b/>
          </w:rPr>
          <w:t>https://cemer.edomex.gob.mx/sites/cemer.edomex.gob.mx/files/files/AIR%202021/416/Oficio_Dictamen_firmado.pdf</w:t>
        </w:r>
      </w:hyperlink>
    </w:p>
    <w:p w14:paraId="5EA7371B" w14:textId="378CD3EF" w:rsidR="00A9761B" w:rsidRPr="006E21B6" w:rsidRDefault="00494420" w:rsidP="00A9761B">
      <w:pPr>
        <w:pStyle w:val="Prrafodelista"/>
        <w:numPr>
          <w:ilvl w:val="0"/>
          <w:numId w:val="38"/>
        </w:numPr>
        <w:tabs>
          <w:tab w:val="left" w:pos="426"/>
        </w:tabs>
        <w:spacing w:line="360" w:lineRule="auto"/>
        <w:jc w:val="both"/>
        <w:rPr>
          <w:rFonts w:ascii="Palatino Linotype" w:hAnsi="Palatino Linotype"/>
          <w:b/>
          <w:color w:val="000000" w:themeColor="text1"/>
        </w:rPr>
      </w:pPr>
      <w:hyperlink r:id="rId16" w:history="1">
        <w:r w:rsidR="00A9761B" w:rsidRPr="006E21B6">
          <w:rPr>
            <w:rStyle w:val="Hipervnculo"/>
            <w:rFonts w:ascii="Palatino Linotype" w:hAnsi="Palatino Linotype"/>
            <w:b/>
          </w:rPr>
          <w:t>https://cemer.edomex.gob.mx/sites/cemer.edomex.gob.mx/files/files/AIR%202022/399/Oficio_Dictamen_firmado.pdf</w:t>
        </w:r>
      </w:hyperlink>
    </w:p>
    <w:p w14:paraId="4FF9F387" w14:textId="77777777" w:rsidR="00A9761B" w:rsidRPr="006E21B6" w:rsidRDefault="00A9761B" w:rsidP="00A9761B">
      <w:pPr>
        <w:spacing w:line="360" w:lineRule="auto"/>
        <w:jc w:val="both"/>
        <w:rPr>
          <w:rFonts w:ascii="Palatino Linotype" w:eastAsia="Arial Unicode MS" w:hAnsi="Palatino Linotype" w:cs="Arial"/>
          <w:lang w:eastAsia="en-US"/>
        </w:rPr>
      </w:pPr>
    </w:p>
    <w:p w14:paraId="37191929" w14:textId="77777777" w:rsidR="00A9761B" w:rsidRPr="006E21B6" w:rsidRDefault="00A9761B" w:rsidP="00E26FFA">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Las direcciones electrónicas remitidas por el Sujeto Obligado contienen la siguiente información</w:t>
      </w:r>
    </w:p>
    <w:p w14:paraId="307D4C8B" w14:textId="77777777" w:rsidR="00A9761B" w:rsidRPr="006E21B6" w:rsidRDefault="00A9761B" w:rsidP="00A9761B">
      <w:pPr>
        <w:pStyle w:val="Prrafodelista"/>
        <w:spacing w:line="360" w:lineRule="auto"/>
        <w:ind w:left="0"/>
        <w:jc w:val="both"/>
        <w:rPr>
          <w:rFonts w:ascii="Palatino Linotype" w:eastAsia="Arial Unicode MS" w:hAnsi="Palatino Linotype" w:cs="Arial"/>
          <w:lang w:eastAsia="en-US"/>
        </w:rPr>
      </w:pPr>
    </w:p>
    <w:p w14:paraId="3CD7A03A" w14:textId="06F4A4A7" w:rsidR="00A9761B" w:rsidRPr="006E21B6" w:rsidRDefault="00A9761B" w:rsidP="00A9761B">
      <w:pPr>
        <w:pStyle w:val="Prrafodelista"/>
        <w:spacing w:line="360" w:lineRule="auto"/>
        <w:ind w:left="0"/>
        <w:jc w:val="both"/>
        <w:rPr>
          <w:rFonts w:ascii="Palatino Linotype" w:eastAsia="Arial Unicode MS" w:hAnsi="Palatino Linotype" w:cs="Arial"/>
          <w:lang w:eastAsia="en-US"/>
        </w:rPr>
      </w:pPr>
      <w:r w:rsidRPr="006E21B6">
        <w:rPr>
          <w:rFonts w:ascii="Palatino Linotype" w:eastAsia="Arial Unicode MS" w:hAnsi="Palatino Linotype" w:cs="Arial"/>
          <w:noProof/>
          <w:lang w:eastAsia="es-MX"/>
        </w:rPr>
        <w:lastRenderedPageBreak/>
        <w:drawing>
          <wp:inline distT="0" distB="0" distL="0" distR="0" wp14:anchorId="725D54F6" wp14:editId="218501D7">
            <wp:extent cx="5612130" cy="206311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2063115"/>
                    </a:xfrm>
                    <a:prstGeom prst="rect">
                      <a:avLst/>
                    </a:prstGeom>
                  </pic:spPr>
                </pic:pic>
              </a:graphicData>
            </a:graphic>
          </wp:inline>
        </w:drawing>
      </w:r>
    </w:p>
    <w:p w14:paraId="372AA045" w14:textId="77777777" w:rsidR="00A9761B" w:rsidRPr="006E21B6" w:rsidRDefault="00A9761B" w:rsidP="00A9761B">
      <w:pPr>
        <w:pStyle w:val="Prrafodelista"/>
        <w:spacing w:line="360" w:lineRule="auto"/>
        <w:ind w:left="0"/>
        <w:jc w:val="both"/>
        <w:rPr>
          <w:rFonts w:ascii="Palatino Linotype" w:eastAsia="Arial Unicode MS" w:hAnsi="Palatino Linotype" w:cs="Arial"/>
          <w:lang w:eastAsia="en-US"/>
        </w:rPr>
      </w:pPr>
    </w:p>
    <w:p w14:paraId="51EE44F1" w14:textId="44767BB0" w:rsidR="00A9761B" w:rsidRPr="006E21B6" w:rsidRDefault="00A9761B" w:rsidP="00A9761B">
      <w:pPr>
        <w:pStyle w:val="Prrafodelista"/>
        <w:spacing w:line="360" w:lineRule="auto"/>
        <w:ind w:left="0"/>
        <w:jc w:val="both"/>
        <w:rPr>
          <w:rFonts w:ascii="Palatino Linotype" w:eastAsia="Arial Unicode MS" w:hAnsi="Palatino Linotype" w:cs="Arial"/>
          <w:lang w:eastAsia="en-US"/>
        </w:rPr>
      </w:pPr>
      <w:r w:rsidRPr="006E21B6">
        <w:rPr>
          <w:rFonts w:ascii="Palatino Linotype" w:eastAsia="Arial Unicode MS" w:hAnsi="Palatino Linotype" w:cs="Arial"/>
          <w:noProof/>
          <w:lang w:eastAsia="es-MX"/>
        </w:rPr>
        <w:drawing>
          <wp:inline distT="0" distB="0" distL="0" distR="0" wp14:anchorId="1073E6C2" wp14:editId="2306B334">
            <wp:extent cx="5612130" cy="317627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3176270"/>
                    </a:xfrm>
                    <a:prstGeom prst="rect">
                      <a:avLst/>
                    </a:prstGeom>
                  </pic:spPr>
                </pic:pic>
              </a:graphicData>
            </a:graphic>
          </wp:inline>
        </w:drawing>
      </w:r>
    </w:p>
    <w:p w14:paraId="6526B02E" w14:textId="77777777" w:rsidR="00A9761B" w:rsidRPr="006E21B6" w:rsidRDefault="00A9761B" w:rsidP="00A9761B">
      <w:pPr>
        <w:pStyle w:val="Prrafodelista"/>
        <w:spacing w:line="360" w:lineRule="auto"/>
        <w:ind w:left="0"/>
        <w:jc w:val="both"/>
        <w:rPr>
          <w:rFonts w:ascii="Palatino Linotype" w:eastAsia="Arial Unicode MS" w:hAnsi="Palatino Linotype" w:cs="Arial"/>
          <w:lang w:eastAsia="en-US"/>
        </w:rPr>
      </w:pPr>
    </w:p>
    <w:p w14:paraId="28F9ADE8" w14:textId="6B56D856" w:rsidR="00A9761B" w:rsidRPr="006E21B6" w:rsidRDefault="00A9761B" w:rsidP="00E26FFA">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Como bien se aprecia en los extractos de información que contienen las direcciones electrónicas, dan cuenta de la existencia de la información relativa a Análisis de Impacto Regulatorio</w:t>
      </w:r>
      <w:r w:rsidR="00FC3238" w:rsidRPr="006E21B6">
        <w:rPr>
          <w:rFonts w:ascii="Palatino Linotype" w:eastAsia="Arial Unicode MS" w:hAnsi="Palatino Linotype" w:cs="Arial"/>
          <w:lang w:eastAsia="en-US"/>
        </w:rPr>
        <w:t xml:space="preserve"> para la propuesta Regulatoria denominada NORMA TÉCNICA ESTATAL AMBIENTAL NTEA-011-SEMAGEM-RS-2022</w:t>
      </w:r>
      <w:r w:rsidRPr="006E21B6">
        <w:rPr>
          <w:rFonts w:ascii="Palatino Linotype" w:eastAsia="Arial Unicode MS" w:hAnsi="Palatino Linotype" w:cs="Arial"/>
          <w:lang w:eastAsia="en-US"/>
        </w:rPr>
        <w:t xml:space="preserve">; sin </w:t>
      </w:r>
      <w:r w:rsidRPr="006E21B6">
        <w:rPr>
          <w:rFonts w:ascii="Palatino Linotype" w:eastAsia="Arial Unicode MS" w:hAnsi="Palatino Linotype" w:cs="Arial"/>
          <w:lang w:eastAsia="en-US"/>
        </w:rPr>
        <w:lastRenderedPageBreak/>
        <w:t>embargo, la última dirección electrónica es conveniente traer su contenido íntegro, siendo el siguiente:</w:t>
      </w:r>
    </w:p>
    <w:p w14:paraId="1F8B54D6" w14:textId="77777777" w:rsidR="00A9761B" w:rsidRPr="006E21B6" w:rsidRDefault="00A9761B" w:rsidP="00A9761B">
      <w:pPr>
        <w:pStyle w:val="Prrafodelista"/>
        <w:spacing w:line="360" w:lineRule="auto"/>
        <w:ind w:left="0"/>
        <w:jc w:val="both"/>
        <w:rPr>
          <w:rFonts w:ascii="Palatino Linotype" w:eastAsia="Arial Unicode MS" w:hAnsi="Palatino Linotype" w:cs="Arial"/>
          <w:lang w:eastAsia="en-US"/>
        </w:rPr>
      </w:pPr>
    </w:p>
    <w:p w14:paraId="46747AEA" w14:textId="69027A76" w:rsidR="00A9761B" w:rsidRPr="006E21B6" w:rsidRDefault="00A9761B" w:rsidP="00A9761B">
      <w:pPr>
        <w:pStyle w:val="Prrafodelista"/>
        <w:spacing w:line="360" w:lineRule="auto"/>
        <w:ind w:left="0"/>
        <w:jc w:val="center"/>
        <w:rPr>
          <w:rFonts w:ascii="Palatino Linotype" w:eastAsia="Arial Unicode MS" w:hAnsi="Palatino Linotype" w:cs="Arial"/>
          <w:lang w:eastAsia="en-US"/>
        </w:rPr>
      </w:pPr>
      <w:r w:rsidRPr="006E21B6">
        <w:rPr>
          <w:rFonts w:ascii="Palatino Linotype" w:eastAsia="Arial Unicode MS" w:hAnsi="Palatino Linotype" w:cs="Arial"/>
          <w:noProof/>
          <w:lang w:eastAsia="es-MX"/>
        </w:rPr>
        <w:drawing>
          <wp:inline distT="0" distB="0" distL="0" distR="0" wp14:anchorId="1F20FC34" wp14:editId="05760DD3">
            <wp:extent cx="5167423" cy="64037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93265" cy="6435740"/>
                    </a:xfrm>
                    <a:prstGeom prst="rect">
                      <a:avLst/>
                    </a:prstGeom>
                  </pic:spPr>
                </pic:pic>
              </a:graphicData>
            </a:graphic>
          </wp:inline>
        </w:drawing>
      </w:r>
    </w:p>
    <w:p w14:paraId="5A71C2B8" w14:textId="215CAA27" w:rsidR="00FC3238" w:rsidRPr="006E21B6" w:rsidRDefault="00FC3238" w:rsidP="00FC3238">
      <w:pPr>
        <w:pStyle w:val="Prrafodelista"/>
        <w:spacing w:line="360" w:lineRule="auto"/>
        <w:ind w:left="0"/>
        <w:jc w:val="both"/>
        <w:rPr>
          <w:rFonts w:ascii="Palatino Linotype" w:eastAsia="Arial Unicode MS" w:hAnsi="Palatino Linotype" w:cs="Arial"/>
          <w:lang w:eastAsia="en-US"/>
        </w:rPr>
      </w:pPr>
      <w:r w:rsidRPr="006E21B6">
        <w:rPr>
          <w:rFonts w:ascii="Palatino Linotype" w:eastAsia="Arial Unicode MS" w:hAnsi="Palatino Linotype" w:cs="Arial"/>
          <w:noProof/>
          <w:lang w:eastAsia="es-MX"/>
        </w:rPr>
        <w:lastRenderedPageBreak/>
        <w:drawing>
          <wp:inline distT="0" distB="0" distL="0" distR="0" wp14:anchorId="7AF862B2" wp14:editId="084840F4">
            <wp:extent cx="5560828" cy="7181203"/>
            <wp:effectExtent l="0" t="0" r="190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87599" cy="7215775"/>
                    </a:xfrm>
                    <a:prstGeom prst="rect">
                      <a:avLst/>
                    </a:prstGeom>
                  </pic:spPr>
                </pic:pic>
              </a:graphicData>
            </a:graphic>
          </wp:inline>
        </w:drawing>
      </w:r>
    </w:p>
    <w:p w14:paraId="56F07714" w14:textId="00B4FABC" w:rsidR="00FC3238" w:rsidRPr="006E21B6" w:rsidRDefault="00FC3238" w:rsidP="00FC3238">
      <w:pPr>
        <w:pStyle w:val="Prrafodelista"/>
        <w:spacing w:line="360" w:lineRule="auto"/>
        <w:ind w:left="0"/>
        <w:jc w:val="both"/>
        <w:rPr>
          <w:rFonts w:ascii="Palatino Linotype" w:eastAsia="Arial Unicode MS" w:hAnsi="Palatino Linotype" w:cs="Arial"/>
          <w:lang w:eastAsia="en-US"/>
        </w:rPr>
      </w:pPr>
      <w:r w:rsidRPr="006E21B6">
        <w:rPr>
          <w:rFonts w:ascii="Palatino Linotype" w:eastAsia="Arial Unicode MS" w:hAnsi="Palatino Linotype" w:cs="Arial"/>
          <w:noProof/>
          <w:lang w:eastAsia="es-MX"/>
        </w:rPr>
        <w:lastRenderedPageBreak/>
        <w:drawing>
          <wp:inline distT="0" distB="0" distL="0" distR="0" wp14:anchorId="3A03AB41" wp14:editId="39CDB5DB">
            <wp:extent cx="5420481" cy="4334480"/>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0481" cy="4334480"/>
                    </a:xfrm>
                    <a:prstGeom prst="rect">
                      <a:avLst/>
                    </a:prstGeom>
                  </pic:spPr>
                </pic:pic>
              </a:graphicData>
            </a:graphic>
          </wp:inline>
        </w:drawing>
      </w:r>
    </w:p>
    <w:p w14:paraId="6B76CAD5" w14:textId="26482C28" w:rsidR="00DE462C" w:rsidRPr="006E21B6" w:rsidRDefault="00FC3238" w:rsidP="00E26FFA">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Del contenido de las Direcciones electrónicas proporcionadas por el Sujeto Obligado se aprecia que la primera dirección electrónica contiene el Formato de Análisis de Impact</w:t>
      </w:r>
      <w:r w:rsidR="00DE462C" w:rsidRPr="006E21B6">
        <w:rPr>
          <w:rFonts w:ascii="Palatino Linotype" w:eastAsia="Arial Unicode MS" w:hAnsi="Palatino Linotype" w:cs="Arial"/>
          <w:lang w:eastAsia="en-US"/>
        </w:rPr>
        <w:t>o Regulatorio</w:t>
      </w:r>
      <w:r w:rsidR="007E5B84" w:rsidRPr="006E21B6">
        <w:rPr>
          <w:rFonts w:ascii="Palatino Linotype" w:eastAsia="Arial Unicode MS" w:hAnsi="Palatino Linotype" w:cs="Arial"/>
          <w:lang w:eastAsia="en-US"/>
        </w:rPr>
        <w:t xml:space="preserve"> como propuesta</w:t>
      </w:r>
      <w:r w:rsidR="00DE462C" w:rsidRPr="006E21B6">
        <w:rPr>
          <w:rFonts w:ascii="Palatino Linotype" w:eastAsia="Arial Unicode MS" w:hAnsi="Palatino Linotype" w:cs="Arial"/>
          <w:lang w:eastAsia="en-US"/>
        </w:rPr>
        <w:t>, mientras que el último hace mención a una exención para presentar el Análisis de Impacto Regulatorio.</w:t>
      </w:r>
    </w:p>
    <w:p w14:paraId="76AE6406" w14:textId="77777777" w:rsidR="00DE462C" w:rsidRPr="006E21B6" w:rsidRDefault="00DE462C" w:rsidP="00DE462C">
      <w:pPr>
        <w:pStyle w:val="Prrafodelista"/>
        <w:spacing w:line="360" w:lineRule="auto"/>
        <w:ind w:left="0"/>
        <w:jc w:val="both"/>
        <w:rPr>
          <w:rFonts w:ascii="Palatino Linotype" w:eastAsia="Arial Unicode MS" w:hAnsi="Palatino Linotype" w:cs="Arial"/>
          <w:lang w:eastAsia="en-US"/>
        </w:rPr>
      </w:pPr>
    </w:p>
    <w:p w14:paraId="7E883E94" w14:textId="4DF76418" w:rsidR="00FC3238" w:rsidRPr="006E21B6" w:rsidRDefault="00DE462C" w:rsidP="00E26FFA">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 xml:space="preserve">Para entender de mejor manera lo actuado por las partes, es necesario traer a contexto la Ley </w:t>
      </w:r>
      <w:r w:rsidR="00FC3238" w:rsidRPr="006E21B6">
        <w:rPr>
          <w:rFonts w:ascii="Palatino Linotype" w:eastAsia="Arial Unicode MS" w:hAnsi="Palatino Linotype" w:cs="Arial"/>
          <w:lang w:eastAsia="en-US"/>
        </w:rPr>
        <w:t xml:space="preserve"> </w:t>
      </w:r>
      <w:r w:rsidRPr="006E21B6">
        <w:rPr>
          <w:rFonts w:ascii="Palatino Linotype" w:eastAsia="Arial Unicode MS" w:hAnsi="Palatino Linotype" w:cs="Arial"/>
          <w:lang w:eastAsia="en-US"/>
        </w:rPr>
        <w:t xml:space="preserve">para la Mejora Regulatoria del Estado de México y sus Municipios en el artículo 4, fracción II y </w:t>
      </w:r>
    </w:p>
    <w:p w14:paraId="4059F9AF" w14:textId="77777777" w:rsidR="009F6AFF" w:rsidRPr="006E21B6" w:rsidRDefault="009F6AFF" w:rsidP="009F6AFF">
      <w:pPr>
        <w:pStyle w:val="Prrafodelista"/>
        <w:rPr>
          <w:rFonts w:ascii="Palatino Linotype" w:eastAsia="Arial Unicode MS" w:hAnsi="Palatino Linotype" w:cs="Arial"/>
          <w:lang w:eastAsia="en-US"/>
        </w:rPr>
      </w:pPr>
    </w:p>
    <w:p w14:paraId="37151F2E" w14:textId="751F4748" w:rsidR="009F6AFF" w:rsidRPr="006E21B6" w:rsidRDefault="009F6AFF" w:rsidP="009F6AFF">
      <w:pPr>
        <w:pStyle w:val="Prrafodelista"/>
        <w:spacing w:line="360" w:lineRule="auto"/>
        <w:ind w:left="567" w:right="616"/>
        <w:jc w:val="both"/>
        <w:rPr>
          <w:rFonts w:ascii="Palatino Linotype" w:hAnsi="Palatino Linotype"/>
          <w:i/>
          <w:sz w:val="22"/>
        </w:rPr>
      </w:pPr>
      <w:r w:rsidRPr="006E21B6">
        <w:rPr>
          <w:rFonts w:ascii="Palatino Linotype" w:hAnsi="Palatino Linotype"/>
          <w:i/>
          <w:sz w:val="22"/>
        </w:rPr>
        <w:t>Artículo 4.- Para los efectos de esta Ley, se entiende por:</w:t>
      </w:r>
    </w:p>
    <w:p w14:paraId="4AF39144" w14:textId="0ECA75F2" w:rsidR="009F6AFF" w:rsidRPr="006E21B6" w:rsidRDefault="009F6AFF" w:rsidP="009F6AFF">
      <w:pPr>
        <w:pStyle w:val="Prrafodelista"/>
        <w:spacing w:line="360" w:lineRule="auto"/>
        <w:ind w:left="567" w:right="616"/>
        <w:jc w:val="both"/>
        <w:rPr>
          <w:rFonts w:ascii="Palatino Linotype" w:hAnsi="Palatino Linotype"/>
          <w:i/>
          <w:sz w:val="22"/>
        </w:rPr>
      </w:pPr>
      <w:r w:rsidRPr="006E21B6">
        <w:rPr>
          <w:rFonts w:ascii="Palatino Linotype" w:hAnsi="Palatino Linotype"/>
          <w:i/>
          <w:sz w:val="22"/>
        </w:rPr>
        <w:t>…</w:t>
      </w:r>
    </w:p>
    <w:p w14:paraId="4BFE88D8" w14:textId="027E8651" w:rsidR="009F6AFF" w:rsidRPr="006E21B6" w:rsidRDefault="009F6AFF" w:rsidP="009F6AFF">
      <w:pPr>
        <w:pStyle w:val="Prrafodelista"/>
        <w:spacing w:line="360" w:lineRule="auto"/>
        <w:ind w:left="567" w:right="616"/>
        <w:jc w:val="both"/>
        <w:rPr>
          <w:rFonts w:ascii="Palatino Linotype" w:hAnsi="Palatino Linotype"/>
          <w:b/>
          <w:i/>
          <w:sz w:val="22"/>
        </w:rPr>
      </w:pPr>
      <w:r w:rsidRPr="006E21B6">
        <w:rPr>
          <w:rFonts w:ascii="Palatino Linotype" w:hAnsi="Palatino Linotype"/>
          <w:b/>
          <w:i/>
          <w:sz w:val="22"/>
        </w:rPr>
        <w:lastRenderedPageBreak/>
        <w:t>II. Análisis de Impacto Regulatorio: Documento mediante el cual las dependencias justifican ante la Comisión o las Comisiones Municipales, la creación de nuevas disposiciones de carácter general o de reformas a las existentes;</w:t>
      </w:r>
    </w:p>
    <w:p w14:paraId="081B6C7B" w14:textId="52CAE550" w:rsidR="009F6AFF" w:rsidRPr="006E21B6" w:rsidRDefault="009F6AFF" w:rsidP="009F6AFF">
      <w:pPr>
        <w:pStyle w:val="Prrafodelista"/>
        <w:spacing w:line="360" w:lineRule="auto"/>
        <w:ind w:left="567" w:right="616"/>
        <w:jc w:val="both"/>
        <w:rPr>
          <w:rFonts w:ascii="Palatino Linotype" w:eastAsia="Arial Unicode MS" w:hAnsi="Palatino Linotype" w:cs="Arial"/>
          <w:i/>
          <w:sz w:val="22"/>
          <w:lang w:eastAsia="en-US"/>
        </w:rPr>
      </w:pPr>
      <w:r w:rsidRPr="006E21B6">
        <w:rPr>
          <w:rFonts w:ascii="Palatino Linotype" w:hAnsi="Palatino Linotype"/>
          <w:i/>
          <w:sz w:val="22"/>
        </w:rPr>
        <w:t>…</w:t>
      </w:r>
    </w:p>
    <w:p w14:paraId="0EAA4180" w14:textId="77777777" w:rsidR="00A02A43" w:rsidRPr="006E21B6" w:rsidRDefault="00A02A43" w:rsidP="00A02A43">
      <w:pPr>
        <w:spacing w:line="360" w:lineRule="auto"/>
        <w:jc w:val="both"/>
        <w:rPr>
          <w:rFonts w:ascii="Palatino Linotype" w:eastAsia="Arial Unicode MS" w:hAnsi="Palatino Linotype" w:cs="Arial"/>
          <w:lang w:eastAsia="en-US"/>
        </w:rPr>
      </w:pPr>
    </w:p>
    <w:p w14:paraId="5CAE245D" w14:textId="03F9EFA1" w:rsidR="00DE462C" w:rsidRPr="006E21B6" w:rsidRDefault="00DE462C" w:rsidP="009F6AFF">
      <w:pPr>
        <w:spacing w:line="360" w:lineRule="auto"/>
        <w:ind w:left="567" w:right="616"/>
        <w:jc w:val="both"/>
        <w:rPr>
          <w:rFonts w:ascii="Palatino Linotype" w:hAnsi="Palatino Linotype"/>
          <w:i/>
          <w:sz w:val="22"/>
        </w:rPr>
      </w:pPr>
      <w:r w:rsidRPr="006E21B6">
        <w:rPr>
          <w:rFonts w:ascii="Palatino Linotype" w:hAnsi="Palatino Linotype"/>
          <w:i/>
          <w:sz w:val="22"/>
        </w:rPr>
        <w:t>Artículo 11.- La Comisión, tendrá las facultades siguientes:</w:t>
      </w:r>
    </w:p>
    <w:p w14:paraId="67687AC5" w14:textId="690A1630" w:rsidR="00DE462C" w:rsidRPr="006E21B6" w:rsidRDefault="00DE462C" w:rsidP="009F6AFF">
      <w:pPr>
        <w:spacing w:line="360" w:lineRule="auto"/>
        <w:ind w:left="567" w:right="616"/>
        <w:jc w:val="both"/>
        <w:rPr>
          <w:rFonts w:ascii="Palatino Linotype" w:hAnsi="Palatino Linotype"/>
          <w:i/>
          <w:sz w:val="22"/>
        </w:rPr>
      </w:pPr>
      <w:r w:rsidRPr="006E21B6">
        <w:rPr>
          <w:rFonts w:ascii="Palatino Linotype" w:hAnsi="Palatino Linotype"/>
          <w:i/>
          <w:sz w:val="22"/>
        </w:rPr>
        <w:t>…</w:t>
      </w:r>
    </w:p>
    <w:p w14:paraId="266AB640" w14:textId="03A4E16B" w:rsidR="00DE462C" w:rsidRPr="006E21B6" w:rsidRDefault="00DE462C" w:rsidP="009F6AFF">
      <w:pPr>
        <w:spacing w:line="360" w:lineRule="auto"/>
        <w:ind w:left="567" w:right="616"/>
        <w:jc w:val="both"/>
        <w:rPr>
          <w:rFonts w:ascii="Palatino Linotype" w:eastAsia="Arial Unicode MS" w:hAnsi="Palatino Linotype" w:cs="Arial"/>
          <w:i/>
          <w:sz w:val="22"/>
          <w:lang w:eastAsia="en-US"/>
        </w:rPr>
      </w:pPr>
      <w:r w:rsidRPr="006E21B6">
        <w:rPr>
          <w:rFonts w:ascii="Palatino Linotype" w:hAnsi="Palatino Linotype"/>
          <w:i/>
          <w:sz w:val="22"/>
        </w:rPr>
        <w:t>XI. Evaluar las propuestas de nuevas regulaciones o de reforma, a</w:t>
      </w:r>
      <w:r w:rsidRPr="006E21B6">
        <w:rPr>
          <w:rFonts w:ascii="Palatino Linotype" w:hAnsi="Palatino Linotype"/>
          <w:b/>
          <w:i/>
          <w:sz w:val="22"/>
        </w:rPr>
        <w:t xml:space="preserve">sí corno de los Análisis de Impacto Regulatorio que le presenten las dependencias de la administración pública estatal </w:t>
      </w:r>
      <w:r w:rsidRPr="006E21B6">
        <w:rPr>
          <w:rFonts w:ascii="Palatino Linotype" w:hAnsi="Palatino Linotype"/>
          <w:i/>
          <w:sz w:val="22"/>
        </w:rPr>
        <w:t>y los ayuntamientos;</w:t>
      </w:r>
    </w:p>
    <w:p w14:paraId="663D9437" w14:textId="77777777" w:rsidR="00A02A43" w:rsidRPr="006E21B6" w:rsidRDefault="00A02A43" w:rsidP="00A02A43">
      <w:pPr>
        <w:spacing w:line="360" w:lineRule="auto"/>
        <w:jc w:val="both"/>
        <w:rPr>
          <w:rFonts w:ascii="Palatino Linotype" w:eastAsia="Arial Unicode MS" w:hAnsi="Palatino Linotype" w:cs="Arial"/>
          <w:lang w:eastAsia="en-US"/>
        </w:rPr>
      </w:pPr>
    </w:p>
    <w:p w14:paraId="36B2AFC1" w14:textId="186884D1" w:rsidR="00DE462C" w:rsidRPr="006E21B6" w:rsidRDefault="00DE462C" w:rsidP="009F6AFF">
      <w:pPr>
        <w:spacing w:line="360" w:lineRule="auto"/>
        <w:ind w:left="567" w:right="616"/>
        <w:jc w:val="center"/>
        <w:rPr>
          <w:rFonts w:ascii="Palatino Linotype" w:hAnsi="Palatino Linotype"/>
          <w:b/>
          <w:i/>
          <w:sz w:val="22"/>
        </w:rPr>
      </w:pPr>
      <w:r w:rsidRPr="006E21B6">
        <w:rPr>
          <w:rFonts w:ascii="Palatino Linotype" w:hAnsi="Palatino Linotype"/>
          <w:b/>
          <w:i/>
          <w:sz w:val="22"/>
        </w:rPr>
        <w:t>CAPÍTULO QUINTO</w:t>
      </w:r>
    </w:p>
    <w:p w14:paraId="416674DF" w14:textId="000D46FA" w:rsidR="00DE462C" w:rsidRPr="006E21B6" w:rsidRDefault="00DE462C" w:rsidP="009F6AFF">
      <w:pPr>
        <w:spacing w:line="360" w:lineRule="auto"/>
        <w:ind w:left="567" w:right="616"/>
        <w:jc w:val="center"/>
        <w:rPr>
          <w:rFonts w:ascii="Palatino Linotype" w:hAnsi="Palatino Linotype"/>
          <w:b/>
          <w:i/>
          <w:sz w:val="22"/>
        </w:rPr>
      </w:pPr>
      <w:r w:rsidRPr="006E21B6">
        <w:rPr>
          <w:rFonts w:ascii="Palatino Linotype" w:hAnsi="Palatino Linotype"/>
          <w:b/>
          <w:i/>
          <w:sz w:val="22"/>
        </w:rPr>
        <w:t>Del Análisis de Impacto Regulatorio</w:t>
      </w:r>
    </w:p>
    <w:p w14:paraId="7FB5DCD7" w14:textId="77777777" w:rsidR="009F6AFF" w:rsidRPr="006E21B6" w:rsidRDefault="00DE462C"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Artículo 40.- El Análisis de Impacto Regulatorio es una herramienta que tiene por objeto garantizar que los beneficios de las regulaciones sean superiores a sus costos y que éstas representen la mejor alternativa para atender una problemática específica, evitar la duplicidad y la discrecionalidad en el establecimiento de trámites y requisitos, disminuir plazos y costos, así como reducir y evitar deficiencias en la práctica regulatoria. </w:t>
      </w:r>
    </w:p>
    <w:p w14:paraId="5DB58053" w14:textId="77777777" w:rsidR="009F6AFF" w:rsidRPr="006E21B6" w:rsidRDefault="009F6AFF" w:rsidP="009F6AFF">
      <w:pPr>
        <w:spacing w:line="360" w:lineRule="auto"/>
        <w:ind w:left="567" w:right="616"/>
        <w:jc w:val="both"/>
        <w:rPr>
          <w:rFonts w:ascii="Palatino Linotype" w:hAnsi="Palatino Linotype"/>
          <w:i/>
          <w:sz w:val="22"/>
        </w:rPr>
      </w:pPr>
    </w:p>
    <w:p w14:paraId="5594BEA1" w14:textId="7EE6220E" w:rsidR="00DE462C" w:rsidRPr="006E21B6" w:rsidRDefault="00DE462C" w:rsidP="009F6AFF">
      <w:pPr>
        <w:spacing w:line="360" w:lineRule="auto"/>
        <w:ind w:left="567" w:right="616"/>
        <w:jc w:val="both"/>
        <w:rPr>
          <w:rFonts w:ascii="Palatino Linotype" w:hAnsi="Palatino Linotype"/>
          <w:b/>
          <w:i/>
          <w:sz w:val="22"/>
        </w:rPr>
      </w:pPr>
      <w:r w:rsidRPr="006E21B6">
        <w:rPr>
          <w:rFonts w:ascii="Palatino Linotype" w:hAnsi="Palatino Linotype"/>
          <w:i/>
          <w:sz w:val="22"/>
        </w:rPr>
        <w:t>La finalidad del Análisis de Impacto Regulatorio es garantizar que las regulaciones salvaguarden el interés general, considerando los impactos o riesgos de la actividad a regular, así como las condiciones institucionales de los Sujetos Obligados.</w:t>
      </w:r>
    </w:p>
    <w:p w14:paraId="466200ED" w14:textId="77777777" w:rsidR="00DE462C" w:rsidRPr="006E21B6" w:rsidRDefault="00DE462C" w:rsidP="009F6AFF">
      <w:pPr>
        <w:spacing w:line="360" w:lineRule="auto"/>
        <w:ind w:left="567" w:right="616"/>
        <w:jc w:val="both"/>
        <w:rPr>
          <w:rFonts w:ascii="Palatino Linotype" w:hAnsi="Palatino Linotype"/>
          <w:b/>
          <w:i/>
          <w:sz w:val="22"/>
        </w:rPr>
      </w:pPr>
    </w:p>
    <w:p w14:paraId="5B5C93B5"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La Comisión y las Comisiones Municipales deberán aprobar su respectivo Manual de Funcionamiento del Análisis de Impacto Regulatorio de conformidad con los lineamientos aprobados por el Consejo Nacional de Mejora Regulatoria. </w:t>
      </w:r>
    </w:p>
    <w:p w14:paraId="2B311DBC" w14:textId="77777777" w:rsidR="009F6AFF" w:rsidRPr="006E21B6" w:rsidRDefault="009F6AFF" w:rsidP="009F6AFF">
      <w:pPr>
        <w:spacing w:line="360" w:lineRule="auto"/>
        <w:ind w:left="567" w:right="616"/>
        <w:jc w:val="both"/>
        <w:rPr>
          <w:rFonts w:ascii="Palatino Linotype" w:hAnsi="Palatino Linotype"/>
          <w:i/>
          <w:sz w:val="22"/>
        </w:rPr>
      </w:pPr>
    </w:p>
    <w:p w14:paraId="38CA6727" w14:textId="099B7055" w:rsidR="00DE462C"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Los Análisis de Impacto Regulatorio deberán contribuir a que las regulaciones cumplan con los objetivos señalados en el artículo 67 de la Ley General.</w:t>
      </w:r>
    </w:p>
    <w:p w14:paraId="0AFBFE49" w14:textId="77777777" w:rsidR="009F6AFF" w:rsidRPr="006E21B6" w:rsidRDefault="009F6AFF" w:rsidP="009F6AFF">
      <w:pPr>
        <w:spacing w:line="360" w:lineRule="auto"/>
        <w:ind w:left="567" w:right="616"/>
        <w:jc w:val="both"/>
        <w:rPr>
          <w:rFonts w:ascii="Palatino Linotype" w:hAnsi="Palatino Linotype"/>
          <w:i/>
          <w:sz w:val="22"/>
        </w:rPr>
      </w:pPr>
    </w:p>
    <w:p w14:paraId="0056E415" w14:textId="58951A1E"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Artículo 41.- Las dependencias estatales y municipales al elaborar las propuestas de nuevas regulaciones o de reforma, deberán elaborar también un Análisis de Impacto Regulatorio, de acuerdo con el Manual de Funcionamiento que para tal fin apruebe el Consejo.</w:t>
      </w:r>
    </w:p>
    <w:p w14:paraId="6B17C3B1" w14:textId="77777777" w:rsidR="009F6AFF" w:rsidRPr="006E21B6" w:rsidRDefault="009F6AFF" w:rsidP="009F6AFF">
      <w:pPr>
        <w:spacing w:line="360" w:lineRule="auto"/>
        <w:ind w:left="567" w:right="616"/>
        <w:jc w:val="both"/>
        <w:rPr>
          <w:rFonts w:ascii="Palatino Linotype" w:hAnsi="Palatino Linotype"/>
          <w:i/>
          <w:sz w:val="22"/>
        </w:rPr>
      </w:pPr>
    </w:p>
    <w:p w14:paraId="6B5DAB16"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Artículo 42.- El Análisis de Impacto Regulatorio deberá incluir los siguientes rubros: </w:t>
      </w:r>
    </w:p>
    <w:p w14:paraId="60D933F3" w14:textId="77777777" w:rsidR="009F6AFF" w:rsidRPr="006E21B6" w:rsidRDefault="009F6AFF" w:rsidP="009F6AFF">
      <w:pPr>
        <w:spacing w:line="360" w:lineRule="auto"/>
        <w:ind w:left="567" w:right="616"/>
        <w:jc w:val="both"/>
        <w:rPr>
          <w:rFonts w:ascii="Palatino Linotype" w:hAnsi="Palatino Linotype"/>
          <w:i/>
          <w:sz w:val="22"/>
        </w:rPr>
      </w:pPr>
    </w:p>
    <w:p w14:paraId="07AAEA84"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I. Exposición sucinta de las razones que generan la necesidad de crear nuevas regulaciones, o bien, reformarlas; </w:t>
      </w:r>
    </w:p>
    <w:p w14:paraId="09BB527E" w14:textId="4D8622A6"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II. Alternativas que se tomaron en cuenta para arribar a la propuesta de crear o reformar las regulaciones de que se trate;</w:t>
      </w:r>
    </w:p>
    <w:p w14:paraId="794984C2"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III. Problemas que la actual regulación genera y cómo el proyecto de nueva regulación o su forma plantea resolverlos; </w:t>
      </w:r>
    </w:p>
    <w:p w14:paraId="3328CB7A"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IV. Posibles riesgos que se correrían de no emitir las regulaciones propuestas; </w:t>
      </w:r>
    </w:p>
    <w:p w14:paraId="5057EA75"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V. Fundamento jurídico que da sustento al proyecto y la congruencia de la regulación propuesta con el ordenamiento jurídico vigente; </w:t>
      </w:r>
    </w:p>
    <w:p w14:paraId="0A7B3584"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VI. Beneficios que generaría la regulación propuesta; </w:t>
      </w:r>
    </w:p>
    <w:p w14:paraId="035A4187"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VII. Identificación y descripción de los trámites eliminados, reformados y/o generados con la regulación propuesta; </w:t>
      </w:r>
    </w:p>
    <w:p w14:paraId="19A1BD62"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VIII. Recursos para asegurar el cumplimiento de la regulación; </w:t>
      </w:r>
    </w:p>
    <w:p w14:paraId="11913D8D" w14:textId="77777777"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 xml:space="preserve">IX. La descripción de los esfuerzos de consulta pública previa, llevados a cabo para generar la regulación o propuesta regulatoria, así como las opiniones de los particulares que hayan sido recabadas en el ejercicio de la Agenda Regulatoria; y </w:t>
      </w:r>
    </w:p>
    <w:p w14:paraId="2DEC09E1" w14:textId="0BF305A5"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lastRenderedPageBreak/>
        <w:t>X. Los demás que apruebe el Consejo.</w:t>
      </w:r>
    </w:p>
    <w:p w14:paraId="7258628B" w14:textId="77777777" w:rsidR="009F6AFF" w:rsidRPr="006E21B6" w:rsidRDefault="009F6AFF" w:rsidP="009F6AFF">
      <w:pPr>
        <w:spacing w:line="360" w:lineRule="auto"/>
        <w:ind w:left="567" w:right="616"/>
        <w:jc w:val="both"/>
        <w:rPr>
          <w:rFonts w:ascii="Palatino Linotype" w:hAnsi="Palatino Linotype"/>
          <w:b/>
          <w:i/>
          <w:sz w:val="22"/>
        </w:rPr>
      </w:pPr>
    </w:p>
    <w:p w14:paraId="052C3FFF" w14:textId="6E9D8091" w:rsidR="009F6AFF" w:rsidRPr="006E21B6" w:rsidRDefault="009F6AFF" w:rsidP="009F6AFF">
      <w:pPr>
        <w:spacing w:line="360" w:lineRule="auto"/>
        <w:ind w:left="567" w:right="616"/>
        <w:jc w:val="both"/>
        <w:rPr>
          <w:rFonts w:ascii="Palatino Linotype" w:hAnsi="Palatino Linotype"/>
          <w:b/>
          <w:i/>
          <w:sz w:val="22"/>
        </w:rPr>
      </w:pPr>
      <w:r w:rsidRPr="006E21B6">
        <w:rPr>
          <w:rFonts w:ascii="Palatino Linotype" w:hAnsi="Palatino Linotype"/>
          <w:i/>
          <w:sz w:val="22"/>
        </w:rPr>
        <w:t>Artículo 43.- Cuando los Sujetos Obligados elaboren Propuestas Regulatorias, las presentarán a la Autoridad de Mejora Regulatoria correspondiente, junto con un Análisis de Impacto Regulatorio que contenga los elementos que ésta determine, atendiendo a lo dispuesto en el artículo anterior de esta Ley, cuando menos treinta días antes de la fecha en que pretendan publicarse en el medio de difusión o someterse a la consideración del Titular del Ejecutivo Estatal o municipal, según corresponda.</w:t>
      </w:r>
    </w:p>
    <w:p w14:paraId="3EC6C2DA" w14:textId="77777777" w:rsidR="009F6AFF" w:rsidRPr="006E21B6" w:rsidRDefault="009F6AFF" w:rsidP="009F6AFF">
      <w:pPr>
        <w:spacing w:line="360" w:lineRule="auto"/>
        <w:ind w:left="567" w:right="616"/>
        <w:jc w:val="both"/>
        <w:rPr>
          <w:rFonts w:ascii="Palatino Linotype" w:eastAsia="Arial Unicode MS" w:hAnsi="Palatino Linotype" w:cs="Arial"/>
          <w:b/>
          <w:i/>
          <w:sz w:val="22"/>
          <w:lang w:eastAsia="en-US"/>
        </w:rPr>
      </w:pPr>
    </w:p>
    <w:p w14:paraId="6A2E057A" w14:textId="7417459F" w:rsidR="009F6AFF" w:rsidRPr="006E21B6" w:rsidRDefault="009F6AFF" w:rsidP="009F6AFF">
      <w:pPr>
        <w:spacing w:line="360" w:lineRule="auto"/>
        <w:ind w:left="567" w:right="616"/>
        <w:jc w:val="both"/>
        <w:rPr>
          <w:rFonts w:ascii="Palatino Linotype" w:eastAsia="Arial Unicode MS" w:hAnsi="Palatino Linotype" w:cs="Arial"/>
          <w:b/>
          <w:i/>
          <w:sz w:val="22"/>
          <w:lang w:eastAsia="en-US"/>
        </w:rPr>
      </w:pPr>
      <w:r w:rsidRPr="006E21B6">
        <w:rPr>
          <w:rFonts w:ascii="Palatino Linotype" w:eastAsia="Arial Unicode MS" w:hAnsi="Palatino Linotype" w:cs="Arial"/>
          <w:b/>
          <w:i/>
          <w:sz w:val="22"/>
          <w:lang w:eastAsia="en-US"/>
        </w:rPr>
        <w:t>…</w:t>
      </w:r>
    </w:p>
    <w:p w14:paraId="10B28A71" w14:textId="77777777" w:rsidR="009F6AFF" w:rsidRPr="006E21B6" w:rsidRDefault="009F6AFF" w:rsidP="009F6AFF">
      <w:pPr>
        <w:spacing w:line="360" w:lineRule="auto"/>
        <w:ind w:left="567" w:right="616"/>
        <w:jc w:val="both"/>
        <w:rPr>
          <w:rFonts w:ascii="Palatino Linotype" w:hAnsi="Palatino Linotype"/>
          <w:b/>
          <w:i/>
          <w:sz w:val="22"/>
        </w:rPr>
      </w:pPr>
      <w:r w:rsidRPr="006E21B6">
        <w:rPr>
          <w:rFonts w:ascii="Palatino Linotype" w:hAnsi="Palatino Linotype"/>
          <w:i/>
          <w:sz w:val="22"/>
        </w:rPr>
        <w:t xml:space="preserve">Cuando un Sujeto Obligado estime que la Propuesta Regulatoria no implica costos de cumplimiento para particulares lo consultará con la Autoridad de Mejora Regulatoria que corresponda, la cual resolverá en un plazo que no podrá exceder de cinco días, de conformidad con los criterios para la determinación de dichos costos que al efecto se establezcan en el Manual de Funcionamiento Análisis de Impacto Regulatorio que expida la Comisión y las Comisiones Municipales, en su respectivo ámbito de competencia. </w:t>
      </w:r>
      <w:r w:rsidRPr="006E21B6">
        <w:rPr>
          <w:rFonts w:ascii="Palatino Linotype" w:hAnsi="Palatino Linotype"/>
          <w:b/>
          <w:i/>
          <w:sz w:val="22"/>
        </w:rPr>
        <w:t xml:space="preserve">En este supuesto se eximirá de la obligación de elaborar el Análisis de Impacto Regulatorio. </w:t>
      </w:r>
    </w:p>
    <w:p w14:paraId="3DEFD5FB" w14:textId="77777777" w:rsidR="009F6AFF" w:rsidRPr="006E21B6" w:rsidRDefault="009F6AFF" w:rsidP="009F6AFF">
      <w:pPr>
        <w:spacing w:line="360" w:lineRule="auto"/>
        <w:ind w:left="567" w:right="616"/>
        <w:jc w:val="both"/>
        <w:rPr>
          <w:rFonts w:ascii="Palatino Linotype" w:hAnsi="Palatino Linotype"/>
          <w:i/>
          <w:sz w:val="22"/>
        </w:rPr>
      </w:pPr>
    </w:p>
    <w:p w14:paraId="569FBB38" w14:textId="77777777" w:rsidR="009F6AFF" w:rsidRPr="006E21B6" w:rsidRDefault="009F6AFF" w:rsidP="009F6AFF">
      <w:pPr>
        <w:spacing w:line="360" w:lineRule="auto"/>
        <w:ind w:left="567" w:right="616"/>
        <w:jc w:val="both"/>
        <w:rPr>
          <w:rFonts w:ascii="Palatino Linotype" w:hAnsi="Palatino Linotype"/>
          <w:b/>
          <w:i/>
          <w:sz w:val="22"/>
        </w:rPr>
      </w:pPr>
      <w:r w:rsidRPr="006E21B6">
        <w:rPr>
          <w:rFonts w:ascii="Palatino Linotype" w:hAnsi="Palatino Linotype"/>
          <w:b/>
          <w:i/>
          <w:sz w:val="22"/>
        </w:rPr>
        <w:t xml:space="preserve">Cuando de conformidad con el párrafo anterior, la Autoridad de Mejora Regulatoria resuelva que la Propuesta Regulatoria no implica costos de cumplimiento para los particulares y se trate de una regulación que requiera actualización periódica, esa propuesta y sus actualizaciones quedarán exentas de la elaboración del Análisis de Impacto Regulatorio y el Sujeto Obligado tramitará la publicación correspondiente en el Periódico Oficial "Gaceta del Gobierno" del Estado de México o Gaceta Municipal. </w:t>
      </w:r>
    </w:p>
    <w:p w14:paraId="0FD6E5F9" w14:textId="77777777" w:rsidR="009F6AFF" w:rsidRPr="006E21B6" w:rsidRDefault="009F6AFF" w:rsidP="009F6AFF">
      <w:pPr>
        <w:spacing w:line="360" w:lineRule="auto"/>
        <w:ind w:left="567" w:right="616"/>
        <w:jc w:val="both"/>
        <w:rPr>
          <w:rFonts w:ascii="Palatino Linotype" w:hAnsi="Palatino Linotype"/>
          <w:i/>
          <w:sz w:val="22"/>
        </w:rPr>
      </w:pPr>
    </w:p>
    <w:p w14:paraId="34F0DACC" w14:textId="48DE3653"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b/>
          <w:i/>
          <w:sz w:val="22"/>
        </w:rPr>
        <w:lastRenderedPageBreak/>
        <w:t>Para efectos de la exención del Análisis de Impacto Regulatorio a que hace referencia el párrafo anterior, la Comisión y las Comisiones Municipales, respectivamente determinarán los elementos esenciales que no podrán ser objeto de modificación en la regulación o regulaciones que se pretendan expedir.</w:t>
      </w:r>
      <w:r w:rsidRPr="006E21B6">
        <w:rPr>
          <w:rFonts w:ascii="Palatino Linotype" w:hAnsi="Palatino Linotype"/>
          <w:i/>
          <w:sz w:val="22"/>
        </w:rPr>
        <w:t xml:space="preserve"> En caso de que la regulación o regulaciones impliquen un cambio a dichos elementos esenciales, se sujetará al procedimiento de Análisis de Impacto Regulatorio previsto en esta Ley. </w:t>
      </w:r>
    </w:p>
    <w:p w14:paraId="7111E589" w14:textId="77777777" w:rsidR="009F6AFF" w:rsidRPr="006E21B6" w:rsidRDefault="009F6AFF" w:rsidP="009F6AFF">
      <w:pPr>
        <w:spacing w:line="360" w:lineRule="auto"/>
        <w:ind w:left="567" w:right="616"/>
        <w:jc w:val="both"/>
        <w:rPr>
          <w:rFonts w:ascii="Palatino Linotype" w:hAnsi="Palatino Linotype"/>
          <w:i/>
          <w:sz w:val="22"/>
        </w:rPr>
      </w:pPr>
    </w:p>
    <w:p w14:paraId="029502D3" w14:textId="17068B12" w:rsidR="009F6AFF" w:rsidRPr="006E21B6" w:rsidRDefault="009F6AFF" w:rsidP="009F6AFF">
      <w:pPr>
        <w:spacing w:line="360" w:lineRule="auto"/>
        <w:ind w:left="567" w:right="616"/>
        <w:jc w:val="both"/>
        <w:rPr>
          <w:rFonts w:ascii="Palatino Linotype" w:hAnsi="Palatino Linotype"/>
          <w:i/>
          <w:sz w:val="22"/>
        </w:rPr>
      </w:pPr>
      <w:r w:rsidRPr="006E21B6">
        <w:rPr>
          <w:rFonts w:ascii="Palatino Linotype" w:hAnsi="Palatino Linotype"/>
          <w:i/>
          <w:sz w:val="22"/>
        </w:rPr>
        <w:t>Los Sujetos Obligados darán aviso a la Autoridad de Mejora Regulatoria correspondiente de la publicación de las regulaciones exentas de la elaboración del Análisis de Impacto Regulatorio, previo a su publicación en el Periódico Oficial "Gaceta del Gobierno" del Estado de México o Gaceta Municipal.</w:t>
      </w:r>
    </w:p>
    <w:p w14:paraId="2FE95332" w14:textId="4C75215D" w:rsidR="009F6AFF" w:rsidRPr="006E21B6" w:rsidRDefault="009F6AFF" w:rsidP="009F6AFF">
      <w:pPr>
        <w:spacing w:line="360" w:lineRule="auto"/>
        <w:ind w:left="567" w:right="616"/>
        <w:jc w:val="both"/>
        <w:rPr>
          <w:rFonts w:ascii="Palatino Linotype" w:hAnsi="Palatino Linotype"/>
          <w:b/>
          <w:i/>
          <w:sz w:val="22"/>
        </w:rPr>
      </w:pPr>
      <w:r w:rsidRPr="006E21B6">
        <w:rPr>
          <w:rFonts w:ascii="Palatino Linotype" w:hAnsi="Palatino Linotype"/>
          <w:b/>
          <w:i/>
          <w:sz w:val="22"/>
        </w:rPr>
        <w:t>(Énfasis añadido)</w:t>
      </w:r>
    </w:p>
    <w:p w14:paraId="299A028A" w14:textId="77777777" w:rsidR="009F6AFF" w:rsidRPr="006E21B6" w:rsidRDefault="009F6AFF" w:rsidP="009F6AFF">
      <w:pPr>
        <w:spacing w:line="360" w:lineRule="auto"/>
        <w:rPr>
          <w:rFonts w:ascii="Palatino Linotype" w:eastAsia="Arial Unicode MS" w:hAnsi="Palatino Linotype" w:cs="Arial"/>
          <w:b/>
          <w:lang w:eastAsia="en-US"/>
        </w:rPr>
      </w:pPr>
    </w:p>
    <w:p w14:paraId="1E9BA624" w14:textId="01232509" w:rsidR="00EA29C5" w:rsidRPr="006E21B6" w:rsidRDefault="00EA29C5" w:rsidP="00A92BE3">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 xml:space="preserve">Así puede entenderse que el Análisis de Impacto Regulatorio es el documento mediante el cual las dependencias justifican la creación de nuevas disposiciones, en este caso se trata de la Norma Técnica Estatal Ambiental NTEA-011-SeMAGEM-RS-2022 relativa a los requisitos para el Manejo de los Residuos de la Construcción y Demolición y su Trazabilidad para el Estado de México. </w:t>
      </w:r>
    </w:p>
    <w:p w14:paraId="54763156" w14:textId="77777777" w:rsidR="00EA29C5" w:rsidRPr="006E21B6" w:rsidRDefault="00EA29C5" w:rsidP="00EA29C5">
      <w:pPr>
        <w:pStyle w:val="Prrafodelista"/>
        <w:spacing w:line="360" w:lineRule="auto"/>
        <w:ind w:left="0"/>
        <w:jc w:val="both"/>
        <w:rPr>
          <w:rFonts w:ascii="Palatino Linotype" w:eastAsia="Arial Unicode MS" w:hAnsi="Palatino Linotype" w:cs="Arial"/>
          <w:lang w:eastAsia="en-US"/>
        </w:rPr>
      </w:pPr>
    </w:p>
    <w:p w14:paraId="0C04388D" w14:textId="77777777" w:rsidR="009E3732" w:rsidRPr="006E21B6" w:rsidRDefault="00EA29C5" w:rsidP="009E3732">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 xml:space="preserve">Además, dicho Análisis de Impacto Regulatorio funge como herramienta que tiene por objeto garantizar que los beneficios de las regulaciones sean superiores a los costos y que representan la mejor alternativa para atender una problemática específica. Por lo que, primeramente, es necesario remitir una propuesta de Análisis de Regulatorio a la Comisión Estatal de Mejora Regulatoria que es el documento que contiene la primera dirección electrónica remitida por el Sujeto Obligado, </w:t>
      </w:r>
      <w:r w:rsidRPr="006E21B6">
        <w:rPr>
          <w:rFonts w:ascii="Palatino Linotype" w:eastAsia="Arial Unicode MS" w:hAnsi="Palatino Linotype" w:cs="Arial"/>
          <w:lang w:eastAsia="en-US"/>
        </w:rPr>
        <w:lastRenderedPageBreak/>
        <w:t>posteriormente, los Sujetos Obligados si consideran que la propuesta regulatoria no implica costos de cumplimiento pueden solicitar se les exima de la obligación de elaborar el Análisis de Impacto R</w:t>
      </w:r>
      <w:r w:rsidR="009E3732" w:rsidRPr="006E21B6">
        <w:rPr>
          <w:rFonts w:ascii="Palatino Linotype" w:eastAsia="Arial Unicode MS" w:hAnsi="Palatino Linotype" w:cs="Arial"/>
          <w:lang w:eastAsia="en-US"/>
        </w:rPr>
        <w:t>egulatorio, dicha exención debe ser resuelta por la Autoridad de Mejora Regulatoria, en este caso es la Comisión.</w:t>
      </w:r>
    </w:p>
    <w:p w14:paraId="539F7D86" w14:textId="77777777" w:rsidR="009E3732" w:rsidRPr="006E21B6" w:rsidRDefault="009E3732" w:rsidP="009E3732">
      <w:pPr>
        <w:pStyle w:val="Prrafodelista"/>
        <w:rPr>
          <w:rFonts w:ascii="Palatino Linotype" w:eastAsia="Arial Unicode MS" w:hAnsi="Palatino Linotype" w:cs="Arial"/>
          <w:lang w:eastAsia="en-US"/>
        </w:rPr>
      </w:pPr>
    </w:p>
    <w:p w14:paraId="7B4FF8C3" w14:textId="77777777" w:rsidR="009E3732" w:rsidRPr="006E21B6" w:rsidRDefault="009E3732" w:rsidP="009E3732">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En el presente asunto en particular, la última dirección electrónica contiene el documento en el cual se resuelve de la siguiente manera:</w:t>
      </w:r>
    </w:p>
    <w:p w14:paraId="21892713" w14:textId="77777777" w:rsidR="009E3732" w:rsidRPr="006E21B6" w:rsidRDefault="009E3732" w:rsidP="009E3732">
      <w:pPr>
        <w:pStyle w:val="Prrafodelista"/>
        <w:rPr>
          <w:rFonts w:ascii="Palatino Linotype" w:eastAsia="Arial Unicode MS" w:hAnsi="Palatino Linotype" w:cs="Arial"/>
          <w:lang w:eastAsia="en-US"/>
        </w:rPr>
      </w:pPr>
    </w:p>
    <w:p w14:paraId="11846FD4" w14:textId="7180CBF8" w:rsidR="00EA29C5" w:rsidRPr="006E21B6" w:rsidRDefault="009E3732" w:rsidP="009E3732">
      <w:pPr>
        <w:pStyle w:val="Prrafodelista"/>
        <w:numPr>
          <w:ilvl w:val="3"/>
          <w:numId w:val="1"/>
        </w:numPr>
        <w:spacing w:line="360" w:lineRule="auto"/>
        <w:ind w:left="567"/>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El proyecto de regulación presentado es congruente con las disposiciones de carácter</w:t>
      </w:r>
      <w:r w:rsidR="00EA29C5" w:rsidRPr="006E21B6">
        <w:rPr>
          <w:rFonts w:ascii="Palatino Linotype" w:eastAsia="Arial Unicode MS" w:hAnsi="Palatino Linotype" w:cs="Arial"/>
          <w:lang w:eastAsia="en-US"/>
        </w:rPr>
        <w:t xml:space="preserve"> </w:t>
      </w:r>
      <w:r w:rsidRPr="006E21B6">
        <w:rPr>
          <w:rFonts w:ascii="Palatino Linotype" w:eastAsia="Arial Unicode MS" w:hAnsi="Palatino Linotype" w:cs="Arial"/>
          <w:lang w:eastAsia="en-US"/>
        </w:rPr>
        <w:t>general propuestas por los ordenamientos jurídicos vigentes…</w:t>
      </w:r>
    </w:p>
    <w:p w14:paraId="751DDE0E" w14:textId="4571E27D" w:rsidR="009E3732" w:rsidRPr="006E21B6" w:rsidRDefault="009E3732" w:rsidP="009E3732">
      <w:pPr>
        <w:pStyle w:val="Prrafodelista"/>
        <w:numPr>
          <w:ilvl w:val="3"/>
          <w:numId w:val="1"/>
        </w:numPr>
        <w:spacing w:line="360" w:lineRule="auto"/>
        <w:ind w:left="567"/>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El proyecto regulatorio representa la única normativa que lo sustenta;</w:t>
      </w:r>
    </w:p>
    <w:p w14:paraId="3D0AB3F8" w14:textId="1B2CA847" w:rsidR="009E3732" w:rsidRPr="006E21B6" w:rsidRDefault="009E3732" w:rsidP="009E3732">
      <w:pPr>
        <w:pStyle w:val="Prrafodelista"/>
        <w:numPr>
          <w:ilvl w:val="3"/>
          <w:numId w:val="1"/>
        </w:numPr>
        <w:spacing w:line="360" w:lineRule="auto"/>
        <w:ind w:left="567"/>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 xml:space="preserve">EL documento fue revisado y aprobado por la Coordinación Jurídica y de Igualdad de Género de la Secretaría del Medio Ambiente por lo que guarda la calidad jurídica para su publicación y, </w:t>
      </w:r>
    </w:p>
    <w:p w14:paraId="71A67D95" w14:textId="45CA664E" w:rsidR="009E3732" w:rsidRPr="006E21B6" w:rsidRDefault="009E3732" w:rsidP="009E3732">
      <w:pPr>
        <w:pStyle w:val="Prrafodelista"/>
        <w:numPr>
          <w:ilvl w:val="3"/>
          <w:numId w:val="1"/>
        </w:numPr>
        <w:spacing w:line="360" w:lineRule="auto"/>
        <w:ind w:left="567"/>
        <w:jc w:val="both"/>
        <w:rPr>
          <w:rFonts w:ascii="Palatino Linotype" w:eastAsia="Arial Unicode MS" w:hAnsi="Palatino Linotype" w:cs="Arial"/>
          <w:b/>
          <w:lang w:eastAsia="en-US"/>
        </w:rPr>
      </w:pPr>
      <w:r w:rsidRPr="006E21B6">
        <w:rPr>
          <w:rFonts w:ascii="Palatino Linotype" w:eastAsia="Arial Unicode MS" w:hAnsi="Palatino Linotype" w:cs="Arial"/>
          <w:b/>
          <w:lang w:eastAsia="en-US"/>
        </w:rPr>
        <w:t xml:space="preserve">Esta Comisión Estatal Considera viable la exención para presentar el Análisis de Impacto Regulatorio, respecto del proyecto de regulación presentado </w:t>
      </w:r>
    </w:p>
    <w:p w14:paraId="47454590" w14:textId="77777777" w:rsidR="00EA29C5" w:rsidRPr="006E21B6" w:rsidRDefault="00EA29C5" w:rsidP="00EA29C5">
      <w:pPr>
        <w:pStyle w:val="Prrafodelista"/>
        <w:spacing w:line="360" w:lineRule="auto"/>
        <w:ind w:left="0"/>
        <w:jc w:val="both"/>
        <w:rPr>
          <w:rFonts w:ascii="Palatino Linotype" w:eastAsia="Arial Unicode MS" w:hAnsi="Palatino Linotype" w:cs="Arial"/>
          <w:lang w:eastAsia="en-US"/>
        </w:rPr>
      </w:pPr>
    </w:p>
    <w:p w14:paraId="05D90F76" w14:textId="6A4D03FD" w:rsidR="00A92BE3" w:rsidRPr="006E21B6" w:rsidRDefault="009E3732" w:rsidP="00A92BE3">
      <w:pPr>
        <w:pStyle w:val="Prrafodelista"/>
        <w:numPr>
          <w:ilvl w:val="0"/>
          <w:numId w:val="1"/>
        </w:numPr>
        <w:spacing w:line="360" w:lineRule="auto"/>
        <w:jc w:val="both"/>
        <w:rPr>
          <w:rFonts w:ascii="Palatino Linotype" w:eastAsia="Arial Unicode MS" w:hAnsi="Palatino Linotype" w:cs="Arial"/>
          <w:lang w:eastAsia="en-US"/>
        </w:rPr>
      </w:pPr>
      <w:r w:rsidRPr="006E21B6">
        <w:rPr>
          <w:rFonts w:ascii="Palatino Linotype" w:eastAsia="Arial Unicode MS" w:hAnsi="Palatino Linotype" w:cs="Arial"/>
          <w:lang w:eastAsia="en-US"/>
        </w:rPr>
        <w:t xml:space="preserve">De la dirección electrónica remitida por el Sujeto Obligado, se aprecia que la Comisión consideró viable la exención para presentar el Análisis de Impacto Regulatorio </w:t>
      </w:r>
      <w:r w:rsidR="00A92BE3" w:rsidRPr="006E21B6">
        <w:rPr>
          <w:rFonts w:ascii="Palatino Linotype" w:eastAsia="Arial Unicode MS" w:hAnsi="Palatino Linotype" w:cs="Arial"/>
          <w:lang w:eastAsia="en-US"/>
        </w:rPr>
        <w:t>correspondiente a la “NORMA TÉCNICA ESTATAL AMBIENTAL NTEA-011-SeMAGEM-RS-2022</w:t>
      </w:r>
      <w:r w:rsidRPr="006E21B6">
        <w:rPr>
          <w:rFonts w:ascii="Palatino Linotype" w:eastAsia="Arial Unicode MS" w:hAnsi="Palatino Linotype" w:cs="Arial"/>
          <w:lang w:eastAsia="en-US"/>
        </w:rPr>
        <w:t>” por las consideraciones antes señaladas.</w:t>
      </w:r>
    </w:p>
    <w:p w14:paraId="495F5BAE" w14:textId="77777777" w:rsidR="009E3732" w:rsidRPr="006E21B6" w:rsidRDefault="009E3732" w:rsidP="009E3732">
      <w:pPr>
        <w:pStyle w:val="Prrafodelista"/>
        <w:spacing w:line="360" w:lineRule="auto"/>
        <w:ind w:left="0"/>
        <w:jc w:val="both"/>
        <w:rPr>
          <w:rFonts w:ascii="Palatino Linotype" w:eastAsia="Arial Unicode MS" w:hAnsi="Palatino Linotype" w:cs="Arial"/>
          <w:lang w:eastAsia="en-US"/>
        </w:rPr>
      </w:pPr>
    </w:p>
    <w:p w14:paraId="279F02B0" w14:textId="77777777" w:rsidR="009E3732" w:rsidRPr="006E21B6" w:rsidRDefault="009E3732" w:rsidP="009E3732">
      <w:pPr>
        <w:pStyle w:val="Prrafodelista"/>
        <w:spacing w:line="360" w:lineRule="auto"/>
        <w:ind w:left="0"/>
        <w:jc w:val="both"/>
        <w:rPr>
          <w:rFonts w:ascii="Palatino Linotype" w:eastAsia="Arial Unicode MS" w:hAnsi="Palatino Linotype" w:cs="Arial"/>
          <w:lang w:eastAsia="en-US"/>
        </w:rPr>
      </w:pPr>
    </w:p>
    <w:p w14:paraId="6F70AE1B" w14:textId="77777777" w:rsidR="00A92BE3" w:rsidRPr="006E21B6" w:rsidRDefault="00A92BE3" w:rsidP="00A92BE3">
      <w:pPr>
        <w:pStyle w:val="Prrafodelista"/>
        <w:rPr>
          <w:rFonts w:ascii="Palatino Linotype" w:eastAsia="Arial Unicode MS" w:hAnsi="Palatino Linotype" w:cs="Arial"/>
          <w:lang w:eastAsia="en-US"/>
        </w:rPr>
      </w:pPr>
    </w:p>
    <w:p w14:paraId="1AF85456" w14:textId="77777777" w:rsidR="00A92BE3" w:rsidRPr="006E21B6" w:rsidRDefault="00A92BE3" w:rsidP="00A92BE3">
      <w:pPr>
        <w:pStyle w:val="Prrafodelista"/>
        <w:spacing w:line="360" w:lineRule="auto"/>
        <w:ind w:left="0"/>
        <w:jc w:val="both"/>
        <w:rPr>
          <w:rFonts w:ascii="Palatino Linotype" w:eastAsia="Arial Unicode MS" w:hAnsi="Palatino Linotype" w:cs="Arial"/>
          <w:lang w:eastAsia="en-US"/>
        </w:rPr>
      </w:pPr>
    </w:p>
    <w:p w14:paraId="1CE7233C" w14:textId="3B943650" w:rsidR="00A02A43" w:rsidRPr="006E21B6" w:rsidRDefault="00A02A43" w:rsidP="007E5B8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6E21B6">
        <w:rPr>
          <w:rFonts w:ascii="Palatino Linotype" w:hAnsi="Palatino Linotype"/>
          <w:iCs/>
        </w:rPr>
        <w:lastRenderedPageBreak/>
        <w:t xml:space="preserve">En este caso en particular, al haber manifestado que </w:t>
      </w:r>
      <w:r w:rsidR="007E5B84" w:rsidRPr="006E21B6">
        <w:rPr>
          <w:rFonts w:ascii="Palatino Linotype" w:hAnsi="Palatino Linotype"/>
          <w:iCs/>
        </w:rPr>
        <w:t xml:space="preserve">se eximió a la Secretaría del Medio Ambiente a realizar el análisis de impacto regulatorio relativo a la Norma Técnica Estatal Ambiental NTEA-011-SEMAGEM-RS-2022, </w:t>
      </w:r>
      <w:r w:rsidRPr="006E21B6">
        <w:rPr>
          <w:rFonts w:ascii="Palatino Linotype" w:hAnsi="Palatino Linotype"/>
          <w:iCs/>
        </w:rPr>
        <w:t>se aprecia que estamos en presencia de lo que se conoce como hechos negativos.</w:t>
      </w:r>
    </w:p>
    <w:p w14:paraId="6A3F84BE" w14:textId="77777777" w:rsidR="00A02A43" w:rsidRPr="006E21B6" w:rsidRDefault="00A02A43" w:rsidP="00A02A43">
      <w:pPr>
        <w:pStyle w:val="Prrafodelista"/>
        <w:rPr>
          <w:rFonts w:ascii="Palatino Linotype" w:hAnsi="Palatino Linotype" w:cs="Arial"/>
          <w:color w:val="000000" w:themeColor="text1"/>
        </w:rPr>
      </w:pPr>
    </w:p>
    <w:p w14:paraId="21D465F6" w14:textId="77777777" w:rsidR="00A02A43" w:rsidRPr="006E21B6" w:rsidRDefault="00A02A43" w:rsidP="00A02A43">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6E21B6">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6C584849" w14:textId="77777777" w:rsidR="00A02A43" w:rsidRPr="006E21B6" w:rsidRDefault="00A02A43" w:rsidP="00A02A43">
      <w:pPr>
        <w:pStyle w:val="Prrafodelista"/>
        <w:tabs>
          <w:tab w:val="left" w:pos="426"/>
        </w:tabs>
        <w:spacing w:before="240" w:after="240" w:line="360" w:lineRule="auto"/>
        <w:ind w:left="567" w:right="567"/>
        <w:jc w:val="both"/>
        <w:rPr>
          <w:rFonts w:ascii="Palatino Linotype" w:hAnsi="Palatino Linotype" w:cs="Arial"/>
          <w:i/>
        </w:rPr>
      </w:pPr>
      <w:r w:rsidRPr="006E21B6">
        <w:rPr>
          <w:rFonts w:ascii="Palatino Linotype" w:hAnsi="Palatino Linotype" w:cs="Arial"/>
          <w:i/>
        </w:rPr>
        <w:t>“</w:t>
      </w:r>
      <w:r w:rsidRPr="006E21B6">
        <w:rPr>
          <w:rFonts w:ascii="Palatino Linotype" w:hAnsi="Palatino Linotype" w:cs="Arial"/>
          <w:b/>
          <w:i/>
        </w:rPr>
        <w:t>HECHOS NEGATIVOS, NO SON SUSCEPTIBLES DE DEMOSTRACION.</w:t>
      </w:r>
      <w:r w:rsidRPr="006E21B6">
        <w:rPr>
          <w:rFonts w:ascii="Palatino Linotype" w:hAnsi="Palatino Linotype" w:cs="Arial"/>
          <w:i/>
        </w:rPr>
        <w:t xml:space="preserve"> </w:t>
      </w:r>
      <w:r w:rsidRPr="006E21B6">
        <w:rPr>
          <w:rFonts w:ascii="Palatino Linotype" w:hAnsi="Palatino Linotype" w:cs="Arial"/>
          <w:b/>
          <w:i/>
        </w:rPr>
        <w:t xml:space="preserve">Tratándose de un hecho negativo, el Juez no tiene </w:t>
      </w:r>
      <w:proofErr w:type="spellStart"/>
      <w:r w:rsidRPr="006E21B6">
        <w:rPr>
          <w:rFonts w:ascii="Palatino Linotype" w:hAnsi="Palatino Linotype" w:cs="Arial"/>
          <w:b/>
          <w:i/>
        </w:rPr>
        <w:t>por que</w:t>
      </w:r>
      <w:proofErr w:type="spellEnd"/>
      <w:r w:rsidRPr="006E21B6">
        <w:rPr>
          <w:rFonts w:ascii="Palatino Linotype" w:hAnsi="Palatino Linotype" w:cs="Arial"/>
          <w:b/>
          <w:i/>
        </w:rPr>
        <w:t xml:space="preserve"> invocar prueba alguna de la que se desprenda</w:t>
      </w:r>
      <w:r w:rsidRPr="006E21B6">
        <w:rPr>
          <w:rFonts w:ascii="Palatino Linotype" w:hAnsi="Palatino Linotype" w:cs="Arial"/>
          <w:i/>
        </w:rPr>
        <w:t>, ya que es bien sabido que esta clase de hechos no son susceptibles de demostración.”</w:t>
      </w:r>
    </w:p>
    <w:p w14:paraId="11DA0206" w14:textId="77777777" w:rsidR="00A02A43" w:rsidRPr="006E21B6" w:rsidRDefault="00A02A43" w:rsidP="00A02A43">
      <w:pPr>
        <w:pStyle w:val="Prrafodelista"/>
        <w:tabs>
          <w:tab w:val="left" w:pos="426"/>
        </w:tabs>
        <w:spacing w:before="240" w:after="240" w:line="360" w:lineRule="auto"/>
        <w:ind w:left="567" w:right="567"/>
        <w:jc w:val="both"/>
        <w:rPr>
          <w:rFonts w:ascii="Palatino Linotype" w:hAnsi="Palatino Linotype" w:cs="Arial"/>
          <w:i/>
        </w:rPr>
      </w:pPr>
    </w:p>
    <w:p w14:paraId="738C4A10" w14:textId="77777777" w:rsidR="00A02A43" w:rsidRPr="006E21B6" w:rsidRDefault="00A02A43" w:rsidP="00A02A43">
      <w:pPr>
        <w:pStyle w:val="Prrafodelista"/>
        <w:tabs>
          <w:tab w:val="left" w:pos="426"/>
        </w:tabs>
        <w:spacing w:before="240" w:after="240" w:line="360" w:lineRule="auto"/>
        <w:ind w:left="567" w:right="567"/>
        <w:jc w:val="both"/>
        <w:rPr>
          <w:rFonts w:ascii="Palatino Linotype" w:hAnsi="Palatino Linotype" w:cs="Arial"/>
          <w:i/>
        </w:rPr>
      </w:pPr>
      <w:r w:rsidRPr="006E21B6">
        <w:rPr>
          <w:rFonts w:ascii="Palatino Linotype" w:hAnsi="Palatino Linotype" w:cs="Arial"/>
          <w:i/>
        </w:rPr>
        <w:t>“</w:t>
      </w:r>
      <w:r w:rsidRPr="006E21B6">
        <w:rPr>
          <w:rFonts w:ascii="Palatino Linotype" w:hAnsi="Palatino Linotype" w:cs="Arial"/>
          <w:b/>
          <w:i/>
        </w:rPr>
        <w:t>INEXISTENCIA DE LA INFORMACIÓN. EL COMITÉ DE ACCESO A LA INFORMACIÓN PUEDE DECLARARLA ANTE SU EVIDENCIA, SIN NECESIDAD DE DICTAR MEDIDAS PARA SU LOCALIZACIÓN.</w:t>
      </w:r>
      <w:r w:rsidRPr="006E21B6">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w:t>
      </w:r>
      <w:r w:rsidRPr="006E21B6">
        <w:rPr>
          <w:rFonts w:ascii="Palatino Linotype" w:hAnsi="Palatino Linotype" w:cs="Arial"/>
          <w:i/>
        </w:rPr>
        <w:lastRenderedPageBreak/>
        <w:t>expida una resolución que confirme la inexistencia del mismo. Ello no obsta para concluir que cua</w:t>
      </w:r>
      <w:r w:rsidRPr="006E21B6">
        <w:rPr>
          <w:rFonts w:ascii="Palatino Linotype" w:hAnsi="Palatino Linotype" w:cs="Arial"/>
          <w:b/>
          <w:i/>
        </w:rPr>
        <w:t>ndo la referida Unidad señala, o</w:t>
      </w:r>
      <w:r w:rsidRPr="006E21B6">
        <w:rPr>
          <w:rFonts w:ascii="Palatino Linotype" w:hAnsi="Palatino Linotype" w:cs="Arial"/>
          <w:i/>
        </w:rPr>
        <w:t xml:space="preserve"> el mencionado Comité </w:t>
      </w:r>
      <w:r w:rsidRPr="006E21B6">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6E21B6">
        <w:rPr>
          <w:rFonts w:ascii="Palatino Linotype" w:hAnsi="Palatino Linotype" w:cs="Arial"/>
          <w:i/>
        </w:rPr>
        <w:t>”</w:t>
      </w:r>
    </w:p>
    <w:p w14:paraId="68023641" w14:textId="77777777" w:rsidR="00A02A43" w:rsidRPr="006E21B6" w:rsidRDefault="00A02A43" w:rsidP="00A02A43">
      <w:pPr>
        <w:pStyle w:val="Prrafodelista"/>
        <w:tabs>
          <w:tab w:val="left" w:pos="426"/>
        </w:tabs>
        <w:spacing w:line="360" w:lineRule="auto"/>
        <w:ind w:left="567" w:right="567"/>
        <w:jc w:val="both"/>
        <w:rPr>
          <w:rFonts w:ascii="Palatino Linotype" w:hAnsi="Palatino Linotype" w:cs="Arial"/>
          <w:iCs/>
        </w:rPr>
      </w:pPr>
      <w:r w:rsidRPr="006E21B6">
        <w:rPr>
          <w:rFonts w:ascii="Palatino Linotype" w:hAnsi="Palatino Linotype" w:cs="Arial"/>
          <w:iCs/>
        </w:rPr>
        <w:t>(Énfasis añadido)</w:t>
      </w:r>
    </w:p>
    <w:p w14:paraId="37E851ED" w14:textId="77777777" w:rsidR="00A02A43" w:rsidRPr="006E21B6" w:rsidRDefault="00A02A43" w:rsidP="00A02A43">
      <w:pPr>
        <w:tabs>
          <w:tab w:val="left" w:pos="426"/>
        </w:tabs>
        <w:spacing w:line="360" w:lineRule="auto"/>
        <w:ind w:right="49"/>
        <w:contextualSpacing/>
        <w:jc w:val="both"/>
        <w:rPr>
          <w:rFonts w:ascii="Palatino Linotype" w:hAnsi="Palatino Linotype" w:cs="Arial"/>
          <w:color w:val="000000" w:themeColor="text1"/>
        </w:rPr>
      </w:pPr>
    </w:p>
    <w:p w14:paraId="669BC3AB" w14:textId="7C6A4092" w:rsidR="00A02A43" w:rsidRPr="006E21B6" w:rsidRDefault="00A02A43" w:rsidP="007E5B84">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6E21B6">
        <w:rPr>
          <w:rFonts w:ascii="Palatino Linotype" w:hAnsi="Palatino Linotype" w:cs="Arial"/>
          <w:color w:val="000000" w:themeColor="text1"/>
        </w:rPr>
        <w:t xml:space="preserve">Razones por las que no ha lugar a ordenar un Acuerdo de Inexistencia, ya que como lo señaló el Sujeto Obligado, no se cuenta con la información porque </w:t>
      </w:r>
      <w:r w:rsidR="007E5B84" w:rsidRPr="006E21B6">
        <w:rPr>
          <w:rFonts w:ascii="Palatino Linotype" w:hAnsi="Palatino Linotype" w:cs="Arial"/>
          <w:color w:val="000000" w:themeColor="text1"/>
        </w:rPr>
        <w:t>se eximió a la Secretaría del Medio Ambiente a presentar el Análisis de Impacto Regulatoria respecto a la norma ambiental en comento.</w:t>
      </w:r>
      <w:r w:rsidRPr="006E21B6">
        <w:rPr>
          <w:rFonts w:ascii="Palatino Linotype" w:hAnsi="Palatino Linotype" w:cs="Arial"/>
          <w:color w:val="000000" w:themeColor="text1"/>
        </w:rPr>
        <w:t xml:space="preserve"> No se trata de información que haya existido y por alguna razón ya no exista, o bien, se trate de información que de manera obligatoria deba generar el Sujeto Obligado.</w:t>
      </w:r>
    </w:p>
    <w:p w14:paraId="00AE5768" w14:textId="77777777" w:rsidR="00A02A43" w:rsidRPr="006E21B6" w:rsidRDefault="00A02A43" w:rsidP="00A02A43">
      <w:pPr>
        <w:pStyle w:val="Prrafodelista"/>
        <w:rPr>
          <w:rFonts w:ascii="Palatino Linotype" w:eastAsia="Calibri" w:hAnsi="Palatino Linotype" w:cs="Arial"/>
        </w:rPr>
      </w:pPr>
    </w:p>
    <w:p w14:paraId="3B5BF3EB" w14:textId="77777777" w:rsidR="00A02A43" w:rsidRPr="006E21B6" w:rsidRDefault="00A02A43" w:rsidP="00A02A43">
      <w:pPr>
        <w:pStyle w:val="Prrafodelista"/>
        <w:rPr>
          <w:rFonts w:ascii="Palatino Linotype" w:eastAsia="MS Gothic" w:hAnsi="Palatino Linotype"/>
          <w:szCs w:val="26"/>
        </w:rPr>
      </w:pPr>
    </w:p>
    <w:p w14:paraId="51A94E9F" w14:textId="77777777" w:rsidR="00A02A43" w:rsidRPr="006E21B6" w:rsidRDefault="00A02A43" w:rsidP="00A02A43">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E21B6">
        <w:rPr>
          <w:rFonts w:ascii="Palatino Linotype" w:eastAsia="MS Gothic" w:hAnsi="Palatino Linotype"/>
          <w:szCs w:val="26"/>
        </w:rPr>
        <w:t>En</w:t>
      </w:r>
      <w:r w:rsidRPr="006E21B6">
        <w:rPr>
          <w:rFonts w:ascii="Palatino Linotype" w:hAnsi="Palatino Linotype"/>
          <w:lang w:val="es-ES"/>
        </w:rPr>
        <w:t xml:space="preserve"> ese sentido, </w:t>
      </w:r>
      <w:r w:rsidRPr="006E21B6">
        <w:rPr>
          <w:rFonts w:ascii="Palatino Linotype" w:hAnsi="Palatino Linotype"/>
          <w:lang w:eastAsia="en-US"/>
        </w:rPr>
        <w:t xml:space="preserve">al haber existido un pronunciamiento por parte del área que de acuerdo a sus atribuciones, funciones y competencias debe generar la información requerida y, manifestar que no se encuentra en sus archivos por no haberse ejercido dicha atribución, es que </w:t>
      </w:r>
      <w:r w:rsidRPr="006E21B6">
        <w:rPr>
          <w:rFonts w:ascii="Palatino Linotype" w:hAnsi="Palatino Linotype"/>
          <w:lang w:val="es-ES"/>
        </w:rPr>
        <w:t>debemos</w:t>
      </w:r>
      <w:r w:rsidRPr="006E21B6">
        <w:rPr>
          <w:rFonts w:ascii="Palatino Linotype" w:hAnsi="Palatino Linotype"/>
          <w:i/>
          <w:lang w:val="es-ES"/>
        </w:rPr>
        <w:t xml:space="preserve"> </w:t>
      </w:r>
      <w:r w:rsidRPr="006E21B6">
        <w:rPr>
          <w:rFonts w:ascii="Palatino Linotype" w:hAnsi="Palatino Linotype" w:cs="Arial"/>
          <w:szCs w:val="20"/>
        </w:rPr>
        <w:t>hacer referencia a l</w:t>
      </w:r>
      <w:r w:rsidRPr="006E21B6">
        <w:rPr>
          <w:rFonts w:ascii="Palatino Linotype" w:hAnsi="Palatino Linotype"/>
        </w:rPr>
        <w:t>a presunción de veracidad</w:t>
      </w:r>
      <w:r w:rsidRPr="006E21B6">
        <w:rPr>
          <w:rStyle w:val="Refdenotaalpie"/>
          <w:rFonts w:ascii="Palatino Linotype" w:hAnsi="Palatino Linotype"/>
        </w:rPr>
        <w:footnoteReference w:id="8"/>
      </w:r>
      <w:r w:rsidRPr="006E21B6">
        <w:rPr>
          <w:rFonts w:ascii="Palatino Linotype" w:hAnsi="Palatino Linotype"/>
        </w:rPr>
        <w:t xml:space="preserve"> supone una declaración </w:t>
      </w:r>
      <w:proofErr w:type="spellStart"/>
      <w:r w:rsidRPr="006E21B6">
        <w:rPr>
          <w:rFonts w:ascii="Palatino Linotype" w:hAnsi="Palatino Linotype"/>
          <w:i/>
        </w:rPr>
        <w:t>iurus</w:t>
      </w:r>
      <w:proofErr w:type="spellEnd"/>
      <w:r w:rsidRPr="006E21B6">
        <w:rPr>
          <w:rFonts w:ascii="Palatino Linotype" w:hAnsi="Palatino Linotype"/>
          <w:i/>
        </w:rPr>
        <w:t xml:space="preserve"> tantum</w:t>
      </w:r>
      <w:r w:rsidRPr="006E21B6">
        <w:rPr>
          <w:rFonts w:ascii="Palatino Linotype" w:hAnsi="Palatino Linotype"/>
        </w:rPr>
        <w:t xml:space="preserve"> ya que admite prueba en contra, </w:t>
      </w:r>
      <w:r w:rsidRPr="006E21B6">
        <w:rPr>
          <w:rFonts w:ascii="Palatino Linotype" w:hAnsi="Palatino Linotype"/>
        </w:rPr>
        <w:lastRenderedPageBreak/>
        <w:t>por lo que este Órgano no está facultado para pronunciarse sobre la veracidad de la información entregada.</w:t>
      </w:r>
    </w:p>
    <w:p w14:paraId="6739FD4E" w14:textId="77777777" w:rsidR="00A02A43" w:rsidRPr="006E21B6" w:rsidRDefault="00A02A43" w:rsidP="00A02A43">
      <w:pPr>
        <w:pStyle w:val="Prrafodelista"/>
        <w:rPr>
          <w:rFonts w:ascii="Palatino Linotype" w:hAnsi="Palatino Linotype"/>
        </w:rPr>
      </w:pPr>
    </w:p>
    <w:p w14:paraId="36B7877B" w14:textId="77777777" w:rsidR="00A02A43" w:rsidRPr="006E21B6" w:rsidRDefault="00A02A43" w:rsidP="00A02A43">
      <w:pPr>
        <w:pStyle w:val="Prrafodelista"/>
        <w:numPr>
          <w:ilvl w:val="0"/>
          <w:numId w:val="1"/>
        </w:numPr>
        <w:spacing w:line="360" w:lineRule="auto"/>
        <w:jc w:val="both"/>
        <w:rPr>
          <w:rFonts w:ascii="Palatino Linotype" w:hAnsi="Palatino Linotype"/>
        </w:rPr>
      </w:pPr>
      <w:r w:rsidRPr="006E21B6">
        <w:rPr>
          <w:rFonts w:ascii="Palatino Linotype" w:hAnsi="Palatino Linotype"/>
        </w:rPr>
        <w:t>Sirve de apoyo a lo anterior por analogía el criterio 31-10 emitido por el entonces Instituto Federal de Acceso a la Información y Protección de Datos, que a la letra dice:</w:t>
      </w:r>
    </w:p>
    <w:p w14:paraId="39D553F9" w14:textId="77777777" w:rsidR="00A02A43" w:rsidRPr="006E21B6" w:rsidRDefault="00A02A43" w:rsidP="00A02A43">
      <w:pPr>
        <w:pStyle w:val="Prrafodelista"/>
        <w:rPr>
          <w:rFonts w:ascii="Palatino Linotype" w:hAnsi="Palatino Linotype"/>
        </w:rPr>
      </w:pPr>
    </w:p>
    <w:p w14:paraId="48034C93" w14:textId="77777777" w:rsidR="00A02A43" w:rsidRPr="006E21B6" w:rsidRDefault="00A02A43" w:rsidP="00A02A43">
      <w:pPr>
        <w:autoSpaceDE w:val="0"/>
        <w:autoSpaceDN w:val="0"/>
        <w:adjustRightInd w:val="0"/>
        <w:spacing w:line="360" w:lineRule="auto"/>
        <w:ind w:left="567" w:right="567"/>
        <w:jc w:val="both"/>
        <w:rPr>
          <w:rFonts w:ascii="Palatino Linotype" w:hAnsi="Palatino Linotype"/>
          <w:i/>
          <w:iCs/>
          <w:sz w:val="22"/>
        </w:rPr>
      </w:pPr>
      <w:r w:rsidRPr="006E21B6">
        <w:rPr>
          <w:rFonts w:ascii="Palatino Linotype" w:hAnsi="Palatino Linotype"/>
          <w:b/>
          <w:i/>
          <w:iCs/>
          <w:sz w:val="22"/>
        </w:rPr>
        <w:t>El Instituto Federal de Acceso a la Información y Protección de Datos </w:t>
      </w:r>
      <w:r w:rsidRPr="006E21B6">
        <w:rPr>
          <w:rFonts w:ascii="Palatino Linotype" w:hAnsi="Palatino Linotype"/>
          <w:b/>
          <w:bCs/>
          <w:i/>
          <w:iCs/>
          <w:sz w:val="22"/>
        </w:rPr>
        <w:t>no cuenta con facultades para pronunciarse respecto de la veracidad de los documentos proporcionados por los sujetos obligados.</w:t>
      </w:r>
      <w:r w:rsidRPr="006E21B6">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9D8A6E" w14:textId="77777777" w:rsidR="00A02A43" w:rsidRPr="006E21B6" w:rsidRDefault="00A02A43" w:rsidP="00A02A43">
      <w:pPr>
        <w:pStyle w:val="Prrafodelista"/>
        <w:numPr>
          <w:ilvl w:val="0"/>
          <w:numId w:val="1"/>
        </w:numPr>
        <w:shd w:val="clear" w:color="auto" w:fill="FFFFFF"/>
        <w:spacing w:before="240" w:after="240" w:line="360" w:lineRule="auto"/>
        <w:jc w:val="both"/>
        <w:rPr>
          <w:rFonts w:ascii="Palatino Linotype" w:hAnsi="Palatino Linotype" w:cs="Arial"/>
        </w:rPr>
      </w:pPr>
      <w:r w:rsidRPr="006E21B6">
        <w:rPr>
          <w:rFonts w:ascii="Palatino Linotype" w:hAnsi="Palatino Linotype" w:cs="Arial"/>
          <w:color w:val="000000"/>
        </w:rPr>
        <w:t>Este Órgano Garante carece de facultades para dudar de la veracidad sobre la información proporcionada por el Sujeto Obligado, en consecuencia, debe declararse atendido dicho requerimiento.</w:t>
      </w:r>
    </w:p>
    <w:p w14:paraId="34AF971B" w14:textId="77777777" w:rsidR="00A02A43" w:rsidRPr="006E21B6" w:rsidRDefault="00A02A43" w:rsidP="00A92BE3">
      <w:pPr>
        <w:pStyle w:val="Prrafodelista"/>
        <w:spacing w:line="360" w:lineRule="auto"/>
        <w:ind w:left="0"/>
        <w:jc w:val="both"/>
        <w:rPr>
          <w:rFonts w:ascii="Palatino Linotype" w:eastAsia="Arial Unicode MS" w:hAnsi="Palatino Linotype" w:cs="Arial"/>
          <w:lang w:eastAsia="en-US"/>
        </w:rPr>
      </w:pPr>
    </w:p>
    <w:p w14:paraId="4F44C930" w14:textId="77777777" w:rsidR="00A02A43" w:rsidRPr="006E21B6" w:rsidRDefault="00A02A43" w:rsidP="00A92BE3">
      <w:pPr>
        <w:pStyle w:val="Prrafodelista"/>
        <w:spacing w:line="360" w:lineRule="auto"/>
        <w:ind w:left="0"/>
        <w:jc w:val="both"/>
        <w:rPr>
          <w:rFonts w:ascii="Palatino Linotype" w:eastAsia="Arial Unicode MS" w:hAnsi="Palatino Linotype" w:cs="Arial"/>
          <w:lang w:eastAsia="en-US"/>
        </w:rPr>
      </w:pPr>
    </w:p>
    <w:p w14:paraId="421A035C" w14:textId="77777777" w:rsidR="00A92BE3" w:rsidRPr="006E21B6" w:rsidRDefault="00A92BE3" w:rsidP="00A92BE3">
      <w:pPr>
        <w:pStyle w:val="Prrafodelista"/>
        <w:rPr>
          <w:rFonts w:ascii="Palatino Linotype" w:eastAsia="Arial Unicode MS" w:hAnsi="Palatino Linotype" w:cs="Arial"/>
          <w:lang w:eastAsia="en-US"/>
        </w:rPr>
      </w:pPr>
    </w:p>
    <w:p w14:paraId="2C72F7CD" w14:textId="77777777" w:rsidR="007E5B84" w:rsidRPr="006E21B6" w:rsidRDefault="007E5B84" w:rsidP="007E5B84">
      <w:pPr>
        <w:pStyle w:val="Prrafodelista"/>
        <w:spacing w:line="360" w:lineRule="auto"/>
        <w:ind w:left="0"/>
        <w:jc w:val="both"/>
        <w:rPr>
          <w:rFonts w:ascii="Palatino Linotype" w:eastAsia="Arial Unicode MS" w:hAnsi="Palatino Linotype" w:cs="Arial"/>
          <w:lang w:eastAsia="en-US"/>
        </w:rPr>
      </w:pPr>
    </w:p>
    <w:p w14:paraId="1CF9A56E" w14:textId="1D261ED3" w:rsidR="007E5B84" w:rsidRPr="006E21B6" w:rsidRDefault="007E5B84" w:rsidP="007E5B84">
      <w:pPr>
        <w:pStyle w:val="Ttulo2"/>
        <w:spacing w:line="360" w:lineRule="auto"/>
        <w:ind w:left="360"/>
        <w:jc w:val="both"/>
        <w:rPr>
          <w:rFonts w:ascii="Palatino Linotype" w:eastAsia="Calibri" w:hAnsi="Palatino Linotype"/>
          <w:b/>
          <w:color w:val="auto"/>
          <w:sz w:val="24"/>
          <w:szCs w:val="24"/>
        </w:rPr>
      </w:pPr>
      <w:bookmarkStart w:id="32" w:name="_Toc536036922"/>
      <w:bookmarkStart w:id="33" w:name="_Toc15561642"/>
      <w:bookmarkStart w:id="34" w:name="_Toc26960597"/>
      <w:bookmarkStart w:id="35" w:name="_Toc82017152"/>
      <w:r w:rsidRPr="006E21B6">
        <w:rPr>
          <w:rFonts w:ascii="Palatino Linotype" w:eastAsia="Calibri" w:hAnsi="Palatino Linotype"/>
          <w:b/>
          <w:color w:val="auto"/>
          <w:sz w:val="24"/>
          <w:szCs w:val="24"/>
        </w:rPr>
        <w:t>II</w:t>
      </w:r>
      <w:r w:rsidR="00BA28AD" w:rsidRPr="006E21B6">
        <w:rPr>
          <w:rFonts w:ascii="Palatino Linotype" w:eastAsia="Calibri" w:hAnsi="Palatino Linotype"/>
          <w:b/>
          <w:color w:val="auto"/>
          <w:sz w:val="24"/>
          <w:szCs w:val="24"/>
        </w:rPr>
        <w:t>I</w:t>
      </w:r>
      <w:r w:rsidRPr="006E21B6">
        <w:rPr>
          <w:rFonts w:ascii="Palatino Linotype" w:eastAsia="Calibri" w:hAnsi="Palatino Linotype"/>
          <w:b/>
          <w:color w:val="auto"/>
          <w:sz w:val="24"/>
          <w:szCs w:val="24"/>
        </w:rPr>
        <w:t>. Actualización del sobreseimiento.</w:t>
      </w:r>
      <w:bookmarkEnd w:id="32"/>
      <w:bookmarkEnd w:id="33"/>
      <w:bookmarkEnd w:id="34"/>
      <w:bookmarkEnd w:id="35"/>
    </w:p>
    <w:p w14:paraId="304C2C47" w14:textId="77777777" w:rsidR="007E5B84" w:rsidRPr="006E21B6" w:rsidRDefault="007E5B84" w:rsidP="007E5B84">
      <w:pPr>
        <w:pStyle w:val="Prrafodelista"/>
        <w:numPr>
          <w:ilvl w:val="0"/>
          <w:numId w:val="1"/>
        </w:numPr>
        <w:spacing w:before="240" w:after="240" w:line="360" w:lineRule="auto"/>
        <w:jc w:val="both"/>
        <w:rPr>
          <w:rFonts w:ascii="Palatino Linotype" w:hAnsi="Palatino Linotype" w:cs="Arial"/>
        </w:rPr>
      </w:pPr>
      <w:r w:rsidRPr="006E21B6">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54B716D" w14:textId="77777777" w:rsidR="007E5B84" w:rsidRPr="006E21B6" w:rsidRDefault="007E5B84" w:rsidP="007E5B84">
      <w:pPr>
        <w:autoSpaceDE w:val="0"/>
        <w:autoSpaceDN w:val="0"/>
        <w:adjustRightInd w:val="0"/>
        <w:ind w:left="567" w:right="567"/>
        <w:jc w:val="both"/>
        <w:rPr>
          <w:rFonts w:ascii="Palatino Linotype" w:eastAsiaTheme="minorHAnsi" w:hAnsi="Palatino Linotype" w:cs="Bookman Old Style"/>
          <w:i/>
          <w:sz w:val="22"/>
          <w:lang w:eastAsia="en-US"/>
        </w:rPr>
      </w:pPr>
      <w:r w:rsidRPr="006E21B6">
        <w:rPr>
          <w:rFonts w:ascii="Palatino Linotype" w:eastAsiaTheme="minorHAnsi" w:hAnsi="Palatino Linotype" w:cs="Bookman Old Style,Bold"/>
          <w:b/>
          <w:bCs/>
          <w:i/>
          <w:sz w:val="22"/>
          <w:lang w:eastAsia="en-US"/>
        </w:rPr>
        <w:t xml:space="preserve">Artículo 192. </w:t>
      </w:r>
      <w:r w:rsidRPr="006E21B6">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6A4B4BAF" w14:textId="77777777" w:rsidR="007E5B84" w:rsidRPr="006E21B6" w:rsidRDefault="007E5B84" w:rsidP="007E5B84">
      <w:pPr>
        <w:autoSpaceDE w:val="0"/>
        <w:autoSpaceDN w:val="0"/>
        <w:adjustRightInd w:val="0"/>
        <w:ind w:left="567" w:right="567"/>
        <w:jc w:val="both"/>
        <w:rPr>
          <w:rFonts w:ascii="Palatino Linotype" w:eastAsiaTheme="minorHAnsi" w:hAnsi="Palatino Linotype" w:cs="Bookman Old Style"/>
          <w:i/>
          <w:sz w:val="22"/>
          <w:lang w:eastAsia="en-US"/>
        </w:rPr>
      </w:pPr>
      <w:r w:rsidRPr="006E21B6">
        <w:rPr>
          <w:rFonts w:ascii="Palatino Linotype" w:eastAsiaTheme="minorHAnsi" w:hAnsi="Palatino Linotype" w:cs="Bookman Old Style"/>
          <w:i/>
          <w:sz w:val="22"/>
          <w:lang w:eastAsia="en-US"/>
        </w:rPr>
        <w:t>…</w:t>
      </w:r>
    </w:p>
    <w:p w14:paraId="65A35C27" w14:textId="77777777" w:rsidR="007E5B84" w:rsidRPr="006E21B6" w:rsidRDefault="007E5B84" w:rsidP="007E5B84">
      <w:pPr>
        <w:autoSpaceDE w:val="0"/>
        <w:autoSpaceDN w:val="0"/>
        <w:adjustRightInd w:val="0"/>
        <w:ind w:left="567" w:right="567"/>
        <w:jc w:val="both"/>
        <w:rPr>
          <w:rFonts w:ascii="Palatino Linotype" w:eastAsiaTheme="minorHAnsi" w:hAnsi="Palatino Linotype" w:cs="Bookman Old Style"/>
          <w:i/>
          <w:sz w:val="22"/>
          <w:lang w:eastAsia="en-US"/>
        </w:rPr>
      </w:pPr>
      <w:r w:rsidRPr="006E21B6">
        <w:rPr>
          <w:rFonts w:ascii="Palatino Linotype" w:eastAsiaTheme="minorHAnsi" w:hAnsi="Palatino Linotype" w:cs="Bookman Old Style,Bold"/>
          <w:b/>
          <w:bCs/>
          <w:i/>
          <w:sz w:val="22"/>
          <w:lang w:eastAsia="en-US"/>
        </w:rPr>
        <w:t xml:space="preserve">III. </w:t>
      </w:r>
      <w:r w:rsidRPr="006E21B6">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47132D5E" w14:textId="77777777" w:rsidR="007E5B84" w:rsidRPr="006E21B6" w:rsidRDefault="007E5B84" w:rsidP="007E5B84">
      <w:pPr>
        <w:pStyle w:val="Prrafodelista"/>
        <w:numPr>
          <w:ilvl w:val="0"/>
          <w:numId w:val="1"/>
        </w:numPr>
        <w:spacing w:before="240" w:after="240" w:line="360" w:lineRule="auto"/>
        <w:jc w:val="both"/>
        <w:rPr>
          <w:rFonts w:ascii="Palatino Linotype" w:eastAsia="Calibri" w:hAnsi="Palatino Linotype" w:cs="Arial"/>
          <w:lang w:val="es-ES"/>
        </w:rPr>
      </w:pPr>
      <w:r w:rsidRPr="006E21B6">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6E21B6">
        <w:rPr>
          <w:rFonts w:ascii="Palatino Linotype" w:hAnsi="Palatino Linotype" w:cs="Arial"/>
          <w:b/>
        </w:rPr>
        <w:t>SUJETO OBLIGADO</w:t>
      </w:r>
      <w:r w:rsidRPr="006E21B6">
        <w:rPr>
          <w:rFonts w:ascii="Palatino Linotype" w:hAnsi="Palatino Linotype" w:cs="Arial"/>
        </w:rPr>
        <w:t>:</w:t>
      </w:r>
    </w:p>
    <w:p w14:paraId="45C049E3" w14:textId="77777777" w:rsidR="007E5B84" w:rsidRPr="006E21B6" w:rsidRDefault="007E5B84" w:rsidP="007E5B84">
      <w:pPr>
        <w:pStyle w:val="Prrafodelista"/>
        <w:spacing w:before="240" w:after="240" w:line="360" w:lineRule="auto"/>
        <w:ind w:left="0"/>
        <w:jc w:val="both"/>
        <w:rPr>
          <w:rFonts w:ascii="Palatino Linotype" w:eastAsia="Calibri" w:hAnsi="Palatino Linotype" w:cs="Arial"/>
          <w:lang w:val="es-ES"/>
        </w:rPr>
      </w:pPr>
    </w:p>
    <w:p w14:paraId="7CDF6207" w14:textId="77777777" w:rsidR="007E5B84" w:rsidRPr="006E21B6" w:rsidRDefault="007E5B84" w:rsidP="007E5B84">
      <w:pPr>
        <w:pStyle w:val="Prrafodelista"/>
        <w:numPr>
          <w:ilvl w:val="0"/>
          <w:numId w:val="42"/>
        </w:numPr>
        <w:spacing w:before="240" w:after="240" w:line="360" w:lineRule="auto"/>
        <w:ind w:left="567" w:right="567" w:firstLine="0"/>
        <w:jc w:val="both"/>
        <w:rPr>
          <w:rFonts w:ascii="Palatino Linotype" w:hAnsi="Palatino Linotype" w:cs="Arial"/>
        </w:rPr>
      </w:pPr>
      <w:r w:rsidRPr="006E21B6">
        <w:rPr>
          <w:rFonts w:ascii="Palatino Linotype" w:hAnsi="Palatino Linotype" w:cs="Arial"/>
          <w:b/>
        </w:rPr>
        <w:t>Modifique el acto impugnado:</w:t>
      </w:r>
      <w:r w:rsidRPr="006E21B6">
        <w:rPr>
          <w:rFonts w:ascii="Palatino Linotype" w:hAnsi="Palatino Linotype" w:cs="Arial"/>
        </w:rPr>
        <w:t xml:space="preserve"> Se actualiza cuando el </w:t>
      </w:r>
      <w:r w:rsidRPr="006E21B6">
        <w:rPr>
          <w:rFonts w:ascii="Palatino Linotype" w:hAnsi="Palatino Linotype" w:cs="Arial"/>
          <w:b/>
        </w:rPr>
        <w:t>SUJETO OBLIGADO</w:t>
      </w:r>
      <w:r w:rsidRPr="006E21B6">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20C09B35" w14:textId="77777777" w:rsidR="007E5B84" w:rsidRPr="006E21B6" w:rsidRDefault="007E5B84" w:rsidP="007E5B84">
      <w:pPr>
        <w:pStyle w:val="Prrafodelista"/>
        <w:numPr>
          <w:ilvl w:val="0"/>
          <w:numId w:val="42"/>
        </w:numPr>
        <w:spacing w:before="240" w:after="240" w:line="360" w:lineRule="auto"/>
        <w:ind w:left="567" w:right="616" w:firstLine="0"/>
        <w:jc w:val="both"/>
        <w:rPr>
          <w:rFonts w:ascii="Palatino Linotype" w:hAnsi="Palatino Linotype" w:cs="Arial"/>
        </w:rPr>
      </w:pPr>
      <w:r w:rsidRPr="006E21B6">
        <w:rPr>
          <w:rFonts w:ascii="Palatino Linotype" w:hAnsi="Palatino Linotype" w:cs="Arial"/>
          <w:b/>
        </w:rPr>
        <w:t>Revoque el acto impugnado:</w:t>
      </w:r>
      <w:r w:rsidRPr="006E21B6">
        <w:rPr>
          <w:rFonts w:ascii="Palatino Linotype" w:hAnsi="Palatino Linotype" w:cs="Arial"/>
        </w:rPr>
        <w:t xml:space="preserve"> En este supuesto, el </w:t>
      </w:r>
      <w:r w:rsidRPr="006E21B6">
        <w:rPr>
          <w:rFonts w:ascii="Palatino Linotype" w:hAnsi="Palatino Linotype" w:cs="Arial"/>
          <w:b/>
        </w:rPr>
        <w:t>SUJETO OBLIGADO</w:t>
      </w:r>
      <w:r w:rsidRPr="006E21B6">
        <w:rPr>
          <w:rFonts w:ascii="Palatino Linotype" w:hAnsi="Palatino Linotype" w:cs="Arial"/>
        </w:rPr>
        <w:t xml:space="preserve"> deja sin efectos la primera respuesta y en su lugar emite otra que satisfaga lo solicitado por el particular en un primer momento.</w:t>
      </w:r>
    </w:p>
    <w:p w14:paraId="180F130D" w14:textId="77777777" w:rsidR="007E5B84" w:rsidRPr="006E21B6" w:rsidRDefault="007E5B84" w:rsidP="007E5B84">
      <w:pPr>
        <w:pStyle w:val="Prrafodelista"/>
        <w:spacing w:before="240" w:after="240" w:line="360" w:lineRule="auto"/>
        <w:ind w:left="567" w:right="616"/>
        <w:jc w:val="both"/>
        <w:rPr>
          <w:rFonts w:ascii="Palatino Linotype" w:hAnsi="Palatino Linotype" w:cs="Arial"/>
        </w:rPr>
      </w:pPr>
    </w:p>
    <w:p w14:paraId="155AA88D" w14:textId="77777777" w:rsidR="007E5B84" w:rsidRPr="006E21B6" w:rsidRDefault="007E5B84" w:rsidP="007E5B84">
      <w:pPr>
        <w:pStyle w:val="Prrafodelista"/>
        <w:numPr>
          <w:ilvl w:val="0"/>
          <w:numId w:val="1"/>
        </w:numPr>
        <w:spacing w:before="240" w:after="240" w:line="360" w:lineRule="auto"/>
        <w:ind w:right="49"/>
        <w:jc w:val="both"/>
        <w:rPr>
          <w:rFonts w:ascii="Palatino Linotype" w:hAnsi="Palatino Linotype"/>
        </w:rPr>
      </w:pPr>
      <w:r w:rsidRPr="006E21B6">
        <w:rPr>
          <w:rFonts w:ascii="Palatino Linotype" w:hAnsi="Palatino Linotype" w:cs="Arial"/>
        </w:rPr>
        <w:t>Las consecuencias jurídicas de esta modificación o revocación es que el recurso de revisión interpuesto quede sin efectos o sin materia.</w:t>
      </w:r>
    </w:p>
    <w:p w14:paraId="5200DFFF" w14:textId="77777777" w:rsidR="007E5B84" w:rsidRPr="006E21B6" w:rsidRDefault="007E5B84" w:rsidP="007E5B84">
      <w:pPr>
        <w:pStyle w:val="Prrafodelista"/>
        <w:spacing w:before="240" w:after="240" w:line="360" w:lineRule="auto"/>
        <w:ind w:left="0" w:right="49"/>
        <w:jc w:val="both"/>
        <w:rPr>
          <w:rFonts w:ascii="Palatino Linotype" w:hAnsi="Palatino Linotype"/>
        </w:rPr>
      </w:pPr>
    </w:p>
    <w:p w14:paraId="069E0B03" w14:textId="77777777" w:rsidR="007E5B84" w:rsidRPr="006E21B6" w:rsidRDefault="007E5B84" w:rsidP="007E5B84">
      <w:pPr>
        <w:pStyle w:val="Prrafodelista"/>
        <w:numPr>
          <w:ilvl w:val="0"/>
          <w:numId w:val="1"/>
        </w:numPr>
        <w:spacing w:before="240" w:after="240" w:line="360" w:lineRule="auto"/>
        <w:ind w:right="49"/>
        <w:jc w:val="both"/>
        <w:rPr>
          <w:rFonts w:ascii="Palatino Linotype" w:hAnsi="Palatino Linotype"/>
        </w:rPr>
      </w:pPr>
      <w:r w:rsidRPr="006E21B6">
        <w:rPr>
          <w:rFonts w:ascii="Palatino Linotype" w:hAnsi="Palatino Linotype" w:cs="Arial"/>
        </w:rPr>
        <w:lastRenderedPageBreak/>
        <w:t xml:space="preserve">En el presente asunto, con la información enviada a través del informe de justificación, </w:t>
      </w:r>
      <w:r w:rsidRPr="006E21B6">
        <w:rPr>
          <w:rFonts w:ascii="Palatino Linotype" w:hAnsi="Palatino Linotype" w:cs="Arial"/>
          <w:b/>
        </w:rPr>
        <w:t>modificó</w:t>
      </w:r>
      <w:r w:rsidRPr="006E21B6">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78192F9A" w14:textId="77777777" w:rsidR="007E5B84" w:rsidRPr="006E21B6" w:rsidRDefault="007E5B84" w:rsidP="007E5B84">
      <w:pPr>
        <w:pStyle w:val="Prrafodelista"/>
        <w:rPr>
          <w:rFonts w:ascii="Palatino Linotype" w:hAnsi="Palatino Linotype"/>
        </w:rPr>
      </w:pPr>
    </w:p>
    <w:p w14:paraId="0BBE1501" w14:textId="0199EBD6" w:rsidR="007E5B84" w:rsidRPr="006E21B6" w:rsidRDefault="007E5B84" w:rsidP="007E5B84">
      <w:pPr>
        <w:pStyle w:val="Prrafodelista"/>
        <w:numPr>
          <w:ilvl w:val="0"/>
          <w:numId w:val="1"/>
        </w:numPr>
        <w:spacing w:before="240" w:after="240" w:line="360" w:lineRule="auto"/>
        <w:ind w:right="49"/>
        <w:jc w:val="both"/>
        <w:rPr>
          <w:rFonts w:ascii="Palatino Linotype" w:hAnsi="Palatino Linotype"/>
        </w:rPr>
      </w:pPr>
      <w:r w:rsidRPr="006E21B6">
        <w:rPr>
          <w:rFonts w:ascii="Palatino Linotype" w:hAnsi="Palatino Linotype"/>
        </w:rPr>
        <w:t xml:space="preserve">Es decir, el recurrente se inconformó porque no se adjuntaron documentos mediante la respuesta; sin embargo, mediante el informe justificado se entregó el la propuesta de análisis de impacto regulatorio de la </w:t>
      </w:r>
      <w:r w:rsidRPr="006E21B6">
        <w:rPr>
          <w:rFonts w:ascii="Palatino Linotype" w:eastAsia="Arial Unicode MS" w:hAnsi="Palatino Linotype" w:cs="Arial"/>
          <w:lang w:eastAsia="en-US"/>
        </w:rPr>
        <w:t>NORMA TÉCNICA ESTATAL AMBIENTAL NTEA-011-SEMAGEM-RS-2022, así como el documento donde se exime de presentar el Análisis correspondiente.</w:t>
      </w:r>
    </w:p>
    <w:p w14:paraId="16CABB2A" w14:textId="77777777" w:rsidR="007E5B84" w:rsidRPr="006E21B6" w:rsidRDefault="007E5B84" w:rsidP="007E5B84">
      <w:pPr>
        <w:pStyle w:val="Prrafodelista"/>
        <w:rPr>
          <w:rFonts w:ascii="Palatino Linotype" w:hAnsi="Palatino Linotype"/>
        </w:rPr>
      </w:pPr>
    </w:p>
    <w:p w14:paraId="50793AAD" w14:textId="77777777" w:rsidR="007E5B84" w:rsidRPr="006E21B6" w:rsidRDefault="007E5B84" w:rsidP="007E5B84">
      <w:pPr>
        <w:pStyle w:val="Prrafodelista"/>
        <w:numPr>
          <w:ilvl w:val="0"/>
          <w:numId w:val="1"/>
        </w:numPr>
        <w:spacing w:before="240" w:after="240" w:line="360" w:lineRule="auto"/>
        <w:ind w:right="49"/>
        <w:jc w:val="both"/>
        <w:rPr>
          <w:rFonts w:ascii="Palatino Linotype" w:hAnsi="Palatino Linotype"/>
        </w:rPr>
      </w:pPr>
      <w:r w:rsidRPr="006E21B6">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55CCEC64" w14:textId="77777777" w:rsidR="007E5B84" w:rsidRPr="006E21B6" w:rsidRDefault="007E5B84" w:rsidP="007E5B84">
      <w:pPr>
        <w:pStyle w:val="Prrafodelista"/>
        <w:rPr>
          <w:rFonts w:ascii="Palatino Linotype" w:hAnsi="Palatino Linotype"/>
        </w:rPr>
      </w:pPr>
    </w:p>
    <w:p w14:paraId="3195A799" w14:textId="77777777" w:rsidR="007E5B84" w:rsidRPr="006E21B6" w:rsidRDefault="007E5B84" w:rsidP="007E5B84">
      <w:pPr>
        <w:pStyle w:val="Prrafodelista"/>
        <w:numPr>
          <w:ilvl w:val="0"/>
          <w:numId w:val="1"/>
        </w:numPr>
        <w:spacing w:before="240" w:after="240" w:line="360" w:lineRule="auto"/>
        <w:ind w:right="49"/>
        <w:jc w:val="both"/>
        <w:rPr>
          <w:rFonts w:ascii="Palatino Linotype" w:hAnsi="Palatino Linotype"/>
        </w:rPr>
      </w:pPr>
      <w:r w:rsidRPr="006E21B6">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E21B6">
        <w:rPr>
          <w:rFonts w:ascii="Palatino Linotype" w:hAnsi="Palatino Linotype" w:cs="Arial"/>
          <w:b/>
        </w:rPr>
        <w:t>Sujetos Obligados</w:t>
      </w:r>
      <w:r w:rsidRPr="006E21B6">
        <w:rPr>
          <w:rFonts w:ascii="Palatino Linotype" w:hAnsi="Palatino Linotype" w:cs="Arial"/>
        </w:rPr>
        <w:t xml:space="preserve"> o la negativa de entrega de la misma, derivada de la solicitud de información pública.</w:t>
      </w:r>
    </w:p>
    <w:p w14:paraId="554B684E" w14:textId="77777777" w:rsidR="007E5B84" w:rsidRPr="006E21B6" w:rsidRDefault="007E5B84" w:rsidP="007E5B84">
      <w:pPr>
        <w:pStyle w:val="Prrafodelista"/>
        <w:spacing w:before="240" w:after="240" w:line="360" w:lineRule="auto"/>
        <w:ind w:left="0" w:right="49"/>
        <w:jc w:val="both"/>
        <w:rPr>
          <w:rFonts w:ascii="Palatino Linotype" w:hAnsi="Palatino Linotype"/>
        </w:rPr>
      </w:pPr>
    </w:p>
    <w:p w14:paraId="48ED5C5D" w14:textId="77777777" w:rsidR="007E5B84" w:rsidRPr="006E21B6" w:rsidRDefault="007E5B84" w:rsidP="007E5B84">
      <w:pPr>
        <w:pStyle w:val="Prrafodelista"/>
        <w:numPr>
          <w:ilvl w:val="0"/>
          <w:numId w:val="1"/>
        </w:numPr>
        <w:spacing w:before="240" w:after="240" w:line="360" w:lineRule="auto"/>
        <w:ind w:right="49"/>
        <w:jc w:val="both"/>
        <w:rPr>
          <w:rFonts w:ascii="Palatino Linotype" w:hAnsi="Palatino Linotype"/>
        </w:rPr>
      </w:pPr>
      <w:r w:rsidRPr="006E21B6">
        <w:rPr>
          <w:rFonts w:ascii="Palatino Linotype" w:hAnsi="Palatino Linotype" w:cs="Arial"/>
        </w:rPr>
        <w:t>De este modo, p</w:t>
      </w:r>
      <w:r w:rsidRPr="006E21B6">
        <w:rPr>
          <w:rFonts w:ascii="Palatino Linotype" w:hAnsi="Palatino Linotype"/>
        </w:rPr>
        <w:t xml:space="preserve">ara que se actualice el sobreseimiento de un recurso de revisión, el </w:t>
      </w:r>
      <w:r w:rsidRPr="006E21B6">
        <w:rPr>
          <w:rFonts w:ascii="Palatino Linotype" w:hAnsi="Palatino Linotype"/>
          <w:b/>
        </w:rPr>
        <w:t>SUJETO OBLIGADO</w:t>
      </w:r>
      <w:r w:rsidRPr="006E21B6">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w:t>
      </w:r>
      <w:r w:rsidRPr="006E21B6">
        <w:rPr>
          <w:rFonts w:ascii="Palatino Linotype" w:hAnsi="Palatino Linotype"/>
        </w:rPr>
        <w:lastRenderedPageBreak/>
        <w:t>derecho de acceso a la información pública de la persona y haciendo cesar toda controversia</w:t>
      </w:r>
    </w:p>
    <w:p w14:paraId="54FD486E" w14:textId="77777777" w:rsidR="007E5B84" w:rsidRPr="006E21B6" w:rsidRDefault="007E5B84" w:rsidP="007E5B84">
      <w:pPr>
        <w:pStyle w:val="Prrafodelista"/>
        <w:spacing w:before="240" w:after="240" w:line="360" w:lineRule="auto"/>
        <w:ind w:left="0" w:right="49"/>
        <w:jc w:val="both"/>
        <w:rPr>
          <w:rFonts w:ascii="Palatino Linotype" w:hAnsi="Palatino Linotype"/>
        </w:rPr>
      </w:pPr>
    </w:p>
    <w:p w14:paraId="13D08C57" w14:textId="77777777" w:rsidR="007E5B84" w:rsidRPr="006E21B6" w:rsidRDefault="007E5B84" w:rsidP="007E5B84">
      <w:pPr>
        <w:pStyle w:val="Prrafodelista"/>
        <w:numPr>
          <w:ilvl w:val="0"/>
          <w:numId w:val="1"/>
        </w:numPr>
        <w:spacing w:before="240" w:after="240" w:line="360" w:lineRule="auto"/>
        <w:ind w:right="49"/>
        <w:jc w:val="both"/>
        <w:rPr>
          <w:rFonts w:ascii="Palatino Linotype" w:hAnsi="Palatino Linotype"/>
        </w:rPr>
      </w:pPr>
      <w:r w:rsidRPr="006E21B6">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42A49A0E" w14:textId="77777777" w:rsidR="007E5B84" w:rsidRPr="006E21B6" w:rsidRDefault="007E5B84" w:rsidP="007E5B84">
      <w:pPr>
        <w:spacing w:line="360" w:lineRule="auto"/>
        <w:ind w:left="567" w:right="567"/>
        <w:jc w:val="both"/>
        <w:rPr>
          <w:rFonts w:ascii="Palatino Linotype" w:hAnsi="Palatino Linotype" w:cs="Arial"/>
          <w:i/>
          <w:sz w:val="22"/>
        </w:rPr>
      </w:pPr>
      <w:r w:rsidRPr="006E21B6">
        <w:rPr>
          <w:rFonts w:ascii="Palatino Linotype" w:hAnsi="Palatino Linotype" w:cs="Arial"/>
          <w:b/>
          <w:i/>
          <w:sz w:val="22"/>
        </w:rPr>
        <w:t>SOBRESEIMIENTO EN EL JUICIO DE AMPARO DIRECTO. IMPIDE EL ESTUDIO DE LAS VIOLACIONES PROCESALES PLANTEADAS EN LOS CONCEPTOS DE VIOLACIÓN.</w:t>
      </w:r>
      <w:r w:rsidRPr="006E21B6">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FB6EA9F" w14:textId="77777777" w:rsidR="007E5B84" w:rsidRPr="006E21B6" w:rsidRDefault="007E5B84" w:rsidP="007E5B84">
      <w:pPr>
        <w:spacing w:line="360" w:lineRule="auto"/>
        <w:ind w:left="567" w:right="567"/>
        <w:jc w:val="both"/>
        <w:rPr>
          <w:rFonts w:ascii="Palatino Linotype" w:hAnsi="Palatino Linotype" w:cs="Arial"/>
          <w:i/>
          <w:sz w:val="22"/>
        </w:rPr>
      </w:pPr>
      <w:r w:rsidRPr="006E21B6">
        <w:rPr>
          <w:rFonts w:ascii="Palatino Linotype" w:hAnsi="Palatino Linotype" w:cs="Arial"/>
          <w:i/>
          <w:sz w:val="22"/>
        </w:rPr>
        <w:t>SEPTIMO TRIBUNAL COLEGIADO EN MATERIA CIVIL DEL PRIMER CIRCUITO</w:t>
      </w:r>
    </w:p>
    <w:p w14:paraId="67539FF0" w14:textId="77777777" w:rsidR="007E5B84" w:rsidRPr="006E21B6" w:rsidRDefault="007E5B84" w:rsidP="007E5B84">
      <w:pPr>
        <w:spacing w:line="360" w:lineRule="auto"/>
        <w:ind w:left="567" w:right="567"/>
        <w:jc w:val="both"/>
        <w:rPr>
          <w:rFonts w:ascii="Palatino Linotype" w:hAnsi="Palatino Linotype" w:cs="Arial"/>
          <w:i/>
        </w:rPr>
      </w:pPr>
      <w:r w:rsidRPr="006E21B6">
        <w:rPr>
          <w:rFonts w:ascii="Palatino Linotype" w:hAnsi="Palatino Linotype" w:cs="Arial"/>
          <w:i/>
          <w:sz w:val="22"/>
        </w:rPr>
        <w:t xml:space="preserve">Amparo directo 699/2008. Mariana Leticia González </w:t>
      </w:r>
      <w:proofErr w:type="spellStart"/>
      <w:r w:rsidRPr="006E21B6">
        <w:rPr>
          <w:rFonts w:ascii="Palatino Linotype" w:hAnsi="Palatino Linotype" w:cs="Arial"/>
          <w:i/>
          <w:sz w:val="22"/>
        </w:rPr>
        <w:t>Steele</w:t>
      </w:r>
      <w:proofErr w:type="spellEnd"/>
      <w:r w:rsidRPr="006E21B6">
        <w:rPr>
          <w:rFonts w:ascii="Palatino Linotype" w:hAnsi="Palatino Linotype" w:cs="Arial"/>
          <w:i/>
          <w:sz w:val="22"/>
        </w:rPr>
        <w:t>. 13 de noviembre de 2008. Unanimidad de votos. Ponente: Sara Judith Montalvo Trejo. Secretario: Arnulfo Mateos García.”</w:t>
      </w:r>
    </w:p>
    <w:p w14:paraId="0E2BB3A6" w14:textId="77777777" w:rsidR="007E5B84" w:rsidRPr="006E21B6" w:rsidRDefault="007E5B84" w:rsidP="007E5B84">
      <w:pPr>
        <w:spacing w:line="360" w:lineRule="auto"/>
        <w:jc w:val="both"/>
        <w:rPr>
          <w:rFonts w:ascii="Palatino Linotype" w:hAnsi="Palatino Linotype" w:cs="Arial"/>
        </w:rPr>
      </w:pPr>
    </w:p>
    <w:p w14:paraId="3D97ABA4" w14:textId="77777777" w:rsidR="007E5B84" w:rsidRPr="006E21B6" w:rsidRDefault="007E5B84" w:rsidP="007E5B84">
      <w:pPr>
        <w:pStyle w:val="Prrafodelista"/>
        <w:numPr>
          <w:ilvl w:val="0"/>
          <w:numId w:val="1"/>
        </w:numPr>
        <w:spacing w:line="360" w:lineRule="auto"/>
        <w:jc w:val="both"/>
        <w:rPr>
          <w:rFonts w:ascii="Palatino Linotype" w:hAnsi="Palatino Linotype" w:cs="Palatino Linotype"/>
        </w:rPr>
      </w:pPr>
      <w:r w:rsidRPr="006E21B6">
        <w:rPr>
          <w:rFonts w:ascii="Palatino Linotype" w:hAnsi="Palatino Linotype" w:cs="Arial"/>
        </w:rPr>
        <w:t xml:space="preserve">Bajo esas consideraciones, se afirma que en el recurso de revisión sujeto a estudio se actualiza la hipótesis jurídica citada, toda vez que quedó probado que el </w:t>
      </w:r>
      <w:r w:rsidRPr="006E21B6">
        <w:rPr>
          <w:rFonts w:ascii="Palatino Linotype" w:hAnsi="Palatino Linotype" w:cs="Arial"/>
          <w:b/>
        </w:rPr>
        <w:lastRenderedPageBreak/>
        <w:t>SUJETO OBLIGADO</w:t>
      </w:r>
      <w:r w:rsidRPr="006E21B6">
        <w:rPr>
          <w:rFonts w:ascii="Palatino Linotype" w:hAnsi="Palatino Linotype" w:cs="Arial"/>
        </w:rPr>
        <w:t xml:space="preserve"> mediante un acto posterior como lo es el Informe justificado proporcionó la información necesaria para dejar sin materia el recurso de revisión.</w:t>
      </w:r>
    </w:p>
    <w:p w14:paraId="7EA07F3A" w14:textId="77777777" w:rsidR="007E5B84" w:rsidRPr="006E21B6" w:rsidRDefault="007E5B84" w:rsidP="007E5B84">
      <w:pPr>
        <w:tabs>
          <w:tab w:val="left" w:pos="567"/>
        </w:tabs>
        <w:spacing w:line="360" w:lineRule="auto"/>
        <w:jc w:val="both"/>
        <w:rPr>
          <w:rFonts w:ascii="Palatino Linotype" w:eastAsia="Calibri" w:hAnsi="Palatino Linotype" w:cs="Arial"/>
        </w:rPr>
      </w:pPr>
    </w:p>
    <w:p w14:paraId="6E3DCD4D" w14:textId="77777777" w:rsidR="007E5B84" w:rsidRPr="006E21B6" w:rsidRDefault="007E5B84" w:rsidP="007E5B84">
      <w:pPr>
        <w:pStyle w:val="Prrafodelista"/>
        <w:numPr>
          <w:ilvl w:val="0"/>
          <w:numId w:val="1"/>
        </w:numPr>
        <w:spacing w:line="360" w:lineRule="auto"/>
        <w:jc w:val="both"/>
        <w:rPr>
          <w:rFonts w:ascii="Palatino Linotype" w:hAnsi="Palatino Linotype" w:cs="Arial"/>
        </w:rPr>
      </w:pPr>
      <w:r w:rsidRPr="006E21B6">
        <w:rPr>
          <w:rFonts w:ascii="Palatino Linotype" w:eastAsia="Times New Roman" w:hAnsi="Palatino Linotype" w:cs="Arial"/>
          <w:color w:val="222222"/>
          <w:lang w:eastAsia="es-MX"/>
        </w:rPr>
        <w:t xml:space="preserve">Por lo anteriormente expuesto y fundado, este </w:t>
      </w:r>
      <w:r w:rsidRPr="006E21B6">
        <w:rPr>
          <w:rFonts w:ascii="Palatino Linotype" w:eastAsia="Times New Roman" w:hAnsi="Palatino Linotype" w:cs="Arial"/>
          <w:b/>
          <w:bCs/>
          <w:color w:val="222222"/>
          <w:lang w:eastAsia="es-MX"/>
        </w:rPr>
        <w:t>ÓRGANO GARANTE</w:t>
      </w:r>
      <w:r w:rsidRPr="006E21B6">
        <w:rPr>
          <w:rFonts w:ascii="Palatino Linotype" w:eastAsia="Times New Roman" w:hAnsi="Palatino Linotype" w:cs="Arial"/>
          <w:color w:val="222222"/>
          <w:lang w:eastAsia="es-MX"/>
        </w:rPr>
        <w:t xml:space="preserve"> emite los siguientes:</w:t>
      </w:r>
    </w:p>
    <w:p w14:paraId="18C7D92B" w14:textId="77777777" w:rsidR="009959DB" w:rsidRPr="006E21B6" w:rsidRDefault="009959DB" w:rsidP="009959DB">
      <w:pPr>
        <w:pStyle w:val="Ttulo1"/>
        <w:spacing w:line="360" w:lineRule="auto"/>
        <w:jc w:val="center"/>
        <w:rPr>
          <w:b/>
          <w:color w:val="000000" w:themeColor="text1"/>
          <w:szCs w:val="24"/>
        </w:rPr>
      </w:pPr>
      <w:bookmarkStart w:id="36" w:name="_Toc495427547"/>
      <w:bookmarkStart w:id="37" w:name="_Toc497905366"/>
      <w:bookmarkStart w:id="38" w:name="_Toc87456497"/>
      <w:r w:rsidRPr="006E21B6">
        <w:rPr>
          <w:b/>
          <w:color w:val="000000" w:themeColor="text1"/>
          <w:szCs w:val="24"/>
        </w:rPr>
        <w:t>R E S O L U T I V O S</w:t>
      </w:r>
      <w:bookmarkEnd w:id="24"/>
      <w:bookmarkEnd w:id="25"/>
      <w:bookmarkEnd w:id="36"/>
      <w:bookmarkEnd w:id="37"/>
      <w:bookmarkEnd w:id="38"/>
    </w:p>
    <w:p w14:paraId="38BFF031" w14:textId="77777777" w:rsidR="00914C27" w:rsidRPr="006E21B6" w:rsidRDefault="00914C27" w:rsidP="00014006">
      <w:pPr>
        <w:spacing w:line="360" w:lineRule="auto"/>
        <w:jc w:val="both"/>
        <w:rPr>
          <w:rFonts w:ascii="Palatino Linotype" w:eastAsia="Times New Roman" w:hAnsi="Palatino Linotype" w:cs="Arial"/>
          <w:b/>
        </w:rPr>
      </w:pPr>
    </w:p>
    <w:p w14:paraId="007E8057" w14:textId="3495CE77" w:rsidR="007E5B84" w:rsidRPr="006E21B6" w:rsidRDefault="007E5B84" w:rsidP="007E5B84">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9" w:name="_Toc450120669"/>
      <w:bookmarkStart w:id="40" w:name="_Toc460947011"/>
      <w:r w:rsidRPr="006E21B6">
        <w:rPr>
          <w:rFonts w:ascii="Palatino Linotype" w:hAnsi="Palatino Linotype" w:cs="Arial"/>
          <w:b/>
        </w:rPr>
        <w:t xml:space="preserve">PRIMERO. </w:t>
      </w:r>
      <w:r w:rsidRPr="006E21B6">
        <w:rPr>
          <w:rFonts w:ascii="Palatino Linotype" w:hAnsi="Palatino Linotype"/>
        </w:rPr>
        <w:t xml:space="preserve">Se </w:t>
      </w:r>
      <w:r w:rsidRPr="006E21B6">
        <w:rPr>
          <w:rFonts w:ascii="Palatino Linotype" w:hAnsi="Palatino Linotype"/>
          <w:b/>
        </w:rPr>
        <w:t>SOBRESEE</w:t>
      </w:r>
      <w:r w:rsidRPr="006E21B6">
        <w:rPr>
          <w:rFonts w:ascii="Palatino Linotype" w:hAnsi="Palatino Linotype"/>
        </w:rPr>
        <w:t xml:space="preserve"> el recurso de revisión número </w:t>
      </w:r>
      <w:r w:rsidRPr="006E21B6">
        <w:rPr>
          <w:rFonts w:ascii="Palatino Linotype" w:hAnsi="Palatino Linotype"/>
          <w:b/>
        </w:rPr>
        <w:t>1</w:t>
      </w:r>
      <w:r w:rsidR="00260D68" w:rsidRPr="006E21B6">
        <w:rPr>
          <w:rFonts w:ascii="Palatino Linotype" w:hAnsi="Palatino Linotype"/>
          <w:b/>
        </w:rPr>
        <w:t>7268</w:t>
      </w:r>
      <w:r w:rsidRPr="006E21B6">
        <w:rPr>
          <w:rFonts w:ascii="Palatino Linotype" w:hAnsi="Palatino Linotype"/>
          <w:b/>
        </w:rPr>
        <w:t xml:space="preserve">/INFOEM/IP/RR/2022 </w:t>
      </w:r>
      <w:r w:rsidRPr="006E21B6">
        <w:rPr>
          <w:rFonts w:ascii="Palatino Linotype" w:hAnsi="Palatino Linotype"/>
        </w:rPr>
        <w:t>porque al modificar la respuesta a través del informe justificado y atender lo solicitado, el recurso de revisión quedó sin materia, conforme a lo dispuesto la fracción III del artículo 192 de la Ley de Transparencia y Acceso a la Información Pública del Estado de México y Municipios,</w:t>
      </w:r>
      <w:r w:rsidRPr="006E21B6">
        <w:rPr>
          <w:rFonts w:ascii="Palatino Linotype" w:hAnsi="Palatino Linotype"/>
          <w:b/>
        </w:rPr>
        <w:t xml:space="preserve"> </w:t>
      </w:r>
      <w:r w:rsidRPr="006E21B6">
        <w:rPr>
          <w:rFonts w:ascii="Palatino Linotype" w:hAnsi="Palatino Linotype"/>
        </w:rPr>
        <w:t xml:space="preserve">en términos del Considerando </w:t>
      </w:r>
      <w:r w:rsidRPr="006E21B6">
        <w:rPr>
          <w:rFonts w:ascii="Palatino Linotype" w:hAnsi="Palatino Linotype"/>
          <w:b/>
        </w:rPr>
        <w:t>TERCERO</w:t>
      </w:r>
      <w:r w:rsidRPr="006E21B6">
        <w:rPr>
          <w:rFonts w:ascii="Palatino Linotype" w:hAnsi="Palatino Linotype"/>
        </w:rPr>
        <w:t xml:space="preserve"> de la presente resolución.</w:t>
      </w:r>
    </w:p>
    <w:p w14:paraId="100E3105" w14:textId="77777777" w:rsidR="007E5B84" w:rsidRPr="006E21B6" w:rsidRDefault="007E5B84" w:rsidP="007E5B84">
      <w:pPr>
        <w:spacing w:before="240" w:after="360" w:line="360" w:lineRule="auto"/>
        <w:jc w:val="both"/>
        <w:rPr>
          <w:rStyle w:val="Ttulo2Car"/>
          <w:rFonts w:ascii="Palatino Linotype" w:hAnsi="Palatino Linotype"/>
          <w:b/>
          <w:color w:val="000000" w:themeColor="text1"/>
        </w:rPr>
      </w:pPr>
      <w:bookmarkStart w:id="41" w:name="_Toc461648590"/>
      <w:bookmarkStart w:id="42" w:name="_Toc461648682"/>
      <w:bookmarkStart w:id="43" w:name="_Toc462228049"/>
      <w:bookmarkStart w:id="44" w:name="_Toc462228129"/>
      <w:bookmarkStart w:id="45" w:name="_Toc496099789"/>
      <w:bookmarkStart w:id="46" w:name="_Toc496100166"/>
      <w:bookmarkStart w:id="47" w:name="_Toc499756977"/>
      <w:bookmarkStart w:id="48" w:name="_Toc499757020"/>
      <w:bookmarkStart w:id="49" w:name="_Toc504377974"/>
      <w:r w:rsidRPr="006E21B6">
        <w:rPr>
          <w:rFonts w:ascii="Palatino Linotype" w:hAnsi="Palatino Linotype" w:cs="Arial"/>
          <w:b/>
        </w:rPr>
        <w:t>SEGUNDO.</w:t>
      </w:r>
      <w:bookmarkEnd w:id="41"/>
      <w:bookmarkEnd w:id="42"/>
      <w:bookmarkEnd w:id="43"/>
      <w:bookmarkEnd w:id="44"/>
      <w:bookmarkEnd w:id="45"/>
      <w:bookmarkEnd w:id="46"/>
      <w:bookmarkEnd w:id="47"/>
      <w:bookmarkEnd w:id="48"/>
      <w:bookmarkEnd w:id="49"/>
      <w:r w:rsidRPr="006E21B6">
        <w:rPr>
          <w:rStyle w:val="Ttulo2Car"/>
          <w:rFonts w:ascii="Palatino Linotype" w:hAnsi="Palatino Linotype"/>
          <w:b/>
          <w:color w:val="000000" w:themeColor="text1"/>
        </w:rPr>
        <w:t xml:space="preserve"> </w:t>
      </w:r>
      <w:r w:rsidRPr="006E21B6">
        <w:rPr>
          <w:rFonts w:ascii="Palatino Linotype" w:eastAsia="MS Mincho" w:hAnsi="Palatino Linotype" w:cs="Arial"/>
          <w:b/>
          <w:bCs/>
          <w:color w:val="000000" w:themeColor="text1"/>
          <w:shd w:val="clear" w:color="auto" w:fill="FFFFFF"/>
        </w:rPr>
        <w:t xml:space="preserve">Remítase </w:t>
      </w:r>
      <w:r w:rsidRPr="006E21B6">
        <w:rPr>
          <w:rFonts w:ascii="Palatino Linotype" w:eastAsia="MS Mincho" w:hAnsi="Palatino Linotype"/>
          <w:color w:val="000000" w:themeColor="text1"/>
          <w:shd w:val="clear" w:color="auto" w:fill="FFFFFF"/>
        </w:rPr>
        <w:t>al Titular de la Unidad de Transparencia del</w:t>
      </w:r>
      <w:r w:rsidRPr="006E21B6">
        <w:rPr>
          <w:rFonts w:ascii="Palatino Linotype" w:eastAsia="MS Mincho" w:hAnsi="Palatino Linotype"/>
          <w:b/>
          <w:bCs/>
          <w:color w:val="000000" w:themeColor="text1"/>
          <w:shd w:val="clear" w:color="auto" w:fill="FFFFFF"/>
        </w:rPr>
        <w:t xml:space="preserve"> SUJETO OBLIGADO</w:t>
      </w:r>
      <w:r w:rsidRPr="006E21B6">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0B7B5520" w14:textId="77777777" w:rsidR="007E5B84" w:rsidRPr="006E21B6" w:rsidRDefault="007E5B84" w:rsidP="007E5B84">
      <w:pPr>
        <w:spacing w:line="360" w:lineRule="auto"/>
        <w:jc w:val="both"/>
        <w:rPr>
          <w:rFonts w:ascii="Palatino Linotype" w:hAnsi="Palatino Linotype"/>
        </w:rPr>
      </w:pPr>
      <w:bookmarkStart w:id="50" w:name="_Toc460947013"/>
      <w:bookmarkEnd w:id="39"/>
      <w:bookmarkEnd w:id="40"/>
      <w:r w:rsidRPr="006E21B6">
        <w:rPr>
          <w:rFonts w:ascii="Palatino Linotype" w:hAnsi="Palatino Linotype" w:cs="Arial"/>
          <w:b/>
        </w:rPr>
        <w:t xml:space="preserve">TERCERO. </w:t>
      </w:r>
      <w:r w:rsidRPr="006E21B6">
        <w:rPr>
          <w:rFonts w:ascii="Palatino Linotype" w:hAnsi="Palatino Linotype"/>
          <w:b/>
          <w:bCs/>
          <w:color w:val="222222"/>
          <w:lang w:val="es-ES"/>
        </w:rPr>
        <w:t>Notifíquese a</w:t>
      </w:r>
      <w:r w:rsidRPr="006E21B6">
        <w:rPr>
          <w:rFonts w:ascii="Palatino Linotype" w:hAnsi="Palatino Linotype"/>
          <w:b/>
        </w:rPr>
        <w:t xml:space="preserve">l RECURRENTE </w:t>
      </w:r>
      <w:r w:rsidRPr="006E21B6">
        <w:rPr>
          <w:rFonts w:ascii="Palatino Linotype" w:hAnsi="Palatino Linotype"/>
        </w:rPr>
        <w:t>la presente resolución.</w:t>
      </w:r>
    </w:p>
    <w:p w14:paraId="157D7678" w14:textId="77777777" w:rsidR="007E5B84" w:rsidRPr="006E21B6" w:rsidRDefault="007E5B84" w:rsidP="007E5B84">
      <w:pPr>
        <w:spacing w:line="360" w:lineRule="auto"/>
        <w:jc w:val="both"/>
        <w:rPr>
          <w:rFonts w:ascii="Palatino Linotype" w:hAnsi="Palatino Linotype"/>
        </w:rPr>
      </w:pPr>
    </w:p>
    <w:bookmarkEnd w:id="50"/>
    <w:p w14:paraId="0936A084" w14:textId="77777777" w:rsidR="007E5B84" w:rsidRPr="006E21B6" w:rsidRDefault="007E5B84" w:rsidP="007E5B84">
      <w:pPr>
        <w:spacing w:line="360" w:lineRule="auto"/>
        <w:jc w:val="both"/>
        <w:rPr>
          <w:rFonts w:ascii="Palatino Linotype" w:eastAsia="MS Mincho" w:hAnsi="Palatino Linotype"/>
          <w:lang w:val="es-ES"/>
        </w:rPr>
      </w:pPr>
      <w:r w:rsidRPr="006E21B6">
        <w:rPr>
          <w:rFonts w:ascii="Palatino Linotype" w:eastAsia="MS Mincho" w:hAnsi="Palatino Linotype"/>
          <w:b/>
        </w:rPr>
        <w:t>CUARTO.</w:t>
      </w:r>
      <w:r w:rsidRPr="006E21B6">
        <w:rPr>
          <w:rFonts w:ascii="Palatino Linotype" w:eastAsia="MS Mincho" w:hAnsi="Palatino Linotype"/>
        </w:rPr>
        <w:t xml:space="preserve"> </w:t>
      </w:r>
      <w:r w:rsidRPr="006E21B6">
        <w:rPr>
          <w:rFonts w:ascii="Palatino Linotype" w:eastAsia="MS Mincho" w:hAnsi="Palatino Linotype"/>
          <w:lang w:val="es-ES"/>
        </w:rPr>
        <w:t xml:space="preserve">Se hace del conocimiento de </w:t>
      </w:r>
      <w:r w:rsidRPr="006E21B6">
        <w:rPr>
          <w:rFonts w:ascii="Palatino Linotype" w:eastAsia="Calibri" w:hAnsi="Palatino Linotype" w:cs="Tahoma"/>
          <w:b/>
          <w:lang w:eastAsia="en-US"/>
        </w:rPr>
        <w:t>RECURRENTE</w:t>
      </w:r>
      <w:r w:rsidRPr="006E21B6">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E21B6">
        <w:rPr>
          <w:rFonts w:ascii="Palatino Linotype" w:eastAsia="MS Mincho" w:hAnsi="Palatino Linotype"/>
          <w:bCs/>
          <w:lang w:val="es-ES"/>
        </w:rPr>
        <w:t>vía juicio de amparo</w:t>
      </w:r>
      <w:r w:rsidRPr="006E21B6">
        <w:rPr>
          <w:rFonts w:ascii="Palatino Linotype" w:eastAsia="MS Mincho" w:hAnsi="Palatino Linotype"/>
          <w:lang w:val="es-ES"/>
        </w:rPr>
        <w:t> en los términos de las leyes aplicables.</w:t>
      </w:r>
    </w:p>
    <w:p w14:paraId="5BEC5670" w14:textId="77777777" w:rsidR="006E21B6" w:rsidRDefault="006E21B6" w:rsidP="006E21B6">
      <w:pPr>
        <w:spacing w:before="240" w:after="240" w:line="360" w:lineRule="auto"/>
        <w:jc w:val="both"/>
        <w:rPr>
          <w:rFonts w:ascii="Palatino Linotype" w:hAnsi="Palatino Linotype"/>
        </w:rPr>
      </w:pPr>
      <w:r w:rsidRPr="006E21B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22"/>
      <w:footerReference w:type="default" r:id="rId23"/>
      <w:headerReference w:type="first" r:id="rId24"/>
      <w:footerReference w:type="first" r:id="rId2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B381A" w14:textId="77777777" w:rsidR="00494420" w:rsidRDefault="00494420" w:rsidP="00587366">
      <w:r>
        <w:separator/>
      </w:r>
    </w:p>
  </w:endnote>
  <w:endnote w:type="continuationSeparator" w:id="0">
    <w:p w14:paraId="53B8D9D4" w14:textId="77777777" w:rsidR="00494420" w:rsidRDefault="0049442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514C0EA" w:rsidR="00DE462C" w:rsidRPr="00883450" w:rsidRDefault="00DE462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F5C8F">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F5C8F">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47B193F0" w:rsidR="00DE462C" w:rsidRDefault="00DE46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26774CA" w:rsidR="00DE462C" w:rsidRPr="00883450" w:rsidRDefault="00DE462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27EC9" w:rsidRPr="00127E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27EC9" w:rsidRPr="00127EC9">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0A9A2B26" w:rsidR="00DE462C" w:rsidRPr="00883450" w:rsidRDefault="00DE462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C21AD" w14:textId="77777777" w:rsidR="00494420" w:rsidRDefault="00494420" w:rsidP="00587366">
      <w:r>
        <w:separator/>
      </w:r>
    </w:p>
  </w:footnote>
  <w:footnote w:type="continuationSeparator" w:id="0">
    <w:p w14:paraId="33B76B03" w14:textId="77777777" w:rsidR="00494420" w:rsidRDefault="00494420" w:rsidP="00587366">
      <w:r>
        <w:continuationSeparator/>
      </w:r>
    </w:p>
  </w:footnote>
  <w:footnote w:id="1">
    <w:p w14:paraId="32D56466" w14:textId="77777777" w:rsidR="00DE462C" w:rsidRDefault="00DE462C" w:rsidP="008E4483">
      <w:pPr>
        <w:pStyle w:val="Textonotapie"/>
      </w:pPr>
      <w:r>
        <w:rPr>
          <w:rStyle w:val="Refdenotaalpie"/>
        </w:rPr>
        <w:footnoteRef/>
      </w:r>
      <w:r>
        <w:t xml:space="preserve"> Convención Americana sobre Derechos Humanos. Artículo 13.</w:t>
      </w:r>
    </w:p>
  </w:footnote>
  <w:footnote w:id="2">
    <w:p w14:paraId="3F7967D5" w14:textId="77777777" w:rsidR="00DE462C" w:rsidRDefault="00DE462C"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E462C" w:rsidRDefault="00DE462C"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E462C" w:rsidRDefault="00DE462C"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DE462C" w:rsidRDefault="00DE462C"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E462C" w:rsidRDefault="00DE462C" w:rsidP="008E4483">
      <w:pPr>
        <w:pStyle w:val="Textonotapie"/>
      </w:pPr>
      <w:r>
        <w:t>II. Eficacia: Obligación del Instituto para tutelar, de manera efectiva, el derecho de acceso a la información;</w:t>
      </w:r>
    </w:p>
    <w:p w14:paraId="707D8AAF" w14:textId="77777777" w:rsidR="00DE462C" w:rsidRDefault="00DE462C" w:rsidP="008E4483">
      <w:pPr>
        <w:pStyle w:val="Textonotapie"/>
      </w:pPr>
      <w:r>
        <w:t xml:space="preserve">… </w:t>
      </w:r>
    </w:p>
  </w:footnote>
  <w:footnote w:id="6">
    <w:p w14:paraId="4AB2551B" w14:textId="77777777" w:rsidR="00DE462C" w:rsidRDefault="00DE462C" w:rsidP="00E26FFA">
      <w:pPr>
        <w:pStyle w:val="Textonotapie"/>
      </w:pPr>
      <w:r>
        <w:rPr>
          <w:rStyle w:val="Refdenotaalpie"/>
        </w:rPr>
        <w:footnoteRef/>
      </w:r>
      <w:r>
        <w:t xml:space="preserve"> Artículo 150. Ley de Transparencia y Acceso a la Información Pública del Estado de México y Municipios.</w:t>
      </w:r>
    </w:p>
    <w:p w14:paraId="3677D542" w14:textId="77777777" w:rsidR="00DE462C" w:rsidRDefault="00DE462C" w:rsidP="00E26FFA">
      <w:pPr>
        <w:pStyle w:val="Textonotapie"/>
      </w:pPr>
      <w:r>
        <w:t>Artículo 151. Ibídem.</w:t>
      </w:r>
    </w:p>
  </w:footnote>
  <w:footnote w:id="7">
    <w:p w14:paraId="2E3D26C2" w14:textId="77777777" w:rsidR="00DE462C" w:rsidRDefault="00DE462C" w:rsidP="00E26FFA">
      <w:pPr>
        <w:pStyle w:val="Textonotapie"/>
      </w:pPr>
      <w:r>
        <w:rPr>
          <w:rStyle w:val="Refdenotaalpie"/>
        </w:rPr>
        <w:footnoteRef/>
      </w:r>
      <w:r>
        <w:t xml:space="preserve"> Fracción IV. Artículo 53. Ibídem.</w:t>
      </w:r>
    </w:p>
  </w:footnote>
  <w:footnote w:id="8">
    <w:p w14:paraId="53D46E6F" w14:textId="77777777" w:rsidR="00DE462C" w:rsidRPr="00952F10" w:rsidRDefault="00DE462C" w:rsidP="00A02A4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79D7550" w14:textId="77777777" w:rsidR="00DE462C" w:rsidRDefault="00DE462C" w:rsidP="00A02A4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E462C" w:rsidRPr="00025127" w14:paraId="07F2896E" w14:textId="77777777" w:rsidTr="00FA0F09">
      <w:trPr>
        <w:trHeight w:val="138"/>
        <w:jc w:val="right"/>
      </w:trPr>
      <w:tc>
        <w:tcPr>
          <w:tcW w:w="3260" w:type="dxa"/>
          <w:vAlign w:val="center"/>
        </w:tcPr>
        <w:p w14:paraId="4A5B1974" w14:textId="44CA9AFE" w:rsidR="00DE462C" w:rsidRPr="00025127" w:rsidRDefault="00DE462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82A2506" w:rsidR="00DE462C" w:rsidRPr="00025127" w:rsidRDefault="00DE462C" w:rsidP="00755146">
          <w:pPr>
            <w:pStyle w:val="Encabezado"/>
            <w:jc w:val="both"/>
            <w:rPr>
              <w:rFonts w:ascii="Palatino Linotype" w:hAnsi="Palatino Linotype"/>
              <w:b/>
              <w:sz w:val="22"/>
              <w:szCs w:val="22"/>
            </w:rPr>
          </w:pPr>
          <w:r>
            <w:rPr>
              <w:rFonts w:ascii="Palatino Linotype" w:hAnsi="Palatino Linotype"/>
              <w:b/>
              <w:sz w:val="22"/>
              <w:szCs w:val="22"/>
            </w:rPr>
            <w:t>17268</w:t>
          </w:r>
          <w:r w:rsidRPr="00025127">
            <w:rPr>
              <w:rFonts w:ascii="Palatino Linotype" w:hAnsi="Palatino Linotype"/>
              <w:b/>
              <w:sz w:val="22"/>
              <w:szCs w:val="22"/>
            </w:rPr>
            <w:t>/INFOEM/IP/RR/</w:t>
          </w:r>
          <w:r>
            <w:rPr>
              <w:rFonts w:ascii="Palatino Linotype" w:hAnsi="Palatino Linotype"/>
              <w:b/>
              <w:sz w:val="22"/>
              <w:szCs w:val="22"/>
            </w:rPr>
            <w:t>2022</w:t>
          </w:r>
        </w:p>
      </w:tc>
    </w:tr>
    <w:tr w:rsidR="00DE462C" w:rsidRPr="00025127" w14:paraId="1B5D8690" w14:textId="77777777" w:rsidTr="00FA0F09">
      <w:trPr>
        <w:trHeight w:val="233"/>
        <w:jc w:val="right"/>
      </w:trPr>
      <w:tc>
        <w:tcPr>
          <w:tcW w:w="3260" w:type="dxa"/>
          <w:vAlign w:val="center"/>
        </w:tcPr>
        <w:p w14:paraId="3903F2C6" w14:textId="22D569F8" w:rsidR="00DE462C" w:rsidRPr="00025127" w:rsidRDefault="00DE462C"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C962B77" w:rsidR="00DE462C" w:rsidRPr="00025127" w:rsidRDefault="00DE462C" w:rsidP="00411700">
          <w:pPr>
            <w:pStyle w:val="Encabezado"/>
            <w:ind w:right="-248"/>
            <w:jc w:val="both"/>
            <w:rPr>
              <w:rFonts w:ascii="Palatino Linotype" w:hAnsi="Palatino Linotype"/>
              <w:b/>
              <w:sz w:val="22"/>
              <w:szCs w:val="22"/>
            </w:rPr>
          </w:pPr>
          <w:r w:rsidRPr="00B14FFA">
            <w:rPr>
              <w:rFonts w:ascii="Palatino Linotype" w:eastAsia="Calibri" w:hAnsi="Palatino Linotype" w:cs="Arial"/>
              <w:b/>
              <w:bCs/>
              <w:sz w:val="22"/>
              <w:lang w:val="es-ES"/>
            </w:rPr>
            <w:t>Secretaría de Medio Ambiente</w:t>
          </w:r>
        </w:p>
      </w:tc>
    </w:tr>
    <w:tr w:rsidR="00DE462C" w:rsidRPr="00025127" w14:paraId="095EB01B" w14:textId="77777777" w:rsidTr="00FA0F09">
      <w:trPr>
        <w:trHeight w:val="321"/>
        <w:jc w:val="right"/>
      </w:trPr>
      <w:tc>
        <w:tcPr>
          <w:tcW w:w="3260" w:type="dxa"/>
          <w:vAlign w:val="center"/>
        </w:tcPr>
        <w:p w14:paraId="6E000A51" w14:textId="05E1861A" w:rsidR="00DE462C" w:rsidRPr="00025127" w:rsidRDefault="00DE462C"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E462C" w:rsidRPr="00025127" w:rsidRDefault="00DE462C"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E462C" w:rsidRDefault="00DE462C"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E462C" w:rsidRDefault="0049442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E462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E462C" w:rsidRPr="00025127" w14:paraId="0A3256F2" w14:textId="77777777" w:rsidTr="006E6B65">
      <w:trPr>
        <w:trHeight w:val="138"/>
        <w:jc w:val="right"/>
      </w:trPr>
      <w:tc>
        <w:tcPr>
          <w:tcW w:w="3261" w:type="dxa"/>
          <w:vAlign w:val="center"/>
        </w:tcPr>
        <w:p w14:paraId="3D80769D" w14:textId="316F11F8" w:rsidR="00DE462C" w:rsidRPr="00025127" w:rsidRDefault="00DE462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E6A21BB" w:rsidR="00DE462C" w:rsidRPr="00025127" w:rsidRDefault="00DE462C" w:rsidP="00B14FFA">
          <w:pPr>
            <w:pStyle w:val="Encabezado"/>
            <w:rPr>
              <w:rFonts w:ascii="Palatino Linotype" w:hAnsi="Palatino Linotype"/>
              <w:b/>
              <w:sz w:val="22"/>
              <w:szCs w:val="22"/>
            </w:rPr>
          </w:pPr>
          <w:r>
            <w:rPr>
              <w:rFonts w:ascii="Palatino Linotype" w:hAnsi="Palatino Linotype"/>
              <w:b/>
              <w:sz w:val="22"/>
              <w:szCs w:val="22"/>
            </w:rPr>
            <w:t>17268</w:t>
          </w:r>
          <w:r w:rsidRPr="00025127">
            <w:rPr>
              <w:rFonts w:ascii="Palatino Linotype" w:hAnsi="Palatino Linotype"/>
              <w:b/>
              <w:sz w:val="22"/>
              <w:szCs w:val="22"/>
            </w:rPr>
            <w:t>/INFOEM/IP/RR/</w:t>
          </w:r>
          <w:r>
            <w:rPr>
              <w:rFonts w:ascii="Palatino Linotype" w:hAnsi="Palatino Linotype"/>
              <w:b/>
              <w:sz w:val="22"/>
              <w:szCs w:val="22"/>
            </w:rPr>
            <w:t>2022</w:t>
          </w:r>
        </w:p>
      </w:tc>
    </w:tr>
    <w:tr w:rsidR="00DE462C" w:rsidRPr="00025127" w14:paraId="128C8B3C" w14:textId="77777777" w:rsidTr="006E6B65">
      <w:trPr>
        <w:trHeight w:val="233"/>
        <w:jc w:val="right"/>
      </w:trPr>
      <w:tc>
        <w:tcPr>
          <w:tcW w:w="3261" w:type="dxa"/>
          <w:vAlign w:val="center"/>
        </w:tcPr>
        <w:p w14:paraId="483E3371" w14:textId="66B1BC74" w:rsidR="00DE462C" w:rsidRPr="00025127" w:rsidRDefault="00DE462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2AA937F" w:rsidR="00DE462C" w:rsidRPr="0035066B" w:rsidRDefault="00127EC9" w:rsidP="00F91F4C">
          <w:pPr>
            <w:pStyle w:val="Encabezado"/>
            <w:rPr>
              <w:rFonts w:ascii="Palatino Linotype" w:hAnsi="Palatino Linotype"/>
              <w:b/>
              <w:sz w:val="22"/>
              <w:szCs w:val="22"/>
            </w:rPr>
          </w:pPr>
          <w:r>
            <w:rPr>
              <w:rFonts w:ascii="Palatino Linotype" w:hAnsi="Palatino Linotype"/>
              <w:b/>
              <w:szCs w:val="22"/>
            </w:rPr>
            <w:t>XXXXXXX</w:t>
          </w:r>
        </w:p>
      </w:tc>
    </w:tr>
    <w:tr w:rsidR="00DE462C" w:rsidRPr="00025127" w14:paraId="41BE0704" w14:textId="77777777" w:rsidTr="006E6B65">
      <w:trPr>
        <w:trHeight w:val="321"/>
        <w:jc w:val="right"/>
      </w:trPr>
      <w:tc>
        <w:tcPr>
          <w:tcW w:w="3261" w:type="dxa"/>
          <w:vAlign w:val="center"/>
        </w:tcPr>
        <w:p w14:paraId="34C64148" w14:textId="10C6C8A9" w:rsidR="00DE462C" w:rsidRPr="00025127" w:rsidRDefault="00DE462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2B5B6B9" w:rsidR="00DE462C" w:rsidRPr="00F91F4C" w:rsidRDefault="00DE462C" w:rsidP="003E0075">
          <w:pPr>
            <w:pStyle w:val="Encabezado"/>
            <w:jc w:val="both"/>
            <w:rPr>
              <w:rFonts w:ascii="Palatino Linotype" w:hAnsi="Palatino Linotype"/>
              <w:b/>
              <w:sz w:val="22"/>
              <w:szCs w:val="22"/>
            </w:rPr>
          </w:pPr>
          <w:r w:rsidRPr="00B14FFA">
            <w:rPr>
              <w:rFonts w:ascii="Palatino Linotype" w:eastAsia="Calibri" w:hAnsi="Palatino Linotype" w:cs="Arial"/>
              <w:b/>
              <w:bCs/>
              <w:sz w:val="22"/>
              <w:lang w:val="es-ES"/>
            </w:rPr>
            <w:t>Secretaría de Medio Ambiente</w:t>
          </w:r>
        </w:p>
      </w:tc>
    </w:tr>
    <w:tr w:rsidR="00DE462C" w:rsidRPr="00025127" w14:paraId="0C8B6193" w14:textId="77777777" w:rsidTr="006E6B65">
      <w:trPr>
        <w:trHeight w:val="321"/>
        <w:jc w:val="right"/>
      </w:trPr>
      <w:tc>
        <w:tcPr>
          <w:tcW w:w="3261" w:type="dxa"/>
          <w:vAlign w:val="center"/>
        </w:tcPr>
        <w:p w14:paraId="321FFAFF" w14:textId="0E8C2CE7" w:rsidR="00DE462C" w:rsidRPr="00025127" w:rsidRDefault="00DE462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E462C" w:rsidRPr="00025127" w:rsidRDefault="00DE462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E462C" w:rsidRDefault="00DE462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BE6F6E"/>
    <w:multiLevelType w:val="hybridMultilevel"/>
    <w:tmpl w:val="F93CF5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30114ED"/>
    <w:multiLevelType w:val="hybridMultilevel"/>
    <w:tmpl w:val="6F5A3A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F77528"/>
    <w:multiLevelType w:val="multilevel"/>
    <w:tmpl w:val="93E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4549FF"/>
    <w:multiLevelType w:val="hybridMultilevel"/>
    <w:tmpl w:val="FB1E63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CEF5854"/>
    <w:multiLevelType w:val="hybridMultilevel"/>
    <w:tmpl w:val="F2F68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2D6DDF"/>
    <w:multiLevelType w:val="hybridMultilevel"/>
    <w:tmpl w:val="A24A6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B96CD8"/>
    <w:multiLevelType w:val="hybridMultilevel"/>
    <w:tmpl w:val="BEC28A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33"/>
  </w:num>
  <w:num w:numId="6">
    <w:abstractNumId w:val="37"/>
  </w:num>
  <w:num w:numId="7">
    <w:abstractNumId w:val="17"/>
  </w:num>
  <w:num w:numId="8">
    <w:abstractNumId w:val="11"/>
  </w:num>
  <w:num w:numId="9">
    <w:abstractNumId w:val="19"/>
  </w:num>
  <w:num w:numId="10">
    <w:abstractNumId w:val="6"/>
  </w:num>
  <w:num w:numId="11">
    <w:abstractNumId w:val="26"/>
  </w:num>
  <w:num w:numId="12">
    <w:abstractNumId w:val="4"/>
  </w:num>
  <w:num w:numId="13">
    <w:abstractNumId w:val="13"/>
  </w:num>
  <w:num w:numId="14">
    <w:abstractNumId w:val="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9"/>
  </w:num>
  <w:num w:numId="18">
    <w:abstractNumId w:val="12"/>
  </w:num>
  <w:num w:numId="19">
    <w:abstractNumId w:val="8"/>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32"/>
  </w:num>
  <w:num w:numId="27">
    <w:abstractNumId w:val="9"/>
  </w:num>
  <w:num w:numId="28">
    <w:abstractNumId w:val="2"/>
  </w:num>
  <w:num w:numId="29">
    <w:abstractNumId w:val="10"/>
  </w:num>
  <w:num w:numId="30">
    <w:abstractNumId w:val="24"/>
  </w:num>
  <w:num w:numId="31">
    <w:abstractNumId w:val="18"/>
  </w:num>
  <w:num w:numId="32">
    <w:abstractNumId w:val="5"/>
  </w:num>
  <w:num w:numId="33">
    <w:abstractNumId w:val="25"/>
  </w:num>
  <w:num w:numId="34">
    <w:abstractNumId w:val="3"/>
  </w:num>
  <w:num w:numId="35">
    <w:abstractNumId w:val="30"/>
  </w:num>
  <w:num w:numId="36">
    <w:abstractNumId w:val="35"/>
  </w:num>
  <w:num w:numId="37">
    <w:abstractNumId w:val="27"/>
  </w:num>
  <w:num w:numId="38">
    <w:abstractNumId w:val="23"/>
  </w:num>
  <w:num w:numId="39">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8"/>
  </w:num>
  <w:num w:numId="42">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34"/>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6EB"/>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FAC"/>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756"/>
    <w:rsid w:val="00114A21"/>
    <w:rsid w:val="00115C8B"/>
    <w:rsid w:val="00115F2B"/>
    <w:rsid w:val="00116127"/>
    <w:rsid w:val="001169D5"/>
    <w:rsid w:val="00116E70"/>
    <w:rsid w:val="00117441"/>
    <w:rsid w:val="00120024"/>
    <w:rsid w:val="0012006D"/>
    <w:rsid w:val="00121495"/>
    <w:rsid w:val="00121F4A"/>
    <w:rsid w:val="00122E4B"/>
    <w:rsid w:val="0012380D"/>
    <w:rsid w:val="00123CC2"/>
    <w:rsid w:val="00124015"/>
    <w:rsid w:val="00124CF1"/>
    <w:rsid w:val="001250B4"/>
    <w:rsid w:val="001253D1"/>
    <w:rsid w:val="00127E68"/>
    <w:rsid w:val="00127EC9"/>
    <w:rsid w:val="001318D2"/>
    <w:rsid w:val="00132C06"/>
    <w:rsid w:val="00133B79"/>
    <w:rsid w:val="00133CE5"/>
    <w:rsid w:val="00134AEC"/>
    <w:rsid w:val="001352E5"/>
    <w:rsid w:val="00135C45"/>
    <w:rsid w:val="00135DD5"/>
    <w:rsid w:val="0013673A"/>
    <w:rsid w:val="0013695B"/>
    <w:rsid w:val="0013752C"/>
    <w:rsid w:val="00140206"/>
    <w:rsid w:val="0014054F"/>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56E60"/>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6DD8"/>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90F"/>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25D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5D1F"/>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473DD"/>
    <w:rsid w:val="00250126"/>
    <w:rsid w:val="002507D8"/>
    <w:rsid w:val="00252A20"/>
    <w:rsid w:val="00252B41"/>
    <w:rsid w:val="00254362"/>
    <w:rsid w:val="0025524F"/>
    <w:rsid w:val="00257E5F"/>
    <w:rsid w:val="00260C1D"/>
    <w:rsid w:val="00260D68"/>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915"/>
    <w:rsid w:val="00286DDB"/>
    <w:rsid w:val="002871EB"/>
    <w:rsid w:val="00291A54"/>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245"/>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4803"/>
    <w:rsid w:val="003B55AD"/>
    <w:rsid w:val="003B5FD2"/>
    <w:rsid w:val="003B7EC4"/>
    <w:rsid w:val="003C183D"/>
    <w:rsid w:val="003C7282"/>
    <w:rsid w:val="003D00D5"/>
    <w:rsid w:val="003D0A29"/>
    <w:rsid w:val="003D0BC7"/>
    <w:rsid w:val="003D181D"/>
    <w:rsid w:val="003D20C4"/>
    <w:rsid w:val="003D4163"/>
    <w:rsid w:val="003D46D0"/>
    <w:rsid w:val="003D5661"/>
    <w:rsid w:val="003D7436"/>
    <w:rsid w:val="003D792A"/>
    <w:rsid w:val="003E0075"/>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1700"/>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1C96"/>
    <w:rsid w:val="00432B72"/>
    <w:rsid w:val="00433016"/>
    <w:rsid w:val="004333EB"/>
    <w:rsid w:val="004342F1"/>
    <w:rsid w:val="004349C0"/>
    <w:rsid w:val="004364EE"/>
    <w:rsid w:val="00437702"/>
    <w:rsid w:val="00437909"/>
    <w:rsid w:val="0044013B"/>
    <w:rsid w:val="004401B5"/>
    <w:rsid w:val="004402C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0AF9"/>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4420"/>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46"/>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4FB"/>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4ED"/>
    <w:rsid w:val="00515DEC"/>
    <w:rsid w:val="00516603"/>
    <w:rsid w:val="005166F9"/>
    <w:rsid w:val="005167B1"/>
    <w:rsid w:val="00517A46"/>
    <w:rsid w:val="00517D20"/>
    <w:rsid w:val="00520763"/>
    <w:rsid w:val="005213F7"/>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07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D7D51"/>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667"/>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DC6"/>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081E"/>
    <w:rsid w:val="006E1056"/>
    <w:rsid w:val="006E21B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C87"/>
    <w:rsid w:val="006F1E31"/>
    <w:rsid w:val="006F2A6B"/>
    <w:rsid w:val="006F2C12"/>
    <w:rsid w:val="006F2F92"/>
    <w:rsid w:val="006F31F3"/>
    <w:rsid w:val="006F3266"/>
    <w:rsid w:val="006F40FD"/>
    <w:rsid w:val="006F51AA"/>
    <w:rsid w:val="006F5C8F"/>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0CDE"/>
    <w:rsid w:val="00721335"/>
    <w:rsid w:val="00721924"/>
    <w:rsid w:val="00721F66"/>
    <w:rsid w:val="00722B93"/>
    <w:rsid w:val="0072445A"/>
    <w:rsid w:val="00725CA2"/>
    <w:rsid w:val="00731F1F"/>
    <w:rsid w:val="0073324B"/>
    <w:rsid w:val="007337E6"/>
    <w:rsid w:val="00735A75"/>
    <w:rsid w:val="007363AE"/>
    <w:rsid w:val="007365AD"/>
    <w:rsid w:val="00736F44"/>
    <w:rsid w:val="007370C6"/>
    <w:rsid w:val="00740BA4"/>
    <w:rsid w:val="00742486"/>
    <w:rsid w:val="007434AE"/>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21E"/>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B84"/>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8C3"/>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5B3"/>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0254"/>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3796"/>
    <w:rsid w:val="0093416D"/>
    <w:rsid w:val="0093652D"/>
    <w:rsid w:val="00937309"/>
    <w:rsid w:val="00937D66"/>
    <w:rsid w:val="0094065A"/>
    <w:rsid w:val="00940FE2"/>
    <w:rsid w:val="00943E62"/>
    <w:rsid w:val="00945A61"/>
    <w:rsid w:val="0094717D"/>
    <w:rsid w:val="00950154"/>
    <w:rsid w:val="00950C6E"/>
    <w:rsid w:val="00951ECA"/>
    <w:rsid w:val="00953054"/>
    <w:rsid w:val="009531D6"/>
    <w:rsid w:val="00953610"/>
    <w:rsid w:val="009537F3"/>
    <w:rsid w:val="0095382C"/>
    <w:rsid w:val="00953B03"/>
    <w:rsid w:val="009548C1"/>
    <w:rsid w:val="00955A1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5311"/>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37CE"/>
    <w:rsid w:val="00994158"/>
    <w:rsid w:val="00994E5F"/>
    <w:rsid w:val="009959DB"/>
    <w:rsid w:val="00995C9F"/>
    <w:rsid w:val="0099752D"/>
    <w:rsid w:val="00997C2A"/>
    <w:rsid w:val="009A0358"/>
    <w:rsid w:val="009A0461"/>
    <w:rsid w:val="009A0754"/>
    <w:rsid w:val="009A07CA"/>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732"/>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AFF"/>
    <w:rsid w:val="009F6D34"/>
    <w:rsid w:val="009F74A2"/>
    <w:rsid w:val="009F7BB0"/>
    <w:rsid w:val="00A0054B"/>
    <w:rsid w:val="00A0179F"/>
    <w:rsid w:val="00A01B7D"/>
    <w:rsid w:val="00A02A43"/>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110D"/>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4CCA"/>
    <w:rsid w:val="00A85CB7"/>
    <w:rsid w:val="00A8620F"/>
    <w:rsid w:val="00A8652F"/>
    <w:rsid w:val="00A86AAB"/>
    <w:rsid w:val="00A86D49"/>
    <w:rsid w:val="00A8769A"/>
    <w:rsid w:val="00A878A8"/>
    <w:rsid w:val="00A87B22"/>
    <w:rsid w:val="00A90FF4"/>
    <w:rsid w:val="00A92BE3"/>
    <w:rsid w:val="00A92E9F"/>
    <w:rsid w:val="00A92EC0"/>
    <w:rsid w:val="00A92EED"/>
    <w:rsid w:val="00A975D5"/>
    <w:rsid w:val="00A9761B"/>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7C9"/>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165"/>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4FFA"/>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5B40"/>
    <w:rsid w:val="00B966BF"/>
    <w:rsid w:val="00B974B4"/>
    <w:rsid w:val="00BA0012"/>
    <w:rsid w:val="00BA0458"/>
    <w:rsid w:val="00BA0A18"/>
    <w:rsid w:val="00BA28AD"/>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4FFC"/>
    <w:rsid w:val="00BD517B"/>
    <w:rsid w:val="00BD650E"/>
    <w:rsid w:val="00BD6560"/>
    <w:rsid w:val="00BD687D"/>
    <w:rsid w:val="00BD6C40"/>
    <w:rsid w:val="00BE00FA"/>
    <w:rsid w:val="00BE068C"/>
    <w:rsid w:val="00BE0C95"/>
    <w:rsid w:val="00BE1433"/>
    <w:rsid w:val="00BE23ED"/>
    <w:rsid w:val="00BE31BD"/>
    <w:rsid w:val="00BE3251"/>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A0B"/>
    <w:rsid w:val="00C00393"/>
    <w:rsid w:val="00C020F8"/>
    <w:rsid w:val="00C02535"/>
    <w:rsid w:val="00C04666"/>
    <w:rsid w:val="00C04D22"/>
    <w:rsid w:val="00C05FBF"/>
    <w:rsid w:val="00C06C02"/>
    <w:rsid w:val="00C06F3A"/>
    <w:rsid w:val="00C10CCF"/>
    <w:rsid w:val="00C11482"/>
    <w:rsid w:val="00C1254E"/>
    <w:rsid w:val="00C12A1B"/>
    <w:rsid w:val="00C12E38"/>
    <w:rsid w:val="00C14CDF"/>
    <w:rsid w:val="00C150E0"/>
    <w:rsid w:val="00C150F6"/>
    <w:rsid w:val="00C15189"/>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27B22"/>
    <w:rsid w:val="00C3086E"/>
    <w:rsid w:val="00C315FB"/>
    <w:rsid w:val="00C31713"/>
    <w:rsid w:val="00C317BD"/>
    <w:rsid w:val="00C33193"/>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11A"/>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348E"/>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87F27"/>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133"/>
    <w:rsid w:val="00D10350"/>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765BE"/>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6B04"/>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2C"/>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6FFA"/>
    <w:rsid w:val="00E2713B"/>
    <w:rsid w:val="00E274D7"/>
    <w:rsid w:val="00E3177E"/>
    <w:rsid w:val="00E32652"/>
    <w:rsid w:val="00E32DDF"/>
    <w:rsid w:val="00E33108"/>
    <w:rsid w:val="00E3387F"/>
    <w:rsid w:val="00E34622"/>
    <w:rsid w:val="00E34657"/>
    <w:rsid w:val="00E34706"/>
    <w:rsid w:val="00E35537"/>
    <w:rsid w:val="00E36C73"/>
    <w:rsid w:val="00E36F7D"/>
    <w:rsid w:val="00E438D6"/>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29C5"/>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28B"/>
    <w:rsid w:val="00EE280E"/>
    <w:rsid w:val="00EE3E9C"/>
    <w:rsid w:val="00EE3FD0"/>
    <w:rsid w:val="00EE4256"/>
    <w:rsid w:val="00EE453F"/>
    <w:rsid w:val="00EE4D4C"/>
    <w:rsid w:val="00EE4FBE"/>
    <w:rsid w:val="00EF014A"/>
    <w:rsid w:val="00EF01CE"/>
    <w:rsid w:val="00EF0558"/>
    <w:rsid w:val="00EF0B87"/>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15A6"/>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1315"/>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0B85"/>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3A6"/>
    <w:rsid w:val="00F96460"/>
    <w:rsid w:val="00F97AFE"/>
    <w:rsid w:val="00F97E65"/>
    <w:rsid w:val="00FA0128"/>
    <w:rsid w:val="00FA012A"/>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3238"/>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4D9"/>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F306933-A2AC-412B-9458-CACA398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1D25D9"/>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1D25D9"/>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1D25D9"/>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1D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3864852">
      <w:bodyDiv w:val="1"/>
      <w:marLeft w:val="0"/>
      <w:marRight w:val="0"/>
      <w:marTop w:val="0"/>
      <w:marBottom w:val="0"/>
      <w:divBdr>
        <w:top w:val="none" w:sz="0" w:space="0" w:color="auto"/>
        <w:left w:val="none" w:sz="0" w:space="0" w:color="auto"/>
        <w:bottom w:val="none" w:sz="0" w:space="0" w:color="auto"/>
        <w:right w:val="none" w:sz="0" w:space="0" w:color="auto"/>
      </w:divBdr>
    </w:div>
    <w:div w:id="106898953">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3732325">
      <w:bodyDiv w:val="1"/>
      <w:marLeft w:val="0"/>
      <w:marRight w:val="0"/>
      <w:marTop w:val="0"/>
      <w:marBottom w:val="0"/>
      <w:divBdr>
        <w:top w:val="none" w:sz="0" w:space="0" w:color="auto"/>
        <w:left w:val="none" w:sz="0" w:space="0" w:color="auto"/>
        <w:bottom w:val="none" w:sz="0" w:space="0" w:color="auto"/>
        <w:right w:val="none" w:sz="0" w:space="0" w:color="auto"/>
      </w:divBdr>
    </w:div>
    <w:div w:id="20063624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1138">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254265">
      <w:bodyDiv w:val="1"/>
      <w:marLeft w:val="0"/>
      <w:marRight w:val="0"/>
      <w:marTop w:val="0"/>
      <w:marBottom w:val="0"/>
      <w:divBdr>
        <w:top w:val="none" w:sz="0" w:space="0" w:color="auto"/>
        <w:left w:val="none" w:sz="0" w:space="0" w:color="auto"/>
        <w:bottom w:val="none" w:sz="0" w:space="0" w:color="auto"/>
        <w:right w:val="none" w:sz="0" w:space="0" w:color="auto"/>
      </w:divBdr>
    </w:div>
    <w:div w:id="454521857">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181515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52237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996256">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73504029">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373451">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92403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965561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18211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15682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5092065">
      <w:bodyDiv w:val="1"/>
      <w:marLeft w:val="0"/>
      <w:marRight w:val="0"/>
      <w:marTop w:val="0"/>
      <w:marBottom w:val="0"/>
      <w:divBdr>
        <w:top w:val="none" w:sz="0" w:space="0" w:color="auto"/>
        <w:left w:val="none" w:sz="0" w:space="0" w:color="auto"/>
        <w:bottom w:val="none" w:sz="0" w:space="0" w:color="auto"/>
        <w:right w:val="none" w:sz="0" w:space="0" w:color="auto"/>
      </w:divBdr>
    </w:div>
    <w:div w:id="1688797390">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4743096">
      <w:bodyDiv w:val="1"/>
      <w:marLeft w:val="0"/>
      <w:marRight w:val="0"/>
      <w:marTop w:val="0"/>
      <w:marBottom w:val="0"/>
      <w:divBdr>
        <w:top w:val="none" w:sz="0" w:space="0" w:color="auto"/>
        <w:left w:val="none" w:sz="0" w:space="0" w:color="auto"/>
        <w:bottom w:val="none" w:sz="0" w:space="0" w:color="auto"/>
        <w:right w:val="none" w:sz="0" w:space="0" w:color="auto"/>
      </w:divBdr>
    </w:div>
    <w:div w:id="175947407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3417522">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mer.edomex.gob.mx/sites/cemer.edomex.gob.mx/files/files/AIR%202021/222/Formato_AIR_Ordinario.pdf" TargetMode="External"/><Relationship Id="rId13" Type="http://schemas.openxmlformats.org/officeDocument/2006/relationships/hyperlink" Target="https://cemer.edomex.gob.mx/sites/cemer.edomex.gob.mx/files/files/AIR%202022/399/Oficio_Dictamen_firmado.pdf"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cemer.edomex.gob.mx/sites/cemer.edomex.gob.mx/files/files/AIR%202021/416/Oficio_Dictamen_firmado.pdf"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emer.edomex.gob.mx/sites/cemer.edomex.gob.mx/files/files/AIR%202022/399/Oficio_Dictamen_firmado.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mer.edomex.gob.mx/sites/cemer.edomex.gob.mx/files/files/AIR%202021/222/Formato_AIR_Ordinario.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emer.edomex.gob.mx/sites/cemer.edomex.gob.mx/files/files/AIR%202021/416/Oficio:Dictamen_firmado.pdf" TargetMode="External"/><Relationship Id="rId23" Type="http://schemas.openxmlformats.org/officeDocument/2006/relationships/footer" Target="footer1.xml"/><Relationship Id="rId10" Type="http://schemas.openxmlformats.org/officeDocument/2006/relationships/hyperlink" Target="https://cemer.edomex.gob.mx/sites/cemer.edomex.gob.mx/files/files/AIR%202022/399/Oficio_Dictamen_firmado.pd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cemer.edomex.gob.mx/sites/cemer.edomex.gob.mx/files/files/AIR%202021/416/Oficio_Dictamen_firmado.pdf" TargetMode="External"/><Relationship Id="rId14" Type="http://schemas.openxmlformats.org/officeDocument/2006/relationships/hyperlink" Target="https://cemer.edomex.gob.mx/sites/cemer.edomex.gob.mx/files/files/AIR%202021/222Formato_AIR_Ordinario.pd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FDFF-1B36-47A2-9C39-DD6F5B1E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45</Pages>
  <Words>9706</Words>
  <Characters>53387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2023-02-22T19:46:00Z</dcterms:created>
  <dcterms:modified xsi:type="dcterms:W3CDTF">2023-03-16T22:46:00Z</dcterms:modified>
</cp:coreProperties>
</file>