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360" w:lineRule="auto"/>
        <w:ind w:right="-164"/>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3">
      <w:pPr>
        <w:widowControl w:val="0"/>
        <w:spacing w:line="360" w:lineRule="auto"/>
        <w:ind w:right="-164"/>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DÉCIMO TERCERA SESIÓN ORDINARIA CELEBRADA EL SIETE DE ABRIL DE DOS MIL VEINTIDÓS, EN EL RECURSO DE REVISIÓN 00627/INFOEM/IP/RR/2022.</w:t>
      </w:r>
    </w:p>
    <w:p w:rsidR="00000000" w:rsidDel="00000000" w:rsidP="00000000" w:rsidRDefault="00000000" w:rsidRPr="00000000" w14:paraId="00000004">
      <w:pPr>
        <w:widowControl w:val="0"/>
        <w:spacing w:line="360" w:lineRule="auto"/>
        <w:ind w:right="-164"/>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sz w:val="22"/>
          <w:szCs w:val="22"/>
          <w:rtl w:val="0"/>
        </w:rPr>
        <w:t xml:space="preserve"> SHARON CRISTINA MORALES MARTÍNEZ </w:t>
      </w:r>
      <w:r w:rsidDel="00000000" w:rsidR="00000000" w:rsidRPr="00000000">
        <w:rPr>
          <w:rFonts w:ascii="Palatino Linotype" w:cs="Palatino Linotype" w:eastAsia="Palatino Linotype" w:hAnsi="Palatino Linotype"/>
          <w:sz w:val="22"/>
          <w:szCs w:val="22"/>
          <w:rtl w:val="0"/>
        </w:rPr>
        <w:t xml:space="preserve">emite </w:t>
      </w:r>
      <w:r w:rsidDel="00000000" w:rsidR="00000000" w:rsidRPr="00000000">
        <w:rPr>
          <w:rFonts w:ascii="Palatino Linotype" w:cs="Palatino Linotype" w:eastAsia="Palatino Linotype" w:hAnsi="Palatino Linotype"/>
          <w:b w:val="1"/>
          <w:sz w:val="22"/>
          <w:szCs w:val="22"/>
          <w:rtl w:val="0"/>
        </w:rPr>
        <w:t xml:space="preserve">VOTO PARTICULAR </w:t>
      </w:r>
      <w:r w:rsidDel="00000000" w:rsidR="00000000" w:rsidRPr="00000000">
        <w:rPr>
          <w:rFonts w:ascii="Palatino Linotype" w:cs="Palatino Linotype" w:eastAsia="Palatino Linotype" w:hAnsi="Palatino Linotype"/>
          <w:sz w:val="22"/>
          <w:szCs w:val="22"/>
          <w:rtl w:val="0"/>
        </w:rPr>
        <w:t xml:space="preserve">respecto de la resolución dictada en el Recurso de Revisión </w:t>
      </w:r>
      <w:r w:rsidDel="00000000" w:rsidR="00000000" w:rsidRPr="00000000">
        <w:rPr>
          <w:rFonts w:ascii="Palatino Linotype" w:cs="Palatino Linotype" w:eastAsia="Palatino Linotype" w:hAnsi="Palatino Linotype"/>
          <w:b w:val="1"/>
          <w:sz w:val="22"/>
          <w:szCs w:val="22"/>
          <w:rtl w:val="0"/>
        </w:rPr>
        <w:t xml:space="preserve">00627/INFOEM/IP/RR/2022</w:t>
      </w:r>
      <w:r w:rsidDel="00000000" w:rsidR="00000000" w:rsidRPr="00000000">
        <w:rPr>
          <w:rFonts w:ascii="Palatino Linotype" w:cs="Palatino Linotype" w:eastAsia="Palatino Linotype" w:hAnsi="Palatino Linotype"/>
          <w:sz w:val="22"/>
          <w:szCs w:val="22"/>
          <w:rtl w:val="0"/>
        </w:rPr>
        <w:t xml:space="preserve">, pronunciada por el Pleno de este Instituto ante el proyecto presentado por engrose la Comisionada </w:t>
      </w:r>
      <w:r w:rsidDel="00000000" w:rsidR="00000000" w:rsidRPr="00000000">
        <w:rPr>
          <w:rFonts w:ascii="Palatino Linotype" w:cs="Palatino Linotype" w:eastAsia="Palatino Linotype" w:hAnsi="Palatino Linotype"/>
          <w:b w:val="1"/>
          <w:sz w:val="22"/>
          <w:szCs w:val="22"/>
          <w:rtl w:val="0"/>
        </w:rPr>
        <w:t xml:space="preserve">SHARON CRISTINA MORALES MARTÍNEZ</w:t>
      </w:r>
      <w:r w:rsidDel="00000000" w:rsidR="00000000" w:rsidRPr="00000000">
        <w:rPr>
          <w:rFonts w:ascii="Palatino Linotype" w:cs="Palatino Linotype" w:eastAsia="Palatino Linotype" w:hAnsi="Palatino Linotype"/>
          <w:sz w:val="22"/>
          <w:szCs w:val="22"/>
          <w:rtl w:val="0"/>
        </w:rPr>
        <w:t xml:space="preserve">, que es del tenor siguiente.</w:t>
      </w:r>
    </w:p>
    <w:p w:rsidR="00000000" w:rsidDel="00000000" w:rsidP="00000000" w:rsidRDefault="00000000" w:rsidRPr="00000000" w14:paraId="0000000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destacar, que la suscrita comparte esencialmente el estudio realizado en la resolución del Recurso de Revisión; empero, estima necesario precisar algunas consideraciones de hecho y de derecho, que debieron analizarse con mayor profundidad.</w:t>
      </w:r>
    </w:p>
    <w:p w:rsidR="00000000" w:rsidDel="00000000" w:rsidP="00000000" w:rsidRDefault="00000000" w:rsidRPr="00000000" w14:paraId="0000000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9">
      <w:pPr>
        <w:spacing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sz w:val="22"/>
          <w:szCs w:val="22"/>
          <w:rtl w:val="0"/>
        </w:rPr>
        <w:t xml:space="preserve">En ese sentido, tal y como quedó debidamente asentado en la resolución materia del presente voto, el particular solicitó al </w:t>
      </w:r>
      <w:r w:rsidDel="00000000" w:rsidR="00000000" w:rsidRPr="00000000">
        <w:rPr>
          <w:rFonts w:ascii="Palatino Linotype" w:cs="Palatino Linotype" w:eastAsia="Palatino Linotype" w:hAnsi="Palatino Linotype"/>
          <w:b w:val="1"/>
          <w:color w:val="000000"/>
          <w:rtl w:val="0"/>
        </w:rPr>
        <w:t xml:space="preserve">Ayuntamiento de Naucalpan de Juárez,</w:t>
      </w:r>
      <w:r w:rsidDel="00000000" w:rsidR="00000000" w:rsidRPr="00000000">
        <w:rPr>
          <w:rFonts w:ascii="Palatino Linotype" w:cs="Palatino Linotype" w:eastAsia="Palatino Linotype" w:hAnsi="Palatino Linotype"/>
          <w:color w:val="000000"/>
          <w:rtl w:val="0"/>
        </w:rPr>
        <w:t xml:space="preserve"> que en lo sucesivo se denominará </w:t>
      </w:r>
      <w:r w:rsidDel="00000000" w:rsidR="00000000" w:rsidRPr="00000000">
        <w:rPr>
          <w:rFonts w:ascii="Palatino Linotype" w:cs="Palatino Linotype" w:eastAsia="Palatino Linotype" w:hAnsi="Palatino Linotype"/>
          <w:b w:val="1"/>
          <w:color w:val="000000"/>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“EJERCIENDO MI DERECHO DE ACCESO A LA INFORMACIÓN QUIERO TODOS LOS OFICIOS, MEMORÁNDUMS Y CIRCULARES FIRMADOS POR EL DIRECTOR JURÍDICO, DEL 1 DE ENERO AL 28 DE ENERO DEL 2022. ASIMISMO, DESEO QUE LA PRESIDENTA NOS INFORME COMO Y CUANDO PAGARA LOS AGUINALDOS ADEUDADOS, RESALTANDO QUE EL MUNICIPIO LO RECIBIÓ ASUMIENDO LAS DEUDAS Y LOS PROBLEMAS POR LOS QUE ATRAVIESA EL AYUNTAMIENTO" (sic).</w:t>
      </w:r>
    </w:p>
    <w:p w:rsidR="00000000" w:rsidDel="00000000" w:rsidP="00000000" w:rsidRDefault="00000000" w:rsidRPr="00000000" w14:paraId="0000000A">
      <w:pPr>
        <w:spacing w:line="360" w:lineRule="auto"/>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respuesta, </w:t>
      </w:r>
      <w:r w:rsidDel="00000000" w:rsidR="00000000" w:rsidRPr="00000000">
        <w:rPr>
          <w:rFonts w:ascii="Palatino Linotype" w:cs="Palatino Linotype" w:eastAsia="Palatino Linotype" w:hAnsi="Palatino Linotype"/>
          <w:b w:val="1"/>
          <w:color w:val="000000"/>
          <w:sz w:val="22"/>
          <w:szCs w:val="22"/>
          <w:rtl w:val="0"/>
        </w:rPr>
        <w:t xml:space="preserve">EL SUJETO OBLIGADO</w:t>
      </w:r>
      <w:r w:rsidDel="00000000" w:rsidR="00000000" w:rsidRPr="00000000">
        <w:rPr>
          <w:rFonts w:ascii="Palatino Linotype" w:cs="Palatino Linotype" w:eastAsia="Palatino Linotype" w:hAnsi="Palatino Linotype"/>
          <w:color w:val="000000"/>
          <w:sz w:val="22"/>
          <w:szCs w:val="22"/>
          <w:rtl w:val="0"/>
        </w:rPr>
        <w:t xml:space="preserve">  indicó que la información solicitada supera la cantidad de veinte hojas simples, </w:t>
      </w:r>
      <w:r w:rsidDel="00000000" w:rsidR="00000000" w:rsidRPr="00000000">
        <w:rPr>
          <w:rFonts w:ascii="Palatino Linotype" w:cs="Palatino Linotype" w:eastAsia="Palatino Linotype" w:hAnsi="Palatino Linotype"/>
          <w:sz w:val="22"/>
          <w:szCs w:val="22"/>
          <w:rtl w:val="0"/>
        </w:rPr>
        <w:t xml:space="preserve">por lo que </w:t>
      </w:r>
      <w:r w:rsidDel="00000000" w:rsidR="00000000" w:rsidRPr="00000000">
        <w:rPr>
          <w:rFonts w:ascii="Palatino Linotype" w:cs="Palatino Linotype" w:eastAsia="Palatino Linotype" w:hAnsi="Palatino Linotype"/>
          <w:color w:val="000000"/>
          <w:sz w:val="22"/>
          <w:szCs w:val="22"/>
          <w:rtl w:val="0"/>
        </w:rPr>
        <w:t xml:space="preserve">el particular deberá cubrir de forma previa a la entrega el costo de reproducción, solicitando al particular que acuda a la Dirección General Jurídica y Consultiva para poder hacer el cómputo del total de hojas y pueda solicitar a la Tesorería Municipal el formato de pago respectivo. No obstante no se pronunció sobre la segunda parte de la solicitud de la solicitud tendiente a conocer información sobre el pago de aguinaldos. </w:t>
      </w:r>
    </w:p>
    <w:p w:rsidR="00000000" w:rsidDel="00000000" w:rsidP="00000000" w:rsidRDefault="00000000" w:rsidRPr="00000000" w14:paraId="0000000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sz w:val="22"/>
          <w:szCs w:val="22"/>
          <w:rtl w:val="0"/>
        </w:rPr>
        <w:t xml:space="preserve">Inconforme con la respuesta otorgada por el Sujeto Obligado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es que el particular interpuso el medio de impugnación en comento en el que señaló como razones o motivos de inconformidad lo siguiente: </w:t>
      </w:r>
      <w:r w:rsidDel="00000000" w:rsidR="00000000" w:rsidRPr="00000000">
        <w:rPr>
          <w:rFonts w:ascii="Palatino Linotype" w:cs="Palatino Linotype" w:eastAsia="Palatino Linotype" w:hAnsi="Palatino Linotype"/>
          <w:i w:val="1"/>
          <w:sz w:val="22"/>
          <w:szCs w:val="22"/>
          <w:rtl w:val="0"/>
        </w:rPr>
        <w:t xml:space="preserve">NEGATIVA DE ENTREGA DE LA INFORMACIÓN YA QUE CAMBIARON LA MODALIDAD SIN FUNDAMENTACIÓN NI MOTIVACIÓN, SIENDO A TODAS LUCES QUE ESTE AYUNTAMIENTO NO SERÁ TRANSPARENTE Y RESALTANDO QUE DESCONOCEN LA NORMATIVIDAD EN TRANSPARENCIA.”(Sic)</w:t>
      </w:r>
    </w:p>
    <w:p w:rsidR="00000000" w:rsidDel="00000000" w:rsidP="00000000" w:rsidRDefault="00000000" w:rsidRPr="00000000" w14:paraId="0000000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es </w:t>
      </w:r>
      <w:r w:rsidDel="00000000" w:rsidR="00000000" w:rsidRPr="00000000">
        <w:rPr>
          <w:rFonts w:ascii="Palatino Linotype" w:cs="Palatino Linotype" w:eastAsia="Palatino Linotype" w:hAnsi="Palatino Linotype"/>
          <w:color w:val="000000"/>
          <w:sz w:val="22"/>
          <w:szCs w:val="22"/>
          <w:rtl w:val="0"/>
        </w:rPr>
        <w:t xml:space="preserve">importante</w:t>
      </w:r>
      <w:r w:rsidDel="00000000" w:rsidR="00000000" w:rsidRPr="00000000">
        <w:rPr>
          <w:rFonts w:ascii="Palatino Linotype" w:cs="Palatino Linotype" w:eastAsia="Palatino Linotype" w:hAnsi="Palatino Linotype"/>
          <w:sz w:val="22"/>
          <w:szCs w:val="22"/>
          <w:rtl w:val="0"/>
        </w:rPr>
        <w:t xml:space="preserve"> destacar que </w:t>
      </w:r>
      <w:r w:rsidDel="00000000" w:rsidR="00000000" w:rsidRPr="00000000">
        <w:rPr>
          <w:rFonts w:ascii="Palatino Linotype" w:cs="Palatino Linotype" w:eastAsia="Palatino Linotype" w:hAnsi="Palatino Linotype"/>
          <w:b w:val="1"/>
          <w:sz w:val="22"/>
          <w:szCs w:val="22"/>
          <w:rtl w:val="0"/>
        </w:rPr>
        <w:t xml:space="preserve">EL SUJETO OBLIGADO </w:t>
      </w:r>
      <w:r w:rsidDel="00000000" w:rsidR="00000000" w:rsidRPr="00000000">
        <w:rPr>
          <w:rFonts w:ascii="Palatino Linotype" w:cs="Palatino Linotype" w:eastAsia="Palatino Linotype" w:hAnsi="Palatino Linotype"/>
          <w:sz w:val="22"/>
          <w:szCs w:val="22"/>
          <w:rtl w:val="0"/>
        </w:rPr>
        <w:t xml:space="preserve">mediante el Informe Justificado donde refiere que el servidor público de enlace entre la Tesorería y la Unidad de Transparencia señala con relación al pago de aguinaldos que después de realizar una búsqueda, en los archivos de la tesorería municipal no obra la información solicitada.</w:t>
      </w:r>
    </w:p>
    <w:p w:rsidR="00000000" w:rsidDel="00000000" w:rsidP="00000000" w:rsidRDefault="00000000" w:rsidRPr="00000000" w14:paraId="00000010">
      <w:pPr>
        <w:tabs>
          <w:tab w:val="center" w:pos="4522"/>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se llevó a cabo un estudio para determinar si </w:t>
      </w:r>
      <w:r w:rsidDel="00000000" w:rsidR="00000000" w:rsidRPr="00000000">
        <w:rPr>
          <w:rFonts w:ascii="Palatino Linotype" w:cs="Palatino Linotype" w:eastAsia="Palatino Linotype" w:hAnsi="Palatino Linotype"/>
          <w:b w:val="1"/>
          <w:sz w:val="22"/>
          <w:szCs w:val="22"/>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actualizaban las causales de procedencia previstas en la fracciones I y II del artículo 179 de la Ley de Transparencia y Acceso a la Información Pública del Estado de México y sus Municipios, que establecen la negativa de la información solicitada y la clasificación de la misma. </w:t>
      </w:r>
    </w:p>
    <w:p w:rsidR="00000000" w:rsidDel="00000000" w:rsidP="00000000" w:rsidRDefault="00000000" w:rsidRPr="00000000" w14:paraId="00000012">
      <w:pPr>
        <w:tabs>
          <w:tab w:val="center" w:pos="4522"/>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Estudio con el cual esta Ponencia concuerda; sin que pase desapercibido el hecho de que, al momento de ponderar la reserva de datos personales de los elementos de Seguridad Pública del Ayuntamiento de Naucalpan de Juárez, se determinó la reserva únicamente con respecto del nombre de los elementos de seguridad pública, debido a que es criterio mayoritario por parte del Pleno de este Instituto</w:t>
      </w:r>
      <w:r w:rsidDel="00000000" w:rsidR="00000000" w:rsidRPr="00000000">
        <w:rPr>
          <w:rFonts w:ascii="Palatino Linotype" w:cs="Palatino Linotype" w:eastAsia="Palatino Linotype" w:hAnsi="Palatino Linotype"/>
          <w:color w:val="000000"/>
          <w:sz w:val="22"/>
          <w:szCs w:val="22"/>
          <w:rtl w:val="0"/>
        </w:rPr>
        <w:t xml:space="preserve">. Sin embargo, debe precisarse que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r w:rsidDel="00000000" w:rsidR="00000000" w:rsidRPr="00000000">
        <w:rPr>
          <w:rtl w:val="0"/>
        </w:rPr>
      </w:r>
    </w:p>
    <w:p w:rsidR="00000000" w:rsidDel="00000000" w:rsidP="00000000" w:rsidRDefault="00000000" w:rsidRPr="00000000" w14:paraId="00000014">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15">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 causaría una vulneración a la Seguridad Municipal.</w:t>
      </w:r>
    </w:p>
    <w:p w:rsidR="00000000" w:rsidDel="00000000" w:rsidP="00000000" w:rsidRDefault="00000000" w:rsidRPr="00000000" w14:paraId="00000016">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17">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Así bien, la suscrita considera que, para proteger cabalmente a los elementos de la Dirección en comento, no sólo deben resguardarse los datos relativos a sus nombres, sino también los relativos a sus cargos y áreas de adscripciones, toda vez que se trata de personal operativo cuyas funciones van encaminadas a resguardar la Seguridad Pública.</w:t>
      </w:r>
    </w:p>
    <w:p w:rsidR="00000000" w:rsidDel="00000000" w:rsidP="00000000" w:rsidRDefault="00000000" w:rsidRPr="00000000" w14:paraId="00000018">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19">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Es por ello, que se ha señalado que, la misma Ley de Transparencia contempla la excepción particular en el caso de </w:t>
      </w:r>
      <w:r w:rsidDel="00000000" w:rsidR="00000000" w:rsidRPr="00000000">
        <w:rPr>
          <w:rFonts w:ascii="Palatino Linotype" w:cs="Palatino Linotype" w:eastAsia="Palatino Linotype" w:hAnsi="Palatino Linotype"/>
          <w:b w:val="1"/>
          <w:i w:val="1"/>
          <w:color w:val="000000"/>
          <w:sz w:val="22"/>
          <w:szCs w:val="22"/>
          <w:rtl w:val="0"/>
        </w:rPr>
        <w:t xml:space="preserve">Seguridad Pública</w:t>
      </w:r>
      <w:r w:rsidDel="00000000" w:rsidR="00000000" w:rsidRPr="00000000">
        <w:rPr>
          <w:rFonts w:ascii="Palatino Linotype" w:cs="Palatino Linotype" w:eastAsia="Palatino Linotype" w:hAnsi="Palatino Linotype"/>
          <w:color w:val="000000"/>
          <w:sz w:val="22"/>
          <w:szCs w:val="22"/>
          <w:rtl w:val="0"/>
        </w:rPr>
        <w:t xml:space="preserve"> y, dado que, estos elementos pertenecen a esa corporación, son parte fundamental para el debido ejercicio de las obligaciones del Estado en cualquiera de sus tres niveles de gobierno.</w:t>
      </w:r>
    </w:p>
    <w:p w:rsidR="00000000" w:rsidDel="00000000" w:rsidP="00000000" w:rsidRDefault="00000000" w:rsidRPr="00000000" w14:paraId="0000001A">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1B">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Del="00000000" w:rsidR="00000000" w:rsidRPr="00000000">
        <w:rPr>
          <w:rFonts w:ascii="Palatino Linotype" w:cs="Palatino Linotype" w:eastAsia="Palatino Linotype" w:hAnsi="Palatino Linotype"/>
          <w:b w:val="1"/>
          <w:i w:val="1"/>
          <w:color w:val="000000"/>
          <w:sz w:val="22"/>
          <w:szCs w:val="22"/>
          <w:u w:val="single"/>
          <w:rtl w:val="0"/>
        </w:rPr>
        <w:t xml:space="preserve">“DERECHO A LA INFORMACIÓN. SU EJERCICIO SE ENCUENTRA LIMITADO TANTO POR LOS INTERESES NACIONALES Y DE LA SOCIEDAD, COMO POR LOS DERECHOS DE TERCEROS</w:t>
      </w:r>
      <w:r w:rsidDel="00000000" w:rsidR="00000000" w:rsidRPr="00000000">
        <w:rPr>
          <w:rFonts w:ascii="Palatino Linotype" w:cs="Palatino Linotype" w:eastAsia="Palatino Linotype" w:hAnsi="Palatino Linotype"/>
          <w:color w:val="000000"/>
          <w:sz w:val="22"/>
          <w:szCs w:val="22"/>
          <w:rtl w:val="0"/>
        </w:rPr>
        <w:t xml:space="preserve">, la cual señala: </w:t>
      </w:r>
    </w:p>
    <w:p w:rsidR="00000000" w:rsidDel="00000000" w:rsidP="00000000" w:rsidRDefault="00000000" w:rsidRPr="00000000" w14:paraId="0000001C">
      <w:pPr>
        <w:ind w:left="1134" w:right="1467" w:firstLine="0"/>
        <w:jc w:val="both"/>
        <w:rPr>
          <w:rFonts w:ascii="Palatino Linotype" w:cs="Palatino Linotype" w:eastAsia="Palatino Linotype" w:hAnsi="Palatino Linotype"/>
          <w:b w:val="1"/>
          <w:i w:val="1"/>
          <w:color w:val="000000"/>
          <w:sz w:val="20"/>
          <w:szCs w:val="20"/>
        </w:rPr>
      </w:pPr>
      <w:r w:rsidDel="00000000" w:rsidR="00000000" w:rsidRPr="00000000">
        <w:rPr>
          <w:rtl w:val="0"/>
        </w:rPr>
      </w:r>
    </w:p>
    <w:p w:rsidR="00000000" w:rsidDel="00000000" w:rsidP="00000000" w:rsidRDefault="00000000" w:rsidRPr="00000000" w14:paraId="0000001D">
      <w:pPr>
        <w:ind w:left="851" w:right="1467" w:firstLine="0"/>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i w:val="1"/>
          <w:color w:val="000000"/>
          <w:sz w:val="20"/>
          <w:szCs w:val="20"/>
          <w:rtl w:val="0"/>
        </w:rPr>
        <w:t xml:space="preserve">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Del="00000000" w:rsidR="00000000" w:rsidRPr="00000000">
        <w:rPr>
          <w:rFonts w:ascii="Palatino Linotype" w:cs="Palatino Linotype" w:eastAsia="Palatino Linotype" w:hAnsi="Palatino Linotype"/>
          <w:i w:val="1"/>
          <w:color w:val="000000"/>
          <w:sz w:val="20"/>
          <w:szCs w:val="20"/>
          <w:rtl w:val="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Del="00000000" w:rsidR="00000000" w:rsidRPr="00000000">
        <w:rPr>
          <w:rFonts w:ascii="Palatino Linotype" w:cs="Palatino Linotype" w:eastAsia="Palatino Linotype" w:hAnsi="Palatino Linotype"/>
          <w:b w:val="1"/>
          <w:i w:val="1"/>
          <w:color w:val="000000"/>
          <w:sz w:val="20"/>
          <w:szCs w:val="20"/>
          <w:rtl w:val="0"/>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Del="00000000" w:rsidR="00000000" w:rsidRPr="00000000">
        <w:rPr>
          <w:rFonts w:ascii="Palatino Linotype" w:cs="Palatino Linotype" w:eastAsia="Palatino Linotype" w:hAnsi="Palatino Linotype"/>
          <w:i w:val="1"/>
          <w:color w:val="000000"/>
          <w:sz w:val="20"/>
          <w:szCs w:val="20"/>
          <w:rtl w:val="0"/>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Del="00000000" w:rsidR="00000000" w:rsidRPr="00000000">
        <w:rPr>
          <w:rFonts w:ascii="Palatino Linotype" w:cs="Palatino Linotype" w:eastAsia="Palatino Linotype" w:hAnsi="Palatino Linotype"/>
          <w:color w:val="000000"/>
          <w:sz w:val="20"/>
          <w:szCs w:val="20"/>
          <w:rtl w:val="0"/>
        </w:rPr>
        <w:t xml:space="preserve">.”</w:t>
      </w:r>
    </w:p>
    <w:p w:rsidR="00000000" w:rsidDel="00000000" w:rsidP="00000000" w:rsidRDefault="00000000" w:rsidRPr="00000000" w14:paraId="0000001E">
      <w:pPr>
        <w:ind w:left="1134" w:right="1467" w:firstLine="0"/>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(Énfasis añadido)</w:t>
      </w:r>
      <w:r w:rsidDel="00000000" w:rsidR="00000000" w:rsidRPr="00000000">
        <w:rPr>
          <w:rtl w:val="0"/>
        </w:rPr>
      </w:r>
    </w:p>
    <w:p w:rsidR="00000000" w:rsidDel="00000000" w:rsidP="00000000" w:rsidRDefault="00000000" w:rsidRPr="00000000" w14:paraId="0000001F">
      <w:pPr>
        <w:ind w:left="1134" w:right="1469" w:firstLine="0"/>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0">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atención al criterio antes señalado, se establece también que resguardar la Seguridad Pública es un criterio objetivo para indicar la reserva de información, pues tiene como fin salvaguardar la integridad y derechos de las personas, así como preservar las libertades, el orden y la paz pública.</w:t>
      </w:r>
    </w:p>
    <w:p w:rsidR="00000000" w:rsidDel="00000000" w:rsidP="00000000" w:rsidRDefault="00000000" w:rsidRPr="00000000" w14:paraId="00000021">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22">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000000" w:rsidDel="00000000" w:rsidP="00000000" w:rsidRDefault="00000000" w:rsidRPr="00000000" w14:paraId="00000023">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24">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ese sentido, si bien, las áreas de adscripción de los servidores públicos de mandos medios en adelante, deben ser de conocimiento general, también lo es, que existen salvedades previstas en la ley de la materia, como el caso del personal de seguridad pública.</w:t>
      </w:r>
    </w:p>
    <w:p w:rsidR="00000000" w:rsidDel="00000000" w:rsidP="00000000" w:rsidRDefault="00000000" w:rsidRPr="00000000" w14:paraId="00000025">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26">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sz w:val="22"/>
          <w:szCs w:val="22"/>
          <w:rtl w:val="0"/>
        </w:rPr>
        <w:t xml:space="preserve">Es por las razones expuestas que se emite </w:t>
      </w:r>
      <w:r w:rsidDel="00000000" w:rsidR="00000000" w:rsidRPr="00000000">
        <w:rPr>
          <w:rFonts w:ascii="Palatino Linotype" w:cs="Palatino Linotype" w:eastAsia="Palatino Linotype" w:hAnsi="Palatino Linotype"/>
          <w:b w:val="1"/>
          <w:sz w:val="22"/>
          <w:szCs w:val="22"/>
          <w:rtl w:val="0"/>
        </w:rPr>
        <w:t xml:space="preserve">VOTO PARTICULAR, </w:t>
      </w:r>
      <w:r w:rsidDel="00000000" w:rsidR="00000000" w:rsidRPr="00000000">
        <w:rPr>
          <w:rFonts w:ascii="Palatino Linotype" w:cs="Palatino Linotype" w:eastAsia="Palatino Linotype" w:hAnsi="Palatino Linotype"/>
          <w:sz w:val="22"/>
          <w:szCs w:val="22"/>
          <w:rtl w:val="0"/>
        </w:rPr>
        <w:t xml:space="preserve">pues se debió enfatizar la reserva de los datos relativos </w:t>
      </w:r>
      <w:r w:rsidDel="00000000" w:rsidR="00000000" w:rsidRPr="00000000">
        <w:rPr>
          <w:rFonts w:ascii="Palatino Linotype" w:cs="Palatino Linotype" w:eastAsia="Palatino Linotype" w:hAnsi="Palatino Linotype"/>
          <w:color w:val="000000"/>
          <w:sz w:val="22"/>
          <w:szCs w:val="22"/>
          <w:rtl w:val="0"/>
        </w:rPr>
        <w:t xml:space="preserve">no </w:t>
      </w:r>
      <w:r w:rsidDel="00000000" w:rsidR="00000000" w:rsidRPr="00000000">
        <w:rPr>
          <w:rFonts w:ascii="Palatino Linotype" w:cs="Palatino Linotype" w:eastAsia="Palatino Linotype" w:hAnsi="Palatino Linotype"/>
          <w:sz w:val="22"/>
          <w:szCs w:val="22"/>
          <w:rtl w:val="0"/>
        </w:rPr>
        <w:t xml:space="preserve">sólo</w:t>
      </w:r>
      <w:r w:rsidDel="00000000" w:rsidR="00000000" w:rsidRPr="00000000">
        <w:rPr>
          <w:rFonts w:ascii="Palatino Linotype" w:cs="Palatino Linotype" w:eastAsia="Palatino Linotype" w:hAnsi="Palatino Linotype"/>
          <w:color w:val="000000"/>
          <w:sz w:val="22"/>
          <w:szCs w:val="22"/>
          <w:rtl w:val="0"/>
        </w:rPr>
        <w:t xml:space="preserve"> al nombre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color w:val="000000"/>
          <w:sz w:val="22"/>
          <w:szCs w:val="22"/>
          <w:rtl w:val="0"/>
        </w:rPr>
        <w:t xml:space="preserve">sino también al cargo y área de adscripción del personal operativo de la Seguridad Pública del Municipio de Naucalpan de Juárez, </w:t>
      </w:r>
      <w:r w:rsidDel="00000000" w:rsidR="00000000" w:rsidRPr="00000000">
        <w:rPr>
          <w:rFonts w:ascii="Palatino Linotype" w:cs="Palatino Linotype" w:eastAsia="Palatino Linotype" w:hAnsi="Palatino Linotype"/>
          <w:sz w:val="22"/>
          <w:szCs w:val="22"/>
          <w:rtl w:val="0"/>
        </w:rPr>
        <w:t xml:space="preserve">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proporcional clasificar esta información. </w:t>
      </w: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color w:val="000000"/>
          <w:sz w:val="14"/>
          <w:szCs w:val="14"/>
        </w:rPr>
      </w:pPr>
      <w:bookmarkStart w:colFirst="0" w:colLast="0" w:name="_heading=h.gjdgxs" w:id="0"/>
      <w:bookmarkEnd w:id="0"/>
      <w:r w:rsidDel="00000000" w:rsidR="00000000" w:rsidRPr="00000000">
        <w:rPr>
          <w:rFonts w:ascii="Palatino Linotype" w:cs="Palatino Linotype" w:eastAsia="Palatino Linotype" w:hAnsi="Palatino Linotype"/>
          <w:color w:val="000000"/>
          <w:sz w:val="14"/>
          <w:szCs w:val="14"/>
          <w:rtl w:val="0"/>
        </w:rPr>
        <w:t xml:space="preserve">SCMM/BLA/DEMF/PMRE</w:t>
      </w:r>
    </w:p>
    <w:p w:rsidR="00000000" w:rsidDel="00000000" w:rsidP="00000000" w:rsidRDefault="00000000" w:rsidRPr="00000000" w14:paraId="00000028">
      <w:pPr>
        <w:spacing w:after="160" w:line="259" w:lineRule="auto"/>
        <w:rPr>
          <w:rFonts w:ascii="Palatino Linotype" w:cs="Palatino Linotype" w:eastAsia="Palatino Linotype" w:hAnsi="Palatino Linotype"/>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A">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B">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C">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D">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E">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F">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0">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1">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3">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5">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701" w:top="1701" w:left="1134" w:right="1134" w:header="708" w:footer="5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614.65pt;height:91.65pt;rotation:315;z-index:-503316481;mso-position-horizontal-relative:margin;mso-position-horizontal:center;mso-position-vertical-relative:margin;mso-position-vertical:center;" fillcolor="#808080" stroked="f" type="#_x0000_t136">
          <v:fill angle="0" opacity="32768f"/>
          <v:textpath fitshape="t" string="VOTO PARTICULAR" style="font-family:&amp;quot;Palatino Linotype&amp;quot;;font-size:1pt;"/>
        </v:shape>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-450269</wp:posOffset>
          </wp:positionV>
          <wp:extent cx="7604125" cy="9903460"/>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4125" cy="9903460"/>
                  </a:xfrm>
                  <a:prstGeom prst="rect"/>
                  <a:ln/>
                </pic:spPr>
              </pic:pic>
            </a:graphicData>
          </a:graphic>
        </wp:anchor>
      </w:draw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VOTO PARTICULAR</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RECURSO DE REVISIÓN 00627/INFOEM/IP/RR/2022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Palatino Linotyp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Palatino Linotyp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3F34"/>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113F34"/>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113F34"/>
    <w:rPr>
      <w:rFonts w:eastAsiaTheme="minorEastAsia"/>
      <w:sz w:val="24"/>
      <w:szCs w:val="24"/>
      <w:lang w:eastAsia="es-ES" w:val="es-ES_tradnl"/>
    </w:rPr>
  </w:style>
  <w:style w:type="paragraph" w:styleId="Piedepgina">
    <w:name w:val="footer"/>
    <w:basedOn w:val="Normal"/>
    <w:link w:val="PiedepginaCar"/>
    <w:uiPriority w:val="99"/>
    <w:unhideWhenUsed w:val="1"/>
    <w:rsid w:val="00113F34"/>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113F34"/>
    <w:rPr>
      <w:rFonts w:eastAsiaTheme="minorEastAsia"/>
      <w:sz w:val="24"/>
      <w:szCs w:val="24"/>
      <w:lang w:eastAsia="es-ES" w:val="es-ES_tradnl"/>
    </w:rPr>
  </w:style>
  <w:style w:type="paragraph" w:styleId="NormalWeb">
    <w:name w:val="Normal (Web)"/>
    <w:basedOn w:val="Normal"/>
    <w:uiPriority w:val="99"/>
    <w:semiHidden w:val="1"/>
    <w:unhideWhenUsed w:val="1"/>
    <w:rsid w:val="00113F34"/>
    <w:pPr>
      <w:spacing w:after="100" w:afterAutospacing="1" w:before="100" w:beforeAutospacing="1"/>
    </w:pPr>
    <w:rPr>
      <w:lang w:eastAsia="es-MX" w:val="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225912"/>
    <w:pPr>
      <w:ind w:left="720"/>
      <w:contextualSpacing w:val="1"/>
    </w:pPr>
    <w:rPr>
      <w:rFonts w:ascii="Century Gothic" w:hAnsi="Century Gothic"/>
      <w:sz w:val="22"/>
      <w:lang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225912"/>
    <w:rPr>
      <w:rFonts w:ascii="Century Gothic" w:cs="Times New Roman" w:eastAsia="Times New Roman" w:hAnsi="Century Gothic"/>
      <w:szCs w:val="24"/>
      <w:lang w:eastAsia="es-ES" w:val="es-ES_tradnl"/>
    </w:rPr>
  </w:style>
  <w:style w:type="paragraph" w:styleId="Textodeglobo">
    <w:name w:val="Balloon Text"/>
    <w:basedOn w:val="Normal"/>
    <w:link w:val="TextodegloboCar"/>
    <w:uiPriority w:val="99"/>
    <w:semiHidden w:val="1"/>
    <w:unhideWhenUsed w:val="1"/>
    <w:rsid w:val="00817EC6"/>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17EC6"/>
    <w:rPr>
      <w:rFonts w:ascii="Segoe UI" w:cs="Segoe UI" w:eastAsia="Times New Roman" w:hAnsi="Segoe UI"/>
      <w:sz w:val="18"/>
      <w:szCs w:val="18"/>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gcEBo5UPXoRpAjLdNQQ5BMj9Rw==">AMUW2mXiXzVSHnKp3AVsDdsODeYqbmhorgqdS6VcH88oUB9Uu/cuETkjlhEKODXtgFHVGP6XErK6Vret4x71gqZQ3UKtOpraf5ldWjpw3saoXOZznHKU92Fm9MpuV4FdeKibPwpWoGBf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2022-04-07T15:55:00Z</dcterms:created>
  <dc:creator>USUARIO INFOEM</dc:creator>
</cp:coreProperties>
</file>