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DE543" w14:textId="77777777" w:rsidR="00B36041" w:rsidRDefault="00243587">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veinte de abril de dos mil veintidós.</w:t>
      </w:r>
    </w:p>
    <w:p w14:paraId="6280F4CF" w14:textId="77777777"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 xml:space="preserve">los expediente relativos a los recursos de revisión </w:t>
      </w:r>
      <w:r>
        <w:rPr>
          <w:rFonts w:ascii="Palatino Linotype" w:eastAsia="Palatino Linotype" w:hAnsi="Palatino Linotype" w:cs="Palatino Linotype"/>
          <w:b/>
          <w:sz w:val="24"/>
          <w:szCs w:val="24"/>
        </w:rPr>
        <w:t xml:space="preserve">00764/INFOEM/IP/RR/2022 </w:t>
      </w:r>
      <w:r>
        <w:rPr>
          <w:rFonts w:ascii="Palatino Linotype" w:eastAsia="Palatino Linotype" w:hAnsi="Palatino Linotype" w:cs="Palatino Linotype"/>
          <w:sz w:val="24"/>
          <w:szCs w:val="24"/>
        </w:rPr>
        <w:t>y</w:t>
      </w:r>
      <w:r>
        <w:rPr>
          <w:rFonts w:ascii="Palatino Linotype" w:eastAsia="Palatino Linotype" w:hAnsi="Palatino Linotype" w:cs="Palatino Linotype"/>
          <w:b/>
          <w:sz w:val="24"/>
          <w:szCs w:val="24"/>
        </w:rPr>
        <w:t xml:space="preserve"> 00766/INFOEM/IP/RR/2022</w:t>
      </w:r>
      <w:r>
        <w:rPr>
          <w:rFonts w:ascii="Palatino Linotype" w:eastAsia="Palatino Linotype" w:hAnsi="Palatino Linotype" w:cs="Palatino Linotype"/>
          <w:sz w:val="24"/>
          <w:szCs w:val="24"/>
        </w:rPr>
        <w:t>, interpuestos por</w:t>
      </w:r>
      <w:r>
        <w:rPr>
          <w:rFonts w:ascii="Palatino Linotype" w:eastAsia="Palatino Linotype" w:hAnsi="Palatino Linotype" w:cs="Palatino Linotype"/>
          <w:b/>
          <w:color w:val="000000"/>
          <w:sz w:val="24"/>
          <w:szCs w:val="24"/>
        </w:rPr>
        <w:t xml:space="preserve"> </w:t>
      </w:r>
      <w:r w:rsidR="00281B35">
        <w:rPr>
          <w:rFonts w:ascii="Palatino Linotype" w:eastAsia="Palatino Linotype" w:hAnsi="Palatino Linotype" w:cs="Palatino Linotype"/>
          <w:b/>
          <w:color w:val="000000"/>
          <w:sz w:val="24"/>
          <w:szCs w:val="24"/>
        </w:rPr>
        <w:t>XXXX</w:t>
      </w:r>
      <w:r>
        <w:rPr>
          <w:rFonts w:ascii="Palatino Linotype" w:eastAsia="Palatino Linotype" w:hAnsi="Palatino Linotype" w:cs="Palatino Linotype"/>
          <w:b/>
          <w:color w:val="000000"/>
          <w:sz w:val="24"/>
          <w:szCs w:val="24"/>
        </w:rPr>
        <w:t xml:space="preserve"> </w:t>
      </w:r>
      <w:r w:rsidR="00281B35">
        <w:rPr>
          <w:rFonts w:ascii="Palatino Linotype" w:eastAsia="Palatino Linotype" w:hAnsi="Palatino Linotype" w:cs="Palatino Linotype"/>
          <w:b/>
          <w:color w:val="000000"/>
          <w:sz w:val="24"/>
          <w:szCs w:val="24"/>
        </w:rPr>
        <w:t>XXXXX</w:t>
      </w:r>
      <w:r>
        <w:rPr>
          <w:rFonts w:ascii="Palatino Linotype" w:eastAsia="Palatino Linotype" w:hAnsi="Palatino Linotype" w:cs="Palatino Linotype"/>
          <w:b/>
          <w:color w:val="000000"/>
          <w:sz w:val="24"/>
          <w:szCs w:val="24"/>
        </w:rPr>
        <w:t xml:space="preserve"> </w:t>
      </w:r>
      <w:r w:rsidR="00281B35">
        <w:rPr>
          <w:rFonts w:ascii="Palatino Linotype" w:eastAsia="Palatino Linotype" w:hAnsi="Palatino Linotype" w:cs="Palatino Linotype"/>
          <w:b/>
          <w:color w:val="000000"/>
          <w:sz w:val="24"/>
          <w:szCs w:val="24"/>
        </w:rPr>
        <w:t>X</w:t>
      </w:r>
      <w:r>
        <w:rPr>
          <w:rFonts w:ascii="Palatino Linotype" w:eastAsia="Palatino Linotype" w:hAnsi="Palatino Linotype" w:cs="Palatino Linotype"/>
          <w:sz w:val="24"/>
          <w:szCs w:val="24"/>
        </w:rPr>
        <w:t xml:space="preserve">, a la cual en lo sucesivo se le denominara </w:t>
      </w:r>
      <w:r>
        <w:rPr>
          <w:rFonts w:ascii="Palatino Linotype" w:eastAsia="Palatino Linotype" w:hAnsi="Palatino Linotype" w:cs="Palatino Linotype"/>
          <w:b/>
          <w:sz w:val="24"/>
          <w:szCs w:val="24"/>
        </w:rPr>
        <w:t>LA RECURRENTE</w:t>
      </w:r>
      <w:r>
        <w:rPr>
          <w:rFonts w:ascii="Palatino Linotype" w:eastAsia="Palatino Linotype" w:hAnsi="Palatino Linotype" w:cs="Palatino Linotype"/>
          <w:sz w:val="24"/>
          <w:szCs w:val="24"/>
        </w:rPr>
        <w:t xml:space="preserve">, en contra de la falta de respuesta a las solicitudes de información con número de folio </w:t>
      </w:r>
      <w:r>
        <w:rPr>
          <w:rFonts w:ascii="Palatino Linotype" w:eastAsia="Palatino Linotype" w:hAnsi="Palatino Linotype" w:cs="Palatino Linotype"/>
          <w:b/>
          <w:color w:val="0D0D0D"/>
          <w:sz w:val="24"/>
          <w:szCs w:val="24"/>
        </w:rPr>
        <w:t xml:space="preserve">00044/NAUCALPA/IP/2022 </w:t>
      </w:r>
      <w:r>
        <w:rPr>
          <w:rFonts w:ascii="Palatino Linotype" w:eastAsia="Palatino Linotype" w:hAnsi="Palatino Linotype" w:cs="Palatino Linotype"/>
          <w:color w:val="0D0D0D"/>
          <w:sz w:val="24"/>
          <w:szCs w:val="24"/>
        </w:rPr>
        <w:t>y</w:t>
      </w:r>
      <w:r>
        <w:rPr>
          <w:rFonts w:ascii="Palatino Linotype" w:eastAsia="Palatino Linotype" w:hAnsi="Palatino Linotype" w:cs="Palatino Linotype"/>
          <w:b/>
          <w:color w:val="0D0D0D"/>
          <w:sz w:val="24"/>
          <w:szCs w:val="24"/>
        </w:rPr>
        <w:t xml:space="preserve"> 00041/NAUCALPA/IP/2022</w:t>
      </w:r>
      <w:r>
        <w:rPr>
          <w:rFonts w:ascii="Palatino Linotype" w:eastAsia="Palatino Linotype" w:hAnsi="Palatino Linotype" w:cs="Palatino Linotype"/>
          <w:b/>
          <w:sz w:val="24"/>
          <w:szCs w:val="24"/>
        </w:rPr>
        <w:t>,</w:t>
      </w:r>
      <w:r>
        <w:rPr>
          <w:rFonts w:ascii="Palatino Linotype" w:eastAsia="Palatino Linotype" w:hAnsi="Palatino Linotype" w:cs="Palatino Linotype"/>
          <w:sz w:val="24"/>
          <w:szCs w:val="24"/>
        </w:rPr>
        <w:t xml:space="preserve"> por parte del</w:t>
      </w:r>
      <w:r>
        <w:rPr>
          <w:rFonts w:ascii="Palatino Linotype" w:eastAsia="Palatino Linotype" w:hAnsi="Palatino Linotype" w:cs="Palatino Linotype"/>
          <w:b/>
          <w:sz w:val="24"/>
          <w:szCs w:val="24"/>
        </w:rPr>
        <w:t xml:space="preserve"> Ayuntamiento de Naucalpan de Juárez</w:t>
      </w:r>
      <w:r>
        <w:rPr>
          <w:rFonts w:ascii="Palatino Linotype" w:eastAsia="Palatino Linotype" w:hAnsi="Palatino Linotype" w:cs="Palatino Linotype"/>
          <w:sz w:val="24"/>
          <w:szCs w:val="24"/>
        </w:rPr>
        <w:t>, en lo sucesivo</w:t>
      </w:r>
      <w:r>
        <w:rPr>
          <w:rFonts w:ascii="Palatino Linotype" w:eastAsia="Palatino Linotype" w:hAnsi="Palatino Linotype" w:cs="Palatino Linotype"/>
          <w:b/>
          <w:sz w:val="24"/>
          <w:szCs w:val="24"/>
        </w:rPr>
        <w:t xml:space="preserve"> EL SUJETO OBLIGADO; </w:t>
      </w:r>
      <w:r>
        <w:rPr>
          <w:rFonts w:ascii="Palatino Linotype" w:eastAsia="Palatino Linotype" w:hAnsi="Palatino Linotype" w:cs="Palatino Linotype"/>
          <w:sz w:val="24"/>
          <w:szCs w:val="24"/>
        </w:rPr>
        <w:t xml:space="preserve">se procede a dictar la presente resolución, con base en lo siguiente. </w:t>
      </w:r>
    </w:p>
    <w:p w14:paraId="083C8F41" w14:textId="77777777" w:rsidR="00B36041" w:rsidRDefault="00243587">
      <w:pPr>
        <w:spacing w:before="240" w:after="24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AN T E C E D E N T E S</w:t>
      </w:r>
    </w:p>
    <w:p w14:paraId="1650733A" w14:textId="77777777"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1.</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DE LA SOLICITUD DE INFORMACIÓN.</w:t>
      </w:r>
      <w:r>
        <w:rPr>
          <w:rFonts w:ascii="Palatino Linotype" w:eastAsia="Palatino Linotype" w:hAnsi="Palatino Linotype" w:cs="Palatino Linotype"/>
          <w:sz w:val="24"/>
          <w:szCs w:val="24"/>
        </w:rPr>
        <w:t xml:space="preserve"> Con fecha trece de enero de dos mil veintidós, </w:t>
      </w:r>
      <w:r>
        <w:rPr>
          <w:rFonts w:ascii="Palatino Linotype" w:eastAsia="Palatino Linotype" w:hAnsi="Palatino Linotype" w:cs="Palatino Linotype"/>
          <w:b/>
          <w:sz w:val="24"/>
          <w:szCs w:val="24"/>
        </w:rPr>
        <w:t>LA RECURRENTE</w:t>
      </w:r>
      <w:r>
        <w:rPr>
          <w:rFonts w:ascii="Palatino Linotype" w:eastAsia="Palatino Linotype" w:hAnsi="Palatino Linotype" w:cs="Palatino Linotype"/>
          <w:sz w:val="24"/>
          <w:szCs w:val="24"/>
        </w:rPr>
        <w:t>, presentó a través del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solicitudes de acceso a la información pública, registradas bajo los números de expediente</w:t>
      </w:r>
      <w:r>
        <w:rPr>
          <w:rFonts w:ascii="Verdana" w:eastAsia="Verdana" w:hAnsi="Verdana" w:cs="Verdana"/>
          <w:b/>
          <w:color w:val="FF0000"/>
        </w:rPr>
        <w:t> </w:t>
      </w:r>
      <w:r>
        <w:rPr>
          <w:rFonts w:ascii="Palatino Linotype" w:eastAsia="Palatino Linotype" w:hAnsi="Palatino Linotype" w:cs="Palatino Linotype"/>
          <w:b/>
          <w:color w:val="0D0D0D"/>
          <w:sz w:val="24"/>
          <w:szCs w:val="24"/>
        </w:rPr>
        <w:t xml:space="preserve">00044/NAUCALPA/IP/2022 </w:t>
      </w:r>
      <w:r>
        <w:rPr>
          <w:rFonts w:ascii="Palatino Linotype" w:eastAsia="Palatino Linotype" w:hAnsi="Palatino Linotype" w:cs="Palatino Linotype"/>
          <w:color w:val="0D0D0D"/>
          <w:sz w:val="24"/>
          <w:szCs w:val="24"/>
        </w:rPr>
        <w:t>y</w:t>
      </w:r>
      <w:r>
        <w:rPr>
          <w:rFonts w:ascii="Palatino Linotype" w:eastAsia="Palatino Linotype" w:hAnsi="Palatino Linotype" w:cs="Palatino Linotype"/>
          <w:b/>
          <w:color w:val="0D0D0D"/>
          <w:sz w:val="24"/>
          <w:szCs w:val="24"/>
        </w:rPr>
        <w:t xml:space="preserve"> 00041/NAUCALPA/IP/2022</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mediante las cual solicitó información en el tenor siguiente:</w:t>
      </w:r>
    </w:p>
    <w:p w14:paraId="27613DE8" w14:textId="77777777" w:rsidR="00B36041" w:rsidRDefault="00243587">
      <w:pPr>
        <w:spacing w:before="240" w:after="240" w:line="360" w:lineRule="auto"/>
        <w:jc w:val="both"/>
        <w:rPr>
          <w:rFonts w:ascii="Palatino Linotype" w:eastAsia="Palatino Linotype" w:hAnsi="Palatino Linotype" w:cs="Palatino Linotype"/>
          <w:sz w:val="24"/>
          <w:szCs w:val="24"/>
        </w:rPr>
      </w:pPr>
      <w:r>
        <w:rPr>
          <w:rFonts w:ascii="Verdana" w:eastAsia="Verdana" w:hAnsi="Verdana" w:cs="Verdana"/>
          <w:b/>
          <w:color w:val="FF0000"/>
        </w:rPr>
        <w:t> </w:t>
      </w:r>
      <w:r>
        <w:rPr>
          <w:rFonts w:ascii="Palatino Linotype" w:eastAsia="Palatino Linotype" w:hAnsi="Palatino Linotype" w:cs="Palatino Linotype"/>
          <w:b/>
          <w:color w:val="0D0D0D"/>
          <w:sz w:val="24"/>
          <w:szCs w:val="24"/>
        </w:rPr>
        <w:t>00044/NAUCALPA/IP/2022:</w:t>
      </w:r>
    </w:p>
    <w:p w14:paraId="5890ABD8" w14:textId="77777777" w:rsidR="00B36041" w:rsidRDefault="00243587">
      <w:pPr>
        <w:spacing w:before="240" w:after="24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“SOLICITO EL NOMBRE Y CARGOS DE TODO EL PERSONAL DE LA DIRECCIÓN GENERAL DE EDUCACION Y CULTURA NUMERO DE </w:t>
      </w:r>
      <w:r>
        <w:rPr>
          <w:rFonts w:ascii="Palatino Linotype" w:eastAsia="Palatino Linotype" w:hAnsi="Palatino Linotype" w:cs="Palatino Linotype"/>
          <w:i/>
          <w:color w:val="000000"/>
        </w:rPr>
        <w:lastRenderedPageBreak/>
        <w:t>FUNCIONARIOS NUMERO DE EMPLEADOS DE CONFIANZA EN EL CASO DE LOS FUNCIONARIOS SOLICITO SU PERFIL PROFESIONAL QUE SUSTENTE EL CARGO (Sic.)”</w:t>
      </w:r>
    </w:p>
    <w:p w14:paraId="411D7102" w14:textId="77777777" w:rsidR="00B36041" w:rsidRDefault="00243587">
      <w:pPr>
        <w:spacing w:before="240" w:after="240" w:line="360" w:lineRule="auto"/>
        <w:jc w:val="both"/>
        <w:rPr>
          <w:rFonts w:ascii="Palatino Linotype" w:eastAsia="Palatino Linotype" w:hAnsi="Palatino Linotype" w:cs="Palatino Linotype"/>
          <w:b/>
          <w:color w:val="0D0D0D"/>
          <w:sz w:val="24"/>
          <w:szCs w:val="24"/>
        </w:rPr>
      </w:pPr>
      <w:r>
        <w:rPr>
          <w:rFonts w:ascii="Palatino Linotype" w:eastAsia="Palatino Linotype" w:hAnsi="Palatino Linotype" w:cs="Palatino Linotype"/>
          <w:b/>
          <w:color w:val="0D0D0D"/>
          <w:sz w:val="24"/>
          <w:szCs w:val="24"/>
        </w:rPr>
        <w:t>00041/NAUCALPA/IP/2022:</w:t>
      </w:r>
    </w:p>
    <w:p w14:paraId="21853704" w14:textId="77777777" w:rsidR="00B36041" w:rsidRDefault="00243587">
      <w:pPr>
        <w:spacing w:before="240" w:after="24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“SOLICITA EL PERFIL PROFESIONAL QUE ACREDITE LA EXPERIENCIA Y CAPACIDAD DE LA DIRECTORA GENERAL DE EDUCACIÓN Y CULTURA, ESPECIFICANDO AÑOS DEBIDAMENTE ACREDITADOS COMO FUNCIONARIA PUBLICA, ASI COMO SU TITULO PROFESIONAL O DOCUMENTO QUE ACREDITE SU NIVEL DE ESCOLARIDAD. ASIMISMO SOLICITO TODOS Y CADA UNO DE LOS REQUISITOS QUE EXIJE LA LEY ORGANICA MUNICIPAL DEL ESTADO DE MEXICO, PARA SER FUNCIONARIA DE LA DIRECCIÓN GENERAL DE EDUCACION Y CULTURA, Y EN CASO DE NO ACREDITARLOS CUAL ES EL FUNDAMENTO LEGAL POR EL CUAL LA C, LETICIA BUITRON TIENE UN NOMBRAMIENTO SIN ACREDITAR DICHOS REQUISITOS. SOLICITO COPIA SIMPLE DE CADA DOCUMENTO QUE ACREDITE QUE EL NOMBRAMIENTO DE LA DIRECTORA GENERAL DE EDUCACION Y CULTURA FUE CONFORME A LA LEY ORGANICA MUNICIPAL DEL ESTADO DE MEXICO Y SUS MUNICIPIOS. (Sic.)”</w:t>
      </w:r>
    </w:p>
    <w:p w14:paraId="0E9C4D67" w14:textId="77777777"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Modalidad elegida por el solicitante para la entrega de la información: Vía SAIMEX.</w:t>
      </w:r>
    </w:p>
    <w:p w14:paraId="1D521DB2" w14:textId="77777777" w:rsidR="00B36041" w:rsidRDefault="00243587">
      <w:pPr>
        <w:spacing w:before="240" w:after="24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2. RESPUESTA.</w:t>
      </w:r>
      <w:r>
        <w:rPr>
          <w:rFonts w:ascii="Palatino Linotype" w:eastAsia="Palatino Linotype" w:hAnsi="Palatino Linotype" w:cs="Palatino Linotype"/>
          <w:b/>
        </w:rPr>
        <w:t xml:space="preserve"> </w:t>
      </w:r>
      <w:r>
        <w:rPr>
          <w:rFonts w:ascii="Palatino Linotype" w:eastAsia="Palatino Linotype" w:hAnsi="Palatino Linotype" w:cs="Palatino Linotype"/>
          <w:sz w:val="24"/>
          <w:szCs w:val="24"/>
        </w:rPr>
        <w:t xml:space="preserve">De las constancias que obran en SAIMEX, se observa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no emitió respuestas a las solicitudes de información formuladas por la parte </w:t>
      </w:r>
      <w:r>
        <w:rPr>
          <w:rFonts w:ascii="Palatino Linotype" w:eastAsia="Palatino Linotype" w:hAnsi="Palatino Linotype" w:cs="Palatino Linotype"/>
          <w:b/>
          <w:sz w:val="24"/>
          <w:szCs w:val="24"/>
        </w:rPr>
        <w:t>RECURRENTE.</w:t>
      </w:r>
    </w:p>
    <w:p w14:paraId="7249EEC2" w14:textId="77777777" w:rsidR="00B36041" w:rsidRDefault="00243587">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3. DEL RECURSO DE REVISIÓN. </w:t>
      </w:r>
      <w:r>
        <w:rPr>
          <w:rFonts w:ascii="Palatino Linotype" w:eastAsia="Palatino Linotype" w:hAnsi="Palatino Linotype" w:cs="Palatino Linotype"/>
          <w:sz w:val="24"/>
          <w:szCs w:val="24"/>
        </w:rPr>
        <w:t xml:space="preserve">Inconforme con la falta respuestas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EL RECURRENTE </w:t>
      </w:r>
      <w:r>
        <w:rPr>
          <w:rFonts w:ascii="Palatino Linotype" w:eastAsia="Palatino Linotype" w:hAnsi="Palatino Linotype" w:cs="Palatino Linotype"/>
          <w:sz w:val="24"/>
          <w:szCs w:val="24"/>
        </w:rPr>
        <w:t xml:space="preserve">interpuso los recursos de revisión, en fecha once </w:t>
      </w:r>
      <w:r>
        <w:rPr>
          <w:rFonts w:ascii="Palatino Linotype" w:eastAsia="Palatino Linotype" w:hAnsi="Palatino Linotype" w:cs="Palatino Linotype"/>
          <w:sz w:val="24"/>
          <w:szCs w:val="24"/>
        </w:rPr>
        <w:lastRenderedPageBreak/>
        <w:t>de febrero dos mil veintidós, los cuales fueron registrados</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el sistema electrónico con los expedientes número </w:t>
      </w:r>
      <w:r>
        <w:rPr>
          <w:rFonts w:ascii="Palatino Linotype" w:eastAsia="Palatino Linotype" w:hAnsi="Palatino Linotype" w:cs="Palatino Linotype"/>
          <w:b/>
          <w:color w:val="000000"/>
          <w:sz w:val="24"/>
          <w:szCs w:val="24"/>
        </w:rPr>
        <w:t>00764/INFOEM/IP/RR/2022 y 00766/INFOEM/IP/RR/2022</w:t>
      </w:r>
      <w:r>
        <w:rPr>
          <w:rFonts w:ascii="Palatino Linotype" w:eastAsia="Palatino Linotype" w:hAnsi="Palatino Linotype" w:cs="Palatino Linotype"/>
          <w:sz w:val="24"/>
          <w:szCs w:val="24"/>
        </w:rPr>
        <w:t>, en el cual manifiesta, lo siguiente:</w:t>
      </w:r>
    </w:p>
    <w:tbl>
      <w:tblPr>
        <w:tblStyle w:val="a"/>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3260"/>
        <w:gridCol w:w="3119"/>
      </w:tblGrid>
      <w:tr w:rsidR="00B36041" w14:paraId="215EA3A8" w14:textId="77777777">
        <w:trPr>
          <w:trHeight w:val="578"/>
        </w:trPr>
        <w:tc>
          <w:tcPr>
            <w:tcW w:w="2972" w:type="dxa"/>
          </w:tcPr>
          <w:p w14:paraId="1959720E" w14:textId="77777777" w:rsidR="00B36041" w:rsidRDefault="00243587">
            <w:pPr>
              <w:spacing w:line="360" w:lineRule="auto"/>
              <w:ind w:right="-234"/>
              <w:jc w:val="both"/>
              <w:rPr>
                <w:rFonts w:ascii="Palatino Linotype" w:eastAsia="Palatino Linotype" w:hAnsi="Palatino Linotype" w:cs="Palatino Linotype"/>
                <w:b/>
              </w:rPr>
            </w:pPr>
            <w:r>
              <w:rPr>
                <w:rFonts w:ascii="Palatino Linotype" w:eastAsia="Palatino Linotype" w:hAnsi="Palatino Linotype" w:cs="Palatino Linotype"/>
                <w:b/>
              </w:rPr>
              <w:t>Folio Recurso de Revisión</w:t>
            </w:r>
          </w:p>
        </w:tc>
        <w:tc>
          <w:tcPr>
            <w:tcW w:w="3260" w:type="dxa"/>
          </w:tcPr>
          <w:p w14:paraId="17793404" w14:textId="77777777" w:rsidR="00B36041" w:rsidRDefault="00243587">
            <w:pPr>
              <w:spacing w:line="360" w:lineRule="auto"/>
              <w:ind w:right="-234"/>
              <w:jc w:val="both"/>
              <w:rPr>
                <w:rFonts w:ascii="Palatino Linotype" w:eastAsia="Palatino Linotype" w:hAnsi="Palatino Linotype" w:cs="Palatino Linotype"/>
                <w:b/>
              </w:rPr>
            </w:pPr>
            <w:r>
              <w:rPr>
                <w:rFonts w:ascii="Palatino Linotype" w:eastAsia="Palatino Linotype" w:hAnsi="Palatino Linotype" w:cs="Palatino Linotype"/>
                <w:b/>
              </w:rPr>
              <w:t>Acto impugnado</w:t>
            </w:r>
          </w:p>
        </w:tc>
        <w:tc>
          <w:tcPr>
            <w:tcW w:w="3119" w:type="dxa"/>
          </w:tcPr>
          <w:p w14:paraId="1FCD4862" w14:textId="77777777" w:rsidR="00B36041" w:rsidRDefault="00243587">
            <w:pPr>
              <w:spacing w:line="360" w:lineRule="auto"/>
              <w:ind w:right="-234"/>
              <w:jc w:val="both"/>
              <w:rPr>
                <w:rFonts w:ascii="Palatino Linotype" w:eastAsia="Palatino Linotype" w:hAnsi="Palatino Linotype" w:cs="Palatino Linotype"/>
                <w:b/>
              </w:rPr>
            </w:pPr>
            <w:r>
              <w:rPr>
                <w:rFonts w:ascii="Palatino Linotype" w:eastAsia="Palatino Linotype" w:hAnsi="Palatino Linotype" w:cs="Palatino Linotype"/>
                <w:b/>
              </w:rPr>
              <w:t>Razones o Motivos de Inconformidad</w:t>
            </w:r>
          </w:p>
        </w:tc>
      </w:tr>
      <w:tr w:rsidR="00B36041" w14:paraId="0EA31FD6" w14:textId="77777777">
        <w:trPr>
          <w:trHeight w:val="578"/>
        </w:trPr>
        <w:tc>
          <w:tcPr>
            <w:tcW w:w="2972" w:type="dxa"/>
          </w:tcPr>
          <w:p w14:paraId="46B92585" w14:textId="77777777" w:rsidR="00B36041" w:rsidRDefault="00243587">
            <w:pPr>
              <w:spacing w:line="360" w:lineRule="auto"/>
              <w:ind w:right="-234"/>
              <w:jc w:val="both"/>
              <w:rPr>
                <w:rFonts w:ascii="Palatino Linotype" w:eastAsia="Palatino Linotype" w:hAnsi="Palatino Linotype" w:cs="Palatino Linotype"/>
                <w:b/>
              </w:rPr>
            </w:pPr>
            <w:r>
              <w:rPr>
                <w:rFonts w:ascii="Palatino Linotype" w:eastAsia="Palatino Linotype" w:hAnsi="Palatino Linotype" w:cs="Palatino Linotype"/>
                <w:b/>
              </w:rPr>
              <w:t>00764/INFOEM/IP/RR/2022</w:t>
            </w:r>
          </w:p>
        </w:tc>
        <w:tc>
          <w:tcPr>
            <w:tcW w:w="3260" w:type="dxa"/>
          </w:tcPr>
          <w:p w14:paraId="47E12FB7" w14:textId="77777777" w:rsidR="00B36041" w:rsidRDefault="00243587">
            <w:pPr>
              <w:spacing w:line="360" w:lineRule="auto"/>
              <w:ind w:right="-234"/>
              <w:jc w:val="both"/>
              <w:rPr>
                <w:rFonts w:ascii="Palatino Linotype" w:eastAsia="Palatino Linotype" w:hAnsi="Palatino Linotype" w:cs="Palatino Linotype"/>
                <w:i/>
                <w:color w:val="000000"/>
              </w:rPr>
            </w:pPr>
            <w:r>
              <w:rPr>
                <w:rFonts w:ascii="Palatino Linotype" w:eastAsia="Palatino Linotype" w:hAnsi="Palatino Linotype" w:cs="Palatino Linotype"/>
                <w:i/>
              </w:rPr>
              <w:t>“</w:t>
            </w:r>
            <w:r>
              <w:rPr>
                <w:rFonts w:ascii="Palatino Linotype" w:eastAsia="Palatino Linotype" w:hAnsi="Palatino Linotype" w:cs="Palatino Linotype"/>
                <w:i/>
                <w:color w:val="000000"/>
              </w:rPr>
              <w:t>Falta de respuesta a la solicitud</w:t>
            </w:r>
          </w:p>
          <w:p w14:paraId="24F05580" w14:textId="77777777" w:rsidR="00B36041" w:rsidRDefault="00243587">
            <w:pPr>
              <w:spacing w:line="360" w:lineRule="auto"/>
              <w:ind w:right="-234"/>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 de información.</w:t>
            </w:r>
            <w:r>
              <w:rPr>
                <w:rFonts w:ascii="Palatino Linotype" w:eastAsia="Palatino Linotype" w:hAnsi="Palatino Linotype" w:cs="Palatino Linotype"/>
                <w:i/>
              </w:rPr>
              <w:t>” [sic]</w:t>
            </w:r>
          </w:p>
        </w:tc>
        <w:tc>
          <w:tcPr>
            <w:tcW w:w="3119" w:type="dxa"/>
          </w:tcPr>
          <w:p w14:paraId="330CD70F" w14:textId="77777777" w:rsidR="00B36041" w:rsidRDefault="00243587">
            <w:p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color w:val="000000"/>
              </w:rPr>
              <w:t>“El sujeto obligado no dio respuesta a la solicitud de información en los plazos que indica la Ley en la materia” [Sic]</w:t>
            </w:r>
          </w:p>
        </w:tc>
      </w:tr>
      <w:tr w:rsidR="00B36041" w14:paraId="4A561960" w14:textId="77777777">
        <w:trPr>
          <w:trHeight w:val="578"/>
        </w:trPr>
        <w:tc>
          <w:tcPr>
            <w:tcW w:w="2972" w:type="dxa"/>
          </w:tcPr>
          <w:p w14:paraId="23090FDD" w14:textId="77777777" w:rsidR="00B36041" w:rsidRDefault="00243587">
            <w:pPr>
              <w:spacing w:line="360" w:lineRule="auto"/>
              <w:ind w:right="-234"/>
              <w:jc w:val="both"/>
              <w:rPr>
                <w:rFonts w:ascii="Palatino Linotype" w:eastAsia="Palatino Linotype" w:hAnsi="Palatino Linotype" w:cs="Palatino Linotype"/>
                <w:b/>
              </w:rPr>
            </w:pPr>
            <w:r>
              <w:rPr>
                <w:rFonts w:ascii="Palatino Linotype" w:eastAsia="Palatino Linotype" w:hAnsi="Palatino Linotype" w:cs="Palatino Linotype"/>
                <w:b/>
              </w:rPr>
              <w:t>00766/INFOEM/IP/RR/2022</w:t>
            </w:r>
          </w:p>
        </w:tc>
        <w:tc>
          <w:tcPr>
            <w:tcW w:w="3260" w:type="dxa"/>
          </w:tcPr>
          <w:p w14:paraId="2DB250D3" w14:textId="77777777" w:rsidR="00B36041" w:rsidRDefault="00243587">
            <w:pPr>
              <w:spacing w:before="120" w:after="120"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color w:val="000000"/>
              </w:rPr>
              <w:t>Falta de respuesta a la solicitud de información</w:t>
            </w:r>
            <w:r>
              <w:rPr>
                <w:rFonts w:ascii="Palatino Linotype" w:eastAsia="Palatino Linotype" w:hAnsi="Palatino Linotype" w:cs="Palatino Linotype"/>
                <w:i/>
              </w:rPr>
              <w:t>” [sic]</w:t>
            </w:r>
          </w:p>
        </w:tc>
        <w:tc>
          <w:tcPr>
            <w:tcW w:w="3119" w:type="dxa"/>
          </w:tcPr>
          <w:p w14:paraId="2CD389B1" w14:textId="77777777" w:rsidR="00B36041" w:rsidRDefault="00243587">
            <w:pPr>
              <w:jc w:val="both"/>
              <w:rPr>
                <w:rFonts w:ascii="Palatino Linotype" w:eastAsia="Palatino Linotype" w:hAnsi="Palatino Linotype" w:cs="Palatino Linotype"/>
                <w:i/>
              </w:rPr>
            </w:pPr>
            <w:r>
              <w:rPr>
                <w:rFonts w:ascii="Palatino Linotype" w:eastAsia="Palatino Linotype" w:hAnsi="Palatino Linotype" w:cs="Palatino Linotype"/>
                <w:i/>
                <w:color w:val="000000"/>
              </w:rPr>
              <w:t xml:space="preserve">“El sujeto obligado no dio respuesta a la solicitud de información en el plazo que establece la legislación en la materia.” </w:t>
            </w:r>
            <w:r>
              <w:rPr>
                <w:rFonts w:ascii="Palatino Linotype" w:eastAsia="Palatino Linotype" w:hAnsi="Palatino Linotype" w:cs="Palatino Linotype"/>
                <w:i/>
              </w:rPr>
              <w:t>[sic]</w:t>
            </w:r>
          </w:p>
        </w:tc>
      </w:tr>
    </w:tbl>
    <w:p w14:paraId="64185C0D" w14:textId="77777777"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sz w:val="24"/>
          <w:szCs w:val="24"/>
        </w:rPr>
        <w:t xml:space="preserve">De conformidad con el artículo 185 Fracción I de la Ley Transparencia y Acceso a la Información Pública, el recurso de revisión número </w:t>
      </w:r>
      <w:r>
        <w:rPr>
          <w:rFonts w:ascii="Palatino Linotype" w:eastAsia="Palatino Linotype" w:hAnsi="Palatino Linotype" w:cs="Palatino Linotype"/>
          <w:b/>
          <w:sz w:val="24"/>
          <w:szCs w:val="24"/>
        </w:rPr>
        <w:t>00764/INFOEM/IP/RR/2022</w:t>
      </w:r>
      <w:r>
        <w:rPr>
          <w:rFonts w:ascii="Palatino Linotype" w:eastAsia="Palatino Linotype" w:hAnsi="Palatino Linotype" w:cs="Palatino Linotype"/>
          <w:sz w:val="24"/>
          <w:szCs w:val="24"/>
        </w:rPr>
        <w:t xml:space="preserve"> fue turnado a la Comisionada Guadalupe Ramírez Peña y el recurso y </w:t>
      </w:r>
      <w:r>
        <w:rPr>
          <w:rFonts w:ascii="Palatino Linotype" w:eastAsia="Palatino Linotype" w:hAnsi="Palatino Linotype" w:cs="Palatino Linotype"/>
          <w:b/>
          <w:sz w:val="24"/>
          <w:szCs w:val="24"/>
        </w:rPr>
        <w:t>00766/INFOEM/IP/RR/2021</w:t>
      </w:r>
      <w:r>
        <w:rPr>
          <w:rFonts w:ascii="Palatino Linotype" w:eastAsia="Palatino Linotype" w:hAnsi="Palatino Linotype" w:cs="Palatino Linotype"/>
          <w:sz w:val="24"/>
          <w:szCs w:val="24"/>
        </w:rPr>
        <w:t xml:space="preserve"> al Comisionado Luis Gustavo Parra Noriega; a efecto de presentar al Pleno el proyecto de resolución correspondiente.</w:t>
      </w:r>
    </w:p>
    <w:p w14:paraId="1590594F" w14:textId="77777777" w:rsidR="00B36041" w:rsidRDefault="00243587">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5. ADMISIÓN. </w:t>
      </w:r>
      <w:r>
        <w:rPr>
          <w:rFonts w:ascii="Palatino Linotype" w:eastAsia="Palatino Linotype" w:hAnsi="Palatino Linotype" w:cs="Palatino Linotype"/>
          <w:sz w:val="24"/>
          <w:szCs w:val="24"/>
        </w:rPr>
        <w:t xml:space="preserve">En fecha dieciséis de febrero de dos mil veintidós, en términos de lo dispuesto en el artículo 185 fracciones I, II y IV de la Ley de Transparencia y </w:t>
      </w:r>
      <w:r>
        <w:rPr>
          <w:rFonts w:ascii="Palatino Linotype" w:eastAsia="Palatino Linotype" w:hAnsi="Palatino Linotype" w:cs="Palatino Linotype"/>
          <w:sz w:val="24"/>
          <w:szCs w:val="24"/>
        </w:rPr>
        <w:lastRenderedPageBreak/>
        <w:t>Acceso a la Información Pública del Estado de México y Municipios, se admitieron a trámite los recursos de revisión al rubro indicados.</w:t>
      </w:r>
    </w:p>
    <w:p w14:paraId="5DBEE578" w14:textId="77777777" w:rsidR="00B36041" w:rsidRDefault="00243587">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 xml:space="preserve">7. DE LA ACUMULACIÓN. </w:t>
      </w:r>
      <w:r>
        <w:rPr>
          <w:rFonts w:ascii="Palatino Linotype" w:eastAsia="Palatino Linotype" w:hAnsi="Palatino Linotype" w:cs="Palatino Linotype"/>
          <w:color w:val="000000"/>
          <w:sz w:val="24"/>
          <w:szCs w:val="24"/>
        </w:rPr>
        <w:t xml:space="preserve">Posteriormente por acuerdo del Pleno del Instituto, en la Séptima Sesión Ordinaria, de fecha veintitrés de febrero de dos mil veintidós, se determinó acumular los recursos de revisión en estudio, ya que existe identidad de la solicitante, del sujeto obligado y similitud de causas y objeto de solicitud. </w:t>
      </w:r>
    </w:p>
    <w:p w14:paraId="7F760827" w14:textId="77777777" w:rsidR="00B36041" w:rsidRDefault="00B36041">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6E23BF05" w14:textId="77777777" w:rsidR="00B36041" w:rsidRDefault="0024358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6C641095" w14:textId="77777777" w:rsidR="00B36041" w:rsidRDefault="00243587">
      <w:pPr>
        <w:spacing w:before="240" w:line="360" w:lineRule="auto"/>
        <w:ind w:left="851" w:right="851"/>
        <w:jc w:val="center"/>
        <w:rPr>
          <w:rFonts w:ascii="Palatino Linotype" w:eastAsia="Palatino Linotype" w:hAnsi="Palatino Linotype" w:cs="Palatino Linotype"/>
          <w:b/>
          <w:i/>
        </w:rPr>
      </w:pPr>
      <w:r>
        <w:rPr>
          <w:rFonts w:ascii="Palatino Linotype" w:eastAsia="Palatino Linotype" w:hAnsi="Palatino Linotype" w:cs="Palatino Linotype"/>
          <w:b/>
          <w:i/>
        </w:rPr>
        <w:t>Ley de Transparencia y Acceso a la Información Pública del Estado de México y Municipios</w:t>
      </w:r>
    </w:p>
    <w:p w14:paraId="55DD2860" w14:textId="77777777" w:rsidR="00B36041" w:rsidRDefault="00243587">
      <w:pPr>
        <w:spacing w:before="240" w:line="360" w:lineRule="auto"/>
        <w:ind w:left="851" w:right="851"/>
        <w:jc w:val="both"/>
        <w:rPr>
          <w:rFonts w:ascii="Palatino Linotype" w:eastAsia="Palatino Linotype" w:hAnsi="Palatino Linotype" w:cs="Palatino Linotype"/>
          <w:b/>
          <w:i/>
        </w:rPr>
      </w:pPr>
      <w:r>
        <w:rPr>
          <w:rFonts w:ascii="Palatino Linotype" w:eastAsia="Palatino Linotype" w:hAnsi="Palatino Linotype" w:cs="Palatino Linotype"/>
          <w:i/>
        </w:rPr>
        <w:t xml:space="preserve">“Artículo 195. En la tramitación del recurso de revisión se aplicarán supletoriamente las disposiciones contenidas en el </w:t>
      </w:r>
      <w:r>
        <w:rPr>
          <w:rFonts w:ascii="Palatino Linotype" w:eastAsia="Palatino Linotype" w:hAnsi="Palatino Linotype" w:cs="Palatino Linotype"/>
          <w:b/>
          <w:i/>
          <w:u w:val="single"/>
        </w:rPr>
        <w:t>Código de Procedimientos Administrativos del Estado de México</w:t>
      </w:r>
      <w:r>
        <w:rPr>
          <w:rFonts w:ascii="Palatino Linotype" w:eastAsia="Palatino Linotype" w:hAnsi="Palatino Linotype" w:cs="Palatino Linotype"/>
          <w:i/>
        </w:rPr>
        <w:t xml:space="preserve">.” </w:t>
      </w:r>
      <w:r>
        <w:rPr>
          <w:rFonts w:ascii="Palatino Linotype" w:eastAsia="Palatino Linotype" w:hAnsi="Palatino Linotype" w:cs="Palatino Linotype"/>
          <w:b/>
          <w:i/>
        </w:rPr>
        <w:t>[Sic]</w:t>
      </w:r>
    </w:p>
    <w:p w14:paraId="2062DBA5" w14:textId="77777777" w:rsidR="00B36041" w:rsidRDefault="00243587">
      <w:pPr>
        <w:spacing w:before="240" w:line="360" w:lineRule="auto"/>
        <w:ind w:left="851" w:right="851"/>
        <w:jc w:val="center"/>
        <w:rPr>
          <w:rFonts w:ascii="Palatino Linotype" w:eastAsia="Palatino Linotype" w:hAnsi="Palatino Linotype" w:cs="Palatino Linotype"/>
          <w:b/>
          <w:i/>
        </w:rPr>
      </w:pPr>
      <w:r>
        <w:rPr>
          <w:rFonts w:ascii="Palatino Linotype" w:eastAsia="Palatino Linotype" w:hAnsi="Palatino Linotype" w:cs="Palatino Linotype"/>
          <w:b/>
          <w:i/>
        </w:rPr>
        <w:t>Código de Procedimientos Administrativos del Estado de México</w:t>
      </w:r>
    </w:p>
    <w:p w14:paraId="0B910A95" w14:textId="77777777" w:rsidR="00B36041" w:rsidRDefault="00243587">
      <w:pPr>
        <w:spacing w:before="240" w:line="360" w:lineRule="auto"/>
        <w:ind w:left="851" w:right="851"/>
        <w:jc w:val="both"/>
        <w:rPr>
          <w:rFonts w:ascii="Palatino Linotype" w:eastAsia="Palatino Linotype" w:hAnsi="Palatino Linotype" w:cs="Palatino Linotype"/>
          <w:b/>
          <w:i/>
        </w:rPr>
      </w:pPr>
      <w:r>
        <w:rPr>
          <w:rFonts w:ascii="Palatino Linotype" w:eastAsia="Palatino Linotype" w:hAnsi="Palatino Linotype" w:cs="Palatino Linotype"/>
          <w:i/>
        </w:rPr>
        <w:t xml:space="preserve">“Artículo 18.- </w:t>
      </w:r>
      <w:r>
        <w:rPr>
          <w:rFonts w:ascii="Palatino Linotype" w:eastAsia="Palatino Linotype" w:hAnsi="Palatino Linotype" w:cs="Palatino Linotype"/>
          <w:b/>
          <w:i/>
          <w:u w:val="single"/>
        </w:rPr>
        <w:t>La autoridad administrativa</w:t>
      </w:r>
      <w:r>
        <w:rPr>
          <w:rFonts w:ascii="Palatino Linotype" w:eastAsia="Palatino Linotype" w:hAnsi="Palatino Linotype" w:cs="Palatino Linotype"/>
          <w:i/>
        </w:rPr>
        <w:t xml:space="preserve"> o el Tribunal </w:t>
      </w:r>
      <w:r>
        <w:rPr>
          <w:rFonts w:ascii="Palatino Linotype" w:eastAsia="Palatino Linotype" w:hAnsi="Palatino Linotype" w:cs="Palatino Linotype"/>
          <w:b/>
          <w:i/>
          <w:u w:val="single"/>
        </w:rPr>
        <w:t>acordarán la acumulación</w:t>
      </w:r>
      <w:r>
        <w:rPr>
          <w:rFonts w:ascii="Palatino Linotype" w:eastAsia="Palatino Linotype" w:hAnsi="Palatino Linotype" w:cs="Palatino Linotype"/>
          <w:i/>
        </w:rPr>
        <w:t xml:space="preserve"> de los expedientes del procedimiento y proceso administrativo que ante ellos se sigan</w:t>
      </w:r>
      <w:r>
        <w:rPr>
          <w:rFonts w:ascii="Palatino Linotype" w:eastAsia="Palatino Linotype" w:hAnsi="Palatino Linotype" w:cs="Palatino Linotype"/>
          <w:b/>
          <w:i/>
          <w:u w:val="single"/>
        </w:rPr>
        <w:t>, de oficio</w:t>
      </w:r>
      <w:r>
        <w:rPr>
          <w:rFonts w:ascii="Palatino Linotype" w:eastAsia="Palatino Linotype" w:hAnsi="Palatino Linotype" w:cs="Palatino Linotype"/>
          <w:i/>
        </w:rPr>
        <w:t xml:space="preserve"> o a petición de parte, </w:t>
      </w:r>
      <w:r>
        <w:rPr>
          <w:rFonts w:ascii="Palatino Linotype" w:eastAsia="Palatino Linotype" w:hAnsi="Palatino Linotype" w:cs="Palatino Linotype"/>
          <w:b/>
          <w:i/>
          <w:u w:val="single"/>
        </w:rPr>
        <w:t xml:space="preserve">cuando las partes o los actos administrativos sean iguales, se trate de actos conexos o resulte </w:t>
      </w:r>
      <w:r>
        <w:rPr>
          <w:rFonts w:ascii="Palatino Linotype" w:eastAsia="Palatino Linotype" w:hAnsi="Palatino Linotype" w:cs="Palatino Linotype"/>
          <w:b/>
          <w:i/>
          <w:u w:val="single"/>
        </w:rPr>
        <w:lastRenderedPageBreak/>
        <w:t>conveniente el trámite unificado de los asuntos</w:t>
      </w:r>
      <w:r>
        <w:rPr>
          <w:rFonts w:ascii="Palatino Linotype" w:eastAsia="Palatino Linotype" w:hAnsi="Palatino Linotype" w:cs="Palatino Linotype"/>
          <w:i/>
        </w:rPr>
        <w:t xml:space="preserve">, para evitar la emisión de resoluciones contradictorias. La misma regla se aplicará, en lo conducente, para la separación de los expedientes.” </w:t>
      </w:r>
      <w:r>
        <w:rPr>
          <w:rFonts w:ascii="Palatino Linotype" w:eastAsia="Palatino Linotype" w:hAnsi="Palatino Linotype" w:cs="Palatino Linotype"/>
          <w:b/>
          <w:i/>
        </w:rPr>
        <w:t>[Sic]</w:t>
      </w:r>
    </w:p>
    <w:p w14:paraId="564FAE19" w14:textId="77777777" w:rsidR="00B36041" w:rsidRDefault="00243587">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202124"/>
          <w:sz w:val="24"/>
          <w:szCs w:val="24"/>
        </w:rPr>
        <w:t xml:space="preserve">6. </w:t>
      </w:r>
      <w:r>
        <w:rPr>
          <w:rFonts w:ascii="Palatino Linotype" w:eastAsia="Palatino Linotype" w:hAnsi="Palatino Linotype" w:cs="Palatino Linotype"/>
          <w:b/>
          <w:sz w:val="24"/>
          <w:szCs w:val="24"/>
        </w:rPr>
        <w:t xml:space="preserve">INFORME JUSTIFICADO O MANIFESTACIONES. </w:t>
      </w:r>
      <w:r>
        <w:rPr>
          <w:rFonts w:ascii="Palatino Linotype" w:eastAsia="Palatino Linotype" w:hAnsi="Palatino Linotype" w:cs="Palatino Linotype"/>
          <w:sz w:val="24"/>
          <w:szCs w:val="24"/>
        </w:rPr>
        <w:t xml:space="preserve">El veintiocho de febrero de dos mil veintidós, se recibió, a través del Sistema de Acceso a la Información Mexiquense (SAIMEX), los Informes Justificados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de la siguiente manera:</w:t>
      </w:r>
    </w:p>
    <w:p w14:paraId="49D6E938" w14:textId="77777777" w:rsidR="00B36041" w:rsidRDefault="00243587">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00764/INFOEM/IP/RR/2022 </w:t>
      </w:r>
      <w:r>
        <w:rPr>
          <w:rFonts w:ascii="Palatino Linotype" w:eastAsia="Palatino Linotype" w:hAnsi="Palatino Linotype" w:cs="Palatino Linotype"/>
          <w:sz w:val="24"/>
          <w:szCs w:val="24"/>
        </w:rPr>
        <w:t xml:space="preserve">para tal efecto adjunto el archivo denominado </w:t>
      </w:r>
      <w:r>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b/>
          <w:color w:val="0D0D0D"/>
          <w:sz w:val="24"/>
          <w:szCs w:val="24"/>
          <w:u w:val="single"/>
        </w:rPr>
        <w:t>DGCYE-221-2022.pdf</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el cual contiene lo siguiente: </w:t>
      </w:r>
    </w:p>
    <w:p w14:paraId="54BDF803" w14:textId="77777777" w:rsidR="00B36041" w:rsidRDefault="00243587">
      <w:pPr>
        <w:jc w:val="center"/>
      </w:pPr>
      <w:r>
        <w:rPr>
          <w:noProof/>
        </w:rPr>
        <w:lastRenderedPageBreak/>
        <w:drawing>
          <wp:inline distT="0" distB="0" distL="0" distR="0" wp14:anchorId="574D85E1" wp14:editId="5415EF3D">
            <wp:extent cx="5475245" cy="4825418"/>
            <wp:effectExtent l="0" t="0" r="0" b="0"/>
            <wp:docPr id="1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43958" t="13579" r="28716" b="9474"/>
                    <a:stretch>
                      <a:fillRect/>
                    </a:stretch>
                  </pic:blipFill>
                  <pic:spPr>
                    <a:xfrm>
                      <a:off x="0" y="0"/>
                      <a:ext cx="5475245" cy="4825418"/>
                    </a:xfrm>
                    <a:prstGeom prst="rect">
                      <a:avLst/>
                    </a:prstGeom>
                    <a:ln/>
                  </pic:spPr>
                </pic:pic>
              </a:graphicData>
            </a:graphic>
          </wp:inline>
        </w:drawing>
      </w:r>
    </w:p>
    <w:p w14:paraId="16E06FCC" w14:textId="77777777" w:rsidR="00B36041" w:rsidRDefault="00243587">
      <w:pPr>
        <w:jc w:val="center"/>
      </w:pPr>
      <w:r>
        <w:rPr>
          <w:noProof/>
        </w:rPr>
        <w:drawing>
          <wp:inline distT="0" distB="0" distL="0" distR="0" wp14:anchorId="6887E394" wp14:editId="40329E99">
            <wp:extent cx="5374569" cy="7340782"/>
            <wp:effectExtent l="0" t="0" r="0" b="0"/>
            <wp:docPr id="1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43787" t="21726" r="28717" b="5551"/>
                    <a:stretch>
                      <a:fillRect/>
                    </a:stretch>
                  </pic:blipFill>
                  <pic:spPr>
                    <a:xfrm>
                      <a:off x="0" y="0"/>
                      <a:ext cx="5374569" cy="7340782"/>
                    </a:xfrm>
                    <a:prstGeom prst="rect">
                      <a:avLst/>
                    </a:prstGeom>
                    <a:ln/>
                  </pic:spPr>
                </pic:pic>
              </a:graphicData>
            </a:graphic>
          </wp:inline>
        </w:drawing>
      </w:r>
    </w:p>
    <w:p w14:paraId="3B2D9D62" w14:textId="77777777" w:rsidR="00B36041" w:rsidRDefault="00243587">
      <w:pPr>
        <w:jc w:val="center"/>
      </w:pPr>
      <w:r>
        <w:rPr>
          <w:noProof/>
        </w:rPr>
        <w:drawing>
          <wp:inline distT="0" distB="0" distL="0" distR="0" wp14:anchorId="70FB3AC1" wp14:editId="710A02E2">
            <wp:extent cx="5403611" cy="7408485"/>
            <wp:effectExtent l="0" t="0" r="0" b="0"/>
            <wp:docPr id="1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44128" t="11768" r="29056" b="17621"/>
                    <a:stretch>
                      <a:fillRect/>
                    </a:stretch>
                  </pic:blipFill>
                  <pic:spPr>
                    <a:xfrm>
                      <a:off x="0" y="0"/>
                      <a:ext cx="5403611" cy="7408485"/>
                    </a:xfrm>
                    <a:prstGeom prst="rect">
                      <a:avLst/>
                    </a:prstGeom>
                    <a:ln/>
                  </pic:spPr>
                </pic:pic>
              </a:graphicData>
            </a:graphic>
          </wp:inline>
        </w:drawing>
      </w:r>
    </w:p>
    <w:p w14:paraId="5FFB7BE3" w14:textId="77777777" w:rsidR="00B36041" w:rsidRDefault="00243587">
      <w:pPr>
        <w:jc w:val="center"/>
      </w:pPr>
      <w:r>
        <w:rPr>
          <w:noProof/>
        </w:rPr>
        <w:drawing>
          <wp:inline distT="0" distB="0" distL="0" distR="0" wp14:anchorId="281D9336" wp14:editId="11A542E1">
            <wp:extent cx="5545799" cy="7279856"/>
            <wp:effectExtent l="0" t="0" r="0" b="0"/>
            <wp:docPr id="14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l="43789" t="12974" r="28377" b="14302"/>
                    <a:stretch>
                      <a:fillRect/>
                    </a:stretch>
                  </pic:blipFill>
                  <pic:spPr>
                    <a:xfrm>
                      <a:off x="0" y="0"/>
                      <a:ext cx="5545799" cy="7279856"/>
                    </a:xfrm>
                    <a:prstGeom prst="rect">
                      <a:avLst/>
                    </a:prstGeom>
                    <a:ln/>
                  </pic:spPr>
                </pic:pic>
              </a:graphicData>
            </a:graphic>
          </wp:inline>
        </w:drawing>
      </w:r>
    </w:p>
    <w:p w14:paraId="4DCC91A6" w14:textId="77777777" w:rsidR="00B36041" w:rsidRDefault="00243587">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t xml:space="preserve">00766/INFOEM/IP/RR/2022 </w:t>
      </w:r>
      <w:r>
        <w:rPr>
          <w:rFonts w:ascii="Palatino Linotype" w:eastAsia="Palatino Linotype" w:hAnsi="Palatino Linotype" w:cs="Palatino Linotype"/>
          <w:sz w:val="24"/>
          <w:szCs w:val="24"/>
        </w:rPr>
        <w:t xml:space="preserve">para tal efecto adjunto el archivo denominado </w:t>
      </w:r>
      <w:r>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b/>
          <w:color w:val="0D0D0D"/>
          <w:sz w:val="24"/>
          <w:szCs w:val="24"/>
          <w:u w:val="single"/>
        </w:rPr>
        <w:t>DGCYE-223-2022.pdf</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el cual contiene lo siguiente:</w:t>
      </w:r>
    </w:p>
    <w:p w14:paraId="3BFC7382" w14:textId="77777777" w:rsidR="00B36041" w:rsidRDefault="00243587">
      <w:pPr>
        <w:spacing w:before="240" w:after="240" w:line="360" w:lineRule="auto"/>
        <w:jc w:val="center"/>
        <w:rPr>
          <w:rFonts w:ascii="Palatino Linotype" w:eastAsia="Palatino Linotype" w:hAnsi="Palatino Linotype" w:cs="Palatino Linotype"/>
          <w:b/>
        </w:rPr>
      </w:pPr>
      <w:r>
        <w:rPr>
          <w:noProof/>
        </w:rPr>
        <w:drawing>
          <wp:inline distT="0" distB="0" distL="0" distR="0" wp14:anchorId="0C03776D" wp14:editId="7C094139">
            <wp:extent cx="4750819" cy="6308935"/>
            <wp:effectExtent l="0" t="0" r="0" b="0"/>
            <wp:docPr id="13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l="43788" t="14182" r="29055" b="9474"/>
                    <a:stretch>
                      <a:fillRect/>
                    </a:stretch>
                  </pic:blipFill>
                  <pic:spPr>
                    <a:xfrm>
                      <a:off x="0" y="0"/>
                      <a:ext cx="4750819" cy="6308935"/>
                    </a:xfrm>
                    <a:prstGeom prst="rect">
                      <a:avLst/>
                    </a:prstGeom>
                    <a:ln/>
                  </pic:spPr>
                </pic:pic>
              </a:graphicData>
            </a:graphic>
          </wp:inline>
        </w:drawing>
      </w:r>
    </w:p>
    <w:p w14:paraId="5EE812C6" w14:textId="77777777" w:rsidR="00B36041" w:rsidRDefault="00243587">
      <w:pPr>
        <w:spacing w:before="240" w:after="240" w:line="360" w:lineRule="auto"/>
        <w:jc w:val="center"/>
        <w:rPr>
          <w:rFonts w:ascii="Palatino Linotype" w:eastAsia="Palatino Linotype" w:hAnsi="Palatino Linotype" w:cs="Palatino Linotype"/>
          <w:b/>
        </w:rPr>
      </w:pPr>
      <w:r>
        <w:rPr>
          <w:noProof/>
        </w:rPr>
        <w:drawing>
          <wp:inline distT="0" distB="0" distL="0" distR="0" wp14:anchorId="0A18237E" wp14:editId="5B164EF2">
            <wp:extent cx="4869851" cy="7259962"/>
            <wp:effectExtent l="0" t="0" r="0" b="0"/>
            <wp:docPr id="14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l="43958" t="21726" r="28376" b="4949"/>
                    <a:stretch>
                      <a:fillRect/>
                    </a:stretch>
                  </pic:blipFill>
                  <pic:spPr>
                    <a:xfrm>
                      <a:off x="0" y="0"/>
                      <a:ext cx="4869851" cy="7259962"/>
                    </a:xfrm>
                    <a:prstGeom prst="rect">
                      <a:avLst/>
                    </a:prstGeom>
                    <a:ln/>
                  </pic:spPr>
                </pic:pic>
              </a:graphicData>
            </a:graphic>
          </wp:inline>
        </w:drawing>
      </w:r>
    </w:p>
    <w:p w14:paraId="082519E3" w14:textId="77777777" w:rsidR="00B36041" w:rsidRDefault="00243587">
      <w:pPr>
        <w:spacing w:before="240" w:after="240" w:line="360" w:lineRule="auto"/>
        <w:jc w:val="center"/>
        <w:rPr>
          <w:rFonts w:ascii="Palatino Linotype" w:eastAsia="Palatino Linotype" w:hAnsi="Palatino Linotype" w:cs="Palatino Linotype"/>
          <w:b/>
        </w:rPr>
      </w:pPr>
      <w:r>
        <w:rPr>
          <w:noProof/>
        </w:rPr>
        <w:drawing>
          <wp:inline distT="0" distB="0" distL="0" distR="0" wp14:anchorId="01DF8045" wp14:editId="76488F2F">
            <wp:extent cx="5487166" cy="7339761"/>
            <wp:effectExtent l="0" t="0" r="0" b="0"/>
            <wp:docPr id="1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43619" t="13879" r="29226" b="8268"/>
                    <a:stretch>
                      <a:fillRect/>
                    </a:stretch>
                  </pic:blipFill>
                  <pic:spPr>
                    <a:xfrm>
                      <a:off x="0" y="0"/>
                      <a:ext cx="5487166" cy="7339761"/>
                    </a:xfrm>
                    <a:prstGeom prst="rect">
                      <a:avLst/>
                    </a:prstGeom>
                    <a:ln/>
                  </pic:spPr>
                </pic:pic>
              </a:graphicData>
            </a:graphic>
          </wp:inline>
        </w:drawing>
      </w:r>
    </w:p>
    <w:p w14:paraId="125ED8C8" w14:textId="77777777" w:rsidR="00B36041" w:rsidRDefault="00243587">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8. ALCANCE A LA ENTREGA DE LA INFORMACIÓN DEL RECURSO DE REVISIÓN.  </w:t>
      </w:r>
    </w:p>
    <w:p w14:paraId="5BAF36CA" w14:textId="77777777" w:rsidR="00B36041" w:rsidRDefault="00243587">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uno de marzo de dos mil veintidós, se recibió, a través del Sistema de Acceso a la Información Mexiquense (SAIMEX), los alcances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de la siguiente manera:</w:t>
      </w:r>
    </w:p>
    <w:p w14:paraId="6BD5BDD2" w14:textId="77777777" w:rsidR="00B36041" w:rsidRPr="00281B35" w:rsidRDefault="00243587">
      <w:pPr>
        <w:spacing w:before="240" w:after="240" w:line="360" w:lineRule="auto"/>
        <w:jc w:val="both"/>
        <w:rPr>
          <w:rFonts w:ascii="Palatino Linotype" w:eastAsia="Palatino Linotype" w:hAnsi="Palatino Linotype" w:cs="Palatino Linotype"/>
          <w:b/>
          <w:color w:val="000000"/>
          <w:sz w:val="24"/>
          <w:szCs w:val="24"/>
          <w:lang w:val="en-US"/>
        </w:rPr>
      </w:pPr>
      <w:r w:rsidRPr="00281B35">
        <w:rPr>
          <w:rFonts w:ascii="Palatino Linotype" w:eastAsia="Palatino Linotype" w:hAnsi="Palatino Linotype" w:cs="Palatino Linotype"/>
          <w:b/>
          <w:sz w:val="24"/>
          <w:szCs w:val="24"/>
          <w:lang w:val="en-US"/>
        </w:rPr>
        <w:t>00764/INFOEM/IP/RR/2022:</w:t>
      </w:r>
    </w:p>
    <w:p w14:paraId="01E00459" w14:textId="77777777" w:rsidR="00B36041" w:rsidRDefault="00243587">
      <w:pPr>
        <w:spacing w:before="240" w:after="240" w:line="360" w:lineRule="auto"/>
        <w:jc w:val="both"/>
        <w:rPr>
          <w:rFonts w:ascii="Palatino Linotype" w:eastAsia="Palatino Linotype" w:hAnsi="Palatino Linotype" w:cs="Palatino Linotype"/>
          <w:color w:val="000000"/>
          <w:sz w:val="24"/>
          <w:szCs w:val="24"/>
        </w:rPr>
      </w:pPr>
      <w:r w:rsidRPr="00281B35">
        <w:rPr>
          <w:rFonts w:ascii="Palatino Linotype" w:eastAsia="Palatino Linotype" w:hAnsi="Palatino Linotype" w:cs="Palatino Linotype"/>
          <w:b/>
          <w:color w:val="000000"/>
          <w:sz w:val="24"/>
          <w:szCs w:val="24"/>
          <w:lang w:val="en-US"/>
        </w:rPr>
        <w:t>“</w:t>
      </w:r>
      <w:r w:rsidRPr="00281B35">
        <w:rPr>
          <w:rFonts w:ascii="Palatino Linotype" w:eastAsia="Palatino Linotype" w:hAnsi="Palatino Linotype" w:cs="Palatino Linotype"/>
          <w:b/>
          <w:color w:val="000000"/>
          <w:sz w:val="24"/>
          <w:szCs w:val="24"/>
          <w:u w:val="single"/>
          <w:lang w:val="en-US"/>
        </w:rPr>
        <w:t>DGA-SRH-M-0080-2022.pdf</w:t>
      </w:r>
      <w:r w:rsidRPr="00281B35">
        <w:rPr>
          <w:rFonts w:ascii="Palatino Linotype" w:eastAsia="Palatino Linotype" w:hAnsi="Palatino Linotype" w:cs="Palatino Linotype"/>
          <w:b/>
          <w:color w:val="000000"/>
          <w:sz w:val="24"/>
          <w:szCs w:val="24"/>
          <w:lang w:val="en-US"/>
        </w:rPr>
        <w:t xml:space="preserve">”. </w:t>
      </w:r>
      <w:r>
        <w:rPr>
          <w:rFonts w:ascii="Palatino Linotype" w:eastAsia="Palatino Linotype" w:hAnsi="Palatino Linotype" w:cs="Palatino Linotype"/>
          <w:color w:val="000000"/>
          <w:sz w:val="24"/>
          <w:szCs w:val="24"/>
        </w:rPr>
        <w:t>Contiene el oficio DGA/SRH/M/0080/2022 a través del cual la Directora General de Administración precisa que envía, nombre y cargo de todo el personal de la Dirección General de Educación y Cultura, número de funcionarios y número de empleados de confianza, así mismo precisa que adjunta ocho archivos de fichas curriculares.</w:t>
      </w:r>
    </w:p>
    <w:p w14:paraId="0A1382E8" w14:textId="77777777" w:rsidR="00B36041" w:rsidRDefault="00243587">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u w:val="single"/>
        </w:rPr>
        <w:t>“plantilla EDUCACION CULTURA 2022.pdf”</w:t>
      </w:r>
      <w:r>
        <w:rPr>
          <w:rFonts w:ascii="Palatino Linotype" w:eastAsia="Palatino Linotype" w:hAnsi="Palatino Linotype" w:cs="Palatino Linotype"/>
          <w:color w:val="000000"/>
          <w:sz w:val="24"/>
          <w:szCs w:val="24"/>
        </w:rPr>
        <w:t>. Contiene lo siguiente:</w:t>
      </w:r>
      <w:r>
        <w:rPr>
          <w:noProof/>
        </w:rPr>
        <mc:AlternateContent>
          <mc:Choice Requires="wpg">
            <w:drawing>
              <wp:anchor distT="0" distB="0" distL="114300" distR="114300" simplePos="0" relativeHeight="251658240" behindDoc="0" locked="0" layoutInCell="1" hidden="0" allowOverlap="1" wp14:anchorId="58AA0027" wp14:editId="0CD4AF50">
                <wp:simplePos x="0" y="0"/>
                <wp:positionH relativeFrom="column">
                  <wp:posOffset>-101599</wp:posOffset>
                </wp:positionH>
                <wp:positionV relativeFrom="paragraph">
                  <wp:posOffset>495300</wp:posOffset>
                </wp:positionV>
                <wp:extent cx="5638800" cy="2905125"/>
                <wp:effectExtent l="0" t="0" r="0" b="0"/>
                <wp:wrapNone/>
                <wp:docPr id="126" name="Conector recto de flecha 126"/>
                <wp:cNvGraphicFramePr/>
                <a:graphic xmlns:a="http://schemas.openxmlformats.org/drawingml/2006/main">
                  <a:graphicData uri="http://schemas.microsoft.com/office/word/2010/wordprocessingShape">
                    <wps:wsp>
                      <wps:cNvCnPr/>
                      <wps:spPr>
                        <a:xfrm>
                          <a:off x="2536125" y="2336963"/>
                          <a:ext cx="5619750" cy="2886075"/>
                        </a:xfrm>
                        <a:prstGeom prst="straightConnector1">
                          <a:avLst/>
                        </a:prstGeom>
                        <a:noFill/>
                        <a:ln w="19050"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-101599</wp:posOffset>
                </wp:positionH>
                <wp:positionV relativeFrom="paragraph">
                  <wp:posOffset>495300</wp:posOffset>
                </wp:positionV>
                <wp:extent cx="5638800" cy="2905125"/>
                <wp:effectExtent b="0" l="0" r="0" t="0"/>
                <wp:wrapNone/>
                <wp:docPr id="126" name="image17.png"/>
                <a:graphic>
                  <a:graphicData uri="http://schemas.openxmlformats.org/drawingml/2006/picture">
                    <pic:pic>
                      <pic:nvPicPr>
                        <pic:cNvPr id="0" name="image17.png"/>
                        <pic:cNvPicPr preferRelativeResize="0"/>
                      </pic:nvPicPr>
                      <pic:blipFill>
                        <a:blip r:embed="rId15"/>
                        <a:srcRect/>
                        <a:stretch>
                          <a:fillRect/>
                        </a:stretch>
                      </pic:blipFill>
                      <pic:spPr>
                        <a:xfrm>
                          <a:off x="0" y="0"/>
                          <a:ext cx="5638800" cy="2905125"/>
                        </a:xfrm>
                        <a:prstGeom prst="rect"/>
                        <a:ln/>
                      </pic:spPr>
                    </pic:pic>
                  </a:graphicData>
                </a:graphic>
              </wp:anchor>
            </w:drawing>
          </mc:Fallback>
        </mc:AlternateContent>
      </w:r>
    </w:p>
    <w:p w14:paraId="2991B715" w14:textId="77777777" w:rsidR="00B36041" w:rsidRDefault="00243587">
      <w:pPr>
        <w:spacing w:before="240" w:after="240" w:line="360" w:lineRule="auto"/>
        <w:jc w:val="both"/>
        <w:rPr>
          <w:rFonts w:ascii="Palatino Linotype" w:eastAsia="Palatino Linotype" w:hAnsi="Palatino Linotype" w:cs="Palatino Linotype"/>
          <w:color w:val="000000"/>
          <w:sz w:val="24"/>
          <w:szCs w:val="24"/>
        </w:rPr>
      </w:pPr>
      <w:r>
        <w:rPr>
          <w:noProof/>
        </w:rPr>
        <w:drawing>
          <wp:inline distT="0" distB="0" distL="0" distR="0" wp14:anchorId="56564D0E" wp14:editId="47D6E661">
            <wp:extent cx="5658721" cy="4279856"/>
            <wp:effectExtent l="0" t="0" r="0" b="0"/>
            <wp:docPr id="14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l="30888" t="13579" r="15478" b="14302"/>
                    <a:stretch>
                      <a:fillRect/>
                    </a:stretch>
                  </pic:blipFill>
                  <pic:spPr>
                    <a:xfrm>
                      <a:off x="0" y="0"/>
                      <a:ext cx="5658721" cy="4279856"/>
                    </a:xfrm>
                    <a:prstGeom prst="rect">
                      <a:avLst/>
                    </a:prstGeom>
                    <a:ln/>
                  </pic:spPr>
                </pic:pic>
              </a:graphicData>
            </a:graphic>
          </wp:inline>
        </w:drawing>
      </w:r>
    </w:p>
    <w:p w14:paraId="56295EF5" w14:textId="77777777" w:rsidR="00B36041" w:rsidRDefault="00243587">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b/>
          <w:color w:val="000000"/>
          <w:sz w:val="24"/>
          <w:szCs w:val="24"/>
          <w:u w:val="single"/>
        </w:rPr>
        <w:t>1 F curric ED CULTURA MENDEZ MARCOS GIOVANI.pdf</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contiene la ficha Curricular de Giovani Mendez Marcos, Jefe de Departamento de Vinculación y Eventos.</w:t>
      </w:r>
    </w:p>
    <w:p w14:paraId="0C2CD2C2" w14:textId="77777777" w:rsidR="00B36041" w:rsidRDefault="00243587">
      <w:pPr>
        <w:spacing w:before="240" w:after="24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b/>
          <w:color w:val="000000"/>
          <w:sz w:val="24"/>
          <w:szCs w:val="24"/>
          <w:u w:val="single"/>
        </w:rPr>
        <w:t>1 F curric ED CULTURA MENCHACA OLIVIER JUAN LUIS.pdf</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contiene la ficha Curricular de Juan Luis Menchaca Olivier, Subdirector de Cultura.</w:t>
      </w:r>
    </w:p>
    <w:p w14:paraId="2E9E0DEE" w14:textId="77777777" w:rsidR="00B36041" w:rsidRDefault="00243587">
      <w:pPr>
        <w:spacing w:before="240" w:after="24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b/>
          <w:color w:val="000000"/>
          <w:sz w:val="24"/>
          <w:szCs w:val="24"/>
          <w:u w:val="single"/>
        </w:rPr>
        <w:t>1 F curric ED CULTURA HERNANDEZ HERNANDEZ DANIEL DE JESUS.pdf</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contiene la ficha Curricular de Daniel De Jesus Hernandez Hernandez, Jefe de Departamento de Gestión Educativa.</w:t>
      </w:r>
    </w:p>
    <w:p w14:paraId="008938CF" w14:textId="77777777" w:rsidR="00B36041" w:rsidRDefault="00243587">
      <w:pPr>
        <w:spacing w:before="240" w:after="24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b/>
          <w:color w:val="000000"/>
          <w:sz w:val="24"/>
          <w:szCs w:val="24"/>
          <w:u w:val="single"/>
        </w:rPr>
        <w:t>1 F curric ED CULTURA PEREZ RAMOS ABIU.pdf</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contiene la ficha Curricular de Abiu Perez Ramos, Jefe de Departamento de Promoción y Difusión. </w:t>
      </w:r>
    </w:p>
    <w:p w14:paraId="2B550C68" w14:textId="77777777" w:rsidR="00B36041" w:rsidRDefault="00243587">
      <w:pPr>
        <w:spacing w:before="240" w:after="24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b/>
          <w:color w:val="000000"/>
          <w:sz w:val="24"/>
          <w:szCs w:val="24"/>
          <w:u w:val="single"/>
        </w:rPr>
        <w:t>1 F curric ED CULTURA JIJON CRUZ MINERVA.pdf</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contiene la ficha Curricular de Minerva Jijon Cruz, Subdirectora de Educación. </w:t>
      </w:r>
    </w:p>
    <w:p w14:paraId="78C9B5E4" w14:textId="77777777" w:rsidR="00B36041" w:rsidRDefault="00243587">
      <w:pPr>
        <w:spacing w:before="240" w:after="24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b/>
          <w:color w:val="000000"/>
          <w:sz w:val="24"/>
          <w:szCs w:val="24"/>
          <w:u w:val="single"/>
        </w:rPr>
        <w:t>1 F curric ED CULTURA NAYELI CISNEROS GARCIA.pdf</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contiene la ficha Curricular de Nayeli Cisneros Garcia, Coordinadora Administrativa. </w:t>
      </w:r>
    </w:p>
    <w:p w14:paraId="6D53D570" w14:textId="77777777" w:rsidR="00B36041" w:rsidRDefault="00243587">
      <w:pPr>
        <w:spacing w:before="240" w:after="24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b/>
          <w:color w:val="000000"/>
          <w:sz w:val="24"/>
          <w:szCs w:val="24"/>
          <w:u w:val="single"/>
        </w:rPr>
        <w:t>1 F curric ED CULTURA MAYER ANAYA CARLOS GUILLERMO MARCIAL.pdf</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contiene la ficha Curricular de Carlos Guillermo Marcial Mayer Anaya, Jefe de Departamento de Bibliotecas.</w:t>
      </w:r>
    </w:p>
    <w:p w14:paraId="4430179B" w14:textId="77777777" w:rsidR="00B36041" w:rsidRDefault="00243587">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b/>
          <w:color w:val="000000"/>
          <w:sz w:val="24"/>
          <w:szCs w:val="24"/>
          <w:u w:val="single"/>
        </w:rPr>
        <w:t>1 F curric ED CULTURA BUITRON CORNEJO LETICIA.pdf</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contiene la ficha Curricular de Leticia Buitron Cornejo, Directora de Cultura y Educación.</w:t>
      </w:r>
    </w:p>
    <w:p w14:paraId="04068122" w14:textId="77777777" w:rsidR="00B36041" w:rsidRDefault="00243587">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Dichos documentos fueron puestos a la vista de la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en fecha veintinueve de marzo de dos mil veintidós. </w:t>
      </w:r>
    </w:p>
    <w:p w14:paraId="0894B771" w14:textId="77777777" w:rsidR="00B36041" w:rsidRPr="00281B35" w:rsidRDefault="00243587">
      <w:pPr>
        <w:spacing w:before="240" w:after="240" w:line="360" w:lineRule="auto"/>
        <w:jc w:val="both"/>
        <w:rPr>
          <w:rFonts w:ascii="Palatino Linotype" w:eastAsia="Palatino Linotype" w:hAnsi="Palatino Linotype" w:cs="Palatino Linotype"/>
          <w:b/>
          <w:color w:val="000000"/>
          <w:sz w:val="24"/>
          <w:szCs w:val="24"/>
          <w:lang w:val="en-US"/>
        </w:rPr>
      </w:pPr>
      <w:r w:rsidRPr="00281B35">
        <w:rPr>
          <w:rFonts w:ascii="Palatino Linotype" w:eastAsia="Palatino Linotype" w:hAnsi="Palatino Linotype" w:cs="Palatino Linotype"/>
          <w:b/>
          <w:sz w:val="24"/>
          <w:szCs w:val="24"/>
          <w:lang w:val="en-US"/>
        </w:rPr>
        <w:t>00766/INFOEM/IP/RR/2022:</w:t>
      </w:r>
    </w:p>
    <w:p w14:paraId="4C4E2578" w14:textId="77777777" w:rsidR="00B36041" w:rsidRDefault="00243587">
      <w:pPr>
        <w:spacing w:before="240" w:after="240" w:line="360" w:lineRule="auto"/>
        <w:jc w:val="both"/>
        <w:rPr>
          <w:rFonts w:ascii="Palatino Linotype" w:eastAsia="Palatino Linotype" w:hAnsi="Palatino Linotype" w:cs="Palatino Linotype"/>
          <w:color w:val="000000"/>
          <w:sz w:val="24"/>
          <w:szCs w:val="24"/>
        </w:rPr>
      </w:pPr>
      <w:r w:rsidRPr="00281B35">
        <w:rPr>
          <w:rFonts w:ascii="Palatino Linotype" w:eastAsia="Palatino Linotype" w:hAnsi="Palatino Linotype" w:cs="Palatino Linotype"/>
          <w:b/>
          <w:color w:val="000000"/>
          <w:sz w:val="24"/>
          <w:szCs w:val="24"/>
          <w:lang w:val="en-US"/>
        </w:rPr>
        <w:t>“</w:t>
      </w:r>
      <w:r w:rsidRPr="00281B35">
        <w:rPr>
          <w:rFonts w:ascii="Palatino Linotype" w:eastAsia="Palatino Linotype" w:hAnsi="Palatino Linotype" w:cs="Palatino Linotype"/>
          <w:b/>
          <w:color w:val="000000"/>
          <w:sz w:val="24"/>
          <w:szCs w:val="24"/>
          <w:u w:val="single"/>
          <w:lang w:val="en-US"/>
        </w:rPr>
        <w:t>DGA-SRH-M-0079-2022.pdf</w:t>
      </w:r>
      <w:r w:rsidRPr="00281B35">
        <w:rPr>
          <w:rFonts w:ascii="Palatino Linotype" w:eastAsia="Palatino Linotype" w:hAnsi="Palatino Linotype" w:cs="Palatino Linotype"/>
          <w:b/>
          <w:color w:val="000000"/>
          <w:sz w:val="24"/>
          <w:szCs w:val="24"/>
          <w:lang w:val="en-US"/>
        </w:rPr>
        <w:t xml:space="preserve">”. </w:t>
      </w:r>
      <w:r>
        <w:rPr>
          <w:rFonts w:ascii="Palatino Linotype" w:eastAsia="Palatino Linotype" w:hAnsi="Palatino Linotype" w:cs="Palatino Linotype"/>
          <w:color w:val="000000"/>
          <w:sz w:val="24"/>
          <w:szCs w:val="24"/>
        </w:rPr>
        <w:t>Contiene el oficio DGA/SRH/M/0079/2022 a través del cual la Directora General de Administración precisa que envía, la información solicitada  de la Directora General de Educación y Cultura, como se observa a continuación:</w:t>
      </w:r>
    </w:p>
    <w:p w14:paraId="6D004801" w14:textId="77777777" w:rsidR="00B36041" w:rsidRDefault="00B36041">
      <w:pPr>
        <w:spacing w:before="240" w:after="240" w:line="360" w:lineRule="auto"/>
        <w:jc w:val="both"/>
        <w:rPr>
          <w:rFonts w:ascii="Palatino Linotype" w:eastAsia="Palatino Linotype" w:hAnsi="Palatino Linotype" w:cs="Palatino Linotype"/>
          <w:color w:val="000000"/>
          <w:sz w:val="24"/>
          <w:szCs w:val="24"/>
        </w:rPr>
      </w:pPr>
    </w:p>
    <w:p w14:paraId="3ED73F48" w14:textId="77777777" w:rsidR="00B36041" w:rsidRDefault="00243587">
      <w:pPr>
        <w:spacing w:before="240" w:after="240" w:line="360" w:lineRule="auto"/>
        <w:jc w:val="center"/>
        <w:rPr>
          <w:rFonts w:ascii="Palatino Linotype" w:eastAsia="Palatino Linotype" w:hAnsi="Palatino Linotype" w:cs="Palatino Linotype"/>
          <w:color w:val="000000"/>
          <w:sz w:val="24"/>
          <w:szCs w:val="24"/>
        </w:rPr>
      </w:pPr>
      <w:r>
        <w:rPr>
          <w:noProof/>
        </w:rPr>
        <w:drawing>
          <wp:inline distT="0" distB="0" distL="0" distR="0" wp14:anchorId="1A50FE58" wp14:editId="303A270C">
            <wp:extent cx="4529067" cy="5876175"/>
            <wp:effectExtent l="0" t="0" r="0" b="0"/>
            <wp:docPr id="1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l="41073" t="13579" r="25832" b="10077"/>
                    <a:stretch>
                      <a:fillRect/>
                    </a:stretch>
                  </pic:blipFill>
                  <pic:spPr>
                    <a:xfrm>
                      <a:off x="0" y="0"/>
                      <a:ext cx="4529067" cy="5876175"/>
                    </a:xfrm>
                    <a:prstGeom prst="rect">
                      <a:avLst/>
                    </a:prstGeom>
                    <a:ln/>
                  </pic:spPr>
                </pic:pic>
              </a:graphicData>
            </a:graphic>
          </wp:inline>
        </w:drawing>
      </w:r>
    </w:p>
    <w:p w14:paraId="62A37CCE" w14:textId="77777777" w:rsidR="00B36041" w:rsidRDefault="00243587">
      <w:pPr>
        <w:spacing w:before="240" w:after="240" w:line="360" w:lineRule="auto"/>
        <w:jc w:val="both"/>
        <w:rPr>
          <w:rFonts w:ascii="Palatino Linotype" w:eastAsia="Palatino Linotype" w:hAnsi="Palatino Linotype" w:cs="Palatino Linotype"/>
          <w:color w:val="000000"/>
          <w:sz w:val="24"/>
          <w:szCs w:val="24"/>
        </w:rPr>
      </w:pPr>
      <w:r>
        <w:rPr>
          <w:noProof/>
        </w:rPr>
        <w:drawing>
          <wp:inline distT="0" distB="0" distL="0" distR="0" wp14:anchorId="41F8D039" wp14:editId="015904E2">
            <wp:extent cx="5401059" cy="6920955"/>
            <wp:effectExtent l="0" t="0" r="0" b="0"/>
            <wp:docPr id="14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8"/>
                    <a:srcRect l="40733" t="18105" r="25492" b="4948"/>
                    <a:stretch>
                      <a:fillRect/>
                    </a:stretch>
                  </pic:blipFill>
                  <pic:spPr>
                    <a:xfrm>
                      <a:off x="0" y="0"/>
                      <a:ext cx="5401059" cy="6920955"/>
                    </a:xfrm>
                    <a:prstGeom prst="rect">
                      <a:avLst/>
                    </a:prstGeom>
                    <a:ln/>
                  </pic:spPr>
                </pic:pic>
              </a:graphicData>
            </a:graphic>
          </wp:inline>
        </w:drawing>
      </w:r>
    </w:p>
    <w:p w14:paraId="34F7C7E6" w14:textId="77777777" w:rsidR="00B36041" w:rsidRDefault="00B36041">
      <w:pPr>
        <w:spacing w:before="240" w:after="240" w:line="360" w:lineRule="auto"/>
        <w:jc w:val="both"/>
        <w:rPr>
          <w:rFonts w:ascii="Palatino Linotype" w:eastAsia="Palatino Linotype" w:hAnsi="Palatino Linotype" w:cs="Palatino Linotype"/>
          <w:color w:val="000000"/>
          <w:sz w:val="24"/>
          <w:szCs w:val="24"/>
        </w:rPr>
      </w:pPr>
    </w:p>
    <w:p w14:paraId="20BC8CF6" w14:textId="77777777" w:rsidR="00B36041" w:rsidRDefault="00243587">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Así mismo,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color w:val="000000"/>
          <w:sz w:val="24"/>
          <w:szCs w:val="24"/>
        </w:rPr>
        <w:t xml:space="preserve">contiene la ficha Curricular de Leticia Buitron Cornejo, Directora de Cultura y Educación, precisado en el archivo denominado </w:t>
      </w:r>
      <w:r>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b/>
          <w:color w:val="000000"/>
          <w:sz w:val="24"/>
          <w:szCs w:val="24"/>
          <w:u w:val="single"/>
        </w:rPr>
        <w:t>1 F curric ED CULTURA BUITRON CORNEJO LETICIA.pdf</w:t>
      </w:r>
      <w:r>
        <w:rPr>
          <w:rFonts w:ascii="Palatino Linotype" w:eastAsia="Palatino Linotype" w:hAnsi="Palatino Linotype" w:cs="Palatino Linotype"/>
          <w:b/>
          <w:color w:val="000000"/>
          <w:sz w:val="24"/>
          <w:szCs w:val="24"/>
        </w:rPr>
        <w:t>”</w:t>
      </w:r>
    </w:p>
    <w:p w14:paraId="7C787B00" w14:textId="77777777" w:rsidR="00B36041" w:rsidRDefault="00243587">
      <w:pPr>
        <w:spacing w:before="240" w:after="24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t xml:space="preserve">9. DEL CIERRE DE INSTRUCCIÓN. </w:t>
      </w:r>
      <w:r>
        <w:rPr>
          <w:rFonts w:ascii="Palatino Linotype" w:eastAsia="Palatino Linotype" w:hAnsi="Palatino Linotype" w:cs="Palatino Linotype"/>
          <w:color w:val="000000"/>
          <w:sz w:val="24"/>
          <w:szCs w:val="24"/>
        </w:rPr>
        <w:t>El siete de abril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3513B3B3" w14:textId="77777777" w:rsidR="00B36041" w:rsidRDefault="00243587">
      <w:pPr>
        <w:spacing w:before="240" w:after="240" w:line="360" w:lineRule="auto"/>
        <w:jc w:val="both"/>
        <w:rPr>
          <w:rFonts w:ascii="Palatino Linotype" w:eastAsia="Palatino Linotype" w:hAnsi="Palatino Linotype" w:cs="Palatino Linotype"/>
          <w:sz w:val="24"/>
          <w:szCs w:val="24"/>
        </w:rPr>
      </w:pPr>
      <w:bookmarkStart w:id="0" w:name="_heading=h.gjdgxs" w:colFirst="0" w:colLast="0"/>
      <w:bookmarkEnd w:id="0"/>
      <w:r>
        <w:rPr>
          <w:rFonts w:ascii="Palatino Linotype" w:eastAsia="Palatino Linotype" w:hAnsi="Palatino Linotype" w:cs="Palatino Linotype"/>
          <w:b/>
          <w:sz w:val="24"/>
          <w:szCs w:val="24"/>
        </w:rPr>
        <w:t>10. DE LA AMPLIACIÓN DE PLAZO.</w:t>
      </w:r>
      <w:r>
        <w:rPr>
          <w:rFonts w:ascii="Palatino Linotype" w:eastAsia="Palatino Linotype" w:hAnsi="Palatino Linotype" w:cs="Palatino Linotype"/>
          <w:color w:val="202124"/>
          <w:highlight w:val="white"/>
        </w:rPr>
        <w:t xml:space="preserve"> </w:t>
      </w:r>
      <w:r>
        <w:rPr>
          <w:rFonts w:ascii="Palatino Linotype" w:eastAsia="Palatino Linotype" w:hAnsi="Palatino Linotype" w:cs="Palatino Linotype"/>
          <w:color w:val="202124"/>
          <w:sz w:val="24"/>
          <w:szCs w:val="24"/>
          <w:highlight w:val="white"/>
        </w:rPr>
        <w:t xml:space="preserve">En fecha </w:t>
      </w:r>
      <w:r>
        <w:rPr>
          <w:rFonts w:ascii="Palatino Linotype" w:eastAsia="Palatino Linotype" w:hAnsi="Palatino Linotype" w:cs="Palatino Linotype"/>
          <w:color w:val="000000"/>
          <w:sz w:val="24"/>
          <w:szCs w:val="24"/>
        </w:rPr>
        <w:t xml:space="preserve">siete de abril </w:t>
      </w:r>
      <w:r>
        <w:rPr>
          <w:rFonts w:ascii="Palatino Linotype" w:eastAsia="Palatino Linotype" w:hAnsi="Palatino Linotype" w:cs="Palatino Linotype"/>
          <w:color w:val="202124"/>
          <w:sz w:val="24"/>
          <w:szCs w:val="24"/>
          <w:highlight w:val="white"/>
        </w:rPr>
        <w:t>del dos mil veintidós,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p>
    <w:p w14:paraId="4FE1A7E1" w14:textId="77777777" w:rsidR="00B36041" w:rsidRDefault="00B36041">
      <w:pPr>
        <w:spacing w:before="240" w:after="240" w:line="360" w:lineRule="auto"/>
        <w:ind w:right="49"/>
        <w:jc w:val="both"/>
        <w:rPr>
          <w:rFonts w:ascii="Palatino Linotype" w:eastAsia="Palatino Linotype" w:hAnsi="Palatino Linotype" w:cs="Palatino Linotype"/>
          <w:color w:val="000000"/>
          <w:sz w:val="24"/>
          <w:szCs w:val="24"/>
        </w:rPr>
      </w:pPr>
    </w:p>
    <w:p w14:paraId="1EF23204" w14:textId="77777777" w:rsidR="00B36041" w:rsidRDefault="00243587">
      <w:pPr>
        <w:spacing w:before="240" w:after="24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CONSIDERANDOS</w:t>
      </w:r>
    </w:p>
    <w:p w14:paraId="4C757DAC" w14:textId="77777777"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PRIMERO. COMPETENCIA. </w:t>
      </w:r>
      <w:r>
        <w:rPr>
          <w:rFonts w:ascii="Palatino Linotype" w:eastAsia="Palatino Linotype" w:hAnsi="Palatino Linotype" w:cs="Palatino Linotype"/>
          <w:sz w:val="24"/>
          <w:szCs w:val="24"/>
        </w:rPr>
        <w:t>Este Instituto de Transparencia, Acceso a la Información Pública y Protección de Datos Personales del Estado de México y Municipios, es competente para conocer y resolver los presentes recursos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186 y 188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52630E7E" w14:textId="77777777"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SEGUNDO. OPORTUNIDAD Y PROCEDIBILIDAD.</w:t>
      </w:r>
      <w:r>
        <w:rPr>
          <w:rFonts w:ascii="Palatino Linotype" w:eastAsia="Palatino Linotype" w:hAnsi="Palatino Linotype" w:cs="Palatino Linotype"/>
          <w:b/>
        </w:rPr>
        <w:t xml:space="preserve"> </w:t>
      </w:r>
      <w:r>
        <w:rPr>
          <w:rFonts w:ascii="Palatino Linotype" w:eastAsia="Palatino Linotype" w:hAnsi="Palatino Linotype" w:cs="Palatino Linotype"/>
          <w:sz w:val="24"/>
          <w:szCs w:val="24"/>
        </w:rPr>
        <w:t>Es de precisar que la</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Ley de Transparencia y Acceso a la Información Pública del Estado de México y Municipios, describe el mecanismo de procedencia de los recursos de revisión, como se dispone en los artículos 163 y 166, del tenor literal siguiente: </w:t>
      </w:r>
    </w:p>
    <w:p w14:paraId="3D2FDDE7" w14:textId="77777777"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163. </w:t>
      </w:r>
      <w:r>
        <w:rPr>
          <w:rFonts w:ascii="Palatino Linotype" w:eastAsia="Palatino Linotype" w:hAnsi="Palatino Linotype" w:cs="Palatino Linotype"/>
          <w:i/>
        </w:rPr>
        <w:t xml:space="preserve">La Unidad de Transparencia deberá notificar la respuesta a la solicitud al interesado en el menor tiempo posible, que no podrá exceder de quince días hábiles, contados a partir del día siguiente a la presentación de aquélla. </w:t>
      </w:r>
    </w:p>
    <w:p w14:paraId="7060B07F" w14:textId="77777777"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485FE036" w14:textId="77777777"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Artículo 166.</w:t>
      </w:r>
      <w:r>
        <w:rPr>
          <w:rFonts w:ascii="Palatino Linotype" w:eastAsia="Palatino Linotype" w:hAnsi="Palatino Linotype" w:cs="Palatino Linotype"/>
          <w:i/>
        </w:rPr>
        <w:t xml:space="preserve"> […]</w:t>
      </w:r>
    </w:p>
    <w:p w14:paraId="21295CFF" w14:textId="77777777"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Cuando el sujeto obligado no entregue la respuesta a la solicitud dentro del plazo previsto en la Ley, la solicitud se entenderá negada y el solicitante podrá interponer el recurso de revisión previsto en este ordenamiento.” </w:t>
      </w:r>
    </w:p>
    <w:p w14:paraId="4AE17342" w14:textId="77777777"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revisión.</w:t>
      </w:r>
    </w:p>
    <w:p w14:paraId="460F95E6" w14:textId="77777777"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Derivado de lo anterior, se constituye lo que en la doctrina se conoce como negativa ficta, figura jurídica cuya esencia consiste en atribuir un efecto negativo al silencio de la autoridad administrativa frente a las instancias y solicitudes que hagan los particulares.</w:t>
      </w:r>
    </w:p>
    <w:p w14:paraId="5EF67A1C" w14:textId="77777777" w:rsidR="00B36041" w:rsidRDefault="00243587">
      <w:pPr>
        <w:spacing w:before="240" w:after="240" w:line="360" w:lineRule="auto"/>
        <w:jc w:val="both"/>
        <w:rPr>
          <w:rFonts w:ascii="Palatino Linotype" w:eastAsia="Palatino Linotype" w:hAnsi="Palatino Linotype" w:cs="Palatino Linotype"/>
          <w:i/>
          <w:sz w:val="24"/>
          <w:szCs w:val="24"/>
        </w:rPr>
      </w:pPr>
      <w:r>
        <w:rPr>
          <w:rFonts w:ascii="Palatino Linotype" w:eastAsia="Palatino Linotype" w:hAnsi="Palatino Linotype" w:cs="Palatino Linotype"/>
          <w:sz w:val="24"/>
          <w:szCs w:val="24"/>
        </w:rPr>
        <w:t>Por su parte, el artículo 178 del citado ordenamiento, establece:</w:t>
      </w:r>
    </w:p>
    <w:p w14:paraId="30B7710B" w14:textId="77777777"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178. </w:t>
      </w:r>
      <w:r>
        <w:rPr>
          <w:rFonts w:ascii="Palatino Linotype" w:eastAsia="Palatino Linotype" w:hAnsi="Palatino Linotype" w:cs="Palatino Linotype"/>
          <w:i/>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Pr>
          <w:rFonts w:ascii="Palatino Linotype" w:eastAsia="Palatino Linotype" w:hAnsi="Palatino Linotype" w:cs="Palatino Linotype"/>
          <w:b/>
          <w:i/>
        </w:rPr>
        <w:t>.”</w:t>
      </w:r>
    </w:p>
    <w:p w14:paraId="087889EB" w14:textId="77777777"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 anterior, se advierte que el recurso de revisión se ha de interponer dentro del plazo de quince días hábiles, a partir de la fecha en que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da respuesta a la solicitud de información; sin embargo, tratándose de negativa ficta no existe resolución que se haga del conocimiento del particular a partir de la cual pueda computarse dicho plazo, por lo que se concluye que la interposición del recurso de revisión puede ser en cualquier momento.</w:t>
      </w:r>
    </w:p>
    <w:p w14:paraId="134FA476" w14:textId="77777777"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La negativa ficta constituye una presunción legal, en el entendido de que donde no hubo respuesta por parte del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14:paraId="7164FD29" w14:textId="77777777"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Organismo Garante del derecho de acceso a la información y en aras de privilegiar el principio de máxima publicidad deberá dar entrada al estudio del fondo del recurso interpuesto en dichos casos y no optar por el desechamiento del mismo.</w:t>
      </w:r>
    </w:p>
    <w:p w14:paraId="4A50F3DF" w14:textId="77777777" w:rsidR="00B36041" w:rsidRDefault="00243587">
      <w:pPr>
        <w:spacing w:before="240" w:after="240" w:line="360" w:lineRule="auto"/>
        <w:jc w:val="both"/>
        <w:rPr>
          <w:rFonts w:ascii="Palatino Linotype" w:eastAsia="Palatino Linotype" w:hAnsi="Palatino Linotype" w:cs="Palatino Linotype"/>
          <w:i/>
          <w:sz w:val="24"/>
          <w:szCs w:val="24"/>
        </w:rPr>
      </w:pPr>
      <w:r>
        <w:rPr>
          <w:rFonts w:ascii="Palatino Linotype" w:eastAsia="Palatino Linotype" w:hAnsi="Palatino Linotype" w:cs="Palatino Linotype"/>
          <w:sz w:val="24"/>
          <w:szCs w:val="24"/>
        </w:rPr>
        <w:t xml:space="preserve">Por lo tanto, con la finalidad de no reducir ni limitar el derecho de acceso a la información y concederle una protección más eficaz al solicitante para impugnar el silencio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éste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14:paraId="1EA89418" w14:textId="77777777"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“CRITERIO 0001-15. NEGATIVA FICTA. PLAZO PARA INTERPONER EL RECURSO DE REVISIÓN TRATÁNDOSE DE</w:t>
      </w:r>
      <w:r>
        <w:rPr>
          <w:rFonts w:ascii="Palatino Linotype" w:eastAsia="Palatino Linotype" w:hAnsi="Palatino Linotype" w:cs="Palatino Linotype"/>
          <w:i/>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 </w:t>
      </w:r>
    </w:p>
    <w:p w14:paraId="44462DA4" w14:textId="77777777"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351CD03" w14:textId="77777777"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 efecto de sustentar lo anterior, es de suma importancia mencionar que si bien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proporcionó como nombre </w:t>
      </w:r>
      <w:r w:rsidR="00281B35" w:rsidRPr="00281B35">
        <w:rPr>
          <w:rFonts w:ascii="Palatino Linotype" w:eastAsia="Palatino Linotype" w:hAnsi="Palatino Linotype" w:cs="Palatino Linotype"/>
          <w:sz w:val="24"/>
          <w:szCs w:val="24"/>
        </w:rPr>
        <w:t>XXXX XXXXX X</w:t>
      </w:r>
      <w:r>
        <w:rPr>
          <w:rFonts w:ascii="Palatino Linotype" w:eastAsia="Palatino Linotype" w:hAnsi="Palatino Linotype" w:cs="Palatino Linotype"/>
          <w:sz w:val="24"/>
          <w:szCs w:val="24"/>
        </w:rPr>
        <w:t xml:space="preserve"> con el cual desea identificarse 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432BD2B" w14:textId="77777777" w:rsidR="00B36041" w:rsidRDefault="00243587">
      <w:pPr>
        <w:spacing w:before="120" w:after="120"/>
        <w:ind w:left="851" w:right="902"/>
        <w:jc w:val="both"/>
        <w:rPr>
          <w:rFonts w:ascii="Palatino Linotype" w:eastAsia="Palatino Linotype" w:hAnsi="Palatino Linotype" w:cs="Palatino Linotype"/>
        </w:rPr>
      </w:pPr>
      <w:r>
        <w:rPr>
          <w:rFonts w:ascii="Palatino Linotype" w:eastAsia="Palatino Linotype" w:hAnsi="Palatino Linotype" w:cs="Palatino Linotype"/>
          <w:i/>
        </w:rPr>
        <w:t xml:space="preserve">"Las solicitudes anónimas, </w:t>
      </w:r>
      <w:r>
        <w:rPr>
          <w:rFonts w:ascii="Palatino Linotype" w:eastAsia="Palatino Linotype" w:hAnsi="Palatino Linotype" w:cs="Palatino Linotype"/>
          <w:b/>
          <w:i/>
        </w:rPr>
        <w:t>con nombre incompleto o seudónimo serán procedentes para su trámite por parte del sujeto obligado ante quien se presente</w:t>
      </w:r>
      <w:r>
        <w:rPr>
          <w:rFonts w:ascii="Palatino Linotype" w:eastAsia="Palatino Linotype" w:hAnsi="Palatino Linotype" w:cs="Palatino Linotype"/>
          <w:i/>
        </w:rPr>
        <w:t>. No podrá requerirse información adicional con motivo del nombre proporcionado por el solicitante."</w:t>
      </w:r>
    </w:p>
    <w:p w14:paraId="298FBC44" w14:textId="77777777"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por lo que, en el presente caso, al haber sido presentado el recurso de revisión vía SAIMEX, dicho requisito resulta innecesario.</w:t>
      </w:r>
    </w:p>
    <w:p w14:paraId="0A364589" w14:textId="77777777"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Finalmente, antes de entrar al estudio de la presente resolución es preciso determinar si resulta procedente la interposición del recurso de revisión, toda vez que se actualizan la hipótesis prevista en el artículo 179, fracción VII de la ley de la materia, que a la letra dice:</w:t>
      </w:r>
    </w:p>
    <w:p w14:paraId="5F166186" w14:textId="77777777"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179. </w:t>
      </w:r>
      <w:r>
        <w:rPr>
          <w:rFonts w:ascii="Palatino Linotype" w:eastAsia="Palatino Linotype" w:hAnsi="Palatino Linotype" w:cs="Palatino Linotype"/>
          <w:i/>
        </w:rPr>
        <w:t>El recurso de revisión es un medio de protección que la Ley otorga a los particulares, para hacer valer su derecho de acceso a la información pública, y procederá en contra de las siguientes causas:</w:t>
      </w:r>
    </w:p>
    <w:p w14:paraId="78A839D4" w14:textId="77777777" w:rsidR="00B36041" w:rsidRDefault="00243587">
      <w:pPr>
        <w:ind w:left="1134"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68BF6649" w14:textId="77777777" w:rsidR="00B36041" w:rsidRDefault="00243587">
      <w:pPr>
        <w:ind w:left="1134"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VII. </w:t>
      </w:r>
      <w:r>
        <w:rPr>
          <w:rFonts w:ascii="Palatino Linotype" w:eastAsia="Palatino Linotype" w:hAnsi="Palatino Linotype" w:cs="Palatino Linotype"/>
          <w:i/>
        </w:rPr>
        <w:t>La falta de respuesta a una solicitud de acceso a la información;</w:t>
      </w:r>
    </w:p>
    <w:p w14:paraId="11C3EA7F" w14:textId="77777777" w:rsidR="00B36041" w:rsidRDefault="00243587">
      <w:pPr>
        <w:ind w:left="1134" w:right="851"/>
        <w:jc w:val="both"/>
        <w:rPr>
          <w:rFonts w:ascii="Palatino Linotype" w:eastAsia="Palatino Linotype" w:hAnsi="Palatino Linotype" w:cs="Palatino Linotype"/>
          <w:i/>
        </w:rPr>
      </w:pPr>
      <w:r>
        <w:rPr>
          <w:rFonts w:ascii="Palatino Linotype" w:eastAsia="Palatino Linotype" w:hAnsi="Palatino Linotype" w:cs="Palatino Linotype"/>
          <w:b/>
          <w:i/>
        </w:rPr>
        <w:t>…</w:t>
      </w:r>
      <w:r>
        <w:rPr>
          <w:rFonts w:ascii="Palatino Linotype" w:eastAsia="Palatino Linotype" w:hAnsi="Palatino Linotype" w:cs="Palatino Linotype"/>
          <w:i/>
        </w:rPr>
        <w:t>”</w:t>
      </w:r>
    </w:p>
    <w:p w14:paraId="2407B3CD" w14:textId="77777777"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precepto legal citado, establece como supuesto de procedencia del recurso de revisión, en aquellos casos en que la parte </w:t>
      </w:r>
      <w:r>
        <w:rPr>
          <w:rFonts w:ascii="Palatino Linotype" w:eastAsia="Palatino Linotype" w:hAnsi="Palatino Linotype" w:cs="Palatino Linotype"/>
          <w:b/>
          <w:sz w:val="24"/>
          <w:szCs w:val="24"/>
        </w:rPr>
        <w:t xml:space="preserve">RECURRENTE </w:t>
      </w:r>
      <w:r>
        <w:rPr>
          <w:rFonts w:ascii="Palatino Linotype" w:eastAsia="Palatino Linotype" w:hAnsi="Palatino Linotype" w:cs="Palatino Linotype"/>
          <w:sz w:val="24"/>
          <w:szCs w:val="24"/>
        </w:rPr>
        <w:t xml:space="preserve">estime negado el acceso a la información por la falta de respuesta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 este asunto se actualiza la hipótesis jurídica citada, en atención a que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combate falta de trámite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y expresa motivos de inconformidad en contra de dicha circunstancia.</w:t>
      </w:r>
    </w:p>
    <w:p w14:paraId="568972A6" w14:textId="77777777" w:rsidR="00B36041" w:rsidRDefault="00243587">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8"/>
          <w:szCs w:val="28"/>
        </w:rPr>
        <w:t xml:space="preserve">TERCERO. Materia de la Revisión. </w:t>
      </w:r>
      <w:r>
        <w:rPr>
          <w:rFonts w:ascii="Palatino Linotype" w:eastAsia="Palatino Linotype" w:hAnsi="Palatino Linotype" w:cs="Palatino Linotype"/>
          <w:sz w:val="24"/>
          <w:szCs w:val="24"/>
        </w:rPr>
        <w:t xml:space="preserve">Una vez realizado el análisis de las constancias y documentos que obran en expediente electrónico, en que se actúa, se advierte que el tema sobre el que este Organismo Garante de Transparencia y Acceso a la Información se pronunciará será: verificar si la respuesta otorgada por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mediante informe justificado y alcance al mismo es adecuada y suficiente para satisfacer el derecho de acceso a la información pública de la</w:t>
      </w:r>
      <w:r>
        <w:rPr>
          <w:rFonts w:ascii="Palatino Linotype" w:eastAsia="Palatino Linotype" w:hAnsi="Palatino Linotype" w:cs="Palatino Linotype"/>
          <w:b/>
          <w:sz w:val="24"/>
          <w:szCs w:val="24"/>
        </w:rPr>
        <w:t xml:space="preserve"> RECURRENTE</w:t>
      </w:r>
      <w:r>
        <w:rPr>
          <w:rFonts w:ascii="Palatino Linotype" w:eastAsia="Palatino Linotype" w:hAnsi="Palatino Linotype" w:cs="Palatino Linotype"/>
          <w:sz w:val="24"/>
          <w:szCs w:val="24"/>
        </w:rPr>
        <w:t>, o en su defecto, en caso de ser procedente, ordenar la entrega de información oportuna.</w:t>
      </w:r>
    </w:p>
    <w:p w14:paraId="72002677" w14:textId="77777777" w:rsidR="00B36041" w:rsidRDefault="00243587">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sz w:val="28"/>
          <w:szCs w:val="28"/>
        </w:rPr>
        <w:t>CUARTO. Estudio y resolución del Asunto.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Antes de entrar al análisis de los pronunciamientos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 los informes justificados y alcances a los mismos,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AD08D1C" w14:textId="77777777" w:rsidR="00B36041" w:rsidRDefault="00243587">
      <w:pPr>
        <w:tabs>
          <w:tab w:val="left" w:pos="709"/>
        </w:tabs>
        <w:spacing w:before="240" w:after="240"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7DC2119B" w14:textId="77777777" w:rsidR="00B36041" w:rsidRDefault="00243587">
      <w:pPr>
        <w:tabs>
          <w:tab w:val="left" w:pos="709"/>
        </w:tabs>
        <w:spacing w:before="240" w:after="240" w:line="276" w:lineRule="auto"/>
        <w:ind w:left="851" w:right="850"/>
        <w:jc w:val="both"/>
        <w:rPr>
          <w:rFonts w:ascii="Palatino Linotype" w:eastAsia="Palatino Linotype" w:hAnsi="Palatino Linotype" w:cs="Palatino Linotype"/>
          <w:b/>
          <w:i/>
        </w:rPr>
      </w:pPr>
      <w:r>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192A6E7B" w14:textId="77777777" w:rsidR="00B36041" w:rsidRDefault="00243587">
      <w:pPr>
        <w:tabs>
          <w:tab w:val="left" w:pos="709"/>
        </w:tabs>
        <w:spacing w:before="240" w:after="240"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0BDD323D" w14:textId="77777777" w:rsidR="00B36041" w:rsidRDefault="00243587">
      <w:pPr>
        <w:tabs>
          <w:tab w:val="left" w:pos="709"/>
        </w:tabs>
        <w:spacing w:before="240" w:after="240" w:line="276" w:lineRule="auto"/>
        <w:ind w:left="851" w:right="85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3FDD0190" w14:textId="77777777" w:rsidR="00B36041" w:rsidRDefault="00243587">
      <w:pPr>
        <w:spacing w:before="240" w:after="240" w:line="276" w:lineRule="auto"/>
        <w:ind w:left="851" w:right="901"/>
        <w:jc w:val="both"/>
        <w:rPr>
          <w:rFonts w:ascii="Palatino Linotype" w:eastAsia="Palatino Linotype" w:hAnsi="Palatino Linotype" w:cs="Palatino Linotype"/>
          <w:i/>
        </w:rPr>
      </w:pPr>
      <w:r>
        <w:rPr>
          <w:rFonts w:ascii="Palatino Linotype" w:eastAsia="Palatino Linotype" w:hAnsi="Palatino Linotype" w:cs="Palatino Linotype"/>
          <w:b/>
          <w:i/>
        </w:rPr>
        <w:t>“Artículo 6o.</w:t>
      </w:r>
    </w:p>
    <w:p w14:paraId="1C91BC05" w14:textId="77777777" w:rsidR="00B36041" w:rsidRDefault="00243587">
      <w:pPr>
        <w:spacing w:before="240" w:after="240" w:line="276" w:lineRule="auto"/>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DE6C2F7" w14:textId="77777777" w:rsidR="00B36041" w:rsidRDefault="00243587">
      <w:pPr>
        <w:spacing w:before="240" w:after="24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 Para el ejercicio del derecho de acceso a la información, la Federación y </w:t>
      </w:r>
      <w:r>
        <w:rPr>
          <w:rFonts w:ascii="Palatino Linotype" w:eastAsia="Palatino Linotype" w:hAnsi="Palatino Linotype" w:cs="Palatino Linotype"/>
          <w:b/>
          <w:i/>
          <w:u w:val="single"/>
        </w:rPr>
        <w:t>las entidades federativas</w:t>
      </w:r>
      <w:r>
        <w:rPr>
          <w:rFonts w:ascii="Palatino Linotype" w:eastAsia="Palatino Linotype" w:hAnsi="Palatino Linotype" w:cs="Palatino Linotype"/>
          <w:b/>
          <w:i/>
        </w:rPr>
        <w:t>,</w:t>
      </w:r>
      <w:r>
        <w:rPr>
          <w:rFonts w:ascii="Palatino Linotype" w:eastAsia="Palatino Linotype" w:hAnsi="Palatino Linotype" w:cs="Palatino Linotype"/>
          <w:i/>
        </w:rPr>
        <w:t xml:space="preserve"> en el ámbito de sus respectivas competencias, se regirán por los siguientes principios y bases:</w:t>
      </w:r>
    </w:p>
    <w:p w14:paraId="38D24B95" w14:textId="77777777" w:rsidR="00B36041" w:rsidRDefault="00243587">
      <w:pPr>
        <w:spacing w:before="240" w:after="24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r>
        <w:rPr>
          <w:rFonts w:ascii="Palatino Linotype" w:eastAsia="Palatino Linotype" w:hAnsi="Palatino Linotype" w:cs="Palatino Linotype"/>
          <w:b/>
          <w:i/>
        </w:rPr>
        <w:t xml:space="preserve">I. </w:t>
      </w:r>
      <w:r>
        <w:rPr>
          <w:rFonts w:ascii="Palatino Linotype" w:eastAsia="Palatino Linotype" w:hAnsi="Palatino Linotype" w:cs="Palatino Linotype"/>
          <w:b/>
          <w:i/>
          <w:u w:val="single"/>
        </w:rPr>
        <w:t>Toda la información en posesión de cualquier autoridad, entidad, órgano y organismo de los Poderes</w:t>
      </w:r>
      <w:r>
        <w:rPr>
          <w:rFonts w:ascii="Palatino Linotype" w:eastAsia="Palatino Linotype" w:hAnsi="Palatino Linotype" w:cs="Palatino Linotype"/>
          <w:i/>
        </w:rPr>
        <w:t xml:space="preserve"> Ejecutivo, Legislativo </w:t>
      </w:r>
      <w:r>
        <w:rPr>
          <w:rFonts w:ascii="Palatino Linotype" w:eastAsia="Palatino Linotype" w:hAnsi="Palatino Linotype" w:cs="Palatino Linotype"/>
          <w:b/>
          <w:i/>
          <w:u w:val="single"/>
        </w:rPr>
        <w:t>y Judicial</w:t>
      </w:r>
      <w:r>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rPr>
        <w:t>es pública y sólo podrá ser reservada temporalmente por razones de interés público y seguridad nacional,</w:t>
      </w:r>
      <w:r>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6AA6266" w14:textId="77777777" w:rsidR="00B36041" w:rsidRDefault="00243587">
      <w:pPr>
        <w:spacing w:before="240" w:after="240" w:line="276" w:lineRule="auto"/>
        <w:ind w:left="851" w:right="851"/>
        <w:jc w:val="both"/>
        <w:rPr>
          <w:rFonts w:ascii="Palatino Linotype" w:eastAsia="Palatino Linotype" w:hAnsi="Palatino Linotype" w:cs="Palatino Linotype"/>
          <w:b/>
          <w:i/>
        </w:rPr>
      </w:pPr>
      <w:r>
        <w:rPr>
          <w:rFonts w:ascii="Palatino Linotype" w:eastAsia="Palatino Linotype" w:hAnsi="Palatino Linotype" w:cs="Palatino Linotype"/>
          <w:i/>
        </w:rPr>
        <w:t> </w:t>
      </w:r>
      <w:r>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018DEA01" w14:textId="77777777" w:rsidR="00B36041" w:rsidRDefault="00243587">
      <w:pPr>
        <w:spacing w:before="240" w:after="24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r>
        <w:rPr>
          <w:rFonts w:ascii="Palatino Linotype" w:eastAsia="Palatino Linotype" w:hAnsi="Palatino Linotype" w:cs="Palatino Linotype"/>
          <w:b/>
          <w:i/>
        </w:rPr>
        <w:t xml:space="preserve">III. </w:t>
      </w:r>
      <w:r>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Pr>
          <w:rFonts w:ascii="Palatino Linotype" w:eastAsia="Palatino Linotype" w:hAnsi="Palatino Linotype" w:cs="Palatino Linotype"/>
          <w:i/>
        </w:rPr>
        <w:t xml:space="preserve"> a sus datos personales o a la rectificación de éstos.</w:t>
      </w:r>
    </w:p>
    <w:p w14:paraId="3C56E116" w14:textId="77777777" w:rsidR="00B36041" w:rsidRDefault="00243587">
      <w:pPr>
        <w:spacing w:before="240" w:after="24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IV. </w:t>
      </w:r>
      <w:r>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6C05CFB9" w14:textId="77777777" w:rsidR="00B36041" w:rsidRDefault="00243587">
      <w:pPr>
        <w:spacing w:before="240" w:after="24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V. </w:t>
      </w:r>
      <w:r>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5FEE37E" w14:textId="77777777" w:rsidR="00B36041" w:rsidRDefault="00243587">
      <w:pPr>
        <w:spacing w:before="240" w:after="24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r>
        <w:rPr>
          <w:rFonts w:ascii="Palatino Linotype" w:eastAsia="Palatino Linotype" w:hAnsi="Palatino Linotype" w:cs="Palatino Linotype"/>
          <w:b/>
          <w:i/>
        </w:rPr>
        <w:t xml:space="preserve">VI. </w:t>
      </w:r>
      <w:r>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0E6A3936" w14:textId="77777777" w:rsidR="00B36041" w:rsidRDefault="00243587">
      <w:pPr>
        <w:spacing w:before="240" w:after="24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r>
        <w:rPr>
          <w:rFonts w:ascii="Palatino Linotype" w:eastAsia="Palatino Linotype" w:hAnsi="Palatino Linotype" w:cs="Palatino Linotype"/>
          <w:b/>
          <w:i/>
        </w:rPr>
        <w:t xml:space="preserve">VII. </w:t>
      </w:r>
      <w:r>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1C217754" w14:textId="77777777"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AEB9985" w14:textId="77777777" w:rsidR="00B36041" w:rsidRDefault="00243587">
      <w:pPr>
        <w:spacing w:before="240" w:after="240" w:line="276" w:lineRule="auto"/>
        <w:ind w:left="709" w:right="76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B6D7282" w14:textId="77777777" w:rsidR="00B36041" w:rsidRDefault="00243587">
      <w:pPr>
        <w:spacing w:before="240" w:after="240" w:line="276" w:lineRule="auto"/>
        <w:ind w:left="709" w:right="760"/>
        <w:jc w:val="both"/>
        <w:rPr>
          <w:rFonts w:ascii="Palatino Linotype" w:eastAsia="Palatino Linotype" w:hAnsi="Palatino Linotype" w:cs="Palatino Linotype"/>
          <w:b/>
          <w:i/>
        </w:rPr>
      </w:pPr>
      <w:r>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0CED458" w14:textId="77777777" w:rsidR="00B36041" w:rsidRDefault="00243587">
      <w:pPr>
        <w:spacing w:before="240" w:after="240" w:line="276" w:lineRule="auto"/>
        <w:ind w:left="709" w:right="760"/>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solicitantes.”(Sic)</w:t>
      </w:r>
    </w:p>
    <w:p w14:paraId="59B51C1E" w14:textId="77777777"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1404972C" w14:textId="77777777" w:rsidR="00B36041" w:rsidRDefault="00243587">
      <w:pPr>
        <w:spacing w:before="240" w:after="240" w:line="276" w:lineRule="auto"/>
        <w:ind w:left="567" w:right="758"/>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0F283885" w14:textId="77777777" w:rsidR="00B36041" w:rsidRDefault="00243587">
      <w:pPr>
        <w:spacing w:before="240" w:after="240" w:line="276" w:lineRule="auto"/>
        <w:ind w:left="567" w:right="758"/>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150D0F60" w14:textId="77777777"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sz w:val="24"/>
          <w:szCs w:val="24"/>
        </w:rPr>
        <w:t>ad hoc</w:t>
      </w:r>
      <w:r>
        <w:rPr>
          <w:rFonts w:ascii="Palatino Linotype" w:eastAsia="Palatino Linotype" w:hAnsi="Palatino Linotype" w:cs="Palatino Linotype"/>
          <w:sz w:val="24"/>
          <w:szCs w:val="24"/>
        </w:rPr>
        <w:t>, para satisfacer el derecho de acceso a la información pública, como así lo establece</w:t>
      </w:r>
      <w:r>
        <w:rPr>
          <w:rFonts w:ascii="Palatino Linotype" w:eastAsia="Palatino Linotype" w:hAnsi="Palatino Linotype" w:cs="Palatino Linotype"/>
          <w:strike/>
          <w:color w:val="FF0000"/>
          <w:sz w:val="24"/>
          <w:szCs w:val="24"/>
        </w:rPr>
        <w:t xml:space="preserve"> </w:t>
      </w:r>
      <w:r>
        <w:rPr>
          <w:rFonts w:ascii="Palatino Linotype" w:eastAsia="Palatino Linotype" w:hAnsi="Palatino Linotype" w:cs="Palatino Linotype"/>
          <w:sz w:val="24"/>
          <w:szCs w:val="24"/>
        </w:rPr>
        <w:t>el criterio 03/17 emitido por el Instituto Nacional de Transparencia, Acceso a la Información Pública y Protección de Datos Personales, los cuales señalan lo siguiente:</w:t>
      </w:r>
    </w:p>
    <w:p w14:paraId="31138D2C" w14:textId="77777777" w:rsidR="00B36041" w:rsidRDefault="00243587">
      <w:pPr>
        <w:spacing w:before="240" w:after="240" w:line="276" w:lineRule="auto"/>
        <w:ind w:left="567" w:right="902"/>
        <w:jc w:val="both"/>
        <w:rPr>
          <w:rFonts w:ascii="Palatino Linotype" w:eastAsia="Palatino Linotype" w:hAnsi="Palatino Linotype" w:cs="Palatino Linotype"/>
          <w:b/>
          <w:i/>
        </w:rPr>
      </w:pPr>
      <w:r>
        <w:rPr>
          <w:rFonts w:ascii="Palatino Linotype" w:eastAsia="Palatino Linotype" w:hAnsi="Palatino Linotype" w:cs="Palatino Linotype"/>
          <w:b/>
          <w:i/>
        </w:rPr>
        <w:t>03/17</w:t>
      </w:r>
    </w:p>
    <w:p w14:paraId="561BACC5" w14:textId="77777777" w:rsidR="00B36041" w:rsidRDefault="00243587">
      <w:pPr>
        <w:spacing w:before="240" w:after="240" w:line="276" w:lineRule="auto"/>
        <w:ind w:left="567" w:right="902"/>
        <w:jc w:val="both"/>
        <w:rPr>
          <w:rFonts w:ascii="Palatino Linotype" w:eastAsia="Palatino Linotype" w:hAnsi="Palatino Linotype" w:cs="Palatino Linotype"/>
          <w:b/>
          <w:i/>
        </w:rPr>
      </w:pPr>
      <w:r>
        <w:rPr>
          <w:rFonts w:ascii="Palatino Linotype" w:eastAsia="Palatino Linotype" w:hAnsi="Palatino Linotype" w:cs="Palatino Linotype"/>
          <w:b/>
          <w:i/>
        </w:rPr>
        <w:t>“NO EXISTE OBLIGACIÓN DE ELABORAR DOCUMENTOS AD HOC PARA ATENDER LAS SOLICITUDES DE ACCESO A LA INFORMACIÓN.</w:t>
      </w:r>
    </w:p>
    <w:p w14:paraId="7EBFEEF5" w14:textId="77777777" w:rsidR="00B36041" w:rsidRDefault="00243587">
      <w:pPr>
        <w:spacing w:before="240" w:after="24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243F34B3" w14:textId="77777777"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7D58F12" w14:textId="77777777" w:rsidR="00B36041" w:rsidRDefault="00243587">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6DE696D" w14:textId="77777777"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D7F43CD" w14:textId="77777777" w:rsidR="00B36041" w:rsidRDefault="00243587">
      <w:pPr>
        <w:spacing w:before="240" w:after="240"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14:paraId="7658FB11" w14:textId="77777777" w:rsidR="00B36041" w:rsidRDefault="00243587">
      <w:pPr>
        <w:spacing w:before="240" w:after="240"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w:t>
      </w:r>
    </w:p>
    <w:p w14:paraId="4EA4B515" w14:textId="77777777" w:rsidR="00B36041" w:rsidRDefault="00243587">
      <w:pPr>
        <w:spacing w:before="240" w:after="240"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 </w:t>
      </w:r>
      <w:r>
        <w:rPr>
          <w:rFonts w:ascii="Palatino Linotype" w:eastAsia="Palatino Linotype" w:hAnsi="Palatino Linotype" w:cs="Palatino Linotype"/>
          <w:b/>
          <w:i/>
        </w:rPr>
        <w:t>actas,</w:t>
      </w:r>
      <w:r>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rPr>
        <w:t>…</w:t>
      </w:r>
      <w:r>
        <w:rPr>
          <w:rFonts w:ascii="Palatino Linotype" w:eastAsia="Palatino Linotype" w:hAnsi="Palatino Linotype" w:cs="Palatino Linotype"/>
          <w:i/>
        </w:rPr>
        <w:t>” (Sic)</w:t>
      </w:r>
    </w:p>
    <w:p w14:paraId="1FC3D4DA" w14:textId="77777777"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6C96A17" w14:textId="77777777" w:rsidR="00B36041" w:rsidRDefault="00243587">
      <w:pPr>
        <w:spacing w:before="240" w:after="240" w:line="276" w:lineRule="auto"/>
        <w:ind w:left="567" w:right="899"/>
        <w:jc w:val="both"/>
        <w:rPr>
          <w:rFonts w:ascii="Palatino Linotype" w:eastAsia="Palatino Linotype" w:hAnsi="Palatino Linotype" w:cs="Palatino Linotype"/>
          <w:b/>
          <w:i/>
        </w:rPr>
      </w:pPr>
      <w:r>
        <w:rPr>
          <w:rFonts w:ascii="Palatino Linotype" w:eastAsia="Palatino Linotype" w:hAnsi="Palatino Linotype" w:cs="Palatino Linotype"/>
          <w:b/>
        </w:rPr>
        <w:t>“</w:t>
      </w:r>
      <w:r>
        <w:rPr>
          <w:rFonts w:ascii="Palatino Linotype" w:eastAsia="Palatino Linotype" w:hAnsi="Palatino Linotype" w:cs="Palatino Linotype"/>
          <w:b/>
          <w:i/>
        </w:rPr>
        <w:t>CRITERIO 0002-11</w:t>
      </w:r>
    </w:p>
    <w:p w14:paraId="67F7C55A" w14:textId="77777777" w:rsidR="00B36041" w:rsidRDefault="00243587">
      <w:pPr>
        <w:spacing w:before="240" w:after="240" w:line="276" w:lineRule="auto"/>
        <w:ind w:left="567" w:right="899"/>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TRANSPARENCIA. INTERPRETACIÓN SISTEMÁTICA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75AF519" w14:textId="77777777" w:rsidR="00B36041" w:rsidRDefault="00243587">
      <w:pPr>
        <w:spacing w:before="240" w:after="240" w:line="276" w:lineRule="auto"/>
        <w:ind w:left="567" w:right="899"/>
        <w:jc w:val="both"/>
        <w:rPr>
          <w:rFonts w:ascii="Palatino Linotype" w:eastAsia="Palatino Linotype" w:hAnsi="Palatino Linotype" w:cs="Palatino Linotype"/>
          <w:i/>
        </w:rPr>
      </w:pPr>
      <w:r>
        <w:rPr>
          <w:rFonts w:ascii="Palatino Linotype" w:eastAsia="Palatino Linotype" w:hAnsi="Palatino Linotype" w:cs="Palatino Linotype"/>
          <w:i/>
        </w:rPr>
        <w:t>En consecuencia el acceso a la información se refiere a que se cumplan cualquiera de los siguientes tres supuestos:</w:t>
      </w:r>
    </w:p>
    <w:p w14:paraId="67798D08" w14:textId="77777777" w:rsidR="00B36041" w:rsidRDefault="00243587">
      <w:pPr>
        <w:numPr>
          <w:ilvl w:val="0"/>
          <w:numId w:val="7"/>
        </w:numPr>
        <w:spacing w:before="240" w:after="240" w:line="276" w:lineRule="auto"/>
        <w:ind w:left="567" w:right="899"/>
        <w:jc w:val="both"/>
        <w:rPr>
          <w:rFonts w:ascii="Palatino Linotype" w:eastAsia="Palatino Linotype" w:hAnsi="Palatino Linotype" w:cs="Palatino Linotype"/>
          <w:b/>
          <w:i/>
        </w:rPr>
      </w:pPr>
      <w:r>
        <w:rPr>
          <w:rFonts w:ascii="Palatino Linotype" w:eastAsia="Palatino Linotype" w:hAnsi="Palatino Linotype" w:cs="Palatino Linotype"/>
          <w:b/>
          <w:i/>
        </w:rPr>
        <w:t>Que se trate de información registrada en cualquier soporte documental, que en ejercicio de las atribuciones conferidas, sea generada por los Sujetos Obligados;</w:t>
      </w:r>
    </w:p>
    <w:p w14:paraId="3D245AA7" w14:textId="77777777" w:rsidR="00B36041" w:rsidRDefault="00243587">
      <w:pPr>
        <w:numPr>
          <w:ilvl w:val="0"/>
          <w:numId w:val="7"/>
        </w:numPr>
        <w:spacing w:before="240" w:after="240" w:line="276" w:lineRule="auto"/>
        <w:ind w:left="851" w:right="899" w:firstLine="0"/>
        <w:jc w:val="both"/>
        <w:rPr>
          <w:rFonts w:ascii="Palatino Linotype" w:eastAsia="Palatino Linotype" w:hAnsi="Palatino Linotype" w:cs="Palatino Linotype"/>
          <w:i/>
        </w:rPr>
      </w:pPr>
      <w:r>
        <w:rPr>
          <w:rFonts w:ascii="Palatino Linotype" w:eastAsia="Palatino Linotype" w:hAnsi="Palatino Linotype" w:cs="Palatino Linotype"/>
          <w:i/>
        </w:rPr>
        <w:t>Que se trate de información registrada en cualquier soporte documental, que en ejercicio de las atribuciones conferidas, sea administrada por los Sujetos Obligados, y</w:t>
      </w:r>
    </w:p>
    <w:p w14:paraId="36B67DFA" w14:textId="77777777" w:rsidR="00B36041" w:rsidRDefault="00243587">
      <w:pPr>
        <w:spacing w:before="240" w:after="240" w:line="276"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 (Sic)</w:t>
      </w:r>
    </w:p>
    <w:p w14:paraId="120BBA56" w14:textId="77777777"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ahí que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Pr>
          <w:rFonts w:ascii="Palatino Linotype" w:eastAsia="Palatino Linotype" w:hAnsi="Palatino Linotype" w:cs="Palatino Linotype"/>
          <w:sz w:val="24"/>
          <w:szCs w:val="24"/>
          <w:vertAlign w:val="superscript"/>
        </w:rPr>
        <w:footnoteReference w:id="1"/>
      </w:r>
      <w:r>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sz w:val="24"/>
          <w:szCs w:val="24"/>
          <w:vertAlign w:val="superscript"/>
        </w:rPr>
        <w:footnoteReference w:id="2"/>
      </w:r>
      <w:r>
        <w:rPr>
          <w:rFonts w:ascii="Palatino Linotype" w:eastAsia="Palatino Linotype" w:hAnsi="Palatino Linotype" w:cs="Palatino Linotype"/>
          <w:sz w:val="24"/>
          <w:szCs w:val="24"/>
        </w:rPr>
        <w:t>.</w:t>
      </w:r>
    </w:p>
    <w:p w14:paraId="66F838E6" w14:textId="77777777" w:rsidR="00B36041" w:rsidRDefault="00243587">
      <w:pP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Bajo ese contexto, el Pleno de este Instituto considera necesario mencionar que, por cuestiones de técnica jurídica, así como para determinar si las respuestas emitidas por </w:t>
      </w:r>
      <w:r>
        <w:rPr>
          <w:rFonts w:ascii="Palatino Linotype" w:eastAsia="Palatino Linotype" w:hAnsi="Palatino Linotype" w:cs="Palatino Linotype"/>
          <w:b/>
          <w:color w:val="000000"/>
          <w:sz w:val="24"/>
          <w:szCs w:val="24"/>
        </w:rPr>
        <w:t>EL SUJETO OBLIGADO</w:t>
      </w:r>
      <w:r>
        <w:rPr>
          <w:rFonts w:ascii="Palatino Linotype" w:eastAsia="Palatino Linotype" w:hAnsi="Palatino Linotype" w:cs="Palatino Linotype"/>
          <w:color w:val="000000"/>
          <w:sz w:val="24"/>
          <w:szCs w:val="24"/>
        </w:rPr>
        <w:t xml:space="preserve"> atendieron de manera puntual a todos y cada uno de los requerimientos formulados por el hoy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se considera pertinente el análisis de cada uno de los puntos de las solicitudes de información, informes justificados y alcances brindados a cada uno de ellos por parte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w:t>
      </w:r>
    </w:p>
    <w:p w14:paraId="5BABD094" w14:textId="77777777" w:rsidR="00B36041" w:rsidRDefault="00243587">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1.</w:t>
      </w:r>
      <w:r>
        <w:rPr>
          <w:rFonts w:ascii="Palatino Linotype" w:eastAsia="Palatino Linotype" w:hAnsi="Palatino Linotype" w:cs="Palatino Linotype"/>
          <w:b/>
          <w:color w:val="000000"/>
          <w:sz w:val="24"/>
          <w:szCs w:val="24"/>
        </w:rPr>
        <w:t xml:space="preserve"> Respecto a la solicitud de acceso a la información pública </w:t>
      </w:r>
      <w:r>
        <w:rPr>
          <w:rFonts w:ascii="Palatino Linotype" w:eastAsia="Palatino Linotype" w:hAnsi="Palatino Linotype" w:cs="Palatino Linotype"/>
          <w:b/>
          <w:color w:val="0D0D0D"/>
          <w:sz w:val="24"/>
          <w:szCs w:val="24"/>
        </w:rPr>
        <w:t xml:space="preserve">00044/NAUCALPA/IP/2022 </w:t>
      </w:r>
      <w:r>
        <w:rPr>
          <w:rFonts w:ascii="Palatino Linotype" w:eastAsia="Palatino Linotype" w:hAnsi="Palatino Linotype" w:cs="Palatino Linotype"/>
          <w:b/>
          <w:sz w:val="24"/>
          <w:szCs w:val="24"/>
        </w:rPr>
        <w:t>que dio origen al recurso de revisión  00764/INFOEM/IP/RR/2022.</w:t>
      </w:r>
    </w:p>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9"/>
        <w:gridCol w:w="1563"/>
        <w:gridCol w:w="1397"/>
        <w:gridCol w:w="2119"/>
        <w:gridCol w:w="2000"/>
      </w:tblGrid>
      <w:tr w:rsidR="00B36041" w14:paraId="0A1633E5" w14:textId="77777777">
        <w:tc>
          <w:tcPr>
            <w:tcW w:w="1749" w:type="dxa"/>
            <w:shd w:val="clear" w:color="auto" w:fill="BFBFBF"/>
          </w:tcPr>
          <w:p w14:paraId="696DB5B9" w14:textId="77777777" w:rsidR="00B36041" w:rsidRDefault="00243587">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Información requerida.</w:t>
            </w:r>
          </w:p>
        </w:tc>
        <w:tc>
          <w:tcPr>
            <w:tcW w:w="1563" w:type="dxa"/>
            <w:shd w:val="clear" w:color="auto" w:fill="BFBFBF"/>
          </w:tcPr>
          <w:p w14:paraId="30E172FE" w14:textId="77777777" w:rsidR="00B36041" w:rsidRDefault="00243587">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Respuesta</w:t>
            </w:r>
          </w:p>
        </w:tc>
        <w:tc>
          <w:tcPr>
            <w:tcW w:w="1397" w:type="dxa"/>
            <w:shd w:val="clear" w:color="auto" w:fill="BFBFBF"/>
          </w:tcPr>
          <w:p w14:paraId="54054C9E" w14:textId="77777777" w:rsidR="00B36041" w:rsidRDefault="00243587">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Motivos de inconformidad</w:t>
            </w:r>
          </w:p>
        </w:tc>
        <w:tc>
          <w:tcPr>
            <w:tcW w:w="2119" w:type="dxa"/>
            <w:shd w:val="clear" w:color="auto" w:fill="BFBFBF"/>
          </w:tcPr>
          <w:p w14:paraId="6A593B23" w14:textId="77777777" w:rsidR="00B36041" w:rsidRDefault="00243587">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Informe justificado</w:t>
            </w:r>
          </w:p>
        </w:tc>
        <w:tc>
          <w:tcPr>
            <w:tcW w:w="2000" w:type="dxa"/>
            <w:shd w:val="clear" w:color="auto" w:fill="BFBFBF"/>
          </w:tcPr>
          <w:p w14:paraId="7C3EA393" w14:textId="77777777" w:rsidR="00B36041" w:rsidRDefault="00243587">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Colma</w:t>
            </w:r>
          </w:p>
        </w:tc>
      </w:tr>
      <w:tr w:rsidR="00B36041" w14:paraId="48DE5F2A" w14:textId="77777777">
        <w:tc>
          <w:tcPr>
            <w:tcW w:w="1749" w:type="dxa"/>
            <w:vAlign w:val="center"/>
          </w:tcPr>
          <w:p w14:paraId="10D1847A" w14:textId="77777777" w:rsidR="00B36041" w:rsidRDefault="00243587">
            <w:pPr>
              <w:pBdr>
                <w:top w:val="nil"/>
                <w:left w:val="nil"/>
                <w:bottom w:val="nil"/>
                <w:right w:val="nil"/>
                <w:between w:val="nil"/>
              </w:pBdr>
              <w:spacing w:after="0" w:line="360" w:lineRule="auto"/>
              <w:ind w:left="29"/>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20"/>
                <w:szCs w:val="20"/>
              </w:rPr>
              <w:t>-</w:t>
            </w:r>
            <w:r>
              <w:rPr>
                <w:rFonts w:ascii="Palatino Linotype" w:eastAsia="Palatino Linotype" w:hAnsi="Palatino Linotype" w:cs="Palatino Linotype"/>
                <w:color w:val="000000"/>
                <w:sz w:val="18"/>
                <w:szCs w:val="18"/>
              </w:rPr>
              <w:t>Nombre y cargos de todo el personal de la Dirección General de Educación y Cultura.</w:t>
            </w:r>
          </w:p>
          <w:p w14:paraId="50D3FD35" w14:textId="77777777" w:rsidR="00B36041" w:rsidRDefault="00243587">
            <w:pPr>
              <w:pBdr>
                <w:top w:val="nil"/>
                <w:left w:val="nil"/>
                <w:bottom w:val="nil"/>
                <w:right w:val="nil"/>
                <w:between w:val="nil"/>
              </w:pBdr>
              <w:spacing w:after="0" w:line="360" w:lineRule="auto"/>
              <w:ind w:left="29"/>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-Número de funcionarios y número de empleados de confianza.</w:t>
            </w:r>
          </w:p>
          <w:p w14:paraId="6FA5BFA1" w14:textId="77777777" w:rsidR="00B36041" w:rsidRDefault="00243587">
            <w:pPr>
              <w:pBdr>
                <w:top w:val="nil"/>
                <w:left w:val="nil"/>
                <w:bottom w:val="nil"/>
                <w:right w:val="nil"/>
                <w:between w:val="nil"/>
              </w:pBdr>
              <w:spacing w:after="0" w:line="360" w:lineRule="auto"/>
              <w:ind w:left="2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18"/>
                <w:szCs w:val="18"/>
              </w:rPr>
              <w:t>-Perfil profesional de los funcionarios.</w:t>
            </w:r>
          </w:p>
        </w:tc>
        <w:tc>
          <w:tcPr>
            <w:tcW w:w="1563" w:type="dxa"/>
            <w:vAlign w:val="center"/>
          </w:tcPr>
          <w:p w14:paraId="44B57A79" w14:textId="77777777" w:rsidR="00B36041" w:rsidRDefault="00243587">
            <w:pPr>
              <w:spacing w:before="240" w:after="240" w:line="360" w:lineRule="auto"/>
              <w:jc w:val="cente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No emitió respuesta el Sujeto Obligado</w:t>
            </w:r>
          </w:p>
          <w:p w14:paraId="01285EE2" w14:textId="77777777" w:rsidR="00B36041" w:rsidRDefault="00B36041">
            <w:pPr>
              <w:spacing w:before="240" w:after="240"/>
              <w:jc w:val="center"/>
              <w:rPr>
                <w:rFonts w:ascii="Palatino Linotype" w:eastAsia="Palatino Linotype" w:hAnsi="Palatino Linotype" w:cs="Palatino Linotype"/>
                <w:b/>
                <w:color w:val="000000"/>
                <w:sz w:val="18"/>
                <w:szCs w:val="18"/>
              </w:rPr>
            </w:pPr>
          </w:p>
        </w:tc>
        <w:tc>
          <w:tcPr>
            <w:tcW w:w="1397" w:type="dxa"/>
            <w:vAlign w:val="center"/>
          </w:tcPr>
          <w:p w14:paraId="04CCBF4D" w14:textId="77777777" w:rsidR="00B36041" w:rsidRDefault="00243587">
            <w:pPr>
              <w:spacing w:before="240" w:after="240" w:line="360" w:lineRule="auto"/>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18"/>
                <w:szCs w:val="18"/>
              </w:rPr>
              <w:t>Falta de respuesta a la solicitud de información.</w:t>
            </w:r>
          </w:p>
        </w:tc>
        <w:tc>
          <w:tcPr>
            <w:tcW w:w="2119" w:type="dxa"/>
            <w:vAlign w:val="center"/>
          </w:tcPr>
          <w:p w14:paraId="3DD38D1E" w14:textId="77777777" w:rsidR="00B36041" w:rsidRDefault="00243587">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20"/>
                <w:szCs w:val="20"/>
              </w:rPr>
              <w:t>-</w:t>
            </w:r>
            <w:r>
              <w:rPr>
                <w:rFonts w:ascii="Palatino Linotype" w:eastAsia="Palatino Linotype" w:hAnsi="Palatino Linotype" w:cs="Palatino Linotype"/>
                <w:color w:val="000000"/>
                <w:sz w:val="18"/>
                <w:szCs w:val="18"/>
              </w:rPr>
              <w:t>Oficio DGCyE/2021/2022, de fecha veinticuatro de febrero de dos mil veintidós, signado por la C. Leticia Buitron Cornejo, Directora General de Cultura y Educación, mediante el cual menciona que la Dirección a su cargo se encontraba en periodo de entrega-recepción, por lo que al no encontrarse en su totalidad la información, no se podía otorga una respuesta, por ende no existió omisión para realizar la contestación en tiempo y forma, así mismo anexa el corte del personal de confianza adscrita a la Dirección en comento.</w:t>
            </w:r>
          </w:p>
          <w:p w14:paraId="77D99A4F" w14:textId="77777777" w:rsidR="00B36041" w:rsidRDefault="00243587">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18"/>
                <w:szCs w:val="18"/>
              </w:rPr>
              <w:t>-</w:t>
            </w:r>
            <w:r>
              <w:rPr>
                <w:rFonts w:ascii="Palatino Linotype" w:eastAsia="Palatino Linotype" w:hAnsi="Palatino Linotype" w:cs="Palatino Linotype"/>
                <w:b/>
                <w:color w:val="000000"/>
                <w:sz w:val="18"/>
                <w:szCs w:val="18"/>
              </w:rPr>
              <w:t>Mediante alcance al Informe Justificado el archivo</w:t>
            </w:r>
            <w:r>
              <w:rPr>
                <w:rFonts w:ascii="Palatino Linotype" w:eastAsia="Palatino Linotype" w:hAnsi="Palatino Linotype" w:cs="Palatino Linotype"/>
                <w:color w:val="000000"/>
                <w:sz w:val="18"/>
                <w:szCs w:val="18"/>
              </w:rPr>
              <w:t xml:space="preserve"> “DGA-SRH-M-0080-2022.pdf” mismo que contiene el oficio DGA/SRH/M/0080/2022 a través del cual la Directora General de Administración precisa que envía, nombre y cargo de todo el personal de la Dirección General de Educación y Cultura, número de funcionarios y número de empleados de confianza, así mismo precisa que adjunta ocho archivos de fichas curriculares</w:t>
            </w:r>
          </w:p>
        </w:tc>
        <w:tc>
          <w:tcPr>
            <w:tcW w:w="2000" w:type="dxa"/>
            <w:vAlign w:val="center"/>
          </w:tcPr>
          <w:p w14:paraId="7201C48E" w14:textId="77777777" w:rsidR="00B36041" w:rsidRDefault="00243587">
            <w:pPr>
              <w:spacing w:before="240" w:after="240"/>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SI</w:t>
            </w:r>
          </w:p>
        </w:tc>
      </w:tr>
    </w:tbl>
    <w:p w14:paraId="15F5B789" w14:textId="77777777" w:rsidR="00B36041" w:rsidRDefault="00243587">
      <w:pPr>
        <w:pBdr>
          <w:top w:val="nil"/>
          <w:left w:val="nil"/>
          <w:bottom w:val="nil"/>
          <w:right w:val="nil"/>
          <w:between w:val="nil"/>
        </w:pBdr>
        <w:spacing w:before="240" w:after="24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Se inserta los siguientes documentos a manera de ejemplo:</w:t>
      </w:r>
    </w:p>
    <w:p w14:paraId="0E8EBE1E" w14:textId="77777777" w:rsidR="00B36041" w:rsidRDefault="00243587">
      <w:pPr>
        <w:spacing w:before="240" w:after="240" w:line="360" w:lineRule="auto"/>
        <w:jc w:val="both"/>
        <w:rPr>
          <w:rFonts w:ascii="Palatino Linotype" w:eastAsia="Palatino Linotype" w:hAnsi="Palatino Linotype" w:cs="Palatino Linotype"/>
          <w:sz w:val="24"/>
          <w:szCs w:val="24"/>
        </w:rPr>
      </w:pPr>
      <w:r>
        <w:rPr>
          <w:noProof/>
        </w:rPr>
        <w:drawing>
          <wp:inline distT="0" distB="0" distL="0" distR="0" wp14:anchorId="4F1D1456" wp14:editId="29A216F7">
            <wp:extent cx="5713498" cy="2088997"/>
            <wp:effectExtent l="0" t="0" r="0" b="0"/>
            <wp:docPr id="14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l="32247" t="23838" r="13441" b="40857"/>
                    <a:stretch>
                      <a:fillRect/>
                    </a:stretch>
                  </pic:blipFill>
                  <pic:spPr>
                    <a:xfrm>
                      <a:off x="0" y="0"/>
                      <a:ext cx="5713498" cy="2088997"/>
                    </a:xfrm>
                    <a:prstGeom prst="rect">
                      <a:avLst/>
                    </a:prstGeom>
                    <a:ln/>
                  </pic:spPr>
                </pic:pic>
              </a:graphicData>
            </a:graphic>
          </wp:inline>
        </w:drawing>
      </w:r>
    </w:p>
    <w:p w14:paraId="152032FB" w14:textId="77777777" w:rsidR="00B36041" w:rsidRDefault="00243587">
      <w:pPr>
        <w:spacing w:before="240" w:after="240" w:line="360" w:lineRule="auto"/>
        <w:jc w:val="both"/>
        <w:rPr>
          <w:rFonts w:ascii="Palatino Linotype" w:eastAsia="Palatino Linotype" w:hAnsi="Palatino Linotype" w:cs="Palatino Linotype"/>
          <w:sz w:val="24"/>
          <w:szCs w:val="24"/>
        </w:rPr>
      </w:pPr>
      <w:r>
        <w:rPr>
          <w:noProof/>
        </w:rPr>
        <w:drawing>
          <wp:inline distT="0" distB="0" distL="0" distR="0" wp14:anchorId="4A57BA00" wp14:editId="22877BA7">
            <wp:extent cx="5083297" cy="7116616"/>
            <wp:effectExtent l="0" t="0" r="0" b="0"/>
            <wp:docPr id="14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l="43449" t="13579" r="26849" b="12492"/>
                    <a:stretch>
                      <a:fillRect/>
                    </a:stretch>
                  </pic:blipFill>
                  <pic:spPr>
                    <a:xfrm>
                      <a:off x="0" y="0"/>
                      <a:ext cx="5083297" cy="7116616"/>
                    </a:xfrm>
                    <a:prstGeom prst="rect">
                      <a:avLst/>
                    </a:prstGeom>
                    <a:ln/>
                  </pic:spPr>
                </pic:pic>
              </a:graphicData>
            </a:graphic>
          </wp:inline>
        </w:drawing>
      </w:r>
    </w:p>
    <w:p w14:paraId="0F5095DD" w14:textId="77777777" w:rsidR="00B36041" w:rsidRDefault="00243587">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u w:val="single"/>
        </w:rPr>
        <w:t xml:space="preserve"> “plantilla EDUCACION CULTURA 2022.pdf”</w:t>
      </w:r>
      <w:r>
        <w:rPr>
          <w:rFonts w:ascii="Palatino Linotype" w:eastAsia="Palatino Linotype" w:hAnsi="Palatino Linotype" w:cs="Palatino Linotype"/>
          <w:color w:val="000000"/>
          <w:sz w:val="24"/>
          <w:szCs w:val="24"/>
        </w:rPr>
        <w:t>:</w:t>
      </w:r>
    </w:p>
    <w:p w14:paraId="2191E820" w14:textId="77777777" w:rsidR="00B36041" w:rsidRDefault="00243587">
      <w:pPr>
        <w:spacing w:before="240" w:after="240" w:line="360" w:lineRule="auto"/>
        <w:jc w:val="both"/>
        <w:rPr>
          <w:rFonts w:ascii="Palatino Linotype" w:eastAsia="Palatino Linotype" w:hAnsi="Palatino Linotype" w:cs="Palatino Linotype"/>
          <w:color w:val="000000"/>
          <w:sz w:val="24"/>
          <w:szCs w:val="24"/>
        </w:rPr>
      </w:pPr>
      <w:r>
        <w:rPr>
          <w:noProof/>
        </w:rPr>
        <w:drawing>
          <wp:inline distT="0" distB="0" distL="0" distR="0" wp14:anchorId="429F6D7D" wp14:editId="79383A9C">
            <wp:extent cx="5661698" cy="4936639"/>
            <wp:effectExtent l="0" t="0" r="0" b="0"/>
            <wp:docPr id="14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l="30888" t="13579" r="15478" b="14302"/>
                    <a:stretch>
                      <a:fillRect/>
                    </a:stretch>
                  </pic:blipFill>
                  <pic:spPr>
                    <a:xfrm>
                      <a:off x="0" y="0"/>
                      <a:ext cx="5661698" cy="4936639"/>
                    </a:xfrm>
                    <a:prstGeom prst="rect">
                      <a:avLst/>
                    </a:prstGeom>
                    <a:ln/>
                  </pic:spPr>
                </pic:pic>
              </a:graphicData>
            </a:graphic>
          </wp:inline>
        </w:drawing>
      </w:r>
      <w:r>
        <w:rPr>
          <w:rFonts w:ascii="Palatino Linotype" w:eastAsia="Palatino Linotype" w:hAnsi="Palatino Linotype" w:cs="Palatino Linotype"/>
          <w:sz w:val="24"/>
          <w:szCs w:val="24"/>
        </w:rPr>
        <w:t xml:space="preserve">Ahora bien, del análisis a los archivos descritos anteriormente, se advierte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modifica su falta de respuesta, colmando con ello el derecho de acceso a la información del particular. </w:t>
      </w:r>
    </w:p>
    <w:p w14:paraId="7582C6DF" w14:textId="77777777" w:rsidR="00B36041" w:rsidRDefault="00243587">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Aunado a que la respuesta fue proporcionada por el servidor público habilitado competente, siendo el siguiente, en términos del artículo 72 del Bando Municipal de  Naucalpan de Juárez, que señala:</w:t>
      </w:r>
    </w:p>
    <w:p w14:paraId="35146282" w14:textId="77777777" w:rsidR="00B36041" w:rsidRDefault="00243587">
      <w:pPr>
        <w:spacing w:line="360" w:lineRule="auto"/>
        <w:ind w:left="851" w:right="900"/>
        <w:jc w:val="both"/>
        <w:rPr>
          <w:rFonts w:ascii="Palatino Linotype" w:eastAsia="Palatino Linotype" w:hAnsi="Palatino Linotype" w:cs="Palatino Linotype"/>
          <w:i/>
          <w:sz w:val="24"/>
          <w:szCs w:val="24"/>
        </w:rPr>
      </w:pPr>
      <w:r>
        <w:rPr>
          <w:rFonts w:ascii="Palatino Linotype" w:eastAsia="Palatino Linotype" w:hAnsi="Palatino Linotype" w:cs="Palatino Linotype"/>
          <w:i/>
        </w:rPr>
        <w:t xml:space="preserve">Artículo 72. </w:t>
      </w:r>
      <w:r>
        <w:rPr>
          <w:rFonts w:ascii="Palatino Linotype" w:eastAsia="Palatino Linotype" w:hAnsi="Palatino Linotype" w:cs="Palatino Linotype"/>
          <w:i/>
          <w:u w:val="single"/>
        </w:rPr>
        <w:t xml:space="preserve">La Dirección General de Administración, tendrá a su cargo brindar </w:t>
      </w:r>
      <w:r>
        <w:rPr>
          <w:rFonts w:ascii="Palatino Linotype" w:eastAsia="Palatino Linotype" w:hAnsi="Palatino Linotype" w:cs="Palatino Linotype"/>
          <w:i/>
        </w:rPr>
        <w:t>el soporte material, técnico,</w:t>
      </w:r>
      <w:r>
        <w:rPr>
          <w:rFonts w:ascii="Palatino Linotype" w:eastAsia="Palatino Linotype" w:hAnsi="Palatino Linotype" w:cs="Palatino Linotype"/>
          <w:i/>
          <w:u w:val="single"/>
        </w:rPr>
        <w:t xml:space="preserve"> humano,</w:t>
      </w:r>
      <w:r>
        <w:rPr>
          <w:rFonts w:ascii="Palatino Linotype" w:eastAsia="Palatino Linotype" w:hAnsi="Palatino Linotype" w:cs="Palatino Linotype"/>
          <w:i/>
        </w:rPr>
        <w:t xml:space="preserve"> administrativo, así como organizacional, que permita a los servidores públicos municipales, atender las demandas ciudadanas y cumplir con las funciones y atribuciones encomendadas para lograr un eficaz y eficiente desempeño de la Administración Pública Municipal. De igual forma, es la responsable de </w:t>
      </w:r>
      <w:r>
        <w:rPr>
          <w:rFonts w:ascii="Palatino Linotype" w:eastAsia="Palatino Linotype" w:hAnsi="Palatino Linotype" w:cs="Palatino Linotype"/>
          <w:i/>
          <w:u w:val="single"/>
        </w:rPr>
        <w:t>vigilar el cumplimiento de las disposiciones jurídicas que regulan las relaciones entre el Municipio y sus servidores públicos, la selección, contratación y capacitación del personal y de los servidores públicos que requieran las distintas dependencias de la Administración Pública Centralizada,</w:t>
      </w:r>
      <w:r>
        <w:rPr>
          <w:rFonts w:ascii="Palatino Linotype" w:eastAsia="Palatino Linotype" w:hAnsi="Palatino Linotype" w:cs="Palatino Linotype"/>
          <w:i/>
        </w:rPr>
        <w:t xml:space="preserve"> en términos de la normatividad aplicable, así como de la adecuada planeación y programación de las adquisiciones de bienes y contratación de 50 servicios que requiera el Ayuntamiento y las Dependencias, vigilando el cumplimiento de las disposiciones que en materia de adquisiciones, enajenaciones, arrendamientos, mantenimientos y almacenes, establece la normatividad aplicable.</w:t>
      </w:r>
    </w:p>
    <w:p w14:paraId="6A13D4B0" w14:textId="77777777" w:rsidR="00B36041" w:rsidRDefault="00243587">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Del cual se advierte que la Dirección General de Administración tiene como atribución brindar el soporte humano con la finalidad de atender las demandas ciudadanas, así como el de vigilar el cumplimiento de las disposiciones que regulan las relaciones entre el Municipio y sus servidores públicos, en relación a la selección, contratación y capacitación de personal. </w:t>
      </w:r>
    </w:p>
    <w:p w14:paraId="15D35E60" w14:textId="77777777" w:rsidR="00B36041" w:rsidRDefault="0024358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222222"/>
          <w:sz w:val="24"/>
          <w:szCs w:val="24"/>
        </w:rPr>
        <w:t xml:space="preserve">Además, al haberse pronunciado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este</w:t>
      </w:r>
      <w:r>
        <w:rPr>
          <w:rFonts w:ascii="Palatino Linotype" w:eastAsia="Palatino Linotype" w:hAnsi="Palatino Linotype" w:cs="Palatino Linotype"/>
          <w:sz w:val="24"/>
          <w:szCs w:val="24"/>
        </w:rPr>
        <w:t xml:space="preserve"> Organismo</w:t>
      </w:r>
      <w:r>
        <w:rPr>
          <w:rFonts w:ascii="Palatino Linotype" w:eastAsia="Palatino Linotype" w:hAnsi="Palatino Linotype" w:cs="Palatino Linotype"/>
          <w:color w:val="000000"/>
          <w:sz w:val="24"/>
          <w:szCs w:val="24"/>
        </w:rPr>
        <w:t xml:space="preserve"> Garante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68D834B5" w14:textId="77777777" w:rsidR="00B36041" w:rsidRDefault="00243587">
      <w:pPr>
        <w:spacing w:before="240" w:after="240"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96AE78F" w14:textId="77777777" w:rsidR="00B36041" w:rsidRDefault="00243587">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 xml:space="preserve">En este sentido, y ante la información adicional y precisa remitida vía informe justificado, conviene hacer alusión a lo que señala el artículo 192, fracción III de la Ley de Transparencia y Acceso a la Información Pública del Estado de México y Municipios vigente, a saber: </w:t>
      </w:r>
    </w:p>
    <w:p w14:paraId="254230B1" w14:textId="77777777" w:rsidR="00B36041" w:rsidRDefault="00243587">
      <w:pPr>
        <w:pBdr>
          <w:top w:val="nil"/>
          <w:left w:val="nil"/>
          <w:bottom w:val="nil"/>
          <w:right w:val="nil"/>
          <w:between w:val="nil"/>
        </w:pBdr>
        <w:spacing w:before="240" w:after="240" w:line="240" w:lineRule="auto"/>
        <w:ind w:left="851" w:right="900"/>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Artículo 192</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El recurso será sobreseído</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en todo o en parte,</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cuando una vez admitido, se actualicen alguno de los siguientes supuestos</w:t>
      </w:r>
      <w:r>
        <w:rPr>
          <w:rFonts w:ascii="Palatino Linotype" w:eastAsia="Palatino Linotype" w:hAnsi="Palatino Linotype" w:cs="Palatino Linotype"/>
          <w:i/>
          <w:color w:val="000000"/>
        </w:rPr>
        <w:t>: </w:t>
      </w:r>
    </w:p>
    <w:p w14:paraId="7752C4AC" w14:textId="77777777" w:rsidR="00B36041" w:rsidRDefault="00243587">
      <w:pPr>
        <w:pBdr>
          <w:top w:val="nil"/>
          <w:left w:val="nil"/>
          <w:bottom w:val="nil"/>
          <w:right w:val="nil"/>
          <w:between w:val="nil"/>
        </w:pBdr>
        <w:spacing w:before="240" w:after="240" w:line="240" w:lineRule="auto"/>
        <w:ind w:left="1134" w:right="900"/>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i/>
          <w:color w:val="000000"/>
        </w:rPr>
        <w:t>(…)</w:t>
      </w:r>
    </w:p>
    <w:p w14:paraId="3D4FFA8A" w14:textId="77777777" w:rsidR="00B36041" w:rsidRDefault="00243587">
      <w:pPr>
        <w:pBdr>
          <w:top w:val="nil"/>
          <w:left w:val="nil"/>
          <w:bottom w:val="nil"/>
          <w:right w:val="nil"/>
          <w:between w:val="nil"/>
        </w:pBdr>
        <w:spacing w:before="240" w:after="240" w:line="240" w:lineRule="auto"/>
        <w:ind w:left="1134" w:right="900"/>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b/>
          <w:i/>
          <w:color w:val="000000"/>
        </w:rPr>
        <w:t>III. El sujeto obligado responsable del acto, lo modifique o revoque de tal manera que el recurso de revisión quede sin materia...</w:t>
      </w:r>
      <w:r>
        <w:rPr>
          <w:rFonts w:ascii="Palatino Linotype" w:eastAsia="Palatino Linotype" w:hAnsi="Palatino Linotype" w:cs="Palatino Linotype"/>
          <w:i/>
          <w:color w:val="000000"/>
        </w:rPr>
        <w:t>”</w:t>
      </w:r>
    </w:p>
    <w:p w14:paraId="404B43F1" w14:textId="77777777" w:rsidR="00B36041" w:rsidRDefault="00243587">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De lo establecido en el precepto legal citado se advierte que el sobreseimiento del recurso de revisión procede en los siguientes casos:</w:t>
      </w:r>
    </w:p>
    <w:p w14:paraId="227A5D27" w14:textId="77777777" w:rsidR="00B36041" w:rsidRDefault="00243587">
      <w:pPr>
        <w:pBdr>
          <w:top w:val="nil"/>
          <w:left w:val="nil"/>
          <w:bottom w:val="nil"/>
          <w:right w:val="nil"/>
          <w:between w:val="nil"/>
        </w:pBdr>
        <w:spacing w:before="240" w:after="240" w:line="240" w:lineRule="auto"/>
        <w:ind w:left="284"/>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a) Cuando el Sujeto Obligado modifique el acto impugnado. </w:t>
      </w:r>
    </w:p>
    <w:p w14:paraId="4B546A86" w14:textId="77777777" w:rsidR="00B36041" w:rsidRDefault="00243587">
      <w:pPr>
        <w:pBdr>
          <w:top w:val="nil"/>
          <w:left w:val="nil"/>
          <w:bottom w:val="nil"/>
          <w:right w:val="nil"/>
          <w:between w:val="nil"/>
        </w:pBdr>
        <w:spacing w:before="240" w:after="240" w:line="240" w:lineRule="auto"/>
        <w:ind w:left="284"/>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b) Cuando el Sujeto Obligado revoque el acto impugnado; </w:t>
      </w:r>
    </w:p>
    <w:p w14:paraId="008769DB" w14:textId="77777777" w:rsidR="00B36041" w:rsidRDefault="00243587">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Quedando en ambos casos el acto combatido sin materia o sin efectos.</w:t>
      </w:r>
    </w:p>
    <w:p w14:paraId="65F49B7F" w14:textId="77777777" w:rsidR="00B36041" w:rsidRDefault="00243587">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 xml:space="preserve">Como se observa de lo anterior, un acto impugnado es modificado en aquellos casos en los que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después de haber otorgado una respuesta, o haber omitido hacerlo (acto de no hacer), emite una o una diversa de manera posterior y en ésta subsana las deficiencias que hubiera tenido, quedando satisfecho el derecho subjetivo accionado por la parte recurrente.</w:t>
      </w:r>
    </w:p>
    <w:p w14:paraId="73FE4607" w14:textId="77777777" w:rsidR="00B36041" w:rsidRDefault="00243587">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 xml:space="preserve">Por lo que hace a la revocación, </w:t>
      </w:r>
      <w:r>
        <w:rPr>
          <w:rFonts w:ascii="Palatino Linotype" w:eastAsia="Palatino Linotype" w:hAnsi="Palatino Linotype" w:cs="Palatino Linotype"/>
          <w:sz w:val="24"/>
          <w:szCs w:val="24"/>
        </w:rPr>
        <w:t>ésta</w:t>
      </w:r>
      <w:r>
        <w:rPr>
          <w:rFonts w:ascii="Palatino Linotype" w:eastAsia="Palatino Linotype" w:hAnsi="Palatino Linotype" w:cs="Palatino Linotype"/>
          <w:color w:val="000000"/>
          <w:sz w:val="24"/>
          <w:szCs w:val="24"/>
        </w:rPr>
        <w:t xml:space="preserve"> se actualiza cuando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deja sin efectos la primera respuesta o su primer acto y en su lugar emite otro con las características y cualidades suficientes para dejar satisfecho el ejercicio del derecho al acceso a la información pública.</w:t>
      </w:r>
    </w:p>
    <w:p w14:paraId="7CD17F9D" w14:textId="77777777" w:rsidR="00B36041" w:rsidRDefault="00243587">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En este orden de ideas, un acto impugnado queda sin efectos, cuando aun existiendo jurídicamente (esto es, que no se ha modificado, ni revocado) ya no genera ninguna consecuencia legal.</w:t>
      </w:r>
    </w:p>
    <w:p w14:paraId="0C199AA8" w14:textId="77777777" w:rsidR="00B36041" w:rsidRDefault="00243587">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En tanto que, un acto impugnado queda sin materia, cuando ha sido satisfecha la pretensión del recurrente de manera que el</w:t>
      </w:r>
      <w:r>
        <w:rPr>
          <w:rFonts w:ascii="Palatino Linotype" w:eastAsia="Palatino Linotype" w:hAnsi="Palatino Linotype" w:cs="Palatino Linotype"/>
          <w:b/>
          <w:color w:val="000000"/>
          <w:sz w:val="24"/>
          <w:szCs w:val="24"/>
        </w:rPr>
        <w:t xml:space="preserve"> SUJETO OBLIGADO </w:t>
      </w:r>
      <w:r>
        <w:rPr>
          <w:rFonts w:ascii="Palatino Linotype" w:eastAsia="Palatino Linotype" w:hAnsi="Palatino Linotype" w:cs="Palatino Linotype"/>
          <w:color w:val="000000"/>
          <w:sz w:val="24"/>
          <w:szCs w:val="24"/>
        </w:rPr>
        <w:t>entrega una respuesta aunque sea posterior a los términos previstos en la ley y mediante ésta concede la información solicitada.</w:t>
      </w:r>
    </w:p>
    <w:p w14:paraId="4D4ED2CE" w14:textId="77777777" w:rsidR="00B36041" w:rsidRDefault="0024358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Ahora bien, en el caso concreto, es evidente que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modificó su falta de respuesta, ya que, a través de su pronunciamiento emitido en la etapa de manifestaciones, proporcionó la información requerida.</w:t>
      </w:r>
    </w:p>
    <w:p w14:paraId="63FA1661" w14:textId="77777777" w:rsidR="00B36041" w:rsidRDefault="00243587">
      <w:pPr>
        <w:pBdr>
          <w:top w:val="nil"/>
          <w:left w:val="nil"/>
          <w:bottom w:val="nil"/>
          <w:right w:val="nil"/>
          <w:between w:val="nil"/>
        </w:pBdr>
        <w:spacing w:after="120" w:line="360" w:lineRule="auto"/>
        <w:ind w:right="96"/>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 lo establecido en el precepto legal citado, se advierte que el sobreseimiento del recurso de revisión procede cuando se presente un motivo por el cual se tenga sin materia el Recurso de Revisión y en el presente caso el motivo por el cual se sobresee el presente medio de impugnación, es porque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otorgó respuesta a los requerimientos formulados por el particular con la información enviada en Informe Justificado; colmando con ello el derecho de acceso a la información del particular.</w:t>
      </w:r>
    </w:p>
    <w:p w14:paraId="0C397683" w14:textId="77777777"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ese tenor, un acto impugnado queda sin efectos, cuando aun existiendo jurídicamente (esto es, que no se ha modificado, ni revocado) ya no genera ninguna consecuencia legal.</w:t>
      </w:r>
    </w:p>
    <w:p w14:paraId="138428F4" w14:textId="77777777"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tanto que, un acto impugnado queda sin materia, cuando ha sido satisfecha la pretensión del recurrente de manera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entrega una respuesta en los términos previstos en la ley, ya que a través de su informe justificado y el alcance al mismo, concede la totalidad de la información solicitada.</w:t>
      </w:r>
    </w:p>
    <w:p w14:paraId="5023D64E" w14:textId="77777777"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tal manera, es evidente que con ello queda satisfecha la pretensión del solicitante y por ende sin materia el presente recurso de revisión, ya que la inconformidad sobre la falta de respuesta, con la información entregada en el apartado de manifestaciones del SAIMEX, que fue puesta a la vista del recurrente, ya no cobraría sentido; y si respecto de la misma no formuló alegato alguno dentro del plazo concedido para tal efecto se entiende que se encuentra satisfecho.</w:t>
      </w:r>
    </w:p>
    <w:p w14:paraId="09E15AFC" w14:textId="77777777"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Lo que cumple a su vez, con lo que señala el artículo 166 de la Ley de Transparencia vigente en la Entidad, el cual expresamente señala que la obligación de acceso a la información pública se tendrá por cumplida cuando el solicitante tenga a su disposición la información requerida o </w:t>
      </w:r>
      <w:r>
        <w:rPr>
          <w:rFonts w:ascii="Palatino Linotype" w:eastAsia="Palatino Linotype" w:hAnsi="Palatino Linotype" w:cs="Palatino Linotype"/>
          <w:i/>
          <w:sz w:val="24"/>
          <w:szCs w:val="24"/>
        </w:rPr>
        <w:t>cuando realice la consulta de la misma en el lugar en que se localice</w:t>
      </w:r>
      <w:r>
        <w:rPr>
          <w:rFonts w:ascii="Palatino Linotype" w:eastAsia="Palatino Linotype" w:hAnsi="Palatino Linotype" w:cs="Palatino Linotype"/>
          <w:sz w:val="24"/>
          <w:szCs w:val="24"/>
        </w:rPr>
        <w:t>; siendo el segundo de los supuestos que señala dicho elemento normativo el que se actualiza en la especie</w:t>
      </w:r>
      <w:r>
        <w:rPr>
          <w:rFonts w:ascii="Palatino Linotype" w:eastAsia="Palatino Linotype" w:hAnsi="Palatino Linotype" w:cs="Palatino Linotype"/>
          <w:sz w:val="24"/>
          <w:szCs w:val="24"/>
          <w:vertAlign w:val="superscript"/>
        </w:rPr>
        <w:footnoteReference w:id="3"/>
      </w:r>
      <w:r>
        <w:rPr>
          <w:rFonts w:ascii="Palatino Linotype" w:eastAsia="Palatino Linotype" w:hAnsi="Palatino Linotype" w:cs="Palatino Linotype"/>
          <w:sz w:val="24"/>
          <w:szCs w:val="24"/>
        </w:rPr>
        <w:t xml:space="preserve">, puesto que fue a través de la vista otorgada a la recurrente en fecha veintinueve de septiembre del dos mil veintiuno, por medio del Sistema de Acceso a la Información Mexiquense (SAIMEX), respecto de los archivos que fueron previamente enviados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 el apartado de manifestaciones del SAIMEX, que el recurrente tuvo a su disposición la información materia de su inconformidad.</w:t>
      </w:r>
    </w:p>
    <w:p w14:paraId="256C3790" w14:textId="77777777"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resumen,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otorgó satisfacción a la solicitud de acceso a la información pública de la ahora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de manera total o completa; dejando con ello sin materia el presente recurso de revisión, actualizándose entonces la causal prevista en la fracción III del artículo 192 de la Ley de la Materia vigente en la Entidad, antes transcrita.</w:t>
      </w:r>
    </w:p>
    <w:p w14:paraId="439C43C3" w14:textId="77777777" w:rsidR="00B36041" w:rsidRDefault="00243587">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 xml:space="preserve">Así, siendo el </w:t>
      </w:r>
      <w:r>
        <w:rPr>
          <w:rFonts w:ascii="Palatino Linotype" w:eastAsia="Palatino Linotype" w:hAnsi="Palatino Linotype" w:cs="Palatino Linotype"/>
          <w:i/>
          <w:color w:val="000000"/>
          <w:sz w:val="24"/>
          <w:szCs w:val="24"/>
        </w:rPr>
        <w:t>sobreseimiento</w:t>
      </w:r>
      <w:r>
        <w:rPr>
          <w:rFonts w:ascii="Palatino Linotype" w:eastAsia="Palatino Linotype" w:hAnsi="Palatino Linotype" w:cs="Palatino Linotype"/>
          <w:color w:val="000000"/>
          <w:sz w:val="24"/>
          <w:szCs w:val="24"/>
        </w:rPr>
        <w:t xml:space="preserve"> un acto que da por terminado el procedimiento administrativo de impugnación por alguna causa sobreviniente en el juicio de que se trate, que impide a la autoridad referirse a lo sustancial de lo planteado por la parte Recurrente, este Instituto se encuentra imposibilitado para entrar al estudio de fondo del recurso de revisión, lo anterior con apoyo en la Tesis Aislada del Segundo Tribunal Colegiado del Segundo Distrito, de la Suprema Corte de Justicia de la Nación, registrada con el rubro: </w:t>
      </w:r>
      <w:r>
        <w:rPr>
          <w:rFonts w:ascii="Palatino Linotype" w:eastAsia="Palatino Linotype" w:hAnsi="Palatino Linotype" w:cs="Palatino Linotype"/>
          <w:b/>
          <w:color w:val="000000"/>
          <w:sz w:val="24"/>
          <w:szCs w:val="24"/>
        </w:rPr>
        <w:t>SOBRESEIMIENTO, NO PERMITE ENTRAR AL ESTUDIO DE LAS CUESTIONES DE FONDO.</w:t>
      </w:r>
    </w:p>
    <w:p w14:paraId="5CE06F5F" w14:textId="77777777" w:rsidR="00B36041" w:rsidRDefault="00243587">
      <w:pPr>
        <w:spacing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color w:val="000000"/>
          <w:sz w:val="24"/>
          <w:szCs w:val="24"/>
        </w:rPr>
        <w:t xml:space="preserve">2. Respecto a la solicitud de acceso a la información pública </w:t>
      </w:r>
      <w:r>
        <w:rPr>
          <w:rFonts w:ascii="Palatino Linotype" w:eastAsia="Palatino Linotype" w:hAnsi="Palatino Linotype" w:cs="Palatino Linotype"/>
          <w:b/>
          <w:color w:val="0D0D0D"/>
          <w:sz w:val="24"/>
          <w:szCs w:val="24"/>
        </w:rPr>
        <w:t xml:space="preserve">00041/NAUCALPA/IP/2022 </w:t>
      </w:r>
      <w:r>
        <w:rPr>
          <w:rFonts w:ascii="Palatino Linotype" w:eastAsia="Palatino Linotype" w:hAnsi="Palatino Linotype" w:cs="Palatino Linotype"/>
          <w:b/>
          <w:sz w:val="24"/>
          <w:szCs w:val="24"/>
        </w:rPr>
        <w:t>que dio origen al recurso de revisión  00766/INFOEM/IP/RR/2022.</w:t>
      </w:r>
    </w:p>
    <w:p w14:paraId="291D800E" w14:textId="77777777" w:rsidR="00B36041" w:rsidRDefault="00B3604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p>
    <w:p w14:paraId="6BC66C2E" w14:textId="77777777" w:rsidR="00B36041" w:rsidRDefault="00B3604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p>
    <w:tbl>
      <w:tblPr>
        <w:tblStyle w:val="a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190"/>
        <w:gridCol w:w="1397"/>
        <w:gridCol w:w="3224"/>
        <w:gridCol w:w="895"/>
      </w:tblGrid>
      <w:tr w:rsidR="00B36041" w14:paraId="3B6A437D" w14:textId="77777777">
        <w:tc>
          <w:tcPr>
            <w:tcW w:w="2122" w:type="dxa"/>
            <w:shd w:val="clear" w:color="auto" w:fill="BFBFBF"/>
          </w:tcPr>
          <w:p w14:paraId="36310B69" w14:textId="77777777" w:rsidR="00B36041" w:rsidRDefault="00243587">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Información requerida.</w:t>
            </w:r>
          </w:p>
        </w:tc>
        <w:tc>
          <w:tcPr>
            <w:tcW w:w="1190" w:type="dxa"/>
            <w:shd w:val="clear" w:color="auto" w:fill="BFBFBF"/>
          </w:tcPr>
          <w:p w14:paraId="128F87CD" w14:textId="77777777" w:rsidR="00B36041" w:rsidRDefault="00243587">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Respuesta</w:t>
            </w:r>
          </w:p>
        </w:tc>
        <w:tc>
          <w:tcPr>
            <w:tcW w:w="1397" w:type="dxa"/>
            <w:shd w:val="clear" w:color="auto" w:fill="BFBFBF"/>
          </w:tcPr>
          <w:p w14:paraId="27596FFB" w14:textId="77777777" w:rsidR="00B36041" w:rsidRDefault="00243587">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Motivos de inconformidad</w:t>
            </w:r>
          </w:p>
        </w:tc>
        <w:tc>
          <w:tcPr>
            <w:tcW w:w="3224" w:type="dxa"/>
            <w:shd w:val="clear" w:color="auto" w:fill="BFBFBF"/>
          </w:tcPr>
          <w:p w14:paraId="2D29C5FA" w14:textId="77777777" w:rsidR="00B36041" w:rsidRDefault="00243587">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Informe justificado</w:t>
            </w:r>
          </w:p>
        </w:tc>
        <w:tc>
          <w:tcPr>
            <w:tcW w:w="895" w:type="dxa"/>
            <w:shd w:val="clear" w:color="auto" w:fill="BFBFBF"/>
          </w:tcPr>
          <w:p w14:paraId="369CE0D6" w14:textId="77777777" w:rsidR="00B36041" w:rsidRDefault="00243587">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Colma</w:t>
            </w:r>
          </w:p>
        </w:tc>
      </w:tr>
      <w:tr w:rsidR="00B36041" w14:paraId="48EB0EAB" w14:textId="77777777">
        <w:tc>
          <w:tcPr>
            <w:tcW w:w="2122" w:type="dxa"/>
            <w:vAlign w:val="center"/>
          </w:tcPr>
          <w:p w14:paraId="76ABF2C4" w14:textId="77777777" w:rsidR="00B36041" w:rsidRDefault="00243587">
            <w:pPr>
              <w:pBdr>
                <w:top w:val="nil"/>
                <w:left w:val="nil"/>
                <w:bottom w:val="nil"/>
                <w:right w:val="nil"/>
                <w:between w:val="nil"/>
              </w:pBdr>
              <w:spacing w:after="0" w:line="360" w:lineRule="auto"/>
              <w:ind w:left="2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-Perfil profesional que acredite la experiencia y capacidad de la Directora General de Educación y Cultura, especificando años debidamente acreditados como funcionaria pública. </w:t>
            </w:r>
          </w:p>
          <w:p w14:paraId="3D8D39AC" w14:textId="77777777" w:rsidR="00B36041" w:rsidRDefault="00243587">
            <w:pPr>
              <w:pBdr>
                <w:top w:val="nil"/>
                <w:left w:val="nil"/>
                <w:bottom w:val="nil"/>
                <w:right w:val="nil"/>
                <w:between w:val="nil"/>
              </w:pBdr>
              <w:spacing w:after="0" w:line="360" w:lineRule="auto"/>
              <w:ind w:left="2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-Título profesional o documento que acredite su nivel de escolaridad. </w:t>
            </w:r>
          </w:p>
          <w:p w14:paraId="6DEA47AF" w14:textId="77777777" w:rsidR="00B36041" w:rsidRDefault="00243587">
            <w:pPr>
              <w:pBdr>
                <w:top w:val="nil"/>
                <w:left w:val="nil"/>
                <w:bottom w:val="nil"/>
                <w:right w:val="nil"/>
                <w:between w:val="nil"/>
              </w:pBdr>
              <w:spacing w:after="0" w:line="360" w:lineRule="auto"/>
              <w:ind w:left="2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-Requisitos que exige la Ley Orgánica Municipal del Estado de México, para ser funcionaria de la Dirección General de Educación y Cultura, y en caso de no acreditarlos cual es el fundamento legal por el cual la C, Leticia Buitron tiene un nombramiento sin Acreditar Dichos Requisitos. </w:t>
            </w:r>
          </w:p>
          <w:p w14:paraId="4FCCFA5C" w14:textId="77777777" w:rsidR="00B36041" w:rsidRDefault="00243587">
            <w:pPr>
              <w:pBdr>
                <w:top w:val="nil"/>
                <w:left w:val="nil"/>
                <w:bottom w:val="nil"/>
                <w:right w:val="nil"/>
                <w:between w:val="nil"/>
              </w:pBdr>
              <w:spacing w:after="0" w:line="360" w:lineRule="auto"/>
              <w:ind w:left="29"/>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-Copia simple de cada documento que acredite que el nombramiento de la Directora General de Educación y Cultura fue conforme a la Ley Orgánica Municipal del Estado de México y sus Municipios.</w:t>
            </w:r>
          </w:p>
        </w:tc>
        <w:tc>
          <w:tcPr>
            <w:tcW w:w="1190" w:type="dxa"/>
            <w:vAlign w:val="center"/>
          </w:tcPr>
          <w:p w14:paraId="05AD89F2" w14:textId="77777777" w:rsidR="00B36041" w:rsidRDefault="00243587">
            <w:pPr>
              <w:spacing w:before="240" w:after="24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No emitió respuesta el Sujeto Obligado</w:t>
            </w:r>
          </w:p>
        </w:tc>
        <w:tc>
          <w:tcPr>
            <w:tcW w:w="1397" w:type="dxa"/>
            <w:vAlign w:val="center"/>
          </w:tcPr>
          <w:p w14:paraId="6D91B951" w14:textId="77777777" w:rsidR="00B36041" w:rsidRDefault="00243587">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18"/>
                <w:szCs w:val="18"/>
              </w:rPr>
              <w:t>Falta de respuesta a la solicitud de información.</w:t>
            </w:r>
          </w:p>
        </w:tc>
        <w:tc>
          <w:tcPr>
            <w:tcW w:w="3224" w:type="dxa"/>
          </w:tcPr>
          <w:p w14:paraId="0A7F3F4E" w14:textId="77777777" w:rsidR="00B36041" w:rsidRDefault="00243587">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-Oficio DGCyE/223/2022 de fecha veintitrés de febrero de dos mil veintidós, signado por la Directora General de Cultura y Educación del H. Ayuntamiento de Naucalpan de Juárez, mediante el cual informa que la suscrita cumple con todos y cada uno de los requisitos estipulados por el puesto, así mismo inserta una síntesis curricular, en ese tenor menciona que una vez analizadas las manifestaciones vertidas, se declare la improcedencia y el sobreseimiento del recurso de revisión en comento. </w:t>
            </w:r>
          </w:p>
          <w:p w14:paraId="4EAC55F2" w14:textId="77777777" w:rsidR="00B36041" w:rsidRDefault="00243587">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 Oficio </w:t>
            </w:r>
            <w:r>
              <w:rPr>
                <w:rFonts w:ascii="Palatino Linotype" w:eastAsia="Palatino Linotype" w:hAnsi="Palatino Linotype" w:cs="Palatino Linotype"/>
                <w:color w:val="000000"/>
                <w:sz w:val="16"/>
                <w:szCs w:val="16"/>
              </w:rPr>
              <w:t xml:space="preserve">DGA/SRH/M/0079/2022 </w:t>
            </w:r>
            <w:r>
              <w:rPr>
                <w:rFonts w:ascii="Palatino Linotype" w:eastAsia="Palatino Linotype" w:hAnsi="Palatino Linotype" w:cs="Palatino Linotype"/>
                <w:color w:val="000000"/>
                <w:sz w:val="20"/>
                <w:szCs w:val="20"/>
              </w:rPr>
              <w:t>de fecha veinticinco de febrero de dos mil veintidós signado por la, Directora General de Administración  mediante el cual anexa la ficha curricular de  la Directora General de Cultura y Educación del H. Ayuntamiento de Naucalpan de Juárez.</w:t>
            </w:r>
          </w:p>
          <w:p w14:paraId="446A111C" w14:textId="77777777" w:rsidR="00B36041" w:rsidRDefault="00243587">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Respecto al Título profesional o documento que acredite su nivel de escolaridad  </w:t>
            </w:r>
            <w:r>
              <w:rPr>
                <w:rFonts w:ascii="Palatino Linotype" w:eastAsia="Palatino Linotype" w:hAnsi="Palatino Linotype" w:cs="Palatino Linotype"/>
                <w:b/>
                <w:color w:val="000000"/>
                <w:sz w:val="20"/>
                <w:szCs w:val="20"/>
              </w:rPr>
              <w:t>EL SUJETO OBLIGADO</w:t>
            </w:r>
            <w:r>
              <w:rPr>
                <w:rFonts w:ascii="Palatino Linotype" w:eastAsia="Palatino Linotype" w:hAnsi="Palatino Linotype" w:cs="Palatino Linotype"/>
                <w:color w:val="000000"/>
                <w:sz w:val="20"/>
                <w:szCs w:val="20"/>
              </w:rPr>
              <w:t>, fue omiso de emitir pronunciamiento.</w:t>
            </w:r>
          </w:p>
          <w:p w14:paraId="341F441A" w14:textId="77777777" w:rsidR="00B36041" w:rsidRDefault="00243587">
            <w:pPr>
              <w:spacing w:before="240" w:after="24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Respecto al punto de los requisitos que exige la Ley Orgánica Municipal del Estado de México, el SUJETO OBLIGADO menciona que después de una búsqueda, no se encontró dato alguno con respecto a los requisitos para ocupar dicho cargo.</w:t>
            </w:r>
          </w:p>
          <w:p w14:paraId="2E84669F" w14:textId="77777777" w:rsidR="00B36041" w:rsidRDefault="00243587">
            <w:pPr>
              <w:spacing w:before="240" w:after="240"/>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20"/>
                <w:szCs w:val="20"/>
              </w:rPr>
              <w:t xml:space="preserve">Referente a la copia simple que acredite el </w:t>
            </w:r>
            <w:r>
              <w:rPr>
                <w:rFonts w:ascii="Palatino Linotype" w:eastAsia="Palatino Linotype" w:hAnsi="Palatino Linotype" w:cs="Palatino Linotype"/>
                <w:sz w:val="20"/>
                <w:szCs w:val="20"/>
              </w:rPr>
              <w:t xml:space="preserve"> nombramiento de la Directora General de Educación y Cultura, el SUJETO OBLIGADO, responde que la Ley Orgánica Municipal del Estado de México, en su artículo 87, no establece la obligación de cubrir los requisitos señalados en su artículo 32; por lo cual no resulta aplicable el contenido de dicho precepto a la  Directora General de Educación y Cultura.</w:t>
            </w:r>
          </w:p>
        </w:tc>
        <w:tc>
          <w:tcPr>
            <w:tcW w:w="895" w:type="dxa"/>
            <w:vAlign w:val="center"/>
          </w:tcPr>
          <w:p w14:paraId="2861BF0D" w14:textId="77777777" w:rsidR="00B36041" w:rsidRDefault="00243587">
            <w:pPr>
              <w:spacing w:before="240" w:after="240"/>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Parcialmente.</w:t>
            </w:r>
          </w:p>
        </w:tc>
      </w:tr>
    </w:tbl>
    <w:p w14:paraId="7C9E91C1" w14:textId="77777777" w:rsidR="00B36041" w:rsidRDefault="00B36041">
      <w:pPr>
        <w:spacing w:after="0" w:line="360" w:lineRule="auto"/>
        <w:jc w:val="both"/>
        <w:rPr>
          <w:rFonts w:ascii="Palatino Linotype" w:eastAsia="Palatino Linotype" w:hAnsi="Palatino Linotype" w:cs="Palatino Linotype"/>
          <w:sz w:val="24"/>
          <w:szCs w:val="24"/>
        </w:rPr>
      </w:pPr>
    </w:p>
    <w:p w14:paraId="6A4A9EEF" w14:textId="77777777" w:rsidR="00B36041" w:rsidRDefault="0024358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punto de la solicitud de información referente al perfil profesional que acredite la experiencia y capacidad de la Directora General de Educación y Cultura, especificando años debidamente acreditados como funcionaria pública,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remitió lo siguiente:</w:t>
      </w:r>
      <w:r>
        <w:rPr>
          <w:noProof/>
        </w:rPr>
        <mc:AlternateContent>
          <mc:Choice Requires="wpg">
            <w:drawing>
              <wp:anchor distT="0" distB="0" distL="114300" distR="114300" simplePos="0" relativeHeight="251659264" behindDoc="0" locked="0" layoutInCell="1" hidden="0" allowOverlap="1" wp14:anchorId="7D2D6994" wp14:editId="52385D28">
                <wp:simplePos x="0" y="0"/>
                <wp:positionH relativeFrom="column">
                  <wp:posOffset>-50799</wp:posOffset>
                </wp:positionH>
                <wp:positionV relativeFrom="paragraph">
                  <wp:posOffset>1244600</wp:posOffset>
                </wp:positionV>
                <wp:extent cx="5591175" cy="1095375"/>
                <wp:effectExtent l="0" t="0" r="0" b="0"/>
                <wp:wrapNone/>
                <wp:docPr id="132" name="Conector recto de flecha 132"/>
                <wp:cNvGraphicFramePr/>
                <a:graphic xmlns:a="http://schemas.openxmlformats.org/drawingml/2006/main">
                  <a:graphicData uri="http://schemas.microsoft.com/office/word/2010/wordprocessingShape">
                    <wps:wsp>
                      <wps:cNvCnPr/>
                      <wps:spPr>
                        <a:xfrm>
                          <a:off x="2569463" y="3251363"/>
                          <a:ext cx="5553075" cy="1057275"/>
                        </a:xfrm>
                        <a:prstGeom prst="straightConnector1">
                          <a:avLst/>
                        </a:prstGeom>
                        <a:noFill/>
                        <a:ln w="38100"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-50799</wp:posOffset>
                </wp:positionH>
                <wp:positionV relativeFrom="paragraph">
                  <wp:posOffset>1244600</wp:posOffset>
                </wp:positionV>
                <wp:extent cx="5591175" cy="1095375"/>
                <wp:effectExtent b="0" l="0" r="0" t="0"/>
                <wp:wrapNone/>
                <wp:docPr id="132" name="image29.png"/>
                <a:graphic>
                  <a:graphicData uri="http://schemas.openxmlformats.org/drawingml/2006/picture">
                    <pic:pic>
                      <pic:nvPicPr>
                        <pic:cNvPr id="0" name="image29.png"/>
                        <pic:cNvPicPr preferRelativeResize="0"/>
                      </pic:nvPicPr>
                      <pic:blipFill>
                        <a:blip r:embed="rId21"/>
                        <a:srcRect/>
                        <a:stretch>
                          <a:fillRect/>
                        </a:stretch>
                      </pic:blipFill>
                      <pic:spPr>
                        <a:xfrm>
                          <a:off x="0" y="0"/>
                          <a:ext cx="5591175" cy="1095375"/>
                        </a:xfrm>
                        <a:prstGeom prst="rect"/>
                        <a:ln/>
                      </pic:spPr>
                    </pic:pic>
                  </a:graphicData>
                </a:graphic>
              </wp:anchor>
            </w:drawing>
          </mc:Fallback>
        </mc:AlternateContent>
      </w:r>
    </w:p>
    <w:p w14:paraId="4BC0208C" w14:textId="77777777" w:rsidR="00B36041" w:rsidRDefault="00243587">
      <w:pPr>
        <w:spacing w:after="0" w:line="360" w:lineRule="auto"/>
        <w:jc w:val="both"/>
        <w:rPr>
          <w:rFonts w:ascii="Palatino Linotype" w:eastAsia="Palatino Linotype" w:hAnsi="Palatino Linotype" w:cs="Palatino Linotype"/>
          <w:sz w:val="24"/>
          <w:szCs w:val="24"/>
        </w:rPr>
      </w:pPr>
      <w:r>
        <w:rPr>
          <w:noProof/>
        </w:rPr>
        <w:drawing>
          <wp:inline distT="0" distB="0" distL="0" distR="0" wp14:anchorId="575AB440" wp14:editId="4DC1EA98">
            <wp:extent cx="4484862" cy="5436198"/>
            <wp:effectExtent l="0" t="0" r="0" b="0"/>
            <wp:docPr id="14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2"/>
                    <a:srcRect l="46503" t="13277" r="31093" b="38443"/>
                    <a:stretch>
                      <a:fillRect/>
                    </a:stretch>
                  </pic:blipFill>
                  <pic:spPr>
                    <a:xfrm>
                      <a:off x="0" y="0"/>
                      <a:ext cx="4484862" cy="5436198"/>
                    </a:xfrm>
                    <a:prstGeom prst="rect">
                      <a:avLst/>
                    </a:prstGeom>
                    <a:ln/>
                  </pic:spPr>
                </pic:pic>
              </a:graphicData>
            </a:graphic>
          </wp:inline>
        </w:drawing>
      </w:r>
    </w:p>
    <w:p w14:paraId="24AD8004" w14:textId="77777777" w:rsidR="00B36041" w:rsidRDefault="00243587">
      <w:pPr>
        <w:spacing w:after="0" w:line="360" w:lineRule="auto"/>
        <w:jc w:val="both"/>
        <w:rPr>
          <w:rFonts w:ascii="Palatino Linotype" w:eastAsia="Palatino Linotype" w:hAnsi="Palatino Linotype" w:cs="Palatino Linotype"/>
          <w:sz w:val="24"/>
          <w:szCs w:val="24"/>
        </w:rPr>
      </w:pPr>
      <w:r>
        <w:rPr>
          <w:noProof/>
        </w:rPr>
        <w:drawing>
          <wp:inline distT="0" distB="0" distL="0" distR="0" wp14:anchorId="23519FEA" wp14:editId="0D708D8E">
            <wp:extent cx="4884455" cy="1703880"/>
            <wp:effectExtent l="0" t="0" r="0" b="0"/>
            <wp:docPr id="15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2"/>
                    <a:srcRect l="46673" t="76343" r="31433" b="10078"/>
                    <a:stretch>
                      <a:fillRect/>
                    </a:stretch>
                  </pic:blipFill>
                  <pic:spPr>
                    <a:xfrm>
                      <a:off x="0" y="0"/>
                      <a:ext cx="4884455" cy="1703880"/>
                    </a:xfrm>
                    <a:prstGeom prst="rect">
                      <a:avLst/>
                    </a:prstGeom>
                    <a:ln/>
                  </pic:spPr>
                </pic:pic>
              </a:graphicData>
            </a:graphic>
          </wp:inline>
        </w:drawing>
      </w:r>
    </w:p>
    <w:p w14:paraId="2F14D52C" w14:textId="77777777" w:rsidR="00B36041" w:rsidRDefault="00243587">
      <w:pPr>
        <w:spacing w:after="0" w:line="360" w:lineRule="auto"/>
        <w:jc w:val="both"/>
        <w:rPr>
          <w:rFonts w:ascii="Palatino Linotype" w:eastAsia="Palatino Linotype" w:hAnsi="Palatino Linotype" w:cs="Palatino Linotype"/>
          <w:color w:val="FF0000"/>
          <w:sz w:val="24"/>
          <w:szCs w:val="24"/>
        </w:rPr>
      </w:pPr>
      <w:r>
        <w:rPr>
          <w:noProof/>
        </w:rPr>
        <w:drawing>
          <wp:inline distT="0" distB="0" distL="0" distR="0" wp14:anchorId="31F3473F" wp14:editId="5D00FA60">
            <wp:extent cx="5436481" cy="5221175"/>
            <wp:effectExtent l="0" t="0" r="0" b="0"/>
            <wp:docPr id="15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3"/>
                    <a:srcRect l="39714" t="28666" r="26001" b="12793"/>
                    <a:stretch>
                      <a:fillRect/>
                    </a:stretch>
                  </pic:blipFill>
                  <pic:spPr>
                    <a:xfrm>
                      <a:off x="0" y="0"/>
                      <a:ext cx="5436481" cy="5221175"/>
                    </a:xfrm>
                    <a:prstGeom prst="rect">
                      <a:avLst/>
                    </a:prstGeom>
                    <a:ln/>
                  </pic:spPr>
                </pic:pic>
              </a:graphicData>
            </a:graphic>
          </wp:inline>
        </w:drawing>
      </w:r>
    </w:p>
    <w:p w14:paraId="4D42C9E8" w14:textId="77777777" w:rsidR="00B36041" w:rsidRDefault="00243587">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Conforme a ello, se considera que con la información proporcionada por 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 xml:space="preserve">en este punto de la solicitud de información se satisface  la pretensión de la ahora </w:t>
      </w:r>
      <w:r>
        <w:rPr>
          <w:rFonts w:ascii="Palatino Linotype" w:eastAsia="Palatino Linotype" w:hAnsi="Palatino Linotype" w:cs="Palatino Linotype"/>
          <w:b/>
          <w:color w:val="000000"/>
          <w:sz w:val="24"/>
          <w:szCs w:val="24"/>
        </w:rPr>
        <w:t xml:space="preserve">RECURRENTE </w:t>
      </w:r>
      <w:r>
        <w:rPr>
          <w:rFonts w:ascii="Palatino Linotype" w:eastAsia="Palatino Linotype" w:hAnsi="Palatino Linotype" w:cs="Palatino Linotype"/>
          <w:color w:val="000000"/>
          <w:sz w:val="24"/>
          <w:szCs w:val="24"/>
        </w:rPr>
        <w:t>pues como se ha podido advertir en efecto</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proporcionó la información curricular de la Directora de Educación y Cultura del Ayuntamiento de Naucalpan de Juárez, misma que contiene información de su preparación académica y trayectoria profesional</w:t>
      </w:r>
      <w:r>
        <w:t xml:space="preserve"> </w:t>
      </w:r>
      <w:r>
        <w:rPr>
          <w:rFonts w:ascii="Palatino Linotype" w:eastAsia="Palatino Linotype" w:hAnsi="Palatino Linotype" w:cs="Palatino Linotype"/>
          <w:color w:val="000000"/>
          <w:sz w:val="24"/>
          <w:szCs w:val="24"/>
        </w:rPr>
        <w:t>ante ello, esté Instituto no está facultado para dudar de la veracidad de la información entregada, sirve de apoyo a lo anterior, por analogía el criterio 31-10 emitido por el entonces Instituto Federal de Acceso a la Información ahora Instituto Nacional de Transparencia, Acceso a la Información y Protección de Datos Personales (INAI) que a la letra dice:</w:t>
      </w:r>
    </w:p>
    <w:p w14:paraId="1648A9B8" w14:textId="77777777" w:rsidR="00B36041" w:rsidRDefault="00B36041">
      <w:pPr>
        <w:spacing w:after="0" w:line="360" w:lineRule="auto"/>
        <w:jc w:val="both"/>
        <w:rPr>
          <w:rFonts w:ascii="Palatino Linotype" w:eastAsia="Palatino Linotype" w:hAnsi="Palatino Linotype" w:cs="Palatino Linotype"/>
          <w:sz w:val="24"/>
          <w:szCs w:val="24"/>
        </w:rPr>
      </w:pPr>
    </w:p>
    <w:p w14:paraId="7CA3A28D" w14:textId="77777777" w:rsidR="00B36041" w:rsidRDefault="00243587">
      <w:pPr>
        <w:spacing w:after="0" w:line="360" w:lineRule="auto"/>
        <w:ind w:lef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C9FE998" w14:textId="77777777" w:rsidR="00B36041" w:rsidRDefault="00B36041">
      <w:pPr>
        <w:spacing w:after="0" w:line="360" w:lineRule="auto"/>
        <w:jc w:val="both"/>
        <w:rPr>
          <w:rFonts w:ascii="Palatino Linotype" w:eastAsia="Palatino Linotype" w:hAnsi="Palatino Linotype" w:cs="Palatino Linotype"/>
          <w:color w:val="000000"/>
          <w:sz w:val="24"/>
          <w:szCs w:val="24"/>
        </w:rPr>
      </w:pPr>
    </w:p>
    <w:p w14:paraId="0DD13521" w14:textId="77777777" w:rsidR="00B36041" w:rsidRDefault="00B36041">
      <w:pPr>
        <w:spacing w:after="0" w:line="360" w:lineRule="auto"/>
        <w:jc w:val="both"/>
        <w:rPr>
          <w:rFonts w:ascii="Palatino Linotype" w:eastAsia="Palatino Linotype" w:hAnsi="Palatino Linotype" w:cs="Palatino Linotype"/>
          <w:color w:val="000000"/>
          <w:sz w:val="24"/>
          <w:szCs w:val="24"/>
        </w:rPr>
      </w:pPr>
    </w:p>
    <w:p w14:paraId="2DEFDC5A" w14:textId="77777777" w:rsidR="00B36041" w:rsidRDefault="00243587">
      <w:pPr>
        <w:spacing w:after="0" w:line="360" w:lineRule="auto"/>
        <w:jc w:val="both"/>
        <w:rPr>
          <w:rFonts w:ascii="Palatino Linotype" w:eastAsia="Palatino Linotype" w:hAnsi="Palatino Linotype" w:cs="Palatino Linotype"/>
          <w:color w:val="FF0000"/>
          <w:sz w:val="28"/>
          <w:szCs w:val="28"/>
        </w:rPr>
      </w:pPr>
      <w:r>
        <w:rPr>
          <w:rFonts w:ascii="Palatino Linotype" w:eastAsia="Palatino Linotype" w:hAnsi="Palatino Linotype" w:cs="Palatino Linotype"/>
          <w:color w:val="000000"/>
          <w:sz w:val="24"/>
          <w:szCs w:val="24"/>
        </w:rPr>
        <w:t xml:space="preserve">Por otro lado, como se precisó el particular </w:t>
      </w:r>
      <w:r>
        <w:rPr>
          <w:rFonts w:ascii="Palatino Linotype" w:eastAsia="Palatino Linotype" w:hAnsi="Palatino Linotype" w:cs="Palatino Linotype"/>
          <w:sz w:val="24"/>
          <w:szCs w:val="24"/>
        </w:rPr>
        <w:t>solicitó copia simple de cada documento que acredite que el nombramiento de la Directora General de Educación y Cultura</w:t>
      </w:r>
      <w:r>
        <w:rPr>
          <w:rFonts w:ascii="Palatino Linotype" w:eastAsia="Palatino Linotype" w:hAnsi="Palatino Linotype" w:cs="Palatino Linotype"/>
          <w:sz w:val="36"/>
          <w:szCs w:val="36"/>
        </w:rPr>
        <w:t xml:space="preserve"> </w:t>
      </w:r>
      <w:r>
        <w:rPr>
          <w:rFonts w:ascii="Palatino Linotype" w:eastAsia="Palatino Linotype" w:hAnsi="Palatino Linotype" w:cs="Palatino Linotype"/>
          <w:sz w:val="24"/>
          <w:szCs w:val="24"/>
        </w:rPr>
        <w:t xml:space="preserve">estipuladas en la Ley Orgánica Municipal del Estado de México, resulta importante señalar lo siguiente: </w:t>
      </w:r>
    </w:p>
    <w:p w14:paraId="65E5265C" w14:textId="77777777" w:rsidR="00B36041" w:rsidRDefault="00243587">
      <w:pPr>
        <w:pBdr>
          <w:top w:val="nil"/>
          <w:left w:val="nil"/>
          <w:bottom w:val="nil"/>
          <w:right w:val="nil"/>
          <w:between w:val="nil"/>
        </w:pBdr>
        <w:spacing w:before="240" w:after="240" w:line="360" w:lineRule="auto"/>
        <w:ind w:left="851"/>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LEY ORGÁNICA MUNICIPAL DEL ESTADO DE MÉXICO</w:t>
      </w:r>
    </w:p>
    <w:p w14:paraId="22FD8412" w14:textId="77777777" w:rsidR="00B36041" w:rsidRDefault="00243587">
      <w:pPr>
        <w:pBdr>
          <w:top w:val="nil"/>
          <w:left w:val="nil"/>
          <w:bottom w:val="nil"/>
          <w:right w:val="nil"/>
          <w:between w:val="nil"/>
        </w:pBdr>
        <w:spacing w:before="280" w:after="280"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“Artículo 32. Para ocupar los cargos de Secretario; Tesorero; Director de Obras Públicas, de Desarrollo Económico, Director de Turismo, Coordinador General Municipal de Mejora Regulatoria, Ecología, Desarrollo Urbano, de Desarrollo Social, o equivalentes, titulares de las unidades administrativas, de Protección Civil y de los organismos auxiliares se deberán satisfacer los siguientes requisitos: </w:t>
      </w:r>
    </w:p>
    <w:p w14:paraId="72C0688C" w14:textId="77777777" w:rsidR="00B36041" w:rsidRDefault="00243587">
      <w:pPr>
        <w:pBdr>
          <w:top w:val="nil"/>
          <w:left w:val="nil"/>
          <w:bottom w:val="nil"/>
          <w:right w:val="nil"/>
          <w:between w:val="nil"/>
        </w:pBdr>
        <w:spacing w:before="280" w:after="280"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w:t>
      </w:r>
      <w:r>
        <w:rPr>
          <w:rFonts w:ascii="Palatino Linotype" w:eastAsia="Palatino Linotype" w:hAnsi="Palatino Linotype" w:cs="Palatino Linotype"/>
          <w:i/>
          <w:color w:val="000000"/>
        </w:rPr>
        <w:tab/>
        <w:t xml:space="preserve"> Ser ciudadano del Estado en pleno uso de sus derechos; </w:t>
      </w:r>
    </w:p>
    <w:p w14:paraId="5A77C409" w14:textId="77777777" w:rsidR="00B36041" w:rsidRDefault="00243587">
      <w:pPr>
        <w:pBdr>
          <w:top w:val="nil"/>
          <w:left w:val="nil"/>
          <w:bottom w:val="nil"/>
          <w:right w:val="nil"/>
          <w:between w:val="nil"/>
        </w:pBdr>
        <w:spacing w:before="280" w:after="280"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II.</w:t>
      </w:r>
      <w:r>
        <w:rPr>
          <w:rFonts w:ascii="Palatino Linotype" w:eastAsia="Palatino Linotype" w:hAnsi="Palatino Linotype" w:cs="Palatino Linotype"/>
          <w:i/>
          <w:color w:val="000000"/>
        </w:rPr>
        <w:tab/>
        <w:t xml:space="preserve">No estar inhabilitado para desempeñar cargo, empleo, o comisión pública. </w:t>
      </w:r>
    </w:p>
    <w:p w14:paraId="3FA86CCE" w14:textId="77777777" w:rsidR="00B36041" w:rsidRDefault="00243587">
      <w:pPr>
        <w:pBdr>
          <w:top w:val="nil"/>
          <w:left w:val="nil"/>
          <w:bottom w:val="nil"/>
          <w:right w:val="nil"/>
          <w:between w:val="nil"/>
        </w:pBdr>
        <w:spacing w:before="280" w:after="280"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III.</w:t>
      </w:r>
      <w:r>
        <w:rPr>
          <w:rFonts w:ascii="Palatino Linotype" w:eastAsia="Palatino Linotype" w:hAnsi="Palatino Linotype" w:cs="Palatino Linotype"/>
          <w:i/>
          <w:color w:val="000000"/>
        </w:rPr>
        <w:tab/>
        <w:t xml:space="preserve">No haber sido condenado en proceso penal, por delito intencional que amerite pena privativa de libertad; </w:t>
      </w:r>
    </w:p>
    <w:p w14:paraId="3B62E504" w14:textId="77777777" w:rsidR="00B36041" w:rsidRDefault="00243587">
      <w:pPr>
        <w:pBdr>
          <w:top w:val="nil"/>
          <w:left w:val="nil"/>
          <w:bottom w:val="nil"/>
          <w:right w:val="nil"/>
          <w:between w:val="nil"/>
        </w:pBdr>
        <w:spacing w:before="280" w:after="280"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IV.</w:t>
      </w:r>
      <w:r>
        <w:rPr>
          <w:rFonts w:ascii="Palatino Linotype" w:eastAsia="Palatino Linotype" w:hAnsi="Palatino Linotype" w:cs="Palatino Linotype"/>
          <w:i/>
          <w:color w:val="000000"/>
        </w:rPr>
        <w:tab/>
        <w:t xml:space="preserve">Contar con título profesional o acreditar experiencia mínima de un año en la materia, ante el Presidente o el Ayuntamiento, cuando sea el caso, para el desempeño de los cargos que así lo requieran; y </w:t>
      </w:r>
    </w:p>
    <w:p w14:paraId="5BF89D8C" w14:textId="77777777" w:rsidR="00B36041" w:rsidRDefault="00243587">
      <w:pPr>
        <w:pBdr>
          <w:top w:val="nil"/>
          <w:left w:val="nil"/>
          <w:bottom w:val="nil"/>
          <w:right w:val="nil"/>
          <w:between w:val="nil"/>
        </w:pBdr>
        <w:spacing w:before="280" w:after="280"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V.</w:t>
      </w:r>
      <w:r>
        <w:rPr>
          <w:rFonts w:ascii="Palatino Linotype" w:eastAsia="Palatino Linotype" w:hAnsi="Palatino Linotype" w:cs="Palatino Linotype"/>
          <w:i/>
          <w:color w:val="000000"/>
        </w:rPr>
        <w:tab/>
        <w:t xml:space="preserve">En su caso, contar con certificación de competencia laboral en la materia del cargo que se desempeñará, expedida por institución con reconocimiento de validez oficial. </w:t>
      </w:r>
    </w:p>
    <w:p w14:paraId="6BC0EE8E" w14:textId="77777777" w:rsidR="00B36041" w:rsidRDefault="00243587">
      <w:pPr>
        <w:pBdr>
          <w:top w:val="nil"/>
          <w:left w:val="nil"/>
          <w:bottom w:val="nil"/>
          <w:right w:val="nil"/>
          <w:between w:val="nil"/>
        </w:pBdr>
        <w:spacing w:before="280" w:after="280"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Este requisito podrá acreditarse dentro de los seis meses siguientes a la fecha en que inicien sus funciones. </w:t>
      </w:r>
    </w:p>
    <w:p w14:paraId="638CB099" w14:textId="77777777" w:rsidR="00B36041" w:rsidRDefault="00243587">
      <w:pPr>
        <w:pBdr>
          <w:top w:val="nil"/>
          <w:left w:val="nil"/>
          <w:bottom w:val="nil"/>
          <w:right w:val="nil"/>
          <w:between w:val="nil"/>
        </w:pBdr>
        <w:spacing w:before="240" w:after="240" w:line="360"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Vencido el plazo a que se refiere el párrafo anterior, el Presidente Municipal informará al Cabildo sobre el cumplimiento de dicha certificación laboral para que, en su caso, el Ayuntamiento tome las medidas correspondientes respecto de aquellos servidores públicos que no hubiesen cumplido.”(Sic)</w:t>
      </w:r>
    </w:p>
    <w:p w14:paraId="275FD6E5" w14:textId="77777777" w:rsidR="00B36041" w:rsidRDefault="0024358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 conformidad a lo anterior se establece que para ocupar las titularidades de las unidades administrativas se deberán satisfacer ciertos requisitos como lo son, los antes mencionados en el artículo 32 de la Ley Orgánica Municipal del Estado de México. </w:t>
      </w:r>
    </w:p>
    <w:p w14:paraId="22C3C597" w14:textId="77777777" w:rsidR="00B36041" w:rsidRDefault="00243587">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Respecto de la fracción I, relacionado con “</w:t>
      </w:r>
      <w:r>
        <w:rPr>
          <w:rFonts w:ascii="Palatino Linotype" w:eastAsia="Palatino Linotype" w:hAnsi="Palatino Linotype" w:cs="Palatino Linotype"/>
          <w:i/>
          <w:sz w:val="24"/>
          <w:szCs w:val="24"/>
        </w:rPr>
        <w:t>Ser ciudadano del Estado en pleno uso de sus derechos</w:t>
      </w:r>
      <w:r>
        <w:rPr>
          <w:rFonts w:ascii="Palatino Linotype" w:eastAsia="Palatino Linotype" w:hAnsi="Palatino Linotype" w:cs="Palatino Linotype"/>
          <w:sz w:val="24"/>
          <w:szCs w:val="24"/>
        </w:rPr>
        <w:t>”, el documento que acreditaría dicha circunstancia de manera enunciativa más no limitada, de conformidad con el artículo 3 de la Ley de Nacionalidad, son: el acta de nacimiento, el certificado de nacionalidad mexicana, el pasaporte, la carta de naturalización, la cédula de identidad ciudadana, la matrícula consular que cuente con los siguientes elementos de seguridad (fotografía digitalizada, banda magnética e identificación holográfica), identificaciones oficiales con fotografía y comprobantes domiciliarios.</w:t>
      </w:r>
    </w:p>
    <w:p w14:paraId="4B8006C0" w14:textId="77777777" w:rsidR="00B36041" w:rsidRDefault="00243587">
      <w:pPr>
        <w:widowControl w:val="0"/>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No obstante, dicha documentación debe ser protegida mediante su clasificación como </w:t>
      </w:r>
      <w:r>
        <w:rPr>
          <w:rFonts w:ascii="Palatino Linotype" w:eastAsia="Palatino Linotype" w:hAnsi="Palatino Linotype" w:cs="Palatino Linotype"/>
          <w:sz w:val="24"/>
          <w:szCs w:val="24"/>
        </w:rPr>
        <w:t xml:space="preserve">confidencial en su totalidad, ya </w:t>
      </w:r>
      <w:r>
        <w:rPr>
          <w:rFonts w:ascii="Palatino Linotype" w:eastAsia="Palatino Linotype" w:hAnsi="Palatino Linotype" w:cs="Palatino Linotype"/>
          <w:color w:val="000000"/>
          <w:sz w:val="24"/>
          <w:szCs w:val="24"/>
        </w:rPr>
        <w:t>que por su naturaleza jurídica contienen datos deben ser clasificados como confidenciales, lo anterior, como a continuación se precisa:</w:t>
      </w:r>
    </w:p>
    <w:p w14:paraId="098FC5E0" w14:textId="77777777"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que se refiere a la credencial para votar, constituyen datos personales el nombre, domicilio, huella digital, fotografía del elector, clave de registro o elector, Clave Única del Registro de Población y firma, tal como se refiere en el artículo 156 numeral 1, incisos d), g) e i) de la Ley General de Instituciones y Procedimientos Electorales que enlista los datos que, cuando menos, debe contener la credencial para votar, como son: </w:t>
      </w:r>
    </w:p>
    <w:p w14:paraId="6BA6D8D8" w14:textId="77777777" w:rsidR="00B36041" w:rsidRDefault="00243587">
      <w:pPr>
        <w:tabs>
          <w:tab w:val="left" w:pos="8222"/>
        </w:tabs>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156</w:t>
      </w:r>
      <w:r>
        <w:rPr>
          <w:rFonts w:ascii="Palatino Linotype" w:eastAsia="Palatino Linotype" w:hAnsi="Palatino Linotype" w:cs="Palatino Linotype"/>
          <w:i/>
        </w:rPr>
        <w:t>.</w:t>
      </w:r>
    </w:p>
    <w:p w14:paraId="7AD9D8B1" w14:textId="77777777" w:rsidR="00B36041" w:rsidRDefault="00243587">
      <w:pPr>
        <w:tabs>
          <w:tab w:val="left" w:pos="8222"/>
        </w:tabs>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1.</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La credencial para votar deberá contener, cuando menos, los siguientes datos del elector</w:t>
      </w:r>
      <w:r>
        <w:rPr>
          <w:rFonts w:ascii="Palatino Linotype" w:eastAsia="Palatino Linotype" w:hAnsi="Palatino Linotype" w:cs="Palatino Linotype"/>
          <w:i/>
        </w:rPr>
        <w:t>:</w:t>
      </w:r>
    </w:p>
    <w:p w14:paraId="125AF2D1" w14:textId="77777777" w:rsidR="00B36041" w:rsidRDefault="00243587">
      <w:pPr>
        <w:tabs>
          <w:tab w:val="left" w:pos="8222"/>
        </w:tabs>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462200C9" w14:textId="77777777" w:rsidR="00B36041" w:rsidRDefault="00243587">
      <w:pPr>
        <w:tabs>
          <w:tab w:val="left" w:pos="8222"/>
        </w:tabs>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d) </w:t>
      </w:r>
      <w:r>
        <w:rPr>
          <w:rFonts w:ascii="Palatino Linotype" w:eastAsia="Palatino Linotype" w:hAnsi="Palatino Linotype" w:cs="Palatino Linotype"/>
          <w:b/>
          <w:i/>
          <w:u w:val="single"/>
        </w:rPr>
        <w:t>Domicilio</w:t>
      </w:r>
      <w:r>
        <w:rPr>
          <w:rFonts w:ascii="Palatino Linotype" w:eastAsia="Palatino Linotype" w:hAnsi="Palatino Linotype" w:cs="Palatino Linotype"/>
          <w:i/>
        </w:rPr>
        <w:t>;</w:t>
      </w:r>
    </w:p>
    <w:p w14:paraId="2184F617" w14:textId="77777777" w:rsidR="00B36041" w:rsidRDefault="00243587">
      <w:pPr>
        <w:tabs>
          <w:tab w:val="left" w:pos="8222"/>
        </w:tabs>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04E18662" w14:textId="77777777" w:rsidR="00B36041" w:rsidRDefault="00243587">
      <w:pPr>
        <w:tabs>
          <w:tab w:val="left" w:pos="8222"/>
        </w:tabs>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g) </w:t>
      </w:r>
      <w:r>
        <w:rPr>
          <w:rFonts w:ascii="Palatino Linotype" w:eastAsia="Palatino Linotype" w:hAnsi="Palatino Linotype" w:cs="Palatino Linotype"/>
          <w:b/>
          <w:i/>
        </w:rPr>
        <w:t>Firma</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huella digital</w:t>
      </w:r>
      <w:r>
        <w:rPr>
          <w:rFonts w:ascii="Palatino Linotype" w:eastAsia="Palatino Linotype" w:hAnsi="Palatino Linotype" w:cs="Palatino Linotype"/>
          <w:i/>
        </w:rPr>
        <w:t xml:space="preserve"> y </w:t>
      </w:r>
      <w:r>
        <w:rPr>
          <w:rFonts w:ascii="Palatino Linotype" w:eastAsia="Palatino Linotype" w:hAnsi="Palatino Linotype" w:cs="Palatino Linotype"/>
          <w:b/>
          <w:i/>
          <w:u w:val="single"/>
        </w:rPr>
        <w:t>fotografía del elector</w:t>
      </w:r>
      <w:r>
        <w:rPr>
          <w:rFonts w:ascii="Palatino Linotype" w:eastAsia="Palatino Linotype" w:hAnsi="Palatino Linotype" w:cs="Palatino Linotype"/>
          <w:i/>
        </w:rPr>
        <w:t>;</w:t>
      </w:r>
    </w:p>
    <w:p w14:paraId="5AED0FA7" w14:textId="77777777" w:rsidR="00B36041" w:rsidRDefault="00243587">
      <w:pPr>
        <w:tabs>
          <w:tab w:val="left" w:pos="8222"/>
        </w:tabs>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537E6065" w14:textId="77777777" w:rsidR="00B36041" w:rsidRDefault="00243587">
      <w:pPr>
        <w:tabs>
          <w:tab w:val="left" w:pos="8222"/>
        </w:tabs>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i) </w:t>
      </w:r>
      <w:r>
        <w:rPr>
          <w:rFonts w:ascii="Palatino Linotype" w:eastAsia="Palatino Linotype" w:hAnsi="Palatino Linotype" w:cs="Palatino Linotype"/>
          <w:b/>
          <w:i/>
          <w:u w:val="single"/>
        </w:rPr>
        <w:t>Clave Única del Registro de Población</w:t>
      </w:r>
      <w:r>
        <w:rPr>
          <w:rFonts w:ascii="Palatino Linotype" w:eastAsia="Palatino Linotype" w:hAnsi="Palatino Linotype" w:cs="Palatino Linotype"/>
          <w:i/>
        </w:rPr>
        <w:t>. ” (Sic)</w:t>
      </w:r>
    </w:p>
    <w:p w14:paraId="3244DDA8" w14:textId="77777777"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el conocimiento de dichos datos afecta la esfera más íntima de su Titular, en razón de que su utilización indebida pueda dar origen a un riesgo grave para éste.</w:t>
      </w:r>
    </w:p>
    <w:p w14:paraId="16F83D24" w14:textId="77777777"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w:t>
      </w:r>
    </w:p>
    <w:p w14:paraId="4C4E5004" w14:textId="77777777"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que el Sistema de Administración Tributaria en su catálogo de trámites contempla como identificación oficial los siguientes documentos:</w:t>
      </w:r>
      <w:r>
        <w:rPr>
          <w:noProof/>
        </w:rPr>
        <w:drawing>
          <wp:anchor distT="0" distB="0" distL="0" distR="0" simplePos="0" relativeHeight="251660288" behindDoc="1" locked="0" layoutInCell="1" hidden="0" allowOverlap="1" wp14:anchorId="09922173" wp14:editId="4619F3D2">
            <wp:simplePos x="0" y="0"/>
            <wp:positionH relativeFrom="column">
              <wp:posOffset>76200</wp:posOffset>
            </wp:positionH>
            <wp:positionV relativeFrom="paragraph">
              <wp:posOffset>551180</wp:posOffset>
            </wp:positionV>
            <wp:extent cx="5766428" cy="2617756"/>
            <wp:effectExtent l="0" t="0" r="0" b="0"/>
            <wp:wrapNone/>
            <wp:docPr id="1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b="2758"/>
                    <a:stretch>
                      <a:fillRect/>
                    </a:stretch>
                  </pic:blipFill>
                  <pic:spPr>
                    <a:xfrm>
                      <a:off x="0" y="0"/>
                      <a:ext cx="5766428" cy="2617756"/>
                    </a:xfrm>
                    <a:prstGeom prst="rect">
                      <a:avLst/>
                    </a:prstGeom>
                    <a:ln/>
                  </pic:spPr>
                </pic:pic>
              </a:graphicData>
            </a:graphic>
          </wp:anchor>
        </w:drawing>
      </w:r>
    </w:p>
    <w:p w14:paraId="73607D4C" w14:textId="77777777" w:rsidR="00B36041" w:rsidRDefault="00B36041">
      <w:pPr>
        <w:spacing w:before="240" w:after="240" w:line="360" w:lineRule="auto"/>
        <w:jc w:val="both"/>
        <w:rPr>
          <w:rFonts w:ascii="Palatino Linotype" w:eastAsia="Palatino Linotype" w:hAnsi="Palatino Linotype" w:cs="Palatino Linotype"/>
        </w:rPr>
      </w:pPr>
    </w:p>
    <w:p w14:paraId="57B3B043" w14:textId="77777777" w:rsidR="00B36041" w:rsidRDefault="00B36041">
      <w:pPr>
        <w:spacing w:before="240" w:after="240" w:line="360" w:lineRule="auto"/>
        <w:jc w:val="both"/>
        <w:rPr>
          <w:rFonts w:ascii="Palatino Linotype" w:eastAsia="Palatino Linotype" w:hAnsi="Palatino Linotype" w:cs="Palatino Linotype"/>
        </w:rPr>
      </w:pPr>
    </w:p>
    <w:p w14:paraId="237DEAA9" w14:textId="77777777" w:rsidR="00B36041" w:rsidRDefault="00B36041">
      <w:pPr>
        <w:spacing w:before="240" w:after="240" w:line="360" w:lineRule="auto"/>
        <w:jc w:val="both"/>
        <w:rPr>
          <w:rFonts w:ascii="Palatino Linotype" w:eastAsia="Palatino Linotype" w:hAnsi="Palatino Linotype" w:cs="Palatino Linotype"/>
        </w:rPr>
      </w:pPr>
    </w:p>
    <w:p w14:paraId="30A01396" w14:textId="77777777" w:rsidR="00B36041" w:rsidRDefault="00B36041">
      <w:pPr>
        <w:spacing w:before="240" w:after="240" w:line="360" w:lineRule="auto"/>
        <w:jc w:val="both"/>
        <w:rPr>
          <w:rFonts w:ascii="Palatino Linotype" w:eastAsia="Palatino Linotype" w:hAnsi="Palatino Linotype" w:cs="Palatino Linotype"/>
        </w:rPr>
      </w:pPr>
    </w:p>
    <w:p w14:paraId="081C3232" w14:textId="77777777" w:rsidR="00B36041" w:rsidRDefault="00B36041">
      <w:pPr>
        <w:spacing w:before="240" w:after="240" w:line="360" w:lineRule="auto"/>
        <w:ind w:right="49"/>
        <w:jc w:val="center"/>
        <w:rPr>
          <w:rFonts w:ascii="Palatino Linotype" w:eastAsia="Palatino Linotype" w:hAnsi="Palatino Linotype" w:cs="Palatino Linotype"/>
        </w:rPr>
      </w:pPr>
    </w:p>
    <w:p w14:paraId="3CBE4D54" w14:textId="77777777" w:rsidR="00B36041" w:rsidRDefault="00B36041">
      <w:pPr>
        <w:spacing w:before="240" w:after="240" w:line="360" w:lineRule="auto"/>
        <w:jc w:val="both"/>
        <w:rPr>
          <w:rFonts w:ascii="Palatino Linotype" w:eastAsia="Palatino Linotype" w:hAnsi="Palatino Linotype" w:cs="Palatino Linotype"/>
        </w:rPr>
      </w:pPr>
    </w:p>
    <w:p w14:paraId="6BA96CF3" w14:textId="77777777"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Respecto a la edad, 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http://portalanterior.ine.mx/archivos2/portal/credencial/pdf-credencial/ABC_credenciales_ INE_2015.pdf, como se muestra a continuación, en su parte medular: </w:t>
      </w:r>
    </w:p>
    <w:p w14:paraId="5DC59385" w14:textId="77777777" w:rsidR="00B36041" w:rsidRDefault="00243587">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6CAB9E39" wp14:editId="0EE1CFDF">
            <wp:extent cx="5934360" cy="1963320"/>
            <wp:effectExtent l="0" t="0" r="0" b="0"/>
            <wp:docPr id="15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5934360" cy="1963320"/>
                    </a:xfrm>
                    <a:prstGeom prst="rect">
                      <a:avLst/>
                    </a:prstGeom>
                    <a:ln/>
                  </pic:spPr>
                </pic:pic>
              </a:graphicData>
            </a:graphic>
          </wp:inline>
        </w:drawing>
      </w:r>
      <w:r>
        <w:rPr>
          <w:noProof/>
        </w:rPr>
        <mc:AlternateContent>
          <mc:Choice Requires="wps">
            <w:drawing>
              <wp:anchor distT="0" distB="0" distL="114300" distR="114300" simplePos="0" relativeHeight="251661312" behindDoc="0" locked="0" layoutInCell="1" hidden="0" allowOverlap="1" wp14:anchorId="07F04581" wp14:editId="27A70EC7">
                <wp:simplePos x="0" y="0"/>
                <wp:positionH relativeFrom="column">
                  <wp:posOffset>1257300</wp:posOffset>
                </wp:positionH>
                <wp:positionV relativeFrom="paragraph">
                  <wp:posOffset>266700</wp:posOffset>
                </wp:positionV>
                <wp:extent cx="2745759" cy="355600"/>
                <wp:effectExtent l="0" t="0" r="0" b="0"/>
                <wp:wrapNone/>
                <wp:docPr id="124" name="Rectángulo 124"/>
                <wp:cNvGraphicFramePr/>
                <a:graphic xmlns:a="http://schemas.openxmlformats.org/drawingml/2006/main">
                  <a:graphicData uri="http://schemas.microsoft.com/office/word/2010/wordprocessingShape">
                    <wps:wsp>
                      <wps:cNvSpPr/>
                      <wps:spPr>
                        <a:xfrm>
                          <a:off x="4001696" y="3630775"/>
                          <a:ext cx="2688609" cy="298450"/>
                        </a:xfrm>
                        <a:prstGeom prst="rect">
                          <a:avLst/>
                        </a:prstGeom>
                        <a:noFill/>
                        <a:ln w="19050" cap="flat" cmpd="sng">
                          <a:solidFill>
                            <a:srgbClr val="FF0000"/>
                          </a:solidFill>
                          <a:prstDash val="solid"/>
                          <a:miter lim="800000"/>
                          <a:headEnd type="none" w="sm" len="sm"/>
                          <a:tailEnd type="none" w="sm" len="sm"/>
                        </a:ln>
                      </wps:spPr>
                      <wps:txbx>
                        <w:txbxContent>
                          <w:p w14:paraId="3D1DB4F2" w14:textId="77777777" w:rsidR="00B36041" w:rsidRDefault="00B36041">
                            <w:pPr>
                              <w:spacing w:line="258"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7F04581" id="Rectángulo 124" o:spid="_x0000_s1026" style="position:absolute;left:0;text-align:left;margin-left:99pt;margin-top:21pt;width:216.2pt;height:2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" filled="f" strokecolor="red" strokeweight="1.5pt">
                <v:stroke startarrowwidth="narrow" startarrowlength="short" endarrowwidth="narrow" endarrowlength="short"/>
                <v:textbox inset="2.53958mm,2.53958mm,2.53958mm,2.53958mm">
                  <w:txbxContent>
                    <w:p w14:paraId="3D1DB4F2" w14:textId="77777777" w:rsidR="00B36041" w:rsidRDefault="00B36041">
                      <w:pPr>
                        <w:spacing w:line="258" w:lineRule="auto"/>
                        <w:textDirection w:val="btLr"/>
                      </w:pP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4EEEA283" wp14:editId="33DD5A9A">
                <wp:simplePos x="0" y="0"/>
                <wp:positionH relativeFrom="column">
                  <wp:posOffset>177800</wp:posOffset>
                </wp:positionH>
                <wp:positionV relativeFrom="paragraph">
                  <wp:posOffset>774700</wp:posOffset>
                </wp:positionV>
                <wp:extent cx="821424" cy="582589"/>
                <wp:effectExtent l="0" t="0" r="0" b="0"/>
                <wp:wrapNone/>
                <wp:docPr id="129" name="Rectángulo 129"/>
                <wp:cNvGraphicFramePr/>
                <a:graphic xmlns:a="http://schemas.openxmlformats.org/drawingml/2006/main">
                  <a:graphicData uri="http://schemas.microsoft.com/office/word/2010/wordprocessingShape">
                    <wps:wsp>
                      <wps:cNvSpPr/>
                      <wps:spPr>
                        <a:xfrm>
                          <a:off x="4963863" y="3517281"/>
                          <a:ext cx="764274" cy="525439"/>
                        </a:xfrm>
                        <a:prstGeom prst="rect">
                          <a:avLst/>
                        </a:prstGeom>
                        <a:noFill/>
                        <a:ln w="19050" cap="flat" cmpd="sng">
                          <a:solidFill>
                            <a:srgbClr val="FF0000"/>
                          </a:solidFill>
                          <a:prstDash val="solid"/>
                          <a:miter lim="800000"/>
                          <a:headEnd type="none" w="sm" len="sm"/>
                          <a:tailEnd type="none" w="sm" len="sm"/>
                        </a:ln>
                      </wps:spPr>
                      <wps:txbx>
                        <w:txbxContent>
                          <w:p w14:paraId="7CA8193B" w14:textId="77777777" w:rsidR="00B36041" w:rsidRDefault="00B36041">
                            <w:pPr>
                              <w:spacing w:line="258"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EEEA283" id="Rectángulo 129" o:spid="_x0000_s1027" style="position:absolute;left:0;text-align:left;margin-left:14pt;margin-top:61pt;width:64.7pt;height:45.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" filled="f" strokecolor="red" strokeweight="1.5pt">
                <v:stroke startarrowwidth="narrow" startarrowlength="short" endarrowwidth="narrow" endarrowlength="short"/>
                <v:textbox inset="2.53958mm,2.53958mm,2.53958mm,2.53958mm">
                  <w:txbxContent>
                    <w:p w14:paraId="7CA8193B" w14:textId="77777777" w:rsidR="00B36041" w:rsidRDefault="00B36041">
                      <w:pPr>
                        <w:spacing w:line="258" w:lineRule="auto"/>
                        <w:textDirection w:val="btLr"/>
                      </w:pPr>
                    </w:p>
                  </w:txbxContent>
                </v:textbox>
              </v:rect>
            </w:pict>
          </mc:Fallback>
        </mc:AlternateContent>
      </w:r>
    </w:p>
    <w:p w14:paraId="7FB94F39" w14:textId="77777777" w:rsidR="00B36041" w:rsidRDefault="00243587">
      <w:pPr>
        <w:widowControl w:val="0"/>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4DE985B5" wp14:editId="12BB60B3">
            <wp:extent cx="5844648" cy="2591513"/>
            <wp:effectExtent l="0" t="0" r="0" b="0"/>
            <wp:docPr id="15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srcRect/>
                    <a:stretch>
                      <a:fillRect/>
                    </a:stretch>
                  </pic:blipFill>
                  <pic:spPr>
                    <a:xfrm>
                      <a:off x="0" y="0"/>
                      <a:ext cx="5844648" cy="2591513"/>
                    </a:xfrm>
                    <a:prstGeom prst="rect">
                      <a:avLst/>
                    </a:prstGeom>
                    <a:ln/>
                  </pic:spPr>
                </pic:pic>
              </a:graphicData>
            </a:graphic>
          </wp:inline>
        </w:drawing>
      </w:r>
      <w:r>
        <w:rPr>
          <w:noProof/>
        </w:rPr>
        <mc:AlternateContent>
          <mc:Choice Requires="wps">
            <w:drawing>
              <wp:anchor distT="0" distB="0" distL="114300" distR="114300" simplePos="0" relativeHeight="251663360" behindDoc="0" locked="0" layoutInCell="1" hidden="0" allowOverlap="1" wp14:anchorId="397974BD" wp14:editId="03805BF8">
                <wp:simplePos x="0" y="0"/>
                <wp:positionH relativeFrom="column">
                  <wp:posOffset>1104900</wp:posOffset>
                </wp:positionH>
                <wp:positionV relativeFrom="paragraph">
                  <wp:posOffset>165100</wp:posOffset>
                </wp:positionV>
                <wp:extent cx="2561514" cy="507526"/>
                <wp:effectExtent l="0" t="0" r="0" b="0"/>
                <wp:wrapNone/>
                <wp:docPr id="131" name="Rectángulo 131"/>
                <wp:cNvGraphicFramePr/>
                <a:graphic xmlns:a="http://schemas.openxmlformats.org/drawingml/2006/main">
                  <a:graphicData uri="http://schemas.microsoft.com/office/word/2010/wordprocessingShape">
                    <wps:wsp>
                      <wps:cNvSpPr/>
                      <wps:spPr>
                        <a:xfrm>
                          <a:off x="4093818" y="3554812"/>
                          <a:ext cx="2504364" cy="450376"/>
                        </a:xfrm>
                        <a:prstGeom prst="rect">
                          <a:avLst/>
                        </a:prstGeom>
                        <a:noFill/>
                        <a:ln w="19050" cap="flat" cmpd="sng">
                          <a:solidFill>
                            <a:srgbClr val="FF0000"/>
                          </a:solidFill>
                          <a:prstDash val="solid"/>
                          <a:miter lim="800000"/>
                          <a:headEnd type="none" w="sm" len="sm"/>
                          <a:tailEnd type="none" w="sm" len="sm"/>
                        </a:ln>
                      </wps:spPr>
                      <wps:txbx>
                        <w:txbxContent>
                          <w:p w14:paraId="4FB44EE1" w14:textId="77777777" w:rsidR="00B36041" w:rsidRDefault="00B36041">
                            <w:pPr>
                              <w:spacing w:line="258"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97974BD" id="Rectángulo 131" o:spid="_x0000_s1028" style="position:absolute;left:0;text-align:left;margin-left:87pt;margin-top:13pt;width:201.7pt;height:39.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" filled="f" strokecolor="red" strokeweight="1.5pt">
                <v:stroke startarrowwidth="narrow" startarrowlength="short" endarrowwidth="narrow" endarrowlength="short"/>
                <v:textbox inset="2.53958mm,2.53958mm,2.53958mm,2.53958mm">
                  <w:txbxContent>
                    <w:p w14:paraId="4FB44EE1" w14:textId="77777777" w:rsidR="00B36041" w:rsidRDefault="00B36041">
                      <w:pPr>
                        <w:spacing w:line="258" w:lineRule="auto"/>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6E54DC62" wp14:editId="48978AA5">
                <wp:simplePos x="0" y="0"/>
                <wp:positionH relativeFrom="column">
                  <wp:posOffset>1104900</wp:posOffset>
                </wp:positionH>
                <wp:positionV relativeFrom="paragraph">
                  <wp:posOffset>1206500</wp:posOffset>
                </wp:positionV>
                <wp:extent cx="2561514" cy="393700"/>
                <wp:effectExtent l="0" t="0" r="0" b="0"/>
                <wp:wrapNone/>
                <wp:docPr id="127" name="Rectángulo 127"/>
                <wp:cNvGraphicFramePr/>
                <a:graphic xmlns:a="http://schemas.openxmlformats.org/drawingml/2006/main">
                  <a:graphicData uri="http://schemas.microsoft.com/office/word/2010/wordprocessingShape">
                    <wps:wsp>
                      <wps:cNvSpPr/>
                      <wps:spPr>
                        <a:xfrm>
                          <a:off x="4093818" y="3611725"/>
                          <a:ext cx="2504364" cy="336550"/>
                        </a:xfrm>
                        <a:prstGeom prst="rect">
                          <a:avLst/>
                        </a:prstGeom>
                        <a:noFill/>
                        <a:ln w="19050" cap="flat" cmpd="sng">
                          <a:solidFill>
                            <a:srgbClr val="FF0000"/>
                          </a:solidFill>
                          <a:prstDash val="solid"/>
                          <a:miter lim="800000"/>
                          <a:headEnd type="none" w="sm" len="sm"/>
                          <a:tailEnd type="none" w="sm" len="sm"/>
                        </a:ln>
                      </wps:spPr>
                      <wps:txbx>
                        <w:txbxContent>
                          <w:p w14:paraId="47145D73" w14:textId="77777777" w:rsidR="00B36041" w:rsidRDefault="00B36041">
                            <w:pPr>
                              <w:spacing w:line="258"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E54DC62" id="Rectángulo 127" o:spid="_x0000_s1029" style="position:absolute;left:0;text-align:left;margin-left:87pt;margin-top:95pt;width:201.7pt;height:3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" filled="f" strokecolor="red" strokeweight="1.5pt">
                <v:stroke startarrowwidth="narrow" startarrowlength="short" endarrowwidth="narrow" endarrowlength="short"/>
                <v:textbox inset="2.53958mm,2.53958mm,2.53958mm,2.53958mm">
                  <w:txbxContent>
                    <w:p w14:paraId="47145D73" w14:textId="77777777" w:rsidR="00B36041" w:rsidRDefault="00B36041">
                      <w:pPr>
                        <w:spacing w:line="258" w:lineRule="auto"/>
                        <w:textDirection w:val="btLr"/>
                      </w:pP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78AEBD45" wp14:editId="629FFE65">
                <wp:simplePos x="0" y="0"/>
                <wp:positionH relativeFrom="column">
                  <wp:posOffset>342900</wp:posOffset>
                </wp:positionH>
                <wp:positionV relativeFrom="paragraph">
                  <wp:posOffset>342900</wp:posOffset>
                </wp:positionV>
                <wp:extent cx="432464" cy="1913245"/>
                <wp:effectExtent l="0" t="0" r="0" b="0"/>
                <wp:wrapNone/>
                <wp:docPr id="123" name="Rectángulo 123"/>
                <wp:cNvGraphicFramePr/>
                <a:graphic xmlns:a="http://schemas.openxmlformats.org/drawingml/2006/main">
                  <a:graphicData uri="http://schemas.microsoft.com/office/word/2010/wordprocessingShape">
                    <wps:wsp>
                      <wps:cNvSpPr/>
                      <wps:spPr>
                        <a:xfrm>
                          <a:off x="5158343" y="2851953"/>
                          <a:ext cx="375314" cy="1856095"/>
                        </a:xfrm>
                        <a:prstGeom prst="rect">
                          <a:avLst/>
                        </a:prstGeom>
                        <a:noFill/>
                        <a:ln w="19050" cap="flat" cmpd="sng">
                          <a:solidFill>
                            <a:srgbClr val="FF0000"/>
                          </a:solidFill>
                          <a:prstDash val="solid"/>
                          <a:miter lim="800000"/>
                          <a:headEnd type="none" w="sm" len="sm"/>
                          <a:tailEnd type="none" w="sm" len="sm"/>
                        </a:ln>
                      </wps:spPr>
                      <wps:txbx>
                        <w:txbxContent>
                          <w:p w14:paraId="259153B0" w14:textId="77777777" w:rsidR="00B36041" w:rsidRDefault="00B36041">
                            <w:pPr>
                              <w:spacing w:line="258"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8AEBD45" id="Rectángulo 123" o:spid="_x0000_s1030" style="position:absolute;left:0;text-align:left;margin-left:27pt;margin-top:27pt;width:34.05pt;height:150.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" filled="f" strokecolor="red" strokeweight="1.5pt">
                <v:stroke startarrowwidth="narrow" startarrowlength="short" endarrowwidth="narrow" endarrowlength="short"/>
                <v:textbox inset="2.53958mm,2.53958mm,2.53958mm,2.53958mm">
                  <w:txbxContent>
                    <w:p w14:paraId="259153B0" w14:textId="77777777" w:rsidR="00B36041" w:rsidRDefault="00B36041">
                      <w:pPr>
                        <w:spacing w:line="258" w:lineRule="auto"/>
                        <w:textDirection w:val="btLr"/>
                      </w:pPr>
                    </w:p>
                  </w:txbxContent>
                </v:textbox>
              </v:rect>
            </w:pict>
          </mc:Fallback>
        </mc:AlternateContent>
      </w:r>
    </w:p>
    <w:p w14:paraId="03212BDB" w14:textId="77777777" w:rsidR="00B36041" w:rsidRDefault="00243587">
      <w:pPr>
        <w:widowControl w:val="0"/>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w:t>
      </w:r>
    </w:p>
    <w:p w14:paraId="2A9C24A3" w14:textId="77777777" w:rsidR="00B36041" w:rsidRDefault="00243587">
      <w:pPr>
        <w:widowControl w:val="0"/>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el caso de la edad, se trata de un dato personal sensible que concierne únicamente a su titular, al corresponder a su esfera más íntima. </w:t>
      </w:r>
    </w:p>
    <w:p w14:paraId="43363DE9" w14:textId="77777777" w:rsidR="00B36041" w:rsidRDefault="00243587">
      <w:pPr>
        <w:widowControl w:val="0"/>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El código de barras bidimensional y cifrado, como fue anteriormente mencionado, se trata de un medio de almacenamiento de información, que en el caso de las credenciales para votar, contiene datos e información, utilizada para efectos electorales, misma, que únicamente concierne a las autoridades competentes en la materia y a su propio titular.</w:t>
      </w:r>
    </w:p>
    <w:p w14:paraId="12F1E312" w14:textId="77777777" w:rsidR="00B36041" w:rsidRDefault="00243587">
      <w:pPr>
        <w:widowControl w:val="0"/>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que se refiere a la CURP</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64A0F1B1" w14:textId="77777777" w:rsidR="00B36041" w:rsidRDefault="00243587">
      <w:pPr>
        <w:spacing w:before="280" w:after="28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 anterior, tiene sustento en los artículos 86 y 91 de la Ley General de Población, la cual señala lo siguiente:</w:t>
      </w:r>
    </w:p>
    <w:p w14:paraId="0D65106F" w14:textId="77777777"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86. </w:t>
      </w:r>
      <w:r>
        <w:rPr>
          <w:rFonts w:ascii="Palatino Linotype" w:eastAsia="Palatino Linotype" w:hAnsi="Palatino Linotype" w:cs="Palatino Linotype"/>
          <w:i/>
        </w:rPr>
        <w:t>El Registro Nacional de Población tiene como finalidad registrar a cada una de las personas que integran la población del país, con los datos que permitan certificar y acreditar fehacientemente su identidad.</w:t>
      </w:r>
    </w:p>
    <w:p w14:paraId="793432D6" w14:textId="77777777" w:rsidR="00B36041" w:rsidRDefault="00B36041">
      <w:pPr>
        <w:ind w:left="851" w:right="851"/>
        <w:jc w:val="both"/>
        <w:rPr>
          <w:rFonts w:ascii="Palatino Linotype" w:eastAsia="Palatino Linotype" w:hAnsi="Palatino Linotype" w:cs="Palatino Linotype"/>
          <w:b/>
          <w:i/>
        </w:rPr>
      </w:pPr>
    </w:p>
    <w:p w14:paraId="628F24A4" w14:textId="77777777"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Artículo 91. Al incorporar a una persona en el Registro Nacional de Población</w:t>
      </w:r>
      <w:r>
        <w:rPr>
          <w:rFonts w:ascii="Palatino Linotype" w:eastAsia="Palatino Linotype" w:hAnsi="Palatino Linotype" w:cs="Palatino Linotype"/>
          <w:i/>
        </w:rPr>
        <w:t xml:space="preserve">, se le asignará una clave </w:t>
      </w:r>
      <w:r>
        <w:rPr>
          <w:rFonts w:ascii="Palatino Linotype" w:eastAsia="Palatino Linotype" w:hAnsi="Palatino Linotype" w:cs="Palatino Linotype"/>
          <w:b/>
          <w:i/>
        </w:rPr>
        <w:t>que se denominará Clave Única de Registro de Población</w:t>
      </w:r>
      <w:r>
        <w:rPr>
          <w:rFonts w:ascii="Palatino Linotype" w:eastAsia="Palatino Linotype" w:hAnsi="Palatino Linotype" w:cs="Palatino Linotype"/>
          <w:i/>
        </w:rPr>
        <w:t xml:space="preserve">. </w:t>
      </w:r>
      <w:r>
        <w:rPr>
          <w:rFonts w:ascii="Palatino Linotype" w:eastAsia="Palatino Linotype" w:hAnsi="Palatino Linotype" w:cs="Palatino Linotype"/>
          <w:b/>
          <w:i/>
        </w:rPr>
        <w:t>Esta servirá para</w:t>
      </w:r>
      <w:r>
        <w:rPr>
          <w:rFonts w:ascii="Palatino Linotype" w:eastAsia="Palatino Linotype" w:hAnsi="Palatino Linotype" w:cs="Palatino Linotype"/>
          <w:i/>
        </w:rPr>
        <w:t xml:space="preserve"> registrarla e </w:t>
      </w:r>
      <w:r>
        <w:rPr>
          <w:rFonts w:ascii="Palatino Linotype" w:eastAsia="Palatino Linotype" w:hAnsi="Palatino Linotype" w:cs="Palatino Linotype"/>
          <w:b/>
          <w:i/>
        </w:rPr>
        <w:t>identificarla en forma individual</w:t>
      </w:r>
      <w:r>
        <w:rPr>
          <w:rFonts w:ascii="Palatino Linotype" w:eastAsia="Palatino Linotype" w:hAnsi="Palatino Linotype" w:cs="Palatino Linotype"/>
          <w:i/>
        </w:rPr>
        <w:t>.”(Sic)</w:t>
      </w:r>
    </w:p>
    <w:p w14:paraId="287D8CCF" w14:textId="77777777" w:rsidR="00B36041" w:rsidRDefault="00243587">
      <w:pPr>
        <w:spacing w:before="280" w:after="280" w:line="360" w:lineRule="auto"/>
        <w:jc w:val="both"/>
        <w:rPr>
          <w:rFonts w:ascii="Palatino Linotype" w:eastAsia="Palatino Linotype" w:hAnsi="Palatino Linotype" w:cs="Palatino Linotype"/>
          <w:sz w:val="32"/>
          <w:szCs w:val="32"/>
        </w:rPr>
      </w:pPr>
      <w:r>
        <w:rPr>
          <w:rFonts w:ascii="Palatino Linotype" w:eastAsia="Palatino Linotype" w:hAnsi="Palatino Linotype" w:cs="Palatino Linotype"/>
          <w:sz w:val="24"/>
          <w:szCs w:val="24"/>
        </w:rPr>
        <w:t xml:space="preserve">Ahora bien, la CURP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de nacimiento; consonantes internas del nombre y apellidos; un diferenciador de homonimia y siglo; y un digito verificador, que garantizan la correcta integración. </w:t>
      </w:r>
    </w:p>
    <w:p w14:paraId="738FA3E2" w14:textId="77777777" w:rsidR="00B36041" w:rsidRDefault="00243587">
      <w:pPr>
        <w:spacing w:before="280" w:after="28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el INAI, a través del Criterio 18/17 de la Segunda Época, señala literalmente lo siguiente:</w:t>
      </w:r>
    </w:p>
    <w:p w14:paraId="688F0844" w14:textId="77777777"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Clave Única de Registro de Población (CURP).</w:t>
      </w:r>
      <w:r>
        <w:rPr>
          <w:rFonts w:ascii="Palatino Linotype" w:eastAsia="Palatino Linotype" w:hAnsi="Palatino Linotype" w:cs="Palatino Linotype"/>
          <w:i/>
        </w:rPr>
        <w:t xml:space="preserve"> </w:t>
      </w:r>
      <w:r>
        <w:rPr>
          <w:rFonts w:ascii="Palatino Linotype" w:eastAsia="Palatino Linotype" w:hAnsi="Palatino Linotype" w:cs="Palatino Linotype"/>
          <w:b/>
          <w:i/>
        </w:rPr>
        <w:t>La Clave Única de Registro de Población se integra por datos personales que sólo conciernen al particular titular</w:t>
      </w:r>
      <w:r>
        <w:rPr>
          <w:rFonts w:ascii="Palatino Linotype" w:eastAsia="Palatino Linotype" w:hAnsi="Palatino Linotype" w:cs="Palatino Linotype"/>
          <w:i/>
        </w:rPr>
        <w:t xml:space="preserve"> de la misma, </w:t>
      </w:r>
      <w:r>
        <w:rPr>
          <w:rFonts w:ascii="Palatino Linotype" w:eastAsia="Palatino Linotype" w:hAnsi="Palatino Linotype" w:cs="Palatino Linotype"/>
          <w:b/>
          <w:i/>
        </w:rPr>
        <w:t>como lo son su nombre, apellidos, fecha de nacimiento, lugar de nacimiento y sexo</w:t>
      </w:r>
      <w:r>
        <w:rPr>
          <w:rFonts w:ascii="Palatino Linotype" w:eastAsia="Palatino Linotype" w:hAnsi="Palatino Linotype" w:cs="Palatino Linotype"/>
          <w:i/>
        </w:rPr>
        <w:t xml:space="preserve">. Dichos datos, constituyen información que distingue plenamente a una persona física del resto de los habitantes del país, </w:t>
      </w:r>
      <w:r>
        <w:rPr>
          <w:rFonts w:ascii="Palatino Linotype" w:eastAsia="Palatino Linotype" w:hAnsi="Palatino Linotype" w:cs="Palatino Linotype"/>
          <w:b/>
          <w:i/>
        </w:rPr>
        <w:t>por lo que la CURP está considerada como información confidencial</w:t>
      </w:r>
      <w:r>
        <w:rPr>
          <w:rFonts w:ascii="Palatino Linotype" w:eastAsia="Palatino Linotype" w:hAnsi="Palatino Linotype" w:cs="Palatino Linotype"/>
          <w:i/>
        </w:rPr>
        <w:t xml:space="preserve">. </w:t>
      </w:r>
    </w:p>
    <w:p w14:paraId="523CF996" w14:textId="77777777"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Resoluciones:</w:t>
      </w:r>
    </w:p>
    <w:p w14:paraId="083FC404" w14:textId="77777777"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RRA 3995/16. Secretaría de la Defensa Nacional. 1 de febrero de 2017. Por unanimidad. Comisionado Ponente Rosendoevgueni Monterrey Chepov.</w:t>
      </w:r>
    </w:p>
    <w:p w14:paraId="114F7CBC" w14:textId="77777777"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 RRA 0937/17. Senado de la República. 15 de marzo de 2017. Por unanimidad. Comisionada Ponente Ximena Puente de la Mora. </w:t>
      </w:r>
    </w:p>
    <w:p w14:paraId="31710360" w14:textId="77777777"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RRA 0478/17. Secretaría de Relaciones Exteriores. 26 de abril de 2017. Por unanimidad. Comisionada Ponente Areli Cano Guadiana.” (Sic)</w:t>
      </w:r>
    </w:p>
    <w:p w14:paraId="579B53DD" w14:textId="77777777" w:rsidR="00B36041" w:rsidRDefault="00243587">
      <w:pPr>
        <w:spacing w:before="280" w:after="28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anterior, se desprende que la CURP se encuentra vinculada al nombre y apellidos de la persona, permitiendo identificar fecha y lugar de nacimiento, así como el sexo; datos que únicamente le atañen a su titular,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7CED24E4" w14:textId="77777777" w:rsidR="00B36041" w:rsidRDefault="00243587">
      <w:pPr>
        <w:spacing w:before="280" w:after="28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domicilio particular, de acuerdo a lo señalado en los artículos 2.3 y 2.5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w:t>
      </w:r>
    </w:p>
    <w:p w14:paraId="30AD3657" w14:textId="77777777" w:rsidR="00B36041" w:rsidRDefault="00243587">
      <w:pPr>
        <w:spacing w:before="280" w:after="28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que la clasificación del domicilio particular, por tratarse de un dato personal confidencial, en términos del artículo 143, fracción I de la Ley de Transparencia y Acceso a la Información Pública del Estado de México y Municipios. </w:t>
      </w:r>
    </w:p>
    <w:p w14:paraId="000A76A9" w14:textId="77777777" w:rsidR="00B36041" w:rsidRDefault="00243587">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lo que corresponde a la huella dactilar, la Academia Mexicana de la Lengua y el Diccionario de la Real Academia de la Lengua Española, establecen que la huella dactilar, es la impresión que suele dejar la yema del dedo en un objeto al tocarlo, o la que se obtiene impregnándola previamente en una materia colorante. Por su parte, en el documento electrónico intitulado “Nuevas Tecnologías Biométricas”, publicado por el Instituto Nacional de Ciencias Penales y la Procuraduría General de la República, disponible en </w:t>
      </w:r>
      <w:hyperlink r:id="rId27">
        <w:r>
          <w:rPr>
            <w:rFonts w:ascii="Palatino Linotype" w:eastAsia="Palatino Linotype" w:hAnsi="Palatino Linotype" w:cs="Palatino Linotype"/>
            <w:color w:val="0563C1"/>
            <w:sz w:val="24"/>
            <w:szCs w:val="24"/>
            <w:u w:val="single"/>
          </w:rPr>
          <w:t>https://docplayer.es/5455342-Nuevas-tecnologias-biometricas-instituto-nacional-de-ciencias-penales-procuraduria-general-de-la-republica-version-1-0.html</w:t>
        </w:r>
      </w:hyperlink>
      <w:r>
        <w:rPr>
          <w:rFonts w:ascii="Palatino Linotype" w:eastAsia="Palatino Linotype" w:hAnsi="Palatino Linotype" w:cs="Palatino Linotype"/>
          <w:sz w:val="24"/>
          <w:szCs w:val="24"/>
        </w:rPr>
        <w:t xml:space="preserve">, se indica que existen tres principios fundamentales para la identificación de las huellas dactilares, a saber: </w:t>
      </w:r>
    </w:p>
    <w:p w14:paraId="2C76D6B6" w14:textId="77777777" w:rsidR="00B36041" w:rsidRDefault="00B36041">
      <w:pPr>
        <w:spacing w:line="360" w:lineRule="auto"/>
        <w:jc w:val="both"/>
        <w:rPr>
          <w:rFonts w:ascii="Palatino Linotype" w:eastAsia="Palatino Linotype" w:hAnsi="Palatino Linotype" w:cs="Palatino Linotype"/>
          <w:sz w:val="24"/>
          <w:szCs w:val="24"/>
        </w:rPr>
      </w:pPr>
    </w:p>
    <w:p w14:paraId="6617C920" w14:textId="77777777" w:rsidR="00B36041" w:rsidRDefault="00243587">
      <w:pPr>
        <w:numPr>
          <w:ilvl w:val="0"/>
          <w:numId w:val="1"/>
        </w:numPr>
        <w:spacing w:after="0" w:line="360" w:lineRule="auto"/>
        <w:ind w:right="474"/>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Primer principio. La huella es una característica individual. No hay dos huellas con características en las crestas que sean idénticas. </w:t>
      </w:r>
    </w:p>
    <w:p w14:paraId="398BC344" w14:textId="77777777" w:rsidR="00B36041" w:rsidRDefault="00B36041">
      <w:pPr>
        <w:spacing w:line="360" w:lineRule="auto"/>
        <w:ind w:right="474"/>
        <w:jc w:val="both"/>
        <w:rPr>
          <w:rFonts w:ascii="Palatino Linotype" w:eastAsia="Palatino Linotype" w:hAnsi="Palatino Linotype" w:cs="Palatino Linotype"/>
          <w:sz w:val="24"/>
          <w:szCs w:val="24"/>
        </w:rPr>
      </w:pPr>
    </w:p>
    <w:p w14:paraId="41CEDE18" w14:textId="77777777" w:rsidR="00B36041" w:rsidRDefault="00243587">
      <w:pPr>
        <w:numPr>
          <w:ilvl w:val="0"/>
          <w:numId w:val="1"/>
        </w:numPr>
        <w:spacing w:after="0" w:line="360" w:lineRule="auto"/>
        <w:ind w:right="474"/>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Segundo principio. Una huella permanece sin cambios durante toda la vida de un individuo (sin embargo, puede adquirir cicatrices o cualquier otra deformación que impida su identificación clara). </w:t>
      </w:r>
    </w:p>
    <w:p w14:paraId="382B291E" w14:textId="77777777" w:rsidR="00B36041" w:rsidRDefault="00B36041">
      <w:pPr>
        <w:spacing w:line="360" w:lineRule="auto"/>
        <w:ind w:right="474"/>
        <w:jc w:val="both"/>
        <w:rPr>
          <w:rFonts w:ascii="Palatino Linotype" w:eastAsia="Palatino Linotype" w:hAnsi="Palatino Linotype" w:cs="Palatino Linotype"/>
          <w:sz w:val="24"/>
          <w:szCs w:val="24"/>
        </w:rPr>
      </w:pPr>
    </w:p>
    <w:p w14:paraId="6AD53B0A" w14:textId="77777777" w:rsidR="00B36041" w:rsidRDefault="00243587">
      <w:pPr>
        <w:numPr>
          <w:ilvl w:val="0"/>
          <w:numId w:val="1"/>
        </w:numPr>
        <w:spacing w:after="0" w:line="360" w:lineRule="auto"/>
        <w:ind w:right="474"/>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Tercer principio. Las huellas tienen patrones que se forman con sus crestas, lo que hace posible clasificarlas sistemáticamente para agilizar las búsquedas. </w:t>
      </w:r>
    </w:p>
    <w:p w14:paraId="1146D1FE" w14:textId="77777777" w:rsidR="00B36041" w:rsidRDefault="00243587">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Conforme a lo expuesto, es indubitable que la huella dactilar es una característica propia de un individuo que permite su reconocimiento. Por tanto, sin duda, se considera que es una característica individual que se utiliza como medio de identificación de las personas y, por tanto, constituye un dato personal, de conformidad con lo establecido en el artículo 143, fracción I de la Ley de la materia.</w:t>
      </w:r>
    </w:p>
    <w:p w14:paraId="64F2AB5A" w14:textId="77777777" w:rsidR="00B36041" w:rsidRDefault="00243587">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Ahora bien, no obstante que dicho dato no se haya recolectado mediante escaneo que permita su sistematización y procesamiento electrónico, incluso su recolección en tinta y papel, también permite su escaneo, lo que puede propiciar un mal uno de dicho dato, sino se aplican las medidas de protección adecuada, tal como lo refiere la Tesis Aislada HUELLA DACTILAR. ES APTA PARA ACREDITAR EL CONSENTIMIENTO EN LA CELEBRACIÓN DE UN CONTRATO.</w:t>
      </w:r>
    </w:p>
    <w:p w14:paraId="4CA490BC" w14:textId="77777777" w:rsidR="00B36041" w:rsidRDefault="00243587">
      <w:pPr>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“La huella dactilar es un elemento jurídicamente reconocido para demostrar tanto la individualización de su autor como la manifestación de su voluntad con el contenido de un documento, porque es más idónea para individualizar al sujeto, pues las técnicas dactiloscópicas desarrolladas permiten afirmar que no hay dos personas que posean idénticas huellas dactilares;</w:t>
      </w:r>
      <w:r>
        <w:rPr>
          <w:rFonts w:ascii="Palatino Linotype" w:eastAsia="Palatino Linotype" w:hAnsi="Palatino Linotype" w:cs="Palatino Linotype"/>
          <w:i/>
        </w:rPr>
        <w:t xml:space="preserve"> en cambio, los caracteres de la letra pueden ser imitados y, en algunos casos, podrá resultar difícil al perito decidir sobre la autenticidad de una firma. Como ejemplo de la eficacia de esa función individualizadora se tiene el artículo 76 del Código Civil para el Distrito Federal, que concibe a la huella como una firma útil para identificar a los nacidos en un parto múltiple. Por lo que toca a la función de acreditar la manifestación del consentimiento, el citado código prevé diversos supuestos, como por ejemplo, la solicitud del matrimonio (artículo 97, fracción III, segundo párrafo) y la celebración misma de éste (artículo 103, fracción IX, tercer párrafo). Tratándose de los contratos, la impresión de la huella cumple esa doble función, pues si bien es cierto que dicho código en su artículo 1834 establece como requisito adicional la firma de la persona que intervenga a ruego del autor de la huella, ello ocurre de manera excepcional para los casos en que éste no sepa o no pueda leer ni escribir, pero aun en este caso el conocimiento del contenido del documento y, en consecuencia, la eficacia de la manifestación de la voluntad del autor respecto del contenido del contrato, se asegura con la necesidad de la intervención de la persona que solicite el autor. De esta manera, si en un contrato se encuentran plasmadas huellas atribuidas a una de las partes acompañadas de firmas igualmente atribuidas a él, quedando demostrado que dichas huellas sí corresponden a dicho autor, debe tenerse por acreditado el consentimiento en la celebración del contrato, incluso, con independencia de que la prueba pericial haya determinado la falsificación de las firmas correspondientes, más aún cuando el autor no negó expresamente haber estampado sus huellas en el contrato.(Sic)</w:t>
      </w:r>
    </w:p>
    <w:p w14:paraId="60514B7F" w14:textId="77777777" w:rsidR="00B36041" w:rsidRDefault="00B36041">
      <w:pPr>
        <w:ind w:left="567" w:right="567"/>
        <w:jc w:val="both"/>
        <w:rPr>
          <w:rFonts w:ascii="Palatino Linotype" w:eastAsia="Palatino Linotype" w:hAnsi="Palatino Linotype" w:cs="Palatino Linotype"/>
          <w:i/>
        </w:rPr>
      </w:pPr>
    </w:p>
    <w:p w14:paraId="29CA20C1" w14:textId="77777777" w:rsidR="00B36041" w:rsidRDefault="00243587">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la actualidad existen sistemas denominados AFIS por sus siglas en inglés </w:t>
      </w:r>
      <w:r>
        <w:rPr>
          <w:rFonts w:ascii="Palatino Linotype" w:eastAsia="Palatino Linotype" w:hAnsi="Palatino Linotype" w:cs="Palatino Linotype"/>
          <w:i/>
          <w:sz w:val="24"/>
          <w:szCs w:val="24"/>
        </w:rPr>
        <w:t>Automated Fingerprint Identification System</w:t>
      </w:r>
      <w:r>
        <w:rPr>
          <w:rFonts w:ascii="Palatino Linotype" w:eastAsia="Palatino Linotype" w:hAnsi="Palatino Linotype" w:cs="Palatino Linotype"/>
          <w:sz w:val="24"/>
          <w:szCs w:val="24"/>
        </w:rPr>
        <w:t xml:space="preserve"> que son sistemas informáticos que permiten la captura, consulta y comparación automática de huellas dactilares, para la captura y adquisición existen diversas formas de realizarlo y una de ellas es a través de la fotografía de una huella dactilar que se encuentra impresa en un papel, que sólo depende de la calidad de la imagen para su comparación para la individualización del autor por medio de los sistemas AFIS. </w:t>
      </w:r>
    </w:p>
    <w:p w14:paraId="4A5748E1" w14:textId="77777777" w:rsidR="00B36041" w:rsidRDefault="00243587">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términos de la calidad de la imagen se debe observar que en la NOM-151-SCFI-2016 publicada en el Diario Oficial de la Federación el 30 de Marzo de 2017, se determina que la calidad propicia para realizar la digitalización de documentos físicos en formato de imagen es de 200 píxeles por pulgada o superior para representaciones en blanco y negro, color o escala de grises, para garantizar el contenido y la integridad de los documentos digitalizados. Desde esta perspectiva es viable digitalizar la imagen de una huella digital con una calidad mínima para poder ser puesta a disposición de un sistema AFIS por medio de escáneres y multifuncionales de venta al público general de diversas marcas y que pueden proporcionar una resolución de hasta 600 pixeles por pulgada. </w:t>
      </w:r>
    </w:p>
    <w:p w14:paraId="1193C57E" w14:textId="77777777" w:rsidR="00B36041" w:rsidRDefault="00243587">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conclusión, con el uso de las tecnologías de digitalización e impresión puestas a disposición de público general, es posible realizar la adquisición y reproducción de la huella digital que se encuentra en un documento y adicionalmente se puede sistematizar la comparación y análisis de las digitalizaciones a través de sistemas especializados para esta finalidad que pueden encontrarse de forma gratuita en internet.</w:t>
      </w:r>
    </w:p>
    <w:p w14:paraId="6D0C3FDF" w14:textId="77777777" w:rsidR="00B36041" w:rsidRDefault="00243587">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anterior, la huella dactilar no sólo constituye un dato personal confidencial de carácter biométrico, sino que su tratamiento debe llevarse a cabo a través de medidas de seguridad que garanticen su adecuado tratamiento, por lo que debe ser clasificado como confidencial en términos del artículo 143, fracción I, de la Ley de Transparencia y Acceso a la Información Pública del Estado de México y Municipios.</w:t>
      </w:r>
    </w:p>
    <w:p w14:paraId="09FB4AB2" w14:textId="77777777" w:rsidR="00B36041" w:rsidRDefault="00243587">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relación a la fracción II, correspondiente con “</w:t>
      </w:r>
      <w:r>
        <w:rPr>
          <w:rFonts w:ascii="Palatino Linotype" w:eastAsia="Palatino Linotype" w:hAnsi="Palatino Linotype" w:cs="Palatino Linotype"/>
          <w:b/>
          <w:i/>
          <w:sz w:val="24"/>
          <w:szCs w:val="24"/>
          <w:u w:val="single"/>
        </w:rPr>
        <w:t>No estar inhabilitado para desempeñar cargo, empleo, o comisión pública</w:t>
      </w:r>
      <w:r>
        <w:rPr>
          <w:rFonts w:ascii="Palatino Linotype" w:eastAsia="Palatino Linotype" w:hAnsi="Palatino Linotype" w:cs="Palatino Linotype"/>
          <w:i/>
          <w:sz w:val="24"/>
          <w:szCs w:val="24"/>
        </w:rPr>
        <w:t>”</w:t>
      </w:r>
      <w:r>
        <w:rPr>
          <w:rFonts w:ascii="Palatino Linotype" w:eastAsia="Palatino Linotype" w:hAnsi="Palatino Linotype" w:cs="Palatino Linotype"/>
          <w:sz w:val="24"/>
          <w:szCs w:val="24"/>
        </w:rPr>
        <w:t>, debe constar en los expedientes laborales, las respectivas Constancias de No Inhabilitación, emitidas con base en la consulta en el sistema electrónico de la Secretaría de la Contraloría del Gobierno del Estado de México, de conformidad con el artículo 28, último párrafo, de la Ley de Responsabilidades Administrativas del Estado de México y Municipios, el cual se inserta a continuación:</w:t>
      </w:r>
    </w:p>
    <w:p w14:paraId="086D4BBC" w14:textId="77777777"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28</w:t>
      </w:r>
      <w:r>
        <w:rPr>
          <w:rFonts w:ascii="Palatino Linotype" w:eastAsia="Palatino Linotype" w:hAnsi="Palatino Linotype" w:cs="Palatino Linotype"/>
          <w:i/>
        </w:rPr>
        <w:t xml:space="preserve">. </w:t>
      </w:r>
    </w:p>
    <w:p w14:paraId="63FF2032" w14:textId="77777777"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4D830125" w14:textId="77777777"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u w:val="single"/>
        </w:rPr>
        <w:t>Los entes públicos, previo al nombramiento, designación o contratación de quienes pretendan ingresar al servicio público, consultarán los sistemas nacional, estatal y municipal de servidores públicos</w:t>
      </w:r>
      <w:r>
        <w:rPr>
          <w:rFonts w:ascii="Palatino Linotype" w:eastAsia="Palatino Linotype" w:hAnsi="Palatino Linotype" w:cs="Palatino Linotype"/>
          <w:i/>
        </w:rPr>
        <w:t xml:space="preserve"> y particulares sancionados de la plataforma digital nacional y estatal, </w:t>
      </w:r>
      <w:r>
        <w:rPr>
          <w:rFonts w:ascii="Palatino Linotype" w:eastAsia="Palatino Linotype" w:hAnsi="Palatino Linotype" w:cs="Palatino Linotype"/>
          <w:b/>
          <w:i/>
          <w:u w:val="single"/>
        </w:rPr>
        <w:t>con el fin de verificar si existen inhabilitaciones de dichas personas</w:t>
      </w:r>
      <w:r>
        <w:rPr>
          <w:rFonts w:ascii="Palatino Linotype" w:eastAsia="Palatino Linotype" w:hAnsi="Palatino Linotype" w:cs="Palatino Linotype"/>
          <w:i/>
        </w:rPr>
        <w:t>, de no existir se expedirá la constancia correspondiente.” (Sic)</w:t>
      </w:r>
    </w:p>
    <w:p w14:paraId="35CFC042" w14:textId="77777777" w:rsidR="00B36041" w:rsidRDefault="00243587">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Razones por las cuales lo procedente es ordenar la constancias de no inhabilitación de la Directora de Educación y Cultura  en versión pública de acuerdo a lo señalado por el considerando quinto del presente fallo. </w:t>
      </w:r>
    </w:p>
    <w:p w14:paraId="7E0F7951" w14:textId="77777777" w:rsidR="00B36041" w:rsidRDefault="00243587">
      <w:pPr>
        <w:pBdr>
          <w:top w:val="nil"/>
          <w:left w:val="nil"/>
          <w:bottom w:val="nil"/>
          <w:right w:val="nil"/>
          <w:between w:val="nil"/>
        </w:pBdr>
        <w:spacing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cuanto a la fracción III, afín con “</w:t>
      </w:r>
      <w:r>
        <w:rPr>
          <w:rFonts w:ascii="Palatino Linotype" w:eastAsia="Palatino Linotype" w:hAnsi="Palatino Linotype" w:cs="Palatino Linotype"/>
          <w:b/>
          <w:sz w:val="24"/>
          <w:szCs w:val="24"/>
          <w:u w:val="single"/>
        </w:rPr>
        <w:t>No haber sido condenado en proceso penal, por delito intencional que amerite pena privativa de libertad</w:t>
      </w:r>
      <w:r>
        <w:rPr>
          <w:rFonts w:ascii="Palatino Linotype" w:eastAsia="Palatino Linotype" w:hAnsi="Palatino Linotype" w:cs="Palatino Linotype"/>
          <w:sz w:val="24"/>
          <w:szCs w:val="24"/>
        </w:rPr>
        <w:t>”, el documento que colmaría dicha circunstancia sería el Certificado de antecedentes no penales u informe de antecedentes penales, dichos documentos deben ser entregados en versión pública a considerarse que en el presente caso se trata de un mando superior del Ayuntamiento de Naucalpan de Juárez, por lo que deberán clasificarse como confidencial en atención a los siguientes argumentos:</w:t>
      </w:r>
    </w:p>
    <w:p w14:paraId="32AE145C" w14:textId="77777777" w:rsidR="00B36041" w:rsidRDefault="00243587">
      <w:pPr>
        <w:spacing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el caso concreto, es pertinente conocer cómo se integran los expedientes de ingreso de los servidores públicos para conocer cuáles son los documentos que los conforman, y si entre ellos el certificado de antecedentes no penales u informe de antecedentes no penales, es considerado un requisito que debe presentarse para que de este modo se encuentre bajo resguardo de una autoridad.</w:t>
      </w:r>
    </w:p>
    <w:p w14:paraId="5B4FD1AE" w14:textId="77777777"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este sentido, el Manual de Normas y Procedimientos de Desarrollo y Administración de Personal en el Procedimiento 021 “ALTA DE SERVIDORES PÚBLICOS GENERALES Y DE CONFIANZA” establece en las normas 20301/021-01 y 20301/021-11, lo siguiente:</w:t>
      </w:r>
    </w:p>
    <w:p w14:paraId="202BEC43" w14:textId="77777777"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“20301/021-01 Es política del Gobierno del Estado de México no hacer discriminación alguna para el ingreso de servidores públicos, por motivo de sexo, credo religioso, edad, raza o filiación política,…”</w:t>
      </w:r>
    </w:p>
    <w:p w14:paraId="501376F8" w14:textId="77777777"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“20301/021-11 Las coordinaciones administrativas o equivalentes, para dar de alta a un candidato en el sector central del Poder Ejecutivo del Gobierno del Estado de México, deberán solicitarle que presente el Informe de No Antecedentes Penales (Informe para solicitud como trámite laboral) emitido por la Procuraduría General de Justicia del Estado de México, por conducto del Instituto de Servicios Periciales, así como copia del comprobante en línea. El Informe de No Antecedentes Penales, no exime al candidato a ocupar algún puesto, de la obtención del Certificado de No Antecedentes Penales, el cual deberá presentar ante la coordinación administrativa o equivalente una vez que lo obtenga (solicitud como certificado para desempeñar un empleo, cargo o comisión en el servicio público o para ingreso o permanencia en Instituciones de Seguridad Pública)…”</w:t>
      </w:r>
    </w:p>
    <w:p w14:paraId="15C7DD84" w14:textId="77777777"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la norma en comento, se colige que para ingresar al servicio público en el Estado de México, entre otros documentos, se requiere la presentación del Certificado de No Antecedentes Penales.</w:t>
      </w:r>
    </w:p>
    <w:p w14:paraId="2F89C721" w14:textId="77777777" w:rsidR="00B36041" w:rsidRDefault="0024358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sz w:val="24"/>
          <w:szCs w:val="24"/>
        </w:rPr>
        <w:t xml:space="preserve">Ahora bien, para la obtención del citado documento el interesado deberá seguir el procedimiento establecido en el ACUERDO NUMERO 14/2011, DEL PROCURADOR GENERAL DE JUSTICIA DEL ESTADO DE MÉXICO, POR EL QUE SE ESTABLECEN LOS SUPUESTOS Y LINEAMIENTOS PARA LA EXPEDICIÓN DE INFORMES Y CERTIFICADOS DE NO ANTECEDENTES PENALES, publicado en la Gaceta del Gobierno del Estado de México, el día treinta de noviembre de dos mil once, que señala: </w:t>
      </w:r>
    </w:p>
    <w:p w14:paraId="53A8FCFA" w14:textId="77777777" w:rsidR="00B36041" w:rsidRDefault="00243587">
      <w:pPr>
        <w:ind w:left="851" w:right="851"/>
        <w:jc w:val="both"/>
        <w:rPr>
          <w:rFonts w:ascii="Palatino Linotype" w:eastAsia="Palatino Linotype" w:hAnsi="Palatino Linotype" w:cs="Palatino Linotype"/>
        </w:rPr>
      </w:pPr>
      <w:r>
        <w:rPr>
          <w:rFonts w:ascii="Palatino Linotype" w:eastAsia="Palatino Linotype" w:hAnsi="Palatino Linotype" w:cs="Palatino Linotype"/>
          <w:i/>
        </w:rPr>
        <w:t>“</w:t>
      </w:r>
      <w:r>
        <w:rPr>
          <w:rFonts w:ascii="Palatino Linotype" w:eastAsia="Palatino Linotype" w:hAnsi="Palatino Linotype" w:cs="Palatino Linotype"/>
          <w:b/>
          <w:i/>
        </w:rPr>
        <w:t>CUARTO</w:t>
      </w:r>
      <w:r>
        <w:rPr>
          <w:rFonts w:ascii="Palatino Linotype" w:eastAsia="Palatino Linotype" w:hAnsi="Palatino Linotype" w:cs="Palatino Linotype"/>
          <w:i/>
        </w:rPr>
        <w:t>. Para efectos de este Acuerdo, son antecedentes penales aquellos registros de, identificación personal sobre sujetos que hubieren sido condenados por autoridad judicial competente a una pena o medida de seguridad, mediante resolución que haya causado ejecutoria, en los términos a que hace referencia el Libro Primero. Titulo Tercero del Código Penal del Estado de México</w:t>
      </w:r>
      <w:r>
        <w:rPr>
          <w:rFonts w:ascii="Palatino Linotype" w:eastAsia="Palatino Linotype" w:hAnsi="Palatino Linotype" w:cs="Palatino Linotype"/>
        </w:rPr>
        <w:t>.”</w:t>
      </w:r>
    </w:p>
    <w:p w14:paraId="14FDE14F" w14:textId="77777777"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SÉPTIMO</w:t>
      </w:r>
      <w:r>
        <w:rPr>
          <w:rFonts w:ascii="Palatino Linotype" w:eastAsia="Palatino Linotype" w:hAnsi="Palatino Linotype" w:cs="Palatino Linotype"/>
          <w:i/>
        </w:rPr>
        <w:t xml:space="preserve">. Para la expedición del Certificado de No Antecedentes Penales, el Instituto de Servicios Periciales deberá recabar constancia del pago de derechos respectivo, copia de identificación oficial, fotografías y huellas dactilares del interesado, conforme a la normatividad aplicable. Para el trámite respectivo, el interesado deberá: </w:t>
      </w:r>
    </w:p>
    <w:p w14:paraId="6AB9490C" w14:textId="77777777"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Realizar el pago de derechos por la expedición del Certificado de No Antecedentes Penales de la forma que a continuación se indica:</w:t>
      </w:r>
    </w:p>
    <w:p w14:paraId="613437C9" w14:textId="77777777" w:rsidR="00B36041" w:rsidRDefault="00243587">
      <w:pPr>
        <w:numPr>
          <w:ilvl w:val="0"/>
          <w:numId w:val="2"/>
        </w:num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 </w:t>
      </w:r>
      <w:r>
        <w:rPr>
          <w:rFonts w:ascii="Palatino Linotype" w:eastAsia="Palatino Linotype" w:hAnsi="Palatino Linotype" w:cs="Palatino Linotype"/>
          <w:i/>
          <w:color w:val="000000"/>
        </w:rPr>
        <w:t xml:space="preserve">Ingresar a la página electrónica www.edomex.gob.mx: Hacer "click en el botón "Portal de Servicios al Contribuyente, Pagos Electrónicos"; </w:t>
      </w:r>
    </w:p>
    <w:p w14:paraId="2B4CFF79" w14:textId="77777777" w:rsidR="00B36041" w:rsidRDefault="00243587">
      <w:pPr>
        <w:numPr>
          <w:ilvl w:val="0"/>
          <w:numId w:val="2"/>
        </w:numPr>
        <w:spacing w:after="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Hacer "click" en el botón "Derechos" y a continuación en "No Antecedentes Penales"; Llenar el "Formulario de Pago Estatal Procuraduría", e. imprimir el formulario y acudir a realizar el pago en cualquiera de las instituciones bancarias señaladas en el mismo.</w:t>
      </w:r>
    </w:p>
    <w:p w14:paraId="43F19C8C" w14:textId="77777777" w:rsidR="00B36041" w:rsidRDefault="00243587">
      <w:pPr>
        <w:numPr>
          <w:ilvl w:val="0"/>
          <w:numId w:val="2"/>
        </w:numPr>
        <w:spacing w:after="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 Hecho el pago de derechos, ingresar a la página www.eciornex.dob.mx/pgiern y proceder como sigue: Hacer "click" en el botón "Expedición de Certificado de No Antecedentes Penales" y llenar el Formato correspondiente; dar "click" en el botón "Siguiente" y aparecerá un comprobante de registro en línea, generando una clave del trámite un número de folio, el cual deberá imprimirse., el interesado se podrá presentar en las oficinas del Instituto de Servicios Periciales de su elección, en días hábiles, en un horario de 09:00 a 18:00 horas, exhibiendo el comprobante de registro en línea. “</w:t>
      </w:r>
    </w:p>
    <w:p w14:paraId="270F8DAA" w14:textId="77777777"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OCTAVO.</w:t>
      </w:r>
      <w:r>
        <w:rPr>
          <w:rFonts w:ascii="Palatino Linotype" w:eastAsia="Palatino Linotype" w:hAnsi="Palatino Linotype" w:cs="Palatino Linotype"/>
          <w:i/>
        </w:rPr>
        <w:t xml:space="preserve"> El Instituto de Servicios Periciales expedirá </w:t>
      </w:r>
      <w:r>
        <w:rPr>
          <w:rFonts w:ascii="Palatino Linotype" w:eastAsia="Palatino Linotype" w:hAnsi="Palatino Linotype" w:cs="Palatino Linotype"/>
          <w:b/>
          <w:i/>
        </w:rPr>
        <w:t>un Informe</w:t>
      </w:r>
      <w:r>
        <w:rPr>
          <w:rFonts w:ascii="Palatino Linotype" w:eastAsia="Palatino Linotype" w:hAnsi="Palatino Linotype" w:cs="Palatino Linotype"/>
          <w:i/>
        </w:rPr>
        <w:t xml:space="preserve">, a través de medios electrónicos, cuyo trámite será gratuito. Para tal efecto, el interesado deberá ingresar a la página electrónica www.edomex.gob.mx/pcliem y realizar lo siguiente: </w:t>
      </w:r>
    </w:p>
    <w:p w14:paraId="1ABA6E54" w14:textId="77777777" w:rsidR="00B36041" w:rsidRDefault="00243587">
      <w:pPr>
        <w:numPr>
          <w:ilvl w:val="0"/>
          <w:numId w:val="4"/>
        </w:numPr>
        <w:spacing w:after="0" w:line="240" w:lineRule="auto"/>
        <w:ind w:left="851" w:right="851" w:hanging="426"/>
        <w:jc w:val="both"/>
        <w:rPr>
          <w:rFonts w:ascii="Palatino Linotype" w:eastAsia="Palatino Linotype" w:hAnsi="Palatino Linotype" w:cs="Palatino Linotype"/>
          <w:i/>
        </w:rPr>
      </w:pPr>
      <w:r>
        <w:rPr>
          <w:rFonts w:ascii="Palatino Linotype" w:eastAsia="Palatino Linotype" w:hAnsi="Palatino Linotype" w:cs="Palatino Linotype"/>
          <w:i/>
        </w:rPr>
        <w:t xml:space="preserve">Llenar el Formato con los siguientes datos: </w:t>
      </w:r>
    </w:p>
    <w:p w14:paraId="7D274F80" w14:textId="77777777" w:rsidR="00B36041" w:rsidRDefault="00243587">
      <w:pPr>
        <w:numPr>
          <w:ilvl w:val="1"/>
          <w:numId w:val="5"/>
        </w:numPr>
        <w:spacing w:after="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Nombre; </w:t>
      </w:r>
    </w:p>
    <w:p w14:paraId="6821CA2C" w14:textId="77777777" w:rsidR="00B36041" w:rsidRDefault="00243587">
      <w:pPr>
        <w:numPr>
          <w:ilvl w:val="1"/>
          <w:numId w:val="5"/>
        </w:numPr>
        <w:spacing w:after="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Apellido Paterno; </w:t>
      </w:r>
    </w:p>
    <w:p w14:paraId="7355F0BE" w14:textId="77777777" w:rsidR="00B36041" w:rsidRDefault="00243587">
      <w:pPr>
        <w:numPr>
          <w:ilvl w:val="1"/>
          <w:numId w:val="5"/>
        </w:numPr>
        <w:spacing w:after="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Apellido Materno; </w:t>
      </w:r>
    </w:p>
    <w:p w14:paraId="4301A568" w14:textId="77777777" w:rsidR="00B36041" w:rsidRDefault="00243587">
      <w:pPr>
        <w:numPr>
          <w:ilvl w:val="1"/>
          <w:numId w:val="5"/>
        </w:numPr>
        <w:spacing w:after="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Fecha de Nacimiento (dd/mm/aaaa):</w:t>
      </w:r>
    </w:p>
    <w:p w14:paraId="31334E57" w14:textId="77777777" w:rsidR="00B36041" w:rsidRDefault="00243587">
      <w:pPr>
        <w:numPr>
          <w:ilvl w:val="1"/>
          <w:numId w:val="5"/>
        </w:numPr>
        <w:spacing w:after="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Registro Federal de Contribuyentes (RFC); </w:t>
      </w:r>
    </w:p>
    <w:p w14:paraId="185124FE" w14:textId="77777777" w:rsidR="00B36041" w:rsidRDefault="00243587">
      <w:pPr>
        <w:numPr>
          <w:ilvl w:val="1"/>
          <w:numId w:val="5"/>
        </w:numPr>
        <w:spacing w:after="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Clave Única de Registro de Población (CURP); </w:t>
      </w:r>
    </w:p>
    <w:p w14:paraId="7C04DF63" w14:textId="77777777" w:rsidR="00B36041" w:rsidRDefault="00243587">
      <w:pPr>
        <w:numPr>
          <w:ilvl w:val="1"/>
          <w:numId w:val="5"/>
        </w:numPr>
        <w:spacing w:after="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Número de folio de la identificación: </w:t>
      </w:r>
    </w:p>
    <w:p w14:paraId="61FAE53B" w14:textId="77777777" w:rsidR="00B36041" w:rsidRDefault="00243587">
      <w:pPr>
        <w:numPr>
          <w:ilvl w:val="1"/>
          <w:numId w:val="5"/>
        </w:numPr>
        <w:spacing w:after="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Teléfono fijo y móvil;</w:t>
      </w:r>
    </w:p>
    <w:p w14:paraId="7138E378" w14:textId="77777777" w:rsidR="00B36041" w:rsidRDefault="00243587">
      <w:pPr>
        <w:numPr>
          <w:ilvl w:val="1"/>
          <w:numId w:val="5"/>
        </w:numPr>
        <w:spacing w:after="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Correo Electrónico, </w:t>
      </w:r>
    </w:p>
    <w:p w14:paraId="2E7B6709" w14:textId="77777777" w:rsidR="00B36041" w:rsidRDefault="00243587">
      <w:pPr>
        <w:numPr>
          <w:ilvl w:val="1"/>
          <w:numId w:val="5"/>
        </w:numPr>
        <w:spacing w:after="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Domicilio, que contendrá: Calle, número exterior, número interior, Colonia, Código Postal y Municipio dentro del Estado de México. </w:t>
      </w:r>
    </w:p>
    <w:p w14:paraId="4F2C823C" w14:textId="77777777" w:rsidR="00B36041" w:rsidRDefault="00243587">
      <w:pPr>
        <w:numPr>
          <w:ilvl w:val="1"/>
          <w:numId w:val="5"/>
        </w:numPr>
        <w:spacing w:after="0" w:line="240"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Adjuntar archivo que contenga la imagen de alguno de los documentos de identificación solicitados por el Sistema, y que serán: Credencial de elector expedida por el Instituto Federal Electoral, Licencia de conducir, Cartilla del Servicio Militar y Pasaporte expedido por la Secretaria de Relaciones Exteriores de la Federación. </w:t>
      </w:r>
    </w:p>
    <w:p w14:paraId="798D19F3" w14:textId="77777777" w:rsidR="00B36041" w:rsidRDefault="00243587">
      <w:pPr>
        <w:numPr>
          <w:ilvl w:val="0"/>
          <w:numId w:val="4"/>
        </w:numPr>
        <w:spacing w:after="0" w:line="240" w:lineRule="auto"/>
        <w:ind w:left="851" w:right="851" w:hanging="360"/>
        <w:jc w:val="both"/>
        <w:rPr>
          <w:rFonts w:ascii="Palatino Linotype" w:eastAsia="Palatino Linotype" w:hAnsi="Palatino Linotype" w:cs="Palatino Linotype"/>
          <w:i/>
        </w:rPr>
      </w:pPr>
      <w:r>
        <w:rPr>
          <w:rFonts w:ascii="Palatino Linotype" w:eastAsia="Palatino Linotype" w:hAnsi="Palatino Linotype" w:cs="Palatino Linotype"/>
          <w:i/>
        </w:rPr>
        <w:t>Dar "click" en el rubro "enviar". El Sistema generará un folio y número de trámite, el cual podrá ser consultado en la página de Internet de la Procuraduría General de Justicia del Estado de México por el plazo de treinta días naturales, a partir de la generación de la respuesta.”</w:t>
      </w:r>
    </w:p>
    <w:p w14:paraId="35297D88" w14:textId="77777777"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NOVENO</w:t>
      </w:r>
      <w:r>
        <w:rPr>
          <w:rFonts w:ascii="Palatino Linotype" w:eastAsia="Palatino Linotype" w:hAnsi="Palatino Linotype" w:cs="Palatino Linotype"/>
          <w:i/>
        </w:rPr>
        <w:t xml:space="preserve">. El Informe será emitido únicamente en relación con los </w:t>
      </w:r>
      <w:r>
        <w:rPr>
          <w:rFonts w:ascii="Palatino Linotype" w:eastAsia="Palatino Linotype" w:hAnsi="Palatino Linotype" w:cs="Palatino Linotype"/>
          <w:i/>
          <w:u w:val="single"/>
        </w:rPr>
        <w:t>datos proporcionados por el interesado</w:t>
      </w:r>
      <w:r>
        <w:rPr>
          <w:rFonts w:ascii="Palatino Linotype" w:eastAsia="Palatino Linotype" w:hAnsi="Palatino Linotype" w:cs="Palatino Linotype"/>
          <w:i/>
        </w:rPr>
        <w:t xml:space="preserve"> en el Formato a que se refiere la fracción I del artículo anterior, y su utilización será estricta responsabilidad del usuario. El Informe se limitará a señalar que, conforme a los datos proporcionados, la persona de que se trate, no cuenta con antecedentes penales, sin hacer mayor precisión sobre los expedientes o registros correspondientes, o bien, que podrá presentarse en las oficinas del Instituto de Servicios Periciales para realizar las aclaraciones respectivas y en su caso, solicitar las rectificaciones y cancelaciones a que haya lugar, en términos de las disposiciones legales aplicables.”(Sic)</w:t>
      </w:r>
    </w:p>
    <w:p w14:paraId="13C1A6CC" w14:textId="77777777"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anterior se desprende que para expedir el certificado de antecedentes no penales o el informe respectivo, el Instituto de Servicios Periciales recabará los datos personales del interesado, de lo que resulta evidente que el certificado multireferido contiene datos que resultan de carácter confidencial, como lo es la fecha de Nacimiento, Registro Federal de Contribuyentes (RFC), Clave Única de Registro de Población (CURP), Número de folio de la identificación, Teléfono fijo y móvil, Correo Electrónico, Domicilio, que contendrá: Calle, número exterior, número interior, Colonia, Código Postal y Municipio dentro del Estado de México,  Credencial de elector expedida por el Instituto Federal Electoral, Licencia de conducir, Cartilla del Servicio Militar o Pasaporte.</w:t>
      </w:r>
    </w:p>
    <w:p w14:paraId="0728922A" w14:textId="77777777"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Luego entonces se puede argumentar que, si bien el certificado de antecedentes no penales es un documento público al ser emitido por un servidor público dotado de atribuciones para tal efecto, no se debe perder de vista que de conformidad con lo establecido en la obra propuesta por el Doctor José Ramón Cossío Díaz, Ministro de la Suprema Corte de Justicia de la Nación, intitulada “La Transparencia y el Acceso a la Información en los Expedientes Judiciales”, cuyo principal objetivo consiste en unificar y complementar los criterios emitidos por el Alto Tribunal y el entonces Instituto Federal de Acceso a la Información y Protección de Datos, organismo autónomo, en materia de transparencia, bajo la incertidumbre para proporcionar la información contenida en los expedientes judiciales ante la solicitud de los particulares, es decir, es una herramienta práctica que coadyuva en la tarea de atender el ejercicio de los derechos de acceso a la información y protección de datos, en la referida obra concretamente en el tema identificado con el numeral 138, “Constancia de antecedentes penales”, página 107, la cual establece que: </w:t>
      </w:r>
    </w:p>
    <w:p w14:paraId="3A7C159F" w14:textId="77777777" w:rsidR="00B36041" w:rsidRDefault="00243587">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r>
        <w:rPr>
          <w:rFonts w:ascii="Palatino Linotype" w:eastAsia="Palatino Linotype" w:hAnsi="Palatino Linotype" w:cs="Palatino Linotype"/>
          <w:b/>
          <w:i/>
        </w:rPr>
        <w:t>la constancia de antecedentes penales es el documento expedido por la autoridad competente para acreditar la existencia o inexistencia de delitos cometidos por los individuos y la condena correspondiente</w:t>
      </w:r>
      <w:r>
        <w:rPr>
          <w:rFonts w:ascii="Palatino Linotype" w:eastAsia="Palatino Linotype" w:hAnsi="Palatino Linotype" w:cs="Palatino Linotype"/>
          <w:i/>
        </w:rPr>
        <w:t xml:space="preserve">, en su caso. </w:t>
      </w:r>
      <w:r>
        <w:rPr>
          <w:rFonts w:ascii="Palatino Linotype" w:eastAsia="Palatino Linotype" w:hAnsi="Palatino Linotype" w:cs="Palatino Linotype"/>
          <w:b/>
          <w:i/>
        </w:rPr>
        <w:t>La certificación corresponde a la policía y tiene importancia para determinar la reincidencia</w:t>
      </w:r>
      <w:r>
        <w:rPr>
          <w:rFonts w:ascii="Palatino Linotype" w:eastAsia="Palatino Linotype" w:hAnsi="Palatino Linotype" w:cs="Palatino Linotype"/>
          <w:i/>
        </w:rPr>
        <w:t xml:space="preserve"> (artículo 20 del Código Penal Federal), la habitualidad (artículo 21 del Código Penal Federal) </w:t>
      </w:r>
      <w:r>
        <w:rPr>
          <w:rFonts w:ascii="Palatino Linotype" w:eastAsia="Palatino Linotype" w:hAnsi="Palatino Linotype" w:cs="Palatino Linotype"/>
          <w:b/>
          <w:i/>
        </w:rPr>
        <w:t>y la posibilidad de caución</w:t>
      </w:r>
      <w:r>
        <w:rPr>
          <w:rFonts w:ascii="Palatino Linotype" w:eastAsia="Palatino Linotype" w:hAnsi="Palatino Linotype" w:cs="Palatino Linotype"/>
          <w:i/>
        </w:rPr>
        <w:t xml:space="preserve"> (artículo 402 del Código Federal de Procedimientos Penales), al respecto se precisa que materia de transparencia y acceso a la información, </w:t>
      </w:r>
      <w:r>
        <w:rPr>
          <w:rFonts w:ascii="Palatino Linotype" w:eastAsia="Palatino Linotype" w:hAnsi="Palatino Linotype" w:cs="Palatino Linotype"/>
          <w:i/>
          <w:u w:val="single"/>
        </w:rPr>
        <w:t>este acto jurídico contiene información confidencial pues se refiere a datos personales de particulares</w:t>
      </w:r>
      <w:r>
        <w:rPr>
          <w:rFonts w:ascii="Palatino Linotype" w:eastAsia="Palatino Linotype" w:hAnsi="Palatino Linotype" w:cs="Palatino Linotype"/>
          <w:i/>
        </w:rPr>
        <w:t>.” (Sic)</w:t>
      </w:r>
    </w:p>
    <w:p w14:paraId="45564FBA" w14:textId="77777777" w:rsidR="00B36041" w:rsidRDefault="00243587">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expuesto, se concluye que un Certificado de No Antecedentes Penales constituye un documento que puede ser entregado en versión pública, al contener información confidencial en términos de los artículos 143, fracción I de la Ley de Transparencia del Estado de México y Municipios y 4, fracciones VII y VIII de la Ley de Protección de Datos Personales del Estado de México.</w:t>
      </w:r>
    </w:p>
    <w:p w14:paraId="1B3D59AE" w14:textId="77777777" w:rsidR="00B36041" w:rsidRDefault="0024358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Ahora bien, como se ha precisado en líneas anteriores el Certificado de no antecedentes penales es un documento que debe ser considerado como confidencial por regla general; sin embargo, cuando el interés público de conocer dicha información esté por encima del interés particular de protegerla, en dicha ponderación se deberá acreditar que el beneficio que reporta dar a conocer la información confidencial pedida o solicitada es mayor a la invasión que su divulgación genera en los derechos de las personas, considerando la legitimidad del derecho adoptado como preferente que sea el adecuado para el logro de un fin constitucionalmente válido o apto para conseguir el fin pretendido (idoneidad), la falta de un medio alternativo menos lesivo a la apertura de la información para satisfacer el interés público (necesidad) y el equilibrio entre perjuicio y beneficio a favor del interés público, a fin de que la decisión tomada represente un beneficio mayor al perjuicio que podría causar a la población (proporcionalidad), al tratarse de un mando superior del Ayuntamiento de Naucalpan de Juárez.</w:t>
      </w:r>
    </w:p>
    <w:p w14:paraId="1BA62A26" w14:textId="77777777" w:rsidR="00B36041" w:rsidRDefault="00B36041">
      <w:pPr>
        <w:spacing w:after="0" w:line="360" w:lineRule="auto"/>
        <w:ind w:right="49"/>
        <w:jc w:val="both"/>
        <w:rPr>
          <w:rFonts w:ascii="Palatino Linotype" w:eastAsia="Palatino Linotype" w:hAnsi="Palatino Linotype" w:cs="Palatino Linotype"/>
          <w:sz w:val="24"/>
          <w:szCs w:val="24"/>
        </w:rPr>
      </w:pPr>
    </w:p>
    <w:p w14:paraId="50ABC7A6" w14:textId="77777777" w:rsidR="00B36041" w:rsidRDefault="00243587">
      <w:pPr>
        <w:tabs>
          <w:tab w:val="left" w:pos="709"/>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Una vez precisado lo anterior,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deberá emitir el acuerdo que la clasifique como confidencial, debidamente fundado y motivado en términos de lo establecido en los artículos 3, fracciones IX, XX y XXI; 49 fracción VIII; 91, 143 y 149 de la Ley de Transparencia y Acceso a la Información Pública del Estado de México y Municipios, 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del Estado de México. </w:t>
      </w:r>
    </w:p>
    <w:p w14:paraId="69170EF5" w14:textId="77777777" w:rsidR="00B36041" w:rsidRDefault="00B36041">
      <w:pPr>
        <w:tabs>
          <w:tab w:val="left" w:pos="709"/>
        </w:tabs>
        <w:spacing w:after="0" w:line="360" w:lineRule="auto"/>
        <w:jc w:val="both"/>
        <w:rPr>
          <w:rFonts w:ascii="Palatino Linotype" w:eastAsia="Palatino Linotype" w:hAnsi="Palatino Linotype" w:cs="Palatino Linotype"/>
          <w:sz w:val="24"/>
          <w:szCs w:val="24"/>
        </w:rPr>
      </w:pPr>
    </w:p>
    <w:p w14:paraId="34A5BD2C" w14:textId="77777777" w:rsidR="00B36041" w:rsidRDefault="00243587">
      <w:pPr>
        <w:pBdr>
          <w:top w:val="nil"/>
          <w:left w:val="nil"/>
          <w:bottom w:val="nil"/>
          <w:right w:val="nil"/>
          <w:between w:val="nil"/>
        </w:pBdr>
        <w:spacing w:after="24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consecuencia,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tiene la posibilidad de otorgar satisfacción al presente requerimiento, por lo que resulta procedente ordenar la entrega del certificado de antecedentes no penales de la Directora de Educación y Cultura en versión pública de acuerdo a lo señalado por el considerando quinto del presente fallo. </w:t>
      </w:r>
    </w:p>
    <w:p w14:paraId="5557179A" w14:textId="77777777" w:rsidR="00B36041" w:rsidRDefault="00243587">
      <w:pPr>
        <w:spacing w:before="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que concierne a la fracción IV, tocante a </w:t>
      </w:r>
      <w:r>
        <w:rPr>
          <w:rFonts w:ascii="Palatino Linotype" w:eastAsia="Palatino Linotype" w:hAnsi="Palatino Linotype" w:cs="Palatino Linotype"/>
          <w:i/>
          <w:sz w:val="24"/>
          <w:szCs w:val="24"/>
        </w:rPr>
        <w:t xml:space="preserve">“Contar con título profesional o acreditar experiencia mínima de un año en la materia, ante el Presidente o el Ayuntamiento, cuando sea el caso, para el desempeño de los cargos que así lo requieran”, </w:t>
      </w:r>
      <w:r>
        <w:rPr>
          <w:rFonts w:ascii="Palatino Linotype" w:eastAsia="Palatino Linotype" w:hAnsi="Palatino Linotype" w:cs="Palatino Linotype"/>
          <w:sz w:val="24"/>
          <w:szCs w:val="24"/>
        </w:rPr>
        <w:t>el documento que acreditaría dicha información de manera enunciativa más no limitada serían los certificados, diplomas, constancias, títulos o grados académicos que amparen estudios realizados; de acuerdo a lo establecido por el artículo 171 de la Ley de Educación del Estado de México, cabe resaltar que uno de los puntos de la solicitud de acceso a la información pública, la particular solicita el Título o el documento en donde acredite su escolaridad razones por las cuales lo procedente ordenar el título o documento que acredite el grado de estudios y de ser procedente en versión pública en términos del considerando Quinto.</w:t>
      </w:r>
    </w:p>
    <w:p w14:paraId="093147E4" w14:textId="77777777" w:rsidR="00B36041" w:rsidRDefault="00243587">
      <w:pPr>
        <w:spacing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También, no pasa desapercibido que un documento que puede contener la experiencia de toda la carrera profesional de quien va ocupar cargo público, pudiera ser el Curriculum Vitae, sin embargo este mismo fue otorgado mediante informe justificado por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en el cual se acredita que la titular de la Dirección General de Educación y Cultura, acredita contar con la experiencia </w:t>
      </w:r>
      <w:r>
        <w:rPr>
          <w:rFonts w:ascii="Palatino Linotype" w:eastAsia="Palatino Linotype" w:hAnsi="Palatino Linotype" w:cs="Palatino Linotype"/>
          <w:sz w:val="24"/>
          <w:szCs w:val="24"/>
        </w:rPr>
        <w:t>en materia</w:t>
      </w:r>
      <w:r>
        <w:rPr>
          <w:rFonts w:ascii="Palatino Linotype" w:eastAsia="Palatino Linotype" w:hAnsi="Palatino Linotype" w:cs="Palatino Linotype"/>
          <w:color w:val="000000"/>
          <w:sz w:val="24"/>
          <w:szCs w:val="24"/>
        </w:rPr>
        <w:t xml:space="preserve"> de Educación, por lo tanto este punto es colmado por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w:t>
      </w:r>
    </w:p>
    <w:p w14:paraId="429F9A3E" w14:textId="77777777" w:rsidR="00B36041" w:rsidRDefault="00243587">
      <w:pPr>
        <w:spacing w:before="240" w:after="240" w:line="360" w:lineRule="auto"/>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color w:val="000000"/>
          <w:sz w:val="24"/>
          <w:szCs w:val="24"/>
        </w:rPr>
        <w:t>En cuanto a la fracción V, conexa a “</w:t>
      </w:r>
      <w:r>
        <w:rPr>
          <w:rFonts w:ascii="Palatino Linotype" w:eastAsia="Palatino Linotype" w:hAnsi="Palatino Linotype" w:cs="Palatino Linotype"/>
          <w:i/>
          <w:color w:val="000000"/>
          <w:sz w:val="24"/>
          <w:szCs w:val="24"/>
        </w:rPr>
        <w:t xml:space="preserve">En su caso, contar con certificación de competencia laboral en la materia del cargo que se desempeñará, expedida por institución con reconocimiento de validez oficial. Este requisito podrá acreditarse dentro de los seis meses siguientes a la fecha en que inicien sus funciones. </w:t>
      </w:r>
    </w:p>
    <w:p w14:paraId="7FED2100" w14:textId="77777777" w:rsidR="00B36041" w:rsidRDefault="00243587">
      <w:pPr>
        <w:spacing w:before="240" w:after="240" w:line="360" w:lineRule="auto"/>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Vencido el plazo a que se refiere el párrafo anterior, el Presidente Municipal informará al Cabildo sobre el cumplimiento de dicha certificación laboral para que, en su caso, el Ayuntamiento tome las medidas correspondientes respecto de aquellos servidores públicos que no hubiesen cumplido.” (Sic)</w:t>
      </w:r>
    </w:p>
    <w:p w14:paraId="4717ED18" w14:textId="77777777"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De lo anterior se advierte que en su caso, contar con certificación de competencia laboral en la materia para ocupar los cargos de </w:t>
      </w:r>
      <w:r>
        <w:rPr>
          <w:rFonts w:ascii="Palatino Linotype" w:eastAsia="Palatino Linotype" w:hAnsi="Palatino Linotype" w:cs="Palatino Linotype"/>
          <w:sz w:val="24"/>
          <w:szCs w:val="24"/>
        </w:rPr>
        <w:t>titulares de unidades administrativas, en el caso que nos ocupa la Dirección de Educación y Cultura,</w:t>
      </w:r>
      <w:r>
        <w:t xml:space="preserve"> </w:t>
      </w:r>
      <w:r>
        <w:rPr>
          <w:rFonts w:ascii="Palatino Linotype" w:eastAsia="Palatino Linotype" w:hAnsi="Palatino Linotype" w:cs="Palatino Linotype"/>
          <w:sz w:val="24"/>
          <w:szCs w:val="24"/>
        </w:rPr>
        <w:t xml:space="preserve">misma que deberá expedirse dentro del periodo de seis meses posterior al inicio de sus funciones, es decir que los nuevos servidores públicos cuentan con seis meses para certificarse sin embargo,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omitió pronunciarse al respecto.</w:t>
      </w:r>
    </w:p>
    <w:p w14:paraId="7BEF815D" w14:textId="77777777"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que,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careció de los principios de congruencia y exhaustividad, ya que no se pronunció respecto a este punto de la solicitud, </w:t>
      </w:r>
      <w:r>
        <w:rPr>
          <w:rFonts w:ascii="Palatino Linotype" w:eastAsia="Palatino Linotype" w:hAnsi="Palatino Linotype" w:cs="Palatino Linotype"/>
          <w:color w:val="000000"/>
          <w:sz w:val="24"/>
          <w:szCs w:val="24"/>
        </w:rPr>
        <w:t>en términos del criterio 2/2017, emitido por el Instituto Nacional de Transparencia, que señala:</w:t>
      </w:r>
    </w:p>
    <w:p w14:paraId="2E42D036" w14:textId="77777777" w:rsidR="00B36041" w:rsidRDefault="00243587">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Congruencia y exhaustividad.</w:t>
      </w:r>
      <w:r>
        <w:rPr>
          <w:rFonts w:ascii="Palatino Linotype" w:eastAsia="Palatino Linotype" w:hAnsi="Palatino Linotype" w:cs="Palatino Linotype"/>
          <w:i/>
          <w:color w:val="000000"/>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543A722C" w14:textId="77777777" w:rsidR="00B36041" w:rsidRDefault="00243587">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Resoluciones:</w:t>
      </w:r>
    </w:p>
    <w:p w14:paraId="613AD18E" w14:textId="77777777" w:rsidR="00B36041" w:rsidRDefault="00243587">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RRA 0003/16. Comisión Nacional de las Zonas Áridas. 29 de junio de 2016. Por unanimidad. Comisionado Ponente Oscar Mauricio Guerra Ford.</w:t>
      </w:r>
    </w:p>
    <w:p w14:paraId="2886310B" w14:textId="77777777" w:rsidR="00B36041" w:rsidRDefault="00243587">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RRA 0100/16. Sindicato Nacional de Trabajadores de la Educación. 13 de julio de 2016. Por unanimidad. Comisionada Ponente. Areli Cano Guadiana.</w:t>
      </w:r>
    </w:p>
    <w:p w14:paraId="3F144185" w14:textId="77777777" w:rsidR="00B36041" w:rsidRDefault="00243587">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RRA 1419/16. Secretaría de Educación Pública. 14 de septiembre de 2016. Por unanimidad. Comisionado Ponente Rosendoevgueni Monterrey Chepov.” (Sic)</w:t>
      </w:r>
    </w:p>
    <w:p w14:paraId="072272F2" w14:textId="77777777" w:rsidR="00B36041" w:rsidRDefault="00243587">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No obstante, la Directora General de Educación y Cultura de la administración pública 2022-2024, entró en funciones el pasado primero de enero del año dos mil veintidós, conforme acuerdo número 12 del acta de instalación del Ayuntamiento de Naucalpan de Juárez 2022-2024, celebrada el primero de enero del año dos mil veintidós, en donde se aprobaron los nombramientos de los titulares de las áreas de la administración pública municipal y toma de protesta de ley a cargo de la C. Presidenta Municipal, como se observa a continuación:</w:t>
      </w:r>
      <w:r>
        <w:rPr>
          <w:noProof/>
        </w:rPr>
        <mc:AlternateContent>
          <mc:Choice Requires="wpg">
            <w:drawing>
              <wp:anchor distT="0" distB="0" distL="114300" distR="114300" simplePos="0" relativeHeight="251666432" behindDoc="0" locked="0" layoutInCell="1" hidden="0" allowOverlap="1" wp14:anchorId="2EEF4C1F" wp14:editId="2D481C87">
                <wp:simplePos x="0" y="0"/>
                <wp:positionH relativeFrom="column">
                  <wp:posOffset>-25399</wp:posOffset>
                </wp:positionH>
                <wp:positionV relativeFrom="paragraph">
                  <wp:posOffset>2133600</wp:posOffset>
                </wp:positionV>
                <wp:extent cx="5667375" cy="4457700"/>
                <wp:effectExtent l="0" t="0" r="0" b="0"/>
                <wp:wrapNone/>
                <wp:docPr id="128" name="Conector recto de flecha 128"/>
                <wp:cNvGraphicFramePr/>
                <a:graphic xmlns:a="http://schemas.openxmlformats.org/drawingml/2006/main">
                  <a:graphicData uri="http://schemas.microsoft.com/office/word/2010/wordprocessingShape">
                    <wps:wsp>
                      <wps:cNvCnPr/>
                      <wps:spPr>
                        <a:xfrm>
                          <a:off x="2531363" y="1570200"/>
                          <a:ext cx="5629275" cy="4419600"/>
                        </a:xfrm>
                        <a:prstGeom prst="straightConnector1">
                          <a:avLst/>
                        </a:prstGeom>
                        <a:noFill/>
                        <a:ln w="38100"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2133600</wp:posOffset>
                </wp:positionV>
                <wp:extent cx="5667375" cy="4457700"/>
                <wp:effectExtent b="0" l="0" r="0" t="0"/>
                <wp:wrapNone/>
                <wp:docPr id="128" name="image19.png"/>
                <a:graphic>
                  <a:graphicData uri="http://schemas.openxmlformats.org/drawingml/2006/picture">
                    <pic:pic>
                      <pic:nvPicPr>
                        <pic:cNvPr id="0" name="image19.png"/>
                        <pic:cNvPicPr preferRelativeResize="0"/>
                      </pic:nvPicPr>
                      <pic:blipFill>
                        <a:blip r:embed="rId33"/>
                        <a:srcRect/>
                        <a:stretch>
                          <a:fillRect/>
                        </a:stretch>
                      </pic:blipFill>
                      <pic:spPr>
                        <a:xfrm>
                          <a:off x="0" y="0"/>
                          <a:ext cx="5667375" cy="4457700"/>
                        </a:xfrm>
                        <a:prstGeom prst="rect"/>
                        <a:ln/>
                      </pic:spPr>
                    </pic:pic>
                  </a:graphicData>
                </a:graphic>
              </wp:anchor>
            </w:drawing>
          </mc:Fallback>
        </mc:AlternateContent>
      </w:r>
    </w:p>
    <w:p w14:paraId="4FA06968" w14:textId="77777777" w:rsidR="00B36041" w:rsidRDefault="00243587">
      <w:pPr>
        <w:spacing w:line="360" w:lineRule="auto"/>
        <w:jc w:val="center"/>
        <w:rPr>
          <w:sz w:val="24"/>
          <w:szCs w:val="24"/>
        </w:rPr>
      </w:pPr>
      <w:r>
        <w:rPr>
          <w:noProof/>
          <w:color w:val="FF0000"/>
        </w:rPr>
        <w:drawing>
          <wp:inline distT="0" distB="0" distL="0" distR="0" wp14:anchorId="427B23A9" wp14:editId="0913E237">
            <wp:extent cx="5166680" cy="5868328"/>
            <wp:effectExtent l="0" t="0" r="0" b="0"/>
            <wp:docPr id="15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4"/>
                    <a:srcRect l="36829" t="12976" r="21928" b="3741"/>
                    <a:stretch>
                      <a:fillRect/>
                    </a:stretch>
                  </pic:blipFill>
                  <pic:spPr>
                    <a:xfrm>
                      <a:off x="0" y="0"/>
                      <a:ext cx="5166680" cy="5868328"/>
                    </a:xfrm>
                    <a:prstGeom prst="rect">
                      <a:avLst/>
                    </a:prstGeom>
                    <a:ln/>
                  </pic:spPr>
                </pic:pic>
              </a:graphicData>
            </a:graphic>
          </wp:inline>
        </w:drawing>
      </w:r>
      <w:r>
        <w:rPr>
          <w:noProof/>
        </w:rPr>
        <mc:AlternateContent>
          <mc:Choice Requires="wps">
            <w:drawing>
              <wp:anchor distT="0" distB="0" distL="114300" distR="114300" simplePos="0" relativeHeight="251667456" behindDoc="0" locked="0" layoutInCell="1" hidden="0" allowOverlap="1" wp14:anchorId="5ADA06F6" wp14:editId="7949E0EF">
                <wp:simplePos x="0" y="0"/>
                <wp:positionH relativeFrom="column">
                  <wp:posOffset>1371600</wp:posOffset>
                </wp:positionH>
                <wp:positionV relativeFrom="paragraph">
                  <wp:posOffset>2882900</wp:posOffset>
                </wp:positionV>
                <wp:extent cx="3171825" cy="590550"/>
                <wp:effectExtent l="0" t="0" r="0" b="0"/>
                <wp:wrapNone/>
                <wp:docPr id="130" name="Rectángulo 130"/>
                <wp:cNvGraphicFramePr/>
                <a:graphic xmlns:a="http://schemas.openxmlformats.org/drawingml/2006/main">
                  <a:graphicData uri="http://schemas.microsoft.com/office/word/2010/wordprocessingShape">
                    <wps:wsp>
                      <wps:cNvSpPr/>
                      <wps:spPr>
                        <a:xfrm>
                          <a:off x="3779138" y="3503775"/>
                          <a:ext cx="3133725" cy="552450"/>
                        </a:xfrm>
                        <a:prstGeom prst="rect">
                          <a:avLst/>
                        </a:prstGeom>
                        <a:noFill/>
                        <a:ln w="38100" cap="flat" cmpd="sng">
                          <a:solidFill>
                            <a:srgbClr val="FF0000"/>
                          </a:solidFill>
                          <a:prstDash val="solid"/>
                          <a:miter lim="800000"/>
                          <a:headEnd type="none" w="sm" len="sm"/>
                          <a:tailEnd type="none" w="sm" len="sm"/>
                        </a:ln>
                      </wps:spPr>
                      <wps:txbx>
                        <w:txbxContent>
                          <w:p w14:paraId="7C3F7DA4" w14:textId="77777777" w:rsidR="00B36041" w:rsidRDefault="00B3604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ADA06F6" id="Rectángulo 130" o:spid="_x0000_s1031" style="position:absolute;left:0;text-align:left;margin-left:108pt;margin-top:227pt;width:249.75pt;height:4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" filled="f" strokecolor="red" strokeweight="3pt">
                <v:stroke startarrowwidth="narrow" startarrowlength="short" endarrowwidth="narrow" endarrowlength="short"/>
                <v:textbox inset="2.53958mm,2.53958mm,2.53958mm,2.53958mm">
                  <w:txbxContent>
                    <w:p w14:paraId="7C3F7DA4" w14:textId="77777777" w:rsidR="00B36041" w:rsidRDefault="00B36041">
                      <w:pPr>
                        <w:spacing w:after="0" w:line="240" w:lineRule="auto"/>
                        <w:textDirection w:val="btLr"/>
                      </w:pPr>
                    </w:p>
                  </w:txbxContent>
                </v:textbox>
              </v:rect>
            </w:pict>
          </mc:Fallback>
        </mc:AlternateContent>
      </w:r>
    </w:p>
    <w:p w14:paraId="57F89D29" w14:textId="77777777" w:rsidR="00B36041" w:rsidRDefault="00243587">
      <w:pPr>
        <w:spacing w:line="360" w:lineRule="auto"/>
        <w:jc w:val="both"/>
        <w:rPr>
          <w:rFonts w:ascii="Palatino Linotype" w:eastAsia="Palatino Linotype" w:hAnsi="Palatino Linotype" w:cs="Palatino Linotype"/>
        </w:rPr>
      </w:pPr>
      <w:r>
        <w:rPr>
          <w:noProof/>
        </w:rPr>
        <w:drawing>
          <wp:inline distT="0" distB="0" distL="0" distR="0" wp14:anchorId="22471B4D" wp14:editId="1CEF10CC">
            <wp:extent cx="5487969" cy="3658646"/>
            <wp:effectExtent l="0" t="0" r="0" b="0"/>
            <wp:docPr id="13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5"/>
                    <a:srcRect l="37169" t="24140" r="26171" b="32408"/>
                    <a:stretch>
                      <a:fillRect/>
                    </a:stretch>
                  </pic:blipFill>
                  <pic:spPr>
                    <a:xfrm>
                      <a:off x="0" y="0"/>
                      <a:ext cx="5487969" cy="3658646"/>
                    </a:xfrm>
                    <a:prstGeom prst="rect">
                      <a:avLst/>
                    </a:prstGeom>
                    <a:ln/>
                  </pic:spPr>
                </pic:pic>
              </a:graphicData>
            </a:graphic>
          </wp:inline>
        </w:drawing>
      </w:r>
      <w:r>
        <w:rPr>
          <w:noProof/>
        </w:rPr>
        <mc:AlternateContent>
          <mc:Choice Requires="wps">
            <w:drawing>
              <wp:anchor distT="0" distB="0" distL="114300" distR="114300" simplePos="0" relativeHeight="251668480" behindDoc="0" locked="0" layoutInCell="1" hidden="0" allowOverlap="1" wp14:anchorId="1A6421F3" wp14:editId="0E7737D4">
                <wp:simplePos x="0" y="0"/>
                <wp:positionH relativeFrom="column">
                  <wp:posOffset>825500</wp:posOffset>
                </wp:positionH>
                <wp:positionV relativeFrom="paragraph">
                  <wp:posOffset>927100</wp:posOffset>
                </wp:positionV>
                <wp:extent cx="4562475" cy="523875"/>
                <wp:effectExtent l="0" t="0" r="0" b="0"/>
                <wp:wrapNone/>
                <wp:docPr id="125" name="Rectángulo 125"/>
                <wp:cNvGraphicFramePr/>
                <a:graphic xmlns:a="http://schemas.openxmlformats.org/drawingml/2006/main">
                  <a:graphicData uri="http://schemas.microsoft.com/office/word/2010/wordprocessingShape">
                    <wps:wsp>
                      <wps:cNvSpPr/>
                      <wps:spPr>
                        <a:xfrm>
                          <a:off x="3083813" y="3537113"/>
                          <a:ext cx="4524375" cy="485775"/>
                        </a:xfrm>
                        <a:prstGeom prst="rect">
                          <a:avLst/>
                        </a:prstGeom>
                        <a:noFill/>
                        <a:ln w="38100" cap="flat" cmpd="sng">
                          <a:solidFill>
                            <a:srgbClr val="FF0000"/>
                          </a:solidFill>
                          <a:prstDash val="solid"/>
                          <a:miter lim="800000"/>
                          <a:headEnd type="none" w="sm" len="sm"/>
                          <a:tailEnd type="none" w="sm" len="sm"/>
                        </a:ln>
                      </wps:spPr>
                      <wps:txbx>
                        <w:txbxContent>
                          <w:p w14:paraId="3B2FDD21" w14:textId="77777777" w:rsidR="00B36041" w:rsidRDefault="00B3604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A6421F3" id="Rectángulo 125" o:spid="_x0000_s1032" style="position:absolute;left:0;text-align:left;margin-left:65pt;margin-top:73pt;width:359.25pt;height:41.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" filled="f" strokecolor="red" strokeweight="3pt">
                <v:stroke startarrowwidth="narrow" startarrowlength="short" endarrowwidth="narrow" endarrowlength="short"/>
                <v:textbox inset="2.53958mm,2.53958mm,2.53958mm,2.53958mm">
                  <w:txbxContent>
                    <w:p w14:paraId="3B2FDD21" w14:textId="77777777" w:rsidR="00B36041" w:rsidRDefault="00B36041">
                      <w:pPr>
                        <w:spacing w:after="0" w:line="240" w:lineRule="auto"/>
                        <w:textDirection w:val="btLr"/>
                      </w:pPr>
                    </w:p>
                  </w:txbxContent>
                </v:textbox>
              </v:rect>
            </w:pict>
          </mc:Fallback>
        </mc:AlternateContent>
      </w:r>
    </w:p>
    <w:p w14:paraId="77B21AB0" w14:textId="77777777" w:rsidR="00B36041" w:rsidRDefault="00243587">
      <w:pPr>
        <w:spacing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Por lo que se considera procedente ordenar la entrega de la certificación con el que cuenta al momento de la presentación de la solicitud, es decir, al trece de enero del año dos mil veintidós, no obstante para el caso, de acuerdo al estudio expuesto, no cuente con las certificación bastará con que así se lo haga del conocimiento al recurrente de manera fundada y motivada, para tener por satisfecho este punto de la solicitud de información. </w:t>
      </w:r>
    </w:p>
    <w:p w14:paraId="06B6C841" w14:textId="77777777" w:rsidR="00B36041" w:rsidRDefault="00243587">
      <w:pPr>
        <w:widowControl w:val="0"/>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Ahora bien referente al punto en donde la particular </w:t>
      </w:r>
      <w:r>
        <w:rPr>
          <w:rFonts w:ascii="Palatino Linotype" w:eastAsia="Palatino Linotype" w:hAnsi="Palatino Linotype" w:cs="Palatino Linotype"/>
          <w:sz w:val="24"/>
          <w:szCs w:val="24"/>
        </w:rPr>
        <w:t>solicitó</w:t>
      </w:r>
      <w:r>
        <w:rPr>
          <w:rFonts w:ascii="Palatino Linotype" w:eastAsia="Palatino Linotype" w:hAnsi="Palatino Linotype" w:cs="Palatino Linotype"/>
          <w:color w:val="000000"/>
          <w:sz w:val="24"/>
          <w:szCs w:val="24"/>
        </w:rPr>
        <w:t xml:space="preserve"> el documento que acredite el nombramiento de la Directora General de Educación y Cultura,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se limitó, a responder que la Ley Orgánica Municipal del Estado de México, en su artículo 87, no establece la obligación de cubrir los requisitos señalados en su artículo 32, siendo esto una respuesta que adolece el Derecho de Acceso a la Información Pública de la particular.</w:t>
      </w:r>
    </w:p>
    <w:p w14:paraId="2D2D11E6" w14:textId="77777777" w:rsidR="00B36041" w:rsidRDefault="00B36041">
      <w:pPr>
        <w:widowControl w:val="0"/>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35146572" w14:textId="77777777" w:rsidR="00B36041" w:rsidRDefault="00243587">
      <w:pPr>
        <w:widowControl w:val="0"/>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lo que resulta importante traer a contexto la Ley del Trabajo de los Servidores Públicos del Estado y Municipios, la cual dispone:</w:t>
      </w:r>
    </w:p>
    <w:p w14:paraId="6A84856D" w14:textId="77777777" w:rsidR="00B36041" w:rsidRDefault="00B36041">
      <w:pPr>
        <w:widowControl w:val="0"/>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78FF9D95" w14:textId="77777777" w:rsidR="00B36041" w:rsidRDefault="00243587">
      <w:pPr>
        <w:ind w:left="851" w:right="901"/>
        <w:jc w:val="both"/>
        <w:rPr>
          <w:rFonts w:ascii="Palatino Linotype" w:eastAsia="Palatino Linotype" w:hAnsi="Palatino Linotype" w:cs="Palatino Linotype"/>
          <w:b/>
          <w:i/>
        </w:rPr>
      </w:pPr>
      <w:r>
        <w:rPr>
          <w:rFonts w:ascii="Palatino Linotype" w:eastAsia="Palatino Linotype" w:hAnsi="Palatino Linotype" w:cs="Palatino Linotype"/>
          <w:b/>
          <w:i/>
        </w:rPr>
        <w:t>ARTÍCULO 5.-</w:t>
      </w:r>
      <w:r>
        <w:rPr>
          <w:rFonts w:ascii="Palatino Linotype" w:eastAsia="Palatino Linotype" w:hAnsi="Palatino Linotype" w:cs="Palatino Linotype"/>
          <w:i/>
        </w:rPr>
        <w:t xml:space="preserve"> La </w:t>
      </w:r>
      <w:r>
        <w:rPr>
          <w:rFonts w:ascii="Palatino Linotype" w:eastAsia="Palatino Linotype" w:hAnsi="Palatino Linotype" w:cs="Palatino Linotype"/>
          <w:b/>
          <w:i/>
        </w:rPr>
        <w:t xml:space="preserve">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14:paraId="014D480E" w14:textId="77777777" w:rsidR="00B36041" w:rsidRDefault="00243587">
      <w:pPr>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Para los efectos de esta ley, las instituciones públicas estarán representadas por sus titulares.</w:t>
      </w:r>
    </w:p>
    <w:p w14:paraId="0CD1FC5C" w14:textId="77777777" w:rsidR="00B36041" w:rsidRDefault="00B36041">
      <w:pPr>
        <w:ind w:left="851" w:right="901"/>
        <w:jc w:val="both"/>
        <w:rPr>
          <w:rFonts w:ascii="Palatino Linotype" w:eastAsia="Palatino Linotype" w:hAnsi="Palatino Linotype" w:cs="Palatino Linotype"/>
          <w:i/>
        </w:rPr>
      </w:pPr>
    </w:p>
    <w:p w14:paraId="6ECAFC88" w14:textId="77777777" w:rsidR="00B36041" w:rsidRDefault="00243587">
      <w:pPr>
        <w:ind w:left="851" w:right="901"/>
        <w:jc w:val="both"/>
        <w:rPr>
          <w:rFonts w:ascii="Palatino Linotype" w:eastAsia="Palatino Linotype" w:hAnsi="Palatino Linotype" w:cs="Palatino Linotype"/>
          <w:i/>
        </w:rPr>
      </w:pPr>
      <w:r>
        <w:rPr>
          <w:rFonts w:ascii="Palatino Linotype" w:eastAsia="Palatino Linotype" w:hAnsi="Palatino Linotype" w:cs="Palatino Linotype"/>
          <w:b/>
          <w:i/>
        </w:rPr>
        <w:t>ARTÍCULO 45.-</w:t>
      </w:r>
      <w:r>
        <w:rPr>
          <w:rFonts w:ascii="Palatino Linotype" w:eastAsia="Palatino Linotype" w:hAnsi="Palatino Linotype" w:cs="Palatino Linotype"/>
          <w:i/>
        </w:rPr>
        <w:t xml:space="preserve">Los servidores públicos prestarán sus servicios </w:t>
      </w:r>
      <w:r>
        <w:rPr>
          <w:rFonts w:ascii="Palatino Linotype" w:eastAsia="Palatino Linotype" w:hAnsi="Palatino Linotype" w:cs="Palatino Linotype"/>
          <w:b/>
          <w:i/>
        </w:rPr>
        <w:t>mediante nombramiento, contrato o formato único de Movimientos de Personal</w:t>
      </w:r>
      <w:r>
        <w:rPr>
          <w:rFonts w:ascii="Palatino Linotype" w:eastAsia="Palatino Linotype" w:hAnsi="Palatino Linotype" w:cs="Palatino Linotype"/>
          <w:i/>
        </w:rPr>
        <w:t xml:space="preserve"> expedidos por quien estuviere facultado legalmente para extenderlo.</w:t>
      </w:r>
    </w:p>
    <w:p w14:paraId="7C46F210" w14:textId="77777777" w:rsidR="00B36041" w:rsidRDefault="00243587">
      <w:pPr>
        <w:ind w:left="851" w:right="90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47. </w:t>
      </w:r>
      <w:r>
        <w:rPr>
          <w:rFonts w:ascii="Palatino Linotype" w:eastAsia="Palatino Linotype" w:hAnsi="Palatino Linotype" w:cs="Palatino Linotype"/>
          <w:i/>
        </w:rPr>
        <w:t>Para ingresar al servicio público se requiere:</w:t>
      </w:r>
    </w:p>
    <w:p w14:paraId="48C153C3" w14:textId="77777777" w:rsidR="00B36041" w:rsidRDefault="00243587">
      <w:pPr>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p>
    <w:p w14:paraId="3BB734BC" w14:textId="77777777" w:rsidR="00B36041" w:rsidRDefault="00243587">
      <w:pPr>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VIII. Cumplir con los requisitos que se establezcan para los diferentes puestos;</w:t>
      </w:r>
    </w:p>
    <w:p w14:paraId="7E6EE26A" w14:textId="77777777" w:rsidR="00B36041" w:rsidRDefault="00B36041">
      <w:pPr>
        <w:ind w:left="851" w:right="901"/>
        <w:jc w:val="both"/>
        <w:rPr>
          <w:rFonts w:ascii="Palatino Linotype" w:eastAsia="Palatino Linotype" w:hAnsi="Palatino Linotype" w:cs="Palatino Linotype"/>
          <w:i/>
        </w:rPr>
      </w:pPr>
    </w:p>
    <w:p w14:paraId="7EF0FFB4" w14:textId="77777777" w:rsidR="00B36041" w:rsidRDefault="00243587">
      <w:pPr>
        <w:ind w:left="851" w:right="90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48. </w:t>
      </w:r>
      <w:r>
        <w:rPr>
          <w:rFonts w:ascii="Palatino Linotype" w:eastAsia="Palatino Linotype" w:hAnsi="Palatino Linotype" w:cs="Palatino Linotype"/>
          <w:i/>
        </w:rPr>
        <w:t xml:space="preserve">Para </w:t>
      </w:r>
      <w:r>
        <w:rPr>
          <w:rFonts w:ascii="Palatino Linotype" w:eastAsia="Palatino Linotype" w:hAnsi="Palatino Linotype" w:cs="Palatino Linotype"/>
          <w:b/>
          <w:i/>
        </w:rPr>
        <w:t>iniciar la prestación de los servicios</w:t>
      </w:r>
      <w:r>
        <w:rPr>
          <w:rFonts w:ascii="Palatino Linotype" w:eastAsia="Palatino Linotype" w:hAnsi="Palatino Linotype" w:cs="Palatino Linotype"/>
          <w:i/>
        </w:rPr>
        <w:t xml:space="preserve"> se requiere: </w:t>
      </w:r>
    </w:p>
    <w:p w14:paraId="7E8E9EB0" w14:textId="77777777" w:rsidR="00B36041" w:rsidRDefault="00243587">
      <w:pPr>
        <w:ind w:left="851" w:right="901"/>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Tener conferido el nombramiento, contrato respectivo o formato único de Movimientos de Personal; </w:t>
      </w:r>
    </w:p>
    <w:p w14:paraId="406AC158" w14:textId="77777777" w:rsidR="00B36041" w:rsidRDefault="00243587">
      <w:pPr>
        <w:ind w:left="851" w:right="901"/>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Rendir la protesta de ley en caso de nombramiento; y</w:t>
      </w:r>
    </w:p>
    <w:p w14:paraId="5A882D1A" w14:textId="77777777" w:rsidR="00B36041" w:rsidRDefault="00243587">
      <w:pPr>
        <w:ind w:left="851" w:right="901"/>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Tomar posesión del cargo.</w:t>
      </w:r>
    </w:p>
    <w:p w14:paraId="35371A02" w14:textId="77777777" w:rsidR="00B36041" w:rsidRDefault="00243587">
      <w:pPr>
        <w:spacing w:line="360" w:lineRule="auto"/>
        <w:ind w:right="49"/>
        <w:jc w:val="both"/>
        <w:rPr>
          <w:rFonts w:ascii="Palatino Linotype" w:eastAsia="Palatino Linotype" w:hAnsi="Palatino Linotype" w:cs="Palatino Linotype"/>
          <w:color w:val="FF0000"/>
          <w:sz w:val="24"/>
          <w:szCs w:val="24"/>
        </w:rPr>
      </w:pPr>
      <w:r>
        <w:rPr>
          <w:rFonts w:ascii="Palatino Linotype" w:eastAsia="Palatino Linotype" w:hAnsi="Palatino Linotype" w:cs="Palatino Linotype"/>
          <w:sz w:val="24"/>
          <w:szCs w:val="24"/>
        </w:rPr>
        <w:t>De lo anterior, se desprende que, la relación de trabajo entre las instituciones públicas y sus servidores públicos, se establece ya sea por nombramiento, contrato o formato único de Movimientos de Personal o por cualquier otro acto que tenga como consecuencia la prestación personal subordinada del servicio y la percepción de un sueldo;</w:t>
      </w: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sz w:val="24"/>
          <w:szCs w:val="24"/>
        </w:rPr>
        <w:t>razones por las cuales lo procedente es ordenar el nombramiento, contrato o formato único de Movimientos de Personal</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sz w:val="24"/>
          <w:szCs w:val="24"/>
        </w:rPr>
        <w:t xml:space="preserve">y de ser procedente en versión pública conforme al considerando quinto del presente fallo. </w:t>
      </w:r>
    </w:p>
    <w:p w14:paraId="1DED9738" w14:textId="77777777" w:rsidR="00B36041" w:rsidRDefault="00243587">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QUINTO. VERSIÓN PÚBLICA.</w:t>
      </w:r>
      <w:r>
        <w:rPr>
          <w:rFonts w:ascii="Palatino Linotype" w:eastAsia="Palatino Linotype" w:hAnsi="Palatino Linotype" w:cs="Palatino Linotype"/>
          <w:b/>
        </w:rPr>
        <w:t xml:space="preserve"> </w:t>
      </w:r>
      <w:r>
        <w:rPr>
          <w:rFonts w:ascii="Palatino Linotype" w:eastAsia="Palatino Linotype" w:hAnsi="Palatino Linotype" w:cs="Palatino Linotype"/>
          <w:sz w:val="24"/>
          <w:szCs w:val="24"/>
        </w:rPr>
        <w:t>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3ECF06AD" w14:textId="77777777" w:rsidR="00B36041" w:rsidRDefault="00243587">
      <w:pPr>
        <w:spacing w:after="240" w:line="360" w:lineRule="auto"/>
        <w:ind w:right="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 anterior, de conformidad a lo que señalan los artículos 3, fracciones IX, XX, XXXII, XLV; 6, 137 y 143 fracción I, de la Ley de Transparencia y Acceso a la Información Pública del Estado de México y Municipios vigente, que se leen como sigue:</w:t>
      </w:r>
    </w:p>
    <w:p w14:paraId="273FF1B1" w14:textId="77777777" w:rsidR="00B36041" w:rsidRDefault="00243587">
      <w:pPr>
        <w:ind w:left="993" w:right="1041"/>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 “Artículo 3. Para los efectos de la presente Ley se entenderá por:</w:t>
      </w:r>
    </w:p>
    <w:p w14:paraId="5B27DAC8" w14:textId="77777777" w:rsidR="00B36041" w:rsidRDefault="00243587">
      <w:pPr>
        <w:ind w:left="993" w:right="1041"/>
        <w:jc w:val="both"/>
        <w:rPr>
          <w:rFonts w:ascii="Palatino Linotype" w:eastAsia="Palatino Linotype" w:hAnsi="Palatino Linotype" w:cs="Palatino Linotype"/>
          <w:i/>
        </w:rPr>
      </w:pPr>
      <w:r>
        <w:rPr>
          <w:rFonts w:ascii="Palatino Linotype" w:eastAsia="Palatino Linotype" w:hAnsi="Palatino Linotype" w:cs="Palatino Linotype"/>
          <w:b/>
          <w:i/>
        </w:rPr>
        <w:t>IX. Datos personales:</w:t>
      </w:r>
      <w:r>
        <w:rPr>
          <w:rFonts w:ascii="Palatino Linotype" w:eastAsia="Palatino Linotype" w:hAnsi="Palatino Linotype" w:cs="Palatino Linotype"/>
          <w:i/>
        </w:rPr>
        <w:t xml:space="preserve"> </w:t>
      </w:r>
      <w:r>
        <w:rPr>
          <w:rFonts w:ascii="Palatino Linotype" w:eastAsia="Palatino Linotype" w:hAnsi="Palatino Linotype" w:cs="Palatino Linotype"/>
          <w:b/>
          <w:i/>
        </w:rPr>
        <w:t>La información concerniente a una persona, identificada o identificable</w:t>
      </w:r>
      <w:r>
        <w:rPr>
          <w:rFonts w:ascii="Palatino Linotype" w:eastAsia="Palatino Linotype" w:hAnsi="Palatino Linotype" w:cs="Palatino Linotype"/>
          <w:i/>
        </w:rPr>
        <w:t xml:space="preserve"> según lo dispuesto por la Ley de Protección de Datos Personales del Estado de México;</w:t>
      </w:r>
    </w:p>
    <w:p w14:paraId="23010F70" w14:textId="77777777" w:rsidR="00B36041" w:rsidRDefault="00243587">
      <w:pPr>
        <w:ind w:left="993" w:right="1041"/>
        <w:jc w:val="both"/>
        <w:rPr>
          <w:rFonts w:ascii="Palatino Linotype" w:eastAsia="Palatino Linotype" w:hAnsi="Palatino Linotype" w:cs="Palatino Linotype"/>
          <w:i/>
        </w:rPr>
      </w:pPr>
      <w:r>
        <w:rPr>
          <w:rFonts w:ascii="Palatino Linotype" w:eastAsia="Palatino Linotype" w:hAnsi="Palatino Linotype" w:cs="Palatino Linotype"/>
          <w:b/>
          <w:i/>
        </w:rPr>
        <w:t>XX. Información clasificada:</w:t>
      </w:r>
      <w:r>
        <w:rPr>
          <w:rFonts w:ascii="Palatino Linotype" w:eastAsia="Palatino Linotype" w:hAnsi="Palatino Linotype" w:cs="Palatino Linotype"/>
          <w:i/>
        </w:rPr>
        <w:t xml:space="preserve"> Aquella considerada por la presente Ley como reservada o confidencial;</w:t>
      </w:r>
    </w:p>
    <w:p w14:paraId="7AB9FAEC" w14:textId="77777777" w:rsidR="00B36041" w:rsidRDefault="00243587">
      <w:pPr>
        <w:ind w:left="993" w:right="1041"/>
        <w:jc w:val="both"/>
        <w:rPr>
          <w:rFonts w:ascii="Palatino Linotype" w:eastAsia="Palatino Linotype" w:hAnsi="Palatino Linotype" w:cs="Palatino Linotype"/>
          <w:i/>
        </w:rPr>
      </w:pPr>
      <w:r>
        <w:rPr>
          <w:rFonts w:ascii="Palatino Linotype" w:eastAsia="Palatino Linotype" w:hAnsi="Palatino Linotype" w:cs="Palatino Linotype"/>
          <w:b/>
          <w:i/>
        </w:rPr>
        <w:t>XXXII. Protección de Datos Personales:</w:t>
      </w:r>
      <w:r>
        <w:rPr>
          <w:rFonts w:ascii="Palatino Linotype" w:eastAsia="Palatino Linotype" w:hAnsi="Palatino Linotype" w:cs="Palatino Linotype"/>
          <w:i/>
        </w:rPr>
        <w:t xml:space="preserve"> Derecho humano que tutela la privacidad de datos personales en poder de los sujetos obligados y sujetos particulares;</w:t>
      </w:r>
    </w:p>
    <w:p w14:paraId="4BDC3BA0" w14:textId="77777777" w:rsidR="00B36041" w:rsidRDefault="00243587">
      <w:pPr>
        <w:ind w:left="993" w:right="1041"/>
        <w:jc w:val="both"/>
        <w:rPr>
          <w:rFonts w:ascii="Palatino Linotype" w:eastAsia="Palatino Linotype" w:hAnsi="Palatino Linotype" w:cs="Palatino Linotype"/>
          <w:i/>
        </w:rPr>
      </w:pPr>
      <w:r>
        <w:rPr>
          <w:rFonts w:ascii="Palatino Linotype" w:eastAsia="Palatino Linotype" w:hAnsi="Palatino Linotype" w:cs="Palatino Linotype"/>
          <w:b/>
          <w:i/>
        </w:rPr>
        <w:t>XLV. Versión pública</w:t>
      </w:r>
      <w:r>
        <w:rPr>
          <w:rFonts w:ascii="Palatino Linotype" w:eastAsia="Palatino Linotype" w:hAnsi="Palatino Linotype" w:cs="Palatino Linotype"/>
          <w:i/>
        </w:rPr>
        <w:t>: Documento en el que se elimine, suprime o borra la información clasificada como reservada o confidencial para permitir su acceso.”</w:t>
      </w:r>
    </w:p>
    <w:p w14:paraId="5AE847C2" w14:textId="77777777" w:rsidR="00B36041" w:rsidRDefault="00B36041">
      <w:pPr>
        <w:ind w:left="993" w:right="1041"/>
        <w:jc w:val="both"/>
        <w:rPr>
          <w:rFonts w:ascii="Palatino Linotype" w:eastAsia="Palatino Linotype" w:hAnsi="Palatino Linotype" w:cs="Palatino Linotype"/>
          <w:i/>
        </w:rPr>
      </w:pPr>
    </w:p>
    <w:p w14:paraId="1C15C721" w14:textId="77777777" w:rsidR="00B36041" w:rsidRDefault="00243587">
      <w:pPr>
        <w:ind w:left="993" w:right="1041"/>
        <w:jc w:val="both"/>
        <w:rPr>
          <w:rFonts w:ascii="Palatino Linotype" w:eastAsia="Palatino Linotype" w:hAnsi="Palatino Linotype" w:cs="Palatino Linotype"/>
          <w:i/>
        </w:rPr>
      </w:pPr>
      <w:r>
        <w:rPr>
          <w:rFonts w:ascii="Palatino Linotype" w:eastAsia="Palatino Linotype" w:hAnsi="Palatino Linotype" w:cs="Palatino Linotype"/>
          <w:b/>
          <w:i/>
        </w:rPr>
        <w:t>“Artículo 6.</w:t>
      </w:r>
      <w:r>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A84F4D0" w14:textId="77777777" w:rsidR="00B36041" w:rsidRDefault="00B36041">
      <w:pPr>
        <w:ind w:left="993" w:right="1041"/>
        <w:jc w:val="both"/>
        <w:rPr>
          <w:rFonts w:ascii="Palatino Linotype" w:eastAsia="Palatino Linotype" w:hAnsi="Palatino Linotype" w:cs="Palatino Linotype"/>
          <w:i/>
        </w:rPr>
      </w:pPr>
    </w:p>
    <w:p w14:paraId="29B08F67" w14:textId="77777777" w:rsidR="00B36041" w:rsidRDefault="00243587">
      <w:pPr>
        <w:ind w:left="993" w:right="1041"/>
        <w:jc w:val="both"/>
        <w:rPr>
          <w:rFonts w:ascii="Palatino Linotype" w:eastAsia="Palatino Linotype" w:hAnsi="Palatino Linotype" w:cs="Palatino Linotype"/>
          <w:b/>
          <w:i/>
        </w:rPr>
      </w:pPr>
      <w:r>
        <w:rPr>
          <w:rFonts w:ascii="Palatino Linotype" w:eastAsia="Palatino Linotype" w:hAnsi="Palatino Linotype" w:cs="Palatino Linotype"/>
          <w:b/>
          <w:i/>
        </w:rPr>
        <w:t>“Artículo 137.</w:t>
      </w:r>
      <w:r>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57A32F7" w14:textId="77777777" w:rsidR="00B36041" w:rsidRDefault="00B36041">
      <w:pPr>
        <w:ind w:left="993" w:right="1041"/>
        <w:jc w:val="both"/>
        <w:rPr>
          <w:rFonts w:ascii="Palatino Linotype" w:eastAsia="Palatino Linotype" w:hAnsi="Palatino Linotype" w:cs="Palatino Linotype"/>
          <w:b/>
          <w:i/>
        </w:rPr>
      </w:pPr>
    </w:p>
    <w:p w14:paraId="6C0211AF" w14:textId="77777777" w:rsidR="00B36041" w:rsidRDefault="00243587">
      <w:pPr>
        <w:ind w:left="993" w:right="1041"/>
        <w:jc w:val="both"/>
        <w:rPr>
          <w:rFonts w:ascii="Palatino Linotype" w:eastAsia="Palatino Linotype" w:hAnsi="Palatino Linotype" w:cs="Palatino Linotype"/>
          <w:i/>
        </w:rPr>
      </w:pPr>
      <w:r>
        <w:rPr>
          <w:rFonts w:ascii="Palatino Linotype" w:eastAsia="Palatino Linotype" w:hAnsi="Palatino Linotype" w:cs="Palatino Linotype"/>
          <w:b/>
          <w:i/>
        </w:rPr>
        <w:t>“Artículo 143</w:t>
      </w:r>
      <w:r>
        <w:rPr>
          <w:rFonts w:ascii="Palatino Linotype" w:eastAsia="Palatino Linotype" w:hAnsi="Palatino Linotype" w:cs="Palatino Linotype"/>
          <w:i/>
        </w:rPr>
        <w:t>. Para los efectos de esta Ley se considera información confidencial, la clasificada como tal, de manera permanente, por su naturaleza, cuando:</w:t>
      </w:r>
    </w:p>
    <w:p w14:paraId="266D4C67" w14:textId="77777777" w:rsidR="00B36041" w:rsidRDefault="00243587">
      <w:pPr>
        <w:ind w:left="993" w:right="1041"/>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14:paraId="4A18DF90" w14:textId="77777777" w:rsidR="00B36041" w:rsidRDefault="00243587">
      <w:pPr>
        <w:ind w:left="993" w:right="1041"/>
        <w:jc w:val="both"/>
        <w:rPr>
          <w:rFonts w:ascii="Palatino Linotype" w:eastAsia="Palatino Linotype" w:hAnsi="Palatino Linotype" w:cs="Palatino Linotype"/>
          <w:i/>
        </w:rPr>
      </w:pPr>
      <w:r>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14:paraId="3745707A" w14:textId="77777777" w:rsidR="00B36041" w:rsidRDefault="00243587">
      <w:pPr>
        <w:ind w:left="993" w:right="1041"/>
        <w:jc w:val="both"/>
        <w:rPr>
          <w:rFonts w:ascii="Palatino Linotype" w:eastAsia="Palatino Linotype" w:hAnsi="Palatino Linotype" w:cs="Palatino Linotype"/>
          <w:i/>
        </w:rPr>
      </w:pPr>
      <w:r>
        <w:rPr>
          <w:rFonts w:ascii="Palatino Linotype" w:eastAsia="Palatino Linotype" w:hAnsi="Palatino Linotype" w:cs="Palatino Linotype"/>
          <w:i/>
        </w:rPr>
        <w:t>III. La que presenten los particulares a los sujetos obligados, de conformidad con lo dispuesto por las leyes o los tratados internacionales.” (Sic)</w:t>
      </w:r>
    </w:p>
    <w:p w14:paraId="7DF8D800" w14:textId="77777777" w:rsidR="00B36041" w:rsidRDefault="00B36041">
      <w:pPr>
        <w:ind w:left="993" w:right="1041"/>
        <w:jc w:val="both"/>
        <w:rPr>
          <w:rFonts w:ascii="Palatino Linotype" w:eastAsia="Palatino Linotype" w:hAnsi="Palatino Linotype" w:cs="Palatino Linotype"/>
          <w:i/>
        </w:rPr>
      </w:pPr>
    </w:p>
    <w:p w14:paraId="4E83767A" w14:textId="77777777" w:rsidR="00B36041" w:rsidRDefault="00243587">
      <w:pPr>
        <w:spacing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deberá proceder a testar los datos personales que se encuentren contenidos en los documentos a entregar por parte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para satisfacer el derecho de acceso a la información pública de la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2465178A" w14:textId="77777777" w:rsidR="00B36041" w:rsidRDefault="00243587">
      <w:pPr>
        <w:spacing w:line="360" w:lineRule="auto"/>
        <w:ind w:right="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544CE37" w14:textId="77777777" w:rsidR="00B36041" w:rsidRDefault="00243587">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Entre la información solicitada se encuentra los documentos que acrediten el grado de estudios, como por ejemplo el título profesional, del cual se aprecian diversos datos personales, como lo son la fotografía y la firma autógrafa, los cuales, por corresponder a servidores públicos, el régimen de protección es menor, derivado de que laboran en una dependencia pública, reciben recursos públicos y realizan actos de autoridad.</w:t>
      </w:r>
    </w:p>
    <w:p w14:paraId="4BA7FFF4" w14:textId="77777777" w:rsidR="00B36041" w:rsidRDefault="00243587">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lo que corresponde a la fotografía en el título profesional, es necesario traer a contexto el criterio 15/17 del Instituto Nacional de Acceso a la Información y Protección de Datos Personales que establece lo siguiente:</w:t>
      </w:r>
    </w:p>
    <w:p w14:paraId="071303AB" w14:textId="77777777" w:rsidR="00B36041" w:rsidRDefault="00243587">
      <w:pPr>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“Fotografía en título o cédula profesional es de acceso público.</w:t>
      </w:r>
      <w:r>
        <w:rPr>
          <w:rFonts w:ascii="Palatino Linotype" w:eastAsia="Palatino Linotype" w:hAnsi="Palatino Linotype" w:cs="Palatino Linotype"/>
          <w:i/>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14:paraId="7F806A4B" w14:textId="77777777" w:rsidR="00B36041" w:rsidRDefault="00243587">
      <w:pPr>
        <w:tabs>
          <w:tab w:val="left" w:pos="2670"/>
        </w:tabs>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Resoluciones:</w:t>
      </w:r>
    </w:p>
    <w:p w14:paraId="7C7AC1C5" w14:textId="77777777" w:rsidR="00B36041" w:rsidRDefault="00243587">
      <w:pPr>
        <w:numPr>
          <w:ilvl w:val="0"/>
          <w:numId w:val="3"/>
        </w:numPr>
        <w:pBdr>
          <w:top w:val="nil"/>
          <w:left w:val="nil"/>
          <w:bottom w:val="nil"/>
          <w:right w:val="nil"/>
          <w:between w:val="nil"/>
        </w:pBdr>
        <w:spacing w:after="0" w:line="240" w:lineRule="auto"/>
        <w:ind w:left="567" w:right="567" w:firstLine="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RRA 3777/16.</w:t>
      </w:r>
      <w:r>
        <w:rPr>
          <w:rFonts w:ascii="Palatino Linotype" w:eastAsia="Palatino Linotype" w:hAnsi="Palatino Linotype" w:cs="Palatino Linotype"/>
          <w:i/>
          <w:color w:val="000000"/>
        </w:rPr>
        <w:t xml:space="preserve"> Secretaría de Comunicaciones y Transportes. 07 de diciembre de 2016. Por unanimidad. Comisionada Ponente María Patricia Kurczyn Villalobos.</w:t>
      </w:r>
    </w:p>
    <w:p w14:paraId="0C688C98" w14:textId="77777777" w:rsidR="00B36041" w:rsidRDefault="00243587">
      <w:pPr>
        <w:numPr>
          <w:ilvl w:val="0"/>
          <w:numId w:val="3"/>
        </w:numPr>
        <w:pBdr>
          <w:top w:val="nil"/>
          <w:left w:val="nil"/>
          <w:bottom w:val="nil"/>
          <w:right w:val="nil"/>
          <w:between w:val="nil"/>
        </w:pBdr>
        <w:spacing w:after="0" w:line="240" w:lineRule="auto"/>
        <w:ind w:left="567" w:right="567" w:firstLine="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RRA 0047/17 y acumulado.</w:t>
      </w:r>
      <w:r>
        <w:rPr>
          <w:rFonts w:ascii="Palatino Linotype" w:eastAsia="Palatino Linotype" w:hAnsi="Palatino Linotype" w:cs="Palatino Linotype"/>
          <w:i/>
          <w:color w:val="000000"/>
        </w:rPr>
        <w:t xml:space="preserve"> Instituto Federal de Telecomunicaciones. 01 de marzo del 2017. Por unanimidad. Comisionado Ponente Rosendoevgueni Monterrey Chepov.</w:t>
      </w:r>
    </w:p>
    <w:p w14:paraId="21E65799" w14:textId="77777777" w:rsidR="00B36041" w:rsidRDefault="00243587">
      <w:pPr>
        <w:numPr>
          <w:ilvl w:val="0"/>
          <w:numId w:val="3"/>
        </w:numPr>
        <w:pBdr>
          <w:top w:val="nil"/>
          <w:left w:val="nil"/>
          <w:bottom w:val="nil"/>
          <w:right w:val="nil"/>
          <w:between w:val="nil"/>
        </w:pBdr>
        <w:spacing w:after="0" w:line="240" w:lineRule="auto"/>
        <w:ind w:left="567" w:right="567" w:firstLine="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RRA 1189/17.</w:t>
      </w:r>
      <w:r>
        <w:rPr>
          <w:rFonts w:ascii="Palatino Linotype" w:eastAsia="Palatino Linotype" w:hAnsi="Palatino Linotype" w:cs="Palatino Linotype"/>
          <w:i/>
          <w:color w:val="000000"/>
        </w:rPr>
        <w:t xml:space="preserve"> Servicio de Información Agroalimentaria y Pesquera. 03 de mayo de 2017. Por mayoría, con voto disidente del Comisionado Joel Salas Suárez. Comisionada Ponente Ximena Puente de la Mora.</w:t>
      </w:r>
    </w:p>
    <w:p w14:paraId="1CBB3AC9" w14:textId="77777777" w:rsidR="00B36041" w:rsidRDefault="00B36041">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14:paraId="55CAFF52" w14:textId="77777777" w:rsidR="00B36041" w:rsidRDefault="00243587">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Cabe destacar que el Título Profesional es un 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la legislación aplicable, con lo que se atiende la disposición contenida en el segundo párrafo del artículo quinto de la Constitución Política de los Estados Unidos Mexicanos que traslada a la ley la determinación de las profesiones que necesitan título para su ejercicio, la respectiva ley reglamentaria del dispositivo constitucional, en su artículo primero señala la definición que se reproduce en el presente párrafo, mientras que el artículo tercero del mismo ordenamiento condiciona la obtención del título profesional o grado académico equivalente para la obtención de la cédula de ejercicio.</w:t>
      </w:r>
    </w:p>
    <w:p w14:paraId="67B1BF82" w14:textId="77777777" w:rsidR="00B36041" w:rsidRDefault="00243587">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En consecuencia, la fotografía no debe clasificarse como información confidencial, por ser de acceso público.</w:t>
      </w:r>
    </w:p>
    <w:p w14:paraId="290CCC73" w14:textId="77777777" w:rsidR="00B36041" w:rsidRDefault="00243587">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lo que corresponde a la firma autógrafa, el entonces del entonces Instituto Federal de Acceso a la Información Pública (IFAI) emitió el criterio 10/10, el cual contiene lo siguiente:</w:t>
      </w:r>
    </w:p>
    <w:p w14:paraId="6B0C12AB" w14:textId="77777777" w:rsidR="00B36041" w:rsidRDefault="00243587">
      <w:pPr>
        <w:spacing w:before="76"/>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 xml:space="preserve">“La firma de los servidores públicos es información de carácter público cuando ésta es utilizada en el ejercicio de las facultades conferidas para el desempeño  del  servicio  público.  </w:t>
      </w:r>
      <w:r>
        <w:rPr>
          <w:rFonts w:ascii="Palatino Linotype" w:eastAsia="Palatino Linotype" w:hAnsi="Palatino Linotype" w:cs="Palatino Linotype"/>
          <w:i/>
        </w:rPr>
        <w:t>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14:paraId="4935217B" w14:textId="77777777" w:rsidR="00B36041" w:rsidRDefault="00243587">
      <w:pPr>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Expedientes:</w:t>
      </w:r>
    </w:p>
    <w:p w14:paraId="1652532A" w14:textId="77777777" w:rsidR="00B36041" w:rsidRDefault="00243587">
      <w:pPr>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636/08         Comisión Nacional Bancaria y de Valores – Alonso Gómez-Robledo</w:t>
      </w:r>
    </w:p>
    <w:p w14:paraId="6F4D1FD0" w14:textId="77777777" w:rsidR="00B36041" w:rsidRDefault="00243587">
      <w:pPr>
        <w:ind w:left="567" w:right="567"/>
        <w:rPr>
          <w:rFonts w:ascii="Palatino Linotype" w:eastAsia="Palatino Linotype" w:hAnsi="Palatino Linotype" w:cs="Palatino Linotype"/>
          <w:i/>
        </w:rPr>
      </w:pPr>
      <w:r>
        <w:rPr>
          <w:rFonts w:ascii="Palatino Linotype" w:eastAsia="Palatino Linotype" w:hAnsi="Palatino Linotype" w:cs="Palatino Linotype"/>
          <w:i/>
        </w:rPr>
        <w:t>Verduzco</w:t>
      </w:r>
    </w:p>
    <w:p w14:paraId="7CCA592F" w14:textId="77777777" w:rsidR="00B36041" w:rsidRDefault="00243587">
      <w:pPr>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2700/09       Consejo Nacional para Prevenir la Discriminación - Jacqueline</w:t>
      </w:r>
    </w:p>
    <w:p w14:paraId="79CC4C31" w14:textId="77777777" w:rsidR="00B36041" w:rsidRDefault="00243587">
      <w:pPr>
        <w:ind w:left="567" w:right="567"/>
        <w:rPr>
          <w:rFonts w:ascii="Palatino Linotype" w:eastAsia="Palatino Linotype" w:hAnsi="Palatino Linotype" w:cs="Palatino Linotype"/>
          <w:i/>
        </w:rPr>
      </w:pPr>
      <w:r>
        <w:rPr>
          <w:rFonts w:ascii="Palatino Linotype" w:eastAsia="Palatino Linotype" w:hAnsi="Palatino Linotype" w:cs="Palatino Linotype"/>
          <w:i/>
        </w:rPr>
        <w:t>Peschard Mariscal</w:t>
      </w:r>
    </w:p>
    <w:p w14:paraId="2D93F833" w14:textId="77777777" w:rsidR="00B36041" w:rsidRDefault="00243587">
      <w:pPr>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3415/09       Instituto Mexicano de Tecnología del Agua – María Marván Laborde</w:t>
      </w:r>
    </w:p>
    <w:p w14:paraId="20A594DF" w14:textId="77777777" w:rsidR="00B36041" w:rsidRDefault="00243587">
      <w:pPr>
        <w:ind w:left="567" w:right="567"/>
        <w:rPr>
          <w:rFonts w:ascii="Palatino Linotype" w:eastAsia="Palatino Linotype" w:hAnsi="Palatino Linotype" w:cs="Palatino Linotype"/>
          <w:i/>
        </w:rPr>
      </w:pPr>
      <w:r>
        <w:rPr>
          <w:rFonts w:ascii="Palatino Linotype" w:eastAsia="Palatino Linotype" w:hAnsi="Palatino Linotype" w:cs="Palatino Linotype"/>
          <w:i/>
        </w:rPr>
        <w:t>3701/09       Administración Portuaria Integral de Tuxpan, S.A. de C.V. - Jacqueline Peschard Mariscal</w:t>
      </w:r>
    </w:p>
    <w:p w14:paraId="0B4CE869" w14:textId="77777777" w:rsidR="00B36041" w:rsidRDefault="00243587">
      <w:pPr>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599/10         Secretaría de Economía -  Jacqueline Peschard Mariscal” (Sic)</w:t>
      </w:r>
    </w:p>
    <w:p w14:paraId="207CBCDE" w14:textId="77777777" w:rsidR="00B36041" w:rsidRDefault="00B36041">
      <w:pPr>
        <w:ind w:left="567" w:right="567"/>
        <w:jc w:val="both"/>
        <w:rPr>
          <w:rFonts w:ascii="Palatino Linotype" w:eastAsia="Palatino Linotype" w:hAnsi="Palatino Linotype" w:cs="Palatino Linotype"/>
          <w:i/>
        </w:rPr>
      </w:pPr>
    </w:p>
    <w:p w14:paraId="6C665761" w14:textId="77777777" w:rsidR="00B36041" w:rsidRDefault="00243587">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i/>
          <w:color w:val="222222"/>
          <w:sz w:val="24"/>
          <w:szCs w:val="24"/>
        </w:rPr>
        <w:t>Si bien es cierto, la firma no se encuentra en un documento emitido en ejercicio de sus</w:t>
      </w:r>
      <w:r>
        <w:rPr>
          <w:rFonts w:ascii="Palatino Linotype" w:eastAsia="Palatino Linotype" w:hAnsi="Palatino Linotype" w:cs="Palatino Linotype"/>
          <w:color w:val="222222"/>
          <w:sz w:val="24"/>
          <w:szCs w:val="24"/>
        </w:rPr>
        <w:t xml:space="preserve"> facultades conferidas para el desempeño del servicio público, pero también lo es que, a nada práctico nos conduciría proteger dicho dato personal, cuando existen otros documentos que se encuentran en posesión del Sujeto Obligado y son de naturaleza pública, que contienen el mismo dato, con base en lo anterior, es que se considera que la firma de los servidores públicos debe ser de conocimiento público.</w:t>
      </w:r>
    </w:p>
    <w:p w14:paraId="2D331010" w14:textId="77777777" w:rsidR="00B36041" w:rsidRDefault="00243587">
      <w:pPr>
        <w:spacing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1AFBF7FA" w14:textId="77777777" w:rsidR="00B36041" w:rsidRDefault="00B36041">
      <w:pPr>
        <w:spacing w:line="360" w:lineRule="auto"/>
        <w:ind w:right="51"/>
        <w:jc w:val="both"/>
        <w:rPr>
          <w:rFonts w:ascii="Palatino Linotype" w:eastAsia="Palatino Linotype" w:hAnsi="Palatino Linotype" w:cs="Palatino Linotype"/>
        </w:rPr>
      </w:pPr>
    </w:p>
    <w:p w14:paraId="4F64F435" w14:textId="77777777" w:rsidR="00B36041" w:rsidRDefault="00243587">
      <w:pPr>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“Artículo 49.</w:t>
      </w:r>
      <w:r>
        <w:rPr>
          <w:rFonts w:ascii="Palatino Linotype" w:eastAsia="Palatino Linotype" w:hAnsi="Palatino Linotype" w:cs="Palatino Linotype"/>
          <w:i/>
        </w:rPr>
        <w:t xml:space="preserve"> </w:t>
      </w:r>
      <w:r>
        <w:rPr>
          <w:rFonts w:ascii="Palatino Linotype" w:eastAsia="Palatino Linotype" w:hAnsi="Palatino Linotype" w:cs="Palatino Linotype"/>
          <w:b/>
          <w:i/>
        </w:rPr>
        <w:t>Los Comités de Transparencia</w:t>
      </w:r>
      <w:r>
        <w:rPr>
          <w:rFonts w:ascii="Palatino Linotype" w:eastAsia="Palatino Linotype" w:hAnsi="Palatino Linotype" w:cs="Palatino Linotype"/>
          <w:i/>
        </w:rPr>
        <w:t xml:space="preserve"> tendrán las siguientes atribuciones:</w:t>
      </w:r>
    </w:p>
    <w:p w14:paraId="6EF96C8B" w14:textId="77777777" w:rsidR="00B36041" w:rsidRDefault="00243587">
      <w:pPr>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VIII. Aprobar, modificar o revocar la clasificación de la información</w:t>
      </w:r>
      <w:r>
        <w:rPr>
          <w:rFonts w:ascii="Palatino Linotype" w:eastAsia="Palatino Linotype" w:hAnsi="Palatino Linotype" w:cs="Palatino Linotype"/>
          <w:i/>
        </w:rPr>
        <w:t>…”</w:t>
      </w:r>
    </w:p>
    <w:p w14:paraId="71C601C9" w14:textId="77777777" w:rsidR="00B36041" w:rsidRDefault="00243587">
      <w:pPr>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53.</w:t>
      </w:r>
      <w:r>
        <w:rPr>
          <w:rFonts w:ascii="Palatino Linotype" w:eastAsia="Palatino Linotype" w:hAnsi="Palatino Linotype" w:cs="Palatino Linotype"/>
          <w:i/>
        </w:rPr>
        <w:t xml:space="preserve"> Las </w:t>
      </w:r>
      <w:r>
        <w:rPr>
          <w:rFonts w:ascii="Palatino Linotype" w:eastAsia="Palatino Linotype" w:hAnsi="Palatino Linotype" w:cs="Palatino Linotype"/>
          <w:b/>
          <w:i/>
        </w:rPr>
        <w:t>Unidades de Transparencia</w:t>
      </w:r>
      <w:r>
        <w:rPr>
          <w:rFonts w:ascii="Palatino Linotype" w:eastAsia="Palatino Linotype" w:hAnsi="Palatino Linotype" w:cs="Palatino Linotype"/>
          <w:i/>
        </w:rPr>
        <w:t xml:space="preserve"> tendrán las siguientes </w:t>
      </w:r>
      <w:r>
        <w:rPr>
          <w:rFonts w:ascii="Palatino Linotype" w:eastAsia="Palatino Linotype" w:hAnsi="Palatino Linotype" w:cs="Palatino Linotype"/>
          <w:b/>
          <w:i/>
        </w:rPr>
        <w:t>funciones</w:t>
      </w:r>
      <w:r>
        <w:rPr>
          <w:rFonts w:ascii="Palatino Linotype" w:eastAsia="Palatino Linotype" w:hAnsi="Palatino Linotype" w:cs="Palatino Linotype"/>
          <w:i/>
        </w:rPr>
        <w:t>:</w:t>
      </w:r>
    </w:p>
    <w:p w14:paraId="543F6E6F" w14:textId="77777777" w:rsidR="00B36041" w:rsidRDefault="00243587">
      <w:pPr>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X. Presentar ante el Comité, el proyecto de clasificación de información</w:t>
      </w:r>
      <w:r>
        <w:rPr>
          <w:rFonts w:ascii="Palatino Linotype" w:eastAsia="Palatino Linotype" w:hAnsi="Palatino Linotype" w:cs="Palatino Linotype"/>
          <w:i/>
        </w:rPr>
        <w:t xml:space="preserve">…” </w:t>
      </w:r>
    </w:p>
    <w:p w14:paraId="207C8041" w14:textId="77777777" w:rsidR="00B36041" w:rsidRDefault="00243587">
      <w:pPr>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“Artículo 59.</w:t>
      </w:r>
      <w:r>
        <w:rPr>
          <w:rFonts w:ascii="Palatino Linotype" w:eastAsia="Palatino Linotype" w:hAnsi="Palatino Linotype" w:cs="Palatino Linotype"/>
          <w:i/>
        </w:rPr>
        <w:t xml:space="preserve"> Los </w:t>
      </w:r>
      <w:r>
        <w:rPr>
          <w:rFonts w:ascii="Palatino Linotype" w:eastAsia="Palatino Linotype" w:hAnsi="Palatino Linotype" w:cs="Palatino Linotype"/>
          <w:b/>
          <w:i/>
        </w:rPr>
        <w:t>servidores públicos habilitados</w:t>
      </w:r>
      <w:r>
        <w:rPr>
          <w:rFonts w:ascii="Palatino Linotype" w:eastAsia="Palatino Linotype" w:hAnsi="Palatino Linotype" w:cs="Palatino Linotype"/>
          <w:i/>
        </w:rPr>
        <w:t xml:space="preserve"> tendrán las </w:t>
      </w:r>
      <w:r>
        <w:rPr>
          <w:rFonts w:ascii="Palatino Linotype" w:eastAsia="Palatino Linotype" w:hAnsi="Palatino Linotype" w:cs="Palatino Linotype"/>
          <w:b/>
          <w:i/>
        </w:rPr>
        <w:t>funciones</w:t>
      </w:r>
      <w:r>
        <w:rPr>
          <w:rFonts w:ascii="Palatino Linotype" w:eastAsia="Palatino Linotype" w:hAnsi="Palatino Linotype" w:cs="Palatino Linotype"/>
          <w:i/>
        </w:rPr>
        <w:t xml:space="preserve"> siguientes:</w:t>
      </w:r>
    </w:p>
    <w:p w14:paraId="6350EE9D" w14:textId="77777777" w:rsidR="00B36041" w:rsidRDefault="00243587">
      <w:pPr>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V. Integrar y presentar al responsable de la Unidad de Transparencia la propuesta de clasificación de información</w:t>
      </w:r>
      <w:r>
        <w:rPr>
          <w:rFonts w:ascii="Palatino Linotype" w:eastAsia="Palatino Linotype" w:hAnsi="Palatino Linotype" w:cs="Palatino Linotype"/>
          <w:i/>
        </w:rPr>
        <w:t>, la cual tendrá los fundamentos y argumentos en que se basa dicha propuesta…”</w:t>
      </w:r>
    </w:p>
    <w:p w14:paraId="32DEF54C" w14:textId="77777777" w:rsidR="00B36041" w:rsidRDefault="00243587">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E752C8B" w14:textId="77777777" w:rsidR="00B36041" w:rsidRDefault="00243587">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Para lo cual, a su vez en el caso de información de carácter confidencial, se debe atender a lo que señala el artículo 149 de la Ley de Transparencia Local vigente, que se lee como sigue:</w:t>
      </w:r>
    </w:p>
    <w:p w14:paraId="603A925B" w14:textId="77777777" w:rsidR="00B36041" w:rsidRDefault="00B36041">
      <w:pPr>
        <w:spacing w:line="360" w:lineRule="auto"/>
        <w:jc w:val="both"/>
        <w:rPr>
          <w:rFonts w:ascii="Palatino Linotype" w:eastAsia="Palatino Linotype" w:hAnsi="Palatino Linotype" w:cs="Palatino Linotype"/>
          <w:sz w:val="24"/>
          <w:szCs w:val="24"/>
        </w:rPr>
      </w:pPr>
    </w:p>
    <w:p w14:paraId="420DA04C" w14:textId="77777777" w:rsidR="00B36041" w:rsidRDefault="00243587">
      <w:pPr>
        <w:spacing w:after="240"/>
        <w:ind w:left="993" w:right="1041"/>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w:t>
      </w:r>
      <w:r>
        <w:rPr>
          <w:rFonts w:ascii="Palatino Linotype" w:eastAsia="Palatino Linotype" w:hAnsi="Palatino Linotype" w:cs="Palatino Linotype"/>
          <w:b/>
          <w:i/>
          <w:sz w:val="24"/>
          <w:szCs w:val="24"/>
        </w:rPr>
        <w:t>Artículo 149.</w:t>
      </w:r>
      <w:r>
        <w:rPr>
          <w:rFonts w:ascii="Palatino Linotype" w:eastAsia="Palatino Linotype" w:hAnsi="Palatino Linotype" w:cs="Palatino Linotype"/>
          <w:i/>
          <w:sz w:val="24"/>
          <w:szCs w:val="24"/>
        </w:rPr>
        <w:t xml:space="preserve"> El </w:t>
      </w:r>
      <w:r>
        <w:rPr>
          <w:rFonts w:ascii="Palatino Linotype" w:eastAsia="Palatino Linotype" w:hAnsi="Palatino Linotype" w:cs="Palatino Linotype"/>
          <w:b/>
          <w:i/>
          <w:sz w:val="24"/>
          <w:szCs w:val="24"/>
        </w:rPr>
        <w:t>acuerdo que clasifique la información como confidencial</w:t>
      </w:r>
      <w:r>
        <w:rPr>
          <w:rFonts w:ascii="Palatino Linotype" w:eastAsia="Palatino Linotype" w:hAnsi="Palatino Linotype" w:cs="Palatino Linotype"/>
          <w:i/>
          <w:sz w:val="24"/>
          <w:szCs w:val="24"/>
        </w:rPr>
        <w:t xml:space="preserve"> deberá contener un razonamiento lógico en el que demuestre que la información se encuentra en alguna o algunas de las hipótesis previstas en la presente Ley.”(Sic)</w:t>
      </w:r>
    </w:p>
    <w:p w14:paraId="1FCB6B63" w14:textId="77777777" w:rsidR="00B36041" w:rsidRDefault="00243587">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59E37E65" w14:textId="77777777" w:rsidR="00B36041" w:rsidRDefault="00243587">
      <w:pPr>
        <w:spacing w:before="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Al respecto, se destaca que la versión pública que elabore el Sujeto Obligado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eastAsia="Palatino Linotype" w:hAnsi="Palatino Linotype" w:cs="Palatino Linotype"/>
          <w:b/>
          <w:sz w:val="24"/>
          <w:szCs w:val="24"/>
        </w:rPr>
        <w:t>LINEAMIENTOS GENERALES EN MATERIA DE CLASIFICACIÓN Y DESCLASIFICACIÓN DE LA INFORMACIÓN, ASÍ COMO PARA LA ELABORACIÓN DE VERSIONES PÚBLICAS</w:t>
      </w:r>
      <w:r>
        <w:rPr>
          <w:rFonts w:ascii="Palatino Linotype" w:eastAsia="Palatino Linotype" w:hAnsi="Palatino Linotype" w:cs="Palatino Linotype"/>
          <w:sz w:val="24"/>
          <w:szCs w:val="24"/>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14:paraId="0774C2D5" w14:textId="77777777" w:rsidR="00B36041" w:rsidRDefault="00B36041">
      <w:pPr>
        <w:ind w:left="709" w:right="709"/>
        <w:jc w:val="both"/>
        <w:rPr>
          <w:rFonts w:ascii="Palatino Linotype" w:eastAsia="Palatino Linotype" w:hAnsi="Palatino Linotype" w:cs="Palatino Linotype"/>
          <w:b/>
          <w:i/>
          <w:sz w:val="24"/>
          <w:szCs w:val="24"/>
        </w:rPr>
      </w:pPr>
    </w:p>
    <w:p w14:paraId="25632C90" w14:textId="77777777" w:rsidR="00B36041" w:rsidRDefault="00243587">
      <w:pPr>
        <w:ind w:left="709" w:right="709"/>
        <w:jc w:val="both"/>
        <w:rPr>
          <w:rFonts w:ascii="Palatino Linotype" w:eastAsia="Palatino Linotype" w:hAnsi="Palatino Linotype" w:cs="Palatino Linotype"/>
          <w:b/>
          <w:i/>
        </w:rPr>
      </w:pPr>
      <w:r>
        <w:rPr>
          <w:rFonts w:ascii="Palatino Linotype" w:eastAsia="Palatino Linotype" w:hAnsi="Palatino Linotype" w:cs="Palatino Linotype"/>
          <w:b/>
          <w:i/>
        </w:rPr>
        <w:t>Lineamientos Generales en materia de Clasificación y Desclasificación de la Información, así como para la elaboración de Versiones Públicas</w:t>
      </w:r>
    </w:p>
    <w:p w14:paraId="68B15937" w14:textId="77777777"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Segundo.-</w:t>
      </w:r>
      <w:r>
        <w:rPr>
          <w:rFonts w:ascii="Palatino Linotype" w:eastAsia="Palatino Linotype" w:hAnsi="Palatino Linotype" w:cs="Palatino Linotype"/>
          <w:i/>
        </w:rPr>
        <w:t xml:space="preserve"> Para efectos de los presentes Lineamientos Generales, se entenderá por:</w:t>
      </w:r>
    </w:p>
    <w:p w14:paraId="76B88910" w14:textId="77777777"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XVIII.</w:t>
      </w:r>
      <w:r>
        <w:rPr>
          <w:rFonts w:ascii="Palatino Linotype" w:eastAsia="Palatino Linotype" w:hAnsi="Palatino Linotype" w:cs="Palatino Linotype"/>
          <w:i/>
        </w:rPr>
        <w:t xml:space="preserve"> </w:t>
      </w:r>
      <w:r>
        <w:rPr>
          <w:rFonts w:ascii="Palatino Linotype" w:eastAsia="Palatino Linotype" w:hAnsi="Palatino Linotype" w:cs="Palatino Linotype"/>
          <w:b/>
          <w:i/>
        </w:rPr>
        <w:t>Versión pública:</w:t>
      </w:r>
      <w:r>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u w:val="single"/>
        </w:rPr>
        <w:t>fundando y motivando la</w:t>
      </w:r>
      <w:r>
        <w:rPr>
          <w:rFonts w:ascii="Palatino Linotype" w:eastAsia="Palatino Linotype" w:hAnsi="Palatino Linotype" w:cs="Palatino Linotype"/>
          <w:i/>
        </w:rPr>
        <w:t xml:space="preserve"> reserva o </w:t>
      </w:r>
      <w:r>
        <w:rPr>
          <w:rFonts w:ascii="Palatino Linotype" w:eastAsia="Palatino Linotype" w:hAnsi="Palatino Linotype" w:cs="Palatino Linotype"/>
          <w:b/>
          <w:i/>
          <w:u w:val="single"/>
        </w:rPr>
        <w:t>confidencialidad</w:t>
      </w:r>
      <w:r>
        <w:rPr>
          <w:rFonts w:ascii="Palatino Linotype" w:eastAsia="Palatino Linotype" w:hAnsi="Palatino Linotype" w:cs="Palatino Linotype"/>
          <w:i/>
        </w:rPr>
        <w:t>, a través de la resolución que para tal efecto emita el Comité de Transparencia.</w:t>
      </w:r>
    </w:p>
    <w:p w14:paraId="206F3535" w14:textId="77777777"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Cuarto.</w:t>
      </w:r>
      <w:r>
        <w:rPr>
          <w:rFonts w:ascii="Palatino Linotype" w:eastAsia="Palatino Linotype" w:hAnsi="Palatino Linotype" w:cs="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558F89C" w14:textId="77777777"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21466804" w14:textId="77777777"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Quinto.</w:t>
      </w:r>
      <w:r>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5113826" w14:textId="77777777"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Sexto.</w:t>
      </w:r>
      <w:r>
        <w:rPr>
          <w:rFonts w:ascii="Palatino Linotype" w:eastAsia="Palatino Linotype" w:hAnsi="Palatino Linotype" w:cs="Palatino Linotype"/>
          <w:i/>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0A3C35A" w14:textId="77777777"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i/>
        </w:rPr>
        <w:t>La clasificación de información se realizará conforme a un análisis caso por caso, mediante la aplicación de la prueba de daño y de interés público.</w:t>
      </w:r>
    </w:p>
    <w:p w14:paraId="458A1A5A" w14:textId="77777777"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Séptimo.</w:t>
      </w:r>
      <w:r>
        <w:rPr>
          <w:rFonts w:ascii="Palatino Linotype" w:eastAsia="Palatino Linotype" w:hAnsi="Palatino Linotype" w:cs="Palatino Linotype"/>
          <w:i/>
        </w:rPr>
        <w:t xml:space="preserve"> La clasificación de la información se llevará a cabo en el momento en que:</w:t>
      </w:r>
    </w:p>
    <w:p w14:paraId="5E21D38C" w14:textId="77777777"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Se reciba una solicitud de acceso a la información;</w:t>
      </w:r>
    </w:p>
    <w:p w14:paraId="52BD8E6E" w14:textId="77777777"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Se determine mediante resolución de autoridad competente, o</w:t>
      </w:r>
    </w:p>
    <w:p w14:paraId="4D0DF35E" w14:textId="77777777"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14:paraId="2B3E3C16" w14:textId="77777777"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i/>
        </w:rPr>
        <w:t>Los titulares de las áreas deberán revisar la clasificación al momento de la recepción de una solicitud de acceso a la información, para verificar si encuadra en una causal de reserva o de confidencialidad.</w:t>
      </w:r>
    </w:p>
    <w:p w14:paraId="0D93D0CB" w14:textId="77777777"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Octavo.</w:t>
      </w:r>
      <w:r>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ABDA315" w14:textId="77777777"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58264454" w14:textId="77777777"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i/>
        </w:rPr>
        <w:t>En caso de referirse a información reservada, la motivación de la clasificación también deberá comprender las circunstancias que justifican el establecimiento de determinado plazo de reserva.</w:t>
      </w:r>
    </w:p>
    <w:p w14:paraId="4F183357" w14:textId="77777777"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i/>
        </w:rPr>
        <w:t>Tratándose de información clasificada como confidencial respecto de la cual se haya determinado su conservación permanente por tener valor histórico, ésta conservará tal carácter de conformidad con la normativa aplicable en materia de archivos.</w:t>
      </w:r>
    </w:p>
    <w:p w14:paraId="6E766EDD" w14:textId="77777777"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i/>
        </w:rPr>
        <w:t>Los documentos contenidos en los archivos históricos y los identificados como históricos confidenciales no serán susceptibles de clasificación como reservados.</w:t>
      </w:r>
    </w:p>
    <w:p w14:paraId="50880174" w14:textId="77777777"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Noveno.</w:t>
      </w:r>
      <w:r>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CACB202" w14:textId="77777777"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Décimo.</w:t>
      </w:r>
      <w:r>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835BBA9" w14:textId="77777777"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206D206F" w14:textId="77777777"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Décimo primero.</w:t>
      </w:r>
      <w:r>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581F43B" w14:textId="77777777"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i/>
        </w:rPr>
        <w:t>[…]</w:t>
      </w:r>
    </w:p>
    <w:p w14:paraId="35832DDC" w14:textId="77777777" w:rsidR="00B36041" w:rsidRDefault="00243587">
      <w:pPr>
        <w:ind w:left="709" w:right="709"/>
        <w:jc w:val="center"/>
        <w:rPr>
          <w:rFonts w:ascii="Palatino Linotype" w:eastAsia="Palatino Linotype" w:hAnsi="Palatino Linotype" w:cs="Palatino Linotype"/>
          <w:b/>
          <w:i/>
        </w:rPr>
      </w:pPr>
      <w:r>
        <w:rPr>
          <w:rFonts w:ascii="Palatino Linotype" w:eastAsia="Palatino Linotype" w:hAnsi="Palatino Linotype" w:cs="Palatino Linotype"/>
          <w:b/>
          <w:i/>
        </w:rPr>
        <w:t>CAPÍTULO VIII</w:t>
      </w:r>
    </w:p>
    <w:p w14:paraId="04833422" w14:textId="77777777" w:rsidR="00B36041" w:rsidRDefault="00243587">
      <w:pPr>
        <w:ind w:left="709" w:right="709"/>
        <w:jc w:val="center"/>
        <w:rPr>
          <w:rFonts w:ascii="Palatino Linotype" w:eastAsia="Palatino Linotype" w:hAnsi="Palatino Linotype" w:cs="Palatino Linotype"/>
          <w:b/>
          <w:i/>
        </w:rPr>
      </w:pPr>
      <w:r>
        <w:rPr>
          <w:rFonts w:ascii="Palatino Linotype" w:eastAsia="Palatino Linotype" w:hAnsi="Palatino Linotype" w:cs="Palatino Linotype"/>
          <w:b/>
          <w:i/>
        </w:rPr>
        <w:t>DE LA LEYENDA DE CLASIFICACIÓN</w:t>
      </w:r>
    </w:p>
    <w:p w14:paraId="38739C59" w14:textId="77777777"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 xml:space="preserve">Quincuagésimo. </w:t>
      </w:r>
      <w:r>
        <w:rPr>
          <w:rFonts w:ascii="Palatino Linotype" w:eastAsia="Palatino Linotype" w:hAnsi="Palatino Linotype" w:cs="Palatino Linotype"/>
          <w:b/>
          <w:i/>
          <w:u w:val="single"/>
        </w:rPr>
        <w:t>Los titulares de las áreas de los sujetos obligados podrán utilizar los formatos contenidos en el presente Capítulo como modelo</w:t>
      </w:r>
      <w:r>
        <w:rPr>
          <w:rFonts w:ascii="Palatino Linotype" w:eastAsia="Palatino Linotype" w:hAnsi="Palatino Linotype" w:cs="Palatino Linotype"/>
          <w:i/>
        </w:rPr>
        <w:t xml:space="preserve"> para señalar la clasificación de documentos o expedientes, sin perjuicio de que establezcan los propios.</w:t>
      </w:r>
    </w:p>
    <w:p w14:paraId="4641CB50" w14:textId="77777777"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i/>
        </w:rPr>
        <w:t>[…]</w:t>
      </w:r>
    </w:p>
    <w:p w14:paraId="652192C1" w14:textId="77777777" w:rsidR="00B36041" w:rsidRDefault="00243587">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 xml:space="preserve">Quincuagésimo tercero. </w:t>
      </w:r>
      <w:r>
        <w:rPr>
          <w:rFonts w:ascii="Palatino Linotype" w:eastAsia="Palatino Linotype" w:hAnsi="Palatino Linotype" w:cs="Palatino Linotype"/>
          <w:b/>
          <w:i/>
          <w:u w:val="single"/>
        </w:rPr>
        <w:t>El formato para señalar la clasificación parcial de un documento</w:t>
      </w:r>
      <w:r>
        <w:rPr>
          <w:rFonts w:ascii="Palatino Linotype" w:eastAsia="Palatino Linotype" w:hAnsi="Palatino Linotype" w:cs="Palatino Linotype"/>
          <w:i/>
        </w:rPr>
        <w:t>, es el siguiente:</w:t>
      </w:r>
    </w:p>
    <w:tbl>
      <w:tblPr>
        <w:tblStyle w:val="a2"/>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B36041" w14:paraId="760C4BC9" w14:textId="77777777">
        <w:trPr>
          <w:jc w:val="center"/>
        </w:trPr>
        <w:tc>
          <w:tcPr>
            <w:tcW w:w="1159" w:type="dxa"/>
            <w:tcBorders>
              <w:top w:val="nil"/>
              <w:left w:val="nil"/>
              <w:bottom w:val="single" w:sz="4" w:space="0" w:color="000000"/>
              <w:right w:val="single" w:sz="4" w:space="0" w:color="000000"/>
            </w:tcBorders>
          </w:tcPr>
          <w:p w14:paraId="5407D605" w14:textId="77777777" w:rsidR="00B36041" w:rsidRDefault="00B36041">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BAA6AD6" w14:textId="77777777" w:rsidR="00B36041" w:rsidRDefault="00243587">
            <w:pPr>
              <w:jc w:val="center"/>
              <w:rPr>
                <w:rFonts w:ascii="Palatino Linotype" w:eastAsia="Palatino Linotype" w:hAnsi="Palatino Linotype" w:cs="Palatino Linotype"/>
                <w:b/>
                <w:i/>
              </w:rPr>
            </w:pPr>
            <w:r>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63D17898" w14:textId="77777777" w:rsidR="00B36041" w:rsidRDefault="00243587">
            <w:pPr>
              <w:jc w:val="center"/>
              <w:rPr>
                <w:rFonts w:ascii="Palatino Linotype" w:eastAsia="Palatino Linotype" w:hAnsi="Palatino Linotype" w:cs="Palatino Linotype"/>
                <w:b/>
                <w:i/>
              </w:rPr>
            </w:pPr>
            <w:r>
              <w:rPr>
                <w:rFonts w:ascii="Palatino Linotype" w:eastAsia="Palatino Linotype" w:hAnsi="Palatino Linotype" w:cs="Palatino Linotype"/>
                <w:b/>
                <w:i/>
              </w:rPr>
              <w:t>Dónde:</w:t>
            </w:r>
          </w:p>
        </w:tc>
      </w:tr>
      <w:tr w:rsidR="00B36041" w14:paraId="75B63F31" w14:textId="77777777">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50C465CA" w14:textId="77777777" w:rsidR="00B36041" w:rsidRDefault="00243587">
            <w:pPr>
              <w:jc w:val="center"/>
              <w:rPr>
                <w:rFonts w:ascii="Palatino Linotype" w:eastAsia="Palatino Linotype" w:hAnsi="Palatino Linotype" w:cs="Palatino Linotype"/>
                <w:b/>
                <w:i/>
              </w:rPr>
            </w:pPr>
            <w:r>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1981D552" w14:textId="77777777" w:rsidR="00B36041" w:rsidRDefault="00243587">
            <w:pPr>
              <w:jc w:val="center"/>
              <w:rPr>
                <w:rFonts w:ascii="Palatino Linotype" w:eastAsia="Palatino Linotype" w:hAnsi="Palatino Linotype" w:cs="Palatino Linotype"/>
                <w:i/>
              </w:rPr>
            </w:pPr>
            <w:r>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24E16396" w14:textId="77777777" w:rsidR="00B36041" w:rsidRDefault="00243587">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la que el Comité de Transparencia confirmó la clasificación del documento, en su caso.</w:t>
            </w:r>
          </w:p>
        </w:tc>
      </w:tr>
      <w:tr w:rsidR="00B36041" w14:paraId="6DD19842"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BA32280" w14:textId="77777777" w:rsidR="00B36041" w:rsidRDefault="00B36041">
            <w:pPr>
              <w:widowControl w:val="0"/>
              <w:pBdr>
                <w:top w:val="nil"/>
                <w:left w:val="nil"/>
                <w:bottom w:val="nil"/>
                <w:right w:val="nil"/>
                <w:between w:val="nil"/>
              </w:pBdr>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C6F7153" w14:textId="77777777" w:rsidR="00B36041" w:rsidRDefault="00243587">
            <w:pPr>
              <w:jc w:val="center"/>
              <w:rPr>
                <w:rFonts w:ascii="Palatino Linotype" w:eastAsia="Palatino Linotype" w:hAnsi="Palatino Linotype" w:cs="Palatino Linotype"/>
                <w:i/>
              </w:rPr>
            </w:pPr>
            <w:r>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0A5B5B7E" w14:textId="77777777" w:rsidR="00B36041" w:rsidRDefault="00243587">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área del cual es titular quien clasifica.</w:t>
            </w:r>
          </w:p>
        </w:tc>
      </w:tr>
      <w:tr w:rsidR="00B36041" w14:paraId="01975FB2"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CCB119E" w14:textId="77777777" w:rsidR="00B36041" w:rsidRDefault="00B36041">
            <w:pPr>
              <w:widowControl w:val="0"/>
              <w:pBdr>
                <w:top w:val="nil"/>
                <w:left w:val="nil"/>
                <w:bottom w:val="nil"/>
                <w:right w:val="nil"/>
                <w:between w:val="nil"/>
              </w:pBdr>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56F94C5" w14:textId="77777777" w:rsidR="00B36041" w:rsidRDefault="00243587">
            <w:pPr>
              <w:jc w:val="center"/>
              <w:rPr>
                <w:rFonts w:ascii="Palatino Linotype" w:eastAsia="Palatino Linotype" w:hAnsi="Palatino Linotype" w:cs="Palatino Linotype"/>
                <w:i/>
              </w:rPr>
            </w:pPr>
            <w:r>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14AB1027" w14:textId="77777777" w:rsidR="00B36041" w:rsidRDefault="00243587">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B36041" w14:paraId="798C2D7A"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73ED3A2" w14:textId="77777777" w:rsidR="00B36041" w:rsidRDefault="00B36041">
            <w:pPr>
              <w:widowControl w:val="0"/>
              <w:pBdr>
                <w:top w:val="nil"/>
                <w:left w:val="nil"/>
                <w:bottom w:val="nil"/>
                <w:right w:val="nil"/>
                <w:between w:val="nil"/>
              </w:pBdr>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049A886" w14:textId="77777777" w:rsidR="00B36041" w:rsidRDefault="00243587">
            <w:pPr>
              <w:jc w:val="center"/>
              <w:rPr>
                <w:rFonts w:ascii="Palatino Linotype" w:eastAsia="Palatino Linotype" w:hAnsi="Palatino Linotype" w:cs="Palatino Linotype"/>
                <w:i/>
              </w:rPr>
            </w:pPr>
            <w:r>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14D2E447" w14:textId="77777777" w:rsidR="00B36041" w:rsidRDefault="00243587">
            <w:pPr>
              <w:jc w:val="both"/>
              <w:rPr>
                <w:rFonts w:ascii="Palatino Linotype" w:eastAsia="Palatino Linotype" w:hAnsi="Palatino Linotype" w:cs="Palatino Linotype"/>
                <w:i/>
              </w:rPr>
            </w:pPr>
            <w:r>
              <w:rPr>
                <w:rFonts w:ascii="Palatino Linotype" w:eastAsia="Palatino Linotype" w:hAnsi="Palatino Linotype" w:cs="Palatino Linotype"/>
                <w:i/>
              </w:rPr>
              <w:t>Se anotará el número de años o meses por los que se mantendrá el documento o las partes del mismo como reservado.</w:t>
            </w:r>
          </w:p>
        </w:tc>
      </w:tr>
      <w:tr w:rsidR="00B36041" w14:paraId="3EF86B5C"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1B993ED" w14:textId="77777777" w:rsidR="00B36041" w:rsidRDefault="00B36041">
            <w:pPr>
              <w:widowControl w:val="0"/>
              <w:pBdr>
                <w:top w:val="nil"/>
                <w:left w:val="nil"/>
                <w:bottom w:val="nil"/>
                <w:right w:val="nil"/>
                <w:between w:val="nil"/>
              </w:pBdr>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76CAADD" w14:textId="77777777" w:rsidR="00B36041" w:rsidRDefault="00243587">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3EE3A9DD" w14:textId="77777777" w:rsidR="00B36041" w:rsidRDefault="00243587">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reserva.</w:t>
            </w:r>
          </w:p>
        </w:tc>
      </w:tr>
      <w:tr w:rsidR="00B36041" w14:paraId="15F00DEF"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B3B8DB9" w14:textId="77777777" w:rsidR="00B36041" w:rsidRDefault="00B36041">
            <w:pPr>
              <w:widowControl w:val="0"/>
              <w:pBdr>
                <w:top w:val="nil"/>
                <w:left w:val="nil"/>
                <w:bottom w:val="nil"/>
                <w:right w:val="nil"/>
                <w:between w:val="nil"/>
              </w:pBdr>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6B8E23A" w14:textId="77777777" w:rsidR="00B36041" w:rsidRDefault="00243587">
            <w:pPr>
              <w:jc w:val="center"/>
              <w:rPr>
                <w:rFonts w:ascii="Palatino Linotype" w:eastAsia="Palatino Linotype" w:hAnsi="Palatino Linotype" w:cs="Palatino Linotype"/>
                <w:i/>
              </w:rPr>
            </w:pPr>
            <w:r>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4DCB93C0" w14:textId="77777777" w:rsidR="00B36041" w:rsidRDefault="00243587">
            <w:pPr>
              <w:jc w:val="both"/>
              <w:rPr>
                <w:rFonts w:ascii="Palatino Linotype" w:eastAsia="Palatino Linotype" w:hAnsi="Palatino Linotype" w:cs="Palatino Linotype"/>
                <w:i/>
              </w:rPr>
            </w:pPr>
            <w:r>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B36041" w14:paraId="6BE2E322"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55353DB" w14:textId="77777777" w:rsidR="00B36041" w:rsidRDefault="00B36041">
            <w:pPr>
              <w:widowControl w:val="0"/>
              <w:pBdr>
                <w:top w:val="nil"/>
                <w:left w:val="nil"/>
                <w:bottom w:val="nil"/>
                <w:right w:val="nil"/>
                <w:between w:val="nil"/>
              </w:pBdr>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8C4BDB7" w14:textId="77777777" w:rsidR="00B36041" w:rsidRDefault="00243587">
            <w:pPr>
              <w:jc w:val="center"/>
              <w:rPr>
                <w:rFonts w:ascii="Palatino Linotype" w:eastAsia="Palatino Linotype" w:hAnsi="Palatino Linotype" w:cs="Palatino Linotype"/>
                <w:i/>
              </w:rPr>
            </w:pPr>
            <w:r>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0EAF086C" w14:textId="77777777" w:rsidR="00B36041" w:rsidRDefault="00243587">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B36041" w14:paraId="26A02973"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A308FA0" w14:textId="77777777" w:rsidR="00B36041" w:rsidRDefault="00B36041">
            <w:pPr>
              <w:widowControl w:val="0"/>
              <w:pBdr>
                <w:top w:val="nil"/>
                <w:left w:val="nil"/>
                <w:bottom w:val="nil"/>
                <w:right w:val="nil"/>
                <w:between w:val="nil"/>
              </w:pBdr>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402EC21" w14:textId="77777777" w:rsidR="00B36041" w:rsidRDefault="00243587">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6F298354" w14:textId="77777777" w:rsidR="00B36041" w:rsidRDefault="00243587">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B36041" w14:paraId="7B475649"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962E509" w14:textId="77777777" w:rsidR="00B36041" w:rsidRDefault="00B36041">
            <w:pPr>
              <w:widowControl w:val="0"/>
              <w:pBdr>
                <w:top w:val="nil"/>
                <w:left w:val="nil"/>
                <w:bottom w:val="nil"/>
                <w:right w:val="nil"/>
                <w:between w:val="nil"/>
              </w:pBdr>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1F97652" w14:textId="77777777" w:rsidR="00B36041" w:rsidRDefault="00243587">
            <w:pPr>
              <w:jc w:val="center"/>
              <w:rPr>
                <w:rFonts w:ascii="Palatino Linotype" w:eastAsia="Palatino Linotype" w:hAnsi="Palatino Linotype" w:cs="Palatino Linotype"/>
                <w:i/>
              </w:rPr>
            </w:pPr>
            <w:r>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2A3CD86B" w14:textId="77777777" w:rsidR="00B36041" w:rsidRDefault="00243587">
            <w:pPr>
              <w:jc w:val="both"/>
              <w:rPr>
                <w:rFonts w:ascii="Palatino Linotype" w:eastAsia="Palatino Linotype" w:hAnsi="Palatino Linotype" w:cs="Palatino Linotype"/>
                <w:i/>
              </w:rPr>
            </w:pPr>
            <w:r>
              <w:rPr>
                <w:rFonts w:ascii="Palatino Linotype" w:eastAsia="Palatino Linotype" w:hAnsi="Palatino Linotype" w:cs="Palatino Linotype"/>
                <w:i/>
              </w:rPr>
              <w:t>Rúbrica autógrafa de quien clasifica.</w:t>
            </w:r>
          </w:p>
        </w:tc>
      </w:tr>
      <w:tr w:rsidR="00B36041" w14:paraId="240C3E47"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AC6316A" w14:textId="77777777" w:rsidR="00B36041" w:rsidRDefault="00B36041">
            <w:pPr>
              <w:widowControl w:val="0"/>
              <w:pBdr>
                <w:top w:val="nil"/>
                <w:left w:val="nil"/>
                <w:bottom w:val="nil"/>
                <w:right w:val="nil"/>
                <w:between w:val="nil"/>
              </w:pBdr>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062BC4D" w14:textId="77777777" w:rsidR="00B36041" w:rsidRDefault="00243587">
            <w:pPr>
              <w:jc w:val="center"/>
              <w:rPr>
                <w:rFonts w:ascii="Palatino Linotype" w:eastAsia="Palatino Linotype" w:hAnsi="Palatino Linotype" w:cs="Palatino Linotype"/>
                <w:i/>
              </w:rPr>
            </w:pPr>
            <w:r>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06DE9524" w14:textId="77777777" w:rsidR="00B36041" w:rsidRDefault="00243587">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que se desclasifica el documento.</w:t>
            </w:r>
          </w:p>
        </w:tc>
      </w:tr>
      <w:tr w:rsidR="00B36041" w14:paraId="63CC6DDF"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4BDE61D" w14:textId="77777777" w:rsidR="00B36041" w:rsidRDefault="00B36041">
            <w:pPr>
              <w:widowControl w:val="0"/>
              <w:pBdr>
                <w:top w:val="nil"/>
                <w:left w:val="nil"/>
                <w:bottom w:val="nil"/>
                <w:right w:val="nil"/>
                <w:between w:val="nil"/>
              </w:pBdr>
              <w:spacing w:after="0"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431A27B" w14:textId="77777777" w:rsidR="00B36041" w:rsidRDefault="00243587">
            <w:pPr>
              <w:jc w:val="center"/>
              <w:rPr>
                <w:rFonts w:ascii="Palatino Linotype" w:eastAsia="Palatino Linotype" w:hAnsi="Palatino Linotype" w:cs="Palatino Linotype"/>
                <w:i/>
              </w:rPr>
            </w:pPr>
            <w:r>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7F330825" w14:textId="77777777" w:rsidR="00B36041" w:rsidRDefault="00243587">
            <w:pPr>
              <w:rPr>
                <w:rFonts w:ascii="Palatino Linotype" w:eastAsia="Palatino Linotype" w:hAnsi="Palatino Linotype" w:cs="Palatino Linotype"/>
                <w:i/>
              </w:rPr>
            </w:pPr>
            <w:r>
              <w:rPr>
                <w:rFonts w:ascii="Palatino Linotype" w:eastAsia="Palatino Linotype" w:hAnsi="Palatino Linotype" w:cs="Palatino Linotype"/>
                <w:i/>
              </w:rPr>
              <w:t>Rúbrica autógrafa de quien desclasifica.</w:t>
            </w:r>
          </w:p>
        </w:tc>
      </w:tr>
    </w:tbl>
    <w:p w14:paraId="349FFCB9" w14:textId="77777777" w:rsidR="00B36041" w:rsidRDefault="00243587">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Efectivamente, cuando se clasifica información como confidencial es importante someterlo al Comité de Transparencia, quien debe confirmar, modificar o revocar la clasificación.</w:t>
      </w:r>
    </w:p>
    <w:p w14:paraId="78AF1095" w14:textId="77777777" w:rsidR="00B36041" w:rsidRDefault="00243587">
      <w:pPr>
        <w:shd w:val="clear" w:color="auto" w:fill="FFFFFF"/>
        <w:spacing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w:t>
      </w:r>
      <w:r>
        <w:rPr>
          <w:rFonts w:ascii="Palatino Linotype" w:eastAsia="Palatino Linotype" w:hAnsi="Palatino Linotype" w:cs="Palatino Linotype"/>
          <w:b/>
          <w:sz w:val="24"/>
          <w:szCs w:val="24"/>
        </w:rPr>
        <w:t>RECURRENTE.</w:t>
      </w:r>
    </w:p>
    <w:p w14:paraId="6F1C19FD" w14:textId="77777777" w:rsidR="00B36041" w:rsidRDefault="00243587">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241DF47A" w14:textId="77777777" w:rsidR="00B36041" w:rsidRDefault="00243587">
      <w:pPr>
        <w:spacing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2C389FA6" w14:textId="77777777" w:rsidR="00B36041" w:rsidRDefault="00243587">
      <w:pPr>
        <w:spacing w:before="240" w:after="24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RESUELVE</w:t>
      </w:r>
    </w:p>
    <w:p w14:paraId="1351670B" w14:textId="77777777" w:rsidR="00B36041" w:rsidRDefault="00243587">
      <w:pPr>
        <w:spacing w:before="240"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highlight w:val="white"/>
        </w:rPr>
        <w:t>PRIMERO</w:t>
      </w:r>
      <w:r>
        <w:rPr>
          <w:rFonts w:ascii="Palatino Linotype" w:eastAsia="Palatino Linotype" w:hAnsi="Palatino Linotype" w:cs="Palatino Linotype"/>
          <w:sz w:val="24"/>
          <w:szCs w:val="24"/>
          <w:highlight w:val="white"/>
        </w:rPr>
        <w:t xml:space="preserve">. Se </w:t>
      </w:r>
      <w:r>
        <w:rPr>
          <w:rFonts w:ascii="Palatino Linotype" w:eastAsia="Palatino Linotype" w:hAnsi="Palatino Linotype" w:cs="Palatino Linotype"/>
          <w:b/>
          <w:sz w:val="24"/>
          <w:szCs w:val="24"/>
          <w:highlight w:val="white"/>
        </w:rPr>
        <w:t>SOBRESEE</w:t>
      </w:r>
      <w:r>
        <w:rPr>
          <w:rFonts w:ascii="Palatino Linotype" w:eastAsia="Palatino Linotype" w:hAnsi="Palatino Linotype" w:cs="Palatino Linotype"/>
          <w:sz w:val="24"/>
          <w:szCs w:val="24"/>
          <w:highlight w:val="white"/>
        </w:rPr>
        <w:t xml:space="preserve"> el recurso de revisión número </w:t>
      </w:r>
      <w:r>
        <w:rPr>
          <w:rFonts w:ascii="Palatino Linotype" w:eastAsia="Palatino Linotype" w:hAnsi="Palatino Linotype" w:cs="Palatino Linotype"/>
          <w:b/>
          <w:sz w:val="24"/>
          <w:szCs w:val="24"/>
          <w:highlight w:val="white"/>
        </w:rPr>
        <w:t>00764/INFOEM/IP/RR/2022</w:t>
      </w:r>
      <w:r>
        <w:rPr>
          <w:rFonts w:ascii="Palatino Linotype" w:eastAsia="Palatino Linotype" w:hAnsi="Palatino Linotype" w:cs="Palatino Linotype"/>
          <w:b/>
          <w:sz w:val="24"/>
          <w:szCs w:val="24"/>
        </w:rPr>
        <w:t>,</w:t>
      </w:r>
      <w:r>
        <w:rPr>
          <w:rFonts w:ascii="Palatino Linotype" w:eastAsia="Palatino Linotype" w:hAnsi="Palatino Linotype" w:cs="Palatino Linotype"/>
          <w:sz w:val="24"/>
          <w:szCs w:val="24"/>
        </w:rPr>
        <w:t xml:space="preserve"> porque al modificar la falta de respuesta, el recurso de revisión quedó sin materia en términos del Considerando Cuarto de la presente resolución.</w:t>
      </w:r>
    </w:p>
    <w:p w14:paraId="34EACC44" w14:textId="77777777" w:rsidR="00B36041" w:rsidRDefault="00B36041">
      <w:pPr>
        <w:spacing w:after="0" w:line="360" w:lineRule="auto"/>
        <w:jc w:val="both"/>
        <w:rPr>
          <w:rFonts w:ascii="Palatino Linotype" w:eastAsia="Palatino Linotype" w:hAnsi="Palatino Linotype" w:cs="Palatino Linotype"/>
          <w:sz w:val="24"/>
          <w:szCs w:val="24"/>
        </w:rPr>
      </w:pPr>
    </w:p>
    <w:p w14:paraId="2EAB1A2E" w14:textId="77777777" w:rsidR="00B36041" w:rsidRDefault="00243587">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SEGUNDO.</w:t>
      </w:r>
      <w:r>
        <w:rPr>
          <w:rFonts w:ascii="Palatino Linotype" w:eastAsia="Palatino Linotype" w:hAnsi="Palatino Linotype" w:cs="Palatino Linotype"/>
          <w:sz w:val="24"/>
          <w:szCs w:val="24"/>
        </w:rPr>
        <w:t xml:space="preserve"> Resultan </w:t>
      </w:r>
      <w:r>
        <w:rPr>
          <w:rFonts w:ascii="Palatino Linotype" w:eastAsia="Palatino Linotype" w:hAnsi="Palatino Linotype" w:cs="Palatino Linotype"/>
          <w:b/>
          <w:sz w:val="24"/>
          <w:szCs w:val="24"/>
        </w:rPr>
        <w:t>fundadas</w:t>
      </w:r>
      <w:r>
        <w:rPr>
          <w:rFonts w:ascii="Palatino Linotype" w:eastAsia="Palatino Linotype" w:hAnsi="Palatino Linotype" w:cs="Palatino Linotype"/>
          <w:sz w:val="24"/>
          <w:szCs w:val="24"/>
        </w:rPr>
        <w:t xml:space="preserve"> las razones o motivos de la inconformidad planteadas por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b/>
          <w:i/>
          <w:sz w:val="24"/>
          <w:szCs w:val="24"/>
        </w:rPr>
        <w:t xml:space="preserve"> </w:t>
      </w:r>
      <w:r>
        <w:rPr>
          <w:rFonts w:ascii="Palatino Linotype" w:eastAsia="Palatino Linotype" w:hAnsi="Palatino Linotype" w:cs="Palatino Linotype"/>
          <w:sz w:val="24"/>
          <w:szCs w:val="24"/>
        </w:rPr>
        <w:t xml:space="preserve">en el recurso de revisión </w:t>
      </w:r>
      <w:r>
        <w:rPr>
          <w:rFonts w:ascii="Palatino Linotype" w:eastAsia="Palatino Linotype" w:hAnsi="Palatino Linotype" w:cs="Palatino Linotype"/>
          <w:b/>
          <w:color w:val="000000"/>
          <w:sz w:val="24"/>
          <w:szCs w:val="24"/>
        </w:rPr>
        <w:t>00766/INFOEM/IP/RR/2022</w:t>
      </w:r>
      <w:r>
        <w:rPr>
          <w:rFonts w:ascii="Palatino Linotype" w:eastAsia="Palatino Linotype" w:hAnsi="Palatino Linotype" w:cs="Palatino Linotype"/>
          <w:sz w:val="24"/>
          <w:szCs w:val="24"/>
        </w:rPr>
        <w:t xml:space="preserve">, en términos del Considerando </w:t>
      </w:r>
      <w:r>
        <w:rPr>
          <w:rFonts w:ascii="Palatino Linotype" w:eastAsia="Palatino Linotype" w:hAnsi="Palatino Linotype" w:cs="Palatino Linotype"/>
          <w:b/>
          <w:sz w:val="24"/>
          <w:szCs w:val="24"/>
        </w:rPr>
        <w:t>CUARTO</w:t>
      </w:r>
      <w:r>
        <w:rPr>
          <w:rFonts w:ascii="Palatino Linotype" w:eastAsia="Palatino Linotype" w:hAnsi="Palatino Linotype" w:cs="Palatino Linotype"/>
          <w:sz w:val="24"/>
          <w:szCs w:val="24"/>
        </w:rPr>
        <w:t xml:space="preserve"> de esta Resolución.</w:t>
      </w:r>
    </w:p>
    <w:p w14:paraId="75182981" w14:textId="77777777" w:rsidR="00B36041" w:rsidRDefault="00B36041">
      <w:pPr>
        <w:spacing w:after="0" w:line="360" w:lineRule="auto"/>
        <w:jc w:val="both"/>
        <w:rPr>
          <w:rFonts w:ascii="Palatino Linotype" w:eastAsia="Palatino Linotype" w:hAnsi="Palatino Linotype" w:cs="Palatino Linotype"/>
          <w:b/>
          <w:sz w:val="24"/>
          <w:szCs w:val="24"/>
          <w:highlight w:val="white"/>
        </w:rPr>
      </w:pPr>
    </w:p>
    <w:p w14:paraId="3AFD2F0D" w14:textId="77777777" w:rsidR="00B36041" w:rsidRDefault="00243587">
      <w:pPr>
        <w:spacing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TERCERO. </w:t>
      </w:r>
      <w:r>
        <w:rPr>
          <w:rFonts w:ascii="Palatino Linotype" w:eastAsia="Palatino Linotype" w:hAnsi="Palatino Linotype" w:cs="Palatino Linotype"/>
          <w:sz w:val="24"/>
          <w:szCs w:val="24"/>
        </w:rPr>
        <w:t xml:space="preserve">Se </w:t>
      </w:r>
      <w:r>
        <w:rPr>
          <w:rFonts w:ascii="Palatino Linotype" w:eastAsia="Palatino Linotype" w:hAnsi="Palatino Linotype" w:cs="Palatino Linotype"/>
          <w:b/>
          <w:sz w:val="24"/>
          <w:szCs w:val="24"/>
        </w:rPr>
        <w:t>ORDENA</w:t>
      </w:r>
      <w:r>
        <w:rPr>
          <w:rFonts w:ascii="Palatino Linotype" w:eastAsia="Palatino Linotype" w:hAnsi="Palatino Linotype" w:cs="Palatino Linotype"/>
          <w:sz w:val="24"/>
          <w:szCs w:val="24"/>
        </w:rPr>
        <w:t xml:space="preserve"> 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que en términos del Considerando Cuarto y Quinto de esta resolución haga entrega, vía SAIMEX, en versión pública de ser procedente, los  documentos donde conste: </w:t>
      </w:r>
    </w:p>
    <w:p w14:paraId="1E02E2DC" w14:textId="77777777" w:rsidR="00B36041" w:rsidRDefault="00243587">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 la Directora General de Educación y Cultura, al </w:t>
      </w:r>
      <w:r>
        <w:rPr>
          <w:rFonts w:ascii="Palatino Linotype" w:eastAsia="Palatino Linotype" w:hAnsi="Palatino Linotype" w:cs="Palatino Linotype"/>
          <w:sz w:val="24"/>
          <w:szCs w:val="24"/>
        </w:rPr>
        <w:t>t</w:t>
      </w:r>
      <w:r>
        <w:rPr>
          <w:rFonts w:ascii="Palatino Linotype" w:eastAsia="Palatino Linotype" w:hAnsi="Palatino Linotype" w:cs="Palatino Linotype"/>
          <w:color w:val="000000"/>
          <w:sz w:val="24"/>
          <w:szCs w:val="24"/>
        </w:rPr>
        <w:t xml:space="preserve">rece de enero de dos mil veintidós lo siguiente: </w:t>
      </w:r>
    </w:p>
    <w:p w14:paraId="6FC5E34B" w14:textId="77777777" w:rsidR="00B36041" w:rsidRDefault="00243587">
      <w:pPr>
        <w:numPr>
          <w:ilvl w:val="0"/>
          <w:numId w:val="6"/>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Constancia de no inhabilitación;</w:t>
      </w:r>
    </w:p>
    <w:p w14:paraId="15AD9821" w14:textId="77777777" w:rsidR="00B36041" w:rsidRDefault="00243587">
      <w:pPr>
        <w:numPr>
          <w:ilvl w:val="0"/>
          <w:numId w:val="6"/>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Certificado de antecedentes no penales;</w:t>
      </w:r>
    </w:p>
    <w:p w14:paraId="3FB1E269" w14:textId="77777777" w:rsidR="00B36041" w:rsidRDefault="00243587">
      <w:pPr>
        <w:numPr>
          <w:ilvl w:val="0"/>
          <w:numId w:val="6"/>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Grado de estudios; </w:t>
      </w:r>
    </w:p>
    <w:p w14:paraId="2647A75E" w14:textId="77777777" w:rsidR="00B36041" w:rsidRDefault="00243587">
      <w:pPr>
        <w:numPr>
          <w:ilvl w:val="0"/>
          <w:numId w:val="6"/>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Certificación de competencia laboral; y, </w:t>
      </w:r>
    </w:p>
    <w:p w14:paraId="25EC9718" w14:textId="77777777" w:rsidR="00B36041" w:rsidRDefault="00243587">
      <w:pPr>
        <w:numPr>
          <w:ilvl w:val="0"/>
          <w:numId w:val="6"/>
        </w:numPr>
        <w:pBdr>
          <w:top w:val="nil"/>
          <w:left w:val="nil"/>
          <w:bottom w:val="nil"/>
          <w:right w:val="nil"/>
          <w:between w:val="nil"/>
        </w:pBdr>
        <w:spacing w:before="240" w:after="12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Nombramiento, FUM, contrato o documento análogo que acredite la relación laboral </w:t>
      </w:r>
    </w:p>
    <w:p w14:paraId="006D3450" w14:textId="77777777" w:rsidR="00B36041" w:rsidRDefault="00243587">
      <w:pPr>
        <w:pBdr>
          <w:top w:val="nil"/>
          <w:left w:val="nil"/>
          <w:bottom w:val="nil"/>
          <w:right w:val="nil"/>
          <w:between w:val="nil"/>
        </w:pBdr>
        <w:spacing w:before="240" w:after="120" w:line="360" w:lineRule="auto"/>
        <w:ind w:left="720"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i/>
          <w:color w:val="000000"/>
          <w:sz w:val="20"/>
          <w:szCs w:val="2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14:paraId="787C8433" w14:textId="77777777" w:rsidR="00B36041" w:rsidRDefault="00243587">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Para el caso, de que no se haya generado la información que se ordena en el inciso “D”, bastará que así se lo haga saber a la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de manera fundada y motivada. </w:t>
      </w:r>
    </w:p>
    <w:p w14:paraId="5BE89FFF" w14:textId="77777777" w:rsidR="00B36041" w:rsidRDefault="00243587">
      <w:pPr>
        <w:spacing w:before="240" w:after="24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Acuerdo del Comité de Transparencia en términos del artículo 49 fracción VIII, 122, 143 fracciones I y II y 149 de la Ley de Transparencia y Acceso a la Información Pública del Estado de México y Municipios, en el que funde y motive las razones por virtud de las cuales se justifique la clasificación como totalmente confidenciales las documentales con las cuales acredite la fracción I del artículo 32 de la Ley Orgánica Municipal del Estado de México, indicada en el considerando cuarto de la presente resolución. </w:t>
      </w:r>
    </w:p>
    <w:p w14:paraId="064EEE9B" w14:textId="77777777" w:rsidR="00B36041" w:rsidRDefault="00B36041">
      <w:pPr>
        <w:spacing w:after="0" w:line="360" w:lineRule="auto"/>
        <w:ind w:right="49"/>
        <w:jc w:val="both"/>
        <w:rPr>
          <w:rFonts w:ascii="Palatino Linotype" w:eastAsia="Palatino Linotype" w:hAnsi="Palatino Linotype" w:cs="Palatino Linotype"/>
          <w:sz w:val="24"/>
          <w:szCs w:val="24"/>
        </w:rPr>
      </w:pPr>
    </w:p>
    <w:p w14:paraId="1D24522E" w14:textId="77777777" w:rsidR="00B36041" w:rsidRDefault="0024358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TERCERO.</w:t>
      </w:r>
      <w:r>
        <w:rPr>
          <w:rFonts w:ascii="Palatino Linotype" w:eastAsia="Palatino Linotype" w:hAnsi="Palatino Linotype" w:cs="Palatino Linotype"/>
          <w:sz w:val="24"/>
          <w:szCs w:val="24"/>
        </w:rPr>
        <w:t> </w:t>
      </w:r>
      <w:r>
        <w:rPr>
          <w:rFonts w:ascii="Palatino Linotype" w:eastAsia="Palatino Linotype" w:hAnsi="Palatino Linotype" w:cs="Palatino Linotype"/>
          <w:b/>
          <w:sz w:val="24"/>
          <w:szCs w:val="24"/>
        </w:rPr>
        <w:t xml:space="preserve">NOTIFÍQUESE vía SAIMEX </w:t>
      </w:r>
      <w:r>
        <w:rPr>
          <w:rFonts w:ascii="Palatino Linotype" w:eastAsia="Palatino Linotype" w:hAnsi="Palatino Linotype" w:cs="Palatino Linotype"/>
          <w:sz w:val="24"/>
          <w:szCs w:val="24"/>
        </w:rPr>
        <w:t>la presente resolución al Titular de la Unidad de Transparencia del Sujeto Obligado,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5716616" w14:textId="77777777" w:rsidR="00B36041" w:rsidRDefault="00B36041">
      <w:pPr>
        <w:spacing w:after="0" w:line="360" w:lineRule="auto"/>
        <w:ind w:right="49"/>
        <w:jc w:val="both"/>
        <w:rPr>
          <w:rFonts w:ascii="Palatino Linotype" w:eastAsia="Palatino Linotype" w:hAnsi="Palatino Linotype" w:cs="Palatino Linotype"/>
          <w:sz w:val="24"/>
          <w:szCs w:val="24"/>
        </w:rPr>
      </w:pPr>
    </w:p>
    <w:p w14:paraId="3A661663" w14:textId="77777777" w:rsidR="00B36041" w:rsidRDefault="00243587">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CUARTO. NOTIFÍQUESE vía SAIMEX</w:t>
      </w:r>
      <w:r>
        <w:rPr>
          <w:rFonts w:ascii="Palatino Linotype" w:eastAsia="Palatino Linotype" w:hAnsi="Palatino Linotype" w:cs="Palatino Linotype"/>
          <w:sz w:val="24"/>
          <w:szCs w:val="24"/>
        </w:rPr>
        <w:t xml:space="preserve"> al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797596DF" w14:textId="77777777" w:rsidR="00B36041" w:rsidRDefault="00B36041">
      <w:pPr>
        <w:spacing w:after="0" w:line="360" w:lineRule="auto"/>
        <w:ind w:right="49"/>
        <w:jc w:val="both"/>
        <w:rPr>
          <w:rFonts w:ascii="Palatino Linotype" w:eastAsia="Palatino Linotype" w:hAnsi="Palatino Linotype" w:cs="Palatino Linotype"/>
          <w:sz w:val="24"/>
          <w:szCs w:val="24"/>
        </w:rPr>
      </w:pPr>
    </w:p>
    <w:p w14:paraId="2F29F115" w14:textId="77777777" w:rsidR="00B36041" w:rsidRDefault="00243587">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QUINTO. </w:t>
      </w:r>
      <w:r>
        <w:rPr>
          <w:rFonts w:ascii="Palatino Linotype" w:eastAsia="Palatino Linotype" w:hAnsi="Palatino Linotype" w:cs="Palatino Linotype"/>
          <w:sz w:val="24"/>
          <w:szCs w:val="24"/>
        </w:rPr>
        <w:t xml:space="preserve">Notifíquese, a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que las respuestas que dé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77128712" w14:textId="77777777" w:rsidR="00B36041" w:rsidRDefault="00243587">
      <w:pPr>
        <w:spacing w:before="240" w:after="24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SEXTO. GÍRESE </w:t>
      </w:r>
      <w:r>
        <w:rPr>
          <w:rFonts w:ascii="Palatino Linotype" w:eastAsia="Palatino Linotype" w:hAnsi="Palatino Linotype" w:cs="Palatino Linotype"/>
          <w:sz w:val="24"/>
          <w:szCs w:val="24"/>
        </w:rPr>
        <w:t xml:space="preserve">oficio al Contralor Interno y Órgano de Control y Vigilancia de este Instituto para hacer de su conocimiento la presente resolución, a fin de que en ejercicio de sus atribuciones y de conformidad con el artículo 190, de la Ley de Transparencia y Acceso a la Información Pública del Estado de México y Municipios, determine lo conducente al Recurso de Revisión </w:t>
      </w:r>
      <w:r>
        <w:rPr>
          <w:rFonts w:ascii="Palatino Linotype" w:eastAsia="Palatino Linotype" w:hAnsi="Palatino Linotype" w:cs="Palatino Linotype"/>
          <w:b/>
          <w:color w:val="000000"/>
          <w:sz w:val="24"/>
          <w:szCs w:val="24"/>
        </w:rPr>
        <w:t>00766/INFOEM/IP/RR/2022</w:t>
      </w:r>
      <w:r>
        <w:rPr>
          <w:rFonts w:ascii="Palatino Linotype" w:eastAsia="Palatino Linotype" w:hAnsi="Palatino Linotype" w:cs="Palatino Linotype"/>
          <w:sz w:val="24"/>
          <w:szCs w:val="24"/>
        </w:rPr>
        <w:t>, en términos de lo señalado en el considerando</w:t>
      </w:r>
      <w:r>
        <w:rPr>
          <w:rFonts w:ascii="Palatino Linotype" w:eastAsia="Palatino Linotype" w:hAnsi="Palatino Linotype" w:cs="Palatino Linotype"/>
          <w:b/>
          <w:sz w:val="24"/>
          <w:szCs w:val="24"/>
        </w:rPr>
        <w:t xml:space="preserve"> Cuarto </w:t>
      </w:r>
      <w:r>
        <w:rPr>
          <w:rFonts w:ascii="Palatino Linotype" w:eastAsia="Palatino Linotype" w:hAnsi="Palatino Linotype" w:cs="Palatino Linotype"/>
          <w:sz w:val="24"/>
          <w:szCs w:val="24"/>
        </w:rPr>
        <w:t>de la presente resolución.</w:t>
      </w:r>
      <w:r>
        <w:rPr>
          <w:rFonts w:ascii="Palatino Linotype" w:eastAsia="Palatino Linotype" w:hAnsi="Palatino Linotype" w:cs="Palatino Linotype"/>
          <w:b/>
          <w:sz w:val="24"/>
          <w:szCs w:val="24"/>
        </w:rPr>
        <w:t xml:space="preserve"> </w:t>
      </w:r>
    </w:p>
    <w:p w14:paraId="1CD4B294" w14:textId="77777777" w:rsidR="00B36041" w:rsidRDefault="00243587">
      <w:pPr>
        <w:spacing w:before="240" w:after="24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SÉPTIMO. </w:t>
      </w:r>
      <w:r>
        <w:rPr>
          <w:rFonts w:ascii="Palatino Linotype" w:eastAsia="Palatino Linotype" w:hAnsi="Palatino Linotype" w:cs="Palatino Linotype"/>
          <w:sz w:val="24"/>
          <w:szCs w:val="24"/>
        </w:rPr>
        <w:t>Con fundamento en el artículo 198 de la Ley de la Ley de Transparencia y Acceso a la Información Pública del Estado de México y Municipios, se apercibe al Sujeto Obligado que, en caso de negarse a cumplir la presente resolución o hacerlo de manera parcial se actuará de conformidad con lo previsto en los artículos 213, 214, 216 y 217 de dicha Ley.</w:t>
      </w:r>
      <w:r>
        <w:rPr>
          <w:rFonts w:ascii="Palatino Linotype" w:eastAsia="Palatino Linotype" w:hAnsi="Palatino Linotype" w:cs="Palatino Linotype"/>
          <w:b/>
          <w:sz w:val="24"/>
          <w:szCs w:val="24"/>
        </w:rPr>
        <w:t xml:space="preserve">  </w:t>
      </w:r>
    </w:p>
    <w:p w14:paraId="26D3A71E" w14:textId="77777777" w:rsidR="00B36041" w:rsidRDefault="00243587">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CUARTA SESIÓN ORDINARIA CELEBRADA EL VEINTE DE ABRIL DEL DOS MIL VEINTIDÓS, ANTE EL SECRETARIO TÉCNICO DEL PLENO ALEXIS TAPIA RAMÍREZ.</w:t>
      </w:r>
    </w:p>
    <w:p w14:paraId="20BEEB17" w14:textId="77777777" w:rsidR="00B36041" w:rsidRDefault="00B36041">
      <w:pPr>
        <w:spacing w:line="360" w:lineRule="auto"/>
        <w:jc w:val="both"/>
        <w:rPr>
          <w:rFonts w:ascii="Palatino Linotype" w:eastAsia="Palatino Linotype" w:hAnsi="Palatino Linotype" w:cs="Palatino Linotype"/>
          <w:sz w:val="24"/>
          <w:szCs w:val="24"/>
        </w:rPr>
      </w:pPr>
    </w:p>
    <w:sectPr w:rsidR="00B36041">
      <w:headerReference w:type="default" r:id="rId36"/>
      <w:footerReference w:type="default" r:id="rId37"/>
      <w:headerReference w:type="first" r:id="rId38"/>
      <w:footerReference w:type="first" r:id="rId39"/>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4C8E5" w14:textId="77777777" w:rsidR="00004D39" w:rsidRDefault="00004D39">
      <w:pPr>
        <w:spacing w:after="0" w:line="240" w:lineRule="auto"/>
      </w:pPr>
      <w:r>
        <w:separator/>
      </w:r>
    </w:p>
  </w:endnote>
  <w:endnote w:type="continuationSeparator" w:id="0">
    <w:p w14:paraId="368699E1" w14:textId="77777777" w:rsidR="00004D39" w:rsidRDefault="00004D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1CEE0" w14:textId="77777777" w:rsidR="00B36041" w:rsidRDefault="00243587">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81B35">
      <w:rPr>
        <w:rFonts w:ascii="Arial" w:eastAsia="Arial" w:hAnsi="Arial" w:cs="Arial"/>
        <w:b/>
        <w:noProof/>
        <w:color w:val="000000"/>
        <w:sz w:val="20"/>
        <w:szCs w:val="20"/>
      </w:rPr>
      <w:t>15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81B35">
      <w:rPr>
        <w:rFonts w:ascii="Arial" w:eastAsia="Arial" w:hAnsi="Arial" w:cs="Arial"/>
        <w:b/>
        <w:noProof/>
        <w:color w:val="000000"/>
        <w:sz w:val="20"/>
        <w:szCs w:val="20"/>
      </w:rPr>
      <w:t>93</w:t>
    </w:r>
    <w:r>
      <w:rPr>
        <w:rFonts w:ascii="Arial" w:eastAsia="Arial" w:hAnsi="Arial" w:cs="Arial"/>
        <w:b/>
        <w:color w:val="000000"/>
        <w:sz w:val="20"/>
        <w:szCs w:val="20"/>
      </w:rPr>
      <w:fldChar w:fldCharType="end"/>
    </w:r>
  </w:p>
  <w:p w14:paraId="7A7A3BD1" w14:textId="77777777" w:rsidR="00B36041" w:rsidRDefault="00B36041">
    <w:pPr>
      <w:pBdr>
        <w:top w:val="nil"/>
        <w:left w:val="nil"/>
        <w:bottom w:val="nil"/>
        <w:right w:val="nil"/>
        <w:between w:val="nil"/>
      </w:pBdr>
      <w:tabs>
        <w:tab w:val="center" w:pos="4419"/>
        <w:tab w:val="right" w:pos="8838"/>
      </w:tabs>
      <w:spacing w:after="0" w:line="240" w:lineRule="auto"/>
      <w:rPr>
        <w:color w:val="000000"/>
      </w:rPr>
    </w:pPr>
  </w:p>
  <w:p w14:paraId="3E55B5F7" w14:textId="77777777" w:rsidR="00B36041" w:rsidRDefault="00B36041">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63781" w14:textId="77777777" w:rsidR="00B36041" w:rsidRDefault="00243587">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81B35">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81B35">
      <w:rPr>
        <w:rFonts w:ascii="Arial" w:eastAsia="Arial" w:hAnsi="Arial" w:cs="Arial"/>
        <w:b/>
        <w:noProof/>
        <w:color w:val="000000"/>
        <w:sz w:val="20"/>
        <w:szCs w:val="20"/>
      </w:rPr>
      <w:t>93</w:t>
    </w:r>
    <w:r>
      <w:rPr>
        <w:rFonts w:ascii="Arial" w:eastAsia="Arial" w:hAnsi="Arial" w:cs="Arial"/>
        <w:b/>
        <w:color w:val="000000"/>
        <w:sz w:val="20"/>
        <w:szCs w:val="20"/>
      </w:rPr>
      <w:fldChar w:fldCharType="end"/>
    </w:r>
  </w:p>
  <w:p w14:paraId="6E1C049C" w14:textId="77777777" w:rsidR="00B36041" w:rsidRDefault="00B36041">
    <w:pPr>
      <w:pBdr>
        <w:top w:val="nil"/>
        <w:left w:val="nil"/>
        <w:bottom w:val="nil"/>
        <w:right w:val="nil"/>
        <w:between w:val="nil"/>
      </w:pBdr>
      <w:tabs>
        <w:tab w:val="center" w:pos="4419"/>
        <w:tab w:val="right" w:pos="8838"/>
      </w:tabs>
      <w:spacing w:after="0" w:line="240" w:lineRule="auto"/>
      <w:rPr>
        <w:color w:val="000000"/>
      </w:rPr>
    </w:pPr>
  </w:p>
  <w:p w14:paraId="43E9D014" w14:textId="77777777" w:rsidR="00B36041" w:rsidRDefault="00B3604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87BB6" w14:textId="77777777" w:rsidR="00004D39" w:rsidRDefault="00004D39">
      <w:pPr>
        <w:spacing w:after="0" w:line="240" w:lineRule="auto"/>
      </w:pPr>
      <w:r>
        <w:separator/>
      </w:r>
    </w:p>
  </w:footnote>
  <w:footnote w:type="continuationSeparator" w:id="0">
    <w:p w14:paraId="4341CD9B" w14:textId="77777777" w:rsidR="00004D39" w:rsidRDefault="00004D39">
      <w:pPr>
        <w:spacing w:after="0" w:line="240" w:lineRule="auto"/>
      </w:pPr>
      <w:r>
        <w:continuationSeparator/>
      </w:r>
    </w:p>
  </w:footnote>
  <w:footnote w:id="1">
    <w:p w14:paraId="2C8747CD" w14:textId="77777777" w:rsidR="00B36041" w:rsidRDefault="00243587">
      <w:pPr>
        <w:spacing w:after="0" w:line="240" w:lineRule="auto"/>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sz w:val="20"/>
          <w:szCs w:val="20"/>
        </w:rPr>
        <w:t xml:space="preserve"> (…)</w:t>
      </w:r>
    </w:p>
  </w:footnote>
  <w:footnote w:id="2">
    <w:p w14:paraId="5CDA3C58" w14:textId="77777777" w:rsidR="00B36041" w:rsidRDefault="00243587">
      <w:pPr>
        <w:spacing w:after="0" w:line="240" w:lineRule="auto"/>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9"/>
          <w:szCs w:val="19"/>
        </w:rPr>
        <w:t xml:space="preserve"> </w:t>
      </w:r>
      <w:r>
        <w:rPr>
          <w:rFonts w:ascii="Palatino Linotype" w:eastAsia="Palatino Linotype" w:hAnsi="Palatino Linotype" w:cs="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3B49D0A3" w14:textId="77777777" w:rsidR="00B36041" w:rsidRDefault="00243587">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20"/>
          <w:szCs w:val="20"/>
        </w:rPr>
        <w:t xml:space="preserve"> </w:t>
      </w:r>
      <w:r>
        <w:rPr>
          <w:rFonts w:ascii="Palatino Linotype" w:eastAsia="Palatino Linotype" w:hAnsi="Palatino Linotype" w:cs="Palatino Linotype"/>
          <w:color w:val="000000"/>
          <w:sz w:val="16"/>
          <w:szCs w:val="16"/>
        </w:rPr>
        <w:t>“Artículo 166. La obligación de acceso a la información pública se tendrá por cumplida cuando el solicitante tenga a su disposición la información requerida, o cuando realice la consulta de la misma en el lugar en el que ésta se localice…”(Sic)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5E55F" w14:textId="77777777" w:rsidR="00B36041" w:rsidRDefault="00B36041">
    <w:pPr>
      <w:widowControl w:val="0"/>
      <w:pBdr>
        <w:top w:val="nil"/>
        <w:left w:val="nil"/>
        <w:bottom w:val="nil"/>
        <w:right w:val="nil"/>
        <w:between w:val="nil"/>
      </w:pBdr>
      <w:spacing w:after="0" w:line="276" w:lineRule="auto"/>
      <w:rPr>
        <w:color w:val="000000"/>
      </w:rPr>
    </w:pPr>
  </w:p>
  <w:tbl>
    <w:tblPr>
      <w:tblStyle w:val="a4"/>
      <w:tblW w:w="10302" w:type="dxa"/>
      <w:tblInd w:w="-1281" w:type="dxa"/>
      <w:tblLayout w:type="fixed"/>
      <w:tblLook w:val="0400" w:firstRow="0" w:lastRow="0" w:firstColumn="0" w:lastColumn="0" w:noHBand="0" w:noVBand="1"/>
    </w:tblPr>
    <w:tblGrid>
      <w:gridCol w:w="5660"/>
      <w:gridCol w:w="4642"/>
    </w:tblGrid>
    <w:tr w:rsidR="00B36041" w14:paraId="08358044" w14:textId="77777777">
      <w:trPr>
        <w:trHeight w:val="260"/>
      </w:trPr>
      <w:tc>
        <w:tcPr>
          <w:tcW w:w="5660" w:type="dxa"/>
        </w:tcPr>
        <w:p w14:paraId="1D4D5D62" w14:textId="77777777" w:rsidR="00B36041" w:rsidRDefault="0024358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42" w:type="dxa"/>
        </w:tcPr>
        <w:p w14:paraId="3C04336C" w14:textId="77777777" w:rsidR="00B36041" w:rsidRDefault="00243587">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00764/INFOEM/IP/RR/2022 y 00766/INFOEM/IP/RR/2022</w:t>
          </w:r>
        </w:p>
      </w:tc>
    </w:tr>
    <w:tr w:rsidR="00B36041" w14:paraId="438AC930" w14:textId="77777777">
      <w:trPr>
        <w:trHeight w:val="224"/>
      </w:trPr>
      <w:tc>
        <w:tcPr>
          <w:tcW w:w="5660" w:type="dxa"/>
        </w:tcPr>
        <w:p w14:paraId="078675DE" w14:textId="77777777" w:rsidR="00B36041" w:rsidRDefault="0024358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2" w:type="dxa"/>
        </w:tcPr>
        <w:p w14:paraId="4C646BDD" w14:textId="77777777" w:rsidR="00B36041" w:rsidRDefault="00B36041">
          <w:pPr>
            <w:spacing w:after="120"/>
            <w:ind w:left="-486" w:right="214" w:firstLine="567"/>
            <w:jc w:val="right"/>
            <w:rPr>
              <w:rFonts w:ascii="Palatino Linotype" w:eastAsia="Palatino Linotype" w:hAnsi="Palatino Linotype" w:cs="Palatino Linotype"/>
              <w:sz w:val="24"/>
              <w:szCs w:val="24"/>
            </w:rPr>
          </w:pPr>
        </w:p>
      </w:tc>
    </w:tr>
    <w:tr w:rsidR="00B36041" w14:paraId="09E22984" w14:textId="77777777">
      <w:trPr>
        <w:trHeight w:val="278"/>
      </w:trPr>
      <w:tc>
        <w:tcPr>
          <w:tcW w:w="5660" w:type="dxa"/>
        </w:tcPr>
        <w:p w14:paraId="3E55105A" w14:textId="77777777" w:rsidR="00B36041" w:rsidRDefault="00243587">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14:paraId="60612555" w14:textId="77777777" w:rsidR="00B36041" w:rsidRDefault="00243587">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Naucalpan de Juárez</w:t>
          </w:r>
        </w:p>
      </w:tc>
    </w:tr>
    <w:tr w:rsidR="00B36041" w14:paraId="69B86DA4" w14:textId="77777777">
      <w:trPr>
        <w:trHeight w:val="393"/>
      </w:trPr>
      <w:tc>
        <w:tcPr>
          <w:tcW w:w="5660" w:type="dxa"/>
        </w:tcPr>
        <w:p w14:paraId="445F5531" w14:textId="77777777" w:rsidR="00B36041" w:rsidRDefault="00243587">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14:paraId="18540109" w14:textId="77777777" w:rsidR="00B36041" w:rsidRDefault="00243587">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63530F55" w14:textId="77777777" w:rsidR="00B36041" w:rsidRDefault="00243587">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67DFC109" wp14:editId="0DFD71FB">
          <wp:simplePos x="0" y="0"/>
          <wp:positionH relativeFrom="column">
            <wp:posOffset>-1089024</wp:posOffset>
          </wp:positionH>
          <wp:positionV relativeFrom="paragraph">
            <wp:posOffset>-1550034</wp:posOffset>
          </wp:positionV>
          <wp:extent cx="7867650" cy="10133330"/>
          <wp:effectExtent l="0" t="0" r="0" b="0"/>
          <wp:wrapNone/>
          <wp:docPr id="13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7AAD2" w14:textId="77777777" w:rsidR="00B36041" w:rsidRDefault="00B3604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6"/>
        <w:szCs w:val="16"/>
      </w:rPr>
    </w:pPr>
  </w:p>
  <w:tbl>
    <w:tblPr>
      <w:tblStyle w:val="a3"/>
      <w:tblW w:w="10302" w:type="dxa"/>
      <w:tblInd w:w="-1281" w:type="dxa"/>
      <w:tblLayout w:type="fixed"/>
      <w:tblLook w:val="0400" w:firstRow="0" w:lastRow="0" w:firstColumn="0" w:lastColumn="0" w:noHBand="0" w:noVBand="1"/>
    </w:tblPr>
    <w:tblGrid>
      <w:gridCol w:w="5660"/>
      <w:gridCol w:w="4642"/>
    </w:tblGrid>
    <w:tr w:rsidR="00B36041" w14:paraId="784B8E03" w14:textId="77777777">
      <w:trPr>
        <w:trHeight w:val="260"/>
      </w:trPr>
      <w:tc>
        <w:tcPr>
          <w:tcW w:w="5660" w:type="dxa"/>
        </w:tcPr>
        <w:p w14:paraId="3810EEF7" w14:textId="77777777" w:rsidR="00B36041" w:rsidRDefault="0024358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42" w:type="dxa"/>
        </w:tcPr>
        <w:p w14:paraId="7CAC47CD" w14:textId="77777777" w:rsidR="00B36041" w:rsidRDefault="00243587">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00764/INFOEM/IP/RR/2022 y 00766/INFOEM/IP/RR/2022</w:t>
          </w:r>
        </w:p>
      </w:tc>
    </w:tr>
    <w:tr w:rsidR="00B36041" w14:paraId="07897BBA" w14:textId="77777777">
      <w:trPr>
        <w:trHeight w:val="224"/>
      </w:trPr>
      <w:tc>
        <w:tcPr>
          <w:tcW w:w="5660" w:type="dxa"/>
        </w:tcPr>
        <w:p w14:paraId="059403C0" w14:textId="77777777" w:rsidR="00B36041" w:rsidRDefault="00243587">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2" w:type="dxa"/>
        </w:tcPr>
        <w:p w14:paraId="1A609D91" w14:textId="77777777" w:rsidR="00B36041" w:rsidRDefault="00281B35">
          <w:pPr>
            <w:spacing w:after="120"/>
            <w:ind w:left="-486" w:right="214" w:firstLine="567"/>
            <w:jc w:val="right"/>
            <w:rPr>
              <w:rFonts w:ascii="Palatino Linotype" w:eastAsia="Palatino Linotype" w:hAnsi="Palatino Linotype" w:cs="Palatino Linotype"/>
              <w:sz w:val="24"/>
              <w:szCs w:val="24"/>
            </w:rPr>
          </w:pPr>
          <w:r w:rsidRPr="00281B35">
            <w:rPr>
              <w:rFonts w:ascii="Palatino Linotype" w:eastAsia="Palatino Linotype" w:hAnsi="Palatino Linotype" w:cs="Palatino Linotype"/>
              <w:color w:val="000000"/>
              <w:sz w:val="24"/>
              <w:szCs w:val="24"/>
            </w:rPr>
            <w:t>XXXX XXXXX X</w:t>
          </w:r>
        </w:p>
      </w:tc>
    </w:tr>
    <w:tr w:rsidR="00B36041" w14:paraId="334723BB" w14:textId="77777777">
      <w:trPr>
        <w:trHeight w:val="278"/>
      </w:trPr>
      <w:tc>
        <w:tcPr>
          <w:tcW w:w="5660" w:type="dxa"/>
        </w:tcPr>
        <w:p w14:paraId="405C3CF4" w14:textId="77777777" w:rsidR="00B36041" w:rsidRDefault="00243587">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14:paraId="2D9B20D4" w14:textId="77777777" w:rsidR="00B36041" w:rsidRDefault="00243587">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Naucalpan de Juárez</w:t>
          </w:r>
        </w:p>
      </w:tc>
    </w:tr>
    <w:tr w:rsidR="00B36041" w14:paraId="68442479" w14:textId="77777777">
      <w:trPr>
        <w:trHeight w:val="393"/>
      </w:trPr>
      <w:tc>
        <w:tcPr>
          <w:tcW w:w="5660" w:type="dxa"/>
        </w:tcPr>
        <w:p w14:paraId="4B32980C" w14:textId="77777777" w:rsidR="00B36041" w:rsidRDefault="00243587">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14:paraId="6EFFD967" w14:textId="77777777" w:rsidR="00B36041" w:rsidRDefault="00243587">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19383111" w14:textId="77777777" w:rsidR="00B36041" w:rsidRDefault="00243587">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14:anchorId="4F0A5963" wp14:editId="5B141570">
          <wp:simplePos x="0" y="0"/>
          <wp:positionH relativeFrom="column">
            <wp:posOffset>-1165224</wp:posOffset>
          </wp:positionH>
          <wp:positionV relativeFrom="paragraph">
            <wp:posOffset>-1569084</wp:posOffset>
          </wp:positionV>
          <wp:extent cx="7867650" cy="10133330"/>
          <wp:effectExtent l="0" t="0" r="0" b="0"/>
          <wp:wrapNone/>
          <wp:docPr id="15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F3E82"/>
    <w:multiLevelType w:val="multilevel"/>
    <w:tmpl w:val="71368B9E"/>
    <w:lvl w:ilvl="0">
      <w:start w:val="1"/>
      <w:numFmt w:val="upp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242795"/>
    <w:multiLevelType w:val="multilevel"/>
    <w:tmpl w:val="9698AE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660D94"/>
    <w:multiLevelType w:val="multilevel"/>
    <w:tmpl w:val="1492985A"/>
    <w:lvl w:ilvl="0">
      <w:start w:val="1"/>
      <w:numFmt w:val="decimal"/>
      <w:lvlText w:val="%1."/>
      <w:lvlJc w:val="left"/>
      <w:pPr>
        <w:ind w:left="644" w:hanging="357"/>
      </w:pPr>
      <w:rPr>
        <w:sz w:val="14"/>
        <w:szCs w:val="1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15:restartNumberingAfterBreak="0">
    <w:nsid w:val="21A0236D"/>
    <w:multiLevelType w:val="multilevel"/>
    <w:tmpl w:val="88466ED2"/>
    <w:lvl w:ilvl="0">
      <w:start w:val="1"/>
      <w:numFmt w:val="decimal"/>
      <w:lvlText w:val="%1."/>
      <w:lvlJc w:val="left"/>
      <w:pPr>
        <w:ind w:left="644" w:hanging="357"/>
      </w:pPr>
    </w:lvl>
    <w:lvl w:ilvl="1">
      <w:start w:val="1"/>
      <w:numFmt w:val="lowerLetter"/>
      <w:lvlText w:val="%2."/>
      <w:lvlJc w:val="left"/>
      <w:pPr>
        <w:ind w:left="1364" w:hanging="360"/>
      </w:pPr>
      <w:rPr>
        <w:sz w:val="14"/>
        <w:szCs w:val="14"/>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242C7835"/>
    <w:multiLevelType w:val="multilevel"/>
    <w:tmpl w:val="C6F419BE"/>
    <w:lvl w:ilvl="0">
      <w:start w:val="1"/>
      <w:numFmt w:val="lowerLetter"/>
      <w:lvlText w:val="%1."/>
      <w:lvlJc w:val="left"/>
      <w:pPr>
        <w:ind w:left="1776" w:hanging="360"/>
      </w:p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5" w15:restartNumberingAfterBreak="0">
    <w:nsid w:val="3C8E5EA5"/>
    <w:multiLevelType w:val="multilevel"/>
    <w:tmpl w:val="4F4C9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9A06349"/>
    <w:multiLevelType w:val="multilevel"/>
    <w:tmpl w:val="44584584"/>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num w:numId="1" w16cid:durableId="1408380015">
    <w:abstractNumId w:val="5"/>
  </w:num>
  <w:num w:numId="2" w16cid:durableId="1061173875">
    <w:abstractNumId w:val="4"/>
  </w:num>
  <w:num w:numId="3" w16cid:durableId="529491369">
    <w:abstractNumId w:val="1"/>
  </w:num>
  <w:num w:numId="4" w16cid:durableId="1234125049">
    <w:abstractNumId w:val="2"/>
  </w:num>
  <w:num w:numId="5" w16cid:durableId="1028144435">
    <w:abstractNumId w:val="3"/>
  </w:num>
  <w:num w:numId="6" w16cid:durableId="397099433">
    <w:abstractNumId w:val="0"/>
  </w:num>
  <w:num w:numId="7" w16cid:durableId="3737713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041"/>
    <w:rsid w:val="00004D39"/>
    <w:rsid w:val="00243587"/>
    <w:rsid w:val="00281B35"/>
    <w:rsid w:val="00B36041"/>
    <w:rsid w:val="00C904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B1A65"/>
  <w15:docId w15:val="{83EDCD0D-4608-425A-836A-AA3873D95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EBA"/>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152F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52FBF"/>
  </w:style>
  <w:style w:type="paragraph" w:styleId="Piedepgina">
    <w:name w:val="footer"/>
    <w:basedOn w:val="Normal"/>
    <w:link w:val="PiedepginaCar"/>
    <w:uiPriority w:val="99"/>
    <w:unhideWhenUsed/>
    <w:rsid w:val="00152F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52FBF"/>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152FBF"/>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152FBF"/>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C92D0B"/>
    <w:rPr>
      <w:color w:val="0000FF"/>
      <w:u w:val="single"/>
    </w:rPr>
  </w:style>
  <w:style w:type="paragraph" w:styleId="Sinespaciado">
    <w:name w:val="No Spacing"/>
    <w:aliases w:val="Francesa,INAI"/>
    <w:link w:val="SinespaciadoCar"/>
    <w:uiPriority w:val="1"/>
    <w:qFormat/>
    <w:rsid w:val="00B519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B5195A"/>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B519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B5195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unhideWhenUsed/>
    <w:rsid w:val="001950F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1"/>
    <w:unhideWhenUsed/>
    <w:rsid w:val="001950F6"/>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uiPriority w:val="99"/>
    <w:semiHidden/>
    <w:rsid w:val="001950F6"/>
    <w:rPr>
      <w:sz w:val="20"/>
      <w:szCs w:val="20"/>
    </w:rPr>
  </w:style>
  <w:style w:type="character" w:customStyle="1" w:styleId="TextonotapieCar1">
    <w:name w:val="Texto nota pie Car1"/>
    <w:aliases w:val="Footnote Text Char Char Char Char Char Car,Footnote Text Char Char Char Char Car,Footnote reference Car,FA Fu Car,Footnote Text Char Char Char Car,Footnote Text Cha Car,FA Fußnotentext Car,FA Fu?notentext Car,FA Fuﬂnotentext Car"/>
    <w:link w:val="Textonotapie"/>
    <w:rsid w:val="001950F6"/>
    <w:rPr>
      <w:rFonts w:ascii="Times New Roman" w:eastAsia="Times New Roman" w:hAnsi="Times New Roman" w:cs="Times New Roman"/>
      <w:sz w:val="20"/>
      <w:szCs w:val="20"/>
      <w:lang w:val="es-ES" w:eastAsia="es-ES"/>
    </w:rPr>
  </w:style>
  <w:style w:type="paragraph" w:styleId="Textoindependiente">
    <w:name w:val="Body Text"/>
    <w:basedOn w:val="Normal"/>
    <w:link w:val="TextoindependienteCar"/>
    <w:uiPriority w:val="99"/>
    <w:unhideWhenUsed/>
    <w:rsid w:val="001950F6"/>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rsid w:val="001950F6"/>
    <w:rPr>
      <w:rFonts w:ascii="Times New Roman" w:eastAsia="Times New Roman" w:hAnsi="Times New Roman" w:cs="Times New Roman"/>
      <w:sz w:val="24"/>
      <w:szCs w:val="24"/>
      <w:lang w:val="es-ES"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29.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19.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7.png"/><Relationship Id="rId23" Type="http://schemas.openxmlformats.org/officeDocument/2006/relationships/image" Target="media/image14.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s://docplayer.es/5455342-Nuevas-tecnologias-biometricas-instituto-nacional-de-ciencias-penales-procuraduria-general-de-la-republica-version-1-0.html" TargetMode="External"/><Relationship Id="rId35" Type="http://schemas.openxmlformats.org/officeDocument/2006/relationships/image" Target="media/image21.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_rels/header2.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itVxBGpOpUW+Kgesp1QRQmDI0g==">AMUW2mXH6RV4Obg+lHVh6rhcGC7ZKpfGkHeKofaAZWJPPvtd/aECkZAzAto1YFY+SMuIP5T8RlA43JeRs7RMn1I0wv2JXtyeBM4VejVzXfprrnorTojbe/O92wskcTFSsN8FP584kAsb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17139</Words>
  <Characters>94267</Characters>
  <Application>Microsoft Office Word</Application>
  <DocSecurity>0</DocSecurity>
  <Lines>785</Lines>
  <Paragraphs>222</Paragraphs>
  <ScaleCrop>false</ScaleCrop>
  <Company/>
  <LinksUpToDate>false</LinksUpToDate>
  <CharactersWithSpaces>111184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Infoem Soporte</cp:lastModifiedBy>
  <cp:revision>2</cp:revision>
  <dcterms:created xsi:type="dcterms:W3CDTF">2025-06-27T22:05:00Z</dcterms:created>
  <dcterms:modified xsi:type="dcterms:W3CDTF">2025-06-27T22:05:00Z</dcterms:modified>
</cp:coreProperties>
</file>