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F50EC" w14:textId="77777777" w:rsidR="00261FDA" w:rsidRPr="00F910E4" w:rsidRDefault="00261FDA" w:rsidP="00261FDA">
      <w:pPr>
        <w:spacing w:line="360" w:lineRule="auto"/>
        <w:jc w:val="both"/>
        <w:rPr>
          <w:rFonts w:ascii="Palatino Linotype" w:eastAsia="Palatino Linotype" w:hAnsi="Palatino Linotype" w:cstheme="minorHAnsi"/>
          <w:sz w:val="10"/>
          <w:szCs w:val="10"/>
        </w:rPr>
      </w:pPr>
      <w:bookmarkStart w:id="0" w:name="_GoBack"/>
      <w:bookmarkEnd w:id="0"/>
    </w:p>
    <w:p w14:paraId="35904DB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Resolución del Pleno del Instituto de Transparencia, Acceso a la Información Pública y Protección de Datos Personales del Estado de México y Municipios, con domicilio en Metepec, Estado de México, de fecha doce de octubre del dos mil veintitrés. </w:t>
      </w:r>
    </w:p>
    <w:p w14:paraId="7C02597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12F3155" w14:textId="77777777" w:rsidR="00261FDA" w:rsidRPr="006B733D" w:rsidRDefault="00261FDA" w:rsidP="00261FDA">
      <w:pPr>
        <w:spacing w:line="360" w:lineRule="auto"/>
        <w:jc w:val="both"/>
        <w:rPr>
          <w:rFonts w:ascii="Palatino Linotype" w:eastAsia="Calibri" w:hAnsi="Palatino Linotype" w:cstheme="minorHAnsi"/>
          <w:color w:val="0D0D0D"/>
        </w:rPr>
      </w:pPr>
      <w:r w:rsidRPr="006B733D">
        <w:rPr>
          <w:rFonts w:ascii="Palatino Linotype" w:eastAsia="Palatino Linotype" w:hAnsi="Palatino Linotype" w:cstheme="minorHAnsi"/>
          <w:b/>
          <w:sz w:val="22"/>
          <w:szCs w:val="22"/>
        </w:rPr>
        <w:t>Visto</w:t>
      </w:r>
      <w:r w:rsidRPr="006B733D">
        <w:rPr>
          <w:rFonts w:ascii="Palatino Linotype" w:eastAsia="Palatino Linotype" w:hAnsi="Palatino Linotype" w:cstheme="minorHAnsi"/>
          <w:sz w:val="22"/>
          <w:szCs w:val="22"/>
        </w:rPr>
        <w:t xml:space="preserve"> el expediente relativo al recurso de revisión </w:t>
      </w:r>
      <w:r w:rsidRPr="006B733D">
        <w:rPr>
          <w:rFonts w:ascii="Palatino Linotype" w:eastAsia="Palatino Linotype" w:hAnsi="Palatino Linotype" w:cstheme="minorHAnsi"/>
          <w:b/>
          <w:sz w:val="22"/>
          <w:szCs w:val="22"/>
        </w:rPr>
        <w:t>17324/INFOEM/IP/RR/2022</w:t>
      </w:r>
      <w:r w:rsidRPr="006B733D">
        <w:rPr>
          <w:rFonts w:ascii="Palatino Linotype" w:eastAsia="Palatino Linotype" w:hAnsi="Palatino Linotype" w:cstheme="minorHAnsi"/>
          <w:sz w:val="22"/>
          <w:szCs w:val="22"/>
        </w:rPr>
        <w:t xml:space="preserve">, interpuesto por </w:t>
      </w:r>
      <w:r w:rsidRPr="006B733D">
        <w:rPr>
          <w:rFonts w:ascii="Palatino Linotype" w:eastAsia="Palatino Linotype" w:hAnsi="Palatino Linotype" w:cstheme="minorHAnsi"/>
          <w:b/>
          <w:sz w:val="22"/>
          <w:szCs w:val="22"/>
        </w:rPr>
        <w:t>un particular</w:t>
      </w:r>
      <w:r w:rsidRPr="006B733D">
        <w:rPr>
          <w:rFonts w:ascii="Palatino Linotype" w:eastAsia="Palatino Linotype" w:hAnsi="Palatino Linotype" w:cstheme="minorHAnsi"/>
          <w:sz w:val="22"/>
          <w:szCs w:val="22"/>
        </w:rPr>
        <w:t xml:space="preserve">, a quien en lo sucesivo se le denominada la parte </w:t>
      </w:r>
      <w:r w:rsidRPr="006B733D">
        <w:rPr>
          <w:rFonts w:ascii="Palatino Linotype" w:eastAsia="Palatino Linotype" w:hAnsi="Palatino Linotype" w:cstheme="minorHAnsi"/>
          <w:b/>
          <w:sz w:val="22"/>
          <w:szCs w:val="22"/>
        </w:rPr>
        <w:t>RECURRENTE</w:t>
      </w:r>
      <w:r w:rsidRPr="006B733D">
        <w:rPr>
          <w:rFonts w:ascii="Palatino Linotype" w:eastAsia="Palatino Linotype" w:hAnsi="Palatino Linotype" w:cstheme="minorHAnsi"/>
          <w:sz w:val="22"/>
          <w:szCs w:val="22"/>
        </w:rPr>
        <w:t xml:space="preserve">, en contra de la respuesta a su solicitud de información con número de folio </w:t>
      </w:r>
      <w:r w:rsidRPr="006B733D">
        <w:rPr>
          <w:rFonts w:ascii="Palatino Linotype" w:eastAsia="Palatino Linotype" w:hAnsi="Palatino Linotype" w:cstheme="minorHAnsi"/>
          <w:b/>
          <w:sz w:val="22"/>
          <w:szCs w:val="22"/>
        </w:rPr>
        <w:t>01385/INFOEM/IP/2022</w:t>
      </w:r>
      <w:r w:rsidRPr="006B733D">
        <w:rPr>
          <w:rFonts w:ascii="Palatino Linotype" w:eastAsia="Palatino Linotype" w:hAnsi="Palatino Linotype" w:cstheme="minorHAnsi"/>
          <w:sz w:val="22"/>
          <w:szCs w:val="22"/>
        </w:rPr>
        <w:t xml:space="preserve">, por parte del </w:t>
      </w:r>
      <w:r w:rsidRPr="006B733D">
        <w:rPr>
          <w:rFonts w:ascii="Palatino Linotype" w:eastAsia="Palatino Linotype" w:hAnsi="Palatino Linotype" w:cstheme="minorHAnsi"/>
          <w:b/>
          <w:sz w:val="22"/>
          <w:szCs w:val="22"/>
        </w:rPr>
        <w:t>Instituto de Transparencia, Acceso a la Información Pública y Protección de Datos Personales del Estado de México y Municipios,</w:t>
      </w:r>
      <w:r w:rsidRPr="006B733D">
        <w:rPr>
          <w:rFonts w:ascii="Palatino Linotype" w:eastAsia="Palatino Linotype" w:hAnsi="Palatino Linotype" w:cstheme="minorHAnsi"/>
          <w:sz w:val="22"/>
          <w:szCs w:val="22"/>
        </w:rPr>
        <w:t xml:space="preserve"> en lo sucesivo el Sujeto Obligado</w:t>
      </w:r>
      <w:r w:rsidRPr="006B733D">
        <w:rPr>
          <w:rFonts w:ascii="Palatino Linotype" w:eastAsia="Palatino Linotype" w:hAnsi="Palatino Linotype" w:cstheme="minorHAnsi"/>
          <w:b/>
          <w:sz w:val="22"/>
          <w:szCs w:val="22"/>
        </w:rPr>
        <w:t xml:space="preserve">; </w:t>
      </w:r>
      <w:r w:rsidRPr="006B733D">
        <w:rPr>
          <w:rFonts w:ascii="Palatino Linotype" w:eastAsia="Calibri" w:hAnsi="Palatino Linotype" w:cstheme="minorHAnsi"/>
          <w:color w:val="000000"/>
        </w:rPr>
        <w:t xml:space="preserve">se emite la presente Resolución, con base en los Antecedentes y Considerandos que se exponen a continuación:  </w:t>
      </w:r>
    </w:p>
    <w:p w14:paraId="0A842A2D" w14:textId="77777777" w:rsidR="00261FDA" w:rsidRPr="006B733D" w:rsidRDefault="00261FDA" w:rsidP="00261FDA">
      <w:pPr>
        <w:spacing w:line="360" w:lineRule="auto"/>
        <w:rPr>
          <w:rFonts w:ascii="Palatino Linotype" w:eastAsia="Calibri" w:hAnsi="Palatino Linotype" w:cstheme="minorHAnsi"/>
          <w:color w:val="000000"/>
        </w:rPr>
      </w:pPr>
    </w:p>
    <w:p w14:paraId="0B52BED8" w14:textId="77777777" w:rsidR="00261FDA" w:rsidRPr="006B733D" w:rsidRDefault="00261FDA" w:rsidP="00261FDA">
      <w:pPr>
        <w:tabs>
          <w:tab w:val="center" w:pos="4522"/>
          <w:tab w:val="left" w:pos="7245"/>
        </w:tabs>
        <w:spacing w:line="360" w:lineRule="auto"/>
        <w:jc w:val="center"/>
        <w:rPr>
          <w:rFonts w:ascii="Palatino Linotype" w:eastAsia="Calibri" w:hAnsi="Palatino Linotype" w:cstheme="minorHAnsi"/>
          <w:b/>
          <w:color w:val="000000"/>
        </w:rPr>
      </w:pPr>
      <w:r w:rsidRPr="006B733D">
        <w:rPr>
          <w:rFonts w:ascii="Palatino Linotype" w:eastAsia="Calibri" w:hAnsi="Palatino Linotype" w:cstheme="minorHAnsi"/>
          <w:b/>
          <w:color w:val="000000"/>
        </w:rPr>
        <w:t>A N T E C E D E N T E S</w:t>
      </w:r>
    </w:p>
    <w:p w14:paraId="00700FD2" w14:textId="77777777" w:rsidR="00261FDA" w:rsidRPr="006B733D" w:rsidRDefault="00261FDA" w:rsidP="00261FDA">
      <w:pPr>
        <w:spacing w:line="360" w:lineRule="auto"/>
        <w:rPr>
          <w:rFonts w:ascii="Palatino Linotype" w:eastAsia="Palatino Linotype" w:hAnsi="Palatino Linotype" w:cstheme="minorHAnsi"/>
          <w:b/>
          <w:color w:val="000000"/>
          <w:sz w:val="22"/>
          <w:szCs w:val="22"/>
        </w:rPr>
      </w:pPr>
    </w:p>
    <w:p w14:paraId="661B8E9E" w14:textId="77777777" w:rsidR="00261FDA" w:rsidRPr="006B733D" w:rsidRDefault="00261FDA" w:rsidP="00261FDA">
      <w:pPr>
        <w:spacing w:line="360" w:lineRule="auto"/>
        <w:jc w:val="both"/>
        <w:rPr>
          <w:rFonts w:ascii="Palatino Linotype" w:hAnsi="Palatino Linotype" w:cstheme="minorHAnsi"/>
          <w:b/>
        </w:rPr>
      </w:pPr>
      <w:r w:rsidRPr="006B733D">
        <w:rPr>
          <w:rFonts w:ascii="Palatino Linotype" w:eastAsia="Palatino Linotype" w:hAnsi="Palatino Linotype" w:cstheme="minorHAnsi"/>
          <w:b/>
          <w:sz w:val="22"/>
          <w:szCs w:val="22"/>
        </w:rPr>
        <w:t xml:space="preserve">I. </w:t>
      </w:r>
      <w:r w:rsidRPr="006B733D">
        <w:rPr>
          <w:rFonts w:ascii="Palatino Linotype" w:hAnsi="Palatino Linotype" w:cstheme="minorHAnsi"/>
          <w:b/>
        </w:rPr>
        <w:t>Presentación de la solicitud de información</w:t>
      </w:r>
    </w:p>
    <w:p w14:paraId="4A3B22BF"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59B0D0D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Con fecha veintitrés de noviembre del dos mil veintidós, la parte </w:t>
      </w:r>
      <w:r w:rsidRPr="006B733D">
        <w:rPr>
          <w:rFonts w:ascii="Palatino Linotype" w:eastAsia="Palatino Linotype" w:hAnsi="Palatino Linotype" w:cstheme="minorHAnsi"/>
          <w:b/>
          <w:sz w:val="22"/>
          <w:szCs w:val="22"/>
        </w:rPr>
        <w:t>RECURRENTE</w:t>
      </w:r>
      <w:r w:rsidRPr="006B733D">
        <w:rPr>
          <w:rFonts w:ascii="Palatino Linotype" w:eastAsia="Palatino Linotype" w:hAnsi="Palatino Linotype" w:cstheme="minorHAnsi"/>
          <w:sz w:val="22"/>
          <w:szCs w:val="22"/>
        </w:rPr>
        <w:t xml:space="preserve"> presentó, a través del Sistema de Acceso a la Información Mexiquense (</w:t>
      </w:r>
      <w:r w:rsidRPr="006B733D">
        <w:rPr>
          <w:rFonts w:ascii="Palatino Linotype" w:eastAsia="Palatino Linotype" w:hAnsi="Palatino Linotype" w:cstheme="minorHAnsi"/>
          <w:b/>
          <w:sz w:val="22"/>
          <w:szCs w:val="22"/>
        </w:rPr>
        <w:t>SAIMEX)</w:t>
      </w:r>
      <w:r w:rsidRPr="006B733D">
        <w:rPr>
          <w:rFonts w:ascii="Palatino Linotype" w:eastAsia="Palatino Linotype" w:hAnsi="Palatino Linotype" w:cstheme="minorHAnsi"/>
          <w:sz w:val="22"/>
          <w:szCs w:val="22"/>
        </w:rPr>
        <w:t>, ante el Sujeto Obligado la solicitud de acceso a la información pública, a la que se le asignó el número</w:t>
      </w:r>
      <w:r w:rsidRPr="006B733D">
        <w:rPr>
          <w:rFonts w:ascii="Palatino Linotype" w:eastAsia="Verdana" w:hAnsi="Palatino Linotype" w:cstheme="minorHAnsi"/>
          <w:b/>
          <w:color w:val="FF0000"/>
          <w:sz w:val="22"/>
          <w:szCs w:val="22"/>
        </w:rPr>
        <w:t> </w:t>
      </w:r>
      <w:r w:rsidRPr="006B733D">
        <w:rPr>
          <w:rFonts w:ascii="Palatino Linotype" w:eastAsia="Palatino Linotype" w:hAnsi="Palatino Linotype" w:cstheme="minorHAnsi"/>
          <w:b/>
          <w:sz w:val="22"/>
          <w:szCs w:val="22"/>
        </w:rPr>
        <w:t xml:space="preserve">01385/INFOEM/IP/2022, </w:t>
      </w:r>
      <w:r w:rsidRPr="006B733D">
        <w:rPr>
          <w:rFonts w:ascii="Palatino Linotype" w:eastAsia="Palatino Linotype" w:hAnsi="Palatino Linotype" w:cstheme="minorHAnsi"/>
          <w:sz w:val="22"/>
          <w:szCs w:val="22"/>
        </w:rPr>
        <w:t>mediante la cual solicitó:</w:t>
      </w:r>
    </w:p>
    <w:p w14:paraId="6F482DE1"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3F14FAE9"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 xml:space="preserve">“solicito los parámetros, consideraciones, determinaciones, </w:t>
      </w:r>
      <w:proofErr w:type="spellStart"/>
      <w:r w:rsidRPr="006B733D">
        <w:rPr>
          <w:rFonts w:ascii="Palatino Linotype" w:eastAsia="Palatino Linotype" w:hAnsi="Palatino Linotype" w:cstheme="minorHAnsi"/>
          <w:i/>
          <w:color w:val="000000"/>
          <w:szCs w:val="22"/>
        </w:rPr>
        <w:t>linemientos</w:t>
      </w:r>
      <w:proofErr w:type="spellEnd"/>
      <w:r w:rsidRPr="006B733D">
        <w:rPr>
          <w:rFonts w:ascii="Palatino Linotype" w:eastAsia="Palatino Linotype" w:hAnsi="Palatino Linotype" w:cstheme="minorHAnsi"/>
          <w:i/>
          <w:color w:val="000000"/>
          <w:szCs w:val="22"/>
        </w:rPr>
        <w:t xml:space="preserve"> y/o algún otro de naturaleza similar y análoga que se hayan tomado en consideración para llevar a cabo la selección de los cien candidatos a la Tercera Promoción del Proceso de Certificación 2022, así mismo solicito </w:t>
      </w:r>
      <w:r w:rsidRPr="006B733D">
        <w:rPr>
          <w:rFonts w:ascii="Palatino Linotype" w:eastAsia="Palatino Linotype" w:hAnsi="Palatino Linotype" w:cstheme="minorHAnsi"/>
          <w:i/>
          <w:color w:val="000000"/>
          <w:szCs w:val="22"/>
        </w:rPr>
        <w:lastRenderedPageBreak/>
        <w:t>el listado de los candidatos que fueron aceptados en dicho proceso de certificación y los que fueron aceptados del Municipio de C. Izcalli, Estado de México.” (Sic).</w:t>
      </w:r>
    </w:p>
    <w:p w14:paraId="22EAA552"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p>
    <w:p w14:paraId="1ED50B1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b/>
          <w:sz w:val="22"/>
          <w:szCs w:val="22"/>
        </w:rPr>
        <w:t xml:space="preserve">Modalidad elegida para la entrega de la información: </w:t>
      </w:r>
      <w:r w:rsidRPr="006B733D">
        <w:rPr>
          <w:rFonts w:ascii="Palatino Linotype" w:eastAsia="Palatino Linotype" w:hAnsi="Palatino Linotype" w:cstheme="minorHAnsi"/>
          <w:sz w:val="22"/>
          <w:szCs w:val="22"/>
        </w:rPr>
        <w:t>a través de SAIMEX.</w:t>
      </w:r>
    </w:p>
    <w:p w14:paraId="6E18269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F8D142C" w14:textId="77777777" w:rsidR="00261FDA" w:rsidRPr="006B733D" w:rsidRDefault="00261FDA" w:rsidP="00261FDA">
      <w:pPr>
        <w:autoSpaceDE w:val="0"/>
        <w:autoSpaceDN w:val="0"/>
        <w:adjustRightInd w:val="0"/>
        <w:spacing w:line="360" w:lineRule="auto"/>
        <w:rPr>
          <w:rFonts w:ascii="Palatino Linotype" w:hAnsi="Palatino Linotype" w:cstheme="minorHAnsi"/>
          <w:b/>
          <w:bCs/>
        </w:rPr>
      </w:pPr>
      <w:r w:rsidRPr="006B733D">
        <w:rPr>
          <w:rFonts w:ascii="Palatino Linotype" w:eastAsia="Palatino Linotype" w:hAnsi="Palatino Linotype" w:cstheme="minorHAnsi"/>
          <w:b/>
          <w:sz w:val="22"/>
          <w:szCs w:val="22"/>
        </w:rPr>
        <w:t xml:space="preserve">II. </w:t>
      </w:r>
      <w:r w:rsidRPr="006B733D">
        <w:rPr>
          <w:rFonts w:ascii="Palatino Linotype" w:hAnsi="Palatino Linotype" w:cstheme="minorHAnsi"/>
          <w:b/>
          <w:bCs/>
        </w:rPr>
        <w:t>Respuesta del Sujeto Obligado</w:t>
      </w:r>
    </w:p>
    <w:p w14:paraId="524BA124"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3A71D50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Con fecha catorce de diciembre del dos mil veintidós el </w:t>
      </w:r>
      <w:r w:rsidRPr="006B733D">
        <w:rPr>
          <w:rFonts w:ascii="Palatino Linotype" w:eastAsia="Palatino Linotype" w:hAnsi="Palatino Linotype" w:cstheme="minorHAnsi"/>
          <w:color w:val="000000"/>
          <w:sz w:val="22"/>
          <w:szCs w:val="22"/>
        </w:rPr>
        <w:t>Sujeto Obligado</w:t>
      </w:r>
      <w:r w:rsidRPr="006B733D">
        <w:rPr>
          <w:rFonts w:ascii="Palatino Linotype" w:eastAsia="Palatino Linotype" w:hAnsi="Palatino Linotype" w:cstheme="minorHAnsi"/>
          <w:sz w:val="22"/>
          <w:szCs w:val="22"/>
        </w:rPr>
        <w:t xml:space="preserve"> envió su respuesta a la solicitud de acceso a la información a través del SAIMEX, la cual versa en lo siguiente:</w:t>
      </w:r>
    </w:p>
    <w:p w14:paraId="3C05ECB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A5728C2"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C3731F"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p>
    <w:p w14:paraId="41241B2B"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Con fundamento en el artículo 53 fracción II de la Ley de Transparencia y Acceso a la Información Pública del Estado de México y Municipios, se adjunta la respuesta a su solicitud de información pública.</w:t>
      </w:r>
    </w:p>
    <w:p w14:paraId="21330F39"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ATENTAMENTE</w:t>
      </w:r>
    </w:p>
    <w:p w14:paraId="3EDBC5F0"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Mtro. Juan Salvador V. Hernández Flores”</w:t>
      </w:r>
    </w:p>
    <w:p w14:paraId="104565ED"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5163F17D"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El Sujeto Obligado, adjuntó a su respuesta los archivos electrónicos siguientes: </w:t>
      </w:r>
    </w:p>
    <w:p w14:paraId="023431B0"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2762E848"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w:t>
      </w:r>
      <w:hyperlink r:id="rId8">
        <w:r w:rsidRPr="006B733D">
          <w:rPr>
            <w:rFonts w:ascii="Palatino Linotype" w:eastAsia="Palatino Linotype" w:hAnsi="Palatino Linotype" w:cstheme="minorHAnsi"/>
            <w:color w:val="000000"/>
            <w:sz w:val="22"/>
            <w:szCs w:val="22"/>
          </w:rPr>
          <w:t>RespuestaSolicitud1385.zip</w:t>
        </w:r>
      </w:hyperlink>
      <w:r w:rsidRPr="006B733D">
        <w:rPr>
          <w:rFonts w:ascii="Palatino Linotype" w:eastAsia="Palatino Linotype" w:hAnsi="Palatino Linotype" w:cstheme="minorHAnsi"/>
          <w:color w:val="000000"/>
          <w:sz w:val="22"/>
          <w:szCs w:val="22"/>
        </w:rPr>
        <w:t>”, el cual a su vez contiene la siguiente documentación:</w:t>
      </w:r>
    </w:p>
    <w:p w14:paraId="1875E69B"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7E1C879F"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“Convocatoria 3 Promoción DAI 2022 (2)”, el cual contiene la convocatoria para la Tercera Promoción del Proceso de Certificación 2022. </w:t>
      </w:r>
    </w:p>
    <w:p w14:paraId="278BCB42"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39017D6A"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lastRenderedPageBreak/>
        <w:t>“CuadrodeClasificaciónSolicitud01324”, el cual contiene el Cuadro de Clasificación en atención a la solicitud de información 01385/INFOEM/IP/2022.</w:t>
      </w:r>
      <w:r w:rsidRPr="006B733D">
        <w:rPr>
          <w:rFonts w:ascii="Palatino Linotype" w:eastAsia="Verdana" w:hAnsi="Palatino Linotype" w:cstheme="minorHAnsi"/>
          <w:b/>
          <w:color w:val="FF0000"/>
          <w:sz w:val="22"/>
          <w:szCs w:val="22"/>
        </w:rPr>
        <w:t xml:space="preserve"> </w:t>
      </w:r>
    </w:p>
    <w:p w14:paraId="09352E91"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58482918"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“RES-01-INFOEM-EXT-COMT-38a-2022”, el cual contiene la resolución número RES/01/INFOEM/EXT/COMT/38ª/2022, por medio de la cual el Comité de Transparencia del Sujeto Obligado, aprobó la propuesta de clasificación como información reservada los documentos en donde se encuentran los nombres y registros de las y los candidatos en el tercer proceso de certificación bajo el estándar de competencia EC-1057 “garantizar el derecho de acceso a la información pública” del año 2022, por un periodo de seis meses, correspondiente a la solicitud de información número 01324/INFOEM/IP/2022.</w:t>
      </w:r>
    </w:p>
    <w:p w14:paraId="635D754D"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136A0748"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“RES-08-INFOEM-ORD-COMT-23a-2022”, el cual contiene la resolución número RES/08/INFOEM/ORD/COMT/23ª/2022, por medio del cual el Comité de Transparencia del Sujeto Obligado, </w:t>
      </w:r>
      <w:r w:rsidRPr="006B733D">
        <w:rPr>
          <w:rFonts w:ascii="Palatino Linotype" w:eastAsia="Palatino Linotype" w:hAnsi="Palatino Linotype" w:cstheme="minorHAnsi"/>
          <w:sz w:val="22"/>
          <w:szCs w:val="22"/>
        </w:rPr>
        <w:t>confirmó</w:t>
      </w:r>
      <w:r w:rsidRPr="006B733D">
        <w:rPr>
          <w:rFonts w:ascii="Palatino Linotype" w:eastAsia="Palatino Linotype" w:hAnsi="Palatino Linotype" w:cstheme="minorHAnsi"/>
          <w:color w:val="000000"/>
          <w:sz w:val="22"/>
          <w:szCs w:val="22"/>
        </w:rPr>
        <w:t xml:space="preserve"> la subsistencia de las causales que dieron lugar a la clasificación total de la información como reservada los documentos en donde se encuentran los nombres y registros de las y los candidatos en el tercer proceso de certificación bajo el estándar de competencia EC-1057 “garantizar el derecho de acceso a la información pública” del año 2022, considerada como tal mediante acuerdo ACT/INFOEM/EXT/COMT/38ª/2022/SEGUNDO, dictada en la Trigésima Octava Sesión Extraordinaria de este cuerpo colegiado, de fecha veintitrés de noviembre del año 2022, respecto de la información requerida en la solicitud número 01385/INFOEM/IP/2022.</w:t>
      </w:r>
    </w:p>
    <w:p w14:paraId="65A615BE"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2F9D09E5"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“RespuestaSolicitud01385UT”, el cual contiene el oficio número INFOEM/UT/1068/2022, por medio del cual el Titular de la Unidad de Transparencia del Sujeto Obligado, informó al solicitante que servirá encontrar en archivo adjunto la documentación consistente: </w:t>
      </w:r>
    </w:p>
    <w:p w14:paraId="369150F0"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7FDACA3F"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-La respuesta de la servidora pública habilitada de la Dirección General de Capacitación y Certificación.</w:t>
      </w:r>
    </w:p>
    <w:p w14:paraId="078DC289"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-Resolución RES-01-INFOEM-EXT-COMT-38a-2022 y RES-08-INFOEM-ORD-COMT-23a-2022. </w:t>
      </w:r>
    </w:p>
    <w:p w14:paraId="646CA7C2"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376C9AD7"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“RespuestaSolicitud1385DGCC”, el cual contiene el oficio número INFOEM/</w:t>
      </w:r>
      <w:proofErr w:type="spellStart"/>
      <w:r w:rsidRPr="006B733D">
        <w:rPr>
          <w:rFonts w:ascii="Palatino Linotype" w:eastAsia="Palatino Linotype" w:hAnsi="Palatino Linotype" w:cstheme="minorHAnsi"/>
          <w:color w:val="000000"/>
          <w:sz w:val="22"/>
          <w:szCs w:val="22"/>
        </w:rPr>
        <w:t>DGCyC</w:t>
      </w:r>
      <w:proofErr w:type="spellEnd"/>
      <w:r w:rsidRPr="006B733D">
        <w:rPr>
          <w:rFonts w:ascii="Palatino Linotype" w:eastAsia="Palatino Linotype" w:hAnsi="Palatino Linotype" w:cstheme="minorHAnsi"/>
          <w:color w:val="000000"/>
          <w:sz w:val="22"/>
          <w:szCs w:val="22"/>
        </w:rPr>
        <w:t xml:space="preserve">/156/2022, por medio del cual la Dirección General de Capacitación y Certificación del Sujeto Obligado , informó que en la Trigésima Sesión Ordinaria del Pleno del Instituto de Transparencia, Acceso a la Información Pública y Protección de Datos Personales del Estado de México y Municipios, de fecha veintiocho de septiembre del año 2022, aprobó por unanimidad de votos mediante acuerdo número INFOEM/ORD/35/III/2022, la convocatoria para la tercera promoción del proceso de certificación bajo el estándar de competencia EC-1057 “garantizar el derecho de acceso a la información pública” del año 2022, dirigida a las y los titulares de la Unidades de Transparencia y Servidores Públicos Habilitados de los Sujeto Obligado del Estado de México, publicándose dicha convocatoria el once de octubre del año dos mil veintidós. </w:t>
      </w:r>
    </w:p>
    <w:p w14:paraId="5C7CEA05"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3F2A9955"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Asimismo, señaló que dentro de la misma convocatoria se terminó la aplicación por parte de esta Dirección de Capacitación y Certificación, que la misma se dirigirá única y exclusivamente a personas que sean titulares de las Unidades de Transparencia y Servidores Públicos Habilitados de los Sujeto Obligado del Estado de México.</w:t>
      </w:r>
    </w:p>
    <w:p w14:paraId="604931B6"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Por otro lado, señaló, que:</w:t>
      </w:r>
    </w:p>
    <w:p w14:paraId="7304F92B"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20D7CF99" w14:textId="77777777" w:rsidR="00261FDA" w:rsidRPr="006B733D" w:rsidRDefault="00261FDA" w:rsidP="00261FDA">
      <w:pPr>
        <w:spacing w:line="360" w:lineRule="auto"/>
        <w:ind w:left="567" w:right="567"/>
        <w:jc w:val="both"/>
        <w:rPr>
          <w:rFonts w:ascii="Palatino Linotype" w:eastAsia="Palatino Linotype" w:hAnsi="Palatino Linotype" w:cstheme="minorHAnsi"/>
          <w:b/>
          <w:i/>
          <w:color w:val="000000"/>
          <w:szCs w:val="22"/>
        </w:rPr>
      </w:pPr>
      <w:r w:rsidRPr="006B733D">
        <w:rPr>
          <w:rFonts w:ascii="Palatino Linotype" w:eastAsia="Palatino Linotype" w:hAnsi="Palatino Linotype" w:cstheme="minorHAnsi"/>
          <w:i/>
          <w:color w:val="000000"/>
          <w:szCs w:val="22"/>
        </w:rPr>
        <w:t xml:space="preserve">“(…) únicamente fueron </w:t>
      </w:r>
      <w:r w:rsidRPr="006B733D">
        <w:rPr>
          <w:rFonts w:ascii="Palatino Linotype" w:eastAsia="Palatino Linotype" w:hAnsi="Palatino Linotype" w:cstheme="minorHAnsi"/>
          <w:b/>
          <w:i/>
          <w:color w:val="000000"/>
          <w:szCs w:val="22"/>
        </w:rPr>
        <w:t xml:space="preserve">considerados como posibles candidatos a las personas que acreditaron ser titulares de la Unidades de Transparencia, así como a servidores </w:t>
      </w:r>
      <w:r w:rsidRPr="006B733D">
        <w:rPr>
          <w:rFonts w:ascii="Palatino Linotype" w:eastAsia="Palatino Linotype" w:hAnsi="Palatino Linotype" w:cstheme="minorHAnsi"/>
          <w:b/>
          <w:i/>
          <w:color w:val="000000"/>
          <w:szCs w:val="22"/>
        </w:rPr>
        <w:lastRenderedPageBreak/>
        <w:t>Públicos Habilitados, sin que lo anterior pudiera menoscabar el derecho de algún tercero que no cumpliera con los requisitos que la propia convocatoria señala, considerándose de igual manera un máximo de 100 registros.</w:t>
      </w:r>
    </w:p>
    <w:p w14:paraId="1243E67E" w14:textId="77777777" w:rsidR="00261FDA" w:rsidRPr="006B733D" w:rsidRDefault="00261FDA" w:rsidP="00261FDA">
      <w:pPr>
        <w:spacing w:line="360" w:lineRule="auto"/>
        <w:ind w:left="567" w:right="567"/>
        <w:jc w:val="both"/>
        <w:rPr>
          <w:rFonts w:ascii="Palatino Linotype" w:eastAsia="Palatino Linotype" w:hAnsi="Palatino Linotype" w:cstheme="minorHAnsi"/>
          <w:b/>
          <w:i/>
          <w:color w:val="000000"/>
          <w:szCs w:val="22"/>
        </w:rPr>
      </w:pPr>
    </w:p>
    <w:p w14:paraId="51EE354E"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Por lo anterior, la convocatoria la cual se adjunta a la presente respuesta, da cuenta lo pretendido por el particular en virtud de que en ella se contienen los parámetros que fueron tomado en consideración para llevar a cabo la selección de los cien candidatos a la Tercera Promoción del Proceso de Certificación 2022, siendo éstos los únicos existentes.” (Sic.)</w:t>
      </w:r>
    </w:p>
    <w:p w14:paraId="3A7FE0C1"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56DE29C6" w14:textId="77777777" w:rsidR="00261FDA" w:rsidRPr="006B733D" w:rsidRDefault="00261FDA" w:rsidP="00261FDA">
      <w:pPr>
        <w:spacing w:line="360" w:lineRule="auto"/>
        <w:ind w:right="51"/>
        <w:jc w:val="both"/>
        <w:rPr>
          <w:rFonts w:ascii="Palatino Linotype" w:eastAsia="Palatino Linotype" w:hAnsi="Palatino Linotype" w:cstheme="minorHAnsi"/>
          <w:b/>
          <w:color w:val="000000"/>
          <w:sz w:val="22"/>
          <w:szCs w:val="22"/>
        </w:rPr>
      </w:pPr>
      <w:r w:rsidRPr="006B733D">
        <w:rPr>
          <w:rFonts w:ascii="Palatino Linotype" w:eastAsia="Palatino Linotype" w:hAnsi="Palatino Linotype" w:cstheme="minorHAnsi"/>
          <w:color w:val="000000"/>
          <w:sz w:val="22"/>
          <w:szCs w:val="22"/>
        </w:rPr>
        <w:t xml:space="preserve">Asimismo precisó que no se entrega el nombre de los servidores públicos registrados toda vez que a la fecha de la solicitud, la certificación se encontraba en proceso deliberativo, por lo que no era posible entregar la información requerida, ya que subsisten las causas de reserva, documentales </w:t>
      </w:r>
      <w:r w:rsidRPr="006B733D">
        <w:rPr>
          <w:rFonts w:ascii="Palatino Linotype" w:eastAsia="Palatino Linotype" w:hAnsi="Palatino Linotype" w:cstheme="minorHAnsi"/>
          <w:b/>
          <w:color w:val="000000"/>
          <w:sz w:val="22"/>
          <w:szCs w:val="22"/>
        </w:rPr>
        <w:t>que fueron clasificadas como reservadas por el Comité de Transparencia de este Sujeto Obligado mediante resolución RES/01/INFOEM/EXT/COMT/38ª/2022.</w:t>
      </w:r>
    </w:p>
    <w:p w14:paraId="23F56CB8" w14:textId="77777777" w:rsidR="00261FDA" w:rsidRPr="006B733D" w:rsidRDefault="00261FDA" w:rsidP="00261FDA">
      <w:pPr>
        <w:spacing w:line="360" w:lineRule="auto"/>
        <w:ind w:right="51"/>
        <w:jc w:val="both"/>
        <w:rPr>
          <w:rFonts w:ascii="Palatino Linotype" w:eastAsia="Palatino Linotype" w:hAnsi="Palatino Linotype" w:cstheme="minorHAnsi"/>
          <w:b/>
          <w:color w:val="000000"/>
          <w:sz w:val="22"/>
          <w:szCs w:val="22"/>
        </w:rPr>
      </w:pPr>
    </w:p>
    <w:p w14:paraId="195895E1"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Destaca además que el </w:t>
      </w:r>
      <w:proofErr w:type="spellStart"/>
      <w:r w:rsidRPr="006B733D">
        <w:rPr>
          <w:rFonts w:ascii="Palatino Linotype" w:eastAsia="Palatino Linotype" w:hAnsi="Palatino Linotype" w:cstheme="minorHAnsi"/>
          <w:color w:val="000000"/>
          <w:sz w:val="22"/>
          <w:szCs w:val="22"/>
        </w:rPr>
        <w:t>Infoem</w:t>
      </w:r>
      <w:proofErr w:type="spellEnd"/>
      <w:r w:rsidRPr="006B733D">
        <w:rPr>
          <w:rFonts w:ascii="Palatino Linotype" w:eastAsia="Palatino Linotype" w:hAnsi="Palatino Linotype" w:cstheme="minorHAnsi"/>
          <w:color w:val="000000"/>
          <w:sz w:val="22"/>
          <w:szCs w:val="22"/>
        </w:rPr>
        <w:t xml:space="preserve"> en su calidad de Sujeto Obligado sí se pronunció en el sentido de que no se presentaron a participar servidores públicos del Ayuntamiento de Cuautitlán Izcalli, por lo que la información de ese punto es inexistente.</w:t>
      </w:r>
    </w:p>
    <w:p w14:paraId="767A93B4"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57815EB8"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También destacan, los siguientes argumentos por parte del Servidor Público Habilitado del Sujeto Obligado:</w:t>
      </w:r>
    </w:p>
    <w:p w14:paraId="191B9C47"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hAnsi="Palatino Linotype" w:cstheme="minorHAnsi"/>
          <w:noProof/>
          <w:sz w:val="22"/>
          <w:szCs w:val="22"/>
          <w:lang w:eastAsia="es-MX"/>
        </w:rPr>
        <w:lastRenderedPageBreak/>
        <w:drawing>
          <wp:inline distT="0" distB="0" distL="0" distR="0" wp14:anchorId="7EDD8CCA" wp14:editId="146F0E68">
            <wp:extent cx="5380355" cy="5398617"/>
            <wp:effectExtent l="0" t="0" r="0" b="0"/>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55987" t="11018" r="6433" b="10575"/>
                    <a:stretch>
                      <a:fillRect/>
                    </a:stretch>
                  </pic:blipFill>
                  <pic:spPr>
                    <a:xfrm>
                      <a:off x="0" y="0"/>
                      <a:ext cx="5389846" cy="5408140"/>
                    </a:xfrm>
                    <a:prstGeom prst="rect">
                      <a:avLst/>
                    </a:prstGeom>
                    <a:ln/>
                  </pic:spPr>
                </pic:pic>
              </a:graphicData>
            </a:graphic>
          </wp:inline>
        </w:drawing>
      </w:r>
    </w:p>
    <w:p w14:paraId="534704B1" w14:textId="77777777" w:rsidR="00261FDA" w:rsidRPr="006B733D" w:rsidRDefault="00261FDA" w:rsidP="00261FDA">
      <w:pPr>
        <w:spacing w:line="360" w:lineRule="auto"/>
        <w:ind w:right="51"/>
        <w:jc w:val="both"/>
        <w:rPr>
          <w:rFonts w:ascii="Palatino Linotype" w:hAnsi="Palatino Linotype" w:cstheme="minorHAnsi"/>
          <w:sz w:val="22"/>
          <w:szCs w:val="22"/>
        </w:rPr>
      </w:pPr>
    </w:p>
    <w:p w14:paraId="668BDD47"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hAnsi="Palatino Linotype" w:cstheme="minorHAnsi"/>
          <w:noProof/>
          <w:sz w:val="22"/>
          <w:szCs w:val="22"/>
          <w:lang w:eastAsia="es-MX"/>
        </w:rPr>
        <w:lastRenderedPageBreak/>
        <w:drawing>
          <wp:inline distT="0" distB="0" distL="0" distR="0" wp14:anchorId="03886A5A" wp14:editId="2364A583">
            <wp:extent cx="5435466" cy="3854788"/>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56194" t="12796" r="6217" b="19462"/>
                    <a:stretch>
                      <a:fillRect/>
                    </a:stretch>
                  </pic:blipFill>
                  <pic:spPr>
                    <a:xfrm>
                      <a:off x="0" y="0"/>
                      <a:ext cx="5435466" cy="3854788"/>
                    </a:xfrm>
                    <a:prstGeom prst="rect">
                      <a:avLst/>
                    </a:prstGeom>
                    <a:ln/>
                  </pic:spPr>
                </pic:pic>
              </a:graphicData>
            </a:graphic>
          </wp:inline>
        </w:drawing>
      </w:r>
    </w:p>
    <w:p w14:paraId="1EB4EAF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color w:val="000000"/>
          <w:sz w:val="22"/>
          <w:szCs w:val="22"/>
        </w:rPr>
        <w:t>“</w:t>
      </w:r>
      <w:hyperlink r:id="rId11">
        <w:r w:rsidRPr="006B733D">
          <w:rPr>
            <w:rFonts w:ascii="Palatino Linotype" w:eastAsia="Palatino Linotype" w:hAnsi="Palatino Linotype" w:cstheme="minorHAnsi"/>
            <w:color w:val="000000"/>
            <w:sz w:val="22"/>
            <w:szCs w:val="22"/>
          </w:rPr>
          <w:t>RespuestaResumen01385.pdf</w:t>
        </w:r>
      </w:hyperlink>
      <w:r w:rsidRPr="006B733D">
        <w:rPr>
          <w:rFonts w:ascii="Palatino Linotype" w:eastAsia="Palatino Linotype" w:hAnsi="Palatino Linotype" w:cstheme="minorHAnsi"/>
          <w:color w:val="000000"/>
          <w:sz w:val="22"/>
          <w:szCs w:val="22"/>
        </w:rPr>
        <w:t xml:space="preserve">”, </w:t>
      </w:r>
      <w:r w:rsidRPr="006B733D">
        <w:rPr>
          <w:rFonts w:ascii="Palatino Linotype" w:eastAsia="Palatino Linotype" w:hAnsi="Palatino Linotype" w:cstheme="minorHAnsi"/>
          <w:sz w:val="22"/>
          <w:szCs w:val="22"/>
        </w:rPr>
        <w:t xml:space="preserve">por medio del cual el Titular de la Unidad de Transparencia del Sujeto Obligado, notificó al particular la respuesta de la </w:t>
      </w:r>
      <w:r w:rsidRPr="006B733D">
        <w:rPr>
          <w:rFonts w:ascii="Palatino Linotype" w:eastAsia="Palatino Linotype" w:hAnsi="Palatino Linotype" w:cstheme="minorHAnsi"/>
          <w:color w:val="000000"/>
          <w:sz w:val="22"/>
          <w:szCs w:val="22"/>
        </w:rPr>
        <w:t>Dirección General de Capacitación y Certificación</w:t>
      </w:r>
      <w:r w:rsidRPr="006B733D">
        <w:rPr>
          <w:rFonts w:ascii="Palatino Linotype" w:eastAsia="Palatino Linotype" w:hAnsi="Palatino Linotype" w:cstheme="minorHAnsi"/>
          <w:sz w:val="22"/>
          <w:szCs w:val="22"/>
        </w:rPr>
        <w:t xml:space="preserve">, como los respectivos anexos. </w:t>
      </w:r>
    </w:p>
    <w:p w14:paraId="1DA727C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0AEB90B" w14:textId="77777777" w:rsidR="00261FDA" w:rsidRPr="006B733D" w:rsidRDefault="00261FDA" w:rsidP="00261FDA">
      <w:pPr>
        <w:spacing w:line="360" w:lineRule="auto"/>
        <w:rPr>
          <w:rFonts w:ascii="Palatino Linotype" w:hAnsi="Palatino Linotype" w:cstheme="minorHAnsi"/>
          <w:b/>
        </w:rPr>
      </w:pPr>
      <w:r w:rsidRPr="006B733D">
        <w:rPr>
          <w:rFonts w:ascii="Palatino Linotype" w:eastAsia="Palatino Linotype" w:hAnsi="Palatino Linotype" w:cstheme="minorHAnsi"/>
          <w:b/>
          <w:sz w:val="22"/>
          <w:szCs w:val="22"/>
        </w:rPr>
        <w:t xml:space="preserve">III. </w:t>
      </w:r>
      <w:r w:rsidRPr="006B733D">
        <w:rPr>
          <w:rFonts w:ascii="Palatino Linotype" w:hAnsi="Palatino Linotype" w:cstheme="minorHAnsi"/>
          <w:b/>
        </w:rPr>
        <w:t>Interposición del Recurso de Revisión</w:t>
      </w:r>
    </w:p>
    <w:p w14:paraId="39FD9F1B"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51CDACEB" w14:textId="77777777" w:rsidR="00261FDA" w:rsidRPr="006B733D" w:rsidRDefault="00261FDA" w:rsidP="00261FDA">
      <w:pPr>
        <w:spacing w:line="360" w:lineRule="auto"/>
        <w:ind w:right="51"/>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Inconforme con la respuesta del Sujeto Obligado, la ahora Recurrente interpuso recurso de revisión a través del SAIMEX, en fecha catorce de diciembre de dos mil veintidós, a través del cual expresó lo siguiente:</w:t>
      </w:r>
    </w:p>
    <w:p w14:paraId="5A6F929B" w14:textId="77777777" w:rsidR="00261FDA" w:rsidRPr="006B733D" w:rsidRDefault="00261FDA" w:rsidP="00261FDA">
      <w:pPr>
        <w:spacing w:line="360" w:lineRule="auto"/>
        <w:ind w:right="49"/>
        <w:jc w:val="both"/>
        <w:rPr>
          <w:rFonts w:ascii="Palatino Linotype" w:eastAsia="Palatino Linotype" w:hAnsi="Palatino Linotype" w:cstheme="minorHAnsi"/>
          <w:sz w:val="22"/>
          <w:szCs w:val="22"/>
        </w:rPr>
      </w:pPr>
    </w:p>
    <w:p w14:paraId="055818FB" w14:textId="77777777" w:rsidR="00261FDA" w:rsidRPr="006B733D" w:rsidRDefault="00261FDA" w:rsidP="00261FDA">
      <w:pPr>
        <w:spacing w:line="360" w:lineRule="auto"/>
        <w:ind w:left="567" w:right="567"/>
        <w:rPr>
          <w:rFonts w:ascii="Palatino Linotype" w:eastAsia="Palatino Linotype" w:hAnsi="Palatino Linotype" w:cstheme="minorHAnsi"/>
          <w:b/>
          <w:i/>
          <w:szCs w:val="22"/>
        </w:rPr>
      </w:pPr>
      <w:r w:rsidRPr="006B733D">
        <w:rPr>
          <w:rFonts w:ascii="Palatino Linotype" w:eastAsia="Palatino Linotype" w:hAnsi="Palatino Linotype" w:cstheme="minorHAnsi"/>
          <w:b/>
          <w:i/>
          <w:szCs w:val="22"/>
        </w:rPr>
        <w:t>Acto impugnado</w:t>
      </w:r>
    </w:p>
    <w:p w14:paraId="1FC31267"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lastRenderedPageBreak/>
        <w:t>“LA RESPUESTA OTORGADA POR LA DIRECCION DE CERTIFICACIÓN TODA VEZ QUE UNICAMENTE SE SOLICITO LA INFORMACION EN RELACION A LOS CIEN ASPIRANTES QUE FUERON ACEPTADOS EN EL PROCESO, NO ASÍ EN RELACION AL PROCESO EN CURSO, LO CUAL DE NINGUNA MANERA CONSTITUIRIA AFECTACION AL MISMO, NI VULNERARIA NINGUN DERECHO MUCHO MENOS PODRIA CAUSAR AFECTACION O MENOSCABO A ALGUN DERECHO, TODA VEZ QUE EL MISMO SE ESTA FINANCIANDO CON RECURSOS PUBLICOS Y NO SE ESTA SOLICITANDO MAYOR INFORMACION Y AUNQUE ASI FUERA PROCEDERIA UNA VERSION PUBLICA DE LA MISMA A EFECTO DE PROTEGER DATOS PERSONALES, MAXIME DE SEÑALAR QUE SI SE SOLICITARON LOS CRITERIOS PARA DETERMINAR ACEPTAR A CIERTOS CANDIDATOS SI Y A OTROS NO FUE PORQUE EL INSTITUTO SE LIMITO A ACEPTAR UNICAMENTE A LOS QUE DE FORMA DISCRECIONAL LE PARECIO BIEN, SIN SEGUIR UN ORDEN O CRITERIOS PARA ELLO, TODA VEZ QUE HAY SERVIDORES PUBLICOS QUE CUMPLIERON LOS REQUISITOS Y NO FUERON ACEPTADOS, SIN DAR MAYOR EXPLICACIÓN NI REALIZAR UN ANÁLISIS DE LA PROCEDIBILIDAD DE LOS MISMOS POR LO ANTERIOR NO PROCEDE UNA RESERVA PORQUE EL PROCESO DE SELECCION DE LOS ASPIRANTES QUE ES LO QUE SE ESTA PREGUNTANDO YA CONCLUYO TAN ES ASI QUE LOS MISMOS YA SE ENCUENTRAN EN OTRA ETAPA SIENDO LA DE CAPACITACION.” (Sic).</w:t>
      </w:r>
    </w:p>
    <w:p w14:paraId="19A5BC42"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p>
    <w:p w14:paraId="0633E45B" w14:textId="77777777" w:rsidR="00261FDA" w:rsidRPr="006B733D" w:rsidRDefault="00261FDA" w:rsidP="00261FDA">
      <w:pPr>
        <w:spacing w:line="360" w:lineRule="auto"/>
        <w:ind w:left="567" w:right="567"/>
        <w:jc w:val="both"/>
        <w:rPr>
          <w:rFonts w:ascii="Palatino Linotype" w:eastAsia="Palatino Linotype" w:hAnsi="Palatino Linotype" w:cstheme="minorHAnsi"/>
          <w:b/>
          <w:i/>
          <w:szCs w:val="22"/>
        </w:rPr>
      </w:pPr>
      <w:r w:rsidRPr="006B733D">
        <w:rPr>
          <w:rFonts w:ascii="Palatino Linotype" w:eastAsia="Palatino Linotype" w:hAnsi="Palatino Linotype" w:cstheme="minorHAnsi"/>
          <w:b/>
          <w:i/>
          <w:szCs w:val="22"/>
        </w:rPr>
        <w:t>Motivos de inconformidad</w:t>
      </w:r>
    </w:p>
    <w:p w14:paraId="0FCC2944" w14:textId="77777777" w:rsidR="00261FDA" w:rsidRPr="006B733D" w:rsidRDefault="00261FDA" w:rsidP="00261FDA">
      <w:pPr>
        <w:spacing w:line="360" w:lineRule="auto"/>
        <w:ind w:left="567" w:right="567"/>
        <w:jc w:val="both"/>
        <w:rPr>
          <w:rFonts w:ascii="Palatino Linotype" w:eastAsia="Palatino Linotype" w:hAnsi="Palatino Linotype" w:cstheme="minorHAnsi"/>
          <w:i/>
          <w:color w:val="000000"/>
          <w:szCs w:val="22"/>
        </w:rPr>
      </w:pPr>
      <w:r w:rsidRPr="006B733D">
        <w:rPr>
          <w:rFonts w:ascii="Palatino Linotype" w:eastAsia="Palatino Linotype" w:hAnsi="Palatino Linotype" w:cstheme="minorHAnsi"/>
          <w:i/>
          <w:color w:val="000000"/>
          <w:szCs w:val="22"/>
        </w:rPr>
        <w:t xml:space="preserve">“LA RESPUESTA OTORGADA POR LA DIRECCION DE CERTIFICACIÓN TODA VEZ QUE UNICAMENTE SE SOLICITO LA INFORMACION EN RELACION A LOS CIEN ASPIRANTES QUE FUERON ACEPTADOS EN EL PROCESO, NO ASÍ EN RELACION AL PROCESO EN CURSO, LO CUAL DE NINGUNA MANERA CONSTITUIRIA AFECTACION AL MISMO, NI VULNERARIA NINGUN DERECHO MUCHO MENOS PODRIA CAUSAR AFECTACION O MENOSCABO A ALGUN DERECHO, TODA VEZ </w:t>
      </w:r>
      <w:r w:rsidRPr="006B733D">
        <w:rPr>
          <w:rFonts w:ascii="Palatino Linotype" w:eastAsia="Palatino Linotype" w:hAnsi="Palatino Linotype" w:cstheme="minorHAnsi"/>
          <w:i/>
          <w:color w:val="000000"/>
          <w:szCs w:val="22"/>
        </w:rPr>
        <w:lastRenderedPageBreak/>
        <w:t>QUE EL MISMO SE ESTA FINANCIANDO CON RECURSOS PUBLICOS Y NO SE ESTA SOLICITANDO MAYOR INFORMACION Y AUNQUE ASI FUERA PROCEDERIA UNA VERSION PUBLICA DE LA MISMA A EFECTO DE PROTEGER DATOS PERSONALES, MAXIME DE SEÑALAR QUE SI SE SOLICITARON LOS CRITERIOS PARA DETERMINAR ACEPTAR A CIERTOS CANDIDATOS SI Y A OTROS NO FUE PORQUE EL INSTITUTO SE LIMITO A ACEPTAR UNICAMENTE A LOS QUE DE FORMA DISCRECIONAL LE PARECIO BIEN, SIN SEGUIR UN ORDEN O CRITERIOS PARA ELLO, TODA VEZ QUE HAY SERVIDORES PUBLICOS QUE CUMPLIERON LOS REQUISITOS Y NO FUERON ACEPTADOS, SIN DAR MAYOR EXPLICACIÓN NI REALIZAR UN ANÁLISIS DE LA PROCEDIBILIDAD DE LOS MISMOS POR LO ANTERIOR NO PROCEDE UNA RESERVA PORQUE EL PROCESO DE SELECCION DE LOS ASPIRANTES QUE ES LO QUE SE ESTA PREGUNTANDO YA CONCLUYO TAN ES ASI QUE LOS MISMOS YA SE ENCUENTRAN EN OTRA ETAPA SIENDO LA DE CAPACITACION.” (Sic)</w:t>
      </w:r>
    </w:p>
    <w:p w14:paraId="2657BDA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F130F4D" w14:textId="77777777" w:rsidR="00261FDA" w:rsidRPr="006B733D" w:rsidRDefault="00261FDA" w:rsidP="00261FDA">
      <w:pPr>
        <w:spacing w:line="360" w:lineRule="auto"/>
        <w:rPr>
          <w:rFonts w:ascii="Palatino Linotype" w:hAnsi="Palatino Linotype" w:cstheme="minorHAnsi"/>
          <w:b/>
          <w:bCs/>
        </w:rPr>
      </w:pPr>
      <w:r w:rsidRPr="006B733D">
        <w:rPr>
          <w:rFonts w:ascii="Palatino Linotype" w:hAnsi="Palatino Linotype" w:cstheme="minorHAnsi"/>
          <w:b/>
        </w:rPr>
        <w:t xml:space="preserve">IV. </w:t>
      </w:r>
      <w:r w:rsidRPr="006B733D">
        <w:rPr>
          <w:rFonts w:ascii="Palatino Linotype" w:hAnsi="Palatino Linotype" w:cstheme="minorHAnsi"/>
          <w:b/>
          <w:bCs/>
        </w:rPr>
        <w:t xml:space="preserve">Trámite del </w:t>
      </w:r>
      <w:r w:rsidRPr="006B733D">
        <w:rPr>
          <w:rFonts w:ascii="Palatino Linotype" w:hAnsi="Palatino Linotype" w:cstheme="minorHAnsi"/>
          <w:b/>
        </w:rPr>
        <w:t xml:space="preserve">Recurso de Revisión </w:t>
      </w:r>
      <w:r w:rsidRPr="006B733D">
        <w:rPr>
          <w:rFonts w:ascii="Palatino Linotype" w:hAnsi="Palatino Linotype" w:cstheme="minorHAnsi"/>
          <w:b/>
          <w:bCs/>
        </w:rPr>
        <w:t>ante este Instituto</w:t>
      </w:r>
    </w:p>
    <w:p w14:paraId="693EC4D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811DA46"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r w:rsidRPr="006B733D">
        <w:rPr>
          <w:rFonts w:ascii="Palatino Linotype" w:hAnsi="Palatino Linotype" w:cstheme="minorHAnsi"/>
          <w:b/>
          <w:bCs/>
        </w:rPr>
        <w:t xml:space="preserve">a) Turno del Medio de Impugnación. </w:t>
      </w:r>
      <w:r w:rsidRPr="006B733D">
        <w:rPr>
          <w:rFonts w:ascii="Palatino Linotype" w:eastAsia="Palatino Linotype" w:hAnsi="Palatino Linotype" w:cstheme="minorHAnsi"/>
          <w:sz w:val="22"/>
          <w:szCs w:val="22"/>
        </w:rPr>
        <w:t xml:space="preserve">De conformidad con el artículo 185, fracción I de la Ley de Transparencia y Acceso a la Información Pública del Estado de México y Municipios, el recurso de revisión número </w:t>
      </w:r>
      <w:r w:rsidRPr="006B733D">
        <w:rPr>
          <w:rFonts w:ascii="Palatino Linotype" w:eastAsia="Palatino Linotype" w:hAnsi="Palatino Linotype" w:cstheme="minorHAnsi"/>
          <w:b/>
          <w:sz w:val="22"/>
          <w:szCs w:val="22"/>
        </w:rPr>
        <w:t xml:space="preserve">17324/INFOEM/IP/RR/2022, </w:t>
      </w:r>
      <w:r w:rsidRPr="006B733D">
        <w:rPr>
          <w:rFonts w:ascii="Palatino Linotype" w:eastAsia="Palatino Linotype" w:hAnsi="Palatino Linotype" w:cstheme="minorHAnsi"/>
          <w:sz w:val="22"/>
          <w:szCs w:val="22"/>
        </w:rPr>
        <w:t xml:space="preserve">se turnó por el sistema electrónico del Instituto de Transparencia, Acceso a la Información Pública y Protección de Datos Personales del Estado de México y Municipios, a la Comisionada </w:t>
      </w:r>
      <w:r w:rsidRPr="006B733D">
        <w:rPr>
          <w:rFonts w:ascii="Palatino Linotype" w:eastAsia="Palatino Linotype" w:hAnsi="Palatino Linotype" w:cstheme="minorHAnsi"/>
          <w:b/>
          <w:sz w:val="22"/>
          <w:szCs w:val="22"/>
        </w:rPr>
        <w:t>Guadalupe Ramírez Peña</w:t>
      </w:r>
      <w:r w:rsidRPr="006B733D">
        <w:rPr>
          <w:rFonts w:ascii="Palatino Linotype" w:eastAsia="Palatino Linotype" w:hAnsi="Palatino Linotype" w:cstheme="minorHAnsi"/>
          <w:sz w:val="22"/>
          <w:szCs w:val="22"/>
        </w:rPr>
        <w:t>, para su análisis, estudio, elaboración del proyecto y presentación ante el Pleno de este Instituto.</w:t>
      </w:r>
    </w:p>
    <w:p w14:paraId="4FEF806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21EBD0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b/>
          <w:sz w:val="22"/>
          <w:szCs w:val="22"/>
        </w:rPr>
        <w:t xml:space="preserve">b) Admisión del recurso de revisión. </w:t>
      </w:r>
      <w:r w:rsidRPr="006B733D">
        <w:rPr>
          <w:rFonts w:ascii="Palatino Linotype" w:eastAsia="Palatino Linotype" w:hAnsi="Palatino Linotype" w:cstheme="minorHAnsi"/>
          <w:sz w:val="22"/>
          <w:szCs w:val="22"/>
        </w:rPr>
        <w:t xml:space="preserve">En fecha diecinueve de diciembre de dos mil veintidós, la Comisionada ponente, admitió a trámite el recurso de revisión que ahora se </w:t>
      </w:r>
      <w:r w:rsidRPr="006B733D">
        <w:rPr>
          <w:rFonts w:ascii="Palatino Linotype" w:eastAsia="Palatino Linotype" w:hAnsi="Palatino Linotype" w:cstheme="minorHAnsi"/>
          <w:sz w:val="22"/>
          <w:szCs w:val="22"/>
        </w:rPr>
        <w:lastRenderedPageBreak/>
        <w:t xml:space="preserve">resuelve y concedió un plazo de siete días hábiles para que las partes manifestaran lo que a su derecho resultara conveniente, ofrecieran pruebas, formularan alegatos y el Sujeto Obligado presentara su informe justificado. </w:t>
      </w:r>
    </w:p>
    <w:p w14:paraId="604575F3"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63CADA05" w14:textId="77777777" w:rsidR="00261FDA" w:rsidRPr="006B733D" w:rsidRDefault="00261FDA" w:rsidP="00261FDA">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theme="minorHAnsi"/>
          <w:color w:val="000000"/>
          <w:sz w:val="22"/>
          <w:szCs w:val="22"/>
        </w:rPr>
      </w:pPr>
      <w:bookmarkStart w:id="1" w:name="_heading=h.gjdgxs" w:colFirst="0" w:colLast="0"/>
      <w:bookmarkEnd w:id="1"/>
      <w:r w:rsidRPr="006B733D">
        <w:rPr>
          <w:rFonts w:ascii="Palatino Linotype" w:eastAsia="Calibri" w:hAnsi="Palatino Linotype" w:cstheme="minorHAnsi"/>
          <w:b/>
          <w:color w:val="000000"/>
        </w:rPr>
        <w:t>c) Informe Justificado.</w:t>
      </w:r>
      <w:r w:rsidRPr="006B733D">
        <w:rPr>
          <w:rFonts w:ascii="Palatino Linotype" w:eastAsia="Palatino Linotype" w:hAnsi="Palatino Linotype" w:cstheme="minorHAnsi"/>
          <w:color w:val="000000"/>
          <w:sz w:val="22"/>
          <w:szCs w:val="22"/>
        </w:rPr>
        <w:t xml:space="preserve"> E</w:t>
      </w:r>
      <w:r w:rsidRPr="006B733D">
        <w:rPr>
          <w:rFonts w:ascii="Palatino Linotype" w:eastAsia="Palatino Linotype" w:hAnsi="Palatino Linotype" w:cstheme="minorHAnsi"/>
          <w:sz w:val="22"/>
          <w:szCs w:val="22"/>
        </w:rPr>
        <w:t>l Sujeto Obligado</w:t>
      </w:r>
      <w:r w:rsidRPr="006B733D">
        <w:rPr>
          <w:rFonts w:ascii="Palatino Linotype" w:eastAsia="Palatino Linotype" w:hAnsi="Palatino Linotype" w:cstheme="minorHAnsi"/>
          <w:b/>
          <w:sz w:val="22"/>
          <w:szCs w:val="22"/>
        </w:rPr>
        <w:t xml:space="preserve">, </w:t>
      </w:r>
      <w:r w:rsidRPr="006B733D">
        <w:rPr>
          <w:rFonts w:ascii="Palatino Linotype" w:eastAsia="Palatino Linotype" w:hAnsi="Palatino Linotype" w:cstheme="minorHAnsi"/>
          <w:sz w:val="22"/>
          <w:szCs w:val="22"/>
        </w:rPr>
        <w:t xml:space="preserve">en fecha trece de enero del año dos mil veintitrés, remitió la siguiente documentación: </w:t>
      </w:r>
    </w:p>
    <w:p w14:paraId="781ADD7C" w14:textId="77777777" w:rsidR="00261FDA" w:rsidRPr="006B733D" w:rsidRDefault="00261FDA" w:rsidP="00261FDA">
      <w:pPr>
        <w:spacing w:line="360" w:lineRule="auto"/>
        <w:jc w:val="both"/>
        <w:rPr>
          <w:rFonts w:ascii="Palatino Linotype" w:hAnsi="Palatino Linotype" w:cstheme="minorHAnsi"/>
          <w:sz w:val="22"/>
          <w:szCs w:val="22"/>
        </w:rPr>
      </w:pPr>
    </w:p>
    <w:p w14:paraId="39AFDEE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w:t>
      </w:r>
      <w:hyperlink r:id="rId12">
        <w:r w:rsidRPr="006B733D">
          <w:rPr>
            <w:rFonts w:ascii="Palatino Linotype" w:eastAsia="Palatino Linotype" w:hAnsi="Palatino Linotype" w:cstheme="minorHAnsi"/>
            <w:sz w:val="22"/>
            <w:szCs w:val="22"/>
          </w:rPr>
          <w:t>Informe Justificado 17324-INFOEM-IP-2022.pdf</w:t>
        </w:r>
      </w:hyperlink>
      <w:r w:rsidRPr="006B733D">
        <w:rPr>
          <w:rFonts w:ascii="Palatino Linotype" w:eastAsia="Palatino Linotype" w:hAnsi="Palatino Linotype" w:cstheme="minorHAnsi"/>
          <w:sz w:val="22"/>
          <w:szCs w:val="22"/>
        </w:rPr>
        <w:t>”, el cual contiene el informe justificado emitido por la Dirección General de Capacitación y Certificación, mediante el cual, en lo medular expuso, que los candidatos que fueron aceptados en el proceso de certificación para la Tercera Promoción del Proceso de Certificación 2022, bajo el modelo estándar de competencia laboral denominado “Garantizar el Derecho de Acceso a la Información Pública”, dirigida a las y los Titulares de las Unidades de Transparencia y Servidores Públicos Habilitados de los Sujetos Obligados del Estado de México, tal y como se observa de la respuesta se le hizo del conocimiento del Particular, que se encuentra en proceso deliberativo, por lo que no resultaba posible entregar la información requerida, ya que aún a la fecha subsisten las causales que motivan la reserva de la información, documentales que fueron clasificadas como reservadas por el Comité de Transparencia de este Sujeto Obligado, mediante resolución RES/01/INFOEM/EXT/COMT/38a/2022.</w:t>
      </w:r>
    </w:p>
    <w:p w14:paraId="2B07EDC2"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6A390623"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Asimismo, agregó que, mediante respuesta se le indicó al particular que entregar el listado de personas inscritas en el proceso de certificación, provocaría incertidumbre jurídica en el Particular, toda vez que no podría conocer si las acciones que realiza este Instituto, en su carácter de Entidad de Certificación y Evaluación, durante la sustanciación del proceso de certificación de referencia, son apegadas a derecho, ni tampoco se podría garantizar que </w:t>
      </w:r>
      <w:r w:rsidRPr="006B733D">
        <w:rPr>
          <w:rFonts w:ascii="Palatino Linotype" w:eastAsia="Palatino Linotype" w:hAnsi="Palatino Linotype" w:cstheme="minorHAnsi"/>
          <w:sz w:val="22"/>
          <w:szCs w:val="22"/>
        </w:rPr>
        <w:lastRenderedPageBreak/>
        <w:t>dicho proceso sea verificable, fidedigno y confiable, pues hasta la fecha no se ha desahogado totalmente las cinco etapas que conforman el referido proceso de certificación, toda vez que dicho proceso de certificación se encuentra en la segunda etapa denominada “Capacitación” por lo que se indicó al Particular que entregar lo solicitado impediría que el Grupo de Dictamen apruebe la procedencia de la emisión del Juicio de competencia que en su momento se determine.</w:t>
      </w:r>
    </w:p>
    <w:p w14:paraId="28AD64A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1EFC134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Por lo anterior, se configura el supuesto normativo previsto en el artículo 132, último párrafo de la Ley de Transparencia y Acceso a la información Pública del Estado de México y Municipios, en virtud de que subsisten las causales de reserva total del proceso de Certificación del Estándar de Competencia 1057 Garantizar el Derecho de Acceso a la información Pública “de la Tercera promoción del presente ejercicio fiscal en virtud de que a la fecha no ha culminado su proceso deliberativo correspondiente, superando así los parámetros de la prueba de daño que se prevén en el numeral Trigésimo Tercero de los Lineamientos Generales en Materia de Clasificación y Desclasificación de la Información, así como para la elaboración de las Versiones Publicas.</w:t>
      </w:r>
    </w:p>
    <w:p w14:paraId="477C106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D8E7DE2"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En cuanto al motivo de inconformidad del Recurrente, manifestó que, las aseveraciones vertidas resultan ser subjetivas derivadas de hechos que se desconocen por completo, dichos cuestionamientos no pretenden contravenir la respuesta. Por lo que a criterio de esa Dirección General de Capacitación y Certificación, dicha respuesta debe ser confirmada por este Organismo Garante en atención a que, tal y como quedó argumentado se dio cabal cumplimiento al Derecho de acceso a la información ejercido por el Particular. Además adjuntó la información siguiente:</w:t>
      </w:r>
    </w:p>
    <w:p w14:paraId="5E803CF6"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8AF9EE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w:t>
      </w:r>
      <w:hyperlink r:id="rId13">
        <w:r w:rsidRPr="006B733D">
          <w:rPr>
            <w:rFonts w:ascii="Palatino Linotype" w:eastAsia="Palatino Linotype" w:hAnsi="Palatino Linotype" w:cstheme="minorHAnsi"/>
            <w:sz w:val="22"/>
            <w:szCs w:val="22"/>
          </w:rPr>
          <w:t>Requerimiento de informe justificado 17324.pdf</w:t>
        </w:r>
      </w:hyperlink>
      <w:r w:rsidRPr="006B733D">
        <w:rPr>
          <w:rFonts w:ascii="Palatino Linotype" w:eastAsia="Palatino Linotype" w:hAnsi="Palatino Linotype" w:cstheme="minorHAnsi"/>
          <w:sz w:val="22"/>
          <w:szCs w:val="22"/>
        </w:rPr>
        <w:t>”, el cual contiene el requerimiento del Informe Justificado por parte de la Unidad de Transparencia a la Dirección General de Capacitación y Certificación, respecto del recurso de revisión 17324/INFOEM/IP/RR/2022.</w:t>
      </w:r>
      <w:r w:rsidRPr="006B733D">
        <w:rPr>
          <w:rFonts w:ascii="Palatino Linotype" w:eastAsia="Palatino Linotype" w:hAnsi="Palatino Linotype" w:cstheme="minorHAnsi"/>
          <w:b/>
          <w:sz w:val="22"/>
          <w:szCs w:val="22"/>
        </w:rPr>
        <w:t xml:space="preserve"> </w:t>
      </w:r>
    </w:p>
    <w:p w14:paraId="0470EA1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AD0BE0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w:t>
      </w:r>
      <w:hyperlink r:id="rId14">
        <w:r w:rsidRPr="006B733D">
          <w:rPr>
            <w:rFonts w:ascii="Palatino Linotype" w:eastAsia="Palatino Linotype" w:hAnsi="Palatino Linotype" w:cstheme="minorHAnsi"/>
            <w:sz w:val="22"/>
            <w:szCs w:val="22"/>
          </w:rPr>
          <w:t>RespuestaSolicitud01324DGCyC.pdf</w:t>
        </w:r>
      </w:hyperlink>
      <w:r w:rsidRPr="006B733D">
        <w:rPr>
          <w:rFonts w:ascii="Palatino Linotype" w:eastAsia="Palatino Linotype" w:hAnsi="Palatino Linotype" w:cstheme="minorHAnsi"/>
          <w:sz w:val="22"/>
          <w:szCs w:val="22"/>
        </w:rPr>
        <w:t>”, el cual contiene la respuesta otorgada a la solicitud número 01324/INFOEM/IP/2022, por parte de la Dirección General de Capacitación y Certificación.</w:t>
      </w:r>
    </w:p>
    <w:p w14:paraId="35171EA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30006A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w:t>
      </w:r>
      <w:hyperlink r:id="rId15">
        <w:r w:rsidRPr="006B733D">
          <w:rPr>
            <w:rFonts w:ascii="Palatino Linotype" w:eastAsia="Palatino Linotype" w:hAnsi="Palatino Linotype" w:cstheme="minorHAnsi"/>
            <w:sz w:val="22"/>
            <w:szCs w:val="22"/>
          </w:rPr>
          <w:t>InformeJustificadoRecurso17324UT.pdf</w:t>
        </w:r>
      </w:hyperlink>
      <w:r w:rsidRPr="006B733D">
        <w:rPr>
          <w:rFonts w:ascii="Palatino Linotype" w:eastAsia="Palatino Linotype" w:hAnsi="Palatino Linotype" w:cstheme="minorHAnsi"/>
          <w:sz w:val="22"/>
          <w:szCs w:val="22"/>
        </w:rPr>
        <w:t xml:space="preserve">”, el cual contiene el informe justificado emitido por al Titular de la Unidad de Transparencia, por medio del cual además de exponer los antecedentes del presente asunto, precios los argumentos expuestos por la Dirección General de Capacitación y Certificación en cuanto a los motivos de inconformidad hecho valer por la parte </w:t>
      </w:r>
      <w:r w:rsidRPr="006B733D">
        <w:rPr>
          <w:rFonts w:ascii="Palatino Linotype" w:eastAsia="Palatino Linotype" w:hAnsi="Palatino Linotype" w:cstheme="minorHAnsi"/>
          <w:b/>
          <w:sz w:val="22"/>
          <w:szCs w:val="22"/>
        </w:rPr>
        <w:t>RECURRENTE</w:t>
      </w:r>
      <w:r w:rsidRPr="006B733D">
        <w:rPr>
          <w:rFonts w:ascii="Palatino Linotype" w:eastAsia="Palatino Linotype" w:hAnsi="Palatino Linotype" w:cstheme="minorHAnsi"/>
          <w:sz w:val="22"/>
          <w:szCs w:val="22"/>
        </w:rPr>
        <w:t xml:space="preserve">, en el presente asunto. </w:t>
      </w:r>
    </w:p>
    <w:p w14:paraId="430BCC32" w14:textId="77777777" w:rsidR="00261FDA" w:rsidRPr="006B733D" w:rsidRDefault="00261FDA" w:rsidP="00261FDA">
      <w:pPr>
        <w:spacing w:line="360" w:lineRule="auto"/>
        <w:jc w:val="both"/>
        <w:rPr>
          <w:rFonts w:ascii="Palatino Linotype" w:eastAsia="Palatino Linotype" w:hAnsi="Palatino Linotype" w:cstheme="minorHAnsi"/>
          <w:color w:val="000000"/>
          <w:sz w:val="22"/>
          <w:szCs w:val="22"/>
        </w:rPr>
      </w:pPr>
    </w:p>
    <w:p w14:paraId="36A5755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color w:val="000000"/>
          <w:sz w:val="22"/>
          <w:szCs w:val="22"/>
        </w:rPr>
        <w:t>De las constancias que integran el expediente en que se actúa se advierte que el Recurrente, fue omiso en presentar sus alegatos o manifestación alguna</w:t>
      </w:r>
    </w:p>
    <w:p w14:paraId="0493D9B6"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713D0B1" w14:textId="77777777" w:rsidR="00261FDA" w:rsidRPr="006B733D" w:rsidRDefault="00261FDA" w:rsidP="00261FDA">
      <w:pPr>
        <w:spacing w:line="360" w:lineRule="auto"/>
        <w:jc w:val="both"/>
        <w:rPr>
          <w:rFonts w:ascii="Palatino Linotype" w:eastAsia="Calibri" w:hAnsi="Palatino Linotype" w:cstheme="minorHAnsi"/>
          <w:color w:val="000000"/>
          <w:sz w:val="22"/>
        </w:rPr>
      </w:pPr>
      <w:r w:rsidRPr="006B733D">
        <w:rPr>
          <w:rFonts w:ascii="Palatino Linotype" w:eastAsia="Calibri" w:hAnsi="Palatino Linotype" w:cstheme="minorHAnsi"/>
          <w:b/>
          <w:bCs/>
          <w:color w:val="000000"/>
          <w:sz w:val="22"/>
        </w:rPr>
        <w:t>d)</w:t>
      </w:r>
      <w:r w:rsidRPr="006B733D">
        <w:rPr>
          <w:rFonts w:ascii="Palatino Linotype" w:eastAsia="Calibri" w:hAnsi="Palatino Linotype" w:cstheme="minorHAnsi"/>
          <w:b/>
          <w:color w:val="000000"/>
          <w:sz w:val="22"/>
        </w:rPr>
        <w:t xml:space="preserve"> Vista de Informe Justificado. </w:t>
      </w:r>
      <w:r w:rsidRPr="006B733D">
        <w:rPr>
          <w:rFonts w:ascii="Palatino Linotype" w:eastAsia="Calibri" w:hAnsi="Palatino Linotype" w:cstheme="minorHAnsi"/>
          <w:color w:val="000000"/>
          <w:sz w:val="22"/>
        </w:rPr>
        <w:t xml:space="preserve">En fecha seis de junio de dos mil veintitrés, se notificó a través del Sistema de Acceso a la Información Mexiquense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 </w:t>
      </w:r>
    </w:p>
    <w:p w14:paraId="0E39EB46" w14:textId="77777777" w:rsidR="00261FDA" w:rsidRPr="006B733D" w:rsidRDefault="00261FDA" w:rsidP="00261FDA">
      <w:pPr>
        <w:spacing w:line="360" w:lineRule="auto"/>
        <w:jc w:val="both"/>
        <w:rPr>
          <w:rFonts w:ascii="Palatino Linotype" w:eastAsia="Calibri" w:hAnsi="Palatino Linotype" w:cstheme="minorHAnsi"/>
          <w:color w:val="000000"/>
          <w:sz w:val="22"/>
        </w:rPr>
      </w:pPr>
    </w:p>
    <w:p w14:paraId="5F038F28" w14:textId="77777777" w:rsidR="00261FDA" w:rsidRPr="006B733D" w:rsidRDefault="00261FDA" w:rsidP="00261FDA">
      <w:pPr>
        <w:spacing w:line="360" w:lineRule="auto"/>
        <w:jc w:val="both"/>
        <w:rPr>
          <w:rFonts w:ascii="Palatino Linotype" w:eastAsia="Calibri" w:hAnsi="Palatino Linotype" w:cstheme="minorHAnsi"/>
          <w:color w:val="000000"/>
          <w:sz w:val="22"/>
        </w:rPr>
      </w:pPr>
      <w:r w:rsidRPr="006B733D">
        <w:rPr>
          <w:rFonts w:ascii="Palatino Linotype" w:hAnsi="Palatino Linotype" w:cstheme="minorHAnsi"/>
          <w:b/>
          <w:sz w:val="22"/>
        </w:rPr>
        <w:t>No obstante, lo anterior, el Recurrente omitió realizar manifestación alguna que a su derecho conviniera y asistiera.</w:t>
      </w:r>
    </w:p>
    <w:p w14:paraId="2697CA4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836AF20" w14:textId="77777777" w:rsidR="00261FDA" w:rsidRPr="006B733D" w:rsidRDefault="00261FDA" w:rsidP="00261FDA">
      <w:pPr>
        <w:widowControl w:val="0"/>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b/>
          <w:sz w:val="22"/>
          <w:szCs w:val="22"/>
        </w:rPr>
        <w:t>e) Ampliación del plazo.</w:t>
      </w:r>
      <w:r w:rsidRPr="006B733D">
        <w:rPr>
          <w:rFonts w:ascii="Palatino Linotype" w:eastAsia="Palatino Linotype" w:hAnsi="Palatino Linotype" w:cstheme="minorHAnsi"/>
          <w:sz w:val="22"/>
          <w:szCs w:val="22"/>
        </w:rPr>
        <w:t xml:space="preserve"> En fecha seis de junio del año dos mil veintitrés, con fundamento en el artículo 181, párrafo tercero de la Ley de Transparencia y Acceso a la Información Pública del Estado de México y Municipios, se acordó la ampliación del plazo para su resolución.</w:t>
      </w:r>
    </w:p>
    <w:p w14:paraId="54E9291A" w14:textId="77777777" w:rsidR="00261FDA" w:rsidRPr="006B733D" w:rsidRDefault="00261FDA" w:rsidP="00261FDA">
      <w:pPr>
        <w:widowControl w:val="0"/>
        <w:spacing w:line="360" w:lineRule="auto"/>
        <w:jc w:val="both"/>
        <w:rPr>
          <w:rFonts w:ascii="Palatino Linotype" w:eastAsia="Palatino Linotype" w:hAnsi="Palatino Linotype" w:cstheme="minorHAnsi"/>
          <w:sz w:val="22"/>
          <w:szCs w:val="22"/>
        </w:rPr>
      </w:pPr>
    </w:p>
    <w:p w14:paraId="0FDAB96B"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507F1B8"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CD1145C"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C06D234"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CBB0B5A"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AF5C48"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873EECD"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9D149A"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F2C219A"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4B11D9A0"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6D6B050"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753690BA"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b) Actividad Procesal del interesado: Acciones u omisiones del interesado.</w:t>
      </w:r>
    </w:p>
    <w:p w14:paraId="495B1B18"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472B345F"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d) La afectación generada en la situación jurídica de la persona involucrada en el proceso: Violación a sus derechos humanos.</w:t>
      </w:r>
    </w:p>
    <w:p w14:paraId="5F84F361"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0A79CC66"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A317B4"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4D14C7F"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Argumento que encuentra sustento en la jurisprudencia P</w:t>
      </w:r>
      <w:proofErr w:type="gramStart"/>
      <w:r w:rsidRPr="006B733D">
        <w:rPr>
          <w:rStyle w:val="eop"/>
          <w:rFonts w:ascii="Palatino Linotype" w:hAnsi="Palatino Linotype" w:cs="Segoe UI"/>
          <w:sz w:val="22"/>
          <w:szCs w:val="22"/>
        </w:rPr>
        <w:t>./</w:t>
      </w:r>
      <w:proofErr w:type="gramEnd"/>
      <w:r w:rsidRPr="006B733D">
        <w:rPr>
          <w:rStyle w:val="eop"/>
          <w:rFonts w:ascii="Palatino Linotype" w:hAnsi="Palatino Linotype" w:cs="Segoe UI"/>
          <w:sz w:val="22"/>
          <w:szCs w:val="22"/>
        </w:rPr>
        <w:t>J. 32/92 emitida por el Pleno de la Suprema Corte de Justicia de la Nación de rubro “</w:t>
      </w:r>
      <w:r w:rsidRPr="006B733D">
        <w:rPr>
          <w:rStyle w:val="eop"/>
          <w:rFonts w:ascii="Palatino Linotype" w:hAnsi="Palatino Linotype" w:cs="Segoe UI"/>
          <w:b/>
          <w:bCs/>
          <w:sz w:val="22"/>
          <w:szCs w:val="22"/>
        </w:rPr>
        <w:t xml:space="preserve">TÉRMINOS PROCESALES. PARA </w:t>
      </w:r>
      <w:r w:rsidRPr="006B733D">
        <w:rPr>
          <w:rStyle w:val="eop"/>
          <w:rFonts w:ascii="Palatino Linotype" w:hAnsi="Palatino Linotype" w:cs="Segoe UI"/>
          <w:b/>
          <w:bCs/>
          <w:sz w:val="22"/>
          <w:szCs w:val="22"/>
        </w:rPr>
        <w:lastRenderedPageBreak/>
        <w:t>DETERMINAR SI UN FUNCIONARIO JUDICIAL ACTUÓ INDEBIDAMENTE POR NO RESPETARLOS SE DEBE ATENDER AL PRESUPUESTO QUE CONSIDERÓ EL LEGISLADOR AL FIJARLOS Y LAS CARACTERÍSTICAS DEL CASO</w:t>
      </w:r>
      <w:r w:rsidRPr="006B733D">
        <w:rPr>
          <w:rStyle w:val="eop"/>
          <w:rFonts w:ascii="Palatino Linotype" w:hAnsi="Palatino Linotype" w:cs="Segoe UI"/>
          <w:sz w:val="22"/>
          <w:szCs w:val="22"/>
        </w:rPr>
        <w:t>.”, visible en la Gaceta del Seminario Judicial de la Federación con el registro digital 205635.</w:t>
      </w:r>
    </w:p>
    <w:p w14:paraId="1C70AAEF"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95A63F9"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BA166F"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CFB6508"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535FD366"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E3DD4B0"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6B733D">
        <w:rPr>
          <w:rStyle w:val="eop"/>
          <w:rFonts w:ascii="Palatino Linotype" w:hAnsi="Palatino Linotype" w:cs="Segoe UI"/>
          <w:b/>
          <w:bCs/>
          <w:sz w:val="20"/>
          <w:szCs w:val="20"/>
        </w:rPr>
        <w:t>“PLAZO RAZONABLE PARA RESOLVER. DIMENSIÓN Y EFECTOS DE ESTE CONCEPTO CUANDO SE ADUCE EXCESIVA CARGA DE TRABAJO.”</w:t>
      </w:r>
      <w:r w:rsidRPr="006B733D">
        <w:rPr>
          <w:rStyle w:val="eop"/>
          <w:rFonts w:ascii="Palatino Linotype" w:hAnsi="Palatino Linotype" w:cs="Segoe UI"/>
          <w:sz w:val="20"/>
          <w:szCs w:val="20"/>
        </w:rPr>
        <w:t xml:space="preserve"> consultable en el Seminario Judicial de la Federación y su gaceta, con el registro digital 2002351.</w:t>
      </w:r>
    </w:p>
    <w:p w14:paraId="4515153E"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54DCB2EE"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6B733D">
        <w:rPr>
          <w:rStyle w:val="eop"/>
          <w:rFonts w:ascii="Palatino Linotype" w:hAnsi="Palatino Linotype" w:cs="Segoe UI"/>
          <w:b/>
          <w:bCs/>
          <w:sz w:val="20"/>
          <w:szCs w:val="20"/>
        </w:rPr>
        <w:t xml:space="preserve">“PLAZO RAZONABLE PARA RESOLVER. CONCEPTO Y ELEMENTOS QUE LO INTEGRAN A LA LUZ DEL DERECHO INTERNACIONAL DE LOS DERECHOS </w:t>
      </w:r>
      <w:r w:rsidRPr="006B733D">
        <w:rPr>
          <w:rStyle w:val="eop"/>
          <w:rFonts w:ascii="Palatino Linotype" w:hAnsi="Palatino Linotype" w:cs="Segoe UI"/>
          <w:b/>
          <w:bCs/>
          <w:sz w:val="20"/>
          <w:szCs w:val="20"/>
        </w:rPr>
        <w:lastRenderedPageBreak/>
        <w:t>HUMANOS</w:t>
      </w:r>
      <w:r w:rsidRPr="006B733D">
        <w:rPr>
          <w:rStyle w:val="eop"/>
          <w:rFonts w:ascii="Palatino Linotype" w:hAnsi="Palatino Linotype" w:cs="Segoe UI"/>
          <w:sz w:val="20"/>
          <w:szCs w:val="20"/>
        </w:rPr>
        <w:t>.”, visible en el Seminario Judicial de la Federación y su gaceta, con el registro digital 2002350.</w:t>
      </w:r>
    </w:p>
    <w:p w14:paraId="31C93246" w14:textId="77777777" w:rsidR="00261FDA" w:rsidRPr="006B733D" w:rsidRDefault="00261FDA" w:rsidP="00261FD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0E9A6ACB" w14:textId="77777777" w:rsidR="00261FDA" w:rsidRPr="006B733D" w:rsidRDefault="00261FDA" w:rsidP="00261F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6B733D">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14:paraId="54FFAC89"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6F8AE5D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b/>
          <w:sz w:val="22"/>
          <w:szCs w:val="22"/>
        </w:rPr>
        <w:t xml:space="preserve">f) Cierre de instrucción. </w:t>
      </w:r>
      <w:r w:rsidRPr="006B733D">
        <w:rPr>
          <w:rFonts w:ascii="Palatino Linotype" w:eastAsia="Palatino Linotype" w:hAnsi="Palatino Linotype" w:cstheme="minorHAnsi"/>
          <w:sz w:val="22"/>
          <w:szCs w:val="22"/>
        </w:rPr>
        <w:t>El veintiuno</w:t>
      </w:r>
      <w:r w:rsidRPr="006B733D">
        <w:rPr>
          <w:rFonts w:ascii="Palatino Linotype" w:eastAsia="Palatino Linotype" w:hAnsi="Palatino Linotype" w:cstheme="minorHAnsi"/>
          <w:color w:val="FF0000"/>
          <w:sz w:val="22"/>
          <w:szCs w:val="22"/>
        </w:rPr>
        <w:t xml:space="preserve"> </w:t>
      </w:r>
      <w:r w:rsidRPr="006B733D">
        <w:rPr>
          <w:rFonts w:ascii="Palatino Linotype" w:eastAsia="Palatino Linotype" w:hAnsi="Palatino Linotype" w:cstheme="minorHAnsi"/>
          <w:sz w:val="22"/>
          <w:szCs w:val="22"/>
        </w:rPr>
        <w:t>de septiembre de dos mil veintitrés la Comisionada Ponente determinó el cierre de instrucción en términos de la fracción VI del artículo 185 de la Ley de Transparencia y Acceso a la Información Pública del Estado de México y Municipios.</w:t>
      </w:r>
    </w:p>
    <w:p w14:paraId="3EA0AD1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51E385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b/>
          <w:sz w:val="22"/>
          <w:szCs w:val="22"/>
        </w:rPr>
        <w:t xml:space="preserve">g) </w:t>
      </w:r>
      <w:proofErr w:type="spellStart"/>
      <w:r w:rsidRPr="006B733D">
        <w:rPr>
          <w:rFonts w:ascii="Palatino Linotype" w:eastAsia="Palatino Linotype" w:hAnsi="Palatino Linotype" w:cstheme="minorHAnsi"/>
          <w:b/>
          <w:sz w:val="22"/>
          <w:szCs w:val="22"/>
        </w:rPr>
        <w:t>Returno</w:t>
      </w:r>
      <w:proofErr w:type="spellEnd"/>
      <w:r w:rsidRPr="006B733D">
        <w:rPr>
          <w:rFonts w:ascii="Palatino Linotype" w:eastAsia="Palatino Linotype" w:hAnsi="Palatino Linotype" w:cstheme="minorHAnsi"/>
          <w:b/>
          <w:sz w:val="22"/>
          <w:szCs w:val="22"/>
        </w:rPr>
        <w:t xml:space="preserve">. </w:t>
      </w:r>
      <w:r w:rsidRPr="006B733D">
        <w:rPr>
          <w:rFonts w:ascii="Palatino Linotype" w:eastAsia="Palatino Linotype" w:hAnsi="Palatino Linotype" w:cstheme="minorHAnsi"/>
          <w:sz w:val="22"/>
          <w:szCs w:val="22"/>
        </w:rPr>
        <w:t xml:space="preserve">En fecha tres de octubre de dos mil veintitrés, el Pleno del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en la Trigésima Sexta sesión ordinaria, aprobó por unanimidad el </w:t>
      </w:r>
      <w:proofErr w:type="spellStart"/>
      <w:r w:rsidRPr="006B733D">
        <w:rPr>
          <w:rFonts w:ascii="Palatino Linotype" w:eastAsia="Palatino Linotype" w:hAnsi="Palatino Linotype" w:cstheme="minorHAnsi"/>
          <w:sz w:val="22"/>
          <w:szCs w:val="22"/>
        </w:rPr>
        <w:t>returno</w:t>
      </w:r>
      <w:proofErr w:type="spellEnd"/>
      <w:r w:rsidRPr="006B733D">
        <w:rPr>
          <w:rFonts w:ascii="Palatino Linotype" w:eastAsia="Palatino Linotype" w:hAnsi="Palatino Linotype" w:cstheme="minorHAnsi"/>
          <w:sz w:val="22"/>
          <w:szCs w:val="22"/>
        </w:rPr>
        <w:t xml:space="preserve"> del recurso de revisión que nos ocupa a la Ponencia del Comisionado Luis Gustavo Parra Noriega, para efectos de emitir la resolución que en derecho corresponda.</w:t>
      </w:r>
    </w:p>
    <w:p w14:paraId="6363E5F3"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A7989A6"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En razón de que fue debidamente sustanciado el expediente electrónico y no existe diligencia pendiente de desahogo, se emite la Resolución que conforme a Derecho proceda, de acuerdo con los siguientes: </w:t>
      </w:r>
    </w:p>
    <w:p w14:paraId="73A26E22" w14:textId="77777777" w:rsidR="00261FDA" w:rsidRPr="006B733D" w:rsidRDefault="00261FDA" w:rsidP="00261FDA">
      <w:pPr>
        <w:spacing w:line="360" w:lineRule="auto"/>
        <w:jc w:val="both"/>
        <w:rPr>
          <w:rFonts w:ascii="Palatino Linotype" w:eastAsia="Palatino Linotype" w:hAnsi="Palatino Linotype" w:cstheme="minorHAnsi"/>
          <w:sz w:val="10"/>
          <w:szCs w:val="10"/>
        </w:rPr>
      </w:pPr>
    </w:p>
    <w:p w14:paraId="3967FD79" w14:textId="77777777" w:rsidR="00261FDA" w:rsidRPr="006B733D" w:rsidRDefault="00261FDA" w:rsidP="00261FDA">
      <w:pPr>
        <w:pBdr>
          <w:top w:val="nil"/>
          <w:left w:val="nil"/>
          <w:bottom w:val="nil"/>
          <w:right w:val="nil"/>
          <w:between w:val="nil"/>
        </w:pBdr>
        <w:spacing w:line="360" w:lineRule="auto"/>
        <w:ind w:left="720"/>
        <w:jc w:val="center"/>
        <w:rPr>
          <w:rFonts w:ascii="Palatino Linotype" w:eastAsia="Palatino Linotype" w:hAnsi="Palatino Linotype" w:cstheme="minorHAnsi"/>
          <w:b/>
          <w:color w:val="000000"/>
          <w:sz w:val="10"/>
          <w:szCs w:val="10"/>
        </w:rPr>
      </w:pPr>
      <w:bookmarkStart w:id="2" w:name="_heading=h.30j0zll" w:colFirst="0" w:colLast="0"/>
      <w:bookmarkEnd w:id="2"/>
    </w:p>
    <w:p w14:paraId="6573CCD1" w14:textId="77777777" w:rsidR="00261FDA" w:rsidRPr="006B733D" w:rsidRDefault="00261FDA" w:rsidP="00261FDA">
      <w:pPr>
        <w:pBdr>
          <w:top w:val="nil"/>
          <w:left w:val="nil"/>
          <w:bottom w:val="nil"/>
          <w:right w:val="nil"/>
          <w:between w:val="nil"/>
        </w:pBdr>
        <w:spacing w:line="360" w:lineRule="auto"/>
        <w:ind w:left="720"/>
        <w:jc w:val="center"/>
        <w:rPr>
          <w:rFonts w:ascii="Palatino Linotype" w:eastAsia="Palatino Linotype" w:hAnsi="Palatino Linotype" w:cstheme="minorHAnsi"/>
          <w:b/>
          <w:color w:val="000000"/>
          <w:sz w:val="22"/>
          <w:szCs w:val="22"/>
        </w:rPr>
      </w:pPr>
      <w:r w:rsidRPr="006B733D">
        <w:rPr>
          <w:rFonts w:ascii="Palatino Linotype" w:eastAsia="Palatino Linotype" w:hAnsi="Palatino Linotype" w:cstheme="minorHAnsi"/>
          <w:b/>
          <w:color w:val="000000"/>
          <w:sz w:val="22"/>
          <w:szCs w:val="22"/>
        </w:rPr>
        <w:t>C O N S I D E R A N D O S</w:t>
      </w:r>
    </w:p>
    <w:p w14:paraId="2685612B" w14:textId="77777777" w:rsidR="00261FDA" w:rsidRPr="006B733D" w:rsidRDefault="00261FDA" w:rsidP="00261FDA">
      <w:pPr>
        <w:pBdr>
          <w:top w:val="nil"/>
          <w:left w:val="nil"/>
          <w:bottom w:val="nil"/>
          <w:right w:val="nil"/>
          <w:between w:val="nil"/>
        </w:pBdr>
        <w:spacing w:line="360" w:lineRule="auto"/>
        <w:ind w:left="720"/>
        <w:jc w:val="center"/>
        <w:rPr>
          <w:rFonts w:ascii="Palatino Linotype" w:eastAsia="Palatino Linotype" w:hAnsi="Palatino Linotype" w:cstheme="minorHAnsi"/>
          <w:b/>
          <w:color w:val="000000"/>
          <w:sz w:val="22"/>
          <w:szCs w:val="22"/>
        </w:rPr>
      </w:pPr>
    </w:p>
    <w:p w14:paraId="65ED7008" w14:textId="77777777" w:rsidR="00261FDA" w:rsidRPr="006B733D" w:rsidRDefault="00261FDA" w:rsidP="00261FDA">
      <w:pPr>
        <w:autoSpaceDE w:val="0"/>
        <w:autoSpaceDN w:val="0"/>
        <w:adjustRightInd w:val="0"/>
        <w:spacing w:line="360" w:lineRule="auto"/>
        <w:jc w:val="both"/>
        <w:rPr>
          <w:rFonts w:ascii="Palatino Linotype" w:hAnsi="Palatino Linotype" w:cs="Tahoma"/>
          <w:b/>
          <w:sz w:val="22"/>
          <w:szCs w:val="22"/>
        </w:rPr>
      </w:pPr>
      <w:r w:rsidRPr="006B733D">
        <w:rPr>
          <w:rFonts w:ascii="Palatino Linotype" w:eastAsia="Calibri" w:hAnsi="Palatino Linotype" w:cs="Tahoma"/>
          <w:b/>
          <w:color w:val="000000"/>
          <w:sz w:val="22"/>
          <w:szCs w:val="22"/>
          <w:lang w:eastAsia="es-MX"/>
        </w:rPr>
        <w:t>PRIMERO</w:t>
      </w:r>
      <w:r w:rsidRPr="006B733D">
        <w:rPr>
          <w:rFonts w:ascii="Palatino Linotype" w:eastAsia="Calibri" w:hAnsi="Palatino Linotype" w:cs="Tahoma"/>
          <w:color w:val="000000"/>
          <w:sz w:val="22"/>
          <w:szCs w:val="22"/>
          <w:lang w:eastAsia="es-MX"/>
        </w:rPr>
        <w:t xml:space="preserve">. </w:t>
      </w:r>
      <w:r w:rsidRPr="006B733D">
        <w:rPr>
          <w:rFonts w:ascii="Palatino Linotype" w:hAnsi="Palatino Linotype" w:cs="Tahoma"/>
          <w:b/>
          <w:sz w:val="22"/>
          <w:szCs w:val="22"/>
        </w:rPr>
        <w:t>Competencia</w:t>
      </w:r>
    </w:p>
    <w:p w14:paraId="60EFD2B3" w14:textId="77777777" w:rsidR="00261FDA" w:rsidRPr="006B733D" w:rsidRDefault="00261FDA" w:rsidP="00261FDA">
      <w:pPr>
        <w:autoSpaceDE w:val="0"/>
        <w:autoSpaceDN w:val="0"/>
        <w:adjustRightInd w:val="0"/>
        <w:spacing w:line="360" w:lineRule="auto"/>
        <w:jc w:val="both"/>
        <w:rPr>
          <w:rFonts w:ascii="Palatino Linotype" w:hAnsi="Palatino Linotype" w:cs="Tahoma"/>
          <w:b/>
          <w:sz w:val="22"/>
          <w:szCs w:val="22"/>
        </w:rPr>
      </w:pPr>
    </w:p>
    <w:p w14:paraId="6B72F72A" w14:textId="77777777" w:rsidR="00261FDA" w:rsidRPr="006B733D" w:rsidRDefault="00261FDA" w:rsidP="00261FDA">
      <w:pPr>
        <w:spacing w:line="360" w:lineRule="auto"/>
        <w:jc w:val="both"/>
        <w:rPr>
          <w:rFonts w:ascii="Palatino Linotype" w:hAnsi="Palatino Linotype" w:cs="Tahoma"/>
          <w:sz w:val="22"/>
          <w:szCs w:val="22"/>
        </w:rPr>
      </w:pPr>
      <w:r w:rsidRPr="006B733D">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80F3CE" w14:textId="77777777" w:rsidR="00261FDA" w:rsidRPr="006B733D" w:rsidRDefault="00261FDA" w:rsidP="00261FDA">
      <w:pPr>
        <w:spacing w:line="360" w:lineRule="auto"/>
        <w:jc w:val="both"/>
        <w:rPr>
          <w:rFonts w:ascii="Palatino Linotype" w:hAnsi="Palatino Linotype" w:cs="Tahoma"/>
          <w:sz w:val="22"/>
          <w:szCs w:val="22"/>
        </w:rPr>
      </w:pPr>
    </w:p>
    <w:p w14:paraId="5215EEE4" w14:textId="77777777" w:rsidR="00261FDA" w:rsidRPr="006B733D" w:rsidRDefault="00261FDA" w:rsidP="00261FDA">
      <w:pPr>
        <w:spacing w:line="360" w:lineRule="auto"/>
        <w:jc w:val="both"/>
        <w:rPr>
          <w:rFonts w:ascii="Palatino Linotype" w:eastAsia="Calibri" w:hAnsi="Palatino Linotype" w:cs="Tahoma"/>
          <w:b/>
          <w:color w:val="000000"/>
          <w:sz w:val="22"/>
          <w:szCs w:val="22"/>
          <w:lang w:eastAsia="es-MX"/>
        </w:rPr>
      </w:pPr>
      <w:r w:rsidRPr="006B733D">
        <w:rPr>
          <w:rFonts w:ascii="Palatino Linotype" w:hAnsi="Palatino Linotype" w:cs="Tahoma"/>
          <w:b/>
          <w:sz w:val="22"/>
          <w:szCs w:val="22"/>
          <w:shd w:val="clear" w:color="auto" w:fill="FFFFFF"/>
        </w:rPr>
        <w:t>SEGUNDO</w:t>
      </w:r>
      <w:r w:rsidRPr="006B733D">
        <w:rPr>
          <w:rFonts w:ascii="Palatino Linotype" w:hAnsi="Palatino Linotype" w:cs="Tahoma"/>
          <w:sz w:val="22"/>
          <w:szCs w:val="22"/>
          <w:shd w:val="clear" w:color="auto" w:fill="FFFFFF"/>
        </w:rPr>
        <w:t xml:space="preserve">. </w:t>
      </w:r>
      <w:r w:rsidRPr="006B733D">
        <w:rPr>
          <w:rFonts w:ascii="Palatino Linotype" w:eastAsia="Calibri" w:hAnsi="Palatino Linotype" w:cs="Tahoma"/>
          <w:b/>
          <w:color w:val="000000"/>
          <w:sz w:val="22"/>
          <w:szCs w:val="22"/>
          <w:lang w:eastAsia="es-MX"/>
        </w:rPr>
        <w:t>Causales de improcedencia y sobreseimiento</w:t>
      </w:r>
    </w:p>
    <w:p w14:paraId="2E7A7E7D" w14:textId="77777777" w:rsidR="00261FDA" w:rsidRPr="006B733D" w:rsidRDefault="00261FDA" w:rsidP="00261FDA">
      <w:pPr>
        <w:spacing w:line="360" w:lineRule="auto"/>
        <w:jc w:val="both"/>
        <w:rPr>
          <w:rFonts w:ascii="Palatino Linotype" w:hAnsi="Palatino Linotype" w:cs="Tahoma"/>
          <w:sz w:val="22"/>
          <w:szCs w:val="22"/>
          <w:shd w:val="clear" w:color="auto" w:fill="FFFFFF"/>
        </w:rPr>
      </w:pPr>
    </w:p>
    <w:p w14:paraId="2C535D33"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6B733D">
        <w:rPr>
          <w:rFonts w:ascii="Palatino Linotype" w:hAnsi="Palatino Linotype"/>
          <w:b/>
          <w:sz w:val="22"/>
        </w:rPr>
        <w:t>IMPROCEDENCIA</w:t>
      </w:r>
      <w:r w:rsidRPr="006B733D">
        <w:rPr>
          <w:rFonts w:ascii="Palatino Linotype" w:hAnsi="Palatino Linotype"/>
          <w:sz w:val="22"/>
        </w:rPr>
        <w:t xml:space="preserve">.” </w:t>
      </w:r>
      <w:r w:rsidRPr="006B733D">
        <w:rPr>
          <w:rFonts w:ascii="Palatino Linotype" w:hAnsi="Palatino Linotype"/>
          <w:b/>
          <w:sz w:val="22"/>
        </w:rPr>
        <w:t>(Semanario Judicial de la Federación, Quinta Época, 1985, pág. 262),</w:t>
      </w:r>
      <w:r w:rsidRPr="006B733D">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52B3490" w14:textId="77777777" w:rsidR="00261FDA" w:rsidRPr="006B733D" w:rsidRDefault="00261FDA" w:rsidP="00261FDA">
      <w:pPr>
        <w:spacing w:line="360" w:lineRule="auto"/>
        <w:jc w:val="both"/>
        <w:rPr>
          <w:rFonts w:ascii="Palatino Linotype" w:hAnsi="Palatino Linotype"/>
          <w:sz w:val="22"/>
        </w:rPr>
      </w:pPr>
    </w:p>
    <w:p w14:paraId="358C3348"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E98291F" w14:textId="77777777" w:rsidR="00261FDA" w:rsidRPr="006B733D" w:rsidRDefault="00261FDA" w:rsidP="00261FDA">
      <w:pPr>
        <w:spacing w:line="360" w:lineRule="auto"/>
        <w:jc w:val="both"/>
        <w:rPr>
          <w:rFonts w:ascii="Palatino Linotype" w:hAnsi="Palatino Linotype"/>
          <w:sz w:val="22"/>
        </w:rPr>
      </w:pPr>
    </w:p>
    <w:p w14:paraId="0E6E6D8C" w14:textId="77777777" w:rsidR="00261FDA" w:rsidRPr="006B733D" w:rsidRDefault="00261FDA" w:rsidP="00261FDA">
      <w:pPr>
        <w:spacing w:line="360" w:lineRule="auto"/>
        <w:jc w:val="both"/>
        <w:rPr>
          <w:rFonts w:ascii="Palatino Linotype" w:hAnsi="Palatino Linotype"/>
          <w:b/>
          <w:sz w:val="22"/>
        </w:rPr>
      </w:pPr>
      <w:r w:rsidRPr="006B733D">
        <w:rPr>
          <w:rFonts w:ascii="Palatino Linotype" w:hAnsi="Palatino Linotype"/>
          <w:b/>
          <w:sz w:val="22"/>
        </w:rPr>
        <w:t>Causales de sobreseimiento</w:t>
      </w:r>
    </w:p>
    <w:p w14:paraId="3D6D3AD3" w14:textId="77777777" w:rsidR="00261FDA" w:rsidRPr="006B733D" w:rsidRDefault="00261FDA" w:rsidP="00261FDA">
      <w:pPr>
        <w:spacing w:line="360" w:lineRule="auto"/>
        <w:jc w:val="both"/>
        <w:rPr>
          <w:rFonts w:ascii="Palatino Linotype" w:hAnsi="Palatino Linotype"/>
          <w:b/>
          <w:sz w:val="22"/>
        </w:rPr>
      </w:pPr>
    </w:p>
    <w:p w14:paraId="22767583"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Por ser de previo y especial pronunciamiento, este Instituto analiza si se actualiza alguna causal de sobreseimiento.</w:t>
      </w:r>
    </w:p>
    <w:p w14:paraId="3586F9A8" w14:textId="77777777" w:rsidR="00261FDA" w:rsidRPr="006B733D" w:rsidRDefault="00261FDA" w:rsidP="00261FDA">
      <w:pPr>
        <w:spacing w:line="360" w:lineRule="auto"/>
        <w:jc w:val="both"/>
        <w:rPr>
          <w:rFonts w:ascii="Palatino Linotype" w:hAnsi="Palatino Linotype"/>
          <w:sz w:val="22"/>
        </w:rPr>
      </w:pPr>
    </w:p>
    <w:p w14:paraId="16247E6C"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112A74A"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ese orden de ideas, toda vez que no ha quedado sin materia el Recurso de Revisión al rubro, se considera procedente entrar al fondo del presente asunto.</w:t>
      </w:r>
    </w:p>
    <w:p w14:paraId="13A88240" w14:textId="77777777" w:rsidR="00261FDA" w:rsidRPr="006B733D" w:rsidRDefault="00261FDA" w:rsidP="00261FDA">
      <w:pPr>
        <w:spacing w:line="360" w:lineRule="auto"/>
        <w:jc w:val="both"/>
        <w:rPr>
          <w:rFonts w:ascii="Palatino Linotype" w:hAnsi="Palatino Linotype" w:cs="Tahoma"/>
          <w:sz w:val="22"/>
          <w:szCs w:val="22"/>
          <w:shd w:val="clear" w:color="auto" w:fill="FFFFFF"/>
        </w:rPr>
      </w:pPr>
    </w:p>
    <w:p w14:paraId="429985DA" w14:textId="77777777" w:rsidR="00261FDA" w:rsidRPr="006B733D" w:rsidRDefault="00261FDA" w:rsidP="00261FDA">
      <w:pPr>
        <w:spacing w:line="360" w:lineRule="auto"/>
        <w:jc w:val="both"/>
        <w:rPr>
          <w:rFonts w:ascii="Palatino Linotype" w:hAnsi="Palatino Linotype"/>
          <w:b/>
          <w:sz w:val="22"/>
        </w:rPr>
      </w:pPr>
      <w:r w:rsidRPr="006B733D">
        <w:rPr>
          <w:rFonts w:ascii="Palatino Linotype" w:hAnsi="Palatino Linotype"/>
          <w:b/>
          <w:sz w:val="22"/>
        </w:rPr>
        <w:t>TERCERO. Determinación de la Controversia</w:t>
      </w:r>
    </w:p>
    <w:p w14:paraId="16B0C34E" w14:textId="77777777" w:rsidR="00261FDA" w:rsidRPr="006B733D" w:rsidRDefault="00261FDA" w:rsidP="00261FDA">
      <w:pPr>
        <w:spacing w:line="360" w:lineRule="auto"/>
        <w:jc w:val="both"/>
        <w:rPr>
          <w:rFonts w:ascii="Palatino Linotype" w:eastAsia="Palatino Linotype" w:hAnsi="Palatino Linotype" w:cstheme="minorHAnsi"/>
          <w:b/>
          <w:color w:val="000000"/>
          <w:sz w:val="22"/>
          <w:szCs w:val="22"/>
        </w:rPr>
      </w:pPr>
    </w:p>
    <w:p w14:paraId="16414947" w14:textId="77777777" w:rsidR="00261FDA" w:rsidRPr="006B733D" w:rsidRDefault="00261FDA" w:rsidP="00261FDA">
      <w:pPr>
        <w:spacing w:line="360" w:lineRule="auto"/>
        <w:jc w:val="both"/>
        <w:rPr>
          <w:rFonts w:ascii="Palatino Linotype" w:hAnsi="Palatino Linotype"/>
          <w:sz w:val="22"/>
          <w:szCs w:val="22"/>
          <w:lang w:eastAsia="es-MX"/>
        </w:rPr>
      </w:pPr>
      <w:r w:rsidRPr="006B733D">
        <w:rPr>
          <w:rFonts w:ascii="Palatino Linotype" w:hAnsi="Palatino Linotype"/>
          <w:sz w:val="22"/>
        </w:rPr>
        <w:t xml:space="preserve">Una vez realizado el estudio de las constancias que integran el expediente en que se actúa, se desprende que el Particular solicitó al </w:t>
      </w:r>
      <w:proofErr w:type="spellStart"/>
      <w:r w:rsidRPr="006B733D">
        <w:rPr>
          <w:rFonts w:ascii="Palatino Linotype" w:hAnsi="Palatino Linotype"/>
          <w:sz w:val="22"/>
        </w:rPr>
        <w:t>Infoem</w:t>
      </w:r>
      <w:proofErr w:type="spellEnd"/>
      <w:r w:rsidRPr="006B733D">
        <w:rPr>
          <w:rFonts w:ascii="Palatino Linotype" w:hAnsi="Palatino Linotype"/>
          <w:sz w:val="22"/>
        </w:rPr>
        <w:t xml:space="preserve"> información relacionada con el proceso de certificación</w:t>
      </w:r>
      <w:r w:rsidRPr="006B733D">
        <w:rPr>
          <w:rFonts w:ascii="Palatino Linotype" w:hAnsi="Palatino Linotype"/>
          <w:sz w:val="22"/>
          <w:szCs w:val="22"/>
          <w:lang w:eastAsia="es-MX"/>
        </w:rPr>
        <w:t xml:space="preserve">, incluido el listado de los candidatos que fueron aceptados en dicho proceso de certificación. En respuesta el </w:t>
      </w:r>
      <w:proofErr w:type="spellStart"/>
      <w:r w:rsidRPr="006B733D">
        <w:rPr>
          <w:rFonts w:ascii="Palatino Linotype" w:hAnsi="Palatino Linotype"/>
          <w:sz w:val="22"/>
          <w:szCs w:val="22"/>
          <w:lang w:eastAsia="es-MX"/>
        </w:rPr>
        <w:t>Infoem</w:t>
      </w:r>
      <w:proofErr w:type="spellEnd"/>
      <w:r w:rsidRPr="006B733D">
        <w:rPr>
          <w:rFonts w:ascii="Palatino Linotype" w:hAnsi="Palatino Linotype"/>
          <w:sz w:val="22"/>
          <w:szCs w:val="22"/>
          <w:lang w:eastAsia="es-MX"/>
        </w:rPr>
        <w:t xml:space="preserve"> entregó algunos documentos públicos como la convocatoria y clasificó el listado de personas registradas, por lo que el Particular se inconformó de la clasificación de esa información.</w:t>
      </w:r>
    </w:p>
    <w:p w14:paraId="61A4D646" w14:textId="77777777" w:rsidR="00261FDA" w:rsidRPr="006B733D" w:rsidRDefault="00261FDA" w:rsidP="00261FDA">
      <w:pPr>
        <w:spacing w:line="360" w:lineRule="auto"/>
        <w:jc w:val="both"/>
        <w:rPr>
          <w:rFonts w:ascii="Palatino Linotype" w:hAnsi="Palatino Linotype"/>
          <w:bCs/>
          <w:sz w:val="22"/>
        </w:rPr>
      </w:pPr>
    </w:p>
    <w:p w14:paraId="0BBD1F16"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 xml:space="preserve">Lo hasta aquí expuesto se desprende de las documentales que obran en el expediente de referencia materia de la presente Resolución, consistentes en la solicitud de acceso con número de folio 01385/INFOEM/IP/2022, la respuesta proporcionada por el </w:t>
      </w:r>
      <w:r w:rsidRPr="006B733D">
        <w:rPr>
          <w:rFonts w:ascii="Palatino Linotype" w:eastAsia="Calibri" w:hAnsi="Palatino Linotype" w:cs="Tahoma"/>
          <w:sz w:val="22"/>
          <w:szCs w:val="22"/>
          <w:lang w:eastAsia="en-US"/>
        </w:rPr>
        <w:t>Sujeto Obligado</w:t>
      </w:r>
      <w:r w:rsidRPr="006B733D">
        <w:rPr>
          <w:rFonts w:ascii="Palatino Linotype" w:hAnsi="Palatino Linotype"/>
          <w:sz w:val="22"/>
        </w:rPr>
        <w:t xml:space="preserve">, el escrito </w:t>
      </w:r>
      <w:proofErr w:type="spellStart"/>
      <w:r w:rsidRPr="006B733D">
        <w:rPr>
          <w:rFonts w:ascii="Palatino Linotype" w:hAnsi="Palatino Linotype"/>
          <w:sz w:val="22"/>
        </w:rPr>
        <w:t>recursal</w:t>
      </w:r>
      <w:proofErr w:type="spellEnd"/>
      <w:r w:rsidRPr="006B733D">
        <w:rPr>
          <w:rFonts w:ascii="Palatino Linotype" w:hAnsi="Palatino Linotype"/>
          <w:sz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715E58CB" w14:textId="77777777" w:rsidR="00261FDA" w:rsidRPr="006B733D" w:rsidRDefault="00261FDA" w:rsidP="00261FDA">
      <w:pPr>
        <w:spacing w:line="360" w:lineRule="auto"/>
        <w:jc w:val="both"/>
        <w:rPr>
          <w:rFonts w:ascii="Palatino Linotype" w:hAnsi="Palatino Linotype"/>
          <w:sz w:val="22"/>
        </w:rPr>
      </w:pPr>
    </w:p>
    <w:p w14:paraId="4B8160BA"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Así las cosas, este Instituto advierte la procedencia del Recurso de Revisión al rubro en términos de la fracción II, del artículo 179 de la Ley de Transparencia y Acceso a la Información Pública del Estado de México y Municipios, referente a la clasificación de la información.</w:t>
      </w:r>
    </w:p>
    <w:p w14:paraId="3D689883"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70AFA45E" w14:textId="77777777" w:rsidR="00261FDA" w:rsidRPr="006B733D" w:rsidRDefault="00261FDA" w:rsidP="00261FDA">
      <w:pPr>
        <w:spacing w:line="360" w:lineRule="auto"/>
        <w:jc w:val="both"/>
        <w:rPr>
          <w:rFonts w:ascii="Palatino Linotype" w:hAnsi="Palatino Linotype"/>
          <w:b/>
          <w:sz w:val="22"/>
        </w:rPr>
      </w:pPr>
      <w:r w:rsidRPr="006B733D">
        <w:rPr>
          <w:rFonts w:ascii="Palatino Linotype" w:hAnsi="Palatino Linotype"/>
          <w:b/>
          <w:sz w:val="22"/>
        </w:rPr>
        <w:t>CUARTO. Marco normativo aplicable en materia de transparencia y acceso a la información pública</w:t>
      </w:r>
    </w:p>
    <w:p w14:paraId="1D418EA1" w14:textId="77777777" w:rsidR="00261FDA" w:rsidRPr="006B733D" w:rsidRDefault="00261FDA" w:rsidP="00261FDA">
      <w:pPr>
        <w:spacing w:line="360" w:lineRule="auto"/>
        <w:jc w:val="both"/>
        <w:rPr>
          <w:rFonts w:ascii="Palatino Linotype" w:hAnsi="Palatino Linotype"/>
          <w:b/>
          <w:sz w:val="22"/>
        </w:rPr>
      </w:pPr>
    </w:p>
    <w:p w14:paraId="7709804A"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28B93DD" w14:textId="77777777" w:rsidR="00261FDA" w:rsidRPr="006B733D" w:rsidRDefault="00261FDA" w:rsidP="00261FDA">
      <w:pPr>
        <w:spacing w:line="360" w:lineRule="auto"/>
        <w:jc w:val="both"/>
        <w:rPr>
          <w:rFonts w:ascii="Palatino Linotype" w:hAnsi="Palatino Linotype"/>
          <w:sz w:val="22"/>
        </w:rPr>
      </w:pPr>
    </w:p>
    <w:p w14:paraId="7FB45E39"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8FA1D9" w14:textId="77777777" w:rsidR="00261FDA" w:rsidRPr="006B733D" w:rsidRDefault="00261FDA" w:rsidP="00261FDA">
      <w:pPr>
        <w:spacing w:line="360" w:lineRule="auto"/>
        <w:jc w:val="both"/>
        <w:rPr>
          <w:rFonts w:ascii="Palatino Linotype" w:hAnsi="Palatino Linotype"/>
          <w:sz w:val="22"/>
        </w:rPr>
      </w:pPr>
    </w:p>
    <w:p w14:paraId="3240E676"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ED61488" w14:textId="77777777" w:rsidR="00261FDA" w:rsidRPr="006B733D" w:rsidRDefault="00261FDA" w:rsidP="00261FDA">
      <w:pPr>
        <w:spacing w:line="360" w:lineRule="auto"/>
        <w:jc w:val="both"/>
        <w:rPr>
          <w:rFonts w:ascii="Palatino Linotype" w:hAnsi="Palatino Linotype"/>
          <w:sz w:val="22"/>
        </w:rPr>
      </w:pPr>
    </w:p>
    <w:p w14:paraId="75DE932C"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C1033B" w14:textId="77777777" w:rsidR="00261FDA" w:rsidRPr="006B733D" w:rsidRDefault="00261FDA" w:rsidP="00261FDA">
      <w:pPr>
        <w:spacing w:line="360" w:lineRule="auto"/>
        <w:jc w:val="both"/>
        <w:rPr>
          <w:rFonts w:ascii="Palatino Linotype" w:hAnsi="Palatino Linotype"/>
          <w:sz w:val="22"/>
        </w:rPr>
      </w:pPr>
    </w:p>
    <w:p w14:paraId="65A5DF33"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27708F9B" w14:textId="77777777" w:rsidR="00261FDA" w:rsidRPr="006B733D" w:rsidRDefault="00261FDA" w:rsidP="00261FDA">
      <w:pPr>
        <w:spacing w:line="360" w:lineRule="auto"/>
        <w:jc w:val="both"/>
        <w:rPr>
          <w:rFonts w:ascii="Palatino Linotype" w:hAnsi="Palatino Linotype"/>
          <w:sz w:val="22"/>
        </w:rPr>
      </w:pPr>
    </w:p>
    <w:p w14:paraId="2441EC40"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El artículo 12, que, quienes generen, recopilen, administren, manejen, procesen, archiven o conserven información pública serán responsables de la misma.</w:t>
      </w:r>
    </w:p>
    <w:p w14:paraId="10111CE8" w14:textId="77777777" w:rsidR="00261FDA" w:rsidRPr="006B733D" w:rsidRDefault="00261FDA" w:rsidP="00261FDA">
      <w:pPr>
        <w:spacing w:line="360" w:lineRule="auto"/>
        <w:jc w:val="both"/>
        <w:rPr>
          <w:rFonts w:ascii="Palatino Linotype" w:hAnsi="Palatino Linotype"/>
          <w:sz w:val="22"/>
        </w:rPr>
      </w:pPr>
    </w:p>
    <w:p w14:paraId="7B8EB8F5"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2D5A968D" w14:textId="77777777" w:rsidR="00261FDA" w:rsidRPr="006B733D" w:rsidRDefault="00261FDA" w:rsidP="00261FDA">
      <w:pPr>
        <w:spacing w:line="360" w:lineRule="auto"/>
        <w:jc w:val="both"/>
        <w:rPr>
          <w:rFonts w:ascii="Palatino Linotype" w:hAnsi="Palatino Linotype"/>
          <w:sz w:val="22"/>
        </w:rPr>
      </w:pPr>
    </w:p>
    <w:p w14:paraId="074E6955"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62B87A4" w14:textId="77777777" w:rsidR="00261FDA" w:rsidRPr="006B733D" w:rsidRDefault="00261FDA" w:rsidP="00261FDA">
      <w:pPr>
        <w:spacing w:line="360" w:lineRule="auto"/>
        <w:jc w:val="both"/>
        <w:rPr>
          <w:rFonts w:ascii="Palatino Linotype" w:hAnsi="Palatino Linotype"/>
          <w:sz w:val="22"/>
        </w:rPr>
      </w:pPr>
    </w:p>
    <w:p w14:paraId="2EFF8D66" w14:textId="77777777" w:rsidR="00261FDA" w:rsidRPr="006B733D" w:rsidRDefault="00261FDA" w:rsidP="00261FDA">
      <w:pPr>
        <w:spacing w:line="360" w:lineRule="auto"/>
        <w:jc w:val="both"/>
        <w:rPr>
          <w:rFonts w:ascii="Palatino Linotype" w:hAnsi="Palatino Linotype"/>
          <w:b/>
          <w:bCs/>
          <w:sz w:val="22"/>
          <w:szCs w:val="22"/>
        </w:rPr>
      </w:pPr>
      <w:r w:rsidRPr="006B733D">
        <w:rPr>
          <w:rFonts w:ascii="Palatino Linotype" w:hAnsi="Palatino Linotype"/>
          <w:b/>
          <w:bCs/>
          <w:sz w:val="22"/>
          <w:szCs w:val="22"/>
        </w:rPr>
        <w:t>QUINTO. Estudio de Fondo</w:t>
      </w:r>
    </w:p>
    <w:p w14:paraId="1CE04E56" w14:textId="77777777" w:rsidR="00261FDA" w:rsidRPr="006B733D" w:rsidRDefault="00261FDA" w:rsidP="00261FDA">
      <w:pPr>
        <w:spacing w:line="360" w:lineRule="auto"/>
        <w:jc w:val="both"/>
        <w:rPr>
          <w:rFonts w:ascii="Palatino Linotype" w:eastAsia="Palatino Linotype" w:hAnsi="Palatino Linotype" w:cstheme="minorHAnsi"/>
          <w:b/>
          <w:sz w:val="22"/>
          <w:szCs w:val="22"/>
        </w:rPr>
      </w:pPr>
    </w:p>
    <w:p w14:paraId="6429E945" w14:textId="77777777" w:rsidR="00261FDA" w:rsidRPr="006B733D" w:rsidRDefault="00261FDA" w:rsidP="00261FDA">
      <w:pPr>
        <w:spacing w:line="360" w:lineRule="auto"/>
        <w:jc w:val="both"/>
        <w:rPr>
          <w:rFonts w:ascii="Palatino Linotype" w:hAnsi="Palatino Linotype" w:cs="Tahoma"/>
          <w:sz w:val="22"/>
          <w:szCs w:val="22"/>
        </w:rPr>
      </w:pPr>
      <w:r w:rsidRPr="006B733D">
        <w:rPr>
          <w:rFonts w:ascii="Palatino Linotype" w:hAnsi="Palatino Linotype" w:cs="Tahoma"/>
          <w:sz w:val="22"/>
          <w:szCs w:val="22"/>
        </w:rPr>
        <w:t xml:space="preserve">Una vez determinada la vía sobre la que versará la presente Resolución y previa revisión del expediente electrónico formado en virtud del medio de defensa interpuesto con motivo de la solicitud de acceso </w:t>
      </w:r>
      <w:r w:rsidRPr="006B733D">
        <w:rPr>
          <w:rFonts w:ascii="Palatino Linotype" w:hAnsi="Palatino Linotype" w:cs="Tahoma"/>
          <w:bCs/>
          <w:sz w:val="22"/>
          <w:szCs w:val="22"/>
        </w:rPr>
        <w:t>01385/INFOEM/IP/2022,</w:t>
      </w:r>
      <w:r w:rsidRPr="006B733D">
        <w:rPr>
          <w:rFonts w:ascii="Palatino Linotype" w:hAnsi="Palatino Linotype" w:cs="Tahoma"/>
          <w:sz w:val="22"/>
          <w:szCs w:val="22"/>
        </w:rPr>
        <w:t xml:space="preserve"> es conveniente analizar si la respuesta del Sujeto Obligado cumple con los requisitos y procedimientos del ejercicio de acceso a la información pública.</w:t>
      </w:r>
    </w:p>
    <w:p w14:paraId="36E6E677" w14:textId="77777777" w:rsidR="00261FDA" w:rsidRPr="006B733D" w:rsidRDefault="00261FDA" w:rsidP="00261FDA">
      <w:pPr>
        <w:spacing w:line="360" w:lineRule="auto"/>
        <w:jc w:val="both"/>
        <w:rPr>
          <w:rFonts w:ascii="Palatino Linotype" w:hAnsi="Palatino Linotype" w:cs="Tahoma"/>
          <w:sz w:val="22"/>
          <w:szCs w:val="22"/>
        </w:rPr>
      </w:pPr>
    </w:p>
    <w:p w14:paraId="53243A5F" w14:textId="77777777" w:rsidR="00261FDA" w:rsidRPr="006B733D" w:rsidRDefault="00261FDA" w:rsidP="00261FDA">
      <w:pPr>
        <w:spacing w:line="360" w:lineRule="auto"/>
        <w:ind w:right="-93"/>
        <w:jc w:val="both"/>
        <w:rPr>
          <w:rFonts w:ascii="Palatino Linotype" w:eastAsia="Calibri" w:hAnsi="Palatino Linotype" w:cs="Tahoma"/>
          <w:bCs/>
          <w:sz w:val="22"/>
          <w:szCs w:val="22"/>
        </w:rPr>
      </w:pPr>
      <w:r w:rsidRPr="006B733D">
        <w:rPr>
          <w:rFonts w:ascii="Palatino Linotype" w:eastAsia="Calibri" w:hAnsi="Palatino Linotype" w:cs="Tahoma"/>
          <w:bCs/>
          <w:sz w:val="22"/>
          <w:szCs w:val="22"/>
        </w:rPr>
        <w:t xml:space="preserve">Por lo tanto, es necesario señalar que el artículo 4°, párrafo segundo de la Ley de Transparencia y Acceso a la Información Pública del Estado de México y Municipios, </w:t>
      </w:r>
      <w:r w:rsidRPr="006B733D">
        <w:rPr>
          <w:rFonts w:ascii="Palatino Linotype" w:eastAsia="Calibri" w:hAnsi="Palatino Linotype" w:cs="Tahoma"/>
          <w:b/>
          <w:sz w:val="22"/>
          <w:szCs w:val="22"/>
        </w:rPr>
        <w:t>señala que toda la información</w:t>
      </w:r>
      <w:r w:rsidRPr="006B733D">
        <w:rPr>
          <w:rFonts w:ascii="Palatino Linotype" w:eastAsia="Calibri" w:hAnsi="Palatino Linotype" w:cs="Tahoma"/>
          <w:bCs/>
          <w:sz w:val="22"/>
          <w:szCs w:val="22"/>
        </w:rPr>
        <w:t xml:space="preserve"> </w:t>
      </w:r>
      <w:r w:rsidRPr="006B733D">
        <w:rPr>
          <w:rFonts w:ascii="Palatino Linotype" w:eastAsia="Calibri" w:hAnsi="Palatino Linotype" w:cs="Tahoma"/>
          <w:b/>
          <w:sz w:val="22"/>
          <w:szCs w:val="22"/>
        </w:rPr>
        <w:t>generada, obtenida, adquirida, transformada, administrada o en posesión de los Sujetos Obligados es pública y accesible</w:t>
      </w:r>
      <w:r w:rsidRPr="006B733D">
        <w:rPr>
          <w:rFonts w:ascii="Palatino Linotype" w:eastAsia="Calibri" w:hAnsi="Palatino Linotype" w:cs="Tahoma"/>
          <w:bCs/>
          <w:sz w:val="22"/>
          <w:szCs w:val="22"/>
        </w:rPr>
        <w:t xml:space="preserve"> de manera permanente a cualquier </w:t>
      </w:r>
      <w:r w:rsidRPr="006B733D">
        <w:rPr>
          <w:rFonts w:ascii="Palatino Linotype" w:eastAsia="Calibri" w:hAnsi="Palatino Linotype" w:cs="Tahoma"/>
          <w:bCs/>
          <w:sz w:val="22"/>
          <w:szCs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y solo podrá ser clasificada excepcionalmente, en los términos de las causas legítimas y estrictamente necesarias previstas por esta Ley.</w:t>
      </w:r>
    </w:p>
    <w:p w14:paraId="2FE031DE" w14:textId="77777777" w:rsidR="00261FDA" w:rsidRPr="006B733D" w:rsidRDefault="00261FDA" w:rsidP="00261FDA">
      <w:pPr>
        <w:spacing w:line="360" w:lineRule="auto"/>
        <w:ind w:right="-93"/>
        <w:jc w:val="both"/>
        <w:rPr>
          <w:rFonts w:ascii="Palatino Linotype" w:eastAsia="Calibri" w:hAnsi="Palatino Linotype" w:cs="Tahoma"/>
          <w:bCs/>
          <w:sz w:val="22"/>
          <w:szCs w:val="22"/>
        </w:rPr>
      </w:pPr>
    </w:p>
    <w:p w14:paraId="46E5E5F1" w14:textId="77777777" w:rsidR="00261FDA" w:rsidRPr="006B733D" w:rsidRDefault="00261FDA" w:rsidP="00261FDA">
      <w:pPr>
        <w:spacing w:line="360" w:lineRule="auto"/>
        <w:ind w:right="-28"/>
        <w:jc w:val="both"/>
        <w:rPr>
          <w:rFonts w:ascii="Palatino Linotype" w:eastAsia="Calibri" w:hAnsi="Palatino Linotype" w:cs="Tahoma"/>
          <w:b/>
          <w:sz w:val="22"/>
          <w:szCs w:val="22"/>
        </w:rPr>
      </w:pPr>
      <w:r w:rsidRPr="006B733D">
        <w:rPr>
          <w:rFonts w:ascii="Palatino Linotype" w:eastAsia="Calibri" w:hAnsi="Palatino Linotype" w:cs="Tahoma"/>
          <w:bCs/>
          <w:sz w:val="22"/>
          <w:szCs w:val="22"/>
        </w:rPr>
        <w:t xml:space="preserve">Asimismo, los artículos 12 y 24 de la Ley local de la materia de la materia, disponen que los Sujetos Obligados sólo proporcionarán la información pública </w:t>
      </w:r>
      <w:r w:rsidRPr="006B733D">
        <w:rPr>
          <w:rFonts w:ascii="Palatino Linotype" w:eastAsia="Calibri" w:hAnsi="Palatino Linotype" w:cs="Tahoma"/>
          <w:bCs/>
          <w:sz w:val="22"/>
          <w:szCs w:val="22"/>
          <w:u w:val="single"/>
        </w:rPr>
        <w:t>que generen, administren o posean en el ejercicio de sus atribuciones</w:t>
      </w:r>
      <w:r w:rsidRPr="006B733D">
        <w:rPr>
          <w:rFonts w:ascii="Palatino Linotype" w:eastAsia="Calibri" w:hAnsi="Palatino Linotype" w:cs="Tahoma"/>
          <w:b/>
          <w:sz w:val="22"/>
          <w:szCs w:val="22"/>
          <w:u w:val="single"/>
        </w:rPr>
        <w:t>;</w:t>
      </w:r>
      <w:r w:rsidRPr="006B733D">
        <w:rPr>
          <w:rFonts w:ascii="Palatino Linotype" w:eastAsia="Calibri" w:hAnsi="Palatino Linotype" w:cs="Tahoma"/>
          <w:bCs/>
          <w:sz w:val="22"/>
          <w:szCs w:val="22"/>
        </w:rPr>
        <w:t xml:space="preserve"> por consiguiente, </w:t>
      </w:r>
      <w:r w:rsidRPr="006B733D">
        <w:rPr>
          <w:rFonts w:ascii="Palatino Linotype" w:eastAsia="Calibri" w:hAnsi="Palatino Linotype" w:cs="Tahoma"/>
          <w:b/>
          <w:sz w:val="22"/>
          <w:szCs w:val="22"/>
        </w:rPr>
        <w:t xml:space="preserve">no deberán atender los requerimientos de información con base en las especificaciones que los Particulares requieran. </w:t>
      </w:r>
    </w:p>
    <w:p w14:paraId="7CB335A6" w14:textId="77777777" w:rsidR="00261FDA" w:rsidRPr="006B733D" w:rsidRDefault="00261FDA" w:rsidP="00261FDA">
      <w:pPr>
        <w:spacing w:line="360" w:lineRule="auto"/>
        <w:ind w:right="-93"/>
        <w:jc w:val="both"/>
        <w:rPr>
          <w:rFonts w:ascii="Palatino Linotype" w:eastAsia="Calibri" w:hAnsi="Palatino Linotype" w:cs="Tahoma"/>
          <w:bCs/>
          <w:sz w:val="22"/>
          <w:szCs w:val="22"/>
        </w:rPr>
      </w:pPr>
    </w:p>
    <w:p w14:paraId="021E1F1D" w14:textId="77777777" w:rsidR="00261FDA" w:rsidRPr="006B733D" w:rsidRDefault="00261FDA" w:rsidP="00261FDA">
      <w:pPr>
        <w:spacing w:line="360" w:lineRule="auto"/>
        <w:ind w:right="-93"/>
        <w:jc w:val="both"/>
        <w:rPr>
          <w:rFonts w:ascii="Palatino Linotype" w:eastAsia="Calibri" w:hAnsi="Palatino Linotype" w:cs="Tahoma"/>
          <w:bCs/>
          <w:sz w:val="22"/>
          <w:szCs w:val="22"/>
        </w:rPr>
      </w:pPr>
      <w:r w:rsidRPr="006B733D">
        <w:rPr>
          <w:rFonts w:ascii="Palatino Linotype" w:eastAsia="Calibri" w:hAnsi="Palatino Linotype" w:cs="Tahoma"/>
          <w:bCs/>
          <w:sz w:val="22"/>
          <w:szCs w:val="22"/>
        </w:rPr>
        <w:t xml:space="preserve">En congruencia, se advierte que el derecho de acceso a la información pública se satisface </w:t>
      </w:r>
      <w:r w:rsidRPr="006B733D">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6B733D">
        <w:rPr>
          <w:rFonts w:ascii="Palatino Linotype" w:eastAsia="Calibri" w:hAnsi="Palatino Linotype" w:cs="Tahoma"/>
          <w:b/>
          <w:i/>
          <w:sz w:val="22"/>
          <w:szCs w:val="22"/>
        </w:rPr>
        <w:t>ad hoc</w:t>
      </w:r>
      <w:r w:rsidRPr="006B733D">
        <w:rPr>
          <w:rFonts w:ascii="Palatino Linotype" w:eastAsia="Calibri" w:hAnsi="Palatino Linotype" w:cs="Tahoma"/>
          <w:b/>
          <w:sz w:val="22"/>
          <w:szCs w:val="22"/>
        </w:rPr>
        <w:t>;</w:t>
      </w:r>
      <w:r w:rsidRPr="006B733D">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así como en el </w:t>
      </w:r>
      <w:r w:rsidRPr="006B733D">
        <w:rPr>
          <w:rFonts w:ascii="Palatino Linotype" w:eastAsia="Calibri" w:hAnsi="Palatino Linotype" w:cs="Tahoma"/>
          <w:sz w:val="22"/>
          <w:szCs w:val="22"/>
        </w:rPr>
        <w:t xml:space="preserve">criterio con clave de control SO/003/2017 emitido por el Pleno del Órgano Garante Nacional; por lo que, </w:t>
      </w:r>
      <w:r w:rsidRPr="006B733D">
        <w:rPr>
          <w:rFonts w:ascii="Palatino Linotype" w:eastAsia="Calibri" w:hAnsi="Palatino Linotype" w:cs="Tahoma"/>
          <w:bCs/>
          <w:sz w:val="22"/>
          <w:szCs w:val="22"/>
        </w:rPr>
        <w:t>u</w:t>
      </w:r>
      <w:r w:rsidRPr="006B733D">
        <w:rPr>
          <w:rFonts w:ascii="Palatino Linotype" w:hAnsi="Palatino Linotype"/>
          <w:bCs/>
          <w:sz w:val="22"/>
          <w:szCs w:val="22"/>
        </w:rPr>
        <w:t>na vez expuesto lo anterior, se emite el pronunciamiento que conforme a Derecho corresponde.</w:t>
      </w:r>
    </w:p>
    <w:p w14:paraId="589C4E1C" w14:textId="77777777" w:rsidR="00261FDA" w:rsidRPr="006B733D" w:rsidRDefault="00261FDA" w:rsidP="00261FDA">
      <w:pPr>
        <w:spacing w:line="360" w:lineRule="auto"/>
        <w:jc w:val="both"/>
        <w:rPr>
          <w:rFonts w:ascii="Palatino Linotype" w:eastAsia="Calibri" w:hAnsi="Palatino Linotype" w:cs="Tahoma"/>
          <w:sz w:val="22"/>
          <w:lang w:eastAsia="en-US"/>
        </w:rPr>
      </w:pPr>
    </w:p>
    <w:p w14:paraId="7F6D795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Calibri" w:hAnsi="Palatino Linotype" w:cs="Tahoma"/>
          <w:sz w:val="22"/>
          <w:lang w:eastAsia="en-US"/>
        </w:rPr>
        <w:t xml:space="preserve">En este orden de ideas, </w:t>
      </w:r>
      <w:r w:rsidRPr="006B733D">
        <w:rPr>
          <w:rFonts w:ascii="Palatino Linotype" w:hAnsi="Palatino Linotype"/>
          <w:bCs/>
          <w:sz w:val="22"/>
          <w:szCs w:val="22"/>
        </w:rPr>
        <w:t xml:space="preserve">debemos recordar que la información solicitada por medio del requerimiento </w:t>
      </w:r>
      <w:r w:rsidRPr="006B733D">
        <w:rPr>
          <w:rFonts w:ascii="Palatino Linotype" w:hAnsi="Palatino Linotype"/>
          <w:sz w:val="22"/>
          <w:szCs w:val="22"/>
        </w:rPr>
        <w:t>versó en acceder a</w:t>
      </w:r>
      <w:r w:rsidRPr="006B733D">
        <w:rPr>
          <w:rFonts w:ascii="Palatino Linotype" w:eastAsia="Palatino Linotype" w:hAnsi="Palatino Linotype" w:cstheme="minorHAnsi"/>
          <w:sz w:val="22"/>
          <w:szCs w:val="22"/>
        </w:rPr>
        <w:t xml:space="preserve"> lo siguiente:</w:t>
      </w:r>
    </w:p>
    <w:p w14:paraId="25D3ED8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E4CD486" w14:textId="77777777" w:rsidR="00261FDA" w:rsidRPr="006B733D" w:rsidRDefault="00261FDA" w:rsidP="00261FDA">
      <w:pPr>
        <w:numPr>
          <w:ilvl w:val="0"/>
          <w:numId w:val="45"/>
        </w:numPr>
        <w:pBdr>
          <w:top w:val="nil"/>
          <w:left w:val="nil"/>
          <w:bottom w:val="nil"/>
          <w:right w:val="nil"/>
          <w:between w:val="nil"/>
        </w:pBdr>
        <w:spacing w:line="360" w:lineRule="auto"/>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sz w:val="22"/>
          <w:szCs w:val="22"/>
        </w:rPr>
        <w:t>L</w:t>
      </w:r>
      <w:r w:rsidRPr="006B733D">
        <w:rPr>
          <w:rFonts w:ascii="Palatino Linotype" w:eastAsia="Palatino Linotype" w:hAnsi="Palatino Linotype" w:cstheme="minorHAnsi"/>
          <w:color w:val="000000"/>
          <w:sz w:val="22"/>
          <w:szCs w:val="22"/>
        </w:rPr>
        <w:t xml:space="preserve">os parámetros, consideraciones, determinaciones, lineamientos y/o algún otro de naturaleza similar y análoga que se hayan tomado en consideración para llevar a </w:t>
      </w:r>
      <w:r w:rsidRPr="006B733D">
        <w:rPr>
          <w:rFonts w:ascii="Palatino Linotype" w:eastAsia="Palatino Linotype" w:hAnsi="Palatino Linotype" w:cstheme="minorHAnsi"/>
          <w:color w:val="000000"/>
          <w:sz w:val="22"/>
          <w:szCs w:val="22"/>
        </w:rPr>
        <w:lastRenderedPageBreak/>
        <w:t xml:space="preserve">cabo la selección de los cien candidatos a la Tercera Promoción del Proceso de Certificación 2022. </w:t>
      </w:r>
    </w:p>
    <w:p w14:paraId="7481E926" w14:textId="77777777" w:rsidR="00261FDA" w:rsidRPr="006B733D" w:rsidRDefault="00261FDA" w:rsidP="00261FDA">
      <w:pPr>
        <w:numPr>
          <w:ilvl w:val="0"/>
          <w:numId w:val="45"/>
        </w:numPr>
        <w:pBdr>
          <w:top w:val="nil"/>
          <w:left w:val="nil"/>
          <w:bottom w:val="nil"/>
          <w:right w:val="nil"/>
          <w:between w:val="nil"/>
        </w:pBdr>
        <w:spacing w:line="360" w:lineRule="auto"/>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El listado de los candidatos que fueron aceptados en dicho proceso de certificación.</w:t>
      </w:r>
    </w:p>
    <w:p w14:paraId="36DA5A28" w14:textId="77777777" w:rsidR="00261FDA" w:rsidRPr="006B733D" w:rsidRDefault="00261FDA" w:rsidP="00261FDA">
      <w:pPr>
        <w:numPr>
          <w:ilvl w:val="0"/>
          <w:numId w:val="45"/>
        </w:numPr>
        <w:pBdr>
          <w:top w:val="nil"/>
          <w:left w:val="nil"/>
          <w:bottom w:val="nil"/>
          <w:right w:val="nil"/>
          <w:between w:val="nil"/>
        </w:pBdr>
        <w:spacing w:line="360" w:lineRule="auto"/>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Los que fueron aceptados del Municipio de C. Izcalli, Estado de México.</w:t>
      </w:r>
    </w:p>
    <w:p w14:paraId="71C1740A" w14:textId="77777777" w:rsidR="00261FDA" w:rsidRPr="006B733D" w:rsidRDefault="00261FDA" w:rsidP="00261FDA">
      <w:pPr>
        <w:spacing w:line="360" w:lineRule="auto"/>
        <w:ind w:right="51"/>
        <w:jc w:val="both"/>
        <w:rPr>
          <w:rFonts w:ascii="Palatino Linotype" w:eastAsia="Palatino Linotype" w:hAnsi="Palatino Linotype" w:cstheme="minorHAnsi"/>
          <w:sz w:val="22"/>
          <w:szCs w:val="22"/>
        </w:rPr>
      </w:pPr>
    </w:p>
    <w:p w14:paraId="258D96B9" w14:textId="77777777" w:rsidR="00261FDA" w:rsidRPr="006B733D" w:rsidRDefault="00261FDA" w:rsidP="00261FDA">
      <w:pPr>
        <w:pBdr>
          <w:top w:val="nil"/>
          <w:left w:val="nil"/>
          <w:bottom w:val="nil"/>
          <w:right w:val="nil"/>
          <w:between w:val="nil"/>
        </w:pBdr>
        <w:spacing w:line="360" w:lineRule="auto"/>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sz w:val="22"/>
          <w:szCs w:val="22"/>
        </w:rPr>
        <w:t>Sobre estos puntos es de señalar que el Particular únicamente se inconformó por la clasificación del listado de candidatos registrados al proceso de certificación en l</w:t>
      </w:r>
      <w:r w:rsidRPr="006B733D">
        <w:rPr>
          <w:rFonts w:ascii="Palatino Linotype" w:eastAsia="Palatino Linotype" w:hAnsi="Palatino Linotype" w:cstheme="minorHAnsi"/>
          <w:color w:val="000000"/>
          <w:sz w:val="22"/>
          <w:szCs w:val="22"/>
        </w:rPr>
        <w:t xml:space="preserve">a Tercera Promoción del Proceso de Certificación 2022. </w:t>
      </w:r>
    </w:p>
    <w:p w14:paraId="43DC110C" w14:textId="77777777" w:rsidR="00261FDA" w:rsidRPr="006B733D" w:rsidRDefault="00261FDA" w:rsidP="00261FDA">
      <w:pPr>
        <w:pBdr>
          <w:top w:val="nil"/>
          <w:left w:val="nil"/>
          <w:bottom w:val="nil"/>
          <w:right w:val="nil"/>
          <w:between w:val="nil"/>
        </w:pBdr>
        <w:spacing w:line="360" w:lineRule="auto"/>
        <w:jc w:val="both"/>
        <w:rPr>
          <w:rFonts w:ascii="Palatino Linotype" w:eastAsia="Palatino Linotype" w:hAnsi="Palatino Linotype" w:cstheme="minorHAnsi"/>
          <w:color w:val="000000"/>
          <w:sz w:val="22"/>
          <w:szCs w:val="22"/>
        </w:rPr>
      </w:pPr>
    </w:p>
    <w:p w14:paraId="6C86CB0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Así, se debe resaltar de los motivos de inconformidad del </w:t>
      </w:r>
      <w:r w:rsidRPr="006B733D">
        <w:rPr>
          <w:rFonts w:ascii="Palatino Linotype" w:eastAsia="Palatino Linotype" w:hAnsi="Palatino Linotype" w:cstheme="minorHAnsi"/>
          <w:bCs/>
          <w:sz w:val="22"/>
          <w:szCs w:val="22"/>
        </w:rPr>
        <w:t>Recurrente</w:t>
      </w:r>
      <w:r w:rsidRPr="006B733D">
        <w:rPr>
          <w:rFonts w:ascii="Palatino Linotype" w:eastAsia="Palatino Linotype" w:hAnsi="Palatino Linotype" w:cstheme="minorHAnsi"/>
          <w:sz w:val="22"/>
          <w:szCs w:val="22"/>
        </w:rPr>
        <w:t>, se advierte que está conforme con la información proporcionada en respuesta, correspondiente a que no hubo aspirantes registrados del Municipio de Cuautitlán Izcalli, Estado de México y los  parámetros, consideraciones, determinaciones, lineamientos y/o algún otro de naturaleza similar y análoga que se hayan tomado en consideración para llevar a cabo la selección de los cien candidatos a la Tercera Promoción del Proceso de Certificación 2022.</w:t>
      </w:r>
    </w:p>
    <w:p w14:paraId="0A27CB4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3AEF0E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No así respecto de la clasificación de la información que reservó el Sujeto Obligado, relativa al listado de los candidatos que fueron aceptados en dicho proceso de certificación.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95CED5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D0AF701" w14:textId="77777777" w:rsidR="00261FDA" w:rsidRPr="006B733D" w:rsidRDefault="00261FDA" w:rsidP="00261FDA">
      <w:pPr>
        <w:spacing w:line="360" w:lineRule="auto"/>
        <w:ind w:left="567" w:right="567"/>
        <w:jc w:val="both"/>
        <w:rPr>
          <w:rFonts w:ascii="Palatino Linotype" w:eastAsia="Palatino Linotype" w:hAnsi="Palatino Linotype" w:cstheme="minorHAnsi"/>
          <w:i/>
          <w:sz w:val="22"/>
          <w:szCs w:val="22"/>
        </w:rPr>
      </w:pPr>
      <w:r w:rsidRPr="006B733D">
        <w:rPr>
          <w:rFonts w:ascii="Palatino Linotype" w:eastAsia="Palatino Linotype" w:hAnsi="Palatino Linotype" w:cstheme="minorHAnsi"/>
          <w:sz w:val="22"/>
          <w:szCs w:val="22"/>
        </w:rPr>
        <w:lastRenderedPageBreak/>
        <w:t>“</w:t>
      </w:r>
      <w:r w:rsidRPr="006B733D">
        <w:rPr>
          <w:rFonts w:ascii="Palatino Linotype" w:eastAsia="Palatino Linotype" w:hAnsi="Palatino Linotype" w:cstheme="minorHAnsi"/>
          <w:b/>
          <w:i/>
          <w:sz w:val="22"/>
          <w:szCs w:val="22"/>
        </w:rPr>
        <w:t>REVISIÓN EN AMPARO. LOS RESOLUTIVOS NO COMBATIDOS DEBEN DECLARARSE FIRMES</w:t>
      </w:r>
      <w:r w:rsidRPr="006B733D">
        <w:rPr>
          <w:rFonts w:ascii="Palatino Linotype" w:eastAsia="Palatino Linotype" w:hAnsi="Palatino Linotype" w:cstheme="minorHAnsi"/>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08B2C2A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CE11EC2"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7365DFE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64A87B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Sirve de sustento a lo anterior, por analogía, la tesis jurisprudencial número VI.3o.C. J/60, publicada en el Semanario Judicial de la Federación y su Gaceta bajo el número de registro 176,608 que a la letra dice:</w:t>
      </w:r>
    </w:p>
    <w:p w14:paraId="144459C2"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1D3433C2" w14:textId="77777777" w:rsidR="00261FDA" w:rsidRPr="006B733D" w:rsidRDefault="00261FDA" w:rsidP="00261FDA">
      <w:pPr>
        <w:spacing w:line="360" w:lineRule="auto"/>
        <w:ind w:left="567" w:right="567"/>
        <w:jc w:val="both"/>
        <w:rPr>
          <w:rFonts w:ascii="Palatino Linotype" w:eastAsia="Palatino Linotype" w:hAnsi="Palatino Linotype" w:cstheme="minorHAnsi"/>
          <w:i/>
          <w:sz w:val="22"/>
          <w:szCs w:val="22"/>
        </w:rPr>
      </w:pPr>
      <w:r w:rsidRPr="006B733D">
        <w:rPr>
          <w:rFonts w:ascii="Palatino Linotype" w:eastAsia="Palatino Linotype" w:hAnsi="Palatino Linotype" w:cstheme="minorHAnsi"/>
          <w:i/>
          <w:sz w:val="22"/>
          <w:szCs w:val="22"/>
        </w:rPr>
        <w:t>“</w:t>
      </w:r>
      <w:r w:rsidRPr="006B733D">
        <w:rPr>
          <w:rFonts w:ascii="Palatino Linotype" w:eastAsia="Palatino Linotype" w:hAnsi="Palatino Linotype" w:cstheme="minorHAnsi"/>
          <w:b/>
          <w:i/>
          <w:sz w:val="22"/>
          <w:szCs w:val="22"/>
        </w:rPr>
        <w:t>ACTOS CONSENTIDOS. SON LOS QUE NO SE IMPUGNAN MEDIANTE EL RECURSO IDÓNEO</w:t>
      </w:r>
      <w:r w:rsidRPr="006B733D">
        <w:rPr>
          <w:rFonts w:ascii="Palatino Linotype" w:eastAsia="Palatino Linotype" w:hAnsi="Palatino Linotype" w:cstheme="minorHAnsi"/>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76B24981" w14:textId="77777777" w:rsidR="00261FDA" w:rsidRPr="006B733D" w:rsidRDefault="00261FDA" w:rsidP="00261FDA">
      <w:pPr>
        <w:spacing w:line="360" w:lineRule="auto"/>
        <w:ind w:right="51"/>
        <w:jc w:val="both"/>
        <w:rPr>
          <w:rFonts w:ascii="Palatino Linotype" w:eastAsia="Palatino Linotype" w:hAnsi="Palatino Linotype" w:cstheme="minorHAnsi"/>
          <w:sz w:val="22"/>
          <w:szCs w:val="22"/>
        </w:rPr>
      </w:pPr>
    </w:p>
    <w:p w14:paraId="30BAC443"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sz w:val="22"/>
          <w:szCs w:val="22"/>
        </w:rPr>
        <w:t>Ahora bien, respecto de la información de los aspirantes registrados, el Sujeto Obligado</w:t>
      </w:r>
      <w:r w:rsidRPr="006B733D">
        <w:rPr>
          <w:rFonts w:ascii="Palatino Linotype" w:eastAsia="Palatino Linotype" w:hAnsi="Palatino Linotype" w:cstheme="minorHAnsi"/>
          <w:b/>
          <w:sz w:val="22"/>
          <w:szCs w:val="22"/>
        </w:rPr>
        <w:t xml:space="preserve">, </w:t>
      </w:r>
      <w:r w:rsidRPr="006B733D">
        <w:rPr>
          <w:rFonts w:ascii="Palatino Linotype" w:eastAsia="Palatino Linotype" w:hAnsi="Palatino Linotype" w:cstheme="minorHAnsi"/>
          <w:sz w:val="22"/>
          <w:szCs w:val="22"/>
        </w:rPr>
        <w:t xml:space="preserve">a través de su </w:t>
      </w:r>
      <w:r w:rsidRPr="006B733D">
        <w:rPr>
          <w:rFonts w:ascii="Palatino Linotype" w:eastAsia="Palatino Linotype" w:hAnsi="Palatino Linotype" w:cstheme="minorHAnsi"/>
          <w:color w:val="000000"/>
          <w:sz w:val="22"/>
          <w:szCs w:val="22"/>
        </w:rPr>
        <w:t xml:space="preserve">Dirección General de Capacitación y Certificación, informó que en la Trigésima Sesión Ordinaria del Pleno del Instituto de Transparencia, Acceso a la Información Pública y Protección de Datos Personales del Estado de México y Municipios, de fecha veintiocho de septiembre del año 2022, aprobó por unanimidad de votos mediante acuerdo número INFOEM/ORD/35/III/2022, la convocatoria para la tercera promoción del proceso de certificación bajo el estándar de competencia EC-1057 “garantizar el derecho de acceso a la información pública” del año 2022, dirigida a las y los titulares de la Unidades de Transparencia y Servidores Públicos Habilitados de los Sujeto Obligado del Estado de México, publicándose dicha convocatoria el once de octubre del año dos mil veintidós. </w:t>
      </w:r>
    </w:p>
    <w:p w14:paraId="0808157C"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392CF30A"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Asimismo, señaló que dentro de la misma Convocatoria se determinó que se dirigió única y exclusivamente a personas Titulares de la Unidades de Transparencia y Servidores Públicos Habilitados de los Sujeto Obligados del Estado de México y, e</w:t>
      </w:r>
      <w:r w:rsidRPr="006B733D">
        <w:rPr>
          <w:rFonts w:ascii="Palatino Linotype" w:eastAsia="Palatino Linotype" w:hAnsi="Palatino Linotype" w:cstheme="minorHAnsi"/>
          <w:sz w:val="22"/>
          <w:szCs w:val="22"/>
        </w:rPr>
        <w:t>n su informe justificado, la Dirección General de Capacitación y Certificación, indicó que:</w:t>
      </w:r>
    </w:p>
    <w:p w14:paraId="0C749AE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0685D32"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Los candidatos que fueron aceptados en el proceso de certificación para la Tercera Promoción del Proceso de Certificación 2022, bajo el modelo estándar de competencia laboral denominado “Garantizar el Derecho de Acceso a la Información Pública”, dirigida a las y los Titulares de las Unidades de Transparencia y Servidores Públicos Habilitados de los Sujetos Obligados del Estado de México, se encontraba en proceso deliberativo, por lo que no era posible entregar la información requerida, ya que aun a la fecha subsistían las causales que motivan la reserva de la información, documentales que fueron clasificadas </w:t>
      </w:r>
      <w:r w:rsidRPr="006B733D">
        <w:rPr>
          <w:rFonts w:ascii="Palatino Linotype" w:eastAsia="Palatino Linotype" w:hAnsi="Palatino Linotype" w:cstheme="minorHAnsi"/>
          <w:sz w:val="22"/>
          <w:szCs w:val="22"/>
        </w:rPr>
        <w:lastRenderedPageBreak/>
        <w:t>como reservadas por el Comité de Transparencia de este Sujeto Obligado, mediante resolución RES/01/INFOEM/EXT/COMT/38a/2022.</w:t>
      </w:r>
    </w:p>
    <w:p w14:paraId="6ECC44F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D7EB70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Que entregar el listado de personas inscritas en el proceso de certificación, provocaría incertidumbre jurídica en el Particular, toda vez que no podría conocer si las acciones que realiza este Instituto, en su carácter de Entidad de Certificación y Evaluación, durante la sustanciación del proceso de certificación de referencia, son apegadas a derecho, ni tampoco se podría garantizar que dicho proceso sea verificable, fidedigno y confiable, pues hasta la fecha no se han desahogado totalmente las cinco etapas que conforman el referido proceso de certificación, ya que a la fecha de respuesta se encontraba en la segunda etapa denominada “Capacitación” por lo que se indicó al Particular que entregar lo solicitado impediría que el Grupo de Dictamen apruebe la procedencia de la emisión del Juicio de competencia que en su momento se determine.</w:t>
      </w:r>
    </w:p>
    <w:p w14:paraId="71409F1F"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72553B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Por tales argumentos, se actualiza el supuesto normativo previsto en el artículo 132, último párrafo de la Ley de Transparencia y Acceso a la información Pública del Estado de México y Municipios, en virtud de que subsisten las causales de reserva total del proceso de Certificación del Estándar de Competencia 1057 Garantizar el Derecho de Acceso a la información Pública “de la Tercera promoción de 2022., por lo que además se superan los parámetros de la prueba de daño que se prevén en el numeral Trigésimo Tercero de los Lineamientos Generales en Materia de Clasificación y Desclasificación de la Información, así como para la Elaboración de las Versiones Públicas.</w:t>
      </w:r>
    </w:p>
    <w:p w14:paraId="4E0932E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En cuanto al motivo de inconformidad del </w:t>
      </w:r>
      <w:r w:rsidRPr="006B733D">
        <w:rPr>
          <w:rFonts w:ascii="Palatino Linotype" w:eastAsia="Palatino Linotype" w:hAnsi="Palatino Linotype" w:cstheme="minorHAnsi"/>
          <w:bCs/>
          <w:sz w:val="22"/>
          <w:szCs w:val="22"/>
        </w:rPr>
        <w:t>Recurrente, en donde</w:t>
      </w:r>
      <w:r w:rsidRPr="006B733D">
        <w:rPr>
          <w:rFonts w:ascii="Palatino Linotype" w:eastAsia="Palatino Linotype" w:hAnsi="Palatino Linotype" w:cstheme="minorHAnsi"/>
          <w:sz w:val="22"/>
          <w:szCs w:val="22"/>
        </w:rPr>
        <w:t xml:space="preserve"> señaló que, dichas aseveraciones resultan ser subjetivas derivadas de hechos que se desconocen por completo, dichos cuestionamientos no pretenden contravenir la respuesta. Por lo que, a criterio de la </w:t>
      </w:r>
      <w:r w:rsidRPr="006B733D">
        <w:rPr>
          <w:rFonts w:ascii="Palatino Linotype" w:eastAsia="Palatino Linotype" w:hAnsi="Palatino Linotype" w:cstheme="minorHAnsi"/>
          <w:sz w:val="22"/>
          <w:szCs w:val="22"/>
        </w:rPr>
        <w:lastRenderedPageBreak/>
        <w:t>Dirección General de Capacitación y Certificación, la respuesta debe ser confirmada en atención a que, tal y como quedó argumentado se dio cabal cumplimiento al Derecho de acceso a la información ejercido por el particular.</w:t>
      </w:r>
    </w:p>
    <w:p w14:paraId="51F19956" w14:textId="77777777" w:rsidR="00261FDA" w:rsidRPr="006B733D" w:rsidRDefault="00261FDA" w:rsidP="00261FDA">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theme="minorHAnsi"/>
          <w:sz w:val="22"/>
          <w:szCs w:val="22"/>
        </w:rPr>
      </w:pPr>
    </w:p>
    <w:bookmarkStart w:id="3" w:name="_heading=h.3znysh7" w:colFirst="0" w:colLast="0"/>
    <w:bookmarkEnd w:id="3"/>
    <w:p w14:paraId="3C94498A" w14:textId="77777777" w:rsidR="00261FDA" w:rsidRPr="006B733D" w:rsidRDefault="00261FDA" w:rsidP="00261FDA">
      <w:pPr>
        <w:spacing w:line="360" w:lineRule="auto"/>
        <w:ind w:right="51"/>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noProof/>
          <w:color w:val="000000"/>
          <w:sz w:val="22"/>
          <w:szCs w:val="22"/>
          <w:lang w:eastAsia="es-MX"/>
        </w:rPr>
        <mc:AlternateContent>
          <mc:Choice Requires="wps">
            <w:drawing>
              <wp:anchor distT="0" distB="0" distL="114300" distR="114300" simplePos="0" relativeHeight="251659264" behindDoc="0" locked="0" layoutInCell="1" allowOverlap="1" wp14:anchorId="672E4983" wp14:editId="75C705E5">
                <wp:simplePos x="0" y="0"/>
                <wp:positionH relativeFrom="column">
                  <wp:posOffset>166773</wp:posOffset>
                </wp:positionH>
                <wp:positionV relativeFrom="paragraph">
                  <wp:posOffset>2365326</wp:posOffset>
                </wp:positionV>
                <wp:extent cx="5219205" cy="1911927"/>
                <wp:effectExtent l="0" t="0" r="19685" b="31750"/>
                <wp:wrapNone/>
                <wp:docPr id="2" name="Conector recto 2"/>
                <wp:cNvGraphicFramePr/>
                <a:graphic xmlns:a="http://schemas.openxmlformats.org/drawingml/2006/main">
                  <a:graphicData uri="http://schemas.microsoft.com/office/word/2010/wordprocessingShape">
                    <wps:wsp>
                      <wps:cNvCnPr/>
                      <wps:spPr>
                        <a:xfrm flipV="1">
                          <a:off x="0" y="0"/>
                          <a:ext cx="5219205" cy="1911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220D1"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15pt,186.25pt" to="424.1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" strokecolor="#4472c4 [3204]" strokeweight=".5pt">
                <v:stroke joinstyle="miter"/>
              </v:line>
            </w:pict>
          </mc:Fallback>
        </mc:AlternateContent>
      </w:r>
      <w:r w:rsidRPr="006B733D">
        <w:rPr>
          <w:rFonts w:ascii="Palatino Linotype" w:eastAsia="Palatino Linotype" w:hAnsi="Palatino Linotype" w:cstheme="minorHAnsi"/>
          <w:color w:val="000000"/>
          <w:sz w:val="22"/>
          <w:szCs w:val="22"/>
        </w:rPr>
        <w:t xml:space="preserve">Antes de analizar si la información es reservada o no, es necesario señalar que el Sujeto Obligado, a través de su </w:t>
      </w:r>
      <w:r w:rsidRPr="006B733D">
        <w:rPr>
          <w:rFonts w:ascii="Palatino Linotype" w:eastAsia="Palatino Linotype" w:hAnsi="Palatino Linotype" w:cstheme="minorHAnsi"/>
          <w:sz w:val="22"/>
          <w:szCs w:val="22"/>
        </w:rPr>
        <w:t>Dirección General de Capacitación y Certificación, es el área competente para conocer de la información solicitada, misma que fue la que propuso la clasificación de la información como reservada, lo anterior en términos de lo señalado por el artículo 21, del Reglamento Interior del Instituto de Transparencia, Acceso a la Información Pública y Protección de Datos Personales del Estado de México y Municipios, que señala:</w:t>
      </w:r>
    </w:p>
    <w:p w14:paraId="1FD6100C" w14:textId="77777777" w:rsidR="00261FDA" w:rsidRPr="006B733D" w:rsidRDefault="00261FDA" w:rsidP="00261FDA">
      <w:pPr>
        <w:spacing w:line="360" w:lineRule="auto"/>
        <w:ind w:left="567" w:right="567"/>
        <w:jc w:val="both"/>
        <w:rPr>
          <w:rFonts w:ascii="Palatino Linotype" w:eastAsia="Palatino Linotype" w:hAnsi="Palatino Linotype" w:cstheme="minorHAnsi"/>
          <w:sz w:val="22"/>
          <w:szCs w:val="22"/>
        </w:rPr>
      </w:pPr>
      <w:r w:rsidRPr="006B733D">
        <w:rPr>
          <w:rFonts w:ascii="Palatino Linotype" w:hAnsi="Palatino Linotype" w:cstheme="minorHAnsi"/>
          <w:noProof/>
          <w:sz w:val="22"/>
          <w:szCs w:val="22"/>
          <w:lang w:eastAsia="es-MX"/>
        </w:rPr>
        <w:lastRenderedPageBreak/>
        <w:drawing>
          <wp:inline distT="0" distB="0" distL="0" distR="0" wp14:anchorId="6F3A2430" wp14:editId="248B4B56">
            <wp:extent cx="5356860" cy="4175760"/>
            <wp:effectExtent l="0" t="0" r="0" b="0"/>
            <wp:docPr id="1365086528" name="Imagen 136508652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6"/>
                    <a:srcRect l="53386" t="15284" r="5133" b="30448"/>
                    <a:stretch/>
                  </pic:blipFill>
                  <pic:spPr bwMode="auto">
                    <a:xfrm>
                      <a:off x="0" y="0"/>
                      <a:ext cx="5362138" cy="4179874"/>
                    </a:xfrm>
                    <a:prstGeom prst="rect">
                      <a:avLst/>
                    </a:prstGeom>
                    <a:ln>
                      <a:noFill/>
                    </a:ln>
                    <a:extLst>
                      <a:ext uri="{53640926-AAD7-44D8-BBD7-CCE9431645EC}">
                        <a14:shadowObscured xmlns:a14="http://schemas.microsoft.com/office/drawing/2010/main"/>
                      </a:ext>
                    </a:extLst>
                  </pic:spPr>
                </pic:pic>
              </a:graphicData>
            </a:graphic>
          </wp:inline>
        </w:drawing>
      </w:r>
    </w:p>
    <w:p w14:paraId="723258D3" w14:textId="77777777" w:rsidR="00261FDA" w:rsidRPr="006B733D" w:rsidRDefault="00261FDA" w:rsidP="00261FDA">
      <w:pPr>
        <w:spacing w:line="360" w:lineRule="auto"/>
        <w:ind w:left="567" w:right="567"/>
        <w:jc w:val="center"/>
        <w:rPr>
          <w:rFonts w:ascii="Palatino Linotype" w:eastAsia="Palatino Linotype" w:hAnsi="Palatino Linotype" w:cstheme="minorHAnsi"/>
          <w:color w:val="000000"/>
          <w:sz w:val="22"/>
          <w:szCs w:val="22"/>
        </w:rPr>
      </w:pPr>
      <w:r w:rsidRPr="006B733D">
        <w:rPr>
          <w:rFonts w:ascii="Palatino Linotype" w:hAnsi="Palatino Linotype" w:cstheme="minorHAnsi"/>
          <w:noProof/>
          <w:sz w:val="22"/>
          <w:szCs w:val="22"/>
          <w:lang w:eastAsia="es-MX"/>
        </w:rPr>
        <w:drawing>
          <wp:inline distT="0" distB="0" distL="0" distR="0" wp14:anchorId="0ED5EC80" wp14:editId="3FDE9E33">
            <wp:extent cx="5391734" cy="1661160"/>
            <wp:effectExtent l="0" t="0" r="0" b="0"/>
            <wp:docPr id="1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6"/>
                    <a:srcRect l="53386" t="68609" r="5133" b="10229"/>
                    <a:stretch/>
                  </pic:blipFill>
                  <pic:spPr bwMode="auto">
                    <a:xfrm>
                      <a:off x="0" y="0"/>
                      <a:ext cx="5402017" cy="1664328"/>
                    </a:xfrm>
                    <a:prstGeom prst="rect">
                      <a:avLst/>
                    </a:prstGeom>
                    <a:ln>
                      <a:noFill/>
                    </a:ln>
                    <a:extLst>
                      <a:ext uri="{53640926-AAD7-44D8-BBD7-CCE9431645EC}">
                        <a14:shadowObscured xmlns:a14="http://schemas.microsoft.com/office/drawing/2010/main"/>
                      </a:ext>
                    </a:extLst>
                  </pic:spPr>
                </pic:pic>
              </a:graphicData>
            </a:graphic>
          </wp:inline>
        </w:drawing>
      </w:r>
    </w:p>
    <w:p w14:paraId="108686E6"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13F1DCEE" w14:textId="77777777" w:rsidR="00261FDA" w:rsidRPr="006B733D" w:rsidRDefault="00261FDA" w:rsidP="00261FDA">
      <w:pPr>
        <w:spacing w:line="360" w:lineRule="auto"/>
        <w:ind w:right="51"/>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De esta disposición destaca que la Dirección General de Capacitación y Certificación del Sujeto Obligado, es la encargada de diseñar los procesos de certificación acorde con las características y necesidades de los sujetos obligados del Estado de México, apegado a </w:t>
      </w:r>
      <w:r w:rsidRPr="006B733D">
        <w:rPr>
          <w:rFonts w:ascii="Palatino Linotype" w:eastAsia="Palatino Linotype" w:hAnsi="Palatino Linotype" w:cstheme="minorHAnsi"/>
          <w:sz w:val="22"/>
          <w:szCs w:val="22"/>
        </w:rPr>
        <w:lastRenderedPageBreak/>
        <w:t>criterios metodológicos y a estándares nacionales de competencias laborales en materia de transparencia, acceso a la información y protección de datos personales; así como, dar cumplimento a los ordenamientos legales en materia de certificación a los titulares de las Unidades de Transparencia de los sujetos obligados y a las organizaciones que llegaran a impartir cursos en materia de acceso a la información y protección de datos personales; así como al Oficial de Protección de Datos Personales.</w:t>
      </w:r>
    </w:p>
    <w:p w14:paraId="40B552DA"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07385E79"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r w:rsidRPr="006B733D">
        <w:rPr>
          <w:rFonts w:ascii="Palatino Linotype" w:eastAsia="Palatino Linotype" w:hAnsi="Palatino Linotype" w:cstheme="minorHAnsi"/>
          <w:color w:val="000000"/>
          <w:sz w:val="22"/>
          <w:szCs w:val="22"/>
        </w:rPr>
        <w:t xml:space="preserve">Esta determinación fue avalada por el Comité de Transparencia de este Instituto en su calidad de Sujeto Obligado, a través del acuerdo número RES/08/INFOEM/ORD/COMT/23ª/2022, por medio del cual confirmó la subsistencia de las causales que dieron lugar a la clasificación total de la información como reservada los documentos en donde se encuentran los nombres y registros de las y los candidatos en el tercer proceso de certificación bajo el estándar de competencia EC-1057 “garantizar el derecho de acceso a la información pública” del año 2022, considerada como tal mediante acuerdo ACT/INFOEM/EXT/COMT/38ª/2022/SEGUNDO, dictada en la Trigésima Octava Sesión Extraordinaria, de fecha veintitrés de noviembre del año 2022, respecto de la información requerida en la solicitud número 01385/INFOEM/IP/2022. </w:t>
      </w:r>
    </w:p>
    <w:p w14:paraId="188D034E" w14:textId="77777777" w:rsidR="00261FDA" w:rsidRPr="006B733D" w:rsidRDefault="00261FDA" w:rsidP="00261FDA">
      <w:pPr>
        <w:spacing w:line="360" w:lineRule="auto"/>
        <w:ind w:right="51"/>
        <w:jc w:val="both"/>
        <w:rPr>
          <w:rFonts w:ascii="Palatino Linotype" w:eastAsia="Palatino Linotype" w:hAnsi="Palatino Linotype" w:cstheme="minorHAnsi"/>
          <w:color w:val="000000"/>
          <w:sz w:val="22"/>
          <w:szCs w:val="22"/>
        </w:rPr>
      </w:pPr>
    </w:p>
    <w:p w14:paraId="74C4756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En este sentido, es importante analizar el acuerdo de reserva, entregado por el Sujeto Obligado, en su respuesta, a fin de establecer si el Comité de Transparencia acreditó la reserva de la información.</w:t>
      </w:r>
    </w:p>
    <w:p w14:paraId="2FD9588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026C23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Al respecto, el Sujeto Obligado refirió que la primera clasificación de la información la realizó el Comité de Transparencia, mediante resolución RES/01/INFOEM/EXT/COMT/38ª/2022, de fecha 23 de noviembre de 2022, en la que se </w:t>
      </w:r>
      <w:r w:rsidRPr="006B733D">
        <w:rPr>
          <w:rFonts w:ascii="Palatino Linotype" w:eastAsia="Palatino Linotype" w:hAnsi="Palatino Linotype" w:cstheme="minorHAnsi"/>
          <w:sz w:val="22"/>
          <w:szCs w:val="22"/>
        </w:rPr>
        <w:lastRenderedPageBreak/>
        <w:t>determinó que la información relacionada con el secreto industrial del proceso de certificación; sin embargo, se determinó:</w:t>
      </w:r>
    </w:p>
    <w:p w14:paraId="29F552C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37683B9"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SEGUNDO. Se CONFIRMA la clasificación de la información como reservada de los documentos en los que se encuentran los nombres y registros de las y los candidatos en el Tercer Proceso de Certificación bajo el Estándar de Competencia EC-1057 “Garantizar el derecho de acceso a la información pública” del año 2022, por un período de SEIS MESES, al tenor del considerando TERCERO de la presente resolución.</w:t>
      </w:r>
    </w:p>
    <w:p w14:paraId="34A836B6"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447AA2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Los argumentos para clasificar la información se centraron en el contrato que el Sujeto Obligado llevó a cabo con CONOCER para ser reconocido como autoridad certificadora.</w:t>
      </w:r>
    </w:p>
    <w:p w14:paraId="3C5853D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394601B"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En este sentido, el primer argumento de reserva es que, al tratarse de un proceso en trámite se actualiza el supuesto, del artículo 132, último párrafo de la Ley de Transparencia y Acceso a la información Pública del Estado de México y Municipios, el cual dispone lo siguiente:</w:t>
      </w:r>
    </w:p>
    <w:p w14:paraId="0E37A3D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795DD4E"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Artículo 132. La clasificación de la información se llevará a cabo en el momento en que:</w:t>
      </w:r>
    </w:p>
    <w:p w14:paraId="1B57BD8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 Se reciba una solicitud de acceso a la información;</w:t>
      </w:r>
    </w:p>
    <w:p w14:paraId="100E7C6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II. Se determine mediante resolución de autoridad competente; o</w:t>
      </w:r>
    </w:p>
    <w:p w14:paraId="16C709CF"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III. Se generen versiones públicas para dar cumplimiento a las obligaciones de transparencia previstas en esta Ley.</w:t>
      </w:r>
    </w:p>
    <w:p w14:paraId="6CCFF8E1" w14:textId="77777777" w:rsidR="00261FDA" w:rsidRPr="006B733D" w:rsidRDefault="00261FDA" w:rsidP="00261FDA">
      <w:pPr>
        <w:spacing w:line="360" w:lineRule="auto"/>
        <w:ind w:left="567" w:right="567"/>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i/>
          <w:szCs w:val="22"/>
        </w:rPr>
        <w:t>Tratándose de información reservada, los titulares de las áreas deberán revisar la clasificación al momento de la recepción de una solicitud, para verificar si subsisten las causas que le dieron origen.</w:t>
      </w:r>
      <w:r w:rsidRPr="006B733D">
        <w:rPr>
          <w:rFonts w:ascii="Palatino Linotype" w:eastAsia="Palatino Linotype" w:hAnsi="Palatino Linotype" w:cstheme="minorHAnsi"/>
          <w:i/>
          <w:szCs w:val="22"/>
        </w:rPr>
        <w:cr/>
      </w:r>
    </w:p>
    <w:p w14:paraId="018BAFC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Como se advierte de lo anterior, el artículo 132, no establece un supuesto de reserva de información, simplemente indica los momentos en los que puede clasificarse, sin que ello suponga la acreditación de una reserva.</w:t>
      </w:r>
    </w:p>
    <w:p w14:paraId="66E3F9D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2F50AB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Asimismo, como argumentos de reserva se determinó lo siguiente:</w:t>
      </w:r>
    </w:p>
    <w:p w14:paraId="1DAA0B9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1F8A8CC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Aunado a lo anterior, se violentarían los principios ético de las y los evaluadores previstos en el Código de Ética del Evaluador de Competencias del consejo Nacional de Certificación y Normalización de Competencias Laborales (CONOCER), toda vez que los juicios de competencias (TODAVIA NO COMPETENTE Y COMPETENTE) forman parte de los expedientes de las y los candidatos, los que son de interés único y exclusivo de ellos.</w:t>
      </w:r>
    </w:p>
    <w:p w14:paraId="21474C44" w14:textId="77777777" w:rsidR="00261FDA" w:rsidRPr="006B733D" w:rsidRDefault="00261FDA" w:rsidP="00261FDA">
      <w:pPr>
        <w:spacing w:line="360" w:lineRule="auto"/>
        <w:ind w:right="567"/>
        <w:jc w:val="both"/>
        <w:rPr>
          <w:rFonts w:ascii="Palatino Linotype" w:eastAsia="Palatino Linotype" w:hAnsi="Palatino Linotype" w:cstheme="minorHAnsi"/>
          <w:i/>
          <w:szCs w:val="22"/>
        </w:rPr>
      </w:pPr>
    </w:p>
    <w:p w14:paraId="4745995B" w14:textId="77777777" w:rsidR="00261FDA" w:rsidRPr="006B733D" w:rsidRDefault="00261FDA" w:rsidP="00261FDA">
      <w:pPr>
        <w:spacing w:line="360" w:lineRule="auto"/>
        <w:ind w:right="567"/>
        <w:jc w:val="both"/>
        <w:rPr>
          <w:rFonts w:ascii="Palatino Linotype" w:eastAsia="Palatino Linotype" w:hAnsi="Palatino Linotype" w:cstheme="minorHAnsi"/>
          <w:szCs w:val="22"/>
        </w:rPr>
      </w:pPr>
      <w:r w:rsidRPr="006B733D">
        <w:rPr>
          <w:rFonts w:ascii="Palatino Linotype" w:eastAsia="Palatino Linotype" w:hAnsi="Palatino Linotype" w:cstheme="minorHAnsi"/>
          <w:szCs w:val="22"/>
        </w:rPr>
        <w:t>Sobre este punto se debe precisar que la solicitud que nos ocupa, no corresponde a requerir los resultados del proceso de evaluación, ni sus avances, toda vez que únicamente se requiere acceso al listado de personas, servidores públicos registrados en el proceso de certificación, de tal suerte que este argumento no guarda congruencia con lo solicitado. Situación que de haberse solicitado, en efecto puede corresponder a información reservada por formar parte del proceso deliberativo, al no contar en esa fecha con todos los elementos para determinar la competencia de una persona en el estándar evaluado, pero se reitera que esa información no fue solicitada.</w:t>
      </w:r>
    </w:p>
    <w:p w14:paraId="54190AEE" w14:textId="77777777" w:rsidR="00261FDA" w:rsidRPr="006B733D" w:rsidRDefault="00261FDA" w:rsidP="00261FDA">
      <w:pPr>
        <w:spacing w:line="360" w:lineRule="auto"/>
        <w:ind w:right="567"/>
        <w:jc w:val="both"/>
        <w:rPr>
          <w:rFonts w:ascii="Palatino Linotype" w:eastAsia="Palatino Linotype" w:hAnsi="Palatino Linotype" w:cstheme="minorHAnsi"/>
          <w:szCs w:val="22"/>
        </w:rPr>
      </w:pPr>
    </w:p>
    <w:p w14:paraId="5FC52241"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De igual manera, esta Entidad de Certificación y Evaluación (</w:t>
      </w:r>
      <w:proofErr w:type="spellStart"/>
      <w:r w:rsidRPr="006B733D">
        <w:rPr>
          <w:rFonts w:ascii="Palatino Linotype" w:eastAsia="Palatino Linotype" w:hAnsi="Palatino Linotype" w:cstheme="minorHAnsi"/>
          <w:i/>
          <w:szCs w:val="22"/>
        </w:rPr>
        <w:t>Infoem</w:t>
      </w:r>
      <w:proofErr w:type="spellEnd"/>
      <w:r w:rsidRPr="006B733D">
        <w:rPr>
          <w:rFonts w:ascii="Palatino Linotype" w:eastAsia="Palatino Linotype" w:hAnsi="Palatino Linotype" w:cstheme="minorHAnsi"/>
          <w:i/>
          <w:szCs w:val="22"/>
        </w:rPr>
        <w:t xml:space="preserve">) debe guardar y custodiar </w:t>
      </w:r>
      <w:r w:rsidRPr="006B733D">
        <w:rPr>
          <w:rFonts w:ascii="Palatino Linotype" w:eastAsia="Palatino Linotype" w:hAnsi="Palatino Linotype" w:cstheme="minorHAnsi"/>
          <w:b/>
          <w:i/>
          <w:szCs w:val="22"/>
        </w:rPr>
        <w:t xml:space="preserve">los expedientes (portafolios de evidencias) en los que se reúnen y organizan los elementos que demuestran el dominio y  conocimiento de las y los candidatos </w:t>
      </w:r>
      <w:r w:rsidRPr="006B733D">
        <w:rPr>
          <w:rFonts w:ascii="Palatino Linotype" w:eastAsia="Palatino Linotype" w:hAnsi="Palatino Linotype" w:cstheme="minorHAnsi"/>
          <w:i/>
          <w:szCs w:val="22"/>
        </w:rPr>
        <w:t xml:space="preserve">certificados bajo el Estándar de Competencias EC-1057 “Garantizar el  Derecho de Acceso a la Información Pública” de la tercera promoción de este año en virtud de que tales  portafolios deben ser sujetos a revisión por parte del Grupo de Dictamen de esta Entidad, que está conformado por un conjunto </w:t>
      </w:r>
      <w:r w:rsidRPr="006B733D">
        <w:rPr>
          <w:rFonts w:ascii="Palatino Linotype" w:eastAsia="Palatino Linotype" w:hAnsi="Palatino Linotype" w:cstheme="minorHAnsi"/>
          <w:i/>
          <w:szCs w:val="22"/>
        </w:rPr>
        <w:lastRenderedPageBreak/>
        <w:t>de personas que se reúnen a petición de la entidad de Certificación y Evaluación para analizar  y determinar los portafolios de evidencias, con el propósito de garantizar la imparcialidad y objetividad de la  certificación de la competencia, determinando la competencia emitida por la o el evaluador.</w:t>
      </w:r>
    </w:p>
    <w:p w14:paraId="28BFF0A1"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(Énfasis añadido).</w:t>
      </w:r>
    </w:p>
    <w:p w14:paraId="667F223C" w14:textId="77777777" w:rsidR="00261FDA" w:rsidRPr="006B733D" w:rsidRDefault="00261FDA" w:rsidP="00261FDA">
      <w:pPr>
        <w:spacing w:line="360" w:lineRule="auto"/>
        <w:ind w:right="567"/>
        <w:jc w:val="both"/>
        <w:rPr>
          <w:rFonts w:ascii="Palatino Linotype" w:eastAsia="Palatino Linotype" w:hAnsi="Palatino Linotype" w:cstheme="minorHAnsi"/>
          <w:szCs w:val="22"/>
        </w:rPr>
      </w:pPr>
    </w:p>
    <w:p w14:paraId="36513828" w14:textId="77777777" w:rsidR="00261FDA" w:rsidRPr="006B733D" w:rsidRDefault="00261FDA" w:rsidP="00261FDA">
      <w:pPr>
        <w:spacing w:line="360" w:lineRule="auto"/>
        <w:ind w:right="567"/>
        <w:jc w:val="both"/>
        <w:rPr>
          <w:rFonts w:ascii="Palatino Linotype" w:eastAsia="Palatino Linotype" w:hAnsi="Palatino Linotype" w:cstheme="minorHAnsi"/>
          <w:szCs w:val="22"/>
        </w:rPr>
      </w:pPr>
      <w:r w:rsidRPr="006B733D">
        <w:rPr>
          <w:rFonts w:ascii="Palatino Linotype" w:eastAsia="Palatino Linotype" w:hAnsi="Palatino Linotype" w:cstheme="minorHAnsi"/>
          <w:szCs w:val="22"/>
        </w:rPr>
        <w:t>Sobre este punto, en el mismo sentido, no se requirieron los portafolios que en efecto pudieran actualizar el supuesto tanto de información reservada como de confidencial, porque las respuestas y los materiales de los evaluados constituyen sus datos personales pues contienen los conocimientos de cada persona en razón de los temas que se le presentan y su forma de abordarlos y/o resolverlos y los materiales, herramientas y procesos de evaluación constituyen el proceso industrial del Sujeto Obligado; sin embargo, debe dejarse claro que tampoco se solicitó esa información ya que se requiere sólo el listado de las personas registradas para participar en el proceso de certificación, etapa en la que ni siquiera existen evaluaciones.</w:t>
      </w:r>
    </w:p>
    <w:p w14:paraId="64E420A2" w14:textId="77777777" w:rsidR="00261FDA" w:rsidRPr="006B733D" w:rsidRDefault="00261FDA" w:rsidP="00261FDA">
      <w:pPr>
        <w:spacing w:line="360" w:lineRule="auto"/>
        <w:ind w:right="567"/>
        <w:jc w:val="both"/>
        <w:rPr>
          <w:rFonts w:ascii="Palatino Linotype" w:eastAsia="Palatino Linotype" w:hAnsi="Palatino Linotype" w:cstheme="minorHAnsi"/>
          <w:szCs w:val="22"/>
        </w:rPr>
      </w:pPr>
    </w:p>
    <w:p w14:paraId="1EC4D958"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Máxime que la entrega de lo solicitado, también se estaría violando por parte de este Instituto, como entidad de  Certificación y Evaluación, la Séptima Clausula, Numerales 7.1 y 7.2 párrafo 2 del Contrato de Acreditación inicial, que a la letra señala:</w:t>
      </w:r>
    </w:p>
    <w:p w14:paraId="00D2CD6E"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7.2…. Toda la información confidencial a que se refiera la presente Clausula constituye secreto industrial, en términos de los dispuesto por la Ley de Propiedad Industrial.</w:t>
      </w:r>
    </w:p>
    <w:p w14:paraId="321F9AE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w:t>
      </w:r>
    </w:p>
    <w:p w14:paraId="018559C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La confidencialidad antes citada también será aplicable a los procesos de capacitación, evaluación y certificación de competencias de personas que se lleven a cabo en “la ECE”…</w:t>
      </w:r>
    </w:p>
    <w:p w14:paraId="73D1AA1A"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7.3 la ECE, se obliga a guardar estricta confidencialidad respecto a toda la documentación o información recibida de CONOCER, los cuales deberán ser considerados por este en la más estricta confidencialidad, y solamente podrá divulgarla a cualquier tercero, con el previo consentimiento de CONOCER.</w:t>
      </w:r>
    </w:p>
    <w:p w14:paraId="4D778D3C"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(Sic).</w:t>
      </w:r>
    </w:p>
    <w:p w14:paraId="7E72261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lastRenderedPageBreak/>
        <w:t>En este sentido, es importante mencionar que toda la información relacionada con el proceso de certificación del Estándar de Competencias 1057 denominado “Garantizar el Derecho de Acceso a la Información Pública, incluyendo la solicitada por el particular en el presente requerimiento, es de carácter reservado.</w:t>
      </w:r>
    </w:p>
    <w:p w14:paraId="7C2B29E5"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1EF3409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Entonces, entregar lo solicitado, provocaría incertidumbre jurídica en el particular, toda vez que no podría conocer si las acciones que realiza este instituto, en su carácter de Entidad de Certificación y Evaluación, durante la sustanciación del proceso de certificación de referencia, son apegadas a derecho, ni tampoco se podría </w:t>
      </w:r>
    </w:p>
    <w:p w14:paraId="750180D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5B8F42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Sobre esta afirmación, cobra relevancia que el objeto del contrato sí consiste en proteger la información relacionada con el secreto industrial el cual, el cual en términos del artículo 163 de la Ley Federal de Protección a la Propiedad Industrial, consiste en:</w:t>
      </w:r>
    </w:p>
    <w:p w14:paraId="337C393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 </w:t>
      </w:r>
    </w:p>
    <w:p w14:paraId="3FAAD448"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Artículo 163.- Para efectos de este Título, se entenderá por:</w:t>
      </w:r>
    </w:p>
    <w:p w14:paraId="179EB2F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 Secreto industrial, a toda información de aplicación industrial o comercial que guarde la persona que ejerce su control legal con carácter confidencial, que signifique la obtención o el mantenimiento de una ventaja competitiva o económica frente a terceros en la realización de actividades económicas y respecto de la cual haya adoptado los medios o sistemas suficientes para preservar su confidencialidad y el acceso restringido a la misma.</w:t>
      </w:r>
    </w:p>
    <w:p w14:paraId="3E43606D"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39D71B2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La información de un secreto industrial podrá constar en documentos, medios electrónicos o magnéticos, discos ópticos, microfilmes, películas o en cualquier otro medio conocido o por conocerse.</w:t>
      </w:r>
    </w:p>
    <w:p w14:paraId="0C387930" w14:textId="77777777" w:rsidR="00261FDA" w:rsidRPr="006B733D" w:rsidRDefault="00261FDA" w:rsidP="00261FDA">
      <w:pPr>
        <w:spacing w:line="360" w:lineRule="auto"/>
        <w:ind w:left="567" w:right="567"/>
        <w:jc w:val="both"/>
        <w:rPr>
          <w:rFonts w:ascii="Palatino Linotype" w:eastAsia="Palatino Linotype" w:hAnsi="Palatino Linotype" w:cstheme="minorHAnsi"/>
          <w:szCs w:val="22"/>
        </w:rPr>
      </w:pPr>
    </w:p>
    <w:p w14:paraId="6D8DE2C1"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No se considerará secreto industrial aquella información que sea del dominio público; la que resulte generalmente conocida o de fácil acceso para personas dentro de los círculos en que </w:t>
      </w:r>
      <w:r w:rsidRPr="006B733D">
        <w:rPr>
          <w:rFonts w:ascii="Palatino Linotype" w:eastAsia="Palatino Linotype" w:hAnsi="Palatino Linotype" w:cstheme="minorHAnsi"/>
          <w:i/>
          <w:szCs w:val="22"/>
        </w:rPr>
        <w:lastRenderedPageBreak/>
        <w:t>normalmente se utiliza dicha información, o la que deba ser divulgada por disposición legal o por orden judicial.</w:t>
      </w:r>
    </w:p>
    <w:p w14:paraId="7740E86B"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102136B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No se considerará que entra al dominio público o que es divulgada por disposición legal, aquella información que sea proporcionada a cualquier autoridad por una persona que ejerza el control legal sobre el secreto industrial, cuando la proporcione para el efecto de obtener licencias, permisos, autorizaciones, registros, o cualesquiera otros actos de autoridad, y</w:t>
      </w:r>
    </w:p>
    <w:p w14:paraId="653C452B"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5436822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II.- Apropiación indebida, a la adquisición, uso o divulgación de un secreto industrial de manera contraria a los buenos usos y costumbres en la industria, comercio y servicios que impliquen competencia desleal, incluyendo la adquisición, uso, o divulgación de un secreto industrial por un tercero que sabía, o tuviere motivos razonables para saber, que el secreto industrial fue adquirido de manera contraria a dichos usos y costumbres.</w:t>
      </w:r>
      <w:r w:rsidRPr="006B733D">
        <w:rPr>
          <w:rFonts w:ascii="Palatino Linotype" w:eastAsia="Palatino Linotype" w:hAnsi="Palatino Linotype" w:cstheme="minorHAnsi"/>
          <w:i/>
          <w:szCs w:val="22"/>
        </w:rPr>
        <w:cr/>
      </w:r>
    </w:p>
    <w:p w14:paraId="4A2BCB7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De acuerdo con lo expuesto, la información del secreto industrial es aquella que justamente tenga en su posesión una persona, que no tenga otra, respecto de la que además tenga la posesión legal, que sea confidencial y que signifique la obtención o el mantenimiento de una ventaja competitiva o económica frente a terceros.</w:t>
      </w:r>
    </w:p>
    <w:p w14:paraId="0D2A528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BACCFE6"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Sobre el tema es indiscutible que el proceso de certificación que tiene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constituye secreto industrial, no sólo protegido por un contrato, sino por las leyes de propiedad industrial y la propia Ley de Transparencia de la Entidad, la cual establece en su artículo 143, fracción II, que los conocidos como </w:t>
      </w:r>
      <w:r w:rsidRPr="006B733D">
        <w:rPr>
          <w:rFonts w:ascii="Palatino Linotype" w:eastAsia="Palatino Linotype" w:hAnsi="Palatino Linotype" w:cstheme="minorHAnsi"/>
          <w:i/>
          <w:sz w:val="22"/>
          <w:szCs w:val="22"/>
        </w:rPr>
        <w:t xml:space="preserve">secretos, </w:t>
      </w:r>
      <w:r w:rsidRPr="006B733D">
        <w:rPr>
          <w:rFonts w:ascii="Palatino Linotype" w:eastAsia="Palatino Linotype" w:hAnsi="Palatino Linotype" w:cstheme="minorHAnsi"/>
          <w:sz w:val="22"/>
          <w:szCs w:val="22"/>
        </w:rPr>
        <w:t>son información confidencial, estos corresponden a: el secreto bancario, el secreto fiscal, el secreto postal, el secreto fiduciario, el secreto comercial</w:t>
      </w:r>
      <w:r w:rsidRPr="006B733D">
        <w:rPr>
          <w:rFonts w:ascii="Palatino Linotype" w:eastAsia="Palatino Linotype" w:hAnsi="Palatino Linotype" w:cstheme="minorHAnsi"/>
          <w:b/>
          <w:sz w:val="22"/>
          <w:szCs w:val="22"/>
        </w:rPr>
        <w:t xml:space="preserve"> y el secreto industrial. </w:t>
      </w:r>
      <w:r w:rsidRPr="006B733D">
        <w:rPr>
          <w:rFonts w:ascii="Palatino Linotype" w:eastAsia="Palatino Linotype" w:hAnsi="Palatino Linotype" w:cstheme="minorHAnsi"/>
          <w:sz w:val="22"/>
          <w:szCs w:val="22"/>
        </w:rPr>
        <w:t xml:space="preserve"> Lo que implica que para su clasificación ni siquiera es necesario hacer una prueba de daño, basta acreditar que es secreto industrial </w:t>
      </w:r>
      <w:r w:rsidRPr="006B733D">
        <w:rPr>
          <w:rFonts w:ascii="Palatino Linotype" w:eastAsia="Palatino Linotype" w:hAnsi="Palatino Linotype" w:cstheme="minorHAnsi"/>
          <w:sz w:val="22"/>
          <w:szCs w:val="22"/>
        </w:rPr>
        <w:lastRenderedPageBreak/>
        <w:t>para que aplique la confidencialidad de manera permanente, por lo tampoco requiere establecer plazo de reserva.</w:t>
      </w:r>
    </w:p>
    <w:p w14:paraId="1FB06FA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EB7AC3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Adicional a lo anterior, también destaca que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al ser un Sujeto Obligado de las leyes de transparencia, no sólo está obligado a cumplir con las funciones que el marco normativo le establece, sino que está impedido a realizar contrataciones contrarias a la Ley, de tal suerte que cualquier restricción de información y clasificación, debe considerarse dentro de los estándares de las leyes de transparencia, en este sentido, no puede comprometerse a clasificar información que en términos de la marco normativo sea considerada pública.</w:t>
      </w:r>
    </w:p>
    <w:p w14:paraId="77557D7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5BAF16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En este sentido, se entiende que la cláusula séptima del contrato celebrado entre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y CONOCER, se centra en determinar </w:t>
      </w:r>
      <w:proofErr w:type="spellStart"/>
      <w:r w:rsidRPr="006B733D">
        <w:rPr>
          <w:rFonts w:ascii="Palatino Linotype" w:eastAsia="Palatino Linotype" w:hAnsi="Palatino Linotype" w:cstheme="minorHAnsi"/>
          <w:sz w:val="22"/>
          <w:szCs w:val="22"/>
        </w:rPr>
        <w:t>como</w:t>
      </w:r>
      <w:proofErr w:type="spellEnd"/>
      <w:r w:rsidRPr="006B733D">
        <w:rPr>
          <w:rFonts w:ascii="Palatino Linotype" w:eastAsia="Palatino Linotype" w:hAnsi="Palatino Linotype" w:cstheme="minorHAnsi"/>
          <w:sz w:val="22"/>
          <w:szCs w:val="22"/>
        </w:rPr>
        <w:t xml:space="preserve"> confidencial el proceso de certificación que le brindan una ventaja competitiva; esto quiere decir que, se busca impedir que cualquier persona vía transparencia solicite información y obtenga todo lo necesario para implementar un sistema de certificación, esto sin haber invertido en generar su propio sistema. Así también, la cláusula debe interpretarse en el sentido de que los datos personales </w:t>
      </w:r>
      <w:r w:rsidRPr="006B733D">
        <w:rPr>
          <w:rFonts w:ascii="Palatino Linotype" w:eastAsia="Palatino Linotype" w:hAnsi="Palatino Linotype" w:cstheme="minorHAnsi"/>
          <w:sz w:val="22"/>
          <w:szCs w:val="22"/>
          <w:u w:val="single"/>
        </w:rPr>
        <w:t>confidenciales</w:t>
      </w:r>
      <w:r w:rsidRPr="006B733D">
        <w:rPr>
          <w:rFonts w:ascii="Palatino Linotype" w:eastAsia="Palatino Linotype" w:hAnsi="Palatino Linotype" w:cstheme="minorHAnsi"/>
          <w:sz w:val="22"/>
          <w:szCs w:val="22"/>
        </w:rPr>
        <w:t xml:space="preserve"> de los participantes deben ser protegidos.</w:t>
      </w:r>
    </w:p>
    <w:p w14:paraId="0FCBFF0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0032D4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En este sentido, contario a lo manifestado por el Instituto, el listado de las personas inscritas de ninguna manera encuadra en la información que por disposición contractual debe ser clasificada como confidencial, pues dicho listado de ninguna manera representa una ventaja competitiva frente a otras entidades certificadoras, pues  con independencia de las personas que se presenten a participar, el modelo de éxito en la certificación se determina por su proceso que es completamente independiente de las personas que participan, ya que este listado no constituye una ventaja competitiva.</w:t>
      </w:r>
    </w:p>
    <w:p w14:paraId="34ED853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 xml:space="preserve">Por consiguiente no es dable afirmar que entregar el listado de las personas registrada para participar en el proceso de certificación contravendría la cláusula séptima del contrato, pues como se indicó el objetivo es proteger los proceso de certificación, concebidos como el </w:t>
      </w:r>
      <w:proofErr w:type="spellStart"/>
      <w:r w:rsidRPr="006B733D">
        <w:rPr>
          <w:rFonts w:ascii="Palatino Linotype" w:eastAsia="Palatino Linotype" w:hAnsi="Palatino Linotype" w:cstheme="minorHAnsi"/>
          <w:i/>
          <w:sz w:val="22"/>
          <w:szCs w:val="22"/>
        </w:rPr>
        <w:t>know</w:t>
      </w:r>
      <w:proofErr w:type="spellEnd"/>
      <w:r w:rsidRPr="006B733D">
        <w:rPr>
          <w:rFonts w:ascii="Palatino Linotype" w:eastAsia="Palatino Linotype" w:hAnsi="Palatino Linotype" w:cstheme="minorHAnsi"/>
          <w:i/>
          <w:sz w:val="22"/>
          <w:szCs w:val="22"/>
        </w:rPr>
        <w:t xml:space="preserve"> </w:t>
      </w:r>
      <w:proofErr w:type="spellStart"/>
      <w:r w:rsidRPr="006B733D">
        <w:rPr>
          <w:rFonts w:ascii="Palatino Linotype" w:eastAsia="Palatino Linotype" w:hAnsi="Palatino Linotype" w:cstheme="minorHAnsi"/>
          <w:i/>
          <w:sz w:val="22"/>
          <w:szCs w:val="22"/>
        </w:rPr>
        <w:t>how</w:t>
      </w:r>
      <w:proofErr w:type="spellEnd"/>
      <w:r w:rsidRPr="006B733D">
        <w:rPr>
          <w:rFonts w:ascii="Palatino Linotype" w:eastAsia="Palatino Linotype" w:hAnsi="Palatino Linotype" w:cstheme="minorHAnsi"/>
          <w:i/>
          <w:sz w:val="22"/>
          <w:szCs w:val="22"/>
        </w:rPr>
        <w:t xml:space="preserve">; </w:t>
      </w:r>
      <w:r w:rsidRPr="006B733D">
        <w:rPr>
          <w:rFonts w:ascii="Palatino Linotype" w:eastAsia="Palatino Linotype" w:hAnsi="Palatino Linotype" w:cstheme="minorHAnsi"/>
          <w:sz w:val="22"/>
          <w:szCs w:val="22"/>
        </w:rPr>
        <w:t>de tal suerte que el registro de aspirantes, si bien es una etapa, simplemente contiene el nombre de las personas que van a participar, pero no refleja ningún secreto comercial.</w:t>
      </w:r>
    </w:p>
    <w:p w14:paraId="171C6932"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7FC715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Aún más, como se refirió antes también procede clasificar como confidencial los datos personales confidenciales; sin embargo, como se desprende de la propia Convocatoria, la misma se limitó a </w:t>
      </w:r>
      <w:r w:rsidRPr="006B733D">
        <w:rPr>
          <w:rFonts w:ascii="Palatino Linotype" w:eastAsia="Palatino Linotype" w:hAnsi="Palatino Linotype" w:cstheme="minorHAnsi"/>
          <w:b/>
          <w:sz w:val="22"/>
          <w:szCs w:val="22"/>
        </w:rPr>
        <w:t xml:space="preserve">servidores públicos con cargo de Titulares de Unidad de Transparencia y Servidores Públicos Habilitados, </w:t>
      </w:r>
      <w:r w:rsidRPr="006B733D">
        <w:rPr>
          <w:rFonts w:ascii="Palatino Linotype" w:eastAsia="Palatino Linotype" w:hAnsi="Palatino Linotype" w:cstheme="minorHAnsi"/>
          <w:sz w:val="22"/>
          <w:szCs w:val="22"/>
        </w:rPr>
        <w:t>esto de los Sujetos Obligados de nuestra Entidad. Bajo este esquema el nombre de los titulares de la unidades de transparencia, son datos personales de naturaleza además de pública, que corresponde a las obligaciones de transparencia y si bien, ubicarse dentro del proceso de certificación es un dato adicional, debe tenerse presente que, para ser Titular de Unidad de Transparencia es requisito indispensable contar con la certificación que nos ocupa, de acuerdo con el artículo 57 de la Ley de Transparencia del Estado:</w:t>
      </w:r>
    </w:p>
    <w:p w14:paraId="6A93F53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932E8B7"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Artículo 57. El responsable de la Unidad de Transparencia </w:t>
      </w:r>
      <w:r w:rsidRPr="006B733D">
        <w:rPr>
          <w:rFonts w:ascii="Palatino Linotype" w:eastAsia="Palatino Linotype" w:hAnsi="Palatino Linotype" w:cstheme="minorHAnsi"/>
          <w:b/>
          <w:i/>
          <w:szCs w:val="22"/>
          <w:u w:val="single"/>
        </w:rPr>
        <w:t>deberá tener el perfil adecuado</w:t>
      </w:r>
      <w:r w:rsidRPr="006B733D">
        <w:rPr>
          <w:rFonts w:ascii="Palatino Linotype" w:eastAsia="Palatino Linotype" w:hAnsi="Palatino Linotype" w:cstheme="minorHAnsi"/>
          <w:i/>
          <w:szCs w:val="22"/>
        </w:rPr>
        <w:t xml:space="preserve"> para el cumplimiento de las obligaciones que se derivan de la presente Ley. Para ser nombrado titular de la Unidad de Transparencia, deberá cumplir, por lo menos, con los siguientes requisitos:</w:t>
      </w:r>
    </w:p>
    <w:p w14:paraId="411694FD" w14:textId="77777777" w:rsidR="00261FDA" w:rsidRPr="006B733D" w:rsidRDefault="00261FDA" w:rsidP="00261FDA">
      <w:pPr>
        <w:spacing w:line="360" w:lineRule="auto"/>
        <w:ind w:left="567" w:right="567"/>
        <w:jc w:val="both"/>
        <w:rPr>
          <w:rFonts w:ascii="Palatino Linotype" w:eastAsia="Palatino Linotype" w:hAnsi="Palatino Linotype" w:cstheme="minorHAnsi"/>
          <w:b/>
          <w:i/>
          <w:szCs w:val="22"/>
          <w:u w:val="single"/>
        </w:rPr>
      </w:pPr>
      <w:r w:rsidRPr="006B733D">
        <w:rPr>
          <w:rFonts w:ascii="Palatino Linotype" w:eastAsia="Palatino Linotype" w:hAnsi="Palatino Linotype" w:cstheme="minorHAnsi"/>
          <w:b/>
          <w:i/>
          <w:szCs w:val="22"/>
        </w:rPr>
        <w:t>I. Contar con</w:t>
      </w:r>
      <w:r w:rsidRPr="006B733D">
        <w:rPr>
          <w:rFonts w:ascii="Palatino Linotype" w:eastAsia="Palatino Linotype" w:hAnsi="Palatino Linotype" w:cstheme="minorHAnsi"/>
          <w:i/>
          <w:szCs w:val="22"/>
        </w:rPr>
        <w:t xml:space="preserve"> conocimiento o, tratándose de las entidades gubernamentales estatales y los municipios </w:t>
      </w:r>
      <w:r w:rsidRPr="006B733D">
        <w:rPr>
          <w:rFonts w:ascii="Palatino Linotype" w:eastAsia="Palatino Linotype" w:hAnsi="Palatino Linotype" w:cstheme="minorHAnsi"/>
          <w:b/>
          <w:i/>
          <w:szCs w:val="22"/>
          <w:u w:val="single"/>
        </w:rPr>
        <w:t>certificación en materia de acceso a la información, transparencia y protección de datos personales, que para tal efecto emita el Instituto;</w:t>
      </w:r>
    </w:p>
    <w:p w14:paraId="1A5E85F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II. Experiencia en materia de acceso a la información y protección de datos personales; y</w:t>
      </w:r>
    </w:p>
    <w:p w14:paraId="3745A587"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III. Habilidades de organización y comunicación, así como visión y liderazgo.</w:t>
      </w:r>
    </w:p>
    <w:p w14:paraId="05EBF54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De tal suerte que informar que se está participando en este proceso de certificación, más que ser un dato personal confidencial, constituye un dato que permite la rendición de cuentas; esto porque para acceder al cargo es necesario contar con la certificación y si el servidor púbico se encuentra en dicho proceso permite a la ciudadanía conocer que se encuentra en proceso de cumplir el requisito.</w:t>
      </w:r>
    </w:p>
    <w:p w14:paraId="482C5D7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690B319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En efecto, si un Titular de Unidad de Transparencia ya está certificado, cumple con el requisito, pero cuando no lo está, debe a la brevedad registrarse en las promociones que lleva a cabo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para certificar y poder cumplir con el requisito de la certificación, esto porque la ley indica que el cargo debe ser ocupado por una persona que deberá tener el perfil adecuado, ello implica que haberse registrado varias veces en los procesos y no obtener la certificación, puede ser un indicio de que la persona que ocupa el cargo, por lo menos al momento, no cuenta con la experiencia y conocimientos necesarios para ser Titular de Unidad, sin que ello implique que con una mayor preparación en un futuro pueda estar listo, por lo que evidentemente conocer si una persona que ya ocupa el cargo de Titular de la Unidad de Transparencia está únicamente registrado implica un ejercicio de rendición de cuentas de ida y de vuelta.</w:t>
      </w:r>
    </w:p>
    <w:p w14:paraId="6D7A5BFF"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A28464B"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Así es, de ida, porque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perfila sus convocatorias únicamente para titulares de unidad de transparencia y servidores públicos habilitados, por lo que, dar a conocer el listado de aspirantes registrados permite transparentar que los lugares disponibles fueron ocupados por quienes acreditaron cumplir con los requisitos de dicha convocatoria y de vuelta porque, como se explicó los titulares de unidad también rinden cuentas sobre el cumplimiento legal de estar certificados.</w:t>
      </w:r>
    </w:p>
    <w:p w14:paraId="461D5A1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6F1578E5"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En este orden de ideas se puede corroborar que la información solicitada no actualiza el supuesto de secreto industrial y que si bien, se trata de datos personales, al ser datos de servidores públicos, directamente vinculada con sus funciones y con el cumplimiento incluso de disposiciones legales no actualiza el supuesto de dato personal confidencial del artículo 143, fracción I, de la Ley de Transparencia del Estado.</w:t>
      </w:r>
    </w:p>
    <w:p w14:paraId="25CBDBE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18C030B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También se puede aplicar lo anterior a los servidores públicos habilitados, porque si bien, para ellos no es requisito legal estar certificados, son las personas responsables en cada unidad administrativa, de atender las solicitudes de acceso a la información que turna el Titular de la Unidad en su Sujeto Obligado, con lo que se atiende una de las etapas fundamentales para garantizar el derecho de acceso a la información.</w:t>
      </w:r>
    </w:p>
    <w:p w14:paraId="2019C9B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185CB7F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De tal suerte que, no obstante para ellos no ser requisito legal estar certificado, si es necesario que conozcan y dominen la materia de transparencia para atender las solicitudes de acceso a la información, justamente por ello,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los identificó como público objetivo para la certificación y fueron considerados para la Tercera Promoción de 2022, por la importancia del trabajo desempeñado, de tal suerte que conocer quiénes están inscritos corresponde a un tema de transparencia e interés público, ya que de igual forma una personas que participa en varias promociones y no obtiene la certificación  puede permitir arribar a la conclusión de que, por el momento requiere una mayor capacitación y conocimientos para el desempeño de su trabajo.</w:t>
      </w:r>
    </w:p>
    <w:p w14:paraId="380A5EF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0E8FFB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Por lo que hace a la reserva, el Sujeto Obligado determinó que se actualiza la causal de reserva del artículo 140, fracción VII, de la Ley de Transparencia, toda vez que se trata de un proceso deliberativo:</w:t>
      </w:r>
    </w:p>
    <w:p w14:paraId="05A70A3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43FA7AF"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Artículo 140. El acceso a la información pública será restringido excepcionalmente, cuando por razones de interés público, ésta sea clasificada como reservada, conforme a los criterios siguientes:</w:t>
      </w:r>
    </w:p>
    <w:p w14:paraId="4910E9C1"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w:t>
      </w:r>
    </w:p>
    <w:p w14:paraId="28E4716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VII. La que contengan las opiniones, recomendaciones o puntos de vista que formen parte del proceso deliberativo de los servidores públicos, hasta en tanto sea adoptada la decisión definitiva, la cual deberá estar documentada;</w:t>
      </w:r>
    </w:p>
    <w:p w14:paraId="5EDF193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w:t>
      </w:r>
    </w:p>
    <w:p w14:paraId="2FD63D0D"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48F0E3CE"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Artículo 113. Como información reservada podrá clasificarse aquella cuya publicación:</w:t>
      </w:r>
    </w:p>
    <w:p w14:paraId="5C6025A2"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w:t>
      </w:r>
    </w:p>
    <w:p w14:paraId="6F90A2D9"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VIII. La que contenga las opiniones, recomendaciones o puntos de vista que formen parte del proceso deliberativo de los servidores públicos, hasta en tanto no sea adoptada la decisión definitiva, la cual deberá estar documentada;</w:t>
      </w:r>
    </w:p>
    <w:p w14:paraId="1AC4475C"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w:t>
      </w:r>
    </w:p>
    <w:p w14:paraId="76F256E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9FBFA5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También citó el Vigésimo Séptimo y Trigésimo de los Lineamientos Generales en Materia de Clasificación y Desclasificación de la Información, así como para la elaboración de las Versiones Publicas, que disponen lo siguiente:</w:t>
      </w:r>
    </w:p>
    <w:p w14:paraId="62C088B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F4ABB6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Vigésimo séptimo.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 </w:t>
      </w:r>
    </w:p>
    <w:p w14:paraId="4103A10D"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 La existencia de un proceso deliberativo en curso, precisando la fecha de inicio;</w:t>
      </w:r>
    </w:p>
    <w:p w14:paraId="434652A1"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lastRenderedPageBreak/>
        <w:t xml:space="preserve">II. Que la información consista en opiniones, recomendaciones o puntos de vista de los servidores públicos que participan en el proceso deliberativo; </w:t>
      </w:r>
    </w:p>
    <w:p w14:paraId="7BDCBB55"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III. Que la información se encuentre relacionada, de manera directa, con el proceso deliberativo, y </w:t>
      </w:r>
    </w:p>
    <w:p w14:paraId="5E0BABB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IV. Que con su difusión se pueda llegar a interrumpir, menoscabar o inhibir el diseño, negociación, determinación o implementación de los asuntos sometidos a deliberación.</w:t>
      </w:r>
    </w:p>
    <w:p w14:paraId="00C7141A"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En esta lógica, el numeral Trigésimo Tercero de los, establecen lo siguiente:</w:t>
      </w:r>
    </w:p>
    <w:p w14:paraId="705AD8A6"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683642C7"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Trigésimo tercero. Para la aplicación de la prueba de daño a la que hace referencia el artículo 104 de la Ley General, los sujetos obligados atenderán lo siguiente:</w:t>
      </w:r>
    </w:p>
    <w:p w14:paraId="04ACB605"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70CF9C9B"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67B7C863"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108F755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III. Se debe de acreditar el vínculo entre la difusión de la información y la afectación del interés jurídico tutelado de que se trate;</w:t>
      </w:r>
    </w:p>
    <w:p w14:paraId="6A94D88D"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IV. Precisar las razones objetivas por las que la apertura de la información generaría una afectación, a través de los elementos de un riesgo real, demostrable e identificable; </w:t>
      </w:r>
    </w:p>
    <w:p w14:paraId="6B448C89"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V. En la motivación de la clasificación, el sujeto obligado deberá acreditar las circunstancias de modo, tiempo y lugar del daño, y </w:t>
      </w:r>
    </w:p>
    <w:p w14:paraId="3FD0528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35FA576A" w14:textId="77777777" w:rsidR="00261FDA" w:rsidRPr="006B733D" w:rsidRDefault="00261FDA" w:rsidP="00261FDA">
      <w:pPr>
        <w:spacing w:line="360" w:lineRule="auto"/>
        <w:ind w:left="567" w:right="567"/>
        <w:jc w:val="both"/>
        <w:rPr>
          <w:rFonts w:ascii="Palatino Linotype" w:eastAsia="Palatino Linotype" w:hAnsi="Palatino Linotype" w:cstheme="minorHAnsi"/>
          <w:sz w:val="22"/>
          <w:szCs w:val="22"/>
        </w:rPr>
      </w:pPr>
    </w:p>
    <w:p w14:paraId="5FF83F9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1AC8C0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Sobre la prueba de daño para clasificar el listado de servidores públicos registrados para participar en el proceso de certificación, indicó lo siguiente:</w:t>
      </w:r>
    </w:p>
    <w:p w14:paraId="6383B769"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F20281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Se dice lo anterior en virtud de que el proceso de certificación de referencia se integra de cuatro etapas, que consisten las siguientes:</w:t>
      </w:r>
    </w:p>
    <w:p w14:paraId="1FADBD63" w14:textId="77777777" w:rsidR="00261FDA" w:rsidRPr="006B733D" w:rsidRDefault="00261FDA" w:rsidP="00261FDA">
      <w:pPr>
        <w:spacing w:line="360" w:lineRule="auto"/>
        <w:ind w:left="567" w:right="567"/>
        <w:jc w:val="center"/>
        <w:rPr>
          <w:rFonts w:ascii="Palatino Linotype" w:eastAsia="Palatino Linotype" w:hAnsi="Palatino Linotype" w:cstheme="minorHAnsi"/>
          <w:i/>
          <w:szCs w:val="22"/>
        </w:rPr>
      </w:pPr>
      <w:r w:rsidRPr="006B733D">
        <w:rPr>
          <w:i/>
          <w:noProof/>
          <w:sz w:val="22"/>
          <w:lang w:eastAsia="es-MX"/>
        </w:rPr>
        <w:drawing>
          <wp:inline distT="0" distB="0" distL="0" distR="0" wp14:anchorId="5A67F11A" wp14:editId="609965D5">
            <wp:extent cx="3626771" cy="15319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312" t="57560" r="38636" b="25129"/>
                    <a:stretch/>
                  </pic:blipFill>
                  <pic:spPr bwMode="auto">
                    <a:xfrm>
                      <a:off x="0" y="0"/>
                      <a:ext cx="3695263" cy="1560848"/>
                    </a:xfrm>
                    <a:prstGeom prst="rect">
                      <a:avLst/>
                    </a:prstGeom>
                    <a:ln>
                      <a:noFill/>
                    </a:ln>
                    <a:extLst>
                      <a:ext uri="{53640926-AAD7-44D8-BBD7-CCE9431645EC}">
                        <a14:shadowObscured xmlns:a14="http://schemas.microsoft.com/office/drawing/2010/main"/>
                      </a:ext>
                    </a:extLst>
                  </pic:spPr>
                </pic:pic>
              </a:graphicData>
            </a:graphic>
          </wp:inline>
        </w:drawing>
      </w:r>
    </w:p>
    <w:p w14:paraId="6747550E"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Bajo ese contexto, a la fecha de la presente respuesta, las y los evaluadores de esta Entidad de Certificación y Evaluación se encuentran realizando la capacitación (Curso de alineación y taller propedéutico), conforme a la programación acordada con cada uno de los candidatos en sus planes de evaluación.</w:t>
      </w:r>
    </w:p>
    <w:p w14:paraId="3696EEFA"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575AAE15"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De ahí que resulte imposible entregar al solicitante la información requerida, pues la divulgación de la incoordinación requerida por el particular podría obstruir, afectar o vulnerar las actividades y etapas que conforman del Proceso de Certificación del Estándar de Competencia 1057 “Garantizar el Derecho de Acceso a la Información Pública”, referente a la Tercera Promoción 2022, toda vez que dicho procedimiento aún se encuentra en la Segunda etapa.</w:t>
      </w:r>
    </w:p>
    <w:p w14:paraId="4CD53D7C"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2BA4A06E"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Por lo que de ser entregada la información requerida será imposible para este Sujeto Obligado garantizar, no solo al solicitante, sino a cualquier persona, que la información referente a aquellos servidores públicos que resultaron competentes el Estándar de competencias laborales 1057, es información actualizada, completa, confiable, verificable, veraz, integral, legítima y oportuna.</w:t>
      </w:r>
    </w:p>
    <w:p w14:paraId="65AB626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7AEA8CA3"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lastRenderedPageBreak/>
        <w:t>Aunado a lo anterior, de entregar la información requerida también se estarían violentando los principios éticos  de las y los evaluadores previstos en el Código de Ética del Evaluador de Competencias del Consejo Nacional de  Normalizaci6n y certificaci6n de Competencias Laborales (CONOCER).</w:t>
      </w:r>
    </w:p>
    <w:p w14:paraId="1322422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4508C3D"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Sobre este punto, no se advierte que la entrega del listado solicitado cause el daño que se indica, ya que, como se ha descrito en el presente documento, la información que se busca proteger con la </w:t>
      </w:r>
      <w:r w:rsidRPr="006B733D">
        <w:rPr>
          <w:rFonts w:ascii="Palatino Linotype" w:eastAsia="Palatino Linotype" w:hAnsi="Palatino Linotype" w:cstheme="minorHAnsi"/>
          <w:b/>
          <w:sz w:val="22"/>
          <w:szCs w:val="22"/>
        </w:rPr>
        <w:t xml:space="preserve">confidencialidad¸ </w:t>
      </w:r>
      <w:r w:rsidRPr="006B733D">
        <w:rPr>
          <w:rFonts w:ascii="Palatino Linotype" w:eastAsia="Palatino Linotype" w:hAnsi="Palatino Linotype" w:cstheme="minorHAnsi"/>
          <w:sz w:val="22"/>
          <w:szCs w:val="22"/>
        </w:rPr>
        <w:t xml:space="preserve">no así la reserva, es toda aquella que genera una ventaja competitiva del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lo que quiere decir que procede clasificar todo material, herramienta, información, documentos o conocimiento que sólo él tiene en su poder y le permite certificar a las personas en el estándar de transparencia y, el nombre de los servidores públicos de ninguna manera corresponde a este tipo de información. </w:t>
      </w:r>
    </w:p>
    <w:p w14:paraId="4120D13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2307B2C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Tampoco se advierte que conocer los nombres de los registrados pueda afectar la etapa de capacitación, ni de ninguna otra, porque justamente las personas que se hayan registrado son indiferentes e irrelevantes en cuanto a los contenidos del curso y el desarrollo del proceso, bajo el entendido de que la capacitación es la misma con independencia de la persona que se haya registrado.</w:t>
      </w:r>
    </w:p>
    <w:p w14:paraId="796351A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240D5E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Sobre el argumento de:</w:t>
      </w:r>
    </w:p>
    <w:p w14:paraId="3C59DA9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E2412E5"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De lo anterior, se concluye que la divulgación de la información requerida conllevaría, previo a su solución definitiva, un riesgo para el ejercicio de los derechos de cada uno de los candidatos del Estándar de Competencia 1057 "Garantizar el Derecho de Acceso a la Información Pública, ya que sería imposible para el particular saber si esa información es actualizada, completa, confiable, verificable, veraz, integral, legítima y oportuna.</w:t>
      </w:r>
    </w:p>
    <w:p w14:paraId="28F5C9F0"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 xml:space="preserve">De acuerdo con lo señalado, se debe indicar que no corresponde al Particular determinar que la información es actualizada, completa, confiable, verificable, veraz, integral, legítima y oportuna; por el contrario 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en su calidad de Sujeto Obligado está constreñido a entregar información</w:t>
      </w:r>
      <w:r w:rsidRPr="006B733D">
        <w:t xml:space="preserve"> </w:t>
      </w:r>
      <w:r w:rsidRPr="006B733D">
        <w:rPr>
          <w:rFonts w:ascii="Palatino Linotype" w:eastAsia="Palatino Linotype" w:hAnsi="Palatino Linotype" w:cstheme="minorHAnsi"/>
          <w:sz w:val="22"/>
          <w:szCs w:val="22"/>
        </w:rPr>
        <w:t>actualizada, completa, confiable, verificable, veraz, integral, legítima y oportuna; lo que quiere decir únicamente debe entregar el listado de quienes fueron registrados y clasificar los datos susceptibles de confidencialidad, por lo que, no le asisten la razón al Sujeto Obligado cuando refiere que el particular no podrá tener certeza de la información entregada.</w:t>
      </w:r>
    </w:p>
    <w:p w14:paraId="7850C17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D1BFFA6"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Por lo que hace a la afirmación de: </w:t>
      </w:r>
    </w:p>
    <w:p w14:paraId="462B6D54"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0B0E0A2F"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El interés jurídico tutelado por las causales de reserva mencionadas se pondría directamente en riesgo con la entrega de la informaci6n de las y los candidatos sujetos al proceso de certificaci6n bajo el estándar EC 1057  "Garantizar el Derecho de Acceso a la Informaci6n Publica", de la tercera promoción del año 2022, ya que al  no haber concluido su respectivo proceso deliberativo, se daría a conocer previamente actividades,  procedimientos y/o juicios de competencias, que aún no han sido declarados como verdaderos por parte de los  integrantes del Grupo de dictamen, quienes evaluaran y determinaran si el o los juicio(s) de competencia(s)  emitido(s) por las y los Evaluadores resultan procedentes, de ahí que se estaría afectando de modo determinante  el desarrollo de dicho proceso, el interés y los derechos de las y los candidatos.</w:t>
      </w:r>
    </w:p>
    <w:p w14:paraId="34A9584F"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FADA11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Tampoco le asiste la razón al Sujeto Obligado, ya que en la solicitud no requirió conocer antes de que concluya el procedimiento el nombre de las personas que fueron certificados, porque esa información no se tiene en la etapa de registro, simplemente, desea que se hagan identificables los nombres de quiénes fueron registrados una vez que concluyó la etapa de registro, además de que no se solicitaron portafolios ni ningún documento que refleje su </w:t>
      </w:r>
      <w:r w:rsidRPr="006B733D">
        <w:rPr>
          <w:rFonts w:ascii="Palatino Linotype" w:eastAsia="Palatino Linotype" w:hAnsi="Palatino Linotype" w:cstheme="minorHAnsi"/>
          <w:sz w:val="22"/>
          <w:szCs w:val="22"/>
        </w:rPr>
        <w:lastRenderedPageBreak/>
        <w:t>nivel de dominio de los temas de transparencia y con la entrega en su caso del nombre y cargo de los aspirantes en el proceso, no puede afirmarse que ponga en riesgo su integridad o genere discriminación, pues incluso el nombre y cargo de todos los servidores públicos corresponde a información de naturaleza pública y por lo menos la de la Titulares de Unidad como ya se indicó es pública de oficio.</w:t>
      </w:r>
    </w:p>
    <w:p w14:paraId="230AF49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656D00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En cuanto al riesgo identificable, en donde argumenta:</w:t>
      </w:r>
    </w:p>
    <w:p w14:paraId="7B78523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51F723E8"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Finalmente, el riesgo es identificable, ya que de entregar lo solicitado esta Entidad de Certificaci6n y Evaluación estaría violando los principios de eficacia, certeza, máxima publicidad y transparencia, toda vez que entregaría al particular información incompleta, pues se estaría impidiendo el desahogo total de las etapas que conforman el proceso de certificaci6n de la Tercera Promoción del año 2022.</w:t>
      </w:r>
    </w:p>
    <w:p w14:paraId="112954F9"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p>
    <w:p w14:paraId="79AD9830" w14:textId="77777777" w:rsidR="00261FDA" w:rsidRPr="006B733D" w:rsidRDefault="00261FDA" w:rsidP="00261FDA">
      <w:pPr>
        <w:spacing w:line="360" w:lineRule="auto"/>
        <w:ind w:left="567" w:right="567"/>
        <w:jc w:val="both"/>
        <w:rPr>
          <w:rFonts w:ascii="Palatino Linotype" w:eastAsia="Palatino Linotype" w:hAnsi="Palatino Linotype" w:cstheme="minorHAnsi"/>
          <w:i/>
          <w:szCs w:val="22"/>
        </w:rPr>
      </w:pPr>
      <w:r w:rsidRPr="006B733D">
        <w:rPr>
          <w:rFonts w:ascii="Palatino Linotype" w:eastAsia="Palatino Linotype" w:hAnsi="Palatino Linotype" w:cstheme="minorHAnsi"/>
          <w:i/>
          <w:szCs w:val="22"/>
        </w:rPr>
        <w:t xml:space="preserve">Lo anterior es así, ya que los integrantes del Grupo de Dictamen de esta Entidad de Certificaci6n y Evaluaci6n, estarían imposibilitados para llevar a cabo sus funciones relativas a evaluar y determinar si el juicio emitido por la o el Evaluador es procedente, es decir, dictaminar la procedencia o no del Proceso de Evaluaci6n revisado según corresponda, pues como se mencionó con anterioridad, no ha concluido el proceso deliberativo respectivo </w:t>
      </w:r>
    </w:p>
    <w:p w14:paraId="13B4716F"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0C707CE1"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Este Organismo Garante, advierte que no asiste la razón a su Comité de Transparencia, en virtud de que rendir cuentas y transparentar que únicamente registró a personas que reunieron los requisitos para acceder al proceso de certificación, contrario a lo afirmado en el documento, constituye un acción de transparencia y rendición de cuentas hacia la ciudadanía y por el contrario, dicho acto de transparentarse no puede poner en riesgo el proceso pues incluso se tiene el precedente 03876/INFOEM/IP/RR/2018, en donde ya se </w:t>
      </w:r>
      <w:r w:rsidRPr="006B733D">
        <w:rPr>
          <w:rFonts w:ascii="Palatino Linotype" w:eastAsia="Palatino Linotype" w:hAnsi="Palatino Linotype" w:cstheme="minorHAnsi"/>
          <w:sz w:val="22"/>
          <w:szCs w:val="22"/>
        </w:rPr>
        <w:lastRenderedPageBreak/>
        <w:t>ordenó la entrega de la misma información, pero de otro proceso de certificación, sin que hubieran acontecido los riesgos que se argumentan.</w:t>
      </w:r>
    </w:p>
    <w:p w14:paraId="52737723"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2AE6AC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 xml:space="preserve">Todas estas manifestaciones además fueron reiteradas por el Comité de Transparencia del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en la resolución RES/08/INFOEM/ORD/COMT/23ª/2022, de fecha 12 de diciembre de 2022, mediante la cual se reiteró la reserva de la información para dar atención a la solicitud de acceso a la información pública 01385/INFOEM/IP/2022, que nos ocupa.</w:t>
      </w:r>
    </w:p>
    <w:p w14:paraId="6843582A"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7A9A3778"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No obstante lo anterior y una vez analizados los argumentos y la prueba de daño del Sujeto Obligado, este Organismo Garante está en aptitud de afirmar que no se acreditó que el listado de servidores públicos registrados en la Tercera Promoción del proceso de certificación del Estándar de Competencias 1057 denominado “Garantizar el Derecho de Acceso a la Información Pública”, tenga el carácter reservado, toda vez que no se acreditó la reserva ni la prueba de daño respectiva.</w:t>
      </w:r>
    </w:p>
    <w:p w14:paraId="094EEC3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3C9742B"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Más aún, la Ley de Transparencia del Estado, ha dispuesto en su artículo 4° que, toda la información que obre en los archivos de los sujetos obligados es pública y sólo puede ser restringida de manera excepcional, por lo que, en atención al principio de máxima publicidad y los requisitos previstos por la propia ley, el listado de personas registradas no actualiza el supuesto de reserva por proceso deliberativo cuando el proceso de certificación está en trámite, porque no se causa un daño al interés público y tampoco puede ser clasificado como confidencial porque no forma parte del secreto industrial del proceso de certificación.</w:t>
      </w:r>
    </w:p>
    <w:p w14:paraId="527A5C34"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3B3014C7"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lastRenderedPageBreak/>
        <w:t xml:space="preserve">Así es dable concluir que dar a conocer el listado solicitado se erige como un actuar de transparencia y rendición de cuentas que permite al </w:t>
      </w:r>
      <w:proofErr w:type="spellStart"/>
      <w:r w:rsidRPr="006B733D">
        <w:rPr>
          <w:rFonts w:ascii="Palatino Linotype" w:eastAsia="Palatino Linotype" w:hAnsi="Palatino Linotype" w:cstheme="minorHAnsi"/>
          <w:sz w:val="22"/>
          <w:szCs w:val="22"/>
        </w:rPr>
        <w:t>Infoem</w:t>
      </w:r>
      <w:proofErr w:type="spellEnd"/>
      <w:r w:rsidRPr="006B733D">
        <w:rPr>
          <w:rFonts w:ascii="Palatino Linotype" w:eastAsia="Palatino Linotype" w:hAnsi="Palatino Linotype" w:cstheme="minorHAnsi"/>
          <w:sz w:val="22"/>
          <w:szCs w:val="22"/>
        </w:rPr>
        <w:t xml:space="preserve"> que la ciudadanía pueda verificar que cumple con la función de certificar en el estándar de competencia de acceso a la información y que registra únicamente a aquellos que cumplen con los requisitos de la convocatoria.</w:t>
      </w:r>
    </w:p>
    <w:p w14:paraId="3E99E09F" w14:textId="77777777" w:rsidR="00261FDA" w:rsidRPr="006B733D" w:rsidRDefault="00261FDA" w:rsidP="00261FDA">
      <w:pPr>
        <w:spacing w:line="360" w:lineRule="auto"/>
        <w:rPr>
          <w:rFonts w:ascii="Palatino Linotype" w:eastAsia="Palatino Linotype" w:hAnsi="Palatino Linotype" w:cstheme="minorHAnsi"/>
          <w:sz w:val="22"/>
          <w:szCs w:val="22"/>
        </w:rPr>
      </w:pPr>
    </w:p>
    <w:p w14:paraId="304B14CC"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sz w:val="22"/>
          <w:szCs w:val="22"/>
        </w:rPr>
        <w:t>Con base en lo expuesto procede revocar la respuesta del Sujeto Obligado con base al artículo 140, fracción VII, de la Ley de Transparencia y Acceso a la Información Pública del Estado de México y Municipios y ordenar la entrega de la información solicitada.</w:t>
      </w:r>
    </w:p>
    <w:p w14:paraId="4B699234" w14:textId="77777777" w:rsidR="00261FDA" w:rsidRPr="006B733D" w:rsidRDefault="00261FDA" w:rsidP="00261FDA">
      <w:pPr>
        <w:spacing w:line="360" w:lineRule="auto"/>
        <w:contextualSpacing/>
        <w:jc w:val="both"/>
        <w:rPr>
          <w:rFonts w:ascii="Palatino Linotype" w:hAnsi="Palatino Linotype" w:cs="Tahoma"/>
          <w:b/>
          <w:bCs/>
          <w:sz w:val="22"/>
          <w:szCs w:val="22"/>
        </w:rPr>
      </w:pPr>
    </w:p>
    <w:p w14:paraId="2C1AA24B" w14:textId="77777777" w:rsidR="00261FDA" w:rsidRPr="006B733D" w:rsidRDefault="00261FDA" w:rsidP="00261FDA">
      <w:pPr>
        <w:spacing w:line="360" w:lineRule="auto"/>
        <w:contextualSpacing/>
        <w:jc w:val="both"/>
        <w:rPr>
          <w:rFonts w:ascii="Palatino Linotype" w:hAnsi="Palatino Linotype" w:cs="Tahoma"/>
          <w:b/>
          <w:bCs/>
          <w:sz w:val="22"/>
          <w:szCs w:val="22"/>
        </w:rPr>
      </w:pPr>
      <w:r w:rsidRPr="006B733D">
        <w:rPr>
          <w:rFonts w:ascii="Palatino Linotype" w:hAnsi="Palatino Linotype" w:cs="Tahoma"/>
          <w:b/>
          <w:bCs/>
          <w:sz w:val="22"/>
          <w:szCs w:val="22"/>
        </w:rPr>
        <w:t>SEXTO. Versión Pública</w:t>
      </w:r>
    </w:p>
    <w:p w14:paraId="14D0E314" w14:textId="77777777" w:rsidR="00261FDA" w:rsidRPr="006B733D" w:rsidRDefault="00261FDA" w:rsidP="00261FDA">
      <w:pPr>
        <w:spacing w:line="360" w:lineRule="auto"/>
        <w:contextualSpacing/>
        <w:jc w:val="both"/>
        <w:rPr>
          <w:rFonts w:ascii="Palatino Linotype" w:hAnsi="Palatino Linotype" w:cs="Tahoma"/>
          <w:b/>
          <w:bCs/>
          <w:sz w:val="22"/>
          <w:szCs w:val="22"/>
        </w:rPr>
      </w:pPr>
    </w:p>
    <w:p w14:paraId="2CA422D9" w14:textId="77777777" w:rsidR="00261FDA" w:rsidRPr="006B733D" w:rsidRDefault="00261FDA" w:rsidP="00261FDA">
      <w:pPr>
        <w:spacing w:line="360" w:lineRule="auto"/>
        <w:ind w:right="-93"/>
        <w:jc w:val="both"/>
        <w:rPr>
          <w:rFonts w:ascii="Palatino Linotype" w:eastAsia="Calibri" w:hAnsi="Palatino Linotype" w:cs="Tahoma"/>
          <w:bCs/>
          <w:iCs/>
          <w:sz w:val="22"/>
          <w:szCs w:val="22"/>
          <w:lang w:eastAsia="es-ES_tradnl"/>
        </w:rPr>
      </w:pPr>
      <w:r w:rsidRPr="006B733D">
        <w:rPr>
          <w:rFonts w:ascii="Palatino Linotype" w:eastAsia="Calibri" w:hAnsi="Palatino Linotype" w:cs="Tahoma"/>
          <w:bCs/>
          <w:iCs/>
          <w:sz w:val="22"/>
          <w:szCs w:val="22"/>
          <w:lang w:eastAsia="es-ES_tradnl"/>
        </w:rPr>
        <w:t xml:space="preserve">No pasa desapercibido, que es </w:t>
      </w:r>
      <w:r w:rsidRPr="006B733D">
        <w:rPr>
          <w:rFonts w:ascii="Palatino Linotype" w:eastAsia="Calibri" w:hAnsi="Palatino Linotype" w:cs="Tahoma"/>
          <w:bCs/>
          <w:sz w:val="22"/>
          <w:szCs w:val="22"/>
        </w:rPr>
        <w:t>posible</w:t>
      </w:r>
      <w:r w:rsidRPr="006B733D">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2FD9BB98" w14:textId="77777777" w:rsidR="00261FDA" w:rsidRPr="006B733D" w:rsidRDefault="00261FDA" w:rsidP="00261FDA">
      <w:pPr>
        <w:spacing w:line="360" w:lineRule="auto"/>
        <w:ind w:right="-93"/>
        <w:jc w:val="both"/>
        <w:rPr>
          <w:rFonts w:ascii="Palatino Linotype" w:eastAsia="Calibri" w:hAnsi="Palatino Linotype" w:cs="Tahoma"/>
          <w:bCs/>
          <w:iCs/>
          <w:sz w:val="22"/>
          <w:szCs w:val="22"/>
          <w:lang w:eastAsia="es-ES_tradnl"/>
        </w:rPr>
      </w:pPr>
    </w:p>
    <w:p w14:paraId="4EFE8B1D"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lastRenderedPageBreak/>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162BA9A9" w14:textId="77777777" w:rsidR="00261FDA" w:rsidRPr="006B733D" w:rsidRDefault="00261FDA" w:rsidP="00261FDA">
      <w:pPr>
        <w:spacing w:line="360" w:lineRule="auto"/>
        <w:jc w:val="both"/>
        <w:rPr>
          <w:rFonts w:ascii="Palatino Linotype" w:hAnsi="Palatino Linotype"/>
          <w:sz w:val="22"/>
        </w:rPr>
      </w:pPr>
    </w:p>
    <w:p w14:paraId="24186EDF" w14:textId="77777777" w:rsidR="00261FDA" w:rsidRPr="006B733D" w:rsidRDefault="00261FDA" w:rsidP="00261FDA">
      <w:pPr>
        <w:spacing w:line="360" w:lineRule="auto"/>
        <w:jc w:val="both"/>
        <w:rPr>
          <w:rFonts w:ascii="Palatino Linotype" w:hAnsi="Palatino Linotype"/>
          <w:bCs/>
          <w:iCs/>
        </w:rPr>
      </w:pPr>
      <w:r w:rsidRPr="006B733D">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6B733D">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8621682" w14:textId="77777777" w:rsidR="00261FDA" w:rsidRPr="006B733D" w:rsidRDefault="00261FDA" w:rsidP="00261FDA">
      <w:pPr>
        <w:spacing w:line="360" w:lineRule="auto"/>
        <w:jc w:val="both"/>
        <w:rPr>
          <w:rFonts w:ascii="Palatino Linotype" w:hAnsi="Palatino Linotype"/>
          <w:bCs/>
          <w:iCs/>
        </w:rPr>
      </w:pPr>
    </w:p>
    <w:p w14:paraId="46066D97"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A71710" w14:textId="77777777" w:rsidR="00261FDA" w:rsidRPr="006B733D" w:rsidRDefault="00261FDA" w:rsidP="00261FDA">
      <w:pPr>
        <w:spacing w:line="360" w:lineRule="auto"/>
        <w:jc w:val="both"/>
        <w:rPr>
          <w:rFonts w:ascii="Palatino Linotype" w:hAnsi="Palatino Linotype"/>
          <w:sz w:val="22"/>
        </w:rPr>
      </w:pPr>
    </w:p>
    <w:p w14:paraId="482CBF84"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7BC0AC9" w14:textId="77777777" w:rsidR="00261FDA" w:rsidRPr="006B733D" w:rsidRDefault="00261FDA" w:rsidP="00261FDA">
      <w:pPr>
        <w:spacing w:line="360" w:lineRule="auto"/>
        <w:jc w:val="both"/>
        <w:rPr>
          <w:rFonts w:ascii="Palatino Linotype" w:hAnsi="Palatino Linotype"/>
          <w:sz w:val="22"/>
        </w:rPr>
      </w:pPr>
    </w:p>
    <w:p w14:paraId="03F6A713"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87446AA" w14:textId="77777777" w:rsidR="00261FDA" w:rsidRPr="006B733D" w:rsidRDefault="00261FDA" w:rsidP="00261FDA">
      <w:pPr>
        <w:spacing w:line="360" w:lineRule="auto"/>
        <w:jc w:val="both"/>
        <w:rPr>
          <w:rFonts w:ascii="Palatino Linotype" w:hAnsi="Palatino Linotype"/>
          <w:sz w:val="22"/>
        </w:rPr>
      </w:pPr>
    </w:p>
    <w:p w14:paraId="0FC7BB88"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C7206BA" w14:textId="77777777" w:rsidR="00261FDA" w:rsidRPr="006B733D" w:rsidRDefault="00261FDA" w:rsidP="00261FDA">
      <w:pPr>
        <w:spacing w:line="360" w:lineRule="auto"/>
        <w:jc w:val="both"/>
        <w:rPr>
          <w:rFonts w:ascii="Palatino Linotype" w:hAnsi="Palatino Linotype"/>
          <w:sz w:val="22"/>
        </w:rPr>
      </w:pPr>
    </w:p>
    <w:p w14:paraId="3D7901DC"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6492B2A" w14:textId="77777777" w:rsidR="00261FDA" w:rsidRPr="006B733D" w:rsidRDefault="00261FDA" w:rsidP="00261FDA">
      <w:pPr>
        <w:spacing w:line="360" w:lineRule="auto"/>
        <w:jc w:val="both"/>
        <w:rPr>
          <w:rFonts w:ascii="Palatino Linotype" w:hAnsi="Palatino Linotype"/>
          <w:sz w:val="22"/>
        </w:rPr>
      </w:pPr>
    </w:p>
    <w:p w14:paraId="2009C6B9"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términos de lo expuesto, la documentación y aquellos datos que se consideren confidenciales, serán una limitante del derecho de acceso a la información, siempre y cuando:</w:t>
      </w:r>
    </w:p>
    <w:p w14:paraId="3219603B" w14:textId="77777777" w:rsidR="00261FDA" w:rsidRPr="006B733D" w:rsidRDefault="00261FDA" w:rsidP="00261FDA">
      <w:pPr>
        <w:spacing w:line="360" w:lineRule="auto"/>
        <w:ind w:right="-93"/>
        <w:jc w:val="both"/>
        <w:rPr>
          <w:rFonts w:ascii="Palatino Linotype" w:hAnsi="Palatino Linotype" w:cs="Tahoma"/>
          <w:bCs/>
          <w:iCs/>
          <w:sz w:val="22"/>
          <w:szCs w:val="22"/>
        </w:rPr>
      </w:pPr>
    </w:p>
    <w:p w14:paraId="128D73AE" w14:textId="77777777" w:rsidR="00261FDA" w:rsidRPr="006B733D" w:rsidRDefault="00261FDA" w:rsidP="00261FDA">
      <w:pPr>
        <w:pStyle w:val="Prrafodelista"/>
        <w:numPr>
          <w:ilvl w:val="0"/>
          <w:numId w:val="46"/>
        </w:numPr>
        <w:spacing w:line="360" w:lineRule="auto"/>
        <w:jc w:val="both"/>
        <w:rPr>
          <w:rFonts w:ascii="Palatino Linotype" w:hAnsi="Palatino Linotype"/>
        </w:rPr>
      </w:pPr>
      <w:r w:rsidRPr="006B733D">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579B8F2F" w14:textId="77777777" w:rsidR="00261FDA" w:rsidRPr="006B733D" w:rsidRDefault="00261FDA" w:rsidP="00261FDA">
      <w:pPr>
        <w:pStyle w:val="Prrafodelista"/>
        <w:numPr>
          <w:ilvl w:val="0"/>
          <w:numId w:val="46"/>
        </w:numPr>
        <w:spacing w:line="360" w:lineRule="auto"/>
        <w:jc w:val="both"/>
        <w:rPr>
          <w:rFonts w:ascii="Palatino Linotype" w:hAnsi="Palatino Linotype"/>
        </w:rPr>
      </w:pPr>
      <w:r w:rsidRPr="006B733D">
        <w:rPr>
          <w:rFonts w:ascii="Palatino Linotype" w:hAnsi="Palatino Linotype"/>
        </w:rPr>
        <w:lastRenderedPageBreak/>
        <w:t>Para la difusión de los datos, se requiera el consentimiento del titular.</w:t>
      </w:r>
    </w:p>
    <w:p w14:paraId="05D0E807" w14:textId="77777777" w:rsidR="00261FDA" w:rsidRPr="006B733D" w:rsidRDefault="00261FDA" w:rsidP="00261FDA">
      <w:pPr>
        <w:pStyle w:val="Prrafodelista"/>
        <w:spacing w:line="360" w:lineRule="auto"/>
        <w:jc w:val="both"/>
        <w:rPr>
          <w:rFonts w:ascii="Palatino Linotype" w:hAnsi="Palatino Linotype"/>
        </w:rPr>
      </w:pPr>
    </w:p>
    <w:p w14:paraId="3A6201E0"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en el artículo 5° de dicho ordenamiento jurídico, establece que es la Ley aplicable para todo tratamiento de datos personales.</w:t>
      </w:r>
    </w:p>
    <w:p w14:paraId="5CEEC417" w14:textId="77777777" w:rsidR="00261FDA" w:rsidRPr="006B733D" w:rsidRDefault="00261FDA" w:rsidP="00261FDA">
      <w:pPr>
        <w:spacing w:line="360" w:lineRule="auto"/>
        <w:jc w:val="both"/>
        <w:rPr>
          <w:rFonts w:ascii="Palatino Linotype" w:hAnsi="Palatino Linotype"/>
          <w:sz w:val="22"/>
        </w:rPr>
      </w:pPr>
    </w:p>
    <w:p w14:paraId="4EE59EC4"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A089B12" w14:textId="77777777" w:rsidR="00261FDA" w:rsidRPr="006B733D" w:rsidRDefault="00261FDA" w:rsidP="00261FDA">
      <w:pPr>
        <w:spacing w:line="360" w:lineRule="auto"/>
        <w:jc w:val="both"/>
        <w:rPr>
          <w:rFonts w:ascii="Palatino Linotype" w:hAnsi="Palatino Linotype"/>
          <w:sz w:val="22"/>
        </w:rPr>
      </w:pPr>
    </w:p>
    <w:p w14:paraId="1731E186"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w:t>
      </w:r>
      <w:r w:rsidRPr="006B733D">
        <w:rPr>
          <w:rFonts w:ascii="Palatino Linotype" w:hAnsi="Palatino Linotype"/>
          <w:sz w:val="22"/>
        </w:rPr>
        <w:lastRenderedPageBreak/>
        <w:t>personales. En este sentido, cualquier información que por sí sola o relacionada con otra permita hacer identificable a una persona, es un dato personal, susceptible de ser clasificado.</w:t>
      </w:r>
    </w:p>
    <w:p w14:paraId="6FA59F4E" w14:textId="77777777" w:rsidR="00261FDA" w:rsidRPr="006B733D" w:rsidRDefault="00261FDA" w:rsidP="00261FDA">
      <w:pPr>
        <w:spacing w:line="360" w:lineRule="auto"/>
        <w:jc w:val="both"/>
        <w:rPr>
          <w:rFonts w:ascii="Palatino Linotype" w:hAnsi="Palatino Linotype"/>
          <w:sz w:val="22"/>
        </w:rPr>
      </w:pPr>
    </w:p>
    <w:p w14:paraId="3FDD5412"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8EEFD33" w14:textId="77777777" w:rsidR="00261FDA" w:rsidRPr="006B733D" w:rsidRDefault="00261FDA" w:rsidP="00261FDA">
      <w:pPr>
        <w:spacing w:line="360" w:lineRule="auto"/>
        <w:jc w:val="both"/>
        <w:rPr>
          <w:rFonts w:ascii="Palatino Linotype" w:hAnsi="Palatino Linotype"/>
          <w:sz w:val="22"/>
        </w:rPr>
      </w:pPr>
    </w:p>
    <w:p w14:paraId="73744C04"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4F952206" w14:textId="77777777" w:rsidR="00261FDA" w:rsidRPr="006B733D" w:rsidRDefault="00261FDA" w:rsidP="00261FDA">
      <w:pPr>
        <w:spacing w:line="360" w:lineRule="auto"/>
        <w:jc w:val="both"/>
        <w:rPr>
          <w:rFonts w:ascii="Palatino Linotype" w:hAnsi="Palatino Linotype"/>
          <w:sz w:val="22"/>
        </w:rPr>
      </w:pPr>
    </w:p>
    <w:p w14:paraId="274721AA"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EE3364B" w14:textId="77777777" w:rsidR="00261FDA" w:rsidRPr="006B733D" w:rsidRDefault="00261FDA" w:rsidP="00261FDA">
      <w:pPr>
        <w:spacing w:line="360" w:lineRule="auto"/>
        <w:jc w:val="both"/>
        <w:rPr>
          <w:rFonts w:ascii="Palatino Linotype" w:hAnsi="Palatino Linotype"/>
          <w:sz w:val="22"/>
        </w:rPr>
      </w:pPr>
    </w:p>
    <w:p w14:paraId="1DA6DCA6"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 xml:space="preserve">Dada la complejidad de la información cuando involucra datos personales, pudiera pensarse que se trata de dos derechos en colisión; por un lado, la garantía individual de </w:t>
      </w:r>
      <w:r w:rsidRPr="006B733D">
        <w:rPr>
          <w:rFonts w:ascii="Palatino Linotype" w:hAnsi="Palatino Linotype"/>
          <w:sz w:val="22"/>
        </w:rPr>
        <w:lastRenderedPageBreak/>
        <w:t>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56B9A75" w14:textId="77777777" w:rsidR="00261FDA" w:rsidRPr="006B733D" w:rsidRDefault="00261FDA" w:rsidP="00261FDA">
      <w:pPr>
        <w:spacing w:line="360" w:lineRule="auto"/>
        <w:jc w:val="both"/>
        <w:rPr>
          <w:rFonts w:ascii="Palatino Linotype" w:hAnsi="Palatino Linotype"/>
          <w:sz w:val="22"/>
        </w:rPr>
      </w:pPr>
    </w:p>
    <w:p w14:paraId="2C113F4A"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CB5C9FC" w14:textId="77777777" w:rsidR="00261FDA" w:rsidRPr="006B733D" w:rsidRDefault="00261FDA" w:rsidP="00261FDA">
      <w:pPr>
        <w:spacing w:line="360" w:lineRule="auto"/>
        <w:jc w:val="both"/>
        <w:rPr>
          <w:rFonts w:ascii="Palatino Linotype" w:hAnsi="Palatino Linotype"/>
          <w:sz w:val="22"/>
        </w:rPr>
      </w:pPr>
    </w:p>
    <w:p w14:paraId="551282B1" w14:textId="77777777" w:rsidR="00261FDA" w:rsidRPr="006B733D" w:rsidRDefault="00261FDA" w:rsidP="00261FDA">
      <w:pPr>
        <w:spacing w:line="360" w:lineRule="auto"/>
        <w:jc w:val="both"/>
        <w:rPr>
          <w:rFonts w:ascii="Palatino Linotype" w:hAnsi="Palatino Linotype"/>
          <w:sz w:val="22"/>
        </w:rPr>
      </w:pPr>
      <w:r w:rsidRPr="006B733D">
        <w:rPr>
          <w:rFonts w:ascii="Palatino Linotype" w:hAnsi="Palatino Linotype"/>
          <w:sz w:val="22"/>
        </w:rPr>
        <w:t xml:space="preserve">De tal suerte que los datos de contacto personales de los registrados, su domicilio, datos de identificaciones, etc., pudieran ser clasificados, pero en la versión pública no podrá eliminarse el nombre, cargo y </w:t>
      </w:r>
      <w:r w:rsidRPr="006B733D">
        <w:rPr>
          <w:rFonts w:ascii="Palatino Linotype" w:eastAsia="Palatino Linotype" w:hAnsi="Palatino Linotype" w:cstheme="minorHAnsi"/>
          <w:color w:val="000000"/>
          <w:sz w:val="22"/>
          <w:szCs w:val="22"/>
        </w:rPr>
        <w:t>Sujeto Obligado</w:t>
      </w:r>
      <w:r w:rsidRPr="006B733D">
        <w:rPr>
          <w:rFonts w:ascii="Palatino Linotype" w:hAnsi="Palatino Linotype"/>
          <w:sz w:val="22"/>
        </w:rPr>
        <w:t xml:space="preserve"> al que está adscrito el servidor público en caso de que lo tenga.</w:t>
      </w:r>
    </w:p>
    <w:p w14:paraId="422C9857" w14:textId="77777777" w:rsidR="00261FDA" w:rsidRPr="006B733D" w:rsidRDefault="00261FDA" w:rsidP="00261FDA">
      <w:pPr>
        <w:spacing w:line="360" w:lineRule="auto"/>
        <w:jc w:val="both"/>
        <w:rPr>
          <w:rFonts w:ascii="Palatino Linotype" w:hAnsi="Palatino Linotype"/>
          <w:sz w:val="22"/>
        </w:rPr>
      </w:pPr>
    </w:p>
    <w:p w14:paraId="43DD2BDB" w14:textId="77777777" w:rsidR="00261FDA" w:rsidRPr="006B733D" w:rsidRDefault="00261FDA" w:rsidP="00261FDA">
      <w:pPr>
        <w:spacing w:line="360" w:lineRule="auto"/>
        <w:ind w:right="-93"/>
        <w:jc w:val="both"/>
        <w:rPr>
          <w:rFonts w:ascii="Palatino Linotype" w:eastAsia="Palatino Linotype" w:hAnsi="Palatino Linotype" w:cs="Palatino Linotype"/>
          <w:b/>
          <w:sz w:val="22"/>
          <w:szCs w:val="22"/>
        </w:rPr>
      </w:pPr>
      <w:r w:rsidRPr="006B733D">
        <w:rPr>
          <w:rFonts w:ascii="Palatino Linotype" w:eastAsia="Palatino Linotype" w:hAnsi="Palatino Linotype" w:cs="Palatino Linotype"/>
          <w:b/>
          <w:sz w:val="22"/>
          <w:szCs w:val="22"/>
        </w:rPr>
        <w:t>SÉPTIMO. Decisión</w:t>
      </w:r>
    </w:p>
    <w:p w14:paraId="16E839C4" w14:textId="77777777" w:rsidR="00261FDA" w:rsidRPr="006B733D" w:rsidRDefault="00261FDA" w:rsidP="00261FDA">
      <w:pPr>
        <w:spacing w:line="360" w:lineRule="auto"/>
        <w:ind w:right="-93"/>
        <w:jc w:val="both"/>
        <w:rPr>
          <w:rFonts w:ascii="Palatino Linotype" w:eastAsia="Palatino Linotype" w:hAnsi="Palatino Linotype" w:cs="Palatino Linotype"/>
          <w:b/>
          <w:sz w:val="22"/>
          <w:szCs w:val="22"/>
        </w:rPr>
      </w:pPr>
    </w:p>
    <w:p w14:paraId="65FCD96F" w14:textId="77777777" w:rsidR="00261FDA" w:rsidRPr="006B733D" w:rsidRDefault="00261FDA" w:rsidP="00261FDA">
      <w:pPr>
        <w:spacing w:line="360" w:lineRule="auto"/>
        <w:ind w:right="-93"/>
        <w:jc w:val="both"/>
        <w:rPr>
          <w:rFonts w:ascii="Palatino Linotype" w:eastAsia="Calibri" w:hAnsi="Palatino Linotype" w:cs="Tahoma"/>
          <w:sz w:val="22"/>
          <w:szCs w:val="22"/>
          <w:lang w:eastAsia="en-US"/>
        </w:rPr>
      </w:pPr>
      <w:r w:rsidRPr="006B733D">
        <w:rPr>
          <w:rFonts w:ascii="Palatino Linotype" w:eastAsia="Palatino Linotype" w:hAnsi="Palatino Linotype" w:cs="Palatino Linotype"/>
          <w:sz w:val="22"/>
          <w:szCs w:val="22"/>
        </w:rPr>
        <w:lastRenderedPageBreak/>
        <w:t xml:space="preserve">Con fundamento en el artículo 186, fracción III, de la Ley de Transparencia y Acceso a la Información Pública del Estado de México y Municipios, este Instituto considera procedente </w:t>
      </w:r>
      <w:r w:rsidRPr="006B733D">
        <w:rPr>
          <w:rFonts w:ascii="Palatino Linotype" w:eastAsia="Palatino Linotype" w:hAnsi="Palatino Linotype" w:cs="Palatino Linotype"/>
          <w:b/>
          <w:sz w:val="22"/>
          <w:szCs w:val="22"/>
        </w:rPr>
        <w:t xml:space="preserve">REVOCAR </w:t>
      </w:r>
      <w:r w:rsidRPr="006B733D">
        <w:rPr>
          <w:rFonts w:ascii="Palatino Linotype" w:eastAsia="Palatino Linotype" w:hAnsi="Palatino Linotype" w:cs="Palatino Linotype"/>
          <w:sz w:val="22"/>
          <w:szCs w:val="22"/>
        </w:rPr>
        <w:t xml:space="preserve">la respuesta otorgada por el </w:t>
      </w:r>
      <w:r w:rsidRPr="006B733D">
        <w:rPr>
          <w:rFonts w:ascii="Palatino Linotype" w:eastAsia="Calibri" w:hAnsi="Palatino Linotype" w:cs="Tahoma"/>
          <w:sz w:val="22"/>
          <w:szCs w:val="22"/>
          <w:lang w:eastAsia="en-US"/>
        </w:rPr>
        <w:t xml:space="preserve">Instituto de Transparencia, Acceso a la Información Pública y Protección de Datos Personales del Estado de México y Municipios a la solicitud de acceso a la información con folio </w:t>
      </w:r>
      <w:r w:rsidRPr="006B733D">
        <w:rPr>
          <w:rFonts w:ascii="Palatino Linotype" w:hAnsi="Palatino Linotype" w:cs="Arial"/>
          <w:color w:val="333333"/>
          <w:sz w:val="22"/>
          <w:szCs w:val="22"/>
        </w:rPr>
        <w:t>01385/INFOEM/IP/2022, por resultar fundadas las razones y moritos de la inconformidad.</w:t>
      </w:r>
    </w:p>
    <w:p w14:paraId="302E713C" w14:textId="77777777" w:rsidR="00261FDA" w:rsidRPr="006B733D" w:rsidRDefault="00261FDA" w:rsidP="00261FDA">
      <w:pPr>
        <w:spacing w:line="360" w:lineRule="auto"/>
        <w:ind w:right="-93"/>
        <w:jc w:val="both"/>
        <w:rPr>
          <w:rFonts w:ascii="Palatino Linotype" w:eastAsia="Palatino Linotype" w:hAnsi="Palatino Linotype" w:cs="Palatino Linotype"/>
          <w:sz w:val="22"/>
          <w:szCs w:val="22"/>
        </w:rPr>
      </w:pPr>
    </w:p>
    <w:p w14:paraId="00BAD295" w14:textId="77777777" w:rsidR="00261FDA" w:rsidRPr="006B733D" w:rsidRDefault="00261FDA" w:rsidP="00261FDA">
      <w:pPr>
        <w:autoSpaceDE w:val="0"/>
        <w:autoSpaceDN w:val="0"/>
        <w:adjustRightInd w:val="0"/>
        <w:spacing w:line="360" w:lineRule="auto"/>
        <w:contextualSpacing/>
        <w:jc w:val="both"/>
        <w:rPr>
          <w:rFonts w:ascii="Palatino Linotype" w:eastAsia="Calibri" w:hAnsi="Palatino Linotype" w:cs="Tahoma"/>
          <w:b/>
          <w:bCs/>
          <w:iCs/>
          <w:sz w:val="22"/>
          <w:szCs w:val="22"/>
          <w:u w:val="single"/>
          <w:lang w:eastAsia="es-ES_tradnl"/>
        </w:rPr>
      </w:pPr>
      <w:r w:rsidRPr="006B733D">
        <w:rPr>
          <w:rFonts w:ascii="Palatino Linotype" w:eastAsia="Calibri" w:hAnsi="Palatino Linotype" w:cs="Tahoma"/>
          <w:b/>
          <w:bCs/>
          <w:iCs/>
          <w:sz w:val="22"/>
          <w:szCs w:val="22"/>
          <w:u w:val="single"/>
          <w:lang w:eastAsia="es-ES_tradnl"/>
        </w:rPr>
        <w:t>Términos de la Resolución para el Recurrente</w:t>
      </w:r>
    </w:p>
    <w:p w14:paraId="1A2D520F" w14:textId="77777777" w:rsidR="00261FDA" w:rsidRPr="006B733D" w:rsidRDefault="00261FDA" w:rsidP="00261FDA">
      <w:pPr>
        <w:autoSpaceDE w:val="0"/>
        <w:autoSpaceDN w:val="0"/>
        <w:adjustRightInd w:val="0"/>
        <w:spacing w:line="360" w:lineRule="auto"/>
        <w:contextualSpacing/>
        <w:jc w:val="both"/>
        <w:rPr>
          <w:rFonts w:ascii="Palatino Linotype" w:hAnsi="Palatino Linotype" w:cs="Tahoma"/>
          <w:sz w:val="22"/>
          <w:szCs w:val="22"/>
        </w:rPr>
      </w:pPr>
    </w:p>
    <w:p w14:paraId="57B1B834" w14:textId="77777777" w:rsidR="00261FDA" w:rsidRPr="006B733D" w:rsidRDefault="00261FDA" w:rsidP="00261FDA">
      <w:pPr>
        <w:autoSpaceDE w:val="0"/>
        <w:autoSpaceDN w:val="0"/>
        <w:adjustRightInd w:val="0"/>
        <w:spacing w:line="360" w:lineRule="auto"/>
        <w:contextualSpacing/>
        <w:jc w:val="both"/>
        <w:rPr>
          <w:rFonts w:ascii="Palatino Linotype" w:hAnsi="Palatino Linotype" w:cs="Tahoma"/>
          <w:sz w:val="22"/>
          <w:szCs w:val="22"/>
        </w:rPr>
      </w:pPr>
      <w:r w:rsidRPr="006B733D">
        <w:rPr>
          <w:rFonts w:ascii="Palatino Linotype" w:hAnsi="Palatino Linotype" w:cs="Tahoma"/>
          <w:sz w:val="22"/>
          <w:szCs w:val="22"/>
        </w:rPr>
        <w:t xml:space="preserve">Este Instituto Garante le concede la razón a su inconformidad, pues el listado de servidores públicos registrados al proceso de certificación que realiza el </w:t>
      </w:r>
      <w:proofErr w:type="spellStart"/>
      <w:r w:rsidRPr="006B733D">
        <w:rPr>
          <w:rFonts w:ascii="Palatino Linotype" w:hAnsi="Palatino Linotype" w:cs="Tahoma"/>
          <w:sz w:val="22"/>
          <w:szCs w:val="22"/>
        </w:rPr>
        <w:t>Infoem</w:t>
      </w:r>
      <w:proofErr w:type="spellEnd"/>
      <w:r w:rsidRPr="006B733D">
        <w:rPr>
          <w:rFonts w:ascii="Palatino Linotype" w:hAnsi="Palatino Linotype" w:cs="Tahoma"/>
          <w:sz w:val="22"/>
          <w:szCs w:val="22"/>
        </w:rPr>
        <w:t>, no corresponde a información reservada y por el contrario su entrega constituye un ejercicio de transparencia y rendición de cuentas, por lo que el Pleno ha determinado revocar la respuesta de nuestro Comité de Transparencia y ordenar la entrega de la información.</w:t>
      </w:r>
    </w:p>
    <w:p w14:paraId="57F4956B" w14:textId="77777777" w:rsidR="00261FDA" w:rsidRPr="006B733D" w:rsidRDefault="00261FDA" w:rsidP="00261FDA">
      <w:pPr>
        <w:autoSpaceDE w:val="0"/>
        <w:autoSpaceDN w:val="0"/>
        <w:adjustRightInd w:val="0"/>
        <w:spacing w:line="360" w:lineRule="auto"/>
        <w:contextualSpacing/>
        <w:jc w:val="both"/>
        <w:rPr>
          <w:rFonts w:ascii="Palatino Linotype" w:hAnsi="Palatino Linotype" w:cs="Tahoma"/>
          <w:sz w:val="22"/>
          <w:szCs w:val="22"/>
        </w:rPr>
      </w:pPr>
    </w:p>
    <w:p w14:paraId="5D150907" w14:textId="77777777" w:rsidR="00261FDA" w:rsidRPr="006B733D" w:rsidRDefault="00261FDA" w:rsidP="00261FDA">
      <w:pPr>
        <w:autoSpaceDE w:val="0"/>
        <w:autoSpaceDN w:val="0"/>
        <w:adjustRightInd w:val="0"/>
        <w:spacing w:line="360" w:lineRule="auto"/>
        <w:contextualSpacing/>
        <w:jc w:val="both"/>
        <w:rPr>
          <w:rFonts w:ascii="Palatino Linotype" w:eastAsia="Calibri" w:hAnsi="Palatino Linotype" w:cs="Tahoma"/>
          <w:bCs/>
          <w:iCs/>
          <w:sz w:val="22"/>
          <w:szCs w:val="22"/>
          <w:lang w:eastAsia="es-ES_tradnl"/>
        </w:rPr>
      </w:pPr>
      <w:r w:rsidRPr="006B733D">
        <w:rPr>
          <w:rFonts w:ascii="Palatino Linotype" w:eastAsia="Calibri" w:hAnsi="Palatino Linotype" w:cs="Tahoma"/>
          <w:iCs/>
          <w:sz w:val="22"/>
          <w:szCs w:val="22"/>
          <w:lang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0B08459C" w14:textId="77777777" w:rsidR="00261FDA" w:rsidRPr="006B733D" w:rsidRDefault="00261FDA" w:rsidP="00261FDA">
      <w:pPr>
        <w:spacing w:line="360" w:lineRule="auto"/>
        <w:jc w:val="both"/>
        <w:rPr>
          <w:rFonts w:ascii="Palatino Linotype" w:eastAsia="Palatino Linotype" w:hAnsi="Palatino Linotype" w:cs="Palatino Linotype"/>
          <w:sz w:val="22"/>
          <w:szCs w:val="22"/>
        </w:rPr>
      </w:pPr>
    </w:p>
    <w:p w14:paraId="57633302" w14:textId="77777777" w:rsidR="00261FDA" w:rsidRPr="006B733D" w:rsidRDefault="00261FDA" w:rsidP="00261FDA">
      <w:pPr>
        <w:spacing w:line="360" w:lineRule="auto"/>
        <w:jc w:val="both"/>
        <w:rPr>
          <w:rFonts w:ascii="Palatino Linotype" w:eastAsia="Palatino Linotype" w:hAnsi="Palatino Linotype" w:cs="Palatino Linotype"/>
          <w:sz w:val="22"/>
          <w:szCs w:val="22"/>
        </w:rPr>
      </w:pPr>
      <w:r w:rsidRPr="006B733D">
        <w:rPr>
          <w:rFonts w:ascii="Palatino Linotype" w:eastAsia="Palatino Linotype" w:hAnsi="Palatino Linotype" w:cs="Palatino Linotype"/>
          <w:sz w:val="22"/>
          <w:szCs w:val="22"/>
        </w:rPr>
        <w:t>Por lo expuesto y fundado, este Pleno:</w:t>
      </w:r>
    </w:p>
    <w:p w14:paraId="13A8BC8E" w14:textId="77777777" w:rsidR="00261FDA" w:rsidRPr="006B733D" w:rsidRDefault="00261FDA" w:rsidP="00261FDA">
      <w:pPr>
        <w:spacing w:line="360" w:lineRule="auto"/>
        <w:jc w:val="both"/>
        <w:rPr>
          <w:rFonts w:ascii="Palatino Linotype" w:eastAsia="Palatino Linotype" w:hAnsi="Palatino Linotype" w:cstheme="minorHAnsi"/>
          <w:sz w:val="22"/>
          <w:szCs w:val="22"/>
        </w:rPr>
      </w:pPr>
    </w:p>
    <w:p w14:paraId="4B564B7B" w14:textId="77777777" w:rsidR="00261FDA" w:rsidRPr="006B733D" w:rsidRDefault="00261FDA" w:rsidP="00261FDA">
      <w:pPr>
        <w:pBdr>
          <w:top w:val="nil"/>
          <w:left w:val="nil"/>
          <w:bottom w:val="nil"/>
          <w:right w:val="nil"/>
          <w:between w:val="nil"/>
        </w:pBdr>
        <w:spacing w:line="360" w:lineRule="auto"/>
        <w:jc w:val="center"/>
        <w:rPr>
          <w:rFonts w:ascii="Palatino Linotype" w:eastAsia="Palatino Linotype" w:hAnsi="Palatino Linotype" w:cstheme="minorHAnsi"/>
          <w:b/>
          <w:sz w:val="22"/>
          <w:szCs w:val="22"/>
        </w:rPr>
      </w:pPr>
      <w:r w:rsidRPr="006B733D">
        <w:rPr>
          <w:rFonts w:ascii="Palatino Linotype" w:eastAsia="Palatino Linotype" w:hAnsi="Palatino Linotype" w:cstheme="minorHAnsi"/>
          <w:b/>
          <w:sz w:val="22"/>
          <w:szCs w:val="22"/>
        </w:rPr>
        <w:t xml:space="preserve"> R E S U E L V E:</w:t>
      </w:r>
    </w:p>
    <w:p w14:paraId="489A9ADB" w14:textId="77777777" w:rsidR="00261FDA" w:rsidRPr="006B733D" w:rsidRDefault="00261FDA" w:rsidP="00261FDA">
      <w:pPr>
        <w:spacing w:line="360" w:lineRule="auto"/>
        <w:jc w:val="both"/>
        <w:rPr>
          <w:rFonts w:ascii="Palatino Linotype" w:hAnsi="Palatino Linotype" w:cs="Tahoma"/>
          <w:b/>
          <w:bCs/>
          <w:sz w:val="22"/>
          <w:szCs w:val="22"/>
          <w:lang w:val="pt-BR"/>
        </w:rPr>
      </w:pPr>
      <w:bookmarkStart w:id="4" w:name="_heading=h.3dy6vkm" w:colFirst="0" w:colLast="0"/>
      <w:bookmarkEnd w:id="4"/>
    </w:p>
    <w:p w14:paraId="6E338FFC" w14:textId="77777777" w:rsidR="00261FDA" w:rsidRPr="006B733D" w:rsidRDefault="00261FDA" w:rsidP="00261FDA">
      <w:pPr>
        <w:spacing w:line="360" w:lineRule="auto"/>
        <w:jc w:val="both"/>
        <w:rPr>
          <w:rFonts w:ascii="Palatino Linotype" w:eastAsia="Calibri" w:hAnsi="Palatino Linotype" w:cs="Tahoma"/>
          <w:sz w:val="22"/>
          <w:szCs w:val="22"/>
          <w:lang w:eastAsia="en-US"/>
        </w:rPr>
      </w:pPr>
      <w:r w:rsidRPr="006B733D">
        <w:rPr>
          <w:rFonts w:ascii="Palatino Linotype" w:hAnsi="Palatino Linotype" w:cs="Tahoma"/>
          <w:b/>
          <w:bCs/>
          <w:sz w:val="22"/>
          <w:szCs w:val="22"/>
          <w:lang w:val="pt-BR"/>
        </w:rPr>
        <w:t xml:space="preserve">PRIMERO. </w:t>
      </w:r>
      <w:r w:rsidRPr="006B733D">
        <w:rPr>
          <w:rFonts w:ascii="Palatino Linotype" w:eastAsia="Calibri" w:hAnsi="Palatino Linotype" w:cs="Tahoma"/>
          <w:sz w:val="22"/>
          <w:szCs w:val="22"/>
          <w:lang w:eastAsia="en-US"/>
        </w:rPr>
        <w:t xml:space="preserve">Se </w:t>
      </w:r>
      <w:r w:rsidRPr="006B733D">
        <w:rPr>
          <w:rFonts w:ascii="Palatino Linotype" w:eastAsia="Calibri" w:hAnsi="Palatino Linotype" w:cs="Tahoma"/>
          <w:b/>
          <w:bCs/>
          <w:caps/>
          <w:sz w:val="22"/>
          <w:szCs w:val="22"/>
          <w:lang w:eastAsia="en-US"/>
        </w:rPr>
        <w:t>revoca</w:t>
      </w:r>
      <w:r w:rsidRPr="006B733D">
        <w:rPr>
          <w:rFonts w:ascii="Palatino Linotype" w:eastAsia="Calibri" w:hAnsi="Palatino Linotype" w:cs="Tahoma"/>
          <w:sz w:val="22"/>
          <w:szCs w:val="22"/>
          <w:lang w:eastAsia="en-US"/>
        </w:rPr>
        <w:t xml:space="preserve"> la respuesta entregada por el </w:t>
      </w:r>
      <w:r w:rsidRPr="006B733D">
        <w:rPr>
          <w:rFonts w:ascii="Palatino Linotype" w:eastAsia="Calibri" w:hAnsi="Palatino Linotype" w:cs="Tahoma"/>
          <w:bCs/>
          <w:sz w:val="22"/>
          <w:szCs w:val="22"/>
          <w:lang w:eastAsia="en-US"/>
        </w:rPr>
        <w:t xml:space="preserve">Instituto de Transparencia, Acceso a la Información Pública y Protección de Datos Personales del Estado de México y Municipios </w:t>
      </w:r>
      <w:r w:rsidRPr="006B733D">
        <w:rPr>
          <w:rFonts w:ascii="Palatino Linotype" w:eastAsia="Calibri" w:hAnsi="Palatino Linotype" w:cs="Tahoma"/>
          <w:sz w:val="22"/>
          <w:szCs w:val="22"/>
          <w:lang w:eastAsia="en-US"/>
        </w:rPr>
        <w:lastRenderedPageBreak/>
        <w:t xml:space="preserve">a la solicitud de información </w:t>
      </w:r>
      <w:r w:rsidRPr="006B733D">
        <w:rPr>
          <w:rFonts w:ascii="Palatino Linotype" w:eastAsia="Calibri" w:hAnsi="Palatino Linotype" w:cs="Tahoma"/>
          <w:bCs/>
          <w:sz w:val="22"/>
          <w:szCs w:val="22"/>
          <w:lang w:eastAsia="en-US"/>
        </w:rPr>
        <w:t>01385/INFOEM/IP/2022,</w:t>
      </w:r>
      <w:r w:rsidRPr="006B733D">
        <w:rPr>
          <w:rFonts w:ascii="Palatino Linotype" w:eastAsia="Calibri" w:hAnsi="Palatino Linotype" w:cs="Tahoma"/>
          <w:b/>
          <w:bCs/>
          <w:sz w:val="22"/>
          <w:szCs w:val="22"/>
          <w:lang w:eastAsia="en-US"/>
        </w:rPr>
        <w:t xml:space="preserve"> </w:t>
      </w:r>
      <w:r w:rsidRPr="006B733D">
        <w:rPr>
          <w:rFonts w:ascii="Palatino Linotype" w:eastAsia="Calibri" w:hAnsi="Palatino Linotype" w:cs="Tahoma"/>
          <w:sz w:val="22"/>
          <w:szCs w:val="22"/>
          <w:lang w:eastAsia="en-US"/>
        </w:rPr>
        <w:t xml:space="preserve">por resultar </w:t>
      </w:r>
      <w:r w:rsidRPr="006B733D">
        <w:rPr>
          <w:rFonts w:ascii="Palatino Linotype" w:eastAsia="Calibri" w:hAnsi="Palatino Linotype" w:cs="Tahoma"/>
          <w:b/>
          <w:bCs/>
          <w:sz w:val="22"/>
          <w:szCs w:val="22"/>
          <w:lang w:eastAsia="en-US"/>
        </w:rPr>
        <w:t>FUNDADAS</w:t>
      </w:r>
      <w:r w:rsidRPr="006B733D">
        <w:rPr>
          <w:rFonts w:ascii="Palatino Linotype" w:eastAsia="Calibri" w:hAnsi="Palatino Linotype" w:cs="Tahoma"/>
          <w:sz w:val="22"/>
          <w:szCs w:val="22"/>
          <w:lang w:eastAsia="en-US"/>
        </w:rPr>
        <w:t xml:space="preserve"> la razones o motivo de inconformidad hechos valer por el Recurrente en el Recurso de Revisión </w:t>
      </w:r>
      <w:r w:rsidRPr="006B733D">
        <w:rPr>
          <w:rFonts w:ascii="Palatino Linotype" w:eastAsia="Calibri" w:hAnsi="Palatino Linotype" w:cs="Tahoma"/>
          <w:bCs/>
          <w:sz w:val="22"/>
          <w:szCs w:val="22"/>
          <w:lang w:eastAsia="en-US"/>
        </w:rPr>
        <w:t>17324/INFOEM/IP/RR/2022,</w:t>
      </w:r>
      <w:r w:rsidRPr="006B733D">
        <w:rPr>
          <w:rFonts w:ascii="Palatino Linotype" w:eastAsia="Calibri" w:hAnsi="Palatino Linotype" w:cs="Tahoma"/>
          <w:b/>
          <w:bCs/>
          <w:sz w:val="22"/>
          <w:szCs w:val="22"/>
          <w:lang w:eastAsia="en-US"/>
        </w:rPr>
        <w:t xml:space="preserve"> </w:t>
      </w:r>
      <w:r w:rsidRPr="006B733D">
        <w:rPr>
          <w:rFonts w:ascii="Palatino Linotype" w:eastAsia="Calibri" w:hAnsi="Palatino Linotype" w:cs="Tahoma"/>
          <w:sz w:val="22"/>
          <w:szCs w:val="22"/>
          <w:lang w:eastAsia="en-US"/>
        </w:rPr>
        <w:t xml:space="preserve">en términos de los Considerandos </w:t>
      </w:r>
      <w:r w:rsidRPr="006B733D">
        <w:rPr>
          <w:rFonts w:ascii="Palatino Linotype" w:eastAsia="Calibri" w:hAnsi="Palatino Linotype" w:cs="Tahoma"/>
          <w:b/>
          <w:sz w:val="22"/>
          <w:szCs w:val="22"/>
          <w:lang w:eastAsia="en-US"/>
        </w:rPr>
        <w:t>QUINTO y SÉPTIMO</w:t>
      </w:r>
      <w:r w:rsidRPr="006B733D">
        <w:rPr>
          <w:rFonts w:ascii="Palatino Linotype" w:eastAsia="Calibri" w:hAnsi="Palatino Linotype" w:cs="Tahoma"/>
          <w:b/>
          <w:bCs/>
          <w:sz w:val="22"/>
          <w:szCs w:val="22"/>
          <w:lang w:eastAsia="en-US"/>
        </w:rPr>
        <w:t xml:space="preserve"> </w:t>
      </w:r>
      <w:r w:rsidRPr="006B733D">
        <w:rPr>
          <w:rFonts w:ascii="Palatino Linotype" w:eastAsia="Calibri" w:hAnsi="Palatino Linotype" w:cs="Tahoma"/>
          <w:sz w:val="22"/>
          <w:szCs w:val="22"/>
          <w:lang w:eastAsia="en-US"/>
        </w:rPr>
        <w:t>de la presente Resolución.</w:t>
      </w:r>
    </w:p>
    <w:p w14:paraId="4B279AE0" w14:textId="77777777" w:rsidR="00261FDA" w:rsidRPr="006B733D" w:rsidRDefault="00261FDA" w:rsidP="00261FDA">
      <w:pPr>
        <w:spacing w:line="360" w:lineRule="auto"/>
        <w:jc w:val="both"/>
        <w:rPr>
          <w:rFonts w:ascii="Palatino Linotype" w:eastAsia="Calibri" w:hAnsi="Palatino Linotype" w:cs="Tahoma"/>
          <w:sz w:val="22"/>
          <w:szCs w:val="22"/>
          <w:lang w:eastAsia="en-US"/>
        </w:rPr>
      </w:pPr>
    </w:p>
    <w:p w14:paraId="496D659B" w14:textId="77777777" w:rsidR="00261FDA" w:rsidRPr="006B733D" w:rsidRDefault="00261FDA" w:rsidP="00261FDA">
      <w:pPr>
        <w:autoSpaceDE w:val="0"/>
        <w:autoSpaceDN w:val="0"/>
        <w:adjustRightInd w:val="0"/>
        <w:spacing w:line="360" w:lineRule="auto"/>
        <w:contextualSpacing/>
        <w:jc w:val="both"/>
        <w:rPr>
          <w:rFonts w:ascii="Palatino Linotype" w:hAnsi="Palatino Linotype" w:cs="Tahoma"/>
          <w:bCs/>
          <w:sz w:val="22"/>
          <w:szCs w:val="22"/>
        </w:rPr>
      </w:pPr>
      <w:r w:rsidRPr="006B733D">
        <w:rPr>
          <w:rFonts w:ascii="Palatino Linotype" w:eastAsia="Calibri" w:hAnsi="Palatino Linotype" w:cs="Tahoma"/>
          <w:b/>
          <w:bCs/>
          <w:sz w:val="22"/>
          <w:szCs w:val="22"/>
          <w:lang w:eastAsia="en-US"/>
        </w:rPr>
        <w:t>SEGUNDO</w:t>
      </w:r>
      <w:r w:rsidRPr="006B733D">
        <w:rPr>
          <w:rFonts w:ascii="Palatino Linotype" w:hAnsi="Palatino Linotype" w:cs="Tahoma"/>
          <w:b/>
          <w:bCs/>
          <w:sz w:val="22"/>
          <w:szCs w:val="22"/>
        </w:rPr>
        <w:t xml:space="preserve">. </w:t>
      </w:r>
      <w:r w:rsidRPr="006B733D">
        <w:rPr>
          <w:rFonts w:ascii="Palatino Linotype" w:hAnsi="Palatino Linotype" w:cs="Tahoma"/>
          <w:sz w:val="22"/>
          <w:szCs w:val="22"/>
        </w:rPr>
        <w:t xml:space="preserve">Se </w:t>
      </w:r>
      <w:r w:rsidRPr="006B733D">
        <w:rPr>
          <w:rFonts w:ascii="Palatino Linotype" w:hAnsi="Palatino Linotype" w:cs="Tahoma"/>
          <w:b/>
          <w:sz w:val="22"/>
          <w:szCs w:val="22"/>
        </w:rPr>
        <w:t xml:space="preserve">ORDENA </w:t>
      </w:r>
      <w:r w:rsidRPr="006B733D">
        <w:rPr>
          <w:rFonts w:ascii="Palatino Linotype" w:hAnsi="Palatino Linotype" w:cs="Tahoma"/>
          <w:sz w:val="22"/>
          <w:szCs w:val="22"/>
        </w:rPr>
        <w:t>a el Instituto de Transparencia, Acceso a la Información Pública y Protección de Datos Personales del Estado de México y Municipios, a efecto de que, entregue por medio del Sistema de Acceso a la Información Mexiquense (SAIMEX), en su caso, en versión pública</w:t>
      </w:r>
      <w:r w:rsidRPr="006B733D">
        <w:rPr>
          <w:rFonts w:ascii="Palatino Linotype" w:hAnsi="Palatino Linotype" w:cs="Tahoma"/>
          <w:iCs/>
          <w:sz w:val="22"/>
          <w:szCs w:val="22"/>
        </w:rPr>
        <w:t>, el soporte documental en el que conste el listado de los servidores públicos que fueron registrados para participar en la Tercera Promoción del Proceso de Certificación 2022.</w:t>
      </w:r>
    </w:p>
    <w:p w14:paraId="04DFCA2C" w14:textId="77777777" w:rsidR="00261FDA" w:rsidRPr="006B733D" w:rsidRDefault="00261FDA" w:rsidP="00261FDA">
      <w:pPr>
        <w:spacing w:line="360" w:lineRule="auto"/>
        <w:ind w:right="-28"/>
        <w:jc w:val="both"/>
        <w:rPr>
          <w:rFonts w:ascii="Palatino Linotype" w:hAnsi="Palatino Linotype" w:cs="Tahoma"/>
          <w:sz w:val="22"/>
          <w:szCs w:val="22"/>
        </w:rPr>
      </w:pPr>
    </w:p>
    <w:p w14:paraId="185BABD0" w14:textId="77777777" w:rsidR="00261FDA" w:rsidRPr="006B733D" w:rsidRDefault="00261FDA" w:rsidP="00261FDA">
      <w:pPr>
        <w:spacing w:line="360" w:lineRule="auto"/>
        <w:ind w:right="-28"/>
        <w:jc w:val="both"/>
        <w:rPr>
          <w:rFonts w:ascii="Palatino Linotype" w:hAnsi="Palatino Linotype" w:cs="Tahoma"/>
          <w:sz w:val="22"/>
          <w:szCs w:val="22"/>
        </w:rPr>
      </w:pPr>
      <w:r w:rsidRPr="006B733D">
        <w:rPr>
          <w:rFonts w:ascii="Palatino Linotype" w:hAnsi="Palatino Linotype" w:cs="Tahoma"/>
          <w:sz w:val="22"/>
          <w:szCs w:val="22"/>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0FDB1C63" w14:textId="77777777" w:rsidR="00261FDA" w:rsidRPr="006B733D" w:rsidRDefault="00261FDA" w:rsidP="00261FDA">
      <w:pPr>
        <w:spacing w:line="360" w:lineRule="auto"/>
        <w:ind w:right="-28"/>
        <w:jc w:val="both"/>
        <w:rPr>
          <w:rFonts w:ascii="Palatino Linotype" w:hAnsi="Palatino Linotype" w:cs="Tahoma"/>
          <w:sz w:val="22"/>
          <w:szCs w:val="22"/>
        </w:rPr>
      </w:pPr>
    </w:p>
    <w:p w14:paraId="63DCC2ED" w14:textId="77777777" w:rsidR="00261FDA" w:rsidRPr="006B733D" w:rsidRDefault="00261FDA" w:rsidP="00261FDA">
      <w:pPr>
        <w:spacing w:line="360" w:lineRule="auto"/>
        <w:jc w:val="both"/>
        <w:rPr>
          <w:rFonts w:ascii="Palatino Linotype" w:hAnsi="Palatino Linotype" w:cs="Tahoma"/>
          <w:sz w:val="22"/>
          <w:szCs w:val="22"/>
        </w:rPr>
      </w:pPr>
      <w:r w:rsidRPr="006B733D">
        <w:rPr>
          <w:rFonts w:ascii="Palatino Linotype" w:eastAsia="Calibri" w:hAnsi="Palatino Linotype" w:cs="Tahoma"/>
          <w:b/>
          <w:bCs/>
          <w:sz w:val="22"/>
          <w:szCs w:val="22"/>
          <w:lang w:eastAsia="en-US"/>
        </w:rPr>
        <w:t>TERCERO.</w:t>
      </w:r>
      <w:r w:rsidRPr="006B733D">
        <w:rPr>
          <w:rFonts w:ascii="Palatino Linotype" w:hAnsi="Palatino Linotype" w:cs="Tahoma"/>
          <w:color w:val="000000" w:themeColor="text1"/>
          <w:sz w:val="22"/>
          <w:szCs w:val="22"/>
        </w:rPr>
        <w:t xml:space="preserve"> </w:t>
      </w:r>
      <w:r w:rsidRPr="006B733D">
        <w:rPr>
          <w:rFonts w:ascii="Palatino Linotype" w:hAnsi="Palatino Linotype" w:cs="Tahoma"/>
          <w:b/>
          <w:sz w:val="22"/>
          <w:szCs w:val="22"/>
        </w:rPr>
        <w:t xml:space="preserve">NOTIFÍQUESE </w:t>
      </w:r>
      <w:r w:rsidRPr="006B733D">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w:t>
      </w:r>
      <w:r w:rsidRPr="006B733D">
        <w:rPr>
          <w:rFonts w:ascii="Palatino Linotype" w:hAnsi="Palatino Linotype" w:cs="Tahoma"/>
          <w:sz w:val="22"/>
          <w:szCs w:val="22"/>
        </w:rPr>
        <w:lastRenderedPageBreak/>
        <w:t>en los artículos 198, 200, fracción III; 214, 215 y 216 de la Ley de Transparencia y Acceso a la Información Pública del Estado de México y Municipios.</w:t>
      </w:r>
    </w:p>
    <w:p w14:paraId="272EEA72" w14:textId="77777777" w:rsidR="00261FDA" w:rsidRPr="006B733D" w:rsidRDefault="00261FDA" w:rsidP="00261FDA">
      <w:pPr>
        <w:spacing w:line="360" w:lineRule="auto"/>
        <w:jc w:val="both"/>
        <w:rPr>
          <w:rFonts w:ascii="Palatino Linotype" w:hAnsi="Palatino Linotype" w:cs="Tahoma"/>
          <w:sz w:val="22"/>
          <w:szCs w:val="22"/>
        </w:rPr>
      </w:pPr>
    </w:p>
    <w:p w14:paraId="4DE4E3EA" w14:textId="77777777" w:rsidR="00261FDA" w:rsidRPr="006B733D" w:rsidRDefault="00261FDA" w:rsidP="00261FDA">
      <w:pPr>
        <w:spacing w:line="360" w:lineRule="auto"/>
        <w:jc w:val="both"/>
        <w:rPr>
          <w:rFonts w:ascii="Palatino Linotype" w:hAnsi="Palatino Linotype" w:cs="Tahoma"/>
          <w:iCs/>
          <w:sz w:val="22"/>
          <w:szCs w:val="22"/>
        </w:rPr>
      </w:pPr>
      <w:r w:rsidRPr="006B733D">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08734E" w14:textId="77777777" w:rsidR="00261FDA" w:rsidRPr="006B733D" w:rsidRDefault="00261FDA" w:rsidP="00261FDA">
      <w:pPr>
        <w:spacing w:line="360" w:lineRule="auto"/>
        <w:jc w:val="both"/>
        <w:rPr>
          <w:rFonts w:ascii="Palatino Linotype" w:eastAsia="Calibri" w:hAnsi="Palatino Linotype" w:cs="Tahoma"/>
          <w:sz w:val="22"/>
          <w:szCs w:val="22"/>
          <w:lang w:eastAsia="es-MX"/>
        </w:rPr>
      </w:pPr>
    </w:p>
    <w:p w14:paraId="1C3C5560" w14:textId="77777777" w:rsidR="00261FDA" w:rsidRPr="006B733D" w:rsidRDefault="00261FDA" w:rsidP="00261FDA">
      <w:pPr>
        <w:spacing w:line="360" w:lineRule="auto"/>
        <w:jc w:val="both"/>
        <w:rPr>
          <w:rFonts w:ascii="Palatino Linotype" w:hAnsi="Palatino Linotype" w:cs="Tahoma"/>
          <w:sz w:val="22"/>
          <w:szCs w:val="22"/>
        </w:rPr>
      </w:pPr>
      <w:r w:rsidRPr="006B733D">
        <w:rPr>
          <w:rFonts w:ascii="Palatino Linotype" w:eastAsia="Calibri" w:hAnsi="Palatino Linotype" w:cs="Tahoma"/>
          <w:b/>
          <w:sz w:val="22"/>
          <w:szCs w:val="22"/>
          <w:lang w:eastAsia="es-MX"/>
        </w:rPr>
        <w:t>CUARTO</w:t>
      </w:r>
      <w:r w:rsidRPr="006B733D">
        <w:rPr>
          <w:rFonts w:ascii="Palatino Linotype" w:eastAsia="Calibri" w:hAnsi="Palatino Linotype" w:cs="Tahoma"/>
          <w:b/>
          <w:bCs/>
          <w:sz w:val="22"/>
          <w:szCs w:val="22"/>
          <w:lang w:eastAsia="en-US"/>
        </w:rPr>
        <w:t>.</w:t>
      </w:r>
      <w:r w:rsidRPr="006B733D">
        <w:rPr>
          <w:rFonts w:ascii="Palatino Linotype" w:eastAsia="Calibri" w:hAnsi="Palatino Linotype" w:cs="Tahoma"/>
          <w:sz w:val="22"/>
          <w:szCs w:val="22"/>
          <w:lang w:eastAsia="es-MX"/>
        </w:rPr>
        <w:t xml:space="preserve"> </w:t>
      </w:r>
      <w:r w:rsidRPr="006B733D">
        <w:rPr>
          <w:rFonts w:ascii="Palatino Linotype" w:hAnsi="Palatino Linotype" w:cs="Tahoma"/>
          <w:b/>
          <w:sz w:val="22"/>
          <w:szCs w:val="22"/>
        </w:rPr>
        <w:t>NOTIFÍQUESE</w:t>
      </w:r>
      <w:r w:rsidRPr="006B733D">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1A3F5C7" w14:textId="77777777" w:rsidR="00261FDA" w:rsidRPr="006B733D" w:rsidRDefault="00261FDA" w:rsidP="00261FDA">
      <w:pPr>
        <w:spacing w:line="360" w:lineRule="auto"/>
        <w:jc w:val="both"/>
        <w:rPr>
          <w:rFonts w:ascii="Palatino Linotype" w:hAnsi="Palatino Linotype" w:cs="Tahoma"/>
          <w:sz w:val="22"/>
          <w:szCs w:val="22"/>
        </w:rPr>
      </w:pPr>
    </w:p>
    <w:p w14:paraId="1A18AC16" w14:textId="77777777" w:rsidR="00261FDA" w:rsidRDefault="00261FDA" w:rsidP="00261FDA">
      <w:pPr>
        <w:spacing w:line="360" w:lineRule="auto"/>
        <w:jc w:val="both"/>
        <w:rPr>
          <w:rFonts w:ascii="Palatino Linotype" w:eastAsia="Palatino Linotype" w:hAnsi="Palatino Linotype" w:cstheme="minorHAnsi"/>
          <w:sz w:val="22"/>
          <w:szCs w:val="22"/>
        </w:rPr>
      </w:pPr>
      <w:r w:rsidRPr="006B733D">
        <w:rPr>
          <w:rFonts w:ascii="Palatino Linotype" w:eastAsia="Palatino Linotype" w:hAnsi="Palatino Linotype" w:cstheme="minorHAnsi"/>
          <w:color w:val="222222"/>
          <w:sz w:val="22"/>
          <w:szCs w:val="22"/>
        </w:rPr>
        <w:t xml:space="preserve">ASÍ LO RESUELVE, POR </w:t>
      </w:r>
      <w:r w:rsidRPr="00DB0DB7">
        <w:rPr>
          <w:rFonts w:ascii="Palatino Linotype" w:eastAsia="Palatino Linotype" w:hAnsi="Palatino Linotype" w:cstheme="minorHAnsi"/>
          <w:b/>
          <w:color w:val="222222"/>
          <w:sz w:val="22"/>
          <w:szCs w:val="22"/>
        </w:rPr>
        <w:t>MAYORÍA</w:t>
      </w:r>
      <w:r w:rsidRPr="006B733D">
        <w:rPr>
          <w:rFonts w:ascii="Palatino Linotype" w:eastAsia="Palatino Linotype" w:hAnsi="Palatino Linotype" w:cstheme="minorHAnsi"/>
          <w:color w:val="222222"/>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eastAsia="Palatino Linotype" w:hAnsi="Palatino Linotype" w:cstheme="minorHAnsi"/>
          <w:color w:val="222222"/>
          <w:sz w:val="22"/>
          <w:szCs w:val="22"/>
        </w:rPr>
        <w:t xml:space="preserve"> (</w:t>
      </w:r>
      <w:r w:rsidRPr="006B733D">
        <w:rPr>
          <w:rFonts w:ascii="Palatino Linotype" w:eastAsia="Palatino Linotype" w:hAnsi="Palatino Linotype" w:cstheme="minorHAnsi"/>
          <w:color w:val="222222"/>
          <w:sz w:val="22"/>
          <w:szCs w:val="22"/>
        </w:rPr>
        <w:t>AUSENCIA JUSTIFICADA</w:t>
      </w:r>
      <w:r>
        <w:rPr>
          <w:rFonts w:ascii="Palatino Linotype" w:eastAsia="Palatino Linotype" w:hAnsi="Palatino Linotype" w:cstheme="minorHAnsi"/>
          <w:color w:val="222222"/>
          <w:sz w:val="22"/>
          <w:szCs w:val="22"/>
        </w:rPr>
        <w:t>)</w:t>
      </w:r>
      <w:r w:rsidRPr="006B733D">
        <w:rPr>
          <w:rFonts w:ascii="Palatino Linotype" w:eastAsia="Palatino Linotype" w:hAnsi="Palatino Linotype" w:cstheme="minorHAnsi"/>
          <w:color w:val="222222"/>
          <w:sz w:val="22"/>
          <w:szCs w:val="22"/>
        </w:rPr>
        <w:t>, LUIS GUSTAVO PARRA NORIEGA Y GUADALUPE RAMÍREZ PEÑA CON VOTO DISIDENTE; EN LA TRIGÉSIMA SÉPTIMA SESIÓN ORDINARIA CELEBRADA EL DOCE DE OCTUBRE</w:t>
      </w:r>
      <w:r w:rsidRPr="006B733D">
        <w:rPr>
          <w:rFonts w:ascii="Palatino Linotype" w:eastAsia="Palatino Linotype" w:hAnsi="Palatino Linotype" w:cstheme="minorHAnsi"/>
          <w:sz w:val="22"/>
          <w:szCs w:val="22"/>
        </w:rPr>
        <w:t xml:space="preserve"> DEL DOS MIL VEINTITRÉS, ANTE EL SECRETARIO TÉCNICO DEL PLENO ALEXIS TAPIA RAMÍREZ.</w:t>
      </w:r>
      <w:r>
        <w:rPr>
          <w:rFonts w:ascii="Palatino Linotype" w:eastAsia="Palatino Linotype" w:hAnsi="Palatino Linotype" w:cstheme="minorHAnsi"/>
          <w:sz w:val="22"/>
          <w:szCs w:val="22"/>
        </w:rPr>
        <w:t xml:space="preserve">                         </w:t>
      </w:r>
    </w:p>
    <w:p w14:paraId="3F8E84D6" w14:textId="77777777" w:rsidR="00261FDA" w:rsidRDefault="00261FDA" w:rsidP="00261FDA">
      <w:pPr>
        <w:spacing w:line="360" w:lineRule="auto"/>
        <w:jc w:val="both"/>
        <w:rPr>
          <w:rFonts w:ascii="Palatino Linotype" w:eastAsia="Palatino Linotype" w:hAnsi="Palatino Linotype" w:cstheme="minorHAnsi"/>
          <w:sz w:val="22"/>
          <w:szCs w:val="22"/>
        </w:rPr>
      </w:pPr>
    </w:p>
    <w:p w14:paraId="598ACC19" w14:textId="77777777" w:rsidR="00261FDA" w:rsidRDefault="00261FDA" w:rsidP="00261FDA">
      <w:pPr>
        <w:spacing w:line="360" w:lineRule="auto"/>
        <w:jc w:val="both"/>
        <w:rPr>
          <w:rFonts w:ascii="Palatino Linotype" w:eastAsia="Palatino Linotype" w:hAnsi="Palatino Linotype" w:cstheme="minorHAnsi"/>
          <w:sz w:val="22"/>
          <w:szCs w:val="22"/>
        </w:rPr>
      </w:pPr>
    </w:p>
    <w:p w14:paraId="3CC4CA6D" w14:textId="77777777" w:rsidR="00261FDA" w:rsidRPr="00EE1D13" w:rsidRDefault="00261FDA" w:rsidP="00261FDA">
      <w:pPr>
        <w:spacing w:line="360" w:lineRule="auto"/>
        <w:jc w:val="both"/>
        <w:rPr>
          <w:rFonts w:ascii="Palatino Linotype" w:eastAsia="Palatino Linotype" w:hAnsi="Palatino Linotype" w:cstheme="minorHAnsi"/>
          <w:sz w:val="22"/>
          <w:szCs w:val="22"/>
        </w:rPr>
        <w:sectPr w:rsidR="00261FDA" w:rsidRPr="00EE1D13" w:rsidSect="00D54063">
          <w:headerReference w:type="default" r:id="rId18"/>
          <w:footerReference w:type="default" r:id="rId19"/>
          <w:headerReference w:type="first" r:id="rId20"/>
          <w:footerReference w:type="first" r:id="rId21"/>
          <w:pgSz w:w="12240" w:h="15840"/>
          <w:pgMar w:top="2041" w:right="1701" w:bottom="1701" w:left="1701" w:header="426" w:footer="709" w:gutter="0"/>
          <w:pgNumType w:start="1"/>
          <w:cols w:space="720"/>
          <w:titlePg/>
        </w:sectPr>
      </w:pPr>
    </w:p>
    <w:p w14:paraId="64968E4A" w14:textId="77777777" w:rsidR="00261FDA" w:rsidRPr="00EE1D13" w:rsidRDefault="00261FDA" w:rsidP="00261FDA">
      <w:pPr>
        <w:spacing w:line="360" w:lineRule="auto"/>
        <w:jc w:val="both"/>
        <w:rPr>
          <w:rFonts w:ascii="Palatino Linotype" w:eastAsia="Palatino Linotype" w:hAnsi="Palatino Linotype" w:cstheme="minorHAnsi"/>
          <w:sz w:val="22"/>
          <w:szCs w:val="22"/>
        </w:rPr>
      </w:pPr>
    </w:p>
    <w:p w14:paraId="52393442" w14:textId="1A0426F6" w:rsidR="00192095" w:rsidRPr="00261FDA" w:rsidRDefault="00192095" w:rsidP="00261FDA">
      <w:pPr>
        <w:rPr>
          <w:rFonts w:eastAsia="Calibri"/>
        </w:rPr>
      </w:pPr>
    </w:p>
    <w:sectPr w:rsidR="00192095" w:rsidRPr="00261FDA" w:rsidSect="000A6D46">
      <w:headerReference w:type="even" r:id="rId22"/>
      <w:headerReference w:type="default" r:id="rId23"/>
      <w:footerReference w:type="even" r:id="rId24"/>
      <w:footerReference w:type="default" r:id="rId25"/>
      <w:headerReference w:type="first" r:id="rId26"/>
      <w:footerReference w:type="first" r:id="rId2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58A9F" w14:textId="77777777" w:rsidR="009207E9" w:rsidRDefault="009207E9" w:rsidP="0095634C">
      <w:r>
        <w:separator/>
      </w:r>
    </w:p>
  </w:endnote>
  <w:endnote w:type="continuationSeparator" w:id="0">
    <w:p w14:paraId="1D1914B3" w14:textId="77777777" w:rsidR="009207E9" w:rsidRDefault="009207E9" w:rsidP="0095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78BEC" w14:textId="77777777" w:rsidR="00261FDA" w:rsidRDefault="00261FDA">
    <w:pPr>
      <w:pBdr>
        <w:top w:val="nil"/>
        <w:left w:val="nil"/>
        <w:bottom w:val="nil"/>
        <w:right w:val="nil"/>
        <w:between w:val="nil"/>
      </w:pBdr>
      <w:tabs>
        <w:tab w:val="center" w:pos="4252"/>
        <w:tab w:val="right" w:pos="8504"/>
      </w:tabs>
      <w:jc w:val="right"/>
      <w:rPr>
        <w:rFonts w:ascii="Arial" w:eastAsia="Arial" w:hAnsi="Arial" w:cs="Arial"/>
        <w:color w:val="000000"/>
      </w:rPr>
    </w:pPr>
    <w:r>
      <w:rPr>
        <w:rFonts w:ascii="Arial" w:eastAsia="Arial" w:hAnsi="Arial" w:cs="Arial"/>
        <w:b/>
        <w:color w:val="000000"/>
      </w:rPr>
      <w:t xml:space="preserve">Página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6A746E">
      <w:rPr>
        <w:rFonts w:ascii="Arial" w:eastAsia="Arial" w:hAnsi="Arial" w:cs="Arial"/>
        <w:b/>
        <w:noProof/>
        <w:color w:val="000000"/>
      </w:rPr>
      <w:t>54</w:t>
    </w:r>
    <w:r>
      <w:rPr>
        <w:rFonts w:ascii="Arial" w:eastAsia="Arial" w:hAnsi="Arial" w:cs="Arial"/>
        <w:b/>
        <w:color w:val="000000"/>
      </w:rPr>
      <w:fldChar w:fldCharType="end"/>
    </w:r>
    <w:r>
      <w:rPr>
        <w:rFonts w:ascii="Arial" w:eastAsia="Arial" w:hAnsi="Arial" w:cs="Arial"/>
        <w:color w:val="000000"/>
      </w:rPr>
      <w:t xml:space="preserve"> de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6A746E">
      <w:rPr>
        <w:rFonts w:ascii="Arial" w:eastAsia="Arial" w:hAnsi="Arial" w:cs="Arial"/>
        <w:b/>
        <w:noProof/>
        <w:color w:val="000000"/>
      </w:rPr>
      <w:t>55</w:t>
    </w:r>
    <w:r>
      <w:rPr>
        <w:rFonts w:ascii="Arial" w:eastAsia="Arial" w:hAnsi="Arial" w:cs="Arial"/>
        <w:b/>
        <w:color w:val="000000"/>
      </w:rPr>
      <w:fldChar w:fldCharType="end"/>
    </w:r>
  </w:p>
  <w:p w14:paraId="74DFD5F7" w14:textId="77777777" w:rsidR="00261FDA" w:rsidRDefault="00261FDA">
    <w:pPr>
      <w:pBdr>
        <w:top w:val="nil"/>
        <w:left w:val="nil"/>
        <w:bottom w:val="nil"/>
        <w:right w:val="nil"/>
        <w:between w:val="nil"/>
      </w:pBdr>
      <w:tabs>
        <w:tab w:val="center" w:pos="4252"/>
        <w:tab w:val="right" w:pos="8504"/>
      </w:tabs>
      <w:rPr>
        <w:color w:val="000000"/>
      </w:rPr>
    </w:pPr>
  </w:p>
  <w:p w14:paraId="4A206109" w14:textId="77777777" w:rsidR="00261FDA" w:rsidRDefault="00261FD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01249" w14:textId="77777777" w:rsidR="00261FDA" w:rsidRDefault="00261FDA">
    <w:pPr>
      <w:pBdr>
        <w:top w:val="nil"/>
        <w:left w:val="nil"/>
        <w:bottom w:val="nil"/>
        <w:right w:val="nil"/>
        <w:between w:val="nil"/>
      </w:pBdr>
      <w:tabs>
        <w:tab w:val="center" w:pos="4252"/>
        <w:tab w:val="right" w:pos="8504"/>
      </w:tabs>
      <w:jc w:val="right"/>
      <w:rPr>
        <w:rFonts w:ascii="Arial" w:eastAsia="Arial" w:hAnsi="Arial" w:cs="Arial"/>
        <w:color w:val="000000"/>
      </w:rPr>
    </w:pPr>
    <w:r>
      <w:rPr>
        <w:rFonts w:ascii="Arial" w:eastAsia="Arial" w:hAnsi="Arial" w:cs="Arial"/>
        <w:b/>
        <w:color w:val="000000"/>
      </w:rPr>
      <w:t xml:space="preserve">Página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6A746E">
      <w:rPr>
        <w:rFonts w:ascii="Arial" w:eastAsia="Arial" w:hAnsi="Arial" w:cs="Arial"/>
        <w:b/>
        <w:noProof/>
        <w:color w:val="000000"/>
      </w:rPr>
      <w:t>1</w:t>
    </w:r>
    <w:r>
      <w:rPr>
        <w:rFonts w:ascii="Arial" w:eastAsia="Arial" w:hAnsi="Arial" w:cs="Arial"/>
        <w:b/>
        <w:color w:val="000000"/>
      </w:rPr>
      <w:fldChar w:fldCharType="end"/>
    </w:r>
    <w:r>
      <w:rPr>
        <w:rFonts w:ascii="Arial" w:eastAsia="Arial" w:hAnsi="Arial" w:cs="Arial"/>
        <w:color w:val="000000"/>
      </w:rPr>
      <w:t xml:space="preserve"> de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6A746E">
      <w:rPr>
        <w:rFonts w:ascii="Arial" w:eastAsia="Arial" w:hAnsi="Arial" w:cs="Arial"/>
        <w:b/>
        <w:noProof/>
        <w:color w:val="000000"/>
      </w:rPr>
      <w:t>55</w:t>
    </w:r>
    <w:r>
      <w:rPr>
        <w:rFonts w:ascii="Arial" w:eastAsia="Arial" w:hAnsi="Arial" w:cs="Arial"/>
        <w:b/>
        <w:color w:val="000000"/>
      </w:rPr>
      <w:fldChar w:fldCharType="end"/>
    </w:r>
  </w:p>
  <w:p w14:paraId="108A2C80" w14:textId="77777777" w:rsidR="00261FDA" w:rsidRDefault="00261FD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5F8E97D8" w14:textId="77777777" w:rsidR="00910905" w:rsidRDefault="00910905">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A746E">
              <w:rPr>
                <w:rFonts w:ascii="Palatino Linotype" w:hAnsi="Palatino Linotype"/>
                <w:b/>
                <w:bCs/>
                <w:noProof/>
                <w:sz w:val="22"/>
                <w:szCs w:val="22"/>
              </w:rPr>
              <w:t>55</w:t>
            </w:r>
            <w:r w:rsidRPr="00AA25BA">
              <w:rPr>
                <w:rFonts w:ascii="Palatino Linotype" w:hAnsi="Palatino Linotype"/>
                <w:b/>
                <w:bCs/>
                <w:sz w:val="22"/>
                <w:szCs w:val="22"/>
              </w:rPr>
              <w:fldChar w:fldCharType="end"/>
            </w:r>
          </w:p>
        </w:sdtContent>
      </w:sdt>
    </w:sdtContent>
  </w:sdt>
  <w:p w14:paraId="7C6413FB" w14:textId="77777777" w:rsidR="00910905" w:rsidRDefault="0091090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3613C1FE" w14:textId="77777777" w:rsidR="00910905" w:rsidRDefault="00910905">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261FDA">
              <w:rPr>
                <w:rFonts w:ascii="Palatino Linotype" w:hAnsi="Palatino Linotype"/>
                <w:b/>
                <w:bCs/>
                <w:noProof/>
                <w:sz w:val="22"/>
                <w:szCs w:val="22"/>
              </w:rPr>
              <w:t>21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A746E">
              <w:rPr>
                <w:rFonts w:ascii="Palatino Linotype" w:hAnsi="Palatino Linotype"/>
                <w:b/>
                <w:bCs/>
                <w:noProof/>
                <w:sz w:val="22"/>
                <w:szCs w:val="22"/>
              </w:rPr>
              <w:t>55</w:t>
            </w:r>
            <w:r w:rsidRPr="00AA25BA">
              <w:rPr>
                <w:rFonts w:ascii="Palatino Linotype" w:hAnsi="Palatino Linotype"/>
                <w:b/>
                <w:bCs/>
                <w:sz w:val="22"/>
                <w:szCs w:val="22"/>
              </w:rPr>
              <w:fldChar w:fldCharType="end"/>
            </w:r>
          </w:p>
        </w:sdtContent>
      </w:sdt>
    </w:sdtContent>
  </w:sdt>
  <w:p w14:paraId="2F0605D7" w14:textId="77777777" w:rsidR="00910905" w:rsidRDefault="0091090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76DDF1F7" w14:textId="77777777" w:rsidR="00910905" w:rsidRPr="00AA25BA" w:rsidRDefault="00910905">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6A746E">
              <w:rPr>
                <w:rFonts w:ascii="Palatino Linotype" w:hAnsi="Palatino Linotype"/>
                <w:b/>
                <w:bCs/>
                <w:noProof/>
                <w:sz w:val="22"/>
                <w:szCs w:val="22"/>
              </w:rPr>
              <w:t>55</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A746E">
              <w:rPr>
                <w:rFonts w:ascii="Palatino Linotype" w:hAnsi="Palatino Linotype"/>
                <w:b/>
                <w:bCs/>
                <w:noProof/>
                <w:sz w:val="22"/>
                <w:szCs w:val="22"/>
              </w:rPr>
              <w:t>55</w:t>
            </w:r>
            <w:r w:rsidRPr="00AA25BA">
              <w:rPr>
                <w:rFonts w:ascii="Palatino Linotype" w:hAnsi="Palatino Linotype"/>
                <w:b/>
                <w:bCs/>
                <w:sz w:val="22"/>
                <w:szCs w:val="22"/>
              </w:rPr>
              <w:fldChar w:fldCharType="end"/>
            </w:r>
          </w:p>
        </w:sdtContent>
      </w:sdt>
    </w:sdtContent>
  </w:sdt>
  <w:p w14:paraId="3B988A6A" w14:textId="77777777" w:rsidR="00910905" w:rsidRDefault="009109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A2555" w14:textId="77777777" w:rsidR="009207E9" w:rsidRDefault="009207E9" w:rsidP="0095634C">
      <w:r>
        <w:separator/>
      </w:r>
    </w:p>
  </w:footnote>
  <w:footnote w:type="continuationSeparator" w:id="0">
    <w:p w14:paraId="01D93D2C" w14:textId="77777777" w:rsidR="009207E9" w:rsidRDefault="009207E9" w:rsidP="00956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49217" w14:textId="77777777" w:rsidR="00261FDA" w:rsidRDefault="00261FDA">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7728" behindDoc="1" locked="0" layoutInCell="1" hidden="0" allowOverlap="1" wp14:anchorId="0508A748" wp14:editId="38061587">
          <wp:simplePos x="0" y="0"/>
          <wp:positionH relativeFrom="column">
            <wp:posOffset>-1061085</wp:posOffset>
          </wp:positionH>
          <wp:positionV relativeFrom="paragraph">
            <wp:posOffset>-175260</wp:posOffset>
          </wp:positionV>
          <wp:extent cx="8178093" cy="1067371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92353" cy="10692327"/>
                  </a:xfrm>
                  <a:prstGeom prst="rect">
                    <a:avLst/>
                  </a:prstGeom>
                  <a:ln/>
                </pic:spPr>
              </pic:pic>
            </a:graphicData>
          </a:graphic>
          <wp14:sizeRelH relativeFrom="margin">
            <wp14:pctWidth>0</wp14:pctWidth>
          </wp14:sizeRelH>
          <wp14:sizeRelV relativeFrom="margin">
            <wp14:pctHeight>0</wp14:pctHeight>
          </wp14:sizeRelV>
        </wp:anchor>
      </w:drawing>
    </w:r>
  </w:p>
  <w:tbl>
    <w:tblPr>
      <w:tblW w:w="6946" w:type="dxa"/>
      <w:tblInd w:w="1985" w:type="dxa"/>
      <w:tblLayout w:type="fixed"/>
      <w:tblLook w:val="0400" w:firstRow="0" w:lastRow="0" w:firstColumn="0" w:lastColumn="0" w:noHBand="0" w:noVBand="1"/>
    </w:tblPr>
    <w:tblGrid>
      <w:gridCol w:w="2551"/>
      <w:gridCol w:w="4395"/>
    </w:tblGrid>
    <w:tr w:rsidR="00261FDA" w14:paraId="051195DE" w14:textId="77777777" w:rsidTr="00393B7F">
      <w:tc>
        <w:tcPr>
          <w:tcW w:w="2551" w:type="dxa"/>
        </w:tcPr>
        <w:p w14:paraId="16C563E9" w14:textId="77777777" w:rsidR="00261FDA" w:rsidRDefault="00261F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5" w:type="dxa"/>
        </w:tcPr>
        <w:p w14:paraId="2D969652" w14:textId="77777777" w:rsidR="00261FDA" w:rsidRPr="00393B7F" w:rsidRDefault="00261FDA">
          <w:pPr>
            <w:jc w:val="both"/>
            <w:rPr>
              <w:rFonts w:ascii="Palatino Linotype" w:eastAsia="Palatino Linotype" w:hAnsi="Palatino Linotype" w:cs="Palatino Linotype"/>
              <w:sz w:val="22"/>
              <w:szCs w:val="22"/>
            </w:rPr>
          </w:pPr>
          <w:r w:rsidRPr="00393B7F">
            <w:rPr>
              <w:rFonts w:ascii="Palatino Linotype" w:eastAsia="Palatino Linotype" w:hAnsi="Palatino Linotype" w:cs="Palatino Linotype"/>
              <w:sz w:val="22"/>
              <w:szCs w:val="22"/>
            </w:rPr>
            <w:t>17324/INFOEM/IP/RR/2022</w:t>
          </w:r>
        </w:p>
      </w:tc>
    </w:tr>
    <w:tr w:rsidR="00261FDA" w14:paraId="73B0FBE8" w14:textId="77777777" w:rsidTr="00393B7F">
      <w:trPr>
        <w:trHeight w:val="228"/>
      </w:trPr>
      <w:tc>
        <w:tcPr>
          <w:tcW w:w="2551" w:type="dxa"/>
        </w:tcPr>
        <w:p w14:paraId="0EAF2378" w14:textId="77777777" w:rsidR="00261FDA" w:rsidRPr="00393B7F" w:rsidRDefault="00261FDA" w:rsidP="00393B7F">
          <w:pPr>
            <w:rPr>
              <w:rFonts w:ascii="Palatino Linotype" w:eastAsia="Palatino Linotype" w:hAnsi="Palatino Linotype" w:cs="Palatino Linotype"/>
              <w:b/>
              <w:sz w:val="22"/>
              <w:szCs w:val="22"/>
            </w:rPr>
          </w:pPr>
          <w:r w:rsidRPr="00393B7F">
            <w:rPr>
              <w:rFonts w:ascii="Palatino Linotype" w:eastAsia="Palatino Linotype" w:hAnsi="Palatino Linotype" w:cs="Palatino Linotype"/>
              <w:b/>
              <w:sz w:val="22"/>
              <w:szCs w:val="22"/>
            </w:rPr>
            <w:t>Sujeto Obligado:</w:t>
          </w:r>
        </w:p>
      </w:tc>
      <w:tc>
        <w:tcPr>
          <w:tcW w:w="4395" w:type="dxa"/>
        </w:tcPr>
        <w:p w14:paraId="6FF06073" w14:textId="77777777" w:rsidR="00261FDA" w:rsidRPr="00393B7F" w:rsidRDefault="00261FDA">
          <w:pPr>
            <w:jc w:val="both"/>
            <w:rPr>
              <w:rFonts w:ascii="Palatino Linotype" w:eastAsia="Palatino Linotype" w:hAnsi="Palatino Linotype" w:cs="Palatino Linotype"/>
              <w:sz w:val="22"/>
              <w:szCs w:val="22"/>
            </w:rPr>
          </w:pPr>
          <w:r w:rsidRPr="00393B7F">
            <w:rPr>
              <w:rFonts w:ascii="Palatino Linotype" w:eastAsia="Palatino Linotype" w:hAnsi="Palatino Linotype" w:cs="Palatino Linotype"/>
              <w:sz w:val="22"/>
              <w:szCs w:val="22"/>
            </w:rPr>
            <w:t>Instituto de Transparencia, Acceso a la Información Pública y Protección de Datos Personales del Estado de México y Municipios</w:t>
          </w:r>
        </w:p>
      </w:tc>
    </w:tr>
    <w:tr w:rsidR="00261FDA" w14:paraId="3513127B" w14:textId="77777777" w:rsidTr="00393B7F">
      <w:tc>
        <w:tcPr>
          <w:tcW w:w="2551" w:type="dxa"/>
        </w:tcPr>
        <w:p w14:paraId="67BCF548" w14:textId="77777777" w:rsidR="00261FDA" w:rsidRDefault="00261F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395" w:type="dxa"/>
        </w:tcPr>
        <w:p w14:paraId="571AAAB0" w14:textId="77777777" w:rsidR="00261FDA" w:rsidRPr="00393B7F" w:rsidRDefault="00261FDA">
          <w:pPr>
            <w:ind w:right="-533"/>
            <w:jc w:val="both"/>
            <w:rPr>
              <w:rFonts w:ascii="Palatino Linotype" w:eastAsia="Palatino Linotype" w:hAnsi="Palatino Linotype" w:cs="Palatino Linotype"/>
              <w:sz w:val="22"/>
              <w:szCs w:val="22"/>
            </w:rPr>
          </w:pPr>
          <w:r w:rsidRPr="00393B7F">
            <w:rPr>
              <w:rFonts w:ascii="Palatino Linotype" w:eastAsia="Palatino Linotype" w:hAnsi="Palatino Linotype" w:cs="Palatino Linotype"/>
              <w:sz w:val="22"/>
              <w:szCs w:val="22"/>
            </w:rPr>
            <w:t>Luis Gustavo Parra Noriega</w:t>
          </w:r>
        </w:p>
      </w:tc>
    </w:tr>
  </w:tbl>
  <w:p w14:paraId="37B8CBC8" w14:textId="77777777" w:rsidR="00261FDA" w:rsidRDefault="00261FD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E9D16" w14:textId="77777777" w:rsidR="00261FDA" w:rsidRDefault="00261FD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58752" behindDoc="1" locked="0" layoutInCell="1" hidden="0" allowOverlap="1" wp14:anchorId="5C74A180" wp14:editId="016493F4">
          <wp:simplePos x="0" y="0"/>
          <wp:positionH relativeFrom="column">
            <wp:posOffset>-846156</wp:posOffset>
          </wp:positionH>
          <wp:positionV relativeFrom="paragraph">
            <wp:posOffset>-171227</wp:posOffset>
          </wp:positionV>
          <wp:extent cx="7809876" cy="1016582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W w:w="6663" w:type="dxa"/>
      <w:tblInd w:w="2268" w:type="dxa"/>
      <w:tblLayout w:type="fixed"/>
      <w:tblLook w:val="0400" w:firstRow="0" w:lastRow="0" w:firstColumn="0" w:lastColumn="0" w:noHBand="0" w:noVBand="1"/>
    </w:tblPr>
    <w:tblGrid>
      <w:gridCol w:w="2551"/>
      <w:gridCol w:w="4112"/>
    </w:tblGrid>
    <w:tr w:rsidR="00261FDA" w14:paraId="62C62A80" w14:textId="77777777" w:rsidTr="00393B7F">
      <w:tc>
        <w:tcPr>
          <w:tcW w:w="2551" w:type="dxa"/>
          <w:vAlign w:val="center"/>
        </w:tcPr>
        <w:p w14:paraId="3F6D0B9E" w14:textId="77777777" w:rsidR="00261FDA" w:rsidRDefault="00261F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2" w:type="dxa"/>
          <w:vAlign w:val="center"/>
        </w:tcPr>
        <w:p w14:paraId="55636FD5" w14:textId="77777777" w:rsidR="00261FDA" w:rsidRPr="00393B7F" w:rsidRDefault="00261FDA">
          <w:pPr>
            <w:jc w:val="both"/>
            <w:rPr>
              <w:rFonts w:ascii="Palatino Linotype" w:eastAsia="Palatino Linotype" w:hAnsi="Palatino Linotype" w:cs="Palatino Linotype"/>
              <w:sz w:val="22"/>
              <w:szCs w:val="22"/>
            </w:rPr>
          </w:pPr>
          <w:r w:rsidRPr="00393B7F">
            <w:rPr>
              <w:rFonts w:ascii="Palatino Linotype" w:eastAsia="Palatino Linotype" w:hAnsi="Palatino Linotype" w:cs="Palatino Linotype"/>
              <w:sz w:val="22"/>
              <w:szCs w:val="22"/>
            </w:rPr>
            <w:t>17324/INFOEM/IP/RR/2022</w:t>
          </w:r>
        </w:p>
      </w:tc>
    </w:tr>
    <w:tr w:rsidR="00261FDA" w14:paraId="41DBE62B" w14:textId="77777777" w:rsidTr="00393B7F">
      <w:tc>
        <w:tcPr>
          <w:tcW w:w="2551" w:type="dxa"/>
          <w:vAlign w:val="center"/>
        </w:tcPr>
        <w:p w14:paraId="67594E75" w14:textId="77777777" w:rsidR="00261FDA" w:rsidRDefault="00261FD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2" w:type="dxa"/>
          <w:vAlign w:val="center"/>
        </w:tcPr>
        <w:p w14:paraId="6823D62A" w14:textId="77777777" w:rsidR="00261FDA" w:rsidRPr="00393B7F" w:rsidRDefault="00261FDA">
          <w:pPr>
            <w:ind w:right="27"/>
            <w:jc w:val="both"/>
            <w:rPr>
              <w:rFonts w:ascii="Palatino Linotype" w:eastAsia="Palatino Linotype" w:hAnsi="Palatino Linotype" w:cs="Palatino Linotype"/>
              <w:sz w:val="22"/>
              <w:szCs w:val="22"/>
            </w:rPr>
          </w:pPr>
        </w:p>
      </w:tc>
    </w:tr>
    <w:tr w:rsidR="00261FDA" w14:paraId="49B80B67" w14:textId="77777777" w:rsidTr="00393B7F">
      <w:trPr>
        <w:trHeight w:val="228"/>
      </w:trPr>
      <w:tc>
        <w:tcPr>
          <w:tcW w:w="2551" w:type="dxa"/>
        </w:tcPr>
        <w:p w14:paraId="2C19E274" w14:textId="77777777" w:rsidR="00261FDA" w:rsidRPr="00393B7F" w:rsidRDefault="00261FDA" w:rsidP="00393B7F">
          <w:pPr>
            <w:rPr>
              <w:rFonts w:ascii="Palatino Linotype" w:eastAsia="Palatino Linotype" w:hAnsi="Palatino Linotype" w:cs="Palatino Linotype"/>
              <w:b/>
              <w:sz w:val="22"/>
              <w:szCs w:val="22"/>
            </w:rPr>
          </w:pPr>
          <w:r w:rsidRPr="00393B7F">
            <w:rPr>
              <w:rFonts w:ascii="Palatino Linotype" w:eastAsia="Palatino Linotype" w:hAnsi="Palatino Linotype" w:cs="Palatino Linotype"/>
              <w:b/>
              <w:sz w:val="22"/>
              <w:szCs w:val="22"/>
            </w:rPr>
            <w:t>Sujeto Obligado:</w:t>
          </w:r>
        </w:p>
      </w:tc>
      <w:tc>
        <w:tcPr>
          <w:tcW w:w="4112" w:type="dxa"/>
          <w:vAlign w:val="center"/>
        </w:tcPr>
        <w:p w14:paraId="78114604" w14:textId="77777777" w:rsidR="00261FDA" w:rsidRPr="00393B7F" w:rsidRDefault="00261FDA" w:rsidP="00ED2A07">
          <w:pPr>
            <w:jc w:val="both"/>
            <w:rPr>
              <w:rFonts w:ascii="Palatino Linotype" w:eastAsia="Palatino Linotype" w:hAnsi="Palatino Linotype" w:cs="Palatino Linotype"/>
              <w:sz w:val="22"/>
              <w:szCs w:val="22"/>
            </w:rPr>
          </w:pPr>
          <w:r w:rsidRPr="00393B7F">
            <w:rPr>
              <w:rFonts w:ascii="Palatino Linotype" w:eastAsia="Palatino Linotype" w:hAnsi="Palatino Linotype" w:cs="Palatino Linotype"/>
              <w:sz w:val="22"/>
              <w:szCs w:val="22"/>
            </w:rPr>
            <w:t>Instituto de Transparencia, Acceso a la Información Pública y Protección de Datos Personales del Estado de México y Municipios</w:t>
          </w:r>
        </w:p>
      </w:tc>
    </w:tr>
    <w:tr w:rsidR="00261FDA" w14:paraId="4F66B5E9" w14:textId="77777777" w:rsidTr="00393B7F">
      <w:tc>
        <w:tcPr>
          <w:tcW w:w="2551" w:type="dxa"/>
          <w:vAlign w:val="center"/>
        </w:tcPr>
        <w:p w14:paraId="349A4350" w14:textId="77777777" w:rsidR="00261FDA" w:rsidRDefault="00261FDA" w:rsidP="00D540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2" w:type="dxa"/>
          <w:vAlign w:val="center"/>
        </w:tcPr>
        <w:p w14:paraId="1D152630" w14:textId="77777777" w:rsidR="00261FDA" w:rsidRPr="00393B7F" w:rsidRDefault="00261FDA">
          <w:pPr>
            <w:ind w:right="-533"/>
            <w:jc w:val="both"/>
            <w:rPr>
              <w:rFonts w:ascii="Palatino Linotype" w:eastAsia="Palatino Linotype" w:hAnsi="Palatino Linotype" w:cs="Palatino Linotype"/>
              <w:sz w:val="22"/>
              <w:szCs w:val="22"/>
            </w:rPr>
          </w:pPr>
          <w:r w:rsidRPr="00393B7F">
            <w:rPr>
              <w:rFonts w:ascii="Palatino Linotype" w:eastAsia="Palatino Linotype" w:hAnsi="Palatino Linotype" w:cs="Palatino Linotype"/>
              <w:sz w:val="22"/>
              <w:szCs w:val="22"/>
            </w:rPr>
            <w:t>Luis Gustavo Parra Noriega</w:t>
          </w:r>
        </w:p>
      </w:tc>
    </w:tr>
  </w:tbl>
  <w:p w14:paraId="325D8782" w14:textId="77777777" w:rsidR="00261FDA" w:rsidRDefault="00261FD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910905" w14:paraId="79D54291" w14:textId="77777777" w:rsidTr="002854E5">
      <w:trPr>
        <w:trHeight w:val="1435"/>
      </w:trPr>
      <w:tc>
        <w:tcPr>
          <w:tcW w:w="2972" w:type="dxa"/>
        </w:tcPr>
        <w:p w14:paraId="09131A3E" w14:textId="77777777" w:rsidR="00910905" w:rsidRDefault="00910905" w:rsidP="002854E5">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910905" w14:paraId="3B03FB1C" w14:textId="77777777" w:rsidTr="002854E5">
            <w:trPr>
              <w:trHeight w:val="144"/>
            </w:trPr>
            <w:tc>
              <w:tcPr>
                <w:tcW w:w="2447" w:type="dxa"/>
                <w:hideMark/>
              </w:tcPr>
              <w:p w14:paraId="3CE26B04" w14:textId="77777777" w:rsidR="00910905" w:rsidRPr="008A245E" w:rsidRDefault="00910905" w:rsidP="002854E5">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55305A45" w14:textId="77777777" w:rsidR="00910905" w:rsidRPr="008A245E" w:rsidRDefault="00910905" w:rsidP="002854E5">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val="es-MX" w:eastAsia="en-US"/>
                  </w:rPr>
                  <w:t>02946/INFOEM/IP/RR/2021</w:t>
                </w:r>
              </w:p>
            </w:tc>
          </w:tr>
          <w:tr w:rsidR="00910905" w14:paraId="15071BA1" w14:textId="77777777" w:rsidTr="002854E5">
            <w:trPr>
              <w:trHeight w:val="283"/>
            </w:trPr>
            <w:tc>
              <w:tcPr>
                <w:tcW w:w="2447" w:type="dxa"/>
                <w:hideMark/>
              </w:tcPr>
              <w:p w14:paraId="22C5262F" w14:textId="77777777" w:rsidR="00910905" w:rsidRPr="008A245E" w:rsidRDefault="00910905" w:rsidP="002854E5">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05697B8" w14:textId="77777777" w:rsidR="00910905" w:rsidRPr="008A245E" w:rsidRDefault="00910905" w:rsidP="002854E5">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val="es-MX" w:eastAsia="en-US"/>
                  </w:rPr>
                  <w:t>Ayuntamiento de San Antonio la Isla</w:t>
                </w:r>
              </w:p>
            </w:tc>
          </w:tr>
          <w:tr w:rsidR="00910905" w14:paraId="4E4D191A" w14:textId="77777777" w:rsidTr="002854E5">
            <w:trPr>
              <w:trHeight w:val="283"/>
            </w:trPr>
            <w:tc>
              <w:tcPr>
                <w:tcW w:w="2447" w:type="dxa"/>
                <w:hideMark/>
              </w:tcPr>
              <w:p w14:paraId="4CBBA24A" w14:textId="77777777" w:rsidR="00910905" w:rsidRPr="008A245E" w:rsidRDefault="00910905" w:rsidP="002854E5">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554DDEEF" w14:textId="77777777" w:rsidR="00910905" w:rsidRPr="008A245E" w:rsidRDefault="00910905" w:rsidP="002854E5">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276E5204" w14:textId="77777777" w:rsidR="00910905" w:rsidRPr="008A245E" w:rsidRDefault="00910905" w:rsidP="002854E5">
                <w:pPr>
                  <w:tabs>
                    <w:tab w:val="right" w:pos="8838"/>
                  </w:tabs>
                  <w:ind w:left="-74" w:right="-105"/>
                  <w:jc w:val="both"/>
                  <w:rPr>
                    <w:rFonts w:ascii="Palatino Linotype" w:eastAsia="Calibri" w:hAnsi="Palatino Linotype" w:cs="Tahoma"/>
                    <w:b/>
                    <w:sz w:val="22"/>
                    <w:szCs w:val="22"/>
                    <w:lang w:eastAsia="en-US"/>
                  </w:rPr>
                </w:pPr>
              </w:p>
            </w:tc>
          </w:tr>
        </w:tbl>
        <w:p w14:paraId="7EC8D661" w14:textId="77777777" w:rsidR="00910905" w:rsidRDefault="00910905" w:rsidP="002854E5">
          <w:pPr>
            <w:tabs>
              <w:tab w:val="right" w:pos="8838"/>
            </w:tabs>
            <w:spacing w:line="256" w:lineRule="auto"/>
            <w:ind w:left="-28"/>
            <w:jc w:val="both"/>
            <w:rPr>
              <w:rFonts w:ascii="Arial" w:eastAsia="Calibri" w:hAnsi="Arial" w:cs="Arial"/>
              <w:b/>
              <w:sz w:val="22"/>
              <w:szCs w:val="22"/>
              <w:lang w:eastAsia="en-US"/>
            </w:rPr>
          </w:pPr>
        </w:p>
      </w:tc>
    </w:tr>
  </w:tbl>
  <w:p w14:paraId="0567B448" w14:textId="61DE527E" w:rsidR="00910905" w:rsidRDefault="00910905">
    <w:pPr>
      <w:pStyle w:val="Encabezado"/>
    </w:pPr>
    <w:r>
      <w:rPr>
        <w:rFonts w:ascii="Garamond" w:eastAsia="Calibri" w:hAnsi="Garamond"/>
        <w:noProof/>
        <w:sz w:val="22"/>
        <w:szCs w:val="22"/>
        <w:lang w:eastAsia="es-MX"/>
      </w:rPr>
      <w:drawing>
        <wp:anchor distT="0" distB="0" distL="114300" distR="114300" simplePos="0" relativeHeight="251655680" behindDoc="1" locked="0" layoutInCell="0" allowOverlap="1" wp14:anchorId="00BE5D96" wp14:editId="7F04452A">
          <wp:simplePos x="0" y="0"/>
          <wp:positionH relativeFrom="margin">
            <wp:posOffset>-1381125</wp:posOffset>
          </wp:positionH>
          <wp:positionV relativeFrom="margin">
            <wp:posOffset>-1611630</wp:posOffset>
          </wp:positionV>
          <wp:extent cx="5612130" cy="7308215"/>
          <wp:effectExtent l="0" t="0" r="762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701"/>
      <w:gridCol w:w="7797"/>
    </w:tblGrid>
    <w:tr w:rsidR="00910905" w14:paraId="6E062579" w14:textId="77777777" w:rsidTr="00780B60">
      <w:trPr>
        <w:trHeight w:val="1435"/>
      </w:trPr>
      <w:tc>
        <w:tcPr>
          <w:tcW w:w="1701" w:type="dxa"/>
        </w:tcPr>
        <w:p w14:paraId="0B7A3F48" w14:textId="6FD80051" w:rsidR="00910905" w:rsidRDefault="006C5BC8" w:rsidP="002854E5">
          <w:pPr>
            <w:tabs>
              <w:tab w:val="right" w:pos="4273"/>
            </w:tabs>
            <w:spacing w:line="256" w:lineRule="auto"/>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6704" behindDoc="1" locked="0" layoutInCell="0" allowOverlap="1" wp14:anchorId="2218FD0A" wp14:editId="7D92BF5F">
                <wp:simplePos x="0" y="0"/>
                <wp:positionH relativeFrom="page">
                  <wp:posOffset>-1146810</wp:posOffset>
                </wp:positionH>
                <wp:positionV relativeFrom="margin">
                  <wp:posOffset>-451485</wp:posOffset>
                </wp:positionV>
                <wp:extent cx="7836195" cy="10204432"/>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6195" cy="10204432"/>
                        </a:xfrm>
                        <a:prstGeom prst="rect">
                          <a:avLst/>
                        </a:prstGeom>
                        <a:noFill/>
                      </pic:spPr>
                    </pic:pic>
                  </a:graphicData>
                </a:graphic>
                <wp14:sizeRelH relativeFrom="page">
                  <wp14:pctWidth>0</wp14:pctWidth>
                </wp14:sizeRelH>
                <wp14:sizeRelV relativeFrom="page">
                  <wp14:pctHeight>0</wp14:pctHeight>
                </wp14:sizeRelV>
              </wp:anchor>
            </w:drawing>
          </w:r>
        </w:p>
      </w:tc>
      <w:tc>
        <w:tcPr>
          <w:tcW w:w="7797" w:type="dxa"/>
          <w:hideMark/>
        </w:tcPr>
        <w:p w14:paraId="618B742D" w14:textId="77777777" w:rsidR="006C5BC8" w:rsidRDefault="006C5BC8"/>
        <w:tbl>
          <w:tblPr>
            <w:tblStyle w:val="Tablaconcuadrcula"/>
            <w:tblW w:w="623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9"/>
            <w:gridCol w:w="3818"/>
          </w:tblGrid>
          <w:tr w:rsidR="00910905" w14:paraId="391D395B" w14:textId="77777777" w:rsidTr="006C5BC8">
            <w:trPr>
              <w:trHeight w:val="168"/>
            </w:trPr>
            <w:tc>
              <w:tcPr>
                <w:tcW w:w="2419" w:type="dxa"/>
                <w:hideMark/>
              </w:tcPr>
              <w:p w14:paraId="6BDA7469" w14:textId="77777777" w:rsidR="00910905" w:rsidRPr="008A245E" w:rsidRDefault="00910905" w:rsidP="002854E5">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818" w:type="dxa"/>
                <w:hideMark/>
              </w:tcPr>
              <w:p w14:paraId="36B0D662" w14:textId="605CC0DF" w:rsidR="00910905" w:rsidRPr="008A245E" w:rsidRDefault="00910905" w:rsidP="002854E5">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14681/INFOEM/IP/RR/2022</w:t>
                </w:r>
              </w:p>
            </w:tc>
          </w:tr>
          <w:tr w:rsidR="00910905" w14:paraId="15A802B1" w14:textId="77777777" w:rsidTr="006C5BC8">
            <w:trPr>
              <w:trHeight w:val="331"/>
            </w:trPr>
            <w:tc>
              <w:tcPr>
                <w:tcW w:w="2419" w:type="dxa"/>
                <w:hideMark/>
              </w:tcPr>
              <w:p w14:paraId="312E240A" w14:textId="77777777" w:rsidR="00910905" w:rsidRPr="008A245E" w:rsidRDefault="00910905" w:rsidP="002854E5">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818" w:type="dxa"/>
                <w:hideMark/>
              </w:tcPr>
              <w:p w14:paraId="52294E27" w14:textId="5F6071AC" w:rsidR="00910905" w:rsidRPr="008A245E" w:rsidRDefault="00910905" w:rsidP="006C5BC8">
                <w:pPr>
                  <w:tabs>
                    <w:tab w:val="left" w:pos="2834"/>
                    <w:tab w:val="right" w:pos="8838"/>
                  </w:tabs>
                  <w:ind w:left="-74" w:right="-105"/>
                  <w:jc w:val="both"/>
                  <w:rPr>
                    <w:rFonts w:ascii="Palatino Linotype" w:eastAsia="Calibri" w:hAnsi="Palatino Linotype" w:cs="Tahoma"/>
                    <w:b/>
                    <w:sz w:val="22"/>
                    <w:szCs w:val="22"/>
                    <w:lang w:eastAsia="en-US"/>
                  </w:rPr>
                </w:pPr>
                <w:r w:rsidRPr="00F2440B">
                  <w:rPr>
                    <w:rFonts w:ascii="Palatino Linotype" w:eastAsia="Calibri" w:hAnsi="Palatino Linotype" w:cs="Tahoma"/>
                    <w:sz w:val="22"/>
                    <w:szCs w:val="22"/>
                    <w:lang w:val="es-MX" w:eastAsia="en-US"/>
                  </w:rPr>
                  <w:t xml:space="preserve">Instituto de Investigación y </w:t>
                </w:r>
                <w:r w:rsidR="00736A2E">
                  <w:rPr>
                    <w:rFonts w:ascii="Palatino Linotype" w:eastAsia="Calibri" w:hAnsi="Palatino Linotype" w:cs="Tahoma"/>
                    <w:sz w:val="22"/>
                    <w:szCs w:val="22"/>
                    <w:lang w:val="es-MX" w:eastAsia="en-US"/>
                  </w:rPr>
                  <w:t>Fomento de l</w:t>
                </w:r>
                <w:r w:rsidRPr="00F2440B">
                  <w:rPr>
                    <w:rFonts w:ascii="Palatino Linotype" w:eastAsia="Calibri" w:hAnsi="Palatino Linotype" w:cs="Tahoma"/>
                    <w:sz w:val="22"/>
                    <w:szCs w:val="22"/>
                    <w:lang w:val="es-MX" w:eastAsia="en-US"/>
                  </w:rPr>
                  <w:t>as Artesanías del Estado de México</w:t>
                </w:r>
              </w:p>
            </w:tc>
          </w:tr>
          <w:tr w:rsidR="00910905" w14:paraId="445FEB22" w14:textId="77777777" w:rsidTr="006C5BC8">
            <w:trPr>
              <w:trHeight w:val="331"/>
            </w:trPr>
            <w:tc>
              <w:tcPr>
                <w:tcW w:w="2419" w:type="dxa"/>
                <w:hideMark/>
              </w:tcPr>
              <w:p w14:paraId="697BEF94" w14:textId="77777777" w:rsidR="00910905" w:rsidRPr="008A245E" w:rsidRDefault="00910905" w:rsidP="002854E5">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818" w:type="dxa"/>
              </w:tcPr>
              <w:p w14:paraId="5032B53E" w14:textId="3D883E2B" w:rsidR="00910905" w:rsidRPr="007D2BD0" w:rsidRDefault="00910905" w:rsidP="007D2BD0">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r>
        </w:tbl>
        <w:p w14:paraId="2ECC4880" w14:textId="77777777" w:rsidR="00910905" w:rsidRDefault="00910905" w:rsidP="002854E5">
          <w:pPr>
            <w:tabs>
              <w:tab w:val="right" w:pos="8838"/>
            </w:tabs>
            <w:spacing w:line="256" w:lineRule="auto"/>
            <w:ind w:left="-28"/>
            <w:jc w:val="both"/>
            <w:rPr>
              <w:rFonts w:ascii="Arial" w:eastAsia="Calibri" w:hAnsi="Arial" w:cs="Arial"/>
              <w:b/>
              <w:sz w:val="22"/>
              <w:szCs w:val="22"/>
              <w:lang w:eastAsia="en-US"/>
            </w:rPr>
          </w:pPr>
        </w:p>
      </w:tc>
    </w:tr>
  </w:tbl>
  <w:p w14:paraId="7CD87E07" w14:textId="10CBA725" w:rsidR="00910905" w:rsidRDefault="00910905">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276"/>
      <w:gridCol w:w="8222"/>
    </w:tblGrid>
    <w:tr w:rsidR="00910905" w14:paraId="3DF2FA98" w14:textId="77777777" w:rsidTr="006C5BC8">
      <w:trPr>
        <w:trHeight w:val="1435"/>
      </w:trPr>
      <w:tc>
        <w:tcPr>
          <w:tcW w:w="1276" w:type="dxa"/>
        </w:tcPr>
        <w:p w14:paraId="41C68381" w14:textId="77777777" w:rsidR="00910905" w:rsidRDefault="00910905" w:rsidP="002854E5">
          <w:pPr>
            <w:tabs>
              <w:tab w:val="right" w:pos="4273"/>
            </w:tabs>
            <w:spacing w:line="256" w:lineRule="auto"/>
            <w:rPr>
              <w:rFonts w:ascii="Garamond" w:eastAsia="Calibri" w:hAnsi="Garamond"/>
              <w:sz w:val="22"/>
              <w:szCs w:val="22"/>
              <w:lang w:eastAsia="en-US"/>
            </w:rPr>
          </w:pPr>
        </w:p>
      </w:tc>
      <w:tc>
        <w:tcPr>
          <w:tcW w:w="8222" w:type="dxa"/>
          <w:hideMark/>
        </w:tcPr>
        <w:tbl>
          <w:tblPr>
            <w:tblStyle w:val="Tablaconcuadrcula"/>
            <w:tblW w:w="623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790"/>
          </w:tblGrid>
          <w:tr w:rsidR="00910905" w:rsidRPr="0095634C" w14:paraId="37156598" w14:textId="77777777" w:rsidTr="006C5BC8">
            <w:trPr>
              <w:trHeight w:val="144"/>
            </w:trPr>
            <w:tc>
              <w:tcPr>
                <w:tcW w:w="2447" w:type="dxa"/>
                <w:hideMark/>
              </w:tcPr>
              <w:p w14:paraId="77AFB3B7" w14:textId="77777777" w:rsidR="00910905" w:rsidRPr="0095634C" w:rsidRDefault="00910905" w:rsidP="002854E5">
                <w:pPr>
                  <w:tabs>
                    <w:tab w:val="right" w:pos="8838"/>
                  </w:tabs>
                  <w:ind w:left="-69"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Recurso de Revisión:</w:t>
                </w:r>
              </w:p>
            </w:tc>
            <w:tc>
              <w:tcPr>
                <w:tcW w:w="3790" w:type="dxa"/>
                <w:hideMark/>
              </w:tcPr>
              <w:p w14:paraId="2A8E7B1A" w14:textId="03387005" w:rsidR="00910905" w:rsidRPr="0095634C" w:rsidRDefault="00261FDA" w:rsidP="002854E5">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17324</w:t>
                </w:r>
                <w:r w:rsidR="00910905" w:rsidRPr="00F2440B">
                  <w:rPr>
                    <w:rFonts w:ascii="Palatino Linotype" w:eastAsia="Calibri" w:hAnsi="Palatino Linotype" w:cs="Tahoma"/>
                    <w:sz w:val="22"/>
                    <w:szCs w:val="22"/>
                    <w:lang w:val="es-MX" w:eastAsia="en-US"/>
                  </w:rPr>
                  <w:t>/INFOEM/IP/RR/2022</w:t>
                </w:r>
              </w:p>
            </w:tc>
          </w:tr>
          <w:tr w:rsidR="00910905" w:rsidRPr="0095634C" w14:paraId="7B581380" w14:textId="77777777" w:rsidTr="006C5BC8">
            <w:trPr>
              <w:trHeight w:val="144"/>
            </w:trPr>
            <w:tc>
              <w:tcPr>
                <w:tcW w:w="2447" w:type="dxa"/>
                <w:hideMark/>
              </w:tcPr>
              <w:p w14:paraId="4AE74731" w14:textId="77777777" w:rsidR="00910905" w:rsidRPr="0095634C" w:rsidRDefault="00910905" w:rsidP="002854E5">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Recurrente:</w:t>
                </w:r>
              </w:p>
            </w:tc>
            <w:tc>
              <w:tcPr>
                <w:tcW w:w="3790" w:type="dxa"/>
              </w:tcPr>
              <w:p w14:paraId="25A30DE0" w14:textId="4C4345B8" w:rsidR="00910905" w:rsidRPr="0095634C" w:rsidRDefault="00910905" w:rsidP="002854E5">
                <w:pPr>
                  <w:tabs>
                    <w:tab w:val="left" w:pos="3122"/>
                    <w:tab w:val="right" w:pos="8838"/>
                  </w:tabs>
                  <w:ind w:left="-74" w:right="-105"/>
                  <w:jc w:val="both"/>
                  <w:rPr>
                    <w:rFonts w:ascii="Palatino Linotype" w:eastAsia="Calibri" w:hAnsi="Palatino Linotype" w:cs="Tahoma"/>
                    <w:sz w:val="22"/>
                    <w:szCs w:val="22"/>
                    <w:lang w:eastAsia="en-US"/>
                  </w:rPr>
                </w:pPr>
              </w:p>
            </w:tc>
          </w:tr>
          <w:tr w:rsidR="00910905" w:rsidRPr="0095634C" w14:paraId="290EEB68" w14:textId="77777777" w:rsidTr="006C5BC8">
            <w:trPr>
              <w:trHeight w:val="283"/>
            </w:trPr>
            <w:tc>
              <w:tcPr>
                <w:tcW w:w="2447" w:type="dxa"/>
                <w:hideMark/>
              </w:tcPr>
              <w:p w14:paraId="7CF1207D" w14:textId="77777777" w:rsidR="00910905" w:rsidRPr="0095634C" w:rsidRDefault="00910905" w:rsidP="002854E5">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Sujeto Obligado:</w:t>
                </w:r>
              </w:p>
            </w:tc>
            <w:tc>
              <w:tcPr>
                <w:tcW w:w="3790" w:type="dxa"/>
                <w:hideMark/>
              </w:tcPr>
              <w:p w14:paraId="49785984" w14:textId="755046FD" w:rsidR="00910905" w:rsidRPr="0095634C" w:rsidRDefault="00261FDA" w:rsidP="006C5BC8">
                <w:pPr>
                  <w:tabs>
                    <w:tab w:val="left" w:pos="2834"/>
                    <w:tab w:val="right" w:pos="8838"/>
                  </w:tabs>
                  <w:ind w:left="-74" w:right="-105"/>
                  <w:jc w:val="both"/>
                  <w:rPr>
                    <w:rFonts w:ascii="Palatino Linotype" w:eastAsia="Calibri" w:hAnsi="Palatino Linotype" w:cs="Tahoma"/>
                    <w:sz w:val="22"/>
                    <w:szCs w:val="22"/>
                    <w:lang w:eastAsia="en-US"/>
                  </w:rPr>
                </w:pPr>
                <w:r w:rsidRPr="00393B7F">
                  <w:rPr>
                    <w:rFonts w:ascii="Palatino Linotype" w:eastAsia="Palatino Linotype" w:hAnsi="Palatino Linotype" w:cs="Palatino Linotype"/>
                    <w:sz w:val="22"/>
                    <w:szCs w:val="22"/>
                  </w:rPr>
                  <w:t>Instituto de Transparencia, Acceso a la Información Pública y Protección de Datos Personales del Estado de México y Municipios</w:t>
                </w:r>
              </w:p>
            </w:tc>
          </w:tr>
          <w:tr w:rsidR="00910905" w:rsidRPr="0095634C" w14:paraId="02379758" w14:textId="77777777" w:rsidTr="006C5BC8">
            <w:trPr>
              <w:trHeight w:val="283"/>
            </w:trPr>
            <w:tc>
              <w:tcPr>
                <w:tcW w:w="2447" w:type="dxa"/>
                <w:hideMark/>
              </w:tcPr>
              <w:p w14:paraId="3C69AF13" w14:textId="77777777" w:rsidR="00910905" w:rsidRPr="0095634C" w:rsidRDefault="00910905" w:rsidP="002854E5">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Comisionado Ponente:</w:t>
                </w:r>
              </w:p>
            </w:tc>
            <w:tc>
              <w:tcPr>
                <w:tcW w:w="3790" w:type="dxa"/>
              </w:tcPr>
              <w:p w14:paraId="3D6E51E1" w14:textId="77777777" w:rsidR="00910905" w:rsidRPr="0095634C" w:rsidRDefault="00910905" w:rsidP="002854E5">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p w14:paraId="4C4806BE" w14:textId="77777777" w:rsidR="00910905" w:rsidRPr="0095634C" w:rsidRDefault="00910905" w:rsidP="002854E5">
                <w:pPr>
                  <w:tabs>
                    <w:tab w:val="right" w:pos="8838"/>
                  </w:tabs>
                  <w:ind w:left="-74" w:right="-105"/>
                  <w:jc w:val="both"/>
                  <w:rPr>
                    <w:rFonts w:ascii="Palatino Linotype" w:eastAsia="Calibri" w:hAnsi="Palatino Linotype" w:cs="Tahoma"/>
                    <w:b/>
                    <w:sz w:val="22"/>
                    <w:szCs w:val="22"/>
                    <w:lang w:eastAsia="en-US"/>
                  </w:rPr>
                </w:pPr>
              </w:p>
            </w:tc>
          </w:tr>
        </w:tbl>
        <w:p w14:paraId="29B5C929" w14:textId="77777777" w:rsidR="00910905" w:rsidRDefault="00910905" w:rsidP="002854E5">
          <w:pPr>
            <w:tabs>
              <w:tab w:val="right" w:pos="8838"/>
            </w:tabs>
            <w:spacing w:line="256" w:lineRule="auto"/>
            <w:ind w:left="-28"/>
            <w:jc w:val="both"/>
            <w:rPr>
              <w:rFonts w:ascii="Arial" w:eastAsia="Calibri" w:hAnsi="Arial" w:cs="Arial"/>
              <w:b/>
              <w:sz w:val="22"/>
              <w:szCs w:val="22"/>
              <w:lang w:eastAsia="en-US"/>
            </w:rPr>
          </w:pPr>
        </w:p>
      </w:tc>
    </w:tr>
  </w:tbl>
  <w:p w14:paraId="2D847BC0" w14:textId="77777777" w:rsidR="00910905" w:rsidRDefault="009207E9">
    <w:pPr>
      <w:pStyle w:val="Encabezado"/>
    </w:pPr>
    <w:r>
      <w:rPr>
        <w:rFonts w:ascii="Garamond" w:eastAsia="Calibri" w:hAnsi="Garamond"/>
        <w:noProof/>
        <w:sz w:val="22"/>
        <w:szCs w:val="22"/>
        <w:lang w:eastAsia="en-US"/>
      </w:rPr>
      <w:pict w14:anchorId="33B02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margin-left:-106.5pt;margin-top:-136.35pt;width:663.5pt;height:12in;z-index:-251656704;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9D403E"/>
    <w:multiLevelType w:val="hybridMultilevel"/>
    <w:tmpl w:val="C3DC5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3D53B6"/>
    <w:multiLevelType w:val="hybridMultilevel"/>
    <w:tmpl w:val="5F9EC08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55E1D71"/>
    <w:multiLevelType w:val="hybridMultilevel"/>
    <w:tmpl w:val="6302ABF8"/>
    <w:lvl w:ilvl="0" w:tplc="080A0001">
      <w:start w:val="1"/>
      <w:numFmt w:val="bullet"/>
      <w:lvlText w:val=""/>
      <w:lvlJc w:val="left"/>
      <w:pPr>
        <w:ind w:left="773" w:hanging="360"/>
      </w:pPr>
      <w:rPr>
        <w:rFonts w:ascii="Symbol" w:hAnsi="Symbol"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4">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9C2869"/>
    <w:multiLevelType w:val="multilevel"/>
    <w:tmpl w:val="E208F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7F619A"/>
    <w:multiLevelType w:val="hybridMultilevel"/>
    <w:tmpl w:val="BD062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7DC7849"/>
    <w:multiLevelType w:val="hybridMultilevel"/>
    <w:tmpl w:val="D5EE99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345828"/>
    <w:multiLevelType w:val="hybridMultilevel"/>
    <w:tmpl w:val="704ED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26420BD"/>
    <w:multiLevelType w:val="hybridMultilevel"/>
    <w:tmpl w:val="8D0C7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6B4308"/>
    <w:multiLevelType w:val="hybridMultilevel"/>
    <w:tmpl w:val="BE60E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760B72"/>
    <w:multiLevelType w:val="hybridMultilevel"/>
    <w:tmpl w:val="9650FBDA"/>
    <w:lvl w:ilvl="0" w:tplc="C26658A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28893BC0"/>
    <w:multiLevelType w:val="hybridMultilevel"/>
    <w:tmpl w:val="90F451EC"/>
    <w:lvl w:ilvl="0" w:tplc="59B25A3C">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2D2822D5"/>
    <w:multiLevelType w:val="hybridMultilevel"/>
    <w:tmpl w:val="866693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1C756B2"/>
    <w:multiLevelType w:val="hybridMultilevel"/>
    <w:tmpl w:val="644A07C6"/>
    <w:lvl w:ilvl="0" w:tplc="080A0019">
      <w:start w:val="1"/>
      <w:numFmt w:val="lowerLetter"/>
      <w:lvlText w:val="%1."/>
      <w:lvlJc w:val="left"/>
      <w:pPr>
        <w:ind w:left="1352" w:hanging="360"/>
      </w:p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1">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546DC5"/>
    <w:multiLevelType w:val="hybridMultilevel"/>
    <w:tmpl w:val="B8644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56B0608"/>
    <w:multiLevelType w:val="hybridMultilevel"/>
    <w:tmpl w:val="1520F2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C716E83"/>
    <w:multiLevelType w:val="hybridMultilevel"/>
    <w:tmpl w:val="F1448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DFD6483"/>
    <w:multiLevelType w:val="hybridMultilevel"/>
    <w:tmpl w:val="9BB4D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0B5342B"/>
    <w:multiLevelType w:val="hybridMultilevel"/>
    <w:tmpl w:val="2CECA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B651E0F"/>
    <w:multiLevelType w:val="hybridMultilevel"/>
    <w:tmpl w:val="D5DC07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57017AF5"/>
    <w:multiLevelType w:val="hybridMultilevel"/>
    <w:tmpl w:val="9AEA926A"/>
    <w:lvl w:ilvl="0" w:tplc="8A988F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5ECA45D3"/>
    <w:multiLevelType w:val="hybridMultilevel"/>
    <w:tmpl w:val="C4E06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1A00AF4"/>
    <w:multiLevelType w:val="hybridMultilevel"/>
    <w:tmpl w:val="3B50D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62E82567"/>
    <w:multiLevelType w:val="hybridMultilevel"/>
    <w:tmpl w:val="2020DE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4F58DA"/>
    <w:multiLevelType w:val="hybridMultilevel"/>
    <w:tmpl w:val="866693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EE5368"/>
    <w:multiLevelType w:val="hybridMultilevel"/>
    <w:tmpl w:val="2506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ED6EA1"/>
    <w:multiLevelType w:val="hybridMultilevel"/>
    <w:tmpl w:val="DA58E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8193A00"/>
    <w:multiLevelType w:val="hybridMultilevel"/>
    <w:tmpl w:val="8088485C"/>
    <w:lvl w:ilvl="0" w:tplc="0C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715927"/>
    <w:multiLevelType w:val="hybridMultilevel"/>
    <w:tmpl w:val="0F00D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4"/>
  </w:num>
  <w:num w:numId="4">
    <w:abstractNumId w:val="26"/>
  </w:num>
  <w:num w:numId="5">
    <w:abstractNumId w:val="25"/>
  </w:num>
  <w:num w:numId="6">
    <w:abstractNumId w:val="11"/>
  </w:num>
  <w:num w:numId="7">
    <w:abstractNumId w:val="40"/>
  </w:num>
  <w:num w:numId="8">
    <w:abstractNumId w:val="0"/>
  </w:num>
  <w:num w:numId="9">
    <w:abstractNumId w:val="30"/>
  </w:num>
  <w:num w:numId="10">
    <w:abstractNumId w:val="31"/>
  </w:num>
  <w:num w:numId="11">
    <w:abstractNumId w:val="10"/>
  </w:num>
  <w:num w:numId="12">
    <w:abstractNumId w:val="28"/>
  </w:num>
  <w:num w:numId="13">
    <w:abstractNumId w:val="37"/>
  </w:num>
  <w:num w:numId="14">
    <w:abstractNumId w:val="22"/>
  </w:num>
  <w:num w:numId="15">
    <w:abstractNumId w:val="32"/>
  </w:num>
  <w:num w:numId="16">
    <w:abstractNumId w:val="41"/>
  </w:num>
  <w:num w:numId="17">
    <w:abstractNumId w:val="7"/>
  </w:num>
  <w:num w:numId="18">
    <w:abstractNumId w:val="29"/>
  </w:num>
  <w:num w:numId="19">
    <w:abstractNumId w:val="16"/>
  </w:num>
  <w:num w:numId="20">
    <w:abstractNumId w:val="39"/>
  </w:num>
  <w:num w:numId="21">
    <w:abstractNumId w:val="24"/>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0"/>
  </w:num>
  <w:num w:numId="25">
    <w:abstractNumId w:val="36"/>
  </w:num>
  <w:num w:numId="26">
    <w:abstractNumId w:val="1"/>
  </w:num>
  <w:num w:numId="27">
    <w:abstractNumId w:val="15"/>
  </w:num>
  <w:num w:numId="28">
    <w:abstractNumId w:val="12"/>
  </w:num>
  <w:num w:numId="29">
    <w:abstractNumId w:val="2"/>
  </w:num>
  <w:num w:numId="30">
    <w:abstractNumId w:val="17"/>
  </w:num>
  <w:num w:numId="31">
    <w:abstractNumId w:val="33"/>
  </w:num>
  <w:num w:numId="32">
    <w:abstractNumId w:val="23"/>
  </w:num>
  <w:num w:numId="33">
    <w:abstractNumId w:val="3"/>
  </w:num>
  <w:num w:numId="34">
    <w:abstractNumId w:val="8"/>
  </w:num>
  <w:num w:numId="35">
    <w:abstractNumId w:val="43"/>
  </w:num>
  <w:num w:numId="36">
    <w:abstractNumId w:val="9"/>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3"/>
  </w:num>
  <w:num w:numId="40">
    <w:abstractNumId w:val="38"/>
  </w:num>
  <w:num w:numId="41">
    <w:abstractNumId w:val="19"/>
  </w:num>
  <w:num w:numId="42">
    <w:abstractNumId w:val="42"/>
  </w:num>
  <w:num w:numId="43">
    <w:abstractNumId w:val="34"/>
  </w:num>
  <w:num w:numId="44">
    <w:abstractNumId w:val="18"/>
  </w:num>
  <w:num w:numId="45">
    <w:abstractNumId w:val="5"/>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92"/>
    <w:rsid w:val="00007534"/>
    <w:rsid w:val="00007AFF"/>
    <w:rsid w:val="00010217"/>
    <w:rsid w:val="00015709"/>
    <w:rsid w:val="00016C5A"/>
    <w:rsid w:val="00047219"/>
    <w:rsid w:val="000506E9"/>
    <w:rsid w:val="0005576D"/>
    <w:rsid w:val="000565F2"/>
    <w:rsid w:val="000608EB"/>
    <w:rsid w:val="000626F3"/>
    <w:rsid w:val="00066610"/>
    <w:rsid w:val="000A21AD"/>
    <w:rsid w:val="000A3F89"/>
    <w:rsid w:val="000A4256"/>
    <w:rsid w:val="000A4F1B"/>
    <w:rsid w:val="000A6377"/>
    <w:rsid w:val="000A6D46"/>
    <w:rsid w:val="000B3087"/>
    <w:rsid w:val="000B31D0"/>
    <w:rsid w:val="000B7ED7"/>
    <w:rsid w:val="000C6A5E"/>
    <w:rsid w:val="000D176D"/>
    <w:rsid w:val="000D3D09"/>
    <w:rsid w:val="000D42FE"/>
    <w:rsid w:val="000D77EA"/>
    <w:rsid w:val="000E0240"/>
    <w:rsid w:val="000E1D2A"/>
    <w:rsid w:val="000F2857"/>
    <w:rsid w:val="00104D7E"/>
    <w:rsid w:val="00107386"/>
    <w:rsid w:val="00121F26"/>
    <w:rsid w:val="00130656"/>
    <w:rsid w:val="00130F94"/>
    <w:rsid w:val="00132F3A"/>
    <w:rsid w:val="0013794C"/>
    <w:rsid w:val="00140BE1"/>
    <w:rsid w:val="00141242"/>
    <w:rsid w:val="00160192"/>
    <w:rsid w:val="00160BED"/>
    <w:rsid w:val="00161E09"/>
    <w:rsid w:val="00171E3C"/>
    <w:rsid w:val="00176F01"/>
    <w:rsid w:val="001845F5"/>
    <w:rsid w:val="00192095"/>
    <w:rsid w:val="001A2DD6"/>
    <w:rsid w:val="001A6B7A"/>
    <w:rsid w:val="001A75F6"/>
    <w:rsid w:val="001B6873"/>
    <w:rsid w:val="001B7F58"/>
    <w:rsid w:val="001D7603"/>
    <w:rsid w:val="001F4A4B"/>
    <w:rsid w:val="001F5C48"/>
    <w:rsid w:val="001F7FA9"/>
    <w:rsid w:val="00211B95"/>
    <w:rsid w:val="00213A5A"/>
    <w:rsid w:val="00214C6C"/>
    <w:rsid w:val="00230F62"/>
    <w:rsid w:val="00231A8C"/>
    <w:rsid w:val="00235CE7"/>
    <w:rsid w:val="0024466A"/>
    <w:rsid w:val="002462CF"/>
    <w:rsid w:val="002476E5"/>
    <w:rsid w:val="00257CC5"/>
    <w:rsid w:val="00261FDA"/>
    <w:rsid w:val="00272083"/>
    <w:rsid w:val="002747DD"/>
    <w:rsid w:val="00276C92"/>
    <w:rsid w:val="00281696"/>
    <w:rsid w:val="002846D6"/>
    <w:rsid w:val="00284D8C"/>
    <w:rsid w:val="002854E5"/>
    <w:rsid w:val="00285551"/>
    <w:rsid w:val="002907E0"/>
    <w:rsid w:val="002A1427"/>
    <w:rsid w:val="002A37B0"/>
    <w:rsid w:val="002A4913"/>
    <w:rsid w:val="002A745D"/>
    <w:rsid w:val="002B2700"/>
    <w:rsid w:val="002C2874"/>
    <w:rsid w:val="002C61B9"/>
    <w:rsid w:val="002D2338"/>
    <w:rsid w:val="002E0E80"/>
    <w:rsid w:val="002E75CA"/>
    <w:rsid w:val="002F4964"/>
    <w:rsid w:val="002F4FD0"/>
    <w:rsid w:val="0030752D"/>
    <w:rsid w:val="00307A43"/>
    <w:rsid w:val="00310DE3"/>
    <w:rsid w:val="00316110"/>
    <w:rsid w:val="00324C2E"/>
    <w:rsid w:val="003444B0"/>
    <w:rsid w:val="00351FB0"/>
    <w:rsid w:val="00356BBC"/>
    <w:rsid w:val="00361539"/>
    <w:rsid w:val="00375D3D"/>
    <w:rsid w:val="00383E91"/>
    <w:rsid w:val="003843D7"/>
    <w:rsid w:val="00392421"/>
    <w:rsid w:val="00394135"/>
    <w:rsid w:val="0039498C"/>
    <w:rsid w:val="00396BE9"/>
    <w:rsid w:val="00396CB6"/>
    <w:rsid w:val="003A1940"/>
    <w:rsid w:val="003A3252"/>
    <w:rsid w:val="003A3625"/>
    <w:rsid w:val="003B4479"/>
    <w:rsid w:val="003C6413"/>
    <w:rsid w:val="003D0DA5"/>
    <w:rsid w:val="003D1134"/>
    <w:rsid w:val="003D1F3F"/>
    <w:rsid w:val="003D4E7B"/>
    <w:rsid w:val="003D6308"/>
    <w:rsid w:val="003E1986"/>
    <w:rsid w:val="003F04D2"/>
    <w:rsid w:val="0040040C"/>
    <w:rsid w:val="004042A4"/>
    <w:rsid w:val="00404C68"/>
    <w:rsid w:val="00407882"/>
    <w:rsid w:val="00410D13"/>
    <w:rsid w:val="00414E74"/>
    <w:rsid w:val="0042103F"/>
    <w:rsid w:val="00423962"/>
    <w:rsid w:val="004247F0"/>
    <w:rsid w:val="004255FE"/>
    <w:rsid w:val="004417B6"/>
    <w:rsid w:val="0044419C"/>
    <w:rsid w:val="00454419"/>
    <w:rsid w:val="00471953"/>
    <w:rsid w:val="004763E5"/>
    <w:rsid w:val="0048127C"/>
    <w:rsid w:val="004A0BF6"/>
    <w:rsid w:val="004A66D0"/>
    <w:rsid w:val="004A6B19"/>
    <w:rsid w:val="004A7D29"/>
    <w:rsid w:val="004B218A"/>
    <w:rsid w:val="004B4916"/>
    <w:rsid w:val="004B5166"/>
    <w:rsid w:val="004C3562"/>
    <w:rsid w:val="004C356D"/>
    <w:rsid w:val="004C66EF"/>
    <w:rsid w:val="004D6299"/>
    <w:rsid w:val="004E02C5"/>
    <w:rsid w:val="004E10E2"/>
    <w:rsid w:val="004E3E60"/>
    <w:rsid w:val="004E78EB"/>
    <w:rsid w:val="004F07FB"/>
    <w:rsid w:val="00502E9F"/>
    <w:rsid w:val="00504814"/>
    <w:rsid w:val="005072BE"/>
    <w:rsid w:val="00507592"/>
    <w:rsid w:val="00514206"/>
    <w:rsid w:val="0051795D"/>
    <w:rsid w:val="00522842"/>
    <w:rsid w:val="00523125"/>
    <w:rsid w:val="00524820"/>
    <w:rsid w:val="00530E2A"/>
    <w:rsid w:val="00534797"/>
    <w:rsid w:val="00545AC9"/>
    <w:rsid w:val="00546555"/>
    <w:rsid w:val="00557323"/>
    <w:rsid w:val="005626A1"/>
    <w:rsid w:val="005726A2"/>
    <w:rsid w:val="005834C8"/>
    <w:rsid w:val="00585D1F"/>
    <w:rsid w:val="005864BF"/>
    <w:rsid w:val="00586DD5"/>
    <w:rsid w:val="005914CC"/>
    <w:rsid w:val="00596B4A"/>
    <w:rsid w:val="005A1F35"/>
    <w:rsid w:val="005A79E2"/>
    <w:rsid w:val="005C07B0"/>
    <w:rsid w:val="005C3ECA"/>
    <w:rsid w:val="005D2E5D"/>
    <w:rsid w:val="005E073D"/>
    <w:rsid w:val="005E3569"/>
    <w:rsid w:val="005E4A8A"/>
    <w:rsid w:val="005E4EE4"/>
    <w:rsid w:val="006013B2"/>
    <w:rsid w:val="006046B1"/>
    <w:rsid w:val="006122E6"/>
    <w:rsid w:val="006157BB"/>
    <w:rsid w:val="006208B0"/>
    <w:rsid w:val="00621704"/>
    <w:rsid w:val="006248CB"/>
    <w:rsid w:val="00630EB5"/>
    <w:rsid w:val="00632A93"/>
    <w:rsid w:val="00647F54"/>
    <w:rsid w:val="00650F54"/>
    <w:rsid w:val="00651A66"/>
    <w:rsid w:val="0066126D"/>
    <w:rsid w:val="00672ADC"/>
    <w:rsid w:val="00675A95"/>
    <w:rsid w:val="00676E58"/>
    <w:rsid w:val="0069089F"/>
    <w:rsid w:val="00695435"/>
    <w:rsid w:val="006A5D68"/>
    <w:rsid w:val="006A746E"/>
    <w:rsid w:val="006B5A03"/>
    <w:rsid w:val="006B5DC1"/>
    <w:rsid w:val="006B7D04"/>
    <w:rsid w:val="006C59AB"/>
    <w:rsid w:val="006C5BC8"/>
    <w:rsid w:val="006D0EB4"/>
    <w:rsid w:val="006D4281"/>
    <w:rsid w:val="006E3FE3"/>
    <w:rsid w:val="006F1504"/>
    <w:rsid w:val="006F1A32"/>
    <w:rsid w:val="006F29FC"/>
    <w:rsid w:val="00703EEA"/>
    <w:rsid w:val="00713AA7"/>
    <w:rsid w:val="00715A13"/>
    <w:rsid w:val="0071724E"/>
    <w:rsid w:val="00735662"/>
    <w:rsid w:val="00736A2E"/>
    <w:rsid w:val="00746888"/>
    <w:rsid w:val="00747C57"/>
    <w:rsid w:val="0075494B"/>
    <w:rsid w:val="007563E0"/>
    <w:rsid w:val="00765BA5"/>
    <w:rsid w:val="00775120"/>
    <w:rsid w:val="00780B60"/>
    <w:rsid w:val="007A67FC"/>
    <w:rsid w:val="007A7DE9"/>
    <w:rsid w:val="007B1E8E"/>
    <w:rsid w:val="007B4264"/>
    <w:rsid w:val="007B5138"/>
    <w:rsid w:val="007B7200"/>
    <w:rsid w:val="007B7A1E"/>
    <w:rsid w:val="007D06F3"/>
    <w:rsid w:val="007D2BD0"/>
    <w:rsid w:val="007D3DF2"/>
    <w:rsid w:val="007D3EE1"/>
    <w:rsid w:val="007D480E"/>
    <w:rsid w:val="007E127C"/>
    <w:rsid w:val="007E611F"/>
    <w:rsid w:val="007F1F12"/>
    <w:rsid w:val="007F273C"/>
    <w:rsid w:val="007F64A2"/>
    <w:rsid w:val="007F7D7B"/>
    <w:rsid w:val="008061D6"/>
    <w:rsid w:val="008110DA"/>
    <w:rsid w:val="00826C6E"/>
    <w:rsid w:val="00831399"/>
    <w:rsid w:val="00836192"/>
    <w:rsid w:val="00836CE5"/>
    <w:rsid w:val="008455E3"/>
    <w:rsid w:val="008518DA"/>
    <w:rsid w:val="00852B72"/>
    <w:rsid w:val="0086262C"/>
    <w:rsid w:val="0086350A"/>
    <w:rsid w:val="00866A90"/>
    <w:rsid w:val="00871DE3"/>
    <w:rsid w:val="00883E49"/>
    <w:rsid w:val="008A15FA"/>
    <w:rsid w:val="008A30AE"/>
    <w:rsid w:val="008A6219"/>
    <w:rsid w:val="008B0751"/>
    <w:rsid w:val="008B0ADF"/>
    <w:rsid w:val="008B5B2C"/>
    <w:rsid w:val="008C17BC"/>
    <w:rsid w:val="008D065B"/>
    <w:rsid w:val="008D4D05"/>
    <w:rsid w:val="008F4508"/>
    <w:rsid w:val="008F7499"/>
    <w:rsid w:val="00901698"/>
    <w:rsid w:val="00910905"/>
    <w:rsid w:val="009176D9"/>
    <w:rsid w:val="00917F65"/>
    <w:rsid w:val="009207E9"/>
    <w:rsid w:val="00920B51"/>
    <w:rsid w:val="009219A8"/>
    <w:rsid w:val="009220A2"/>
    <w:rsid w:val="00926AED"/>
    <w:rsid w:val="00932E46"/>
    <w:rsid w:val="0093476C"/>
    <w:rsid w:val="00940F71"/>
    <w:rsid w:val="00942E82"/>
    <w:rsid w:val="009447E4"/>
    <w:rsid w:val="009473E5"/>
    <w:rsid w:val="00951D8A"/>
    <w:rsid w:val="00954786"/>
    <w:rsid w:val="0095634C"/>
    <w:rsid w:val="00963EBA"/>
    <w:rsid w:val="00971DE8"/>
    <w:rsid w:val="00982C67"/>
    <w:rsid w:val="00985BD9"/>
    <w:rsid w:val="00987E45"/>
    <w:rsid w:val="009914FC"/>
    <w:rsid w:val="0099190D"/>
    <w:rsid w:val="00993A49"/>
    <w:rsid w:val="00996A57"/>
    <w:rsid w:val="009A3A3E"/>
    <w:rsid w:val="009A6A7F"/>
    <w:rsid w:val="009B7CE4"/>
    <w:rsid w:val="009C24A3"/>
    <w:rsid w:val="009D0B60"/>
    <w:rsid w:val="009D0EAF"/>
    <w:rsid w:val="009E36CA"/>
    <w:rsid w:val="009E7D9C"/>
    <w:rsid w:val="009F3053"/>
    <w:rsid w:val="009F6FD6"/>
    <w:rsid w:val="00A034ED"/>
    <w:rsid w:val="00A047C2"/>
    <w:rsid w:val="00A04FC3"/>
    <w:rsid w:val="00A10051"/>
    <w:rsid w:val="00A12F9C"/>
    <w:rsid w:val="00A14F91"/>
    <w:rsid w:val="00A264D5"/>
    <w:rsid w:val="00A317C4"/>
    <w:rsid w:val="00A33240"/>
    <w:rsid w:val="00A33F69"/>
    <w:rsid w:val="00A45587"/>
    <w:rsid w:val="00A6038A"/>
    <w:rsid w:val="00A61B02"/>
    <w:rsid w:val="00A7523B"/>
    <w:rsid w:val="00A76CCC"/>
    <w:rsid w:val="00A828B7"/>
    <w:rsid w:val="00A84C18"/>
    <w:rsid w:val="00A8545A"/>
    <w:rsid w:val="00A8670F"/>
    <w:rsid w:val="00A86BAE"/>
    <w:rsid w:val="00A93804"/>
    <w:rsid w:val="00A93C51"/>
    <w:rsid w:val="00AB0CC4"/>
    <w:rsid w:val="00AB1859"/>
    <w:rsid w:val="00AB1DB6"/>
    <w:rsid w:val="00AC39D3"/>
    <w:rsid w:val="00AD0D23"/>
    <w:rsid w:val="00AE38E0"/>
    <w:rsid w:val="00AE5D0C"/>
    <w:rsid w:val="00AE6491"/>
    <w:rsid w:val="00AE7EFF"/>
    <w:rsid w:val="00AF1BE3"/>
    <w:rsid w:val="00AF331C"/>
    <w:rsid w:val="00B00F8E"/>
    <w:rsid w:val="00B05EFF"/>
    <w:rsid w:val="00B05FEA"/>
    <w:rsid w:val="00B110C5"/>
    <w:rsid w:val="00B16987"/>
    <w:rsid w:val="00B204C6"/>
    <w:rsid w:val="00B25617"/>
    <w:rsid w:val="00B30810"/>
    <w:rsid w:val="00B312A0"/>
    <w:rsid w:val="00B32A01"/>
    <w:rsid w:val="00B350F7"/>
    <w:rsid w:val="00B5029F"/>
    <w:rsid w:val="00B51BBC"/>
    <w:rsid w:val="00B5231B"/>
    <w:rsid w:val="00B571DF"/>
    <w:rsid w:val="00B61001"/>
    <w:rsid w:val="00B62828"/>
    <w:rsid w:val="00B633C1"/>
    <w:rsid w:val="00B6391B"/>
    <w:rsid w:val="00B64B2F"/>
    <w:rsid w:val="00B66DFE"/>
    <w:rsid w:val="00B725E2"/>
    <w:rsid w:val="00B86CB4"/>
    <w:rsid w:val="00B94847"/>
    <w:rsid w:val="00BB3D12"/>
    <w:rsid w:val="00BB6DA1"/>
    <w:rsid w:val="00BC1956"/>
    <w:rsid w:val="00BD25B5"/>
    <w:rsid w:val="00BD402D"/>
    <w:rsid w:val="00BD6D55"/>
    <w:rsid w:val="00BE3FD4"/>
    <w:rsid w:val="00BE6B4C"/>
    <w:rsid w:val="00BF1A54"/>
    <w:rsid w:val="00BF2061"/>
    <w:rsid w:val="00BF2B49"/>
    <w:rsid w:val="00BF2BAA"/>
    <w:rsid w:val="00C057CC"/>
    <w:rsid w:val="00C108A7"/>
    <w:rsid w:val="00C14A3F"/>
    <w:rsid w:val="00C220BC"/>
    <w:rsid w:val="00C22327"/>
    <w:rsid w:val="00C240E4"/>
    <w:rsid w:val="00C249CE"/>
    <w:rsid w:val="00C324AF"/>
    <w:rsid w:val="00C43D9A"/>
    <w:rsid w:val="00C45523"/>
    <w:rsid w:val="00C5245A"/>
    <w:rsid w:val="00C54A2A"/>
    <w:rsid w:val="00C550BF"/>
    <w:rsid w:val="00C63B22"/>
    <w:rsid w:val="00C80901"/>
    <w:rsid w:val="00C82946"/>
    <w:rsid w:val="00C82D1D"/>
    <w:rsid w:val="00C96A5A"/>
    <w:rsid w:val="00CB3789"/>
    <w:rsid w:val="00CB7549"/>
    <w:rsid w:val="00CC409B"/>
    <w:rsid w:val="00CD4DB4"/>
    <w:rsid w:val="00CD7303"/>
    <w:rsid w:val="00CD7D3C"/>
    <w:rsid w:val="00CE24E4"/>
    <w:rsid w:val="00CE5578"/>
    <w:rsid w:val="00CF2A60"/>
    <w:rsid w:val="00CF3B05"/>
    <w:rsid w:val="00CF5517"/>
    <w:rsid w:val="00CF6D4F"/>
    <w:rsid w:val="00D06AB1"/>
    <w:rsid w:val="00D06F10"/>
    <w:rsid w:val="00D17DF5"/>
    <w:rsid w:val="00D251D1"/>
    <w:rsid w:val="00D26CA6"/>
    <w:rsid w:val="00D33435"/>
    <w:rsid w:val="00D33CDC"/>
    <w:rsid w:val="00D37132"/>
    <w:rsid w:val="00D41CFA"/>
    <w:rsid w:val="00D42E58"/>
    <w:rsid w:val="00D4637F"/>
    <w:rsid w:val="00D618BD"/>
    <w:rsid w:val="00D66646"/>
    <w:rsid w:val="00D772FA"/>
    <w:rsid w:val="00D84F79"/>
    <w:rsid w:val="00D86214"/>
    <w:rsid w:val="00D9643B"/>
    <w:rsid w:val="00DA15E4"/>
    <w:rsid w:val="00DB19A3"/>
    <w:rsid w:val="00DB299F"/>
    <w:rsid w:val="00DB3B13"/>
    <w:rsid w:val="00DB6989"/>
    <w:rsid w:val="00DC1433"/>
    <w:rsid w:val="00DC23F9"/>
    <w:rsid w:val="00DD2815"/>
    <w:rsid w:val="00DD5B01"/>
    <w:rsid w:val="00DD6F15"/>
    <w:rsid w:val="00DE25AA"/>
    <w:rsid w:val="00DE55F3"/>
    <w:rsid w:val="00DF3DE6"/>
    <w:rsid w:val="00DF4C52"/>
    <w:rsid w:val="00E03B6C"/>
    <w:rsid w:val="00E102F7"/>
    <w:rsid w:val="00E10784"/>
    <w:rsid w:val="00E10E8E"/>
    <w:rsid w:val="00E12FF2"/>
    <w:rsid w:val="00E244AF"/>
    <w:rsid w:val="00E329A0"/>
    <w:rsid w:val="00E40B0B"/>
    <w:rsid w:val="00E40D83"/>
    <w:rsid w:val="00E4176B"/>
    <w:rsid w:val="00E438B3"/>
    <w:rsid w:val="00E4516B"/>
    <w:rsid w:val="00E45433"/>
    <w:rsid w:val="00E527A8"/>
    <w:rsid w:val="00E6484A"/>
    <w:rsid w:val="00E66FD9"/>
    <w:rsid w:val="00E73EBB"/>
    <w:rsid w:val="00E749CF"/>
    <w:rsid w:val="00E82D16"/>
    <w:rsid w:val="00E87C5B"/>
    <w:rsid w:val="00E92683"/>
    <w:rsid w:val="00ED578A"/>
    <w:rsid w:val="00EE1986"/>
    <w:rsid w:val="00EE21F3"/>
    <w:rsid w:val="00EE3B23"/>
    <w:rsid w:val="00EF52E9"/>
    <w:rsid w:val="00F17764"/>
    <w:rsid w:val="00F20285"/>
    <w:rsid w:val="00F2440B"/>
    <w:rsid w:val="00F245A5"/>
    <w:rsid w:val="00F30768"/>
    <w:rsid w:val="00F316A7"/>
    <w:rsid w:val="00F470A6"/>
    <w:rsid w:val="00F50AD9"/>
    <w:rsid w:val="00F52199"/>
    <w:rsid w:val="00F55277"/>
    <w:rsid w:val="00F56BE6"/>
    <w:rsid w:val="00F57945"/>
    <w:rsid w:val="00F6080B"/>
    <w:rsid w:val="00F642A7"/>
    <w:rsid w:val="00F67994"/>
    <w:rsid w:val="00F70958"/>
    <w:rsid w:val="00F75A59"/>
    <w:rsid w:val="00F8091F"/>
    <w:rsid w:val="00F83F45"/>
    <w:rsid w:val="00F8437C"/>
    <w:rsid w:val="00F844A8"/>
    <w:rsid w:val="00F846C1"/>
    <w:rsid w:val="00F86B39"/>
    <w:rsid w:val="00F95318"/>
    <w:rsid w:val="00FA2832"/>
    <w:rsid w:val="00FB4630"/>
    <w:rsid w:val="00FC7A2F"/>
    <w:rsid w:val="00FD238F"/>
    <w:rsid w:val="00FD3144"/>
    <w:rsid w:val="00FD6DF3"/>
    <w:rsid w:val="00FE0DFB"/>
    <w:rsid w:val="00FF71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FBB918"/>
  <w15:chartTrackingRefBased/>
  <w15:docId w15:val="{105D70A6-AB9E-4A59-B6CD-3CB4F139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19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qFormat/>
    <w:rsid w:val="0083619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36192"/>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6192"/>
    <w:pPr>
      <w:ind w:left="720"/>
      <w:contextualSpacing/>
    </w:pPr>
    <w:rPr>
      <w:rFonts w:ascii="Century Gothic" w:hAnsi="Century Gothic"/>
      <w:sz w:val="22"/>
      <w:szCs w:val="24"/>
    </w:rPr>
  </w:style>
  <w:style w:type="table" w:styleId="Tablaconcuadrcula">
    <w:name w:val="Table Grid"/>
    <w:basedOn w:val="Tablanormal"/>
    <w:uiPriority w:val="39"/>
    <w:rsid w:val="0083619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36192"/>
    <w:pPr>
      <w:tabs>
        <w:tab w:val="center" w:pos="4419"/>
        <w:tab w:val="right" w:pos="8838"/>
      </w:tabs>
    </w:pPr>
  </w:style>
  <w:style w:type="character" w:customStyle="1" w:styleId="EncabezadoCar">
    <w:name w:val="Encabezado Car"/>
    <w:basedOn w:val="Fuentedeprrafopredeter"/>
    <w:link w:val="Encabezado"/>
    <w:uiPriority w:val="99"/>
    <w:rsid w:val="0083619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36192"/>
    <w:pPr>
      <w:tabs>
        <w:tab w:val="center" w:pos="4419"/>
        <w:tab w:val="right" w:pos="8838"/>
      </w:tabs>
    </w:pPr>
  </w:style>
  <w:style w:type="character" w:customStyle="1" w:styleId="PiedepginaCar">
    <w:name w:val="Pie de página Car"/>
    <w:basedOn w:val="Fuentedeprrafopredeter"/>
    <w:link w:val="Piedepgina"/>
    <w:uiPriority w:val="99"/>
    <w:rsid w:val="00836192"/>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836192"/>
    <w:pPr>
      <w:spacing w:after="160" w:line="259" w:lineRule="auto"/>
      <w:jc w:val="both"/>
    </w:pPr>
    <w:rPr>
      <w:rFonts w:eastAsiaTheme="minorHAnsi"/>
      <w:color w:val="000000" w:themeColor="text1"/>
      <w:sz w:val="24"/>
      <w:szCs w:val="24"/>
      <w:lang w:eastAsia="en-US"/>
    </w:rPr>
  </w:style>
  <w:style w:type="character" w:styleId="Hipervnculovisitado">
    <w:name w:val="FollowedHyperlink"/>
    <w:basedOn w:val="Fuentedeprrafopredeter"/>
    <w:uiPriority w:val="99"/>
    <w:semiHidden/>
    <w:unhideWhenUsed/>
    <w:rsid w:val="00504814"/>
    <w:rPr>
      <w:color w:val="954F72" w:themeColor="followedHyperlink"/>
      <w:u w:val="single"/>
    </w:rPr>
  </w:style>
  <w:style w:type="character" w:customStyle="1" w:styleId="Mencinsinresolver1">
    <w:name w:val="Mención sin resolver1"/>
    <w:basedOn w:val="Fuentedeprrafopredeter"/>
    <w:uiPriority w:val="99"/>
    <w:semiHidden/>
    <w:unhideWhenUsed/>
    <w:rsid w:val="00410D13"/>
    <w:rPr>
      <w:color w:val="605E5C"/>
      <w:shd w:val="clear" w:color="auto" w:fill="E1DFDD"/>
    </w:rPr>
  </w:style>
  <w:style w:type="paragraph" w:customStyle="1" w:styleId="paragraph">
    <w:name w:val="paragraph"/>
    <w:basedOn w:val="Normal"/>
    <w:rsid w:val="00261FDA"/>
    <w:pPr>
      <w:spacing w:before="100" w:beforeAutospacing="1" w:after="100" w:afterAutospacing="1"/>
    </w:pPr>
    <w:rPr>
      <w:sz w:val="24"/>
      <w:szCs w:val="24"/>
      <w:lang w:eastAsia="es-MX"/>
    </w:rPr>
  </w:style>
  <w:style w:type="character" w:customStyle="1" w:styleId="eop">
    <w:name w:val="eop"/>
    <w:basedOn w:val="Fuentedeprrafopredeter"/>
    <w:rsid w:val="00261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3145">
      <w:bodyDiv w:val="1"/>
      <w:marLeft w:val="0"/>
      <w:marRight w:val="0"/>
      <w:marTop w:val="0"/>
      <w:marBottom w:val="0"/>
      <w:divBdr>
        <w:top w:val="none" w:sz="0" w:space="0" w:color="auto"/>
        <w:left w:val="none" w:sz="0" w:space="0" w:color="auto"/>
        <w:bottom w:val="none" w:sz="0" w:space="0" w:color="auto"/>
        <w:right w:val="none" w:sz="0" w:space="0" w:color="auto"/>
      </w:divBdr>
    </w:div>
    <w:div w:id="136841091">
      <w:bodyDiv w:val="1"/>
      <w:marLeft w:val="0"/>
      <w:marRight w:val="0"/>
      <w:marTop w:val="0"/>
      <w:marBottom w:val="0"/>
      <w:divBdr>
        <w:top w:val="none" w:sz="0" w:space="0" w:color="auto"/>
        <w:left w:val="none" w:sz="0" w:space="0" w:color="auto"/>
        <w:bottom w:val="none" w:sz="0" w:space="0" w:color="auto"/>
        <w:right w:val="none" w:sz="0" w:space="0" w:color="auto"/>
      </w:divBdr>
    </w:div>
    <w:div w:id="270627592">
      <w:bodyDiv w:val="1"/>
      <w:marLeft w:val="0"/>
      <w:marRight w:val="0"/>
      <w:marTop w:val="0"/>
      <w:marBottom w:val="0"/>
      <w:divBdr>
        <w:top w:val="none" w:sz="0" w:space="0" w:color="auto"/>
        <w:left w:val="none" w:sz="0" w:space="0" w:color="auto"/>
        <w:bottom w:val="none" w:sz="0" w:space="0" w:color="auto"/>
        <w:right w:val="none" w:sz="0" w:space="0" w:color="auto"/>
      </w:divBdr>
    </w:div>
    <w:div w:id="438645319">
      <w:bodyDiv w:val="1"/>
      <w:marLeft w:val="0"/>
      <w:marRight w:val="0"/>
      <w:marTop w:val="0"/>
      <w:marBottom w:val="0"/>
      <w:divBdr>
        <w:top w:val="none" w:sz="0" w:space="0" w:color="auto"/>
        <w:left w:val="none" w:sz="0" w:space="0" w:color="auto"/>
        <w:bottom w:val="none" w:sz="0" w:space="0" w:color="auto"/>
        <w:right w:val="none" w:sz="0" w:space="0" w:color="auto"/>
      </w:divBdr>
    </w:div>
    <w:div w:id="459805247">
      <w:bodyDiv w:val="1"/>
      <w:marLeft w:val="0"/>
      <w:marRight w:val="0"/>
      <w:marTop w:val="0"/>
      <w:marBottom w:val="0"/>
      <w:divBdr>
        <w:top w:val="none" w:sz="0" w:space="0" w:color="auto"/>
        <w:left w:val="none" w:sz="0" w:space="0" w:color="auto"/>
        <w:bottom w:val="none" w:sz="0" w:space="0" w:color="auto"/>
        <w:right w:val="none" w:sz="0" w:space="0" w:color="auto"/>
      </w:divBdr>
    </w:div>
    <w:div w:id="759527192">
      <w:bodyDiv w:val="1"/>
      <w:marLeft w:val="0"/>
      <w:marRight w:val="0"/>
      <w:marTop w:val="0"/>
      <w:marBottom w:val="0"/>
      <w:divBdr>
        <w:top w:val="none" w:sz="0" w:space="0" w:color="auto"/>
        <w:left w:val="none" w:sz="0" w:space="0" w:color="auto"/>
        <w:bottom w:val="none" w:sz="0" w:space="0" w:color="auto"/>
        <w:right w:val="none" w:sz="0" w:space="0" w:color="auto"/>
      </w:divBdr>
    </w:div>
    <w:div w:id="960183657">
      <w:bodyDiv w:val="1"/>
      <w:marLeft w:val="0"/>
      <w:marRight w:val="0"/>
      <w:marTop w:val="0"/>
      <w:marBottom w:val="0"/>
      <w:divBdr>
        <w:top w:val="none" w:sz="0" w:space="0" w:color="auto"/>
        <w:left w:val="none" w:sz="0" w:space="0" w:color="auto"/>
        <w:bottom w:val="none" w:sz="0" w:space="0" w:color="auto"/>
        <w:right w:val="none" w:sz="0" w:space="0" w:color="auto"/>
      </w:divBdr>
    </w:div>
    <w:div w:id="1057777552">
      <w:bodyDiv w:val="1"/>
      <w:marLeft w:val="0"/>
      <w:marRight w:val="0"/>
      <w:marTop w:val="0"/>
      <w:marBottom w:val="0"/>
      <w:divBdr>
        <w:top w:val="none" w:sz="0" w:space="0" w:color="auto"/>
        <w:left w:val="none" w:sz="0" w:space="0" w:color="auto"/>
        <w:bottom w:val="none" w:sz="0" w:space="0" w:color="auto"/>
        <w:right w:val="none" w:sz="0" w:space="0" w:color="auto"/>
      </w:divBdr>
    </w:div>
    <w:div w:id="1078135645">
      <w:bodyDiv w:val="1"/>
      <w:marLeft w:val="0"/>
      <w:marRight w:val="0"/>
      <w:marTop w:val="0"/>
      <w:marBottom w:val="0"/>
      <w:divBdr>
        <w:top w:val="none" w:sz="0" w:space="0" w:color="auto"/>
        <w:left w:val="none" w:sz="0" w:space="0" w:color="auto"/>
        <w:bottom w:val="none" w:sz="0" w:space="0" w:color="auto"/>
        <w:right w:val="none" w:sz="0" w:space="0" w:color="auto"/>
      </w:divBdr>
    </w:div>
    <w:div w:id="1119300636">
      <w:bodyDiv w:val="1"/>
      <w:marLeft w:val="0"/>
      <w:marRight w:val="0"/>
      <w:marTop w:val="0"/>
      <w:marBottom w:val="0"/>
      <w:divBdr>
        <w:top w:val="none" w:sz="0" w:space="0" w:color="auto"/>
        <w:left w:val="none" w:sz="0" w:space="0" w:color="auto"/>
        <w:bottom w:val="none" w:sz="0" w:space="0" w:color="auto"/>
        <w:right w:val="none" w:sz="0" w:space="0" w:color="auto"/>
      </w:divBdr>
    </w:div>
    <w:div w:id="1199507986">
      <w:bodyDiv w:val="1"/>
      <w:marLeft w:val="0"/>
      <w:marRight w:val="0"/>
      <w:marTop w:val="0"/>
      <w:marBottom w:val="0"/>
      <w:divBdr>
        <w:top w:val="none" w:sz="0" w:space="0" w:color="auto"/>
        <w:left w:val="none" w:sz="0" w:space="0" w:color="auto"/>
        <w:bottom w:val="none" w:sz="0" w:space="0" w:color="auto"/>
        <w:right w:val="none" w:sz="0" w:space="0" w:color="auto"/>
      </w:divBdr>
    </w:div>
    <w:div w:id="1390882097">
      <w:bodyDiv w:val="1"/>
      <w:marLeft w:val="0"/>
      <w:marRight w:val="0"/>
      <w:marTop w:val="0"/>
      <w:marBottom w:val="0"/>
      <w:divBdr>
        <w:top w:val="none" w:sz="0" w:space="0" w:color="auto"/>
        <w:left w:val="none" w:sz="0" w:space="0" w:color="auto"/>
        <w:bottom w:val="none" w:sz="0" w:space="0" w:color="auto"/>
        <w:right w:val="none" w:sz="0" w:space="0" w:color="auto"/>
      </w:divBdr>
    </w:div>
    <w:div w:id="1475023293">
      <w:bodyDiv w:val="1"/>
      <w:marLeft w:val="0"/>
      <w:marRight w:val="0"/>
      <w:marTop w:val="0"/>
      <w:marBottom w:val="0"/>
      <w:divBdr>
        <w:top w:val="none" w:sz="0" w:space="0" w:color="auto"/>
        <w:left w:val="none" w:sz="0" w:space="0" w:color="auto"/>
        <w:bottom w:val="none" w:sz="0" w:space="0" w:color="auto"/>
        <w:right w:val="none" w:sz="0" w:space="0" w:color="auto"/>
      </w:divBdr>
    </w:div>
    <w:div w:id="1507597338">
      <w:bodyDiv w:val="1"/>
      <w:marLeft w:val="0"/>
      <w:marRight w:val="0"/>
      <w:marTop w:val="0"/>
      <w:marBottom w:val="0"/>
      <w:divBdr>
        <w:top w:val="none" w:sz="0" w:space="0" w:color="auto"/>
        <w:left w:val="none" w:sz="0" w:space="0" w:color="auto"/>
        <w:bottom w:val="none" w:sz="0" w:space="0" w:color="auto"/>
        <w:right w:val="none" w:sz="0" w:space="0" w:color="auto"/>
      </w:divBdr>
    </w:div>
    <w:div w:id="1531600090">
      <w:bodyDiv w:val="1"/>
      <w:marLeft w:val="0"/>
      <w:marRight w:val="0"/>
      <w:marTop w:val="0"/>
      <w:marBottom w:val="0"/>
      <w:divBdr>
        <w:top w:val="none" w:sz="0" w:space="0" w:color="auto"/>
        <w:left w:val="none" w:sz="0" w:space="0" w:color="auto"/>
        <w:bottom w:val="none" w:sz="0" w:space="0" w:color="auto"/>
        <w:right w:val="none" w:sz="0" w:space="0" w:color="auto"/>
      </w:divBdr>
    </w:div>
    <w:div w:id="1550800203">
      <w:bodyDiv w:val="1"/>
      <w:marLeft w:val="0"/>
      <w:marRight w:val="0"/>
      <w:marTop w:val="0"/>
      <w:marBottom w:val="0"/>
      <w:divBdr>
        <w:top w:val="none" w:sz="0" w:space="0" w:color="auto"/>
        <w:left w:val="none" w:sz="0" w:space="0" w:color="auto"/>
        <w:bottom w:val="none" w:sz="0" w:space="0" w:color="auto"/>
        <w:right w:val="none" w:sz="0" w:space="0" w:color="auto"/>
      </w:divBdr>
    </w:div>
    <w:div w:id="1674913033">
      <w:bodyDiv w:val="1"/>
      <w:marLeft w:val="0"/>
      <w:marRight w:val="0"/>
      <w:marTop w:val="0"/>
      <w:marBottom w:val="0"/>
      <w:divBdr>
        <w:top w:val="none" w:sz="0" w:space="0" w:color="auto"/>
        <w:left w:val="none" w:sz="0" w:space="0" w:color="auto"/>
        <w:bottom w:val="none" w:sz="0" w:space="0" w:color="auto"/>
        <w:right w:val="none" w:sz="0" w:space="0" w:color="auto"/>
      </w:divBdr>
    </w:div>
    <w:div w:id="1682782398">
      <w:bodyDiv w:val="1"/>
      <w:marLeft w:val="0"/>
      <w:marRight w:val="0"/>
      <w:marTop w:val="0"/>
      <w:marBottom w:val="0"/>
      <w:divBdr>
        <w:top w:val="none" w:sz="0" w:space="0" w:color="auto"/>
        <w:left w:val="none" w:sz="0" w:space="0" w:color="auto"/>
        <w:bottom w:val="none" w:sz="0" w:space="0" w:color="auto"/>
        <w:right w:val="none" w:sz="0" w:space="0" w:color="auto"/>
      </w:divBdr>
    </w:div>
    <w:div w:id="1798375647">
      <w:bodyDiv w:val="1"/>
      <w:marLeft w:val="0"/>
      <w:marRight w:val="0"/>
      <w:marTop w:val="0"/>
      <w:marBottom w:val="0"/>
      <w:divBdr>
        <w:top w:val="none" w:sz="0" w:space="0" w:color="auto"/>
        <w:left w:val="none" w:sz="0" w:space="0" w:color="auto"/>
        <w:bottom w:val="none" w:sz="0" w:space="0" w:color="auto"/>
        <w:right w:val="none" w:sz="0" w:space="0" w:color="auto"/>
      </w:divBdr>
    </w:div>
    <w:div w:id="1851484890">
      <w:bodyDiv w:val="1"/>
      <w:marLeft w:val="0"/>
      <w:marRight w:val="0"/>
      <w:marTop w:val="0"/>
      <w:marBottom w:val="0"/>
      <w:divBdr>
        <w:top w:val="none" w:sz="0" w:space="0" w:color="auto"/>
        <w:left w:val="none" w:sz="0" w:space="0" w:color="auto"/>
        <w:bottom w:val="none" w:sz="0" w:space="0" w:color="auto"/>
        <w:right w:val="none" w:sz="0" w:space="0" w:color="auto"/>
      </w:divBdr>
    </w:div>
    <w:div w:id="1851987686">
      <w:bodyDiv w:val="1"/>
      <w:marLeft w:val="0"/>
      <w:marRight w:val="0"/>
      <w:marTop w:val="0"/>
      <w:marBottom w:val="0"/>
      <w:divBdr>
        <w:top w:val="none" w:sz="0" w:space="0" w:color="auto"/>
        <w:left w:val="none" w:sz="0" w:space="0" w:color="auto"/>
        <w:bottom w:val="none" w:sz="0" w:space="0" w:color="auto"/>
        <w:right w:val="none" w:sz="0" w:space="0" w:color="auto"/>
      </w:divBdr>
    </w:div>
    <w:div w:id="1913391181">
      <w:bodyDiv w:val="1"/>
      <w:marLeft w:val="0"/>
      <w:marRight w:val="0"/>
      <w:marTop w:val="0"/>
      <w:marBottom w:val="0"/>
      <w:divBdr>
        <w:top w:val="none" w:sz="0" w:space="0" w:color="auto"/>
        <w:left w:val="none" w:sz="0" w:space="0" w:color="auto"/>
        <w:bottom w:val="none" w:sz="0" w:space="0" w:color="auto"/>
        <w:right w:val="none" w:sz="0" w:space="0" w:color="auto"/>
      </w:divBdr>
    </w:div>
    <w:div w:id="1984313276">
      <w:bodyDiv w:val="1"/>
      <w:marLeft w:val="0"/>
      <w:marRight w:val="0"/>
      <w:marTop w:val="0"/>
      <w:marBottom w:val="0"/>
      <w:divBdr>
        <w:top w:val="none" w:sz="0" w:space="0" w:color="auto"/>
        <w:left w:val="none" w:sz="0" w:space="0" w:color="auto"/>
        <w:bottom w:val="none" w:sz="0" w:space="0" w:color="auto"/>
        <w:right w:val="none" w:sz="0" w:space="0" w:color="auto"/>
      </w:divBdr>
    </w:div>
    <w:div w:id="211335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66156.page" TargetMode="External"/><Relationship Id="rId13" Type="http://schemas.openxmlformats.org/officeDocument/2006/relationships/hyperlink" Target="https://saimex.org.mx/saimex/solicitud/downloadAttach/1679494.page"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679493.page" TargetMode="Externa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66157.pag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aimex.org.mx/saimex/solicitud/downloadAttach/1679496.page"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679495.page" TargetMode="External"/><Relationship Id="rId22" Type="http://schemas.openxmlformats.org/officeDocument/2006/relationships/header" Target="header3.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72C70-B92F-454C-AE29-FDD43EAB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13191</Words>
  <Characters>72551</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5</cp:revision>
  <cp:lastPrinted>2023-10-13T20:07:00Z</cp:lastPrinted>
  <dcterms:created xsi:type="dcterms:W3CDTF">2023-10-13T19:36:00Z</dcterms:created>
  <dcterms:modified xsi:type="dcterms:W3CDTF">2023-10-13T20:08:00Z</dcterms:modified>
</cp:coreProperties>
</file>