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E0748" w:rsidR="006A22A5" w:rsidP="006A22A5" w:rsidRDefault="006A22A5" w14:paraId="1EF1D335" w14:textId="1F99B71D">
      <w:pPr>
        <w:tabs>
          <w:tab w:val="left" w:pos="8931"/>
        </w:tabs>
        <w:spacing w:after="0" w:line="360" w:lineRule="auto"/>
        <w:rPr>
          <w:rFonts w:eastAsia="Calibri" w:cs="Tahoma"/>
          <w:lang w:val="es-ES"/>
        </w:rPr>
      </w:pPr>
      <w:r w:rsidRPr="005E0748">
        <w:rPr>
          <w:rFonts w:cs="Tahoma"/>
          <w:bCs/>
        </w:rPr>
        <w:t xml:space="preserve">Resolución del Pleno del Instituto de Transparencia, Acceso a la Información Pública y Protección de Datos Personales del Estado de México y Municipios, con domicilio en Metepec, </w:t>
      </w:r>
      <w:r w:rsidRPr="005E0748">
        <w:rPr>
          <w:rFonts w:eastAsia="Calibri" w:cs="Tahoma"/>
          <w:lang w:val="es-ES"/>
        </w:rPr>
        <w:t xml:space="preserve">Estado de México, de fecha </w:t>
      </w:r>
      <w:r w:rsidRPr="005E0748" w:rsidR="00ED5361">
        <w:rPr>
          <w:rFonts w:eastAsia="Calibri" w:cs="Tahoma"/>
          <w:lang w:val="es-ES"/>
        </w:rPr>
        <w:t xml:space="preserve">primero de </w:t>
      </w:r>
      <w:r w:rsidRPr="005E0748" w:rsidR="00D063FA">
        <w:rPr>
          <w:rFonts w:eastAsia="Calibri" w:cs="Tahoma"/>
          <w:lang w:val="es-ES"/>
        </w:rPr>
        <w:t>marzo</w:t>
      </w:r>
      <w:r w:rsidRPr="005E0748">
        <w:rPr>
          <w:rFonts w:eastAsia="Calibri" w:cs="Tahoma"/>
          <w:lang w:val="es-ES"/>
        </w:rPr>
        <w:t xml:space="preserve"> de dos mil veinti</w:t>
      </w:r>
      <w:r w:rsidRPr="005E0748" w:rsidR="00ED5361">
        <w:rPr>
          <w:rFonts w:eastAsia="Calibri" w:cs="Tahoma"/>
          <w:lang w:val="es-ES"/>
        </w:rPr>
        <w:t>tré</w:t>
      </w:r>
      <w:r w:rsidRPr="005E0748">
        <w:rPr>
          <w:rFonts w:eastAsia="Calibri" w:cs="Tahoma"/>
          <w:lang w:val="es-ES"/>
        </w:rPr>
        <w:t xml:space="preserve">s. </w:t>
      </w:r>
    </w:p>
    <w:p w:rsidRPr="005E0748" w:rsidR="006A22A5" w:rsidP="006A22A5" w:rsidRDefault="006A22A5" w14:paraId="3E404A75" w14:textId="77777777">
      <w:pPr>
        <w:spacing w:after="0" w:line="360" w:lineRule="auto"/>
        <w:rPr>
          <w:rFonts w:eastAsia="Calibri" w:cs="Tahoma"/>
          <w:b/>
          <w:bCs/>
          <w:lang w:val="es-ES"/>
        </w:rPr>
      </w:pPr>
    </w:p>
    <w:p w:rsidRPr="005E0748" w:rsidR="006A22A5" w:rsidP="006A22A5" w:rsidRDefault="006A22A5" w14:paraId="437538CE" w14:textId="2264CA0A">
      <w:pPr>
        <w:spacing w:after="0" w:line="360" w:lineRule="auto"/>
        <w:rPr>
          <w:rFonts w:cs="Tahoma"/>
          <w:color w:val="0D0D0D" w:themeColor="text1" w:themeTint="F2"/>
        </w:rPr>
      </w:pPr>
      <w:r w:rsidRPr="639BED67" w:rsidR="639BED67">
        <w:rPr>
          <w:rFonts w:eastAsia="Calibri" w:cs="Tahoma"/>
          <w:b w:val="1"/>
          <w:bCs w:val="1"/>
          <w:lang w:val="es-ES"/>
        </w:rPr>
        <w:t xml:space="preserve">VISTO </w:t>
      </w:r>
      <w:r w:rsidRPr="639BED67" w:rsidR="639BED67">
        <w:rPr>
          <w:rFonts w:eastAsia="Calibri" w:cs="Tahoma"/>
          <w:lang w:val="es-ES"/>
        </w:rPr>
        <w:t xml:space="preserve">el expediente conformado con motivo del Recurso de Revisión </w:t>
      </w:r>
      <w:r w:rsidRPr="639BED67" w:rsidR="639BED67">
        <w:rPr>
          <w:rFonts w:eastAsia="Calibri" w:cs="Tahoma"/>
        </w:rPr>
        <w:t xml:space="preserve">10481/INFOEM/IP/RR/2022, interpuesto por </w:t>
      </w:r>
      <w:r w:rsidRPr="639BED67" w:rsidR="639BED67">
        <w:rPr>
          <w:rFonts w:eastAsia="Calibri" w:cs="Tahoma"/>
          <w:highlight w:val="black"/>
        </w:rPr>
        <w:t>XXXXXXXXXX</w:t>
      </w:r>
      <w:r w:rsidRPr="639BED67" w:rsidR="639BED67">
        <w:rPr>
          <w:rFonts w:eastAsia="Calibri" w:cs="Tahoma"/>
        </w:rPr>
        <w:t>, en lo sucesivo, la</w:t>
      </w:r>
      <w:r w:rsidRPr="639BED67" w:rsidR="639BED67">
        <w:rPr>
          <w:rFonts w:cs="Tahoma"/>
          <w:color w:val="0D0D0D" w:themeColor="text1" w:themeTint="F2" w:themeShade="FF"/>
        </w:rPr>
        <w:t xml:space="preserve"> Recurrente o Particular, en contra de la respuesta del Sujeto Obligado, Ayuntamiento de</w:t>
      </w:r>
      <w:r w:rsidRPr="639BED67" w:rsidR="639BED67">
        <w:rPr>
          <w:rFonts w:cs="Tahoma"/>
          <w:color w:val="0D0D0D" w:themeColor="text1" w:themeTint="F2" w:themeShade="FF"/>
        </w:rPr>
        <w:t xml:space="preserve"> </w:t>
      </w:r>
      <w:r w:rsidRPr="639BED67" w:rsidR="639BED67">
        <w:rPr>
          <w:rFonts w:cs="Tahoma"/>
          <w:color w:val="0D0D0D" w:themeColor="text1" w:themeTint="F2" w:themeShade="FF"/>
        </w:rPr>
        <w:t>T</w:t>
      </w:r>
      <w:r w:rsidRPr="639BED67" w:rsidR="639BED67">
        <w:rPr>
          <w:rFonts w:cs="Tahoma"/>
          <w:color w:val="0D0D0D" w:themeColor="text1" w:themeTint="F2" w:themeShade="FF"/>
        </w:rPr>
        <w:t>onanitl</w:t>
      </w:r>
      <w:r w:rsidRPr="639BED67" w:rsidR="639BED67">
        <w:rPr>
          <w:rFonts w:cs="Tahoma"/>
          <w:color w:val="0D0D0D" w:themeColor="text1" w:themeTint="F2" w:themeShade="FF"/>
        </w:rPr>
        <w:t>a</w:t>
      </w:r>
      <w:r w:rsidRPr="639BED67" w:rsidR="639BED67">
        <w:rPr>
          <w:rFonts w:cs="Tahoma"/>
          <w:color w:val="0D0D0D" w:themeColor="text1" w:themeTint="F2" w:themeShade="FF"/>
        </w:rPr>
        <w:t>,</w:t>
      </w:r>
      <w:r w:rsidRPr="639BED67" w:rsidR="639BED67">
        <w:rPr>
          <w:rFonts w:cs="Tahoma"/>
          <w:color w:val="0D0D0D" w:themeColor="text1" w:themeTint="F2" w:themeShade="FF"/>
        </w:rPr>
        <w:t xml:space="preserve"> a la solicitud de acceso a la información pública </w:t>
      </w:r>
      <w:r w:rsidR="639BED67">
        <w:rPr/>
        <w:t>00042/TONANI/IP/2022</w:t>
      </w:r>
      <w:r w:rsidRPr="639BED67" w:rsidR="639BED67">
        <w:rPr>
          <w:rFonts w:cs="Tahoma"/>
          <w:color w:val="0D0D0D" w:themeColor="text1" w:themeTint="F2" w:themeShade="FF"/>
        </w:rPr>
        <w:t>, se emite la presente Resolución, con base en los Antecedentes y Considerandos que se exponen a continuación:</w:t>
      </w:r>
    </w:p>
    <w:p w:rsidRPr="005E0748" w:rsidR="006A22A5" w:rsidP="006A22A5" w:rsidRDefault="006A22A5" w14:paraId="03110990" w14:textId="77777777">
      <w:pPr>
        <w:spacing w:after="0" w:line="360" w:lineRule="auto"/>
        <w:rPr>
          <w:rFonts w:eastAsia="Calibri" w:cs="Tahoma"/>
          <w:b/>
          <w:bCs/>
          <w:lang w:val="es-ES"/>
        </w:rPr>
      </w:pPr>
    </w:p>
    <w:p w:rsidRPr="005E0748" w:rsidR="006A22A5" w:rsidP="006A22A5" w:rsidRDefault="006A22A5" w14:paraId="3FA87ACE" w14:textId="77777777">
      <w:pPr>
        <w:spacing w:after="0" w:line="360" w:lineRule="auto"/>
        <w:jc w:val="center"/>
        <w:rPr>
          <w:rFonts w:eastAsia="Calibri" w:cs="Tahoma"/>
          <w:b/>
          <w:bCs/>
          <w:lang w:val="es-ES"/>
        </w:rPr>
      </w:pPr>
      <w:r w:rsidRPr="005E0748">
        <w:rPr>
          <w:rFonts w:eastAsia="Calibri" w:cs="Tahoma"/>
          <w:b/>
          <w:bCs/>
          <w:lang w:val="es-ES"/>
        </w:rPr>
        <w:t>A N T E C E D E N T E S:</w:t>
      </w:r>
    </w:p>
    <w:p w:rsidRPr="005E0748" w:rsidR="006A22A5" w:rsidP="006A22A5" w:rsidRDefault="006A22A5" w14:paraId="3D7C1218" w14:textId="77777777">
      <w:pPr>
        <w:spacing w:after="0" w:line="360" w:lineRule="auto"/>
        <w:rPr>
          <w:lang w:val="es-ES"/>
        </w:rPr>
      </w:pPr>
    </w:p>
    <w:p w:rsidRPr="005E0748" w:rsidR="006A22A5" w:rsidP="006A22A5" w:rsidRDefault="006A22A5" w14:paraId="5BCF0AB8" w14:textId="77777777">
      <w:pPr>
        <w:spacing w:after="0" w:line="360" w:lineRule="auto"/>
        <w:rPr>
          <w:rFonts w:eastAsia="Calibri" w:cs="Tahoma"/>
          <w:b/>
          <w:bCs/>
          <w:lang w:val="es-ES"/>
        </w:rPr>
      </w:pPr>
      <w:r w:rsidRPr="005E0748">
        <w:rPr>
          <w:rFonts w:eastAsia="Calibri" w:cs="Tahoma"/>
          <w:b/>
          <w:bCs/>
          <w:lang w:val="es-ES"/>
        </w:rPr>
        <w:t>I. Presentación de la solicitud de información.</w:t>
      </w:r>
    </w:p>
    <w:p w:rsidRPr="005E0748" w:rsidR="006A22A5" w:rsidP="006A22A5" w:rsidRDefault="006A22A5" w14:paraId="30DB132E" w14:textId="77777777">
      <w:pPr>
        <w:spacing w:after="0" w:line="360" w:lineRule="auto"/>
        <w:rPr>
          <w:rFonts w:eastAsia="Calibri" w:cs="Tahoma"/>
          <w:b/>
          <w:bCs/>
          <w:lang w:val="es-ES"/>
        </w:rPr>
      </w:pPr>
    </w:p>
    <w:p w:rsidRPr="005E0748" w:rsidR="006A22A5" w:rsidP="006A22A5" w:rsidRDefault="006A22A5" w14:paraId="5F7B997C" w14:textId="5EEABA6C">
      <w:pPr>
        <w:spacing w:after="0" w:line="360" w:lineRule="auto"/>
        <w:rPr>
          <w:rFonts w:cs="Tahoma"/>
        </w:rPr>
      </w:pPr>
      <w:r w:rsidRPr="005E0748">
        <w:rPr>
          <w:rFonts w:eastAsia="Calibri" w:cs="Tahoma"/>
          <w:lang w:val="es-ES"/>
        </w:rPr>
        <w:t xml:space="preserve">Con fecha diez de mayo de dos mil veintidós, se tuvo por presentada una solicitud de información del Particular, a través del Sistema de Acceso a la Información Mexiquense (SAIMEX), ante el </w:t>
      </w:r>
      <w:r w:rsidRPr="005E0748">
        <w:rPr>
          <w:rFonts w:eastAsia="Calibri" w:cs="Tahoma"/>
        </w:rPr>
        <w:t xml:space="preserve">Ayuntamiento de </w:t>
      </w:r>
      <w:proofErr w:type="spellStart"/>
      <w:r w:rsidRPr="005E0748">
        <w:rPr>
          <w:rFonts w:eastAsia="Calibri" w:cs="Tahoma"/>
        </w:rPr>
        <w:t>Tonanitla</w:t>
      </w:r>
      <w:proofErr w:type="spellEnd"/>
      <w:r w:rsidRPr="005E0748">
        <w:rPr>
          <w:b/>
          <w:bCs/>
          <w:lang w:val="es-ES"/>
        </w:rPr>
        <w:t>,</w:t>
      </w:r>
      <w:r w:rsidRPr="005E0748">
        <w:rPr>
          <w:rFonts w:cs="Tahoma"/>
        </w:rPr>
        <w:t xml:space="preserve"> en los siguientes términos:</w:t>
      </w:r>
    </w:p>
    <w:p w:rsidRPr="005E0748" w:rsidR="006A22A5" w:rsidP="006A22A5" w:rsidRDefault="006A22A5" w14:paraId="23BC18B8" w14:textId="77777777">
      <w:pPr>
        <w:spacing w:after="0" w:line="360" w:lineRule="auto"/>
        <w:rPr>
          <w:rFonts w:cs="Tahoma"/>
        </w:rPr>
      </w:pPr>
    </w:p>
    <w:p w:rsidRPr="005E0748" w:rsidR="006A22A5" w:rsidP="006A22A5" w:rsidRDefault="006A22A5" w14:paraId="020D0930" w14:textId="77777777">
      <w:pPr>
        <w:tabs>
          <w:tab w:val="left" w:pos="4667"/>
        </w:tabs>
        <w:spacing w:after="0" w:line="360" w:lineRule="auto"/>
        <w:ind w:left="567" w:right="567"/>
        <w:rPr>
          <w:rFonts w:cs="Tahoma"/>
          <w:b/>
          <w:bCs/>
          <w:i/>
          <w:sz w:val="20"/>
          <w:szCs w:val="20"/>
        </w:rPr>
      </w:pPr>
      <w:r w:rsidRPr="005E0748">
        <w:rPr>
          <w:rFonts w:cs="Tahoma"/>
          <w:b/>
          <w:bCs/>
          <w:i/>
          <w:sz w:val="20"/>
          <w:szCs w:val="20"/>
        </w:rPr>
        <w:t>“DESCRIPCIÓN CLARA Y PRECISA DE LA INFORMACIÓN SOLICITADA</w:t>
      </w:r>
    </w:p>
    <w:p w:rsidRPr="005E0748" w:rsidR="006A22A5" w:rsidP="006A22A5" w:rsidRDefault="006A22A5" w14:paraId="58DABF67" w14:textId="678E4536">
      <w:pPr>
        <w:spacing w:after="0" w:line="360" w:lineRule="auto"/>
        <w:ind w:left="567" w:right="567"/>
        <w:rPr>
          <w:rFonts w:eastAsia="Times New Roman" w:cs="Arial"/>
          <w:bCs/>
          <w:i/>
          <w:color w:val="auto"/>
          <w:sz w:val="20"/>
          <w:szCs w:val="20"/>
          <w:lang w:eastAsia="es-ES"/>
        </w:rPr>
      </w:pPr>
      <w:r w:rsidRPr="005E0748">
        <w:rPr>
          <w:rFonts w:eastAsia="Times New Roman" w:cs="Times New Roman"/>
          <w:i/>
          <w:color w:val="auto"/>
          <w:sz w:val="20"/>
          <w:szCs w:val="20"/>
          <w:lang w:eastAsia="es-MX"/>
        </w:rPr>
        <w:t>por mis derechos constitucionales de conocer el actuar de la dependencia municipal y saber en qué se gastan los recursos municipales, solicito cuanto haciende la cuenta de recursos que se gastan en Sueldos y prestaciones, gratificaciones en todas dependencias públicas municipales, AYUNTAMIENTO, MANDOS SUPERIORES DE PROTECCIÓN CIVIL Y POLICIA, SISTEMA DIF E IMCUFIDET, saber nombre, cargo y sueldo bruto y neto y grado máximo de estudios da cada uno de los servidores públicos de estas dependencias a excepción de los elementos policiacos y de protección civil</w:t>
      </w:r>
      <w:r w:rsidRPr="005E0748">
        <w:rPr>
          <w:i/>
          <w:color w:val="000000"/>
          <w:sz w:val="20"/>
          <w:szCs w:val="20"/>
        </w:rPr>
        <w:t>.</w:t>
      </w:r>
      <w:r w:rsidRPr="005E0748">
        <w:rPr>
          <w:rFonts w:cs="Tahoma"/>
          <w:bCs/>
          <w:i/>
          <w:sz w:val="20"/>
          <w:szCs w:val="20"/>
        </w:rPr>
        <w:t xml:space="preserve">” </w:t>
      </w:r>
      <w:r w:rsidRPr="005E0748">
        <w:rPr>
          <w:rFonts w:eastAsia="Times New Roman" w:cs="Arial"/>
          <w:bCs/>
          <w:i/>
          <w:color w:val="auto"/>
          <w:sz w:val="20"/>
          <w:szCs w:val="20"/>
          <w:lang w:eastAsia="es-ES"/>
        </w:rPr>
        <w:t>(Sic)</w:t>
      </w:r>
    </w:p>
    <w:p w:rsidRPr="005E0748" w:rsidR="006A22A5" w:rsidP="006A22A5" w:rsidRDefault="006A22A5" w14:paraId="580227FE" w14:textId="77777777">
      <w:pPr>
        <w:spacing w:after="0" w:line="360" w:lineRule="auto"/>
        <w:ind w:left="567" w:right="567"/>
        <w:rPr>
          <w:rFonts w:eastAsia="Times New Roman" w:cs="Times New Roman"/>
          <w:i/>
          <w:color w:val="auto"/>
          <w:sz w:val="20"/>
          <w:szCs w:val="20"/>
          <w:lang w:eastAsia="es-MX"/>
        </w:rPr>
      </w:pPr>
    </w:p>
    <w:p w:rsidRPr="005E0748" w:rsidR="00D03292" w:rsidP="006A22A5" w:rsidRDefault="00D03292" w14:paraId="2CBE9C5C" w14:textId="77777777">
      <w:pPr>
        <w:spacing w:after="0" w:line="360" w:lineRule="auto"/>
        <w:ind w:left="567" w:right="567"/>
        <w:rPr>
          <w:rFonts w:eastAsia="Times New Roman" w:cs="Times New Roman"/>
          <w:i/>
          <w:color w:val="auto"/>
          <w:sz w:val="20"/>
          <w:szCs w:val="20"/>
          <w:lang w:eastAsia="es-MX"/>
        </w:rPr>
      </w:pPr>
    </w:p>
    <w:p w:rsidRPr="005E0748" w:rsidR="006A22A5" w:rsidP="006A22A5" w:rsidRDefault="006A22A5" w14:paraId="5AEDC79B" w14:textId="77777777">
      <w:pPr>
        <w:tabs>
          <w:tab w:val="left" w:pos="4667"/>
        </w:tabs>
        <w:spacing w:after="0" w:line="360" w:lineRule="auto"/>
        <w:ind w:left="567" w:right="567"/>
        <w:rPr>
          <w:rFonts w:eastAsia="Times New Roman" w:cs="Tahoma"/>
          <w:b/>
          <w:bCs/>
          <w:i/>
          <w:iCs/>
          <w:color w:val="auto"/>
          <w:sz w:val="20"/>
          <w:szCs w:val="20"/>
          <w:lang w:eastAsia="es-ES"/>
        </w:rPr>
      </w:pPr>
      <w:r w:rsidRPr="005E0748">
        <w:rPr>
          <w:rFonts w:eastAsia="Times New Roman" w:cs="Tahoma"/>
          <w:b/>
          <w:bCs/>
          <w:i/>
          <w:iCs/>
          <w:color w:val="auto"/>
          <w:sz w:val="20"/>
          <w:szCs w:val="20"/>
          <w:lang w:eastAsia="es-ES"/>
        </w:rPr>
        <w:lastRenderedPageBreak/>
        <w:t>“MODALIDAD DE ENTREGA</w:t>
      </w:r>
    </w:p>
    <w:p w:rsidRPr="005E0748" w:rsidR="006A22A5" w:rsidP="006A22A5" w:rsidRDefault="006A22A5" w14:paraId="6F0F6271" w14:textId="77777777">
      <w:pPr>
        <w:spacing w:after="0" w:line="360" w:lineRule="auto"/>
        <w:ind w:left="567" w:right="567"/>
        <w:rPr>
          <w:rFonts w:eastAsia="Times New Roman" w:cs="Arial"/>
          <w:bCs/>
          <w:i/>
          <w:iCs/>
          <w:color w:val="auto"/>
          <w:sz w:val="20"/>
          <w:szCs w:val="20"/>
          <w:lang w:eastAsia="es-ES"/>
        </w:rPr>
      </w:pPr>
      <w:r w:rsidRPr="005E0748">
        <w:rPr>
          <w:rFonts w:eastAsia="Times New Roman" w:cs="Arial"/>
          <w:bCs/>
          <w:i/>
          <w:iCs/>
          <w:color w:val="auto"/>
          <w:sz w:val="20"/>
          <w:szCs w:val="20"/>
          <w:lang w:eastAsia="es-ES"/>
        </w:rPr>
        <w:t>A través del SAIMEX” (Sic)</w:t>
      </w:r>
    </w:p>
    <w:p w:rsidRPr="005E0748" w:rsidR="006A22A5" w:rsidP="006A22A5" w:rsidRDefault="006A22A5" w14:paraId="42771379" w14:textId="77777777">
      <w:pPr>
        <w:spacing w:after="0" w:line="360" w:lineRule="auto"/>
        <w:rPr>
          <w:rFonts w:eastAsia="Calibri" w:cs="Tahoma"/>
          <w:b/>
          <w:bCs/>
        </w:rPr>
      </w:pPr>
    </w:p>
    <w:p w:rsidRPr="005E0748" w:rsidR="006A22A5" w:rsidP="006A22A5" w:rsidRDefault="006A22A5" w14:paraId="6D32E87E" w14:textId="16EAA579">
      <w:pPr>
        <w:spacing w:after="0" w:line="360" w:lineRule="auto"/>
        <w:rPr>
          <w:rFonts w:eastAsia="Calibri" w:cs="Tahoma"/>
          <w:b/>
          <w:bCs/>
        </w:rPr>
      </w:pPr>
      <w:r w:rsidRPr="005E0748">
        <w:rPr>
          <w:rFonts w:eastAsia="Calibri" w:cs="Tahoma"/>
          <w:b/>
          <w:bCs/>
        </w:rPr>
        <w:t xml:space="preserve">II. </w:t>
      </w:r>
      <w:r w:rsidRPr="005E0748">
        <w:rPr>
          <w:rFonts w:eastAsia="Calibri" w:cs="Tahoma"/>
          <w:b/>
        </w:rPr>
        <w:t>Respuesta</w:t>
      </w:r>
      <w:r w:rsidRPr="005E0748">
        <w:rPr>
          <w:rFonts w:eastAsia="Calibri" w:cs="Tahoma"/>
          <w:b/>
          <w:bCs/>
        </w:rPr>
        <w:t xml:space="preserve"> del Sujeto Obligado.</w:t>
      </w:r>
    </w:p>
    <w:p w:rsidRPr="005E0748" w:rsidR="0061713B" w:rsidP="0061713B" w:rsidRDefault="0061713B" w14:paraId="2C1E61F8" w14:textId="77777777">
      <w:pPr>
        <w:autoSpaceDE w:val="0"/>
        <w:autoSpaceDN w:val="0"/>
        <w:adjustRightInd w:val="0"/>
        <w:spacing w:after="0" w:line="360" w:lineRule="auto"/>
        <w:rPr>
          <w:rFonts w:eastAsia="Calibri" w:cs="Tahoma"/>
          <w:color w:val="000000"/>
        </w:rPr>
      </w:pPr>
    </w:p>
    <w:p w:rsidRPr="005E0748" w:rsidR="00ED5361" w:rsidP="0061713B" w:rsidRDefault="0061713B" w14:paraId="5F3C87E4" w14:textId="77777777">
      <w:pPr>
        <w:autoSpaceDE w:val="0"/>
        <w:autoSpaceDN w:val="0"/>
        <w:adjustRightInd w:val="0"/>
        <w:spacing w:after="0" w:line="360" w:lineRule="auto"/>
        <w:rPr>
          <w:rFonts w:eastAsia="Times New Roman" w:cs="Tahoma"/>
          <w:color w:val="auto"/>
          <w:lang w:eastAsia="es-ES"/>
        </w:rPr>
      </w:pPr>
      <w:r w:rsidRPr="005E0748">
        <w:rPr>
          <w:rFonts w:eastAsia="Calibri" w:cs="Tahoma"/>
          <w:color w:val="000000"/>
        </w:rPr>
        <w:t xml:space="preserve">Con fecha treinta y uno de mayo de dos mil veintidós, el Sujeto Obligado notificó al Particular, mediante el </w:t>
      </w:r>
      <w:r w:rsidRPr="005E0748">
        <w:rPr>
          <w:rFonts w:eastAsia="Times New Roman" w:cs="Tahoma"/>
          <w:color w:val="auto"/>
          <w:lang w:eastAsia="es-ES"/>
        </w:rPr>
        <w:t>Sistema de Acceso a la Información Mexiquense (SAIMEX), la respuesta a la solicitud de acceso a la información, por medio de</w:t>
      </w:r>
      <w:r w:rsidRPr="005E0748" w:rsidR="00ED5361">
        <w:rPr>
          <w:rFonts w:eastAsia="Times New Roman" w:cs="Tahoma"/>
          <w:color w:val="auto"/>
          <w:lang w:eastAsia="es-ES"/>
        </w:rPr>
        <w:t xml:space="preserve"> </w:t>
      </w:r>
      <w:r w:rsidRPr="005E0748">
        <w:rPr>
          <w:rFonts w:eastAsia="Times New Roman" w:cs="Tahoma"/>
          <w:color w:val="auto"/>
          <w:lang w:eastAsia="es-ES"/>
        </w:rPr>
        <w:t>l</w:t>
      </w:r>
      <w:r w:rsidRPr="005E0748" w:rsidR="00ED5361">
        <w:rPr>
          <w:rFonts w:eastAsia="Times New Roman" w:cs="Tahoma"/>
          <w:color w:val="auto"/>
          <w:lang w:eastAsia="es-ES"/>
        </w:rPr>
        <w:t>a digitalización de los siguientes documentos:</w:t>
      </w:r>
    </w:p>
    <w:p w:rsidRPr="005E0748" w:rsidR="00ED5361" w:rsidP="0061713B" w:rsidRDefault="00ED5361" w14:paraId="19934EAB" w14:textId="77777777">
      <w:pPr>
        <w:autoSpaceDE w:val="0"/>
        <w:autoSpaceDN w:val="0"/>
        <w:adjustRightInd w:val="0"/>
        <w:spacing w:after="0" w:line="360" w:lineRule="auto"/>
        <w:rPr>
          <w:rFonts w:eastAsia="Times New Roman" w:cs="Tahoma"/>
          <w:color w:val="auto"/>
          <w:lang w:eastAsia="es-ES"/>
        </w:rPr>
      </w:pPr>
    </w:p>
    <w:p w:rsidRPr="005E0748" w:rsidR="008068CA" w:rsidP="0061713B" w:rsidRDefault="00ED5361" w14:paraId="25EA17E0" w14:textId="71AE5054">
      <w:pPr>
        <w:autoSpaceDE w:val="0"/>
        <w:autoSpaceDN w:val="0"/>
        <w:adjustRightInd w:val="0"/>
        <w:spacing w:after="0" w:line="360" w:lineRule="auto"/>
        <w:rPr>
          <w:rFonts w:cs="Tahoma"/>
        </w:rPr>
      </w:pPr>
      <w:r w:rsidRPr="005E0748">
        <w:rPr>
          <w:rFonts w:eastAsia="Times New Roman" w:cs="Tahoma"/>
          <w:color w:val="auto"/>
          <w:lang w:eastAsia="es-ES"/>
        </w:rPr>
        <w:t>i) O</w:t>
      </w:r>
      <w:r w:rsidRPr="005E0748" w:rsidR="0061713B">
        <w:rPr>
          <w:rFonts w:eastAsia="Times New Roman" w:cs="Tahoma"/>
          <w:color w:val="auto"/>
          <w:lang w:eastAsia="es-ES"/>
        </w:rPr>
        <w:t>ficio</w:t>
      </w:r>
      <w:r w:rsidRPr="005E0748">
        <w:rPr>
          <w:rFonts w:eastAsia="Times New Roman" w:cs="Tahoma"/>
          <w:color w:val="auto"/>
          <w:lang w:eastAsia="es-ES"/>
        </w:rPr>
        <w:t xml:space="preserve"> número</w:t>
      </w:r>
      <w:r w:rsidRPr="005E0748" w:rsidR="0061713B">
        <w:rPr>
          <w:rFonts w:eastAsia="Times New Roman" w:cs="Tahoma"/>
          <w:color w:val="auto"/>
          <w:lang w:eastAsia="es-ES"/>
        </w:rPr>
        <w:t xml:space="preserve"> </w:t>
      </w:r>
      <w:r w:rsidRPr="005E0748" w:rsidR="005F3ED2">
        <w:rPr>
          <w:rFonts w:eastAsia="Times New Roman" w:cs="Tahoma"/>
          <w:color w:val="auto"/>
          <w:lang w:eastAsia="es-ES"/>
        </w:rPr>
        <w:t>TRANSP/TON/</w:t>
      </w:r>
      <w:r w:rsidRPr="005E0748" w:rsidR="005F3ED2">
        <w:rPr>
          <w:rFonts w:cs="Tahoma"/>
        </w:rPr>
        <w:t>222</w:t>
      </w:r>
      <w:r w:rsidRPr="005E0748" w:rsidR="0061713B">
        <w:rPr>
          <w:rFonts w:cs="Tahoma"/>
        </w:rPr>
        <w:t xml:space="preserve">/2022, de la </w:t>
      </w:r>
      <w:r w:rsidRPr="005E0748">
        <w:rPr>
          <w:rFonts w:cs="Tahoma"/>
        </w:rPr>
        <w:t>fecha de su recepción</w:t>
      </w:r>
      <w:r w:rsidRPr="005E0748" w:rsidR="0061713B">
        <w:rPr>
          <w:rFonts w:cs="Tahoma"/>
        </w:rPr>
        <w:t>, dirigido al Particular, suscrito por la Titular de la Unidad de Transparencia,</w:t>
      </w:r>
      <w:r w:rsidRPr="005E0748" w:rsidR="008068CA">
        <w:rPr>
          <w:rFonts w:cs="Tahoma"/>
        </w:rPr>
        <w:t xml:space="preserve"> </w:t>
      </w:r>
      <w:r w:rsidRPr="005E0748" w:rsidR="002231EB">
        <w:rPr>
          <w:rFonts w:cs="Tahoma"/>
        </w:rPr>
        <w:t>por medio d</w:t>
      </w:r>
      <w:r w:rsidRPr="005E0748" w:rsidR="0061713B">
        <w:rPr>
          <w:rFonts w:cs="Tahoma"/>
        </w:rPr>
        <w:t xml:space="preserve">el cual </w:t>
      </w:r>
      <w:r w:rsidRPr="005E0748" w:rsidR="008068CA">
        <w:rPr>
          <w:rFonts w:cs="Tahoma"/>
        </w:rPr>
        <w:t xml:space="preserve">le </w:t>
      </w:r>
      <w:r w:rsidRPr="005E0748" w:rsidR="0061713B">
        <w:rPr>
          <w:rFonts w:cs="Tahoma"/>
        </w:rPr>
        <w:t>remite la</w:t>
      </w:r>
      <w:r w:rsidRPr="005E0748" w:rsidR="002231EB">
        <w:rPr>
          <w:rFonts w:cs="Tahoma"/>
        </w:rPr>
        <w:t>s</w:t>
      </w:r>
      <w:r w:rsidRPr="005E0748" w:rsidR="0061713B">
        <w:rPr>
          <w:rFonts w:cs="Tahoma"/>
        </w:rPr>
        <w:t xml:space="preserve"> respuesta</w:t>
      </w:r>
      <w:r w:rsidRPr="005E0748" w:rsidR="002231EB">
        <w:rPr>
          <w:rFonts w:cs="Tahoma"/>
        </w:rPr>
        <w:t>s</w:t>
      </w:r>
      <w:r w:rsidRPr="005E0748" w:rsidR="0061713B">
        <w:rPr>
          <w:rFonts w:cs="Tahoma"/>
        </w:rPr>
        <w:t xml:space="preserve"> </w:t>
      </w:r>
      <w:r w:rsidRPr="005E0748" w:rsidR="008068CA">
        <w:rPr>
          <w:rFonts w:cs="Tahoma"/>
        </w:rPr>
        <w:t>entregada</w:t>
      </w:r>
      <w:r w:rsidRPr="005E0748" w:rsidR="002231EB">
        <w:rPr>
          <w:rFonts w:cs="Tahoma"/>
        </w:rPr>
        <w:t>s</w:t>
      </w:r>
      <w:r w:rsidRPr="005E0748" w:rsidR="0061713B">
        <w:rPr>
          <w:rFonts w:cs="Tahoma"/>
        </w:rPr>
        <w:t xml:space="preserve"> por la </w:t>
      </w:r>
      <w:r w:rsidRPr="005E0748" w:rsidR="005F3ED2">
        <w:rPr>
          <w:rFonts w:cs="Tahoma"/>
        </w:rPr>
        <w:t xml:space="preserve">Tesorería Municipal, Instituto Municipal para la Cultura Física y Deporte de </w:t>
      </w:r>
      <w:proofErr w:type="spellStart"/>
      <w:r w:rsidRPr="005E0748" w:rsidR="005F3ED2">
        <w:rPr>
          <w:rFonts w:cs="Tahoma"/>
        </w:rPr>
        <w:t>Tonanitla</w:t>
      </w:r>
      <w:proofErr w:type="spellEnd"/>
      <w:r w:rsidRPr="005E0748" w:rsidR="005F3ED2">
        <w:rPr>
          <w:rFonts w:cs="Tahoma"/>
        </w:rPr>
        <w:t>, Sistema Municipal para el Desarrollo Integral de la Familia y, la Dirección de Fomento y Desarrollo Económico, Administración y Reglamentos</w:t>
      </w:r>
      <w:r w:rsidRPr="005E0748" w:rsidR="008068CA">
        <w:rPr>
          <w:rFonts w:cs="Tahoma"/>
        </w:rPr>
        <w:t>.</w:t>
      </w:r>
    </w:p>
    <w:p w:rsidRPr="005E0748" w:rsidR="008068CA" w:rsidP="008068CA" w:rsidRDefault="008068CA" w14:paraId="7B752C48" w14:textId="77777777">
      <w:pPr>
        <w:autoSpaceDE w:val="0"/>
        <w:autoSpaceDN w:val="0"/>
        <w:adjustRightInd w:val="0"/>
        <w:spacing w:after="0" w:line="360" w:lineRule="auto"/>
        <w:rPr>
          <w:rFonts w:cs="Tahoma"/>
        </w:rPr>
      </w:pPr>
    </w:p>
    <w:p w:rsidRPr="005E0748" w:rsidR="006A22A5" w:rsidP="008068CA" w:rsidRDefault="008068CA" w14:paraId="709AB54C" w14:textId="2D8F2F22">
      <w:pPr>
        <w:autoSpaceDE w:val="0"/>
        <w:autoSpaceDN w:val="0"/>
        <w:adjustRightInd w:val="0"/>
        <w:spacing w:after="0" w:line="360" w:lineRule="auto"/>
        <w:rPr>
          <w:rFonts w:eastAsia="Calibri" w:cs="Tahoma"/>
          <w:color w:val="000000"/>
          <w:lang w:val="es-ES"/>
        </w:rPr>
      </w:pPr>
      <w:r w:rsidRPr="005E0748">
        <w:rPr>
          <w:rFonts w:eastAsia="Calibri" w:cs="Tahoma"/>
          <w:color w:val="000000"/>
          <w:lang w:val="es-ES"/>
        </w:rPr>
        <w:t>i</w:t>
      </w:r>
      <w:r w:rsidRPr="005E0748" w:rsidR="00ED5361">
        <w:rPr>
          <w:rFonts w:eastAsia="Calibri" w:cs="Tahoma"/>
          <w:color w:val="000000"/>
          <w:lang w:val="es-ES"/>
        </w:rPr>
        <w:t>i</w:t>
      </w:r>
      <w:r w:rsidRPr="005E0748">
        <w:rPr>
          <w:rFonts w:eastAsia="Calibri" w:cs="Tahoma"/>
          <w:color w:val="000000"/>
          <w:lang w:val="es-ES"/>
        </w:rPr>
        <w:t xml:space="preserve">) </w:t>
      </w:r>
      <w:r w:rsidRPr="005E0748" w:rsidR="005F3ED2">
        <w:rPr>
          <w:rFonts w:eastAsia="Calibri" w:cs="Tahoma"/>
          <w:color w:val="000000"/>
          <w:lang w:val="es-ES"/>
        </w:rPr>
        <w:t xml:space="preserve">Oficio </w:t>
      </w:r>
      <w:r w:rsidRPr="005E0748">
        <w:rPr>
          <w:rFonts w:eastAsia="Calibri" w:cs="Tahoma"/>
          <w:color w:val="000000"/>
          <w:lang w:val="es-ES"/>
        </w:rPr>
        <w:t xml:space="preserve">número </w:t>
      </w:r>
      <w:r w:rsidRPr="005E0748" w:rsidR="005F3ED2">
        <w:rPr>
          <w:rFonts w:eastAsia="Calibri" w:cs="Tahoma"/>
          <w:color w:val="000000"/>
          <w:lang w:val="es-ES"/>
        </w:rPr>
        <w:t xml:space="preserve">TM/TON/227/2022, de fecha treinta y uno de mayo de dos mil veintidós, suscrito por la Tesorera Municipal, </w:t>
      </w:r>
      <w:r w:rsidRPr="005E0748" w:rsidR="00ED5361">
        <w:rPr>
          <w:rFonts w:eastAsia="Calibri" w:cs="Tahoma"/>
          <w:color w:val="000000"/>
          <w:lang w:val="es-ES"/>
        </w:rPr>
        <w:t xml:space="preserve">dirigido a la Titular de la Unidad de Transparencia y Acceso a la Información Pública, </w:t>
      </w:r>
      <w:r w:rsidRPr="005E0748" w:rsidR="007E5C8F">
        <w:rPr>
          <w:rFonts w:eastAsia="Calibri" w:cs="Tahoma"/>
          <w:color w:val="000000"/>
          <w:lang w:val="es-ES"/>
        </w:rPr>
        <w:t>por medio</w:t>
      </w:r>
      <w:r w:rsidRPr="005E0748">
        <w:rPr>
          <w:rFonts w:eastAsia="Calibri" w:cs="Tahoma"/>
          <w:color w:val="000000"/>
          <w:lang w:val="es-ES"/>
        </w:rPr>
        <w:t xml:space="preserve"> </w:t>
      </w:r>
      <w:r w:rsidRPr="005E0748" w:rsidR="007E5C8F">
        <w:rPr>
          <w:rFonts w:eastAsia="Calibri" w:cs="Tahoma"/>
          <w:color w:val="000000"/>
          <w:lang w:val="es-ES"/>
        </w:rPr>
        <w:t>d</w:t>
      </w:r>
      <w:r w:rsidRPr="005E0748">
        <w:rPr>
          <w:rFonts w:eastAsia="Calibri" w:cs="Tahoma"/>
          <w:color w:val="000000"/>
          <w:lang w:val="es-ES"/>
        </w:rPr>
        <w:t xml:space="preserve">el </w:t>
      </w:r>
      <w:r w:rsidRPr="005E0748" w:rsidR="005F3ED2">
        <w:rPr>
          <w:rFonts w:eastAsia="Calibri" w:cs="Tahoma"/>
          <w:color w:val="000000"/>
          <w:lang w:val="es-ES"/>
        </w:rPr>
        <w:t>cual</w:t>
      </w:r>
      <w:r w:rsidRPr="005E0748" w:rsidR="00A43E01">
        <w:rPr>
          <w:rFonts w:eastAsia="Calibri" w:cs="Tahoma"/>
          <w:color w:val="000000"/>
          <w:lang w:val="es-ES"/>
        </w:rPr>
        <w:t xml:space="preserve"> proporcionó</w:t>
      </w:r>
      <w:r w:rsidRPr="005E0748" w:rsidR="007E5C8F">
        <w:rPr>
          <w:rFonts w:eastAsia="Calibri" w:cs="Tahoma"/>
          <w:color w:val="000000"/>
          <w:lang w:val="es-ES"/>
        </w:rPr>
        <w:t xml:space="preserve"> un l</w:t>
      </w:r>
      <w:r w:rsidRPr="005E0748" w:rsidR="005F3ED2">
        <w:rPr>
          <w:rFonts w:eastAsia="Calibri" w:cs="Tahoma"/>
          <w:color w:val="000000"/>
          <w:lang w:val="es-ES"/>
        </w:rPr>
        <w:t>istado</w:t>
      </w:r>
      <w:r w:rsidRPr="005E0748" w:rsidR="00ED334B">
        <w:rPr>
          <w:rFonts w:eastAsia="Calibri" w:cs="Tahoma"/>
          <w:color w:val="000000"/>
          <w:lang w:val="es-ES"/>
        </w:rPr>
        <w:t xml:space="preserve"> de Servidores Públicos que contiene nombre</w:t>
      </w:r>
      <w:r w:rsidRPr="005E0748" w:rsidR="007E5C8F">
        <w:rPr>
          <w:rFonts w:eastAsia="Calibri" w:cs="Tahoma"/>
          <w:color w:val="000000"/>
          <w:lang w:val="es-ES"/>
        </w:rPr>
        <w:t xml:space="preserve"> completo</w:t>
      </w:r>
      <w:r w:rsidRPr="005E0748" w:rsidR="00ED334B">
        <w:rPr>
          <w:rFonts w:eastAsia="Calibri" w:cs="Tahoma"/>
          <w:color w:val="000000"/>
          <w:lang w:val="es-ES"/>
        </w:rPr>
        <w:t>, cargo, sueldo bruto y sueldo neto.</w:t>
      </w:r>
      <w:r w:rsidRPr="005E0748" w:rsidR="005F3ED2">
        <w:rPr>
          <w:rFonts w:eastAsia="Calibri" w:cs="Tahoma"/>
          <w:color w:val="000000"/>
          <w:lang w:val="es-ES"/>
        </w:rPr>
        <w:t xml:space="preserve"> </w:t>
      </w:r>
    </w:p>
    <w:p w:rsidRPr="005E0748" w:rsidR="00ED334B" w:rsidP="00ED334B" w:rsidRDefault="00ED334B" w14:paraId="564721A0" w14:textId="77777777">
      <w:pPr>
        <w:pStyle w:val="Prrafodelista"/>
        <w:autoSpaceDE w:val="0"/>
        <w:autoSpaceDN w:val="0"/>
        <w:adjustRightInd w:val="0"/>
        <w:spacing w:after="0" w:line="360" w:lineRule="auto"/>
        <w:ind w:left="1080"/>
        <w:rPr>
          <w:rFonts w:eastAsia="Calibri" w:cs="Tahoma"/>
          <w:color w:val="000000"/>
          <w:lang w:val="es-ES"/>
        </w:rPr>
      </w:pPr>
    </w:p>
    <w:p w:rsidRPr="005E0748" w:rsidR="007E5C8F" w:rsidP="007E5C8F" w:rsidRDefault="008068CA" w14:paraId="14F64996" w14:textId="7CC245CC">
      <w:pPr>
        <w:autoSpaceDE w:val="0"/>
        <w:autoSpaceDN w:val="0"/>
        <w:adjustRightInd w:val="0"/>
        <w:spacing w:after="0" w:line="360" w:lineRule="auto"/>
        <w:rPr>
          <w:rFonts w:eastAsia="Calibri" w:cs="Tahoma"/>
          <w:color w:val="000000"/>
          <w:lang w:val="es-ES"/>
        </w:rPr>
      </w:pPr>
      <w:r w:rsidRPr="005E0748">
        <w:rPr>
          <w:rFonts w:eastAsia="Calibri" w:cs="Tahoma"/>
          <w:color w:val="000000"/>
          <w:lang w:val="es-ES"/>
        </w:rPr>
        <w:t>i</w:t>
      </w:r>
      <w:r w:rsidRPr="005E0748" w:rsidR="007E5C8F">
        <w:rPr>
          <w:rFonts w:eastAsia="Calibri" w:cs="Tahoma"/>
          <w:color w:val="000000"/>
          <w:lang w:val="es-ES"/>
        </w:rPr>
        <w:t>i</w:t>
      </w:r>
      <w:r w:rsidRPr="005E0748" w:rsidR="00A43E01">
        <w:rPr>
          <w:rFonts w:eastAsia="Calibri" w:cs="Tahoma"/>
          <w:color w:val="000000"/>
          <w:lang w:val="es-ES"/>
        </w:rPr>
        <w:t>i</w:t>
      </w:r>
      <w:r w:rsidRPr="005E0748">
        <w:rPr>
          <w:rFonts w:eastAsia="Calibri" w:cs="Tahoma"/>
          <w:color w:val="000000"/>
          <w:lang w:val="es-ES"/>
        </w:rPr>
        <w:t>)</w:t>
      </w:r>
      <w:r w:rsidRPr="005E0748" w:rsidR="007E5C8F">
        <w:rPr>
          <w:rFonts w:eastAsia="Calibri" w:cs="Tahoma"/>
          <w:color w:val="000000"/>
          <w:lang w:val="es-ES"/>
        </w:rPr>
        <w:t xml:space="preserve"> </w:t>
      </w:r>
      <w:r w:rsidRPr="005E0748" w:rsidR="00ED334B">
        <w:rPr>
          <w:rFonts w:eastAsia="Calibri" w:cs="Tahoma"/>
          <w:color w:val="000000"/>
          <w:lang w:val="es-ES"/>
        </w:rPr>
        <w:t>Oficio</w:t>
      </w:r>
      <w:r w:rsidRPr="005E0748" w:rsidR="007E5C8F">
        <w:rPr>
          <w:rFonts w:eastAsia="Calibri" w:cs="Tahoma"/>
          <w:color w:val="000000"/>
          <w:lang w:val="es-ES"/>
        </w:rPr>
        <w:t xml:space="preserve"> número</w:t>
      </w:r>
      <w:r w:rsidRPr="005E0748" w:rsidR="00ED334B">
        <w:rPr>
          <w:rFonts w:eastAsia="Calibri" w:cs="Tahoma"/>
          <w:color w:val="000000"/>
          <w:lang w:val="es-ES"/>
        </w:rPr>
        <w:t xml:space="preserve"> DG/IMCUFIDE/54/2022, de fecha treinta y uno de mayo de dos mil veintidós, suscrito por el Director del Instituto Municipal de Cultura Física y Deporte de Tonanitla,</w:t>
      </w:r>
      <w:r w:rsidRPr="005E0748" w:rsidR="007E5C8F">
        <w:rPr>
          <w:rFonts w:eastAsia="Calibri" w:cs="Tahoma"/>
          <w:color w:val="000000"/>
          <w:lang w:val="es-ES"/>
        </w:rPr>
        <w:t xml:space="preserve"> por medio del cual </w:t>
      </w:r>
      <w:r w:rsidRPr="005E0748" w:rsidR="00A43E01">
        <w:rPr>
          <w:rFonts w:eastAsia="Calibri" w:cs="Tahoma"/>
          <w:color w:val="000000"/>
          <w:lang w:val="es-ES"/>
        </w:rPr>
        <w:t xml:space="preserve">proporcionó </w:t>
      </w:r>
      <w:r w:rsidRPr="005E0748" w:rsidR="007E5C8F">
        <w:rPr>
          <w:rFonts w:eastAsia="Calibri" w:cs="Tahoma"/>
          <w:color w:val="000000"/>
          <w:lang w:val="es-ES"/>
        </w:rPr>
        <w:t>un l</w:t>
      </w:r>
      <w:r w:rsidRPr="005E0748" w:rsidR="00ED334B">
        <w:rPr>
          <w:rFonts w:eastAsia="Calibri" w:cs="Tahoma"/>
          <w:color w:val="000000"/>
          <w:lang w:val="es-ES"/>
        </w:rPr>
        <w:t>istado de servidores públicos adscritos a la dependencia con nombre</w:t>
      </w:r>
      <w:r w:rsidRPr="005E0748" w:rsidR="0058451C">
        <w:rPr>
          <w:rFonts w:eastAsia="Calibri" w:cs="Tahoma"/>
          <w:color w:val="000000"/>
          <w:lang w:val="es-ES"/>
        </w:rPr>
        <w:t xml:space="preserve"> completo</w:t>
      </w:r>
      <w:r w:rsidRPr="005E0748" w:rsidR="00ED334B">
        <w:rPr>
          <w:rFonts w:eastAsia="Calibri" w:cs="Tahoma"/>
          <w:color w:val="000000"/>
          <w:lang w:val="es-ES"/>
        </w:rPr>
        <w:t>, puesto, sueldo neto, sueldo bruto, gratificación y grado de estudios.</w:t>
      </w:r>
    </w:p>
    <w:p w:rsidRPr="005E0748" w:rsidR="003A5F8F" w:rsidP="007E5C8F" w:rsidRDefault="003A5F8F" w14:paraId="2AD038CF" w14:textId="77777777">
      <w:pPr>
        <w:autoSpaceDE w:val="0"/>
        <w:autoSpaceDN w:val="0"/>
        <w:adjustRightInd w:val="0"/>
        <w:spacing w:after="0" w:line="360" w:lineRule="auto"/>
        <w:rPr>
          <w:rFonts w:eastAsia="Calibri" w:cs="Tahoma"/>
          <w:color w:val="000000"/>
          <w:lang w:val="es-ES"/>
        </w:rPr>
      </w:pPr>
    </w:p>
    <w:p w:rsidRPr="005E0748" w:rsidR="002231EB" w:rsidP="007E5C8F" w:rsidRDefault="007E5C8F" w14:paraId="69316284" w14:textId="50DE48C6">
      <w:pPr>
        <w:autoSpaceDE w:val="0"/>
        <w:autoSpaceDN w:val="0"/>
        <w:adjustRightInd w:val="0"/>
        <w:spacing w:after="0" w:line="360" w:lineRule="auto"/>
        <w:rPr>
          <w:rFonts w:cs="Tahoma"/>
        </w:rPr>
      </w:pPr>
      <w:r w:rsidRPr="005E0748">
        <w:rPr>
          <w:rFonts w:eastAsia="Calibri" w:cs="Tahoma"/>
          <w:color w:val="000000"/>
          <w:lang w:val="es-ES"/>
        </w:rPr>
        <w:lastRenderedPageBreak/>
        <w:t>i</w:t>
      </w:r>
      <w:r w:rsidRPr="005E0748" w:rsidR="00A43E01">
        <w:rPr>
          <w:rFonts w:eastAsia="Calibri" w:cs="Tahoma"/>
          <w:color w:val="000000"/>
          <w:lang w:val="es-ES"/>
        </w:rPr>
        <w:t>v</w:t>
      </w:r>
      <w:r w:rsidRPr="005E0748">
        <w:rPr>
          <w:rFonts w:eastAsia="Calibri" w:cs="Tahoma"/>
          <w:color w:val="000000"/>
          <w:lang w:val="es-ES"/>
        </w:rPr>
        <w:t xml:space="preserve">) </w:t>
      </w:r>
      <w:r w:rsidRPr="005E0748" w:rsidR="00ED334B">
        <w:rPr>
          <w:rFonts w:eastAsia="Calibri" w:cs="Tahoma"/>
          <w:color w:val="000000"/>
          <w:lang w:val="es-ES"/>
        </w:rPr>
        <w:t xml:space="preserve">Oficio </w:t>
      </w:r>
      <w:r w:rsidRPr="005E0748">
        <w:rPr>
          <w:rFonts w:eastAsia="Calibri" w:cs="Tahoma"/>
          <w:color w:val="000000"/>
          <w:lang w:val="es-ES"/>
        </w:rPr>
        <w:t xml:space="preserve">número </w:t>
      </w:r>
      <w:proofErr w:type="gramStart"/>
      <w:r w:rsidRPr="005E0748" w:rsidR="00ED334B">
        <w:rPr>
          <w:rFonts w:eastAsia="Calibri" w:cs="Tahoma"/>
          <w:color w:val="000000"/>
          <w:lang w:val="es-ES"/>
        </w:rPr>
        <w:t>FYDE,AYR</w:t>
      </w:r>
      <w:proofErr w:type="gramEnd"/>
      <w:r w:rsidRPr="005E0748" w:rsidR="00ED334B">
        <w:rPr>
          <w:rFonts w:eastAsia="Calibri" w:cs="Tahoma"/>
          <w:color w:val="000000"/>
          <w:lang w:val="es-ES"/>
        </w:rPr>
        <w:t>/0006/2022</w:t>
      </w:r>
      <w:r w:rsidRPr="005E0748" w:rsidR="00A0675C">
        <w:rPr>
          <w:rFonts w:eastAsia="Calibri" w:cs="Tahoma"/>
          <w:color w:val="000000"/>
          <w:lang w:val="es-ES"/>
        </w:rPr>
        <w:t xml:space="preserve">, de fecha dieciséis de mayo de dos mil veintidós, suscrito por la encargada de despacho de la </w:t>
      </w:r>
      <w:r w:rsidRPr="005E0748" w:rsidR="00A0675C">
        <w:rPr>
          <w:rFonts w:cs="Tahoma"/>
        </w:rPr>
        <w:t xml:space="preserve">Dirección de Fomento y Desarrollo  Económico, Administración y Reglamentos, </w:t>
      </w:r>
      <w:r w:rsidRPr="005E0748" w:rsidR="002231EB">
        <w:rPr>
          <w:rFonts w:cs="Tahoma"/>
        </w:rPr>
        <w:t xml:space="preserve">y dirigido a la Directora de la Unidad de Transparencia y Acceso a la Información Pública, </w:t>
      </w:r>
      <w:r w:rsidRPr="005E0748">
        <w:rPr>
          <w:rFonts w:cs="Tahoma"/>
        </w:rPr>
        <w:t xml:space="preserve">por medio del cual </w:t>
      </w:r>
      <w:r w:rsidRPr="005E0748" w:rsidR="002231EB">
        <w:rPr>
          <w:rFonts w:cs="Tahoma"/>
        </w:rPr>
        <w:t>refirió esencialmente lo siguiente:</w:t>
      </w:r>
    </w:p>
    <w:p w:rsidRPr="005E0748" w:rsidR="002231EB" w:rsidP="007E5C8F" w:rsidRDefault="002231EB" w14:paraId="7E051320" w14:textId="77777777">
      <w:pPr>
        <w:autoSpaceDE w:val="0"/>
        <w:autoSpaceDN w:val="0"/>
        <w:adjustRightInd w:val="0"/>
        <w:spacing w:after="0" w:line="360" w:lineRule="auto"/>
        <w:rPr>
          <w:rFonts w:cs="Tahoma"/>
        </w:rPr>
      </w:pPr>
    </w:p>
    <w:p w:rsidRPr="005E0748" w:rsidR="002231EB" w:rsidP="00366FC8" w:rsidRDefault="002231EB" w14:paraId="6F55C863" w14:textId="4DDB7EEE">
      <w:pPr>
        <w:autoSpaceDE w:val="0"/>
        <w:autoSpaceDN w:val="0"/>
        <w:adjustRightInd w:val="0"/>
        <w:spacing w:after="0" w:line="360" w:lineRule="auto"/>
        <w:ind w:left="567" w:right="567"/>
        <w:rPr>
          <w:rFonts w:cs="Tahoma"/>
          <w:i/>
          <w:iCs/>
          <w:sz w:val="20"/>
          <w:szCs w:val="20"/>
        </w:rPr>
      </w:pPr>
      <w:r w:rsidRPr="005E0748">
        <w:rPr>
          <w:rFonts w:cs="Tahoma"/>
          <w:i/>
          <w:iCs/>
          <w:sz w:val="20"/>
          <w:szCs w:val="20"/>
        </w:rPr>
        <w:t>“…</w:t>
      </w:r>
    </w:p>
    <w:p w:rsidRPr="005E0748" w:rsidR="00366FC8" w:rsidP="00366FC8" w:rsidRDefault="002231EB" w14:paraId="47BE0090" w14:textId="6038A35A">
      <w:pPr>
        <w:autoSpaceDE w:val="0"/>
        <w:autoSpaceDN w:val="0"/>
        <w:adjustRightInd w:val="0"/>
        <w:spacing w:after="0" w:line="360" w:lineRule="auto"/>
        <w:ind w:left="567" w:right="567"/>
        <w:rPr>
          <w:rFonts w:cs="Tahoma"/>
          <w:i/>
          <w:iCs/>
          <w:sz w:val="20"/>
          <w:szCs w:val="20"/>
        </w:rPr>
      </w:pPr>
      <w:r w:rsidRPr="005E0748">
        <w:rPr>
          <w:rFonts w:cs="Tahoma"/>
          <w:i/>
          <w:iCs/>
          <w:sz w:val="20"/>
          <w:szCs w:val="20"/>
        </w:rPr>
        <w:t>En cumplimiento al oficio TRANSP/TON/0198/2022, donde solicita información pública bajo el sistema SAIMEX con el folio 00042/TONANI/IP/2022 le envío información requerida en el archivo que obra en el área a mi cargo, la única información disponible es la escolaridad y cargo de todos los servidores públicos, ahora bien le informo que no cuento con sueldos, gratificaciones y prestaciones</w:t>
      </w:r>
      <w:r w:rsidRPr="005E0748" w:rsidR="00366FC8">
        <w:rPr>
          <w:rFonts w:cs="Tahoma"/>
          <w:i/>
          <w:iCs/>
          <w:sz w:val="20"/>
          <w:szCs w:val="20"/>
        </w:rPr>
        <w:t xml:space="preserve"> ya que esta información se encuentra en la tesorería Municipal, en cuanto al DIF e INCUFIDE son organismos descentralizados por tal motivo no existe en el archivo información. </w:t>
      </w:r>
    </w:p>
    <w:p w:rsidRPr="005E0748" w:rsidR="00366FC8" w:rsidP="00366FC8" w:rsidRDefault="00366FC8" w14:paraId="77DF91BA" w14:textId="072B2493">
      <w:pPr>
        <w:autoSpaceDE w:val="0"/>
        <w:autoSpaceDN w:val="0"/>
        <w:adjustRightInd w:val="0"/>
        <w:spacing w:after="0" w:line="360" w:lineRule="auto"/>
        <w:ind w:left="567" w:right="567"/>
        <w:rPr>
          <w:rFonts w:cs="Tahoma"/>
          <w:i/>
          <w:iCs/>
          <w:sz w:val="20"/>
          <w:szCs w:val="20"/>
        </w:rPr>
      </w:pPr>
      <w:r w:rsidRPr="005E0748">
        <w:rPr>
          <w:rFonts w:cs="Tahoma"/>
          <w:i/>
          <w:iCs/>
          <w:sz w:val="20"/>
          <w:szCs w:val="20"/>
        </w:rPr>
        <w:t>…”</w:t>
      </w:r>
    </w:p>
    <w:p w:rsidRPr="005E0748" w:rsidR="002231EB" w:rsidP="007E5C8F" w:rsidRDefault="002231EB" w14:paraId="78A1559C" w14:textId="303DA3B4">
      <w:pPr>
        <w:autoSpaceDE w:val="0"/>
        <w:autoSpaceDN w:val="0"/>
        <w:adjustRightInd w:val="0"/>
        <w:spacing w:after="0" w:line="360" w:lineRule="auto"/>
        <w:rPr>
          <w:rFonts w:cs="Tahoma"/>
        </w:rPr>
      </w:pPr>
      <w:r w:rsidRPr="005E0748">
        <w:rPr>
          <w:rFonts w:cs="Tahoma"/>
        </w:rPr>
        <w:t xml:space="preserve"> </w:t>
      </w:r>
    </w:p>
    <w:p w:rsidRPr="005E0748" w:rsidR="00A0675C" w:rsidP="007E5C8F" w:rsidRDefault="006C440B" w14:paraId="069477C8" w14:textId="1CAF1E5A">
      <w:pPr>
        <w:autoSpaceDE w:val="0"/>
        <w:autoSpaceDN w:val="0"/>
        <w:adjustRightInd w:val="0"/>
        <w:spacing w:after="0" w:line="360" w:lineRule="auto"/>
        <w:rPr>
          <w:rFonts w:cs="Tahoma"/>
        </w:rPr>
      </w:pPr>
      <w:r w:rsidRPr="005E0748">
        <w:rPr>
          <w:rFonts w:cs="Tahoma"/>
        </w:rPr>
        <w:t xml:space="preserve">v) </w:t>
      </w:r>
      <w:r w:rsidRPr="005E0748" w:rsidR="00366FC8">
        <w:rPr>
          <w:rFonts w:cs="Tahoma"/>
        </w:rPr>
        <w:t xml:space="preserve">El Sujeto Obligado </w:t>
      </w:r>
      <w:r w:rsidRPr="005E0748" w:rsidR="00A43E01">
        <w:rPr>
          <w:rFonts w:cs="Tahoma"/>
        </w:rPr>
        <w:t xml:space="preserve">proporcionó </w:t>
      </w:r>
      <w:r w:rsidRPr="005E0748" w:rsidR="00432294">
        <w:rPr>
          <w:rFonts w:cs="Tahoma"/>
        </w:rPr>
        <w:t>un listado de servidores públicos, con nombre</w:t>
      </w:r>
      <w:r w:rsidRPr="005E0748" w:rsidR="007E5C8F">
        <w:rPr>
          <w:rFonts w:cs="Tahoma"/>
        </w:rPr>
        <w:t xml:space="preserve"> completo</w:t>
      </w:r>
      <w:r w:rsidRPr="005E0748" w:rsidR="00432294">
        <w:rPr>
          <w:rFonts w:cs="Tahoma"/>
        </w:rPr>
        <w:t>, área de adscripción, puesto y escolaridad.</w:t>
      </w:r>
    </w:p>
    <w:p w:rsidRPr="005E0748" w:rsidR="00A43E01" w:rsidP="007E5C8F" w:rsidRDefault="00A43E01" w14:paraId="4AB986AB" w14:textId="4A703CCA">
      <w:pPr>
        <w:autoSpaceDE w:val="0"/>
        <w:autoSpaceDN w:val="0"/>
        <w:adjustRightInd w:val="0"/>
        <w:spacing w:after="0" w:line="360" w:lineRule="auto"/>
        <w:rPr>
          <w:rFonts w:cs="Tahoma"/>
        </w:rPr>
      </w:pPr>
    </w:p>
    <w:p w:rsidRPr="005E0748" w:rsidR="00A43E01" w:rsidP="007E5C8F" w:rsidRDefault="00A43E01" w14:paraId="4ED8F616" w14:textId="052C1BB8">
      <w:pPr>
        <w:autoSpaceDE w:val="0"/>
        <w:autoSpaceDN w:val="0"/>
        <w:adjustRightInd w:val="0"/>
        <w:spacing w:after="0" w:line="360" w:lineRule="auto"/>
        <w:rPr>
          <w:rFonts w:eastAsia="Calibri" w:cs="Tahoma"/>
          <w:color w:val="000000"/>
          <w:lang w:val="es-ES"/>
        </w:rPr>
      </w:pPr>
      <w:r w:rsidRPr="005E0748">
        <w:rPr>
          <w:rFonts w:cs="Tahoma"/>
        </w:rPr>
        <w:t>v</w:t>
      </w:r>
      <w:r w:rsidRPr="005E0748" w:rsidR="006C440B">
        <w:rPr>
          <w:rFonts w:cs="Tahoma"/>
        </w:rPr>
        <w:t>i</w:t>
      </w:r>
      <w:r w:rsidRPr="005E0748">
        <w:rPr>
          <w:rFonts w:cs="Tahoma"/>
        </w:rPr>
        <w:t xml:space="preserve">) </w:t>
      </w:r>
      <w:r w:rsidRPr="005E0748">
        <w:rPr>
          <w:rFonts w:eastAsia="Calibri" w:cs="Tahoma"/>
          <w:color w:val="000000"/>
          <w:lang w:val="es-ES"/>
        </w:rPr>
        <w:t>Reporte de nómina en formato xls, de la primera quincena de mayo de dos mil veintidós, del Sistema Municipal para el Desarrollo Integral de la Familia (SMDIF), con nombre completo, cargo, total de percepciones, total deducible, sueldo neto y grado máximo de estudios.</w:t>
      </w:r>
    </w:p>
    <w:p w:rsidRPr="005E0748" w:rsidR="00432294" w:rsidP="005F3ED2" w:rsidRDefault="00432294" w14:paraId="36FC0D54" w14:textId="77777777">
      <w:pPr>
        <w:autoSpaceDE w:val="0"/>
        <w:autoSpaceDN w:val="0"/>
        <w:adjustRightInd w:val="0"/>
        <w:spacing w:after="0" w:line="360" w:lineRule="auto"/>
        <w:rPr>
          <w:rFonts w:eastAsia="Calibri" w:cs="Tahoma"/>
          <w:color w:val="000000"/>
          <w:lang w:val="es-ES"/>
        </w:rPr>
      </w:pPr>
    </w:p>
    <w:p w:rsidRPr="005E0748" w:rsidR="006A22A5" w:rsidP="006A22A5" w:rsidRDefault="006A22A5" w14:paraId="7A2A136D" w14:textId="00F4CEC7">
      <w:pPr>
        <w:autoSpaceDE w:val="0"/>
        <w:autoSpaceDN w:val="0"/>
        <w:adjustRightInd w:val="0"/>
        <w:spacing w:after="0" w:line="360" w:lineRule="auto"/>
        <w:rPr>
          <w:rFonts w:eastAsia="Calibri" w:cs="Tahoma"/>
          <w:b/>
          <w:color w:val="000000"/>
        </w:rPr>
      </w:pPr>
      <w:r w:rsidRPr="005E0748">
        <w:rPr>
          <w:rFonts w:eastAsia="Calibri" w:cs="Tahoma"/>
          <w:b/>
          <w:color w:val="000000"/>
        </w:rPr>
        <w:t>I</w:t>
      </w:r>
      <w:r w:rsidRPr="005E0748" w:rsidR="00432294">
        <w:rPr>
          <w:rFonts w:eastAsia="Calibri" w:cs="Tahoma"/>
          <w:b/>
          <w:color w:val="000000"/>
        </w:rPr>
        <w:t>II</w:t>
      </w:r>
      <w:r w:rsidRPr="005E0748">
        <w:rPr>
          <w:rFonts w:eastAsia="Calibri" w:cs="Tahoma"/>
          <w:b/>
          <w:color w:val="000000"/>
        </w:rPr>
        <w:t xml:space="preserve">. Interposición del Recurso de Revisión. </w:t>
      </w:r>
    </w:p>
    <w:p w:rsidRPr="005E0748" w:rsidR="006A22A5" w:rsidP="006A22A5" w:rsidRDefault="006A22A5" w14:paraId="3B382F50" w14:textId="77777777">
      <w:pPr>
        <w:spacing w:after="0" w:line="360" w:lineRule="auto"/>
        <w:rPr>
          <w:rFonts w:eastAsia="Times New Roman" w:cs="Tahoma"/>
          <w:bCs/>
          <w:color w:val="auto"/>
          <w:lang w:eastAsia="es-ES"/>
        </w:rPr>
      </w:pPr>
    </w:p>
    <w:p w:rsidRPr="005E0748" w:rsidR="006A22A5" w:rsidP="006A22A5" w:rsidRDefault="006A22A5" w14:paraId="757BED7F" w14:textId="1FBF6182">
      <w:pPr>
        <w:spacing w:after="0" w:line="360" w:lineRule="auto"/>
        <w:rPr>
          <w:rFonts w:eastAsia="Times New Roman" w:cs="Tahoma"/>
          <w:bCs/>
          <w:color w:val="auto"/>
          <w:lang w:val="es-ES" w:eastAsia="es-ES"/>
        </w:rPr>
      </w:pPr>
      <w:r w:rsidRPr="005E0748">
        <w:rPr>
          <w:rFonts w:eastAsia="Times New Roman" w:cs="Tahoma"/>
          <w:bCs/>
          <w:color w:val="auto"/>
          <w:lang w:val="es-ES" w:eastAsia="es-ES"/>
        </w:rPr>
        <w:t xml:space="preserve">Con fecha </w:t>
      </w:r>
      <w:r w:rsidRPr="005E0748" w:rsidR="00432294">
        <w:rPr>
          <w:rFonts w:eastAsia="Times New Roman" w:cs="Tahoma"/>
          <w:bCs/>
          <w:color w:val="auto"/>
          <w:lang w:val="es-ES" w:eastAsia="es-ES"/>
        </w:rPr>
        <w:t>dos de junio</w:t>
      </w:r>
      <w:r w:rsidRPr="005E0748">
        <w:rPr>
          <w:rFonts w:eastAsia="Times New Roman" w:cs="Tahoma"/>
          <w:bCs/>
          <w:color w:val="auto"/>
          <w:lang w:val="es-ES" w:eastAsia="es-ES"/>
        </w:rPr>
        <w:t xml:space="preserve"> de dos mil veintidós, </w:t>
      </w:r>
      <w:r w:rsidRPr="005E0748">
        <w:rPr>
          <w:rFonts w:eastAsia="Times New Roman" w:cs="Tahoma"/>
          <w:bCs/>
          <w:color w:val="auto"/>
          <w:lang w:eastAsia="es-ES"/>
        </w:rPr>
        <w:t xml:space="preserve">se recibió en este Instituto, a través del </w:t>
      </w:r>
      <w:r w:rsidRPr="005E0748">
        <w:rPr>
          <w:rFonts w:eastAsia="Times New Roman" w:cs="Tahoma"/>
          <w:bCs/>
          <w:color w:val="auto"/>
          <w:lang w:val="es-ES" w:eastAsia="es-ES"/>
        </w:rPr>
        <w:t>Sistema de Acceso a la Información Mexiquense (SAIMEX)</w:t>
      </w:r>
      <w:r w:rsidRPr="005E0748">
        <w:rPr>
          <w:rFonts w:eastAsia="Times New Roman" w:cs="Tahoma"/>
          <w:bCs/>
          <w:color w:val="auto"/>
          <w:lang w:eastAsia="es-ES"/>
        </w:rPr>
        <w:t>, el Recurso de Revisión interpuesto por la parte Recurrente, en contra de la respuesta del Sujeto Obligado, en los siguientes términos:</w:t>
      </w:r>
    </w:p>
    <w:p w:rsidRPr="005E0748" w:rsidR="006A22A5" w:rsidP="006A22A5" w:rsidRDefault="006A22A5" w14:paraId="2E530E62" w14:textId="77777777">
      <w:pPr>
        <w:spacing w:after="0" w:line="360" w:lineRule="auto"/>
        <w:rPr>
          <w:rFonts w:eastAsia="Times New Roman" w:cs="Tahoma"/>
          <w:bCs/>
          <w:color w:val="auto"/>
          <w:lang w:eastAsia="es-ES"/>
        </w:rPr>
      </w:pPr>
    </w:p>
    <w:p w:rsidRPr="005E0748" w:rsidR="006A22A5" w:rsidP="00432294" w:rsidRDefault="006A22A5" w14:paraId="435B9926" w14:textId="77777777">
      <w:pPr>
        <w:spacing w:after="0" w:line="360" w:lineRule="auto"/>
        <w:ind w:left="567" w:right="567"/>
        <w:rPr>
          <w:rFonts w:eastAsia="Times New Roman" w:cs="Tahoma"/>
          <w:b/>
          <w:bCs/>
          <w:i/>
          <w:color w:val="auto"/>
          <w:sz w:val="20"/>
          <w:szCs w:val="20"/>
          <w:lang w:eastAsia="es-ES"/>
        </w:rPr>
      </w:pPr>
      <w:r w:rsidRPr="005E0748">
        <w:rPr>
          <w:rFonts w:eastAsia="Times New Roman" w:cs="Tahoma"/>
          <w:b/>
          <w:bCs/>
          <w:i/>
          <w:color w:val="auto"/>
          <w:sz w:val="20"/>
          <w:szCs w:val="20"/>
          <w:lang w:eastAsia="es-ES"/>
        </w:rPr>
        <w:lastRenderedPageBreak/>
        <w:t>“ACTO IMPUGNADO</w:t>
      </w:r>
    </w:p>
    <w:p w:rsidRPr="005E0748" w:rsidR="006A22A5" w:rsidP="00432294" w:rsidRDefault="00432294" w14:paraId="2C0F0E96" w14:textId="1AC7A03A">
      <w:pPr>
        <w:spacing w:after="0" w:line="360" w:lineRule="auto"/>
        <w:ind w:left="567" w:right="567"/>
        <w:rPr>
          <w:rFonts w:eastAsia="Times New Roman" w:cs="Times New Roman"/>
          <w:i/>
          <w:color w:val="auto"/>
          <w:sz w:val="20"/>
          <w:szCs w:val="20"/>
          <w:lang w:eastAsia="es-MX"/>
        </w:rPr>
      </w:pPr>
      <w:r w:rsidRPr="005E0748">
        <w:rPr>
          <w:i/>
          <w:color w:val="000000"/>
          <w:sz w:val="20"/>
          <w:szCs w:val="20"/>
        </w:rPr>
        <w:t>CONTESTACIÓN A LA SOLICITUD 00042/TONANI/IP/2022 por mis derechos constitucionales de conocer el actuar de la dependencia municipal y saber en qué se gastan los recursos municipales, solicito cuanto haciende la cuenta de recursos que se gastan en Sueldos y prestaciones, gratificaciones en todas dependencias públicas municipales, AYUNTAMIENTO, MANDOS SUPERIORES DE PROTECCIÓN CIVIL Y POLICIA, SISTEMA DIF E IMCUFIDET, saber nombre, cargo y sueldo bruto y neto y grado máximo de estudios da cada uno de los servidores públicos de estas dependencias a excepción de los elementos policiacos y de protección civil</w:t>
      </w:r>
      <w:r w:rsidRPr="005E0748" w:rsidR="006A22A5">
        <w:rPr>
          <w:i/>
          <w:color w:val="000000"/>
          <w:sz w:val="20"/>
          <w:szCs w:val="20"/>
        </w:rPr>
        <w:t>.”</w:t>
      </w:r>
      <w:r w:rsidRPr="005E0748" w:rsidR="006A22A5">
        <w:rPr>
          <w:bCs/>
          <w:i/>
          <w:color w:val="000000"/>
          <w:sz w:val="20"/>
          <w:szCs w:val="20"/>
        </w:rPr>
        <w:t xml:space="preserve"> </w:t>
      </w:r>
      <w:r w:rsidRPr="005E0748" w:rsidR="006A22A5">
        <w:rPr>
          <w:rFonts w:eastAsia="Times New Roman" w:cs="Tahoma"/>
          <w:bCs/>
          <w:i/>
          <w:color w:val="auto"/>
          <w:sz w:val="20"/>
          <w:szCs w:val="20"/>
          <w:lang w:eastAsia="es-ES"/>
        </w:rPr>
        <w:t>(Sic)</w:t>
      </w:r>
    </w:p>
    <w:p w:rsidRPr="005E0748" w:rsidR="006A22A5" w:rsidP="00432294" w:rsidRDefault="006A22A5" w14:paraId="58AF6AC8" w14:textId="77777777">
      <w:pPr>
        <w:spacing w:after="0" w:line="360" w:lineRule="auto"/>
        <w:ind w:left="567" w:right="567"/>
        <w:rPr>
          <w:rFonts w:eastAsia="Times New Roman" w:cs="Tahoma"/>
          <w:bCs/>
          <w:i/>
          <w:color w:val="auto"/>
          <w:sz w:val="20"/>
          <w:szCs w:val="20"/>
          <w:lang w:eastAsia="es-ES"/>
        </w:rPr>
      </w:pPr>
    </w:p>
    <w:p w:rsidRPr="005E0748" w:rsidR="006A22A5" w:rsidP="003A5F8F" w:rsidRDefault="006A22A5" w14:paraId="5CA04FC6" w14:textId="77777777">
      <w:pPr>
        <w:spacing w:after="0" w:line="360" w:lineRule="auto"/>
        <w:ind w:left="567" w:right="567"/>
        <w:rPr>
          <w:rFonts w:eastAsia="Times New Roman" w:cs="Tahoma"/>
          <w:b/>
          <w:bCs/>
          <w:i/>
          <w:color w:val="auto"/>
          <w:sz w:val="20"/>
          <w:szCs w:val="20"/>
          <w:lang w:eastAsia="es-ES"/>
        </w:rPr>
      </w:pPr>
      <w:r w:rsidRPr="005E0748">
        <w:rPr>
          <w:rFonts w:eastAsia="Times New Roman" w:cs="Tahoma"/>
          <w:b/>
          <w:bCs/>
          <w:i/>
          <w:color w:val="auto"/>
          <w:sz w:val="20"/>
          <w:szCs w:val="20"/>
          <w:lang w:eastAsia="es-ES"/>
        </w:rPr>
        <w:t>“RAZONES O MOTIVOS DE LA INCONFORMIDAD</w:t>
      </w:r>
    </w:p>
    <w:p w:rsidRPr="005E0748" w:rsidR="006A22A5" w:rsidP="003A5F8F" w:rsidRDefault="00432294" w14:paraId="0D2145F6" w14:textId="12122D5E">
      <w:pPr>
        <w:spacing w:after="0" w:line="360" w:lineRule="auto"/>
        <w:ind w:left="567" w:right="567"/>
        <w:rPr>
          <w:rFonts w:eastAsia="Times New Roman" w:cs="Times New Roman"/>
          <w:i/>
          <w:color w:val="auto"/>
          <w:sz w:val="20"/>
          <w:szCs w:val="20"/>
          <w:lang w:eastAsia="es-MX"/>
        </w:rPr>
      </w:pPr>
      <w:r w:rsidRPr="005E0748">
        <w:rPr>
          <w:rFonts w:eastAsia="Times New Roman" w:cs="Times New Roman"/>
          <w:i/>
          <w:color w:val="auto"/>
          <w:sz w:val="20"/>
          <w:szCs w:val="20"/>
          <w:lang w:eastAsia="es-MX"/>
        </w:rPr>
        <w:t>EN LA QUE DAN DATOS DIFERENCIADOS EN EL LISTADO DE LOS SUELDOS NO CORRESPONDEN EL NUMERO DE SERVIDORES PÚBLICOS CON EL LISTADO DONDE PRESENTAN EL GRADA ACADEMICO DE LOS MISMOS Y SABER CUAL SON LOS MOTIVOS DE DICHA DIFERENCIACION DE LO CUAL ANEXO LOS DOCUMENTOS QUE ME ANEXARON A MI SOLICITUD PARA SU DEBIDA OBSERVANCIA</w:t>
      </w:r>
      <w:r w:rsidRPr="005E0748" w:rsidR="006A22A5">
        <w:rPr>
          <w:i/>
          <w:color w:val="000000"/>
          <w:sz w:val="20"/>
          <w:szCs w:val="20"/>
        </w:rPr>
        <w:t>.”</w:t>
      </w:r>
      <w:r w:rsidRPr="005E0748" w:rsidR="006A22A5">
        <w:rPr>
          <w:bCs/>
          <w:i/>
          <w:color w:val="000000"/>
          <w:sz w:val="20"/>
          <w:szCs w:val="20"/>
        </w:rPr>
        <w:t xml:space="preserve"> </w:t>
      </w:r>
      <w:r w:rsidRPr="005E0748" w:rsidR="006A22A5">
        <w:rPr>
          <w:rFonts w:eastAsia="Times New Roman" w:cs="Tahoma"/>
          <w:bCs/>
          <w:i/>
          <w:color w:val="auto"/>
          <w:sz w:val="20"/>
          <w:szCs w:val="20"/>
          <w:lang w:eastAsia="es-ES"/>
        </w:rPr>
        <w:t>(Sic)</w:t>
      </w:r>
    </w:p>
    <w:p w:rsidRPr="005E0748" w:rsidR="00432294" w:rsidP="006A22A5" w:rsidRDefault="00432294" w14:paraId="2F43708D" w14:textId="77777777">
      <w:pPr>
        <w:spacing w:after="0" w:line="360" w:lineRule="auto"/>
        <w:rPr>
          <w:rFonts w:eastAsia="Times New Roman" w:cs="Tahoma"/>
          <w:bCs/>
          <w:color w:val="auto"/>
          <w:lang w:eastAsia="es-ES"/>
        </w:rPr>
      </w:pPr>
    </w:p>
    <w:p w:rsidRPr="005E0748" w:rsidR="00A5681E" w:rsidP="006A22A5" w:rsidRDefault="003A5F8F" w14:paraId="535E67C2" w14:textId="75D45CE6">
      <w:pPr>
        <w:spacing w:after="0" w:line="360" w:lineRule="auto"/>
        <w:rPr>
          <w:rFonts w:eastAsia="Calibri" w:cs="Tahoma"/>
          <w:color w:val="000000"/>
        </w:rPr>
      </w:pPr>
      <w:r w:rsidRPr="005E0748">
        <w:rPr>
          <w:rFonts w:eastAsia="Calibri" w:cs="Tahoma"/>
          <w:color w:val="000000"/>
        </w:rPr>
        <w:t>El Particular adjuntó la digitalización de los documentos referidos en el Antecedente II, incisos ii y iv.</w:t>
      </w:r>
    </w:p>
    <w:p w:rsidRPr="005E0748" w:rsidR="0011138E" w:rsidP="006A22A5" w:rsidRDefault="0011138E" w14:paraId="121AE238" w14:textId="77777777">
      <w:pPr>
        <w:spacing w:after="0" w:line="360" w:lineRule="auto"/>
        <w:rPr>
          <w:rFonts w:eastAsia="Calibri" w:cs="Tahoma"/>
          <w:bCs/>
          <w:color w:val="000000"/>
        </w:rPr>
      </w:pPr>
    </w:p>
    <w:p w:rsidRPr="005E0748" w:rsidR="006A22A5" w:rsidP="006A22A5" w:rsidRDefault="006A22A5" w14:paraId="30375D4F" w14:textId="6282EA2B">
      <w:pPr>
        <w:spacing w:after="0" w:line="360" w:lineRule="auto"/>
        <w:rPr>
          <w:rFonts w:eastAsia="Batang" w:cs="Tahoma"/>
          <w:b/>
          <w:bCs/>
          <w:color w:val="000000"/>
        </w:rPr>
      </w:pPr>
      <w:r w:rsidRPr="005E0748">
        <w:rPr>
          <w:rFonts w:eastAsia="Calibri" w:cs="Tahoma"/>
          <w:b/>
          <w:color w:val="000000"/>
        </w:rPr>
        <w:t xml:space="preserve">IV. </w:t>
      </w:r>
      <w:r w:rsidRPr="005E0748">
        <w:rPr>
          <w:rFonts w:eastAsia="Batang" w:cs="Tahoma"/>
          <w:b/>
          <w:bCs/>
          <w:color w:val="000000"/>
        </w:rPr>
        <w:t>Trámite del Recurso de Revisión</w:t>
      </w:r>
      <w:r w:rsidRPr="005E0748">
        <w:rPr>
          <w:rFonts w:eastAsia="Calibri" w:cs="Tahoma"/>
          <w:b/>
          <w:color w:val="000000"/>
        </w:rPr>
        <w:t xml:space="preserve"> </w:t>
      </w:r>
      <w:r w:rsidRPr="005E0748">
        <w:rPr>
          <w:rFonts w:eastAsia="Batang" w:cs="Tahoma"/>
          <w:b/>
          <w:bCs/>
          <w:color w:val="000000"/>
        </w:rPr>
        <w:t>ante este Instituto.</w:t>
      </w:r>
    </w:p>
    <w:p w:rsidRPr="005E0748" w:rsidR="006A22A5" w:rsidP="006A22A5" w:rsidRDefault="006A22A5" w14:paraId="57036322" w14:textId="77777777">
      <w:pPr>
        <w:spacing w:after="0" w:line="360" w:lineRule="auto"/>
        <w:rPr>
          <w:rFonts w:eastAsia="Batang" w:cs="Tahoma"/>
          <w:b/>
          <w:bCs/>
          <w:color w:val="000000"/>
        </w:rPr>
      </w:pPr>
    </w:p>
    <w:p w:rsidRPr="005E0748" w:rsidR="006A22A5" w:rsidP="006A22A5" w:rsidRDefault="006A22A5" w14:paraId="37FEFB79" w14:textId="2C664105">
      <w:pPr>
        <w:spacing w:after="0" w:line="360" w:lineRule="auto"/>
        <w:rPr>
          <w:rFonts w:eastAsia="Batang" w:cs="Tahoma"/>
          <w:b/>
          <w:bCs/>
          <w:color w:val="000000"/>
        </w:rPr>
      </w:pPr>
      <w:r w:rsidRPr="005E0748">
        <w:rPr>
          <w:rFonts w:eastAsia="Batang" w:cs="Tahoma"/>
          <w:b/>
          <w:bCs/>
          <w:color w:val="000000"/>
        </w:rPr>
        <w:t xml:space="preserve">a) Turno del Medio de Impugnación. </w:t>
      </w:r>
      <w:r w:rsidRPr="005E0748">
        <w:rPr>
          <w:rFonts w:eastAsia="Batang" w:cs="Tahoma"/>
          <w:bCs/>
          <w:color w:val="000000"/>
        </w:rPr>
        <w:t xml:space="preserve">El </w:t>
      </w:r>
      <w:r w:rsidRPr="005E0748" w:rsidR="00432294">
        <w:rPr>
          <w:rFonts w:eastAsia="Batang" w:cs="Tahoma"/>
          <w:bCs/>
          <w:color w:val="000000"/>
        </w:rPr>
        <w:t>dos de junio</w:t>
      </w:r>
      <w:r w:rsidRPr="005E0748">
        <w:rPr>
          <w:rFonts w:eastAsia="Times New Roman" w:cs="Tahoma"/>
          <w:bCs/>
          <w:color w:val="auto"/>
          <w:lang w:eastAsia="es-ES"/>
        </w:rPr>
        <w:t xml:space="preserve"> de dos mil veintidós</w:t>
      </w:r>
      <w:r w:rsidRPr="005E0748">
        <w:rPr>
          <w:rFonts w:eastAsia="Batang" w:cs="Tahoma"/>
          <w:bCs/>
          <w:color w:val="000000"/>
        </w:rPr>
        <w:t xml:space="preserve">, el </w:t>
      </w:r>
      <w:r w:rsidRPr="005E0748">
        <w:rPr>
          <w:rFonts w:eastAsia="Calibri" w:cs="Tahoma"/>
          <w:color w:val="000000"/>
          <w:lang w:val="es-ES"/>
        </w:rPr>
        <w:t>Sistema de Acceso a la Información Mexiquense (SAIMEX),</w:t>
      </w:r>
      <w:r w:rsidRPr="005E0748">
        <w:rPr>
          <w:rFonts w:eastAsia="Batang" w:cs="Tahoma"/>
          <w:bCs/>
          <w:color w:val="000000"/>
        </w:rPr>
        <w:t xml:space="preserve"> asignó el número de expediente </w:t>
      </w:r>
      <w:r w:rsidRPr="005E0748" w:rsidR="00C13572">
        <w:rPr>
          <w:rFonts w:eastAsia="Batang" w:cs="Tahoma"/>
          <w:color w:val="000000"/>
        </w:rPr>
        <w:t>10481</w:t>
      </w:r>
      <w:r w:rsidRPr="005E0748">
        <w:rPr>
          <w:rFonts w:eastAsia="Calibri" w:cs="Tahoma"/>
        </w:rPr>
        <w:t>/INFOEM/IP/RR/2022</w:t>
      </w:r>
      <w:r w:rsidRPr="005E0748">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E0748" w:rsidR="006A22A5" w:rsidP="006A22A5" w:rsidRDefault="006A22A5" w14:paraId="4C022EEB" w14:textId="77777777">
      <w:pPr>
        <w:spacing w:after="0" w:line="360" w:lineRule="auto"/>
        <w:rPr>
          <w:rFonts w:eastAsia="Batang" w:cs="Tahoma"/>
          <w:bCs/>
          <w:color w:val="000000"/>
        </w:rPr>
      </w:pPr>
    </w:p>
    <w:p w:rsidRPr="005E0748" w:rsidR="006A22A5" w:rsidP="006A22A5" w:rsidRDefault="006A22A5" w14:paraId="0ACEBEAC" w14:textId="1AB1E3D3">
      <w:pPr>
        <w:spacing w:after="0" w:line="360" w:lineRule="auto"/>
        <w:rPr>
          <w:rFonts w:eastAsia="Times New Roman" w:cs="Tahoma"/>
          <w:b/>
          <w:bCs/>
          <w:color w:val="auto"/>
          <w:lang w:eastAsia="es-ES"/>
        </w:rPr>
      </w:pPr>
      <w:r w:rsidRPr="005E0748">
        <w:rPr>
          <w:rFonts w:eastAsia="Times New Roman" w:cs="Tahoma"/>
          <w:b/>
          <w:bCs/>
          <w:color w:val="auto"/>
          <w:lang w:eastAsia="es-ES"/>
        </w:rPr>
        <w:t>b) Admisión del Recurso de Revisión</w:t>
      </w:r>
      <w:r w:rsidRPr="005E0748">
        <w:rPr>
          <w:rFonts w:eastAsia="Times New Roman" w:cs="Tahoma"/>
          <w:b/>
          <w:bCs/>
          <w:color w:val="auto"/>
          <w:lang w:val="es-ES_tradnl" w:eastAsia="es-ES"/>
        </w:rPr>
        <w:t xml:space="preserve">. </w:t>
      </w:r>
      <w:r w:rsidRPr="005E0748">
        <w:rPr>
          <w:rFonts w:eastAsia="Batang" w:cs="Tahoma"/>
          <w:bCs/>
          <w:color w:val="000000"/>
        </w:rPr>
        <w:t xml:space="preserve">El </w:t>
      </w:r>
      <w:r w:rsidRPr="005E0748" w:rsidR="00C13572">
        <w:rPr>
          <w:rFonts w:eastAsia="Batang" w:cs="Tahoma"/>
          <w:bCs/>
          <w:color w:val="000000"/>
        </w:rPr>
        <w:t>siete de junio</w:t>
      </w:r>
      <w:r w:rsidRPr="005E0748">
        <w:rPr>
          <w:rFonts w:eastAsia="Batang" w:cs="Tahoma"/>
          <w:bCs/>
          <w:color w:val="000000"/>
        </w:rPr>
        <w:t xml:space="preserve"> de dos mil veintidós</w:t>
      </w:r>
      <w:r w:rsidRPr="005E0748">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5E0748" w:rsidR="00C13572">
        <w:rPr>
          <w:rFonts w:eastAsia="Times New Roman" w:cs="Tahoma"/>
          <w:bCs/>
          <w:color w:val="auto"/>
          <w:lang w:val="es-ES_tradnl" w:eastAsia="es-ES"/>
        </w:rPr>
        <w:t>mismo día</w:t>
      </w:r>
      <w:r w:rsidRPr="005E0748">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5E0748" w:rsidR="006A22A5" w:rsidP="006A22A5" w:rsidRDefault="006A22A5" w14:paraId="38758308" w14:textId="77777777">
      <w:pPr>
        <w:spacing w:after="0" w:line="360" w:lineRule="auto"/>
        <w:rPr>
          <w:rFonts w:cs="Tahoma"/>
        </w:rPr>
      </w:pPr>
    </w:p>
    <w:p w:rsidRPr="005E0748" w:rsidR="00E62931" w:rsidP="006A22A5" w:rsidRDefault="006A22A5" w14:paraId="7C14EBFF" w14:textId="36B1767E">
      <w:pPr>
        <w:spacing w:after="0" w:line="360" w:lineRule="auto"/>
        <w:rPr>
          <w:rFonts w:eastAsia="Times New Roman" w:cs="Tahoma"/>
          <w:bCs/>
          <w:iCs/>
          <w:color w:val="auto"/>
          <w:lang w:val="es-ES" w:eastAsia="es-ES"/>
        </w:rPr>
      </w:pPr>
      <w:r w:rsidRPr="005E0748">
        <w:rPr>
          <w:rFonts w:eastAsia="Times New Roman" w:cs="Tahoma"/>
          <w:b/>
          <w:bCs/>
          <w:color w:val="auto"/>
          <w:lang w:eastAsia="es-ES"/>
        </w:rPr>
        <w:t xml:space="preserve">c) </w:t>
      </w:r>
      <w:r w:rsidRPr="005E0748">
        <w:rPr>
          <w:rFonts w:cs="Tahoma"/>
          <w:b/>
          <w:lang w:val="es-ES_tradnl"/>
        </w:rPr>
        <w:t xml:space="preserve">Informe Justificado. </w:t>
      </w:r>
      <w:r w:rsidRPr="005E0748">
        <w:rPr>
          <w:rFonts w:cs="Tahoma"/>
          <w:bCs/>
          <w:lang w:val="es-ES_tradnl"/>
        </w:rPr>
        <w:t xml:space="preserve">El </w:t>
      </w:r>
      <w:r w:rsidRPr="005E0748" w:rsidR="00C13572">
        <w:rPr>
          <w:rFonts w:cs="Tahoma"/>
          <w:bCs/>
          <w:lang w:val="es-ES_tradnl"/>
        </w:rPr>
        <w:t xml:space="preserve">dieciséis de junio </w:t>
      </w:r>
      <w:r w:rsidRPr="005E0748">
        <w:rPr>
          <w:rFonts w:cs="Tahoma"/>
          <w:bCs/>
          <w:lang w:val="es-ES_tradnl"/>
        </w:rPr>
        <w:t xml:space="preserve">de dos mil veintidós, se recibió en este Instituto, a través del Sistema de Acceso a la Información Mexiquense (SAIMEX), el Informe Justificado del Sujeto Obligado, </w:t>
      </w:r>
      <w:r w:rsidRPr="005E0748" w:rsidR="00E87906">
        <w:rPr>
          <w:rFonts w:cs="Tahoma"/>
          <w:bCs/>
          <w:lang w:val="es-ES_tradnl"/>
        </w:rPr>
        <w:t xml:space="preserve">por medio </w:t>
      </w:r>
      <w:r w:rsidRPr="005E0748" w:rsidR="00D91CE2">
        <w:rPr>
          <w:rFonts w:cs="Tahoma"/>
          <w:bCs/>
          <w:lang w:val="es-ES_tradnl"/>
        </w:rPr>
        <w:t>de o</w:t>
      </w:r>
      <w:r w:rsidRPr="005E0748" w:rsidR="00E87906">
        <w:rPr>
          <w:rFonts w:cs="Tahoma"/>
          <w:bCs/>
          <w:lang w:val="es-ES_tradnl"/>
        </w:rPr>
        <w:t xml:space="preserve">ficio sin número, </w:t>
      </w:r>
      <w:r w:rsidRPr="005E0748" w:rsidR="00E62931">
        <w:rPr>
          <w:rFonts w:cs="Tahoma"/>
          <w:bCs/>
          <w:lang w:val="es-ES_tradnl"/>
        </w:rPr>
        <w:t xml:space="preserve">de fecha de su recepción, </w:t>
      </w:r>
      <w:r w:rsidRPr="005E0748" w:rsidR="00E87906">
        <w:rPr>
          <w:rFonts w:cs="Tahoma"/>
          <w:bCs/>
          <w:lang w:val="es-ES_tradnl"/>
        </w:rPr>
        <w:t>suscrito por</w:t>
      </w:r>
      <w:r w:rsidRPr="005E0748" w:rsidR="00E62931">
        <w:rPr>
          <w:rFonts w:cs="Tahoma"/>
          <w:bCs/>
          <w:lang w:val="es-ES_tradnl"/>
        </w:rPr>
        <w:t xml:space="preserve"> </w:t>
      </w:r>
      <w:r w:rsidRPr="005E0748" w:rsidR="00E87906">
        <w:rPr>
          <w:rFonts w:cs="Tahoma"/>
          <w:bCs/>
          <w:lang w:val="es-ES_tradnl"/>
        </w:rPr>
        <w:t xml:space="preserve">la </w:t>
      </w:r>
      <w:r w:rsidRPr="005E0748" w:rsidR="00366FC8">
        <w:rPr>
          <w:rFonts w:cs="Tahoma"/>
          <w:bCs/>
          <w:lang w:val="es-ES_tradnl"/>
        </w:rPr>
        <w:t>Directora de la Unidad</w:t>
      </w:r>
      <w:r w:rsidRPr="005E0748" w:rsidR="00E87906">
        <w:rPr>
          <w:rFonts w:cs="Tahoma"/>
          <w:bCs/>
          <w:lang w:val="es-ES_tradnl"/>
        </w:rPr>
        <w:t xml:space="preserve"> de Transparencia</w:t>
      </w:r>
      <w:r w:rsidRPr="005E0748" w:rsidR="00366FC8">
        <w:rPr>
          <w:rFonts w:cs="Tahoma"/>
          <w:bCs/>
          <w:lang w:val="es-ES_tradnl"/>
        </w:rPr>
        <w:t xml:space="preserve"> y Acceso a la Información Pública,</w:t>
      </w:r>
      <w:r w:rsidRPr="005E0748" w:rsidR="00E87906">
        <w:rPr>
          <w:rFonts w:cs="Tahoma"/>
          <w:bCs/>
          <w:lang w:val="es-ES_tradnl"/>
        </w:rPr>
        <w:t xml:space="preserve"> </w:t>
      </w:r>
      <w:r w:rsidRPr="005E0748" w:rsidR="00E62931">
        <w:rPr>
          <w:rFonts w:cs="Tahoma"/>
          <w:bCs/>
          <w:lang w:val="es-ES_tradnl"/>
        </w:rPr>
        <w:t xml:space="preserve">dirigido al comisionado ponente, </w:t>
      </w:r>
      <w:r w:rsidRPr="005E0748" w:rsidR="00E87906">
        <w:rPr>
          <w:rFonts w:cs="Tahoma"/>
          <w:bCs/>
          <w:lang w:val="es-ES_tradnl"/>
        </w:rPr>
        <w:t xml:space="preserve">por medio </w:t>
      </w:r>
      <w:r w:rsidRPr="005E0748" w:rsidR="00E62931">
        <w:rPr>
          <w:rFonts w:cs="Tahoma"/>
          <w:bCs/>
          <w:lang w:val="es-ES_tradnl"/>
        </w:rPr>
        <w:t xml:space="preserve">del cual </w:t>
      </w:r>
      <w:r w:rsidRPr="005E0748" w:rsidR="00E30D94">
        <w:rPr>
          <w:rFonts w:cs="Tahoma"/>
          <w:bCs/>
          <w:lang w:val="es-ES_tradnl"/>
        </w:rPr>
        <w:t>proporcionó la digitalización de los documentos siguientes:</w:t>
      </w:r>
      <w:r w:rsidRPr="005E0748" w:rsidR="00D91CE2">
        <w:rPr>
          <w:rFonts w:cs="Tahoma"/>
          <w:bCs/>
          <w:lang w:val="es-ES_tradnl"/>
        </w:rPr>
        <w:t xml:space="preserve"> </w:t>
      </w:r>
    </w:p>
    <w:p w:rsidRPr="005E0748" w:rsidR="00D91CE2" w:rsidP="006A22A5" w:rsidRDefault="00D91CE2" w14:paraId="63399758" w14:textId="336FF78A">
      <w:pPr>
        <w:spacing w:after="0" w:line="360" w:lineRule="auto"/>
        <w:rPr>
          <w:rFonts w:eastAsia="Times New Roman" w:cs="Tahoma"/>
          <w:bCs/>
          <w:iCs/>
          <w:color w:val="auto"/>
          <w:lang w:val="es-ES" w:eastAsia="es-ES"/>
        </w:rPr>
      </w:pPr>
    </w:p>
    <w:p w:rsidRPr="005E0748" w:rsidR="00A8024F" w:rsidP="00E30D94" w:rsidRDefault="00D91CE2" w14:paraId="7BDF3F86" w14:textId="75AC2761">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i) Oficio</w:t>
      </w:r>
      <w:r w:rsidRPr="005E0748" w:rsidR="00E30D94">
        <w:rPr>
          <w:iCs/>
        </w:rPr>
        <w:t xml:space="preserve"> número</w:t>
      </w:r>
      <w:r w:rsidRPr="005E0748" w:rsidR="00A8024F">
        <w:rPr>
          <w:iCs/>
        </w:rPr>
        <w:t xml:space="preserve"> FYDE,AYR/059/2022, </w:t>
      </w:r>
      <w:r w:rsidRPr="005E0748" w:rsidR="003A5F8F">
        <w:rPr>
          <w:iCs/>
        </w:rPr>
        <w:t>del</w:t>
      </w:r>
      <w:r w:rsidRPr="005E0748" w:rsidR="00E30D94">
        <w:rPr>
          <w:iCs/>
        </w:rPr>
        <w:t xml:space="preserve"> quince de junio de dos  mil veintidós, suscrito por la Encargada de Despacho de la Dirección de Fomento y Desarrollo Económico, Administración y Reglamentos de </w:t>
      </w:r>
      <w:proofErr w:type="spellStart"/>
      <w:r w:rsidRPr="005E0748" w:rsidR="00E30D94">
        <w:rPr>
          <w:iCs/>
        </w:rPr>
        <w:t>Tonanitla</w:t>
      </w:r>
      <w:proofErr w:type="spellEnd"/>
      <w:r w:rsidRPr="005E0748" w:rsidR="00E30D94">
        <w:rPr>
          <w:iCs/>
        </w:rPr>
        <w:t xml:space="preserve">, dirigido  la </w:t>
      </w:r>
      <w:r w:rsidRPr="005E0748" w:rsidR="00E30D94">
        <w:rPr>
          <w:rFonts w:cs="Tahoma"/>
          <w:bCs/>
          <w:lang w:val="es-ES_tradnl"/>
        </w:rPr>
        <w:t>Directora de la Unidad de Transparencia y Acceso a la Información Pública,</w:t>
      </w:r>
      <w:r w:rsidRPr="005E0748" w:rsidR="00E30D94">
        <w:rPr>
          <w:iCs/>
        </w:rPr>
        <w:t xml:space="preserve"> por medio del cual señaló esencialmente lo siguiente</w:t>
      </w:r>
      <w:r w:rsidRPr="005E0748" w:rsidR="00A8024F">
        <w:rPr>
          <w:iCs/>
        </w:rPr>
        <w:t>:</w:t>
      </w:r>
    </w:p>
    <w:p w:rsidRPr="005E0748" w:rsidR="00A8024F" w:rsidP="00A8024F" w:rsidRDefault="00A8024F" w14:paraId="073228E2" w14:textId="2A571ADA">
      <w:pPr>
        <w:spacing w:after="0" w:line="360" w:lineRule="auto"/>
        <w:ind w:left="567" w:right="567"/>
        <w:rPr>
          <w:i/>
          <w:iCs/>
          <w:sz w:val="20"/>
          <w:szCs w:val="20"/>
        </w:rPr>
      </w:pPr>
    </w:p>
    <w:p w:rsidRPr="005E0748" w:rsidR="00E30D94" w:rsidP="00E30D94" w:rsidRDefault="00E30D94" w14:paraId="278D357A" w14:textId="2AC5EDCE">
      <w:pPr>
        <w:spacing w:after="0" w:line="360" w:lineRule="auto"/>
        <w:ind w:left="567" w:right="567"/>
        <w:rPr>
          <w:i/>
          <w:iCs/>
          <w:sz w:val="20"/>
          <w:szCs w:val="20"/>
        </w:rPr>
      </w:pPr>
      <w:r w:rsidRPr="005E0748">
        <w:rPr>
          <w:i/>
          <w:iCs/>
          <w:sz w:val="20"/>
          <w:szCs w:val="20"/>
        </w:rPr>
        <w:t>“…</w:t>
      </w:r>
    </w:p>
    <w:p w:rsidRPr="005E0748" w:rsidR="00A8024F" w:rsidP="00E30D94" w:rsidRDefault="00A8024F" w14:paraId="6AADF23D" w14:textId="0640CBD6">
      <w:pPr>
        <w:spacing w:after="0" w:line="360" w:lineRule="auto"/>
        <w:ind w:left="567" w:right="567"/>
        <w:rPr>
          <w:i/>
          <w:iCs/>
          <w:sz w:val="20"/>
          <w:szCs w:val="20"/>
        </w:rPr>
      </w:pPr>
      <w:r w:rsidRPr="005E0748">
        <w:rPr>
          <w:i/>
          <w:iCs/>
          <w:sz w:val="20"/>
          <w:szCs w:val="20"/>
        </w:rPr>
        <w:t xml:space="preserve">Ahora bien </w:t>
      </w:r>
      <w:r w:rsidRPr="005E0748">
        <w:rPr>
          <w:b/>
          <w:bCs/>
          <w:i/>
          <w:iCs/>
          <w:sz w:val="20"/>
          <w:szCs w:val="20"/>
        </w:rPr>
        <w:t>me permito ofrecer la siguiente aclaración al respecto: la plantilla enviada por la dirección a mi cargo no se encontraba actualizada al momento de responder la solicitud</w:t>
      </w:r>
      <w:r w:rsidRPr="005E0748">
        <w:rPr>
          <w:i/>
          <w:iCs/>
          <w:sz w:val="20"/>
          <w:szCs w:val="20"/>
        </w:rPr>
        <w:t xml:space="preserve"> por lo que el contenido de la lista de empleados no se envió en su totalidad…</w:t>
      </w:r>
    </w:p>
    <w:p w:rsidRPr="005E0748" w:rsidR="00E30D94" w:rsidP="00E30D94" w:rsidRDefault="00E30D94" w14:paraId="7ED8759A" w14:textId="7763103C">
      <w:pPr>
        <w:spacing w:after="0" w:line="360" w:lineRule="auto"/>
        <w:ind w:left="567" w:right="567"/>
        <w:rPr>
          <w:i/>
          <w:iCs/>
          <w:sz w:val="20"/>
          <w:szCs w:val="20"/>
        </w:rPr>
      </w:pPr>
      <w:r w:rsidRPr="005E0748">
        <w:rPr>
          <w:i/>
          <w:iCs/>
          <w:sz w:val="20"/>
          <w:szCs w:val="20"/>
        </w:rPr>
        <w:t>…”</w:t>
      </w:r>
    </w:p>
    <w:p w:rsidRPr="005E0748" w:rsidR="00E30D94" w:rsidP="00E30D94" w:rsidRDefault="00E30D94" w14:paraId="59DCC45D" w14:textId="5466829B">
      <w:pPr>
        <w:spacing w:after="0" w:line="360" w:lineRule="auto"/>
        <w:ind w:right="567"/>
        <w:rPr>
          <w:i/>
          <w:iCs/>
          <w:sz w:val="20"/>
          <w:szCs w:val="20"/>
        </w:rPr>
      </w:pPr>
    </w:p>
    <w:p w:rsidRPr="005E0748" w:rsidR="00E30D94" w:rsidP="003A5F8F" w:rsidRDefault="00C5774F" w14:paraId="6990CC61" w14:textId="30937769">
      <w:pPr>
        <w:spacing w:after="0" w:line="360" w:lineRule="auto"/>
        <w:rPr>
          <w:rFonts w:eastAsia="Times New Roman" w:cs="Tahoma"/>
          <w:bCs/>
          <w:iCs/>
          <w:color w:val="auto"/>
          <w:lang w:val="es-ES" w:eastAsia="es-ES"/>
        </w:rPr>
      </w:pPr>
      <w:r w:rsidRPr="005E0748">
        <w:lastRenderedPageBreak/>
        <w:t xml:space="preserve">ii) </w:t>
      </w:r>
      <w:r w:rsidRPr="005E0748" w:rsidR="00E30D94">
        <w:t>Dicha dependencia proporcionó un listado</w:t>
      </w:r>
      <w:r w:rsidRPr="005E0748" w:rsidR="0080184D">
        <w:t xml:space="preserve"> corregido</w:t>
      </w:r>
      <w:r w:rsidRPr="005E0748" w:rsidR="00E30D94">
        <w:t xml:space="preserve"> </w:t>
      </w:r>
      <w:r w:rsidRPr="005E0748" w:rsidR="00E30D94">
        <w:rPr>
          <w:rFonts w:eastAsia="Times New Roman" w:cs="Tahoma"/>
          <w:bCs/>
          <w:iCs/>
          <w:color w:val="auto"/>
          <w:lang w:val="es-ES" w:eastAsia="es-ES"/>
        </w:rPr>
        <w:t>de servidores públicos, con nombre completo, cargo, área de adscripción y escolaridad.</w:t>
      </w:r>
    </w:p>
    <w:p w:rsidRPr="005E0748" w:rsidR="00E30D94" w:rsidP="00E30D94" w:rsidRDefault="00E30D94" w14:paraId="5DCE9C41" w14:textId="5A4D5A01">
      <w:pPr>
        <w:spacing w:after="0" w:line="360" w:lineRule="auto"/>
        <w:ind w:right="567"/>
        <w:rPr>
          <w:rFonts w:eastAsia="Times New Roman" w:cs="Tahoma"/>
          <w:bCs/>
          <w:iCs/>
          <w:color w:val="auto"/>
          <w:lang w:val="es-ES" w:eastAsia="es-ES"/>
        </w:rPr>
      </w:pPr>
    </w:p>
    <w:p w:rsidRPr="005E0748" w:rsidR="00A8024F" w:rsidP="00E30D94" w:rsidRDefault="00E30D94" w14:paraId="74A5868F" w14:textId="3D025CE9">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ii</w:t>
      </w:r>
      <w:r w:rsidRPr="005E0748" w:rsidR="00C5774F">
        <w:rPr>
          <w:rFonts w:eastAsia="Times New Roman" w:cs="Tahoma"/>
          <w:bCs/>
          <w:iCs/>
          <w:color w:val="auto"/>
          <w:lang w:val="es-ES" w:eastAsia="es-ES"/>
        </w:rPr>
        <w:t>i</w:t>
      </w:r>
      <w:r w:rsidRPr="005E0748">
        <w:rPr>
          <w:rFonts w:eastAsia="Times New Roman" w:cs="Tahoma"/>
          <w:bCs/>
          <w:iCs/>
          <w:color w:val="auto"/>
          <w:lang w:val="es-ES" w:eastAsia="es-ES"/>
        </w:rPr>
        <w:t xml:space="preserve">) </w:t>
      </w:r>
      <w:r w:rsidRPr="005E0748">
        <w:rPr>
          <w:iCs/>
        </w:rPr>
        <w:t>O</w:t>
      </w:r>
      <w:r w:rsidRPr="005E0748" w:rsidR="00A8024F">
        <w:rPr>
          <w:iCs/>
        </w:rPr>
        <w:t>ficio</w:t>
      </w:r>
      <w:r w:rsidRPr="005E0748">
        <w:rPr>
          <w:iCs/>
        </w:rPr>
        <w:t xml:space="preserve"> número </w:t>
      </w:r>
      <w:r w:rsidRPr="005E0748" w:rsidR="00A8024F">
        <w:rPr>
          <w:iCs/>
        </w:rPr>
        <w:t>TM/TON/286/2022,</w:t>
      </w:r>
      <w:r w:rsidRPr="005E0748">
        <w:rPr>
          <w:iCs/>
        </w:rPr>
        <w:t xml:space="preserve"> de fecha </w:t>
      </w:r>
      <w:r w:rsidRPr="005E0748" w:rsidR="00C5774F">
        <w:rPr>
          <w:iCs/>
        </w:rPr>
        <w:t>quince de junio de dos mil veintidós</w:t>
      </w:r>
      <w:r w:rsidRPr="005E0748">
        <w:rPr>
          <w:iCs/>
        </w:rPr>
        <w:t xml:space="preserve">, suscrito por la Tesorera Municipal, dirigido a la </w:t>
      </w:r>
      <w:r w:rsidRPr="005E0748">
        <w:rPr>
          <w:rFonts w:cs="Tahoma"/>
          <w:bCs/>
          <w:lang w:val="es-ES_tradnl"/>
        </w:rPr>
        <w:t>Directora de la Unidad de Transparencia y Acceso a la Información Pública</w:t>
      </w:r>
      <w:r w:rsidRPr="005E0748">
        <w:rPr>
          <w:iCs/>
        </w:rPr>
        <w:t>, a través del cual señaló esencialmente lo siguiente</w:t>
      </w:r>
      <w:r w:rsidRPr="005E0748" w:rsidR="00A8024F">
        <w:rPr>
          <w:iCs/>
        </w:rPr>
        <w:t>:</w:t>
      </w:r>
    </w:p>
    <w:p w:rsidRPr="005E0748" w:rsidR="00A8024F" w:rsidP="00A8024F" w:rsidRDefault="00A8024F" w14:paraId="067D82B8" w14:textId="180C9095">
      <w:pPr>
        <w:spacing w:after="0" w:line="360" w:lineRule="auto"/>
        <w:ind w:left="567" w:right="567"/>
        <w:rPr>
          <w:i/>
          <w:iCs/>
          <w:sz w:val="20"/>
          <w:szCs w:val="20"/>
        </w:rPr>
      </w:pPr>
    </w:p>
    <w:p w:rsidRPr="005E0748" w:rsidR="00A8024F" w:rsidP="00A8024F" w:rsidRDefault="00A8024F" w14:paraId="35135F66" w14:textId="0500FBAE">
      <w:pPr>
        <w:spacing w:after="0" w:line="360" w:lineRule="auto"/>
        <w:ind w:left="567" w:right="567"/>
        <w:rPr>
          <w:i/>
          <w:iCs/>
          <w:sz w:val="20"/>
          <w:szCs w:val="20"/>
        </w:rPr>
      </w:pPr>
      <w:r w:rsidRPr="005E0748">
        <w:rPr>
          <w:i/>
          <w:iCs/>
          <w:sz w:val="20"/>
          <w:szCs w:val="20"/>
        </w:rPr>
        <w:t xml:space="preserve">…para dar contestación a dicha solicitud, </w:t>
      </w:r>
      <w:r w:rsidRPr="005E0748">
        <w:rPr>
          <w:b/>
          <w:bCs/>
          <w:i/>
          <w:iCs/>
          <w:sz w:val="20"/>
          <w:szCs w:val="20"/>
        </w:rPr>
        <w:t>se adjunta listado de nómina corregido, ya que la vez anterior por error involuntario se anexó uno equivocado</w:t>
      </w:r>
      <w:r w:rsidRPr="005E0748">
        <w:rPr>
          <w:i/>
          <w:iCs/>
          <w:sz w:val="20"/>
          <w:szCs w:val="20"/>
        </w:rPr>
        <w:t>, esperando que comprenda esta situación ya que hemos tenido saturación de trabajo en la Tesorería Municipal…</w:t>
      </w:r>
    </w:p>
    <w:p w:rsidRPr="005E0748" w:rsidR="00A8024F" w:rsidP="00A8024F" w:rsidRDefault="00A8024F" w14:paraId="11C3F085" w14:textId="5FD22251">
      <w:pPr>
        <w:spacing w:after="0" w:line="360" w:lineRule="auto"/>
        <w:ind w:left="567" w:right="567"/>
        <w:rPr>
          <w:i/>
          <w:iCs/>
          <w:sz w:val="20"/>
          <w:szCs w:val="20"/>
        </w:rPr>
      </w:pPr>
      <w:r w:rsidRPr="005E0748">
        <w:rPr>
          <w:i/>
          <w:iCs/>
          <w:sz w:val="20"/>
          <w:szCs w:val="20"/>
        </w:rPr>
        <w:t>…”</w:t>
      </w:r>
    </w:p>
    <w:p w:rsidRPr="005E0748" w:rsidR="00C5774F" w:rsidP="00A8024F" w:rsidRDefault="00C5774F" w14:paraId="1B7B6E1F" w14:textId="77777777">
      <w:pPr>
        <w:spacing w:after="0" w:line="360" w:lineRule="auto"/>
        <w:ind w:left="567" w:right="567"/>
        <w:rPr>
          <w:i/>
          <w:iCs/>
          <w:sz w:val="20"/>
          <w:szCs w:val="20"/>
        </w:rPr>
      </w:pPr>
    </w:p>
    <w:p w:rsidRPr="005E0748" w:rsidR="00C5774F" w:rsidP="003A5F8F" w:rsidRDefault="00C5774F" w14:paraId="73A433F3" w14:textId="77777777">
      <w:pPr>
        <w:spacing w:after="0" w:line="360" w:lineRule="auto"/>
        <w:rPr>
          <w:rFonts w:eastAsia="Times New Roman" w:cs="Tahoma"/>
          <w:bCs/>
          <w:iCs/>
          <w:color w:val="auto"/>
          <w:lang w:val="es-ES" w:eastAsia="es-ES"/>
        </w:rPr>
      </w:pPr>
      <w:r w:rsidRPr="005E0748">
        <w:t xml:space="preserve">iv) Dicha dependencia proporcionó un listado </w:t>
      </w:r>
      <w:r w:rsidRPr="005E0748">
        <w:rPr>
          <w:rFonts w:eastAsia="Times New Roman" w:cs="Tahoma"/>
          <w:bCs/>
          <w:iCs/>
          <w:color w:val="auto"/>
          <w:lang w:val="es-ES" w:eastAsia="es-ES"/>
        </w:rPr>
        <w:t xml:space="preserve">de servidores públicos, con nombre completo, total de percepciones y sueldo neto. </w:t>
      </w:r>
    </w:p>
    <w:p w:rsidRPr="005E0748" w:rsidR="00C5774F" w:rsidP="00C5774F" w:rsidRDefault="00C5774F" w14:paraId="62B86092" w14:textId="77777777">
      <w:pPr>
        <w:spacing w:after="0" w:line="360" w:lineRule="auto"/>
        <w:ind w:right="567"/>
        <w:rPr>
          <w:rFonts w:eastAsia="Times New Roman" w:cs="Tahoma"/>
          <w:bCs/>
          <w:iCs/>
          <w:color w:val="auto"/>
          <w:lang w:val="es-ES" w:eastAsia="es-ES"/>
        </w:rPr>
      </w:pPr>
    </w:p>
    <w:p w:rsidRPr="005E0748" w:rsidR="006A22A5" w:rsidP="006A22A5" w:rsidRDefault="006A22A5" w14:paraId="02386A13" w14:textId="3351E5B0">
      <w:pPr>
        <w:spacing w:after="0" w:line="360" w:lineRule="auto"/>
      </w:pPr>
      <w:r w:rsidRPr="005E0748">
        <w:rPr>
          <w:rFonts w:eastAsia="Times New Roman" w:cs="Tahoma"/>
          <w:b/>
          <w:color w:val="auto"/>
          <w:szCs w:val="24"/>
          <w:lang w:eastAsia="es-ES"/>
        </w:rPr>
        <w:t xml:space="preserve">d) </w:t>
      </w:r>
      <w:r w:rsidRPr="005E0748">
        <w:rPr>
          <w:rFonts w:eastAsia="Times New Roman" w:cs="Tahoma"/>
          <w:b/>
          <w:bCs/>
          <w:color w:val="auto"/>
          <w:szCs w:val="24"/>
          <w:lang w:eastAsia="es-ES"/>
        </w:rPr>
        <w:t xml:space="preserve">Ampliación de plazo. </w:t>
      </w:r>
      <w:r w:rsidRPr="005E0748">
        <w:rPr>
          <w:rFonts w:eastAsia="Times New Roman" w:cs="Tahoma"/>
          <w:color w:val="auto"/>
          <w:szCs w:val="24"/>
          <w:lang w:eastAsia="es-ES"/>
        </w:rPr>
        <w:t xml:space="preserve">El </w:t>
      </w:r>
      <w:r w:rsidRPr="005E0748" w:rsidR="00927C83">
        <w:rPr>
          <w:rFonts w:eastAsia="Times New Roman" w:cs="Tahoma"/>
          <w:color w:val="auto"/>
          <w:szCs w:val="24"/>
          <w:lang w:eastAsia="es-ES"/>
        </w:rPr>
        <w:t xml:space="preserve">tres de agosto </w:t>
      </w:r>
      <w:r w:rsidRPr="005E0748">
        <w:rPr>
          <w:rFonts w:eastAsia="Times New Roman" w:cs="Tahoma"/>
          <w:color w:val="auto"/>
          <w:szCs w:val="24"/>
          <w:lang w:eastAsia="es-ES"/>
        </w:rPr>
        <w:t xml:space="preserve">de </w:t>
      </w:r>
      <w:r w:rsidRPr="005E0748">
        <w:rPr>
          <w:rFonts w:eastAsia="Palatino Linotype" w:cs="Palatino Linotype"/>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5E0748" w:rsidR="006A22A5" w:rsidP="006A22A5" w:rsidRDefault="006A22A5" w14:paraId="494A0037" w14:textId="77777777">
      <w:pPr>
        <w:widowControl w:val="0"/>
        <w:spacing w:after="0" w:line="360" w:lineRule="auto"/>
        <w:rPr>
          <w:rFonts w:eastAsia="Times New Roman" w:cs="Tahoma"/>
          <w:b/>
          <w:color w:val="auto"/>
          <w:szCs w:val="24"/>
          <w:lang w:eastAsia="es-ES"/>
        </w:rPr>
      </w:pPr>
    </w:p>
    <w:p w:rsidRPr="005E0748" w:rsidR="006A22A5" w:rsidP="006A22A5" w:rsidRDefault="006A22A5" w14:paraId="36F7295B" w14:textId="77777777">
      <w:pPr>
        <w:spacing w:after="0" w:line="360" w:lineRule="auto"/>
        <w:rPr>
          <w:rFonts w:eastAsia="Palatino Linotype" w:cs="Palatino Linotype"/>
        </w:rPr>
      </w:pPr>
      <w:r w:rsidRPr="005E0748">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E0748" w:rsidR="006A22A5" w:rsidP="006A22A5" w:rsidRDefault="006A22A5" w14:paraId="42FA5DB4" w14:textId="77777777">
      <w:pPr>
        <w:spacing w:after="0" w:line="360" w:lineRule="auto"/>
        <w:rPr>
          <w:rFonts w:eastAsia="Palatino Linotype" w:cs="Palatino Linotype"/>
        </w:rPr>
      </w:pPr>
    </w:p>
    <w:p w:rsidRPr="005E0748" w:rsidR="006A22A5" w:rsidP="006A22A5" w:rsidRDefault="006A22A5" w14:paraId="19E98D79" w14:textId="77777777">
      <w:pPr>
        <w:spacing w:after="0" w:line="360" w:lineRule="auto"/>
        <w:rPr>
          <w:rFonts w:eastAsia="Palatino Linotype" w:cs="Palatino Linotype"/>
        </w:rPr>
      </w:pPr>
      <w:r w:rsidRPr="005E0748">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E0748" w:rsidR="006A22A5" w:rsidP="006A22A5" w:rsidRDefault="006A22A5" w14:paraId="2FE50E95" w14:textId="77777777">
      <w:pPr>
        <w:spacing w:after="0" w:line="360" w:lineRule="auto"/>
        <w:rPr>
          <w:rFonts w:eastAsia="Palatino Linotype" w:cs="Palatino Linotype"/>
        </w:rPr>
      </w:pPr>
    </w:p>
    <w:p w:rsidRPr="005E0748" w:rsidR="006A22A5" w:rsidP="006A22A5" w:rsidRDefault="006A22A5" w14:paraId="016D49BE" w14:textId="77777777">
      <w:pPr>
        <w:spacing w:after="0" w:line="360" w:lineRule="auto"/>
        <w:rPr>
          <w:rFonts w:eastAsia="Palatino Linotype" w:cs="Palatino Linotype"/>
        </w:rPr>
      </w:pPr>
      <w:r w:rsidRPr="005E0748">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E0748" w:rsidR="006A22A5" w:rsidP="006A22A5" w:rsidRDefault="006A22A5" w14:paraId="58B2A8CE" w14:textId="77777777">
      <w:pPr>
        <w:spacing w:after="0" w:line="360" w:lineRule="auto"/>
        <w:rPr>
          <w:rFonts w:eastAsia="Palatino Linotype" w:cs="Palatino Linotype"/>
        </w:rPr>
      </w:pPr>
    </w:p>
    <w:p w:rsidRPr="005E0748" w:rsidR="006A22A5" w:rsidP="006A22A5" w:rsidRDefault="006A22A5" w14:paraId="5902DC2C" w14:textId="77777777">
      <w:pPr>
        <w:spacing w:after="0" w:line="360" w:lineRule="auto"/>
        <w:rPr>
          <w:rFonts w:eastAsia="Palatino Linotype" w:cs="Palatino Linotype"/>
        </w:rPr>
      </w:pPr>
      <w:r w:rsidRPr="005E0748">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E0748" w:rsidR="006A22A5" w:rsidP="006A22A5" w:rsidRDefault="006A22A5" w14:paraId="5DC57A85" w14:textId="77777777">
      <w:pPr>
        <w:spacing w:after="0" w:line="360" w:lineRule="auto"/>
        <w:rPr>
          <w:rFonts w:eastAsia="Palatino Linotype" w:cs="Palatino Linotype"/>
        </w:rPr>
      </w:pPr>
    </w:p>
    <w:p w:rsidRPr="005E0748" w:rsidR="006A22A5" w:rsidP="006A22A5" w:rsidRDefault="006A22A5" w14:paraId="7BFA27CA" w14:textId="77777777">
      <w:pPr>
        <w:spacing w:after="0" w:line="360" w:lineRule="auto"/>
        <w:rPr>
          <w:rFonts w:eastAsia="Palatino Linotype" w:cs="Palatino Linotype"/>
        </w:rPr>
      </w:pPr>
      <w:r w:rsidRPr="005E0748">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5E0748" w:rsidR="006A22A5" w:rsidP="006A22A5" w:rsidRDefault="006A22A5" w14:paraId="46D56AAA" w14:textId="77777777">
      <w:pPr>
        <w:spacing w:after="0" w:line="360" w:lineRule="auto"/>
        <w:rPr>
          <w:rFonts w:eastAsia="Palatino Linotype" w:cs="Palatino Linotype"/>
        </w:rPr>
      </w:pPr>
    </w:p>
    <w:p w:rsidRPr="005E0748" w:rsidR="006A22A5" w:rsidP="00625DD1" w:rsidRDefault="006A22A5" w14:paraId="0469E662" w14:textId="77777777">
      <w:pPr>
        <w:pStyle w:val="Prrafodelista"/>
        <w:numPr>
          <w:ilvl w:val="0"/>
          <w:numId w:val="2"/>
        </w:numPr>
        <w:spacing w:after="0" w:line="360" w:lineRule="auto"/>
        <w:rPr>
          <w:rFonts w:eastAsia="Palatino Linotype" w:cs="Palatino Linotype"/>
        </w:rPr>
      </w:pPr>
      <w:r w:rsidRPr="005E0748">
        <w:rPr>
          <w:rFonts w:eastAsia="Palatino Linotype" w:cs="Palatino Linotype"/>
          <w:b/>
          <w:bCs/>
        </w:rPr>
        <w:t>Complejidad del asunto:</w:t>
      </w:r>
      <w:r w:rsidRPr="005E0748">
        <w:rPr>
          <w:rFonts w:eastAsia="Palatino Linotype" w:cs="Palatino Linotype"/>
        </w:rPr>
        <w:t xml:space="preserve"> La complejidad de la prueba, la pluralidad de sujetos procesales, el tiempo transcurrido, las características y contexto del recurso.</w:t>
      </w:r>
    </w:p>
    <w:p w:rsidRPr="005E0748" w:rsidR="006A22A5" w:rsidP="006A22A5" w:rsidRDefault="006A22A5" w14:paraId="6DB80348" w14:textId="77777777">
      <w:pPr>
        <w:pStyle w:val="Prrafodelista"/>
        <w:spacing w:after="0" w:line="360" w:lineRule="auto"/>
        <w:rPr>
          <w:rFonts w:eastAsia="Palatino Linotype" w:cs="Palatino Linotype"/>
        </w:rPr>
      </w:pPr>
    </w:p>
    <w:p w:rsidRPr="005E0748" w:rsidR="006A22A5" w:rsidP="00625DD1" w:rsidRDefault="006A22A5" w14:paraId="4762DE83" w14:textId="77777777">
      <w:pPr>
        <w:pStyle w:val="Prrafodelista"/>
        <w:numPr>
          <w:ilvl w:val="0"/>
          <w:numId w:val="2"/>
        </w:numPr>
        <w:spacing w:after="0" w:line="360" w:lineRule="auto"/>
        <w:rPr>
          <w:rFonts w:eastAsia="Palatino Linotype" w:cs="Palatino Linotype"/>
        </w:rPr>
      </w:pPr>
      <w:r w:rsidRPr="005E0748">
        <w:rPr>
          <w:rFonts w:eastAsia="Palatino Linotype" w:cs="Palatino Linotype"/>
          <w:b/>
          <w:bCs/>
        </w:rPr>
        <w:t>Actividad Procesal del interesado:</w:t>
      </w:r>
      <w:r w:rsidRPr="005E0748">
        <w:rPr>
          <w:rFonts w:eastAsia="Palatino Linotype" w:cs="Palatino Linotype"/>
        </w:rPr>
        <w:t xml:space="preserve"> Acciones u omisiones del interesado.</w:t>
      </w:r>
    </w:p>
    <w:p w:rsidRPr="005E0748" w:rsidR="006A22A5" w:rsidP="006A22A5" w:rsidRDefault="006A22A5" w14:paraId="36FF1D15" w14:textId="77777777">
      <w:pPr>
        <w:pStyle w:val="Prrafodelista"/>
        <w:spacing w:after="0" w:line="360" w:lineRule="auto"/>
        <w:rPr>
          <w:rFonts w:eastAsia="Palatino Linotype" w:cs="Palatino Linotype"/>
        </w:rPr>
      </w:pPr>
    </w:p>
    <w:p w:rsidRPr="005E0748" w:rsidR="006A22A5" w:rsidP="00625DD1" w:rsidRDefault="006A22A5" w14:paraId="740B9221" w14:textId="77777777">
      <w:pPr>
        <w:pStyle w:val="Prrafodelista"/>
        <w:numPr>
          <w:ilvl w:val="0"/>
          <w:numId w:val="2"/>
        </w:numPr>
        <w:spacing w:after="0" w:line="360" w:lineRule="auto"/>
        <w:rPr>
          <w:rFonts w:eastAsia="Palatino Linotype" w:cs="Palatino Linotype"/>
        </w:rPr>
      </w:pPr>
      <w:r w:rsidRPr="005E0748">
        <w:rPr>
          <w:rFonts w:eastAsia="Palatino Linotype" w:cs="Palatino Linotype"/>
          <w:b/>
          <w:bCs/>
        </w:rPr>
        <w:t>Conducta de la Autoridad:</w:t>
      </w:r>
      <w:r w:rsidRPr="005E0748">
        <w:rPr>
          <w:rFonts w:eastAsia="Palatino Linotype" w:cs="Palatino Linotype"/>
        </w:rPr>
        <w:t xml:space="preserve"> Las Acciones u omisiones realizadas en el procedimiento. Así como si la autoridad actuó con la debida diligencia.</w:t>
      </w:r>
    </w:p>
    <w:p w:rsidRPr="005E0748" w:rsidR="006A22A5" w:rsidP="006A22A5" w:rsidRDefault="006A22A5" w14:paraId="7AF20494" w14:textId="77777777">
      <w:pPr>
        <w:pStyle w:val="Prrafodelista"/>
        <w:spacing w:after="0" w:line="360" w:lineRule="auto"/>
        <w:rPr>
          <w:rFonts w:eastAsia="Palatino Linotype" w:cs="Palatino Linotype"/>
        </w:rPr>
      </w:pPr>
    </w:p>
    <w:p w:rsidRPr="005E0748" w:rsidR="006A22A5" w:rsidP="00625DD1" w:rsidRDefault="006A22A5" w14:paraId="31A6A710" w14:textId="77777777">
      <w:pPr>
        <w:pStyle w:val="Prrafodelista"/>
        <w:numPr>
          <w:ilvl w:val="0"/>
          <w:numId w:val="2"/>
        </w:numPr>
        <w:spacing w:after="0" w:line="360" w:lineRule="auto"/>
        <w:rPr>
          <w:rFonts w:eastAsia="Palatino Linotype" w:cs="Palatino Linotype"/>
        </w:rPr>
      </w:pPr>
      <w:r w:rsidRPr="005E0748">
        <w:rPr>
          <w:rFonts w:eastAsia="Palatino Linotype" w:cs="Palatino Linotype"/>
          <w:b/>
          <w:bCs/>
        </w:rPr>
        <w:t>La afectación generada en la situación jurídica de la persona involucrada en el proceso:</w:t>
      </w:r>
      <w:r w:rsidRPr="005E0748">
        <w:rPr>
          <w:rFonts w:eastAsia="Palatino Linotype" w:cs="Palatino Linotype"/>
        </w:rPr>
        <w:t xml:space="preserve"> Violación a sus derechos humanos.</w:t>
      </w:r>
    </w:p>
    <w:p w:rsidRPr="005E0748" w:rsidR="006A22A5" w:rsidP="006A22A5" w:rsidRDefault="006A22A5" w14:paraId="6163F00B" w14:textId="77777777">
      <w:pPr>
        <w:spacing w:after="0" w:line="360" w:lineRule="auto"/>
        <w:rPr>
          <w:rFonts w:eastAsia="Palatino Linotype" w:cs="Palatino Linotype"/>
        </w:rPr>
      </w:pPr>
    </w:p>
    <w:p w:rsidRPr="005E0748" w:rsidR="006A22A5" w:rsidP="006A22A5" w:rsidRDefault="006A22A5" w14:paraId="51FCD107" w14:textId="77777777">
      <w:pPr>
        <w:spacing w:after="0" w:line="360" w:lineRule="auto"/>
        <w:rPr>
          <w:rFonts w:eastAsia="Palatino Linotype" w:cs="Palatino Linotype"/>
        </w:rPr>
      </w:pPr>
      <w:r w:rsidRPr="005E0748">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E0748" w:rsidR="006A22A5" w:rsidP="006A22A5" w:rsidRDefault="006A22A5" w14:paraId="6AEBDD1F" w14:textId="77777777">
      <w:pPr>
        <w:spacing w:after="0" w:line="360" w:lineRule="auto"/>
        <w:rPr>
          <w:rFonts w:eastAsia="Palatino Linotype" w:cs="Palatino Linotype"/>
        </w:rPr>
      </w:pPr>
      <w:r w:rsidRPr="005E0748">
        <w:rPr>
          <w:rFonts w:eastAsia="Palatino Linotype" w:cs="Palatino Linotype"/>
        </w:rPr>
        <w:t xml:space="preserve"> </w:t>
      </w:r>
    </w:p>
    <w:p w:rsidRPr="005E0748" w:rsidR="006A22A5" w:rsidP="006A22A5" w:rsidRDefault="006A22A5" w14:paraId="758ED775" w14:textId="77777777">
      <w:pPr>
        <w:spacing w:after="0" w:line="360" w:lineRule="auto"/>
        <w:rPr>
          <w:rFonts w:eastAsia="Palatino Linotype" w:cs="Palatino Linotype"/>
        </w:rPr>
      </w:pPr>
      <w:r w:rsidRPr="005E0748">
        <w:rPr>
          <w:rFonts w:eastAsia="Palatino Linotype" w:cs="Palatino Linotype"/>
        </w:rPr>
        <w:t>Argumento que encuentra sustento en la jurisprudencia P./J. 32/92 emitida por el Pleno de la Suprema Corte de Justicia de la Nación de rubro “</w:t>
      </w:r>
      <w:r w:rsidRPr="005E0748">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5E0748">
        <w:rPr>
          <w:rFonts w:eastAsia="Palatino Linotype" w:cs="Palatino Linotype"/>
        </w:rPr>
        <w:t>.”, visible en la Gaceta del Seminario Judicial de la Federación con el registro digital 205635.</w:t>
      </w:r>
    </w:p>
    <w:p w:rsidRPr="005E0748" w:rsidR="006A22A5" w:rsidP="006A22A5" w:rsidRDefault="006A22A5" w14:paraId="03ECA49C" w14:textId="77777777">
      <w:pPr>
        <w:spacing w:after="0" w:line="360" w:lineRule="auto"/>
        <w:rPr>
          <w:rFonts w:eastAsia="Palatino Linotype" w:cs="Palatino Linotype"/>
        </w:rPr>
      </w:pPr>
    </w:p>
    <w:p w:rsidRPr="005E0748" w:rsidR="006A22A5" w:rsidP="006A22A5" w:rsidRDefault="006A22A5" w14:paraId="2873A6F3" w14:textId="77777777">
      <w:pPr>
        <w:spacing w:after="0" w:line="360" w:lineRule="auto"/>
        <w:rPr>
          <w:rFonts w:eastAsia="Palatino Linotype" w:cs="Palatino Linotype"/>
        </w:rPr>
      </w:pPr>
      <w:r w:rsidRPr="005E0748">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E0748" w:rsidR="006A22A5" w:rsidP="006A22A5" w:rsidRDefault="006A22A5" w14:paraId="77D88D8B" w14:textId="77777777">
      <w:pPr>
        <w:spacing w:after="0" w:line="360" w:lineRule="auto"/>
        <w:rPr>
          <w:rFonts w:eastAsia="Palatino Linotype" w:cs="Palatino Linotype"/>
        </w:rPr>
      </w:pPr>
    </w:p>
    <w:p w:rsidRPr="005E0748" w:rsidR="006E4F74" w:rsidP="006A22A5" w:rsidRDefault="006E4F74" w14:paraId="635C2020" w14:textId="77777777">
      <w:pPr>
        <w:spacing w:after="0" w:line="360" w:lineRule="auto"/>
        <w:rPr>
          <w:rFonts w:eastAsia="Palatino Linotype" w:cs="Palatino Linotype"/>
        </w:rPr>
      </w:pPr>
    </w:p>
    <w:p w:rsidRPr="005E0748" w:rsidR="006A22A5" w:rsidP="006A22A5" w:rsidRDefault="006A22A5" w14:paraId="49BB0275" w14:textId="77777777">
      <w:pPr>
        <w:spacing w:after="0" w:line="360" w:lineRule="auto"/>
        <w:rPr>
          <w:rFonts w:eastAsia="Palatino Linotype" w:cs="Palatino Linotype"/>
        </w:rPr>
      </w:pPr>
      <w:r w:rsidRPr="005E0748">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5E0748" w:rsidR="006A22A5" w:rsidP="006A22A5" w:rsidRDefault="006A22A5" w14:paraId="265A312D" w14:textId="77777777">
      <w:pPr>
        <w:spacing w:after="0" w:line="360" w:lineRule="auto"/>
        <w:rPr>
          <w:rFonts w:eastAsia="Palatino Linotype" w:cs="Palatino Linotype"/>
        </w:rPr>
      </w:pPr>
    </w:p>
    <w:p w:rsidRPr="005E0748" w:rsidR="006A22A5" w:rsidP="006A22A5" w:rsidRDefault="006A22A5" w14:paraId="6D1D49B0" w14:textId="77777777">
      <w:pPr>
        <w:spacing w:after="0" w:line="360" w:lineRule="auto"/>
        <w:rPr>
          <w:rFonts w:eastAsia="Palatino Linotype" w:cs="Palatino Linotype"/>
        </w:rPr>
      </w:pPr>
      <w:r w:rsidRPr="005E0748">
        <w:rPr>
          <w:rFonts w:eastAsia="Palatino Linotype" w:cs="Palatino Linotype"/>
        </w:rPr>
        <w:t xml:space="preserve"> “</w:t>
      </w:r>
      <w:r w:rsidRPr="005E0748">
        <w:rPr>
          <w:rFonts w:eastAsia="Palatino Linotype" w:cs="Palatino Linotype"/>
          <w:b/>
          <w:bCs/>
        </w:rPr>
        <w:t>PLAZO RAZONABLE PARA RESOLVER. DIMENSIÓN Y EFECTOS DE ESTE CONCEPTO CUANDO SE ADUCE EXCESIVA CARGA DE TRABAJO</w:t>
      </w:r>
      <w:r w:rsidRPr="005E0748">
        <w:rPr>
          <w:rFonts w:eastAsia="Palatino Linotype" w:cs="Palatino Linotype"/>
        </w:rPr>
        <w:t>.” consultable en el Seminario Judicial de la Federación y su gaceta, con el registro digital 2002351.</w:t>
      </w:r>
    </w:p>
    <w:p w:rsidRPr="005E0748" w:rsidR="006A22A5" w:rsidP="006A22A5" w:rsidRDefault="006A22A5" w14:paraId="17A0C393" w14:textId="77777777">
      <w:pPr>
        <w:spacing w:after="0" w:line="360" w:lineRule="auto"/>
        <w:rPr>
          <w:rFonts w:eastAsia="Palatino Linotype" w:cs="Palatino Linotype"/>
        </w:rPr>
      </w:pPr>
    </w:p>
    <w:p w:rsidRPr="005E0748" w:rsidR="006A22A5" w:rsidP="006A22A5" w:rsidRDefault="006A22A5" w14:paraId="0D7BA1C4" w14:textId="77777777">
      <w:pPr>
        <w:spacing w:after="0" w:line="360" w:lineRule="auto"/>
        <w:rPr>
          <w:rFonts w:eastAsia="Palatino Linotype" w:cs="Palatino Linotype"/>
        </w:rPr>
      </w:pPr>
      <w:r w:rsidRPr="005E0748">
        <w:rPr>
          <w:rFonts w:eastAsia="Palatino Linotype" w:cs="Palatino Linotype"/>
        </w:rPr>
        <w:t>“</w:t>
      </w:r>
      <w:r w:rsidRPr="005E0748">
        <w:rPr>
          <w:rFonts w:eastAsia="Palatino Linotype" w:cs="Palatino Linotype"/>
          <w:b/>
          <w:bCs/>
        </w:rPr>
        <w:t>PLAZO RAZONABLE PARA RESOLVER. CONCEPTO Y ELEMENTOS QUE LO INTEGRAN A LA LUZ DEL DERECHO INTERNACIONAL DE LOS DERECHOS HUMANOS</w:t>
      </w:r>
      <w:r w:rsidRPr="005E0748">
        <w:rPr>
          <w:rFonts w:eastAsia="Palatino Linotype" w:cs="Palatino Linotype"/>
        </w:rPr>
        <w:t>.”, visible en el Seminario Judicial de la Federación y su gaceta, con el registro digital 2002350.</w:t>
      </w:r>
    </w:p>
    <w:p w:rsidRPr="005E0748" w:rsidR="006A22A5" w:rsidP="006A22A5" w:rsidRDefault="006A22A5" w14:paraId="5AF99AFE" w14:textId="77777777">
      <w:pPr>
        <w:spacing w:after="0" w:line="360" w:lineRule="auto"/>
        <w:rPr>
          <w:rFonts w:eastAsia="Palatino Linotype" w:cs="Palatino Linotype"/>
        </w:rPr>
      </w:pPr>
    </w:p>
    <w:p w:rsidRPr="005E0748" w:rsidR="006A22A5" w:rsidP="006A22A5" w:rsidRDefault="006A22A5" w14:paraId="34BBE45B" w14:textId="0DEDE04F">
      <w:pPr>
        <w:widowControl w:val="0"/>
        <w:spacing w:after="0" w:line="360" w:lineRule="auto"/>
        <w:rPr>
          <w:rFonts w:eastAsia="Palatino Linotype" w:cs="Palatino Linotype"/>
        </w:rPr>
      </w:pPr>
      <w:r w:rsidRPr="005E0748">
        <w:rPr>
          <w:rFonts w:eastAsia="Palatino Linotype" w:cs="Palatino Linotype"/>
        </w:rPr>
        <w:t>Por ello, este organismo garante comprometido con la tutela de los derechos humanos confiados señala que este</w:t>
      </w:r>
    </w:p>
    <w:p w:rsidRPr="005E0748" w:rsidR="00927C83" w:rsidP="006A22A5" w:rsidRDefault="00927C83" w14:paraId="79C2FA0E" w14:textId="77777777">
      <w:pPr>
        <w:widowControl w:val="0"/>
        <w:spacing w:after="0" w:line="360" w:lineRule="auto"/>
        <w:rPr>
          <w:rFonts w:eastAsia="Times New Roman" w:cs="Tahoma"/>
          <w:b/>
          <w:color w:val="auto"/>
          <w:szCs w:val="24"/>
          <w:lang w:eastAsia="es-ES"/>
        </w:rPr>
      </w:pPr>
    </w:p>
    <w:p w:rsidRPr="005E0748" w:rsidR="00927C83" w:rsidP="00927C83" w:rsidRDefault="00927C83" w14:paraId="6BF4159C" w14:textId="3F6D513B">
      <w:pPr>
        <w:spacing w:after="0" w:line="360" w:lineRule="auto"/>
        <w:rPr>
          <w:b/>
          <w:bCs/>
        </w:rPr>
      </w:pPr>
      <w:r w:rsidRPr="005E0748">
        <w:rPr>
          <w:rFonts w:eastAsia="Times New Roman" w:cs="Tahoma"/>
          <w:b/>
          <w:iCs/>
          <w:color w:val="auto"/>
          <w:lang w:val="es-ES" w:eastAsia="es-ES"/>
        </w:rPr>
        <w:t xml:space="preserve">g) Vista parcial de informe justificado. </w:t>
      </w:r>
      <w:r w:rsidRPr="005E0748">
        <w:t>El treinta y uno de agosto de dos mil veintidós, se dictó acuerdo por medio del cual se puso a la vista del Recurrente</w:t>
      </w:r>
      <w:r w:rsidRPr="005E0748" w:rsidR="00C5774F">
        <w:t xml:space="preserve"> de manera parcial,</w:t>
      </w:r>
      <w:r w:rsidRPr="005E0748">
        <w:t xml:space="preserve"> el Informe Justificado entregado por el Sujeto Obligado, el cual fue notificado a las partes, a través del Sistema de Acceso a la Información Mexiquense (SAIMEX). </w:t>
      </w:r>
      <w:r w:rsidRPr="005E0748">
        <w:rPr>
          <w:b/>
          <w:bCs/>
        </w:rPr>
        <w:t>Cabe señalar que el Particular fue omiso en realizar manifestación alguna.</w:t>
      </w:r>
    </w:p>
    <w:p w:rsidRPr="005E0748" w:rsidR="006A22A5" w:rsidP="006A22A5" w:rsidRDefault="006A22A5" w14:paraId="273447FC" w14:textId="77777777">
      <w:pPr>
        <w:widowControl w:val="0"/>
        <w:spacing w:after="0" w:line="360" w:lineRule="auto"/>
        <w:rPr>
          <w:rFonts w:eastAsia="Times New Roman" w:cs="Tahoma"/>
          <w:b/>
          <w:color w:val="auto"/>
          <w:szCs w:val="24"/>
          <w:lang w:eastAsia="es-ES"/>
        </w:rPr>
      </w:pPr>
    </w:p>
    <w:p w:rsidRPr="005E0748" w:rsidR="006A22A5" w:rsidP="006A22A5" w:rsidRDefault="006A22A5" w14:paraId="5480A678" w14:textId="413A8849">
      <w:pPr>
        <w:widowControl w:val="0"/>
        <w:spacing w:after="0" w:line="360" w:lineRule="auto"/>
        <w:rPr>
          <w:rFonts w:eastAsia="Times New Roman" w:cs="Tahoma"/>
          <w:color w:val="auto"/>
          <w:szCs w:val="24"/>
          <w:lang w:eastAsia="es-ES"/>
        </w:rPr>
      </w:pPr>
      <w:r w:rsidRPr="005E0748">
        <w:rPr>
          <w:rFonts w:eastAsia="Times New Roman" w:cs="Tahoma"/>
          <w:b/>
          <w:color w:val="auto"/>
          <w:szCs w:val="24"/>
          <w:lang w:eastAsia="es-ES"/>
        </w:rPr>
        <w:t>e) Cierre de instrucción.</w:t>
      </w:r>
      <w:r w:rsidRPr="005E0748">
        <w:rPr>
          <w:rFonts w:eastAsia="Times New Roman" w:cs="Tahoma"/>
          <w:color w:val="auto"/>
          <w:szCs w:val="24"/>
          <w:lang w:eastAsia="es-ES"/>
        </w:rPr>
        <w:t xml:space="preserve"> El </w:t>
      </w:r>
      <w:r w:rsidRPr="005E0748" w:rsidR="00927C83">
        <w:rPr>
          <w:rFonts w:eastAsia="Times New Roman" w:cs="Tahoma"/>
          <w:color w:val="auto"/>
          <w:szCs w:val="24"/>
          <w:lang w:eastAsia="es-ES"/>
        </w:rPr>
        <w:t>d</w:t>
      </w:r>
      <w:r w:rsidRPr="005E0748" w:rsidR="003F6E9B">
        <w:rPr>
          <w:rFonts w:eastAsia="Times New Roman" w:cs="Tahoma"/>
          <w:color w:val="auto"/>
          <w:szCs w:val="24"/>
          <w:lang w:eastAsia="es-ES"/>
        </w:rPr>
        <w:t>iecinueve</w:t>
      </w:r>
      <w:r w:rsidRPr="005E0748">
        <w:rPr>
          <w:rFonts w:eastAsia="Times New Roman" w:cs="Tahoma"/>
          <w:color w:val="auto"/>
          <w:szCs w:val="24"/>
          <w:lang w:eastAsia="es-ES"/>
        </w:rPr>
        <w:t xml:space="preserve"> de </w:t>
      </w:r>
      <w:r w:rsidRPr="005E0748" w:rsidR="00927C83">
        <w:rPr>
          <w:rFonts w:eastAsia="Times New Roman" w:cs="Tahoma"/>
          <w:color w:val="auto"/>
          <w:szCs w:val="24"/>
          <w:lang w:eastAsia="es-ES"/>
        </w:rPr>
        <w:t xml:space="preserve">octubre </w:t>
      </w:r>
      <w:r w:rsidRPr="005E0748">
        <w:rPr>
          <w:rFonts w:eastAsia="Times New Roman" w:cs="Tahoma"/>
          <w:color w:val="auto"/>
          <w:szCs w:val="24"/>
          <w:lang w:eastAsia="es-ES"/>
        </w:rPr>
        <w:t xml:space="preserve">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Pr="005E0748">
        <w:rPr>
          <w:rFonts w:eastAsia="Times New Roman" w:cs="Tahoma"/>
          <w:color w:val="auto"/>
          <w:szCs w:val="24"/>
          <w:lang w:eastAsia="es-ES"/>
        </w:rPr>
        <w:lastRenderedPageBreak/>
        <w:t xml:space="preserve">Información Pública del Estado de México y Municipios, mismo que fue notificado a las partes, a través del </w:t>
      </w:r>
      <w:r w:rsidRPr="005E0748">
        <w:rPr>
          <w:rFonts w:eastAsia="Times New Roman" w:cs="Tahoma"/>
          <w:color w:val="auto"/>
          <w:szCs w:val="20"/>
          <w:lang w:val="es-ES" w:eastAsia="es-ES"/>
        </w:rPr>
        <w:t>Sistema de Acceso a la Información Mexiquense (SAIMEX)</w:t>
      </w:r>
      <w:r w:rsidRPr="005E0748">
        <w:rPr>
          <w:rFonts w:eastAsia="Times New Roman" w:cs="Tahoma"/>
          <w:color w:val="auto"/>
          <w:szCs w:val="24"/>
          <w:lang w:eastAsia="es-ES"/>
        </w:rPr>
        <w:t xml:space="preserve">. </w:t>
      </w:r>
    </w:p>
    <w:p w:rsidRPr="005E0748" w:rsidR="006A22A5" w:rsidP="006A22A5" w:rsidRDefault="006A22A5" w14:paraId="13E85869" w14:textId="77777777">
      <w:pPr>
        <w:spacing w:after="0" w:line="360" w:lineRule="auto"/>
        <w:rPr>
          <w:rFonts w:eastAsia="Times New Roman" w:cs="Tahoma"/>
          <w:b/>
          <w:iCs/>
          <w:color w:val="auto"/>
          <w:lang w:val="es-ES" w:eastAsia="es-ES"/>
        </w:rPr>
      </w:pPr>
    </w:p>
    <w:p w:rsidRPr="005E0748" w:rsidR="006A22A5" w:rsidP="006A22A5" w:rsidRDefault="006A22A5" w14:paraId="53946B71" w14:textId="77777777">
      <w:pPr>
        <w:spacing w:after="0" w:line="360" w:lineRule="auto"/>
        <w:rPr>
          <w:rFonts w:eastAsia="Times New Roman" w:cs="Tahoma"/>
          <w:color w:val="000000"/>
          <w:szCs w:val="24"/>
          <w:lang w:eastAsia="es-ES"/>
        </w:rPr>
      </w:pPr>
      <w:r w:rsidRPr="005E0748">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5E0748" w:rsidR="006A22A5" w:rsidP="006A22A5" w:rsidRDefault="006A22A5" w14:paraId="7FEAA9D6" w14:textId="77777777">
      <w:pPr>
        <w:spacing w:after="0" w:line="360" w:lineRule="auto"/>
        <w:rPr>
          <w:rFonts w:eastAsia="Times New Roman" w:cs="Tahoma"/>
          <w:bCs/>
          <w:iCs/>
          <w:color w:val="auto"/>
          <w:lang w:val="es-ES" w:eastAsia="es-ES"/>
        </w:rPr>
      </w:pPr>
    </w:p>
    <w:p w:rsidRPr="005E0748" w:rsidR="006A22A5" w:rsidP="006A22A5" w:rsidRDefault="006A22A5" w14:paraId="68826423" w14:textId="77777777">
      <w:pPr>
        <w:spacing w:after="0" w:line="360" w:lineRule="auto"/>
        <w:jc w:val="center"/>
        <w:rPr>
          <w:rFonts w:eastAsia="Times New Roman" w:cs="Tahoma"/>
          <w:b/>
          <w:color w:val="auto"/>
          <w:lang w:val="es-ES" w:eastAsia="es-ES"/>
        </w:rPr>
      </w:pPr>
      <w:r w:rsidRPr="005E0748">
        <w:rPr>
          <w:rFonts w:eastAsia="Times New Roman" w:cs="Tahoma"/>
          <w:b/>
          <w:color w:val="auto"/>
          <w:lang w:val="es-ES" w:eastAsia="es-ES"/>
        </w:rPr>
        <w:t>C O N S I D E R A N D O S:</w:t>
      </w:r>
    </w:p>
    <w:p w:rsidRPr="005E0748" w:rsidR="006A22A5" w:rsidP="006A22A5" w:rsidRDefault="006A22A5" w14:paraId="6D48740B" w14:textId="77777777">
      <w:pPr>
        <w:spacing w:after="0" w:line="360" w:lineRule="auto"/>
        <w:jc w:val="center"/>
        <w:rPr>
          <w:rFonts w:eastAsia="Times New Roman" w:cs="Tahoma"/>
          <w:b/>
          <w:color w:val="auto"/>
          <w:lang w:val="es-ES" w:eastAsia="es-ES"/>
        </w:rPr>
      </w:pPr>
    </w:p>
    <w:p w:rsidRPr="005E0748" w:rsidR="006A22A5" w:rsidP="006A22A5" w:rsidRDefault="006A22A5" w14:paraId="0F98C854" w14:textId="77777777">
      <w:pPr>
        <w:autoSpaceDE w:val="0"/>
        <w:autoSpaceDN w:val="0"/>
        <w:adjustRightInd w:val="0"/>
        <w:spacing w:after="0" w:line="360" w:lineRule="auto"/>
        <w:rPr>
          <w:rFonts w:eastAsia="Times New Roman" w:cs="Tahoma"/>
          <w:b/>
          <w:color w:val="auto"/>
          <w:szCs w:val="24"/>
          <w:lang w:val="es-ES" w:eastAsia="es-ES"/>
        </w:rPr>
      </w:pPr>
      <w:r w:rsidRPr="005E0748">
        <w:rPr>
          <w:rFonts w:eastAsia="Calibri" w:cs="Tahoma"/>
          <w:b/>
          <w:color w:val="000000"/>
          <w:szCs w:val="24"/>
          <w:lang w:val="es-ES" w:eastAsia="es-MX"/>
        </w:rPr>
        <w:t>PRIMERO</w:t>
      </w:r>
      <w:r w:rsidRPr="005E0748">
        <w:rPr>
          <w:rFonts w:eastAsia="Calibri" w:cs="Tahoma"/>
          <w:color w:val="000000"/>
          <w:szCs w:val="24"/>
          <w:lang w:val="es-ES" w:eastAsia="es-MX"/>
        </w:rPr>
        <w:t xml:space="preserve">. </w:t>
      </w:r>
      <w:r w:rsidRPr="005E0748">
        <w:rPr>
          <w:rFonts w:eastAsia="Times New Roman" w:cs="Tahoma"/>
          <w:b/>
          <w:color w:val="auto"/>
          <w:szCs w:val="24"/>
          <w:lang w:val="es-ES" w:eastAsia="es-ES"/>
        </w:rPr>
        <w:t>Competencia.</w:t>
      </w:r>
    </w:p>
    <w:p w:rsidRPr="005E0748" w:rsidR="006E4F74" w:rsidP="006A22A5" w:rsidRDefault="006E4F74" w14:paraId="6049556C" w14:textId="77777777">
      <w:pPr>
        <w:autoSpaceDE w:val="0"/>
        <w:autoSpaceDN w:val="0"/>
        <w:adjustRightInd w:val="0"/>
        <w:spacing w:after="0" w:line="360" w:lineRule="auto"/>
        <w:rPr>
          <w:rFonts w:eastAsia="Times New Roman" w:cs="Tahoma"/>
          <w:b/>
          <w:color w:val="auto"/>
          <w:szCs w:val="24"/>
          <w:lang w:val="es-ES" w:eastAsia="es-ES"/>
        </w:rPr>
      </w:pPr>
    </w:p>
    <w:p w:rsidRPr="005E0748" w:rsidR="006A22A5" w:rsidP="006A22A5" w:rsidRDefault="006A22A5" w14:paraId="78455E63" w14:textId="77777777">
      <w:pPr>
        <w:spacing w:after="0" w:line="360" w:lineRule="auto"/>
        <w:rPr>
          <w:rFonts w:eastAsia="Times New Roman" w:cs="Tahoma"/>
          <w:bCs/>
          <w:color w:val="auto"/>
          <w:lang w:eastAsia="es-ES"/>
        </w:rPr>
      </w:pPr>
      <w:bookmarkStart w:name="_Hlk63334754" w:id="0"/>
      <w:r w:rsidRPr="005E074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E0748">
        <w:rPr>
          <w:rFonts w:eastAsia="Times New Roman" w:cs="Times New Roman"/>
          <w:bCs/>
          <w:color w:val="auto"/>
          <w:lang w:eastAsia="es-ES"/>
        </w:rPr>
        <w:t xml:space="preserve"> 7°, </w:t>
      </w:r>
      <w:r w:rsidRPr="005E074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5E0748" w:rsidR="00927C83" w:rsidP="006A22A5" w:rsidRDefault="00927C83" w14:paraId="7A81B595" w14:textId="77777777">
      <w:pPr>
        <w:autoSpaceDE w:val="0"/>
        <w:autoSpaceDN w:val="0"/>
        <w:adjustRightInd w:val="0"/>
        <w:spacing w:after="0" w:line="360" w:lineRule="auto"/>
        <w:rPr>
          <w:rFonts w:eastAsia="Calibri" w:cs="Tahoma"/>
          <w:b/>
          <w:color w:val="000000"/>
          <w:szCs w:val="24"/>
          <w:lang w:val="es-ES" w:eastAsia="es-MX"/>
        </w:rPr>
      </w:pPr>
    </w:p>
    <w:p w:rsidRPr="005E0748" w:rsidR="006A22A5" w:rsidP="006E4F74" w:rsidRDefault="006A22A5" w14:paraId="3E8E1CC3" w14:textId="2B7B78BB">
      <w:pPr>
        <w:autoSpaceDE w:val="0"/>
        <w:autoSpaceDN w:val="0"/>
        <w:adjustRightInd w:val="0"/>
        <w:spacing w:after="0" w:line="360" w:lineRule="auto"/>
        <w:rPr>
          <w:b/>
          <w:lang w:val="es-ES"/>
        </w:rPr>
      </w:pPr>
      <w:r w:rsidRPr="005E0748">
        <w:rPr>
          <w:rFonts w:eastAsia="Calibri" w:cs="Tahoma"/>
          <w:b/>
          <w:color w:val="000000"/>
          <w:szCs w:val="24"/>
          <w:lang w:val="es-ES" w:eastAsia="es-MX"/>
        </w:rPr>
        <w:t>SEGUNDO</w:t>
      </w:r>
      <w:r w:rsidRPr="005E0748">
        <w:rPr>
          <w:rFonts w:eastAsia="Calibri" w:cs="Tahoma"/>
          <w:color w:val="000000"/>
          <w:szCs w:val="24"/>
          <w:lang w:val="es-ES" w:eastAsia="es-MX"/>
        </w:rPr>
        <w:t xml:space="preserve">. </w:t>
      </w:r>
      <w:r w:rsidRPr="005E0748">
        <w:rPr>
          <w:b/>
          <w:lang w:val="es-ES"/>
        </w:rPr>
        <w:t>Causales de improcedencia</w:t>
      </w:r>
    </w:p>
    <w:p w:rsidRPr="005E0748" w:rsidR="006A22A5" w:rsidP="006A22A5" w:rsidRDefault="006A22A5" w14:paraId="6CF23C94" w14:textId="77777777">
      <w:pPr>
        <w:spacing w:after="0" w:line="360" w:lineRule="auto"/>
      </w:pPr>
    </w:p>
    <w:p w:rsidRPr="005E0748" w:rsidR="006A22A5" w:rsidP="006A22A5" w:rsidRDefault="006A22A5" w14:paraId="240AEE82" w14:textId="77777777">
      <w:pPr>
        <w:spacing w:after="0" w:line="360" w:lineRule="auto"/>
        <w:rPr>
          <w:rFonts w:eastAsia="Times New Roman" w:cs="Tahoma"/>
          <w:color w:val="auto"/>
          <w:lang w:eastAsia="es-ES"/>
        </w:rPr>
      </w:pPr>
      <w:r w:rsidRPr="005E0748">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E0748" w:rsidR="006A22A5" w:rsidP="006A22A5" w:rsidRDefault="006A22A5" w14:paraId="526CA4B4" w14:textId="77777777">
      <w:pPr>
        <w:spacing w:after="0" w:line="360" w:lineRule="auto"/>
        <w:rPr>
          <w:rFonts w:eastAsia="Times New Roman" w:cs="Tahoma"/>
          <w:color w:val="auto"/>
          <w:lang w:eastAsia="es-ES"/>
        </w:rPr>
      </w:pPr>
    </w:p>
    <w:p w:rsidRPr="005E0748" w:rsidR="006A22A5" w:rsidP="006A22A5" w:rsidRDefault="006A22A5" w14:paraId="2CF75F10" w14:textId="77777777">
      <w:pPr>
        <w:spacing w:after="0" w:line="360" w:lineRule="auto"/>
        <w:rPr>
          <w:rFonts w:eastAsia="Times New Roman" w:cs="Tahoma"/>
          <w:color w:val="auto"/>
          <w:lang w:eastAsia="es-ES"/>
        </w:rPr>
      </w:pPr>
      <w:r w:rsidRPr="005E0748">
        <w:rPr>
          <w:rFonts w:eastAsia="Times New Roman" w:cs="Tahoma"/>
          <w:color w:val="auto"/>
          <w:lang w:eastAsia="es-ES"/>
        </w:rPr>
        <w:t>En el presente caso, </w:t>
      </w:r>
      <w:r w:rsidRPr="005E0748">
        <w:rPr>
          <w:rFonts w:eastAsia="Times New Roman" w:cs="Tahoma"/>
          <w:b/>
          <w:bCs/>
          <w:color w:val="auto"/>
          <w:lang w:eastAsia="es-ES"/>
        </w:rPr>
        <w:t>no se actualiza ninguna de las causales de improcedencia</w:t>
      </w:r>
      <w:r w:rsidRPr="005E0748">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5E0748" w:rsidR="006A22A5" w:rsidP="006A22A5" w:rsidRDefault="006A22A5" w14:paraId="71CB31A6" w14:textId="77777777">
      <w:pPr>
        <w:spacing w:after="0" w:line="360" w:lineRule="auto"/>
        <w:rPr>
          <w:rFonts w:eastAsia="Times New Roman" w:cs="Tahoma"/>
          <w:color w:val="auto"/>
          <w:lang w:val="es-ES" w:eastAsia="es-ES"/>
        </w:rPr>
      </w:pPr>
    </w:p>
    <w:p w:rsidRPr="005E0748" w:rsidR="006A22A5" w:rsidP="006A22A5" w:rsidRDefault="006A22A5" w14:paraId="1B3C9FA6" w14:textId="0F989392">
      <w:pPr>
        <w:spacing w:after="0" w:line="360" w:lineRule="auto"/>
        <w:rPr>
          <w:rFonts w:eastAsia="Times New Roman" w:cs="Tahoma"/>
          <w:bCs/>
          <w:color w:val="auto"/>
          <w:lang w:val="es-ES" w:eastAsia="es-ES"/>
        </w:rPr>
      </w:pPr>
      <w:r w:rsidRPr="005E0748">
        <w:rPr>
          <w:rFonts w:eastAsia="Times New Roman" w:cs="Tahoma"/>
          <w:color w:val="auto"/>
          <w:lang w:val="es-ES" w:eastAsia="es-ES"/>
        </w:rPr>
        <w:t>Conforme a lo anterior, se actualiza la causal de procedencia seña</w:t>
      </w:r>
      <w:r w:rsidRPr="005E0748" w:rsidR="004D6D7D">
        <w:rPr>
          <w:rFonts w:eastAsia="Times New Roman" w:cs="Tahoma"/>
          <w:color w:val="auto"/>
          <w:lang w:val="es-ES" w:eastAsia="es-ES"/>
        </w:rPr>
        <w:t>lada en el artículo 179, fraccio</w:t>
      </w:r>
      <w:r w:rsidRPr="005E0748">
        <w:rPr>
          <w:rFonts w:eastAsia="Times New Roman" w:cs="Tahoma"/>
          <w:color w:val="auto"/>
          <w:lang w:val="es-ES" w:eastAsia="es-ES"/>
        </w:rPr>
        <w:t>n</w:t>
      </w:r>
      <w:r w:rsidRPr="005E0748" w:rsidR="004D6D7D">
        <w:rPr>
          <w:rFonts w:eastAsia="Times New Roman" w:cs="Tahoma"/>
          <w:color w:val="auto"/>
          <w:lang w:val="es-ES" w:eastAsia="es-ES"/>
        </w:rPr>
        <w:t>es</w:t>
      </w:r>
      <w:r w:rsidRPr="005E0748">
        <w:rPr>
          <w:rFonts w:eastAsia="Times New Roman" w:cs="Tahoma"/>
          <w:color w:val="auto"/>
          <w:lang w:val="es-ES" w:eastAsia="es-ES"/>
        </w:rPr>
        <w:t xml:space="preserve"> V</w:t>
      </w:r>
      <w:r w:rsidRPr="005E0748" w:rsidR="004D6D7D">
        <w:rPr>
          <w:rFonts w:eastAsia="Times New Roman" w:cs="Tahoma"/>
          <w:color w:val="auto"/>
          <w:lang w:val="es-ES" w:eastAsia="es-ES"/>
        </w:rPr>
        <w:t xml:space="preserve"> y VI,</w:t>
      </w:r>
      <w:r w:rsidRPr="005E0748">
        <w:rPr>
          <w:rFonts w:eastAsia="Times New Roman" w:cs="Tahoma"/>
          <w:color w:val="auto"/>
          <w:lang w:val="es-ES" w:eastAsia="es-ES"/>
        </w:rPr>
        <w:t xml:space="preserve"> de la Ley de la materia</w:t>
      </w:r>
      <w:r w:rsidRPr="005E0748">
        <w:rPr>
          <w:rFonts w:eastAsia="Times New Roman" w:cs="Tahoma"/>
          <w:bCs/>
          <w:color w:val="auto"/>
          <w:lang w:val="es-ES" w:eastAsia="es-ES"/>
        </w:rPr>
        <w:t xml:space="preserve">, toda vez que el Solicitante se inconformó con la </w:t>
      </w:r>
      <w:r w:rsidRPr="005E0748" w:rsidR="000A674C">
        <w:rPr>
          <w:rFonts w:eastAsia="Times New Roman" w:cs="Tahoma"/>
          <w:bCs/>
          <w:color w:val="auto"/>
          <w:lang w:val="es-ES" w:eastAsia="es-ES"/>
        </w:rPr>
        <w:t xml:space="preserve">entrega de información </w:t>
      </w:r>
      <w:r w:rsidRPr="005E0748" w:rsidR="004D6D7D">
        <w:rPr>
          <w:rFonts w:eastAsia="Times New Roman" w:cs="Tahoma"/>
          <w:bCs/>
          <w:color w:val="auto"/>
          <w:lang w:val="es-ES" w:eastAsia="es-ES"/>
        </w:rPr>
        <w:t xml:space="preserve">incompleta y </w:t>
      </w:r>
      <w:r w:rsidRPr="005E0748" w:rsidR="00D74496">
        <w:rPr>
          <w:rFonts w:eastAsia="Times New Roman" w:cs="Tahoma"/>
          <w:bCs/>
          <w:color w:val="auto"/>
          <w:lang w:val="es-ES" w:eastAsia="es-ES"/>
        </w:rPr>
        <w:t>que no corresponde con lo solicitado</w:t>
      </w:r>
      <w:r w:rsidRPr="005E0748">
        <w:rPr>
          <w:rFonts w:eastAsia="Times New Roman" w:cs="Tahoma"/>
          <w:bCs/>
          <w:color w:val="auto"/>
          <w:lang w:val="es-ES" w:eastAsia="es-ES"/>
        </w:rPr>
        <w:t>.</w:t>
      </w:r>
    </w:p>
    <w:p w:rsidRPr="005E0748" w:rsidR="006A22A5" w:rsidP="006A22A5" w:rsidRDefault="006A22A5" w14:paraId="7FC574E6" w14:textId="77777777">
      <w:pPr>
        <w:spacing w:after="0" w:line="360" w:lineRule="auto"/>
        <w:rPr>
          <w:rFonts w:eastAsia="Times New Roman" w:cs="Tahoma"/>
          <w:bCs/>
          <w:color w:val="auto"/>
          <w:lang w:val="es-ES" w:eastAsia="es-ES"/>
        </w:rPr>
      </w:pPr>
    </w:p>
    <w:p w:rsidRPr="005E0748" w:rsidR="006A22A5" w:rsidP="006A22A5" w:rsidRDefault="006E4F74" w14:paraId="55229457" w14:textId="5BF1CC42">
      <w:pPr>
        <w:spacing w:after="0" w:line="360" w:lineRule="auto"/>
        <w:rPr>
          <w:rFonts w:eastAsia="Times New Roman" w:cs="Tahoma"/>
          <w:bCs/>
          <w:color w:val="0D0D0D" w:themeColor="text1" w:themeTint="F2"/>
          <w:lang w:eastAsia="es-ES"/>
        </w:rPr>
      </w:pPr>
      <w:r w:rsidRPr="005E0748">
        <w:rPr>
          <w:rFonts w:eastAsia="Times New Roman" w:cs="Tahoma"/>
          <w:b/>
          <w:bCs/>
          <w:color w:val="0D0D0D" w:themeColor="text1" w:themeTint="F2"/>
          <w:lang w:eastAsia="es-ES"/>
        </w:rPr>
        <w:t xml:space="preserve">TERCERO. </w:t>
      </w:r>
      <w:r w:rsidRPr="005E0748" w:rsidR="006A22A5">
        <w:rPr>
          <w:rFonts w:eastAsia="Times New Roman" w:cs="Tahoma"/>
          <w:b/>
          <w:bCs/>
          <w:color w:val="0D0D0D" w:themeColor="text1" w:themeTint="F2"/>
          <w:lang w:eastAsia="es-ES"/>
        </w:rPr>
        <w:t>Causales de sobreseimiento.</w:t>
      </w:r>
    </w:p>
    <w:p w:rsidRPr="005E0748" w:rsidR="00C14BEC" w:rsidP="00C14BEC" w:rsidRDefault="00C14BEC" w14:paraId="2E3E63A1" w14:textId="77777777">
      <w:pPr>
        <w:spacing w:after="0" w:line="360" w:lineRule="auto"/>
        <w:rPr>
          <w:rFonts w:eastAsia="Times New Roman" w:cs="Tahoma"/>
          <w:bCs/>
          <w:color w:val="auto"/>
          <w:lang w:eastAsia="es-ES"/>
        </w:rPr>
      </w:pPr>
    </w:p>
    <w:p w:rsidRPr="005E0748" w:rsidR="00C14BEC" w:rsidP="00C14BEC" w:rsidRDefault="00C14BEC" w14:paraId="063F9EAD" w14:textId="77777777">
      <w:pPr>
        <w:spacing w:after="0" w:line="360" w:lineRule="auto"/>
        <w:rPr>
          <w:rFonts w:eastAsia="Times New Roman" w:cs="Tahoma"/>
          <w:bCs/>
          <w:color w:val="auto"/>
          <w:lang w:eastAsia="es-ES"/>
        </w:rPr>
      </w:pPr>
      <w:r w:rsidRPr="005E0748">
        <w:rPr>
          <w:rFonts w:eastAsia="Times New Roman" w:cs="Tahoma"/>
          <w:bCs/>
          <w:color w:val="auto"/>
          <w:lang w:eastAsia="es-ES"/>
        </w:rPr>
        <w:t xml:space="preserve">Por ser de previo y especial pronunciamiento, este Instituto analiza si se actualiza alguna causal de sobreseimiento. </w:t>
      </w:r>
    </w:p>
    <w:p w:rsidRPr="005E0748" w:rsidR="00C14BEC" w:rsidP="00C14BEC" w:rsidRDefault="00C14BEC" w14:paraId="51B6F936" w14:textId="77777777">
      <w:pPr>
        <w:spacing w:after="0" w:line="360" w:lineRule="auto"/>
        <w:rPr>
          <w:rFonts w:eastAsia="Times New Roman" w:cs="Tahoma"/>
          <w:bCs/>
          <w:color w:val="auto"/>
          <w:lang w:eastAsia="es-ES"/>
        </w:rPr>
      </w:pPr>
    </w:p>
    <w:p w:rsidRPr="005E0748" w:rsidR="00C14BEC" w:rsidP="00C14BEC" w:rsidRDefault="00C14BEC" w14:paraId="73836674" w14:textId="77777777">
      <w:pPr>
        <w:spacing w:after="0" w:line="360" w:lineRule="auto"/>
        <w:rPr>
          <w:rFonts w:eastAsia="Times New Roman" w:cs="Tahoma"/>
          <w:bCs/>
          <w:color w:val="auto"/>
          <w:lang w:eastAsia="es-ES"/>
        </w:rPr>
      </w:pPr>
      <w:r w:rsidRPr="005E0748">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w:t>
      </w:r>
      <w:r w:rsidRPr="005E0748">
        <w:rPr>
          <w:rFonts w:eastAsia="Times New Roman" w:cs="Tahoma"/>
          <w:bCs/>
          <w:color w:val="auto"/>
          <w:lang w:eastAsia="es-ES"/>
        </w:rPr>
        <w:lastRenderedPageBreak/>
        <w:t xml:space="preserve">o en parte, el Recurso de Revisión; así, del análisis realizado por este Instituto, se advierte </w:t>
      </w:r>
      <w:r w:rsidRPr="005E0748">
        <w:rPr>
          <w:rFonts w:eastAsia="Times New Roman" w:cs="Tahoma"/>
          <w:b/>
          <w:bCs/>
          <w:color w:val="auto"/>
          <w:lang w:eastAsia="es-ES"/>
        </w:rPr>
        <w:t>que no se actualizan los supuestos de sobreseimiento previstos en las fracciones I, II, IV y V</w:t>
      </w:r>
      <w:r w:rsidRPr="005E0748">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5E0748" w:rsidR="00C14BEC" w:rsidP="00C14BEC" w:rsidRDefault="00C14BEC" w14:paraId="12FE682E" w14:textId="77777777">
      <w:pPr>
        <w:spacing w:after="0" w:line="360" w:lineRule="auto"/>
        <w:rPr>
          <w:rFonts w:eastAsia="Times New Roman" w:cs="Tahoma"/>
          <w:bCs/>
          <w:color w:val="auto"/>
          <w:lang w:eastAsia="es-ES"/>
        </w:rPr>
      </w:pPr>
    </w:p>
    <w:p w:rsidRPr="005E0748" w:rsidR="00C14BEC" w:rsidP="00C14BEC" w:rsidRDefault="00C14BEC" w14:paraId="44EF5FE3" w14:textId="68A235D0">
      <w:pPr>
        <w:spacing w:after="0" w:line="360" w:lineRule="auto"/>
        <w:rPr>
          <w:rFonts w:cs="Tahoma"/>
          <w:szCs w:val="24"/>
          <w:lang w:val="es-ES"/>
        </w:rPr>
      </w:pPr>
      <w:r w:rsidRPr="005E0748">
        <w:rPr>
          <w:rFonts w:cs="Tahoma"/>
          <w:szCs w:val="24"/>
          <w:lang w:val="es-ES"/>
        </w:rPr>
        <w:t xml:space="preserve">No obstante, toda vez que durante la sustanciación del Recurso de Revisión </w:t>
      </w:r>
      <w:r w:rsidRPr="005E0748">
        <w:rPr>
          <w:rFonts w:cs="Tahoma"/>
          <w:szCs w:val="24"/>
        </w:rPr>
        <w:t>10481/INFOEM/IP/RR/2022</w:t>
      </w:r>
      <w:r w:rsidRPr="005E0748">
        <w:rPr>
          <w:rFonts w:cs="Tahoma"/>
          <w:szCs w:val="24"/>
          <w:lang w:val="es-ES"/>
        </w:rPr>
        <w:t>, el Ayuntamiento de Tonanitla</w:t>
      </w:r>
      <w:r w:rsidRPr="005E0748">
        <w:rPr>
          <w:rFonts w:eastAsia="Calibri" w:cs="Tahoma"/>
        </w:rPr>
        <w:t xml:space="preserve">, </w:t>
      </w:r>
      <w:r w:rsidRPr="005E0748">
        <w:rPr>
          <w:rFonts w:cs="Tahoma"/>
          <w:szCs w:val="24"/>
          <w:lang w:val="es-ES"/>
        </w:rPr>
        <w:t>modificó su respuesta, a través de su Informe Justificado, se estima procedente entrar al estudio de la causal de sobreseimiento prevista en la fracción III, del artículo 192 de la Ley de la Materia.</w:t>
      </w:r>
    </w:p>
    <w:p w:rsidRPr="005E0748" w:rsidR="006A22A5" w:rsidP="006A22A5" w:rsidRDefault="006A22A5" w14:paraId="3918BFDF" w14:textId="77777777">
      <w:pPr>
        <w:spacing w:after="0" w:line="360" w:lineRule="auto"/>
        <w:rPr>
          <w:rFonts w:eastAsia="Times New Roman" w:cs="Tahoma"/>
          <w:color w:val="auto"/>
          <w:szCs w:val="24"/>
          <w:lang w:eastAsia="es-ES"/>
        </w:rPr>
      </w:pPr>
    </w:p>
    <w:p w:rsidRPr="005E0748" w:rsidR="004D6D7D" w:rsidP="004D6D7D" w:rsidRDefault="004D6D7D" w14:paraId="526C3212" w14:textId="4F1733FF">
      <w:pPr>
        <w:spacing w:after="0" w:line="360" w:lineRule="auto"/>
        <w:rPr>
          <w:rFonts w:eastAsia="Times New Roman" w:cs="Tahoma"/>
          <w:color w:val="auto"/>
          <w:szCs w:val="24"/>
          <w:lang w:val="es-ES" w:eastAsia="es-ES"/>
        </w:rPr>
      </w:pPr>
      <w:r w:rsidRPr="005E0748">
        <w:rPr>
          <w:rFonts w:eastAsia="Times New Roman" w:cs="Tahoma"/>
          <w:color w:val="auto"/>
          <w:szCs w:val="24"/>
          <w:lang w:val="es-ES" w:eastAsia="es-ES"/>
        </w:rPr>
        <w:t>Al respecto, a efecto de verificar si se actualiza la causal de sobreseimiento, en principio resulta necesario realizar un cuadro con la solicitud de información, la respuesta entregada,  el Recurso de Revisión y el Informe Justificado, conforme a lo siguiente:</w:t>
      </w:r>
    </w:p>
    <w:p w:rsidRPr="005E0748" w:rsidR="00C14BEC" w:rsidP="00F346F9" w:rsidRDefault="00C14BEC" w14:paraId="20FB2B6C" w14:textId="77777777">
      <w:pPr>
        <w:tabs>
          <w:tab w:val="left" w:pos="4962"/>
        </w:tabs>
        <w:spacing w:after="0" w:line="360" w:lineRule="auto"/>
        <w:rPr>
          <w:rFonts w:eastAsia="Calibri" w:cs="Tahoma"/>
          <w:iCs/>
          <w:lang w:val="es-ES" w:eastAsia="es-ES_tradnl"/>
        </w:rPr>
      </w:pPr>
    </w:p>
    <w:tbl>
      <w:tblPr>
        <w:tblStyle w:val="Tablaconcuadrcula"/>
        <w:tblW w:w="0" w:type="auto"/>
        <w:tblLook w:val="04A0" w:firstRow="1" w:lastRow="0" w:firstColumn="1" w:lastColumn="0" w:noHBand="0" w:noVBand="1"/>
      </w:tblPr>
      <w:tblGrid>
        <w:gridCol w:w="2225"/>
        <w:gridCol w:w="2230"/>
        <w:gridCol w:w="2236"/>
        <w:gridCol w:w="2230"/>
      </w:tblGrid>
      <w:tr w:rsidRPr="005E0748" w:rsidR="006C440B" w:rsidTr="00CD071D" w14:paraId="58746A9E" w14:textId="77777777">
        <w:tc>
          <w:tcPr>
            <w:tcW w:w="2277" w:type="dxa"/>
            <w:shd w:val="clear" w:color="auto" w:fill="BFBFBF" w:themeFill="background1" w:themeFillShade="BF"/>
          </w:tcPr>
          <w:p w:rsidRPr="005E0748" w:rsidR="00F346F9" w:rsidP="00CD071D" w:rsidRDefault="004D6D7D" w14:paraId="5E75B8BE" w14:textId="5D3197E5">
            <w:pPr>
              <w:tabs>
                <w:tab w:val="left" w:pos="4962"/>
              </w:tabs>
              <w:spacing w:line="360" w:lineRule="auto"/>
              <w:jc w:val="center"/>
              <w:rPr>
                <w:rFonts w:eastAsia="Calibri" w:cs="Tahoma"/>
                <w:b/>
                <w:iCs/>
                <w:sz w:val="18"/>
                <w:lang w:eastAsia="es-ES_tradnl"/>
              </w:rPr>
            </w:pPr>
            <w:r w:rsidRPr="005E0748">
              <w:rPr>
                <w:rFonts w:eastAsia="Calibri" w:cs="Tahoma"/>
                <w:b/>
                <w:iCs/>
                <w:sz w:val="18"/>
                <w:lang w:eastAsia="es-ES_tradnl"/>
              </w:rPr>
              <w:t>Solicitud, referente al nombre, cargo, sueldo bruto y neto y grado máximo de estudios, de los servidores públicos adscritos:</w:t>
            </w:r>
          </w:p>
        </w:tc>
        <w:tc>
          <w:tcPr>
            <w:tcW w:w="2278" w:type="dxa"/>
            <w:shd w:val="clear" w:color="auto" w:fill="BFBFBF" w:themeFill="background1" w:themeFillShade="BF"/>
          </w:tcPr>
          <w:p w:rsidRPr="005E0748" w:rsidR="00F346F9" w:rsidP="00CD071D" w:rsidRDefault="00F346F9" w14:paraId="653D3101" w14:textId="77777777">
            <w:pPr>
              <w:tabs>
                <w:tab w:val="left" w:pos="4962"/>
              </w:tabs>
              <w:spacing w:line="360" w:lineRule="auto"/>
              <w:jc w:val="center"/>
              <w:rPr>
                <w:rFonts w:eastAsia="Calibri" w:cs="Tahoma"/>
                <w:b/>
                <w:iCs/>
                <w:sz w:val="18"/>
                <w:lang w:eastAsia="es-ES_tradnl"/>
              </w:rPr>
            </w:pPr>
            <w:r w:rsidRPr="005E0748">
              <w:rPr>
                <w:rFonts w:eastAsia="Calibri" w:cs="Tahoma"/>
                <w:b/>
                <w:iCs/>
                <w:sz w:val="18"/>
                <w:lang w:eastAsia="es-ES_tradnl"/>
              </w:rPr>
              <w:t>Respuesta</w:t>
            </w:r>
          </w:p>
        </w:tc>
        <w:tc>
          <w:tcPr>
            <w:tcW w:w="2278" w:type="dxa"/>
            <w:shd w:val="clear" w:color="auto" w:fill="BFBFBF" w:themeFill="background1" w:themeFillShade="BF"/>
          </w:tcPr>
          <w:p w:rsidRPr="005E0748" w:rsidR="00F346F9" w:rsidP="00CD071D" w:rsidRDefault="00F346F9" w14:paraId="778DE759" w14:textId="77777777">
            <w:pPr>
              <w:tabs>
                <w:tab w:val="left" w:pos="4962"/>
              </w:tabs>
              <w:spacing w:line="360" w:lineRule="auto"/>
              <w:jc w:val="center"/>
              <w:rPr>
                <w:rFonts w:eastAsia="Calibri" w:cs="Tahoma"/>
                <w:b/>
                <w:iCs/>
                <w:sz w:val="18"/>
                <w:lang w:eastAsia="es-ES_tradnl"/>
              </w:rPr>
            </w:pPr>
            <w:r w:rsidRPr="005E0748">
              <w:rPr>
                <w:rFonts w:eastAsia="Calibri" w:cs="Tahoma"/>
                <w:b/>
                <w:iCs/>
                <w:sz w:val="18"/>
                <w:lang w:eastAsia="es-ES_tradnl"/>
              </w:rPr>
              <w:t>Agravios y Manifestaciones</w:t>
            </w:r>
          </w:p>
        </w:tc>
        <w:tc>
          <w:tcPr>
            <w:tcW w:w="2278" w:type="dxa"/>
            <w:shd w:val="clear" w:color="auto" w:fill="BFBFBF" w:themeFill="background1" w:themeFillShade="BF"/>
          </w:tcPr>
          <w:p w:rsidRPr="005E0748" w:rsidR="00F346F9" w:rsidP="00CD071D" w:rsidRDefault="00F346F9" w14:paraId="19F1486E" w14:textId="77777777">
            <w:pPr>
              <w:tabs>
                <w:tab w:val="left" w:pos="4962"/>
              </w:tabs>
              <w:spacing w:line="360" w:lineRule="auto"/>
              <w:jc w:val="center"/>
              <w:rPr>
                <w:rFonts w:eastAsia="Calibri" w:cs="Tahoma"/>
                <w:b/>
                <w:iCs/>
                <w:sz w:val="18"/>
                <w:lang w:eastAsia="es-ES_tradnl"/>
              </w:rPr>
            </w:pPr>
            <w:r w:rsidRPr="005E0748">
              <w:rPr>
                <w:rFonts w:eastAsia="Calibri" w:cs="Tahoma"/>
                <w:b/>
                <w:iCs/>
                <w:sz w:val="18"/>
                <w:lang w:eastAsia="es-ES_tradnl"/>
              </w:rPr>
              <w:t>Informe Justificado</w:t>
            </w:r>
          </w:p>
        </w:tc>
      </w:tr>
      <w:tr w:rsidRPr="005E0748" w:rsidR="0080184D" w:rsidTr="00CD071D" w14:paraId="182AB9E0" w14:textId="77777777">
        <w:tc>
          <w:tcPr>
            <w:tcW w:w="2277" w:type="dxa"/>
          </w:tcPr>
          <w:p w:rsidRPr="005E0748" w:rsidR="00F346F9" w:rsidP="004D6D7D" w:rsidRDefault="004D6D7D" w14:paraId="60B4C7D2" w14:textId="53BD66C4">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1. Ayuntamiento y mandos medios y superiores de Protección Civil y Seguridad Pública (omitiendo elementos policiacos y de protección civil).</w:t>
            </w:r>
          </w:p>
        </w:tc>
        <w:tc>
          <w:tcPr>
            <w:tcW w:w="2278" w:type="dxa"/>
          </w:tcPr>
          <w:p w:rsidRPr="005E0748" w:rsidR="004D6D7D" w:rsidP="0080184D" w:rsidRDefault="004D6D7D" w14:paraId="410290F8" w14:textId="77777777">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La Tesorería Municipal proporcionó un listado con ciento cincuenta servidores públicos, con nombre, cargo, sueldo bruto y neto.</w:t>
            </w:r>
          </w:p>
          <w:p w:rsidRPr="005E0748" w:rsidR="004D6D7D" w:rsidP="0080184D" w:rsidRDefault="004D6D7D" w14:paraId="49853976" w14:textId="77777777">
            <w:pPr>
              <w:tabs>
                <w:tab w:val="left" w:pos="4962"/>
              </w:tabs>
              <w:spacing w:line="360" w:lineRule="auto"/>
              <w:rPr>
                <w:rFonts w:eastAsia="Calibri" w:cs="Tahoma"/>
                <w:iCs/>
                <w:sz w:val="18"/>
                <w:szCs w:val="18"/>
                <w:lang w:eastAsia="es-ES_tradnl"/>
              </w:rPr>
            </w:pPr>
          </w:p>
          <w:p w:rsidRPr="005E0748" w:rsidR="0080184D" w:rsidP="004D6D7D" w:rsidRDefault="004D6D7D" w14:paraId="1262A4B3" w14:textId="6C239694">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 xml:space="preserve">La Dirección de Fomento y Desarrollo Económico, </w:t>
            </w:r>
            <w:r w:rsidRPr="005E0748">
              <w:rPr>
                <w:rFonts w:eastAsia="Calibri" w:cs="Tahoma"/>
                <w:iCs/>
                <w:sz w:val="18"/>
                <w:szCs w:val="18"/>
                <w:lang w:eastAsia="es-ES_tradnl"/>
              </w:rPr>
              <w:lastRenderedPageBreak/>
              <w:t xml:space="preserve">Administración y Reglamentos, proporcionó un listado de ciento sesenta y cuatro servidores públicos, con nombre, área de adscripción, puesto y escolaridad. </w:t>
            </w:r>
          </w:p>
        </w:tc>
        <w:tc>
          <w:tcPr>
            <w:tcW w:w="2278" w:type="dxa"/>
          </w:tcPr>
          <w:p w:rsidRPr="005E0748" w:rsidR="00F346F9" w:rsidP="00CD071D" w:rsidRDefault="001B2A7E" w14:paraId="6D551F99" w14:textId="2473B738">
            <w:pPr>
              <w:tabs>
                <w:tab w:val="left" w:pos="4962"/>
              </w:tabs>
              <w:spacing w:line="360" w:lineRule="auto"/>
              <w:jc w:val="center"/>
              <w:rPr>
                <w:rFonts w:eastAsia="Calibri" w:cs="Tahoma"/>
                <w:iCs/>
                <w:sz w:val="18"/>
                <w:szCs w:val="18"/>
                <w:lang w:eastAsia="es-ES_tradnl"/>
              </w:rPr>
            </w:pPr>
            <w:r w:rsidRPr="005E0748">
              <w:rPr>
                <w:rFonts w:eastAsia="Calibri" w:cs="Tahoma"/>
                <w:iCs/>
                <w:sz w:val="18"/>
                <w:szCs w:val="18"/>
                <w:lang w:eastAsia="es-ES_tradnl"/>
              </w:rPr>
              <w:lastRenderedPageBreak/>
              <w:t xml:space="preserve">Se inconformó de la entrega de información incompleta y que no corresponde con lo solicitado, al señalar que los listados proporcionados por la Tesorería Municipal y la Dirección de Fomento y </w:t>
            </w:r>
            <w:r w:rsidRPr="005E0748">
              <w:rPr>
                <w:rFonts w:eastAsia="Calibri" w:cs="Tahoma"/>
                <w:iCs/>
                <w:sz w:val="18"/>
                <w:szCs w:val="18"/>
                <w:lang w:eastAsia="es-ES_tradnl"/>
              </w:rPr>
              <w:lastRenderedPageBreak/>
              <w:t>Desarrollo Económico, Administración y Reglamentos, no contenía la misma cantidad de servidores públicos, lo cual actualiza la causal de procedencia establecida en el artículo 179, fracciones V y VI, de la Ley de la materia.</w:t>
            </w:r>
          </w:p>
        </w:tc>
        <w:tc>
          <w:tcPr>
            <w:tcW w:w="2278" w:type="dxa"/>
          </w:tcPr>
          <w:p w:rsidRPr="005E0748" w:rsidR="001B2A7E" w:rsidP="001B2A7E" w:rsidRDefault="001B2A7E" w14:paraId="7F5D1A9B" w14:textId="0E7F0454">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lastRenderedPageBreak/>
              <w:t>´La Tesorería Municipal, precisó que en respuesta entregó un documento equivocado y proporcionó un listado con ciento setenta y dos servidores públicos, con nombre, sueldo bruto y neto.</w:t>
            </w:r>
          </w:p>
          <w:p w:rsidRPr="005E0748" w:rsidR="0080184D" w:rsidP="001B2A7E" w:rsidRDefault="001B2A7E" w14:paraId="75AA0FBD" w14:textId="44B8BEDB">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lastRenderedPageBreak/>
              <w:t>La Dirección de Fomento y Desarrollo Económico, Administración y Reglamentos, señaló que al momento de responder no contaba con el listado actualizado, por lo que, dio acceso al listado de ciento setenta y dos  servidores públicos, con nombre, área de adscripción, puesto y escolaridad.</w:t>
            </w:r>
          </w:p>
        </w:tc>
      </w:tr>
      <w:tr w:rsidRPr="005E0748" w:rsidR="004D6D7D" w:rsidTr="00CD071D" w14:paraId="5A6F0EA7" w14:textId="77777777">
        <w:tc>
          <w:tcPr>
            <w:tcW w:w="2277" w:type="dxa"/>
          </w:tcPr>
          <w:p w:rsidRPr="005E0748" w:rsidR="004D6D7D" w:rsidP="004D6D7D" w:rsidRDefault="004D6D7D" w14:paraId="0C175075" w14:textId="1C5820DD">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lastRenderedPageBreak/>
              <w:t>2. Sistema Municipal para el Desarrollo Integral de la Familia.</w:t>
            </w:r>
          </w:p>
        </w:tc>
        <w:tc>
          <w:tcPr>
            <w:tcW w:w="2278" w:type="dxa"/>
          </w:tcPr>
          <w:p w:rsidRPr="005E0748" w:rsidR="004D6D7D" w:rsidP="0080184D" w:rsidRDefault="004D6D7D" w14:paraId="75763FD7" w14:textId="1F967AFC">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Se proporcionó el Reporte de Nómina de la primera quincena de mayo de dos mil veintidós, del Sistema Municipal para el Desarrollo Integral de la Familia, con nombre, cargo, total de percepciones, deducciones, neto y grado máximo de estudios.</w:t>
            </w:r>
          </w:p>
        </w:tc>
        <w:tc>
          <w:tcPr>
            <w:tcW w:w="2278" w:type="dxa"/>
          </w:tcPr>
          <w:p w:rsidRPr="005E0748" w:rsidR="004D6D7D" w:rsidP="00CD071D" w:rsidRDefault="001B2A7E" w14:paraId="547C02CE" w14:textId="4971F6EA">
            <w:pPr>
              <w:tabs>
                <w:tab w:val="left" w:pos="4962"/>
              </w:tabs>
              <w:spacing w:line="360" w:lineRule="auto"/>
              <w:jc w:val="center"/>
              <w:rPr>
                <w:rFonts w:eastAsia="Calibri" w:cs="Tahoma"/>
                <w:iCs/>
                <w:sz w:val="18"/>
                <w:szCs w:val="18"/>
                <w:lang w:eastAsia="es-ES_tradnl"/>
              </w:rPr>
            </w:pPr>
            <w:r w:rsidRPr="005E0748">
              <w:rPr>
                <w:rFonts w:eastAsia="Calibri" w:cs="Tahoma"/>
                <w:iCs/>
                <w:sz w:val="18"/>
                <w:szCs w:val="18"/>
                <w:lang w:eastAsia="es-ES_tradnl"/>
              </w:rPr>
              <w:t>No emitió agravió alguno.</w:t>
            </w:r>
          </w:p>
        </w:tc>
        <w:tc>
          <w:tcPr>
            <w:tcW w:w="2278" w:type="dxa"/>
          </w:tcPr>
          <w:p w:rsidRPr="005E0748" w:rsidR="004D6D7D" w:rsidP="001B2A7E" w:rsidRDefault="001B2A7E" w14:paraId="348481A9" w14:textId="6E097A06">
            <w:pPr>
              <w:spacing w:line="360" w:lineRule="auto"/>
              <w:jc w:val="center"/>
              <w:rPr>
                <w:rFonts w:eastAsia="Calibri" w:cs="Tahoma"/>
                <w:iCs/>
                <w:sz w:val="18"/>
                <w:szCs w:val="18"/>
                <w:lang w:eastAsia="es-ES_tradnl"/>
              </w:rPr>
            </w:pPr>
            <w:r w:rsidRPr="005E0748">
              <w:rPr>
                <w:rFonts w:eastAsia="Calibri" w:cs="Tahoma"/>
                <w:iCs/>
                <w:sz w:val="18"/>
                <w:szCs w:val="18"/>
                <w:lang w:eastAsia="es-ES_tradnl"/>
              </w:rPr>
              <w:t>No se pronunció.</w:t>
            </w:r>
          </w:p>
        </w:tc>
      </w:tr>
      <w:tr w:rsidRPr="005E0748" w:rsidR="004D6D7D" w:rsidTr="00CD071D" w14:paraId="041322ED" w14:textId="77777777">
        <w:tc>
          <w:tcPr>
            <w:tcW w:w="2277" w:type="dxa"/>
          </w:tcPr>
          <w:p w:rsidRPr="005E0748" w:rsidR="004D6D7D" w:rsidP="004D6D7D" w:rsidRDefault="004D6D7D" w14:paraId="3DA84548" w14:textId="55A4B369">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3. Instituto Municipal de Cultura Física y Deporte.</w:t>
            </w:r>
          </w:p>
        </w:tc>
        <w:tc>
          <w:tcPr>
            <w:tcW w:w="2278" w:type="dxa"/>
          </w:tcPr>
          <w:p w:rsidRPr="005E0748" w:rsidR="004D6D7D" w:rsidP="0080184D" w:rsidRDefault="004D6D7D" w14:paraId="7B76B178" w14:textId="52E9018B">
            <w:pPr>
              <w:tabs>
                <w:tab w:val="left" w:pos="4962"/>
              </w:tabs>
              <w:spacing w:line="360" w:lineRule="auto"/>
              <w:rPr>
                <w:rFonts w:eastAsia="Calibri" w:cs="Tahoma"/>
                <w:iCs/>
                <w:sz w:val="18"/>
                <w:szCs w:val="18"/>
                <w:lang w:eastAsia="es-ES_tradnl"/>
              </w:rPr>
            </w:pPr>
            <w:r w:rsidRPr="005E0748">
              <w:rPr>
                <w:rFonts w:eastAsia="Calibri" w:cs="Tahoma"/>
                <w:iCs/>
                <w:sz w:val="18"/>
                <w:szCs w:val="18"/>
                <w:lang w:eastAsia="es-ES_tradnl"/>
              </w:rPr>
              <w:t xml:space="preserve">Se entregó una relación, con nombre, puesto, sueldo neto, bruto, gratificación y grado de estudios del personal adscrito al Instituto </w:t>
            </w:r>
            <w:r w:rsidRPr="005E0748">
              <w:rPr>
                <w:rFonts w:eastAsia="Calibri" w:cs="Tahoma"/>
                <w:iCs/>
                <w:sz w:val="18"/>
                <w:szCs w:val="18"/>
                <w:lang w:eastAsia="es-ES_tradnl"/>
              </w:rPr>
              <w:lastRenderedPageBreak/>
              <w:t>Municipal de Cultura Física y Deporte de Tonanitla.</w:t>
            </w:r>
          </w:p>
        </w:tc>
        <w:tc>
          <w:tcPr>
            <w:tcW w:w="2278" w:type="dxa"/>
          </w:tcPr>
          <w:p w:rsidRPr="005E0748" w:rsidR="004D6D7D" w:rsidP="001B2A7E" w:rsidRDefault="001B2A7E" w14:paraId="13835264" w14:textId="326437C2">
            <w:pPr>
              <w:tabs>
                <w:tab w:val="left" w:pos="4962"/>
              </w:tabs>
              <w:spacing w:line="360" w:lineRule="auto"/>
              <w:jc w:val="center"/>
              <w:rPr>
                <w:rFonts w:eastAsia="Calibri" w:cs="Tahoma"/>
                <w:iCs/>
                <w:sz w:val="18"/>
                <w:szCs w:val="18"/>
                <w:lang w:eastAsia="es-ES_tradnl"/>
              </w:rPr>
            </w:pPr>
            <w:r w:rsidRPr="005E0748">
              <w:rPr>
                <w:rFonts w:eastAsia="Calibri" w:cs="Tahoma"/>
                <w:iCs/>
                <w:sz w:val="18"/>
                <w:szCs w:val="18"/>
                <w:lang w:eastAsia="es-ES_tradnl"/>
              </w:rPr>
              <w:lastRenderedPageBreak/>
              <w:t>No emitió agravió alguno.</w:t>
            </w:r>
          </w:p>
        </w:tc>
        <w:tc>
          <w:tcPr>
            <w:tcW w:w="2278" w:type="dxa"/>
          </w:tcPr>
          <w:p w:rsidRPr="005E0748" w:rsidR="004D6D7D" w:rsidP="001B2A7E" w:rsidRDefault="001B2A7E" w14:paraId="2FFC7B4E" w14:textId="3224CF52">
            <w:pPr>
              <w:spacing w:line="360" w:lineRule="auto"/>
              <w:jc w:val="center"/>
              <w:rPr>
                <w:rFonts w:eastAsia="Calibri" w:cs="Tahoma"/>
                <w:iCs/>
                <w:sz w:val="18"/>
                <w:szCs w:val="18"/>
                <w:lang w:eastAsia="es-ES_tradnl"/>
              </w:rPr>
            </w:pPr>
            <w:r w:rsidRPr="005E0748">
              <w:rPr>
                <w:rFonts w:eastAsia="Calibri" w:cs="Tahoma"/>
                <w:iCs/>
                <w:sz w:val="18"/>
                <w:szCs w:val="18"/>
                <w:lang w:eastAsia="es-ES_tradnl"/>
              </w:rPr>
              <w:t>No se pronunció.</w:t>
            </w:r>
          </w:p>
        </w:tc>
      </w:tr>
    </w:tbl>
    <w:p w:rsidRPr="005E0748" w:rsidR="002C3D2E" w:rsidP="0001712E" w:rsidRDefault="002C3D2E" w14:paraId="57FE7A96" w14:textId="77777777">
      <w:pPr>
        <w:autoSpaceDE w:val="0"/>
        <w:autoSpaceDN w:val="0"/>
        <w:adjustRightInd w:val="0"/>
        <w:spacing w:after="0" w:line="360" w:lineRule="auto"/>
        <w:rPr>
          <w:rFonts w:eastAsia="Calibri" w:cs="Tahoma"/>
          <w:color w:val="000000"/>
          <w:szCs w:val="24"/>
          <w:lang w:val="es-ES" w:eastAsia="es-MX"/>
        </w:rPr>
      </w:pPr>
    </w:p>
    <w:p w:rsidRPr="005E0748" w:rsidR="0080184D" w:rsidP="0080184D" w:rsidRDefault="0080184D" w14:paraId="040CF51D" w14:textId="394159EE">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xml:space="preserve">Conforme a lo anterior, se logra vislumbrar que el ahora Recurrente no se agravió respecto a la información proporcionada para atender los </w:t>
      </w:r>
      <w:r w:rsidRPr="005E0748" w:rsidR="00D74496">
        <w:rPr>
          <w:rFonts w:eastAsia="Times New Roman" w:cs="Times New Roman"/>
          <w:color w:val="000000"/>
          <w:lang w:eastAsia="es-ES_tradnl"/>
        </w:rPr>
        <w:t xml:space="preserve">puntos </w:t>
      </w:r>
      <w:r w:rsidRPr="005E0748" w:rsidR="001B2A7E">
        <w:rPr>
          <w:rFonts w:eastAsia="Times New Roman" w:cs="Times New Roman"/>
          <w:color w:val="000000"/>
          <w:lang w:eastAsia="es-ES_tradnl"/>
        </w:rPr>
        <w:t>2 y 3</w:t>
      </w:r>
      <w:r w:rsidRPr="005E0748">
        <w:rPr>
          <w:rFonts w:eastAsia="Times New Roman" w:cs="Times New Roman"/>
          <w:color w:val="000000"/>
          <w:lang w:eastAsia="es-ES_tradnl"/>
        </w:rPr>
        <w:t xml:space="preserve"> </w:t>
      </w:r>
      <w:r w:rsidRPr="005E0748" w:rsidR="001B2A7E">
        <w:rPr>
          <w:rFonts w:eastAsia="Times New Roman" w:cs="Times New Roman"/>
          <w:color w:val="000000"/>
          <w:lang w:eastAsia="es-ES_tradnl"/>
        </w:rPr>
        <w:t>referidos</w:t>
      </w:r>
      <w:r w:rsidRPr="005E0748">
        <w:rPr>
          <w:rFonts w:eastAsia="Times New Roman" w:cs="Times New Roman"/>
          <w:color w:val="000000"/>
          <w:lang w:eastAsia="es-ES_tradnl"/>
        </w:rPr>
        <w:t>;</w:t>
      </w:r>
      <w:r w:rsidRPr="005E0748">
        <w:rPr>
          <w:rFonts w:eastAsia="Calibri" w:cs="Tahoma"/>
          <w:color w:val="000000"/>
          <w:szCs w:val="24"/>
          <w:lang w:val="es-ES" w:eastAsia="es-MX"/>
        </w:rPr>
        <w:t xml:space="preserve"> p</w:t>
      </w:r>
      <w:proofErr w:type="spellStart"/>
      <w:r w:rsidRPr="005E0748">
        <w:rPr>
          <w:rFonts w:eastAsia="Times New Roman" w:cs="Times New Roman"/>
          <w:color w:val="000000"/>
          <w:lang w:eastAsia="es-ES_tradnl"/>
        </w:rPr>
        <w:t>or</w:t>
      </w:r>
      <w:proofErr w:type="spellEnd"/>
      <w:r w:rsidRPr="005E0748">
        <w:rPr>
          <w:rFonts w:eastAsia="Times New Roman" w:cs="Times New Roman"/>
          <w:color w:val="000000"/>
          <w:lang w:eastAsia="es-ES_tradnl"/>
        </w:rPr>
        <w:t xml:space="preserve"> lo que, no se hará pronunciamiento alguno, respecto a esta,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5E0748">
        <w:rPr>
          <w:rFonts w:eastAsia="Times New Roman" w:cs="Times New Roman"/>
          <w:b/>
          <w:bCs/>
          <w:color w:val="000000"/>
          <w:lang w:eastAsia="es-ES_tradnl"/>
        </w:rPr>
        <w:t>los actos que se hayan consentido tácitamente,</w:t>
      </w:r>
      <w:r w:rsidRPr="005E0748">
        <w:rPr>
          <w:rFonts w:eastAsia="Times New Roman" w:cs="Times New Roman"/>
          <w:color w:val="000000"/>
          <w:lang w:eastAsia="es-ES_tradnl"/>
        </w:rPr>
        <w:t> entendiéndose por estos cuando el agravio no se haya promovido en el plazo señalado para el efecto.</w:t>
      </w:r>
    </w:p>
    <w:p w:rsidRPr="005E0748" w:rsidR="0080184D" w:rsidP="0080184D" w:rsidRDefault="0080184D" w14:paraId="002416AE"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w:t>
      </w:r>
    </w:p>
    <w:p w:rsidRPr="005E0748" w:rsidR="0080184D" w:rsidP="0080184D" w:rsidRDefault="0080184D" w14:paraId="0386CD15"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De la misma manera resulta aplicable el criterio sostenido por el Poder Judicial de la Federación de rubro </w:t>
      </w:r>
      <w:r w:rsidRPr="005E0748">
        <w:rPr>
          <w:rFonts w:eastAsia="Times New Roman" w:cs="Times New Roman"/>
          <w:b/>
          <w:bCs/>
          <w:color w:val="000000"/>
          <w:lang w:eastAsia="es-ES_tradnl"/>
        </w:rPr>
        <w:t>ACTOS CONSENTIDOS TÁCITAMENTE</w:t>
      </w:r>
      <w:r w:rsidRPr="005E0748">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5E0748" w:rsidR="0080184D" w:rsidP="0080184D" w:rsidRDefault="0080184D" w14:paraId="65765720"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w:t>
      </w:r>
    </w:p>
    <w:p w:rsidRPr="005E0748" w:rsidR="0080184D" w:rsidP="0080184D" w:rsidRDefault="0080184D" w14:paraId="07F94D31"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5E0748" w:rsidR="0080184D" w:rsidP="0080184D" w:rsidRDefault="0080184D" w14:paraId="021306FA"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w:t>
      </w:r>
    </w:p>
    <w:p w:rsidRPr="005E0748" w:rsidR="0080184D" w:rsidP="0080184D" w:rsidRDefault="0080184D" w14:paraId="2EFF64CF"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lastRenderedPageBreak/>
        <w:t>Asimismo, resulta relevante traer a colación el Criterio 01/20, emitido por el Instituto Nacional de Transparencia, Acceso a la Información y Protección de Datos Personales, que establece lo siguiente:</w:t>
      </w:r>
    </w:p>
    <w:p w:rsidRPr="005E0748" w:rsidR="0080184D" w:rsidP="0080184D" w:rsidRDefault="0080184D" w14:paraId="16CB37B0" w14:textId="77777777">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w:t>
      </w:r>
    </w:p>
    <w:p w:rsidRPr="005E0748" w:rsidR="0080184D" w:rsidP="0080184D" w:rsidRDefault="0080184D" w14:paraId="0D24274B" w14:textId="77777777">
      <w:pPr>
        <w:spacing w:after="0" w:line="360" w:lineRule="auto"/>
        <w:ind w:left="567" w:right="567"/>
        <w:rPr>
          <w:rFonts w:eastAsia="Times New Roman" w:cs="Times New Roman"/>
          <w:color w:val="000000"/>
          <w:lang w:eastAsia="es-ES_tradnl"/>
        </w:rPr>
      </w:pPr>
      <w:r w:rsidRPr="005E0748">
        <w:rPr>
          <w:rFonts w:eastAsia="Times New Roman" w:cs="Times New Roman"/>
          <w:b/>
          <w:bCs/>
          <w:i/>
          <w:iCs/>
          <w:color w:val="000000"/>
          <w:sz w:val="20"/>
          <w:szCs w:val="20"/>
          <w:lang w:eastAsia="es-ES_tradnl"/>
        </w:rPr>
        <w:t>“Actos consentidos tácitamente. Improcedencia de su análisis. </w:t>
      </w:r>
      <w:r w:rsidRPr="005E0748">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5E0748" w:rsidR="0080184D" w:rsidP="0080184D" w:rsidRDefault="0080184D" w14:paraId="3F041F3E" w14:textId="77777777">
      <w:pPr>
        <w:spacing w:after="0" w:line="360" w:lineRule="auto"/>
        <w:rPr>
          <w:rFonts w:eastAsia="Times New Roman" w:cs="Times New Roman"/>
          <w:color w:val="000000"/>
          <w:lang w:eastAsia="es-ES_tradnl"/>
        </w:rPr>
      </w:pPr>
    </w:p>
    <w:p w:rsidRPr="005E0748" w:rsidR="0080184D" w:rsidP="0080184D" w:rsidRDefault="0080184D" w14:paraId="1C2F73CE" w14:textId="43349DB8">
      <w:pPr>
        <w:spacing w:after="0" w:line="360" w:lineRule="auto"/>
        <w:rPr>
          <w:rFonts w:eastAsia="Times New Roman" w:cs="Times New Roman"/>
          <w:color w:val="000000"/>
          <w:lang w:eastAsia="es-ES_tradnl"/>
        </w:rPr>
      </w:pPr>
      <w:r w:rsidRPr="005E0748">
        <w:rPr>
          <w:rFonts w:eastAsia="Times New Roman" w:cs="Times New Roman"/>
          <w:color w:val="000000"/>
          <w:lang w:eastAsia="es-ES_tradnl"/>
        </w:rPr>
        <w:t xml:space="preserve">Conforme al Criterio establecido, es improcedente entrar al análisis de las partes de la respuesta del Sujeto Obligado que no fueron impugnadas por la Recurrente; por lo que, en el presente caso, se tiene por consentida dicha información y únicamente se entrará al estudio respecto al punto </w:t>
      </w:r>
      <w:r w:rsidRPr="005E0748" w:rsidR="001B2A7E">
        <w:rPr>
          <w:rFonts w:eastAsia="Times New Roman" w:cs="Times New Roman"/>
          <w:color w:val="000000"/>
          <w:lang w:eastAsia="es-ES_tradnl"/>
        </w:rPr>
        <w:t>1</w:t>
      </w:r>
      <w:r w:rsidRPr="005E0748">
        <w:rPr>
          <w:rFonts w:eastAsia="Times New Roman" w:cs="Times New Roman"/>
          <w:color w:val="000000"/>
          <w:lang w:eastAsia="es-ES_tradnl"/>
        </w:rPr>
        <w:t xml:space="preserve">, referente </w:t>
      </w:r>
      <w:r w:rsidRPr="005E0748" w:rsidR="001B2A7E">
        <w:rPr>
          <w:rFonts w:eastAsia="Times New Roman" w:cs="Times New Roman"/>
          <w:color w:val="000000"/>
          <w:lang w:eastAsia="es-ES_tradnl"/>
        </w:rPr>
        <w:t>a la información de los servidores públicos adscritos al Ayuntamiento (que incluya únicamente mandos medios y superiores del área de Seguridad Pública y Protección Civil).</w:t>
      </w:r>
      <w:r w:rsidRPr="005E0748">
        <w:rPr>
          <w:rFonts w:eastAsia="Times New Roman" w:cs="Times New Roman"/>
          <w:color w:val="000000"/>
          <w:lang w:eastAsia="es-ES_tradnl"/>
        </w:rPr>
        <w:t xml:space="preserve"> </w:t>
      </w:r>
    </w:p>
    <w:p w:rsidRPr="005E0748" w:rsidR="0080184D" w:rsidP="0080184D" w:rsidRDefault="0080184D" w14:paraId="637A56FD" w14:textId="77777777">
      <w:pPr>
        <w:tabs>
          <w:tab w:val="left" w:pos="4962"/>
        </w:tabs>
        <w:spacing w:after="0" w:line="360" w:lineRule="auto"/>
        <w:rPr>
          <w:rFonts w:eastAsia="Calibri" w:cs="Tahoma"/>
          <w:iCs/>
          <w:lang w:val="es-ES" w:eastAsia="es-ES_tradnl"/>
        </w:rPr>
      </w:pPr>
    </w:p>
    <w:p w:rsidRPr="005E0748" w:rsidR="0080184D" w:rsidP="0080184D" w:rsidRDefault="0080184D" w14:paraId="676807BE" w14:textId="6528138A">
      <w:pPr>
        <w:tabs>
          <w:tab w:val="left" w:pos="4962"/>
        </w:tabs>
        <w:spacing w:after="0" w:line="360" w:lineRule="auto"/>
        <w:rPr>
          <w:rFonts w:eastAsia="Calibri" w:cs="Tahoma"/>
          <w:bCs/>
        </w:rPr>
      </w:pPr>
      <w:r w:rsidRPr="005E0748">
        <w:rPr>
          <w:rFonts w:eastAsia="Calibri" w:cs="Tahoma"/>
          <w:iCs/>
          <w:lang w:val="es-ES" w:eastAsia="es-ES_tradnl"/>
        </w:rPr>
        <w:t>Lo anterior, se desprende de las documentales que obran en los expedientes de referencia, materia de la presente resolución, consistente en: la solicitud de acceso a la información; los documentos presentados en respuesta,</w:t>
      </w:r>
      <w:r w:rsidRPr="005E0748">
        <w:rPr>
          <w:rFonts w:eastAsia="Calibri" w:cs="Tahoma"/>
          <w:iCs/>
          <w:lang w:eastAsia="es-ES_tradnl"/>
        </w:rPr>
        <w:t xml:space="preserve"> el escrito </w:t>
      </w:r>
      <w:proofErr w:type="spellStart"/>
      <w:r w:rsidRPr="005E0748">
        <w:rPr>
          <w:rFonts w:eastAsia="Calibri" w:cs="Tahoma"/>
          <w:iCs/>
          <w:lang w:eastAsia="es-ES_tradnl"/>
        </w:rPr>
        <w:t>recursal</w:t>
      </w:r>
      <w:proofErr w:type="spellEnd"/>
      <w:r w:rsidRPr="005E0748">
        <w:rPr>
          <w:rFonts w:eastAsia="Calibri" w:cs="Tahoma"/>
          <w:iCs/>
          <w:lang w:eastAsia="es-ES_tradnl"/>
        </w:rPr>
        <w:t>,</w:t>
      </w:r>
      <w:r w:rsidRPr="005E0748" w:rsidR="00D74496">
        <w:rPr>
          <w:rFonts w:eastAsia="Calibri" w:cs="Tahoma"/>
          <w:iCs/>
          <w:lang w:eastAsia="es-ES_tradnl"/>
        </w:rPr>
        <w:t xml:space="preserve"> y</w:t>
      </w:r>
      <w:r w:rsidRPr="005E0748">
        <w:rPr>
          <w:rFonts w:eastAsia="Calibri" w:cs="Tahoma"/>
          <w:iCs/>
          <w:lang w:eastAsia="es-ES_tradnl"/>
        </w:rPr>
        <w:t xml:space="preserve"> el Informe Justificado; </w:t>
      </w:r>
      <w:r w:rsidRPr="005E074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5E0748" w:rsidR="00F26D6F" w:rsidP="006A22A5" w:rsidRDefault="00F26D6F" w14:paraId="4AA6882F" w14:textId="77777777">
      <w:pPr>
        <w:spacing w:after="0" w:line="360" w:lineRule="auto"/>
        <w:rPr>
          <w:rFonts w:eastAsia="Times New Roman" w:cs="Tahoma"/>
          <w:b/>
          <w:bCs/>
          <w:iCs/>
          <w:color w:val="auto"/>
          <w:lang w:val="es-ES" w:eastAsia="es-ES"/>
        </w:rPr>
      </w:pPr>
    </w:p>
    <w:p w:rsidRPr="005E0748" w:rsidR="00CD071D" w:rsidP="00CD071D" w:rsidRDefault="00CD071D" w14:paraId="7A1F396B" w14:textId="67EBC9A7">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 xml:space="preserve">Una vez establecido lo anterior, se procede analizar los agravios hechos valer por el Sujeto Obligado, para lo cual, en principio, resulta necesario referir que tanto en respuesta, como Informe Justificado, el Sujeto Obligado turno la solicitud de información, a la Tesorería Municipal y la </w:t>
      </w:r>
      <w:r w:rsidRPr="005E0748">
        <w:rPr>
          <w:rFonts w:eastAsia="Times New Roman" w:cs="Tahoma"/>
          <w:bCs/>
          <w:iCs/>
          <w:color w:val="auto"/>
          <w:lang w:eastAsia="es-ES"/>
        </w:rPr>
        <w:t xml:space="preserve">Dirección de Fomento y Desarrollo Económico, Administración y Reglamentos; por lo cual, es necesario hacer referencia </w:t>
      </w:r>
      <w:r w:rsidRPr="005E0748">
        <w:rPr>
          <w:rFonts w:eastAsia="Times New Roman" w:cs="Tahoma"/>
          <w:bCs/>
          <w:iCs/>
          <w:color w:val="auto"/>
          <w:lang w:val="es-ES" w:eastAsia="es-ES"/>
        </w:rPr>
        <w:t xml:space="preserve">al procedimiento de búsqueda que </w:t>
      </w:r>
      <w:r w:rsidRPr="005E0748">
        <w:rPr>
          <w:rFonts w:eastAsia="Times New Roman" w:cs="Tahoma"/>
          <w:bCs/>
          <w:iCs/>
          <w:color w:val="auto"/>
          <w:lang w:val="es-ES" w:eastAsia="es-ES"/>
        </w:rPr>
        <w:lastRenderedPageBreak/>
        <w:t xml:space="preserve">deben de seguir los Sujetos Obligados para localizar la información, el cual se encuentra previsto en los artículos 160 y 162 de la Ley de Transparencia y Acceso a la Información Pública del Estado de México y Municipios,  mismo que es el siguiente: </w:t>
      </w:r>
    </w:p>
    <w:p w:rsidRPr="005E0748" w:rsidR="00CD071D" w:rsidP="00CD071D" w:rsidRDefault="00CD071D" w14:paraId="1AEABEAD" w14:textId="77777777">
      <w:pPr>
        <w:spacing w:after="0" w:line="360" w:lineRule="auto"/>
        <w:rPr>
          <w:rFonts w:eastAsia="Times New Roman" w:cs="Tahoma"/>
          <w:iCs/>
          <w:color w:val="auto"/>
          <w:lang w:eastAsia="es-ES"/>
        </w:rPr>
      </w:pPr>
    </w:p>
    <w:p w:rsidRPr="005E0748" w:rsidR="00CD071D" w:rsidP="00CD071D" w:rsidRDefault="00CD071D" w14:paraId="3AA1AF9D" w14:textId="77777777">
      <w:pPr>
        <w:numPr>
          <w:ilvl w:val="0"/>
          <w:numId w:val="13"/>
        </w:numPr>
        <w:tabs>
          <w:tab w:val="num" w:pos="720"/>
        </w:tabs>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E0748" w:rsidR="00CD071D" w:rsidP="00CD071D" w:rsidRDefault="00CD071D" w14:paraId="67DAFFC9" w14:textId="77777777">
      <w:pPr>
        <w:spacing w:after="0" w:line="360" w:lineRule="auto"/>
        <w:rPr>
          <w:rFonts w:eastAsia="Times New Roman" w:cs="Tahoma"/>
          <w:bCs/>
          <w:iCs/>
          <w:color w:val="auto"/>
          <w:lang w:val="es-ES" w:eastAsia="es-ES"/>
        </w:rPr>
      </w:pPr>
    </w:p>
    <w:p w:rsidRPr="005E0748" w:rsidR="00CD071D" w:rsidP="00CD071D" w:rsidRDefault="00CD071D" w14:paraId="5793B57C" w14:textId="77777777">
      <w:pPr>
        <w:numPr>
          <w:ilvl w:val="0"/>
          <w:numId w:val="13"/>
        </w:numPr>
        <w:tabs>
          <w:tab w:val="num" w:pos="720"/>
        </w:tabs>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5E0748" w:rsidR="00CD071D" w:rsidP="00CD071D" w:rsidRDefault="00CD071D" w14:paraId="58A62C5D" w14:textId="77777777">
      <w:pPr>
        <w:spacing w:after="0" w:line="360" w:lineRule="auto"/>
        <w:rPr>
          <w:rFonts w:eastAsia="Times New Roman" w:cs="Tahoma"/>
          <w:bCs/>
          <w:iCs/>
          <w:color w:val="auto"/>
          <w:lang w:val="es-ES" w:eastAsia="es-ES"/>
        </w:rPr>
      </w:pPr>
    </w:p>
    <w:p w:rsidRPr="005E0748" w:rsidR="00CD071D" w:rsidP="00CD071D" w:rsidRDefault="00CD071D" w14:paraId="0A81FA44" w14:textId="04AE76AB">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 xml:space="preserve">Así, a efecto de determinar si el Sujeto Obligado, cumplió con el procedimiento de búsqueda antes referido, se trae al estudio los artículos 55, fracciones II y VI, </w:t>
      </w:r>
      <w:r w:rsidRPr="005E0748" w:rsidR="00B34E8A">
        <w:rPr>
          <w:rFonts w:eastAsia="Times New Roman" w:cs="Tahoma"/>
          <w:bCs/>
          <w:iCs/>
          <w:color w:val="auto"/>
          <w:lang w:val="es-ES" w:eastAsia="es-ES"/>
        </w:rPr>
        <w:t>63, 64</w:t>
      </w:r>
      <w:r w:rsidRPr="005E0748">
        <w:rPr>
          <w:rFonts w:eastAsia="Times New Roman" w:cs="Tahoma"/>
          <w:bCs/>
          <w:iCs/>
          <w:color w:val="auto"/>
          <w:lang w:val="es-ES" w:eastAsia="es-ES"/>
        </w:rPr>
        <w:t xml:space="preserve"> y 103</w:t>
      </w:r>
      <w:r w:rsidRPr="005E0748" w:rsidR="00B34E8A">
        <w:rPr>
          <w:rFonts w:eastAsia="Times New Roman" w:cs="Tahoma"/>
          <w:bCs/>
          <w:iCs/>
          <w:color w:val="auto"/>
          <w:lang w:val="es-ES" w:eastAsia="es-ES"/>
        </w:rPr>
        <w:t>, del Bando Municipal, dos mil veintidós, de Tonanitla, que precisa que el Sujeto Obligado para el ejercicio de sus funciones, se conforma por diversas unidades administrativas, entre las cuales se encuentran las siguientes:</w:t>
      </w:r>
    </w:p>
    <w:p w:rsidRPr="005E0748" w:rsidR="00CD071D" w:rsidP="00CD071D" w:rsidRDefault="00CD071D" w14:paraId="0FC12A3F" w14:textId="77777777">
      <w:pPr>
        <w:spacing w:after="0" w:line="360" w:lineRule="auto"/>
        <w:rPr>
          <w:rFonts w:eastAsia="Times New Roman" w:cs="Tahoma"/>
          <w:bCs/>
          <w:iCs/>
          <w:color w:val="auto"/>
          <w:lang w:val="es-ES" w:eastAsia="es-ES"/>
        </w:rPr>
      </w:pPr>
    </w:p>
    <w:p w:rsidRPr="005E0748" w:rsidR="00CD071D" w:rsidP="00CD071D" w:rsidRDefault="00CD071D" w14:paraId="0A412572" w14:textId="3F9B6941">
      <w:pPr>
        <w:pStyle w:val="Prrafodelista"/>
        <w:numPr>
          <w:ilvl w:val="0"/>
          <w:numId w:val="14"/>
        </w:numPr>
        <w:spacing w:after="0" w:line="360" w:lineRule="auto"/>
        <w:rPr>
          <w:rFonts w:eastAsia="Times New Roman" w:cs="Tahoma"/>
          <w:bCs/>
          <w:iCs/>
          <w:color w:val="auto"/>
          <w:lang w:val="es-ES" w:eastAsia="es-ES"/>
        </w:rPr>
      </w:pPr>
      <w:r w:rsidRPr="005E0748">
        <w:rPr>
          <w:rFonts w:eastAsia="Times New Roman" w:cs="Tahoma"/>
          <w:b/>
          <w:bCs/>
          <w:iCs/>
          <w:color w:val="auto"/>
          <w:lang w:val="es-ES" w:eastAsia="es-ES"/>
        </w:rPr>
        <w:t xml:space="preserve">Tesorería Municipal: </w:t>
      </w:r>
      <w:r w:rsidRPr="005E0748">
        <w:rPr>
          <w:rFonts w:eastAsia="Times New Roman" w:cs="Tahoma"/>
          <w:bCs/>
          <w:iCs/>
          <w:color w:val="auto"/>
          <w:lang w:val="es-ES" w:eastAsia="es-ES"/>
        </w:rPr>
        <w:t>Que administra la hacienda pública</w:t>
      </w:r>
      <w:r w:rsidRPr="005E0748" w:rsidR="00B34E8A">
        <w:rPr>
          <w:rFonts w:eastAsia="Times New Roman" w:cs="Tahoma"/>
          <w:bCs/>
          <w:iCs/>
          <w:color w:val="auto"/>
          <w:lang w:val="es-ES" w:eastAsia="es-ES"/>
        </w:rPr>
        <w:t>; lleva los registros contables  y financieros, y realiza las erogaciones de recursos, lo cual incluye el pago de nómina.</w:t>
      </w:r>
    </w:p>
    <w:p w:rsidRPr="005E0748" w:rsidR="00CD071D" w:rsidP="00CD071D" w:rsidRDefault="00CD071D" w14:paraId="77933716" w14:textId="77777777">
      <w:pPr>
        <w:pStyle w:val="Prrafodelista"/>
        <w:spacing w:after="0" w:line="360" w:lineRule="auto"/>
        <w:rPr>
          <w:rFonts w:eastAsia="Times New Roman" w:cs="Tahoma"/>
          <w:bCs/>
          <w:iCs/>
          <w:color w:val="auto"/>
          <w:lang w:val="es-ES" w:eastAsia="es-ES"/>
        </w:rPr>
      </w:pPr>
    </w:p>
    <w:p w:rsidRPr="005E0748" w:rsidR="00CD071D" w:rsidP="00CD071D" w:rsidRDefault="00CD071D" w14:paraId="60E4D9BE" w14:textId="34DADF43">
      <w:pPr>
        <w:pStyle w:val="Prrafodelista"/>
        <w:numPr>
          <w:ilvl w:val="0"/>
          <w:numId w:val="14"/>
        </w:numPr>
        <w:spacing w:after="0" w:line="360" w:lineRule="auto"/>
        <w:rPr>
          <w:rFonts w:eastAsia="Times New Roman" w:cs="Tahoma"/>
          <w:bCs/>
          <w:iCs/>
          <w:color w:val="auto"/>
          <w:lang w:val="es-ES" w:eastAsia="es-ES"/>
        </w:rPr>
      </w:pPr>
      <w:r w:rsidRPr="005E0748">
        <w:rPr>
          <w:rFonts w:eastAsia="Times New Roman" w:cs="Tahoma"/>
          <w:b/>
          <w:bCs/>
          <w:iCs/>
          <w:color w:val="auto"/>
          <w:lang w:val="es-ES" w:eastAsia="es-ES"/>
        </w:rPr>
        <w:t xml:space="preserve">Dirección de Fomento y Desarrollo Económico, Administración y Reglamentos: </w:t>
      </w:r>
      <w:r w:rsidRPr="005E0748">
        <w:rPr>
          <w:rFonts w:eastAsia="Times New Roman" w:cs="Tahoma"/>
          <w:bCs/>
          <w:iCs/>
          <w:color w:val="auto"/>
          <w:lang w:val="es-ES" w:eastAsia="es-ES"/>
        </w:rPr>
        <w:t xml:space="preserve">Que administra los recursos que conforman a la administración pública municipal; se </w:t>
      </w:r>
      <w:r w:rsidRPr="005E0748">
        <w:rPr>
          <w:rFonts w:eastAsia="Times New Roman" w:cs="Tahoma"/>
          <w:bCs/>
          <w:iCs/>
          <w:color w:val="auto"/>
          <w:lang w:val="es-ES" w:eastAsia="es-ES"/>
        </w:rPr>
        <w:lastRenderedPageBreak/>
        <w:t>encarga de los expedientes con la documentación completa de cada uno de los empleados del Ayuntamiento y realiza los reportes de incidencias de los servidores públicos a la Tesorería Municipal, a efecto de que realice el pago nominal correspondiente. Lo anterior, por medio de la Coordinación de Administración.</w:t>
      </w:r>
    </w:p>
    <w:p w:rsidRPr="005E0748" w:rsidR="00CD071D" w:rsidP="000B4D1A" w:rsidRDefault="00CD071D" w14:paraId="376AC9F6" w14:textId="77777777">
      <w:pPr>
        <w:spacing w:after="0" w:line="360" w:lineRule="auto"/>
        <w:rPr>
          <w:rFonts w:eastAsia="Times New Roman" w:cs="Tahoma"/>
          <w:b/>
          <w:bCs/>
          <w:iCs/>
          <w:color w:val="auto"/>
          <w:lang w:val="es-ES" w:eastAsia="es-ES"/>
        </w:rPr>
      </w:pPr>
    </w:p>
    <w:p w:rsidRPr="005E0748" w:rsidR="00CD071D" w:rsidP="000B4D1A" w:rsidRDefault="00B34E8A" w14:paraId="16D2B23E" w14:textId="4F0A81E6">
      <w:pPr>
        <w:spacing w:after="0" w:line="360" w:lineRule="auto"/>
        <w:rPr>
          <w:rFonts w:eastAsia="Times New Roman" w:cs="Tahoma"/>
          <w:iCs/>
          <w:color w:val="auto"/>
          <w:lang w:eastAsia="es-ES"/>
        </w:rPr>
      </w:pPr>
      <w:r w:rsidRPr="005E0748">
        <w:rPr>
          <w:rFonts w:eastAsia="Times New Roman" w:cs="Tahoma"/>
          <w:iCs/>
          <w:color w:val="auto"/>
          <w:lang w:eastAsia="es-ES"/>
        </w:rPr>
        <w:t>En atención a lo expuesto, se advierte que el Sujeto Obligado cumplió con el procedimiento de búsqueda establecido en el artículo 162 de la Ley de Transparencia y Acceso a la información Pública del Estado de México y Municipios, toda vez que turno la solicitud de información, por una parte, a la Dirección de Fomento y Desarrollo Económico, Administración y Reglamentos, que se encarga de administrar a los servidores públicos, y por otra parte, la Tesorería Municipal, que realiza el pago de remuneraciones.</w:t>
      </w:r>
    </w:p>
    <w:p w:rsidRPr="005E0748" w:rsidR="00B34E8A" w:rsidP="000B4D1A" w:rsidRDefault="00B34E8A" w14:paraId="61263BBB" w14:textId="77777777">
      <w:pPr>
        <w:spacing w:after="0" w:line="360" w:lineRule="auto"/>
        <w:rPr>
          <w:rFonts w:eastAsia="Times New Roman" w:cs="Tahoma"/>
          <w:iCs/>
          <w:color w:val="auto"/>
          <w:lang w:eastAsia="es-ES"/>
        </w:rPr>
      </w:pPr>
    </w:p>
    <w:p w:rsidRPr="005E0748" w:rsidR="00B34E8A" w:rsidP="000B4D1A" w:rsidRDefault="00B34E8A" w14:paraId="12CE5359" w14:textId="26353AE1">
      <w:pPr>
        <w:spacing w:after="0" w:line="360" w:lineRule="auto"/>
        <w:rPr>
          <w:rFonts w:eastAsia="Times New Roman" w:cs="Tahoma"/>
          <w:iCs/>
          <w:color w:val="auto"/>
          <w:lang w:eastAsia="es-ES"/>
        </w:rPr>
      </w:pPr>
      <w:r w:rsidRPr="005E0748">
        <w:rPr>
          <w:rFonts w:eastAsia="Times New Roman" w:cs="Tahoma"/>
          <w:iCs/>
          <w:color w:val="auto"/>
          <w:lang w:eastAsia="es-ES"/>
        </w:rPr>
        <w:t>Ahora bien, la Tesorería Municipal proporcionó un documento denominado “NOMINA”, que contiene el nombre, cargo, sueldo bruto y neto, tal como se muestra en el siguiente extracto:</w:t>
      </w:r>
    </w:p>
    <w:p w:rsidRPr="005E0748" w:rsidR="00B34E8A" w:rsidP="00B34E8A" w:rsidRDefault="00B34E8A" w14:paraId="63209D35" w14:textId="77777777">
      <w:pPr>
        <w:spacing w:after="0" w:line="360" w:lineRule="auto"/>
        <w:jc w:val="center"/>
        <w:rPr>
          <w:rFonts w:eastAsia="Calibri" w:cs="Tahoma"/>
          <w:lang w:val="es-ES" w:eastAsia="es-MX"/>
        </w:rPr>
      </w:pPr>
    </w:p>
    <w:p w:rsidRPr="005E0748" w:rsidR="00B34E8A" w:rsidP="00B34E8A" w:rsidRDefault="00B34E8A" w14:paraId="0E08432C" w14:textId="77777777">
      <w:pPr>
        <w:spacing w:after="0" w:line="360" w:lineRule="auto"/>
        <w:jc w:val="center"/>
        <w:rPr>
          <w:rFonts w:eastAsia="Calibri" w:cs="Tahoma"/>
          <w:lang w:val="es-ES" w:eastAsia="es-MX"/>
        </w:rPr>
      </w:pPr>
      <w:r w:rsidRPr="005E0748">
        <w:rPr>
          <w:noProof/>
          <w:lang w:eastAsia="es-MX"/>
        </w:rPr>
        <w:drawing>
          <wp:inline distT="0" distB="0" distL="0" distR="0" wp14:anchorId="6A898B47" wp14:editId="39B1089F">
            <wp:extent cx="5466987" cy="1312433"/>
            <wp:effectExtent l="0" t="0" r="63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31" t="18895" r="26366" b="60522"/>
                    <a:stretch/>
                  </pic:blipFill>
                  <pic:spPr bwMode="auto">
                    <a:xfrm>
                      <a:off x="0" y="0"/>
                      <a:ext cx="5552606" cy="1332987"/>
                    </a:xfrm>
                    <a:prstGeom prst="rect">
                      <a:avLst/>
                    </a:prstGeom>
                    <a:ln>
                      <a:noFill/>
                    </a:ln>
                    <a:extLst>
                      <a:ext uri="{53640926-AAD7-44D8-BBD7-CCE9431645EC}">
                        <a14:shadowObscured xmlns:a14="http://schemas.microsoft.com/office/drawing/2010/main"/>
                      </a:ext>
                    </a:extLst>
                  </pic:spPr>
                </pic:pic>
              </a:graphicData>
            </a:graphic>
          </wp:inline>
        </w:drawing>
      </w:r>
    </w:p>
    <w:p w:rsidRPr="005E0748" w:rsidR="00B34E8A" w:rsidP="00B34E8A" w:rsidRDefault="00B34E8A" w14:paraId="753BE16D" w14:textId="77777777">
      <w:pPr>
        <w:spacing w:after="0" w:line="360" w:lineRule="auto"/>
        <w:jc w:val="center"/>
        <w:rPr>
          <w:rFonts w:eastAsia="Calibri" w:cs="Tahoma"/>
          <w:lang w:val="es-ES" w:eastAsia="es-MX"/>
        </w:rPr>
      </w:pPr>
    </w:p>
    <w:p w:rsidRPr="005E0748" w:rsidR="001644D7" w:rsidP="00B34E8A" w:rsidRDefault="00B34E8A" w14:paraId="01E9342D" w14:textId="4B525365">
      <w:pPr>
        <w:spacing w:after="0" w:line="360" w:lineRule="auto"/>
        <w:rPr>
          <w:rFonts w:eastAsia="Times New Roman" w:cs="Tahoma"/>
          <w:iCs/>
          <w:color w:val="auto"/>
          <w:lang w:eastAsia="es-ES"/>
        </w:rPr>
      </w:pPr>
      <w:r w:rsidRPr="005E0748">
        <w:rPr>
          <w:rFonts w:eastAsia="Calibri" w:cs="Tahoma"/>
          <w:lang w:val="es-ES" w:eastAsia="es-MX"/>
        </w:rPr>
        <w:t xml:space="preserve">Por otra parte, la </w:t>
      </w:r>
      <w:r w:rsidRPr="005E0748">
        <w:rPr>
          <w:rFonts w:eastAsia="Times New Roman" w:cs="Tahoma"/>
          <w:iCs/>
          <w:color w:val="auto"/>
          <w:lang w:eastAsia="es-ES"/>
        </w:rPr>
        <w:t>Dirección de Fomento y Desarrollo Económico, Administración y Reglamentos</w:t>
      </w:r>
      <w:r w:rsidRPr="005E0748" w:rsidR="001644D7">
        <w:rPr>
          <w:rFonts w:eastAsia="Times New Roman" w:cs="Tahoma"/>
          <w:iCs/>
          <w:color w:val="auto"/>
          <w:lang w:eastAsia="es-ES"/>
        </w:rPr>
        <w:t>, proporcionó un listado, con el nombre, cargo, área de adscripción y escolaridad (grado máximo de estudios), de los servidores públicos, tal como se muestra a continuación:</w:t>
      </w:r>
    </w:p>
    <w:p w:rsidRPr="005E0748" w:rsidR="00B34E8A" w:rsidP="00B34E8A" w:rsidRDefault="00B34E8A" w14:paraId="6E05AB4D" w14:textId="77777777">
      <w:pPr>
        <w:spacing w:after="0" w:line="360" w:lineRule="auto"/>
        <w:jc w:val="center"/>
        <w:rPr>
          <w:rFonts w:eastAsia="Calibri" w:cs="Tahoma"/>
          <w:lang w:val="es-ES" w:eastAsia="es-MX"/>
        </w:rPr>
      </w:pPr>
      <w:r w:rsidRPr="005E0748">
        <w:rPr>
          <w:noProof/>
          <w:lang w:eastAsia="es-MX"/>
        </w:rPr>
        <w:lastRenderedPageBreak/>
        <w:drawing>
          <wp:inline distT="0" distB="0" distL="0" distR="0" wp14:anchorId="57A48FD5" wp14:editId="5F2EB093">
            <wp:extent cx="5032652" cy="270016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39" t="22605" r="32046" b="36820"/>
                    <a:stretch/>
                  </pic:blipFill>
                  <pic:spPr bwMode="auto">
                    <a:xfrm>
                      <a:off x="0" y="0"/>
                      <a:ext cx="5090410" cy="2731158"/>
                    </a:xfrm>
                    <a:prstGeom prst="rect">
                      <a:avLst/>
                    </a:prstGeom>
                    <a:ln>
                      <a:noFill/>
                    </a:ln>
                    <a:extLst>
                      <a:ext uri="{53640926-AAD7-44D8-BBD7-CCE9431645EC}">
                        <a14:shadowObscured xmlns:a14="http://schemas.microsoft.com/office/drawing/2010/main"/>
                      </a:ext>
                    </a:extLst>
                  </pic:spPr>
                </pic:pic>
              </a:graphicData>
            </a:graphic>
          </wp:inline>
        </w:drawing>
      </w:r>
    </w:p>
    <w:p w:rsidRPr="005E0748" w:rsidR="00CD071D" w:rsidP="000B4D1A" w:rsidRDefault="00CD071D" w14:paraId="00337008" w14:textId="77777777">
      <w:pPr>
        <w:spacing w:after="0" w:line="360" w:lineRule="auto"/>
        <w:rPr>
          <w:rFonts w:eastAsia="Times New Roman" w:cs="Tahoma"/>
          <w:b/>
          <w:bCs/>
          <w:iCs/>
          <w:color w:val="auto"/>
          <w:lang w:val="es-ES" w:eastAsia="es-ES"/>
        </w:rPr>
      </w:pPr>
    </w:p>
    <w:p w:rsidRPr="005E0748" w:rsidR="001644D7" w:rsidP="000B4D1A" w:rsidRDefault="001644D7" w14:paraId="756135C5" w14:textId="4CCD3F66">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Conforme a lo anterior, se logra vislumbrar que el Sujeto Obligado proporcionó las relaciones que contienen los datos solicitados por el Particular, no obstante, de su cotejo se advierte que no concuerda la información, en atención al número de servidores públicos, tal como se muestra a continuación:</w:t>
      </w:r>
    </w:p>
    <w:p w:rsidRPr="005E0748" w:rsidR="001644D7" w:rsidP="000B4D1A" w:rsidRDefault="001644D7" w14:paraId="79060AC3" w14:textId="77777777">
      <w:pPr>
        <w:spacing w:after="0" w:line="360" w:lineRule="auto"/>
        <w:rPr>
          <w:rFonts w:eastAsia="Times New Roman" w:cs="Tahoma"/>
          <w:bCs/>
          <w:iCs/>
          <w:color w:val="auto"/>
          <w:lang w:val="es-ES" w:eastAsia="es-ES"/>
        </w:rPr>
      </w:pPr>
    </w:p>
    <w:tbl>
      <w:tblPr>
        <w:tblStyle w:val="Tablaconcuadrcula"/>
        <w:tblW w:w="0" w:type="auto"/>
        <w:tblLook w:val="04A0" w:firstRow="1" w:lastRow="0" w:firstColumn="1" w:lastColumn="0" w:noHBand="0" w:noVBand="1"/>
      </w:tblPr>
      <w:tblGrid>
        <w:gridCol w:w="3681"/>
        <w:gridCol w:w="5240"/>
      </w:tblGrid>
      <w:tr w:rsidRPr="005E0748" w:rsidR="001644D7" w:rsidTr="001644D7" w14:paraId="3376D3FB" w14:textId="77777777">
        <w:tc>
          <w:tcPr>
            <w:tcW w:w="8921" w:type="dxa"/>
            <w:gridSpan w:val="2"/>
            <w:shd w:val="clear" w:color="auto" w:fill="BFBFBF" w:themeFill="background1" w:themeFillShade="BF"/>
          </w:tcPr>
          <w:p w:rsidRPr="005E0748" w:rsidR="001644D7" w:rsidP="001644D7" w:rsidRDefault="001644D7" w14:paraId="485301BF" w14:textId="6C2DC610">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Relaciones entregadas en respuesta</w:t>
            </w:r>
          </w:p>
        </w:tc>
      </w:tr>
      <w:tr w:rsidRPr="005E0748" w:rsidR="001644D7" w:rsidTr="001644D7" w14:paraId="15B954BA" w14:textId="77777777">
        <w:tc>
          <w:tcPr>
            <w:tcW w:w="3681" w:type="dxa"/>
            <w:shd w:val="clear" w:color="auto" w:fill="BFBFBF" w:themeFill="background1" w:themeFillShade="BF"/>
          </w:tcPr>
          <w:p w:rsidRPr="005E0748" w:rsidR="001644D7" w:rsidP="001644D7" w:rsidRDefault="001644D7" w14:paraId="70AF049F" w14:textId="5B4F9B98">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Tesorería Municipal</w:t>
            </w:r>
          </w:p>
        </w:tc>
        <w:tc>
          <w:tcPr>
            <w:tcW w:w="5240" w:type="dxa"/>
            <w:shd w:val="clear" w:color="auto" w:fill="BFBFBF" w:themeFill="background1" w:themeFillShade="BF"/>
          </w:tcPr>
          <w:p w:rsidRPr="005E0748" w:rsidR="001644D7" w:rsidP="001644D7" w:rsidRDefault="001644D7" w14:paraId="055129B2" w14:textId="24F845CB">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val="es-MX" w:eastAsia="es-ES"/>
              </w:rPr>
              <w:t>Dirección de Fomento y Desarrollo Económico, Administración y Reglamentos</w:t>
            </w:r>
          </w:p>
        </w:tc>
      </w:tr>
      <w:tr w:rsidRPr="005E0748" w:rsidR="001644D7" w:rsidTr="001644D7" w14:paraId="5B7CDF7B" w14:textId="77777777">
        <w:tc>
          <w:tcPr>
            <w:tcW w:w="3681" w:type="dxa"/>
          </w:tcPr>
          <w:p w:rsidRPr="005E0748" w:rsidR="001644D7" w:rsidP="001644D7" w:rsidRDefault="001644D7" w14:paraId="01F42CDB" w14:textId="57CAF9A0">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Ciento cincuenta servidores públicos</w:t>
            </w:r>
          </w:p>
        </w:tc>
        <w:tc>
          <w:tcPr>
            <w:tcW w:w="5240" w:type="dxa"/>
          </w:tcPr>
          <w:p w:rsidRPr="005E0748" w:rsidR="001644D7" w:rsidP="001644D7" w:rsidRDefault="001644D7" w14:paraId="0F697367" w14:textId="15F9338B">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Ciento sesenta y cuatro servidores públicos</w:t>
            </w:r>
          </w:p>
        </w:tc>
      </w:tr>
    </w:tbl>
    <w:p w:rsidRPr="005E0748" w:rsidR="001644D7" w:rsidP="000B4D1A" w:rsidRDefault="001644D7" w14:paraId="77D7CB74" w14:textId="77777777">
      <w:pPr>
        <w:spacing w:after="0" w:line="360" w:lineRule="auto"/>
        <w:rPr>
          <w:rFonts w:eastAsia="Times New Roman" w:cs="Tahoma"/>
          <w:b/>
          <w:bCs/>
          <w:iCs/>
          <w:color w:val="auto"/>
          <w:lang w:val="es-ES" w:eastAsia="es-ES"/>
        </w:rPr>
      </w:pPr>
    </w:p>
    <w:p w:rsidRPr="005E0748" w:rsidR="001644D7" w:rsidP="000B4D1A" w:rsidRDefault="001644D7" w14:paraId="2D58CB7E" w14:textId="169E06EF">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t>Así, este Instituto advierte que al existir una diferencia de catorce trabajadores, entre los listados proporcionados, no se tiene certeza que sea la información de todos los servidores públicos; lo cual, se robustece con el hecho de que durante la sustanciación del Medio de Impugnación, ambas áreas refirieron que los documentos entregados en respuesta, no estaban completos.</w:t>
      </w:r>
    </w:p>
    <w:p w:rsidRPr="005E0748" w:rsidR="001644D7" w:rsidP="000B4D1A" w:rsidRDefault="001644D7" w14:paraId="5308E09F" w14:textId="77777777">
      <w:pPr>
        <w:spacing w:after="0" w:line="360" w:lineRule="auto"/>
        <w:rPr>
          <w:rFonts w:eastAsia="Times New Roman" w:cs="Tahoma"/>
          <w:bCs/>
          <w:iCs/>
          <w:color w:val="auto"/>
          <w:lang w:val="es-ES" w:eastAsia="es-ES"/>
        </w:rPr>
      </w:pPr>
    </w:p>
    <w:p w:rsidRPr="005E0748" w:rsidR="001644D7" w:rsidP="000B4D1A" w:rsidRDefault="001644D7" w14:paraId="477CCA21" w14:textId="0ECDA6EE">
      <w:pPr>
        <w:spacing w:after="0" w:line="360" w:lineRule="auto"/>
        <w:rPr>
          <w:rFonts w:eastAsia="Times New Roman" w:cs="Tahoma"/>
          <w:bCs/>
          <w:iCs/>
          <w:color w:val="auto"/>
          <w:lang w:val="es-ES" w:eastAsia="es-ES"/>
        </w:rPr>
      </w:pPr>
      <w:r w:rsidRPr="005E0748">
        <w:rPr>
          <w:rFonts w:eastAsia="Times New Roman" w:cs="Tahoma"/>
          <w:bCs/>
          <w:iCs/>
          <w:color w:val="auto"/>
          <w:lang w:val="es-ES" w:eastAsia="es-ES"/>
        </w:rPr>
        <w:lastRenderedPageBreak/>
        <w:t>No obstante, mediante Informe Justificado, dichas áreas proporcionaron una relación respectivamente, de cuya revisión se logra advertir que se conforma de los siguientes datos:</w:t>
      </w:r>
    </w:p>
    <w:p w:rsidRPr="005E0748" w:rsidR="001644D7" w:rsidP="000B4D1A" w:rsidRDefault="001644D7" w14:paraId="6574BED9" w14:textId="77777777">
      <w:pPr>
        <w:spacing w:after="0" w:line="360" w:lineRule="auto"/>
        <w:rPr>
          <w:rFonts w:eastAsia="Times New Roman" w:cs="Tahoma"/>
          <w:bCs/>
          <w:iCs/>
          <w:color w:val="auto"/>
          <w:lang w:val="es-ES" w:eastAsia="es-ES"/>
        </w:rPr>
      </w:pPr>
    </w:p>
    <w:tbl>
      <w:tblPr>
        <w:tblStyle w:val="Tablaconcuadrcula"/>
        <w:tblW w:w="0" w:type="auto"/>
        <w:tblLook w:val="04A0" w:firstRow="1" w:lastRow="0" w:firstColumn="1" w:lastColumn="0" w:noHBand="0" w:noVBand="1"/>
      </w:tblPr>
      <w:tblGrid>
        <w:gridCol w:w="2122"/>
        <w:gridCol w:w="3118"/>
        <w:gridCol w:w="3681"/>
      </w:tblGrid>
      <w:tr w:rsidRPr="005E0748" w:rsidR="001644D7" w:rsidTr="000E20B8" w14:paraId="34620176" w14:textId="77777777">
        <w:tc>
          <w:tcPr>
            <w:tcW w:w="8921" w:type="dxa"/>
            <w:gridSpan w:val="3"/>
            <w:shd w:val="clear" w:color="auto" w:fill="BFBFBF" w:themeFill="background1" w:themeFillShade="BF"/>
          </w:tcPr>
          <w:p w:rsidRPr="005E0748" w:rsidR="001644D7" w:rsidP="001644D7" w:rsidRDefault="001644D7" w14:paraId="19217A6A" w14:textId="550C5F68">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Relaciones entregadas en Informe Justificado</w:t>
            </w:r>
          </w:p>
        </w:tc>
      </w:tr>
      <w:tr w:rsidRPr="005E0748" w:rsidR="001644D7" w:rsidTr="00876C7E" w14:paraId="3F622877" w14:textId="77777777">
        <w:tc>
          <w:tcPr>
            <w:tcW w:w="2122" w:type="dxa"/>
            <w:shd w:val="clear" w:color="auto" w:fill="BFBFBF" w:themeFill="background1" w:themeFillShade="BF"/>
          </w:tcPr>
          <w:p w:rsidRPr="005E0748" w:rsidR="001644D7" w:rsidP="00D42E66" w:rsidRDefault="001644D7" w14:paraId="3C7EEF95" w14:textId="77596918">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Área</w:t>
            </w:r>
          </w:p>
        </w:tc>
        <w:tc>
          <w:tcPr>
            <w:tcW w:w="3118" w:type="dxa"/>
            <w:shd w:val="clear" w:color="auto" w:fill="BFBFBF" w:themeFill="background1" w:themeFillShade="BF"/>
          </w:tcPr>
          <w:p w:rsidRPr="005E0748" w:rsidR="001644D7" w:rsidP="00D42E66" w:rsidRDefault="001644D7" w14:paraId="2EDED440" w14:textId="0D9F8A07">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Tesorería Municipal</w:t>
            </w:r>
          </w:p>
        </w:tc>
        <w:tc>
          <w:tcPr>
            <w:tcW w:w="3681" w:type="dxa"/>
            <w:shd w:val="clear" w:color="auto" w:fill="BFBFBF" w:themeFill="background1" w:themeFillShade="BF"/>
          </w:tcPr>
          <w:p w:rsidRPr="005E0748" w:rsidR="001644D7" w:rsidP="00D42E66" w:rsidRDefault="001644D7" w14:paraId="3581608F" w14:textId="77777777">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val="es-MX" w:eastAsia="es-ES"/>
              </w:rPr>
              <w:t>Dirección de Fomento y Desarrollo Económico, Administración y Reglamentos</w:t>
            </w:r>
          </w:p>
        </w:tc>
      </w:tr>
      <w:tr w:rsidRPr="005E0748" w:rsidR="001644D7" w:rsidTr="00876C7E" w14:paraId="235AA45F" w14:textId="77777777">
        <w:tc>
          <w:tcPr>
            <w:tcW w:w="2122" w:type="dxa"/>
            <w:shd w:val="clear" w:color="auto" w:fill="BFBFBF" w:themeFill="background1" w:themeFillShade="BF"/>
          </w:tcPr>
          <w:p w:rsidRPr="005E0748" w:rsidR="001644D7" w:rsidP="001644D7" w:rsidRDefault="001644D7" w14:paraId="34D59203" w14:textId="6AA17C31">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Número de servidores públicos</w:t>
            </w:r>
          </w:p>
        </w:tc>
        <w:tc>
          <w:tcPr>
            <w:tcW w:w="3118" w:type="dxa"/>
          </w:tcPr>
          <w:p w:rsidRPr="005E0748" w:rsidR="001644D7" w:rsidP="00D42E66" w:rsidRDefault="00876C7E" w14:paraId="33B720E4" w14:textId="0A585DD1">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Ciento setenta y dos</w:t>
            </w:r>
          </w:p>
        </w:tc>
        <w:tc>
          <w:tcPr>
            <w:tcW w:w="3681" w:type="dxa"/>
          </w:tcPr>
          <w:p w:rsidRPr="005E0748" w:rsidR="001644D7" w:rsidP="00D42E66" w:rsidRDefault="00876C7E" w14:paraId="1375A57F" w14:textId="57008B03">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Ciento setenta y dos</w:t>
            </w:r>
          </w:p>
        </w:tc>
      </w:tr>
      <w:tr w:rsidRPr="005E0748" w:rsidR="001644D7" w:rsidTr="00876C7E" w14:paraId="7E01A4CE" w14:textId="77777777">
        <w:tc>
          <w:tcPr>
            <w:tcW w:w="2122" w:type="dxa"/>
            <w:shd w:val="clear" w:color="auto" w:fill="BFBFBF" w:themeFill="background1" w:themeFillShade="BF"/>
          </w:tcPr>
          <w:p w:rsidRPr="005E0748" w:rsidR="001644D7" w:rsidP="00D42E66" w:rsidRDefault="001644D7" w14:paraId="043EF88E" w14:textId="7C960DE6">
            <w:pPr>
              <w:spacing w:line="360" w:lineRule="auto"/>
              <w:jc w:val="center"/>
              <w:rPr>
                <w:rFonts w:eastAsia="Times New Roman" w:cs="Tahoma"/>
                <w:b/>
                <w:bCs/>
                <w:iCs/>
                <w:color w:val="auto"/>
                <w:sz w:val="20"/>
                <w:szCs w:val="20"/>
                <w:lang w:eastAsia="es-ES"/>
              </w:rPr>
            </w:pPr>
            <w:r w:rsidRPr="005E0748">
              <w:rPr>
                <w:rFonts w:eastAsia="Times New Roman" w:cs="Tahoma"/>
                <w:b/>
                <w:bCs/>
                <w:iCs/>
                <w:color w:val="auto"/>
                <w:sz w:val="20"/>
                <w:szCs w:val="20"/>
                <w:lang w:eastAsia="es-ES"/>
              </w:rPr>
              <w:t>Datos</w:t>
            </w:r>
          </w:p>
        </w:tc>
        <w:tc>
          <w:tcPr>
            <w:tcW w:w="3118" w:type="dxa"/>
          </w:tcPr>
          <w:p w:rsidRPr="005E0748" w:rsidR="001644D7" w:rsidP="00D42E66" w:rsidRDefault="00876C7E" w14:paraId="7ED2117C" w14:textId="122120E9">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Nombre, sueldo bruto y neto</w:t>
            </w:r>
          </w:p>
        </w:tc>
        <w:tc>
          <w:tcPr>
            <w:tcW w:w="3681" w:type="dxa"/>
          </w:tcPr>
          <w:p w:rsidRPr="005E0748" w:rsidR="001644D7" w:rsidP="00D42E66" w:rsidRDefault="00876C7E" w14:paraId="5BF5C133" w14:textId="2D7504F9">
            <w:pPr>
              <w:spacing w:line="360" w:lineRule="auto"/>
              <w:jc w:val="center"/>
              <w:rPr>
                <w:rFonts w:eastAsia="Times New Roman" w:cs="Tahoma"/>
                <w:bCs/>
                <w:iCs/>
                <w:color w:val="auto"/>
                <w:sz w:val="20"/>
                <w:szCs w:val="20"/>
                <w:lang w:eastAsia="es-ES"/>
              </w:rPr>
            </w:pPr>
            <w:r w:rsidRPr="005E0748">
              <w:rPr>
                <w:rFonts w:eastAsia="Times New Roman" w:cs="Tahoma"/>
                <w:bCs/>
                <w:iCs/>
                <w:color w:val="auto"/>
                <w:sz w:val="20"/>
                <w:szCs w:val="20"/>
                <w:lang w:eastAsia="es-ES"/>
              </w:rPr>
              <w:t>Nombre, área de adscripción, cargo y escolaridad.</w:t>
            </w:r>
          </w:p>
        </w:tc>
      </w:tr>
    </w:tbl>
    <w:p w:rsidRPr="005E0748" w:rsidR="001644D7" w:rsidP="000B4D1A" w:rsidRDefault="001644D7" w14:paraId="4ACA790D" w14:textId="77777777">
      <w:pPr>
        <w:spacing w:after="0" w:line="360" w:lineRule="auto"/>
        <w:rPr>
          <w:rFonts w:eastAsia="Times New Roman" w:cs="Tahoma"/>
          <w:bCs/>
          <w:iCs/>
          <w:color w:val="auto"/>
          <w:lang w:val="es-ES" w:eastAsia="es-ES"/>
        </w:rPr>
      </w:pPr>
    </w:p>
    <w:p w:rsidRPr="005E0748" w:rsidR="00876C7E" w:rsidP="00876C7E" w:rsidRDefault="00876C7E" w14:paraId="4249C0D3" w14:textId="77A36E17">
      <w:pPr>
        <w:spacing w:after="0" w:line="360" w:lineRule="auto"/>
        <w:rPr>
          <w:rFonts w:eastAsia="Times New Roman" w:cs="Tahoma"/>
          <w:bCs/>
          <w:iCs/>
          <w:color w:val="auto"/>
          <w:lang w:eastAsia="es-ES"/>
        </w:rPr>
      </w:pPr>
      <w:r w:rsidRPr="005E0748">
        <w:rPr>
          <w:rFonts w:eastAsia="Times New Roman" w:cs="Tahoma"/>
          <w:bCs/>
          <w:iCs/>
          <w:color w:val="auto"/>
          <w:lang w:val="es-ES" w:eastAsia="es-ES"/>
        </w:rPr>
        <w:t xml:space="preserve">Además, este Instituto realizó una comparación y confrontación de las relaciones mencionadas y logro vislumbrar que contiene la información de los mismos ciento setenta y dos servidores públicos, los cuales incluyen los mandos medios y superiores del área de Seguridad Pública y Protección Civil; </w:t>
      </w:r>
      <w:r w:rsidRPr="005E0748">
        <w:t>s</w:t>
      </w:r>
      <w:r w:rsidRPr="005E0748">
        <w:rPr>
          <w:rFonts w:eastAsia="Times New Roman" w:cs="Times New Roman"/>
          <w:iCs/>
          <w:color w:val="auto"/>
          <w:szCs w:val="20"/>
          <w:lang w:eastAsia="es-ES"/>
        </w:rPr>
        <w:t>obre lo anterior, cabe precisar</w:t>
      </w:r>
      <w:r w:rsidRPr="005E0748">
        <w:rPr>
          <w:rFonts w:eastAsia="Times New Roman" w:cs="Tahoma"/>
          <w:bCs/>
          <w:iCs/>
          <w:color w:val="auto"/>
          <w:lang w:eastAsia="es-ES"/>
        </w:rPr>
        <w:t xml:space="preserve"> que este Instituto, no tiene atribuciones para pronunciarse sobre la veracidad de la información. Apoya lo anterior, el </w:t>
      </w:r>
      <w:r w:rsidRPr="005E0748">
        <w:rPr>
          <w:rFonts w:eastAsia="Calibri" w:cs="Tahoma"/>
          <w:bCs/>
          <w:color w:val="auto"/>
          <w:lang w:val="es-ES"/>
        </w:rPr>
        <w:t xml:space="preserve">Criterio de Interpretación, de la Primera Época, con número de registro </w:t>
      </w:r>
      <w:r w:rsidRPr="005E0748">
        <w:rPr>
          <w:rFonts w:eastAsia="Calibri" w:cs="Tahoma"/>
          <w:bCs/>
          <w:color w:val="auto"/>
        </w:rPr>
        <w:t>SO/031/2010,</w:t>
      </w:r>
      <w:r w:rsidRPr="005E0748">
        <w:rPr>
          <w:rFonts w:eastAsia="Times New Roman" w:cs="Tahoma"/>
          <w:bCs/>
          <w:iCs/>
          <w:color w:val="auto"/>
          <w:lang w:eastAsia="es-ES"/>
        </w:rPr>
        <w:t xml:space="preserve"> emitido por el Pleno del entonces Instituto Federal de Acceso a la Información y Protección de Datos, que a continuación se cita:</w:t>
      </w:r>
    </w:p>
    <w:p w:rsidRPr="005E0748" w:rsidR="00876C7E" w:rsidP="00876C7E" w:rsidRDefault="00876C7E" w14:paraId="2277393E" w14:textId="77777777">
      <w:pPr>
        <w:spacing w:after="0" w:line="360" w:lineRule="auto"/>
        <w:rPr>
          <w:rFonts w:eastAsia="Times New Roman" w:cs="Tahoma"/>
          <w:bCs/>
          <w:iCs/>
          <w:color w:val="auto"/>
          <w:lang w:eastAsia="es-ES"/>
        </w:rPr>
      </w:pPr>
    </w:p>
    <w:p w:rsidRPr="005E0748" w:rsidR="00876C7E" w:rsidP="00876C7E" w:rsidRDefault="00876C7E" w14:paraId="52DBCA27" w14:textId="77777777">
      <w:pPr>
        <w:spacing w:after="0" w:line="360" w:lineRule="auto"/>
        <w:ind w:left="567" w:right="567"/>
        <w:rPr>
          <w:rFonts w:eastAsia="Times New Roman" w:cs="Tahoma"/>
          <w:bCs/>
          <w:i/>
          <w:iCs/>
          <w:color w:val="auto"/>
          <w:sz w:val="20"/>
          <w:szCs w:val="20"/>
          <w:lang w:eastAsia="es-ES"/>
        </w:rPr>
      </w:pPr>
      <w:r w:rsidRPr="005E0748">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5E0748">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r w:rsidRPr="005E0748">
        <w:rPr>
          <w:rFonts w:eastAsia="Times New Roman" w:cs="Tahoma"/>
          <w:bCs/>
          <w:i/>
          <w:iCs/>
          <w:color w:val="auto"/>
          <w:sz w:val="20"/>
          <w:szCs w:val="20"/>
          <w:lang w:eastAsia="es-ES"/>
        </w:rPr>
        <w:lastRenderedPageBreak/>
        <w:t>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E0748" w:rsidR="00876C7E" w:rsidP="00876C7E" w:rsidRDefault="00876C7E" w14:paraId="54E710B6" w14:textId="77777777">
      <w:pPr>
        <w:spacing w:after="0" w:line="360" w:lineRule="auto"/>
      </w:pPr>
    </w:p>
    <w:p w:rsidRPr="005E0748" w:rsidR="00876C7E" w:rsidP="00876C7E" w:rsidRDefault="00876C7E" w14:paraId="4900210A" w14:textId="56CC2580">
      <w:pPr>
        <w:spacing w:after="0" w:line="360" w:lineRule="auto"/>
        <w:rPr>
          <w:rFonts w:eastAsia="Times New Roman" w:cs="Tahoma"/>
          <w:color w:val="auto"/>
          <w:szCs w:val="24"/>
          <w:lang w:val="es-ES" w:eastAsia="es-ES"/>
        </w:rPr>
      </w:pPr>
      <w:r w:rsidRPr="005E0748">
        <w:rPr>
          <w:rFonts w:eastAsia="Times New Roman" w:cs="Tahoma"/>
          <w:bCs/>
          <w:iCs/>
          <w:color w:val="auto"/>
          <w:lang w:val="es-ES" w:eastAsia="es-ES"/>
        </w:rPr>
        <w:t xml:space="preserve">De tales circunstancias, se logra vislumbrar que el Sujeto Obligado proporcionó los documentos que contienen la información requerida por el Particular, a saber, el nombre, cargo o puesto, sueldo bruto y neto y último grado de estudios de los servidores públicos adscritos al Ayuntamiento de Tonanitla, excluyendo a los elementos policiacos del área de seguridad y aquellos que no son mandos medios y superiores de protección civil, tal como lo requirió el Particular; </w:t>
      </w:r>
      <w:r w:rsidRPr="005E0748">
        <w:rPr>
          <w:rFonts w:eastAsia="Times New Roman" w:cs="Tahoma"/>
          <w:color w:val="auto"/>
          <w:szCs w:val="24"/>
          <w:lang w:val="es-ES" w:eastAsia="es-ES"/>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E0748" w:rsidR="00876C7E" w:rsidP="00876C7E" w:rsidRDefault="00876C7E" w14:paraId="2500544D" w14:textId="77777777">
      <w:pPr>
        <w:spacing w:after="0" w:line="360" w:lineRule="auto"/>
        <w:rPr>
          <w:rFonts w:eastAsia="Times New Roman" w:cs="Tahoma"/>
          <w:color w:val="auto"/>
          <w:szCs w:val="24"/>
          <w:lang w:val="es-ES" w:eastAsia="es-ES"/>
        </w:rPr>
      </w:pPr>
    </w:p>
    <w:p w:rsidRPr="005E0748" w:rsidR="00876C7E" w:rsidP="00876C7E" w:rsidRDefault="00876C7E" w14:paraId="18AED562" w14:textId="77777777">
      <w:pPr>
        <w:spacing w:after="0" w:line="360" w:lineRule="auto"/>
        <w:rPr>
          <w:rFonts w:eastAsia="Times New Roman" w:cs="Tahoma"/>
          <w:i/>
          <w:iCs/>
          <w:color w:val="auto"/>
          <w:sz w:val="20"/>
          <w:szCs w:val="20"/>
          <w:lang w:val="es-ES" w:eastAsia="es-ES"/>
        </w:rPr>
      </w:pPr>
      <w:r w:rsidRPr="005E0748">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5E0748" w:rsidR="00876C7E" w:rsidP="00876C7E" w:rsidRDefault="00876C7E" w14:paraId="063CC80D" w14:textId="77777777">
      <w:pPr>
        <w:spacing w:after="0" w:line="360" w:lineRule="auto"/>
        <w:rPr>
          <w:rFonts w:eastAsia="Times New Roman" w:cs="Tahoma"/>
          <w:color w:val="auto"/>
          <w:szCs w:val="24"/>
          <w:lang w:val="es-ES" w:eastAsia="es-ES"/>
        </w:rPr>
      </w:pPr>
    </w:p>
    <w:p w:rsidRPr="005E0748" w:rsidR="00876C7E" w:rsidP="00876C7E" w:rsidRDefault="00876C7E" w14:paraId="1BCD30C9" w14:textId="150FE421">
      <w:pPr>
        <w:spacing w:after="0" w:line="360" w:lineRule="auto"/>
        <w:rPr>
          <w:rFonts w:eastAsia="Times New Roman" w:cs="Tahoma"/>
          <w:color w:val="auto"/>
          <w:szCs w:val="24"/>
          <w:lang w:val="es-ES" w:eastAsia="es-ES"/>
        </w:rPr>
      </w:pPr>
      <w:r w:rsidRPr="005E0748">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w:t>
      </w:r>
      <w:r w:rsidRPr="005E0748">
        <w:rPr>
          <w:rFonts w:eastAsia="Times New Roman" w:cs="Tahoma"/>
          <w:color w:val="auto"/>
          <w:szCs w:val="24"/>
          <w:lang w:val="es-ES" w:eastAsia="es-ES"/>
        </w:rPr>
        <w:lastRenderedPageBreak/>
        <w:t xml:space="preserve">cual aconteció, pues el Sujeto Obligado, proporcionó </w:t>
      </w:r>
      <w:r w:rsidRPr="005E0748" w:rsidR="00383165">
        <w:rPr>
          <w:rFonts w:eastAsia="Times New Roman" w:cs="Tahoma"/>
          <w:color w:val="auto"/>
          <w:szCs w:val="24"/>
          <w:lang w:val="es-ES" w:eastAsia="es-ES"/>
        </w:rPr>
        <w:t>dos relaciones con todos los datos solicitados.</w:t>
      </w:r>
    </w:p>
    <w:p w:rsidRPr="005E0748" w:rsidR="00B336F2" w:rsidP="00876C7E" w:rsidRDefault="00B336F2" w14:paraId="787188E5" w14:textId="77777777">
      <w:pPr>
        <w:spacing w:after="0" w:line="360" w:lineRule="auto"/>
        <w:rPr>
          <w:rFonts w:eastAsia="Times New Roman" w:cs="Tahoma"/>
          <w:color w:val="auto"/>
          <w:szCs w:val="24"/>
          <w:lang w:val="es-ES" w:eastAsia="es-ES"/>
        </w:rPr>
      </w:pPr>
    </w:p>
    <w:p w:rsidRPr="005E0748" w:rsidR="00876C7E" w:rsidP="00876C7E" w:rsidRDefault="00876C7E" w14:paraId="29D54ABD" w14:textId="30BC2826">
      <w:pPr>
        <w:spacing w:after="0" w:line="360" w:lineRule="auto"/>
        <w:rPr>
          <w:rFonts w:eastAsia="Calibri" w:cs="Times New Roman"/>
          <w:b/>
          <w:color w:val="000000"/>
        </w:rPr>
      </w:pPr>
      <w:r w:rsidRPr="005E0748">
        <w:rPr>
          <w:rFonts w:eastAsia="Times New Roman" w:cs="Tahoma"/>
          <w:color w:val="auto"/>
          <w:szCs w:val="24"/>
          <w:lang w:val="es-ES" w:eastAsia="es-ES"/>
        </w:rPr>
        <w:t xml:space="preserve">Conforme a lo anterior, se colige que, durante la sustanciación del Medio de Impugnación, el Sujeto Obligado modificó su actuar y en cumplimiento a los artículos 12 y 160 de la Ley de la materia, proporcionó </w:t>
      </w:r>
      <w:r w:rsidRPr="005E0748" w:rsidR="00383165">
        <w:rPr>
          <w:rFonts w:eastAsia="Times New Roman" w:cs="Tahoma"/>
          <w:color w:val="auto"/>
          <w:szCs w:val="24"/>
          <w:lang w:val="es-ES" w:eastAsia="es-ES"/>
        </w:rPr>
        <w:t>los documentos que</w:t>
      </w:r>
      <w:r w:rsidRPr="005E0748">
        <w:rPr>
          <w:rFonts w:eastAsia="Times New Roman" w:cs="Tahoma"/>
          <w:color w:val="auto"/>
          <w:szCs w:val="24"/>
          <w:lang w:val="es-ES" w:eastAsia="es-ES"/>
        </w:rPr>
        <w:t xml:space="preserve"> obraba</w:t>
      </w:r>
      <w:r w:rsidRPr="005E0748" w:rsidR="00383165">
        <w:rPr>
          <w:rFonts w:eastAsia="Times New Roman" w:cs="Tahoma"/>
          <w:color w:val="auto"/>
          <w:szCs w:val="24"/>
          <w:lang w:val="es-ES" w:eastAsia="es-ES"/>
        </w:rPr>
        <w:t>n</w:t>
      </w:r>
      <w:r w:rsidRPr="005E0748">
        <w:rPr>
          <w:rFonts w:eastAsia="Times New Roman" w:cs="Tahoma"/>
          <w:color w:val="auto"/>
          <w:szCs w:val="24"/>
          <w:lang w:val="es-ES" w:eastAsia="es-ES"/>
        </w:rPr>
        <w:t xml:space="preserve"> en sus archivos y da</w:t>
      </w:r>
      <w:r w:rsidRPr="005E0748" w:rsidR="00383165">
        <w:rPr>
          <w:rFonts w:eastAsia="Times New Roman" w:cs="Tahoma"/>
          <w:color w:val="auto"/>
          <w:szCs w:val="24"/>
          <w:lang w:val="es-ES" w:eastAsia="es-ES"/>
        </w:rPr>
        <w:t>ban</w:t>
      </w:r>
      <w:r w:rsidRPr="005E0748">
        <w:rPr>
          <w:rFonts w:eastAsia="Times New Roman" w:cs="Tahoma"/>
          <w:color w:val="auto"/>
          <w:szCs w:val="24"/>
          <w:lang w:val="es-ES" w:eastAsia="es-ES"/>
        </w:rPr>
        <w:t xml:space="preserve"> cuenta de lo peticionado,</w:t>
      </w:r>
      <w:r w:rsidRPr="005E0748">
        <w:rPr>
          <w:rFonts w:eastAsia="Calibri" w:cs="Times New Roman"/>
          <w:b/>
          <w:color w:val="000000"/>
        </w:rPr>
        <w:t xml:space="preserve"> por lo que,</w:t>
      </w:r>
      <w:r w:rsidRPr="005E0748">
        <w:rPr>
          <w:rFonts w:eastAsia="Calibri" w:cs="Times New Roman"/>
          <w:b/>
          <w:color w:val="000000"/>
          <w:lang w:val="x-none"/>
        </w:rPr>
        <w:t xml:space="preserve"> se considera que la impugnación que se dirime ha quedado sin materia.</w:t>
      </w:r>
    </w:p>
    <w:p w:rsidRPr="005E0748" w:rsidR="001644D7" w:rsidP="000B4D1A" w:rsidRDefault="001644D7" w14:paraId="42835D3E" w14:textId="176ACA25">
      <w:pPr>
        <w:spacing w:after="0" w:line="360" w:lineRule="auto"/>
        <w:rPr>
          <w:rFonts w:eastAsia="Times New Roman" w:cs="Tahoma"/>
          <w:bCs/>
          <w:iCs/>
          <w:color w:val="auto"/>
          <w:lang w:val="es-ES" w:eastAsia="es-ES"/>
        </w:rPr>
      </w:pPr>
    </w:p>
    <w:p w:rsidRPr="005E0748" w:rsidR="006A22A5" w:rsidP="006A22A5" w:rsidRDefault="006A22A5" w14:paraId="552F4916" w14:textId="7D5C1F20">
      <w:pPr>
        <w:spacing w:after="0" w:line="360" w:lineRule="auto"/>
        <w:rPr>
          <w:rFonts w:eastAsia="Calibri" w:cs="Tahoma"/>
          <w:b/>
          <w:color w:val="000000"/>
        </w:rPr>
      </w:pPr>
      <w:r w:rsidRPr="005E0748">
        <w:rPr>
          <w:rFonts w:eastAsia="Calibri" w:cs="Tahoma"/>
          <w:b/>
          <w:color w:val="000000"/>
        </w:rPr>
        <w:t xml:space="preserve">SEXTO. Decisión. </w:t>
      </w:r>
    </w:p>
    <w:p w:rsidRPr="005E0748" w:rsidR="006A22A5" w:rsidP="006A22A5" w:rsidRDefault="006A22A5" w14:paraId="1213C4C2" w14:textId="77777777">
      <w:pPr>
        <w:spacing w:after="0" w:line="360" w:lineRule="auto"/>
        <w:contextualSpacing/>
        <w:rPr>
          <w:rFonts w:eastAsia="Calibri" w:cs="Tahoma"/>
          <w:b/>
          <w:color w:val="000000"/>
        </w:rPr>
      </w:pPr>
    </w:p>
    <w:p w:rsidRPr="005E0748" w:rsidR="00383165" w:rsidP="00383165" w:rsidRDefault="00383165" w14:paraId="3F6942BE" w14:textId="77777777">
      <w:pPr>
        <w:spacing w:after="0" w:line="360" w:lineRule="auto"/>
        <w:rPr>
          <w:rFonts w:eastAsia="Calibri" w:cs="Tahoma"/>
          <w:bCs/>
          <w:color w:val="000000"/>
          <w:lang w:val="es-ES"/>
        </w:rPr>
      </w:pPr>
      <w:r w:rsidRPr="005E0748">
        <w:rPr>
          <w:rFonts w:eastAsia="Calibri" w:cs="Tahoma"/>
          <w:bCs/>
          <w:color w:val="000000"/>
          <w:lang w:val="es-ES"/>
        </w:rPr>
        <w:t xml:space="preserve">Con fundamento en lo dispuesto en el artículo 186, fracción I de la Ley de Transparencia y Acceso a la Información Pública del Estado de México y Municipios, se considera procedente </w:t>
      </w:r>
      <w:r w:rsidRPr="005E0748">
        <w:rPr>
          <w:rFonts w:eastAsia="Calibri" w:cs="Tahoma"/>
          <w:b/>
          <w:bCs/>
          <w:color w:val="000000"/>
          <w:lang w:val="es-ES"/>
        </w:rPr>
        <w:t xml:space="preserve">SOBRESEER </w:t>
      </w:r>
      <w:r w:rsidRPr="005E0748">
        <w:rPr>
          <w:rFonts w:eastAsia="Calibri" w:cs="Tahoma"/>
          <w:bCs/>
          <w:color w:val="000000"/>
          <w:lang w:val="es-ES"/>
        </w:rPr>
        <w:t>el Recurso de Revisión, en virtud de que se actualiza la hipótesis normativa prevista en la fracción III, del artículo 192, del citado ordenamiento legal.</w:t>
      </w:r>
    </w:p>
    <w:p w:rsidRPr="005E0748" w:rsidR="006A22A5" w:rsidP="006A22A5" w:rsidRDefault="006A22A5" w14:paraId="7EA18F43" w14:textId="77777777">
      <w:pPr>
        <w:spacing w:after="0" w:line="360" w:lineRule="auto"/>
        <w:rPr>
          <w:rFonts w:eastAsia="Times New Roman" w:cs="Tahoma"/>
          <w:color w:val="auto"/>
          <w:lang w:eastAsia="es-ES"/>
        </w:rPr>
      </w:pPr>
    </w:p>
    <w:p w:rsidRPr="005E0748" w:rsidR="006A22A5" w:rsidP="006A22A5" w:rsidRDefault="006A22A5" w14:paraId="1701F5D4" w14:textId="77777777">
      <w:pPr>
        <w:autoSpaceDE w:val="0"/>
        <w:autoSpaceDN w:val="0"/>
        <w:adjustRightInd w:val="0"/>
        <w:spacing w:after="0" w:line="360" w:lineRule="auto"/>
        <w:rPr>
          <w:rFonts w:eastAsia="Calibri" w:cs="Tahoma"/>
          <w:b/>
          <w:bCs/>
          <w:iCs/>
          <w:color w:val="auto"/>
          <w:lang w:val="es-ES"/>
        </w:rPr>
      </w:pPr>
      <w:r w:rsidRPr="005E0748">
        <w:rPr>
          <w:rFonts w:eastAsia="Calibri" w:cs="Tahoma"/>
          <w:b/>
          <w:bCs/>
          <w:iCs/>
          <w:color w:val="auto"/>
          <w:lang w:val="es-ES"/>
        </w:rPr>
        <w:t>Términos de la Resolución para conocimiento del Particular.</w:t>
      </w:r>
    </w:p>
    <w:p w:rsidRPr="005E0748" w:rsidR="006A22A5" w:rsidP="006A22A5" w:rsidRDefault="006A22A5" w14:paraId="41407C7D" w14:textId="77777777">
      <w:pPr>
        <w:autoSpaceDE w:val="0"/>
        <w:autoSpaceDN w:val="0"/>
        <w:adjustRightInd w:val="0"/>
        <w:spacing w:after="0" w:line="360" w:lineRule="auto"/>
        <w:rPr>
          <w:rFonts w:eastAsia="Calibri" w:cs="Tahoma"/>
          <w:b/>
          <w:bCs/>
          <w:iCs/>
          <w:color w:val="auto"/>
          <w:lang w:val="es-ES"/>
        </w:rPr>
      </w:pPr>
    </w:p>
    <w:p w:rsidRPr="005E0748" w:rsidR="006A22A5" w:rsidP="008B4406" w:rsidRDefault="006A22A5" w14:paraId="314287E1" w14:textId="493D931E">
      <w:pPr>
        <w:widowControl w:val="0"/>
        <w:autoSpaceDE w:val="0"/>
        <w:autoSpaceDN w:val="0"/>
        <w:adjustRightInd w:val="0"/>
        <w:spacing w:after="0" w:line="360" w:lineRule="auto"/>
        <w:rPr>
          <w:rFonts w:eastAsia="Calibri" w:cs="Tahoma"/>
          <w:bCs/>
          <w:iCs/>
          <w:color w:val="auto"/>
          <w:lang w:val="es-ES"/>
        </w:rPr>
      </w:pPr>
      <w:r w:rsidRPr="005E0748">
        <w:rPr>
          <w:rFonts w:eastAsia="Calibri" w:cs="Tahoma"/>
          <w:bCs/>
          <w:iCs/>
          <w:color w:val="auto"/>
          <w:lang w:val="es-ES"/>
        </w:rPr>
        <w:t xml:space="preserve">Se le hace del conocimiento al Particular, que, en el presente caso, se le da la razón, pues el Ayuntamiento de </w:t>
      </w:r>
      <w:r w:rsidRPr="005E0748" w:rsidR="008B4406">
        <w:rPr>
          <w:rFonts w:eastAsia="Calibri" w:cs="Tahoma"/>
          <w:bCs/>
          <w:iCs/>
          <w:color w:val="auto"/>
          <w:lang w:val="es-ES"/>
        </w:rPr>
        <w:t>Tonanitla</w:t>
      </w:r>
      <w:r w:rsidRPr="005E0748" w:rsidR="00B7271A">
        <w:rPr>
          <w:rFonts w:eastAsia="Calibri" w:cs="Tahoma"/>
          <w:bCs/>
          <w:iCs/>
          <w:color w:val="auto"/>
          <w:lang w:val="es-ES"/>
        </w:rPr>
        <w:t xml:space="preserve">, </w:t>
      </w:r>
      <w:r w:rsidRPr="005E0748" w:rsidR="008B4406">
        <w:rPr>
          <w:rFonts w:eastAsia="Calibri" w:cs="Tahoma"/>
          <w:bCs/>
          <w:iCs/>
          <w:color w:val="auto"/>
          <w:lang w:val="es-ES"/>
        </w:rPr>
        <w:t xml:space="preserve">proporcionó la información requerida de forma </w:t>
      </w:r>
      <w:r w:rsidRPr="005E0748" w:rsidR="00B7271A">
        <w:rPr>
          <w:rFonts w:eastAsia="Calibri" w:cs="Tahoma"/>
          <w:bCs/>
          <w:iCs/>
          <w:color w:val="auto"/>
          <w:lang w:val="es-ES"/>
        </w:rPr>
        <w:t>in</w:t>
      </w:r>
      <w:r w:rsidRPr="005E0748" w:rsidR="008B4406">
        <w:rPr>
          <w:rFonts w:eastAsia="Calibri" w:cs="Tahoma"/>
          <w:bCs/>
          <w:iCs/>
          <w:color w:val="auto"/>
          <w:lang w:val="es-ES"/>
        </w:rPr>
        <w:t>completa</w:t>
      </w:r>
      <w:r w:rsidRPr="005E0748" w:rsidR="00383165">
        <w:rPr>
          <w:rFonts w:eastAsia="Calibri" w:cs="Tahoma"/>
          <w:bCs/>
          <w:iCs/>
          <w:color w:val="auto"/>
          <w:lang w:val="es-ES"/>
        </w:rPr>
        <w:t>; no obstante, durante la sustanciación del Medio de Impugnación, el Sujeto Obligado proporcionó los documentos con la información completa.</w:t>
      </w:r>
    </w:p>
    <w:p w:rsidRPr="005E0748" w:rsidR="00B7271A" w:rsidP="006A22A5" w:rsidRDefault="00B7271A" w14:paraId="56FB8D4F" w14:textId="77777777">
      <w:pPr>
        <w:spacing w:after="0" w:line="360" w:lineRule="auto"/>
        <w:rPr>
          <w:rFonts w:eastAsia="Calibri" w:cs="Tahoma"/>
          <w:bCs/>
          <w:iCs/>
          <w:color w:val="auto"/>
        </w:rPr>
      </w:pPr>
    </w:p>
    <w:p w:rsidRPr="005E0748" w:rsidR="006A22A5" w:rsidP="006A22A5" w:rsidRDefault="006A22A5" w14:paraId="606389E2" w14:textId="1D68C288">
      <w:pPr>
        <w:spacing w:after="0" w:line="360" w:lineRule="auto"/>
        <w:rPr>
          <w:rFonts w:eastAsia="Calibri" w:cs="Tahoma"/>
          <w:bCs/>
          <w:iCs/>
          <w:color w:val="auto"/>
        </w:rPr>
      </w:pPr>
      <w:r w:rsidRPr="005E0748">
        <w:rPr>
          <w:rFonts w:eastAsia="Calibri" w:cs="Tahoma"/>
          <w:bCs/>
          <w:iCs/>
          <w:color w:val="auto"/>
        </w:rPr>
        <w:t>Finalmente, labor del Instituto de Transparencia, Acceso a la Información Pública y Protección de Datos Personales del Estado de México y Municipios, es apoyar a la población a acceder a la información pública y garantizar la protección de sus datos personales.</w:t>
      </w:r>
    </w:p>
    <w:p w:rsidRPr="005E0748" w:rsidR="008B4406" w:rsidP="006A22A5" w:rsidRDefault="008B4406" w14:paraId="4ACE2BAB" w14:textId="77777777">
      <w:pPr>
        <w:spacing w:after="0" w:line="360" w:lineRule="auto"/>
        <w:rPr>
          <w:rFonts w:eastAsia="Times New Roman" w:cs="Tahoma"/>
          <w:b/>
          <w:bCs/>
          <w:iCs/>
          <w:color w:val="auto"/>
          <w:lang w:eastAsia="es-ES"/>
        </w:rPr>
      </w:pPr>
    </w:p>
    <w:p w:rsidRPr="005E0748" w:rsidR="006A22A5" w:rsidP="006A22A5" w:rsidRDefault="006A22A5" w14:paraId="73DE207C" w14:textId="173441D4">
      <w:pPr>
        <w:spacing w:after="0" w:line="360" w:lineRule="auto"/>
        <w:rPr>
          <w:rFonts w:eastAsia="Times New Roman" w:cs="Tahoma"/>
          <w:bCs/>
          <w:color w:val="auto"/>
          <w:lang w:eastAsia="es-ES"/>
        </w:rPr>
      </w:pPr>
      <w:r w:rsidRPr="005E0748">
        <w:rPr>
          <w:rFonts w:eastAsia="Times New Roman" w:cs="Tahoma"/>
          <w:bCs/>
          <w:color w:val="auto"/>
          <w:lang w:eastAsia="es-ES"/>
        </w:rPr>
        <w:lastRenderedPageBreak/>
        <w:t>Por lo expuesto y fundado, este Pleno:</w:t>
      </w:r>
    </w:p>
    <w:p w:rsidRPr="005E0748" w:rsidR="006A22A5" w:rsidP="006A22A5" w:rsidRDefault="006A22A5" w14:paraId="2B912391" w14:textId="77777777">
      <w:pPr>
        <w:spacing w:after="0" w:line="360" w:lineRule="auto"/>
        <w:rPr>
          <w:rFonts w:eastAsia="Times New Roman" w:cs="Tahoma"/>
          <w:bCs/>
          <w:color w:val="auto"/>
          <w:lang w:eastAsia="es-ES"/>
        </w:rPr>
      </w:pPr>
    </w:p>
    <w:p w:rsidRPr="005E0748" w:rsidR="006A22A5" w:rsidP="006A22A5" w:rsidRDefault="006A22A5" w14:paraId="7A0E4884" w14:textId="77777777">
      <w:pPr>
        <w:spacing w:after="0" w:line="360" w:lineRule="auto"/>
        <w:jc w:val="center"/>
        <w:rPr>
          <w:rFonts w:eastAsia="Times New Roman" w:cs="Tahoma"/>
          <w:b/>
          <w:bCs/>
          <w:color w:val="auto"/>
          <w:lang w:eastAsia="es-ES"/>
        </w:rPr>
      </w:pPr>
      <w:r w:rsidRPr="005E0748">
        <w:rPr>
          <w:rFonts w:eastAsia="Times New Roman" w:cs="Tahoma"/>
          <w:b/>
          <w:bCs/>
          <w:color w:val="auto"/>
          <w:lang w:eastAsia="es-ES"/>
        </w:rPr>
        <w:t>R E S U E L V E:</w:t>
      </w:r>
    </w:p>
    <w:p w:rsidRPr="005E0748" w:rsidR="006A22A5" w:rsidP="006A22A5" w:rsidRDefault="006A22A5" w14:paraId="1100DDCD" w14:textId="77777777">
      <w:pPr>
        <w:spacing w:after="0" w:line="360" w:lineRule="auto"/>
        <w:ind w:right="113"/>
        <w:rPr>
          <w:rFonts w:eastAsia="Times New Roman" w:cs="Arial"/>
          <w:b/>
          <w:color w:val="auto"/>
          <w:lang w:eastAsia="es-ES"/>
        </w:rPr>
      </w:pPr>
    </w:p>
    <w:p w:rsidRPr="005E0748" w:rsidR="00383165" w:rsidP="00383165" w:rsidRDefault="00383165" w14:paraId="538F5A29" w14:textId="04F4F6A1">
      <w:pPr>
        <w:spacing w:after="0" w:line="360" w:lineRule="auto"/>
        <w:rPr>
          <w:rFonts w:eastAsia="Calibri" w:cs="Tahoma"/>
          <w:b/>
          <w:bCs/>
          <w:iCs/>
        </w:rPr>
      </w:pPr>
      <w:r w:rsidRPr="005E0748">
        <w:rPr>
          <w:rFonts w:eastAsia="Calibri" w:cs="Tahoma"/>
          <w:b/>
          <w:bCs/>
          <w:iCs/>
        </w:rPr>
        <w:t xml:space="preserve">PRIMERO. </w:t>
      </w:r>
      <w:r w:rsidRPr="005E0748">
        <w:rPr>
          <w:rFonts w:eastAsia="Calibri" w:cs="Tahoma"/>
          <w:bCs/>
          <w:iCs/>
        </w:rPr>
        <w:t xml:space="preserve">Se </w:t>
      </w:r>
      <w:r w:rsidRPr="005E0748">
        <w:rPr>
          <w:rFonts w:eastAsia="Calibri" w:cs="Tahoma"/>
          <w:b/>
          <w:bCs/>
          <w:iCs/>
        </w:rPr>
        <w:t xml:space="preserve">SOBRESEE </w:t>
      </w:r>
      <w:r w:rsidRPr="005E0748">
        <w:rPr>
          <w:rFonts w:eastAsia="Calibri" w:cs="Tahoma"/>
          <w:bCs/>
          <w:iCs/>
        </w:rPr>
        <w:t>el Recurso de Revisión con número</w:t>
      </w:r>
      <w:r w:rsidRPr="005E0748">
        <w:rPr>
          <w:rFonts w:eastAsia="Calibri" w:cs="Tahoma"/>
          <w:b/>
          <w:bCs/>
          <w:iCs/>
        </w:rPr>
        <w:t xml:space="preserve"> </w:t>
      </w:r>
      <w:r w:rsidRPr="005E0748">
        <w:rPr>
          <w:rFonts w:eastAsia="Calibri" w:cs="Tahoma"/>
        </w:rPr>
        <w:t>10481/INFOEM/IP/RR/2022</w:t>
      </w:r>
      <w:r w:rsidRPr="005E0748">
        <w:rPr>
          <w:rFonts w:eastAsia="Calibri" w:cs="Tahoma"/>
          <w:bCs/>
          <w:iCs/>
        </w:rPr>
        <w:t>,</w:t>
      </w:r>
      <w:r w:rsidRPr="005E0748">
        <w:rPr>
          <w:rFonts w:eastAsia="Calibri" w:cs="Tahoma"/>
          <w:bCs/>
          <w:iCs/>
          <w:color w:val="auto"/>
        </w:rPr>
        <w:t xml:space="preserve"> </w:t>
      </w:r>
      <w:r w:rsidRPr="005E0748">
        <w:rPr>
          <w:rFonts w:eastAsia="Calibri" w:cs="Tahoma"/>
          <w:bCs/>
          <w:iCs/>
          <w:color w:val="auto"/>
          <w:lang w:val="es-ES"/>
        </w:rPr>
        <w:t>en términos del artículo 192, fracción III, de la Ley de Transparencia y Acceso a la Información Pública del Estado de México y Municipios</w:t>
      </w:r>
      <w:r w:rsidRPr="005E0748">
        <w:rPr>
          <w:rFonts w:cs="Arial"/>
          <w:bCs/>
          <w:color w:val="000000"/>
          <w:lang w:val="es-ES"/>
        </w:rPr>
        <w:t xml:space="preserve">, </w:t>
      </w:r>
      <w:r w:rsidRPr="005E0748">
        <w:rPr>
          <w:rFonts w:cs="Tahoma"/>
          <w:bCs/>
          <w:iCs/>
          <w:szCs w:val="24"/>
          <w:lang w:val="es-ES_tradnl"/>
        </w:rPr>
        <w:t>porque el Sujeto Obligado al modificar la respuesta de la solicitud de acceso a la información con número de folio</w:t>
      </w:r>
      <w:r w:rsidRPr="005E0748">
        <w:rPr>
          <w:rFonts w:eastAsia="Calibri" w:cs="Tahoma"/>
          <w:bCs/>
          <w:iCs/>
        </w:rPr>
        <w:t xml:space="preserve"> </w:t>
      </w:r>
      <w:r w:rsidRPr="005E0748">
        <w:t>00042/TONANI/IP/2022</w:t>
      </w:r>
      <w:r w:rsidRPr="005E0748">
        <w:rPr>
          <w:rFonts w:eastAsia="Calibri" w:cs="Tahoma"/>
          <w:bCs/>
          <w:iCs/>
        </w:rPr>
        <w:t>,  el Medio de Impugnación, quedó sin materia, en términos de los Considerandos</w:t>
      </w:r>
      <w:r w:rsidRPr="005E0748">
        <w:rPr>
          <w:rFonts w:eastAsia="Calibri" w:cs="Tahoma"/>
          <w:b/>
          <w:bCs/>
          <w:iCs/>
        </w:rPr>
        <w:t xml:space="preserve"> </w:t>
      </w:r>
      <w:r w:rsidRPr="005E0748">
        <w:rPr>
          <w:rFonts w:eastAsia="Calibri" w:cs="Tahoma"/>
          <w:bCs/>
          <w:iCs/>
        </w:rPr>
        <w:t>TERCERO y CUARTO</w:t>
      </w:r>
      <w:r w:rsidRPr="005E0748">
        <w:rPr>
          <w:rFonts w:eastAsia="Calibri" w:cs="Tahoma"/>
          <w:b/>
          <w:bCs/>
          <w:iCs/>
        </w:rPr>
        <w:t xml:space="preserve"> </w:t>
      </w:r>
      <w:r w:rsidRPr="005E0748">
        <w:rPr>
          <w:rFonts w:eastAsia="Calibri" w:cs="Tahoma"/>
          <w:bCs/>
          <w:iCs/>
        </w:rPr>
        <w:t>de la presente Resolución.</w:t>
      </w:r>
    </w:p>
    <w:p w:rsidRPr="005E0748" w:rsidR="00383165" w:rsidP="006A22A5" w:rsidRDefault="00383165" w14:paraId="260F76B9" w14:textId="77777777">
      <w:pPr>
        <w:spacing w:after="0" w:line="360" w:lineRule="auto"/>
        <w:ind w:right="113"/>
        <w:rPr>
          <w:rFonts w:eastAsia="Times New Roman" w:cs="Arial"/>
          <w:b/>
          <w:color w:val="auto"/>
          <w:lang w:eastAsia="es-ES"/>
        </w:rPr>
      </w:pPr>
    </w:p>
    <w:p w:rsidRPr="005E0748" w:rsidR="00383165" w:rsidP="00383165" w:rsidRDefault="00383165" w14:paraId="18D359F2" w14:textId="77777777">
      <w:pPr>
        <w:spacing w:after="0" w:line="360" w:lineRule="auto"/>
        <w:rPr>
          <w:rFonts w:eastAsia="Calibri" w:cs="Tahoma"/>
          <w:b/>
          <w:bCs/>
          <w:iCs/>
        </w:rPr>
      </w:pPr>
      <w:r w:rsidRPr="005E0748">
        <w:rPr>
          <w:rFonts w:eastAsia="Calibri" w:cs="Tahoma"/>
          <w:b/>
          <w:bCs/>
          <w:iCs/>
        </w:rPr>
        <w:t xml:space="preserve">SEGUNDO. NOTIFÍQUESE </w:t>
      </w:r>
      <w:r w:rsidRPr="005E0748">
        <w:rPr>
          <w:rFonts w:eastAsia="Calibri" w:cs="Tahoma"/>
          <w:bCs/>
          <w:iCs/>
        </w:rPr>
        <w:t>la presente Resolución al Titular de la Unidad de Transparencia del Sujeto Obligado.</w:t>
      </w:r>
    </w:p>
    <w:p w:rsidRPr="005E0748" w:rsidR="00383165" w:rsidP="00383165" w:rsidRDefault="00383165" w14:paraId="7F2E663D" w14:textId="77777777">
      <w:pPr>
        <w:spacing w:after="0" w:line="360" w:lineRule="auto"/>
        <w:rPr>
          <w:rFonts w:eastAsia="Calibri" w:cs="Tahoma"/>
          <w:b/>
          <w:bCs/>
          <w:i/>
          <w:iCs/>
        </w:rPr>
      </w:pPr>
    </w:p>
    <w:p w:rsidRPr="005E0748" w:rsidR="00383165" w:rsidP="00383165" w:rsidRDefault="00383165" w14:paraId="32151D62" w14:textId="77777777">
      <w:pPr>
        <w:spacing w:after="0" w:line="360" w:lineRule="auto"/>
        <w:rPr>
          <w:rFonts w:eastAsia="Calibri" w:cs="Tahoma"/>
          <w:b/>
          <w:bCs/>
          <w:iCs/>
        </w:rPr>
      </w:pPr>
      <w:r w:rsidRPr="005E0748">
        <w:rPr>
          <w:rFonts w:eastAsia="Calibri" w:cs="Tahoma"/>
          <w:b/>
          <w:bCs/>
          <w:iCs/>
        </w:rPr>
        <w:t xml:space="preserve">TERCERO. NOTIFÍQUESE </w:t>
      </w:r>
      <w:r w:rsidRPr="005E0748">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E0748" w:rsidR="006A22A5" w:rsidP="006A22A5" w:rsidRDefault="006A22A5" w14:paraId="700E5962" w14:textId="77777777">
      <w:pPr>
        <w:spacing w:after="0" w:line="360" w:lineRule="auto"/>
        <w:ind w:right="-93"/>
        <w:rPr>
          <w:rFonts w:eastAsia="Calibri" w:cs="Tahoma"/>
          <w:bCs/>
          <w:color w:val="auto"/>
        </w:rPr>
      </w:pPr>
    </w:p>
    <w:p w:rsidR="006A22A5" w:rsidP="006A22A5" w:rsidRDefault="006A22A5" w14:paraId="7187F91D" w14:textId="2BE37788">
      <w:pPr>
        <w:spacing w:after="0" w:line="360" w:lineRule="auto"/>
      </w:pPr>
      <w:r w:rsidRPr="005E0748">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5E0748" w:rsidR="00AE7BD5">
        <w:rPr>
          <w:rFonts w:eastAsia="Calibri" w:cs="Tahoma"/>
          <w:lang w:val="es-ES" w:eastAsia="es-ES_tradnl"/>
        </w:rPr>
        <w:t>OCTAVA</w:t>
      </w:r>
      <w:r w:rsidRPr="005E0748">
        <w:rPr>
          <w:rFonts w:eastAsia="Calibri" w:cs="Tahoma"/>
          <w:lang w:val="es-ES" w:eastAsia="es-ES_tradnl"/>
        </w:rPr>
        <w:t xml:space="preserve"> SESIÓN ORDINARIA, CELEBRADA EL </w:t>
      </w:r>
      <w:r w:rsidRPr="005E0748" w:rsidR="00AE7BD5">
        <w:rPr>
          <w:rFonts w:eastAsia="Calibri" w:cs="Tahoma"/>
          <w:lang w:val="es-ES" w:eastAsia="es-ES_tradnl"/>
        </w:rPr>
        <w:t xml:space="preserve">PRIMERO DE MARZO </w:t>
      </w:r>
      <w:r w:rsidRPr="005E0748">
        <w:rPr>
          <w:rFonts w:eastAsia="Calibri" w:cs="Tahoma"/>
          <w:lang w:val="es-ES" w:eastAsia="es-ES_tradnl"/>
        </w:rPr>
        <w:t>DE DOS MIL VEINTI</w:t>
      </w:r>
      <w:r w:rsidRPr="005E0748" w:rsidR="00AE7BD5">
        <w:rPr>
          <w:rFonts w:eastAsia="Calibri" w:cs="Tahoma"/>
          <w:lang w:val="es-ES" w:eastAsia="es-ES_tradnl"/>
        </w:rPr>
        <w:t>TRÉ</w:t>
      </w:r>
      <w:r w:rsidRPr="005E0748">
        <w:rPr>
          <w:rFonts w:eastAsia="Calibri" w:cs="Tahoma"/>
          <w:lang w:val="es-ES" w:eastAsia="es-ES_tradnl"/>
        </w:rPr>
        <w:t>S, ANTE EL SECRETARIO TÉCNICO DEL PLENO, ALEXIS TAPIA RAMÍREZ.</w:t>
      </w:r>
      <w:r>
        <w:br w:type="page"/>
      </w:r>
    </w:p>
    <w:p w:rsidR="006A22A5" w:rsidP="006A22A5" w:rsidRDefault="006A22A5" w14:paraId="086CB8C3" w14:textId="77777777">
      <w:pPr>
        <w:spacing w:after="0" w:line="360" w:lineRule="auto"/>
      </w:pPr>
    </w:p>
    <w:p w:rsidR="006A22A5" w:rsidP="006A22A5" w:rsidRDefault="006A22A5" w14:paraId="4DF8C19E" w14:textId="77777777">
      <w:pPr>
        <w:spacing w:after="0" w:line="360" w:lineRule="auto"/>
      </w:pPr>
    </w:p>
    <w:p w:rsidR="006A22A5" w:rsidP="006A22A5" w:rsidRDefault="006A22A5" w14:paraId="5B28ADC1" w14:textId="77777777">
      <w:pPr>
        <w:spacing w:after="0" w:line="360" w:lineRule="auto"/>
      </w:pPr>
    </w:p>
    <w:p w:rsidR="00BE7CE0" w:rsidRDefault="00BE7CE0" w14:paraId="429E9968" w14:textId="77777777"/>
    <w:sectPr w:rsidR="00BE7CE0" w:rsidSect="00CD071D">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E9B" w:rsidP="006A22A5" w:rsidRDefault="00AE3E9B" w14:paraId="55534EBC" w14:textId="77777777">
      <w:pPr>
        <w:spacing w:after="0" w:line="240" w:lineRule="auto"/>
      </w:pPr>
      <w:r>
        <w:separator/>
      </w:r>
    </w:p>
  </w:endnote>
  <w:endnote w:type="continuationSeparator" w:id="0">
    <w:p w:rsidR="00AE3E9B" w:rsidP="006A22A5" w:rsidRDefault="00AE3E9B" w14:paraId="3F68A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71D" w:rsidRDefault="00CD071D" w14:paraId="41BC8F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CD071D" w:rsidRDefault="00CD071D" w14:paraId="79E5019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CD071D" w:rsidRDefault="00CD071D" w14:paraId="3D9B1C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4122">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4122">
              <w:rPr>
                <w:b/>
                <w:bCs/>
                <w:noProof/>
              </w:rPr>
              <w:t>23</w:t>
            </w:r>
            <w:r>
              <w:rPr>
                <w:b/>
                <w:bCs/>
                <w:sz w:val="24"/>
                <w:szCs w:val="24"/>
              </w:rPr>
              <w:fldChar w:fldCharType="end"/>
            </w:r>
          </w:p>
        </w:sdtContent>
      </w:sdt>
    </w:sdtContent>
  </w:sdt>
  <w:p w:rsidR="00CD071D" w:rsidRDefault="00CD071D" w14:paraId="02B091B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071D" w:rsidRDefault="00CD071D" w14:paraId="2363F8B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41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4122">
      <w:rPr>
        <w:b/>
        <w:bCs/>
        <w:noProof/>
      </w:rPr>
      <w:t>23</w:t>
    </w:r>
    <w:r>
      <w:rPr>
        <w:b/>
        <w:bCs/>
        <w:sz w:val="24"/>
        <w:szCs w:val="24"/>
      </w:rPr>
      <w:fldChar w:fldCharType="end"/>
    </w:r>
  </w:p>
  <w:p w:rsidR="00CD071D" w:rsidRDefault="00CD071D" w14:paraId="4D49EBE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E9B" w:rsidP="006A22A5" w:rsidRDefault="00AE3E9B" w14:paraId="75DF46AA" w14:textId="77777777">
      <w:pPr>
        <w:spacing w:after="0" w:line="240" w:lineRule="auto"/>
      </w:pPr>
      <w:r>
        <w:separator/>
      </w:r>
    </w:p>
  </w:footnote>
  <w:footnote w:type="continuationSeparator" w:id="0">
    <w:p w:rsidR="00AE3E9B" w:rsidP="006A22A5" w:rsidRDefault="00AE3E9B" w14:paraId="4C14CE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CD071D" w:rsidTr="00CD071D" w14:paraId="051BE0A5" w14:textId="77777777">
      <w:trPr>
        <w:trHeight w:val="132"/>
      </w:trPr>
      <w:tc>
        <w:tcPr>
          <w:tcW w:w="2691" w:type="dxa"/>
        </w:tcPr>
        <w:p w:rsidRPr="00E152D8" w:rsidR="00CD071D" w:rsidP="00CD071D" w:rsidRDefault="00CD071D" w14:paraId="11651000"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CD071D" w:rsidP="00CD071D" w:rsidRDefault="00CD071D" w14:paraId="6D237A68" w14:textId="77777777">
          <w:pPr>
            <w:tabs>
              <w:tab w:val="right" w:pos="8838"/>
            </w:tabs>
            <w:ind w:left="-28" w:right="-32"/>
            <w:rPr>
              <w:rFonts w:eastAsia="Calibri" w:cs="Tahoma"/>
            </w:rPr>
          </w:pPr>
          <w:r w:rsidRPr="00EE1572">
            <w:rPr>
              <w:rFonts w:eastAsia="Calibri" w:cs="Tahoma"/>
            </w:rPr>
            <w:t>03846/INFOEM/IP/RR/2020</w:t>
          </w:r>
        </w:p>
      </w:tc>
    </w:tr>
    <w:tr w:rsidRPr="00E152D8" w:rsidR="00CD071D" w:rsidTr="00CD071D" w14:paraId="6CB9598A" w14:textId="77777777">
      <w:trPr>
        <w:trHeight w:val="261"/>
      </w:trPr>
      <w:tc>
        <w:tcPr>
          <w:tcW w:w="2691" w:type="dxa"/>
        </w:tcPr>
        <w:p w:rsidRPr="00E152D8" w:rsidR="00CD071D" w:rsidP="00CD071D" w:rsidRDefault="00CD071D" w14:paraId="1985CCF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CD071D" w:rsidP="00CD071D" w:rsidRDefault="00CD071D" w14:paraId="3D151452"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CD071D" w:rsidTr="00CD071D" w14:paraId="586FE35D" w14:textId="77777777">
      <w:trPr>
        <w:trHeight w:val="261"/>
      </w:trPr>
      <w:tc>
        <w:tcPr>
          <w:tcW w:w="2691" w:type="dxa"/>
        </w:tcPr>
        <w:p w:rsidRPr="00E152D8" w:rsidR="00CD071D" w:rsidP="00CD071D" w:rsidRDefault="00CD071D" w14:paraId="1DACF57A"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CD071D" w:rsidP="00CD071D" w:rsidRDefault="00CD071D" w14:paraId="0F5203F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CD071D" w:rsidRDefault="005E0748" w14:paraId="57725A8C" w14:textId="77777777">
    <w:pPr>
      <w:pStyle w:val="Encabezado"/>
    </w:pPr>
    <w:r>
      <w:rPr>
        <w:noProof/>
      </w:rPr>
      <w:pict w14:anchorId="194A42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09"/>
      <w:gridCol w:w="3402"/>
    </w:tblGrid>
    <w:tr w:rsidRPr="00E152D8" w:rsidR="00CD071D" w:rsidTr="00E84E24" w14:paraId="55FE86FF" w14:textId="77777777">
      <w:trPr>
        <w:trHeight w:val="138"/>
      </w:trPr>
      <w:tc>
        <w:tcPr>
          <w:tcW w:w="2409" w:type="dxa"/>
          <w:vAlign w:val="center"/>
        </w:tcPr>
        <w:p w:rsidRPr="00E152D8" w:rsidR="00CD071D" w:rsidP="00CD071D" w:rsidRDefault="00CD071D" w14:paraId="3ACA88AB"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402" w:type="dxa"/>
        </w:tcPr>
        <w:p w:rsidRPr="00051642" w:rsidR="00CD071D" w:rsidP="00CD071D" w:rsidRDefault="00CD071D" w14:paraId="06E9E4E3" w14:textId="47073D17">
          <w:pPr>
            <w:tabs>
              <w:tab w:val="right" w:pos="8838"/>
            </w:tabs>
            <w:ind w:right="-32"/>
            <w:rPr>
              <w:rFonts w:eastAsia="Calibri" w:cs="Tahoma"/>
            </w:rPr>
          </w:pPr>
          <w:r>
            <w:rPr>
              <w:rFonts w:eastAsia="Calibri" w:cs="Tahoma"/>
              <w:lang w:val="es-MX"/>
            </w:rPr>
            <w:t>10481/INFOEM/IP/RR/2022</w:t>
          </w:r>
        </w:p>
      </w:tc>
    </w:tr>
    <w:tr w:rsidRPr="00E152D8" w:rsidR="00CD071D" w:rsidTr="00E84E24" w14:paraId="2B7091ED" w14:textId="77777777">
      <w:trPr>
        <w:trHeight w:val="273"/>
      </w:trPr>
      <w:tc>
        <w:tcPr>
          <w:tcW w:w="2409" w:type="dxa"/>
        </w:tcPr>
        <w:p w:rsidRPr="00E152D8" w:rsidR="00CD071D" w:rsidP="00CD071D" w:rsidRDefault="00CD071D" w14:paraId="208DB6C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Pr>
        <w:p w:rsidRPr="00051642" w:rsidR="00CD071D" w:rsidP="00CD071D" w:rsidRDefault="00CD071D" w14:paraId="77A90D4F" w14:textId="7B769F4D">
          <w:pPr>
            <w:tabs>
              <w:tab w:val="right" w:pos="8838"/>
            </w:tabs>
            <w:ind w:left="-28" w:right="-32"/>
            <w:rPr>
              <w:rFonts w:eastAsia="Calibri" w:cs="Tahoma"/>
              <w:lang w:val="es-MX"/>
            </w:rPr>
          </w:pPr>
          <w:r>
            <w:rPr>
              <w:rFonts w:eastAsia="Calibri" w:cs="Tahoma"/>
              <w:lang w:val="es-MX"/>
            </w:rPr>
            <w:t xml:space="preserve">Ayuntamiento de </w:t>
          </w:r>
          <w:proofErr w:type="spellStart"/>
          <w:r>
            <w:rPr>
              <w:rFonts w:eastAsia="Calibri" w:cs="Tahoma"/>
              <w:lang w:val="es-MX"/>
            </w:rPr>
            <w:t>Tonanitla</w:t>
          </w:r>
          <w:proofErr w:type="spellEnd"/>
        </w:p>
      </w:tc>
    </w:tr>
    <w:tr w:rsidRPr="00E152D8" w:rsidR="00CD071D" w:rsidTr="00E84E24" w14:paraId="44CACC5E" w14:textId="77777777">
      <w:trPr>
        <w:trHeight w:val="273"/>
      </w:trPr>
      <w:tc>
        <w:tcPr>
          <w:tcW w:w="2409" w:type="dxa"/>
        </w:tcPr>
        <w:p w:rsidRPr="00E152D8" w:rsidR="00CD071D" w:rsidP="00CD071D" w:rsidRDefault="00CD071D" w14:paraId="189AFF40"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2" w:type="dxa"/>
        </w:tcPr>
        <w:p w:rsidRPr="00E152D8" w:rsidR="00CD071D" w:rsidP="00CD071D" w:rsidRDefault="00CD071D" w14:paraId="0D3EFF0A"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CD071D" w:rsidP="00CD071D" w:rsidRDefault="005E0748" w14:paraId="330F12A8" w14:textId="77777777">
    <w:pPr>
      <w:pStyle w:val="Encabezado"/>
    </w:pPr>
    <w:r>
      <w:rPr>
        <w:noProof/>
      </w:rPr>
      <w:pict w14:anchorId="50E355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829"/>
    </w:tblGrid>
    <w:tr w:rsidRPr="00E152D8" w:rsidR="00CD071D" w:rsidTr="639BED67" w14:paraId="33B4C674" w14:textId="77777777">
      <w:trPr>
        <w:trHeight w:val="132"/>
      </w:trPr>
      <w:tc>
        <w:tcPr>
          <w:tcW w:w="2691" w:type="dxa"/>
          <w:tcMar/>
        </w:tcPr>
        <w:p w:rsidRPr="00E152D8" w:rsidR="00CD071D" w:rsidP="00CD071D" w:rsidRDefault="00CD071D" w14:paraId="02DFAA8D" w14:textId="77777777">
          <w:pPr>
            <w:tabs>
              <w:tab w:val="right" w:pos="8838"/>
            </w:tabs>
            <w:ind w:right="-105"/>
            <w:rPr>
              <w:rFonts w:eastAsia="Calibri" w:cs="Tahoma"/>
              <w:b/>
              <w:lang w:val="es-MX"/>
            </w:rPr>
          </w:pPr>
          <w:r w:rsidRPr="00E152D8">
            <w:rPr>
              <w:rFonts w:eastAsia="Calibri" w:cs="Tahoma"/>
              <w:b/>
              <w:lang w:val="es-MX"/>
            </w:rPr>
            <w:t>Recurso de Revisión:</w:t>
          </w:r>
        </w:p>
      </w:tc>
      <w:tc>
        <w:tcPr>
          <w:tcW w:w="3829" w:type="dxa"/>
          <w:tcMar/>
        </w:tcPr>
        <w:p w:rsidRPr="00496BDA" w:rsidR="00CD071D" w:rsidP="00CD071D" w:rsidRDefault="00CD071D" w14:paraId="599E9486" w14:textId="596EE600">
          <w:pPr>
            <w:tabs>
              <w:tab w:val="right" w:pos="8838"/>
            </w:tabs>
            <w:ind w:left="-111" w:right="-32"/>
            <w:rPr>
              <w:rFonts w:eastAsia="Calibri" w:cs="Tahoma"/>
            </w:rPr>
          </w:pPr>
          <w:r>
            <w:rPr>
              <w:rFonts w:eastAsia="Calibri" w:cs="Tahoma"/>
              <w:lang w:val="es-MX"/>
            </w:rPr>
            <w:t>10481</w:t>
          </w:r>
          <w:r w:rsidRPr="00496BDA">
            <w:rPr>
              <w:rFonts w:eastAsia="Calibri" w:cs="Tahoma"/>
              <w:lang w:val="es-MX"/>
            </w:rPr>
            <w:t>/INFOEM/IP/RR/2022</w:t>
          </w:r>
        </w:p>
      </w:tc>
    </w:tr>
    <w:tr w:rsidRPr="00E152D8" w:rsidR="00CD071D" w:rsidTr="639BED67" w14:paraId="0F87F292" w14:textId="77777777">
      <w:trPr>
        <w:trHeight w:val="132"/>
      </w:trPr>
      <w:tc>
        <w:tcPr>
          <w:tcW w:w="2691" w:type="dxa"/>
          <w:tcMar/>
        </w:tcPr>
        <w:p w:rsidRPr="00E152D8" w:rsidR="00CD071D" w:rsidP="00CD071D" w:rsidRDefault="00CD071D" w14:paraId="392E1E97"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9" w:type="dxa"/>
          <w:tcMar/>
        </w:tcPr>
        <w:p w:rsidRPr="00496BDA" w:rsidR="00CD071D" w:rsidP="639BED67" w:rsidRDefault="00CD071D" w14:paraId="39586784" w14:textId="04178966">
          <w:pPr>
            <w:tabs>
              <w:tab w:val="right" w:pos="8838"/>
            </w:tabs>
            <w:ind w:left="-111" w:right="-109"/>
            <w:rPr>
              <w:rFonts w:eastAsia="Calibri" w:cs="Tahoma"/>
              <w:highlight w:val="black"/>
              <w:lang w:val="es-MX"/>
            </w:rPr>
          </w:pPr>
          <w:r w:rsidRPr="639BED67" w:rsidR="639BED67">
            <w:rPr>
              <w:rFonts w:eastAsia="Calibri" w:cs="Tahoma"/>
              <w:highlight w:val="black"/>
              <w:lang w:val="es-MX"/>
            </w:rPr>
            <w:t>XXXXXXXXX</w:t>
          </w:r>
        </w:p>
      </w:tc>
    </w:tr>
    <w:tr w:rsidRPr="00E152D8" w:rsidR="00CD071D" w:rsidTr="639BED67" w14:paraId="7ACF6CAB" w14:textId="77777777">
      <w:trPr>
        <w:trHeight w:val="261"/>
      </w:trPr>
      <w:tc>
        <w:tcPr>
          <w:tcW w:w="2691" w:type="dxa"/>
          <w:tcMar/>
        </w:tcPr>
        <w:p w:rsidRPr="00E152D8" w:rsidR="00CD071D" w:rsidP="00CD071D" w:rsidRDefault="00CD071D" w14:paraId="6D7186A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9" w:type="dxa"/>
          <w:tcMar/>
        </w:tcPr>
        <w:p w:rsidRPr="00496BDA" w:rsidR="00CD071D" w:rsidP="00CD071D" w:rsidRDefault="00CD071D" w14:paraId="3748B188" w14:textId="755C01E3">
          <w:pPr>
            <w:tabs>
              <w:tab w:val="right" w:pos="8838"/>
            </w:tabs>
            <w:ind w:left="-111" w:right="-32"/>
            <w:rPr>
              <w:rFonts w:eastAsia="Calibri" w:cs="Tahoma"/>
              <w:lang w:val="es-MX"/>
            </w:rPr>
          </w:pPr>
          <w:r w:rsidRPr="00496BDA">
            <w:rPr>
              <w:rFonts w:eastAsia="Calibri" w:cs="Tahoma"/>
              <w:lang w:val="es-MX"/>
            </w:rPr>
            <w:t xml:space="preserve">Ayuntamiento de </w:t>
          </w:r>
          <w:proofErr w:type="spellStart"/>
          <w:r>
            <w:rPr>
              <w:rFonts w:eastAsia="Calibri" w:cs="Tahoma"/>
              <w:lang w:val="es-MX"/>
            </w:rPr>
            <w:t>Tonanitla</w:t>
          </w:r>
          <w:proofErr w:type="spellEnd"/>
        </w:p>
      </w:tc>
    </w:tr>
    <w:tr w:rsidRPr="00E152D8" w:rsidR="00CD071D" w:rsidTr="639BED67" w14:paraId="60EB91F4" w14:textId="77777777">
      <w:trPr>
        <w:trHeight w:val="261"/>
      </w:trPr>
      <w:tc>
        <w:tcPr>
          <w:tcW w:w="2691" w:type="dxa"/>
          <w:tcMar/>
        </w:tcPr>
        <w:p w:rsidRPr="00E152D8" w:rsidR="00CD071D" w:rsidP="00CD071D" w:rsidRDefault="00CD071D" w14:paraId="0288DA28" w14:textId="77777777">
          <w:pPr>
            <w:tabs>
              <w:tab w:val="right" w:pos="8838"/>
            </w:tabs>
            <w:ind w:right="-105"/>
            <w:rPr>
              <w:rFonts w:eastAsia="Calibri" w:cs="Tahoma"/>
              <w:b/>
              <w:lang w:val="es-MX"/>
            </w:rPr>
          </w:pPr>
          <w:r w:rsidRPr="00E152D8">
            <w:rPr>
              <w:rFonts w:eastAsia="Calibri" w:cs="Tahoma"/>
              <w:b/>
              <w:lang w:val="es-MX"/>
            </w:rPr>
            <w:t>Comisionado Ponente:</w:t>
          </w:r>
        </w:p>
      </w:tc>
      <w:tc>
        <w:tcPr>
          <w:tcW w:w="3829" w:type="dxa"/>
          <w:tcMar/>
        </w:tcPr>
        <w:p w:rsidRPr="009266BD" w:rsidR="00CD071D" w:rsidP="00CD071D" w:rsidRDefault="00CD071D" w14:paraId="5725D1B9" w14:textId="77777777">
          <w:pPr>
            <w:tabs>
              <w:tab w:val="right" w:pos="8838"/>
            </w:tabs>
            <w:ind w:left="-111" w:right="-32"/>
            <w:rPr>
              <w:rFonts w:eastAsia="Calibri" w:cs="Tahoma"/>
              <w:b/>
              <w:lang w:val="es-MX"/>
            </w:rPr>
          </w:pPr>
          <w:r w:rsidRPr="009266BD">
            <w:rPr>
              <w:rFonts w:eastAsia="Calibri" w:cs="Tahoma"/>
              <w:lang w:val="es-MX"/>
            </w:rPr>
            <w:t>Luis Gustavo Parra Noriega</w:t>
          </w:r>
        </w:p>
      </w:tc>
    </w:tr>
  </w:tbl>
  <w:p w:rsidR="00CD071D" w:rsidP="00CD071D" w:rsidRDefault="005E0748" w14:paraId="484B3620" w14:textId="77777777">
    <w:pPr>
      <w:pStyle w:val="Encabezado"/>
      <w:tabs>
        <w:tab w:val="left" w:pos="5812"/>
      </w:tabs>
    </w:pPr>
    <w:r>
      <w:rPr>
        <w:noProof/>
      </w:rPr>
      <w:pict w14:anchorId="3C4274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297"/>
    <w:multiLevelType w:val="hybridMultilevel"/>
    <w:tmpl w:val="5F7EC2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1C11F44"/>
    <w:multiLevelType w:val="hybridMultilevel"/>
    <w:tmpl w:val="52B68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5A156B7"/>
    <w:multiLevelType w:val="hybridMultilevel"/>
    <w:tmpl w:val="DE96B95C"/>
    <w:lvl w:ilvl="0" w:tplc="080A0001">
      <w:start w:val="1"/>
      <w:numFmt w:val="bullet"/>
      <w:lvlText w:val=""/>
      <w:lvlJc w:val="left"/>
      <w:pPr>
        <w:ind w:left="771" w:hanging="360"/>
      </w:pPr>
      <w:rPr>
        <w:rFonts w:hint="default" w:ascii="Symbol" w:hAnsi="Symbol"/>
      </w:rPr>
    </w:lvl>
    <w:lvl w:ilvl="1" w:tplc="080A0003" w:tentative="1">
      <w:start w:val="1"/>
      <w:numFmt w:val="bullet"/>
      <w:lvlText w:val="o"/>
      <w:lvlJc w:val="left"/>
      <w:pPr>
        <w:ind w:left="1491" w:hanging="360"/>
      </w:pPr>
      <w:rPr>
        <w:rFonts w:hint="default" w:ascii="Courier New" w:hAnsi="Courier New" w:cs="Courier New"/>
      </w:rPr>
    </w:lvl>
    <w:lvl w:ilvl="2" w:tplc="080A0005" w:tentative="1">
      <w:start w:val="1"/>
      <w:numFmt w:val="bullet"/>
      <w:lvlText w:val=""/>
      <w:lvlJc w:val="left"/>
      <w:pPr>
        <w:ind w:left="2211" w:hanging="360"/>
      </w:pPr>
      <w:rPr>
        <w:rFonts w:hint="default" w:ascii="Wingdings" w:hAnsi="Wingdings"/>
      </w:rPr>
    </w:lvl>
    <w:lvl w:ilvl="3" w:tplc="080A0001" w:tentative="1">
      <w:start w:val="1"/>
      <w:numFmt w:val="bullet"/>
      <w:lvlText w:val=""/>
      <w:lvlJc w:val="left"/>
      <w:pPr>
        <w:ind w:left="2931" w:hanging="360"/>
      </w:pPr>
      <w:rPr>
        <w:rFonts w:hint="default" w:ascii="Symbol" w:hAnsi="Symbol"/>
      </w:rPr>
    </w:lvl>
    <w:lvl w:ilvl="4" w:tplc="080A0003" w:tentative="1">
      <w:start w:val="1"/>
      <w:numFmt w:val="bullet"/>
      <w:lvlText w:val="o"/>
      <w:lvlJc w:val="left"/>
      <w:pPr>
        <w:ind w:left="3651" w:hanging="360"/>
      </w:pPr>
      <w:rPr>
        <w:rFonts w:hint="default" w:ascii="Courier New" w:hAnsi="Courier New" w:cs="Courier New"/>
      </w:rPr>
    </w:lvl>
    <w:lvl w:ilvl="5" w:tplc="080A0005" w:tentative="1">
      <w:start w:val="1"/>
      <w:numFmt w:val="bullet"/>
      <w:lvlText w:val=""/>
      <w:lvlJc w:val="left"/>
      <w:pPr>
        <w:ind w:left="4371" w:hanging="360"/>
      </w:pPr>
      <w:rPr>
        <w:rFonts w:hint="default" w:ascii="Wingdings" w:hAnsi="Wingdings"/>
      </w:rPr>
    </w:lvl>
    <w:lvl w:ilvl="6" w:tplc="080A0001" w:tentative="1">
      <w:start w:val="1"/>
      <w:numFmt w:val="bullet"/>
      <w:lvlText w:val=""/>
      <w:lvlJc w:val="left"/>
      <w:pPr>
        <w:ind w:left="5091" w:hanging="360"/>
      </w:pPr>
      <w:rPr>
        <w:rFonts w:hint="default" w:ascii="Symbol" w:hAnsi="Symbol"/>
      </w:rPr>
    </w:lvl>
    <w:lvl w:ilvl="7" w:tplc="080A0003" w:tentative="1">
      <w:start w:val="1"/>
      <w:numFmt w:val="bullet"/>
      <w:lvlText w:val="o"/>
      <w:lvlJc w:val="left"/>
      <w:pPr>
        <w:ind w:left="5811" w:hanging="360"/>
      </w:pPr>
      <w:rPr>
        <w:rFonts w:hint="default" w:ascii="Courier New" w:hAnsi="Courier New" w:cs="Courier New"/>
      </w:rPr>
    </w:lvl>
    <w:lvl w:ilvl="8" w:tplc="080A0005" w:tentative="1">
      <w:start w:val="1"/>
      <w:numFmt w:val="bullet"/>
      <w:lvlText w:val=""/>
      <w:lvlJc w:val="left"/>
      <w:pPr>
        <w:ind w:left="6531" w:hanging="360"/>
      </w:pPr>
      <w:rPr>
        <w:rFonts w:hint="default" w:ascii="Wingdings" w:hAnsi="Wingdings"/>
      </w:rPr>
    </w:lvl>
  </w:abstractNum>
  <w:abstractNum w:abstractNumId="4" w15:restartNumberingAfterBreak="0">
    <w:nsid w:val="2BAA4C27"/>
    <w:multiLevelType w:val="hybridMultilevel"/>
    <w:tmpl w:val="6D90BC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00856AF"/>
    <w:multiLevelType w:val="hybridMultilevel"/>
    <w:tmpl w:val="EE9456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61C40EC"/>
    <w:multiLevelType w:val="hybridMultilevel"/>
    <w:tmpl w:val="B64CF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4559A7"/>
    <w:multiLevelType w:val="hybridMultilevel"/>
    <w:tmpl w:val="C0005B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AD85AFD"/>
    <w:multiLevelType w:val="hybridMultilevel"/>
    <w:tmpl w:val="B100C1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E470ED6"/>
    <w:multiLevelType w:val="hybridMultilevel"/>
    <w:tmpl w:val="BBBEF032"/>
    <w:lvl w:ilvl="0" w:tplc="080A0001">
      <w:start w:val="1"/>
      <w:numFmt w:val="bullet"/>
      <w:lvlText w:val=""/>
      <w:lvlJc w:val="left"/>
      <w:pPr>
        <w:ind w:left="771" w:hanging="360"/>
      </w:pPr>
      <w:rPr>
        <w:rFonts w:hint="default" w:ascii="Symbol" w:hAnsi="Symbol"/>
      </w:rPr>
    </w:lvl>
    <w:lvl w:ilvl="1" w:tplc="080A0003" w:tentative="1">
      <w:start w:val="1"/>
      <w:numFmt w:val="bullet"/>
      <w:lvlText w:val="o"/>
      <w:lvlJc w:val="left"/>
      <w:pPr>
        <w:ind w:left="1491" w:hanging="360"/>
      </w:pPr>
      <w:rPr>
        <w:rFonts w:hint="default" w:ascii="Courier New" w:hAnsi="Courier New" w:cs="Courier New"/>
      </w:rPr>
    </w:lvl>
    <w:lvl w:ilvl="2" w:tplc="080A0005" w:tentative="1">
      <w:start w:val="1"/>
      <w:numFmt w:val="bullet"/>
      <w:lvlText w:val=""/>
      <w:lvlJc w:val="left"/>
      <w:pPr>
        <w:ind w:left="2211" w:hanging="360"/>
      </w:pPr>
      <w:rPr>
        <w:rFonts w:hint="default" w:ascii="Wingdings" w:hAnsi="Wingdings"/>
      </w:rPr>
    </w:lvl>
    <w:lvl w:ilvl="3" w:tplc="080A0001" w:tentative="1">
      <w:start w:val="1"/>
      <w:numFmt w:val="bullet"/>
      <w:lvlText w:val=""/>
      <w:lvlJc w:val="left"/>
      <w:pPr>
        <w:ind w:left="2931" w:hanging="360"/>
      </w:pPr>
      <w:rPr>
        <w:rFonts w:hint="default" w:ascii="Symbol" w:hAnsi="Symbol"/>
      </w:rPr>
    </w:lvl>
    <w:lvl w:ilvl="4" w:tplc="080A0003" w:tentative="1">
      <w:start w:val="1"/>
      <w:numFmt w:val="bullet"/>
      <w:lvlText w:val="o"/>
      <w:lvlJc w:val="left"/>
      <w:pPr>
        <w:ind w:left="3651" w:hanging="360"/>
      </w:pPr>
      <w:rPr>
        <w:rFonts w:hint="default" w:ascii="Courier New" w:hAnsi="Courier New" w:cs="Courier New"/>
      </w:rPr>
    </w:lvl>
    <w:lvl w:ilvl="5" w:tplc="080A0005" w:tentative="1">
      <w:start w:val="1"/>
      <w:numFmt w:val="bullet"/>
      <w:lvlText w:val=""/>
      <w:lvlJc w:val="left"/>
      <w:pPr>
        <w:ind w:left="4371" w:hanging="360"/>
      </w:pPr>
      <w:rPr>
        <w:rFonts w:hint="default" w:ascii="Wingdings" w:hAnsi="Wingdings"/>
      </w:rPr>
    </w:lvl>
    <w:lvl w:ilvl="6" w:tplc="080A0001" w:tentative="1">
      <w:start w:val="1"/>
      <w:numFmt w:val="bullet"/>
      <w:lvlText w:val=""/>
      <w:lvlJc w:val="left"/>
      <w:pPr>
        <w:ind w:left="5091" w:hanging="360"/>
      </w:pPr>
      <w:rPr>
        <w:rFonts w:hint="default" w:ascii="Symbol" w:hAnsi="Symbol"/>
      </w:rPr>
    </w:lvl>
    <w:lvl w:ilvl="7" w:tplc="080A0003" w:tentative="1">
      <w:start w:val="1"/>
      <w:numFmt w:val="bullet"/>
      <w:lvlText w:val="o"/>
      <w:lvlJc w:val="left"/>
      <w:pPr>
        <w:ind w:left="5811" w:hanging="360"/>
      </w:pPr>
      <w:rPr>
        <w:rFonts w:hint="default" w:ascii="Courier New" w:hAnsi="Courier New" w:cs="Courier New"/>
      </w:rPr>
    </w:lvl>
    <w:lvl w:ilvl="8" w:tplc="080A0005" w:tentative="1">
      <w:start w:val="1"/>
      <w:numFmt w:val="bullet"/>
      <w:lvlText w:val=""/>
      <w:lvlJc w:val="left"/>
      <w:pPr>
        <w:ind w:left="6531" w:hanging="360"/>
      </w:pPr>
      <w:rPr>
        <w:rFonts w:hint="default" w:ascii="Wingdings" w:hAnsi="Wingding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DF6428"/>
    <w:multiLevelType w:val="hybridMultilevel"/>
    <w:tmpl w:val="36907F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93022060">
    <w:abstractNumId w:val="5"/>
  </w:num>
  <w:num w:numId="2" w16cid:durableId="473107434">
    <w:abstractNumId w:val="11"/>
  </w:num>
  <w:num w:numId="3" w16cid:durableId="1458451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604930">
    <w:abstractNumId w:val="2"/>
  </w:num>
  <w:num w:numId="5" w16cid:durableId="1027294660">
    <w:abstractNumId w:val="4"/>
  </w:num>
  <w:num w:numId="6" w16cid:durableId="207767389">
    <w:abstractNumId w:val="10"/>
  </w:num>
  <w:num w:numId="7" w16cid:durableId="1419867124">
    <w:abstractNumId w:val="7"/>
  </w:num>
  <w:num w:numId="8" w16cid:durableId="1330789362">
    <w:abstractNumId w:val="12"/>
  </w:num>
  <w:num w:numId="9" w16cid:durableId="806776246">
    <w:abstractNumId w:val="3"/>
  </w:num>
  <w:num w:numId="10" w16cid:durableId="1640572998">
    <w:abstractNumId w:val="8"/>
  </w:num>
  <w:num w:numId="11" w16cid:durableId="1806195792">
    <w:abstractNumId w:val="9"/>
  </w:num>
  <w:num w:numId="12" w16cid:durableId="737747987">
    <w:abstractNumId w:val="6"/>
  </w:num>
  <w:num w:numId="13" w16cid:durableId="677972775">
    <w:abstractNumId w:val="1"/>
  </w:num>
  <w:num w:numId="14" w16cid:durableId="4980386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A5"/>
    <w:rsid w:val="000078CC"/>
    <w:rsid w:val="0001712E"/>
    <w:rsid w:val="00022F48"/>
    <w:rsid w:val="00025591"/>
    <w:rsid w:val="0003770C"/>
    <w:rsid w:val="0007672F"/>
    <w:rsid w:val="000A674C"/>
    <w:rsid w:val="000B4D1A"/>
    <w:rsid w:val="0011138E"/>
    <w:rsid w:val="001644D7"/>
    <w:rsid w:val="001650F9"/>
    <w:rsid w:val="00170764"/>
    <w:rsid w:val="0019579F"/>
    <w:rsid w:val="001B2A7E"/>
    <w:rsid w:val="00203D3F"/>
    <w:rsid w:val="00207CF0"/>
    <w:rsid w:val="002231EB"/>
    <w:rsid w:val="002369DD"/>
    <w:rsid w:val="002C3D2E"/>
    <w:rsid w:val="0030459C"/>
    <w:rsid w:val="00325029"/>
    <w:rsid w:val="00366FC8"/>
    <w:rsid w:val="00383165"/>
    <w:rsid w:val="00385B25"/>
    <w:rsid w:val="003A5F8F"/>
    <w:rsid w:val="003A7225"/>
    <w:rsid w:val="003C6B0D"/>
    <w:rsid w:val="003F6E9B"/>
    <w:rsid w:val="00432294"/>
    <w:rsid w:val="00442177"/>
    <w:rsid w:val="0044412B"/>
    <w:rsid w:val="00445158"/>
    <w:rsid w:val="00472907"/>
    <w:rsid w:val="00480CB5"/>
    <w:rsid w:val="004B25F7"/>
    <w:rsid w:val="004D405D"/>
    <w:rsid w:val="004D6D2A"/>
    <w:rsid w:val="004D6D7D"/>
    <w:rsid w:val="005217C1"/>
    <w:rsid w:val="0058451C"/>
    <w:rsid w:val="005C6B22"/>
    <w:rsid w:val="005E0748"/>
    <w:rsid w:val="005F3ED2"/>
    <w:rsid w:val="0061713B"/>
    <w:rsid w:val="0062036C"/>
    <w:rsid w:val="00625DD1"/>
    <w:rsid w:val="0063680C"/>
    <w:rsid w:val="00640F86"/>
    <w:rsid w:val="00652FBF"/>
    <w:rsid w:val="006A22A5"/>
    <w:rsid w:val="006C440B"/>
    <w:rsid w:val="006E4A36"/>
    <w:rsid w:val="006E4F74"/>
    <w:rsid w:val="006F7153"/>
    <w:rsid w:val="00713832"/>
    <w:rsid w:val="00745421"/>
    <w:rsid w:val="00762A6B"/>
    <w:rsid w:val="00792CDF"/>
    <w:rsid w:val="007A06AF"/>
    <w:rsid w:val="007A1CB8"/>
    <w:rsid w:val="007D5A9B"/>
    <w:rsid w:val="007E5C8F"/>
    <w:rsid w:val="0080184D"/>
    <w:rsid w:val="008068CA"/>
    <w:rsid w:val="00813F6D"/>
    <w:rsid w:val="0082648A"/>
    <w:rsid w:val="008761B2"/>
    <w:rsid w:val="00876C7E"/>
    <w:rsid w:val="00882B87"/>
    <w:rsid w:val="008915F0"/>
    <w:rsid w:val="008B4406"/>
    <w:rsid w:val="008C487F"/>
    <w:rsid w:val="008E1DC0"/>
    <w:rsid w:val="00903366"/>
    <w:rsid w:val="00924FDA"/>
    <w:rsid w:val="00927C83"/>
    <w:rsid w:val="009702DC"/>
    <w:rsid w:val="00977F17"/>
    <w:rsid w:val="0098235D"/>
    <w:rsid w:val="009A76A2"/>
    <w:rsid w:val="009B4B88"/>
    <w:rsid w:val="009D6BFB"/>
    <w:rsid w:val="00A0675C"/>
    <w:rsid w:val="00A24122"/>
    <w:rsid w:val="00A43E01"/>
    <w:rsid w:val="00A5681E"/>
    <w:rsid w:val="00A61693"/>
    <w:rsid w:val="00A659C1"/>
    <w:rsid w:val="00A8024F"/>
    <w:rsid w:val="00A91C92"/>
    <w:rsid w:val="00A92E46"/>
    <w:rsid w:val="00AC7B0B"/>
    <w:rsid w:val="00AE3E9B"/>
    <w:rsid w:val="00AE7BD5"/>
    <w:rsid w:val="00B070CC"/>
    <w:rsid w:val="00B336F2"/>
    <w:rsid w:val="00B34E8A"/>
    <w:rsid w:val="00B7271A"/>
    <w:rsid w:val="00B953E6"/>
    <w:rsid w:val="00BA2667"/>
    <w:rsid w:val="00BC322B"/>
    <w:rsid w:val="00BE7CE0"/>
    <w:rsid w:val="00C02EE0"/>
    <w:rsid w:val="00C0415B"/>
    <w:rsid w:val="00C13572"/>
    <w:rsid w:val="00C14BEC"/>
    <w:rsid w:val="00C5774F"/>
    <w:rsid w:val="00C64474"/>
    <w:rsid w:val="00CA372C"/>
    <w:rsid w:val="00CB15CB"/>
    <w:rsid w:val="00CD071D"/>
    <w:rsid w:val="00CD2FC0"/>
    <w:rsid w:val="00CE25A7"/>
    <w:rsid w:val="00D03292"/>
    <w:rsid w:val="00D063FA"/>
    <w:rsid w:val="00D33127"/>
    <w:rsid w:val="00D341C1"/>
    <w:rsid w:val="00D54F60"/>
    <w:rsid w:val="00D73F5E"/>
    <w:rsid w:val="00D74496"/>
    <w:rsid w:val="00D91CE2"/>
    <w:rsid w:val="00DA129E"/>
    <w:rsid w:val="00DB1A19"/>
    <w:rsid w:val="00DB653E"/>
    <w:rsid w:val="00DB6584"/>
    <w:rsid w:val="00DD794D"/>
    <w:rsid w:val="00DE6C1D"/>
    <w:rsid w:val="00E15EAB"/>
    <w:rsid w:val="00E30D94"/>
    <w:rsid w:val="00E62931"/>
    <w:rsid w:val="00E64476"/>
    <w:rsid w:val="00E84E24"/>
    <w:rsid w:val="00E87906"/>
    <w:rsid w:val="00E930EA"/>
    <w:rsid w:val="00ED334B"/>
    <w:rsid w:val="00ED5361"/>
    <w:rsid w:val="00EF3341"/>
    <w:rsid w:val="00F26D6F"/>
    <w:rsid w:val="00F31638"/>
    <w:rsid w:val="00F346F9"/>
    <w:rsid w:val="00FA0839"/>
    <w:rsid w:val="00FD3A1D"/>
    <w:rsid w:val="00FD62A5"/>
    <w:rsid w:val="00FF0A65"/>
    <w:rsid w:val="00FF5BFB"/>
    <w:rsid w:val="00FF7561"/>
    <w:rsid w:val="639BED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AE0CC"/>
  <w15:chartTrackingRefBased/>
  <w15:docId w15:val="{35E1658D-AAE5-4E24-85CD-D84CEA52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2A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A22A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A22A5"/>
    <w:rPr>
      <w:rFonts w:ascii="Palatino Linotype" w:hAnsi="Palatino Linotype"/>
      <w:color w:val="000000" w:themeColor="text1"/>
    </w:rPr>
  </w:style>
  <w:style w:type="paragraph" w:styleId="Piedepgina">
    <w:name w:val="footer"/>
    <w:basedOn w:val="Normal"/>
    <w:link w:val="PiedepginaCar"/>
    <w:uiPriority w:val="99"/>
    <w:unhideWhenUsed/>
    <w:rsid w:val="006A22A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A22A5"/>
    <w:rPr>
      <w:rFonts w:ascii="Palatino Linotype" w:hAnsi="Palatino Linotype"/>
      <w:color w:val="000000" w:themeColor="text1"/>
    </w:rPr>
  </w:style>
  <w:style w:type="table" w:styleId="Tablaconcuadrcula">
    <w:name w:val="Table Grid"/>
    <w:basedOn w:val="Tablanormal"/>
    <w:uiPriority w:val="39"/>
    <w:qFormat/>
    <w:rsid w:val="006A22A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A22A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22A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A22A5"/>
    <w:rPr>
      <w:rFonts w:ascii="Palatino Linotype" w:hAnsi="Palatino Linotype"/>
      <w:color w:val="000000" w:themeColor="text1"/>
    </w:rPr>
  </w:style>
  <w:style w:type="character" w:styleId="Hipervnculo">
    <w:name w:val="Hyperlink"/>
    <w:basedOn w:val="Fuentedeprrafopredeter"/>
    <w:uiPriority w:val="99"/>
    <w:unhideWhenUsed/>
    <w:rsid w:val="006A22A5"/>
    <w:rPr>
      <w:color w:val="0000FF"/>
      <w:u w:val="single"/>
    </w:rPr>
  </w:style>
  <w:style w:type="character" w:styleId="Mencinsinresolver1" w:customStyle="1">
    <w:name w:val="Mención sin resolver1"/>
    <w:basedOn w:val="Fuentedeprrafopredeter"/>
    <w:uiPriority w:val="99"/>
    <w:semiHidden/>
    <w:unhideWhenUsed/>
    <w:rsid w:val="006A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8806">
      <w:bodyDiv w:val="1"/>
      <w:marLeft w:val="0"/>
      <w:marRight w:val="0"/>
      <w:marTop w:val="0"/>
      <w:marBottom w:val="0"/>
      <w:divBdr>
        <w:top w:val="none" w:sz="0" w:space="0" w:color="auto"/>
        <w:left w:val="none" w:sz="0" w:space="0" w:color="auto"/>
        <w:bottom w:val="none" w:sz="0" w:space="0" w:color="auto"/>
        <w:right w:val="none" w:sz="0" w:space="0" w:color="auto"/>
      </w:divBdr>
    </w:div>
    <w:div w:id="217519765">
      <w:bodyDiv w:val="1"/>
      <w:marLeft w:val="0"/>
      <w:marRight w:val="0"/>
      <w:marTop w:val="0"/>
      <w:marBottom w:val="0"/>
      <w:divBdr>
        <w:top w:val="none" w:sz="0" w:space="0" w:color="auto"/>
        <w:left w:val="none" w:sz="0" w:space="0" w:color="auto"/>
        <w:bottom w:val="none" w:sz="0" w:space="0" w:color="auto"/>
        <w:right w:val="none" w:sz="0" w:space="0" w:color="auto"/>
      </w:divBdr>
    </w:div>
    <w:div w:id="310252397">
      <w:bodyDiv w:val="1"/>
      <w:marLeft w:val="0"/>
      <w:marRight w:val="0"/>
      <w:marTop w:val="0"/>
      <w:marBottom w:val="0"/>
      <w:divBdr>
        <w:top w:val="none" w:sz="0" w:space="0" w:color="auto"/>
        <w:left w:val="none" w:sz="0" w:space="0" w:color="auto"/>
        <w:bottom w:val="none" w:sz="0" w:space="0" w:color="auto"/>
        <w:right w:val="none" w:sz="0" w:space="0" w:color="auto"/>
      </w:divBdr>
    </w:div>
    <w:div w:id="400298046">
      <w:bodyDiv w:val="1"/>
      <w:marLeft w:val="0"/>
      <w:marRight w:val="0"/>
      <w:marTop w:val="0"/>
      <w:marBottom w:val="0"/>
      <w:divBdr>
        <w:top w:val="none" w:sz="0" w:space="0" w:color="auto"/>
        <w:left w:val="none" w:sz="0" w:space="0" w:color="auto"/>
        <w:bottom w:val="none" w:sz="0" w:space="0" w:color="auto"/>
        <w:right w:val="none" w:sz="0" w:space="0" w:color="auto"/>
      </w:divBdr>
    </w:div>
    <w:div w:id="508952744">
      <w:bodyDiv w:val="1"/>
      <w:marLeft w:val="0"/>
      <w:marRight w:val="0"/>
      <w:marTop w:val="0"/>
      <w:marBottom w:val="0"/>
      <w:divBdr>
        <w:top w:val="none" w:sz="0" w:space="0" w:color="auto"/>
        <w:left w:val="none" w:sz="0" w:space="0" w:color="auto"/>
        <w:bottom w:val="none" w:sz="0" w:space="0" w:color="auto"/>
        <w:right w:val="none" w:sz="0" w:space="0" w:color="auto"/>
      </w:divBdr>
    </w:div>
    <w:div w:id="693844659">
      <w:bodyDiv w:val="1"/>
      <w:marLeft w:val="0"/>
      <w:marRight w:val="0"/>
      <w:marTop w:val="0"/>
      <w:marBottom w:val="0"/>
      <w:divBdr>
        <w:top w:val="none" w:sz="0" w:space="0" w:color="auto"/>
        <w:left w:val="none" w:sz="0" w:space="0" w:color="auto"/>
        <w:bottom w:val="none" w:sz="0" w:space="0" w:color="auto"/>
        <w:right w:val="none" w:sz="0" w:space="0" w:color="auto"/>
      </w:divBdr>
    </w:div>
    <w:div w:id="847253521">
      <w:bodyDiv w:val="1"/>
      <w:marLeft w:val="0"/>
      <w:marRight w:val="0"/>
      <w:marTop w:val="0"/>
      <w:marBottom w:val="0"/>
      <w:divBdr>
        <w:top w:val="none" w:sz="0" w:space="0" w:color="auto"/>
        <w:left w:val="none" w:sz="0" w:space="0" w:color="auto"/>
        <w:bottom w:val="none" w:sz="0" w:space="0" w:color="auto"/>
        <w:right w:val="none" w:sz="0" w:space="0" w:color="auto"/>
      </w:divBdr>
    </w:div>
    <w:div w:id="1292903441">
      <w:bodyDiv w:val="1"/>
      <w:marLeft w:val="0"/>
      <w:marRight w:val="0"/>
      <w:marTop w:val="0"/>
      <w:marBottom w:val="0"/>
      <w:divBdr>
        <w:top w:val="none" w:sz="0" w:space="0" w:color="auto"/>
        <w:left w:val="none" w:sz="0" w:space="0" w:color="auto"/>
        <w:bottom w:val="none" w:sz="0" w:space="0" w:color="auto"/>
        <w:right w:val="none" w:sz="0" w:space="0" w:color="auto"/>
      </w:divBdr>
    </w:div>
    <w:div w:id="1322855736">
      <w:bodyDiv w:val="1"/>
      <w:marLeft w:val="0"/>
      <w:marRight w:val="0"/>
      <w:marTop w:val="0"/>
      <w:marBottom w:val="0"/>
      <w:divBdr>
        <w:top w:val="none" w:sz="0" w:space="0" w:color="auto"/>
        <w:left w:val="none" w:sz="0" w:space="0" w:color="auto"/>
        <w:bottom w:val="none" w:sz="0" w:space="0" w:color="auto"/>
        <w:right w:val="none" w:sz="0" w:space="0" w:color="auto"/>
      </w:divBdr>
    </w:div>
    <w:div w:id="1353727884">
      <w:bodyDiv w:val="1"/>
      <w:marLeft w:val="0"/>
      <w:marRight w:val="0"/>
      <w:marTop w:val="0"/>
      <w:marBottom w:val="0"/>
      <w:divBdr>
        <w:top w:val="none" w:sz="0" w:space="0" w:color="auto"/>
        <w:left w:val="none" w:sz="0" w:space="0" w:color="auto"/>
        <w:bottom w:val="none" w:sz="0" w:space="0" w:color="auto"/>
        <w:right w:val="none" w:sz="0" w:space="0" w:color="auto"/>
      </w:divBdr>
    </w:div>
    <w:div w:id="1401634550">
      <w:bodyDiv w:val="1"/>
      <w:marLeft w:val="0"/>
      <w:marRight w:val="0"/>
      <w:marTop w:val="0"/>
      <w:marBottom w:val="0"/>
      <w:divBdr>
        <w:top w:val="none" w:sz="0" w:space="0" w:color="auto"/>
        <w:left w:val="none" w:sz="0" w:space="0" w:color="auto"/>
        <w:bottom w:val="none" w:sz="0" w:space="0" w:color="auto"/>
        <w:right w:val="none" w:sz="0" w:space="0" w:color="auto"/>
      </w:divBdr>
    </w:div>
    <w:div w:id="1609238381">
      <w:bodyDiv w:val="1"/>
      <w:marLeft w:val="0"/>
      <w:marRight w:val="0"/>
      <w:marTop w:val="0"/>
      <w:marBottom w:val="0"/>
      <w:divBdr>
        <w:top w:val="none" w:sz="0" w:space="0" w:color="auto"/>
        <w:left w:val="none" w:sz="0" w:space="0" w:color="auto"/>
        <w:bottom w:val="none" w:sz="0" w:space="0" w:color="auto"/>
        <w:right w:val="none" w:sz="0" w:space="0" w:color="auto"/>
      </w:divBdr>
    </w:div>
    <w:div w:id="1625303570">
      <w:bodyDiv w:val="1"/>
      <w:marLeft w:val="0"/>
      <w:marRight w:val="0"/>
      <w:marTop w:val="0"/>
      <w:marBottom w:val="0"/>
      <w:divBdr>
        <w:top w:val="none" w:sz="0" w:space="0" w:color="auto"/>
        <w:left w:val="none" w:sz="0" w:space="0" w:color="auto"/>
        <w:bottom w:val="none" w:sz="0" w:space="0" w:color="auto"/>
        <w:right w:val="none" w:sz="0" w:space="0" w:color="auto"/>
      </w:divBdr>
    </w:div>
    <w:div w:id="1630239698">
      <w:bodyDiv w:val="1"/>
      <w:marLeft w:val="0"/>
      <w:marRight w:val="0"/>
      <w:marTop w:val="0"/>
      <w:marBottom w:val="0"/>
      <w:divBdr>
        <w:top w:val="none" w:sz="0" w:space="0" w:color="auto"/>
        <w:left w:val="none" w:sz="0" w:space="0" w:color="auto"/>
        <w:bottom w:val="none" w:sz="0" w:space="0" w:color="auto"/>
        <w:right w:val="none" w:sz="0" w:space="0" w:color="auto"/>
      </w:divBdr>
    </w:div>
    <w:div w:id="1751196273">
      <w:bodyDiv w:val="1"/>
      <w:marLeft w:val="0"/>
      <w:marRight w:val="0"/>
      <w:marTop w:val="0"/>
      <w:marBottom w:val="0"/>
      <w:divBdr>
        <w:top w:val="none" w:sz="0" w:space="0" w:color="auto"/>
        <w:left w:val="none" w:sz="0" w:space="0" w:color="auto"/>
        <w:bottom w:val="none" w:sz="0" w:space="0" w:color="auto"/>
        <w:right w:val="none" w:sz="0" w:space="0" w:color="auto"/>
      </w:divBdr>
    </w:div>
    <w:div w:id="20825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9a81a134e1c146b7"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d78ad91-7298-4b3d-a142-15949453ecaf}"/>
      </w:docPartPr>
      <w:docPartBody>
        <w:p w14:paraId="788D6FD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3E0E-4DCD-4EE6-A369-D86D9121B8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5</revision>
  <dcterms:created xsi:type="dcterms:W3CDTF">2023-02-23T01:52:00.0000000Z</dcterms:created>
  <dcterms:modified xsi:type="dcterms:W3CDTF">2023-04-13T02:22:56.9132669Z</dcterms:modified>
</coreProperties>
</file>