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DE77AA" w:rsidR="00066B31" w:rsidP="00ED0E2B" w:rsidRDefault="00066B31" w14:paraId="03223C84" w14:textId="15DAD5CE">
      <w:pPr>
        <w:spacing w:after="0" w:line="360" w:lineRule="auto"/>
        <w:rPr>
          <w:rFonts w:cs="Tahoma"/>
        </w:rPr>
      </w:pPr>
      <w:r w:rsidRPr="00DE77AA">
        <w:rPr>
          <w:rFonts w:cs="Tahoma"/>
        </w:rPr>
        <w:t xml:space="preserve">Resolución del Pleno del Instituto de Transparencia, Acceso a la Información Pública y Protección de Datos Personales del Estado de México y Municipios, con domicilio en Metepec, Estado de México, de fecha </w:t>
      </w:r>
      <w:r w:rsidRPr="00DE77AA" w:rsidR="00575679">
        <w:rPr>
          <w:rFonts w:cs="Tahoma"/>
        </w:rPr>
        <w:t>primero de marzo</w:t>
      </w:r>
      <w:r w:rsidRPr="00DE77AA" w:rsidR="00647CF6">
        <w:rPr>
          <w:rFonts w:cs="Tahoma"/>
        </w:rPr>
        <w:t xml:space="preserve"> </w:t>
      </w:r>
      <w:r w:rsidRPr="00DE77AA">
        <w:rPr>
          <w:rFonts w:cs="Tahoma"/>
        </w:rPr>
        <w:t>de dos mil veinti</w:t>
      </w:r>
      <w:r w:rsidRPr="00DE77AA" w:rsidR="005B77A8">
        <w:rPr>
          <w:rFonts w:cs="Tahoma"/>
        </w:rPr>
        <w:t>tré</w:t>
      </w:r>
      <w:r w:rsidRPr="00DE77AA">
        <w:rPr>
          <w:rFonts w:cs="Tahoma"/>
        </w:rPr>
        <w:t>s.</w:t>
      </w:r>
    </w:p>
    <w:p w:rsidRPr="00DE77AA" w:rsidR="00066B31" w:rsidP="00ED0E2B" w:rsidRDefault="00066B31" w14:paraId="53783A9E" w14:textId="77777777">
      <w:pPr>
        <w:spacing w:after="0" w:line="360" w:lineRule="auto"/>
        <w:rPr>
          <w:rFonts w:cs="Tahoma"/>
          <w:bCs/>
        </w:rPr>
      </w:pPr>
    </w:p>
    <w:p w:rsidRPr="00DE77AA" w:rsidR="00066B31" w:rsidP="06C81FE7" w:rsidRDefault="00066B31" w14:paraId="466D8EC0" w14:textId="7D805AB0">
      <w:pPr>
        <w:spacing w:after="0" w:line="360" w:lineRule="auto"/>
        <w:rPr>
          <w:rFonts w:cs="Tahoma"/>
        </w:rPr>
      </w:pPr>
      <w:r w:rsidRPr="06C81FE7" w:rsidR="06C81FE7">
        <w:rPr>
          <w:rFonts w:cs="Tahoma"/>
          <w:b w:val="1"/>
          <w:bCs w:val="1"/>
        </w:rPr>
        <w:t xml:space="preserve">VISTO </w:t>
      </w:r>
      <w:r w:rsidRPr="06C81FE7" w:rsidR="06C81FE7">
        <w:rPr>
          <w:rFonts w:cs="Tahoma"/>
        </w:rPr>
        <w:t xml:space="preserve">el expediente conformado con motivo del Recurso de Revisión </w:t>
      </w:r>
      <w:r w:rsidR="06C81FE7">
        <w:rPr/>
        <w:t>00056/INFOEM/IP/RR/2023</w:t>
      </w:r>
      <w:r w:rsidRPr="06C81FE7" w:rsidR="06C81FE7">
        <w:rPr>
          <w:rFonts w:cs="Tahoma"/>
        </w:rPr>
        <w:t xml:space="preserve">, interpuesto por </w:t>
      </w:r>
      <w:r w:rsidRPr="06C81FE7" w:rsidR="06C81FE7">
        <w:rPr>
          <w:rFonts w:cs="Tahoma"/>
          <w:highlight w:val="black"/>
        </w:rPr>
        <w:t>X</w:t>
      </w:r>
      <w:r w:rsidRPr="06C81FE7" w:rsidR="06C81FE7">
        <w:rPr>
          <w:rFonts w:cs="Tahoma"/>
        </w:rPr>
        <w:t>, en lo sucesivo el</w:t>
      </w:r>
      <w:r w:rsidR="06C81FE7">
        <w:rPr/>
        <w:t xml:space="preserve"> </w:t>
      </w:r>
      <w:r w:rsidRPr="06C81FE7" w:rsidR="06C81FE7">
        <w:rPr>
          <w:rFonts w:cs="Tahoma"/>
        </w:rPr>
        <w:t xml:space="preserve">Recurrente o Particular, en contra de la respuesta del Sujeto Obligado, Ayuntamiento de Temoaya, a la solicitud de información con número </w:t>
      </w:r>
      <w:bookmarkStart w:name="_Hlk127448103" w:id="0"/>
      <w:r w:rsidR="06C81FE7">
        <w:rPr/>
        <w:t>00306/TEMOAYA/IP/2022</w:t>
      </w:r>
      <w:bookmarkEnd w:id="0"/>
      <w:r w:rsidRPr="06C81FE7" w:rsidR="06C81FE7">
        <w:rPr>
          <w:rFonts w:cs="Tahoma"/>
        </w:rPr>
        <w:t>, se emite la presente Resolución, con base en los Antecedentes y Considerandos que se exponen a continuación:</w:t>
      </w:r>
    </w:p>
    <w:p w:rsidRPr="00DE77AA" w:rsidR="00066B31" w:rsidP="00ED0E2B" w:rsidRDefault="00066B31" w14:paraId="740A33F0" w14:textId="77777777">
      <w:pPr>
        <w:tabs>
          <w:tab w:val="left" w:pos="6735"/>
        </w:tabs>
        <w:spacing w:after="0" w:line="360" w:lineRule="auto"/>
        <w:rPr>
          <w:rFonts w:cs="Tahoma"/>
        </w:rPr>
      </w:pPr>
    </w:p>
    <w:p w:rsidRPr="00DE77AA" w:rsidR="00066B31" w:rsidP="00ED0E2B" w:rsidRDefault="00066B31" w14:paraId="4677765F" w14:textId="77777777">
      <w:pPr>
        <w:tabs>
          <w:tab w:val="center" w:pos="4522"/>
          <w:tab w:val="left" w:pos="7245"/>
        </w:tabs>
        <w:spacing w:after="0" w:line="360" w:lineRule="auto"/>
        <w:jc w:val="center"/>
        <w:rPr>
          <w:rFonts w:cs="Tahoma"/>
          <w:b/>
        </w:rPr>
      </w:pPr>
      <w:r w:rsidRPr="00DE77AA">
        <w:rPr>
          <w:rFonts w:cs="Tahoma"/>
          <w:b/>
        </w:rPr>
        <w:t>A N T E C E D E N T E S:</w:t>
      </w:r>
    </w:p>
    <w:p w:rsidRPr="00DE77AA" w:rsidR="00066B31" w:rsidP="00ED0E2B" w:rsidRDefault="00066B31" w14:paraId="700501D6" w14:textId="77777777">
      <w:pPr>
        <w:spacing w:after="0" w:line="360" w:lineRule="auto"/>
      </w:pPr>
    </w:p>
    <w:p w:rsidRPr="00DE77AA" w:rsidR="00066B31" w:rsidP="00ED0E2B" w:rsidRDefault="00066B31" w14:paraId="0B245B18" w14:textId="77777777">
      <w:pPr>
        <w:pStyle w:val="Prrafodelista"/>
        <w:tabs>
          <w:tab w:val="left" w:pos="567"/>
        </w:tabs>
        <w:spacing w:line="360" w:lineRule="auto"/>
        <w:ind w:left="0"/>
        <w:jc w:val="both"/>
        <w:rPr>
          <w:rFonts w:ascii="Palatino Linotype" w:hAnsi="Palatino Linotype" w:cs="Tahoma"/>
          <w:b/>
          <w:color w:val="000000" w:themeColor="text1"/>
          <w:szCs w:val="22"/>
        </w:rPr>
      </w:pPr>
      <w:r w:rsidRPr="00DE77AA">
        <w:rPr>
          <w:rFonts w:ascii="Palatino Linotype" w:hAnsi="Palatino Linotype" w:cs="Tahoma"/>
          <w:b/>
          <w:color w:val="000000" w:themeColor="text1"/>
          <w:szCs w:val="22"/>
        </w:rPr>
        <w:t xml:space="preserve">I. Presentación de la solicitud de información. </w:t>
      </w:r>
    </w:p>
    <w:p w:rsidRPr="00DE77AA" w:rsidR="00066B31" w:rsidP="00ED0E2B" w:rsidRDefault="00066B31" w14:paraId="0CC74E03" w14:textId="77777777">
      <w:pPr>
        <w:pStyle w:val="Prrafodelista"/>
        <w:tabs>
          <w:tab w:val="left" w:pos="567"/>
        </w:tabs>
        <w:spacing w:line="360" w:lineRule="auto"/>
        <w:ind w:left="0"/>
        <w:jc w:val="both"/>
        <w:rPr>
          <w:rFonts w:ascii="Palatino Linotype" w:hAnsi="Palatino Linotype" w:cs="Tahoma"/>
          <w:color w:val="000000" w:themeColor="text1"/>
          <w:szCs w:val="22"/>
        </w:rPr>
      </w:pPr>
    </w:p>
    <w:p w:rsidRPr="00DE77AA" w:rsidR="00FB4AE8" w:rsidP="00ED0E2B" w:rsidRDefault="00066B31" w14:paraId="067CC026" w14:textId="2D0B5D05">
      <w:pPr>
        <w:autoSpaceDE w:val="0"/>
        <w:autoSpaceDN w:val="0"/>
        <w:adjustRightInd w:val="0"/>
        <w:spacing w:after="0" w:line="360" w:lineRule="auto"/>
        <w:rPr>
          <w:rFonts w:cs="Tahoma"/>
        </w:rPr>
      </w:pPr>
      <w:r w:rsidRPr="00DE77AA">
        <w:rPr>
          <w:rFonts w:cs="Tahoma"/>
        </w:rPr>
        <w:t xml:space="preserve">Con fecha </w:t>
      </w:r>
      <w:r w:rsidRPr="00DE77AA" w:rsidR="005B77A8">
        <w:rPr>
          <w:rFonts w:cs="Tahoma"/>
        </w:rPr>
        <w:t>veintiocho</w:t>
      </w:r>
      <w:r w:rsidRPr="00DE77AA" w:rsidR="00985E40">
        <w:rPr>
          <w:rFonts w:cs="Tahoma"/>
        </w:rPr>
        <w:t xml:space="preserve"> de </w:t>
      </w:r>
      <w:r w:rsidRPr="00DE77AA" w:rsidR="005B77A8">
        <w:rPr>
          <w:rFonts w:cs="Tahoma"/>
        </w:rPr>
        <w:t>noviembre</w:t>
      </w:r>
      <w:r w:rsidRPr="00DE77AA">
        <w:rPr>
          <w:rFonts w:cs="Tahoma"/>
        </w:rPr>
        <w:t xml:space="preserve"> de dos mil veintidós, </w:t>
      </w:r>
      <w:r w:rsidRPr="00DE77AA" w:rsidR="00043C41">
        <w:rPr>
          <w:rFonts w:cs="Tahoma"/>
        </w:rPr>
        <w:t>el</w:t>
      </w:r>
      <w:r w:rsidRPr="00DE77AA">
        <w:rPr>
          <w:rFonts w:cs="Tahoma"/>
        </w:rPr>
        <w:t xml:space="preserve"> Particular presentó una solicitud de acceso a la información pública, a través del Sistema de Acceso a la Información Mexiquense </w:t>
      </w:r>
      <w:r w:rsidRPr="00DE77AA">
        <w:rPr>
          <w:rFonts w:cs="Tahoma"/>
          <w:lang w:val="es-ES"/>
        </w:rPr>
        <w:t xml:space="preserve">(SAIMEX), con número de folio de la solicitud </w:t>
      </w:r>
      <w:r w:rsidRPr="00DE77AA" w:rsidR="005B77A8">
        <w:t>00306/TEMOAYA/IP/2022</w:t>
      </w:r>
      <w:r w:rsidRPr="00DE77AA">
        <w:rPr>
          <w:rFonts w:cs="Tahoma"/>
        </w:rPr>
        <w:t xml:space="preserve">, ante el </w:t>
      </w:r>
      <w:r w:rsidRPr="00DE77AA" w:rsidR="005B77A8">
        <w:rPr>
          <w:rFonts w:cs="Tahoma"/>
        </w:rPr>
        <w:t>Ayuntamiento de Temoaya</w:t>
      </w:r>
      <w:r w:rsidRPr="00DE77AA">
        <w:rPr>
          <w:rFonts w:cs="Tahoma"/>
        </w:rPr>
        <w:t xml:space="preserve">, </w:t>
      </w:r>
      <w:bookmarkStart w:name="_Hlk127433077" w:id="1"/>
      <w:r w:rsidRPr="00DE77AA" w:rsidR="00647CF6">
        <w:rPr>
          <w:rFonts w:eastAsia="Calibri" w:cs="Tahoma"/>
          <w:b/>
          <w:bCs/>
          <w:lang w:val="es-ES"/>
        </w:rPr>
        <w:t xml:space="preserve">ya que si bien, se registró el </w:t>
      </w:r>
      <w:r w:rsidRPr="00DE77AA" w:rsidR="005B77A8">
        <w:rPr>
          <w:rFonts w:eastAsia="Calibri" w:cs="Tahoma"/>
          <w:b/>
          <w:bCs/>
          <w:lang w:val="es-ES"/>
        </w:rPr>
        <w:t>veintisiete</w:t>
      </w:r>
      <w:r w:rsidRPr="00DE77AA" w:rsidR="00647CF6">
        <w:rPr>
          <w:rFonts w:eastAsia="Calibri" w:cs="Tahoma"/>
          <w:b/>
          <w:bCs/>
          <w:lang w:val="es-ES"/>
        </w:rPr>
        <w:t xml:space="preserve"> </w:t>
      </w:r>
      <w:r w:rsidRPr="00DE77AA" w:rsidR="005B77A8">
        <w:rPr>
          <w:rFonts w:eastAsia="Calibri" w:cs="Tahoma"/>
          <w:b/>
          <w:bCs/>
          <w:lang w:val="es-ES"/>
        </w:rPr>
        <w:t>del mismo mes y año</w:t>
      </w:r>
      <w:r w:rsidRPr="00DE77AA" w:rsidR="00647CF6">
        <w:rPr>
          <w:rFonts w:eastAsia="Calibri" w:cs="Tahoma"/>
          <w:b/>
          <w:bCs/>
          <w:lang w:val="es-ES"/>
        </w:rPr>
        <w:t xml:space="preserve">, 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del Instituto, para el año dos mil veintidós y enero dos mil veintitrés, por lo que, </w:t>
      </w:r>
      <w:r w:rsidRPr="00DE77AA" w:rsidR="00575679">
        <w:rPr>
          <w:rFonts w:eastAsia="Calibri" w:cs="Tahoma"/>
          <w:b/>
          <w:bCs/>
          <w:lang w:val="es-ES"/>
        </w:rPr>
        <w:t>se tuvo</w:t>
      </w:r>
      <w:r w:rsidRPr="00DE77AA" w:rsidR="00647CF6">
        <w:rPr>
          <w:rFonts w:eastAsia="Calibri" w:cs="Tahoma"/>
          <w:b/>
          <w:bCs/>
          <w:lang w:val="es-ES"/>
        </w:rPr>
        <w:t xml:space="preserve"> por recibido, el día hábil subsecuente</w:t>
      </w:r>
      <w:r w:rsidRPr="00DE77AA" w:rsidR="00575679">
        <w:rPr>
          <w:rFonts w:eastAsia="Calibri" w:cs="Tahoma"/>
          <w:b/>
          <w:bCs/>
          <w:lang w:val="es-ES"/>
        </w:rPr>
        <w:t>,</w:t>
      </w:r>
      <w:r w:rsidRPr="00DE77AA" w:rsidR="00647CF6">
        <w:rPr>
          <w:rFonts w:eastAsia="Calibri" w:cs="Tahoma"/>
          <w:b/>
          <w:bCs/>
          <w:lang w:val="es-ES"/>
        </w:rPr>
        <w:t xml:space="preserve"> </w:t>
      </w:r>
      <w:bookmarkEnd w:id="1"/>
      <w:r w:rsidRPr="00DE77AA" w:rsidR="00647CF6">
        <w:rPr>
          <w:rFonts w:eastAsia="Calibri" w:cs="Tahoma"/>
        </w:rPr>
        <w:t>mediante la cual requirió:</w:t>
      </w:r>
    </w:p>
    <w:p w:rsidRPr="00DE77AA" w:rsidR="00647CF6" w:rsidP="00ED0E2B" w:rsidRDefault="00647CF6" w14:paraId="4ECD6F09" w14:textId="77777777">
      <w:pPr>
        <w:autoSpaceDE w:val="0"/>
        <w:autoSpaceDN w:val="0"/>
        <w:adjustRightInd w:val="0"/>
        <w:spacing w:after="0" w:line="360" w:lineRule="auto"/>
        <w:rPr>
          <w:rFonts w:eastAsia="Calibri" w:cs="Tahoma"/>
        </w:rPr>
      </w:pPr>
    </w:p>
    <w:p w:rsidRPr="00DE77AA" w:rsidR="00575679" w:rsidP="00ED0E2B" w:rsidRDefault="00575679" w14:paraId="4EC5DC96" w14:textId="77777777">
      <w:pPr>
        <w:autoSpaceDE w:val="0"/>
        <w:autoSpaceDN w:val="0"/>
        <w:adjustRightInd w:val="0"/>
        <w:spacing w:after="0" w:line="360" w:lineRule="auto"/>
        <w:rPr>
          <w:rFonts w:eastAsia="Calibri" w:cs="Tahoma"/>
        </w:rPr>
      </w:pPr>
    </w:p>
    <w:p w:rsidRPr="00DE77AA" w:rsidR="00575679" w:rsidP="00ED0E2B" w:rsidRDefault="00575679" w14:paraId="17AC47E7" w14:textId="77777777">
      <w:pPr>
        <w:autoSpaceDE w:val="0"/>
        <w:autoSpaceDN w:val="0"/>
        <w:adjustRightInd w:val="0"/>
        <w:spacing w:after="0" w:line="360" w:lineRule="auto"/>
        <w:rPr>
          <w:rFonts w:eastAsia="Calibri" w:cs="Tahoma"/>
        </w:rPr>
      </w:pPr>
    </w:p>
    <w:p w:rsidRPr="00DE77AA" w:rsidR="00066B31" w:rsidP="00ED0E2B" w:rsidRDefault="00066B31" w14:paraId="130FEFE5" w14:textId="77777777">
      <w:pPr>
        <w:tabs>
          <w:tab w:val="left" w:pos="4667"/>
        </w:tabs>
        <w:spacing w:after="0" w:line="360" w:lineRule="auto"/>
        <w:ind w:left="567" w:right="567"/>
        <w:rPr>
          <w:rFonts w:cs="Tahoma"/>
          <w:b/>
          <w:bCs/>
          <w:i/>
          <w:sz w:val="20"/>
          <w:szCs w:val="20"/>
        </w:rPr>
      </w:pPr>
      <w:r w:rsidRPr="00DE77AA">
        <w:rPr>
          <w:rFonts w:cs="Tahoma"/>
          <w:b/>
          <w:bCs/>
          <w:i/>
          <w:sz w:val="20"/>
          <w:szCs w:val="20"/>
        </w:rPr>
        <w:lastRenderedPageBreak/>
        <w:t>“DESCRIPCIÓN CLARA Y PRECISA DE LA INFORMACIÓN SOLICITADA</w:t>
      </w:r>
    </w:p>
    <w:p w:rsidRPr="00DE77AA" w:rsidR="00066B31" w:rsidP="00ED0E2B" w:rsidRDefault="005B77A8" w14:paraId="6572CF93" w14:textId="33C71ACE">
      <w:pPr>
        <w:tabs>
          <w:tab w:val="left" w:pos="4667"/>
        </w:tabs>
        <w:spacing w:after="0" w:line="360" w:lineRule="auto"/>
        <w:ind w:left="567" w:right="567"/>
        <w:rPr>
          <w:rFonts w:cs="Tahoma"/>
          <w:bCs/>
          <w:i/>
          <w:iCs/>
          <w:sz w:val="20"/>
          <w:szCs w:val="20"/>
        </w:rPr>
      </w:pPr>
      <w:r w:rsidRPr="00DE77AA">
        <w:rPr>
          <w:i/>
          <w:iCs/>
          <w:sz w:val="20"/>
          <w:szCs w:val="20"/>
        </w:rPr>
        <w:t xml:space="preserve">Referente al folio de la solicitud: 00219/Temoaya/ip/2022, en específico al pago de la factura del mes de agosto derivado por la prestación de servicios profesionales de la ciudadana </w:t>
      </w:r>
      <w:bookmarkStart w:name="_Hlk127447909" w:id="2"/>
      <w:r w:rsidRPr="00DE77AA">
        <w:rPr>
          <w:i/>
          <w:iCs/>
          <w:sz w:val="20"/>
          <w:szCs w:val="20"/>
        </w:rPr>
        <w:t>Karla Trejo Serrano</w:t>
      </w:r>
      <w:bookmarkEnd w:id="2"/>
      <w:r w:rsidRPr="00DE77AA">
        <w:rPr>
          <w:i/>
          <w:iCs/>
          <w:sz w:val="20"/>
          <w:szCs w:val="20"/>
        </w:rPr>
        <w:t>. Se requiere indique la facultad potestativa del Titular de la Contraloría Municipal para otorgar Visto Bueno para el pago de servicios de los contratistas y especificar norma jurídica o administrativa. Se requiere la atención de la presente solicitud de Tesorería Municipal y del Director de Administración del ayuntamiento de Temoaya.</w:t>
      </w:r>
      <w:r w:rsidRPr="00DE77AA" w:rsidR="00066B31">
        <w:rPr>
          <w:rFonts w:cs="Tahoma"/>
          <w:bCs/>
          <w:i/>
          <w:iCs/>
          <w:sz w:val="20"/>
          <w:szCs w:val="20"/>
        </w:rPr>
        <w:t xml:space="preserve">” </w:t>
      </w:r>
      <w:r w:rsidRPr="00DE77AA" w:rsidR="00066B31">
        <w:rPr>
          <w:rFonts w:eastAsia="Times New Roman" w:cs="Arial"/>
          <w:bCs/>
          <w:i/>
          <w:iCs/>
          <w:sz w:val="20"/>
          <w:szCs w:val="20"/>
          <w:lang w:eastAsia="es-ES"/>
        </w:rPr>
        <w:t>(Sic)</w:t>
      </w:r>
    </w:p>
    <w:p w:rsidRPr="00DE77AA" w:rsidR="00FB4AE8" w:rsidP="00ED0E2B" w:rsidRDefault="00FB4AE8" w14:paraId="190C62D5" w14:textId="77777777">
      <w:pPr>
        <w:tabs>
          <w:tab w:val="left" w:pos="4667"/>
        </w:tabs>
        <w:spacing w:after="0" w:line="360" w:lineRule="auto"/>
        <w:ind w:left="567" w:right="567"/>
        <w:rPr>
          <w:rFonts w:cs="Tahoma"/>
          <w:bCs/>
          <w:i/>
          <w:sz w:val="20"/>
          <w:szCs w:val="20"/>
        </w:rPr>
      </w:pPr>
    </w:p>
    <w:p w:rsidRPr="00DE77AA" w:rsidR="00066B31" w:rsidP="00ED0E2B" w:rsidRDefault="00066B31" w14:paraId="001974F3" w14:textId="77777777">
      <w:pPr>
        <w:tabs>
          <w:tab w:val="left" w:pos="4667"/>
        </w:tabs>
        <w:spacing w:after="0" w:line="360" w:lineRule="auto"/>
        <w:ind w:left="567" w:right="567"/>
        <w:rPr>
          <w:rFonts w:eastAsia="Times New Roman" w:cs="Tahoma"/>
          <w:b/>
          <w:bCs/>
          <w:i/>
          <w:iCs/>
          <w:sz w:val="20"/>
          <w:szCs w:val="20"/>
          <w:lang w:eastAsia="es-ES"/>
        </w:rPr>
      </w:pPr>
      <w:r w:rsidRPr="00DE77AA">
        <w:rPr>
          <w:rFonts w:eastAsia="Times New Roman" w:cs="Tahoma"/>
          <w:b/>
          <w:bCs/>
          <w:i/>
          <w:iCs/>
          <w:sz w:val="20"/>
          <w:szCs w:val="20"/>
          <w:lang w:eastAsia="es-ES"/>
        </w:rPr>
        <w:t>“MODALIDAD DE ENTREGA</w:t>
      </w:r>
    </w:p>
    <w:p w:rsidRPr="00DE77AA" w:rsidR="00066B31" w:rsidP="00ED0E2B" w:rsidRDefault="00066B31" w14:paraId="6BA8340A" w14:textId="77777777">
      <w:pPr>
        <w:spacing w:after="0" w:line="360" w:lineRule="auto"/>
        <w:ind w:left="567" w:right="567"/>
        <w:rPr>
          <w:rFonts w:eastAsia="Times New Roman" w:cs="Arial"/>
          <w:bCs/>
          <w:i/>
          <w:iCs/>
          <w:sz w:val="20"/>
          <w:szCs w:val="20"/>
          <w:lang w:eastAsia="es-ES"/>
        </w:rPr>
      </w:pPr>
      <w:r w:rsidRPr="00DE77AA">
        <w:rPr>
          <w:rFonts w:eastAsia="Times New Roman" w:cs="Arial"/>
          <w:bCs/>
          <w:i/>
          <w:iCs/>
          <w:sz w:val="20"/>
          <w:szCs w:val="20"/>
          <w:lang w:eastAsia="es-ES"/>
        </w:rPr>
        <w:t>A través del SAIMEX” (Sic)</w:t>
      </w:r>
    </w:p>
    <w:p w:rsidRPr="00DE77AA" w:rsidR="00066B31" w:rsidP="00ED0E2B" w:rsidRDefault="00066B31" w14:paraId="2EE15DF4" w14:textId="77777777">
      <w:pPr>
        <w:tabs>
          <w:tab w:val="left" w:pos="567"/>
        </w:tabs>
        <w:spacing w:after="0" w:line="360" w:lineRule="auto"/>
        <w:rPr>
          <w:rFonts w:eastAsia="Calibri" w:cs="Tahoma"/>
          <w:b/>
          <w:bCs/>
          <w:i/>
          <w:iCs/>
        </w:rPr>
      </w:pPr>
    </w:p>
    <w:p w:rsidRPr="00DE77AA" w:rsidR="0081647F" w:rsidP="00ED0E2B" w:rsidRDefault="0081647F" w14:paraId="0CEDCDD1" w14:textId="77777777">
      <w:pPr>
        <w:autoSpaceDE w:val="0"/>
        <w:autoSpaceDN w:val="0"/>
        <w:adjustRightInd w:val="0"/>
        <w:spacing w:after="0" w:line="360" w:lineRule="auto"/>
        <w:rPr>
          <w:rFonts w:eastAsia="Times New Roman" w:cs="Tahoma"/>
          <w:b/>
          <w:bCs/>
          <w:szCs w:val="24"/>
          <w:lang w:eastAsia="es-ES"/>
        </w:rPr>
      </w:pPr>
      <w:r w:rsidRPr="00DE77AA">
        <w:rPr>
          <w:rFonts w:eastAsia="Times New Roman" w:cs="Tahoma"/>
          <w:b/>
          <w:bCs/>
          <w:szCs w:val="24"/>
          <w:lang w:eastAsia="es-ES"/>
        </w:rPr>
        <w:t xml:space="preserve">II. </w:t>
      </w:r>
      <w:r w:rsidRPr="00DE77AA">
        <w:rPr>
          <w:rFonts w:eastAsia="Times New Roman" w:cs="Tahoma"/>
          <w:b/>
          <w:szCs w:val="24"/>
          <w:lang w:eastAsia="es-ES"/>
        </w:rPr>
        <w:t>Respuesta</w:t>
      </w:r>
      <w:r w:rsidRPr="00DE77AA">
        <w:rPr>
          <w:rFonts w:eastAsia="Times New Roman" w:cs="Tahoma"/>
          <w:b/>
          <w:bCs/>
          <w:szCs w:val="24"/>
          <w:lang w:eastAsia="es-ES"/>
        </w:rPr>
        <w:t xml:space="preserve"> del Sujeto Obligado.</w:t>
      </w:r>
    </w:p>
    <w:p w:rsidRPr="00DE77AA" w:rsidR="0081647F" w:rsidP="00ED0E2B" w:rsidRDefault="0081647F" w14:paraId="19FD8659" w14:textId="77777777">
      <w:pPr>
        <w:autoSpaceDE w:val="0"/>
        <w:autoSpaceDN w:val="0"/>
        <w:adjustRightInd w:val="0"/>
        <w:spacing w:after="0" w:line="360" w:lineRule="auto"/>
        <w:rPr>
          <w:rFonts w:eastAsia="Times New Roman" w:cs="Tahoma"/>
          <w:bCs/>
          <w:szCs w:val="24"/>
          <w:lang w:eastAsia="es-ES"/>
        </w:rPr>
      </w:pPr>
    </w:p>
    <w:p w:rsidRPr="00DE77AA" w:rsidR="0081647F" w:rsidP="00ED0E2B" w:rsidRDefault="0081647F" w14:paraId="2E17B962" w14:textId="426EDEF4">
      <w:pPr>
        <w:autoSpaceDE w:val="0"/>
        <w:autoSpaceDN w:val="0"/>
        <w:adjustRightInd w:val="0"/>
        <w:spacing w:after="0" w:line="360" w:lineRule="auto"/>
        <w:rPr>
          <w:rFonts w:eastAsia="Times New Roman" w:cs="Tahoma"/>
          <w:szCs w:val="24"/>
          <w:lang w:eastAsia="es-ES"/>
        </w:rPr>
      </w:pPr>
      <w:r w:rsidRPr="00DE77AA">
        <w:rPr>
          <w:rFonts w:eastAsia="Times New Roman" w:cs="Tahoma"/>
          <w:bCs/>
          <w:szCs w:val="24"/>
          <w:lang w:eastAsia="es-ES"/>
        </w:rPr>
        <w:t xml:space="preserve">El </w:t>
      </w:r>
      <w:r w:rsidRPr="00DE77AA" w:rsidR="0056432C">
        <w:rPr>
          <w:rFonts w:eastAsia="Times New Roman" w:cs="Tahoma"/>
          <w:bCs/>
          <w:szCs w:val="24"/>
          <w:lang w:eastAsia="es-ES"/>
        </w:rPr>
        <w:t>diecinueve</w:t>
      </w:r>
      <w:r w:rsidRPr="00DE77AA" w:rsidR="00647CF6">
        <w:rPr>
          <w:rFonts w:eastAsia="Times New Roman" w:cs="Tahoma"/>
          <w:bCs/>
          <w:szCs w:val="24"/>
          <w:lang w:eastAsia="es-ES"/>
        </w:rPr>
        <w:t xml:space="preserve"> </w:t>
      </w:r>
      <w:r w:rsidRPr="00DE77AA">
        <w:rPr>
          <w:rFonts w:eastAsia="Times New Roman" w:cs="Tahoma"/>
          <w:bCs/>
          <w:szCs w:val="24"/>
          <w:lang w:eastAsia="es-ES"/>
        </w:rPr>
        <w:t xml:space="preserve">de </w:t>
      </w:r>
      <w:r w:rsidRPr="00DE77AA" w:rsidR="0056432C">
        <w:rPr>
          <w:rFonts w:eastAsia="Times New Roman" w:cs="Tahoma"/>
          <w:bCs/>
          <w:szCs w:val="24"/>
          <w:lang w:eastAsia="es-ES"/>
        </w:rPr>
        <w:t>diciembre</w:t>
      </w:r>
      <w:r w:rsidRPr="00DE77AA">
        <w:rPr>
          <w:rFonts w:eastAsia="Times New Roman" w:cs="Tahoma"/>
          <w:bCs/>
          <w:szCs w:val="24"/>
          <w:lang w:eastAsia="es-ES"/>
        </w:rPr>
        <w:t xml:space="preserve"> de dos mil veintidós, el</w:t>
      </w:r>
      <w:r w:rsidRPr="00DE77AA">
        <w:rPr>
          <w:rFonts w:eastAsia="Times New Roman" w:cs="Tahoma"/>
          <w:b/>
          <w:szCs w:val="24"/>
          <w:lang w:eastAsia="es-ES"/>
        </w:rPr>
        <w:t xml:space="preserve"> </w:t>
      </w:r>
      <w:r w:rsidRPr="00DE77AA">
        <w:rPr>
          <w:rFonts w:eastAsia="Times New Roman" w:cs="Tahoma"/>
          <w:szCs w:val="24"/>
          <w:lang w:eastAsia="es-ES"/>
        </w:rPr>
        <w:t xml:space="preserve">Sujeto Obligado dio respuesta a la solicitud de acceso a la información a través del Sistema de Acceso a la Información Mexiquense (SAIMEX), a través del oficio número </w:t>
      </w:r>
      <w:r w:rsidRPr="00DE77AA" w:rsidR="0056432C">
        <w:rPr>
          <w:rFonts w:eastAsia="Times New Roman" w:cs="Tahoma"/>
          <w:szCs w:val="24"/>
          <w:lang w:eastAsia="es-ES"/>
        </w:rPr>
        <w:t>CM/0979/2022</w:t>
      </w:r>
      <w:r w:rsidRPr="00DE77AA">
        <w:rPr>
          <w:rFonts w:eastAsia="Times New Roman" w:cs="Tahoma"/>
          <w:szCs w:val="24"/>
          <w:lang w:eastAsia="es-ES"/>
        </w:rPr>
        <w:t xml:space="preserve">, del </w:t>
      </w:r>
      <w:r w:rsidRPr="00DE77AA" w:rsidR="0056432C">
        <w:rPr>
          <w:rFonts w:eastAsia="Times New Roman" w:cs="Tahoma"/>
          <w:szCs w:val="24"/>
          <w:lang w:eastAsia="es-ES"/>
        </w:rPr>
        <w:t>cinco</w:t>
      </w:r>
      <w:r w:rsidRPr="00DE77AA">
        <w:rPr>
          <w:rFonts w:eastAsia="Times New Roman" w:cs="Tahoma"/>
          <w:szCs w:val="24"/>
          <w:lang w:eastAsia="es-ES"/>
        </w:rPr>
        <w:t xml:space="preserve"> de </w:t>
      </w:r>
      <w:r w:rsidRPr="00DE77AA" w:rsidR="0056432C">
        <w:rPr>
          <w:rFonts w:eastAsia="Times New Roman" w:cs="Tahoma"/>
          <w:szCs w:val="24"/>
          <w:lang w:eastAsia="es-ES"/>
        </w:rPr>
        <w:t>diciembre</w:t>
      </w:r>
      <w:r w:rsidRPr="00DE77AA" w:rsidR="00647CF6">
        <w:rPr>
          <w:rFonts w:eastAsia="Times New Roman" w:cs="Tahoma"/>
          <w:szCs w:val="24"/>
          <w:lang w:eastAsia="es-ES"/>
        </w:rPr>
        <w:t xml:space="preserve"> </w:t>
      </w:r>
      <w:r w:rsidRPr="00DE77AA">
        <w:rPr>
          <w:rFonts w:eastAsia="Times New Roman" w:cs="Tahoma"/>
          <w:szCs w:val="24"/>
          <w:lang w:eastAsia="es-ES"/>
        </w:rPr>
        <w:t xml:space="preserve">de dicho año, suscrito por el </w:t>
      </w:r>
      <w:r w:rsidRPr="00DE77AA" w:rsidR="0056432C">
        <w:rPr>
          <w:rFonts w:eastAsia="Times New Roman" w:cs="Tahoma"/>
          <w:szCs w:val="24"/>
          <w:lang w:eastAsia="es-ES"/>
        </w:rPr>
        <w:t xml:space="preserve">Contralor Municipal </w:t>
      </w:r>
      <w:r w:rsidRPr="00DE77AA">
        <w:rPr>
          <w:rFonts w:eastAsia="Times New Roman" w:cs="Tahoma"/>
          <w:szCs w:val="24"/>
          <w:lang w:eastAsia="es-ES"/>
        </w:rPr>
        <w:t xml:space="preserve">y dirigido </w:t>
      </w:r>
      <w:r w:rsidRPr="00DE77AA" w:rsidR="00741517">
        <w:rPr>
          <w:rFonts w:eastAsia="Times New Roman" w:cs="Tahoma"/>
          <w:szCs w:val="24"/>
          <w:lang w:eastAsia="es-ES"/>
        </w:rPr>
        <w:t xml:space="preserve">al </w:t>
      </w:r>
      <w:r w:rsidRPr="00DE77AA" w:rsidR="0056432C">
        <w:rPr>
          <w:rFonts w:eastAsia="Times New Roman" w:cs="Tahoma"/>
          <w:szCs w:val="24"/>
          <w:lang w:eastAsia="es-ES"/>
        </w:rPr>
        <w:t>Titular de la Unidad d</w:t>
      </w:r>
      <w:r w:rsidRPr="00DE77AA" w:rsidR="00741517">
        <w:rPr>
          <w:rFonts w:eastAsia="Times New Roman" w:cs="Tahoma"/>
          <w:szCs w:val="24"/>
          <w:lang w:eastAsia="es-ES"/>
        </w:rPr>
        <w:t xml:space="preserve">e Transparencia, mediante el cual manifiesta y expone lo siguiente: </w:t>
      </w:r>
    </w:p>
    <w:p w:rsidRPr="00DE77AA" w:rsidR="00741517" w:rsidP="00ED0E2B" w:rsidRDefault="00741517" w14:paraId="12EF3F73" w14:textId="7F61DA6B">
      <w:pPr>
        <w:autoSpaceDE w:val="0"/>
        <w:autoSpaceDN w:val="0"/>
        <w:adjustRightInd w:val="0"/>
        <w:spacing w:after="0" w:line="360" w:lineRule="auto"/>
        <w:rPr>
          <w:rFonts w:eastAsia="Times New Roman" w:cs="Tahoma"/>
          <w:szCs w:val="24"/>
          <w:lang w:eastAsia="es-ES"/>
        </w:rPr>
      </w:pPr>
    </w:p>
    <w:p w:rsidRPr="00DE77AA" w:rsidR="00741517" w:rsidP="00ED0E2B" w:rsidRDefault="00741517" w14:paraId="68052B30" w14:textId="3E8A2A87">
      <w:pPr>
        <w:autoSpaceDE w:val="0"/>
        <w:autoSpaceDN w:val="0"/>
        <w:adjustRightInd w:val="0"/>
        <w:spacing w:after="0" w:line="360" w:lineRule="auto"/>
        <w:ind w:left="567" w:right="567"/>
        <w:rPr>
          <w:rFonts w:eastAsia="Times New Roman" w:cs="Tahoma"/>
          <w:i/>
          <w:iCs/>
          <w:sz w:val="20"/>
          <w:szCs w:val="20"/>
          <w:lang w:eastAsia="es-ES"/>
        </w:rPr>
      </w:pPr>
      <w:r w:rsidRPr="00DE77AA">
        <w:rPr>
          <w:rFonts w:eastAsia="Times New Roman" w:cs="Tahoma"/>
          <w:i/>
          <w:iCs/>
          <w:sz w:val="20"/>
          <w:szCs w:val="20"/>
          <w:lang w:eastAsia="es-ES"/>
        </w:rPr>
        <w:t>“…</w:t>
      </w:r>
    </w:p>
    <w:p w:rsidRPr="00DE77AA" w:rsidR="0081647F" w:rsidP="00ED0E2B" w:rsidRDefault="0056432C" w14:paraId="45F937A1" w14:textId="32C1F2AB">
      <w:pPr>
        <w:autoSpaceDE w:val="0"/>
        <w:autoSpaceDN w:val="0"/>
        <w:adjustRightInd w:val="0"/>
        <w:spacing w:after="0" w:line="360" w:lineRule="auto"/>
        <w:ind w:left="567" w:right="567"/>
        <w:rPr>
          <w:rFonts w:eastAsia="Times New Roman" w:cs="Tahoma"/>
          <w:i/>
          <w:iCs/>
          <w:sz w:val="20"/>
          <w:szCs w:val="20"/>
          <w:lang w:eastAsia="es-ES"/>
        </w:rPr>
      </w:pPr>
      <w:r w:rsidRPr="00DE77AA">
        <w:rPr>
          <w:rFonts w:eastAsia="Times New Roman" w:cs="Tahoma"/>
          <w:i/>
          <w:iCs/>
          <w:sz w:val="20"/>
          <w:szCs w:val="20"/>
          <w:lang w:eastAsia="es-ES"/>
        </w:rPr>
        <w:t>Al respecto me permito informarle lo siguiente:</w:t>
      </w:r>
    </w:p>
    <w:p w:rsidRPr="00DE77AA" w:rsidR="00741517" w:rsidP="00ED0E2B" w:rsidRDefault="00741517" w14:paraId="59602D64" w14:textId="4441CE36">
      <w:pPr>
        <w:autoSpaceDE w:val="0"/>
        <w:autoSpaceDN w:val="0"/>
        <w:adjustRightInd w:val="0"/>
        <w:spacing w:after="0" w:line="360" w:lineRule="auto"/>
        <w:ind w:left="567" w:right="567"/>
        <w:rPr>
          <w:rFonts w:eastAsia="Times New Roman" w:cs="Tahoma"/>
          <w:i/>
          <w:iCs/>
          <w:sz w:val="20"/>
          <w:szCs w:val="20"/>
          <w:lang w:eastAsia="es-ES"/>
        </w:rPr>
      </w:pPr>
    </w:p>
    <w:p w:rsidRPr="00DE77AA" w:rsidR="0046432D" w:rsidP="00ED0E2B" w:rsidRDefault="0046432D" w14:paraId="75DD4EDF" w14:textId="77777777">
      <w:pPr>
        <w:autoSpaceDE w:val="0"/>
        <w:autoSpaceDN w:val="0"/>
        <w:adjustRightInd w:val="0"/>
        <w:spacing w:after="0" w:line="360" w:lineRule="auto"/>
        <w:ind w:left="567" w:right="567"/>
        <w:rPr>
          <w:rFonts w:eastAsia="Times New Roman" w:cs="Tahoma"/>
          <w:i/>
          <w:iCs/>
          <w:sz w:val="20"/>
          <w:szCs w:val="20"/>
          <w:lang w:eastAsia="es-ES"/>
        </w:rPr>
      </w:pPr>
      <w:r w:rsidRPr="00DE77AA">
        <w:rPr>
          <w:rFonts w:eastAsia="Times New Roman" w:cs="Tahoma"/>
          <w:i/>
          <w:iCs/>
          <w:sz w:val="20"/>
          <w:szCs w:val="20"/>
          <w:lang w:eastAsia="es-ES"/>
        </w:rPr>
        <w:t>En términos de lo dispuesto por el artículo 70 de la Ley de Contrataciones del Estado de México y Municipios, que a la letra señala:</w:t>
      </w:r>
    </w:p>
    <w:p w:rsidRPr="00DE77AA" w:rsidR="0046432D" w:rsidP="00ED0E2B" w:rsidRDefault="0046432D" w14:paraId="4627A8B6" w14:textId="77777777">
      <w:pPr>
        <w:autoSpaceDE w:val="0"/>
        <w:autoSpaceDN w:val="0"/>
        <w:adjustRightInd w:val="0"/>
        <w:spacing w:after="0" w:line="360" w:lineRule="auto"/>
        <w:ind w:left="567" w:right="567"/>
        <w:rPr>
          <w:rFonts w:eastAsia="Times New Roman" w:cs="Tahoma"/>
          <w:i/>
          <w:iCs/>
          <w:sz w:val="20"/>
          <w:szCs w:val="20"/>
          <w:lang w:eastAsia="es-ES"/>
        </w:rPr>
      </w:pPr>
    </w:p>
    <w:p w:rsidRPr="00DE77AA" w:rsidR="0046432D" w:rsidP="00ED0E2B" w:rsidRDefault="0046432D" w14:paraId="7A8036F0" w14:textId="77777777">
      <w:pPr>
        <w:autoSpaceDE w:val="0"/>
        <w:autoSpaceDN w:val="0"/>
        <w:adjustRightInd w:val="0"/>
        <w:spacing w:after="0" w:line="360" w:lineRule="auto"/>
        <w:ind w:left="567" w:right="567"/>
        <w:rPr>
          <w:rFonts w:eastAsia="Times New Roman" w:cs="Tahoma"/>
          <w:i/>
          <w:iCs/>
          <w:sz w:val="20"/>
          <w:szCs w:val="20"/>
          <w:lang w:eastAsia="es-ES"/>
        </w:rPr>
      </w:pPr>
      <w:r w:rsidRPr="00DE77AA">
        <w:rPr>
          <w:rFonts w:eastAsia="Times New Roman" w:cs="Tahoma"/>
          <w:i/>
          <w:iCs/>
          <w:sz w:val="20"/>
          <w:szCs w:val="20"/>
          <w:lang w:eastAsia="es-ES"/>
        </w:rPr>
        <w:t xml:space="preserve">ARTÍCULO 70.- EL ÁREA USUARIA DEBERÁ VERIFICAR E INFORMAR A LA CONTRATANTE QUE EL PROVEEDOR O PRESTADOR DE SERVICIOS CUMPLA CON LA ENTREGA DE LOS BIENES O SERVICIOS EN LAS CONDICIONES PACTADAS. PODRÁ RECIBIR BIENES O SERVICIOS QUE SUPEREN O MEJOREN LAS </w:t>
      </w:r>
      <w:r w:rsidRPr="00DE77AA">
        <w:rPr>
          <w:rFonts w:eastAsia="Times New Roman" w:cs="Tahoma"/>
          <w:i/>
          <w:iCs/>
          <w:sz w:val="20"/>
          <w:szCs w:val="20"/>
          <w:lang w:eastAsia="es-ES"/>
        </w:rPr>
        <w:lastRenderedPageBreak/>
        <w:t>ESPECIFICACIONES ESTIPULADAS, SIEMPRE QUE SE RESPETE EL PRECIO DE LOS CONTRATADOS.</w:t>
      </w:r>
    </w:p>
    <w:p w:rsidRPr="00DE77AA" w:rsidR="0046432D" w:rsidP="00ED0E2B" w:rsidRDefault="0046432D" w14:paraId="23C899D0" w14:textId="77777777">
      <w:pPr>
        <w:autoSpaceDE w:val="0"/>
        <w:autoSpaceDN w:val="0"/>
        <w:adjustRightInd w:val="0"/>
        <w:spacing w:after="0" w:line="360" w:lineRule="auto"/>
        <w:ind w:left="567" w:right="567"/>
        <w:rPr>
          <w:rFonts w:eastAsia="Times New Roman" w:cs="Tahoma"/>
          <w:i/>
          <w:iCs/>
          <w:sz w:val="20"/>
          <w:szCs w:val="20"/>
          <w:lang w:eastAsia="es-ES"/>
        </w:rPr>
      </w:pPr>
    </w:p>
    <w:p w:rsidRPr="00DE77AA" w:rsidR="0046432D" w:rsidP="00ED0E2B" w:rsidRDefault="0046432D" w14:paraId="6DC08353" w14:textId="77777777">
      <w:pPr>
        <w:autoSpaceDE w:val="0"/>
        <w:autoSpaceDN w:val="0"/>
        <w:adjustRightInd w:val="0"/>
        <w:spacing w:after="0" w:line="360" w:lineRule="auto"/>
        <w:ind w:left="567" w:right="567"/>
        <w:rPr>
          <w:rFonts w:eastAsia="Times New Roman" w:cs="Tahoma"/>
          <w:i/>
          <w:iCs/>
          <w:sz w:val="20"/>
          <w:szCs w:val="20"/>
          <w:lang w:eastAsia="es-ES"/>
        </w:rPr>
      </w:pPr>
      <w:r w:rsidRPr="00DE77AA">
        <w:rPr>
          <w:rFonts w:eastAsia="Times New Roman" w:cs="Tahoma"/>
          <w:i/>
          <w:iCs/>
          <w:sz w:val="20"/>
          <w:szCs w:val="20"/>
          <w:lang w:eastAsia="es-ES"/>
        </w:rPr>
        <w:t>La Contraloría Municipal, como área usuaria, valida el pago de los integrantes del Comité de Participación Ciudadana del Sistema Municipal Anticorrupción de Temoaya; toda vez que, la erogación se realiza del presupuesto asignado a esta Contraloría Municipal.</w:t>
      </w:r>
    </w:p>
    <w:p w:rsidRPr="00DE77AA" w:rsidR="00741517" w:rsidP="00ED0E2B" w:rsidRDefault="00741517" w14:paraId="61CD6CD6" w14:textId="431E0815">
      <w:pPr>
        <w:autoSpaceDE w:val="0"/>
        <w:autoSpaceDN w:val="0"/>
        <w:adjustRightInd w:val="0"/>
        <w:spacing w:after="0" w:line="360" w:lineRule="auto"/>
        <w:ind w:left="567" w:right="567"/>
        <w:rPr>
          <w:rFonts w:eastAsia="Times New Roman" w:cs="Tahoma"/>
          <w:i/>
          <w:iCs/>
          <w:sz w:val="20"/>
          <w:szCs w:val="20"/>
          <w:lang w:eastAsia="es-ES"/>
        </w:rPr>
      </w:pPr>
      <w:r w:rsidRPr="00DE77AA">
        <w:rPr>
          <w:rFonts w:eastAsia="Times New Roman" w:cs="Tahoma"/>
          <w:i/>
          <w:iCs/>
          <w:sz w:val="20"/>
          <w:szCs w:val="20"/>
          <w:lang w:eastAsia="es-ES"/>
        </w:rPr>
        <w:t>…”</w:t>
      </w:r>
    </w:p>
    <w:p w:rsidRPr="00DE77AA" w:rsidR="00741517" w:rsidP="00ED0E2B" w:rsidRDefault="00741517" w14:paraId="66ADC867" w14:textId="77777777">
      <w:pPr>
        <w:autoSpaceDE w:val="0"/>
        <w:autoSpaceDN w:val="0"/>
        <w:adjustRightInd w:val="0"/>
        <w:spacing w:after="0" w:line="360" w:lineRule="auto"/>
        <w:rPr>
          <w:rFonts w:eastAsia="Times New Roman" w:cs="Tahoma"/>
          <w:szCs w:val="24"/>
          <w:lang w:eastAsia="es-ES"/>
        </w:rPr>
      </w:pPr>
    </w:p>
    <w:p w:rsidRPr="00DE77AA" w:rsidR="0081647F" w:rsidP="00ED0E2B" w:rsidRDefault="0046432D" w14:paraId="6EABA980" w14:textId="171BB99E">
      <w:pPr>
        <w:autoSpaceDE w:val="0"/>
        <w:autoSpaceDN w:val="0"/>
        <w:adjustRightInd w:val="0"/>
        <w:spacing w:after="0" w:line="360" w:lineRule="auto"/>
        <w:rPr>
          <w:rFonts w:eastAsia="Times New Roman" w:cs="Tahoma"/>
          <w:szCs w:val="24"/>
          <w:lang w:eastAsia="es-ES"/>
        </w:rPr>
      </w:pPr>
      <w:r w:rsidRPr="00DE77AA">
        <w:rPr>
          <w:rFonts w:eastAsia="Times New Roman" w:cs="Tahoma"/>
          <w:szCs w:val="24"/>
          <w:lang w:eastAsia="es-ES"/>
        </w:rPr>
        <w:t xml:space="preserve">Así mismo, el </w:t>
      </w:r>
      <w:r w:rsidRPr="00DE77AA" w:rsidR="0081647F">
        <w:rPr>
          <w:rFonts w:eastAsia="Times New Roman" w:cs="Tahoma"/>
          <w:szCs w:val="24"/>
          <w:lang w:eastAsia="es-ES"/>
        </w:rPr>
        <w:t>Sujeto Obligado adjuntó la digitalización d</w:t>
      </w:r>
      <w:r w:rsidRPr="00DE77AA" w:rsidR="00FE24DD">
        <w:rPr>
          <w:rFonts w:eastAsia="Times New Roman" w:cs="Tahoma"/>
          <w:szCs w:val="24"/>
          <w:lang w:eastAsia="es-ES"/>
        </w:rPr>
        <w:t>e</w:t>
      </w:r>
      <w:r w:rsidRPr="00DE77AA">
        <w:rPr>
          <w:rFonts w:eastAsia="Times New Roman" w:cs="Tahoma"/>
          <w:szCs w:val="24"/>
          <w:lang w:eastAsia="es-ES"/>
        </w:rPr>
        <w:t>l oficio número DAYDP/</w:t>
      </w:r>
      <w:r w:rsidRPr="00DE77AA" w:rsidR="00097435">
        <w:rPr>
          <w:rFonts w:eastAsia="Times New Roman" w:cs="Tahoma"/>
          <w:szCs w:val="24"/>
          <w:lang w:eastAsia="es-ES"/>
        </w:rPr>
        <w:t>3332/2022, del seis de diciembre de dos mil veintidós, signado por el Encargado de la Dirección de Administración y Desarrollo de Personal y dirigido a la Unidad de Transparencia, en los siguientes términos:</w:t>
      </w:r>
    </w:p>
    <w:p w:rsidRPr="00DE77AA" w:rsidR="00097435" w:rsidP="00ED0E2B" w:rsidRDefault="00097435" w14:paraId="1DAC91FB" w14:textId="00690AC7">
      <w:pPr>
        <w:autoSpaceDE w:val="0"/>
        <w:autoSpaceDN w:val="0"/>
        <w:adjustRightInd w:val="0"/>
        <w:spacing w:after="0" w:line="360" w:lineRule="auto"/>
        <w:rPr>
          <w:rFonts w:eastAsia="Times New Roman" w:cs="Tahoma"/>
          <w:szCs w:val="24"/>
          <w:lang w:eastAsia="es-ES"/>
        </w:rPr>
      </w:pPr>
    </w:p>
    <w:p w:rsidRPr="00DE77AA" w:rsidR="00097435" w:rsidP="00ED0E2B" w:rsidRDefault="00097435" w14:paraId="58CF176F" w14:textId="33B40935">
      <w:pPr>
        <w:autoSpaceDE w:val="0"/>
        <w:autoSpaceDN w:val="0"/>
        <w:adjustRightInd w:val="0"/>
        <w:spacing w:after="0" w:line="360" w:lineRule="auto"/>
        <w:ind w:left="567" w:right="567"/>
        <w:rPr>
          <w:rFonts w:eastAsia="Times New Roman" w:cs="Tahoma"/>
          <w:i/>
          <w:iCs/>
          <w:sz w:val="20"/>
          <w:lang w:eastAsia="es-ES"/>
        </w:rPr>
      </w:pPr>
      <w:r w:rsidRPr="00DE77AA">
        <w:rPr>
          <w:rFonts w:eastAsia="Times New Roman" w:cs="Tahoma"/>
          <w:i/>
          <w:iCs/>
          <w:sz w:val="20"/>
          <w:lang w:eastAsia="es-ES"/>
        </w:rPr>
        <w:t>“…</w:t>
      </w:r>
    </w:p>
    <w:p w:rsidRPr="00DE77AA" w:rsidR="00097435" w:rsidP="00ED0E2B" w:rsidRDefault="00097435" w14:paraId="7FB9D76B" w14:textId="77777777">
      <w:pPr>
        <w:autoSpaceDE w:val="0"/>
        <w:autoSpaceDN w:val="0"/>
        <w:adjustRightInd w:val="0"/>
        <w:spacing w:after="0" w:line="360" w:lineRule="auto"/>
        <w:ind w:left="567" w:right="567"/>
        <w:rPr>
          <w:rFonts w:eastAsia="Times New Roman" w:cs="Tahoma"/>
          <w:i/>
          <w:iCs/>
          <w:sz w:val="20"/>
          <w:lang w:eastAsia="es-ES"/>
        </w:rPr>
      </w:pPr>
      <w:r w:rsidRPr="00DE77AA">
        <w:rPr>
          <w:rFonts w:eastAsia="Times New Roman" w:cs="Tahoma"/>
          <w:i/>
          <w:iCs/>
          <w:sz w:val="20"/>
          <w:lang w:eastAsia="es-ES"/>
        </w:rPr>
        <w:t>La Dirección de Administración y Desarrollo de Personal, en el ámbito de sus funciones y en términos de lo dispuesto por el artículo 70 de la Ley de Contratación Pública del Estado de México y Municipios, que a la letra señala:</w:t>
      </w:r>
    </w:p>
    <w:p w:rsidRPr="00DE77AA" w:rsidR="00097435" w:rsidP="00ED0E2B" w:rsidRDefault="00097435" w14:paraId="2933B418" w14:textId="455DD25D">
      <w:pPr>
        <w:autoSpaceDE w:val="0"/>
        <w:autoSpaceDN w:val="0"/>
        <w:adjustRightInd w:val="0"/>
        <w:spacing w:after="0" w:line="360" w:lineRule="auto"/>
        <w:ind w:left="567" w:right="567"/>
        <w:rPr>
          <w:rFonts w:eastAsia="Times New Roman" w:cs="Tahoma"/>
          <w:i/>
          <w:iCs/>
          <w:sz w:val="20"/>
          <w:lang w:eastAsia="es-ES"/>
        </w:rPr>
      </w:pPr>
      <w:r w:rsidRPr="00DE77AA">
        <w:rPr>
          <w:rFonts w:eastAsia="Times New Roman" w:cs="Tahoma"/>
          <w:i/>
          <w:iCs/>
          <w:sz w:val="20"/>
          <w:lang w:eastAsia="es-ES"/>
        </w:rPr>
        <w:t>…</w:t>
      </w:r>
    </w:p>
    <w:p w:rsidRPr="00DE77AA" w:rsidR="00097435" w:rsidP="00ED0E2B" w:rsidRDefault="00097435" w14:paraId="1CD1FB44" w14:textId="3B5C2622">
      <w:pPr>
        <w:autoSpaceDE w:val="0"/>
        <w:autoSpaceDN w:val="0"/>
        <w:adjustRightInd w:val="0"/>
        <w:spacing w:after="0" w:line="360" w:lineRule="auto"/>
        <w:ind w:left="567" w:right="567"/>
        <w:rPr>
          <w:rFonts w:eastAsia="Times New Roman" w:cs="Tahoma"/>
          <w:i/>
          <w:iCs/>
          <w:sz w:val="20"/>
          <w:lang w:eastAsia="es-ES"/>
        </w:rPr>
      </w:pPr>
      <w:r w:rsidRPr="00DE77AA">
        <w:rPr>
          <w:rFonts w:eastAsia="Times New Roman" w:cs="Tahoma"/>
          <w:i/>
          <w:iCs/>
          <w:sz w:val="20"/>
          <w:lang w:eastAsia="es-ES"/>
        </w:rPr>
        <w:t>Luego entonces, la Dirección de Administración y Desarrollo de Personal, en su carácter de área contratante, requiere de la firma del área usuaria para proceder a solicitar el pago.</w:t>
      </w:r>
    </w:p>
    <w:p w:rsidRPr="00DE77AA" w:rsidR="00066B31" w:rsidP="00ED0E2B" w:rsidRDefault="00097435" w14:paraId="33033FE1" w14:textId="4F7F8C2F">
      <w:pPr>
        <w:autoSpaceDE w:val="0"/>
        <w:autoSpaceDN w:val="0"/>
        <w:adjustRightInd w:val="0"/>
        <w:spacing w:after="0" w:line="360" w:lineRule="auto"/>
        <w:ind w:left="567" w:right="567"/>
        <w:rPr>
          <w:rFonts w:eastAsia="Times New Roman" w:cs="Tahoma"/>
          <w:i/>
          <w:iCs/>
          <w:sz w:val="20"/>
          <w:lang w:eastAsia="es-ES"/>
        </w:rPr>
      </w:pPr>
      <w:r w:rsidRPr="00DE77AA">
        <w:rPr>
          <w:rFonts w:eastAsia="Times New Roman" w:cs="Tahoma"/>
          <w:i/>
          <w:iCs/>
          <w:sz w:val="20"/>
          <w:lang w:eastAsia="es-ES"/>
        </w:rPr>
        <w:t>…”</w:t>
      </w:r>
    </w:p>
    <w:p w:rsidRPr="00DE77AA" w:rsidR="00097435" w:rsidP="00ED0E2B" w:rsidRDefault="00097435" w14:paraId="6B31C183" w14:textId="77777777">
      <w:pPr>
        <w:autoSpaceDE w:val="0"/>
        <w:autoSpaceDN w:val="0"/>
        <w:adjustRightInd w:val="0"/>
        <w:spacing w:after="0" w:line="360" w:lineRule="auto"/>
        <w:ind w:left="567" w:right="567"/>
        <w:rPr>
          <w:rFonts w:eastAsia="Times New Roman" w:cs="Tahoma"/>
          <w:i/>
          <w:iCs/>
          <w:sz w:val="20"/>
          <w:lang w:eastAsia="es-ES"/>
        </w:rPr>
      </w:pPr>
    </w:p>
    <w:p w:rsidRPr="00DE77AA" w:rsidR="00066B31" w:rsidP="00ED0E2B" w:rsidRDefault="00066B31" w14:paraId="1EB66871" w14:textId="589B280B">
      <w:pPr>
        <w:autoSpaceDE w:val="0"/>
        <w:autoSpaceDN w:val="0"/>
        <w:adjustRightInd w:val="0"/>
        <w:spacing w:after="0" w:line="360" w:lineRule="auto"/>
        <w:rPr>
          <w:rFonts w:cs="Tahoma"/>
          <w:b/>
        </w:rPr>
      </w:pPr>
      <w:r w:rsidRPr="00DE77AA">
        <w:rPr>
          <w:rFonts w:cs="Tahoma"/>
          <w:b/>
        </w:rPr>
        <w:t>I</w:t>
      </w:r>
      <w:r w:rsidRPr="00DE77AA" w:rsidR="00043C41">
        <w:rPr>
          <w:rFonts w:cs="Tahoma"/>
          <w:b/>
        </w:rPr>
        <w:t>II</w:t>
      </w:r>
      <w:r w:rsidRPr="00DE77AA">
        <w:rPr>
          <w:rFonts w:cs="Tahoma"/>
          <w:b/>
        </w:rPr>
        <w:t xml:space="preserve">. Interposición del Recurso de Revisión. </w:t>
      </w:r>
    </w:p>
    <w:p w:rsidRPr="00DE77AA" w:rsidR="00066B31" w:rsidP="00ED0E2B" w:rsidRDefault="00066B31" w14:paraId="56D17863" w14:textId="77777777">
      <w:pPr>
        <w:autoSpaceDE w:val="0"/>
        <w:autoSpaceDN w:val="0"/>
        <w:adjustRightInd w:val="0"/>
        <w:spacing w:after="0" w:line="360" w:lineRule="auto"/>
        <w:rPr>
          <w:rFonts w:cs="Tahoma"/>
          <w:b/>
        </w:rPr>
      </w:pPr>
    </w:p>
    <w:p w:rsidRPr="00DE77AA" w:rsidR="00610C0E" w:rsidP="00ED0E2B" w:rsidRDefault="00610C0E" w14:paraId="600DCA6C" w14:textId="6392FB57">
      <w:pPr>
        <w:spacing w:after="0" w:line="360" w:lineRule="auto"/>
        <w:rPr>
          <w:rFonts w:eastAsia="Calibri" w:cs="Times New Roman"/>
          <w:b/>
          <w:bCs/>
        </w:rPr>
      </w:pPr>
      <w:r w:rsidRPr="00DE77AA">
        <w:rPr>
          <w:rFonts w:eastAsia="Calibri" w:cs="Times New Roman"/>
          <w:bCs/>
        </w:rPr>
        <w:t xml:space="preserve">Con fecha </w:t>
      </w:r>
      <w:r w:rsidRPr="00DE77AA" w:rsidR="00097435">
        <w:rPr>
          <w:rFonts w:eastAsia="Calibri" w:cs="Times New Roman"/>
          <w:bCs/>
        </w:rPr>
        <w:t>nueve</w:t>
      </w:r>
      <w:r w:rsidRPr="00DE77AA" w:rsidR="005A3F30">
        <w:rPr>
          <w:rFonts w:eastAsia="Calibri" w:cs="Times New Roman"/>
          <w:bCs/>
        </w:rPr>
        <w:t xml:space="preserve"> de </w:t>
      </w:r>
      <w:r w:rsidRPr="00DE77AA" w:rsidR="00097435">
        <w:rPr>
          <w:rFonts w:eastAsia="Calibri" w:cs="Times New Roman"/>
          <w:bCs/>
        </w:rPr>
        <w:t>enero</w:t>
      </w:r>
      <w:r w:rsidRPr="00DE77AA">
        <w:rPr>
          <w:rFonts w:eastAsia="Calibri" w:cs="Times New Roman"/>
          <w:bCs/>
        </w:rPr>
        <w:t xml:space="preserve"> de dos mil veinti</w:t>
      </w:r>
      <w:r w:rsidRPr="00DE77AA" w:rsidR="00097435">
        <w:rPr>
          <w:rFonts w:eastAsia="Calibri" w:cs="Times New Roman"/>
          <w:bCs/>
        </w:rPr>
        <w:t>trés</w:t>
      </w:r>
      <w:r w:rsidRPr="00DE77AA">
        <w:rPr>
          <w:rFonts w:eastAsia="Calibri" w:cs="Times New Roman"/>
          <w:bCs/>
        </w:rPr>
        <w:t xml:space="preserve">, </w:t>
      </w:r>
      <w:r w:rsidRPr="00DE77AA">
        <w:rPr>
          <w:rFonts w:eastAsia="Calibri" w:cs="Times New Roman"/>
          <w:bCs/>
          <w:lang w:val="es-ES"/>
        </w:rPr>
        <w:t xml:space="preserve">se </w:t>
      </w:r>
      <w:r w:rsidRPr="00DE77AA" w:rsidR="00043C41">
        <w:rPr>
          <w:rFonts w:eastAsia="Calibri" w:cs="Times New Roman"/>
          <w:bCs/>
          <w:lang w:val="es-ES"/>
        </w:rPr>
        <w:t>recibió</w:t>
      </w:r>
      <w:r w:rsidRPr="00DE77AA">
        <w:rPr>
          <w:rFonts w:eastAsia="Calibri" w:cs="Times New Roman"/>
          <w:bCs/>
          <w:lang w:val="es-ES"/>
        </w:rPr>
        <w:t xml:space="preserve"> en este Instituto, a través del Sistema de Acceso a la Información Mexiquense (SAIMEX), Recurso de Revisión interpuesto por la parte Recurrente, en contra de la</w:t>
      </w:r>
      <w:r w:rsidRPr="00DE77AA" w:rsidR="00043C41">
        <w:rPr>
          <w:rFonts w:eastAsia="Calibri" w:cs="Times New Roman"/>
          <w:bCs/>
          <w:lang w:val="es-ES"/>
        </w:rPr>
        <w:t xml:space="preserve"> </w:t>
      </w:r>
      <w:r w:rsidRPr="00DE77AA">
        <w:rPr>
          <w:rFonts w:eastAsia="Calibri" w:cs="Times New Roman"/>
          <w:bCs/>
          <w:lang w:val="es-ES"/>
        </w:rPr>
        <w:t>respuesta por el Sujeto Obligado</w:t>
      </w:r>
      <w:r w:rsidRPr="00DE77AA" w:rsidR="00043C41">
        <w:rPr>
          <w:rFonts w:eastAsia="Calibri" w:cs="Times New Roman"/>
          <w:bCs/>
          <w:lang w:val="es-ES"/>
        </w:rPr>
        <w:t>,</w:t>
      </w:r>
      <w:r w:rsidRPr="00DE77AA">
        <w:rPr>
          <w:rFonts w:eastAsia="Calibri" w:cs="Times New Roman"/>
          <w:b/>
          <w:bCs/>
        </w:rPr>
        <w:t xml:space="preserve"> </w:t>
      </w:r>
      <w:r w:rsidRPr="00DE77AA" w:rsidR="00AE0123">
        <w:rPr>
          <w:rFonts w:eastAsia="Calibri" w:cs="Tahoma"/>
          <w:b/>
          <w:bCs/>
          <w:lang w:val="es-ES"/>
        </w:rPr>
        <w:t xml:space="preserve">ya que si bien, se registró el veintiocho de diciembre de dos mil veintidós, a través de dicho portal, también lo es, que </w:t>
      </w:r>
      <w:r w:rsidRPr="00DE77AA" w:rsidR="00AE0123">
        <w:rPr>
          <w:rFonts w:eastAsia="Calibri" w:cs="Tahoma"/>
          <w:b/>
          <w:bCs/>
          <w:lang w:val="es-ES"/>
        </w:rPr>
        <w:lastRenderedPageBreak/>
        <w:t xml:space="preserve">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del Instituto, para el año dos mil veintidós y enero dos mil veintitrés, por lo que, se tuvieron por recibidos, el día hábil subsecuente; </w:t>
      </w:r>
      <w:r w:rsidRPr="00DE77AA">
        <w:rPr>
          <w:rFonts w:eastAsia="Calibri" w:cs="Times New Roman"/>
          <w:bCs/>
        </w:rPr>
        <w:t>en los siguientes términos:</w:t>
      </w:r>
    </w:p>
    <w:p w:rsidRPr="00DE77AA" w:rsidR="00480903" w:rsidP="00ED0E2B" w:rsidRDefault="00480903" w14:paraId="3F2F78D6" w14:textId="77777777">
      <w:pPr>
        <w:autoSpaceDE w:val="0"/>
        <w:autoSpaceDN w:val="0"/>
        <w:adjustRightInd w:val="0"/>
        <w:spacing w:after="0" w:line="360" w:lineRule="auto"/>
        <w:rPr>
          <w:rFonts w:cs="Tahoma"/>
        </w:rPr>
      </w:pPr>
    </w:p>
    <w:p w:rsidRPr="00DE77AA" w:rsidR="00066B31" w:rsidP="00ED0E2B" w:rsidRDefault="00066B31" w14:paraId="26E8BDC0" w14:textId="77777777">
      <w:pPr>
        <w:tabs>
          <w:tab w:val="left" w:pos="4667"/>
        </w:tabs>
        <w:spacing w:after="0" w:line="360" w:lineRule="auto"/>
        <w:ind w:left="567" w:right="567"/>
        <w:rPr>
          <w:rFonts w:cs="Tahoma"/>
          <w:bCs/>
          <w:i/>
          <w:sz w:val="20"/>
          <w:szCs w:val="20"/>
        </w:rPr>
      </w:pPr>
      <w:r w:rsidRPr="00DE77AA">
        <w:rPr>
          <w:rFonts w:cs="Tahoma"/>
          <w:b/>
          <w:bCs/>
          <w:i/>
          <w:sz w:val="20"/>
          <w:szCs w:val="20"/>
        </w:rPr>
        <w:t>“ACTO IMPUGNADO</w:t>
      </w:r>
    </w:p>
    <w:p w:rsidRPr="00DE77AA" w:rsidR="00066B31" w:rsidP="00ED0E2B" w:rsidRDefault="00AA15DF" w14:paraId="49C43B2D" w14:textId="1DCDD110">
      <w:pPr>
        <w:autoSpaceDE w:val="0"/>
        <w:autoSpaceDN w:val="0"/>
        <w:adjustRightInd w:val="0"/>
        <w:spacing w:after="0" w:line="360" w:lineRule="auto"/>
        <w:ind w:left="567" w:right="567"/>
        <w:rPr>
          <w:rFonts w:cs="Tahoma"/>
          <w:i/>
          <w:sz w:val="20"/>
          <w:szCs w:val="20"/>
        </w:rPr>
      </w:pPr>
      <w:r w:rsidRPr="00DE77AA">
        <w:rPr>
          <w:i/>
          <w:iCs/>
          <w:sz w:val="20"/>
          <w:szCs w:val="20"/>
        </w:rPr>
        <w:t>El acceso a la información por el sujeto obligado es omisa en sentido estricto de la Ley General de Transparencia y Acceso a la información Publica por parte de los sujetos obligados.</w:t>
      </w:r>
      <w:r w:rsidRPr="00DE77AA" w:rsidR="00066B31">
        <w:rPr>
          <w:i/>
          <w:sz w:val="20"/>
          <w:szCs w:val="20"/>
        </w:rPr>
        <w:t>”</w:t>
      </w:r>
      <w:r w:rsidRPr="00DE77AA" w:rsidR="00066B31">
        <w:rPr>
          <w:rFonts w:cs="Tahoma"/>
          <w:i/>
          <w:sz w:val="20"/>
          <w:szCs w:val="20"/>
        </w:rPr>
        <w:t xml:space="preserve"> (Sic.)</w:t>
      </w:r>
    </w:p>
    <w:p w:rsidRPr="00DE77AA" w:rsidR="00043C41" w:rsidP="00ED0E2B" w:rsidRDefault="00043C41" w14:paraId="0CE1073B" w14:textId="77777777">
      <w:pPr>
        <w:autoSpaceDE w:val="0"/>
        <w:autoSpaceDN w:val="0"/>
        <w:adjustRightInd w:val="0"/>
        <w:spacing w:after="0" w:line="360" w:lineRule="auto"/>
        <w:ind w:left="567" w:right="567"/>
        <w:rPr>
          <w:rFonts w:cs="Tahoma"/>
          <w:i/>
          <w:sz w:val="20"/>
          <w:szCs w:val="20"/>
        </w:rPr>
      </w:pPr>
    </w:p>
    <w:p w:rsidRPr="00DE77AA" w:rsidR="00066B31" w:rsidP="00ED0E2B" w:rsidRDefault="00066B31" w14:paraId="2AF5FC01" w14:textId="77777777">
      <w:pPr>
        <w:autoSpaceDE w:val="0"/>
        <w:autoSpaceDN w:val="0"/>
        <w:adjustRightInd w:val="0"/>
        <w:spacing w:after="0" w:line="360" w:lineRule="auto"/>
        <w:ind w:left="567" w:right="567"/>
        <w:rPr>
          <w:rFonts w:cs="Tahoma"/>
          <w:b/>
          <w:i/>
          <w:sz w:val="20"/>
          <w:szCs w:val="20"/>
        </w:rPr>
      </w:pPr>
      <w:r w:rsidRPr="00DE77AA">
        <w:rPr>
          <w:rFonts w:cs="Tahoma"/>
          <w:b/>
          <w:i/>
          <w:sz w:val="20"/>
          <w:szCs w:val="20"/>
        </w:rPr>
        <w:t>“RAZONES O MOTIVOS DE LA INCONFORMIDAD</w:t>
      </w:r>
    </w:p>
    <w:p w:rsidRPr="00DE77AA" w:rsidR="00066B31" w:rsidP="00ED0E2B" w:rsidRDefault="00AA15DF" w14:paraId="39D18A41" w14:textId="77328D73">
      <w:pPr>
        <w:autoSpaceDE w:val="0"/>
        <w:autoSpaceDN w:val="0"/>
        <w:adjustRightInd w:val="0"/>
        <w:spacing w:after="0" w:line="360" w:lineRule="auto"/>
        <w:ind w:left="567" w:right="567"/>
        <w:rPr>
          <w:rFonts w:cs="Tahoma"/>
          <w:i/>
          <w:sz w:val="20"/>
          <w:szCs w:val="20"/>
        </w:rPr>
      </w:pPr>
      <w:r w:rsidRPr="00DE77AA">
        <w:rPr>
          <w:i/>
          <w:iCs/>
          <w:sz w:val="20"/>
          <w:szCs w:val="20"/>
        </w:rPr>
        <w:t xml:space="preserve">La solicitud de información 00306/Temoaya/IP/2022. se REQUIRIÓ a los encargados de despacho, "Tesorería Municipal y del Director de Administración del ayuntamiento de Temoaya." en este mismo acto se hizo llegar las respuestas del Contralor Municipal y de la Dirección de Administración, </w:t>
      </w:r>
      <w:r w:rsidRPr="00DE77AA">
        <w:rPr>
          <w:i/>
          <w:iCs/>
          <w:sz w:val="20"/>
          <w:szCs w:val="20"/>
          <w:u w:val="single"/>
        </w:rPr>
        <w:t>omitiendo la de Tesorería Municipal</w:t>
      </w:r>
      <w:r w:rsidRPr="00DE77AA">
        <w:rPr>
          <w:i/>
          <w:iCs/>
          <w:sz w:val="20"/>
          <w:szCs w:val="20"/>
        </w:rPr>
        <w:t>. La solicitud en comento refiere: "...la facultad potestativa del Titular de la Contraloría Municipal para otorgar Visto Bueno para el pago de servicios de los contratistas y especificar norma jurídica o administrativa. Se requiere la atención de la presente solicitud de Tesorería Municipal y del Director de Administración del ayuntamiento de Temoaya." (Sic).</w:t>
      </w:r>
      <w:r w:rsidRPr="00DE77AA" w:rsidR="00066B31">
        <w:rPr>
          <w:rFonts w:cs="Tahoma"/>
          <w:i/>
          <w:sz w:val="20"/>
          <w:szCs w:val="20"/>
        </w:rPr>
        <w:t>”</w:t>
      </w:r>
    </w:p>
    <w:p w:rsidRPr="00DE77AA" w:rsidR="00E27D2D" w:rsidP="00ED0E2B" w:rsidRDefault="00E27D2D" w14:paraId="69507E1D" w14:textId="77777777">
      <w:pPr>
        <w:spacing w:after="0" w:line="360" w:lineRule="auto"/>
        <w:rPr>
          <w:rFonts w:cs="Tahoma"/>
          <w:bCs/>
        </w:rPr>
      </w:pPr>
    </w:p>
    <w:p w:rsidRPr="00DE77AA" w:rsidR="00066B31" w:rsidP="00ED0E2B" w:rsidRDefault="00043C41" w14:paraId="5B83448B" w14:textId="0E4FFDF2">
      <w:pPr>
        <w:spacing w:after="0" w:line="360" w:lineRule="auto"/>
        <w:rPr>
          <w:rFonts w:eastAsia="Batang" w:cs="Tahoma"/>
          <w:b/>
          <w:bCs/>
        </w:rPr>
      </w:pPr>
      <w:r w:rsidRPr="00DE77AA">
        <w:rPr>
          <w:rFonts w:cs="Tahoma"/>
          <w:b/>
        </w:rPr>
        <w:t>I</w:t>
      </w:r>
      <w:r w:rsidRPr="00DE77AA" w:rsidR="00066B31">
        <w:rPr>
          <w:rFonts w:cs="Tahoma"/>
          <w:b/>
        </w:rPr>
        <w:t xml:space="preserve">V. </w:t>
      </w:r>
      <w:r w:rsidRPr="00DE77AA" w:rsidR="00066B31">
        <w:rPr>
          <w:rFonts w:eastAsia="Batang" w:cs="Tahoma"/>
          <w:b/>
          <w:bCs/>
        </w:rPr>
        <w:t xml:space="preserve">Trámite del </w:t>
      </w:r>
      <w:r w:rsidRPr="00DE77AA" w:rsidR="00066B31">
        <w:rPr>
          <w:rFonts w:cs="Tahoma"/>
          <w:b/>
        </w:rPr>
        <w:t xml:space="preserve">Recurso de Revisión </w:t>
      </w:r>
      <w:r w:rsidRPr="00DE77AA" w:rsidR="00066B31">
        <w:rPr>
          <w:rFonts w:eastAsia="Batang" w:cs="Tahoma"/>
          <w:b/>
          <w:bCs/>
        </w:rPr>
        <w:t>ante este Instituto.</w:t>
      </w:r>
    </w:p>
    <w:p w:rsidRPr="00DE77AA" w:rsidR="00066B31" w:rsidP="00ED0E2B" w:rsidRDefault="00066B31" w14:paraId="55E97358" w14:textId="77777777">
      <w:pPr>
        <w:spacing w:after="0" w:line="360" w:lineRule="auto"/>
        <w:rPr>
          <w:rFonts w:eastAsia="Batang" w:cs="Tahoma"/>
          <w:b/>
          <w:bCs/>
        </w:rPr>
      </w:pPr>
    </w:p>
    <w:p w:rsidRPr="00DE77AA" w:rsidR="00066B31" w:rsidP="00ED0E2B" w:rsidRDefault="00066B31" w14:paraId="77FAD18E" w14:textId="5F2DE251">
      <w:pPr>
        <w:spacing w:after="0" w:line="360" w:lineRule="auto"/>
        <w:rPr>
          <w:rFonts w:eastAsia="Batang" w:cs="Tahoma"/>
          <w:bCs/>
        </w:rPr>
      </w:pPr>
      <w:r w:rsidRPr="00DE77AA">
        <w:rPr>
          <w:rFonts w:eastAsia="Batang" w:cs="Tahoma"/>
          <w:b/>
          <w:bCs/>
        </w:rPr>
        <w:t xml:space="preserve">a) Turno del Medio de Impugnación. </w:t>
      </w:r>
      <w:r w:rsidRPr="00DE77AA">
        <w:rPr>
          <w:rFonts w:eastAsia="Batang" w:cs="Tahoma"/>
          <w:bCs/>
        </w:rPr>
        <w:t xml:space="preserve">El </w:t>
      </w:r>
      <w:r w:rsidRPr="00DE77AA" w:rsidR="00351577">
        <w:rPr>
          <w:rFonts w:eastAsia="Batang" w:cs="Tahoma"/>
          <w:bCs/>
        </w:rPr>
        <w:t>veinti</w:t>
      </w:r>
      <w:r w:rsidRPr="00DE77AA" w:rsidR="00AA15DF">
        <w:rPr>
          <w:rFonts w:eastAsia="Batang" w:cs="Tahoma"/>
          <w:bCs/>
        </w:rPr>
        <w:t>ocho</w:t>
      </w:r>
      <w:r w:rsidRPr="00DE77AA" w:rsidR="00C8149E">
        <w:rPr>
          <w:rFonts w:eastAsia="Batang" w:cs="Tahoma"/>
          <w:bCs/>
        </w:rPr>
        <w:t xml:space="preserve"> de </w:t>
      </w:r>
      <w:r w:rsidRPr="00DE77AA" w:rsidR="00AA15DF">
        <w:rPr>
          <w:rFonts w:eastAsia="Batang" w:cs="Tahoma"/>
          <w:bCs/>
        </w:rPr>
        <w:t xml:space="preserve">diciembre </w:t>
      </w:r>
      <w:r w:rsidRPr="00DE77AA">
        <w:rPr>
          <w:rFonts w:eastAsia="Batang" w:cs="Tahoma"/>
          <w:bCs/>
        </w:rPr>
        <w:t xml:space="preserve">de dos mil veintidós, el </w:t>
      </w:r>
      <w:r w:rsidRPr="00DE77AA">
        <w:rPr>
          <w:rFonts w:cs="Tahoma"/>
          <w:lang w:val="es-ES"/>
        </w:rPr>
        <w:t>Sistema de Acceso a la Información Mexiquense (SAIMEX),</w:t>
      </w:r>
      <w:r w:rsidRPr="00DE77AA">
        <w:rPr>
          <w:rFonts w:eastAsia="Batang" w:cs="Tahoma"/>
          <w:bCs/>
        </w:rPr>
        <w:t xml:space="preserve"> asignó el número de expediente </w:t>
      </w:r>
      <w:r w:rsidRPr="00DE77AA" w:rsidR="00AA15DF">
        <w:rPr>
          <w:b/>
          <w:bCs/>
        </w:rPr>
        <w:t>00056/INFOEM/IP/RR/2023</w:t>
      </w:r>
      <w:r w:rsidRPr="00DE77AA">
        <w:rPr>
          <w:rFonts w:eastAsia="Batang" w:cs="Tahoma"/>
          <w:bCs/>
        </w:rPr>
        <w:t xml:space="preserve">, al medio de impugnación que nos ocupa, con base en el sistema aprobado por el Pleno de este Órgano Garante y lo turnó al Comisionado Ponente Luis Gustavo </w:t>
      </w:r>
      <w:r w:rsidRPr="00DE77AA">
        <w:rPr>
          <w:rFonts w:eastAsia="Batang" w:cs="Tahoma"/>
          <w:bCs/>
        </w:rPr>
        <w:lastRenderedPageBreak/>
        <w:t>Parra Noriega, para los efectos del artículo 185, fracción I de la Ley de Transparencia y Acceso a la Información Pública del Estado de México y Municipios.</w:t>
      </w:r>
    </w:p>
    <w:p w:rsidRPr="00DE77AA" w:rsidR="00066B31" w:rsidP="00ED0E2B" w:rsidRDefault="00066B31" w14:paraId="6C462593" w14:textId="77777777">
      <w:pPr>
        <w:spacing w:after="0" w:line="360" w:lineRule="auto"/>
        <w:rPr>
          <w:rFonts w:eastAsia="Batang" w:cs="Tahoma"/>
          <w:bCs/>
        </w:rPr>
      </w:pPr>
    </w:p>
    <w:p w:rsidRPr="00DE77AA" w:rsidR="00066B31" w:rsidP="00ED0E2B" w:rsidRDefault="00066B31" w14:paraId="5A1C754E" w14:textId="2338B603">
      <w:pPr>
        <w:spacing w:after="0" w:line="360" w:lineRule="auto"/>
        <w:rPr>
          <w:rFonts w:eastAsia="Times New Roman" w:cs="Tahoma"/>
          <w:b/>
        </w:rPr>
      </w:pPr>
      <w:r w:rsidRPr="00DE77AA">
        <w:rPr>
          <w:rFonts w:eastAsia="Batang" w:cs="Tahoma"/>
          <w:b/>
          <w:bCs/>
        </w:rPr>
        <w:t xml:space="preserve">b) Admisión del </w:t>
      </w:r>
      <w:r w:rsidRPr="00DE77AA">
        <w:rPr>
          <w:rFonts w:cs="Tahoma"/>
          <w:b/>
        </w:rPr>
        <w:t>Recurso de Revisión</w:t>
      </w:r>
      <w:r w:rsidRPr="00DE77AA">
        <w:rPr>
          <w:rFonts w:eastAsia="Batang" w:cs="Tahoma"/>
          <w:b/>
          <w:bCs/>
          <w:lang w:val="es-ES_tradnl"/>
        </w:rPr>
        <w:t xml:space="preserve">. </w:t>
      </w:r>
      <w:r w:rsidRPr="00DE77AA">
        <w:rPr>
          <w:rFonts w:eastAsia="Batang" w:cs="Tahoma"/>
          <w:bCs/>
          <w:lang w:val="es-ES_tradnl"/>
        </w:rPr>
        <w:t xml:space="preserve">El </w:t>
      </w:r>
      <w:r w:rsidRPr="00DE77AA" w:rsidR="00AA15DF">
        <w:rPr>
          <w:rFonts w:eastAsia="Batang" w:cs="Tahoma"/>
          <w:bCs/>
          <w:lang w:val="es-ES_tradnl"/>
        </w:rPr>
        <w:t>doce</w:t>
      </w:r>
      <w:r w:rsidRPr="00DE77AA" w:rsidR="00351577">
        <w:rPr>
          <w:rFonts w:eastAsia="Batang" w:cs="Tahoma"/>
          <w:bCs/>
          <w:lang w:val="es-ES_tradnl"/>
        </w:rPr>
        <w:t xml:space="preserve"> </w:t>
      </w:r>
      <w:r w:rsidRPr="00DE77AA" w:rsidR="00FE24DD">
        <w:rPr>
          <w:rFonts w:eastAsia="Batang" w:cs="Tahoma"/>
          <w:bCs/>
          <w:lang w:val="es-ES_tradnl"/>
        </w:rPr>
        <w:t xml:space="preserve">de </w:t>
      </w:r>
      <w:r w:rsidRPr="00DE77AA" w:rsidR="00AA15DF">
        <w:rPr>
          <w:rFonts w:eastAsia="Batang" w:cs="Tahoma"/>
          <w:bCs/>
          <w:lang w:val="es-ES_tradnl"/>
        </w:rPr>
        <w:t>enero</w:t>
      </w:r>
      <w:r w:rsidRPr="00DE77AA">
        <w:rPr>
          <w:rFonts w:eastAsia="Batang" w:cs="Tahoma"/>
          <w:bCs/>
          <w:lang w:val="es-ES_tradnl"/>
        </w:rPr>
        <w:t xml:space="preserve"> de dos mil veinti</w:t>
      </w:r>
      <w:r w:rsidRPr="00DE77AA" w:rsidR="00AA15DF">
        <w:rPr>
          <w:rFonts w:eastAsia="Batang" w:cs="Tahoma"/>
          <w:bCs/>
          <w:lang w:val="es-ES_tradnl"/>
        </w:rPr>
        <w:t>trés</w:t>
      </w:r>
      <w:r w:rsidRPr="00DE77AA">
        <w:rPr>
          <w:rFonts w:eastAsia="Batang" w:cs="Tahoma"/>
          <w:bCs/>
          <w:lang w:val="es-ES_tradnl"/>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a través del Sistema de Acceso a la Información Mexiquense (SAIMEX), en el que se les otorgó un plazo de siete días hábiles posteriores a la misma, para que manifestaran lo que a su derecho conviniera y formularan alegatos. </w:t>
      </w:r>
    </w:p>
    <w:p w:rsidRPr="00DE77AA" w:rsidR="00066B31" w:rsidP="00ED0E2B" w:rsidRDefault="00066B31" w14:paraId="10CD29C0" w14:textId="77777777">
      <w:pPr>
        <w:spacing w:after="0" w:line="360" w:lineRule="auto"/>
        <w:rPr>
          <w:rFonts w:cs="Tahoma"/>
          <w:bCs/>
        </w:rPr>
      </w:pPr>
    </w:p>
    <w:p w:rsidRPr="00DE77AA" w:rsidR="00AA15DF" w:rsidP="00ED0E2B" w:rsidRDefault="00AA15DF" w14:paraId="5F947E79" w14:textId="77777777">
      <w:pPr>
        <w:spacing w:after="0" w:line="360" w:lineRule="auto"/>
        <w:rPr>
          <w:rFonts w:eastAsia="Times New Roman" w:cs="Tahoma"/>
          <w:bCs/>
          <w:iCs/>
          <w:color w:val="auto"/>
          <w:lang w:val="es-ES" w:eastAsia="es-ES"/>
        </w:rPr>
      </w:pPr>
      <w:r w:rsidRPr="00DE77AA">
        <w:rPr>
          <w:rFonts w:eastAsia="Times New Roman" w:cs="Tahoma"/>
          <w:b/>
          <w:bCs/>
          <w:color w:val="auto"/>
          <w:lang w:eastAsia="es-ES"/>
        </w:rPr>
        <w:t xml:space="preserve">c) </w:t>
      </w:r>
      <w:r w:rsidRPr="00DE77AA">
        <w:rPr>
          <w:rFonts w:cs="Tahoma"/>
          <w:b/>
          <w:lang w:val="es-ES_tradnl"/>
        </w:rPr>
        <w:t xml:space="preserve">Informe Justificado o Manifestaciones. </w:t>
      </w:r>
      <w:r w:rsidRPr="00DE77AA">
        <w:rPr>
          <w:rFonts w:cs="Tahoma"/>
          <w:lang w:val="es-ES_tradnl"/>
        </w:rPr>
        <w:t>Las partes fueron omisas en emitir manifestaciones o alegatos.</w:t>
      </w:r>
    </w:p>
    <w:p w:rsidRPr="00DE77AA" w:rsidR="00351577" w:rsidP="00ED0E2B" w:rsidRDefault="00351577" w14:paraId="054FD4C8" w14:textId="77777777">
      <w:pPr>
        <w:spacing w:after="0" w:line="360" w:lineRule="auto"/>
        <w:rPr>
          <w:rFonts w:cs="Tahoma"/>
          <w:b/>
        </w:rPr>
      </w:pPr>
    </w:p>
    <w:p w:rsidRPr="00DE77AA" w:rsidR="00066B31" w:rsidP="00ED0E2B" w:rsidRDefault="00AA15DF" w14:paraId="6EA06E35" w14:textId="7220916C">
      <w:pPr>
        <w:spacing w:after="0" w:line="360" w:lineRule="auto"/>
        <w:rPr>
          <w:rFonts w:cs="Tahoma"/>
        </w:rPr>
      </w:pPr>
      <w:r w:rsidRPr="00DE77AA">
        <w:rPr>
          <w:rFonts w:cs="Tahoma"/>
          <w:b/>
          <w:bCs/>
        </w:rPr>
        <w:t>d</w:t>
      </w:r>
      <w:r w:rsidRPr="00DE77AA" w:rsidR="00066B31">
        <w:rPr>
          <w:rFonts w:cs="Tahoma"/>
          <w:b/>
          <w:bCs/>
        </w:rPr>
        <w:t>) Cierre de instrucción.</w:t>
      </w:r>
      <w:r w:rsidRPr="00DE77AA" w:rsidR="00066B31">
        <w:rPr>
          <w:rFonts w:cs="Tahoma"/>
        </w:rPr>
        <w:t xml:space="preserve">  El </w:t>
      </w:r>
      <w:r w:rsidRPr="00DE77AA">
        <w:rPr>
          <w:rFonts w:cs="Tahoma"/>
        </w:rPr>
        <w:t>quince</w:t>
      </w:r>
      <w:r w:rsidRPr="00DE77AA" w:rsidR="00C8149E">
        <w:rPr>
          <w:rFonts w:cs="Tahoma"/>
        </w:rPr>
        <w:t xml:space="preserve"> de </w:t>
      </w:r>
      <w:r w:rsidRPr="00DE77AA">
        <w:rPr>
          <w:rFonts w:cs="Tahoma"/>
        </w:rPr>
        <w:t>febrero</w:t>
      </w:r>
      <w:r w:rsidRPr="00DE77AA" w:rsidR="00066B31">
        <w:rPr>
          <w:rFonts w:cs="Tahoma"/>
        </w:rPr>
        <w:t xml:space="preserve"> de dos mil veinti</w:t>
      </w:r>
      <w:r w:rsidRPr="00DE77AA">
        <w:rPr>
          <w:rFonts w:cs="Tahoma"/>
        </w:rPr>
        <w:t>trés</w:t>
      </w:r>
      <w:r w:rsidRPr="00DE77AA" w:rsidR="00066B31">
        <w:rPr>
          <w:rFonts w:cs="Tahoma"/>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a través del </w:t>
      </w:r>
      <w:r w:rsidRPr="00DE77AA" w:rsidR="00066B31">
        <w:rPr>
          <w:rFonts w:cs="Tahoma"/>
          <w:lang w:val="es-ES"/>
        </w:rPr>
        <w:t xml:space="preserve">Sistema de Acceso a la Información Mexiquense (SAIMEX), </w:t>
      </w:r>
      <w:r w:rsidRPr="00DE77AA" w:rsidR="00C8149E">
        <w:rPr>
          <w:rFonts w:cs="Tahoma"/>
          <w:lang w:val="es-ES"/>
        </w:rPr>
        <w:t>el mismo día</w:t>
      </w:r>
      <w:r w:rsidRPr="00DE77AA" w:rsidR="00066B31">
        <w:rPr>
          <w:rFonts w:cs="Tahoma"/>
        </w:rPr>
        <w:t xml:space="preserve">. </w:t>
      </w:r>
    </w:p>
    <w:p w:rsidRPr="00DE77AA" w:rsidR="00066B31" w:rsidP="00ED0E2B" w:rsidRDefault="00066B31" w14:paraId="1BB0C7FD" w14:textId="77777777">
      <w:pPr>
        <w:spacing w:after="0" w:line="360" w:lineRule="auto"/>
        <w:rPr>
          <w:rFonts w:cs="Tahoma"/>
          <w:b/>
          <w:bCs/>
          <w:lang w:val="es-ES"/>
        </w:rPr>
      </w:pPr>
    </w:p>
    <w:p w:rsidRPr="00DE77AA" w:rsidR="00066B31" w:rsidP="00ED0E2B" w:rsidRDefault="00066B31" w14:paraId="67F4FB91" w14:textId="77777777">
      <w:pPr>
        <w:spacing w:after="0" w:line="360" w:lineRule="auto"/>
        <w:rPr>
          <w:rFonts w:cs="Tahoma"/>
          <w:b/>
          <w:bCs/>
        </w:rPr>
      </w:pPr>
      <w:r w:rsidRPr="00DE77AA">
        <w:rPr>
          <w:rFonts w:cs="Tahoma"/>
        </w:rPr>
        <w:t xml:space="preserve">En razón de que fue debidamente sustanciado el expediente electrónico y no existe diligencia pendiente de desahogo, se emite la resolución que conforme a Derecho proceda, de acuerdo a los siguientes: </w:t>
      </w:r>
    </w:p>
    <w:p w:rsidRPr="00DE77AA" w:rsidR="00066B31" w:rsidP="00ED0E2B" w:rsidRDefault="00066B31" w14:paraId="3C63CE88" w14:textId="77777777">
      <w:pPr>
        <w:spacing w:after="0" w:line="360" w:lineRule="auto"/>
        <w:rPr>
          <w:rFonts w:cs="Tahoma"/>
        </w:rPr>
      </w:pPr>
    </w:p>
    <w:p w:rsidRPr="00DE77AA" w:rsidR="00066B31" w:rsidP="00ED0E2B" w:rsidRDefault="00066B31" w14:paraId="5BF6FD9D" w14:textId="77777777">
      <w:pPr>
        <w:spacing w:after="0" w:line="360" w:lineRule="auto"/>
        <w:jc w:val="center"/>
        <w:rPr>
          <w:rFonts w:cs="Tahoma"/>
          <w:b/>
          <w:lang w:val="es-ES"/>
        </w:rPr>
      </w:pPr>
      <w:r w:rsidRPr="00DE77AA">
        <w:rPr>
          <w:rFonts w:cs="Tahoma"/>
          <w:b/>
          <w:lang w:val="es-ES"/>
        </w:rPr>
        <w:t>CONSIDERANDOS:</w:t>
      </w:r>
    </w:p>
    <w:p w:rsidRPr="00DE77AA" w:rsidR="00066B31" w:rsidP="00ED0E2B" w:rsidRDefault="00066B31" w14:paraId="2D6C5172" w14:textId="77777777">
      <w:pPr>
        <w:spacing w:after="0" w:line="360" w:lineRule="auto"/>
        <w:rPr>
          <w:rFonts w:cs="Tahoma"/>
          <w:b/>
          <w:lang w:val="es-ES"/>
        </w:rPr>
      </w:pPr>
    </w:p>
    <w:p w:rsidRPr="00DE77AA" w:rsidR="00066B31" w:rsidP="00ED0E2B" w:rsidRDefault="00066B31" w14:paraId="2F7D3AFC" w14:textId="77777777">
      <w:pPr>
        <w:autoSpaceDE w:val="0"/>
        <w:autoSpaceDN w:val="0"/>
        <w:adjustRightInd w:val="0"/>
        <w:spacing w:after="0" w:line="360" w:lineRule="auto"/>
        <w:rPr>
          <w:rFonts w:cs="Tahoma"/>
          <w:b/>
          <w:lang w:val="es-ES"/>
        </w:rPr>
      </w:pPr>
      <w:r w:rsidRPr="00DE77AA">
        <w:rPr>
          <w:rFonts w:eastAsia="Calibri" w:cs="Tahoma"/>
          <w:b/>
          <w:lang w:val="es-ES" w:eastAsia="es-MX"/>
        </w:rPr>
        <w:lastRenderedPageBreak/>
        <w:t>PRIMERO</w:t>
      </w:r>
      <w:r w:rsidRPr="00DE77AA">
        <w:rPr>
          <w:rFonts w:eastAsia="Calibri" w:cs="Tahoma"/>
          <w:lang w:val="es-ES" w:eastAsia="es-MX"/>
        </w:rPr>
        <w:t xml:space="preserve">. </w:t>
      </w:r>
      <w:r w:rsidRPr="00DE77AA">
        <w:rPr>
          <w:rFonts w:cs="Tahoma"/>
          <w:b/>
          <w:lang w:val="es-ES"/>
        </w:rPr>
        <w:t>Competencia.</w:t>
      </w:r>
    </w:p>
    <w:p w:rsidRPr="00DE77AA" w:rsidR="00066B31" w:rsidP="00ED0E2B" w:rsidRDefault="00066B31" w14:paraId="724CB4B4" w14:textId="77777777">
      <w:pPr>
        <w:autoSpaceDE w:val="0"/>
        <w:autoSpaceDN w:val="0"/>
        <w:adjustRightInd w:val="0"/>
        <w:spacing w:after="0" w:line="360" w:lineRule="auto"/>
        <w:rPr>
          <w:rFonts w:cs="Tahoma"/>
          <w:b/>
          <w:lang w:val="es-ES"/>
        </w:rPr>
      </w:pPr>
    </w:p>
    <w:p w:rsidRPr="00DE77AA" w:rsidR="00993A30" w:rsidP="00ED0E2B" w:rsidRDefault="00993A30" w14:paraId="4B58F384" w14:textId="77777777">
      <w:pPr>
        <w:spacing w:after="0" w:line="360" w:lineRule="auto"/>
        <w:rPr>
          <w:rFonts w:eastAsia="Times New Roman" w:cs="Tahoma"/>
          <w:bCs/>
          <w:lang w:eastAsia="es-ES"/>
        </w:rPr>
      </w:pPr>
      <w:r w:rsidRPr="00DE77AA">
        <w:rPr>
          <w:rFonts w:eastAsia="Times New Roman" w:cs="Tahoma"/>
          <w:bCs/>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DE77AA">
        <w:rPr>
          <w:rFonts w:eastAsia="Times New Roman" w:cs="Times New Roman"/>
          <w:bCs/>
          <w:lang w:eastAsia="es-ES"/>
        </w:rPr>
        <w:t xml:space="preserve"> 7°, </w:t>
      </w:r>
      <w:r w:rsidRPr="00DE77AA">
        <w:rPr>
          <w:rFonts w:eastAsia="Times New Roman" w:cs="Tahoma"/>
          <w:bCs/>
          <w:lang w:eastAsia="es-ES"/>
        </w:rPr>
        <w:t>9°, fracciones I y XXIV y 11 del Reglamento Interior del Instituto de Transparencia, Acceso a la Información Pública y Protección de Datos Personales del Estado de México y Municipios.</w:t>
      </w:r>
    </w:p>
    <w:p w:rsidRPr="00DE77AA" w:rsidR="00514645" w:rsidP="00ED0E2B" w:rsidRDefault="00514645" w14:paraId="0322DA4A" w14:textId="77777777">
      <w:pPr>
        <w:autoSpaceDE w:val="0"/>
        <w:autoSpaceDN w:val="0"/>
        <w:adjustRightInd w:val="0"/>
        <w:spacing w:after="0" w:line="360" w:lineRule="auto"/>
        <w:rPr>
          <w:rFonts w:eastAsia="Calibri" w:cs="Tahoma"/>
          <w:b/>
          <w:lang w:val="es-ES" w:eastAsia="es-MX"/>
        </w:rPr>
      </w:pPr>
    </w:p>
    <w:p w:rsidRPr="00DE77AA" w:rsidR="00066B31" w:rsidP="00ED0E2B" w:rsidRDefault="00066B31" w14:paraId="17781ECE" w14:textId="77777777">
      <w:pPr>
        <w:autoSpaceDE w:val="0"/>
        <w:autoSpaceDN w:val="0"/>
        <w:adjustRightInd w:val="0"/>
        <w:spacing w:after="0" w:line="360" w:lineRule="auto"/>
        <w:rPr>
          <w:rFonts w:cs="Tahoma"/>
          <w:b/>
          <w:lang w:val="es-ES"/>
        </w:rPr>
      </w:pPr>
      <w:r w:rsidRPr="00DE77AA">
        <w:rPr>
          <w:rFonts w:eastAsia="Calibri" w:cs="Tahoma"/>
          <w:b/>
          <w:lang w:val="es-ES" w:eastAsia="es-MX"/>
        </w:rPr>
        <w:t>SEGUNDO</w:t>
      </w:r>
      <w:r w:rsidRPr="00DE77AA">
        <w:rPr>
          <w:rFonts w:eastAsia="Calibri" w:cs="Tahoma"/>
          <w:lang w:val="es-ES" w:eastAsia="es-MX"/>
        </w:rPr>
        <w:t xml:space="preserve">. </w:t>
      </w:r>
      <w:r w:rsidRPr="00DE77AA">
        <w:rPr>
          <w:rFonts w:cs="Tahoma"/>
          <w:b/>
          <w:lang w:val="es-ES"/>
        </w:rPr>
        <w:t>Causales de improcedencia y sobreseimiento.</w:t>
      </w:r>
    </w:p>
    <w:p w:rsidRPr="00DE77AA" w:rsidR="00066B31" w:rsidP="00ED0E2B" w:rsidRDefault="00066B31" w14:paraId="6F19E637" w14:textId="77777777">
      <w:pPr>
        <w:autoSpaceDE w:val="0"/>
        <w:autoSpaceDN w:val="0"/>
        <w:adjustRightInd w:val="0"/>
        <w:spacing w:after="0" w:line="360" w:lineRule="auto"/>
        <w:rPr>
          <w:rFonts w:cs="Tahoma"/>
          <w:b/>
          <w:lang w:val="es-ES"/>
        </w:rPr>
      </w:pPr>
    </w:p>
    <w:p w:rsidRPr="00DE77AA" w:rsidR="00993A30" w:rsidP="00ED0E2B" w:rsidRDefault="00993A30" w14:paraId="4F789055" w14:textId="77777777">
      <w:pPr>
        <w:autoSpaceDE w:val="0"/>
        <w:autoSpaceDN w:val="0"/>
        <w:adjustRightInd w:val="0"/>
        <w:spacing w:after="0" w:line="360" w:lineRule="auto"/>
        <w:rPr>
          <w:rFonts w:eastAsia="Times New Roman" w:cs="Tahoma"/>
          <w:lang w:val="es-ES" w:eastAsia="es-ES"/>
        </w:rPr>
      </w:pPr>
      <w:r w:rsidRPr="00DE77AA">
        <w:rPr>
          <w:rFonts w:eastAsia="Times New Roman" w:cs="Tahoma"/>
          <w:lang w:val="es-ES" w:eastAsia="es-ES"/>
        </w:rPr>
        <w:t xml:space="preserve">De las constancias que forma parte del Recurso de Revisión que se analiza, se advierte que previo al estudio del fondo de la </w:t>
      </w:r>
      <w:r w:rsidRPr="00DE77AA">
        <w:rPr>
          <w:rFonts w:eastAsia="Times New Roman" w:cs="Tahoma"/>
          <w:i/>
          <w:lang w:val="es-ES" w:eastAsia="es-ES"/>
        </w:rPr>
        <w:t>litis</w:t>
      </w:r>
      <w:r w:rsidRPr="00DE77AA">
        <w:rPr>
          <w:rFonts w:eastAsia="Times New Roman" w:cs="Tahoma"/>
          <w:lang w:val="es-ES" w:eastAsia="es-ES"/>
        </w:rPr>
        <w:t>, es necesario estudiar las causales de improcedencia y sobreseimiento que se adviertan, para determinar lo que en Derecho proceda.</w:t>
      </w:r>
    </w:p>
    <w:p w:rsidRPr="00DE77AA" w:rsidR="00993A30" w:rsidP="00ED0E2B" w:rsidRDefault="00993A30" w14:paraId="5F45DB1A" w14:textId="77777777">
      <w:pPr>
        <w:autoSpaceDE w:val="0"/>
        <w:autoSpaceDN w:val="0"/>
        <w:adjustRightInd w:val="0"/>
        <w:spacing w:after="0" w:line="360" w:lineRule="auto"/>
        <w:rPr>
          <w:rFonts w:eastAsia="Calibri" w:cs="Tahoma"/>
          <w:lang w:val="es-ES" w:eastAsia="es-MX"/>
        </w:rPr>
      </w:pPr>
    </w:p>
    <w:p w:rsidRPr="00DE77AA" w:rsidR="00993A30" w:rsidP="00ED0E2B" w:rsidRDefault="00993A30" w14:paraId="15F36690" w14:textId="77777777">
      <w:pPr>
        <w:autoSpaceDE w:val="0"/>
        <w:autoSpaceDN w:val="0"/>
        <w:adjustRightInd w:val="0"/>
        <w:spacing w:after="0" w:line="360" w:lineRule="auto"/>
        <w:rPr>
          <w:rFonts w:eastAsia="Times New Roman" w:cs="Tahoma"/>
          <w:lang w:val="es-ES" w:eastAsia="es-ES"/>
        </w:rPr>
      </w:pPr>
      <w:r w:rsidRPr="00DE77AA">
        <w:rPr>
          <w:rFonts w:eastAsia="Times New Roman" w:cs="Tahoma"/>
          <w:b/>
          <w:lang w:val="es-ES" w:eastAsia="es-ES"/>
        </w:rPr>
        <w:t>Causales de improcedencia.</w:t>
      </w:r>
    </w:p>
    <w:p w:rsidRPr="00DE77AA" w:rsidR="00993A30" w:rsidP="00ED0E2B" w:rsidRDefault="00993A30" w14:paraId="35B26E4A" w14:textId="77777777">
      <w:pPr>
        <w:autoSpaceDE w:val="0"/>
        <w:autoSpaceDN w:val="0"/>
        <w:adjustRightInd w:val="0"/>
        <w:spacing w:after="0" w:line="360" w:lineRule="auto"/>
        <w:rPr>
          <w:rFonts w:eastAsia="Times New Roman" w:cs="Tahoma"/>
          <w:lang w:val="es-ES" w:eastAsia="es-ES"/>
        </w:rPr>
      </w:pPr>
    </w:p>
    <w:p w:rsidRPr="00DE77AA" w:rsidR="00993A30" w:rsidP="00ED0E2B" w:rsidRDefault="00993A30" w14:paraId="193DEDC5" w14:textId="77777777">
      <w:pPr>
        <w:spacing w:after="0" w:line="360" w:lineRule="auto"/>
        <w:rPr>
          <w:rFonts w:eastAsia="Times New Roman" w:cs="Tahoma"/>
          <w:lang w:eastAsia="es-ES"/>
        </w:rPr>
      </w:pPr>
      <w:r w:rsidRPr="00DE77AA">
        <w:rPr>
          <w:rFonts w:eastAsia="Times New Roman" w:cs="Tahoma"/>
          <w:lang w:eastAsia="es-ES"/>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w:t>
      </w:r>
      <w:r w:rsidRPr="00DE77AA">
        <w:rPr>
          <w:rFonts w:eastAsia="Times New Roman" w:cs="Tahoma"/>
          <w:lang w:eastAsia="es-ES"/>
        </w:rPr>
        <w:lastRenderedPageBreak/>
        <w:t>deberá ser desechado cualquier Recurso de Revisión que actualice alguno de los supuestos establecidos en el artículo 191 de la Ley de Transparencia y Acceso a la Información Pública del Estado de México y Municipios, por ser improcedente.</w:t>
      </w:r>
    </w:p>
    <w:p w:rsidRPr="00DE77AA" w:rsidR="00993A30" w:rsidP="00ED0E2B" w:rsidRDefault="00993A30" w14:paraId="77D74CB8" w14:textId="77777777">
      <w:pPr>
        <w:spacing w:after="0" w:line="360" w:lineRule="auto"/>
        <w:rPr>
          <w:rFonts w:eastAsia="Times New Roman" w:cs="Tahoma"/>
          <w:lang w:eastAsia="es-ES"/>
        </w:rPr>
      </w:pPr>
    </w:p>
    <w:p w:rsidRPr="00DE77AA" w:rsidR="00993A30" w:rsidP="00ED0E2B" w:rsidRDefault="00993A30" w14:paraId="19A72ADA" w14:textId="77777777">
      <w:pPr>
        <w:spacing w:after="0" w:line="360" w:lineRule="auto"/>
        <w:rPr>
          <w:rFonts w:eastAsia="Times New Roman" w:cs="Tahoma"/>
          <w:lang w:eastAsia="es-ES"/>
        </w:rPr>
      </w:pPr>
      <w:r w:rsidRPr="00DE77AA">
        <w:rPr>
          <w:rFonts w:eastAsia="Times New Roman" w:cs="Tahoma"/>
          <w:lang w:eastAsia="es-ES"/>
        </w:rPr>
        <w:t>En el presente caso, </w:t>
      </w:r>
      <w:r w:rsidRPr="00DE77AA">
        <w:rPr>
          <w:rFonts w:eastAsia="Times New Roman" w:cs="Tahoma"/>
          <w:b/>
          <w:bCs/>
          <w:lang w:eastAsia="es-ES"/>
        </w:rPr>
        <w:t>no se actualiza alguna de las causales de improcedencia</w:t>
      </w:r>
      <w:r w:rsidRPr="00DE77AA">
        <w:rPr>
          <w:rFonts w:eastAsia="Times New Roman" w:cs="Tahoma"/>
          <w:lang w:eastAsia="es-ES"/>
        </w:rPr>
        <w:t>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ampliación a los alcances del requerimiento informativo.</w:t>
      </w:r>
    </w:p>
    <w:p w:rsidRPr="00DE77AA" w:rsidR="00993A30" w:rsidP="00ED0E2B" w:rsidRDefault="00993A30" w14:paraId="3D23B859" w14:textId="77777777">
      <w:pPr>
        <w:spacing w:after="0" w:line="360" w:lineRule="auto"/>
        <w:rPr>
          <w:rFonts w:eastAsia="Times New Roman" w:cs="Tahoma"/>
          <w:lang w:eastAsia="es-ES"/>
        </w:rPr>
      </w:pPr>
    </w:p>
    <w:p w:rsidRPr="00DE77AA" w:rsidR="00993A30" w:rsidP="00ED0E2B" w:rsidRDefault="00993A30" w14:paraId="1E640F4B" w14:textId="30954DC6">
      <w:pPr>
        <w:spacing w:after="0" w:line="360" w:lineRule="auto"/>
        <w:rPr>
          <w:rFonts w:eastAsia="Times New Roman" w:cs="Tahoma"/>
          <w:lang w:val="es-ES" w:eastAsia="es-ES"/>
        </w:rPr>
      </w:pPr>
      <w:r w:rsidRPr="00DE77AA">
        <w:rPr>
          <w:rFonts w:eastAsia="Times New Roman" w:cs="Tahoma"/>
          <w:lang w:eastAsia="es-ES"/>
        </w:rPr>
        <w:t>Asimismo, se actualiza la causal de procedencia del Recurso de Revisión señalada en el artículo 179, fracc</w:t>
      </w:r>
      <w:r w:rsidRPr="00DE77AA" w:rsidR="00FF1DD1">
        <w:rPr>
          <w:rFonts w:eastAsia="Times New Roman" w:cs="Tahoma"/>
          <w:lang w:eastAsia="es-ES"/>
        </w:rPr>
        <w:t>i</w:t>
      </w:r>
      <w:r w:rsidRPr="00DE77AA" w:rsidR="00E27D2D">
        <w:rPr>
          <w:rFonts w:eastAsia="Times New Roman" w:cs="Tahoma"/>
          <w:lang w:eastAsia="es-ES"/>
        </w:rPr>
        <w:t>ón</w:t>
      </w:r>
      <w:r w:rsidRPr="00DE77AA" w:rsidR="00FF1DD1">
        <w:rPr>
          <w:rFonts w:eastAsia="Times New Roman" w:cs="Tahoma"/>
          <w:lang w:eastAsia="es-ES"/>
        </w:rPr>
        <w:t xml:space="preserve"> </w:t>
      </w:r>
      <w:r w:rsidRPr="00DE77AA" w:rsidR="00E52810">
        <w:rPr>
          <w:rFonts w:eastAsia="Times New Roman" w:cs="Tahoma"/>
          <w:lang w:eastAsia="es-ES"/>
        </w:rPr>
        <w:t>V</w:t>
      </w:r>
      <w:r w:rsidRPr="00DE77AA" w:rsidR="00E27D2D">
        <w:rPr>
          <w:rFonts w:eastAsia="Times New Roman" w:cs="Tahoma"/>
          <w:lang w:eastAsia="es-ES"/>
        </w:rPr>
        <w:t>,</w:t>
      </w:r>
      <w:r w:rsidRPr="00DE77AA" w:rsidR="00FF1DD1">
        <w:rPr>
          <w:rFonts w:eastAsia="Times New Roman" w:cs="Tahoma"/>
          <w:lang w:eastAsia="es-ES"/>
        </w:rPr>
        <w:t xml:space="preserve"> </w:t>
      </w:r>
      <w:r w:rsidRPr="00DE77AA">
        <w:rPr>
          <w:rFonts w:eastAsia="Times New Roman" w:cs="Tahoma"/>
          <w:lang w:eastAsia="es-ES"/>
        </w:rPr>
        <w:t>de la Ley</w:t>
      </w:r>
      <w:r w:rsidRPr="00DE77AA" w:rsidR="00E27D2D">
        <w:rPr>
          <w:rFonts w:eastAsia="Times New Roman" w:cs="Tahoma"/>
          <w:lang w:eastAsia="es-ES"/>
        </w:rPr>
        <w:t xml:space="preserve"> de Transparencia y Acceso a la Información Pública del Estado de México y Municipios</w:t>
      </w:r>
      <w:r w:rsidRPr="00DE77AA">
        <w:rPr>
          <w:rFonts w:eastAsia="Times New Roman" w:cs="Tahoma"/>
          <w:lang w:eastAsia="es-ES"/>
        </w:rPr>
        <w:t xml:space="preserve">, </w:t>
      </w:r>
      <w:r w:rsidRPr="00DE77AA">
        <w:rPr>
          <w:rFonts w:eastAsia="Calibri" w:cs="Tahoma"/>
          <w:lang w:eastAsia="es-MX"/>
        </w:rPr>
        <w:t xml:space="preserve">pues la Recurrente se inconformó </w:t>
      </w:r>
      <w:r w:rsidRPr="00DE77AA" w:rsidR="00E27D2D">
        <w:rPr>
          <w:rFonts w:eastAsia="Times New Roman" w:cs="Tahoma"/>
          <w:lang w:val="es-ES" w:eastAsia="es-ES"/>
        </w:rPr>
        <w:t xml:space="preserve">con </w:t>
      </w:r>
      <w:r w:rsidRPr="00DE77AA" w:rsidR="00E52810">
        <w:rPr>
          <w:rFonts w:eastAsia="Times New Roman" w:cs="Tahoma"/>
          <w:lang w:val="es-ES" w:eastAsia="es-ES"/>
        </w:rPr>
        <w:t>entrega de información incompleta</w:t>
      </w:r>
      <w:r w:rsidRPr="00DE77AA" w:rsidR="00E27D2D">
        <w:rPr>
          <w:rFonts w:eastAsia="Times New Roman" w:cs="Tahoma"/>
          <w:lang w:val="es-ES" w:eastAsia="es-ES"/>
        </w:rPr>
        <w:t>.</w:t>
      </w:r>
    </w:p>
    <w:p w:rsidRPr="00DE77AA" w:rsidR="00993A30" w:rsidP="00ED0E2B" w:rsidRDefault="00993A30" w14:paraId="7FAB655E" w14:textId="77777777">
      <w:pPr>
        <w:spacing w:after="0" w:line="360" w:lineRule="auto"/>
        <w:rPr>
          <w:rFonts w:eastAsia="Times New Roman" w:cs="Tahoma"/>
          <w:lang w:val="es-ES" w:eastAsia="es-ES"/>
        </w:rPr>
      </w:pPr>
    </w:p>
    <w:p w:rsidRPr="00DE77AA" w:rsidR="00993A30" w:rsidP="00ED0E2B" w:rsidRDefault="00993A30" w14:paraId="6D5CBF08" w14:textId="77777777">
      <w:pPr>
        <w:spacing w:after="0" w:line="360" w:lineRule="auto"/>
        <w:rPr>
          <w:rFonts w:eastAsia="Times New Roman" w:cs="Tahoma"/>
          <w:lang w:eastAsia="es-ES"/>
        </w:rPr>
      </w:pPr>
      <w:r w:rsidRPr="00DE77AA">
        <w:rPr>
          <w:rFonts w:eastAsia="Times New Roman" w:cs="Tahoma"/>
          <w:b/>
          <w:bCs/>
          <w:lang w:eastAsia="es-ES"/>
        </w:rPr>
        <w:t>Causales de sobreseimiento.</w:t>
      </w:r>
    </w:p>
    <w:p w:rsidRPr="00DE77AA" w:rsidR="00993A30" w:rsidP="00ED0E2B" w:rsidRDefault="00993A30" w14:paraId="1A1987BA" w14:textId="77777777">
      <w:pPr>
        <w:spacing w:after="0" w:line="360" w:lineRule="auto"/>
        <w:rPr>
          <w:rFonts w:eastAsia="Times New Roman" w:cs="Tahoma"/>
          <w:lang w:eastAsia="es-ES"/>
        </w:rPr>
      </w:pPr>
      <w:r w:rsidRPr="00DE77AA">
        <w:rPr>
          <w:rFonts w:eastAsia="Times New Roman" w:cs="Tahoma"/>
          <w:lang w:eastAsia="es-ES"/>
        </w:rPr>
        <w:t> </w:t>
      </w:r>
    </w:p>
    <w:p w:rsidRPr="00DE77AA" w:rsidR="00993A30" w:rsidP="00ED0E2B" w:rsidRDefault="00993A30" w14:paraId="60789ABF" w14:textId="77777777">
      <w:pPr>
        <w:spacing w:after="0" w:line="360" w:lineRule="auto"/>
        <w:rPr>
          <w:rFonts w:eastAsia="Times New Roman" w:cs="Tahoma"/>
          <w:lang w:eastAsia="es-ES"/>
        </w:rPr>
      </w:pPr>
      <w:r w:rsidRPr="00DE77AA">
        <w:rPr>
          <w:rFonts w:eastAsia="Times New Roman" w:cs="Tahoma"/>
          <w:lang w:eastAsia="es-ES"/>
        </w:rPr>
        <w:t>Por ser de previo y especial pronunciamiento, este Instituto analiza si se actualiza alguna causal de sobreseimiento.</w:t>
      </w:r>
    </w:p>
    <w:p w:rsidRPr="00DE77AA" w:rsidR="00993A30" w:rsidP="00ED0E2B" w:rsidRDefault="00993A30" w14:paraId="0DD589BA" w14:textId="77777777">
      <w:pPr>
        <w:spacing w:after="0" w:line="360" w:lineRule="auto"/>
        <w:rPr>
          <w:rFonts w:eastAsia="Times New Roman" w:cs="Tahoma"/>
          <w:lang w:eastAsia="es-ES"/>
        </w:rPr>
      </w:pPr>
    </w:p>
    <w:p w:rsidRPr="00DE77AA" w:rsidR="00993A30" w:rsidP="00ED0E2B" w:rsidRDefault="00993A30" w14:paraId="54114D1B" w14:textId="77777777">
      <w:pPr>
        <w:spacing w:after="0" w:line="360" w:lineRule="auto"/>
        <w:rPr>
          <w:rFonts w:eastAsia="Times New Roman" w:cs="Tahoma"/>
          <w:lang w:eastAsia="es-ES"/>
        </w:rPr>
      </w:pPr>
      <w:r w:rsidRPr="00DE77AA">
        <w:rPr>
          <w:rFonts w:eastAsia="Times New Roman" w:cs="Tahoma"/>
          <w:lang w:eastAsia="es-ES"/>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w:t>
      </w:r>
      <w:r w:rsidRPr="00DE77AA">
        <w:rPr>
          <w:rFonts w:eastAsia="Times New Roman" w:cs="Tahoma"/>
          <w:lang w:eastAsia="es-ES"/>
        </w:rPr>
        <w:lastRenderedPageBreak/>
        <w:t>sobreviniera alguna causal de improcedencia, que el Sujeto Obligado hubiese modificado o revocado el acto impugnado o bien, haya quedado sin materia.</w:t>
      </w:r>
    </w:p>
    <w:p w:rsidRPr="00DE77AA" w:rsidR="00993A30" w:rsidP="00ED0E2B" w:rsidRDefault="00993A30" w14:paraId="36C7E8EA" w14:textId="77777777">
      <w:pPr>
        <w:spacing w:after="0" w:line="360" w:lineRule="auto"/>
        <w:rPr>
          <w:rFonts w:eastAsia="Times New Roman" w:cs="Tahoma"/>
          <w:lang w:eastAsia="es-ES"/>
        </w:rPr>
      </w:pPr>
    </w:p>
    <w:p w:rsidRPr="00DE77AA" w:rsidR="00993A30" w:rsidP="00ED0E2B" w:rsidRDefault="00993A30" w14:paraId="2E3F2643" w14:textId="77777777">
      <w:pPr>
        <w:spacing w:after="0" w:line="360" w:lineRule="auto"/>
        <w:rPr>
          <w:rFonts w:eastAsia="Times New Roman" w:cs="Tahoma"/>
          <w:lang w:eastAsia="es-ES"/>
        </w:rPr>
      </w:pPr>
      <w:r w:rsidRPr="00DE77AA">
        <w:rPr>
          <w:rFonts w:eastAsia="Times New Roman" w:cs="Tahoma"/>
          <w:lang w:eastAsia="es-ES"/>
        </w:rPr>
        <w:t>Por tales motivos, se considera procedente entrar al fondo del presente asunto.</w:t>
      </w:r>
    </w:p>
    <w:p w:rsidRPr="00DE77AA" w:rsidR="00066B31" w:rsidP="00ED0E2B" w:rsidRDefault="00066B31" w14:paraId="7F0C6A66" w14:textId="77777777">
      <w:pPr>
        <w:tabs>
          <w:tab w:val="left" w:pos="4962"/>
        </w:tabs>
        <w:spacing w:after="0" w:line="360" w:lineRule="auto"/>
        <w:rPr>
          <w:rFonts w:cs="Tahoma"/>
          <w:lang w:val="es-ES"/>
        </w:rPr>
      </w:pPr>
    </w:p>
    <w:p w:rsidRPr="00DE77AA" w:rsidR="00066B31" w:rsidP="00ED0E2B" w:rsidRDefault="00066B31" w14:paraId="1A5ACCAF" w14:textId="77777777">
      <w:pPr>
        <w:tabs>
          <w:tab w:val="left" w:pos="4962"/>
        </w:tabs>
        <w:spacing w:after="0" w:line="360" w:lineRule="auto"/>
        <w:rPr>
          <w:rFonts w:eastAsia="Calibri" w:cs="Tahoma"/>
          <w:b/>
          <w:iCs/>
          <w:lang w:val="es-ES" w:eastAsia="es-ES_tradnl"/>
        </w:rPr>
      </w:pPr>
      <w:r w:rsidRPr="00DE77AA">
        <w:rPr>
          <w:rFonts w:eastAsia="Calibri" w:cs="Tahoma"/>
          <w:b/>
          <w:iCs/>
          <w:lang w:val="es-ES" w:eastAsia="es-ES_tradnl"/>
        </w:rPr>
        <w:t xml:space="preserve">TERCERO. Determinación de la Controversia. </w:t>
      </w:r>
    </w:p>
    <w:p w:rsidRPr="00DE77AA" w:rsidR="00066B31" w:rsidP="00ED0E2B" w:rsidRDefault="00066B31" w14:paraId="286B1258" w14:textId="77777777">
      <w:pPr>
        <w:spacing w:after="0" w:line="360" w:lineRule="auto"/>
      </w:pPr>
    </w:p>
    <w:p w:rsidRPr="00DE77AA" w:rsidR="00066B31" w:rsidP="00ED0E2B" w:rsidRDefault="00066B31" w14:paraId="2EAB795C" w14:textId="523BACA2">
      <w:pPr>
        <w:tabs>
          <w:tab w:val="left" w:pos="4962"/>
        </w:tabs>
        <w:spacing w:after="0" w:line="360" w:lineRule="auto"/>
        <w:rPr>
          <w:rFonts w:eastAsia="Calibri" w:cs="Tahoma"/>
          <w:iCs/>
          <w:lang w:val="es-ES" w:eastAsia="es-ES_tradnl"/>
        </w:rPr>
      </w:pPr>
      <w:r w:rsidRPr="00DE77AA">
        <w:rPr>
          <w:rFonts w:eastAsia="Calibri" w:cs="Tahoma"/>
          <w:iCs/>
          <w:lang w:val="es-ES" w:eastAsia="es-ES_tradnl"/>
        </w:rPr>
        <w:t>Con el objeto de ilustrar la controversia planteada, resulta conveniente precisar que, una vez realizado el estudio de las constancias que integran el expediente en que se actúa, se desprende que el Recurrente requirió</w:t>
      </w:r>
      <w:r w:rsidRPr="00DE77AA" w:rsidR="00FE24DD">
        <w:rPr>
          <w:rFonts w:eastAsia="Calibri" w:cs="Tahoma"/>
          <w:iCs/>
          <w:lang w:val="es-ES" w:eastAsia="es-ES_tradnl"/>
        </w:rPr>
        <w:t xml:space="preserve"> </w:t>
      </w:r>
      <w:r w:rsidRPr="00DE77AA" w:rsidR="00E52810">
        <w:rPr>
          <w:rFonts w:eastAsia="Calibri" w:cs="Tahoma"/>
          <w:iCs/>
          <w:lang w:val="es-ES" w:eastAsia="es-ES_tradnl"/>
        </w:rPr>
        <w:t>a la Tesorería Municipal y la Dirección de Administración, la facultad potestativa del Titular de la Contraloría Municipal para otorgar el visto bueno para el pago de servicios de los contratistas</w:t>
      </w:r>
      <w:r w:rsidRPr="00DE77AA" w:rsidR="005B20CD">
        <w:rPr>
          <w:rFonts w:eastAsia="Calibri" w:cs="Tahoma"/>
          <w:iCs/>
          <w:lang w:val="es-ES" w:eastAsia="es-ES_tradnl"/>
        </w:rPr>
        <w:t xml:space="preserve">, en relación al pago de los servicios profesionales de Karla Trejo Serrano, así como la norma jurídica o administrativa. </w:t>
      </w:r>
    </w:p>
    <w:p w:rsidRPr="00DE77AA" w:rsidR="00066B31" w:rsidP="00ED0E2B" w:rsidRDefault="00066B31" w14:paraId="035B8B87" w14:textId="77777777">
      <w:pPr>
        <w:tabs>
          <w:tab w:val="left" w:pos="4962"/>
        </w:tabs>
        <w:spacing w:after="0" w:line="360" w:lineRule="auto"/>
        <w:rPr>
          <w:rFonts w:eastAsia="Calibri" w:cs="Tahoma"/>
          <w:iCs/>
          <w:lang w:val="es-ES" w:eastAsia="es-ES_tradnl"/>
        </w:rPr>
      </w:pPr>
    </w:p>
    <w:p w:rsidRPr="00DE77AA" w:rsidR="005B5BC4" w:rsidP="00ED0E2B" w:rsidRDefault="00FE24DD" w14:paraId="4A86FBC3" w14:textId="0D39E45F">
      <w:pPr>
        <w:pStyle w:val="NormalWeb"/>
        <w:spacing w:after="0" w:line="360" w:lineRule="auto"/>
        <w:ind w:right="-28"/>
        <w:rPr>
          <w:rFonts w:eastAsia="Calibri" w:cs="Tahoma"/>
          <w:iCs/>
          <w:color w:val="auto"/>
          <w:lang w:val="es-ES" w:eastAsia="es-ES_tradnl"/>
        </w:rPr>
      </w:pPr>
      <w:r w:rsidRPr="00DE77AA">
        <w:rPr>
          <w:rFonts w:ascii="Palatino Linotype" w:hAnsi="Palatino Linotype" w:cs="Tahoma"/>
          <w:bCs/>
          <w:iCs/>
          <w:sz w:val="22"/>
          <w:szCs w:val="22"/>
          <w:lang w:val="es-ES"/>
        </w:rPr>
        <w:t xml:space="preserve">En respuesta, el Sujeto Obligado, a través de </w:t>
      </w:r>
      <w:r w:rsidRPr="00DE77AA" w:rsidR="005B20CD">
        <w:rPr>
          <w:rFonts w:ascii="Palatino Linotype" w:hAnsi="Palatino Linotype" w:cs="Tahoma"/>
          <w:bCs/>
          <w:iCs/>
          <w:sz w:val="22"/>
          <w:szCs w:val="22"/>
          <w:lang w:val="es-ES"/>
        </w:rPr>
        <w:t>la Contraloría Municipal ya la Dirección de Administración</w:t>
      </w:r>
      <w:r w:rsidRPr="00DE77AA" w:rsidR="004E6E96">
        <w:rPr>
          <w:rFonts w:ascii="Palatino Linotype" w:hAnsi="Palatino Linotype" w:cs="Tahoma"/>
          <w:bCs/>
          <w:iCs/>
          <w:sz w:val="22"/>
          <w:szCs w:val="22"/>
          <w:lang w:val="es-ES"/>
        </w:rPr>
        <w:t>, precisó que la Contraloría como área usuaria, valida el pago de los integrantes del Comité de Participación Ciudadana del Sistema Municipal Anticorrupción de Temoaya, toda vez que la erogación se realiza del presupuesto asignado a la Contraloría Municipal,</w:t>
      </w:r>
      <w:r w:rsidRPr="00DE77AA" w:rsidR="00575679">
        <w:rPr>
          <w:rFonts w:ascii="Palatino Linotype" w:hAnsi="Palatino Linotype" w:cs="Tahoma"/>
          <w:bCs/>
          <w:iCs/>
          <w:sz w:val="22"/>
          <w:szCs w:val="22"/>
          <w:lang w:val="es-ES"/>
        </w:rPr>
        <w:t xml:space="preserve"> de conformidad con el artículo 70 de la Ley de Contratación Pública del Estado de México y Municipios</w:t>
      </w:r>
      <w:r w:rsidRPr="00DE77AA" w:rsidR="00062470">
        <w:rPr>
          <w:rFonts w:ascii="Palatino Linotype" w:hAnsi="Palatino Linotype" w:cs="Tahoma"/>
          <w:bCs/>
          <w:iCs/>
          <w:sz w:val="22"/>
          <w:szCs w:val="22"/>
          <w:lang w:val="es-ES"/>
        </w:rPr>
        <w:t>; ante dicha circunstancia</w:t>
      </w:r>
      <w:r w:rsidRPr="00DE77AA" w:rsidR="00C8149E">
        <w:rPr>
          <w:rFonts w:ascii="Palatino Linotype" w:hAnsi="Palatino Linotype" w:cs="Tahoma"/>
          <w:bCs/>
          <w:iCs/>
          <w:sz w:val="22"/>
          <w:szCs w:val="22"/>
          <w:lang w:val="es-ES"/>
        </w:rPr>
        <w:t>, el Particular</w:t>
      </w:r>
      <w:r w:rsidRPr="00DE77AA" w:rsidR="00062470">
        <w:rPr>
          <w:rFonts w:ascii="Palatino Linotype" w:hAnsi="Palatino Linotype" w:cs="Tahoma"/>
          <w:bCs/>
          <w:iCs/>
          <w:sz w:val="22"/>
          <w:szCs w:val="22"/>
          <w:lang w:val="es-ES"/>
        </w:rPr>
        <w:t xml:space="preserve"> se inconformó </w:t>
      </w:r>
      <w:r w:rsidRPr="00DE77AA" w:rsidR="00E27D2D">
        <w:rPr>
          <w:rFonts w:ascii="Palatino Linotype" w:hAnsi="Palatino Linotype" w:eastAsia="Calibri" w:cs="Tahoma"/>
          <w:iCs/>
          <w:sz w:val="22"/>
          <w:lang w:val="es-ES" w:eastAsia="es-ES_tradnl"/>
        </w:rPr>
        <w:t xml:space="preserve">con la </w:t>
      </w:r>
      <w:r w:rsidRPr="00DE77AA" w:rsidR="00F818C7">
        <w:rPr>
          <w:rFonts w:ascii="Palatino Linotype" w:hAnsi="Palatino Linotype" w:eastAsia="Calibri" w:cs="Tahoma"/>
          <w:iCs/>
          <w:sz w:val="22"/>
          <w:lang w:val="es-ES" w:eastAsia="es-ES_tradnl"/>
        </w:rPr>
        <w:t>entrega de información incompleta, al manifestar que la</w:t>
      </w:r>
      <w:r w:rsidRPr="00DE77AA" w:rsidR="00F818C7">
        <w:t xml:space="preserve"> </w:t>
      </w:r>
      <w:r w:rsidRPr="00DE77AA" w:rsidR="00F818C7">
        <w:rPr>
          <w:rFonts w:ascii="Palatino Linotype" w:hAnsi="Palatino Linotype" w:eastAsia="Calibri" w:cs="Tahoma"/>
          <w:iCs/>
          <w:sz w:val="22"/>
          <w:lang w:val="es-ES" w:eastAsia="es-ES_tradnl"/>
        </w:rPr>
        <w:t>Tesorería Municipal omitió pronunciarse</w:t>
      </w:r>
      <w:r w:rsidRPr="00DE77AA" w:rsidR="00C8149E">
        <w:rPr>
          <w:rFonts w:ascii="Palatino Linotype" w:hAnsi="Palatino Linotype" w:cs="Tahoma"/>
          <w:bCs/>
          <w:iCs/>
          <w:sz w:val="22"/>
          <w:szCs w:val="22"/>
          <w:lang w:val="es-ES"/>
        </w:rPr>
        <w:t>, lo c</w:t>
      </w:r>
      <w:r w:rsidRPr="00DE77AA" w:rsidR="005B5BC4">
        <w:rPr>
          <w:rFonts w:ascii="Palatino Linotype" w:hAnsi="Palatino Linotype" w:cs="Tahoma"/>
          <w:bCs/>
          <w:iCs/>
          <w:sz w:val="22"/>
          <w:szCs w:val="22"/>
          <w:lang w:val="es-ES"/>
        </w:rPr>
        <w:t>ual materializa</w:t>
      </w:r>
      <w:r w:rsidRPr="00DE77AA" w:rsidR="00C8149E">
        <w:rPr>
          <w:rFonts w:ascii="Palatino Linotype" w:hAnsi="Palatino Linotype" w:cs="Tahoma"/>
          <w:bCs/>
          <w:iCs/>
          <w:sz w:val="22"/>
          <w:szCs w:val="22"/>
          <w:lang w:val="es-ES"/>
        </w:rPr>
        <w:t xml:space="preserve"> el supuesto previsto en el artículo 179, </w:t>
      </w:r>
      <w:r w:rsidRPr="00DE77AA" w:rsidR="00E27D2D">
        <w:rPr>
          <w:rFonts w:ascii="Palatino Linotype" w:hAnsi="Palatino Linotype" w:cs="Tahoma"/>
          <w:bCs/>
          <w:iCs/>
          <w:sz w:val="22"/>
          <w:szCs w:val="22"/>
          <w:lang w:val="es-ES"/>
        </w:rPr>
        <w:t>fracción</w:t>
      </w:r>
      <w:r w:rsidRPr="00DE77AA" w:rsidR="00FF1DD1">
        <w:rPr>
          <w:rFonts w:ascii="Palatino Linotype" w:hAnsi="Palatino Linotype" w:cs="Tahoma"/>
          <w:bCs/>
          <w:iCs/>
          <w:sz w:val="22"/>
          <w:szCs w:val="22"/>
          <w:lang w:val="es-ES"/>
        </w:rPr>
        <w:t xml:space="preserve"> </w:t>
      </w:r>
      <w:r w:rsidRPr="00DE77AA" w:rsidR="00F818C7">
        <w:rPr>
          <w:rFonts w:ascii="Palatino Linotype" w:hAnsi="Palatino Linotype" w:cs="Tahoma"/>
          <w:bCs/>
          <w:iCs/>
          <w:sz w:val="22"/>
          <w:szCs w:val="22"/>
          <w:lang w:val="es-ES"/>
        </w:rPr>
        <w:t>V</w:t>
      </w:r>
      <w:r w:rsidRPr="00DE77AA" w:rsidR="00C8149E">
        <w:rPr>
          <w:rFonts w:ascii="Palatino Linotype" w:hAnsi="Palatino Linotype" w:cs="Tahoma"/>
          <w:bCs/>
          <w:iCs/>
          <w:sz w:val="22"/>
          <w:szCs w:val="22"/>
          <w:lang w:val="es-ES"/>
        </w:rPr>
        <w:t>, de la Ley de Transparencia y Acceso a la Información Pública del Estado de México y Municipios</w:t>
      </w:r>
      <w:r w:rsidRPr="00DE77AA" w:rsidR="00C8149E">
        <w:rPr>
          <w:rFonts w:ascii="Palatino Linotype" w:hAnsi="Palatino Linotype" w:cs="Tahoma"/>
          <w:bCs/>
          <w:iCs/>
          <w:sz w:val="22"/>
          <w:szCs w:val="22"/>
          <w:shd w:val="clear" w:color="auto" w:fill="FFFFFF"/>
        </w:rPr>
        <w:t xml:space="preserve">. </w:t>
      </w:r>
      <w:r w:rsidRPr="00DE77AA" w:rsidR="005B5BC4">
        <w:rPr>
          <w:rFonts w:eastAsia="Calibri" w:cs="Tahoma"/>
          <w:iCs/>
          <w:color w:val="auto"/>
          <w:lang w:val="es-ES" w:eastAsia="es-ES_tradnl"/>
        </w:rPr>
        <w:t>Así las cosas, una vez admitido y notificado el Recurso de Revisión a las partes, las partes fueron omisas en emitir manifestaciones o alegatos.</w:t>
      </w:r>
    </w:p>
    <w:p w:rsidRPr="00DE77AA" w:rsidR="005B5BC4" w:rsidP="00ED0E2B" w:rsidRDefault="005B5BC4" w14:paraId="2885FF9A" w14:textId="77777777">
      <w:pPr>
        <w:pStyle w:val="NormalWeb"/>
        <w:spacing w:after="0" w:line="360" w:lineRule="auto"/>
        <w:ind w:right="-28"/>
        <w:rPr>
          <w:rFonts w:ascii="Palatino Linotype" w:hAnsi="Palatino Linotype" w:cs="Tahoma"/>
          <w:bCs/>
          <w:iCs/>
          <w:sz w:val="22"/>
          <w:szCs w:val="22"/>
          <w:lang w:val="es-ES" w:eastAsia="es-ES"/>
        </w:rPr>
      </w:pPr>
    </w:p>
    <w:p w:rsidRPr="00DE77AA" w:rsidR="00066B31" w:rsidP="00ED0E2B" w:rsidRDefault="00066B31" w14:paraId="68774A70" w14:textId="1F6ED404">
      <w:pPr>
        <w:tabs>
          <w:tab w:val="left" w:pos="4962"/>
        </w:tabs>
        <w:spacing w:after="0" w:line="360" w:lineRule="auto"/>
        <w:rPr>
          <w:rFonts w:eastAsia="Calibri" w:cs="Tahoma"/>
          <w:bCs/>
        </w:rPr>
      </w:pPr>
      <w:r w:rsidRPr="00DE77AA">
        <w:rPr>
          <w:rFonts w:eastAsia="Calibri" w:cs="Tahoma"/>
          <w:iCs/>
          <w:lang w:val="es-ES" w:eastAsia="es-ES_tradnl"/>
        </w:rPr>
        <w:lastRenderedPageBreak/>
        <w:t>Lo anterior, se desprende de las documentales que obran en los expedientes de referencia, materia de la presente resolución, consistente en: la solicitud de acceso a la información</w:t>
      </w:r>
      <w:r w:rsidRPr="00DE77AA" w:rsidR="00062470">
        <w:rPr>
          <w:rFonts w:eastAsia="Calibri" w:cs="Tahoma"/>
          <w:iCs/>
          <w:lang w:val="es-ES" w:eastAsia="es-ES_tradnl"/>
        </w:rPr>
        <w:t>; la respuesta entregada</w:t>
      </w:r>
      <w:r w:rsidRPr="00DE77AA" w:rsidR="00AC229D">
        <w:rPr>
          <w:rFonts w:eastAsia="Calibri" w:cs="Tahoma"/>
          <w:iCs/>
          <w:lang w:val="es-ES" w:eastAsia="es-ES_tradnl"/>
        </w:rPr>
        <w:t xml:space="preserve"> y </w:t>
      </w:r>
      <w:r w:rsidRPr="00DE77AA">
        <w:rPr>
          <w:rFonts w:eastAsia="Calibri" w:cs="Tahoma"/>
          <w:iCs/>
          <w:lang w:eastAsia="es-ES_tradnl"/>
        </w:rPr>
        <w:t xml:space="preserve">el escrito recursal; </w:t>
      </w:r>
      <w:r w:rsidRPr="00DE77AA">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rsidRPr="00DE77AA" w:rsidR="00066B31" w:rsidP="00ED0E2B" w:rsidRDefault="00066B31" w14:paraId="436F8DAB" w14:textId="77777777">
      <w:pPr>
        <w:tabs>
          <w:tab w:val="left" w:pos="4962"/>
        </w:tabs>
        <w:spacing w:after="0" w:line="360" w:lineRule="auto"/>
        <w:rPr>
          <w:rFonts w:eastAsia="Calibri" w:cs="Tahoma"/>
          <w:bCs/>
        </w:rPr>
      </w:pPr>
    </w:p>
    <w:p w:rsidRPr="00DE77AA" w:rsidR="00DE67B3" w:rsidP="00ED0E2B" w:rsidRDefault="00066B31" w14:paraId="3E0CA28B" w14:textId="77777777">
      <w:pPr>
        <w:spacing w:after="0" w:line="360" w:lineRule="auto"/>
        <w:rPr>
          <w:rFonts w:cs="Tahoma"/>
          <w:b/>
        </w:rPr>
      </w:pPr>
      <w:r w:rsidRPr="00DE77AA">
        <w:rPr>
          <w:rFonts w:cs="Tahoma"/>
          <w:b/>
          <w:lang w:val="es-ES"/>
        </w:rPr>
        <w:t xml:space="preserve">CUARTO. </w:t>
      </w:r>
      <w:r w:rsidRPr="00DE77AA">
        <w:rPr>
          <w:rFonts w:cs="Tahoma"/>
          <w:b/>
        </w:rPr>
        <w:t>Marco normativo aplicable en materia de transparencia y acceso a la información pública.</w:t>
      </w:r>
    </w:p>
    <w:p w:rsidRPr="00DE77AA" w:rsidR="00DE67B3" w:rsidP="00ED0E2B" w:rsidRDefault="00DE67B3" w14:paraId="2C9C1D5F" w14:textId="77777777">
      <w:pPr>
        <w:spacing w:after="0" w:line="360" w:lineRule="auto"/>
        <w:rPr>
          <w:rFonts w:cs="Tahoma"/>
          <w:b/>
        </w:rPr>
      </w:pPr>
    </w:p>
    <w:p w:rsidRPr="00DE77AA" w:rsidR="00066B31" w:rsidP="00ED0E2B" w:rsidRDefault="00066B31" w14:paraId="688782F9" w14:textId="05C48BC9">
      <w:pPr>
        <w:spacing w:after="0" w:line="360" w:lineRule="auto"/>
        <w:rPr>
          <w:rFonts w:eastAsia="Times New Roman" w:cs="Tahoma"/>
          <w:lang w:eastAsia="es-MX"/>
        </w:rPr>
      </w:pPr>
      <w:r w:rsidRPr="00DE77AA">
        <w:rPr>
          <w:rFonts w:eastAsia="Times New Roman" w:cs="Tahoma"/>
          <w:lang w:eastAsia="es-MX"/>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DE77AA" w:rsidR="00066B31" w:rsidP="00ED0E2B" w:rsidRDefault="00066B31" w14:paraId="31B874EE" w14:textId="77777777">
      <w:pPr>
        <w:widowControl w:val="0"/>
        <w:spacing w:after="0" w:line="360" w:lineRule="auto"/>
        <w:rPr>
          <w:rFonts w:eastAsia="Times New Roman" w:cs="Tahoma"/>
          <w:lang w:eastAsia="es-MX"/>
        </w:rPr>
      </w:pPr>
    </w:p>
    <w:p w:rsidRPr="00DE77AA" w:rsidR="00066B31" w:rsidP="00ED0E2B" w:rsidRDefault="00066B31" w14:paraId="0C6AAC93" w14:textId="77777777">
      <w:pPr>
        <w:widowControl w:val="0"/>
        <w:spacing w:after="0" w:line="360" w:lineRule="auto"/>
        <w:rPr>
          <w:rFonts w:eastAsia="Times New Roman" w:cs="Tahoma"/>
          <w:lang w:eastAsia="es-MX"/>
        </w:rPr>
      </w:pPr>
      <w:r w:rsidRPr="00DE77AA">
        <w:rPr>
          <w:rFonts w:eastAsia="Times New Roman" w:cs="Tahoma"/>
          <w:lang w:eastAsia="es-MX"/>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DE77AA" w:rsidR="00066B31" w:rsidP="00ED0E2B" w:rsidRDefault="00066B31" w14:paraId="736B3C45" w14:textId="77777777">
      <w:pPr>
        <w:widowControl w:val="0"/>
        <w:spacing w:after="0" w:line="360" w:lineRule="auto"/>
        <w:rPr>
          <w:rFonts w:eastAsia="Times New Roman" w:cs="Tahoma"/>
          <w:lang w:eastAsia="es-MX"/>
        </w:rPr>
      </w:pPr>
    </w:p>
    <w:p w:rsidRPr="00DE77AA" w:rsidR="00066B31" w:rsidP="00ED0E2B" w:rsidRDefault="00066B31" w14:paraId="73F41E19" w14:textId="77777777">
      <w:pPr>
        <w:spacing w:after="0" w:line="360" w:lineRule="auto"/>
        <w:rPr>
          <w:rFonts w:eastAsia="Times New Roman" w:cs="Tahoma"/>
          <w:lang w:eastAsia="es-MX"/>
        </w:rPr>
      </w:pPr>
      <w:r w:rsidRPr="00DE77AA">
        <w:rPr>
          <w:rFonts w:eastAsia="Times New Roman" w:cs="Tahoma"/>
          <w:lang w:eastAsia="es-MX"/>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DE77AA" w:rsidR="00066B31" w:rsidP="00ED0E2B" w:rsidRDefault="00066B31" w14:paraId="773388CF" w14:textId="77777777">
      <w:pPr>
        <w:widowControl w:val="0"/>
        <w:spacing w:after="0" w:line="360" w:lineRule="auto"/>
        <w:rPr>
          <w:rFonts w:eastAsia="Times New Roman" w:cs="Tahoma"/>
          <w:lang w:eastAsia="es-MX"/>
        </w:rPr>
      </w:pPr>
    </w:p>
    <w:p w:rsidRPr="00DE77AA" w:rsidR="00066B31" w:rsidP="00ED0E2B" w:rsidRDefault="00066B31" w14:paraId="0F14646A" w14:textId="77777777">
      <w:pPr>
        <w:widowControl w:val="0"/>
        <w:spacing w:after="0" w:line="360" w:lineRule="auto"/>
        <w:rPr>
          <w:rFonts w:eastAsia="Times New Roman" w:cs="Tahoma"/>
          <w:lang w:eastAsia="es-MX"/>
        </w:rPr>
      </w:pPr>
      <w:r w:rsidRPr="00DE77AA">
        <w:rPr>
          <w:rFonts w:eastAsia="Times New Roman" w:cs="Tahoma"/>
          <w:lang w:eastAsia="es-MX"/>
        </w:rPr>
        <w:t>Por su parte, la Ley de Transparencia y Acceso a la Información Pública del Estado de México y Municipios (Reglamentaria del artículo 5° de la Constitución Local), establece lo siguiente:</w:t>
      </w:r>
    </w:p>
    <w:p w:rsidRPr="00DE77AA" w:rsidR="00066B31" w:rsidP="00ED0E2B" w:rsidRDefault="00066B31" w14:paraId="1C5CE9B0" w14:textId="7A498C63">
      <w:pPr>
        <w:widowControl w:val="0"/>
        <w:spacing w:after="0" w:line="360" w:lineRule="auto"/>
        <w:rPr>
          <w:rFonts w:eastAsia="Times New Roman" w:cs="Tahoma"/>
          <w:lang w:eastAsia="es-MX"/>
        </w:rPr>
      </w:pPr>
    </w:p>
    <w:p w:rsidRPr="00DE77AA" w:rsidR="00066B31" w:rsidP="00ED0E2B" w:rsidRDefault="00066B31" w14:paraId="337DBABD" w14:textId="77777777">
      <w:pPr>
        <w:widowControl w:val="0"/>
        <w:spacing w:after="0" w:line="360" w:lineRule="auto"/>
        <w:rPr>
          <w:rFonts w:eastAsia="Times New Roman" w:cs="Tahoma"/>
          <w:lang w:eastAsia="es-MX"/>
        </w:rPr>
      </w:pPr>
      <w:r w:rsidRPr="00DE77AA">
        <w:rPr>
          <w:rFonts w:eastAsia="Times New Roman" w:cs="Tahoma"/>
          <w:lang w:eastAsia="es-MX"/>
        </w:rPr>
        <w:lastRenderedPageBreak/>
        <w:t>El artículo 12, que, quienes generen, recopilen, administren, manejen, procesen, archiven o conserven información pública serán responsables de la misma.</w:t>
      </w:r>
    </w:p>
    <w:p w:rsidRPr="00DE77AA" w:rsidR="00066B31" w:rsidP="00ED0E2B" w:rsidRDefault="00066B31" w14:paraId="7971A82B" w14:textId="77777777">
      <w:pPr>
        <w:widowControl w:val="0"/>
        <w:spacing w:after="0" w:line="360" w:lineRule="auto"/>
        <w:rPr>
          <w:rFonts w:eastAsia="Times New Roman" w:cs="Tahoma"/>
          <w:lang w:eastAsia="es-MX"/>
        </w:rPr>
      </w:pPr>
    </w:p>
    <w:p w:rsidRPr="00DE77AA" w:rsidR="00066B31" w:rsidP="00ED0E2B" w:rsidRDefault="00066B31" w14:paraId="184D6CB7" w14:textId="77777777">
      <w:pPr>
        <w:widowControl w:val="0"/>
        <w:spacing w:after="0" w:line="360" w:lineRule="auto"/>
        <w:rPr>
          <w:rFonts w:eastAsia="Times New Roman" w:cs="Tahoma"/>
          <w:lang w:eastAsia="es-MX"/>
        </w:rPr>
      </w:pPr>
      <w:r w:rsidRPr="00DE77AA">
        <w:rPr>
          <w:rFonts w:eastAsia="Times New Roman" w:cs="Tahoma"/>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rsidRPr="00DE77AA" w:rsidR="00066B31" w:rsidP="00ED0E2B" w:rsidRDefault="00066B31" w14:paraId="6D505BF4" w14:textId="77777777">
      <w:pPr>
        <w:widowControl w:val="0"/>
        <w:spacing w:after="0" w:line="360" w:lineRule="auto"/>
        <w:rPr>
          <w:rFonts w:eastAsia="Times New Roman" w:cs="Tahoma"/>
          <w:lang w:eastAsia="es-MX"/>
        </w:rPr>
      </w:pPr>
    </w:p>
    <w:p w:rsidRPr="00DE77AA" w:rsidR="00066B31" w:rsidP="00ED0E2B" w:rsidRDefault="00066B31" w14:paraId="3EE497AD" w14:textId="77777777">
      <w:pPr>
        <w:spacing w:after="0" w:line="360" w:lineRule="auto"/>
        <w:rPr>
          <w:rFonts w:eastAsia="Times New Roman" w:cs="Tahoma"/>
          <w:lang w:eastAsia="es-MX"/>
        </w:rPr>
      </w:pPr>
      <w:r w:rsidRPr="00DE77AA">
        <w:rPr>
          <w:rFonts w:eastAsia="Times New Roman" w:cs="Tahoma"/>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DE77AA" w:rsidR="00610C0E" w:rsidP="00ED0E2B" w:rsidRDefault="00610C0E" w14:paraId="25F65B48" w14:textId="77777777">
      <w:pPr>
        <w:widowControl w:val="0"/>
        <w:spacing w:after="0" w:line="360" w:lineRule="auto"/>
        <w:rPr>
          <w:rFonts w:eastAsia="Times New Roman" w:cs="Tahoma"/>
          <w:lang w:eastAsia="es-MX"/>
        </w:rPr>
      </w:pPr>
    </w:p>
    <w:p w:rsidRPr="00DE77AA" w:rsidR="00066B31" w:rsidP="00ED0E2B" w:rsidRDefault="00066B31" w14:paraId="078B2F21" w14:textId="77777777">
      <w:pPr>
        <w:spacing w:after="0" w:line="360" w:lineRule="auto"/>
        <w:rPr>
          <w:rFonts w:eastAsia="Times New Roman" w:cs="Tahoma"/>
          <w:b/>
          <w:lang w:val="es-ES" w:eastAsia="es-ES"/>
        </w:rPr>
      </w:pPr>
      <w:r w:rsidRPr="00DE77AA">
        <w:rPr>
          <w:rFonts w:eastAsia="Times New Roman" w:cs="Tahoma"/>
          <w:b/>
          <w:lang w:val="es-ES" w:eastAsia="es-ES"/>
        </w:rPr>
        <w:t>QUINTO. Estudio de Fondo.</w:t>
      </w:r>
    </w:p>
    <w:p w:rsidRPr="00DE77AA" w:rsidR="00610C0E" w:rsidP="00ED0E2B" w:rsidRDefault="00610C0E" w14:paraId="1138C427" w14:textId="77777777">
      <w:pPr>
        <w:spacing w:after="0" w:line="360" w:lineRule="auto"/>
        <w:rPr>
          <w:rFonts w:eastAsia="Times New Roman" w:cs="Tahoma"/>
          <w:b/>
          <w:lang w:val="es-ES" w:eastAsia="es-ES"/>
        </w:rPr>
      </w:pPr>
    </w:p>
    <w:p w:rsidRPr="00DE77AA" w:rsidR="00EA1D39" w:rsidP="00ED0E2B" w:rsidRDefault="005B5BC4" w14:paraId="3A2EE1DB" w14:textId="105FFFAA">
      <w:pPr>
        <w:spacing w:after="0" w:line="360" w:lineRule="auto"/>
        <w:rPr>
          <w:rFonts w:cs="Tahoma"/>
          <w:bCs/>
          <w:color w:val="0D0D0D" w:themeColor="text1" w:themeTint="F2"/>
        </w:rPr>
      </w:pPr>
      <w:r w:rsidRPr="00DE77AA">
        <w:rPr>
          <w:rFonts w:cs="Tahoma"/>
          <w:bCs/>
          <w:color w:val="0D0D0D" w:themeColor="text1" w:themeTint="F2"/>
        </w:rPr>
        <w:t xml:space="preserve">Una vez establecido lo anterior, se procede analizar el agravio hecho valer por el </w:t>
      </w:r>
      <w:r w:rsidRPr="00DE77AA" w:rsidR="00EA1D39">
        <w:rPr>
          <w:rFonts w:cs="Tahoma"/>
          <w:bCs/>
          <w:color w:val="0D0D0D" w:themeColor="text1" w:themeTint="F2"/>
        </w:rPr>
        <w:t>ahora Recurrente; por lo que, en principio es necesario contextualizar la solicitud de información, para lo cual, es necesario traer a colación el oficio número DAYDP/3007/2022, del once de noviembre de dos mil veintidós, suscrito por el Dirección de Administración y Desarrollo de Personal, que precisa lo siguiente:</w:t>
      </w:r>
    </w:p>
    <w:p w:rsidRPr="00DE77AA" w:rsidR="00EA1D39" w:rsidP="00ED0E2B" w:rsidRDefault="00EA1D39" w14:paraId="4DDFC5E5" w14:textId="77777777">
      <w:pPr>
        <w:spacing w:after="0" w:line="360" w:lineRule="auto"/>
        <w:rPr>
          <w:rFonts w:cs="Tahoma"/>
          <w:bCs/>
          <w:color w:val="0D0D0D" w:themeColor="text1" w:themeTint="F2"/>
        </w:rPr>
      </w:pPr>
    </w:p>
    <w:p w:rsidRPr="00DE77AA" w:rsidR="00EA1D39" w:rsidP="00ED0E2B" w:rsidRDefault="00EA1D39" w14:paraId="2A46B00E" w14:textId="13D860DD">
      <w:pPr>
        <w:spacing w:after="0" w:line="360" w:lineRule="auto"/>
        <w:jc w:val="center"/>
        <w:rPr>
          <w:rFonts w:cs="Tahoma"/>
          <w:bCs/>
          <w:color w:val="0D0D0D" w:themeColor="text1" w:themeTint="F2"/>
        </w:rPr>
      </w:pPr>
      <w:r w:rsidRPr="00DE77AA">
        <w:rPr>
          <w:rFonts w:cs="Tahoma"/>
          <w:bCs/>
          <w:noProof/>
          <w:color w:val="0D0D0D" w:themeColor="text1" w:themeTint="F2"/>
        </w:rPr>
        <w:drawing>
          <wp:inline distT="0" distB="0" distL="0" distR="0" wp14:anchorId="3F22685E" wp14:editId="3493595F">
            <wp:extent cx="4781550" cy="1423271"/>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01391" cy="1429177"/>
                    </a:xfrm>
                    <a:prstGeom prst="rect">
                      <a:avLst/>
                    </a:prstGeom>
                  </pic:spPr>
                </pic:pic>
              </a:graphicData>
            </a:graphic>
          </wp:inline>
        </w:drawing>
      </w:r>
    </w:p>
    <w:p w:rsidRPr="00DE77AA" w:rsidR="00110A90" w:rsidP="00ED0E2B" w:rsidRDefault="00110A90" w14:paraId="6F08BF78" w14:textId="77777777">
      <w:pPr>
        <w:spacing w:after="0" w:line="360" w:lineRule="auto"/>
        <w:jc w:val="center"/>
        <w:rPr>
          <w:rFonts w:cs="Tahoma"/>
          <w:bCs/>
          <w:color w:val="0D0D0D" w:themeColor="text1" w:themeTint="F2"/>
        </w:rPr>
      </w:pPr>
    </w:p>
    <w:p w:rsidRPr="00DE77AA" w:rsidR="00110A90" w:rsidP="00ED0E2B" w:rsidRDefault="00110A90" w14:paraId="3DA65FD8" w14:textId="51ACD8E8">
      <w:pPr>
        <w:spacing w:after="0" w:line="360" w:lineRule="auto"/>
        <w:rPr>
          <w:rFonts w:cs="Tahoma"/>
          <w:bCs/>
          <w:color w:val="0D0D0D" w:themeColor="text1" w:themeTint="F2"/>
        </w:rPr>
      </w:pPr>
      <w:r w:rsidRPr="00DE77AA">
        <w:rPr>
          <w:rFonts w:cs="Tahoma"/>
          <w:bCs/>
          <w:color w:val="0D0D0D" w:themeColor="text1" w:themeTint="F2"/>
        </w:rPr>
        <w:lastRenderedPageBreak/>
        <w:t>Conforme a lo anterior, se logra vislumbrar que la pretensión del ahora Recurrente, es conocer la norma jurídica que establezca la facultad potestativa que tenía el Titular de la Contraloría Municipal para otorgar el visto bueno para el pago de servicios de los contratistas. Lo anterior, en atención al pago de la factura de agosto, derivada de la prestación de servicios profesionales de Karla Trejo Serrano.</w:t>
      </w:r>
    </w:p>
    <w:p w:rsidRPr="00DE77AA" w:rsidR="00290D5D" w:rsidP="00ED0E2B" w:rsidRDefault="00290D5D" w14:paraId="79A94269" w14:textId="77777777">
      <w:pPr>
        <w:spacing w:after="0" w:line="360" w:lineRule="auto"/>
        <w:rPr>
          <w:rFonts w:cs="Tahoma"/>
          <w:bCs/>
          <w:color w:val="0D0D0D" w:themeColor="text1" w:themeTint="F2"/>
        </w:rPr>
      </w:pPr>
    </w:p>
    <w:p w:rsidRPr="00DE77AA" w:rsidR="001F5790" w:rsidP="00ED0E2B" w:rsidRDefault="00290D5D" w14:paraId="0384D0EE" w14:textId="709E76D6">
      <w:pPr>
        <w:spacing w:after="0" w:line="360" w:lineRule="auto"/>
        <w:rPr>
          <w:rFonts w:cs="Tahoma"/>
          <w:bCs/>
          <w:color w:val="0D0D0D" w:themeColor="text1" w:themeTint="F2"/>
        </w:rPr>
      </w:pPr>
      <w:r w:rsidRPr="00DE77AA">
        <w:rPr>
          <w:rFonts w:cs="Tahoma"/>
          <w:bCs/>
          <w:color w:val="0D0D0D" w:themeColor="text1" w:themeTint="F2"/>
        </w:rPr>
        <w:t>Al respecto</w:t>
      </w:r>
      <w:r w:rsidRPr="00DE77AA" w:rsidR="009A4018">
        <w:rPr>
          <w:rFonts w:cs="Tahoma"/>
          <w:bCs/>
          <w:color w:val="0D0D0D" w:themeColor="text1" w:themeTint="F2"/>
        </w:rPr>
        <w:t xml:space="preserve">, este Instituto localizó el Acuerdo de Cabildo del Ayuntamiento de Temoaya de la Sexagésima Sexta Sesión Ordinaria de Cabildo, del veintiséis de agosto de dos mil veinte, (consultada </w:t>
      </w:r>
      <w:r w:rsidRPr="00DE77AA" w:rsidR="00110A90">
        <w:rPr>
          <w:rFonts w:cs="Tahoma"/>
          <w:bCs/>
          <w:color w:val="0D0D0D" w:themeColor="text1" w:themeTint="F2"/>
        </w:rPr>
        <w:t xml:space="preserve">en la liga electrónica </w:t>
      </w:r>
      <w:r w:rsidRPr="00DE77AA" w:rsidR="00110A90">
        <w:rPr>
          <w:rStyle w:val="Hipervnculo"/>
          <w:rFonts w:cs="Tahoma"/>
          <w:bCs/>
        </w:rPr>
        <w:t>https://www.temoaya.gob.mx/pdf/ipomex/secretaria/gacetas/39%20GACETA%20A%C3%91O%202%20NO.%2038.pdf</w:t>
      </w:r>
      <w:r w:rsidRPr="00DE77AA" w:rsidR="00110A90">
        <w:rPr>
          <w:rFonts w:cs="Tahoma"/>
          <w:bCs/>
          <w:color w:val="0D0D0D" w:themeColor="text1" w:themeTint="F2"/>
        </w:rPr>
        <w:t>, e</w:t>
      </w:r>
      <w:r w:rsidRPr="00DE77AA" w:rsidR="009A4018">
        <w:rPr>
          <w:rFonts w:cs="Tahoma"/>
          <w:bCs/>
          <w:color w:val="0D0D0D" w:themeColor="text1" w:themeTint="F2"/>
        </w:rPr>
        <w:t>l catorce de febrero de dos mil veintitrés</w:t>
      </w:r>
      <w:r w:rsidRPr="00DE77AA" w:rsidR="00110A90">
        <w:rPr>
          <w:rFonts w:cs="Tahoma"/>
          <w:bCs/>
          <w:color w:val="0D0D0D" w:themeColor="text1" w:themeTint="F2"/>
        </w:rPr>
        <w:t>,</w:t>
      </w:r>
      <w:r w:rsidRPr="00DE77AA" w:rsidR="009A4018">
        <w:rPr>
          <w:rFonts w:cs="Tahoma"/>
          <w:bCs/>
          <w:color w:val="0D0D0D" w:themeColor="text1" w:themeTint="F2"/>
        </w:rPr>
        <w:t xml:space="preserve"> a las once horas), por medio del cual se </w:t>
      </w:r>
      <w:r w:rsidRPr="00DE77AA" w:rsidR="00B0776D">
        <w:rPr>
          <w:rFonts w:cs="Tahoma"/>
          <w:bCs/>
          <w:color w:val="0D0D0D" w:themeColor="text1" w:themeTint="F2"/>
        </w:rPr>
        <w:t>llevó a cabo la toma de protesta y entrega de nombramiento de Karla Trejo Serrano como integrante del Comité de Participación Ciudadana del Sistema Municipal Anticorrupción  del Municipio de Temoaya, de conformidad con el punto 4.1 de la Gaceta Municipal número 38</w:t>
      </w:r>
      <w:r w:rsidRPr="00DE77AA" w:rsidR="001F5790">
        <w:rPr>
          <w:rFonts w:cs="Tahoma"/>
          <w:bCs/>
          <w:color w:val="0D0D0D" w:themeColor="text1" w:themeTint="F2"/>
        </w:rPr>
        <w:t xml:space="preserve">, tal como se muestra a continuación: </w:t>
      </w:r>
    </w:p>
    <w:p w:rsidRPr="00DE77AA" w:rsidR="001F5790" w:rsidP="00ED0E2B" w:rsidRDefault="001F5790" w14:paraId="10F1969F" w14:textId="77777777">
      <w:pPr>
        <w:spacing w:after="0" w:line="360" w:lineRule="auto"/>
        <w:jc w:val="center"/>
        <w:rPr>
          <w:rFonts w:cs="Tahoma"/>
          <w:bCs/>
          <w:noProof/>
          <w:color w:val="0D0D0D" w:themeColor="text1" w:themeTint="F2"/>
        </w:rPr>
      </w:pPr>
    </w:p>
    <w:p w:rsidRPr="00DE77AA" w:rsidR="001F5790" w:rsidP="00ED0E2B" w:rsidRDefault="001F5790" w14:paraId="2A062642" w14:textId="7B3A91A0">
      <w:pPr>
        <w:spacing w:after="0" w:line="360" w:lineRule="auto"/>
        <w:jc w:val="center"/>
        <w:rPr>
          <w:rFonts w:cs="Tahoma"/>
          <w:bCs/>
          <w:color w:val="0D0D0D" w:themeColor="text1" w:themeTint="F2"/>
        </w:rPr>
      </w:pPr>
      <w:r w:rsidRPr="00DE77AA">
        <w:rPr>
          <w:rFonts w:cs="Tahoma"/>
          <w:bCs/>
          <w:noProof/>
          <w:color w:val="0D0D0D" w:themeColor="text1" w:themeTint="F2"/>
          <w:lang w:eastAsia="es-MX"/>
        </w:rPr>
        <w:drawing>
          <wp:inline distT="0" distB="0" distL="0" distR="0" wp14:anchorId="273465E7" wp14:editId="6146FBE6">
            <wp:extent cx="4651375" cy="19431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b="713"/>
                    <a:stretch/>
                  </pic:blipFill>
                  <pic:spPr bwMode="auto">
                    <a:xfrm>
                      <a:off x="0" y="0"/>
                      <a:ext cx="4651375" cy="1943100"/>
                    </a:xfrm>
                    <a:prstGeom prst="rect">
                      <a:avLst/>
                    </a:prstGeom>
                    <a:noFill/>
                    <a:ln>
                      <a:noFill/>
                    </a:ln>
                    <a:extLst>
                      <a:ext uri="{53640926-AAD7-44D8-BBD7-CCE9431645EC}">
                        <a14:shadowObscured xmlns:a14="http://schemas.microsoft.com/office/drawing/2010/main"/>
                      </a:ext>
                    </a:extLst>
                  </pic:spPr>
                </pic:pic>
              </a:graphicData>
            </a:graphic>
          </wp:inline>
        </w:drawing>
      </w:r>
    </w:p>
    <w:p w:rsidRPr="00DE77AA" w:rsidR="00110A90" w:rsidP="00ED0E2B" w:rsidRDefault="00110A90" w14:paraId="15BEB181" w14:textId="77777777">
      <w:pPr>
        <w:spacing w:after="0" w:line="360" w:lineRule="auto"/>
        <w:rPr>
          <w:rFonts w:cs="Tahoma"/>
          <w:bCs/>
          <w:color w:val="0D0D0D" w:themeColor="text1" w:themeTint="F2"/>
        </w:rPr>
      </w:pPr>
    </w:p>
    <w:p w:rsidRPr="00DE77AA" w:rsidR="000609A6" w:rsidP="00ED0E2B" w:rsidRDefault="0088130A" w14:paraId="731A256C" w14:textId="4834BE7D">
      <w:pPr>
        <w:spacing w:after="0" w:line="360" w:lineRule="auto"/>
        <w:rPr>
          <w:rFonts w:eastAsia="Calibri" w:cs="Tahoma"/>
          <w:color w:val="000000"/>
        </w:rPr>
      </w:pPr>
      <w:r w:rsidRPr="00DE77AA">
        <w:t xml:space="preserve">Conforme a lo anterior, se logra vislumbrar que la pretensión del ahora Recurrente, </w:t>
      </w:r>
      <w:r w:rsidRPr="00DE77AA" w:rsidR="00290D5D">
        <w:t xml:space="preserve">es obtener el documento donde conste el norma jurídica o administrativa </w:t>
      </w:r>
      <w:r w:rsidRPr="00DE77AA" w:rsidR="000609A6">
        <w:t xml:space="preserve">que prevea la facultad potestativa de la Contraloría Municipal, para otorgar el visto bueno para el pago de servicios </w:t>
      </w:r>
      <w:r w:rsidRPr="00DE77AA" w:rsidR="000609A6">
        <w:lastRenderedPageBreak/>
        <w:t xml:space="preserve">de los contratistas; dicha determinación, toma sustento en </w:t>
      </w:r>
      <w:r w:rsidRPr="00DE77AA">
        <w:rPr>
          <w:rFonts w:eastAsia="Calibri" w:cs="Tahoma"/>
          <w:color w:val="000000"/>
        </w:rPr>
        <w:t xml:space="preserve">el </w:t>
      </w:r>
      <w:r w:rsidRPr="00DE77AA" w:rsidR="000609A6">
        <w:rPr>
          <w:rFonts w:eastAsia="Times New Roman" w:cs="Tahoma"/>
          <w:color w:val="auto"/>
          <w:lang w:eastAsia="es-ES"/>
        </w:rPr>
        <w:t>Criterio de interpretación, con clave de control SO/016/2017, emitido por el Instituto Nacional de Transparencia, Acceso a la Información Pública y Protección de Datos Personales en el Estado de México y Municipios, que señala lo siguiente:</w:t>
      </w:r>
    </w:p>
    <w:p w:rsidRPr="00DE77AA" w:rsidR="0088130A" w:rsidP="00ED0E2B" w:rsidRDefault="0088130A" w14:paraId="38C56F9F" w14:textId="77777777">
      <w:pPr>
        <w:autoSpaceDE w:val="0"/>
        <w:autoSpaceDN w:val="0"/>
        <w:adjustRightInd w:val="0"/>
        <w:spacing w:after="0" w:line="360" w:lineRule="auto"/>
        <w:rPr>
          <w:rFonts w:eastAsia="Calibri" w:cs="Tahoma"/>
          <w:color w:val="000000"/>
        </w:rPr>
      </w:pPr>
    </w:p>
    <w:p w:rsidRPr="00DE77AA" w:rsidR="0088130A" w:rsidP="00ED0E2B" w:rsidRDefault="0088130A" w14:paraId="0957E721" w14:textId="77777777">
      <w:pPr>
        <w:autoSpaceDE w:val="0"/>
        <w:autoSpaceDN w:val="0"/>
        <w:adjustRightInd w:val="0"/>
        <w:spacing w:after="0" w:line="360" w:lineRule="auto"/>
        <w:ind w:left="567" w:right="567"/>
        <w:rPr>
          <w:rFonts w:eastAsia="Calibri" w:cs="Tahoma"/>
          <w:i/>
          <w:iCs/>
          <w:color w:val="000000"/>
          <w:sz w:val="18"/>
          <w:szCs w:val="18"/>
        </w:rPr>
      </w:pPr>
      <w:r w:rsidRPr="00DE77AA">
        <w:rPr>
          <w:rFonts w:eastAsia="Calibri" w:cs="Tahoma"/>
          <w:b/>
          <w:bCs/>
          <w:i/>
          <w:iCs/>
          <w:color w:val="000000"/>
          <w:sz w:val="20"/>
          <w:szCs w:val="20"/>
        </w:rPr>
        <w:t>“Expresión documental.</w:t>
      </w:r>
      <w:r w:rsidRPr="00DE77AA">
        <w:rPr>
          <w:rFonts w:eastAsia="Calibri" w:cs="Tahoma"/>
          <w:i/>
          <w:iCs/>
          <w:color w:val="000000"/>
          <w:sz w:val="20"/>
          <w:szCs w:val="20"/>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rsidRPr="00DE77AA" w:rsidR="0088130A" w:rsidP="00ED0E2B" w:rsidRDefault="0088130A" w14:paraId="0C4A9197" w14:textId="77777777">
      <w:pPr>
        <w:autoSpaceDE w:val="0"/>
        <w:autoSpaceDN w:val="0"/>
        <w:adjustRightInd w:val="0"/>
        <w:spacing w:after="0" w:line="360" w:lineRule="auto"/>
        <w:rPr>
          <w:rFonts w:eastAsia="Calibri" w:cs="Tahoma"/>
          <w:color w:val="000000"/>
        </w:rPr>
      </w:pPr>
    </w:p>
    <w:p w:rsidRPr="00DE77AA" w:rsidR="0088130A" w:rsidP="00ED0E2B" w:rsidRDefault="0088130A" w14:paraId="23C014F7" w14:textId="77777777">
      <w:pPr>
        <w:autoSpaceDE w:val="0"/>
        <w:autoSpaceDN w:val="0"/>
        <w:adjustRightInd w:val="0"/>
        <w:spacing w:after="0" w:line="360" w:lineRule="auto"/>
        <w:rPr>
          <w:rFonts w:eastAsia="Calibri" w:cs="Tahoma"/>
          <w:color w:val="000000"/>
        </w:rPr>
      </w:pPr>
      <w:r w:rsidRPr="00DE77AA">
        <w:rPr>
          <w:rFonts w:eastAsia="Calibri" w:cs="Tahoma"/>
          <w:color w:val="000000"/>
        </w:rPr>
        <w:t>Del criterio citado, se desprende que cuando los particulares no identifiquen de forma precisa la documentación que podría contener la información de su interés o la solicitud sea una consulta, los Sujetos Obligados deben de proporcionar la expresión documental, que dé cuenta de lo requerido.</w:t>
      </w:r>
    </w:p>
    <w:p w:rsidRPr="00DE77AA" w:rsidR="0088130A" w:rsidP="00ED0E2B" w:rsidRDefault="0088130A" w14:paraId="1AF109AC" w14:textId="77777777">
      <w:pPr>
        <w:spacing w:after="0" w:line="360" w:lineRule="auto"/>
        <w:rPr>
          <w:rFonts w:eastAsia="Times New Roman" w:cs="Tahoma"/>
          <w:bCs/>
          <w:color w:val="auto"/>
          <w:lang w:eastAsia="es-ES"/>
        </w:rPr>
      </w:pPr>
    </w:p>
    <w:p w:rsidRPr="00DE77AA" w:rsidR="000609A6" w:rsidP="00ED0E2B" w:rsidRDefault="000609A6" w14:paraId="7D618444" w14:textId="5CF21A97">
      <w:pPr>
        <w:spacing w:after="0" w:line="360" w:lineRule="auto"/>
        <w:rPr>
          <w:rFonts w:eastAsia="Times New Roman" w:cs="Tahoma"/>
          <w:color w:val="auto"/>
          <w:lang w:eastAsia="es-ES"/>
        </w:rPr>
      </w:pPr>
      <w:r w:rsidRPr="00DE77AA">
        <w:rPr>
          <w:rFonts w:cs="Tahoma"/>
          <w:bCs/>
          <w:color w:val="0D0D0D" w:themeColor="text1" w:themeTint="F2"/>
        </w:rPr>
        <w:t xml:space="preserve">Ahora bien, el Particular refirió que requería contestación de la Tesorería Municipal y la Dirección de Administración; por lo que, </w:t>
      </w:r>
      <w:r w:rsidRPr="00DE77AA">
        <w:rPr>
          <w:rFonts w:eastAsia="Times New Roman" w:cs="Tahoma"/>
          <w:color w:val="0D0D0D" w:themeColor="text1" w:themeTint="F2"/>
          <w:lang w:val="es-ES" w:eastAsia="es-ES"/>
        </w:rPr>
        <w:t xml:space="preserve">resulta necesario hacer referencia al procedimiento de búsqueda que deben de seguir los Sujetos Obligados para localizar la información, el cual se encuentra previsto en </w:t>
      </w:r>
      <w:r w:rsidRPr="00DE77AA" w:rsidR="00B4706D">
        <w:rPr>
          <w:rFonts w:eastAsia="Times New Roman" w:cs="Tahoma"/>
          <w:color w:val="0D0D0D" w:themeColor="text1" w:themeTint="F2"/>
          <w:lang w:val="es-ES" w:eastAsia="es-ES"/>
        </w:rPr>
        <w:t xml:space="preserve">el artículo </w:t>
      </w:r>
      <w:r w:rsidRPr="00DE77AA">
        <w:rPr>
          <w:rFonts w:eastAsia="Times New Roman" w:cs="Tahoma"/>
          <w:color w:val="auto"/>
          <w:lang w:eastAsia="es-ES"/>
        </w:rPr>
        <w:t xml:space="preserve">162 de la Ley de Transparencia y Acceso a la Información Pública del Estado de México y Municipios, </w:t>
      </w:r>
      <w:r w:rsidRPr="00DE77AA">
        <w:rPr>
          <w:rFonts w:eastAsia="Times New Roman" w:cs="Tahoma"/>
          <w:b/>
          <w:color w:val="auto"/>
          <w:lang w:eastAsia="es-ES"/>
        </w:rPr>
        <w:t>que establece que las áreas competentes para conocer de una solicitud de información</w:t>
      </w:r>
      <w:r w:rsidRPr="00DE77AA">
        <w:rPr>
          <w:rFonts w:eastAsia="Times New Roman" w:cs="Tahoma"/>
          <w:color w:val="auto"/>
          <w:lang w:eastAsia="es-ES"/>
        </w:rPr>
        <w:t xml:space="preserve">, deben realizar una </w:t>
      </w:r>
      <w:r w:rsidRPr="00DE77AA">
        <w:rPr>
          <w:rFonts w:eastAsia="Times New Roman" w:cs="Tahoma"/>
          <w:b/>
          <w:color w:val="auto"/>
          <w:lang w:eastAsia="es-ES"/>
        </w:rPr>
        <w:t>búsqueda exhaustiva y razonable</w:t>
      </w:r>
      <w:r w:rsidRPr="00DE77AA">
        <w:rPr>
          <w:rFonts w:eastAsia="Times New Roman" w:cs="Tahoma"/>
          <w:color w:val="auto"/>
          <w:lang w:eastAsia="es-ES"/>
        </w:rPr>
        <w:t>; así, resulta necesario determinar, que es una investigación con esas características.</w:t>
      </w:r>
    </w:p>
    <w:p w:rsidRPr="00DE77AA" w:rsidR="000609A6" w:rsidP="00ED0E2B" w:rsidRDefault="000609A6" w14:paraId="211C2E20" w14:textId="77777777">
      <w:pPr>
        <w:spacing w:after="0" w:line="360" w:lineRule="auto"/>
        <w:rPr>
          <w:rFonts w:eastAsia="Times New Roman" w:cs="Tahoma"/>
          <w:color w:val="auto"/>
          <w:lang w:eastAsia="es-ES"/>
        </w:rPr>
      </w:pPr>
    </w:p>
    <w:p w:rsidRPr="00DE77AA" w:rsidR="000609A6" w:rsidP="00ED0E2B" w:rsidRDefault="000609A6" w14:paraId="51223A32" w14:textId="5A9A0160">
      <w:pPr>
        <w:spacing w:after="0" w:line="360" w:lineRule="auto"/>
        <w:rPr>
          <w:rFonts w:eastAsia="Times New Roman" w:cs="Arial"/>
          <w:b/>
          <w:bCs/>
          <w:color w:val="auto"/>
          <w:lang w:eastAsia="es-ES"/>
        </w:rPr>
      </w:pPr>
      <w:r w:rsidRPr="00DE77AA">
        <w:rPr>
          <w:rFonts w:eastAsia="Times New Roman" w:cs="Arial"/>
          <w:bCs/>
          <w:color w:val="auto"/>
          <w:lang w:eastAsia="es-ES"/>
        </w:rPr>
        <w:t xml:space="preserve">En ese sentido, según Jarquín, Soledad (2019), en el “Diccionario de Transparencia y Acceso a la Información Pública” (p. 68), </w:t>
      </w:r>
      <w:r w:rsidRPr="00DE77AA">
        <w:rPr>
          <w:rFonts w:eastAsia="Times New Roman" w:cs="Arial"/>
          <w:b/>
          <w:bCs/>
          <w:color w:val="auto"/>
          <w:lang w:eastAsia="es-ES"/>
        </w:rPr>
        <w:t>la búsqueda exhaustiva</w:t>
      </w:r>
      <w:r w:rsidRPr="00DE77AA">
        <w:rPr>
          <w:rFonts w:eastAsia="Times New Roman" w:cs="Arial"/>
          <w:bCs/>
          <w:color w:val="auto"/>
          <w:lang w:eastAsia="es-ES"/>
        </w:rPr>
        <w:t xml:space="preserve"> es la obligación </w:t>
      </w:r>
      <w:r w:rsidRPr="00DE77AA">
        <w:rPr>
          <w:rFonts w:eastAsia="Times New Roman" w:cs="Arial"/>
          <w:b/>
          <w:bCs/>
          <w:color w:val="auto"/>
          <w:lang w:eastAsia="es-ES"/>
        </w:rPr>
        <w:t xml:space="preserve">del área </w:t>
      </w:r>
      <w:r w:rsidRPr="00DE77AA">
        <w:rPr>
          <w:rFonts w:eastAsia="Times New Roman" w:cs="Arial"/>
          <w:b/>
          <w:bCs/>
          <w:color w:val="auto"/>
          <w:lang w:eastAsia="es-ES"/>
        </w:rPr>
        <w:lastRenderedPageBreak/>
        <w:t>administrativa del Sujeto Obligado que cuenta o puede contar con la información requerida</w:t>
      </w:r>
      <w:r w:rsidRPr="00DE77AA">
        <w:rPr>
          <w:rFonts w:eastAsia="Times New Roman" w:cs="Arial"/>
          <w:bCs/>
          <w:color w:val="auto"/>
          <w:lang w:eastAsia="es-ES"/>
        </w:rPr>
        <w:t>, la cual consiste en localizar toda aquella que atienda la solicitud</w:t>
      </w:r>
      <w:r w:rsidRPr="00DE77AA" w:rsidR="00B4706D">
        <w:rPr>
          <w:rFonts w:eastAsia="Times New Roman" w:cs="Arial"/>
          <w:bCs/>
          <w:color w:val="auto"/>
          <w:lang w:eastAsia="es-ES"/>
        </w:rPr>
        <w:t>.</w:t>
      </w:r>
    </w:p>
    <w:p w:rsidRPr="00DE77AA" w:rsidR="000609A6" w:rsidP="00ED0E2B" w:rsidRDefault="000609A6" w14:paraId="291F6F53" w14:textId="77777777">
      <w:pPr>
        <w:spacing w:after="0" w:line="360" w:lineRule="auto"/>
        <w:rPr>
          <w:rFonts w:eastAsia="Times New Roman" w:cs="Arial"/>
          <w:b/>
          <w:bCs/>
          <w:color w:val="auto"/>
          <w:lang w:eastAsia="es-ES"/>
        </w:rPr>
      </w:pPr>
    </w:p>
    <w:p w:rsidRPr="00DE77AA" w:rsidR="000609A6" w:rsidP="00ED0E2B" w:rsidRDefault="000609A6" w14:paraId="183A4B94" w14:textId="19C78D2E">
      <w:pPr>
        <w:spacing w:after="0" w:line="360" w:lineRule="auto"/>
        <w:rPr>
          <w:rFonts w:eastAsia="Times New Roman" w:cs="Tahoma"/>
          <w:color w:val="auto"/>
          <w:lang w:eastAsia="es-ES"/>
        </w:rPr>
      </w:pPr>
      <w:r w:rsidRPr="00DE77AA">
        <w:rPr>
          <w:rFonts w:eastAsia="Times New Roman" w:cs="Tahoma"/>
          <w:color w:val="auto"/>
          <w:lang w:eastAsia="es-ES"/>
        </w:rPr>
        <w:t>En ese contexto, de conformidad con los criterios con</w:t>
      </w:r>
      <w:r w:rsidRPr="00DE77AA">
        <w:rPr>
          <w:rFonts w:eastAsia="Calibri" w:cs="Tahoma"/>
          <w:bCs/>
          <w:color w:val="000000"/>
          <w:lang w:val="es-ES" w:eastAsia="es-MX"/>
        </w:rPr>
        <w:t xml:space="preserve"> clave de control SO/012/2010 y SO/004/2019</w:t>
      </w:r>
      <w:r w:rsidRPr="00DE77AA">
        <w:rPr>
          <w:rFonts w:eastAsia="Times New Roman" w:cs="Tahoma"/>
          <w:color w:val="auto"/>
          <w:lang w:eastAsia="es-ES"/>
        </w:rPr>
        <w:t>, emitidos por el Instituto Nacional de Transparencia, Acceso a la Información y Protección de Datos Personales, traídos por analogía, se colige que los sujetos obligados para acreditar que se realizó una búsqueda exhaustiva y razonable, deben de proporcionar los elementos suficientes del carácter exhaustivo de la indagación realizada</w:t>
      </w:r>
      <w:r w:rsidRPr="00DE77AA" w:rsidR="00B4706D">
        <w:rPr>
          <w:rFonts w:eastAsia="Times New Roman" w:cs="Tahoma"/>
          <w:color w:val="auto"/>
          <w:lang w:eastAsia="es-ES"/>
        </w:rPr>
        <w:t>, entre las cuales</w:t>
      </w:r>
      <w:r w:rsidRPr="00DE77AA" w:rsidR="00487841">
        <w:rPr>
          <w:rFonts w:eastAsia="Times New Roman" w:cs="Tahoma"/>
          <w:color w:val="auto"/>
          <w:lang w:eastAsia="es-ES"/>
        </w:rPr>
        <w:t>, se encuentran turnar la solicitud de información, a las áreas competentes para conocer de la misma.</w:t>
      </w:r>
      <w:r w:rsidRPr="00DE77AA" w:rsidR="00B4706D">
        <w:rPr>
          <w:rFonts w:eastAsia="Times New Roman" w:cs="Tahoma"/>
          <w:color w:val="auto"/>
          <w:lang w:eastAsia="es-ES"/>
        </w:rPr>
        <w:t xml:space="preserve"> </w:t>
      </w:r>
    </w:p>
    <w:p w:rsidRPr="00DE77AA" w:rsidR="000609A6" w:rsidP="00ED0E2B" w:rsidRDefault="000609A6" w14:paraId="0F721EF9" w14:textId="77777777">
      <w:pPr>
        <w:spacing w:after="0" w:line="360" w:lineRule="auto"/>
        <w:rPr>
          <w:rFonts w:eastAsia="Times New Roman" w:cs="Tahoma"/>
          <w:color w:val="auto"/>
          <w:lang w:eastAsia="es-ES"/>
        </w:rPr>
      </w:pPr>
    </w:p>
    <w:p w:rsidRPr="00DE77AA" w:rsidR="00487841" w:rsidP="00ED0E2B" w:rsidRDefault="00487841" w14:paraId="665E6B16" w14:textId="70958E66">
      <w:pPr>
        <w:spacing w:after="0" w:line="360" w:lineRule="auto"/>
        <w:rPr>
          <w:rFonts w:cs="Tahoma"/>
          <w:bCs/>
          <w:color w:val="0D0D0D" w:themeColor="text1" w:themeTint="F2"/>
        </w:rPr>
      </w:pPr>
      <w:r w:rsidRPr="00DE77AA">
        <w:rPr>
          <w:rFonts w:cs="Tahoma"/>
          <w:bCs/>
          <w:color w:val="0D0D0D" w:themeColor="text1" w:themeTint="F2"/>
        </w:rPr>
        <w:t>Conforme a lo anterior, se considera que si bien el Particular requirió la información de determinadas áreas, lo cierto es que basta con que se pronuncien las unidades competentes y entreguen la información que obra en sus archivos; por lo que, en el presente caso, es de recordar que el Sujeto Obligado turno la solicitud de información, a la Dirección de Administración y Desarrollo de Personal y Contraloría Municipal.</w:t>
      </w:r>
    </w:p>
    <w:p w:rsidRPr="00DE77AA" w:rsidR="00487841" w:rsidP="00ED0E2B" w:rsidRDefault="00487841" w14:paraId="519387A4" w14:textId="77777777">
      <w:pPr>
        <w:spacing w:after="0" w:line="360" w:lineRule="auto"/>
        <w:rPr>
          <w:rFonts w:cs="Tahoma"/>
          <w:bCs/>
          <w:color w:val="0D0D0D" w:themeColor="text1" w:themeTint="F2"/>
        </w:rPr>
      </w:pPr>
    </w:p>
    <w:p w:rsidRPr="00DE77AA" w:rsidR="00487841" w:rsidP="00ED0E2B" w:rsidRDefault="00487841" w14:paraId="360A568E" w14:textId="7FEE57EB">
      <w:pPr>
        <w:spacing w:after="0" w:line="360" w:lineRule="auto"/>
        <w:rPr>
          <w:rFonts w:cs="Tahoma"/>
          <w:bCs/>
          <w:color w:val="0D0D0D" w:themeColor="text1" w:themeTint="F2"/>
        </w:rPr>
      </w:pPr>
      <w:r w:rsidRPr="00DE77AA">
        <w:rPr>
          <w:rFonts w:cs="Tahoma"/>
          <w:bCs/>
          <w:color w:val="0D0D0D" w:themeColor="text1" w:themeTint="F2"/>
        </w:rPr>
        <w:t>En ese contexto, es necesario precisar que conforme al artículo 48</w:t>
      </w:r>
      <w:r w:rsidRPr="00DE77AA" w:rsidR="00096F12">
        <w:rPr>
          <w:rFonts w:cs="Tahoma"/>
          <w:bCs/>
          <w:color w:val="0D0D0D" w:themeColor="text1" w:themeTint="F2"/>
        </w:rPr>
        <w:t>, numerales 4 y 9, del Bando Municipal de Temoaya, dos mil veintidós, precisan que el Sujeto Obligado cuenta con diversas unidades administrativas, para el ejercicio de sus funciones, entre las cuales se encuentra la Dirección de Administración y Desarrollo de Personal (Área contratante) y la Contraloría Municipal (unidad administrativa solicitante o usuaria).</w:t>
      </w:r>
    </w:p>
    <w:p w:rsidRPr="00DE77AA" w:rsidR="00110A90" w:rsidP="00ED0E2B" w:rsidRDefault="00110A90" w14:paraId="789FE0C9" w14:textId="77777777">
      <w:pPr>
        <w:spacing w:after="0" w:line="360" w:lineRule="auto"/>
        <w:rPr>
          <w:rFonts w:cs="Tahoma"/>
          <w:bCs/>
          <w:color w:val="0D0D0D" w:themeColor="text1" w:themeTint="F2"/>
        </w:rPr>
      </w:pPr>
    </w:p>
    <w:p w:rsidRPr="00DE77AA" w:rsidR="00110A90" w:rsidP="00ED0E2B" w:rsidRDefault="00096F12" w14:paraId="287F7987" w14:textId="103E9172">
      <w:pPr>
        <w:spacing w:after="0" w:line="360" w:lineRule="auto"/>
        <w:rPr>
          <w:rFonts w:cs="Tahoma"/>
          <w:bCs/>
          <w:color w:val="0D0D0D" w:themeColor="text1" w:themeTint="F2"/>
        </w:rPr>
      </w:pPr>
      <w:r w:rsidRPr="00DE77AA">
        <w:rPr>
          <w:rFonts w:cs="Tahoma"/>
          <w:bCs/>
          <w:color w:val="0D0D0D" w:themeColor="text1" w:themeTint="F2"/>
        </w:rPr>
        <w:t xml:space="preserve">En ese orden de ideas, </w:t>
      </w:r>
      <w:r w:rsidRPr="00DE77AA" w:rsidR="00B4209C">
        <w:rPr>
          <w:rFonts w:cs="Tahoma"/>
          <w:bCs/>
          <w:color w:val="0D0D0D" w:themeColor="text1" w:themeTint="F2"/>
        </w:rPr>
        <w:t>de la revisión de los artículos 2°, fracci</w:t>
      </w:r>
      <w:r w:rsidRPr="00DE77AA" w:rsidR="00320419">
        <w:rPr>
          <w:rFonts w:cs="Tahoma"/>
          <w:bCs/>
          <w:color w:val="0D0D0D" w:themeColor="text1" w:themeTint="F2"/>
        </w:rPr>
        <w:t>o</w:t>
      </w:r>
      <w:r w:rsidRPr="00DE77AA" w:rsidR="00B4209C">
        <w:rPr>
          <w:rFonts w:cs="Tahoma"/>
          <w:bCs/>
          <w:color w:val="0D0D0D" w:themeColor="text1" w:themeTint="F2"/>
        </w:rPr>
        <w:t>n</w:t>
      </w:r>
      <w:r w:rsidRPr="00DE77AA" w:rsidR="00320419">
        <w:rPr>
          <w:rFonts w:cs="Tahoma"/>
          <w:bCs/>
          <w:color w:val="0D0D0D" w:themeColor="text1" w:themeTint="F2"/>
        </w:rPr>
        <w:t>es</w:t>
      </w:r>
      <w:r w:rsidRPr="00DE77AA" w:rsidR="00B4209C">
        <w:rPr>
          <w:rFonts w:cs="Tahoma"/>
          <w:bCs/>
          <w:color w:val="0D0D0D" w:themeColor="text1" w:themeTint="F2"/>
        </w:rPr>
        <w:t xml:space="preserve"> VI</w:t>
      </w:r>
      <w:r w:rsidRPr="00DE77AA" w:rsidR="00320419">
        <w:rPr>
          <w:rFonts w:cs="Tahoma"/>
          <w:bCs/>
          <w:color w:val="0D0D0D" w:themeColor="text1" w:themeTint="F2"/>
        </w:rPr>
        <w:t xml:space="preserve"> y VII,</w:t>
      </w:r>
      <w:r w:rsidRPr="00DE77AA" w:rsidR="00B4209C">
        <w:rPr>
          <w:rFonts w:cs="Tahoma"/>
          <w:bCs/>
          <w:color w:val="0D0D0D" w:themeColor="text1" w:themeTint="F2"/>
        </w:rPr>
        <w:t xml:space="preserve"> y 68 del Reglamento de la Ley de Contratación Pública del Estado de México y Municipios, </w:t>
      </w:r>
      <w:r w:rsidRPr="00DE77AA" w:rsidR="00320419">
        <w:rPr>
          <w:rFonts w:cs="Tahoma"/>
          <w:bCs/>
          <w:color w:val="0D0D0D" w:themeColor="text1" w:themeTint="F2"/>
        </w:rPr>
        <w:t xml:space="preserve">establecen que el área contratante es aquella que celebra un contrato con un prestador de servicios que haya resultado </w:t>
      </w:r>
      <w:r w:rsidRPr="00DE77AA" w:rsidR="00320419">
        <w:rPr>
          <w:rFonts w:cs="Tahoma"/>
          <w:bCs/>
          <w:color w:val="0D0D0D" w:themeColor="text1" w:themeTint="F2"/>
        </w:rPr>
        <w:lastRenderedPageBreak/>
        <w:t xml:space="preserve">adjudicado en un procedimiento licitatorio; mientras que el área solicitante es aquella que requiere la contratación de servicios. </w:t>
      </w:r>
    </w:p>
    <w:p w:rsidRPr="00DE77AA" w:rsidR="00B4209C" w:rsidP="00ED0E2B" w:rsidRDefault="00B4209C" w14:paraId="2B60E5CF" w14:textId="77777777">
      <w:pPr>
        <w:spacing w:after="0" w:line="360" w:lineRule="auto"/>
        <w:rPr>
          <w:rFonts w:cs="Tahoma"/>
          <w:bCs/>
          <w:color w:val="0D0D0D" w:themeColor="text1" w:themeTint="F2"/>
        </w:rPr>
      </w:pPr>
    </w:p>
    <w:p w:rsidRPr="00DE77AA" w:rsidR="000A2BC9" w:rsidP="00ED0E2B" w:rsidRDefault="00AF1FB6" w14:paraId="131E036B" w14:textId="77777777">
      <w:pPr>
        <w:spacing w:after="0" w:line="360" w:lineRule="auto"/>
        <w:rPr>
          <w:rFonts w:eastAsia="Times New Roman" w:cs="Tahoma"/>
          <w:bCs/>
          <w:iCs/>
          <w:color w:val="auto"/>
          <w:lang w:eastAsia="es-ES"/>
        </w:rPr>
      </w:pPr>
      <w:r w:rsidRPr="00DE77AA">
        <w:t>En ese orden de ideas, la Contraloría Municipal precisó que era el área</w:t>
      </w:r>
      <w:r w:rsidRPr="00DE77AA" w:rsidR="002A4C09">
        <w:t xml:space="preserve"> usuaria</w:t>
      </w:r>
      <w:r w:rsidRPr="00DE77AA">
        <w:t xml:space="preserve">; mientras que la Dirección de Administración y Desarrollo de Personal, indicó que era el </w:t>
      </w:r>
      <w:r w:rsidRPr="00DE77AA" w:rsidR="002A4C09">
        <w:t>área contratante; s</w:t>
      </w:r>
      <w:r w:rsidRPr="00DE77AA">
        <w:rPr>
          <w:rFonts w:eastAsia="Times New Roman" w:cs="Times New Roman"/>
          <w:iCs/>
          <w:color w:val="auto"/>
          <w:szCs w:val="20"/>
          <w:lang w:eastAsia="es-ES"/>
        </w:rPr>
        <w:t>obre lo anterior, cabe precisar</w:t>
      </w:r>
      <w:r w:rsidRPr="00DE77AA">
        <w:rPr>
          <w:rFonts w:eastAsia="Times New Roman" w:cs="Tahoma"/>
          <w:bCs/>
          <w:iCs/>
          <w:color w:val="auto"/>
          <w:lang w:eastAsia="es-ES"/>
        </w:rPr>
        <w:t xml:space="preserve"> que este Instituto, no tiene atribuciones para pronunciarse sobre la veracidad de la información. </w:t>
      </w:r>
    </w:p>
    <w:p w:rsidRPr="00DE77AA" w:rsidR="000A2BC9" w:rsidP="00ED0E2B" w:rsidRDefault="000A2BC9" w14:paraId="2208B130" w14:textId="77777777">
      <w:pPr>
        <w:spacing w:after="0" w:line="360" w:lineRule="auto"/>
        <w:rPr>
          <w:rFonts w:eastAsia="Times New Roman" w:cs="Tahoma"/>
          <w:bCs/>
          <w:iCs/>
          <w:color w:val="auto"/>
          <w:lang w:eastAsia="es-ES"/>
        </w:rPr>
      </w:pPr>
    </w:p>
    <w:p w:rsidRPr="00DE77AA" w:rsidR="00AF1FB6" w:rsidP="00ED0E2B" w:rsidRDefault="00AF1FB6" w14:paraId="6830E5E9" w14:textId="0175DF6B">
      <w:pPr>
        <w:spacing w:after="0" w:line="360" w:lineRule="auto"/>
        <w:rPr>
          <w:rFonts w:eastAsia="Times New Roman" w:cs="Tahoma"/>
          <w:bCs/>
          <w:iCs/>
          <w:color w:val="auto"/>
          <w:lang w:eastAsia="es-ES"/>
        </w:rPr>
      </w:pPr>
      <w:r w:rsidRPr="00DE77AA">
        <w:rPr>
          <w:rFonts w:eastAsia="Times New Roman" w:cs="Tahoma"/>
          <w:bCs/>
          <w:iCs/>
          <w:color w:val="auto"/>
          <w:lang w:eastAsia="es-ES"/>
        </w:rPr>
        <w:t xml:space="preserve">Apoya lo anterior, el </w:t>
      </w:r>
      <w:r w:rsidRPr="00DE77AA">
        <w:rPr>
          <w:rFonts w:eastAsia="Calibri" w:cs="Tahoma"/>
          <w:bCs/>
          <w:color w:val="auto"/>
          <w:lang w:val="es-ES"/>
        </w:rPr>
        <w:t xml:space="preserve">Criterio de Interpretación, de la Primera Época, con número de registro </w:t>
      </w:r>
      <w:r w:rsidRPr="00DE77AA">
        <w:rPr>
          <w:rFonts w:eastAsia="Calibri" w:cs="Tahoma"/>
          <w:bCs/>
          <w:color w:val="auto"/>
        </w:rPr>
        <w:t>SO/031/2010,</w:t>
      </w:r>
      <w:r w:rsidRPr="00DE77AA">
        <w:rPr>
          <w:rFonts w:eastAsia="Times New Roman" w:cs="Tahoma"/>
          <w:bCs/>
          <w:iCs/>
          <w:color w:val="auto"/>
          <w:lang w:eastAsia="es-ES"/>
        </w:rPr>
        <w:t xml:space="preserve"> emitido por el Pleno del entonces Instituto Federal de Acceso a la Información y Protección de Datos, que a continuación se cita:</w:t>
      </w:r>
    </w:p>
    <w:p w:rsidRPr="00DE77AA" w:rsidR="00AF1FB6" w:rsidP="00ED0E2B" w:rsidRDefault="00AF1FB6" w14:paraId="36F11B53" w14:textId="77777777">
      <w:pPr>
        <w:spacing w:after="0" w:line="360" w:lineRule="auto"/>
        <w:rPr>
          <w:rFonts w:eastAsia="Times New Roman" w:cs="Tahoma"/>
          <w:bCs/>
          <w:iCs/>
          <w:color w:val="auto"/>
          <w:lang w:eastAsia="es-ES"/>
        </w:rPr>
      </w:pPr>
    </w:p>
    <w:p w:rsidRPr="00DE77AA" w:rsidR="00AF1FB6" w:rsidP="00ED0E2B" w:rsidRDefault="00AF1FB6" w14:paraId="5AB20668" w14:textId="77777777">
      <w:pPr>
        <w:spacing w:after="0" w:line="360" w:lineRule="auto"/>
        <w:ind w:left="567" w:right="567"/>
        <w:rPr>
          <w:rFonts w:eastAsia="Times New Roman" w:cs="Tahoma"/>
          <w:bCs/>
          <w:i/>
          <w:iCs/>
          <w:color w:val="auto"/>
          <w:sz w:val="20"/>
          <w:szCs w:val="20"/>
          <w:lang w:eastAsia="es-ES"/>
        </w:rPr>
      </w:pPr>
      <w:r w:rsidRPr="00DE77AA">
        <w:rPr>
          <w:rFonts w:eastAsia="Times New Roman" w:cs="Tahoma"/>
          <w:b/>
          <w:i/>
          <w:iCs/>
          <w:color w:val="auto"/>
          <w:sz w:val="20"/>
          <w:szCs w:val="20"/>
          <w:lang w:eastAsia="es-ES"/>
        </w:rPr>
        <w:t>“El Instituto Federal de Acceso a la Información y Protección de Datos no cuenta con facultades para pronunciarse respecto de la veracidad de los documentos proporcionados por los sujetos obligados.</w:t>
      </w:r>
      <w:r w:rsidRPr="00DE77AA">
        <w:rPr>
          <w:rFonts w:eastAsia="Times New Roman" w:cs="Tahoma"/>
          <w:bCs/>
          <w:i/>
          <w:iCs/>
          <w:color w:val="auto"/>
          <w:sz w:val="20"/>
          <w:szCs w:val="20"/>
          <w:lang w:eastAsia="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Pr="00DE77AA" w:rsidR="00AF1FB6" w:rsidP="00ED0E2B" w:rsidRDefault="00AF1FB6" w14:paraId="7C1CC63D" w14:textId="77777777">
      <w:pPr>
        <w:spacing w:after="0" w:line="360" w:lineRule="auto"/>
      </w:pPr>
    </w:p>
    <w:p w:rsidRPr="00DE77AA" w:rsidR="002A4C09" w:rsidP="00ED0E2B" w:rsidRDefault="00AF1FB6" w14:paraId="71D72E34" w14:textId="77777777">
      <w:pPr>
        <w:spacing w:after="0" w:line="360" w:lineRule="auto"/>
      </w:pPr>
      <w:r w:rsidRPr="00DE77AA">
        <w:t>Conforme a lo anterior, se logra vislumbrar que en el presente caso</w:t>
      </w:r>
      <w:r w:rsidRPr="00DE77AA" w:rsidR="002A4C09">
        <w:t xml:space="preserve">, el Sujeto Obligado turno la solicitud de información, a las unidades administrativas competentes para conocer de lo </w:t>
      </w:r>
      <w:r w:rsidRPr="00DE77AA" w:rsidR="002A4C09">
        <w:lastRenderedPageBreak/>
        <w:t>requerido, pues corresponden al área contratante y usuaria de un procedimiento de contratación de servicios profesionales; ahora bien, dichas áreas precisaron lo siguiente:</w:t>
      </w:r>
    </w:p>
    <w:p w:rsidRPr="00DE77AA" w:rsidR="000A2BC9" w:rsidP="00ED0E2B" w:rsidRDefault="000A2BC9" w14:paraId="02BFCCBC" w14:textId="77777777">
      <w:pPr>
        <w:spacing w:after="0" w:line="360" w:lineRule="auto"/>
      </w:pPr>
    </w:p>
    <w:p w:rsidRPr="00DE77AA" w:rsidR="0088130A" w:rsidP="00ED0E2B" w:rsidRDefault="002A4C09" w14:paraId="4BFCBABC" w14:textId="2A9D215E">
      <w:pPr>
        <w:pStyle w:val="Prrafodelista"/>
        <w:numPr>
          <w:ilvl w:val="0"/>
          <w:numId w:val="24"/>
        </w:numPr>
        <w:spacing w:line="360" w:lineRule="auto"/>
        <w:jc w:val="both"/>
        <w:rPr>
          <w:rFonts w:ascii="Palatino Linotype" w:hAnsi="Palatino Linotype" w:eastAsia="Calibri" w:cs="Tahoma"/>
          <w:b/>
          <w:bCs/>
          <w:iCs/>
          <w:lang w:val="es-ES"/>
        </w:rPr>
      </w:pPr>
      <w:r w:rsidRPr="00DE77AA">
        <w:rPr>
          <w:rFonts w:ascii="Palatino Linotype" w:hAnsi="Palatino Linotype" w:eastAsia="Calibri" w:cs="Tahoma"/>
          <w:b/>
          <w:bCs/>
          <w:iCs/>
          <w:lang w:val="es-ES"/>
        </w:rPr>
        <w:t xml:space="preserve">Contraloría Municipal: </w:t>
      </w:r>
      <w:r w:rsidRPr="00DE77AA">
        <w:rPr>
          <w:rFonts w:ascii="Palatino Linotype" w:hAnsi="Palatino Linotype" w:eastAsia="Calibri" w:cs="Tahoma"/>
          <w:bCs/>
          <w:iCs/>
          <w:lang w:val="es-ES"/>
        </w:rPr>
        <w:t>Que al ser el área usuaria, validaba el pago de los integrantes del Comité de Participación Ciudadana del Sistema Municipal Anticorrupción de Temoaya, toda vez que la erogación se realizaba del presupuesto asignado a la Contraloría.</w:t>
      </w:r>
    </w:p>
    <w:p w:rsidRPr="00DE77AA" w:rsidR="002A4C09" w:rsidP="00ED0E2B" w:rsidRDefault="002A4C09" w14:paraId="0BC395D5" w14:textId="77777777">
      <w:pPr>
        <w:pStyle w:val="Prrafodelista"/>
        <w:spacing w:line="360" w:lineRule="auto"/>
        <w:ind w:left="780"/>
        <w:rPr>
          <w:rFonts w:ascii="Palatino Linotype" w:hAnsi="Palatino Linotype" w:eastAsia="Calibri" w:cs="Tahoma"/>
          <w:b/>
          <w:bCs/>
          <w:iCs/>
          <w:lang w:val="es-ES"/>
        </w:rPr>
      </w:pPr>
    </w:p>
    <w:p w:rsidRPr="00DE77AA" w:rsidR="002A4C09" w:rsidP="00ED0E2B" w:rsidRDefault="002A4C09" w14:paraId="589C57BC" w14:textId="26B7D224">
      <w:pPr>
        <w:pStyle w:val="Prrafodelista"/>
        <w:numPr>
          <w:ilvl w:val="0"/>
          <w:numId w:val="24"/>
        </w:numPr>
        <w:spacing w:line="360" w:lineRule="auto"/>
        <w:jc w:val="both"/>
        <w:rPr>
          <w:rFonts w:ascii="Palatino Linotype" w:hAnsi="Palatino Linotype" w:eastAsia="Calibri" w:cs="Tahoma"/>
          <w:b/>
          <w:bCs/>
          <w:iCs/>
          <w:lang w:val="es-ES"/>
        </w:rPr>
      </w:pPr>
      <w:r w:rsidRPr="00DE77AA">
        <w:rPr>
          <w:rFonts w:ascii="Palatino Linotype" w:hAnsi="Palatino Linotype" w:eastAsia="Calibri" w:cs="Tahoma"/>
          <w:b/>
          <w:bCs/>
          <w:iCs/>
          <w:lang w:val="es-ES"/>
        </w:rPr>
        <w:t xml:space="preserve">Dirección de Administración y Desarrollo de Personal: </w:t>
      </w:r>
      <w:r w:rsidRPr="00DE77AA">
        <w:rPr>
          <w:rFonts w:ascii="Palatino Linotype" w:hAnsi="Palatino Linotype" w:eastAsia="Calibri" w:cs="Tahoma"/>
          <w:bCs/>
          <w:iCs/>
          <w:lang w:val="es-ES"/>
        </w:rPr>
        <w:t>Que al ser el área contratante, solicitaba y requería la firma del área usuaria para proceder a solicitar el pago correspondiente a la Tesorería Municipal.</w:t>
      </w:r>
    </w:p>
    <w:p w:rsidRPr="00DE77AA" w:rsidR="0088130A" w:rsidP="00ED0E2B" w:rsidRDefault="0088130A" w14:paraId="3994A194" w14:textId="77777777">
      <w:pPr>
        <w:spacing w:after="0" w:line="360" w:lineRule="auto"/>
        <w:rPr>
          <w:rFonts w:eastAsia="Calibri" w:cs="Tahoma"/>
          <w:bCs/>
          <w:iCs/>
          <w:lang w:val="es-ES"/>
        </w:rPr>
      </w:pPr>
    </w:p>
    <w:p w:rsidRPr="00DE77AA" w:rsidR="002A4C09" w:rsidP="00ED0E2B" w:rsidRDefault="002A4C09" w14:paraId="6915CBDE" w14:textId="236481CD">
      <w:pPr>
        <w:spacing w:after="0" w:line="360" w:lineRule="auto"/>
        <w:rPr>
          <w:rFonts w:eastAsia="Calibri" w:cs="Tahoma"/>
          <w:bCs/>
          <w:iCs/>
          <w:lang w:val="es-ES"/>
        </w:rPr>
      </w:pPr>
      <w:r w:rsidRPr="00DE77AA">
        <w:rPr>
          <w:rFonts w:eastAsia="Calibri" w:cs="Tahoma"/>
          <w:bCs/>
          <w:iCs/>
          <w:lang w:val="es-ES"/>
        </w:rPr>
        <w:t>Además, dicha situación la sustentaron en el artículo 70 de la Ley de Contratación Pública del Estado de México y Municipios, que precisa que el área usuaria deberá verificar e informar a</w:t>
      </w:r>
      <w:r w:rsidRPr="00DE77AA" w:rsidR="00ED0E2B">
        <w:rPr>
          <w:rFonts w:eastAsia="Calibri" w:cs="Tahoma"/>
          <w:bCs/>
          <w:iCs/>
          <w:lang w:val="es-ES"/>
        </w:rPr>
        <w:t xml:space="preserve"> la contratante que el prestador de servicios cumpla con los servicios en las condiciones pactadas, tal como se muestra a continuación:</w:t>
      </w:r>
    </w:p>
    <w:p w:rsidRPr="00DE77AA" w:rsidR="00ED0E2B" w:rsidP="00ED0E2B" w:rsidRDefault="00ED0E2B" w14:paraId="2FDC063F" w14:textId="77777777">
      <w:pPr>
        <w:spacing w:after="0" w:line="360" w:lineRule="auto"/>
        <w:rPr>
          <w:rFonts w:eastAsia="Calibri" w:cs="Tahoma"/>
          <w:bCs/>
          <w:iCs/>
          <w:lang w:val="es-ES"/>
        </w:rPr>
      </w:pPr>
    </w:p>
    <w:p w:rsidRPr="00DE77AA" w:rsidR="00ED0E2B" w:rsidP="00ED0E2B" w:rsidRDefault="00ED0E2B" w14:paraId="26D5D8AA" w14:textId="74E5C17B">
      <w:pPr>
        <w:spacing w:after="0" w:line="360" w:lineRule="auto"/>
        <w:ind w:left="567" w:right="567"/>
        <w:rPr>
          <w:rFonts w:eastAsia="Calibri" w:cs="Tahoma"/>
          <w:bCs/>
          <w:i/>
          <w:iCs/>
          <w:sz w:val="20"/>
          <w:lang w:val="es-ES"/>
        </w:rPr>
      </w:pPr>
      <w:r w:rsidRPr="00DE77AA">
        <w:rPr>
          <w:rFonts w:eastAsia="Calibri" w:cs="Tahoma"/>
          <w:b/>
          <w:bCs/>
          <w:i/>
          <w:iCs/>
          <w:sz w:val="20"/>
          <w:lang w:val="es-ES"/>
        </w:rPr>
        <w:t>“</w:t>
      </w:r>
      <w:r w:rsidRPr="00DE77AA">
        <w:rPr>
          <w:rFonts w:eastAsia="Calibri" w:cs="Tahoma"/>
          <w:b/>
          <w:bCs/>
          <w:i/>
          <w:iCs/>
          <w:sz w:val="20"/>
        </w:rPr>
        <w:t>Artículo 70.-</w:t>
      </w:r>
      <w:r w:rsidRPr="00DE77AA">
        <w:rPr>
          <w:rFonts w:eastAsia="Calibri" w:cs="Tahoma"/>
          <w:bCs/>
          <w:i/>
          <w:iCs/>
          <w:sz w:val="20"/>
        </w:rPr>
        <w:t xml:space="preserve"> El área usuaria deberá verificar e informar a la contratante que el proveedor o prestador de servicios cumpla con la entrega de los bienes o servicios en las condiciones pactadas. Podrá recibir bienes o servicios que superen o mejoren las especificaciones estipuladas, siempre que se respete el precio de los contratados.”</w:t>
      </w:r>
    </w:p>
    <w:p w:rsidRPr="00DE77AA" w:rsidR="00ED0E2B" w:rsidP="00ED0E2B" w:rsidRDefault="00ED0E2B" w14:paraId="2D3C6FB7" w14:textId="77777777">
      <w:pPr>
        <w:spacing w:after="0" w:line="360" w:lineRule="auto"/>
        <w:rPr>
          <w:rFonts w:eastAsia="Calibri" w:cs="Tahoma"/>
          <w:bCs/>
          <w:iCs/>
          <w:lang w:val="es-ES"/>
        </w:rPr>
      </w:pPr>
    </w:p>
    <w:p w:rsidRPr="00DE77AA" w:rsidR="00ED0E2B" w:rsidP="00ED0E2B" w:rsidRDefault="00ED0E2B" w14:paraId="029685D8" w14:textId="7AA27FAA">
      <w:pPr>
        <w:spacing w:after="0" w:line="360" w:lineRule="auto"/>
        <w:rPr>
          <w:rFonts w:eastAsia="Calibri" w:cs="Tahoma"/>
          <w:bCs/>
          <w:iCs/>
          <w:lang w:val="es-ES"/>
        </w:rPr>
      </w:pPr>
      <w:r w:rsidRPr="00DE77AA">
        <w:rPr>
          <w:rFonts w:eastAsia="Calibri" w:cs="Tahoma"/>
          <w:bCs/>
          <w:iCs/>
          <w:lang w:val="es-ES"/>
        </w:rPr>
        <w:t>Conforme a dicho artículo, se logra vislumbrar que las unidades administrativas usuarias deben de informar a las unidades contratantes, sobre el cumplimiento o incumplimiento a las condiciones, características y especificaciones técnicas pactadas, para realizar el pago correspondiente.</w:t>
      </w:r>
    </w:p>
    <w:p w:rsidRPr="00DE77AA" w:rsidR="00ED0E2B" w:rsidP="00ED0E2B" w:rsidRDefault="00ED0E2B" w14:paraId="47089937" w14:textId="24193C29">
      <w:pPr>
        <w:spacing w:after="0" w:line="360" w:lineRule="auto"/>
        <w:rPr>
          <w:rFonts w:eastAsia="Calibri" w:cs="Tahoma"/>
          <w:bCs/>
          <w:iCs/>
          <w:lang w:val="es-ES"/>
        </w:rPr>
      </w:pPr>
    </w:p>
    <w:p w:rsidRPr="00DE77AA" w:rsidR="000A2BC9" w:rsidP="00ED0E2B" w:rsidRDefault="000A2BC9" w14:paraId="42824373" w14:textId="77777777">
      <w:pPr>
        <w:spacing w:after="0" w:line="360" w:lineRule="auto"/>
        <w:rPr>
          <w:rFonts w:eastAsia="Calibri" w:cs="Tahoma"/>
          <w:bCs/>
          <w:iCs/>
          <w:lang w:val="es-ES"/>
        </w:rPr>
      </w:pPr>
    </w:p>
    <w:p w:rsidRPr="00DE77AA" w:rsidR="00386B94" w:rsidP="00ED0E2B" w:rsidRDefault="00ED0E2B" w14:paraId="379EBA70" w14:textId="3FEFB219">
      <w:pPr>
        <w:spacing w:after="0" w:line="360" w:lineRule="auto"/>
        <w:rPr>
          <w:rFonts w:eastAsia="Calibri" w:cs="Tahoma"/>
          <w:bCs/>
          <w:iCs/>
        </w:rPr>
      </w:pPr>
      <w:r w:rsidRPr="00DE77AA">
        <w:rPr>
          <w:rFonts w:eastAsia="Calibri" w:cs="Tahoma"/>
          <w:bCs/>
          <w:iCs/>
          <w:lang w:val="es-ES"/>
        </w:rPr>
        <w:t>Conforme a lo anterior, se logra vislumbrar que las áreas competentes,</w:t>
      </w:r>
      <w:r w:rsidRPr="00DE77AA" w:rsidR="000A2BC9">
        <w:rPr>
          <w:rFonts w:eastAsia="Calibri" w:cs="Tahoma"/>
          <w:bCs/>
          <w:iCs/>
          <w:lang w:val="es-ES"/>
        </w:rPr>
        <w:t xml:space="preserve"> por una parte,</w:t>
      </w:r>
      <w:r w:rsidRPr="00DE77AA">
        <w:rPr>
          <w:rFonts w:eastAsia="Calibri" w:cs="Tahoma"/>
          <w:bCs/>
          <w:iCs/>
          <w:lang w:val="es-ES"/>
        </w:rPr>
        <w:t xml:space="preserve"> precisaron las razones por las cuales las Contraloría Municipal contaba con la facultad de dar el visto bueno, para el pago de un contrato de prestación de servicios,</w:t>
      </w:r>
      <w:r w:rsidRPr="00DE77AA" w:rsidR="000A2BC9">
        <w:rPr>
          <w:rFonts w:eastAsia="Calibri" w:cs="Tahoma"/>
          <w:bCs/>
          <w:iCs/>
          <w:lang w:val="es-ES"/>
        </w:rPr>
        <w:t xml:space="preserve"> a saber, al ser el área usuaria y por otra, proporcionaron el artículo que daba dicha atribución, tal como obraba en sus archivos;</w:t>
      </w:r>
      <w:r w:rsidRPr="00DE77AA" w:rsidR="00386B94">
        <w:rPr>
          <w:rFonts w:eastAsia="Calibri" w:cs="Tahoma"/>
        </w:rPr>
        <w:t xml:space="preserve"> </w:t>
      </w:r>
      <w:r w:rsidRPr="00DE77AA" w:rsidR="002C5748">
        <w:rPr>
          <w:rFonts w:eastAsia="Calibri" w:cs="Tahoma"/>
          <w:bCs/>
          <w:iCs/>
          <w:lang w:val="es-ES"/>
        </w:rPr>
        <w:t>dicha</w:t>
      </w:r>
      <w:r w:rsidRPr="00DE77AA" w:rsidR="006C2940">
        <w:rPr>
          <w:rFonts w:eastAsia="Calibri" w:cs="Tahoma"/>
          <w:bCs/>
          <w:iCs/>
          <w:lang w:val="es-ES"/>
        </w:rPr>
        <w:t xml:space="preserve"> </w:t>
      </w:r>
      <w:r w:rsidRPr="00DE77AA" w:rsidR="00386B94">
        <w:rPr>
          <w:rFonts w:eastAsia="Calibri" w:cs="Tahoma"/>
          <w:bCs/>
          <w:iCs/>
          <w:lang w:val="es-ES"/>
        </w:rPr>
        <w:t xml:space="preserve">determinación toma relevancia, pues </w:t>
      </w:r>
      <w:r w:rsidRPr="00DE77AA" w:rsidR="00386B94">
        <w:rPr>
          <w:rFonts w:eastAsia="Calibri" w:cs="Tahoma"/>
          <w:bCs/>
          <w:iCs/>
        </w:rPr>
        <w:t>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rsidRPr="00DE77AA" w:rsidR="00386B94" w:rsidP="00ED0E2B" w:rsidRDefault="00386B94" w14:paraId="5F6333E3" w14:textId="77777777">
      <w:pPr>
        <w:spacing w:after="0" w:line="360" w:lineRule="auto"/>
        <w:rPr>
          <w:rFonts w:eastAsia="Calibri" w:cs="Tahoma"/>
          <w:bCs/>
        </w:rPr>
      </w:pPr>
    </w:p>
    <w:p w:rsidRPr="00DE77AA" w:rsidR="00386B94" w:rsidP="00ED0E2B" w:rsidRDefault="00386B94" w14:paraId="7BCA6DB1" w14:textId="77777777">
      <w:pPr>
        <w:spacing w:after="0" w:line="360" w:lineRule="auto"/>
        <w:rPr>
          <w:rFonts w:cs="Tahoma"/>
          <w:szCs w:val="24"/>
          <w:lang w:val="es-ES"/>
        </w:rPr>
      </w:pPr>
      <w:r w:rsidRPr="00DE77AA">
        <w:rPr>
          <w:rFonts w:cs="Tahoma"/>
          <w:szCs w:val="24"/>
          <w:lang w:val="es-ES"/>
        </w:rPr>
        <w:t xml:space="preserve">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 </w:t>
      </w:r>
    </w:p>
    <w:p w:rsidRPr="00DE77AA" w:rsidR="00386B94" w:rsidP="00ED0E2B" w:rsidRDefault="00386B94" w14:paraId="1FDF2487" w14:textId="77777777">
      <w:pPr>
        <w:spacing w:after="0" w:line="360" w:lineRule="auto"/>
        <w:rPr>
          <w:rFonts w:cs="Tahoma"/>
          <w:i/>
          <w:iCs/>
          <w:lang w:val="es-ES"/>
        </w:rPr>
      </w:pPr>
    </w:p>
    <w:p w:rsidRPr="00DE77AA" w:rsidR="00386B94" w:rsidP="00ED0E2B" w:rsidRDefault="00386B94" w14:paraId="4E890105" w14:textId="29C05C4F">
      <w:pPr>
        <w:spacing w:after="0" w:line="360" w:lineRule="auto"/>
        <w:rPr>
          <w:rFonts w:cs="Tahoma"/>
          <w:szCs w:val="24"/>
          <w:lang w:val="es-ES"/>
        </w:rPr>
      </w:pPr>
      <w:r w:rsidRPr="00DE77AA">
        <w:rPr>
          <w:rFonts w:cs="Tahoma"/>
          <w:szCs w:val="24"/>
          <w:lang w:val="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w:t>
      </w:r>
      <w:r w:rsidRPr="00DE77AA" w:rsidR="000A2BC9">
        <w:rPr>
          <w:rFonts w:cs="Tahoma"/>
          <w:szCs w:val="24"/>
          <w:lang w:val="es-ES"/>
        </w:rPr>
        <w:t>lo cual aconteció, pues las áreas idóneas proporcionaron la información que daba cuenta de lo solicitado.</w:t>
      </w:r>
    </w:p>
    <w:p w:rsidRPr="00DE77AA" w:rsidR="00B0001B" w:rsidP="00ED0E2B" w:rsidRDefault="00B0001B" w14:paraId="63A51119" w14:textId="77777777">
      <w:pPr>
        <w:spacing w:after="0" w:line="360" w:lineRule="auto"/>
        <w:rPr>
          <w:rFonts w:eastAsia="Times New Roman" w:cs="Tahoma"/>
          <w:color w:val="auto"/>
          <w:szCs w:val="24"/>
          <w:lang w:val="es-ES" w:eastAsia="es-ES"/>
        </w:rPr>
      </w:pPr>
    </w:p>
    <w:p w:rsidRPr="00DE77AA" w:rsidR="000A2BC9" w:rsidP="00ED0E2B" w:rsidRDefault="000A2BC9" w14:paraId="53A20F5A" w14:textId="58F976F6">
      <w:pPr>
        <w:spacing w:after="0" w:line="360" w:lineRule="auto"/>
        <w:rPr>
          <w:rFonts w:eastAsia="Times New Roman" w:cs="Tahoma"/>
          <w:color w:val="auto"/>
          <w:szCs w:val="24"/>
          <w:lang w:val="es-ES" w:eastAsia="es-ES"/>
        </w:rPr>
      </w:pPr>
      <w:r w:rsidRPr="00DE77AA">
        <w:rPr>
          <w:rFonts w:eastAsia="Times New Roman" w:cs="Tahoma"/>
          <w:color w:val="auto"/>
          <w:szCs w:val="24"/>
          <w:lang w:val="es-ES" w:eastAsia="es-ES"/>
        </w:rPr>
        <w:t xml:space="preserve">Ahora bien, es necesario señalar que si bien la Tesorería Municipal, no se pronunció, al no turnarle la solicitud, lo cierto es que como se mencionó en párrafos anteriores, se proporcionó la información que daba cuenta de lo solicitado, a saber, el fundamento jurídico que establece </w:t>
      </w:r>
      <w:r w:rsidRPr="00DE77AA">
        <w:rPr>
          <w:rFonts w:eastAsia="Times New Roman" w:cs="Tahoma"/>
          <w:color w:val="auto"/>
          <w:szCs w:val="24"/>
          <w:lang w:val="es-ES" w:eastAsia="es-ES"/>
        </w:rPr>
        <w:lastRenderedPageBreak/>
        <w:t xml:space="preserve">que las áreas usuarias le deben informar a las unidades contratantes, el cumplimiento o no de los servicios contratados (visto bueno); por lo que, el agravio se considera </w:t>
      </w:r>
      <w:r w:rsidRPr="00DE77AA">
        <w:rPr>
          <w:rFonts w:eastAsia="Times New Roman" w:cs="Tahoma"/>
          <w:b/>
          <w:color w:val="auto"/>
          <w:szCs w:val="24"/>
          <w:lang w:val="es-ES" w:eastAsia="es-ES"/>
        </w:rPr>
        <w:t xml:space="preserve">PARCIALMENTE FUNDADO, </w:t>
      </w:r>
      <w:r w:rsidRPr="00DE77AA">
        <w:rPr>
          <w:rFonts w:eastAsia="Times New Roman" w:cs="Tahoma"/>
          <w:color w:val="auto"/>
          <w:szCs w:val="24"/>
          <w:lang w:val="es-ES" w:eastAsia="es-ES"/>
        </w:rPr>
        <w:t xml:space="preserve">toda vez que no se pronunció el área requerida por el Particular, pero </w:t>
      </w:r>
      <w:r w:rsidRPr="00DE77AA">
        <w:rPr>
          <w:rFonts w:eastAsia="Times New Roman" w:cs="Tahoma"/>
          <w:b/>
          <w:color w:val="auto"/>
          <w:szCs w:val="24"/>
          <w:lang w:val="es-ES" w:eastAsia="es-ES"/>
        </w:rPr>
        <w:t xml:space="preserve">INOPERANTE, </w:t>
      </w:r>
      <w:r w:rsidRPr="00DE77AA">
        <w:rPr>
          <w:rFonts w:eastAsia="Times New Roman" w:cs="Tahoma"/>
          <w:color w:val="auto"/>
          <w:szCs w:val="24"/>
          <w:lang w:val="es-ES" w:eastAsia="es-ES"/>
        </w:rPr>
        <w:t>pues las áreas idóneas, entregaron la información que obraba en sus archivos y da cuenta de lo solicitado.</w:t>
      </w:r>
    </w:p>
    <w:p w:rsidRPr="00DE77AA" w:rsidR="000A2BC9" w:rsidP="00ED0E2B" w:rsidRDefault="000A2BC9" w14:paraId="0B33C292" w14:textId="77777777">
      <w:pPr>
        <w:spacing w:after="0" w:line="360" w:lineRule="auto"/>
        <w:rPr>
          <w:rFonts w:eastAsia="Times New Roman" w:cs="Tahoma"/>
          <w:color w:val="auto"/>
          <w:szCs w:val="24"/>
          <w:lang w:val="es-ES" w:eastAsia="es-ES"/>
        </w:rPr>
      </w:pPr>
    </w:p>
    <w:p w:rsidRPr="00DE77AA" w:rsidR="00066B31" w:rsidP="00ED0E2B" w:rsidRDefault="00066B31" w14:paraId="0C6DF11A" w14:textId="77777777">
      <w:pPr>
        <w:spacing w:after="0" w:line="360" w:lineRule="auto"/>
        <w:rPr>
          <w:rFonts w:eastAsia="Times New Roman" w:cs="Tahoma"/>
          <w:b/>
          <w:lang w:eastAsia="es-ES"/>
        </w:rPr>
      </w:pPr>
      <w:r w:rsidRPr="00DE77AA">
        <w:rPr>
          <w:rFonts w:eastAsia="Times New Roman" w:cs="Tahoma"/>
          <w:b/>
          <w:lang w:eastAsia="es-ES"/>
        </w:rPr>
        <w:t xml:space="preserve">SEXTO. Decisión. </w:t>
      </w:r>
    </w:p>
    <w:p w:rsidRPr="00DE77AA" w:rsidR="00066B31" w:rsidP="00ED0E2B" w:rsidRDefault="00066B31" w14:paraId="70C71C07" w14:textId="77777777">
      <w:pPr>
        <w:spacing w:after="0" w:line="360" w:lineRule="auto"/>
        <w:rPr>
          <w:rFonts w:eastAsia="Times New Roman" w:cs="Tahoma"/>
          <w:lang w:eastAsia="es-ES"/>
        </w:rPr>
      </w:pPr>
    </w:p>
    <w:p w:rsidRPr="00DE77AA" w:rsidR="000A2BC9" w:rsidP="000A2BC9" w:rsidRDefault="000A2BC9" w14:paraId="426C2462" w14:textId="77777777">
      <w:pPr>
        <w:spacing w:after="0" w:line="360" w:lineRule="auto"/>
        <w:rPr>
          <w:rFonts w:cs="Tahoma"/>
          <w:b/>
        </w:rPr>
      </w:pPr>
      <w:r w:rsidRPr="00DE77AA">
        <w:rPr>
          <w:rFonts w:cs="Tahoma"/>
          <w:bCs/>
        </w:rPr>
        <w:t>Con fundamento en el artículo 186, fracción II, de la Ley de Transparencia y Acceso a la Información Pública del Estado de México y Municipios, este Instituto considera procedente</w:t>
      </w:r>
      <w:r w:rsidRPr="00DE77AA">
        <w:rPr>
          <w:rFonts w:cs="Tahoma"/>
          <w:b/>
        </w:rPr>
        <w:t xml:space="preserve"> CONFIRMAR </w:t>
      </w:r>
      <w:r w:rsidRPr="00DE77AA">
        <w:rPr>
          <w:rFonts w:cs="Tahoma"/>
          <w:bCs/>
        </w:rPr>
        <w:t>la respuesta otorgada por el Sujeto Obligado</w:t>
      </w:r>
      <w:r w:rsidRPr="00DE77AA">
        <w:rPr>
          <w:rFonts w:cs="Tahoma"/>
          <w:b/>
        </w:rPr>
        <w:t xml:space="preserve">. </w:t>
      </w:r>
    </w:p>
    <w:p w:rsidRPr="00DE77AA" w:rsidR="00A020C8" w:rsidP="00ED0E2B" w:rsidRDefault="00A020C8" w14:paraId="551C2F65" w14:textId="77777777">
      <w:pPr>
        <w:spacing w:after="0" w:line="360" w:lineRule="auto"/>
        <w:rPr>
          <w:rFonts w:eastAsia="Times New Roman" w:cs="Tahoma"/>
          <w:lang w:eastAsia="es-ES"/>
        </w:rPr>
      </w:pPr>
    </w:p>
    <w:p w:rsidRPr="00DE77AA" w:rsidR="006B7AD6" w:rsidP="00ED0E2B" w:rsidRDefault="006B7AD6" w14:paraId="189AC05E" w14:textId="77777777">
      <w:pPr>
        <w:autoSpaceDE w:val="0"/>
        <w:autoSpaceDN w:val="0"/>
        <w:adjustRightInd w:val="0"/>
        <w:spacing w:after="0" w:line="360" w:lineRule="auto"/>
        <w:rPr>
          <w:rFonts w:eastAsia="Calibri" w:cs="Tahoma"/>
          <w:b/>
          <w:bCs/>
          <w:iCs/>
          <w:color w:val="auto"/>
          <w:lang w:val="es-ES"/>
        </w:rPr>
      </w:pPr>
      <w:r w:rsidRPr="00DE77AA">
        <w:rPr>
          <w:rFonts w:eastAsia="Calibri" w:cs="Tahoma"/>
          <w:b/>
          <w:bCs/>
          <w:iCs/>
          <w:color w:val="auto"/>
          <w:lang w:val="es-ES"/>
        </w:rPr>
        <w:t>Términos de la Resolución para conocimiento del Particular.</w:t>
      </w:r>
    </w:p>
    <w:p w:rsidRPr="00DE77AA" w:rsidR="006B7AD6" w:rsidP="00ED0E2B" w:rsidRDefault="006B7AD6" w14:paraId="03D28429" w14:textId="77777777">
      <w:pPr>
        <w:autoSpaceDE w:val="0"/>
        <w:autoSpaceDN w:val="0"/>
        <w:adjustRightInd w:val="0"/>
        <w:spacing w:after="0" w:line="360" w:lineRule="auto"/>
        <w:rPr>
          <w:rFonts w:eastAsia="Calibri" w:cs="Tahoma"/>
          <w:b/>
          <w:bCs/>
          <w:iCs/>
          <w:color w:val="auto"/>
          <w:lang w:val="es-ES"/>
        </w:rPr>
      </w:pPr>
    </w:p>
    <w:p w:rsidRPr="00DE77AA" w:rsidR="000A2BC9" w:rsidP="00ED0E2B" w:rsidRDefault="006B7AD6" w14:paraId="6AD1B458" w14:textId="77777777">
      <w:pPr>
        <w:autoSpaceDE w:val="0"/>
        <w:autoSpaceDN w:val="0"/>
        <w:adjustRightInd w:val="0"/>
        <w:spacing w:after="0" w:line="360" w:lineRule="auto"/>
        <w:rPr>
          <w:rFonts w:eastAsia="Calibri" w:cs="Tahoma"/>
          <w:bCs/>
          <w:color w:val="auto"/>
        </w:rPr>
      </w:pPr>
      <w:r w:rsidRPr="00DE77AA">
        <w:rPr>
          <w:rFonts w:eastAsia="Calibri" w:cs="Tahoma"/>
          <w:bCs/>
          <w:iCs/>
          <w:color w:val="auto"/>
          <w:lang w:val="es-ES"/>
        </w:rPr>
        <w:t>Se</w:t>
      </w:r>
      <w:r w:rsidRPr="00DE77AA">
        <w:rPr>
          <w:rFonts w:eastAsia="Calibri" w:cs="Tahoma"/>
          <w:bCs/>
          <w:color w:val="auto"/>
        </w:rPr>
        <w:t xml:space="preserve"> le hace del conocimiento a la </w:t>
      </w:r>
      <w:r w:rsidRPr="00DE77AA" w:rsidR="000A2BC9">
        <w:rPr>
          <w:rFonts w:eastAsia="Calibri" w:cs="Tahoma"/>
          <w:bCs/>
          <w:color w:val="auto"/>
        </w:rPr>
        <w:t>parte</w:t>
      </w:r>
      <w:r w:rsidRPr="00DE77AA">
        <w:rPr>
          <w:rFonts w:eastAsia="Calibri" w:cs="Tahoma"/>
          <w:bCs/>
          <w:color w:val="auto"/>
        </w:rPr>
        <w:t xml:space="preserve"> Recurrente,</w:t>
      </w:r>
      <w:r w:rsidRPr="00DE77AA" w:rsidR="000A2BC9">
        <w:rPr>
          <w:rFonts w:eastAsia="Calibri" w:cs="Tahoma"/>
          <w:bCs/>
          <w:color w:val="auto"/>
        </w:rPr>
        <w:t xml:space="preserve"> que su agravió es </w:t>
      </w:r>
      <w:r w:rsidRPr="00DE77AA" w:rsidR="000A2BC9">
        <w:rPr>
          <w:rFonts w:eastAsia="Calibri" w:cs="Tahoma"/>
          <w:b/>
          <w:bCs/>
          <w:color w:val="auto"/>
        </w:rPr>
        <w:t>PARCIALMENTE</w:t>
      </w:r>
      <w:r w:rsidRPr="00DE77AA" w:rsidR="000A2BC9">
        <w:rPr>
          <w:rFonts w:eastAsia="Calibri" w:cs="Tahoma"/>
          <w:bCs/>
          <w:color w:val="auto"/>
        </w:rPr>
        <w:t xml:space="preserve"> </w:t>
      </w:r>
      <w:r w:rsidRPr="00DE77AA" w:rsidR="000A2BC9">
        <w:rPr>
          <w:rFonts w:eastAsia="Calibri" w:cs="Tahoma"/>
          <w:b/>
          <w:bCs/>
          <w:color w:val="auto"/>
        </w:rPr>
        <w:t xml:space="preserve">FUNDADO, </w:t>
      </w:r>
      <w:r w:rsidRPr="00DE77AA" w:rsidR="000A2BC9">
        <w:rPr>
          <w:rFonts w:eastAsia="Calibri" w:cs="Tahoma"/>
          <w:bCs/>
          <w:color w:val="auto"/>
        </w:rPr>
        <w:t xml:space="preserve">pero </w:t>
      </w:r>
      <w:r w:rsidRPr="00DE77AA" w:rsidR="000A2BC9">
        <w:rPr>
          <w:rFonts w:eastAsia="Calibri" w:cs="Tahoma"/>
          <w:b/>
          <w:bCs/>
          <w:color w:val="auto"/>
        </w:rPr>
        <w:t>INOPERANTE,</w:t>
      </w:r>
      <w:r w:rsidRPr="00DE77AA" w:rsidR="000A2BC9">
        <w:rPr>
          <w:rFonts w:eastAsia="Calibri" w:cs="Tahoma"/>
          <w:bCs/>
          <w:color w:val="auto"/>
        </w:rPr>
        <w:t xml:space="preserve"> toda vez que en materia de Transparencia, basta para atender la solicitud de información, turnar el requerimiento a las áreas competentes y estas entregar lo que obre en sus archivos, lo cual aconteció.</w:t>
      </w:r>
    </w:p>
    <w:p w:rsidRPr="00DE77AA" w:rsidR="000A2BC9" w:rsidP="00ED0E2B" w:rsidRDefault="000A2BC9" w14:paraId="52A314C5" w14:textId="77777777">
      <w:pPr>
        <w:autoSpaceDE w:val="0"/>
        <w:autoSpaceDN w:val="0"/>
        <w:adjustRightInd w:val="0"/>
        <w:spacing w:after="0" w:line="360" w:lineRule="auto"/>
        <w:rPr>
          <w:rFonts w:eastAsia="Calibri" w:cs="Tahoma"/>
          <w:bCs/>
          <w:color w:val="auto"/>
        </w:rPr>
      </w:pPr>
    </w:p>
    <w:p w:rsidRPr="00DE77AA" w:rsidR="000A2BC9" w:rsidP="000A2BC9" w:rsidRDefault="000A2BC9" w14:paraId="47AF9B02" w14:textId="78BCEC3D">
      <w:pPr>
        <w:widowControl w:val="0"/>
        <w:autoSpaceDE w:val="0"/>
        <w:autoSpaceDN w:val="0"/>
        <w:adjustRightInd w:val="0"/>
        <w:spacing w:after="0" w:line="360" w:lineRule="auto"/>
        <w:contextualSpacing/>
        <w:rPr>
          <w:rFonts w:eastAsia="Calibri" w:cs="Tahoma"/>
          <w:bCs/>
          <w:iCs/>
          <w:color w:val="auto"/>
        </w:rPr>
      </w:pPr>
      <w:r w:rsidRPr="00DE77AA">
        <w:rPr>
          <w:rFonts w:eastAsia="Calibri" w:cs="Tahoma"/>
          <w:bCs/>
          <w:iCs/>
          <w:color w:val="auto"/>
          <w:lang w:val="es-ES"/>
        </w:rPr>
        <w:t>Finalmente, se le informa que la</w:t>
      </w:r>
      <w:r w:rsidRPr="00DE77AA">
        <w:rPr>
          <w:rFonts w:eastAsia="Calibri" w:cs="Tahoma"/>
          <w:bCs/>
          <w:iCs/>
          <w:color w:val="auto"/>
        </w:rPr>
        <w:t xml:space="preserve"> labor del Instituto de Transparencia, Acceso a la Información Pública y Protección de Datos Personales del Estado de México y Municipios, por una parte, es apoyar a la población a acceder a la información pública y, por otra, garantizar la protección de sus datos personales.</w:t>
      </w:r>
    </w:p>
    <w:p w:rsidRPr="00DE77AA" w:rsidR="00066B31" w:rsidP="00ED0E2B" w:rsidRDefault="00066B31" w14:paraId="757085B2" w14:textId="77777777">
      <w:pPr>
        <w:spacing w:after="0" w:line="360" w:lineRule="auto"/>
        <w:rPr>
          <w:rFonts w:eastAsia="Calibri" w:cs="Tahoma"/>
          <w:bCs/>
          <w:iCs/>
          <w:lang w:val="es-ES" w:eastAsia="es-ES_tradnl"/>
        </w:rPr>
      </w:pPr>
    </w:p>
    <w:p w:rsidRPr="00DE77AA" w:rsidR="00066B31" w:rsidP="00ED0E2B" w:rsidRDefault="00066B31" w14:paraId="7685FAAA" w14:textId="77777777">
      <w:pPr>
        <w:spacing w:after="0" w:line="360" w:lineRule="auto"/>
        <w:rPr>
          <w:rFonts w:eastAsia="Calibri" w:cs="Tahoma"/>
          <w:bCs/>
        </w:rPr>
      </w:pPr>
      <w:r w:rsidRPr="00DE77AA">
        <w:rPr>
          <w:rFonts w:eastAsia="Calibri" w:cs="Tahoma"/>
          <w:bCs/>
        </w:rPr>
        <w:t>Por lo expuesto y fundado, este Pleno:</w:t>
      </w:r>
    </w:p>
    <w:p w:rsidRPr="00DE77AA" w:rsidR="00ED7E78" w:rsidP="00ED0E2B" w:rsidRDefault="00ED7E78" w14:paraId="4C1274EF" w14:textId="77777777">
      <w:pPr>
        <w:spacing w:after="0" w:line="360" w:lineRule="auto"/>
        <w:jc w:val="center"/>
        <w:rPr>
          <w:rFonts w:eastAsia="Calibri" w:cs="Tahoma"/>
          <w:b/>
          <w:bCs/>
        </w:rPr>
      </w:pPr>
    </w:p>
    <w:p w:rsidRPr="00DE77AA" w:rsidR="000A2BC9" w:rsidP="00ED0E2B" w:rsidRDefault="000A2BC9" w14:paraId="1A625CEC" w14:textId="77777777">
      <w:pPr>
        <w:spacing w:after="0" w:line="360" w:lineRule="auto"/>
        <w:jc w:val="center"/>
        <w:rPr>
          <w:rFonts w:eastAsia="Calibri" w:cs="Tahoma"/>
          <w:b/>
          <w:bCs/>
        </w:rPr>
      </w:pPr>
    </w:p>
    <w:p w:rsidRPr="00DE77AA" w:rsidR="000A2BC9" w:rsidP="00ED0E2B" w:rsidRDefault="000A2BC9" w14:paraId="4A938620" w14:textId="77777777">
      <w:pPr>
        <w:spacing w:after="0" w:line="360" w:lineRule="auto"/>
        <w:jc w:val="center"/>
        <w:rPr>
          <w:rFonts w:eastAsia="Calibri" w:cs="Tahoma"/>
          <w:b/>
          <w:bCs/>
        </w:rPr>
      </w:pPr>
    </w:p>
    <w:p w:rsidRPr="00DE77AA" w:rsidR="00066B31" w:rsidP="00ED0E2B" w:rsidRDefault="00066B31" w14:paraId="2CBCAFED" w14:textId="31EF801C">
      <w:pPr>
        <w:spacing w:after="0" w:line="360" w:lineRule="auto"/>
        <w:jc w:val="center"/>
        <w:rPr>
          <w:rFonts w:eastAsia="Calibri" w:cs="Tahoma"/>
          <w:b/>
          <w:bCs/>
        </w:rPr>
      </w:pPr>
      <w:r w:rsidRPr="00DE77AA">
        <w:rPr>
          <w:rFonts w:eastAsia="Calibri" w:cs="Tahoma"/>
          <w:b/>
          <w:bCs/>
        </w:rPr>
        <w:t>R E S U E L V E:</w:t>
      </w:r>
    </w:p>
    <w:p w:rsidRPr="00DE77AA" w:rsidR="00066B31" w:rsidP="00ED0E2B" w:rsidRDefault="00066B31" w14:paraId="5DB5E46C" w14:textId="77777777">
      <w:pPr>
        <w:spacing w:after="0" w:line="360" w:lineRule="auto"/>
        <w:jc w:val="left"/>
        <w:rPr>
          <w:rFonts w:eastAsia="Calibri" w:cs="Tahoma"/>
          <w:b/>
          <w:bCs/>
        </w:rPr>
      </w:pPr>
    </w:p>
    <w:p w:rsidRPr="00DE77AA" w:rsidR="000A2BC9" w:rsidP="000A2BC9" w:rsidRDefault="000A2BC9" w14:paraId="191BED33" w14:textId="16041CDA">
      <w:pPr>
        <w:spacing w:after="0" w:line="360" w:lineRule="auto"/>
        <w:contextualSpacing/>
        <w:rPr>
          <w:rFonts w:eastAsia="Calibri" w:cs="Tahoma"/>
          <w:iCs/>
        </w:rPr>
      </w:pPr>
      <w:r w:rsidRPr="00DE77AA">
        <w:rPr>
          <w:rFonts w:eastAsia="Calibri" w:cs="Tahoma"/>
          <w:b/>
          <w:bCs/>
          <w:iCs/>
        </w:rPr>
        <w:t xml:space="preserve">PRIMERO. </w:t>
      </w:r>
      <w:r w:rsidRPr="00DE77AA">
        <w:rPr>
          <w:rFonts w:eastAsia="Calibri" w:cs="Tahoma"/>
          <w:bCs/>
          <w:iCs/>
        </w:rPr>
        <w:t xml:space="preserve">Se </w:t>
      </w:r>
      <w:r w:rsidRPr="00DE77AA">
        <w:rPr>
          <w:rFonts w:eastAsia="Calibri" w:cs="Tahoma"/>
          <w:b/>
          <w:bCs/>
          <w:iCs/>
        </w:rPr>
        <w:t xml:space="preserve">CONFIRMA </w:t>
      </w:r>
      <w:r w:rsidRPr="00DE77AA">
        <w:rPr>
          <w:rFonts w:eastAsia="Calibri" w:cs="Tahoma"/>
          <w:bCs/>
          <w:iCs/>
        </w:rPr>
        <w:t>la respuesta entregada por el Sujeto Obligado</w:t>
      </w:r>
      <w:r w:rsidRPr="00DE77AA">
        <w:rPr>
          <w:rFonts w:eastAsia="Calibri" w:cs="Tahoma"/>
          <w:b/>
          <w:bCs/>
          <w:iCs/>
        </w:rPr>
        <w:t xml:space="preserve"> </w:t>
      </w:r>
      <w:r w:rsidRPr="00DE77AA">
        <w:rPr>
          <w:rFonts w:eastAsia="Calibri" w:cs="Tahoma"/>
          <w:bCs/>
          <w:iCs/>
        </w:rPr>
        <w:t xml:space="preserve">a la solicitud de información de acceso a la información </w:t>
      </w:r>
      <w:r w:rsidRPr="00DE77AA">
        <w:rPr>
          <w:rFonts w:cs="Arial"/>
        </w:rPr>
        <w:t>00306/TEMOAYA/IP/2022</w:t>
      </w:r>
      <w:r w:rsidRPr="00DE77AA">
        <w:rPr>
          <w:rFonts w:cs="Tahoma"/>
          <w:bCs/>
          <w:color w:val="0D0D0D"/>
        </w:rPr>
        <w:t xml:space="preserve">, </w:t>
      </w:r>
      <w:r w:rsidRPr="00DE77AA">
        <w:rPr>
          <w:rFonts w:eastAsia="Calibri" w:cs="Tahoma"/>
          <w:bCs/>
          <w:iCs/>
          <w:lang w:val="es-ES_tradnl"/>
        </w:rPr>
        <w:t xml:space="preserve">por resultar </w:t>
      </w:r>
      <w:r w:rsidRPr="00DE77AA">
        <w:rPr>
          <w:rFonts w:eastAsia="Calibri" w:cs="Tahoma"/>
          <w:b/>
          <w:bCs/>
          <w:iCs/>
          <w:lang w:val="es-ES_tradnl"/>
        </w:rPr>
        <w:t>PARCIALMENTE</w:t>
      </w:r>
      <w:r w:rsidRPr="00DE77AA">
        <w:rPr>
          <w:rFonts w:eastAsia="Calibri" w:cs="Tahoma"/>
          <w:bCs/>
          <w:iCs/>
          <w:lang w:val="es-ES_tradnl"/>
        </w:rPr>
        <w:t xml:space="preserve"> </w:t>
      </w:r>
      <w:r w:rsidRPr="00DE77AA">
        <w:rPr>
          <w:rFonts w:eastAsia="Calibri" w:cs="Tahoma"/>
          <w:b/>
          <w:bCs/>
          <w:iCs/>
          <w:lang w:val="es-ES_tradnl"/>
        </w:rPr>
        <w:t xml:space="preserve">FUNDADO </w:t>
      </w:r>
      <w:r w:rsidRPr="00DE77AA">
        <w:rPr>
          <w:rFonts w:eastAsia="Calibri" w:cs="Tahoma"/>
          <w:bCs/>
          <w:iCs/>
          <w:lang w:val="es-ES_tradnl"/>
        </w:rPr>
        <w:t>el agravio</w:t>
      </w:r>
      <w:r w:rsidRPr="00DE77AA">
        <w:rPr>
          <w:rFonts w:eastAsia="Calibri" w:cs="Tahoma"/>
          <w:b/>
          <w:bCs/>
          <w:iCs/>
          <w:lang w:val="es-ES_tradnl"/>
        </w:rPr>
        <w:t xml:space="preserve"> </w:t>
      </w:r>
      <w:r w:rsidRPr="00DE77AA">
        <w:rPr>
          <w:rFonts w:eastAsia="Calibri" w:cs="Tahoma"/>
          <w:bCs/>
          <w:iCs/>
          <w:lang w:val="es-ES_tradnl"/>
        </w:rPr>
        <w:t>hecho valer</w:t>
      </w:r>
      <w:r w:rsidRPr="00DE77AA">
        <w:rPr>
          <w:rFonts w:eastAsia="Calibri" w:cs="Tahoma"/>
          <w:bCs/>
          <w:iCs/>
        </w:rPr>
        <w:t xml:space="preserve"> por el Recurrente, pero </w:t>
      </w:r>
      <w:r w:rsidRPr="00DE77AA">
        <w:rPr>
          <w:rFonts w:eastAsia="Calibri" w:cs="Tahoma"/>
          <w:b/>
          <w:bCs/>
          <w:iCs/>
        </w:rPr>
        <w:t>INOPERANTE</w:t>
      </w:r>
      <w:r w:rsidRPr="00DE77AA">
        <w:rPr>
          <w:rFonts w:eastAsia="Calibri" w:cs="Tahoma"/>
          <w:bCs/>
          <w:iCs/>
        </w:rPr>
        <w:t xml:space="preserve">, en términos de los Considerandos </w:t>
      </w:r>
      <w:r w:rsidRPr="00DE77AA">
        <w:rPr>
          <w:rFonts w:eastAsia="Calibri" w:cs="Tahoma"/>
          <w:iCs/>
        </w:rPr>
        <w:t>QUINTO y SEXTO de esta Resolución.</w:t>
      </w:r>
    </w:p>
    <w:p w:rsidRPr="00DE77AA" w:rsidR="000A2BC9" w:rsidP="000A2BC9" w:rsidRDefault="000A2BC9" w14:paraId="5F677B1E" w14:textId="77777777">
      <w:pPr>
        <w:spacing w:after="0" w:line="360" w:lineRule="auto"/>
        <w:contextualSpacing/>
        <w:rPr>
          <w:rFonts w:eastAsia="Calibri" w:cs="Tahoma"/>
          <w:bCs/>
        </w:rPr>
      </w:pPr>
    </w:p>
    <w:p w:rsidRPr="00DE77AA" w:rsidR="000A2BC9" w:rsidP="000A2BC9" w:rsidRDefault="000A2BC9" w14:paraId="1FEB1394" w14:textId="77777777">
      <w:pPr>
        <w:spacing w:after="0" w:line="360" w:lineRule="auto"/>
        <w:rPr>
          <w:rFonts w:cs="Tahoma"/>
          <w:b/>
          <w:bCs/>
          <w:iCs/>
        </w:rPr>
      </w:pPr>
      <w:r w:rsidRPr="00DE77AA">
        <w:rPr>
          <w:rFonts w:cs="Tahoma"/>
          <w:b/>
          <w:bCs/>
          <w:iCs/>
        </w:rPr>
        <w:t xml:space="preserve">SEGUNDO. NOTIFÍQUESE </w:t>
      </w:r>
      <w:r w:rsidRPr="00DE77AA">
        <w:rPr>
          <w:rFonts w:cs="Tahoma"/>
          <w:iCs/>
        </w:rPr>
        <w:t>la presente resolución al Titular de la Unidad de Transparencia del Sujeto Obligado.</w:t>
      </w:r>
    </w:p>
    <w:p w:rsidRPr="00DE77AA" w:rsidR="000A2BC9" w:rsidP="000A2BC9" w:rsidRDefault="000A2BC9" w14:paraId="185ADAE7" w14:textId="77777777">
      <w:pPr>
        <w:spacing w:after="0" w:line="360" w:lineRule="auto"/>
        <w:rPr>
          <w:rFonts w:cs="Tahoma"/>
          <w:b/>
          <w:bCs/>
          <w:iCs/>
        </w:rPr>
      </w:pPr>
    </w:p>
    <w:p w:rsidRPr="00DE77AA" w:rsidR="000A2BC9" w:rsidP="000A2BC9" w:rsidRDefault="000A2BC9" w14:paraId="708C83FE" w14:textId="77777777">
      <w:pPr>
        <w:spacing w:after="0" w:line="360" w:lineRule="auto"/>
        <w:rPr>
          <w:rFonts w:cs="Tahoma"/>
          <w:b/>
          <w:bCs/>
          <w:iCs/>
        </w:rPr>
      </w:pPr>
      <w:r w:rsidRPr="00DE77AA">
        <w:rPr>
          <w:rFonts w:cs="Tahoma"/>
          <w:b/>
          <w:bCs/>
          <w:iCs/>
        </w:rPr>
        <w:t xml:space="preserve">TERCERO. NOTIFÍQUESE </w:t>
      </w:r>
      <w:r w:rsidRPr="00DE77AA">
        <w:rPr>
          <w:rFonts w:cs="Tahoma"/>
          <w:iCs/>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DE77AA" w:rsidR="00B97F9B" w:rsidP="00ED0E2B" w:rsidRDefault="00B97F9B" w14:paraId="00B23B78" w14:textId="77777777">
      <w:pPr>
        <w:spacing w:after="0" w:line="360" w:lineRule="auto"/>
        <w:rPr>
          <w:rFonts w:eastAsia="Calibri" w:cs="Tahoma"/>
          <w:bCs/>
        </w:rPr>
      </w:pPr>
    </w:p>
    <w:p w:rsidRPr="00E27D2D" w:rsidR="0040526C" w:rsidP="00ED0E2B" w:rsidRDefault="002E64C7" w14:paraId="427DAFB5" w14:textId="76055F53">
      <w:pPr>
        <w:spacing w:after="0" w:line="360" w:lineRule="auto"/>
        <w:rPr>
          <w:rFonts w:eastAsia="Times New Roman" w:cs="Tahoma"/>
          <w:lang w:eastAsia="es-MX"/>
        </w:rPr>
      </w:pPr>
      <w:r w:rsidRPr="00DE77AA">
        <w:t xml:space="preserve">ASÍ LO RESUELVE, POR </w:t>
      </w:r>
      <w:r w:rsidRPr="00DE77AA">
        <w:rPr>
          <w:b/>
          <w:bCs/>
        </w:rPr>
        <w:t>UANIMIDAD</w:t>
      </w:r>
      <w:r w:rsidRPr="00DE77AA">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CON VOTO PARTICULAR Y GUADALUPE RAMÍREZ PEÑA; EN LA </w:t>
      </w:r>
      <w:r w:rsidRPr="00DE77AA" w:rsidR="00C04EC9">
        <w:t>OCTAVA</w:t>
      </w:r>
      <w:r w:rsidRPr="00DE77AA">
        <w:t xml:space="preserve"> SESIÓN ORDINARIA CELEBRADA EL </w:t>
      </w:r>
      <w:r w:rsidRPr="00DE77AA" w:rsidR="00C04EC9">
        <w:t>PRIMERO DE MARZO</w:t>
      </w:r>
      <w:r w:rsidRPr="00DE77AA" w:rsidR="0016412E">
        <w:t xml:space="preserve"> </w:t>
      </w:r>
      <w:r w:rsidRPr="00DE77AA">
        <w:t>DE DOS MIL VEINTIDÓS, ANTE EL SECRETARIO TÉCNICO DEL PLENO, ALEXIS TAPIA RAMÍREZ</w:t>
      </w:r>
      <w:r w:rsidRPr="00DE77AA" w:rsidR="0040526C">
        <w:t>.</w:t>
      </w:r>
      <w:r w:rsidRPr="00E27D2D" w:rsidR="0040526C">
        <w:rPr>
          <w:rFonts w:eastAsia="Times New Roman" w:cs="Tahoma"/>
          <w:lang w:eastAsia="es-MX"/>
        </w:rPr>
        <w:br w:type="page"/>
      </w:r>
    </w:p>
    <w:p w:rsidRPr="00E27D2D" w:rsidR="00E439ED" w:rsidP="00ED0E2B" w:rsidRDefault="00E439ED" w14:paraId="179D3A74" w14:textId="77777777">
      <w:pPr>
        <w:spacing w:after="0" w:line="360" w:lineRule="auto"/>
      </w:pPr>
    </w:p>
    <w:sectPr w:rsidRPr="00E27D2D" w:rsidR="00E439ED" w:rsidSect="008C644E">
      <w:headerReference w:type="even" r:id="rId10"/>
      <w:headerReference w:type="default" r:id="rId11"/>
      <w:footerReference w:type="even" r:id="rId12"/>
      <w:footerReference w:type="default" r:id="rId13"/>
      <w:headerReference w:type="first" r:id="rId14"/>
      <w:footerReference w:type="first" r:id="rId15"/>
      <w:pgSz w:w="12240" w:h="15840" w:orient="portrait"/>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A305F" w:rsidP="00066B31" w:rsidRDefault="00CA305F" w14:paraId="2D07D8F2" w14:textId="77777777">
      <w:pPr>
        <w:spacing w:after="0" w:line="240" w:lineRule="auto"/>
      </w:pPr>
      <w:r>
        <w:separator/>
      </w:r>
    </w:p>
  </w:endnote>
  <w:endnote w:type="continuationSeparator" w:id="0">
    <w:p w:rsidR="00CA305F" w:rsidP="00066B31" w:rsidRDefault="00CA305F" w14:paraId="0EF0B85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644E" w:rsidRDefault="001D2F08" w14:paraId="7E37BAE9"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19</w:t>
    </w:r>
    <w:r>
      <w:rPr>
        <w:b/>
        <w:bCs/>
        <w:sz w:val="24"/>
        <w:szCs w:val="24"/>
      </w:rPr>
      <w:fldChar w:fldCharType="end"/>
    </w:r>
  </w:p>
  <w:p w:rsidR="008C644E" w:rsidRDefault="00DE77AA" w14:paraId="3B0A68EB"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871782"/>
      <w:docPartObj>
        <w:docPartGallery w:val="Page Numbers (Bottom of Page)"/>
        <w:docPartUnique/>
      </w:docPartObj>
    </w:sdtPr>
    <w:sdtEndPr/>
    <w:sdtContent>
      <w:sdt>
        <w:sdtPr>
          <w:id w:val="1890534867"/>
          <w:docPartObj>
            <w:docPartGallery w:val="Page Numbers (Top of Page)"/>
            <w:docPartUnique/>
          </w:docPartObj>
        </w:sdtPr>
        <w:sdtEndPr/>
        <w:sdtContent>
          <w:p w:rsidR="008C644E" w:rsidRDefault="001D2F08" w14:paraId="3CFCA13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04EC9">
              <w:rPr>
                <w:b/>
                <w:bCs/>
                <w:noProof/>
              </w:rPr>
              <w:t>19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04EC9">
              <w:rPr>
                <w:b/>
                <w:bCs/>
                <w:noProof/>
              </w:rPr>
              <w:t>19</w:t>
            </w:r>
            <w:r>
              <w:rPr>
                <w:b/>
                <w:bCs/>
                <w:sz w:val="24"/>
                <w:szCs w:val="24"/>
              </w:rPr>
              <w:fldChar w:fldCharType="end"/>
            </w:r>
          </w:p>
        </w:sdtContent>
      </w:sdt>
    </w:sdtContent>
  </w:sdt>
  <w:p w:rsidR="008C644E" w:rsidRDefault="00DE77AA" w14:paraId="42C147CB"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644E" w:rsidRDefault="001D2F08" w14:paraId="1BEE5584"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04EC9">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04EC9">
      <w:rPr>
        <w:b/>
        <w:bCs/>
        <w:noProof/>
      </w:rPr>
      <w:t>19</w:t>
    </w:r>
    <w:r>
      <w:rPr>
        <w:b/>
        <w:bCs/>
        <w:sz w:val="24"/>
        <w:szCs w:val="24"/>
      </w:rPr>
      <w:fldChar w:fldCharType="end"/>
    </w:r>
  </w:p>
  <w:p w:rsidR="008C644E" w:rsidP="00F73157" w:rsidRDefault="001D2F08" w14:paraId="21537CF3" w14:textId="77777777">
    <w:pPr>
      <w:pStyle w:val="Piedepgina"/>
      <w:tabs>
        <w:tab w:val="clear" w:pos="4419"/>
        <w:tab w:val="clear" w:pos="8838"/>
        <w:tab w:val="left" w:pos="394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A305F" w:rsidP="00066B31" w:rsidRDefault="00CA305F" w14:paraId="6A6694F1" w14:textId="77777777">
      <w:pPr>
        <w:spacing w:after="0" w:line="240" w:lineRule="auto"/>
      </w:pPr>
      <w:r>
        <w:separator/>
      </w:r>
    </w:p>
  </w:footnote>
  <w:footnote w:type="continuationSeparator" w:id="0">
    <w:p w:rsidR="00CA305F" w:rsidP="00066B31" w:rsidRDefault="00CA305F" w14:paraId="75435BA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90" w:type="dxa"/>
      <w:tblLayout w:type="fixed"/>
      <w:tblLook w:val="04A0" w:firstRow="1" w:lastRow="0" w:firstColumn="1" w:lastColumn="0" w:noHBand="0" w:noVBand="1"/>
    </w:tblPr>
    <w:tblGrid>
      <w:gridCol w:w="3260"/>
      <w:gridCol w:w="6730"/>
    </w:tblGrid>
    <w:tr w:rsidRPr="008C644E" w:rsidR="008C644E" w:rsidTr="00787244" w14:paraId="04C853ED" w14:textId="77777777">
      <w:trPr>
        <w:trHeight w:val="1435"/>
      </w:trPr>
      <w:tc>
        <w:tcPr>
          <w:tcW w:w="3261" w:type="dxa"/>
        </w:tcPr>
        <w:p w:rsidRPr="008C644E" w:rsidR="008C644E" w:rsidP="008C644E" w:rsidRDefault="00DE77AA" w14:paraId="0C7EB462" w14:textId="77777777">
          <w:pPr>
            <w:pStyle w:val="Encabezado"/>
          </w:pPr>
        </w:p>
      </w:tc>
      <w:tc>
        <w:tcPr>
          <w:tcW w:w="6733" w:type="dxa"/>
          <w:hideMark/>
        </w:tcPr>
        <w:tbl>
          <w:tblPr>
            <w:tblStyle w:val="Tablaconcuadrcula"/>
            <w:tblW w:w="9220" w:type="dxa"/>
            <w:tblInd w:w="16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9"/>
            <w:gridCol w:w="3259"/>
            <w:gridCol w:w="3402"/>
          </w:tblGrid>
          <w:tr w:rsidRPr="008C644E" w:rsidR="008C644E" w:rsidTr="00787244" w14:paraId="3C8FA9F1" w14:textId="77777777">
            <w:trPr>
              <w:trHeight w:val="144"/>
            </w:trPr>
            <w:tc>
              <w:tcPr>
                <w:tcW w:w="2559" w:type="dxa"/>
                <w:hideMark/>
              </w:tcPr>
              <w:p w:rsidRPr="008C644E" w:rsidR="008C644E" w:rsidP="008C644E" w:rsidRDefault="001D2F08" w14:paraId="73DACB1F" w14:textId="77777777">
                <w:pPr>
                  <w:pStyle w:val="Encabezado"/>
                  <w:rPr>
                    <w:b/>
                  </w:rPr>
                </w:pPr>
                <w:r w:rsidRPr="008C644E">
                  <w:rPr>
                    <w:b/>
                  </w:rPr>
                  <w:t>Recurso de Revisión:</w:t>
                </w:r>
              </w:p>
            </w:tc>
            <w:tc>
              <w:tcPr>
                <w:tcW w:w="3259" w:type="dxa"/>
                <w:hideMark/>
              </w:tcPr>
              <w:p w:rsidRPr="008C644E" w:rsidR="008C644E" w:rsidP="008C644E" w:rsidRDefault="001D2F08" w14:paraId="2BAF54F5" w14:textId="77777777">
                <w:pPr>
                  <w:pStyle w:val="Encabezado"/>
                </w:pPr>
                <w:r>
                  <w:t>01206/INFOEM/IP/RR/2022</w:t>
                </w:r>
              </w:p>
            </w:tc>
            <w:tc>
              <w:tcPr>
                <w:tcW w:w="3402" w:type="dxa"/>
              </w:tcPr>
              <w:p w:rsidRPr="008C644E" w:rsidR="008C644E" w:rsidP="008C644E" w:rsidRDefault="00DE77AA" w14:paraId="005AF5AD" w14:textId="77777777">
                <w:pPr>
                  <w:pStyle w:val="Encabezado"/>
                  <w:rPr>
                    <w:bCs/>
                  </w:rPr>
                </w:pPr>
              </w:p>
            </w:tc>
          </w:tr>
          <w:tr w:rsidRPr="008C644E" w:rsidR="008C644E" w:rsidTr="00787244" w14:paraId="266F92FA" w14:textId="77777777">
            <w:trPr>
              <w:trHeight w:val="283"/>
            </w:trPr>
            <w:tc>
              <w:tcPr>
                <w:tcW w:w="2559" w:type="dxa"/>
                <w:hideMark/>
              </w:tcPr>
              <w:p w:rsidRPr="008C644E" w:rsidR="008C644E" w:rsidP="008C644E" w:rsidRDefault="001D2F08" w14:paraId="6E774FF3" w14:textId="77777777">
                <w:pPr>
                  <w:pStyle w:val="Encabezado"/>
                  <w:rPr>
                    <w:b/>
                  </w:rPr>
                </w:pPr>
                <w:r w:rsidRPr="008C644E">
                  <w:rPr>
                    <w:b/>
                  </w:rPr>
                  <w:t>Sujeto Obligado:</w:t>
                </w:r>
              </w:p>
            </w:tc>
            <w:tc>
              <w:tcPr>
                <w:tcW w:w="3259" w:type="dxa"/>
                <w:hideMark/>
              </w:tcPr>
              <w:p w:rsidRPr="008C644E" w:rsidR="008C644E" w:rsidP="00A075BA" w:rsidRDefault="001D2F08" w14:paraId="72431DDA" w14:textId="11AF2492">
                <w:pPr>
                  <w:pStyle w:val="Encabezado"/>
                </w:pPr>
                <w:r w:rsidRPr="008C644E">
                  <w:rPr>
                    <w:lang w:val="es-MX"/>
                  </w:rPr>
                  <w:t>Ayuntamiento</w:t>
                </w:r>
                <w:r>
                  <w:rPr>
                    <w:lang w:val="es-MX"/>
                  </w:rPr>
                  <w:t xml:space="preserve"> de</w:t>
                </w:r>
                <w:r w:rsidRPr="008C644E">
                  <w:rPr>
                    <w:lang w:val="es-MX"/>
                  </w:rPr>
                  <w:t xml:space="preserve"> </w:t>
                </w:r>
                <w:r w:rsidR="00985E40">
                  <w:rPr>
                    <w:lang w:val="es-MX"/>
                  </w:rPr>
                  <w:t>Tezoyuca</w:t>
                </w:r>
              </w:p>
            </w:tc>
            <w:tc>
              <w:tcPr>
                <w:tcW w:w="3402" w:type="dxa"/>
              </w:tcPr>
              <w:p w:rsidRPr="008C644E" w:rsidR="008C644E" w:rsidP="008C644E" w:rsidRDefault="00DE77AA" w14:paraId="13DD28B6" w14:textId="77777777">
                <w:pPr>
                  <w:pStyle w:val="Encabezado"/>
                </w:pPr>
              </w:p>
            </w:tc>
          </w:tr>
          <w:tr w:rsidRPr="008C644E" w:rsidR="008C644E" w:rsidTr="00787244" w14:paraId="1F447167" w14:textId="77777777">
            <w:trPr>
              <w:trHeight w:val="283"/>
            </w:trPr>
            <w:tc>
              <w:tcPr>
                <w:tcW w:w="2559" w:type="dxa"/>
                <w:hideMark/>
              </w:tcPr>
              <w:p w:rsidRPr="008C644E" w:rsidR="008C644E" w:rsidP="008C644E" w:rsidRDefault="001D2F08" w14:paraId="216657E4" w14:textId="77777777">
                <w:pPr>
                  <w:pStyle w:val="Encabezado"/>
                  <w:rPr>
                    <w:b/>
                  </w:rPr>
                </w:pPr>
                <w:r w:rsidRPr="008C644E">
                  <w:rPr>
                    <w:b/>
                  </w:rPr>
                  <w:t xml:space="preserve">Comisionado Ponente: </w:t>
                </w:r>
              </w:p>
            </w:tc>
            <w:tc>
              <w:tcPr>
                <w:tcW w:w="3259" w:type="dxa"/>
                <w:hideMark/>
              </w:tcPr>
              <w:p w:rsidRPr="008C644E" w:rsidR="008C644E" w:rsidP="008C644E" w:rsidRDefault="001D2F08" w14:paraId="6E467BD9" w14:textId="77777777">
                <w:pPr>
                  <w:pStyle w:val="Encabezado"/>
                  <w:rPr>
                    <w:b/>
                  </w:rPr>
                </w:pPr>
                <w:r w:rsidRPr="008C644E">
                  <w:t>Luis Gustavo Parra Noriega</w:t>
                </w:r>
              </w:p>
            </w:tc>
            <w:tc>
              <w:tcPr>
                <w:tcW w:w="3402" w:type="dxa"/>
              </w:tcPr>
              <w:p w:rsidRPr="008C644E" w:rsidR="008C644E" w:rsidP="008C644E" w:rsidRDefault="00DE77AA" w14:paraId="210A329D" w14:textId="77777777">
                <w:pPr>
                  <w:pStyle w:val="Encabezado"/>
                </w:pPr>
              </w:p>
            </w:tc>
          </w:tr>
        </w:tbl>
        <w:p w:rsidRPr="008C644E" w:rsidR="008C644E" w:rsidP="008C644E" w:rsidRDefault="00DE77AA" w14:paraId="1FBF3105" w14:textId="77777777">
          <w:pPr>
            <w:pStyle w:val="Encabezado"/>
            <w:rPr>
              <w:b/>
            </w:rPr>
          </w:pPr>
        </w:p>
      </w:tc>
    </w:tr>
  </w:tbl>
  <w:p w:rsidR="008C644E" w:rsidRDefault="00DE77AA" w14:paraId="14486D0A" w14:textId="77777777">
    <w:pPr>
      <w:pStyle w:val="Encabezado"/>
    </w:pPr>
    <w:r>
      <w:rPr>
        <w:noProof/>
      </w:rPr>
      <w:pict w14:anchorId="762E387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6" style="position:absolute;left:0;text-align:left;margin-left:0;margin-top:0;width:663.5pt;height:12in;z-index:-251659776;mso-position-horizontal:center;mso-position-horizontal-relative:margin;mso-position-vertical:center;mso-position-vertical-relative:margin" o:spid="_x0000_s2050"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32" w:type="dxa"/>
      <w:tblLayout w:type="fixed"/>
      <w:tblLook w:val="04A0" w:firstRow="1" w:lastRow="0" w:firstColumn="1" w:lastColumn="0" w:noHBand="0" w:noVBand="1"/>
    </w:tblPr>
    <w:tblGrid>
      <w:gridCol w:w="3402"/>
      <w:gridCol w:w="6730"/>
    </w:tblGrid>
    <w:tr w:rsidR="008C644E" w:rsidTr="00D36646" w14:paraId="4EA32E14" w14:textId="77777777">
      <w:trPr>
        <w:trHeight w:val="1435"/>
      </w:trPr>
      <w:tc>
        <w:tcPr>
          <w:tcW w:w="3402" w:type="dxa"/>
        </w:tcPr>
        <w:p w:rsidR="008C644E" w:rsidP="008C644E" w:rsidRDefault="00DE77AA" w14:paraId="423C2A31" w14:textId="77777777">
          <w:pPr>
            <w:tabs>
              <w:tab w:val="right" w:pos="4273"/>
            </w:tabs>
            <w:spacing w:line="256" w:lineRule="auto"/>
            <w:rPr>
              <w:rFonts w:ascii="Garamond" w:hAnsi="Garamond" w:eastAsia="Calibri"/>
              <w:color w:val="auto"/>
            </w:rPr>
          </w:pPr>
        </w:p>
      </w:tc>
      <w:tc>
        <w:tcPr>
          <w:tcW w:w="6730" w:type="dxa"/>
          <w:hideMark/>
        </w:tcPr>
        <w:p w:rsidR="00D36646" w:rsidRDefault="00DE77AA" w14:paraId="192B639C" w14:textId="77777777"/>
        <w:tbl>
          <w:tblPr>
            <w:tblStyle w:val="Tablaconcuadrcula"/>
            <w:tblW w:w="9220" w:type="dxa"/>
            <w:tblInd w:w="3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9"/>
            <w:gridCol w:w="3259"/>
            <w:gridCol w:w="3402"/>
          </w:tblGrid>
          <w:tr w:rsidR="008C644E" w:rsidTr="00DF6F08" w14:paraId="4460AAC6" w14:textId="77777777">
            <w:trPr>
              <w:trHeight w:val="144"/>
            </w:trPr>
            <w:tc>
              <w:tcPr>
                <w:tcW w:w="2559" w:type="dxa"/>
                <w:hideMark/>
              </w:tcPr>
              <w:p w:rsidR="008C644E" w:rsidP="008C644E" w:rsidRDefault="001D2F08" w14:paraId="309907ED" w14:textId="77777777">
                <w:pPr>
                  <w:tabs>
                    <w:tab w:val="right" w:pos="8838"/>
                  </w:tabs>
                  <w:ind w:left="-74" w:right="-105"/>
                  <w:rPr>
                    <w:rFonts w:eastAsia="Calibri" w:cs="Tahoma"/>
                    <w:b/>
                  </w:rPr>
                </w:pPr>
                <w:bookmarkStart w:name="_Hlk12526980" w:id="3"/>
                <w:r>
                  <w:rPr>
                    <w:rFonts w:eastAsia="Calibri" w:cs="Tahoma"/>
                    <w:b/>
                  </w:rPr>
                  <w:t>Recurso de Revisión:</w:t>
                </w:r>
              </w:p>
            </w:tc>
            <w:tc>
              <w:tcPr>
                <w:tcW w:w="3259" w:type="dxa"/>
                <w:hideMark/>
              </w:tcPr>
              <w:p w:rsidR="008C644E" w:rsidP="008C644E" w:rsidRDefault="005B77A8" w14:paraId="79D1E809" w14:textId="5478DDAE">
                <w:pPr>
                  <w:tabs>
                    <w:tab w:val="right" w:pos="8838"/>
                  </w:tabs>
                  <w:ind w:left="-74" w:right="-105"/>
                  <w:rPr>
                    <w:rFonts w:eastAsia="Calibri" w:cs="Tahoma"/>
                    <w:bCs/>
                  </w:rPr>
                </w:pPr>
                <w:r w:rsidRPr="005B77A8">
                  <w:t>00056/INFOEM/IP/RR/2023</w:t>
                </w:r>
              </w:p>
            </w:tc>
            <w:tc>
              <w:tcPr>
                <w:tcW w:w="3402" w:type="dxa"/>
              </w:tcPr>
              <w:p w:rsidR="008C644E" w:rsidP="008C644E" w:rsidRDefault="00DE77AA" w14:paraId="04BF926A" w14:textId="77777777">
                <w:pPr>
                  <w:tabs>
                    <w:tab w:val="right" w:pos="8838"/>
                  </w:tabs>
                  <w:ind w:left="-74" w:right="-105"/>
                  <w:rPr>
                    <w:rFonts w:eastAsia="Calibri" w:cs="Tahoma"/>
                    <w:bCs/>
                  </w:rPr>
                </w:pPr>
              </w:p>
            </w:tc>
            <w:bookmarkEnd w:id="3"/>
          </w:tr>
          <w:tr w:rsidR="008C644E" w:rsidTr="00DF6F08" w14:paraId="2B8E7492" w14:textId="77777777">
            <w:trPr>
              <w:trHeight w:val="283"/>
            </w:trPr>
            <w:tc>
              <w:tcPr>
                <w:tcW w:w="2559" w:type="dxa"/>
                <w:hideMark/>
              </w:tcPr>
              <w:p w:rsidR="008C644E" w:rsidP="008C644E" w:rsidRDefault="001D2F08" w14:paraId="4B844598" w14:textId="77777777">
                <w:pPr>
                  <w:tabs>
                    <w:tab w:val="right" w:pos="8838"/>
                  </w:tabs>
                  <w:ind w:left="-74" w:right="-105"/>
                  <w:rPr>
                    <w:rFonts w:eastAsia="Calibri" w:cs="Tahoma"/>
                    <w:b/>
                  </w:rPr>
                </w:pPr>
                <w:r>
                  <w:rPr>
                    <w:rFonts w:eastAsia="Calibri" w:cs="Tahoma"/>
                    <w:b/>
                  </w:rPr>
                  <w:t>Sujeto Obligado:</w:t>
                </w:r>
              </w:p>
            </w:tc>
            <w:tc>
              <w:tcPr>
                <w:tcW w:w="3259" w:type="dxa"/>
                <w:hideMark/>
              </w:tcPr>
              <w:p w:rsidRPr="008C644E" w:rsidR="008C644E" w:rsidP="00412BE1" w:rsidRDefault="005B77A8" w14:paraId="2C6EC5FD" w14:textId="2CCC09FC">
                <w:pPr>
                  <w:tabs>
                    <w:tab w:val="left" w:pos="2834"/>
                    <w:tab w:val="right" w:pos="8838"/>
                  </w:tabs>
                  <w:ind w:left="-74" w:right="-105"/>
                  <w:rPr>
                    <w:rFonts w:eastAsia="Calibri" w:cs="Tahoma"/>
                  </w:rPr>
                </w:pPr>
                <w:r w:rsidRPr="005B77A8">
                  <w:rPr>
                    <w:rFonts w:eastAsia="Calibri" w:cs="Tahoma"/>
                    <w:lang w:val="es-MX"/>
                  </w:rPr>
                  <w:t>Ayuntamiento de Temoaya</w:t>
                </w:r>
              </w:p>
            </w:tc>
            <w:tc>
              <w:tcPr>
                <w:tcW w:w="3402" w:type="dxa"/>
              </w:tcPr>
              <w:p w:rsidR="008C644E" w:rsidP="008C644E" w:rsidRDefault="00DE77AA" w14:paraId="30AE58B9" w14:textId="77777777">
                <w:pPr>
                  <w:tabs>
                    <w:tab w:val="left" w:pos="2834"/>
                    <w:tab w:val="right" w:pos="8838"/>
                  </w:tabs>
                  <w:ind w:left="-74" w:right="-105"/>
                  <w:rPr>
                    <w:rFonts w:eastAsia="Calibri" w:cs="Tahoma"/>
                  </w:rPr>
                </w:pPr>
              </w:p>
            </w:tc>
          </w:tr>
          <w:tr w:rsidR="008C644E" w:rsidTr="00DF6F08" w14:paraId="4CA944CC" w14:textId="77777777">
            <w:trPr>
              <w:trHeight w:val="283"/>
            </w:trPr>
            <w:tc>
              <w:tcPr>
                <w:tcW w:w="2559" w:type="dxa"/>
                <w:hideMark/>
              </w:tcPr>
              <w:p w:rsidR="008C644E" w:rsidP="008C644E" w:rsidRDefault="001D2F08" w14:paraId="131AC3D5" w14:textId="77777777">
                <w:pPr>
                  <w:tabs>
                    <w:tab w:val="right" w:pos="8838"/>
                  </w:tabs>
                  <w:ind w:left="-74" w:right="-105"/>
                  <w:rPr>
                    <w:rFonts w:eastAsia="Calibri" w:cs="Tahoma"/>
                    <w:b/>
                  </w:rPr>
                </w:pPr>
                <w:r>
                  <w:rPr>
                    <w:rFonts w:eastAsia="Calibri" w:cs="Tahoma"/>
                    <w:b/>
                  </w:rPr>
                  <w:t xml:space="preserve">Comisionado Ponente: </w:t>
                </w:r>
              </w:p>
            </w:tc>
            <w:tc>
              <w:tcPr>
                <w:tcW w:w="3259" w:type="dxa"/>
                <w:hideMark/>
              </w:tcPr>
              <w:p w:rsidR="008C644E" w:rsidP="008C644E" w:rsidRDefault="001D2F08" w14:paraId="04D77E1A" w14:textId="77777777">
                <w:pPr>
                  <w:tabs>
                    <w:tab w:val="right" w:pos="8838"/>
                  </w:tabs>
                  <w:ind w:left="-74" w:right="-105"/>
                  <w:rPr>
                    <w:rFonts w:eastAsia="Calibri" w:cs="Tahoma"/>
                    <w:b/>
                  </w:rPr>
                </w:pPr>
                <w:r>
                  <w:rPr>
                    <w:rFonts w:eastAsia="Calibri" w:cs="Tahoma"/>
                  </w:rPr>
                  <w:t>Luis Gustavo Parra Noriega</w:t>
                </w:r>
              </w:p>
            </w:tc>
            <w:tc>
              <w:tcPr>
                <w:tcW w:w="3402" w:type="dxa"/>
              </w:tcPr>
              <w:p w:rsidR="008C644E" w:rsidP="008C644E" w:rsidRDefault="00DE77AA" w14:paraId="5A0D5601" w14:textId="77777777">
                <w:pPr>
                  <w:tabs>
                    <w:tab w:val="right" w:pos="8838"/>
                  </w:tabs>
                  <w:ind w:left="-74" w:right="-105"/>
                  <w:rPr>
                    <w:rFonts w:eastAsia="Calibri" w:cs="Tahoma"/>
                  </w:rPr>
                </w:pPr>
              </w:p>
            </w:tc>
          </w:tr>
        </w:tbl>
        <w:p w:rsidR="008C644E" w:rsidP="008C644E" w:rsidRDefault="00DE77AA" w14:paraId="14C1172F" w14:textId="77777777">
          <w:pPr>
            <w:tabs>
              <w:tab w:val="right" w:pos="8838"/>
            </w:tabs>
            <w:spacing w:line="256" w:lineRule="auto"/>
            <w:ind w:left="-28"/>
            <w:rPr>
              <w:rFonts w:ascii="Arial" w:hAnsi="Arial" w:eastAsia="Calibri" w:cs="Arial"/>
              <w:b/>
            </w:rPr>
          </w:pPr>
        </w:p>
      </w:tc>
    </w:tr>
  </w:tbl>
  <w:p w:rsidR="008C644E" w:rsidRDefault="00DE77AA" w14:paraId="652BA475" w14:textId="77777777">
    <w:pPr>
      <w:pStyle w:val="Encabezado"/>
    </w:pPr>
    <w:r>
      <w:rPr>
        <w:noProof/>
      </w:rPr>
      <w:pict w14:anchorId="6638158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7" style="position:absolute;left:0;text-align:left;margin-left:-64.85pt;margin-top:-125.85pt;width:663.5pt;height:12in;z-index:-251658752;mso-position-horizontal-relative:margin;mso-position-vertical-relative:margin" o:spid="_x0000_s2051"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446" w:type="dxa"/>
      <w:tblInd w:w="-893" w:type="dxa"/>
      <w:tblLayout w:type="fixed"/>
      <w:tblLook w:val="04A0" w:firstRow="1" w:lastRow="0" w:firstColumn="1" w:lastColumn="0" w:noHBand="0" w:noVBand="1"/>
    </w:tblPr>
    <w:tblGrid>
      <w:gridCol w:w="2525"/>
      <w:gridCol w:w="8921"/>
    </w:tblGrid>
    <w:tr w:rsidRPr="008C644E" w:rsidR="008C644E" w:rsidTr="06C81FE7" w14:paraId="7C3509A9" w14:textId="77777777">
      <w:trPr>
        <w:trHeight w:val="1484"/>
      </w:trPr>
      <w:tc>
        <w:tcPr>
          <w:tcW w:w="2525" w:type="dxa"/>
          <w:tcMar/>
        </w:tcPr>
        <w:p w:rsidRPr="008C644E" w:rsidR="008C644E" w:rsidP="008C644E" w:rsidRDefault="00DE77AA" w14:paraId="7A9E3827" w14:textId="032FFD51">
          <w:pPr>
            <w:pStyle w:val="Encabezado"/>
          </w:pPr>
        </w:p>
      </w:tc>
      <w:tc>
        <w:tcPr>
          <w:tcW w:w="8921" w:type="dxa"/>
          <w:tcMar/>
          <w:hideMark/>
        </w:tcPr>
        <w:tbl>
          <w:tblPr>
            <w:tblStyle w:val="Tablaconcuadrcula"/>
            <w:tblW w:w="14640" w:type="dxa"/>
            <w:tblInd w:w="17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636"/>
            <w:gridCol w:w="3926"/>
            <w:gridCol w:w="4039"/>
            <w:gridCol w:w="4039"/>
          </w:tblGrid>
          <w:tr w:rsidRPr="008C644E" w:rsidR="003F2F0B" w:rsidTr="06C81FE7" w14:paraId="1551C454" w14:textId="77777777">
            <w:trPr>
              <w:trHeight w:val="147"/>
            </w:trPr>
            <w:tc>
              <w:tcPr>
                <w:tcW w:w="2636" w:type="dxa"/>
                <w:tcMar/>
                <w:hideMark/>
              </w:tcPr>
              <w:p w:rsidRPr="008C644E" w:rsidR="003F2F0B" w:rsidP="00A461B0" w:rsidRDefault="001D2F08" w14:paraId="189E74D1" w14:textId="77777777">
                <w:pPr>
                  <w:pStyle w:val="Encabezado"/>
                  <w:ind w:left="65" w:hanging="119"/>
                  <w:rPr>
                    <w:b/>
                  </w:rPr>
                </w:pPr>
                <w:r w:rsidRPr="008C644E">
                  <w:rPr>
                    <w:b/>
                  </w:rPr>
                  <w:t>Recurso de Revisión:</w:t>
                </w:r>
              </w:p>
            </w:tc>
            <w:tc>
              <w:tcPr>
                <w:tcW w:w="3926" w:type="dxa"/>
                <w:tcMar/>
                <w:hideMark/>
              </w:tcPr>
              <w:p w:rsidRPr="00AC018A" w:rsidR="003F2F0B" w:rsidP="00A461B0" w:rsidRDefault="005B77A8" w14:paraId="11F4479A" w14:textId="2AB6016D">
                <w:pPr>
                  <w:pStyle w:val="Encabezado"/>
                  <w:ind w:left="-19"/>
                </w:pPr>
                <w:r w:rsidRPr="005B77A8">
                  <w:rPr>
                    <w:color w:val="000000"/>
                  </w:rPr>
                  <w:t>00056/INFOEM/IP/RR/2023</w:t>
                </w:r>
              </w:p>
            </w:tc>
            <w:tc>
              <w:tcPr>
                <w:tcW w:w="4039" w:type="dxa"/>
                <w:tcMar/>
              </w:tcPr>
              <w:p w:rsidRPr="008C644E" w:rsidR="003F2F0B" w:rsidP="00A461B0" w:rsidRDefault="00DE77AA" w14:paraId="636B91F8" w14:textId="77777777">
                <w:pPr>
                  <w:pStyle w:val="Encabezado"/>
                  <w:ind w:right="2358"/>
                  <w:rPr>
                    <w:bCs/>
                  </w:rPr>
                </w:pPr>
              </w:p>
            </w:tc>
            <w:tc>
              <w:tcPr>
                <w:tcW w:w="4039" w:type="dxa"/>
                <w:tcMar/>
              </w:tcPr>
              <w:p w:rsidRPr="008C644E" w:rsidR="003F2F0B" w:rsidP="008C644E" w:rsidRDefault="00DE77AA" w14:paraId="30CBCBAF" w14:textId="77777777">
                <w:pPr>
                  <w:pStyle w:val="Encabezado"/>
                  <w:rPr>
                    <w:bCs/>
                  </w:rPr>
                </w:pPr>
              </w:p>
            </w:tc>
          </w:tr>
          <w:tr w:rsidRPr="008C644E" w:rsidR="003F2F0B" w:rsidTr="06C81FE7" w14:paraId="61DAE09E" w14:textId="77777777">
            <w:trPr>
              <w:trHeight w:val="147"/>
            </w:trPr>
            <w:tc>
              <w:tcPr>
                <w:tcW w:w="2636" w:type="dxa"/>
                <w:tcMar/>
                <w:hideMark/>
              </w:tcPr>
              <w:p w:rsidRPr="008C644E" w:rsidR="003F2F0B" w:rsidP="00A461B0" w:rsidRDefault="001D2F08" w14:paraId="7CE5967D" w14:textId="77777777">
                <w:pPr>
                  <w:pStyle w:val="Encabezado"/>
                  <w:ind w:left="65" w:hanging="119"/>
                  <w:rPr>
                    <w:b/>
                  </w:rPr>
                </w:pPr>
                <w:r w:rsidRPr="008C644E">
                  <w:rPr>
                    <w:b/>
                  </w:rPr>
                  <w:t>Recurrente:</w:t>
                </w:r>
              </w:p>
            </w:tc>
            <w:tc>
              <w:tcPr>
                <w:tcW w:w="3926" w:type="dxa"/>
                <w:tcMar/>
              </w:tcPr>
              <w:p w:rsidRPr="008C644E" w:rsidR="003F2F0B" w:rsidP="06C81FE7" w:rsidRDefault="005B77A8" w14:paraId="0ECB40A9" w14:textId="195A2557">
                <w:pPr>
                  <w:pStyle w:val="Encabezado"/>
                  <w:ind w:left="-19"/>
                  <w:rPr>
                    <w:highlight w:val="black"/>
                  </w:rPr>
                </w:pPr>
                <w:r w:rsidRPr="06C81FE7" w:rsidR="06C81FE7">
                  <w:rPr>
                    <w:highlight w:val="black"/>
                  </w:rPr>
                  <w:t>X</w:t>
                </w:r>
              </w:p>
            </w:tc>
            <w:tc>
              <w:tcPr>
                <w:tcW w:w="4039" w:type="dxa"/>
                <w:tcMar/>
              </w:tcPr>
              <w:p w:rsidRPr="008C644E" w:rsidR="003F2F0B" w:rsidP="008C644E" w:rsidRDefault="00DE77AA" w14:paraId="267C41A1" w14:textId="77777777">
                <w:pPr>
                  <w:pStyle w:val="Encabezado"/>
                </w:pPr>
              </w:p>
            </w:tc>
            <w:tc>
              <w:tcPr>
                <w:tcW w:w="4039" w:type="dxa"/>
                <w:tcMar/>
              </w:tcPr>
              <w:p w:rsidRPr="008C644E" w:rsidR="003F2F0B" w:rsidP="008C644E" w:rsidRDefault="00DE77AA" w14:paraId="07EE73BD" w14:textId="77777777">
                <w:pPr>
                  <w:pStyle w:val="Encabezado"/>
                </w:pPr>
              </w:p>
            </w:tc>
          </w:tr>
          <w:tr w:rsidRPr="008C644E" w:rsidR="003F2F0B" w:rsidTr="06C81FE7" w14:paraId="7C378614" w14:textId="77777777">
            <w:trPr>
              <w:trHeight w:val="292"/>
            </w:trPr>
            <w:tc>
              <w:tcPr>
                <w:tcW w:w="2636" w:type="dxa"/>
                <w:tcMar/>
                <w:hideMark/>
              </w:tcPr>
              <w:p w:rsidRPr="008C644E" w:rsidR="003F2F0B" w:rsidP="00A461B0" w:rsidRDefault="001D2F08" w14:paraId="24E7E7C4" w14:textId="77777777">
                <w:pPr>
                  <w:pStyle w:val="Encabezado"/>
                  <w:ind w:left="65" w:hanging="119"/>
                  <w:rPr>
                    <w:b/>
                  </w:rPr>
                </w:pPr>
                <w:r w:rsidRPr="008C644E">
                  <w:rPr>
                    <w:b/>
                  </w:rPr>
                  <w:t>Sujeto Obligado:</w:t>
                </w:r>
              </w:p>
            </w:tc>
            <w:tc>
              <w:tcPr>
                <w:tcW w:w="3926" w:type="dxa"/>
                <w:tcMar/>
                <w:hideMark/>
              </w:tcPr>
              <w:p w:rsidRPr="008C644E" w:rsidR="003F2F0B" w:rsidP="00A461B0" w:rsidRDefault="005B77A8" w14:paraId="6FB2FFED" w14:textId="4FE001E1">
                <w:pPr>
                  <w:pStyle w:val="Encabezado"/>
                  <w:ind w:left="-19" w:right="872"/>
                </w:pPr>
                <w:r w:rsidRPr="005B77A8">
                  <w:rPr>
                    <w:lang w:val="es-MX"/>
                  </w:rPr>
                  <w:t>Ayuntamiento de Temoaya</w:t>
                </w:r>
              </w:p>
            </w:tc>
            <w:tc>
              <w:tcPr>
                <w:tcW w:w="4039" w:type="dxa"/>
                <w:tcMar/>
              </w:tcPr>
              <w:p w:rsidRPr="008C644E" w:rsidR="003F2F0B" w:rsidP="008C644E" w:rsidRDefault="00DE77AA" w14:paraId="41110A01" w14:textId="77777777">
                <w:pPr>
                  <w:pStyle w:val="Encabezado"/>
                </w:pPr>
              </w:p>
            </w:tc>
            <w:tc>
              <w:tcPr>
                <w:tcW w:w="4039" w:type="dxa"/>
                <w:tcMar/>
              </w:tcPr>
              <w:p w:rsidRPr="008C644E" w:rsidR="003F2F0B" w:rsidP="008C644E" w:rsidRDefault="00DE77AA" w14:paraId="45B99936" w14:textId="77777777">
                <w:pPr>
                  <w:pStyle w:val="Encabezado"/>
                </w:pPr>
              </w:p>
            </w:tc>
          </w:tr>
          <w:tr w:rsidRPr="008C644E" w:rsidR="003F2F0B" w:rsidTr="06C81FE7" w14:paraId="439AC6E2" w14:textId="77777777">
            <w:trPr>
              <w:trHeight w:val="292"/>
            </w:trPr>
            <w:tc>
              <w:tcPr>
                <w:tcW w:w="2636" w:type="dxa"/>
                <w:tcMar/>
                <w:hideMark/>
              </w:tcPr>
              <w:p w:rsidRPr="008C644E" w:rsidR="003F2F0B" w:rsidP="00A461B0" w:rsidRDefault="001D2F08" w14:paraId="791FA8D2" w14:textId="77777777">
                <w:pPr>
                  <w:pStyle w:val="Encabezado"/>
                  <w:ind w:left="65" w:hanging="119"/>
                  <w:rPr>
                    <w:b/>
                  </w:rPr>
                </w:pPr>
                <w:r w:rsidRPr="008C644E">
                  <w:rPr>
                    <w:b/>
                  </w:rPr>
                  <w:t xml:space="preserve">Comisionado Ponente: </w:t>
                </w:r>
              </w:p>
            </w:tc>
            <w:tc>
              <w:tcPr>
                <w:tcW w:w="3926" w:type="dxa"/>
                <w:tcMar/>
                <w:hideMark/>
              </w:tcPr>
              <w:p w:rsidRPr="008C644E" w:rsidR="003F2F0B" w:rsidP="00A461B0" w:rsidRDefault="001D2F08" w14:paraId="4E9C6E5C" w14:textId="77777777">
                <w:pPr>
                  <w:pStyle w:val="Encabezado"/>
                  <w:ind w:left="-19"/>
                  <w:rPr>
                    <w:b/>
                  </w:rPr>
                </w:pPr>
                <w:r w:rsidRPr="008C644E">
                  <w:t>Luis Gustavo Parra Noriega</w:t>
                </w:r>
              </w:p>
            </w:tc>
            <w:tc>
              <w:tcPr>
                <w:tcW w:w="4039" w:type="dxa"/>
                <w:tcMar/>
              </w:tcPr>
              <w:p w:rsidRPr="008C644E" w:rsidR="003F2F0B" w:rsidP="008C644E" w:rsidRDefault="00DE77AA" w14:paraId="624292D1" w14:textId="77777777">
                <w:pPr>
                  <w:pStyle w:val="Encabezado"/>
                </w:pPr>
              </w:p>
            </w:tc>
            <w:tc>
              <w:tcPr>
                <w:tcW w:w="4039" w:type="dxa"/>
                <w:tcMar/>
              </w:tcPr>
              <w:p w:rsidRPr="008C644E" w:rsidR="003F2F0B" w:rsidP="008C644E" w:rsidRDefault="00DE77AA" w14:paraId="2F073C23" w14:textId="77777777">
                <w:pPr>
                  <w:pStyle w:val="Encabezado"/>
                </w:pPr>
              </w:p>
            </w:tc>
          </w:tr>
        </w:tbl>
        <w:p w:rsidRPr="008C644E" w:rsidR="008C644E" w:rsidP="008C644E" w:rsidRDefault="00DE77AA" w14:paraId="23CCA079" w14:textId="77777777">
          <w:pPr>
            <w:pStyle w:val="Encabezado"/>
            <w:rPr>
              <w:b/>
            </w:rPr>
          </w:pPr>
        </w:p>
      </w:tc>
    </w:tr>
  </w:tbl>
  <w:p w:rsidR="008C644E" w:rsidRDefault="00DE77AA" w14:paraId="19C09215" w14:textId="77777777">
    <w:pPr>
      <w:pStyle w:val="Encabezado"/>
    </w:pPr>
    <w:r>
      <w:rPr>
        <w:noProof/>
      </w:rPr>
      <w:pict w14:anchorId="109DB03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5" style="position:absolute;left:0;text-align:left;margin-left:-85.8pt;margin-top:-127.5pt;width:663.5pt;height:12in;z-index:-251657728;mso-position-horizontal-relative:margin;mso-position-vertical-relative:margin" o:spid="_x0000_s2049" o:allowincell="f" stroked="t" strokecolor="blue"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3784F"/>
    <w:multiLevelType w:val="hybridMultilevel"/>
    <w:tmpl w:val="1632F556"/>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 w15:restartNumberingAfterBreak="0">
    <w:nsid w:val="1215631B"/>
    <w:multiLevelType w:val="hybridMultilevel"/>
    <w:tmpl w:val="8CE83740"/>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 w15:restartNumberingAfterBreak="0">
    <w:nsid w:val="199B087C"/>
    <w:multiLevelType w:val="hybridMultilevel"/>
    <w:tmpl w:val="7AC8EEC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3" w15:restartNumberingAfterBreak="0">
    <w:nsid w:val="19FD2AEE"/>
    <w:multiLevelType w:val="hybridMultilevel"/>
    <w:tmpl w:val="4818553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1C4F3F89"/>
    <w:multiLevelType w:val="hybridMultilevel"/>
    <w:tmpl w:val="507E6F4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1EB41FAB"/>
    <w:multiLevelType w:val="hybridMultilevel"/>
    <w:tmpl w:val="50B8FDB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1FBA60E1"/>
    <w:multiLevelType w:val="hybridMultilevel"/>
    <w:tmpl w:val="2A62481A"/>
    <w:lvl w:ilvl="0" w:tplc="087AAEF6">
      <w:numFmt w:val="bullet"/>
      <w:lvlText w:val="-"/>
      <w:lvlJc w:val="left"/>
      <w:pPr>
        <w:ind w:left="720" w:hanging="360"/>
      </w:pPr>
      <w:rPr>
        <w:rFonts w:hint="default" w:ascii="Palatino Linotype" w:hAnsi="Palatino Linotype" w:eastAsia="Times New Roman" w:cs="Tahoma"/>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7"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8" w15:restartNumberingAfterBreak="0">
    <w:nsid w:val="28D3504B"/>
    <w:multiLevelType w:val="hybridMultilevel"/>
    <w:tmpl w:val="9C8EA1C4"/>
    <w:lvl w:ilvl="0" w:tplc="70804F3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2F2D0CBB"/>
    <w:multiLevelType w:val="hybridMultilevel"/>
    <w:tmpl w:val="1C7E7F2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0BA7E48"/>
    <w:multiLevelType w:val="hybridMultilevel"/>
    <w:tmpl w:val="CD1E71B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2" w15:restartNumberingAfterBreak="0">
    <w:nsid w:val="37A859D6"/>
    <w:multiLevelType w:val="hybridMultilevel"/>
    <w:tmpl w:val="850825A6"/>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3" w15:restartNumberingAfterBreak="0">
    <w:nsid w:val="497548EC"/>
    <w:multiLevelType w:val="hybridMultilevel"/>
    <w:tmpl w:val="9A344AF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5" w15:restartNumberingAfterBreak="0">
    <w:nsid w:val="52BF2D71"/>
    <w:multiLevelType w:val="hybridMultilevel"/>
    <w:tmpl w:val="6F8E0D9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5C754F4C"/>
    <w:multiLevelType w:val="hybridMultilevel"/>
    <w:tmpl w:val="CE9EFF1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6A4060AD"/>
    <w:multiLevelType w:val="hybridMultilevel"/>
    <w:tmpl w:val="29A2B15C"/>
    <w:lvl w:ilvl="0" w:tplc="080A0001">
      <w:start w:val="1"/>
      <w:numFmt w:val="bullet"/>
      <w:lvlText w:val=""/>
      <w:lvlJc w:val="left"/>
      <w:pPr>
        <w:ind w:left="780" w:hanging="360"/>
      </w:pPr>
      <w:rPr>
        <w:rFonts w:hint="default" w:ascii="Symbol" w:hAnsi="Symbol"/>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18"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9"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0" w15:restartNumberingAfterBreak="0">
    <w:nsid w:val="7ADA4D23"/>
    <w:multiLevelType w:val="hybridMultilevel"/>
    <w:tmpl w:val="D59A059C"/>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1" w15:restartNumberingAfterBreak="0">
    <w:nsid w:val="7E196450"/>
    <w:multiLevelType w:val="hybridMultilevel"/>
    <w:tmpl w:val="28A4AA6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821771215">
    <w:abstractNumId w:val="7"/>
  </w:num>
  <w:num w:numId="2" w16cid:durableId="823080582">
    <w:abstractNumId w:val="19"/>
  </w:num>
  <w:num w:numId="3" w16cid:durableId="980646679">
    <w:abstractNumId w:val="3"/>
  </w:num>
  <w:num w:numId="4" w16cid:durableId="20668362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99189181">
    <w:abstractNumId w:val="20"/>
  </w:num>
  <w:num w:numId="6" w16cid:durableId="15310716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4557709">
    <w:abstractNumId w:val="11"/>
  </w:num>
  <w:num w:numId="8" w16cid:durableId="315308178">
    <w:abstractNumId w:val="12"/>
  </w:num>
  <w:num w:numId="9" w16cid:durableId="1992631174">
    <w:abstractNumId w:val="0"/>
  </w:num>
  <w:num w:numId="10" w16cid:durableId="683482330">
    <w:abstractNumId w:val="8"/>
  </w:num>
  <w:num w:numId="11" w16cid:durableId="88359225">
    <w:abstractNumId w:val="2"/>
  </w:num>
  <w:num w:numId="12" w16cid:durableId="739718280">
    <w:abstractNumId w:val="21"/>
  </w:num>
  <w:num w:numId="13" w16cid:durableId="465465520">
    <w:abstractNumId w:val="4"/>
  </w:num>
  <w:num w:numId="14" w16cid:durableId="1982998334">
    <w:abstractNumId w:val="13"/>
  </w:num>
  <w:num w:numId="15" w16cid:durableId="1643270354">
    <w:abstractNumId w:val="10"/>
  </w:num>
  <w:num w:numId="16" w16cid:durableId="1408653117">
    <w:abstractNumId w:val="5"/>
  </w:num>
  <w:num w:numId="17" w16cid:durableId="2006129406">
    <w:abstractNumId w:val="15"/>
  </w:num>
  <w:num w:numId="18" w16cid:durableId="18008009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29202960">
    <w:abstractNumId w:val="6"/>
  </w:num>
  <w:num w:numId="20" w16cid:durableId="769424994">
    <w:abstractNumId w:val="16"/>
  </w:num>
  <w:num w:numId="21" w16cid:durableId="1900167408">
    <w:abstractNumId w:val="1"/>
  </w:num>
  <w:num w:numId="22" w16cid:durableId="2129269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74134090">
    <w:abstractNumId w:val="9"/>
  </w:num>
  <w:num w:numId="24" w16cid:durableId="141120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B31"/>
    <w:rsid w:val="00043C41"/>
    <w:rsid w:val="00044DF1"/>
    <w:rsid w:val="000609A6"/>
    <w:rsid w:val="00062470"/>
    <w:rsid w:val="00066B31"/>
    <w:rsid w:val="00085698"/>
    <w:rsid w:val="00096F12"/>
    <w:rsid w:val="00097435"/>
    <w:rsid w:val="00097989"/>
    <w:rsid w:val="000A2BC9"/>
    <w:rsid w:val="000E1C0A"/>
    <w:rsid w:val="000F50A3"/>
    <w:rsid w:val="000F73B3"/>
    <w:rsid w:val="001007F3"/>
    <w:rsid w:val="00110A90"/>
    <w:rsid w:val="00117E3C"/>
    <w:rsid w:val="00134D79"/>
    <w:rsid w:val="001443E6"/>
    <w:rsid w:val="001577CA"/>
    <w:rsid w:val="0016412E"/>
    <w:rsid w:val="001656E3"/>
    <w:rsid w:val="001700D9"/>
    <w:rsid w:val="00182545"/>
    <w:rsid w:val="001B6ECC"/>
    <w:rsid w:val="001D2F08"/>
    <w:rsid w:val="001F5790"/>
    <w:rsid w:val="001F6708"/>
    <w:rsid w:val="001F7D27"/>
    <w:rsid w:val="002128C8"/>
    <w:rsid w:val="002144AA"/>
    <w:rsid w:val="002261A2"/>
    <w:rsid w:val="00253FC2"/>
    <w:rsid w:val="002609B4"/>
    <w:rsid w:val="0026252E"/>
    <w:rsid w:val="0027112B"/>
    <w:rsid w:val="00290D5D"/>
    <w:rsid w:val="002A10BA"/>
    <w:rsid w:val="002A4C09"/>
    <w:rsid w:val="002C5748"/>
    <w:rsid w:val="002D5F76"/>
    <w:rsid w:val="002E64C7"/>
    <w:rsid w:val="002F321B"/>
    <w:rsid w:val="0031783C"/>
    <w:rsid w:val="00320419"/>
    <w:rsid w:val="00351577"/>
    <w:rsid w:val="00364798"/>
    <w:rsid w:val="00386B94"/>
    <w:rsid w:val="003B1418"/>
    <w:rsid w:val="0040526C"/>
    <w:rsid w:val="00407871"/>
    <w:rsid w:val="0043086A"/>
    <w:rsid w:val="00440305"/>
    <w:rsid w:val="00446BCA"/>
    <w:rsid w:val="0046432D"/>
    <w:rsid w:val="00480903"/>
    <w:rsid w:val="0048610B"/>
    <w:rsid w:val="00487841"/>
    <w:rsid w:val="004C0B0F"/>
    <w:rsid w:val="004C72FF"/>
    <w:rsid w:val="004E6E96"/>
    <w:rsid w:val="005027D8"/>
    <w:rsid w:val="00514645"/>
    <w:rsid w:val="00544546"/>
    <w:rsid w:val="005447DD"/>
    <w:rsid w:val="0056432C"/>
    <w:rsid w:val="00564652"/>
    <w:rsid w:val="00575679"/>
    <w:rsid w:val="00576074"/>
    <w:rsid w:val="005A3F30"/>
    <w:rsid w:val="005B20CD"/>
    <w:rsid w:val="005B5BC4"/>
    <w:rsid w:val="005B77A8"/>
    <w:rsid w:val="005E56A3"/>
    <w:rsid w:val="00610C0E"/>
    <w:rsid w:val="006464D1"/>
    <w:rsid w:val="00647CAD"/>
    <w:rsid w:val="00647CF6"/>
    <w:rsid w:val="00655443"/>
    <w:rsid w:val="006639E7"/>
    <w:rsid w:val="006710D3"/>
    <w:rsid w:val="00676D85"/>
    <w:rsid w:val="00684F08"/>
    <w:rsid w:val="006A635A"/>
    <w:rsid w:val="006B7AD6"/>
    <w:rsid w:val="006C2940"/>
    <w:rsid w:val="006C2A6E"/>
    <w:rsid w:val="00707872"/>
    <w:rsid w:val="00714788"/>
    <w:rsid w:val="007151DD"/>
    <w:rsid w:val="00725283"/>
    <w:rsid w:val="00730A1A"/>
    <w:rsid w:val="007346D0"/>
    <w:rsid w:val="00741517"/>
    <w:rsid w:val="007636BA"/>
    <w:rsid w:val="00786BB8"/>
    <w:rsid w:val="007A6CC7"/>
    <w:rsid w:val="007D3810"/>
    <w:rsid w:val="0081442D"/>
    <w:rsid w:val="0081647F"/>
    <w:rsid w:val="00844830"/>
    <w:rsid w:val="00844EB8"/>
    <w:rsid w:val="00880564"/>
    <w:rsid w:val="0088130A"/>
    <w:rsid w:val="008A4B29"/>
    <w:rsid w:val="008B3C4E"/>
    <w:rsid w:val="008D5408"/>
    <w:rsid w:val="00912D29"/>
    <w:rsid w:val="00957133"/>
    <w:rsid w:val="00970BAD"/>
    <w:rsid w:val="00972568"/>
    <w:rsid w:val="00984F11"/>
    <w:rsid w:val="00985E40"/>
    <w:rsid w:val="00993A30"/>
    <w:rsid w:val="009A4018"/>
    <w:rsid w:val="009C3EFA"/>
    <w:rsid w:val="009D06C8"/>
    <w:rsid w:val="009E7CCA"/>
    <w:rsid w:val="009F4200"/>
    <w:rsid w:val="00A013A4"/>
    <w:rsid w:val="00A020C8"/>
    <w:rsid w:val="00A02BD4"/>
    <w:rsid w:val="00A0672F"/>
    <w:rsid w:val="00A158AB"/>
    <w:rsid w:val="00A2644F"/>
    <w:rsid w:val="00A461B0"/>
    <w:rsid w:val="00A463E5"/>
    <w:rsid w:val="00A47701"/>
    <w:rsid w:val="00A47EB9"/>
    <w:rsid w:val="00A55B6C"/>
    <w:rsid w:val="00A94C96"/>
    <w:rsid w:val="00AA15DF"/>
    <w:rsid w:val="00AC229D"/>
    <w:rsid w:val="00AC4414"/>
    <w:rsid w:val="00AE0123"/>
    <w:rsid w:val="00AF1FB6"/>
    <w:rsid w:val="00B0001B"/>
    <w:rsid w:val="00B0776D"/>
    <w:rsid w:val="00B2722D"/>
    <w:rsid w:val="00B27FB6"/>
    <w:rsid w:val="00B4209C"/>
    <w:rsid w:val="00B44AA0"/>
    <w:rsid w:val="00B4706D"/>
    <w:rsid w:val="00B5786A"/>
    <w:rsid w:val="00B97F9B"/>
    <w:rsid w:val="00BD559E"/>
    <w:rsid w:val="00BD6C52"/>
    <w:rsid w:val="00C04EC9"/>
    <w:rsid w:val="00C230FF"/>
    <w:rsid w:val="00C2639B"/>
    <w:rsid w:val="00C41DF4"/>
    <w:rsid w:val="00C749E0"/>
    <w:rsid w:val="00C76478"/>
    <w:rsid w:val="00C8149E"/>
    <w:rsid w:val="00C97744"/>
    <w:rsid w:val="00CA305F"/>
    <w:rsid w:val="00CD634B"/>
    <w:rsid w:val="00CF4304"/>
    <w:rsid w:val="00D03847"/>
    <w:rsid w:val="00D04340"/>
    <w:rsid w:val="00D51B89"/>
    <w:rsid w:val="00D56577"/>
    <w:rsid w:val="00D63067"/>
    <w:rsid w:val="00DA6A40"/>
    <w:rsid w:val="00DB6731"/>
    <w:rsid w:val="00DC0BAB"/>
    <w:rsid w:val="00DC122F"/>
    <w:rsid w:val="00DC2C2C"/>
    <w:rsid w:val="00DE67B3"/>
    <w:rsid w:val="00DE77AA"/>
    <w:rsid w:val="00DF6F08"/>
    <w:rsid w:val="00E11DED"/>
    <w:rsid w:val="00E17462"/>
    <w:rsid w:val="00E27D2D"/>
    <w:rsid w:val="00E27D8C"/>
    <w:rsid w:val="00E439ED"/>
    <w:rsid w:val="00E448FD"/>
    <w:rsid w:val="00E52810"/>
    <w:rsid w:val="00EA1D39"/>
    <w:rsid w:val="00EC69D5"/>
    <w:rsid w:val="00EC7871"/>
    <w:rsid w:val="00ED0E2B"/>
    <w:rsid w:val="00ED2BD0"/>
    <w:rsid w:val="00ED7E78"/>
    <w:rsid w:val="00EE0DDB"/>
    <w:rsid w:val="00F54281"/>
    <w:rsid w:val="00F818C7"/>
    <w:rsid w:val="00FA6677"/>
    <w:rsid w:val="00FB4AE8"/>
    <w:rsid w:val="00FC6C9A"/>
    <w:rsid w:val="00FE24DD"/>
    <w:rsid w:val="00FF1DD1"/>
    <w:rsid w:val="06C81F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6F67B18"/>
  <w15:chartTrackingRefBased/>
  <w15:docId w15:val="{E1EE635E-EA1F-49DB-9891-9F46EFABB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27D2D"/>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066B3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066B31"/>
    <w:rPr>
      <w:rFonts w:ascii="Palatino Linotype" w:hAnsi="Palatino Linotype"/>
      <w:color w:val="000000" w:themeColor="text1"/>
    </w:rPr>
  </w:style>
  <w:style w:type="paragraph" w:styleId="Piedepgina">
    <w:name w:val="footer"/>
    <w:basedOn w:val="Normal"/>
    <w:link w:val="PiedepginaCar"/>
    <w:uiPriority w:val="99"/>
    <w:unhideWhenUsed/>
    <w:rsid w:val="00066B3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066B31"/>
    <w:rPr>
      <w:rFonts w:ascii="Palatino Linotype" w:hAnsi="Palatino Linotype"/>
      <w:color w:val="000000" w:themeColor="text1"/>
    </w:rPr>
  </w:style>
  <w:style w:type="table" w:styleId="Tablaconcuadrcula">
    <w:name w:val="Table Grid"/>
    <w:basedOn w:val="Tablanormal"/>
    <w:uiPriority w:val="59"/>
    <w:rsid w:val="00066B31"/>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066B31"/>
    <w:rPr>
      <w:rFonts w:ascii="Century Gothic" w:hAnsi="Century Gothic" w:eastAsia="Times New Roman"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6B31"/>
    <w:pPr>
      <w:spacing w:after="0" w:line="240" w:lineRule="auto"/>
      <w:ind w:left="720"/>
      <w:contextualSpacing/>
      <w:jc w:val="left"/>
    </w:pPr>
    <w:rPr>
      <w:rFonts w:ascii="Century Gothic" w:hAnsi="Century Gothic" w:eastAsia="Times New Roman" w:cs="Times New Roman"/>
      <w:color w:val="auto"/>
      <w:szCs w:val="24"/>
      <w:lang w:eastAsia="es-ES"/>
    </w:rPr>
  </w:style>
  <w:style w:type="character" w:styleId="Hipervnculo">
    <w:name w:val="Hyperlink"/>
    <w:basedOn w:val="Fuentedeprrafopredeter"/>
    <w:uiPriority w:val="99"/>
    <w:unhideWhenUsed/>
    <w:rsid w:val="00066B31"/>
    <w:rPr>
      <w:color w:val="0563C1" w:themeColor="hyperlink"/>
      <w:u w:val="single"/>
    </w:rPr>
  </w:style>
  <w:style w:type="paragraph" w:styleId="NormalWeb">
    <w:name w:val="Normal (Web)"/>
    <w:basedOn w:val="Normal"/>
    <w:uiPriority w:val="99"/>
    <w:unhideWhenUsed/>
    <w:rsid w:val="00C8149E"/>
    <w:pPr>
      <w:spacing w:line="256" w:lineRule="auto"/>
    </w:pPr>
    <w:rPr>
      <w:rFonts w:ascii="Times New Roman" w:hAnsi="Times New Roman" w:cs="Times New Roman"/>
      <w:sz w:val="24"/>
      <w:szCs w:val="24"/>
    </w:rPr>
  </w:style>
  <w:style w:type="character" w:styleId="Mencinsinresolver1" w:customStyle="1">
    <w:name w:val="Mención sin resolver1"/>
    <w:basedOn w:val="Fuentedeprrafopredeter"/>
    <w:uiPriority w:val="99"/>
    <w:semiHidden/>
    <w:unhideWhenUsed/>
    <w:rsid w:val="009A40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6500">
      <w:bodyDiv w:val="1"/>
      <w:marLeft w:val="0"/>
      <w:marRight w:val="0"/>
      <w:marTop w:val="0"/>
      <w:marBottom w:val="0"/>
      <w:divBdr>
        <w:top w:val="none" w:sz="0" w:space="0" w:color="auto"/>
        <w:left w:val="none" w:sz="0" w:space="0" w:color="auto"/>
        <w:bottom w:val="none" w:sz="0" w:space="0" w:color="auto"/>
        <w:right w:val="none" w:sz="0" w:space="0" w:color="auto"/>
      </w:divBdr>
    </w:div>
    <w:div w:id="39599850">
      <w:bodyDiv w:val="1"/>
      <w:marLeft w:val="0"/>
      <w:marRight w:val="0"/>
      <w:marTop w:val="0"/>
      <w:marBottom w:val="0"/>
      <w:divBdr>
        <w:top w:val="none" w:sz="0" w:space="0" w:color="auto"/>
        <w:left w:val="none" w:sz="0" w:space="0" w:color="auto"/>
        <w:bottom w:val="none" w:sz="0" w:space="0" w:color="auto"/>
        <w:right w:val="none" w:sz="0" w:space="0" w:color="auto"/>
      </w:divBdr>
    </w:div>
    <w:div w:id="65885824">
      <w:bodyDiv w:val="1"/>
      <w:marLeft w:val="0"/>
      <w:marRight w:val="0"/>
      <w:marTop w:val="0"/>
      <w:marBottom w:val="0"/>
      <w:divBdr>
        <w:top w:val="none" w:sz="0" w:space="0" w:color="auto"/>
        <w:left w:val="none" w:sz="0" w:space="0" w:color="auto"/>
        <w:bottom w:val="none" w:sz="0" w:space="0" w:color="auto"/>
        <w:right w:val="none" w:sz="0" w:space="0" w:color="auto"/>
      </w:divBdr>
    </w:div>
    <w:div w:id="93287888">
      <w:bodyDiv w:val="1"/>
      <w:marLeft w:val="0"/>
      <w:marRight w:val="0"/>
      <w:marTop w:val="0"/>
      <w:marBottom w:val="0"/>
      <w:divBdr>
        <w:top w:val="none" w:sz="0" w:space="0" w:color="auto"/>
        <w:left w:val="none" w:sz="0" w:space="0" w:color="auto"/>
        <w:bottom w:val="none" w:sz="0" w:space="0" w:color="auto"/>
        <w:right w:val="none" w:sz="0" w:space="0" w:color="auto"/>
      </w:divBdr>
    </w:div>
    <w:div w:id="104202495">
      <w:bodyDiv w:val="1"/>
      <w:marLeft w:val="0"/>
      <w:marRight w:val="0"/>
      <w:marTop w:val="0"/>
      <w:marBottom w:val="0"/>
      <w:divBdr>
        <w:top w:val="none" w:sz="0" w:space="0" w:color="auto"/>
        <w:left w:val="none" w:sz="0" w:space="0" w:color="auto"/>
        <w:bottom w:val="none" w:sz="0" w:space="0" w:color="auto"/>
        <w:right w:val="none" w:sz="0" w:space="0" w:color="auto"/>
      </w:divBdr>
    </w:div>
    <w:div w:id="207498318">
      <w:bodyDiv w:val="1"/>
      <w:marLeft w:val="0"/>
      <w:marRight w:val="0"/>
      <w:marTop w:val="0"/>
      <w:marBottom w:val="0"/>
      <w:divBdr>
        <w:top w:val="none" w:sz="0" w:space="0" w:color="auto"/>
        <w:left w:val="none" w:sz="0" w:space="0" w:color="auto"/>
        <w:bottom w:val="none" w:sz="0" w:space="0" w:color="auto"/>
        <w:right w:val="none" w:sz="0" w:space="0" w:color="auto"/>
      </w:divBdr>
    </w:div>
    <w:div w:id="323628964">
      <w:bodyDiv w:val="1"/>
      <w:marLeft w:val="0"/>
      <w:marRight w:val="0"/>
      <w:marTop w:val="0"/>
      <w:marBottom w:val="0"/>
      <w:divBdr>
        <w:top w:val="none" w:sz="0" w:space="0" w:color="auto"/>
        <w:left w:val="none" w:sz="0" w:space="0" w:color="auto"/>
        <w:bottom w:val="none" w:sz="0" w:space="0" w:color="auto"/>
        <w:right w:val="none" w:sz="0" w:space="0" w:color="auto"/>
      </w:divBdr>
    </w:div>
    <w:div w:id="330521772">
      <w:bodyDiv w:val="1"/>
      <w:marLeft w:val="0"/>
      <w:marRight w:val="0"/>
      <w:marTop w:val="0"/>
      <w:marBottom w:val="0"/>
      <w:divBdr>
        <w:top w:val="none" w:sz="0" w:space="0" w:color="auto"/>
        <w:left w:val="none" w:sz="0" w:space="0" w:color="auto"/>
        <w:bottom w:val="none" w:sz="0" w:space="0" w:color="auto"/>
        <w:right w:val="none" w:sz="0" w:space="0" w:color="auto"/>
      </w:divBdr>
    </w:div>
    <w:div w:id="363947114">
      <w:bodyDiv w:val="1"/>
      <w:marLeft w:val="0"/>
      <w:marRight w:val="0"/>
      <w:marTop w:val="0"/>
      <w:marBottom w:val="0"/>
      <w:divBdr>
        <w:top w:val="none" w:sz="0" w:space="0" w:color="auto"/>
        <w:left w:val="none" w:sz="0" w:space="0" w:color="auto"/>
        <w:bottom w:val="none" w:sz="0" w:space="0" w:color="auto"/>
        <w:right w:val="none" w:sz="0" w:space="0" w:color="auto"/>
      </w:divBdr>
    </w:div>
    <w:div w:id="365522982">
      <w:bodyDiv w:val="1"/>
      <w:marLeft w:val="0"/>
      <w:marRight w:val="0"/>
      <w:marTop w:val="0"/>
      <w:marBottom w:val="0"/>
      <w:divBdr>
        <w:top w:val="none" w:sz="0" w:space="0" w:color="auto"/>
        <w:left w:val="none" w:sz="0" w:space="0" w:color="auto"/>
        <w:bottom w:val="none" w:sz="0" w:space="0" w:color="auto"/>
        <w:right w:val="none" w:sz="0" w:space="0" w:color="auto"/>
      </w:divBdr>
    </w:div>
    <w:div w:id="402797212">
      <w:bodyDiv w:val="1"/>
      <w:marLeft w:val="0"/>
      <w:marRight w:val="0"/>
      <w:marTop w:val="0"/>
      <w:marBottom w:val="0"/>
      <w:divBdr>
        <w:top w:val="none" w:sz="0" w:space="0" w:color="auto"/>
        <w:left w:val="none" w:sz="0" w:space="0" w:color="auto"/>
        <w:bottom w:val="none" w:sz="0" w:space="0" w:color="auto"/>
        <w:right w:val="none" w:sz="0" w:space="0" w:color="auto"/>
      </w:divBdr>
    </w:div>
    <w:div w:id="482698806">
      <w:bodyDiv w:val="1"/>
      <w:marLeft w:val="0"/>
      <w:marRight w:val="0"/>
      <w:marTop w:val="0"/>
      <w:marBottom w:val="0"/>
      <w:divBdr>
        <w:top w:val="none" w:sz="0" w:space="0" w:color="auto"/>
        <w:left w:val="none" w:sz="0" w:space="0" w:color="auto"/>
        <w:bottom w:val="none" w:sz="0" w:space="0" w:color="auto"/>
        <w:right w:val="none" w:sz="0" w:space="0" w:color="auto"/>
      </w:divBdr>
    </w:div>
    <w:div w:id="492448525">
      <w:bodyDiv w:val="1"/>
      <w:marLeft w:val="0"/>
      <w:marRight w:val="0"/>
      <w:marTop w:val="0"/>
      <w:marBottom w:val="0"/>
      <w:divBdr>
        <w:top w:val="none" w:sz="0" w:space="0" w:color="auto"/>
        <w:left w:val="none" w:sz="0" w:space="0" w:color="auto"/>
        <w:bottom w:val="none" w:sz="0" w:space="0" w:color="auto"/>
        <w:right w:val="none" w:sz="0" w:space="0" w:color="auto"/>
      </w:divBdr>
    </w:div>
    <w:div w:id="538467800">
      <w:bodyDiv w:val="1"/>
      <w:marLeft w:val="0"/>
      <w:marRight w:val="0"/>
      <w:marTop w:val="0"/>
      <w:marBottom w:val="0"/>
      <w:divBdr>
        <w:top w:val="none" w:sz="0" w:space="0" w:color="auto"/>
        <w:left w:val="none" w:sz="0" w:space="0" w:color="auto"/>
        <w:bottom w:val="none" w:sz="0" w:space="0" w:color="auto"/>
        <w:right w:val="none" w:sz="0" w:space="0" w:color="auto"/>
      </w:divBdr>
    </w:div>
    <w:div w:id="578755040">
      <w:bodyDiv w:val="1"/>
      <w:marLeft w:val="0"/>
      <w:marRight w:val="0"/>
      <w:marTop w:val="0"/>
      <w:marBottom w:val="0"/>
      <w:divBdr>
        <w:top w:val="none" w:sz="0" w:space="0" w:color="auto"/>
        <w:left w:val="none" w:sz="0" w:space="0" w:color="auto"/>
        <w:bottom w:val="none" w:sz="0" w:space="0" w:color="auto"/>
        <w:right w:val="none" w:sz="0" w:space="0" w:color="auto"/>
      </w:divBdr>
    </w:div>
    <w:div w:id="683555350">
      <w:bodyDiv w:val="1"/>
      <w:marLeft w:val="0"/>
      <w:marRight w:val="0"/>
      <w:marTop w:val="0"/>
      <w:marBottom w:val="0"/>
      <w:divBdr>
        <w:top w:val="none" w:sz="0" w:space="0" w:color="auto"/>
        <w:left w:val="none" w:sz="0" w:space="0" w:color="auto"/>
        <w:bottom w:val="none" w:sz="0" w:space="0" w:color="auto"/>
        <w:right w:val="none" w:sz="0" w:space="0" w:color="auto"/>
      </w:divBdr>
    </w:div>
    <w:div w:id="689574042">
      <w:bodyDiv w:val="1"/>
      <w:marLeft w:val="0"/>
      <w:marRight w:val="0"/>
      <w:marTop w:val="0"/>
      <w:marBottom w:val="0"/>
      <w:divBdr>
        <w:top w:val="none" w:sz="0" w:space="0" w:color="auto"/>
        <w:left w:val="none" w:sz="0" w:space="0" w:color="auto"/>
        <w:bottom w:val="none" w:sz="0" w:space="0" w:color="auto"/>
        <w:right w:val="none" w:sz="0" w:space="0" w:color="auto"/>
      </w:divBdr>
    </w:div>
    <w:div w:id="838425752">
      <w:bodyDiv w:val="1"/>
      <w:marLeft w:val="0"/>
      <w:marRight w:val="0"/>
      <w:marTop w:val="0"/>
      <w:marBottom w:val="0"/>
      <w:divBdr>
        <w:top w:val="none" w:sz="0" w:space="0" w:color="auto"/>
        <w:left w:val="none" w:sz="0" w:space="0" w:color="auto"/>
        <w:bottom w:val="none" w:sz="0" w:space="0" w:color="auto"/>
        <w:right w:val="none" w:sz="0" w:space="0" w:color="auto"/>
      </w:divBdr>
    </w:div>
    <w:div w:id="841161007">
      <w:bodyDiv w:val="1"/>
      <w:marLeft w:val="0"/>
      <w:marRight w:val="0"/>
      <w:marTop w:val="0"/>
      <w:marBottom w:val="0"/>
      <w:divBdr>
        <w:top w:val="none" w:sz="0" w:space="0" w:color="auto"/>
        <w:left w:val="none" w:sz="0" w:space="0" w:color="auto"/>
        <w:bottom w:val="none" w:sz="0" w:space="0" w:color="auto"/>
        <w:right w:val="none" w:sz="0" w:space="0" w:color="auto"/>
      </w:divBdr>
    </w:div>
    <w:div w:id="841621832">
      <w:bodyDiv w:val="1"/>
      <w:marLeft w:val="0"/>
      <w:marRight w:val="0"/>
      <w:marTop w:val="0"/>
      <w:marBottom w:val="0"/>
      <w:divBdr>
        <w:top w:val="none" w:sz="0" w:space="0" w:color="auto"/>
        <w:left w:val="none" w:sz="0" w:space="0" w:color="auto"/>
        <w:bottom w:val="none" w:sz="0" w:space="0" w:color="auto"/>
        <w:right w:val="none" w:sz="0" w:space="0" w:color="auto"/>
      </w:divBdr>
    </w:div>
    <w:div w:id="893353222">
      <w:bodyDiv w:val="1"/>
      <w:marLeft w:val="0"/>
      <w:marRight w:val="0"/>
      <w:marTop w:val="0"/>
      <w:marBottom w:val="0"/>
      <w:divBdr>
        <w:top w:val="none" w:sz="0" w:space="0" w:color="auto"/>
        <w:left w:val="none" w:sz="0" w:space="0" w:color="auto"/>
        <w:bottom w:val="none" w:sz="0" w:space="0" w:color="auto"/>
        <w:right w:val="none" w:sz="0" w:space="0" w:color="auto"/>
      </w:divBdr>
    </w:div>
    <w:div w:id="947590116">
      <w:bodyDiv w:val="1"/>
      <w:marLeft w:val="0"/>
      <w:marRight w:val="0"/>
      <w:marTop w:val="0"/>
      <w:marBottom w:val="0"/>
      <w:divBdr>
        <w:top w:val="none" w:sz="0" w:space="0" w:color="auto"/>
        <w:left w:val="none" w:sz="0" w:space="0" w:color="auto"/>
        <w:bottom w:val="none" w:sz="0" w:space="0" w:color="auto"/>
        <w:right w:val="none" w:sz="0" w:space="0" w:color="auto"/>
      </w:divBdr>
    </w:div>
    <w:div w:id="1014956676">
      <w:bodyDiv w:val="1"/>
      <w:marLeft w:val="0"/>
      <w:marRight w:val="0"/>
      <w:marTop w:val="0"/>
      <w:marBottom w:val="0"/>
      <w:divBdr>
        <w:top w:val="none" w:sz="0" w:space="0" w:color="auto"/>
        <w:left w:val="none" w:sz="0" w:space="0" w:color="auto"/>
        <w:bottom w:val="none" w:sz="0" w:space="0" w:color="auto"/>
        <w:right w:val="none" w:sz="0" w:space="0" w:color="auto"/>
      </w:divBdr>
    </w:div>
    <w:div w:id="1189686220">
      <w:bodyDiv w:val="1"/>
      <w:marLeft w:val="0"/>
      <w:marRight w:val="0"/>
      <w:marTop w:val="0"/>
      <w:marBottom w:val="0"/>
      <w:divBdr>
        <w:top w:val="none" w:sz="0" w:space="0" w:color="auto"/>
        <w:left w:val="none" w:sz="0" w:space="0" w:color="auto"/>
        <w:bottom w:val="none" w:sz="0" w:space="0" w:color="auto"/>
        <w:right w:val="none" w:sz="0" w:space="0" w:color="auto"/>
      </w:divBdr>
    </w:div>
    <w:div w:id="1270821788">
      <w:bodyDiv w:val="1"/>
      <w:marLeft w:val="0"/>
      <w:marRight w:val="0"/>
      <w:marTop w:val="0"/>
      <w:marBottom w:val="0"/>
      <w:divBdr>
        <w:top w:val="none" w:sz="0" w:space="0" w:color="auto"/>
        <w:left w:val="none" w:sz="0" w:space="0" w:color="auto"/>
        <w:bottom w:val="none" w:sz="0" w:space="0" w:color="auto"/>
        <w:right w:val="none" w:sz="0" w:space="0" w:color="auto"/>
      </w:divBdr>
    </w:div>
    <w:div w:id="1316181000">
      <w:bodyDiv w:val="1"/>
      <w:marLeft w:val="0"/>
      <w:marRight w:val="0"/>
      <w:marTop w:val="0"/>
      <w:marBottom w:val="0"/>
      <w:divBdr>
        <w:top w:val="none" w:sz="0" w:space="0" w:color="auto"/>
        <w:left w:val="none" w:sz="0" w:space="0" w:color="auto"/>
        <w:bottom w:val="none" w:sz="0" w:space="0" w:color="auto"/>
        <w:right w:val="none" w:sz="0" w:space="0" w:color="auto"/>
      </w:divBdr>
    </w:div>
    <w:div w:id="1335836703">
      <w:bodyDiv w:val="1"/>
      <w:marLeft w:val="0"/>
      <w:marRight w:val="0"/>
      <w:marTop w:val="0"/>
      <w:marBottom w:val="0"/>
      <w:divBdr>
        <w:top w:val="none" w:sz="0" w:space="0" w:color="auto"/>
        <w:left w:val="none" w:sz="0" w:space="0" w:color="auto"/>
        <w:bottom w:val="none" w:sz="0" w:space="0" w:color="auto"/>
        <w:right w:val="none" w:sz="0" w:space="0" w:color="auto"/>
      </w:divBdr>
    </w:div>
    <w:div w:id="1365132067">
      <w:bodyDiv w:val="1"/>
      <w:marLeft w:val="0"/>
      <w:marRight w:val="0"/>
      <w:marTop w:val="0"/>
      <w:marBottom w:val="0"/>
      <w:divBdr>
        <w:top w:val="none" w:sz="0" w:space="0" w:color="auto"/>
        <w:left w:val="none" w:sz="0" w:space="0" w:color="auto"/>
        <w:bottom w:val="none" w:sz="0" w:space="0" w:color="auto"/>
        <w:right w:val="none" w:sz="0" w:space="0" w:color="auto"/>
      </w:divBdr>
    </w:div>
    <w:div w:id="1391886216">
      <w:bodyDiv w:val="1"/>
      <w:marLeft w:val="0"/>
      <w:marRight w:val="0"/>
      <w:marTop w:val="0"/>
      <w:marBottom w:val="0"/>
      <w:divBdr>
        <w:top w:val="none" w:sz="0" w:space="0" w:color="auto"/>
        <w:left w:val="none" w:sz="0" w:space="0" w:color="auto"/>
        <w:bottom w:val="none" w:sz="0" w:space="0" w:color="auto"/>
        <w:right w:val="none" w:sz="0" w:space="0" w:color="auto"/>
      </w:divBdr>
    </w:div>
    <w:div w:id="1482187224">
      <w:bodyDiv w:val="1"/>
      <w:marLeft w:val="0"/>
      <w:marRight w:val="0"/>
      <w:marTop w:val="0"/>
      <w:marBottom w:val="0"/>
      <w:divBdr>
        <w:top w:val="none" w:sz="0" w:space="0" w:color="auto"/>
        <w:left w:val="none" w:sz="0" w:space="0" w:color="auto"/>
        <w:bottom w:val="none" w:sz="0" w:space="0" w:color="auto"/>
        <w:right w:val="none" w:sz="0" w:space="0" w:color="auto"/>
      </w:divBdr>
    </w:div>
    <w:div w:id="1543863916">
      <w:bodyDiv w:val="1"/>
      <w:marLeft w:val="0"/>
      <w:marRight w:val="0"/>
      <w:marTop w:val="0"/>
      <w:marBottom w:val="0"/>
      <w:divBdr>
        <w:top w:val="none" w:sz="0" w:space="0" w:color="auto"/>
        <w:left w:val="none" w:sz="0" w:space="0" w:color="auto"/>
        <w:bottom w:val="none" w:sz="0" w:space="0" w:color="auto"/>
        <w:right w:val="none" w:sz="0" w:space="0" w:color="auto"/>
      </w:divBdr>
    </w:div>
    <w:div w:id="1617103131">
      <w:bodyDiv w:val="1"/>
      <w:marLeft w:val="0"/>
      <w:marRight w:val="0"/>
      <w:marTop w:val="0"/>
      <w:marBottom w:val="0"/>
      <w:divBdr>
        <w:top w:val="none" w:sz="0" w:space="0" w:color="auto"/>
        <w:left w:val="none" w:sz="0" w:space="0" w:color="auto"/>
        <w:bottom w:val="none" w:sz="0" w:space="0" w:color="auto"/>
        <w:right w:val="none" w:sz="0" w:space="0" w:color="auto"/>
      </w:divBdr>
    </w:div>
    <w:div w:id="1789158907">
      <w:bodyDiv w:val="1"/>
      <w:marLeft w:val="0"/>
      <w:marRight w:val="0"/>
      <w:marTop w:val="0"/>
      <w:marBottom w:val="0"/>
      <w:divBdr>
        <w:top w:val="none" w:sz="0" w:space="0" w:color="auto"/>
        <w:left w:val="none" w:sz="0" w:space="0" w:color="auto"/>
        <w:bottom w:val="none" w:sz="0" w:space="0" w:color="auto"/>
        <w:right w:val="none" w:sz="0" w:space="0" w:color="auto"/>
      </w:divBdr>
    </w:div>
    <w:div w:id="1943146835">
      <w:bodyDiv w:val="1"/>
      <w:marLeft w:val="0"/>
      <w:marRight w:val="0"/>
      <w:marTop w:val="0"/>
      <w:marBottom w:val="0"/>
      <w:divBdr>
        <w:top w:val="none" w:sz="0" w:space="0" w:color="auto"/>
        <w:left w:val="none" w:sz="0" w:space="0" w:color="auto"/>
        <w:bottom w:val="none" w:sz="0" w:space="0" w:color="auto"/>
        <w:right w:val="none" w:sz="0" w:space="0" w:color="auto"/>
      </w:divBdr>
    </w:div>
    <w:div w:id="1958558843">
      <w:bodyDiv w:val="1"/>
      <w:marLeft w:val="0"/>
      <w:marRight w:val="0"/>
      <w:marTop w:val="0"/>
      <w:marBottom w:val="0"/>
      <w:divBdr>
        <w:top w:val="none" w:sz="0" w:space="0" w:color="auto"/>
        <w:left w:val="none" w:sz="0" w:space="0" w:color="auto"/>
        <w:bottom w:val="none" w:sz="0" w:space="0" w:color="auto"/>
        <w:right w:val="none" w:sz="0" w:space="0" w:color="auto"/>
      </w:divBdr>
    </w:div>
    <w:div w:id="1975403815">
      <w:bodyDiv w:val="1"/>
      <w:marLeft w:val="0"/>
      <w:marRight w:val="0"/>
      <w:marTop w:val="0"/>
      <w:marBottom w:val="0"/>
      <w:divBdr>
        <w:top w:val="none" w:sz="0" w:space="0" w:color="auto"/>
        <w:left w:val="none" w:sz="0" w:space="0" w:color="auto"/>
        <w:bottom w:val="none" w:sz="0" w:space="0" w:color="auto"/>
        <w:right w:val="none" w:sz="0" w:space="0" w:color="auto"/>
      </w:divBdr>
    </w:div>
    <w:div w:id="2046711869">
      <w:bodyDiv w:val="1"/>
      <w:marLeft w:val="0"/>
      <w:marRight w:val="0"/>
      <w:marTop w:val="0"/>
      <w:marBottom w:val="0"/>
      <w:divBdr>
        <w:top w:val="none" w:sz="0" w:space="0" w:color="auto"/>
        <w:left w:val="none" w:sz="0" w:space="0" w:color="auto"/>
        <w:bottom w:val="none" w:sz="0" w:space="0" w:color="auto"/>
        <w:right w:val="none" w:sz="0" w:space="0" w:color="auto"/>
      </w:divBdr>
    </w:div>
    <w:div w:id="2047177800">
      <w:bodyDiv w:val="1"/>
      <w:marLeft w:val="0"/>
      <w:marRight w:val="0"/>
      <w:marTop w:val="0"/>
      <w:marBottom w:val="0"/>
      <w:divBdr>
        <w:top w:val="none" w:sz="0" w:space="0" w:color="auto"/>
        <w:left w:val="none" w:sz="0" w:space="0" w:color="auto"/>
        <w:bottom w:val="none" w:sz="0" w:space="0" w:color="auto"/>
        <w:right w:val="none" w:sz="0" w:space="0" w:color="auto"/>
      </w:divBdr>
    </w:div>
    <w:div w:id="2050103460">
      <w:bodyDiv w:val="1"/>
      <w:marLeft w:val="0"/>
      <w:marRight w:val="0"/>
      <w:marTop w:val="0"/>
      <w:marBottom w:val="0"/>
      <w:divBdr>
        <w:top w:val="none" w:sz="0" w:space="0" w:color="auto"/>
        <w:left w:val="none" w:sz="0" w:space="0" w:color="auto"/>
        <w:bottom w:val="none" w:sz="0" w:space="0" w:color="auto"/>
        <w:right w:val="none" w:sz="0" w:space="0" w:color="auto"/>
      </w:divBdr>
    </w:div>
    <w:div w:id="2060200184">
      <w:bodyDiv w:val="1"/>
      <w:marLeft w:val="0"/>
      <w:marRight w:val="0"/>
      <w:marTop w:val="0"/>
      <w:marBottom w:val="0"/>
      <w:divBdr>
        <w:top w:val="none" w:sz="0" w:space="0" w:color="auto"/>
        <w:left w:val="none" w:sz="0" w:space="0" w:color="auto"/>
        <w:bottom w:val="none" w:sz="0" w:space="0" w:color="auto"/>
        <w:right w:val="none" w:sz="0" w:space="0" w:color="auto"/>
      </w:divBdr>
    </w:div>
    <w:div w:id="2065643878">
      <w:bodyDiv w:val="1"/>
      <w:marLeft w:val="0"/>
      <w:marRight w:val="0"/>
      <w:marTop w:val="0"/>
      <w:marBottom w:val="0"/>
      <w:divBdr>
        <w:top w:val="none" w:sz="0" w:space="0" w:color="auto"/>
        <w:left w:val="none" w:sz="0" w:space="0" w:color="auto"/>
        <w:bottom w:val="none" w:sz="0" w:space="0" w:color="auto"/>
        <w:right w:val="none" w:sz="0" w:space="0" w:color="auto"/>
      </w:divBdr>
    </w:div>
    <w:div w:id="2067794981">
      <w:bodyDiv w:val="1"/>
      <w:marLeft w:val="0"/>
      <w:marRight w:val="0"/>
      <w:marTop w:val="0"/>
      <w:marBottom w:val="0"/>
      <w:divBdr>
        <w:top w:val="none" w:sz="0" w:space="0" w:color="auto"/>
        <w:left w:val="none" w:sz="0" w:space="0" w:color="auto"/>
        <w:bottom w:val="none" w:sz="0" w:space="0" w:color="auto"/>
        <w:right w:val="none" w:sz="0" w:space="0" w:color="auto"/>
      </w:divBdr>
    </w:div>
    <w:div w:id="2085684633">
      <w:bodyDiv w:val="1"/>
      <w:marLeft w:val="0"/>
      <w:marRight w:val="0"/>
      <w:marTop w:val="0"/>
      <w:marBottom w:val="0"/>
      <w:divBdr>
        <w:top w:val="none" w:sz="0" w:space="0" w:color="auto"/>
        <w:left w:val="none" w:sz="0" w:space="0" w:color="auto"/>
        <w:bottom w:val="none" w:sz="0" w:space="0" w:color="auto"/>
        <w:right w:val="none" w:sz="0" w:space="0" w:color="auto"/>
      </w:divBdr>
    </w:div>
    <w:div w:id="2095010039">
      <w:bodyDiv w:val="1"/>
      <w:marLeft w:val="0"/>
      <w:marRight w:val="0"/>
      <w:marTop w:val="0"/>
      <w:marBottom w:val="0"/>
      <w:divBdr>
        <w:top w:val="none" w:sz="0" w:space="0" w:color="auto"/>
        <w:left w:val="none" w:sz="0" w:space="0" w:color="auto"/>
        <w:bottom w:val="none" w:sz="0" w:space="0" w:color="auto"/>
        <w:right w:val="none" w:sz="0" w:space="0" w:color="auto"/>
      </w:divBdr>
    </w:div>
    <w:div w:id="2103791470">
      <w:bodyDiv w:val="1"/>
      <w:marLeft w:val="0"/>
      <w:marRight w:val="0"/>
      <w:marTop w:val="0"/>
      <w:marBottom w:val="0"/>
      <w:divBdr>
        <w:top w:val="none" w:sz="0" w:space="0" w:color="auto"/>
        <w:left w:val="none" w:sz="0" w:space="0" w:color="auto"/>
        <w:bottom w:val="none" w:sz="0" w:space="0" w:color="auto"/>
        <w:right w:val="none" w:sz="0" w:space="0" w:color="auto"/>
      </w:divBdr>
    </w:div>
    <w:div w:id="2134860754">
      <w:bodyDiv w:val="1"/>
      <w:marLeft w:val="0"/>
      <w:marRight w:val="0"/>
      <w:marTop w:val="0"/>
      <w:marBottom w:val="0"/>
      <w:divBdr>
        <w:top w:val="none" w:sz="0" w:space="0" w:color="auto"/>
        <w:left w:val="none" w:sz="0" w:space="0" w:color="auto"/>
        <w:bottom w:val="none" w:sz="0" w:space="0" w:color="auto"/>
        <w:right w:val="none" w:sz="0" w:space="0" w:color="auto"/>
      </w:divBdr>
    </w:div>
    <w:div w:id="214276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header" Target="header3.xml" Id="rId14" /><Relationship Type="http://schemas.openxmlformats.org/officeDocument/2006/relationships/glossaryDocument" Target="glossary/document.xml" Id="R7943554be7cd41e6"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bfb0c03b-19d6-41e8-bf55-f124c937dbac}"/>
      </w:docPartPr>
      <w:docPartBody>
        <w:p w14:paraId="58DACD2E">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72717-2843-460F-9DCA-47E1007DEEA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IVAN PEÑA VARA</dc:creator>
  <keywords/>
  <dc:description/>
  <lastModifiedBy>Denisse Eduarte</lastModifiedBy>
  <revision>4</revision>
  <dcterms:created xsi:type="dcterms:W3CDTF">2023-02-22T21:12:00.0000000Z</dcterms:created>
  <dcterms:modified xsi:type="dcterms:W3CDTF">2023-04-11T16:24:05.6259091Z</dcterms:modified>
</coreProperties>
</file>