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B3" w:rsidRPr="00A369A0" w:rsidRDefault="00B063B3" w:rsidP="00B063B3">
      <w:pPr>
        <w:spacing w:line="360" w:lineRule="auto"/>
        <w:jc w:val="both"/>
        <w:rPr>
          <w:rFonts w:ascii="Palatino Linotype" w:eastAsiaTheme="minorEastAsia" w:hAnsi="Palatino Linotype"/>
          <w:lang w:val="es-ES_tradnl" w:eastAsia="es-ES"/>
        </w:rPr>
      </w:pPr>
      <w:r w:rsidRPr="00A369A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ocho (08) de marzo de dos mil veintitrés.</w:t>
      </w:r>
    </w:p>
    <w:p w:rsidR="00B063B3" w:rsidRPr="00A369A0" w:rsidRDefault="00B063B3" w:rsidP="00B063B3">
      <w:pPr>
        <w:spacing w:line="360" w:lineRule="auto"/>
        <w:jc w:val="both"/>
        <w:rPr>
          <w:rFonts w:ascii="Palatino Linotype" w:eastAsiaTheme="minorEastAsia" w:hAnsi="Palatino Linotype"/>
          <w:lang w:val="es-ES_tradnl" w:eastAsia="es-ES"/>
        </w:rPr>
      </w:pPr>
    </w:p>
    <w:p w:rsidR="00B063B3" w:rsidRPr="00A369A0" w:rsidRDefault="00B063B3" w:rsidP="00B063B3">
      <w:pPr>
        <w:spacing w:line="360" w:lineRule="auto"/>
        <w:jc w:val="both"/>
        <w:rPr>
          <w:rFonts w:ascii="Palatino Linotype" w:hAnsi="Palatino Linotype"/>
        </w:rPr>
      </w:pPr>
      <w:r w:rsidRPr="00A369A0">
        <w:rPr>
          <w:rFonts w:ascii="Palatino Linotype" w:hAnsi="Palatino Linotype"/>
          <w:b/>
        </w:rPr>
        <w:t>VISTO</w:t>
      </w:r>
      <w:r w:rsidRPr="00A369A0">
        <w:rPr>
          <w:rFonts w:ascii="Palatino Linotype" w:hAnsi="Palatino Linotype"/>
        </w:rPr>
        <w:t xml:space="preserve"> el expediente electrónico formado con motivo del recurso de revisión </w:t>
      </w:r>
      <w:r w:rsidRPr="00A369A0">
        <w:rPr>
          <w:rFonts w:ascii="Palatino Linotype" w:hAnsi="Palatino Linotype"/>
          <w:b/>
        </w:rPr>
        <w:t>00753/INFOEM/IP/RR/2023,</w:t>
      </w:r>
      <w:r w:rsidRPr="00A369A0">
        <w:rPr>
          <w:rFonts w:ascii="Palatino Linotype" w:hAnsi="Palatino Linotype" w:cs="Arial"/>
          <w:b/>
          <w:bCs/>
        </w:rPr>
        <w:t xml:space="preserve"> </w:t>
      </w:r>
      <w:r w:rsidRPr="00A369A0">
        <w:rPr>
          <w:rFonts w:ascii="Palatino Linotype" w:eastAsiaTheme="minorEastAsia" w:hAnsi="Palatino Linotype"/>
          <w:lang w:val="es-ES_tradnl" w:eastAsia="es-ES"/>
        </w:rPr>
        <w:t xml:space="preserve">promovido por </w:t>
      </w:r>
      <w:r w:rsidRPr="00A369A0">
        <w:rPr>
          <w:rFonts w:ascii="Palatino Linotype" w:eastAsiaTheme="minorEastAsia" w:hAnsi="Palatino Linotype"/>
          <w:bCs/>
          <w:lang w:eastAsia="es-ES"/>
        </w:rPr>
        <w:t>un usuario del Sistema de Acceso a la Información Mexiquense (SAIMEX), que no proporcionó nombre</w:t>
      </w:r>
      <w:r w:rsidRPr="00A369A0">
        <w:rPr>
          <w:rFonts w:ascii="Palatino Linotype" w:eastAsiaTheme="minorEastAsia" w:hAnsi="Palatino Linotype"/>
          <w:lang w:val="es-ES" w:eastAsia="es-ES"/>
        </w:rPr>
        <w:t xml:space="preserve"> y quien en lo </w:t>
      </w:r>
      <w:r w:rsidRPr="00A369A0">
        <w:rPr>
          <w:rFonts w:ascii="Palatino Linotype" w:hAnsi="Palatino Linotype"/>
        </w:rPr>
        <w:t xml:space="preserve">sucesivo se identificará como </w:t>
      </w:r>
      <w:r w:rsidRPr="00A369A0">
        <w:rPr>
          <w:rFonts w:ascii="Palatino Linotype" w:hAnsi="Palatino Linotype"/>
          <w:b/>
        </w:rPr>
        <w:t xml:space="preserve">EL </w:t>
      </w:r>
      <w:r w:rsidRPr="00A369A0">
        <w:rPr>
          <w:rFonts w:ascii="Palatino Linotype" w:hAnsi="Palatino Linotype" w:cs="Arial"/>
          <w:b/>
        </w:rPr>
        <w:t>RECURRENTE</w:t>
      </w:r>
      <w:r w:rsidRPr="00A369A0">
        <w:rPr>
          <w:rFonts w:ascii="Palatino Linotype" w:hAnsi="Palatino Linotype" w:cs="Arial"/>
        </w:rPr>
        <w:t xml:space="preserve">, en contra de la respuesta del </w:t>
      </w:r>
      <w:r w:rsidRPr="00A369A0">
        <w:rPr>
          <w:rFonts w:ascii="Palatino Linotype" w:hAnsi="Palatino Linotype" w:cs="Arial"/>
          <w:b/>
        </w:rPr>
        <w:t>Ayuntamiento de Zinacantepec,</w:t>
      </w:r>
      <w:r w:rsidRPr="00A369A0">
        <w:rPr>
          <w:rFonts w:ascii="Palatino Linotype" w:hAnsi="Palatino Linotype"/>
          <w:b/>
        </w:rPr>
        <w:t xml:space="preserve"> </w:t>
      </w:r>
      <w:r w:rsidRPr="00A369A0">
        <w:rPr>
          <w:rFonts w:ascii="Palatino Linotype" w:hAnsi="Palatino Linotype"/>
        </w:rPr>
        <w:t>en lo sucesivo el</w:t>
      </w:r>
      <w:r w:rsidRPr="00A369A0">
        <w:rPr>
          <w:rFonts w:ascii="Palatino Linotype" w:hAnsi="Palatino Linotype"/>
          <w:b/>
        </w:rPr>
        <w:t xml:space="preserve"> SUJETO OBLIGADO</w:t>
      </w:r>
      <w:r w:rsidRPr="00A369A0">
        <w:rPr>
          <w:rFonts w:ascii="Palatino Linotype" w:hAnsi="Palatino Linotype"/>
        </w:rPr>
        <w:t>, por lo que se procede a dictar la presente resolución, con base en los siguientes:</w:t>
      </w:r>
    </w:p>
    <w:p w:rsidR="00B063B3" w:rsidRPr="00A369A0" w:rsidRDefault="00B063B3" w:rsidP="00B063B3">
      <w:pPr>
        <w:spacing w:line="360" w:lineRule="auto"/>
        <w:jc w:val="both"/>
        <w:rPr>
          <w:rFonts w:ascii="Palatino Linotype" w:hAnsi="Palatino Linotype"/>
        </w:rPr>
      </w:pPr>
    </w:p>
    <w:p w:rsidR="00B063B3" w:rsidRPr="00A369A0" w:rsidRDefault="00B063B3" w:rsidP="00B063B3">
      <w:pPr>
        <w:keepNext/>
        <w:keepLines/>
        <w:spacing w:line="360" w:lineRule="auto"/>
        <w:jc w:val="center"/>
        <w:outlineLvl w:val="0"/>
        <w:rPr>
          <w:rFonts w:ascii="Palatino Linotype" w:eastAsiaTheme="majorEastAsia" w:hAnsi="Palatino Linotype" w:cstheme="majorBidi"/>
          <w:b/>
          <w:szCs w:val="32"/>
        </w:rPr>
      </w:pPr>
      <w:bookmarkStart w:id="0" w:name="_Toc83301633"/>
      <w:r w:rsidRPr="00A369A0">
        <w:rPr>
          <w:rFonts w:ascii="Palatino Linotype" w:eastAsiaTheme="majorEastAsia" w:hAnsi="Palatino Linotype" w:cstheme="majorBidi"/>
          <w:b/>
          <w:szCs w:val="32"/>
        </w:rPr>
        <w:t>ANTECEDENTES</w:t>
      </w:r>
      <w:bookmarkEnd w:id="0"/>
    </w:p>
    <w:p w:rsidR="00B063B3" w:rsidRPr="00A369A0" w:rsidRDefault="00B063B3" w:rsidP="00B063B3">
      <w:pPr>
        <w:spacing w:line="360" w:lineRule="auto"/>
        <w:rPr>
          <w:rFonts w:ascii="Palatino Linotype" w:eastAsiaTheme="minorEastAsia" w:hAnsi="Palatino Linotype"/>
        </w:rPr>
      </w:pPr>
    </w:p>
    <w:p w:rsidR="00B063B3" w:rsidRPr="00A369A0" w:rsidRDefault="00B063B3" w:rsidP="00B063B3">
      <w:pPr>
        <w:numPr>
          <w:ilvl w:val="0"/>
          <w:numId w:val="1"/>
        </w:numPr>
        <w:spacing w:line="360" w:lineRule="auto"/>
        <w:ind w:left="0" w:firstLine="0"/>
        <w:contextualSpacing/>
        <w:jc w:val="both"/>
        <w:rPr>
          <w:rFonts w:ascii="Palatino Linotype" w:hAnsi="Palatino Linotype" w:cs="Arial"/>
          <w:lang w:val="es-ES" w:eastAsia="es-ES"/>
        </w:rPr>
      </w:pPr>
      <w:r w:rsidRPr="00A369A0">
        <w:rPr>
          <w:rFonts w:ascii="Palatino Linotype" w:eastAsia="Calibri" w:hAnsi="Palatino Linotype" w:cs="Arial"/>
          <w:lang w:val="es-ES" w:eastAsia="es-ES"/>
        </w:rPr>
        <w:t>El nueve (09) de enero de dos mil veintitrés,</w:t>
      </w:r>
      <w:r w:rsidRPr="00A369A0">
        <w:rPr>
          <w:rFonts w:ascii="Palatino Linotype" w:eastAsia="Calibri" w:hAnsi="Palatino Linotype"/>
          <w:lang w:val="es-ES" w:eastAsia="es-ES"/>
        </w:rPr>
        <w:t xml:space="preserve"> </w:t>
      </w:r>
      <w:r w:rsidRPr="00A369A0">
        <w:rPr>
          <w:rFonts w:ascii="Palatino Linotype" w:eastAsia="Calibri" w:hAnsi="Palatino Linotype"/>
          <w:b/>
          <w:lang w:val="es-ES" w:eastAsia="es-ES"/>
        </w:rPr>
        <w:t>EL RECURRENTE</w:t>
      </w:r>
      <w:r w:rsidRPr="00A369A0">
        <w:rPr>
          <w:rFonts w:ascii="Palatino Linotype" w:eastAsiaTheme="minorEastAsia" w:hAnsi="Palatino Linotype"/>
          <w:b/>
          <w:lang w:val="es-ES_tradnl" w:eastAsia="es-ES"/>
        </w:rPr>
        <w:t>,</w:t>
      </w:r>
      <w:r w:rsidRPr="00A369A0">
        <w:rPr>
          <w:rFonts w:ascii="Palatino Linotype" w:eastAsia="Calibri" w:hAnsi="Palatino Linotype" w:cs="Arial"/>
          <w:lang w:val="es-ES" w:eastAsia="es-ES"/>
        </w:rPr>
        <w:t xml:space="preserve"> ante el </w:t>
      </w:r>
      <w:r w:rsidRPr="00A369A0">
        <w:rPr>
          <w:rFonts w:ascii="Palatino Linotype" w:eastAsia="Calibri" w:hAnsi="Palatino Linotype" w:cs="Arial"/>
          <w:b/>
          <w:lang w:val="es-ES" w:eastAsia="es-ES"/>
        </w:rPr>
        <w:t>SUJETO OBLIGADO</w:t>
      </w:r>
      <w:r w:rsidRPr="00A369A0">
        <w:rPr>
          <w:rFonts w:ascii="Palatino Linotype" w:eastAsia="Calibri" w:hAnsi="Palatino Linotype" w:cs="Arial"/>
          <w:lang w:val="es-ES_tradnl" w:eastAsia="es-ES"/>
        </w:rPr>
        <w:t xml:space="preserve"> vía </w:t>
      </w:r>
      <w:r w:rsidRPr="00A369A0">
        <w:rPr>
          <w:rFonts w:ascii="Palatino Linotype" w:eastAsia="Calibri" w:hAnsi="Palatino Linotype" w:cs="Arial"/>
          <w:lang w:val="es-ES" w:eastAsia="es-ES"/>
        </w:rPr>
        <w:t>Sistema de Acceso a la Información Mexiquense (</w:t>
      </w:r>
      <w:r w:rsidRPr="00A369A0">
        <w:rPr>
          <w:rFonts w:ascii="Palatino Linotype" w:eastAsia="Calibri" w:hAnsi="Palatino Linotype" w:cs="Arial"/>
          <w:b/>
          <w:lang w:val="es-ES" w:eastAsia="es-ES"/>
        </w:rPr>
        <w:t>SAIMEX)</w:t>
      </w:r>
      <w:r w:rsidRPr="00A369A0">
        <w:rPr>
          <w:rFonts w:ascii="Palatino Linotype" w:eastAsia="Calibri" w:hAnsi="Palatino Linotype" w:cs="Arial"/>
          <w:lang w:val="es-ES" w:eastAsia="es-ES"/>
        </w:rPr>
        <w:t xml:space="preserve">, presentó una solicitud de información registrada con el número </w:t>
      </w:r>
      <w:r w:rsidRPr="00A369A0">
        <w:rPr>
          <w:rFonts w:ascii="Palatino Linotype" w:hAnsi="Palatino Linotype"/>
          <w:b/>
          <w:bCs/>
        </w:rPr>
        <w:t>00025/ZINACANT/IP/2023</w:t>
      </w:r>
      <w:r w:rsidRPr="00A369A0">
        <w:rPr>
          <w:rFonts w:ascii="Palatino Linotype" w:eastAsiaTheme="minorEastAsia" w:hAnsi="Palatino Linotype"/>
          <w:b/>
          <w:lang w:val="es-ES_tradnl" w:eastAsia="es-ES"/>
        </w:rPr>
        <w:t xml:space="preserve">, </w:t>
      </w:r>
      <w:r w:rsidRPr="00A369A0">
        <w:rPr>
          <w:rFonts w:ascii="Palatino Linotype" w:eastAsia="Calibri" w:hAnsi="Palatino Linotype" w:cs="Arial"/>
          <w:lang w:val="es-ES" w:eastAsia="es-ES"/>
        </w:rPr>
        <w:t>mediante la cual solicitó lo siguiente:</w:t>
      </w:r>
    </w:p>
    <w:p w:rsidR="00B063B3" w:rsidRPr="00A369A0" w:rsidRDefault="00B063B3" w:rsidP="00B063B3">
      <w:pPr>
        <w:spacing w:line="360" w:lineRule="auto"/>
        <w:contextualSpacing/>
        <w:jc w:val="both"/>
        <w:rPr>
          <w:rFonts w:ascii="Palatino Linotype" w:hAnsi="Palatino Linotype" w:cs="Arial"/>
          <w:lang w:val="es-ES" w:eastAsia="es-ES"/>
        </w:rPr>
      </w:pPr>
    </w:p>
    <w:p w:rsidR="00B063B3" w:rsidRPr="00A369A0" w:rsidRDefault="00B063B3" w:rsidP="00B063B3">
      <w:pPr>
        <w:pStyle w:val="Prrafodelista"/>
        <w:spacing w:line="360" w:lineRule="auto"/>
        <w:ind w:left="1069" w:right="567"/>
        <w:jc w:val="both"/>
        <w:rPr>
          <w:rFonts w:ascii="Palatino Linotype" w:hAnsi="Palatino Linotype"/>
          <w:i/>
          <w:color w:val="000000"/>
        </w:rPr>
      </w:pPr>
      <w:r w:rsidRPr="00A369A0">
        <w:rPr>
          <w:rFonts w:ascii="Palatino Linotype" w:hAnsi="Palatino Linotype"/>
          <w:i/>
          <w:color w:val="000000"/>
        </w:rPr>
        <w:t xml:space="preserve"> “SOLICITO TODOS LOS RECIBOS DE PAGO DE PREDIAL DE DICIEMBRE 2022” (Sic) </w:t>
      </w:r>
    </w:p>
    <w:p w:rsidR="00B063B3" w:rsidRPr="00A369A0" w:rsidRDefault="00B063B3" w:rsidP="00B063B3">
      <w:pPr>
        <w:pStyle w:val="Prrafodelista"/>
        <w:spacing w:line="360" w:lineRule="auto"/>
        <w:ind w:left="1069" w:right="567"/>
        <w:jc w:val="both"/>
        <w:rPr>
          <w:rFonts w:ascii="Palatino Linotype" w:hAnsi="Palatino Linotype"/>
          <w:i/>
          <w:color w:val="000000"/>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lang w:val="es-ES" w:eastAsia="es-ES"/>
        </w:rPr>
      </w:pPr>
      <w:r w:rsidRPr="00A369A0">
        <w:rPr>
          <w:rFonts w:ascii="Palatino Linotype" w:eastAsia="Calibri" w:hAnsi="Palatino Linotype"/>
          <w:lang w:val="es-ES" w:eastAsia="es-ES"/>
        </w:rPr>
        <w:t>El día dieciséis (16) de enero de dos mil veintitrés, el Sujeto Obligado realizó una solicitud de aclaración en el siguiente sentido:</w:t>
      </w:r>
    </w:p>
    <w:p w:rsidR="00B063B3" w:rsidRPr="00A369A0" w:rsidRDefault="00B063B3" w:rsidP="00B063B3">
      <w:pPr>
        <w:spacing w:line="360" w:lineRule="auto"/>
        <w:contextualSpacing/>
        <w:jc w:val="both"/>
        <w:rPr>
          <w:rFonts w:ascii="Palatino Linotype" w:eastAsia="Calibri" w:hAnsi="Palatino Linotype"/>
          <w:lang w:val="es-ES" w:eastAsia="es-ES"/>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B063B3" w:rsidRPr="00A369A0" w:rsidTr="001A5BBE">
        <w:trPr>
          <w:trHeight w:val="308"/>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szCs w:val="22"/>
                <w:lang w:val="es-ES" w:eastAsia="es-ES"/>
              </w:rPr>
            </w:pPr>
            <w:r w:rsidRPr="00A369A0">
              <w:rPr>
                <w:rFonts w:ascii="Palatino Linotype" w:hAnsi="Palatino Linotype"/>
                <w:i/>
                <w:sz w:val="22"/>
                <w:szCs w:val="22"/>
                <w:lang w:val="es-ES" w:eastAsia="es-ES"/>
              </w:rPr>
              <w:t>Zinacantepec, México a 16 de Enero de 2023</w:t>
            </w:r>
          </w:p>
        </w:tc>
      </w:tr>
      <w:tr w:rsidR="00B063B3" w:rsidRPr="00A369A0" w:rsidTr="001A5BBE">
        <w:trPr>
          <w:trHeight w:val="308"/>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szCs w:val="22"/>
                <w:lang w:val="es-ES" w:eastAsia="es-ES"/>
              </w:rPr>
            </w:pPr>
            <w:r w:rsidRPr="00A369A0">
              <w:rPr>
                <w:rFonts w:ascii="Palatino Linotype" w:hAnsi="Palatino Linotype"/>
                <w:i/>
                <w:sz w:val="22"/>
                <w:szCs w:val="22"/>
                <w:lang w:val="es-ES" w:eastAsia="es-ES"/>
              </w:rPr>
              <w:t>Nombre del solicitante: C. Solicitante</w:t>
            </w:r>
          </w:p>
        </w:tc>
      </w:tr>
      <w:tr w:rsidR="00B063B3" w:rsidRPr="00A369A0" w:rsidTr="001A5BBE">
        <w:trPr>
          <w:trHeight w:val="308"/>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szCs w:val="22"/>
                <w:lang w:val="es-ES" w:eastAsia="es-ES"/>
              </w:rPr>
            </w:pPr>
            <w:r w:rsidRPr="00A369A0">
              <w:rPr>
                <w:rFonts w:ascii="Palatino Linotype" w:hAnsi="Palatino Linotype"/>
                <w:i/>
                <w:sz w:val="22"/>
                <w:szCs w:val="22"/>
                <w:lang w:val="es-ES" w:eastAsia="es-ES"/>
              </w:rPr>
              <w:lastRenderedPageBreak/>
              <w:t>Folio de la solicitud: 00025/ZINACANT/IP/2023</w:t>
            </w:r>
          </w:p>
        </w:tc>
      </w:tr>
      <w:tr w:rsidR="00B063B3" w:rsidRPr="00A369A0" w:rsidTr="001A5BBE">
        <w:trPr>
          <w:trHeight w:val="463"/>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szCs w:val="22"/>
                <w:lang w:val="es-ES" w:eastAsia="es-ES"/>
              </w:rPr>
            </w:pPr>
          </w:p>
        </w:tc>
      </w:tr>
      <w:tr w:rsidR="00B063B3" w:rsidRPr="00A369A0" w:rsidTr="001A5BBE">
        <w:trPr>
          <w:trHeight w:val="154"/>
          <w:tblCellSpacing w:w="0" w:type="dxa"/>
          <w:jc w:val="center"/>
        </w:trPr>
        <w:tc>
          <w:tcPr>
            <w:tcW w:w="0" w:type="auto"/>
            <w:vAlign w:val="center"/>
            <w:hideMark/>
          </w:tcPr>
          <w:p w:rsidR="00B063B3" w:rsidRPr="00A369A0" w:rsidRDefault="00B063B3" w:rsidP="001A5BBE">
            <w:pPr>
              <w:jc w:val="both"/>
              <w:rPr>
                <w:rFonts w:ascii="Palatino Linotype" w:hAnsi="Palatino Linotype"/>
                <w:i/>
                <w:sz w:val="22"/>
                <w:szCs w:val="22"/>
                <w:lang w:val="es-ES" w:eastAsia="es-ES"/>
              </w:rPr>
            </w:pPr>
            <w:r w:rsidRPr="00A369A0">
              <w:rPr>
                <w:rFonts w:ascii="Palatino Linotype" w:hAnsi="Palatino Linotype"/>
                <w:i/>
                <w:sz w:val="22"/>
                <w:szCs w:val="22"/>
                <w:lang w:val="es-ES" w:eastAsia="es-ES"/>
              </w:rPr>
              <w:t xml:space="preserve">Con fundamento en el </w:t>
            </w:r>
            <w:proofErr w:type="spellStart"/>
            <w:r w:rsidRPr="00A369A0">
              <w:rPr>
                <w:rFonts w:ascii="Palatino Linotype" w:hAnsi="Palatino Linotype"/>
                <w:i/>
                <w:sz w:val="22"/>
                <w:szCs w:val="22"/>
                <w:lang w:val="es-ES" w:eastAsia="es-ES"/>
              </w:rPr>
              <w:t>articulo</w:t>
            </w:r>
            <w:proofErr w:type="spellEnd"/>
            <w:r w:rsidRPr="00A369A0">
              <w:rPr>
                <w:rFonts w:ascii="Palatino Linotype" w:hAnsi="Palatino Linotype"/>
                <w:i/>
                <w:sz w:val="22"/>
                <w:szCs w:val="22"/>
                <w:lang w:val="es-ES" w:eastAsia="es-ES"/>
              </w:rPr>
              <w:t xml:space="preserve"> 159 de la Ley de Transparencia y Acceso a la Información Pública del Estado de México y Municipios, se le requiere para que dentro del plazo de diez días hábiles realice lo siguiente:</w:t>
            </w:r>
          </w:p>
        </w:tc>
      </w:tr>
      <w:tr w:rsidR="00B063B3" w:rsidRPr="00A369A0" w:rsidTr="001A5BBE">
        <w:trPr>
          <w:trHeight w:val="385"/>
          <w:tblCellSpacing w:w="0" w:type="dxa"/>
          <w:jc w:val="center"/>
        </w:trPr>
        <w:tc>
          <w:tcPr>
            <w:tcW w:w="0" w:type="auto"/>
            <w:vAlign w:val="center"/>
            <w:hideMark/>
          </w:tcPr>
          <w:p w:rsidR="00B063B3" w:rsidRPr="00A369A0" w:rsidRDefault="00B063B3" w:rsidP="001A5BBE">
            <w:pPr>
              <w:jc w:val="both"/>
              <w:rPr>
                <w:rFonts w:ascii="Palatino Linotype" w:hAnsi="Palatino Linotype"/>
                <w:i/>
                <w:sz w:val="22"/>
                <w:szCs w:val="22"/>
                <w:lang w:val="es-ES" w:eastAsia="es-ES"/>
              </w:rPr>
            </w:pPr>
          </w:p>
        </w:tc>
      </w:tr>
      <w:tr w:rsidR="00B063B3" w:rsidRPr="00A369A0" w:rsidTr="001A5BBE">
        <w:trPr>
          <w:trHeight w:val="154"/>
          <w:tblCellSpacing w:w="0" w:type="dxa"/>
          <w:jc w:val="center"/>
        </w:trPr>
        <w:tc>
          <w:tcPr>
            <w:tcW w:w="0" w:type="auto"/>
            <w:vAlign w:val="center"/>
            <w:hideMark/>
          </w:tcPr>
          <w:p w:rsidR="00B063B3" w:rsidRPr="00A369A0" w:rsidRDefault="00B063B3" w:rsidP="001A5BBE">
            <w:pPr>
              <w:jc w:val="both"/>
              <w:rPr>
                <w:rFonts w:ascii="Palatino Linotype" w:hAnsi="Palatino Linotype"/>
                <w:i/>
                <w:sz w:val="22"/>
                <w:szCs w:val="22"/>
                <w:lang w:val="es-ES" w:eastAsia="es-ES"/>
              </w:rPr>
            </w:pPr>
            <w:r w:rsidRPr="00A369A0">
              <w:rPr>
                <w:rFonts w:ascii="Palatino Linotype" w:hAnsi="Palatino Linotype"/>
                <w:i/>
                <w:sz w:val="22"/>
                <w:szCs w:val="22"/>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B063B3" w:rsidRPr="00A369A0" w:rsidTr="001A5BBE">
        <w:trPr>
          <w:trHeight w:val="385"/>
          <w:tblCellSpacing w:w="0" w:type="dxa"/>
          <w:jc w:val="center"/>
        </w:trPr>
        <w:tc>
          <w:tcPr>
            <w:tcW w:w="0" w:type="auto"/>
            <w:vAlign w:val="center"/>
            <w:hideMark/>
          </w:tcPr>
          <w:p w:rsidR="00B063B3" w:rsidRPr="00A369A0" w:rsidRDefault="00B063B3" w:rsidP="001A5BBE">
            <w:pPr>
              <w:jc w:val="both"/>
              <w:rPr>
                <w:rFonts w:ascii="Palatino Linotype" w:hAnsi="Palatino Linotype"/>
                <w:i/>
                <w:sz w:val="22"/>
                <w:szCs w:val="22"/>
                <w:lang w:val="es-ES" w:eastAsia="es-ES"/>
              </w:rPr>
            </w:pPr>
          </w:p>
        </w:tc>
      </w:tr>
      <w:tr w:rsidR="00B063B3" w:rsidRPr="00A369A0" w:rsidTr="001A5BBE">
        <w:trPr>
          <w:trHeight w:val="154"/>
          <w:tblCellSpacing w:w="0" w:type="dxa"/>
          <w:jc w:val="center"/>
        </w:trPr>
        <w:tc>
          <w:tcPr>
            <w:tcW w:w="0" w:type="auto"/>
            <w:vAlign w:val="center"/>
            <w:hideMark/>
          </w:tcPr>
          <w:p w:rsidR="00B063B3" w:rsidRPr="00A369A0" w:rsidRDefault="00B063B3" w:rsidP="001A5BBE">
            <w:pPr>
              <w:jc w:val="both"/>
              <w:rPr>
                <w:rFonts w:ascii="Palatino Linotype" w:hAnsi="Palatino Linotype"/>
                <w:i/>
                <w:sz w:val="22"/>
                <w:szCs w:val="22"/>
                <w:lang w:val="es-ES" w:eastAsia="es-ES"/>
              </w:rPr>
            </w:pPr>
            <w:r w:rsidRPr="00A369A0">
              <w:rPr>
                <w:rFonts w:ascii="Palatino Linotype" w:hAnsi="Palatino Linotype"/>
                <w:i/>
                <w:sz w:val="22"/>
                <w:szCs w:val="22"/>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B063B3" w:rsidRPr="00A369A0" w:rsidTr="001A5BBE">
        <w:trPr>
          <w:trHeight w:val="154"/>
          <w:tblCellSpacing w:w="0" w:type="dxa"/>
          <w:jc w:val="center"/>
        </w:trPr>
        <w:tc>
          <w:tcPr>
            <w:tcW w:w="0" w:type="auto"/>
            <w:vAlign w:val="center"/>
            <w:hideMark/>
          </w:tcPr>
          <w:p w:rsidR="00B063B3" w:rsidRPr="00A369A0" w:rsidRDefault="00B063B3" w:rsidP="001A5BBE">
            <w:pPr>
              <w:rPr>
                <w:rFonts w:ascii="Palatino Linotype" w:hAnsi="Palatino Linotype"/>
                <w:i/>
                <w:sz w:val="22"/>
                <w:szCs w:val="22"/>
                <w:lang w:val="es-ES" w:eastAsia="es-ES"/>
              </w:rPr>
            </w:pPr>
          </w:p>
        </w:tc>
      </w:tr>
      <w:tr w:rsidR="00B063B3" w:rsidRPr="00A369A0" w:rsidTr="001A5BBE">
        <w:trPr>
          <w:trHeight w:val="154"/>
          <w:tblCellSpacing w:w="0" w:type="dxa"/>
          <w:jc w:val="center"/>
        </w:trPr>
        <w:tc>
          <w:tcPr>
            <w:tcW w:w="0" w:type="auto"/>
            <w:vAlign w:val="center"/>
            <w:hideMark/>
          </w:tcPr>
          <w:p w:rsidR="00B063B3" w:rsidRPr="00A369A0" w:rsidRDefault="00B063B3" w:rsidP="001A5BBE">
            <w:pPr>
              <w:rPr>
                <w:rFonts w:ascii="Palatino Linotype" w:hAnsi="Palatino Linotype"/>
                <w:i/>
                <w:sz w:val="22"/>
                <w:szCs w:val="22"/>
                <w:lang w:val="es-ES" w:eastAsia="es-ES"/>
              </w:rPr>
            </w:pPr>
            <w:r w:rsidRPr="00A369A0">
              <w:rPr>
                <w:rFonts w:ascii="Palatino Linotype" w:hAnsi="Palatino Linotype"/>
                <w:i/>
                <w:sz w:val="22"/>
                <w:szCs w:val="22"/>
                <w:lang w:val="es-ES" w:eastAsia="es-ES"/>
              </w:rPr>
              <w:t>ATENTAMENTE</w:t>
            </w:r>
          </w:p>
        </w:tc>
      </w:tr>
      <w:tr w:rsidR="00B063B3" w:rsidRPr="00A369A0" w:rsidTr="001A5BBE">
        <w:trPr>
          <w:trHeight w:val="231"/>
          <w:tblCellSpacing w:w="0" w:type="dxa"/>
          <w:jc w:val="center"/>
        </w:trPr>
        <w:tc>
          <w:tcPr>
            <w:tcW w:w="0" w:type="auto"/>
            <w:vAlign w:val="center"/>
            <w:hideMark/>
          </w:tcPr>
          <w:p w:rsidR="00B063B3" w:rsidRPr="00A369A0" w:rsidRDefault="00B063B3" w:rsidP="001A5BBE">
            <w:pPr>
              <w:rPr>
                <w:rFonts w:ascii="Palatino Linotype" w:hAnsi="Palatino Linotype"/>
                <w:i/>
                <w:sz w:val="22"/>
                <w:szCs w:val="22"/>
                <w:lang w:val="es-ES" w:eastAsia="es-ES"/>
              </w:rPr>
            </w:pPr>
          </w:p>
        </w:tc>
      </w:tr>
      <w:tr w:rsidR="00B063B3" w:rsidRPr="00A369A0" w:rsidTr="001A5BBE">
        <w:trPr>
          <w:trHeight w:val="154"/>
          <w:tblCellSpacing w:w="0" w:type="dxa"/>
          <w:jc w:val="center"/>
        </w:trPr>
        <w:tc>
          <w:tcPr>
            <w:tcW w:w="0" w:type="auto"/>
            <w:vAlign w:val="center"/>
            <w:hideMark/>
          </w:tcPr>
          <w:p w:rsidR="00B063B3" w:rsidRPr="00A369A0" w:rsidRDefault="00B063B3" w:rsidP="001A5BBE">
            <w:pPr>
              <w:rPr>
                <w:rFonts w:ascii="Palatino Linotype" w:hAnsi="Palatino Linotype"/>
                <w:i/>
                <w:sz w:val="22"/>
                <w:szCs w:val="22"/>
                <w:lang w:val="es-ES" w:eastAsia="es-ES"/>
              </w:rPr>
            </w:pPr>
            <w:r w:rsidRPr="00A369A0">
              <w:rPr>
                <w:rFonts w:ascii="Palatino Linotype" w:hAnsi="Palatino Linotype"/>
                <w:i/>
                <w:sz w:val="22"/>
                <w:szCs w:val="22"/>
                <w:lang w:val="es-ES" w:eastAsia="es-ES"/>
              </w:rPr>
              <w:t>ING. JESUS EMMANUEL ENCASTIN RENDON</w:t>
            </w:r>
          </w:p>
        </w:tc>
      </w:tr>
    </w:tbl>
    <w:p w:rsidR="00B063B3" w:rsidRPr="00A369A0" w:rsidRDefault="00B063B3" w:rsidP="00B063B3">
      <w:pPr>
        <w:spacing w:line="360" w:lineRule="auto"/>
        <w:contextualSpacing/>
        <w:jc w:val="both"/>
        <w:rPr>
          <w:rFonts w:ascii="Palatino Linotype" w:eastAsia="Calibri" w:hAnsi="Palatino Linotype"/>
          <w:lang w:val="es-ES"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lang w:val="es-ES" w:eastAsia="es-ES"/>
        </w:rPr>
      </w:pPr>
      <w:r w:rsidRPr="00A369A0">
        <w:rPr>
          <w:rFonts w:ascii="Palatino Linotype" w:eastAsia="Calibri" w:hAnsi="Palatino Linotype"/>
          <w:lang w:val="es-ES" w:eastAsia="es-ES"/>
        </w:rPr>
        <w:t>El dieciséis (16) de enero de dos mil veintitrés, el hoy Recurrente desahogo la aclaración en los siguientes términos:</w:t>
      </w:r>
    </w:p>
    <w:p w:rsidR="00B063B3" w:rsidRPr="00A369A0" w:rsidRDefault="00B063B3" w:rsidP="00B063B3">
      <w:pPr>
        <w:spacing w:line="360" w:lineRule="auto"/>
        <w:contextualSpacing/>
        <w:jc w:val="both"/>
        <w:rPr>
          <w:rFonts w:ascii="Palatino Linotype" w:eastAsia="Calibri" w:hAnsi="Palatino Linotype"/>
          <w:lang w:val="es-ES" w:eastAsia="es-ES"/>
        </w:rPr>
      </w:pPr>
    </w:p>
    <w:p w:rsidR="00B063B3" w:rsidRPr="00A369A0" w:rsidRDefault="00B063B3" w:rsidP="00B063B3">
      <w:pPr>
        <w:spacing w:line="276" w:lineRule="auto"/>
        <w:ind w:left="851" w:right="822"/>
        <w:jc w:val="both"/>
        <w:rPr>
          <w:rFonts w:ascii="Palatino Linotype" w:hAnsi="Palatino Linotype"/>
          <w:i/>
          <w:sz w:val="22"/>
          <w:szCs w:val="22"/>
          <w:lang w:val="es-ES" w:eastAsia="es-ES"/>
        </w:rPr>
      </w:pPr>
      <w:r w:rsidRPr="00A369A0">
        <w:rPr>
          <w:rFonts w:ascii="Palatino Linotype" w:hAnsi="Palatino Linotype"/>
          <w:i/>
          <w:sz w:val="22"/>
          <w:szCs w:val="22"/>
          <w:lang w:val="es-ES" w:eastAsia="es-ES"/>
        </w:rPr>
        <w:t>“LA SOLICITUD ES MUY CLARA, OJALA ENTIENDA EL PSEUDO TITULAR DE TRANSPARENCIA QUE CON METER ACLARACIONES, NO DEBEN DEJAR DE RESPONDER LAS SOLICITUDES, ESPEREMOS YA LE IMPONGAN UNA MULTA POR SER OMISOS EN LAS RESPUESTAS” (Sic)</w:t>
      </w:r>
    </w:p>
    <w:p w:rsidR="00B063B3" w:rsidRPr="00A369A0" w:rsidRDefault="00B063B3" w:rsidP="00B063B3">
      <w:pPr>
        <w:spacing w:line="360" w:lineRule="auto"/>
        <w:contextualSpacing/>
        <w:jc w:val="both"/>
        <w:rPr>
          <w:rFonts w:ascii="Palatino Linotype" w:eastAsia="Calibri" w:hAnsi="Palatino Linotype"/>
          <w:lang w:val="es-ES" w:eastAsia="es-ES"/>
        </w:rPr>
      </w:pPr>
    </w:p>
    <w:p w:rsidR="00B063B3" w:rsidRPr="00A369A0" w:rsidRDefault="00B063B3" w:rsidP="00B063B3">
      <w:pPr>
        <w:spacing w:line="360" w:lineRule="auto"/>
        <w:contextualSpacing/>
        <w:jc w:val="both"/>
        <w:rPr>
          <w:rFonts w:ascii="Palatino Linotype" w:eastAsia="Calibri" w:hAnsi="Palatino Linotype"/>
          <w:lang w:val="es-ES"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lang w:val="es-ES" w:eastAsia="es-ES"/>
        </w:rPr>
      </w:pPr>
      <w:r w:rsidRPr="00A369A0">
        <w:rPr>
          <w:rFonts w:ascii="Palatino Linotype" w:eastAsia="Calibri" w:hAnsi="Palatino Linotype"/>
          <w:lang w:val="es-ES" w:eastAsia="es-ES"/>
        </w:rPr>
        <w:lastRenderedPageBreak/>
        <w:t xml:space="preserve">El diecisiete (17) de enero de dos mil veintidós, se realizó un requerimiento de información por parte del Titular de la Unida de Transparencia al Servidor Público Habilitado. </w:t>
      </w:r>
    </w:p>
    <w:p w:rsidR="00B063B3" w:rsidRPr="00A369A0" w:rsidRDefault="00B063B3" w:rsidP="00B063B3">
      <w:pPr>
        <w:spacing w:line="360" w:lineRule="auto"/>
        <w:contextualSpacing/>
        <w:jc w:val="both"/>
        <w:rPr>
          <w:rFonts w:ascii="Palatino Linotype" w:eastAsia="Calibri" w:hAnsi="Palatino Linotype"/>
          <w:lang w:val="es-ES"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lang w:val="es-ES" w:eastAsia="es-ES"/>
        </w:rPr>
      </w:pPr>
      <w:r w:rsidRPr="00A369A0">
        <w:rPr>
          <w:rFonts w:ascii="Palatino Linotype" w:eastAsiaTheme="minorEastAsia" w:hAnsi="Palatino Linotype"/>
          <w:lang w:val="es-ES_tradnl" w:eastAsia="es-ES"/>
        </w:rPr>
        <w:t xml:space="preserve">El siete (07) de febrero de dos mil veintitrés, </w:t>
      </w:r>
      <w:r w:rsidRPr="00A369A0">
        <w:rPr>
          <w:rFonts w:ascii="Palatino Linotype" w:eastAsia="Calibri" w:hAnsi="Palatino Linotype"/>
          <w:lang w:val="es-ES" w:eastAsia="es-ES"/>
        </w:rPr>
        <w:t xml:space="preserve">el </w:t>
      </w:r>
      <w:r w:rsidRPr="00A369A0">
        <w:rPr>
          <w:rFonts w:ascii="Palatino Linotype" w:eastAsia="Calibri" w:hAnsi="Palatino Linotype" w:cs="Arial"/>
          <w:b/>
          <w:lang w:val="es-AR" w:eastAsia="es-ES"/>
        </w:rPr>
        <w:t>SUJETO OBLIGADO</w:t>
      </w:r>
      <w:r w:rsidRPr="00A369A0">
        <w:rPr>
          <w:rFonts w:ascii="Palatino Linotype" w:eastAsia="Calibri" w:hAnsi="Palatino Linotype" w:cs="Arial"/>
          <w:b/>
          <w:i/>
          <w:lang w:val="es-AR" w:eastAsia="es-ES"/>
        </w:rPr>
        <w:t xml:space="preserve"> </w:t>
      </w:r>
      <w:r w:rsidRPr="00A369A0">
        <w:rPr>
          <w:rFonts w:ascii="Palatino Linotype" w:hAnsi="Palatino Linotype" w:cs="Arial"/>
          <w:lang w:val="es-ES" w:eastAsia="es-ES"/>
        </w:rPr>
        <w:t>dio respuesta a la solicitud de información en los siguientes términos:</w:t>
      </w:r>
    </w:p>
    <w:p w:rsidR="00B063B3" w:rsidRPr="00A369A0" w:rsidRDefault="00B063B3" w:rsidP="00B063B3">
      <w:pPr>
        <w:spacing w:line="360" w:lineRule="auto"/>
        <w:contextualSpacing/>
        <w:jc w:val="both"/>
        <w:rPr>
          <w:rFonts w:ascii="Palatino Linotype" w:eastAsia="Calibri" w:hAnsi="Palatino Linotype"/>
          <w:lang w:val="es-ES" w:eastAsia="es-ES"/>
        </w:rPr>
      </w:pPr>
    </w:p>
    <w:tbl>
      <w:tblPr>
        <w:tblW w:w="7706" w:type="dxa"/>
        <w:jc w:val="center"/>
        <w:tblCellSpacing w:w="0" w:type="dxa"/>
        <w:tblCellMar>
          <w:left w:w="0" w:type="dxa"/>
          <w:right w:w="0" w:type="dxa"/>
        </w:tblCellMar>
        <w:tblLook w:val="04A0" w:firstRow="1" w:lastRow="0" w:firstColumn="1" w:lastColumn="0" w:noHBand="0" w:noVBand="1"/>
      </w:tblPr>
      <w:tblGrid>
        <w:gridCol w:w="7706"/>
      </w:tblGrid>
      <w:tr w:rsidR="00B063B3" w:rsidRPr="00A369A0" w:rsidTr="001A5BBE">
        <w:trPr>
          <w:trHeight w:val="281"/>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lang w:val="es-ES" w:eastAsia="es-ES"/>
              </w:rPr>
            </w:pPr>
            <w:r w:rsidRPr="00A369A0">
              <w:rPr>
                <w:rFonts w:ascii="Palatino Linotype" w:hAnsi="Palatino Linotype"/>
                <w:i/>
                <w:sz w:val="22"/>
                <w:szCs w:val="18"/>
                <w:lang w:val="es-ES" w:eastAsia="es-ES"/>
              </w:rPr>
              <w:t>“Zinacantepec, México a 07 de Febrero de 2023</w:t>
            </w:r>
          </w:p>
        </w:tc>
      </w:tr>
      <w:tr w:rsidR="00B063B3" w:rsidRPr="00A369A0" w:rsidTr="001A5BBE">
        <w:trPr>
          <w:trHeight w:val="281"/>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lang w:val="es-ES" w:eastAsia="es-ES"/>
              </w:rPr>
            </w:pPr>
            <w:r w:rsidRPr="00A369A0">
              <w:rPr>
                <w:rFonts w:ascii="Palatino Linotype" w:hAnsi="Palatino Linotype"/>
                <w:i/>
                <w:sz w:val="22"/>
                <w:szCs w:val="18"/>
                <w:lang w:val="es-ES" w:eastAsia="es-ES"/>
              </w:rPr>
              <w:t>Nombre del solicitante: C. Solicitante</w:t>
            </w:r>
          </w:p>
        </w:tc>
      </w:tr>
      <w:tr w:rsidR="00B063B3" w:rsidRPr="00A369A0" w:rsidTr="001A5BBE">
        <w:trPr>
          <w:trHeight w:val="281"/>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lang w:val="es-ES" w:eastAsia="es-ES"/>
              </w:rPr>
            </w:pPr>
            <w:r w:rsidRPr="00A369A0">
              <w:rPr>
                <w:rFonts w:ascii="Palatino Linotype" w:hAnsi="Palatino Linotype"/>
                <w:i/>
                <w:sz w:val="22"/>
                <w:szCs w:val="18"/>
                <w:lang w:val="es-ES" w:eastAsia="es-ES"/>
              </w:rPr>
              <w:t>Folio de la solicitud: 00025/ZINACANT/IP/2023</w:t>
            </w:r>
          </w:p>
        </w:tc>
      </w:tr>
      <w:tr w:rsidR="00B063B3" w:rsidRPr="00A369A0" w:rsidTr="001A5BBE">
        <w:trPr>
          <w:trHeight w:val="422"/>
          <w:tblCellSpacing w:w="0" w:type="dxa"/>
          <w:jc w:val="center"/>
        </w:trPr>
        <w:tc>
          <w:tcPr>
            <w:tcW w:w="0" w:type="auto"/>
            <w:vAlign w:val="center"/>
            <w:hideMark/>
          </w:tcPr>
          <w:p w:rsidR="00B063B3" w:rsidRPr="00A369A0" w:rsidRDefault="00B063B3" w:rsidP="001A5BBE">
            <w:pPr>
              <w:jc w:val="right"/>
              <w:rPr>
                <w:rFonts w:ascii="Palatino Linotype" w:hAnsi="Palatino Linotype"/>
                <w:i/>
                <w:sz w:val="22"/>
                <w:lang w:val="es-ES" w:eastAsia="es-ES"/>
              </w:rPr>
            </w:pPr>
          </w:p>
        </w:tc>
      </w:tr>
      <w:tr w:rsidR="00B063B3" w:rsidRPr="00A369A0" w:rsidTr="001A5BBE">
        <w:trPr>
          <w:trHeight w:val="140"/>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r w:rsidRPr="00A369A0">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063B3" w:rsidRPr="00A369A0" w:rsidTr="001A5BBE">
        <w:trPr>
          <w:trHeight w:val="352"/>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p>
        </w:tc>
      </w:tr>
      <w:tr w:rsidR="00B063B3" w:rsidRPr="00A369A0" w:rsidTr="001A5BBE">
        <w:trPr>
          <w:trHeight w:val="140"/>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r w:rsidRPr="00A369A0">
              <w:rPr>
                <w:rFonts w:ascii="Palatino Linotype" w:hAnsi="Palatino Linotype"/>
                <w:i/>
                <w:sz w:val="22"/>
                <w:szCs w:val="18"/>
                <w:lang w:val="es-ES" w:eastAsia="es-ES"/>
              </w:rPr>
              <w:t>Se adjunta la respuesta a la solicitud interpuesta a través de esta plataforma digital.</w:t>
            </w:r>
          </w:p>
        </w:tc>
      </w:tr>
      <w:tr w:rsidR="00B063B3" w:rsidRPr="00A369A0" w:rsidTr="001A5BBE">
        <w:trPr>
          <w:trHeight w:val="352"/>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p>
        </w:tc>
      </w:tr>
      <w:tr w:rsidR="00B063B3" w:rsidRPr="00A369A0" w:rsidTr="001A5BBE">
        <w:trPr>
          <w:trHeight w:val="140"/>
          <w:tblCellSpacing w:w="0" w:type="dxa"/>
          <w:jc w:val="center"/>
        </w:trPr>
        <w:tc>
          <w:tcPr>
            <w:tcW w:w="0" w:type="auto"/>
            <w:vAlign w:val="center"/>
            <w:hideMark/>
          </w:tcPr>
          <w:p w:rsidR="00B063B3" w:rsidRPr="00A369A0" w:rsidRDefault="00B063B3" w:rsidP="001A5BBE">
            <w:pPr>
              <w:jc w:val="center"/>
              <w:rPr>
                <w:rFonts w:ascii="Palatino Linotype" w:hAnsi="Palatino Linotype"/>
                <w:i/>
                <w:sz w:val="22"/>
                <w:szCs w:val="20"/>
                <w:lang w:val="es-ES" w:eastAsia="es-ES"/>
              </w:rPr>
            </w:pPr>
          </w:p>
        </w:tc>
      </w:tr>
      <w:tr w:rsidR="00B063B3" w:rsidRPr="00A369A0" w:rsidTr="001A5BBE">
        <w:trPr>
          <w:trHeight w:val="140"/>
          <w:tblCellSpacing w:w="0" w:type="dxa"/>
          <w:jc w:val="center"/>
        </w:trPr>
        <w:tc>
          <w:tcPr>
            <w:tcW w:w="0" w:type="auto"/>
            <w:vAlign w:val="center"/>
            <w:hideMark/>
          </w:tcPr>
          <w:p w:rsidR="00B063B3" w:rsidRPr="00A369A0" w:rsidRDefault="00B063B3" w:rsidP="001A5BBE">
            <w:pPr>
              <w:rPr>
                <w:rFonts w:ascii="Palatino Linotype" w:hAnsi="Palatino Linotype"/>
                <w:i/>
                <w:sz w:val="22"/>
                <w:szCs w:val="20"/>
                <w:lang w:val="es-ES" w:eastAsia="es-ES"/>
              </w:rPr>
            </w:pPr>
          </w:p>
        </w:tc>
      </w:tr>
      <w:tr w:rsidR="00B063B3" w:rsidRPr="00A369A0" w:rsidTr="001A5BBE">
        <w:trPr>
          <w:trHeight w:val="140"/>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r w:rsidRPr="00A369A0">
              <w:rPr>
                <w:rFonts w:ascii="Palatino Linotype" w:hAnsi="Palatino Linotype"/>
                <w:i/>
                <w:sz w:val="22"/>
                <w:szCs w:val="18"/>
                <w:lang w:val="es-ES" w:eastAsia="es-ES"/>
              </w:rPr>
              <w:t>ATENTAMENTE</w:t>
            </w:r>
          </w:p>
        </w:tc>
      </w:tr>
      <w:tr w:rsidR="00B063B3" w:rsidRPr="00A369A0" w:rsidTr="001A5BBE">
        <w:trPr>
          <w:trHeight w:val="211"/>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p>
        </w:tc>
      </w:tr>
      <w:tr w:rsidR="00B063B3" w:rsidRPr="00A369A0" w:rsidTr="001A5BBE">
        <w:trPr>
          <w:trHeight w:val="140"/>
          <w:tblCellSpacing w:w="0" w:type="dxa"/>
          <w:jc w:val="center"/>
        </w:trPr>
        <w:tc>
          <w:tcPr>
            <w:tcW w:w="0" w:type="auto"/>
            <w:vAlign w:val="center"/>
            <w:hideMark/>
          </w:tcPr>
          <w:p w:rsidR="00B063B3" w:rsidRPr="00A369A0" w:rsidRDefault="00B063B3" w:rsidP="001A5BBE">
            <w:pPr>
              <w:rPr>
                <w:rFonts w:ascii="Palatino Linotype" w:hAnsi="Palatino Linotype"/>
                <w:i/>
                <w:sz w:val="22"/>
                <w:lang w:val="es-ES" w:eastAsia="es-ES"/>
              </w:rPr>
            </w:pPr>
            <w:r w:rsidRPr="00A369A0">
              <w:rPr>
                <w:rFonts w:ascii="Palatino Linotype" w:hAnsi="Palatino Linotype"/>
                <w:i/>
                <w:sz w:val="22"/>
                <w:szCs w:val="18"/>
                <w:lang w:val="es-ES" w:eastAsia="es-ES"/>
              </w:rPr>
              <w:t>ING. JESUS EMMANUEL ENCASTIN RENDON”</w:t>
            </w:r>
          </w:p>
        </w:tc>
      </w:tr>
    </w:tbl>
    <w:p w:rsidR="00B063B3" w:rsidRPr="00A369A0" w:rsidRDefault="00B063B3" w:rsidP="00B063B3">
      <w:pPr>
        <w:spacing w:line="360" w:lineRule="auto"/>
        <w:ind w:right="567"/>
        <w:jc w:val="both"/>
        <w:rPr>
          <w:rFonts w:ascii="Palatino Linotype" w:hAnsi="Palatino Linotype"/>
        </w:rPr>
      </w:pPr>
    </w:p>
    <w:p w:rsidR="00B063B3" w:rsidRPr="00A369A0" w:rsidRDefault="00B063B3" w:rsidP="00B063B3">
      <w:pPr>
        <w:spacing w:line="360" w:lineRule="auto"/>
        <w:ind w:right="567"/>
        <w:jc w:val="both"/>
      </w:pPr>
      <w:r w:rsidRPr="00A369A0">
        <w:rPr>
          <w:rFonts w:ascii="Palatino Linotype" w:hAnsi="Palatino Linotype"/>
        </w:rPr>
        <w:t xml:space="preserve">A la respuesta se adjuntó el archivo </w:t>
      </w:r>
      <w:hyperlink r:id="rId7" w:tgtFrame="_blank" w:history="1">
        <w:r w:rsidRPr="00A369A0">
          <w:rPr>
            <w:rStyle w:val="Hipervnculo"/>
            <w:rFonts w:ascii="Palatino Linotype" w:eastAsiaTheme="majorEastAsia" w:hAnsi="Palatino Linotype" w:cs="Arial"/>
            <w:b/>
            <w:bCs/>
            <w:color w:val="auto"/>
          </w:rPr>
          <w:t>respuesta de solicitud 00025-23.pdf</w:t>
        </w:r>
      </w:hyperlink>
      <w:r w:rsidRPr="00A369A0">
        <w:rPr>
          <w:rFonts w:ascii="Palatino Linotype" w:hAnsi="Palatino Linotype"/>
        </w:rPr>
        <w:t>,</w:t>
      </w:r>
      <w:r w:rsidRPr="00A369A0">
        <w:t xml:space="preserve"> documento suscrito por el Titular de la Unida de Transparencia que refiere:</w:t>
      </w:r>
    </w:p>
    <w:p w:rsidR="00B063B3" w:rsidRPr="00A369A0" w:rsidRDefault="00B063B3" w:rsidP="00B063B3">
      <w:pPr>
        <w:spacing w:line="360" w:lineRule="auto"/>
        <w:ind w:right="567"/>
        <w:jc w:val="both"/>
      </w:pPr>
      <w:r w:rsidRPr="00A369A0">
        <w:t xml:space="preserve"> </w:t>
      </w:r>
    </w:p>
    <w:p w:rsidR="00B063B3" w:rsidRPr="00A369A0" w:rsidRDefault="00B063B3" w:rsidP="00B063B3">
      <w:pPr>
        <w:spacing w:line="360" w:lineRule="auto"/>
        <w:ind w:left="851" w:right="822"/>
        <w:jc w:val="center"/>
        <w:rPr>
          <w:rFonts w:ascii="Palatino Linotype" w:hAnsi="Palatino Linotype"/>
          <w:b/>
          <w:i/>
          <w:sz w:val="22"/>
        </w:rPr>
      </w:pPr>
      <w:r w:rsidRPr="00A369A0">
        <w:rPr>
          <w:rFonts w:ascii="Palatino Linotype" w:hAnsi="Palatino Linotype"/>
          <w:b/>
          <w:i/>
          <w:sz w:val="22"/>
        </w:rPr>
        <w:t>“ANTECEDENTES</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b/>
          <w:i/>
          <w:sz w:val="22"/>
        </w:rPr>
        <w:lastRenderedPageBreak/>
        <w:t>PRIMERO</w:t>
      </w:r>
      <w:r w:rsidRPr="00A369A0">
        <w:rPr>
          <w:rFonts w:ascii="Palatino Linotype" w:hAnsi="Palatino Linotype"/>
          <w:i/>
          <w:sz w:val="22"/>
        </w:rPr>
        <w:t xml:space="preserve">: Que con fecha 09 de enero de 2023 fue ingresada dicha solicitud de información a través del Sistema de Acceso a la Información Mexiquense y turnada a este AYUNTAMIENTO, la cual refiere a lo siguiente: </w:t>
      </w:r>
    </w:p>
    <w:p w:rsidR="00B063B3" w:rsidRPr="00A369A0" w:rsidRDefault="00B063B3" w:rsidP="00B063B3">
      <w:pPr>
        <w:spacing w:line="360" w:lineRule="auto"/>
        <w:ind w:left="851" w:right="822"/>
        <w:jc w:val="both"/>
        <w:rPr>
          <w:rFonts w:ascii="Palatino Linotype" w:hAnsi="Palatino Linotype"/>
          <w:b/>
          <w:i/>
          <w:sz w:val="22"/>
        </w:rPr>
      </w:pPr>
      <w:r w:rsidRPr="00A369A0">
        <w:rPr>
          <w:rFonts w:ascii="Palatino Linotype" w:hAnsi="Palatino Linotype"/>
          <w:b/>
          <w:i/>
          <w:sz w:val="22"/>
        </w:rPr>
        <w:t xml:space="preserve">“SOLICITO TODAS LAS FACTURAS DE PAGO DE CUALQUIER CONCEPTO DEL MES DE DICIEMBRE 2022” (sic). </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b/>
          <w:i/>
          <w:sz w:val="22"/>
        </w:rPr>
        <w:t>SEGUNDO</w:t>
      </w:r>
      <w:r w:rsidRPr="00A369A0">
        <w:rPr>
          <w:rFonts w:ascii="Palatino Linotype" w:hAnsi="Palatino Linotype"/>
          <w:i/>
          <w:sz w:val="22"/>
        </w:rPr>
        <w:t xml:space="preserve">: Una vez admitida la solicitud en cuestión, se procedió a realizar el análisis correspondiente y sí fuera el caso, turnarla a los Servidores Públicos Habilitados responsables de la información. </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b/>
          <w:i/>
          <w:sz w:val="22"/>
        </w:rPr>
        <w:t>TERCERO</w:t>
      </w:r>
      <w:r w:rsidRPr="00A369A0">
        <w:rPr>
          <w:rFonts w:ascii="Palatino Linotype" w:hAnsi="Palatino Linotype"/>
          <w:i/>
          <w:sz w:val="22"/>
        </w:rPr>
        <w:t xml:space="preserve">: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 </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center"/>
        <w:rPr>
          <w:rFonts w:ascii="Palatino Linotype" w:hAnsi="Palatino Linotype"/>
          <w:b/>
          <w:i/>
          <w:sz w:val="22"/>
        </w:rPr>
      </w:pPr>
      <w:r w:rsidRPr="00A369A0">
        <w:rPr>
          <w:rFonts w:ascii="Palatino Linotype" w:hAnsi="Palatino Linotype"/>
          <w:b/>
          <w:i/>
          <w:sz w:val="22"/>
        </w:rPr>
        <w:t>RESUELVE</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b/>
          <w:i/>
          <w:sz w:val="22"/>
        </w:rPr>
        <w:t>PRIMERO.</w:t>
      </w:r>
      <w:r w:rsidRPr="00A369A0">
        <w:rPr>
          <w:rFonts w:ascii="Palatino Linotype" w:hAnsi="Palatino Linotype"/>
          <w:i/>
          <w:sz w:val="22"/>
        </w:rPr>
        <w:t xml:space="preserve"> Por lo anteriormente expuesto y en apego a la Ley de Transparencia y Acceso a la Información Pública del Estado de México y Municipios es importante señalar: […] </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i/>
          <w:sz w:val="22"/>
        </w:rPr>
        <w:t>Artículo 12. Quienes generen, recopilen, administren, manejen, procesen, archiven o conserven información pública serán responsables de la misma en los términos de las disposiciones jurídicas aplicables.</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 </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i/>
          <w:sz w:val="22"/>
        </w:rPr>
        <w:t>Se hace de su conocimiento que el Gobierno Municipal de Zinacantepec no expide facturas bajo ningún concepto.”</w:t>
      </w:r>
    </w:p>
    <w:p w:rsidR="00B063B3" w:rsidRPr="00A369A0" w:rsidRDefault="00B063B3" w:rsidP="00B063B3">
      <w:pPr>
        <w:spacing w:line="360" w:lineRule="auto"/>
        <w:ind w:right="567"/>
        <w:jc w:val="both"/>
        <w:rPr>
          <w:rFonts w:ascii="Palatino Linotype" w:hAnsi="Palatino Linotype"/>
        </w:rPr>
      </w:pPr>
    </w:p>
    <w:p w:rsidR="00B063B3" w:rsidRPr="00A369A0" w:rsidRDefault="00B063B3" w:rsidP="00B063B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369A0">
        <w:rPr>
          <w:rFonts w:ascii="Palatino Linotype" w:eastAsia="Calibri" w:hAnsi="Palatino Linotype" w:cs="Arial"/>
          <w:lang w:val="es-AR" w:eastAsia="es-ES"/>
        </w:rPr>
        <w:t>El trece (13) de febrero de dos mil veintitrés</w:t>
      </w:r>
      <w:r w:rsidRPr="00A369A0">
        <w:rPr>
          <w:rFonts w:ascii="Palatino Linotype" w:hAnsi="Palatino Linotype" w:cs="Arial"/>
          <w:lang w:val="es-ES" w:eastAsia="es-ES"/>
        </w:rPr>
        <w:t xml:space="preserve">, </w:t>
      </w:r>
      <w:r w:rsidRPr="00A369A0">
        <w:rPr>
          <w:rFonts w:ascii="Palatino Linotype" w:eastAsiaTheme="minorEastAsia" w:hAnsi="Palatino Linotype"/>
          <w:b/>
          <w:lang w:val="es-ES_tradnl" w:eastAsia="es-ES"/>
        </w:rPr>
        <w:t>EL RECURRENTE</w:t>
      </w:r>
      <w:r w:rsidRPr="00A369A0">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Pr="00A369A0">
        <w:rPr>
          <w:rFonts w:ascii="Palatino Linotype" w:hAnsi="Palatino Linotype" w:cs="Arial"/>
          <w:lang w:val="es-ES" w:eastAsia="es-ES"/>
        </w:rPr>
        <w:t>a de la respuesta, señalando como:</w:t>
      </w:r>
    </w:p>
    <w:p w:rsidR="00B063B3" w:rsidRPr="00A369A0" w:rsidRDefault="00B063B3" w:rsidP="00B063B3">
      <w:pPr>
        <w:spacing w:line="360" w:lineRule="auto"/>
        <w:ind w:left="567" w:right="567"/>
        <w:contextualSpacing/>
        <w:rPr>
          <w:rFonts w:ascii="Palatino Linotype" w:eastAsiaTheme="minorEastAsia" w:hAnsi="Palatino Linotype" w:cs="Arial"/>
          <w:i/>
          <w:lang w:val="es-ES_tradnl" w:eastAsia="es-ES"/>
        </w:rPr>
      </w:pPr>
    </w:p>
    <w:p w:rsidR="00B063B3" w:rsidRPr="00A369A0" w:rsidRDefault="00B063B3" w:rsidP="00B063B3">
      <w:pPr>
        <w:spacing w:line="360" w:lineRule="auto"/>
        <w:ind w:left="567" w:right="567"/>
        <w:contextualSpacing/>
        <w:jc w:val="both"/>
        <w:rPr>
          <w:rFonts w:ascii="Palatino Linotype" w:eastAsia="Calibri" w:hAnsi="Palatino Linotype" w:cs="Arial"/>
          <w:i/>
          <w:lang w:val="es-ES" w:eastAsia="es-ES"/>
        </w:rPr>
      </w:pPr>
      <w:r w:rsidRPr="00A369A0">
        <w:rPr>
          <w:rFonts w:ascii="Palatino Linotype" w:eastAsiaTheme="minorEastAsia" w:hAnsi="Palatino Linotype"/>
          <w:b/>
          <w:lang w:val="es-ES_tradnl" w:eastAsia="es-ES"/>
        </w:rPr>
        <w:t>Acto impugnado</w:t>
      </w:r>
      <w:r w:rsidRPr="00A369A0">
        <w:rPr>
          <w:rFonts w:ascii="Palatino Linotype" w:eastAsiaTheme="minorEastAsia" w:hAnsi="Palatino Linotype"/>
          <w:b/>
          <w:i/>
          <w:lang w:val="es-ES_tradnl" w:eastAsia="es-ES"/>
        </w:rPr>
        <w:t>:</w:t>
      </w:r>
      <w:r w:rsidRPr="00A369A0">
        <w:rPr>
          <w:rFonts w:ascii="Palatino Linotype" w:hAnsi="Palatino Linotype"/>
          <w:i/>
          <w:color w:val="000000"/>
        </w:rPr>
        <w:t xml:space="preserve"> “NO ENTREGA INFORMACIÓN” (Sic) </w:t>
      </w:r>
    </w:p>
    <w:p w:rsidR="00B063B3" w:rsidRPr="00A369A0" w:rsidRDefault="00B063B3" w:rsidP="00B063B3">
      <w:pPr>
        <w:spacing w:line="360" w:lineRule="auto"/>
        <w:ind w:left="567" w:right="567"/>
        <w:contextualSpacing/>
        <w:jc w:val="both"/>
        <w:rPr>
          <w:rFonts w:ascii="Palatino Linotype" w:eastAsia="Calibri" w:hAnsi="Palatino Linotype" w:cs="Arial"/>
          <w:lang w:val="es-ES" w:eastAsia="es-ES"/>
        </w:rPr>
      </w:pPr>
    </w:p>
    <w:p w:rsidR="00B063B3" w:rsidRPr="00A369A0" w:rsidRDefault="00B063B3" w:rsidP="00B063B3">
      <w:pPr>
        <w:spacing w:line="360" w:lineRule="auto"/>
        <w:ind w:left="567" w:right="567"/>
        <w:contextualSpacing/>
        <w:jc w:val="both"/>
        <w:rPr>
          <w:rFonts w:ascii="Palatino Linotype" w:hAnsi="Palatino Linotype"/>
          <w:i/>
          <w:color w:val="000000"/>
        </w:rPr>
      </w:pPr>
      <w:r w:rsidRPr="00A369A0">
        <w:rPr>
          <w:rFonts w:ascii="Palatino Linotype" w:eastAsiaTheme="minorEastAsia" w:hAnsi="Palatino Linotype"/>
          <w:b/>
          <w:lang w:val="es-ES_tradnl" w:eastAsia="es-ES"/>
        </w:rPr>
        <w:t>Razones o Motivos de inconformidad:</w:t>
      </w:r>
      <w:r w:rsidRPr="00A369A0">
        <w:rPr>
          <w:rFonts w:ascii="Palatino Linotype" w:eastAsiaTheme="majorEastAsia" w:hAnsi="Palatino Linotype" w:cstheme="majorBidi"/>
          <w:b/>
          <w:color w:val="2E74B5" w:themeColor="accent1" w:themeShade="BF"/>
          <w:sz w:val="26"/>
          <w:szCs w:val="26"/>
          <w:lang w:val="es-ES" w:eastAsia="es-ES"/>
        </w:rPr>
        <w:t xml:space="preserve"> </w:t>
      </w:r>
      <w:r w:rsidRPr="00A369A0">
        <w:rPr>
          <w:rFonts w:ascii="Palatino Linotype" w:eastAsiaTheme="majorEastAsia" w:hAnsi="Palatino Linotype" w:cstheme="majorBidi"/>
          <w:i/>
          <w:lang w:val="es-ES" w:eastAsia="es-ES"/>
        </w:rPr>
        <w:t>“</w:t>
      </w:r>
      <w:r w:rsidRPr="00A369A0">
        <w:rPr>
          <w:rFonts w:ascii="Palatino Linotype" w:hAnsi="Palatino Linotype"/>
          <w:i/>
          <w:color w:val="000000"/>
        </w:rPr>
        <w:t>NO ENTREGA INFORMACIÓN” (Sic)</w:t>
      </w:r>
    </w:p>
    <w:bookmarkEnd w:id="1"/>
    <w:bookmarkEnd w:id="2"/>
    <w:bookmarkEnd w:id="3"/>
    <w:p w:rsidR="00B063B3" w:rsidRPr="00A369A0" w:rsidRDefault="00B063B3" w:rsidP="00B063B3">
      <w:pPr>
        <w:spacing w:line="360" w:lineRule="auto"/>
        <w:jc w:val="both"/>
        <w:rPr>
          <w:rFonts w:ascii="Palatino Linotype" w:eastAsia="Calibri" w:hAnsi="Palatino Linotype" w:cs="Arial"/>
          <w:lang w:val="es-AR"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cs="Arial"/>
          <w:lang w:val="es-AR" w:eastAsia="es-ES"/>
        </w:rPr>
      </w:pPr>
      <w:r w:rsidRPr="00A369A0">
        <w:rPr>
          <w:rFonts w:ascii="Palatino Linotype" w:hAnsi="Palatino Linotype" w:cs="Arial"/>
          <w:lang w:val="es-ES" w:eastAsia="es-ES"/>
        </w:rPr>
        <w:t xml:space="preserve">Se registró el recurso de revisión bajo el número de expediente </w:t>
      </w:r>
      <w:r w:rsidRPr="00A369A0">
        <w:rPr>
          <w:rFonts w:ascii="Palatino Linotype" w:eastAsiaTheme="minorEastAsia" w:hAnsi="Palatino Linotype" w:cs="Arial"/>
          <w:bCs/>
          <w:lang w:val="es-ES_tradnl" w:eastAsia="es-ES"/>
        </w:rPr>
        <w:t xml:space="preserve">al rubro indicado, asimismo con fundamento en lo dispuesto por el </w:t>
      </w:r>
      <w:r w:rsidRPr="00A369A0">
        <w:rPr>
          <w:rFonts w:ascii="Palatino Linotype" w:eastAsia="Calibri" w:hAnsi="Palatino Linotype" w:cs="Arial"/>
          <w:lang w:val="es-ES" w:eastAsia="es-ES"/>
        </w:rPr>
        <w:t xml:space="preserve">artículo 185 fracción I de la </w:t>
      </w:r>
      <w:r w:rsidRPr="00A369A0">
        <w:rPr>
          <w:rFonts w:ascii="Palatino Linotype" w:eastAsia="Calibri" w:hAnsi="Palatino Linotype" w:cs="Arial"/>
          <w:b/>
          <w:lang w:val="es-ES" w:eastAsia="es-ES"/>
        </w:rPr>
        <w:t xml:space="preserve">Ley de Transparencia y Acceso a la Información Pública del Estado de México y Municipios </w:t>
      </w:r>
      <w:r w:rsidRPr="00A369A0">
        <w:rPr>
          <w:rFonts w:ascii="Palatino Linotype" w:hAnsi="Palatino Linotype" w:cs="Arial"/>
          <w:lang w:val="es-ES" w:eastAsia="es-ES"/>
        </w:rPr>
        <w:t xml:space="preserve">se turnó a la </w:t>
      </w:r>
      <w:r w:rsidRPr="00A369A0">
        <w:rPr>
          <w:rFonts w:ascii="Palatino Linotype" w:hAnsi="Palatino Linotype" w:cs="Arial"/>
          <w:b/>
          <w:lang w:val="es-ES" w:eastAsia="es-ES"/>
        </w:rPr>
        <w:t xml:space="preserve">Comisionada María del Rosario Mejía Ayala, </w:t>
      </w:r>
      <w:r w:rsidRPr="00A369A0">
        <w:rPr>
          <w:rFonts w:ascii="Palatino Linotype" w:hAnsi="Palatino Linotype" w:cs="Arial"/>
          <w:lang w:val="es-ES" w:eastAsia="es-ES"/>
        </w:rPr>
        <w:t xml:space="preserve">con el objeto de </w:t>
      </w:r>
      <w:r w:rsidRPr="00A369A0">
        <w:rPr>
          <w:rFonts w:ascii="Palatino Linotype" w:hAnsi="Palatino Linotype" w:cs="Arial"/>
          <w:lang w:eastAsia="es-ES"/>
        </w:rPr>
        <w:t xml:space="preserve">su análisis. </w:t>
      </w:r>
    </w:p>
    <w:p w:rsidR="00B063B3" w:rsidRPr="00A369A0" w:rsidRDefault="00B063B3" w:rsidP="00B063B3">
      <w:pPr>
        <w:spacing w:line="360" w:lineRule="auto"/>
        <w:contextualSpacing/>
        <w:jc w:val="both"/>
        <w:rPr>
          <w:rFonts w:ascii="Palatino Linotype" w:eastAsia="Calibri" w:hAnsi="Palatino Linotype" w:cs="Arial"/>
          <w:lang w:val="es-AR" w:eastAsia="es-ES"/>
        </w:rPr>
      </w:pPr>
    </w:p>
    <w:p w:rsidR="00B063B3" w:rsidRPr="00A369A0" w:rsidRDefault="00B063B3" w:rsidP="00B063B3">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A369A0">
        <w:rPr>
          <w:rFonts w:ascii="Palatino Linotype" w:eastAsia="Calibri" w:hAnsi="Palatino Linotype" w:cs="Arial"/>
          <w:lang w:val="es-ES" w:eastAsia="es-ES"/>
        </w:rPr>
        <w:lastRenderedPageBreak/>
        <w:t xml:space="preserve">El Comisionado Ponente con fundamento en lo dispuesto por el artículo 185 fracción II de la ley de la materia, a través del acuerdo de admisión del veinte (20) de febrero de dos mil veintitrés, puso a disposición de las partes el expediente electrónico </w:t>
      </w:r>
      <w:r w:rsidRPr="00A369A0">
        <w:rPr>
          <w:rFonts w:ascii="Palatino Linotype" w:eastAsia="Calibri" w:hAnsi="Palatino Linotype" w:cs="Arial"/>
          <w:lang w:val="es-ES_tradnl" w:eastAsia="es-ES"/>
        </w:rPr>
        <w:t xml:space="preserve">vía </w:t>
      </w:r>
      <w:r w:rsidRPr="00A369A0">
        <w:rPr>
          <w:rFonts w:ascii="Palatino Linotype" w:eastAsia="Calibri" w:hAnsi="Palatino Linotype" w:cs="Arial"/>
          <w:b/>
          <w:lang w:val="es-ES" w:eastAsia="es-ES"/>
        </w:rPr>
        <w:t xml:space="preserve">SAIMEX </w:t>
      </w:r>
      <w:r w:rsidRPr="00A369A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369A0">
        <w:rPr>
          <w:rFonts w:ascii="Palatino Linotype" w:eastAsia="Calibri" w:hAnsi="Palatino Linotype" w:cs="Arial"/>
          <w:b/>
          <w:lang w:val="es-ES" w:eastAsia="es-ES"/>
        </w:rPr>
        <w:t>SUJETO OBLIGADO</w:t>
      </w:r>
      <w:r w:rsidRPr="00A369A0">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alegatos que a su derecho conviniera. </w:t>
      </w:r>
      <w:r w:rsidRPr="00A369A0">
        <w:rPr>
          <w:rFonts w:ascii="Palatino Linotype" w:eastAsiaTheme="minorEastAsia" w:hAnsi="Palatino Linotype"/>
          <w:lang w:val="es-ES_tradnl" w:eastAsia="es-ES"/>
        </w:rPr>
        <w:t>Por su parte, el Sujeto Obligado no rindió informe justificado.</w:t>
      </w:r>
    </w:p>
    <w:p w:rsidR="00B063B3" w:rsidRPr="00A369A0" w:rsidRDefault="00B063B3" w:rsidP="00B063B3">
      <w:pPr>
        <w:spacing w:line="360" w:lineRule="auto"/>
        <w:contextualSpacing/>
        <w:jc w:val="both"/>
        <w:rPr>
          <w:rFonts w:ascii="Palatino Linotype" w:eastAsiaTheme="minorEastAsia" w:hAnsi="Palatino Linotype"/>
          <w:b/>
          <w:u w:val="single"/>
          <w:lang w:val="es-ES_tradnl" w:eastAsia="es-ES"/>
        </w:rPr>
      </w:pPr>
    </w:p>
    <w:p w:rsidR="00B063B3" w:rsidRPr="00A369A0" w:rsidRDefault="00B063B3" w:rsidP="00B063B3">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369A0">
        <w:rPr>
          <w:rFonts w:ascii="Palatino Linotype" w:eastAsiaTheme="minorEastAsia" w:hAnsi="Palatino Linotype"/>
          <w:lang w:val="es-ES_tradnl" w:eastAsia="es-ES"/>
        </w:rPr>
        <w:t>El Comisionado Ponente decretó el cierre de instrucción</w:t>
      </w:r>
      <w:r w:rsidRPr="00A369A0">
        <w:rPr>
          <w:rFonts w:ascii="Palatino Linotype" w:eastAsiaTheme="minorEastAsia" w:hAnsi="Palatino Linotype" w:cs="Arial"/>
          <w:lang w:val="es-ES_tradnl" w:eastAsia="es-ES"/>
        </w:rPr>
        <w:t xml:space="preserve"> </w:t>
      </w:r>
      <w:r w:rsidRPr="00A369A0">
        <w:rPr>
          <w:rFonts w:ascii="Palatino Linotype" w:eastAsiaTheme="minorEastAsia" w:hAnsi="Palatino Linotype"/>
          <w:lang w:val="es-ES_tradnl" w:eastAsia="es-ES"/>
        </w:rPr>
        <w:t>mediante el acue</w:t>
      </w:r>
      <w:r w:rsidR="00FA1234">
        <w:rPr>
          <w:rFonts w:ascii="Palatino Linotype" w:eastAsiaTheme="minorEastAsia" w:hAnsi="Palatino Linotype"/>
          <w:lang w:val="es-ES_tradnl" w:eastAsia="es-ES"/>
        </w:rPr>
        <w:t xml:space="preserve">rdo de fecha dos (02) de marzo </w:t>
      </w:r>
      <w:r w:rsidRPr="00A369A0">
        <w:rPr>
          <w:rFonts w:ascii="Palatino Linotype" w:eastAsiaTheme="minorEastAsia" w:hAnsi="Palatino Linotype"/>
          <w:lang w:val="es-ES_tradnl" w:eastAsia="es-ES"/>
        </w:rPr>
        <w:t>de dos mil veintitrés.</w:t>
      </w:r>
    </w:p>
    <w:p w:rsidR="00B063B3" w:rsidRPr="00A369A0" w:rsidRDefault="00B063B3" w:rsidP="00B063B3">
      <w:pPr>
        <w:spacing w:line="360" w:lineRule="auto"/>
        <w:contextualSpacing/>
        <w:jc w:val="both"/>
        <w:rPr>
          <w:rFonts w:ascii="Palatino Linotype" w:eastAsiaTheme="minorEastAsia" w:hAnsi="Palatino Linotype"/>
          <w:b/>
          <w:u w:val="single"/>
          <w:lang w:val="es-ES_tradnl" w:eastAsia="es-ES"/>
        </w:rPr>
      </w:pPr>
    </w:p>
    <w:p w:rsidR="00B063B3" w:rsidRPr="00A369A0" w:rsidRDefault="00B063B3" w:rsidP="00B063B3">
      <w:pPr>
        <w:keepNext/>
        <w:keepLines/>
        <w:spacing w:line="360" w:lineRule="auto"/>
        <w:jc w:val="center"/>
        <w:outlineLvl w:val="0"/>
        <w:rPr>
          <w:rFonts w:ascii="Palatino Linotype" w:eastAsiaTheme="majorEastAsia" w:hAnsi="Palatino Linotype" w:cstheme="majorBidi"/>
        </w:rPr>
      </w:pPr>
      <w:bookmarkStart w:id="4" w:name="_Toc83301634"/>
      <w:r w:rsidRPr="00A369A0">
        <w:rPr>
          <w:rFonts w:ascii="Palatino Linotype" w:eastAsiaTheme="majorEastAsia" w:hAnsi="Palatino Linotype" w:cstheme="majorBidi"/>
          <w:b/>
        </w:rPr>
        <w:t>CONSIDERANDO</w:t>
      </w:r>
      <w:bookmarkEnd w:id="4"/>
      <w:r w:rsidRPr="00A369A0">
        <w:rPr>
          <w:rFonts w:ascii="Palatino Linotype" w:eastAsiaTheme="majorEastAsia" w:hAnsi="Palatino Linotype" w:cstheme="majorBidi"/>
          <w:b/>
        </w:rPr>
        <w:t xml:space="preserve"> </w:t>
      </w:r>
    </w:p>
    <w:p w:rsidR="00B063B3" w:rsidRPr="00A369A0" w:rsidRDefault="00B063B3" w:rsidP="00B063B3">
      <w:pPr>
        <w:spacing w:line="360" w:lineRule="auto"/>
        <w:rPr>
          <w:rFonts w:ascii="Palatino Linotype" w:eastAsiaTheme="minorEastAsia" w:hAnsi="Palatino Linotype"/>
        </w:rPr>
      </w:pPr>
    </w:p>
    <w:p w:rsidR="00B063B3" w:rsidRPr="00A369A0" w:rsidRDefault="00B063B3" w:rsidP="00B063B3">
      <w:pPr>
        <w:keepNext/>
        <w:keepLines/>
        <w:spacing w:line="360" w:lineRule="auto"/>
        <w:outlineLvl w:val="1"/>
        <w:rPr>
          <w:rFonts w:ascii="Palatino Linotype" w:eastAsiaTheme="majorEastAsia" w:hAnsi="Palatino Linotype" w:cstheme="majorBidi"/>
          <w:b/>
          <w:szCs w:val="26"/>
        </w:rPr>
      </w:pPr>
      <w:bookmarkStart w:id="5" w:name="_Toc83301635"/>
      <w:r w:rsidRPr="00A369A0">
        <w:rPr>
          <w:rFonts w:ascii="Palatino Linotype" w:eastAsiaTheme="majorEastAsia" w:hAnsi="Palatino Linotype" w:cstheme="majorBidi"/>
          <w:b/>
          <w:szCs w:val="26"/>
        </w:rPr>
        <w:t>PRIMERO. De la competencia</w:t>
      </w:r>
      <w:bookmarkEnd w:id="5"/>
    </w:p>
    <w:p w:rsidR="00B063B3" w:rsidRPr="00A369A0" w:rsidRDefault="00B063B3" w:rsidP="00B063B3">
      <w:pPr>
        <w:keepNext/>
        <w:keepLines/>
        <w:spacing w:line="360" w:lineRule="auto"/>
        <w:outlineLvl w:val="1"/>
        <w:rPr>
          <w:rFonts w:ascii="Palatino Linotype" w:eastAsiaTheme="majorEastAsia" w:hAnsi="Palatino Linotype" w:cstheme="majorBidi"/>
          <w:b/>
          <w:bCs/>
          <w:spacing w:val="60"/>
          <w:szCs w:val="26"/>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lang w:eastAsia="es-ES"/>
        </w:rPr>
      </w:pPr>
      <w:r w:rsidRPr="00A369A0">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369A0">
        <w:rPr>
          <w:rFonts w:ascii="Palatino Linotype" w:eastAsia="Calibri" w:hAnsi="Palatino Linotype"/>
          <w:b/>
          <w:lang w:val="es-ES" w:eastAsia="es-ES"/>
        </w:rPr>
        <w:t>Constitución Política de los Estados Unidos Mexicanos</w:t>
      </w:r>
      <w:r w:rsidRPr="00A369A0">
        <w:rPr>
          <w:rFonts w:ascii="Palatino Linotype" w:eastAsia="Calibri" w:hAnsi="Palatino Linotype"/>
          <w:lang w:val="es-ES" w:eastAsia="es-ES"/>
        </w:rPr>
        <w:t xml:space="preserve">; 5, </w:t>
      </w:r>
      <w:r w:rsidRPr="00A369A0">
        <w:rPr>
          <w:rFonts w:ascii="Palatino Linotype" w:eastAsia="Calibri" w:hAnsi="Palatino Linotype"/>
          <w:lang w:eastAsia="es-ES"/>
        </w:rPr>
        <w:t xml:space="preserve">párrafos trigésimo, trigésimo primero y trigésimo segundo, fracciones I, II, III, IV y V de la </w:t>
      </w:r>
      <w:r w:rsidRPr="00A369A0">
        <w:rPr>
          <w:rFonts w:ascii="Palatino Linotype" w:eastAsia="Calibri" w:hAnsi="Palatino Linotype"/>
          <w:b/>
          <w:lang w:eastAsia="es-ES"/>
        </w:rPr>
        <w:t>Constitución Política del Estado Libre y Soberano de México</w:t>
      </w:r>
      <w:r w:rsidRPr="00A369A0">
        <w:rPr>
          <w:rFonts w:ascii="Palatino Linotype" w:eastAsia="Calibri" w:hAnsi="Palatino Linotype"/>
          <w:b/>
          <w:lang w:val="es-ES" w:eastAsia="es-ES"/>
        </w:rPr>
        <w:t>;</w:t>
      </w:r>
      <w:r w:rsidRPr="00A369A0">
        <w:rPr>
          <w:rFonts w:ascii="Palatino Linotype" w:eastAsia="Calibri" w:hAnsi="Palatino Linotype"/>
          <w:lang w:val="es-ES" w:eastAsia="es-ES"/>
        </w:rPr>
        <w:t xml:space="preserve"> 1, 3 fracción I, 82, 97, 98, 119, 123, 124, 127, 128 y 133 </w:t>
      </w:r>
      <w:r w:rsidRPr="00A369A0">
        <w:rPr>
          <w:rFonts w:ascii="Palatino Linotype" w:eastAsia="Calibri" w:hAnsi="Palatino Linotype"/>
          <w:b/>
          <w:lang w:eastAsia="es-ES"/>
        </w:rPr>
        <w:t xml:space="preserve">Ley de Protección de Datos Personales en Posesión de Sujetos </w:t>
      </w:r>
      <w:r w:rsidRPr="00A369A0">
        <w:rPr>
          <w:rFonts w:ascii="Palatino Linotype" w:eastAsia="Calibri" w:hAnsi="Palatino Linotype"/>
          <w:b/>
          <w:lang w:eastAsia="es-ES"/>
        </w:rPr>
        <w:lastRenderedPageBreak/>
        <w:t>Obligados del Estado de México y Municipios</w:t>
      </w:r>
      <w:r w:rsidRPr="00A369A0">
        <w:rPr>
          <w:rFonts w:ascii="Palatino Linotype" w:eastAsia="Calibri" w:hAnsi="Palatino Linotype"/>
          <w:lang w:val="es-ES" w:eastAsia="es-ES"/>
        </w:rPr>
        <w:t xml:space="preserve">; y 10, 7, 9 fracciones I y XXIV, y 11 del </w:t>
      </w:r>
      <w:r w:rsidRPr="00A369A0">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B063B3" w:rsidRPr="00A369A0" w:rsidRDefault="00B063B3" w:rsidP="00B063B3">
      <w:pPr>
        <w:spacing w:line="360" w:lineRule="auto"/>
        <w:contextualSpacing/>
        <w:jc w:val="both"/>
        <w:rPr>
          <w:rFonts w:ascii="Palatino Linotype" w:eastAsiaTheme="minorEastAsia" w:hAnsi="Palatino Linotype"/>
          <w:lang w:val="es-ES_tradnl" w:eastAsia="es-ES"/>
        </w:rPr>
      </w:pPr>
    </w:p>
    <w:p w:rsidR="00B063B3" w:rsidRPr="00A369A0" w:rsidRDefault="00B063B3" w:rsidP="00B063B3">
      <w:pPr>
        <w:keepNext/>
        <w:keepLines/>
        <w:spacing w:line="360" w:lineRule="auto"/>
        <w:outlineLvl w:val="1"/>
        <w:rPr>
          <w:rFonts w:ascii="Palatino Linotype" w:eastAsiaTheme="majorEastAsia" w:hAnsi="Palatino Linotype" w:cstheme="majorBidi"/>
          <w:b/>
          <w:szCs w:val="26"/>
        </w:rPr>
      </w:pPr>
      <w:bookmarkStart w:id="6" w:name="_Toc83301636"/>
      <w:r w:rsidRPr="00A369A0">
        <w:rPr>
          <w:rFonts w:ascii="Palatino Linotype" w:eastAsiaTheme="majorEastAsia" w:hAnsi="Palatino Linotype" w:cstheme="majorBidi"/>
          <w:b/>
          <w:szCs w:val="26"/>
        </w:rPr>
        <w:t>SEGUNDO. De la oportunidad y procedencia.</w:t>
      </w:r>
      <w:bookmarkEnd w:id="6"/>
    </w:p>
    <w:p w:rsidR="00B063B3" w:rsidRPr="00A369A0" w:rsidRDefault="00B063B3" w:rsidP="00B063B3">
      <w:pPr>
        <w:spacing w:line="360" w:lineRule="auto"/>
        <w:rPr>
          <w:rFonts w:ascii="Palatino Linotype" w:eastAsiaTheme="minorEastAsia" w:hAnsi="Palatino Linotype"/>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Calibri" w:hAnsi="Palatino Linotype" w:cs="Arial"/>
          <w:lang w:val="es-ES_tradnl" w:eastAsia="es-ES"/>
        </w:rPr>
        <w:t xml:space="preserve">El medio de impugnación fue presentado a través del </w:t>
      </w:r>
      <w:r w:rsidRPr="00A369A0">
        <w:rPr>
          <w:rFonts w:ascii="Palatino Linotype" w:eastAsia="Calibri" w:hAnsi="Palatino Linotype" w:cs="Arial"/>
          <w:b/>
          <w:lang w:val="es-ES_tradnl" w:eastAsia="es-ES"/>
        </w:rPr>
        <w:t>SAIMEX,</w:t>
      </w:r>
      <w:r w:rsidRPr="00A369A0">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369A0">
        <w:rPr>
          <w:rFonts w:ascii="Palatino Linotype" w:eastAsia="Calibri" w:hAnsi="Palatino Linotype" w:cs="Arial"/>
          <w:b/>
          <w:lang w:val="es-ES_tradnl" w:eastAsia="es-ES"/>
        </w:rPr>
        <w:t>SUJETO OBLIGADO</w:t>
      </w:r>
      <w:r w:rsidRPr="00A369A0">
        <w:rPr>
          <w:rFonts w:ascii="Palatino Linotype" w:eastAsia="Calibri" w:hAnsi="Palatino Linotype" w:cs="Arial"/>
          <w:lang w:val="es-ES_tradnl" w:eastAsia="es-ES"/>
        </w:rPr>
        <w:t xml:space="preserve"> entregó respuesta a la solicitud el día siete (07) de febrero de dos mil veintitrés, </w:t>
      </w:r>
      <w:r w:rsidRPr="00A369A0">
        <w:rPr>
          <w:rFonts w:ascii="Palatino Linotype" w:eastAsiaTheme="minorEastAsia" w:hAnsi="Palatino Linotype" w:cs="Arial"/>
          <w:lang w:val="es-ES_tradnl" w:eastAsia="es-ES"/>
        </w:rPr>
        <w:t xml:space="preserve">de tal forma que el plazo para interponer el recurso de revisión transcurrió del ocho (08) al veintiocho (28) de febrero de dos mil veintitrés; en consecuencia, presentó su inconformidad el día once (11) de febrero de dos mil veintitrés, por lo que se encuentra dentro de los márgenes temporales previstos en el artículo 178 de la </w:t>
      </w:r>
      <w:r w:rsidRPr="00A369A0">
        <w:rPr>
          <w:rFonts w:ascii="Palatino Linotype" w:eastAsiaTheme="minorEastAsia" w:hAnsi="Palatino Linotype" w:cs="Arial"/>
          <w:b/>
          <w:lang w:val="es-ES_tradnl" w:eastAsia="es-ES"/>
        </w:rPr>
        <w:t xml:space="preserve">Ley de Transparencia y Acceso a la Información Pública del Estado de México y Municipios </w:t>
      </w:r>
      <w:r w:rsidRPr="00A369A0">
        <w:rPr>
          <w:rFonts w:ascii="Palatino Linotype" w:eastAsiaTheme="minorEastAsia" w:hAnsi="Palatino Linotype" w:cs="Arial"/>
          <w:lang w:val="es-ES_tradnl" w:eastAsia="es-ES"/>
        </w:rPr>
        <w:t>vigente.</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9A0">
        <w:rPr>
          <w:rFonts w:ascii="Palatino Linotype" w:eastAsia="Calibri" w:hAnsi="Palatino Linotype" w:cs="Arial"/>
          <w:lang w:val="es-ES_tradnl" w:eastAsia="es-ES"/>
        </w:rPr>
        <w:t xml:space="preserve">Por otra parte, de la revisión al expediente electrónico del </w:t>
      </w:r>
      <w:r w:rsidRPr="00A369A0">
        <w:rPr>
          <w:rFonts w:ascii="Palatino Linotype" w:eastAsia="Calibri" w:hAnsi="Palatino Linotype" w:cs="Arial"/>
          <w:b/>
          <w:lang w:val="es-ES_tradnl" w:eastAsia="es-ES"/>
        </w:rPr>
        <w:t>SAIMEX</w:t>
      </w:r>
      <w:r w:rsidRPr="00A369A0">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063B3" w:rsidRPr="00A369A0" w:rsidRDefault="00B063B3" w:rsidP="00B063B3">
      <w:pPr>
        <w:pStyle w:val="Prrafodelista"/>
        <w:ind w:left="0"/>
        <w:rPr>
          <w:rFonts w:ascii="Palatino Linotype" w:eastAsia="Calibri" w:hAnsi="Palatino Linotype" w:cs="Arial"/>
          <w:sz w:val="24"/>
          <w:lang w:val="es-ES_tradnl"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9A0">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369A0">
        <w:rPr>
          <w:rFonts w:ascii="Palatino Linotype" w:eastAsia="Calibri" w:hAnsi="Palatino Linotype" w:cs="Arial"/>
          <w:bCs/>
          <w:lang w:val="es-ES" w:eastAsia="es-ES"/>
        </w:rPr>
        <w:t xml:space="preserve">5, párrafos vigésimo, vigésimo primero y vigésimo </w:t>
      </w:r>
      <w:r w:rsidR="00A369A0" w:rsidRPr="00A369A0">
        <w:rPr>
          <w:rFonts w:ascii="Palatino Linotype" w:eastAsia="Calibri" w:hAnsi="Palatino Linotype" w:cs="Arial"/>
          <w:bCs/>
          <w:lang w:val="es-ES" w:eastAsia="es-ES"/>
        </w:rPr>
        <w:t>segundo</w:t>
      </w:r>
      <w:r w:rsidRPr="00A369A0">
        <w:rPr>
          <w:rFonts w:ascii="Palatino Linotype" w:eastAsia="Calibri" w:hAnsi="Palatino Linotype" w:cs="Arial"/>
          <w:bCs/>
          <w:lang w:val="es-ES" w:eastAsia="es-ES"/>
        </w:rPr>
        <w:t> fracciones IV y V </w:t>
      </w:r>
      <w:r w:rsidRPr="00A369A0">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063B3" w:rsidRPr="00A369A0" w:rsidRDefault="00B063B3" w:rsidP="00B063B3">
      <w:pPr>
        <w:pStyle w:val="Prrafodelista"/>
        <w:ind w:left="0"/>
        <w:rPr>
          <w:rFonts w:ascii="Palatino Linotype" w:eastAsia="Calibri" w:hAnsi="Palatino Linotype" w:cs="Arial"/>
          <w:sz w:val="24"/>
          <w:lang w:val="es-ES_tradnl"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9A0">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063B3" w:rsidRPr="00A369A0" w:rsidRDefault="00B063B3" w:rsidP="00B063B3">
      <w:pPr>
        <w:pStyle w:val="Prrafodelista"/>
        <w:ind w:left="0"/>
        <w:rPr>
          <w:rFonts w:ascii="Palatino Linotype" w:eastAsia="Calibri" w:hAnsi="Palatino Linotype" w:cs="Arial"/>
          <w:sz w:val="24"/>
          <w:lang w:val="es-ES_tradnl"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9A0">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063B3" w:rsidRPr="00A369A0" w:rsidRDefault="00B063B3" w:rsidP="00B063B3">
      <w:pPr>
        <w:pStyle w:val="Prrafodelista"/>
        <w:ind w:left="0"/>
        <w:rPr>
          <w:rFonts w:ascii="Palatino Linotype" w:eastAsia="Calibri" w:hAnsi="Palatino Linotype" w:cs="Arial"/>
          <w:sz w:val="24"/>
          <w:lang w:val="es-ES_tradnl" w:eastAsia="es-ES"/>
        </w:rPr>
      </w:pPr>
    </w:p>
    <w:p w:rsidR="00B063B3" w:rsidRPr="00A369A0" w:rsidRDefault="00B063B3" w:rsidP="00B063B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9A0">
        <w:rPr>
          <w:rFonts w:ascii="Palatino Linotype" w:eastAsia="Calibri" w:hAnsi="Palatino Linotype" w:cs="Arial"/>
          <w:lang w:val="es-ES_tradnl" w:eastAsia="es-ES"/>
        </w:rPr>
        <w:lastRenderedPageBreak/>
        <w:t xml:space="preserve">Por lo que el nombre del solicitando y recurrente no puede ser considerado un requisito indispensable de </w:t>
      </w:r>
      <w:proofErr w:type="spellStart"/>
      <w:r w:rsidRPr="00A369A0">
        <w:rPr>
          <w:rFonts w:ascii="Palatino Linotype" w:eastAsia="Calibri" w:hAnsi="Palatino Linotype" w:cs="Arial"/>
          <w:lang w:val="es-ES_tradnl" w:eastAsia="es-ES"/>
        </w:rPr>
        <w:t>procedibilidad</w:t>
      </w:r>
      <w:proofErr w:type="spellEnd"/>
      <w:r w:rsidRPr="00A369A0">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369A0">
        <w:rPr>
          <w:rFonts w:ascii="Palatino Linotype" w:eastAsia="Calibri" w:hAnsi="Palatino Linotype" w:cs="Arial"/>
          <w:lang w:val="es-ES_tradnl" w:eastAsia="es-ES"/>
        </w:rPr>
        <w:t>Resolutor</w:t>
      </w:r>
      <w:proofErr w:type="spellEnd"/>
      <w:r w:rsidRPr="00A369A0">
        <w:rPr>
          <w:rFonts w:ascii="Palatino Linotype" w:eastAsia="Calibri" w:hAnsi="Palatino Linotype" w:cs="Arial"/>
          <w:lang w:val="es-ES_tradnl" w:eastAsia="es-ES"/>
        </w:rPr>
        <w:t>.</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B063B3" w:rsidRPr="00A369A0" w:rsidRDefault="00B063B3" w:rsidP="00B063B3">
      <w:pPr>
        <w:spacing w:line="360" w:lineRule="auto"/>
        <w:ind w:right="49"/>
        <w:contextualSpacing/>
        <w:jc w:val="both"/>
        <w:rPr>
          <w:rFonts w:ascii="Palatino Linotype" w:eastAsia="MS Gothic" w:hAnsi="Palatino Linotype" w:cstheme="majorBidi"/>
          <w:lang w:eastAsia="es-ES"/>
        </w:rPr>
      </w:pPr>
    </w:p>
    <w:p w:rsidR="00B063B3" w:rsidRPr="00A369A0" w:rsidRDefault="00B063B3" w:rsidP="00B063B3">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A369A0">
        <w:rPr>
          <w:rFonts w:ascii="Palatino Linotype" w:eastAsia="MS Gothic" w:hAnsi="Palatino Linotype" w:cstheme="majorBidi"/>
          <w:b/>
          <w:lang w:val="es-ES_tradnl" w:eastAsia="es-ES"/>
        </w:rPr>
        <w:t>TERCERO. Planteamiento de la Litis</w:t>
      </w:r>
      <w:r w:rsidRPr="00A369A0">
        <w:rPr>
          <w:rFonts w:ascii="Palatino Linotype" w:eastAsia="MS Gothic" w:hAnsi="Palatino Linotype" w:cstheme="majorBidi"/>
          <w:b/>
          <w:lang w:eastAsia="es-ES"/>
        </w:rPr>
        <w:t>.</w:t>
      </w:r>
      <w:bookmarkEnd w:id="10"/>
      <w:bookmarkEnd w:id="11"/>
    </w:p>
    <w:p w:rsidR="00B063B3" w:rsidRPr="00A369A0" w:rsidRDefault="00B063B3" w:rsidP="00B063B3">
      <w:pPr>
        <w:spacing w:line="360" w:lineRule="auto"/>
        <w:ind w:right="49"/>
        <w:contextualSpacing/>
        <w:jc w:val="both"/>
        <w:rPr>
          <w:rFonts w:ascii="Palatino Linotype" w:eastAsia="MS Gothic" w:hAnsi="Palatino Linotype" w:cstheme="majorBidi"/>
          <w:b/>
          <w:lang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A369A0">
        <w:rPr>
          <w:rFonts w:ascii="Palatino Linotype" w:eastAsia="MS Gothic" w:hAnsi="Palatino Linotype" w:cstheme="majorBidi"/>
          <w:lang w:eastAsia="es-ES"/>
        </w:rPr>
        <w:t xml:space="preserve">El particular solicitó los recibos de pago predial de diciembre de dos mil veintidós. </w:t>
      </w:r>
    </w:p>
    <w:p w:rsidR="00B063B3" w:rsidRPr="00A369A0" w:rsidRDefault="00B063B3" w:rsidP="00B063B3">
      <w:pPr>
        <w:spacing w:line="360" w:lineRule="auto"/>
        <w:ind w:right="49"/>
        <w:contextualSpacing/>
        <w:jc w:val="both"/>
        <w:rPr>
          <w:rFonts w:ascii="Palatino Linotype" w:eastAsia="MS Gothic" w:hAnsi="Palatino Linotype" w:cstheme="majorBidi"/>
          <w:i/>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369A0">
        <w:rPr>
          <w:rFonts w:ascii="Palatino Linotype" w:eastAsia="MS Gothic" w:hAnsi="Palatino Linotype" w:cstheme="majorBidi"/>
          <w:iCs/>
          <w:lang w:eastAsia="es-ES"/>
        </w:rPr>
        <w:t xml:space="preserve">En respuesta, el SUJETO OBLIGADO adjuntó documento mediante el cual refirió que el Gobierno Municipal de Zinacantepec no expide facturas bajo ningún concepto. Derivado de la respuesta, el hoy Recurrente interpuso recurso de revisión; manifestó en sus motivos de inconformidad que no le entregan la información.  </w:t>
      </w:r>
    </w:p>
    <w:p w:rsidR="00B063B3" w:rsidRPr="00A369A0" w:rsidRDefault="00B063B3" w:rsidP="00B063B3">
      <w:pPr>
        <w:spacing w:line="360" w:lineRule="auto"/>
        <w:ind w:right="49"/>
        <w:contextualSpacing/>
        <w:jc w:val="both"/>
        <w:rPr>
          <w:rFonts w:ascii="Palatino Linotype" w:eastAsia="MS Gothic" w:hAnsi="Palatino Linotype" w:cstheme="majorBidi"/>
          <w:lang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A369A0">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B063B3" w:rsidRPr="00A369A0" w:rsidRDefault="00B063B3" w:rsidP="00B063B3">
      <w:pPr>
        <w:spacing w:line="360" w:lineRule="auto"/>
        <w:ind w:right="49"/>
        <w:contextualSpacing/>
        <w:jc w:val="both"/>
        <w:rPr>
          <w:rFonts w:ascii="Palatino Linotype" w:eastAsia="MS Gothic" w:hAnsi="Palatino Linotype"/>
        </w:rPr>
      </w:pPr>
    </w:p>
    <w:p w:rsidR="00B063B3" w:rsidRPr="00A369A0" w:rsidRDefault="00B063B3" w:rsidP="00B063B3">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A369A0">
        <w:rPr>
          <w:rFonts w:ascii="Palatino Linotype" w:eastAsia="MS Gothic" w:hAnsi="Palatino Linotype" w:cstheme="majorBidi"/>
          <w:b/>
          <w:lang w:val="es-ES_tradnl" w:eastAsia="es-ES"/>
        </w:rPr>
        <w:t>CUARTO. Del estudio y resolución del recurso de revisión.</w:t>
      </w:r>
      <w:bookmarkEnd w:id="12"/>
      <w:bookmarkEnd w:id="13"/>
      <w:bookmarkEnd w:id="14"/>
    </w:p>
    <w:p w:rsidR="00B063B3" w:rsidRPr="00A369A0" w:rsidRDefault="00B063B3" w:rsidP="00B063B3">
      <w:pPr>
        <w:keepNext/>
        <w:keepLines/>
        <w:spacing w:line="360" w:lineRule="auto"/>
        <w:ind w:right="48"/>
        <w:outlineLvl w:val="0"/>
        <w:rPr>
          <w:rFonts w:ascii="Palatino Linotype" w:eastAsia="MS Gothic" w:hAnsi="Palatino Linotype" w:cstheme="majorBidi"/>
          <w:b/>
          <w:lang w:val="es-ES_tradnl" w:eastAsia="es-ES"/>
        </w:rPr>
      </w:pPr>
    </w:p>
    <w:p w:rsidR="00B063B3" w:rsidRPr="00A369A0" w:rsidRDefault="00B063B3" w:rsidP="00B063B3">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A369A0">
        <w:rPr>
          <w:rFonts w:ascii="Palatino Linotype" w:eastAsia="MS Gothic" w:hAnsi="Palatino Linotype"/>
          <w:b/>
          <w:sz w:val="24"/>
          <w:lang w:val="es-ES_tradnl" w:eastAsia="es-ES"/>
        </w:rPr>
        <w:t>De</w:t>
      </w:r>
      <w:bookmarkEnd w:id="15"/>
      <w:r w:rsidRPr="00A369A0">
        <w:rPr>
          <w:rFonts w:ascii="Palatino Linotype" w:eastAsia="MS Gothic" w:hAnsi="Palatino Linotype"/>
          <w:b/>
          <w:sz w:val="24"/>
          <w:lang w:val="es-ES_tradnl" w:eastAsia="es-ES"/>
        </w:rPr>
        <w:t>l derecho de acceso a la información.</w:t>
      </w:r>
      <w:bookmarkEnd w:id="16"/>
      <w:bookmarkEnd w:id="17"/>
      <w:bookmarkEnd w:id="18"/>
      <w:bookmarkEnd w:id="19"/>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Theme="minorEastAsia" w:hAnsi="Palatino Linotype"/>
          <w:lang w:val="es-ES_tradnl" w:eastAsia="es-ES"/>
        </w:rPr>
        <w:t>E</w:t>
      </w:r>
      <w:r w:rsidRPr="00A369A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369A0">
        <w:rPr>
          <w:rFonts w:ascii="Palatino Linotype" w:hAnsi="Palatino Linotype" w:cs="Arial"/>
          <w:color w:val="000000"/>
          <w:lang w:val="es-ES_tradnl" w:eastAsia="es-ES"/>
        </w:rPr>
        <w:t xml:space="preserve">. </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hAnsi="Palatino Linotype"/>
          <w:lang w:val="es-ES_tradnl" w:eastAsia="es-ES"/>
        </w:rPr>
        <w:t xml:space="preserve">Definiendo el Derecho de Acceso a la Información Pública como: </w:t>
      </w:r>
      <w:r w:rsidRPr="00A369A0">
        <w:rPr>
          <w:rFonts w:ascii="Palatino Linotype" w:eastAsiaTheme="minorEastAsia" w:hAnsi="Palatino Linotype"/>
          <w:i/>
          <w:color w:val="000000"/>
          <w:lang w:val="es-ES_tradnl" w:eastAsia="es-ES"/>
        </w:rPr>
        <w:t>La igualdad de oportunidades para recibir, buscar e impartir información</w:t>
      </w:r>
      <w:r w:rsidRPr="00A369A0">
        <w:rPr>
          <w:rFonts w:ascii="Palatino Linotype" w:eastAsiaTheme="minorEastAsia" w:hAnsi="Palatino Linotype"/>
          <w:i/>
          <w:vertAlign w:val="superscript"/>
          <w:lang w:val="es-ES_tradnl" w:eastAsia="es-ES"/>
        </w:rPr>
        <w:footnoteReference w:id="1"/>
      </w:r>
      <w:r w:rsidRPr="00A369A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369A0">
        <w:rPr>
          <w:rFonts w:ascii="Palatino Linotype" w:eastAsiaTheme="minorEastAsia" w:hAnsi="Palatino Linotype"/>
          <w:i/>
          <w:vertAlign w:val="superscript"/>
          <w:lang w:val="es-ES_tradnl" w:eastAsia="es-ES"/>
        </w:rPr>
        <w:footnoteReference w:id="2"/>
      </w:r>
      <w:r w:rsidRPr="00A369A0">
        <w:rPr>
          <w:rFonts w:ascii="Palatino Linotype" w:eastAsiaTheme="minorEastAsia" w:hAnsi="Palatino Linotype"/>
          <w:color w:val="000000"/>
          <w:lang w:val="es-ES_tradnl" w:eastAsia="es-ES"/>
        </w:rPr>
        <w:t>que se constituye como una herramienta fundamental para ejercer</w:t>
      </w:r>
      <w:r w:rsidRPr="00A369A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369A0">
        <w:rPr>
          <w:rFonts w:ascii="Palatino Linotype" w:eastAsiaTheme="minorEastAsia" w:hAnsi="Palatino Linotype"/>
          <w:i/>
          <w:vertAlign w:val="superscript"/>
          <w:lang w:val="es-ES_tradnl" w:eastAsia="es-ES"/>
        </w:rPr>
        <w:footnoteReference w:id="3"/>
      </w:r>
      <w:r w:rsidRPr="00A369A0">
        <w:rPr>
          <w:rFonts w:ascii="Palatino Linotype" w:eastAsiaTheme="minorEastAsia" w:hAnsi="Palatino Linotype"/>
          <w:color w:val="000000"/>
          <w:lang w:val="es-ES_tradnl" w:eastAsia="es-ES"/>
        </w:rPr>
        <w:t>fomentando</w:t>
      </w:r>
      <w:r w:rsidRPr="00A369A0">
        <w:rPr>
          <w:rFonts w:ascii="Palatino Linotype" w:eastAsiaTheme="minorEastAsia" w:hAnsi="Palatino Linotype"/>
          <w:i/>
          <w:color w:val="000000"/>
          <w:lang w:val="es-ES_tradnl" w:eastAsia="es-ES"/>
        </w:rPr>
        <w:t xml:space="preserve"> la transparencia de las actividades estatales y </w:t>
      </w:r>
      <w:r w:rsidRPr="00A369A0">
        <w:rPr>
          <w:rFonts w:ascii="Palatino Linotype" w:eastAsiaTheme="minorEastAsia" w:hAnsi="Palatino Linotype"/>
          <w:color w:val="000000"/>
          <w:lang w:val="es-ES_tradnl" w:eastAsia="es-ES"/>
        </w:rPr>
        <w:t>promoviendo</w:t>
      </w:r>
      <w:r w:rsidRPr="00A369A0">
        <w:rPr>
          <w:rFonts w:ascii="Palatino Linotype" w:eastAsiaTheme="minorEastAsia" w:hAnsi="Palatino Linotype"/>
          <w:i/>
          <w:color w:val="000000"/>
          <w:lang w:val="es-ES_tradnl" w:eastAsia="es-ES"/>
        </w:rPr>
        <w:t xml:space="preserve"> la responsabilidad de los funcionarios sobre su gestión pública,</w:t>
      </w:r>
      <w:r w:rsidRPr="00A369A0">
        <w:rPr>
          <w:rFonts w:ascii="Palatino Linotype" w:eastAsiaTheme="minorEastAsia" w:hAnsi="Palatino Linotype"/>
          <w:i/>
          <w:vertAlign w:val="superscript"/>
          <w:lang w:val="es-ES_tradnl" w:eastAsia="es-ES"/>
        </w:rPr>
        <w:footnoteReference w:id="4"/>
      </w:r>
      <w:r w:rsidRPr="00A369A0">
        <w:rPr>
          <w:rFonts w:ascii="Palatino Linotype" w:eastAsiaTheme="minorEastAsia" w:hAnsi="Palatino Linotype"/>
          <w:color w:val="000000"/>
          <w:lang w:val="es-ES_tradnl" w:eastAsia="es-ES"/>
        </w:rPr>
        <w:t>que permite</w:t>
      </w:r>
      <w:r w:rsidRPr="00A369A0">
        <w:rPr>
          <w:rFonts w:ascii="Palatino Linotype" w:eastAsiaTheme="minorEastAsia" w:hAnsi="Palatino Linotype"/>
          <w:i/>
          <w:color w:val="000000"/>
          <w:lang w:val="es-ES_tradnl" w:eastAsia="es-ES"/>
        </w:rPr>
        <w:t xml:space="preserve"> saber qué están </w:t>
      </w:r>
      <w:r w:rsidRPr="00A369A0">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063B3" w:rsidRPr="00A369A0" w:rsidRDefault="00B063B3" w:rsidP="00B063B3">
      <w:pPr>
        <w:spacing w:line="360" w:lineRule="auto"/>
        <w:ind w:right="49"/>
        <w:contextualSpacing/>
        <w:jc w:val="both"/>
        <w:rPr>
          <w:rFonts w:ascii="Palatino Linotype" w:hAnsi="Palatino Linotype"/>
          <w:lang w:val="es-ES_tradnl" w:eastAsia="es-ES"/>
        </w:rPr>
      </w:pPr>
    </w:p>
    <w:p w:rsidR="00B063B3" w:rsidRPr="00A369A0" w:rsidRDefault="00B063B3" w:rsidP="00B063B3">
      <w:pPr>
        <w:spacing w:line="360" w:lineRule="auto"/>
        <w:ind w:left="567" w:right="567"/>
        <w:contextualSpacing/>
        <w:jc w:val="both"/>
        <w:rPr>
          <w:rFonts w:ascii="Palatino Linotype" w:hAnsi="Palatino Linotype"/>
          <w:i/>
          <w:sz w:val="22"/>
          <w:lang w:val="es-ES_tradnl" w:eastAsia="es-ES"/>
        </w:rPr>
      </w:pPr>
      <w:r w:rsidRPr="00A369A0">
        <w:rPr>
          <w:rFonts w:ascii="Palatino Linotype" w:hAnsi="Palatino Linotype"/>
          <w:i/>
          <w:sz w:val="22"/>
          <w:lang w:val="es-ES_tradnl" w:eastAsia="es-ES"/>
        </w:rPr>
        <w:t>“</w:t>
      </w:r>
      <w:r w:rsidRPr="00A369A0">
        <w:rPr>
          <w:rFonts w:ascii="Palatino Linotype" w:hAnsi="Palatino Linotype"/>
          <w:b/>
          <w:i/>
          <w:sz w:val="22"/>
          <w:lang w:val="es-ES_tradnl" w:eastAsia="es-ES"/>
        </w:rPr>
        <w:t>Artículo 1.-</w:t>
      </w:r>
      <w:r w:rsidRPr="00A369A0">
        <w:rPr>
          <w:rFonts w:ascii="Palatino Linotype" w:hAnsi="Palatino Linotype"/>
          <w:i/>
          <w:sz w:val="22"/>
          <w:lang w:val="es-ES_tradnl" w:eastAsia="es-ES"/>
        </w:rPr>
        <w:t xml:space="preserve"> </w:t>
      </w:r>
    </w:p>
    <w:p w:rsidR="00B063B3" w:rsidRPr="00A369A0" w:rsidRDefault="00B063B3" w:rsidP="00B063B3">
      <w:pPr>
        <w:spacing w:line="360" w:lineRule="auto"/>
        <w:ind w:left="567" w:right="567"/>
        <w:contextualSpacing/>
        <w:jc w:val="both"/>
        <w:rPr>
          <w:rFonts w:ascii="Palatino Linotype" w:hAnsi="Palatino Linotype"/>
          <w:i/>
          <w:sz w:val="22"/>
          <w:lang w:val="es-ES_tradnl" w:eastAsia="es-ES"/>
        </w:rPr>
      </w:pPr>
      <w:r w:rsidRPr="00A369A0">
        <w:rPr>
          <w:rFonts w:ascii="Palatino Linotype" w:hAnsi="Palatino Linotype"/>
          <w:i/>
          <w:sz w:val="22"/>
          <w:lang w:val="es-ES_tradnl" w:eastAsia="es-ES"/>
        </w:rPr>
        <w:t>(…)</w:t>
      </w:r>
    </w:p>
    <w:p w:rsidR="00B063B3" w:rsidRPr="00A369A0" w:rsidRDefault="00B063B3" w:rsidP="00B063B3">
      <w:pPr>
        <w:spacing w:line="360" w:lineRule="auto"/>
        <w:ind w:left="567" w:right="567"/>
        <w:contextualSpacing/>
        <w:jc w:val="both"/>
        <w:rPr>
          <w:rFonts w:ascii="Palatino Linotype" w:hAnsi="Palatino Linotype"/>
          <w:i/>
          <w:sz w:val="22"/>
        </w:rPr>
      </w:pPr>
      <w:r w:rsidRPr="00A369A0">
        <w:rPr>
          <w:rFonts w:ascii="Palatino Linotype" w:hAnsi="Palatino Linotype"/>
          <w:i/>
          <w:sz w:val="22"/>
          <w:lang w:val="es-ES_tradnl" w:eastAsia="es-ES"/>
        </w:rPr>
        <w:t>Todas las</w:t>
      </w:r>
      <w:r w:rsidRPr="00A369A0">
        <w:rPr>
          <w:rFonts w:ascii="Palatino Linotype" w:hAnsi="Palatino Linotype"/>
          <w:sz w:val="22"/>
          <w:lang w:val="es-ES_tradnl" w:eastAsia="es-ES"/>
        </w:rPr>
        <w:t xml:space="preserve"> </w:t>
      </w:r>
      <w:r w:rsidRPr="00A369A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063B3" w:rsidRPr="00A369A0" w:rsidRDefault="00B063B3" w:rsidP="00B063B3">
      <w:pPr>
        <w:spacing w:line="360" w:lineRule="auto"/>
        <w:ind w:left="567" w:right="567"/>
        <w:contextualSpacing/>
        <w:jc w:val="both"/>
        <w:rPr>
          <w:rFonts w:ascii="Palatino Linotype" w:hAnsi="Palatino Linotype"/>
          <w:sz w:val="22"/>
          <w:lang w:val="es-ES_tradnl" w:eastAsia="es-ES"/>
        </w:rPr>
      </w:pPr>
      <w:r w:rsidRPr="00A369A0">
        <w:rPr>
          <w:rFonts w:ascii="Palatino Linotype" w:hAnsi="Palatino Linotype"/>
          <w:i/>
          <w:sz w:val="22"/>
        </w:rPr>
        <w:t>(…)</w:t>
      </w:r>
      <w:r w:rsidRPr="00A369A0">
        <w:rPr>
          <w:rFonts w:ascii="Palatino Linotype" w:hAnsi="Palatino Linotype"/>
          <w:sz w:val="22"/>
          <w:lang w:val="es-ES_tradnl" w:eastAsia="es-ES"/>
        </w:rPr>
        <w:t>”.</w:t>
      </w:r>
    </w:p>
    <w:p w:rsidR="00B063B3" w:rsidRPr="00A369A0" w:rsidRDefault="00B063B3" w:rsidP="00B063B3">
      <w:pPr>
        <w:spacing w:line="360" w:lineRule="auto"/>
        <w:ind w:left="567" w:right="567"/>
        <w:contextualSpacing/>
        <w:jc w:val="both"/>
        <w:rPr>
          <w:rFonts w:ascii="Palatino Linotype" w:hAnsi="Palatino Linotype"/>
          <w:b/>
          <w:sz w:val="22"/>
          <w:lang w:val="es-ES_tradnl" w:eastAsia="es-ES"/>
        </w:rPr>
      </w:pPr>
      <w:r w:rsidRPr="00A369A0">
        <w:rPr>
          <w:rFonts w:ascii="Palatino Linotype" w:hAnsi="Palatino Linotype"/>
          <w:b/>
          <w:i/>
          <w:sz w:val="22"/>
        </w:rPr>
        <w:t>(Énfasis Añadido)</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Theme="minorEastAsia" w:hAnsi="Palatino Linotype"/>
          <w:lang w:val="es-ES_tradnl" w:eastAsia="es-ES"/>
        </w:rPr>
        <w:t xml:space="preserve">Así, conforme a la Constitución Política de las Estado Unidos Mexicanos </w:t>
      </w:r>
      <w:r w:rsidRPr="00A369A0">
        <w:rPr>
          <w:rFonts w:ascii="Palatino Linotype" w:eastAsia="Calibri" w:hAnsi="Palatino Linotype"/>
          <w:lang w:val="es-ES_tradnl" w:eastAsia="es-ES"/>
        </w:rPr>
        <w:t>y la Constitución Política del Estado Libre y Soberano de México respectivamente</w:t>
      </w:r>
      <w:r w:rsidRPr="00A369A0">
        <w:rPr>
          <w:rFonts w:ascii="Palatino Linotype" w:eastAsiaTheme="minorEastAsia" w:hAnsi="Palatino Linotype"/>
          <w:lang w:val="es-ES_tradnl" w:eastAsia="es-ES"/>
        </w:rPr>
        <w:t xml:space="preserve">, el cumplimiento de las garantías primarias, entendidas como obligaciones </w:t>
      </w:r>
      <w:r w:rsidRPr="00A369A0">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spacing w:line="360" w:lineRule="auto"/>
        <w:ind w:left="567" w:right="567"/>
        <w:jc w:val="center"/>
        <w:rPr>
          <w:rFonts w:ascii="Palatino Linotype" w:eastAsiaTheme="minorEastAsia" w:hAnsi="Palatino Linotype" w:cs="Arial"/>
          <w:b/>
          <w:bCs/>
          <w:i/>
          <w:sz w:val="22"/>
          <w:lang w:val="es-ES_tradnl" w:eastAsia="es-ES"/>
        </w:rPr>
      </w:pPr>
      <w:r w:rsidRPr="00A369A0">
        <w:rPr>
          <w:rFonts w:ascii="Palatino Linotype" w:eastAsiaTheme="minorEastAsia" w:hAnsi="Palatino Linotype" w:cs="Arial"/>
          <w:b/>
          <w:bCs/>
          <w:i/>
          <w:sz w:val="22"/>
          <w:lang w:val="es-ES_tradnl" w:eastAsia="es-ES"/>
        </w:rPr>
        <w:t>Constitución Política de los Estados Unidos Mexicanos</w:t>
      </w:r>
    </w:p>
    <w:p w:rsidR="00B063B3" w:rsidRPr="00A369A0" w:rsidRDefault="00B063B3" w:rsidP="00B063B3">
      <w:pPr>
        <w:spacing w:line="360" w:lineRule="auto"/>
        <w:ind w:left="567" w:right="567"/>
        <w:jc w:val="both"/>
        <w:rPr>
          <w:rFonts w:ascii="Palatino Linotype" w:eastAsiaTheme="minorEastAsia" w:hAnsi="Palatino Linotype" w:cs="Arial"/>
          <w:b/>
          <w:bCs/>
          <w:i/>
          <w:sz w:val="22"/>
          <w:lang w:val="es-ES_tradnl" w:eastAsia="es-ES"/>
        </w:rPr>
      </w:pPr>
      <w:r w:rsidRPr="00A369A0">
        <w:rPr>
          <w:rFonts w:ascii="Palatino Linotype" w:eastAsiaTheme="minorEastAsia" w:hAnsi="Palatino Linotype" w:cs="Arial"/>
          <w:b/>
          <w:bCs/>
          <w:i/>
          <w:sz w:val="22"/>
          <w:lang w:val="es-ES_tradnl" w:eastAsia="es-ES"/>
        </w:rPr>
        <w:t>“Artículo 6.</w:t>
      </w:r>
      <w:r w:rsidRPr="00A369A0">
        <w:rPr>
          <w:rFonts w:ascii="Palatino Linotype" w:eastAsiaTheme="minorEastAsia" w:hAnsi="Palatino Linotype" w:cs="Arial"/>
          <w:bCs/>
          <w:i/>
          <w:sz w:val="22"/>
          <w:lang w:val="es-ES_tradnl" w:eastAsia="es-ES"/>
        </w:rPr>
        <w:t xml:space="preserve"> …</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Cs/>
          <w:i/>
          <w:sz w:val="22"/>
          <w:lang w:val="es-ES_tradnl" w:eastAsia="es-ES"/>
        </w:rPr>
        <w:t>…</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Cs/>
          <w:i/>
          <w:sz w:val="22"/>
          <w:lang w:val="es-ES_tradnl" w:eastAsia="es-ES"/>
        </w:rPr>
        <w:t>Para efectos de lo dispuesto en el presente artículo se observará lo siguiente:</w:t>
      </w:r>
    </w:p>
    <w:p w:rsidR="00B063B3" w:rsidRPr="00A369A0" w:rsidRDefault="00B063B3" w:rsidP="00B063B3">
      <w:pPr>
        <w:spacing w:line="360" w:lineRule="auto"/>
        <w:ind w:left="567" w:right="567"/>
        <w:jc w:val="both"/>
        <w:rPr>
          <w:rFonts w:ascii="Palatino Linotype" w:eastAsiaTheme="minorEastAsia" w:hAnsi="Palatino Linotype" w:cs="Arial"/>
          <w:b/>
          <w:bCs/>
          <w:i/>
          <w:sz w:val="22"/>
          <w:lang w:val="es-ES_tradnl" w:eastAsia="es-ES"/>
        </w:rPr>
      </w:pPr>
      <w:r w:rsidRPr="00A369A0">
        <w:rPr>
          <w:rFonts w:ascii="Palatino Linotype" w:eastAsiaTheme="minorEastAsia" w:hAnsi="Palatino Linotype" w:cs="Arial"/>
          <w:b/>
          <w:bCs/>
          <w:i/>
          <w:sz w:val="22"/>
          <w:lang w:val="es-ES_tradnl" w:eastAsia="es-ES"/>
        </w:rPr>
        <w:t>A</w:t>
      </w:r>
      <w:r w:rsidRPr="00A369A0">
        <w:rPr>
          <w:rFonts w:ascii="Palatino Linotype" w:eastAsiaTheme="minorEastAsia" w:hAnsi="Palatino Linotype" w:cs="Arial"/>
          <w:bCs/>
          <w:i/>
          <w:sz w:val="22"/>
          <w:lang w:val="es-ES_tradnl" w:eastAsia="es-ES"/>
        </w:rPr>
        <w:t xml:space="preserve">. </w:t>
      </w:r>
      <w:r w:rsidRPr="00A369A0">
        <w:rPr>
          <w:rFonts w:ascii="Palatino Linotype" w:eastAsiaTheme="minorEastAsia" w:hAnsi="Palatino Linotype" w:cs="Arial"/>
          <w:b/>
          <w:bCs/>
          <w:i/>
          <w:sz w:val="22"/>
          <w:lang w:val="es-ES_tradnl" w:eastAsia="es-ES"/>
        </w:rPr>
        <w:t>Para el ejercicio del derecho de acceso a la información</w:t>
      </w:r>
      <w:r w:rsidRPr="00A369A0">
        <w:rPr>
          <w:rFonts w:ascii="Palatino Linotype" w:eastAsiaTheme="minorEastAsia" w:hAnsi="Palatino Linotype" w:cs="Arial"/>
          <w:bCs/>
          <w:i/>
          <w:sz w:val="22"/>
          <w:lang w:val="es-ES_tradnl" w:eastAsia="es-ES"/>
        </w:rPr>
        <w:t xml:space="preserve">, la Federación y </w:t>
      </w:r>
      <w:r w:rsidRPr="00A369A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
          <w:bCs/>
          <w:i/>
          <w:sz w:val="22"/>
          <w:lang w:val="es-ES_tradnl" w:eastAsia="es-ES"/>
        </w:rPr>
        <w:t xml:space="preserve">I. </w:t>
      </w:r>
      <w:r w:rsidRPr="00A369A0">
        <w:rPr>
          <w:rFonts w:ascii="Palatino Linotype" w:eastAsiaTheme="minorEastAsia" w:hAnsi="Palatino Linotype" w:cs="Arial"/>
          <w:b/>
          <w:bCs/>
          <w:i/>
          <w:sz w:val="22"/>
          <w:lang w:val="es-ES_tradnl" w:eastAsia="es-ES"/>
        </w:rPr>
        <w:tab/>
        <w:t>Toda la información en posesión de cualquier</w:t>
      </w:r>
      <w:r w:rsidRPr="00A369A0">
        <w:rPr>
          <w:rFonts w:ascii="Palatino Linotype" w:eastAsiaTheme="minorEastAsia" w:hAnsi="Palatino Linotype" w:cs="Arial"/>
          <w:bCs/>
          <w:i/>
          <w:sz w:val="22"/>
          <w:lang w:val="es-ES_tradnl" w:eastAsia="es-ES"/>
        </w:rPr>
        <w:t xml:space="preserve"> </w:t>
      </w:r>
      <w:r w:rsidRPr="00A369A0">
        <w:rPr>
          <w:rFonts w:ascii="Palatino Linotype" w:eastAsiaTheme="minorEastAsia" w:hAnsi="Palatino Linotype" w:cs="Arial"/>
          <w:b/>
          <w:bCs/>
          <w:i/>
          <w:sz w:val="22"/>
          <w:lang w:val="es-ES_tradnl" w:eastAsia="es-ES"/>
        </w:rPr>
        <w:t>autoridad</w:t>
      </w:r>
      <w:r w:rsidRPr="00A369A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369A0">
        <w:rPr>
          <w:rFonts w:ascii="Palatino Linotype" w:eastAsiaTheme="minorEastAsia" w:hAnsi="Palatino Linotype" w:cs="Arial"/>
          <w:b/>
          <w:bCs/>
          <w:i/>
          <w:sz w:val="22"/>
          <w:lang w:val="es-ES_tradnl" w:eastAsia="es-ES"/>
        </w:rPr>
        <w:t>municipal</w:t>
      </w:r>
      <w:r w:rsidRPr="00A369A0">
        <w:rPr>
          <w:rFonts w:ascii="Palatino Linotype" w:eastAsiaTheme="minorEastAsia" w:hAnsi="Palatino Linotype" w:cs="Arial"/>
          <w:bCs/>
          <w:i/>
          <w:sz w:val="22"/>
          <w:lang w:val="es-ES_tradnl" w:eastAsia="es-ES"/>
        </w:rPr>
        <w:t xml:space="preserve">, </w:t>
      </w:r>
      <w:r w:rsidRPr="00A369A0">
        <w:rPr>
          <w:rFonts w:ascii="Palatino Linotype" w:eastAsiaTheme="minorEastAsia" w:hAnsi="Palatino Linotype" w:cs="Arial"/>
          <w:b/>
          <w:bCs/>
          <w:i/>
          <w:sz w:val="22"/>
          <w:lang w:val="es-ES_tradnl" w:eastAsia="es-ES"/>
        </w:rPr>
        <w:t>es pública</w:t>
      </w:r>
      <w:r w:rsidRPr="00A369A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A369A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A369A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063B3" w:rsidRPr="00A369A0" w:rsidRDefault="00B063B3" w:rsidP="00B063B3">
      <w:pPr>
        <w:pStyle w:val="Prrafodelista"/>
        <w:tabs>
          <w:tab w:val="left" w:pos="567"/>
        </w:tabs>
        <w:spacing w:line="360" w:lineRule="auto"/>
        <w:ind w:left="567" w:right="567"/>
        <w:jc w:val="both"/>
        <w:rPr>
          <w:rFonts w:ascii="Palatino Linotype" w:hAnsi="Palatino Linotype" w:cs="Arial"/>
          <w:b/>
          <w:bCs/>
          <w:i/>
        </w:rPr>
      </w:pPr>
      <w:r w:rsidRPr="00A369A0">
        <w:rPr>
          <w:rFonts w:ascii="Palatino Linotype" w:hAnsi="Palatino Linotype" w:cs="Arial"/>
          <w:b/>
          <w:bCs/>
          <w:i/>
        </w:rPr>
        <w:t>(Énfasis añadido)</w:t>
      </w:r>
    </w:p>
    <w:p w:rsidR="00B063B3" w:rsidRPr="00A369A0" w:rsidRDefault="00B063B3" w:rsidP="00B063B3">
      <w:pPr>
        <w:pStyle w:val="Prrafodelista"/>
        <w:tabs>
          <w:tab w:val="left" w:pos="567"/>
        </w:tabs>
        <w:spacing w:line="360" w:lineRule="auto"/>
        <w:ind w:left="567" w:right="567"/>
        <w:jc w:val="both"/>
        <w:rPr>
          <w:rFonts w:ascii="Palatino Linotype" w:hAnsi="Palatino Linotype" w:cs="Arial"/>
          <w:b/>
          <w:bCs/>
          <w:i/>
        </w:rPr>
      </w:pPr>
    </w:p>
    <w:p w:rsidR="00B063B3" w:rsidRPr="00A369A0" w:rsidRDefault="00B063B3" w:rsidP="00B063B3">
      <w:pPr>
        <w:spacing w:line="360" w:lineRule="auto"/>
        <w:ind w:left="567" w:right="567"/>
        <w:jc w:val="center"/>
        <w:rPr>
          <w:rFonts w:ascii="Palatino Linotype" w:eastAsiaTheme="minorEastAsia" w:hAnsi="Palatino Linotype" w:cs="Arial"/>
          <w:b/>
          <w:bCs/>
          <w:i/>
          <w:sz w:val="22"/>
          <w:lang w:val="es-ES_tradnl" w:eastAsia="es-ES"/>
        </w:rPr>
      </w:pPr>
      <w:r w:rsidRPr="00A369A0">
        <w:rPr>
          <w:rFonts w:ascii="Palatino Linotype" w:eastAsiaTheme="minorEastAsia" w:hAnsi="Palatino Linotype" w:cs="Arial"/>
          <w:b/>
          <w:bCs/>
          <w:i/>
          <w:sz w:val="22"/>
          <w:lang w:val="es-ES_tradnl" w:eastAsia="es-ES"/>
        </w:rPr>
        <w:t>Constitución Política del Estado Libre y Soberano de México</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
          <w:bCs/>
          <w:i/>
          <w:sz w:val="22"/>
          <w:lang w:val="es-ES_tradnl" w:eastAsia="es-ES"/>
        </w:rPr>
        <w:t>“Artículo 5</w:t>
      </w:r>
      <w:r w:rsidRPr="00A369A0">
        <w:rPr>
          <w:rFonts w:ascii="Palatino Linotype" w:eastAsiaTheme="minorEastAsia" w:hAnsi="Palatino Linotype" w:cs="Arial"/>
          <w:bCs/>
          <w:i/>
          <w:sz w:val="22"/>
          <w:lang w:val="es-ES_tradnl" w:eastAsia="es-ES"/>
        </w:rPr>
        <w:t>.</w:t>
      </w:r>
      <w:proofErr w:type="gramStart"/>
      <w:r w:rsidRPr="00A369A0">
        <w:rPr>
          <w:rFonts w:ascii="Palatino Linotype" w:eastAsiaTheme="minorEastAsia" w:hAnsi="Palatino Linotype" w:cs="Arial"/>
          <w:bCs/>
          <w:i/>
          <w:sz w:val="22"/>
          <w:lang w:val="es-ES_tradnl" w:eastAsia="es-ES"/>
        </w:rPr>
        <w:t>- …</w:t>
      </w:r>
      <w:proofErr w:type="gramEnd"/>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Cs/>
          <w:i/>
          <w:sz w:val="22"/>
          <w:lang w:val="es-ES_tradnl" w:eastAsia="es-ES"/>
        </w:rPr>
        <w:t>…</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A369A0">
        <w:rPr>
          <w:rFonts w:ascii="Palatino Linotype" w:eastAsiaTheme="minorEastAsia" w:hAnsi="Palatino Linotype" w:cs="Arial"/>
          <w:bCs/>
          <w:i/>
          <w:sz w:val="22"/>
          <w:lang w:val="es-ES_tradnl" w:eastAsia="es-ES"/>
        </w:rPr>
        <w:t>.</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
          <w:bCs/>
          <w:i/>
          <w:sz w:val="22"/>
          <w:lang w:val="es-ES_tradnl" w:eastAsia="es-ES"/>
        </w:rPr>
        <w:t>Este derecho se regirá por los principios y bases siguientes</w:t>
      </w:r>
      <w:r w:rsidRPr="00A369A0">
        <w:rPr>
          <w:rFonts w:ascii="Palatino Linotype" w:eastAsiaTheme="minorEastAsia" w:hAnsi="Palatino Linotype" w:cs="Arial"/>
          <w:bCs/>
          <w:i/>
          <w:sz w:val="22"/>
          <w:lang w:val="es-ES_tradnl" w:eastAsia="es-ES"/>
        </w:rPr>
        <w:t>:</w:t>
      </w:r>
    </w:p>
    <w:p w:rsidR="00B063B3" w:rsidRPr="00A369A0" w:rsidRDefault="00B063B3" w:rsidP="00B063B3">
      <w:pPr>
        <w:spacing w:line="360" w:lineRule="auto"/>
        <w:ind w:left="567" w:right="567"/>
        <w:jc w:val="both"/>
        <w:rPr>
          <w:rFonts w:ascii="Palatino Linotype" w:eastAsiaTheme="minorEastAsia" w:hAnsi="Palatino Linotype" w:cs="Arial"/>
          <w:bCs/>
          <w:i/>
          <w:sz w:val="22"/>
          <w:lang w:val="es-ES_tradnl" w:eastAsia="es-ES"/>
        </w:rPr>
      </w:pPr>
      <w:r w:rsidRPr="00A369A0">
        <w:rPr>
          <w:rFonts w:ascii="Palatino Linotype" w:eastAsiaTheme="minorEastAsia" w:hAnsi="Palatino Linotype" w:cs="Arial"/>
          <w:b/>
          <w:bCs/>
          <w:i/>
          <w:sz w:val="22"/>
          <w:lang w:val="es-ES_tradnl" w:eastAsia="es-ES"/>
        </w:rPr>
        <w:t>I. Toda la información en posesión de cualquier autoridad, entidad, órgano y organismos de los</w:t>
      </w:r>
      <w:r w:rsidRPr="00A369A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A369A0">
        <w:rPr>
          <w:rFonts w:ascii="Palatino Linotype" w:eastAsiaTheme="minorEastAsia" w:hAnsi="Palatino Linotype" w:cs="Arial"/>
          <w:b/>
          <w:bCs/>
          <w:i/>
          <w:sz w:val="22"/>
          <w:lang w:val="es-ES_tradnl" w:eastAsia="es-ES"/>
        </w:rPr>
        <w:t>municipales</w:t>
      </w:r>
      <w:r w:rsidRPr="00A369A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369A0">
        <w:rPr>
          <w:rFonts w:ascii="Palatino Linotype" w:eastAsiaTheme="minorEastAsia" w:hAnsi="Palatino Linotype" w:cs="Arial"/>
          <w:b/>
          <w:bCs/>
          <w:i/>
          <w:sz w:val="22"/>
          <w:lang w:val="es-ES_tradnl" w:eastAsia="es-ES"/>
        </w:rPr>
        <w:t>es pública</w:t>
      </w:r>
      <w:r w:rsidRPr="00A369A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369A0">
        <w:rPr>
          <w:rFonts w:ascii="Palatino Linotype" w:eastAsiaTheme="minorEastAsia" w:hAnsi="Palatino Linotype" w:cs="Arial"/>
          <w:b/>
          <w:bCs/>
          <w:i/>
          <w:sz w:val="22"/>
          <w:lang w:val="es-ES_tradnl" w:eastAsia="es-ES"/>
        </w:rPr>
        <w:t>En la interpretación de este derecho deberá prevalecer el principio de máxima publicidad</w:t>
      </w:r>
      <w:r w:rsidRPr="00A369A0">
        <w:rPr>
          <w:rFonts w:ascii="Palatino Linotype" w:eastAsiaTheme="minorEastAsia" w:hAnsi="Palatino Linotype" w:cs="Arial"/>
          <w:bCs/>
          <w:i/>
          <w:sz w:val="22"/>
          <w:lang w:val="es-ES_tradnl" w:eastAsia="es-ES"/>
        </w:rPr>
        <w:t xml:space="preserve">. </w:t>
      </w:r>
      <w:r w:rsidRPr="00A369A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A369A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063B3" w:rsidRPr="00A369A0" w:rsidRDefault="00B063B3" w:rsidP="00B063B3">
      <w:pPr>
        <w:pStyle w:val="Prrafodelista"/>
        <w:tabs>
          <w:tab w:val="left" w:pos="567"/>
        </w:tabs>
        <w:spacing w:line="360" w:lineRule="auto"/>
        <w:ind w:left="567" w:right="567"/>
        <w:jc w:val="both"/>
        <w:rPr>
          <w:rFonts w:ascii="Palatino Linotype" w:hAnsi="Palatino Linotype" w:cs="Arial"/>
          <w:b/>
          <w:bCs/>
          <w:i/>
        </w:rPr>
      </w:pPr>
      <w:r w:rsidRPr="00A369A0">
        <w:rPr>
          <w:rFonts w:ascii="Palatino Linotype" w:hAnsi="Palatino Linotype" w:cs="Arial"/>
          <w:b/>
          <w:bCs/>
          <w:i/>
        </w:rPr>
        <w:t>(Énfasis añadido)</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369A0">
        <w:rPr>
          <w:rFonts w:ascii="Palatino Linotype" w:eastAsiaTheme="minorEastAsia" w:hAnsi="Palatino Linotype" w:cs="Arial"/>
          <w:i/>
          <w:lang w:val="es-ES_tradnl" w:eastAsia="es-ES"/>
        </w:rPr>
        <w:t xml:space="preserve">por los principios de simplicidad, rapidez gratuidad del procedimiento, auxilio y </w:t>
      </w:r>
      <w:r w:rsidRPr="00A369A0">
        <w:rPr>
          <w:rFonts w:ascii="Palatino Linotype" w:eastAsiaTheme="minorEastAsia" w:hAnsi="Palatino Linotype" w:cs="Arial"/>
          <w:i/>
          <w:lang w:val="es-ES_tradnl" w:eastAsia="es-ES"/>
        </w:rPr>
        <w:lastRenderedPageBreak/>
        <w:t>orientación a los particulares</w:t>
      </w:r>
      <w:r w:rsidRPr="00A369A0">
        <w:rPr>
          <w:rFonts w:ascii="Palatino Linotype" w:eastAsiaTheme="minorEastAsia" w:hAnsi="Palatino Linotype" w:cs="Arial"/>
          <w:lang w:val="es-ES_tradnl" w:eastAsia="es-ES"/>
        </w:rPr>
        <w:t>, contemplando el derecho de las personas con discapacidad y hablantes de lengua indígena.</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369A0">
        <w:rPr>
          <w:rFonts w:ascii="Palatino Linotype" w:eastAsiaTheme="minorEastAsia" w:hAnsi="Palatino Linotype" w:cs="Arial"/>
          <w:i/>
          <w:lang w:val="es-ES_tradnl" w:eastAsia="es-ES"/>
        </w:rPr>
        <w:t>solicitudes de acceso a la información</w:t>
      </w:r>
      <w:r w:rsidRPr="00A369A0">
        <w:rPr>
          <w:rFonts w:ascii="Palatino Linotype" w:eastAsiaTheme="minorEastAsia" w:hAnsi="Palatino Linotype" w:cs="Arial"/>
          <w:lang w:val="es-ES_tradnl" w:eastAsia="es-ES"/>
        </w:rPr>
        <w:t>.</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B063B3" w:rsidRPr="00A369A0" w:rsidRDefault="00B063B3" w:rsidP="00B063B3">
      <w:pPr>
        <w:spacing w:line="360" w:lineRule="auto"/>
        <w:ind w:right="49"/>
        <w:contextualSpacing/>
        <w:jc w:val="both"/>
        <w:rPr>
          <w:rFonts w:ascii="Palatino Linotype" w:eastAsiaTheme="minorEastAsia" w:hAnsi="Palatino Linotype" w:cs="Arial"/>
          <w:lang w:val="es-ES_tradnl" w:eastAsia="es-ES"/>
        </w:rPr>
      </w:pPr>
    </w:p>
    <w:p w:rsidR="00B063B3" w:rsidRPr="00A369A0" w:rsidRDefault="00B063B3" w:rsidP="00B063B3">
      <w:pPr>
        <w:pStyle w:val="Ttulo1"/>
        <w:spacing w:before="0" w:line="360" w:lineRule="auto"/>
        <w:rPr>
          <w:rFonts w:ascii="Palatino Linotype" w:hAnsi="Palatino Linotype"/>
          <w:b/>
          <w:color w:val="auto"/>
          <w:sz w:val="24"/>
          <w:szCs w:val="24"/>
        </w:rPr>
      </w:pPr>
      <w:bookmarkStart w:id="20" w:name="_Toc80812777"/>
      <w:bookmarkStart w:id="21" w:name="_Toc83301641"/>
      <w:r w:rsidRPr="00A369A0">
        <w:rPr>
          <w:rFonts w:ascii="Palatino Linotype" w:hAnsi="Palatino Linotype"/>
          <w:b/>
          <w:color w:val="auto"/>
          <w:sz w:val="24"/>
          <w:szCs w:val="24"/>
        </w:rPr>
        <w:t>II. De la información solicitada y la respuesta del Sujeto Obligado.</w:t>
      </w:r>
      <w:bookmarkEnd w:id="20"/>
      <w:bookmarkEnd w:id="21"/>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9A0">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A369A0">
        <w:rPr>
          <w:rFonts w:ascii="Palatino Linotype" w:eastAsia="Calibri" w:hAnsi="Palatino Linotype" w:cs="Arial"/>
          <w:lang w:val="es-ES"/>
        </w:rPr>
        <w:t>Ley de Transparencia y Acceso a la Información Pública del Estado de México y Municipios</w:t>
      </w:r>
      <w:r w:rsidRPr="00A369A0">
        <w:rPr>
          <w:rFonts w:ascii="Palatino Linotype" w:hAnsi="Palatino Linotype" w:cs="Arial"/>
          <w:lang w:val="es-ES"/>
        </w:rPr>
        <w:t>.</w:t>
      </w:r>
    </w:p>
    <w:p w:rsidR="00B063B3" w:rsidRPr="00A369A0" w:rsidRDefault="00B063B3" w:rsidP="00B063B3">
      <w:pPr>
        <w:spacing w:line="360" w:lineRule="auto"/>
        <w:ind w:right="49"/>
        <w:contextualSpacing/>
        <w:jc w:val="both"/>
        <w:rPr>
          <w:rFonts w:ascii="Palatino Linotype" w:eastAsiaTheme="minorEastAsia" w:hAnsi="Palatino Linotype"/>
          <w:lang w:val="es-ES_tradnl" w:eastAsia="es-ES"/>
        </w:rPr>
      </w:pPr>
    </w:p>
    <w:p w:rsidR="00B063B3" w:rsidRPr="00A369A0" w:rsidRDefault="00FA1234" w:rsidP="00B063B3">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Pr>
          <w:rFonts w:ascii="Palatino Linotype" w:hAnsi="Palatino Linotype" w:cs="Arial"/>
          <w:lang w:val="es-ES"/>
        </w:rPr>
        <w:t>En este caso, el particular</w:t>
      </w:r>
      <w:bookmarkStart w:id="22" w:name="_GoBack"/>
      <w:bookmarkEnd w:id="22"/>
      <w:r w:rsidR="00B063B3" w:rsidRPr="00A369A0">
        <w:rPr>
          <w:rFonts w:ascii="Palatino Linotype" w:hAnsi="Palatino Linotype" w:cs="Arial"/>
          <w:lang w:val="es-ES"/>
        </w:rPr>
        <w:t xml:space="preserve"> solicitó </w:t>
      </w:r>
      <w:r w:rsidR="00B063B3" w:rsidRPr="00A369A0">
        <w:rPr>
          <w:rFonts w:ascii="Palatino Linotype" w:eastAsia="MS Gothic" w:hAnsi="Palatino Linotype" w:cstheme="majorBidi"/>
          <w:lang w:eastAsia="es-ES"/>
        </w:rPr>
        <w:t xml:space="preserve">los recibos de pago predial de diciembre de dos mil veintidós. </w:t>
      </w:r>
    </w:p>
    <w:p w:rsidR="00B063B3" w:rsidRPr="00A369A0" w:rsidRDefault="00B063B3" w:rsidP="00B063B3">
      <w:pPr>
        <w:spacing w:line="360" w:lineRule="auto"/>
        <w:ind w:right="49"/>
        <w:contextualSpacing/>
        <w:jc w:val="both"/>
        <w:rPr>
          <w:rFonts w:ascii="Palatino Linotype" w:eastAsia="MS Gothic" w:hAnsi="Palatino Linotype" w:cstheme="majorBidi"/>
          <w:i/>
          <w:lang w:val="es-ES_tradnl"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369A0">
        <w:rPr>
          <w:rFonts w:ascii="Palatino Linotype" w:eastAsia="MS Gothic" w:hAnsi="Palatino Linotype" w:cstheme="majorBidi"/>
          <w:iCs/>
          <w:lang w:eastAsia="es-ES"/>
        </w:rPr>
        <w:lastRenderedPageBreak/>
        <w:t>En respuesta, el SUJETO OBLIGADO adjuntó documento mediante el cual refirió que el Gobierno Municipal de Zinacantepec no expide facturas bajo ningún concepto:</w:t>
      </w:r>
    </w:p>
    <w:p w:rsidR="00B063B3" w:rsidRPr="00A369A0" w:rsidRDefault="00B063B3" w:rsidP="00B063B3">
      <w:pPr>
        <w:spacing w:line="360" w:lineRule="auto"/>
        <w:ind w:right="49"/>
        <w:contextualSpacing/>
        <w:jc w:val="both"/>
        <w:rPr>
          <w:rFonts w:ascii="Palatino Linotype" w:eastAsia="MS Gothic" w:hAnsi="Palatino Linotype" w:cstheme="majorBidi"/>
          <w:iCs/>
          <w:lang w:eastAsia="es-ES"/>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b/>
          <w:i/>
          <w:sz w:val="22"/>
        </w:rPr>
        <w:t>PRIMERO</w:t>
      </w:r>
      <w:r w:rsidRPr="00A369A0">
        <w:rPr>
          <w:rFonts w:ascii="Palatino Linotype" w:hAnsi="Palatino Linotype"/>
          <w:i/>
          <w:sz w:val="22"/>
        </w:rPr>
        <w:t xml:space="preserve">: Que con fecha 09 de enero de 2023 fue ingresada dicha solicitud de información a través del Sistema de Acceso a la Información Mexiquense y turnada a este AYUNTAMIENTO, la cual refiere a lo siguiente: </w:t>
      </w:r>
    </w:p>
    <w:p w:rsidR="00B063B3" w:rsidRPr="00A369A0" w:rsidRDefault="00B063B3" w:rsidP="00B063B3">
      <w:pPr>
        <w:spacing w:line="360" w:lineRule="auto"/>
        <w:ind w:left="851" w:right="822"/>
        <w:jc w:val="both"/>
        <w:rPr>
          <w:rFonts w:ascii="Palatino Linotype" w:hAnsi="Palatino Linotype"/>
          <w:b/>
          <w:i/>
          <w:sz w:val="22"/>
        </w:rPr>
      </w:pPr>
    </w:p>
    <w:p w:rsidR="00B063B3" w:rsidRPr="00A369A0" w:rsidRDefault="00B063B3" w:rsidP="00B063B3">
      <w:pPr>
        <w:spacing w:line="360" w:lineRule="auto"/>
        <w:ind w:left="851" w:right="822"/>
        <w:jc w:val="both"/>
        <w:rPr>
          <w:rFonts w:ascii="Palatino Linotype" w:hAnsi="Palatino Linotype"/>
          <w:b/>
          <w:i/>
          <w:sz w:val="22"/>
        </w:rPr>
      </w:pPr>
      <w:r w:rsidRPr="00A369A0">
        <w:rPr>
          <w:rFonts w:ascii="Palatino Linotype" w:hAnsi="Palatino Linotype"/>
          <w:b/>
          <w:i/>
          <w:sz w:val="22"/>
        </w:rPr>
        <w:t xml:space="preserve">“SOLICITO TODAS LAS FACTURAS DE PAGO DE CUALQUIER CONCEPTO DEL MES DE DICIEMBRE 2022” (sic). </w:t>
      </w:r>
    </w:p>
    <w:p w:rsidR="00B063B3" w:rsidRPr="00A369A0" w:rsidRDefault="00B063B3" w:rsidP="00B063B3">
      <w:pPr>
        <w:spacing w:line="360" w:lineRule="auto"/>
        <w:ind w:left="851" w:right="822"/>
        <w:jc w:val="both"/>
        <w:rPr>
          <w:rFonts w:ascii="Palatino Linotype" w:hAnsi="Palatino Linotype"/>
          <w:i/>
          <w:sz w:val="22"/>
        </w:rPr>
      </w:pP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b/>
          <w:i/>
          <w:sz w:val="22"/>
        </w:rPr>
        <w:t>SEGUNDO</w:t>
      </w:r>
      <w:r w:rsidRPr="00A369A0">
        <w:rPr>
          <w:rFonts w:ascii="Palatino Linotype" w:hAnsi="Palatino Linotype"/>
          <w:i/>
          <w:sz w:val="22"/>
        </w:rPr>
        <w:t xml:space="preserve">: Una vez admitida la solicitud en cuestión, se procedió a realizar el análisis correspondiente y sí fuera el caso, turnarla a los Servidores Públicos Habilitados responsables de la información. </w:t>
      </w: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i/>
          <w:sz w:val="22"/>
        </w:rPr>
        <w:t>…</w:t>
      </w:r>
    </w:p>
    <w:p w:rsidR="00B063B3" w:rsidRPr="00A369A0" w:rsidRDefault="00B063B3" w:rsidP="00B063B3">
      <w:pPr>
        <w:spacing w:line="360" w:lineRule="auto"/>
        <w:ind w:left="851" w:right="822"/>
        <w:jc w:val="both"/>
        <w:rPr>
          <w:rFonts w:ascii="Palatino Linotype" w:hAnsi="Palatino Linotype"/>
          <w:i/>
          <w:sz w:val="22"/>
        </w:rPr>
      </w:pPr>
      <w:r w:rsidRPr="00A369A0">
        <w:rPr>
          <w:rFonts w:ascii="Palatino Linotype" w:hAnsi="Palatino Linotype"/>
          <w:i/>
          <w:sz w:val="22"/>
        </w:rPr>
        <w:t>Se hace de su conocimiento que el Gobierno Municipal de Zinacantepec no expide facturas bajo ningún concepto.”</w:t>
      </w:r>
    </w:p>
    <w:p w:rsidR="00B063B3" w:rsidRPr="00A369A0" w:rsidRDefault="00B063B3" w:rsidP="00B063B3">
      <w:pPr>
        <w:spacing w:line="360" w:lineRule="auto"/>
        <w:ind w:right="49"/>
        <w:contextualSpacing/>
        <w:jc w:val="both"/>
        <w:rPr>
          <w:rFonts w:ascii="Palatino Linotype" w:eastAsia="MS Gothic" w:hAnsi="Palatino Linotype" w:cstheme="majorBidi"/>
          <w:lang w:val="es-ES_tradnl" w:eastAsia="es-ES"/>
        </w:rPr>
      </w:pPr>
    </w:p>
    <w:p w:rsidR="00B063B3" w:rsidRPr="00A369A0" w:rsidRDefault="00FC55DF" w:rsidP="00BD1C27">
      <w:pPr>
        <w:numPr>
          <w:ilvl w:val="0"/>
          <w:numId w:val="1"/>
        </w:numPr>
        <w:spacing w:line="360" w:lineRule="auto"/>
        <w:ind w:left="0" w:right="49" w:firstLine="0"/>
        <w:contextualSpacing/>
        <w:jc w:val="both"/>
        <w:rPr>
          <w:rFonts w:ascii="Palatino Linotype" w:eastAsiaTheme="minorEastAsia" w:hAnsi="Palatino Linotype"/>
          <w:lang w:eastAsia="es-ES"/>
        </w:rPr>
      </w:pPr>
      <w:r w:rsidRPr="00A369A0">
        <w:rPr>
          <w:rFonts w:ascii="Palatino Linotype" w:eastAsiaTheme="minorEastAsia" w:hAnsi="Palatino Linotype"/>
          <w:lang w:eastAsia="es-ES"/>
        </w:rPr>
        <w:t xml:space="preserve">Como se advierte del documento remitido en respuesta, no corresponde con la solicitud de información. </w:t>
      </w:r>
    </w:p>
    <w:p w:rsidR="00BD1C27" w:rsidRPr="00A369A0" w:rsidRDefault="00BD1C27" w:rsidP="00BD1C27">
      <w:pPr>
        <w:spacing w:line="360" w:lineRule="auto"/>
        <w:ind w:right="49"/>
        <w:contextualSpacing/>
        <w:jc w:val="both"/>
        <w:rPr>
          <w:rFonts w:ascii="Palatino Linotype" w:eastAsiaTheme="minorEastAsia" w:hAnsi="Palatino Linotype"/>
          <w:lang w:eastAsia="es-ES"/>
        </w:rPr>
      </w:pPr>
    </w:p>
    <w:p w:rsidR="00BD1C27" w:rsidRPr="00A369A0" w:rsidRDefault="00BD1C27" w:rsidP="00BD1C27">
      <w:pPr>
        <w:pStyle w:val="Prrafodelista"/>
        <w:numPr>
          <w:ilvl w:val="0"/>
          <w:numId w:val="1"/>
        </w:numPr>
        <w:spacing w:line="360" w:lineRule="auto"/>
        <w:ind w:left="0" w:firstLine="0"/>
        <w:jc w:val="both"/>
        <w:rPr>
          <w:rFonts w:ascii="Palatino Linotype" w:eastAsiaTheme="minorHAnsi" w:hAnsi="Palatino Linotype" w:cs="Arial"/>
          <w:sz w:val="24"/>
          <w:lang w:val="es-ES" w:eastAsia="en-US"/>
        </w:rPr>
      </w:pPr>
      <w:r w:rsidRPr="00A369A0">
        <w:rPr>
          <w:rFonts w:ascii="Palatino Linotype" w:hAnsi="Palatino Linotype"/>
          <w:sz w:val="24"/>
          <w:lang w:val="es-ES_tradnl" w:eastAsia="es-ES"/>
        </w:rPr>
        <w:t>Hecha la acotación, resulta necesario traer a</w:t>
      </w:r>
      <w:r w:rsidRPr="00A369A0">
        <w:rPr>
          <w:rFonts w:ascii="Palatino Linotype" w:eastAsiaTheme="minorHAnsi" w:hAnsi="Palatino Linotype" w:cs="Arial"/>
          <w:sz w:val="24"/>
          <w:lang w:val="es-ES" w:eastAsia="en-US"/>
        </w:rPr>
        <w:t xml:space="preserve"> colación los artículos 87 y 95 de la Ley Orgánica Municipal del Estado de México, artículo 21 y 55 del Bando Municipal 2022 del Ayuntamiento de Zinacantepec, que disponen:</w:t>
      </w:r>
    </w:p>
    <w:p w:rsidR="00BD1C27" w:rsidRPr="00A369A0" w:rsidRDefault="00BD1C27" w:rsidP="00BD1C27">
      <w:pPr>
        <w:pStyle w:val="Prrafodelista"/>
        <w:spacing w:line="360" w:lineRule="auto"/>
        <w:ind w:left="0"/>
        <w:jc w:val="both"/>
        <w:rPr>
          <w:rFonts w:ascii="Palatino Linotype" w:eastAsiaTheme="minorHAnsi" w:hAnsi="Palatino Linotype" w:cs="Arial"/>
          <w:sz w:val="24"/>
          <w:lang w:val="es-ES" w:eastAsia="en-US"/>
        </w:rPr>
      </w:pP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lastRenderedPageBreak/>
        <w:t>“</w:t>
      </w:r>
      <w:r w:rsidRPr="00A369A0">
        <w:rPr>
          <w:rFonts w:ascii="Palatino Linotype" w:eastAsiaTheme="minorHAnsi" w:hAnsi="Palatino Linotype" w:cs="Arial"/>
          <w:b/>
          <w:i/>
          <w:szCs w:val="22"/>
          <w:lang w:val="es-ES" w:eastAsia="en-US"/>
        </w:rPr>
        <w:t>Artículo 87.-</w:t>
      </w:r>
      <w:r w:rsidRPr="00A369A0">
        <w:rPr>
          <w:rFonts w:ascii="Palatino Linotype" w:eastAsiaTheme="minorHAnsi" w:hAnsi="Palatino Linotype" w:cs="Arial"/>
          <w:i/>
          <w:szCs w:val="22"/>
          <w:lang w:val="es-ES" w:eastAsia="en-US"/>
        </w:rPr>
        <w:t xml:space="preserve"> Para el despacho, estudio y planeación de los diversos asuntos de la administración municipal, el ayuntamiento contará por lo menos con las siguientes Dependencias: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 La secretaría del ayuntamiento;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u w:val="single"/>
          <w:lang w:val="es-ES" w:eastAsia="en-US"/>
        </w:rPr>
        <w:t>II. La tesorería municipal</w:t>
      </w:r>
      <w:r w:rsidRPr="00A369A0">
        <w:rPr>
          <w:rFonts w:ascii="Palatino Linotype" w:eastAsiaTheme="minorHAnsi" w:hAnsi="Palatino Linotype" w:cs="Arial"/>
          <w:i/>
          <w:szCs w:val="22"/>
          <w:lang w:val="es-ES" w:eastAsia="en-US"/>
        </w:rPr>
        <w:t>.</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III. La Dirección de Obras Públicas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IV. La Dirección de Desarrollo Económico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 La Dirección de Desarrollo Urbano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 La Dirección de Ecología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VII. La Dirección de Desarrollo Social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VIII. La Coordinación Municipal de Protección Civil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IX. La Dirección de las Mujeres o equivalente</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b/>
          <w:i/>
          <w:szCs w:val="22"/>
          <w:lang w:val="es-ES" w:eastAsia="en-US"/>
        </w:rPr>
        <w:t>Artículo 95.-</w:t>
      </w:r>
      <w:r w:rsidRPr="00A369A0">
        <w:rPr>
          <w:rFonts w:ascii="Palatino Linotype" w:eastAsiaTheme="minorHAnsi" w:hAnsi="Palatino Linotype" w:cs="Arial"/>
          <w:i/>
          <w:szCs w:val="22"/>
          <w:lang w:val="es-ES" w:eastAsia="en-US"/>
        </w:rPr>
        <w:t xml:space="preserve"> Son atribuciones del </w:t>
      </w:r>
      <w:r w:rsidRPr="00A369A0">
        <w:rPr>
          <w:rFonts w:ascii="Palatino Linotype" w:eastAsiaTheme="minorHAnsi" w:hAnsi="Palatino Linotype" w:cs="Arial"/>
          <w:i/>
          <w:szCs w:val="22"/>
          <w:u w:val="single"/>
          <w:lang w:val="es-ES" w:eastAsia="en-US"/>
        </w:rPr>
        <w:t>tesorero municipal</w:t>
      </w:r>
      <w:r w:rsidRPr="00A369A0">
        <w:rPr>
          <w:rFonts w:ascii="Palatino Linotype" w:eastAsiaTheme="minorHAnsi" w:hAnsi="Palatino Linotype" w:cs="Arial"/>
          <w:i/>
          <w:szCs w:val="22"/>
          <w:lang w:val="es-ES" w:eastAsia="en-US"/>
        </w:rPr>
        <w:t>:</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 xml:space="preserve">I. </w:t>
      </w:r>
      <w:r w:rsidRPr="00A369A0">
        <w:rPr>
          <w:rFonts w:ascii="Palatino Linotype" w:eastAsiaTheme="minorHAnsi" w:hAnsi="Palatino Linotype" w:cs="Arial"/>
          <w:i/>
          <w:szCs w:val="22"/>
          <w:u w:val="single"/>
          <w:lang w:val="es-ES" w:eastAsia="en-US"/>
        </w:rPr>
        <w:t>Administrar la hacienda pública municipal</w:t>
      </w:r>
      <w:r w:rsidRPr="00A369A0">
        <w:rPr>
          <w:rFonts w:ascii="Palatino Linotype" w:eastAsiaTheme="minorHAnsi" w:hAnsi="Palatino Linotype" w:cs="Arial"/>
          <w:i/>
          <w:szCs w:val="22"/>
          <w:lang w:val="es-ES" w:eastAsia="en-US"/>
        </w:rPr>
        <w:t>, de conformidad con las disposiciones legales aplicables;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III. Imponer las sanciones administrativas que procedan por infracciones a las disposiciones fiscales;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u w:val="single"/>
          <w:lang w:val="es-ES" w:eastAsia="en-US"/>
        </w:rPr>
        <w:t>IV. Llevar los registros contables, financieros y administrativos de los</w:t>
      </w:r>
      <w:r w:rsidRPr="00A369A0">
        <w:rPr>
          <w:rFonts w:ascii="Palatino Linotype" w:eastAsiaTheme="minorHAnsi" w:hAnsi="Palatino Linotype" w:cs="Arial"/>
          <w:i/>
          <w:szCs w:val="22"/>
          <w:lang w:val="es-ES" w:eastAsia="en-US"/>
        </w:rPr>
        <w:t xml:space="preserve"> </w:t>
      </w:r>
      <w:r w:rsidRPr="00A369A0">
        <w:rPr>
          <w:rFonts w:ascii="Palatino Linotype" w:eastAsiaTheme="minorHAnsi" w:hAnsi="Palatino Linotype" w:cs="Arial"/>
          <w:b/>
          <w:i/>
          <w:szCs w:val="22"/>
          <w:u w:val="single"/>
          <w:lang w:val="es-ES" w:eastAsia="en-US"/>
        </w:rPr>
        <w:t>ingresos</w:t>
      </w:r>
      <w:r w:rsidRPr="00A369A0">
        <w:rPr>
          <w:rFonts w:ascii="Palatino Linotype" w:eastAsiaTheme="minorHAnsi" w:hAnsi="Palatino Linotype" w:cs="Arial"/>
          <w:i/>
          <w:szCs w:val="22"/>
          <w:lang w:val="es-ES" w:eastAsia="en-US"/>
        </w:rPr>
        <w:t>, egresos, e inventarios;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 Proporcionar oportunamente al ayuntamiento todos los datos o informes que sean necesarios para la formulación del Presupuesto de Egresos Municipales, vigilando que se ajuste a las disposiciones de esta Ley y otros ordenamientos aplicables;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 Presentar anualmente al ayuntamiento un informe de la situación contable financiera de la Tesorería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 Bis. Proporcionar para la formulación del proyecto de Presupuesto de Egresos Municipales la información financiera relativa a la solución o en su caso, el pago de los litigios laborales;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VII. Diseñar y aprobar las formas oficiales de manifestaciones, avisos y declaraciones y demás documentos requeridos;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lastRenderedPageBreak/>
        <w:t>VIII. Participar en la formulación de Convenios Fiscales y ejercer las atribuciones que le correspondan en el ámbito de su competencia;</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IX. Proponer al ayuntamiento la cancelación de cuentas incobrables;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 Custodiar y ejercer las garantías que se otorguen en favor de la hacienda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XI. Proponer la política de ingresos de la tesorería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XII. Intervenir en la elaboración del programa financiero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XIII. Elaborar y mantener actualizado el Padrón de Contribuyentes;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XIV. Ministrar a su inmediato antecesor todos los datos oficiales que le solicitare, para contestar los pliegos de observaciones y alcances que formule y deduzca el Órgano Superior de Fiscalización del Estado de México;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XV. Solicitar a las instancias competentes, la práctica de revisiones circunstanciadas, de conformidad con las normas que rigen en materia de control y evaluación gubernamental en el ámbito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XVI. Glosar oportunamente las cuentas del ayuntamiento;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XVIII. Expedir copias certificadas de los documentos a su cuidado, por acuerdo expreso del Ayuntamiento y cuando se trate de documentación presentada ante el Órgano Superior de Fiscalización del Estado de México;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XX. Dar cumplimiento a las leyes, convenios de coordinación fiscal y demás que en materia hacendaria celebre el Ayuntamiento con el Estado;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 xml:space="preserve">XXI. Entregar oportunamente a él o los Síndicos, según sea el caso, el informe </w:t>
      </w:r>
      <w:proofErr w:type="spellStart"/>
      <w:r w:rsidRPr="00A369A0">
        <w:rPr>
          <w:rFonts w:ascii="Palatino Linotype" w:eastAsiaTheme="minorHAnsi" w:hAnsi="Palatino Linotype" w:cs="Arial"/>
          <w:i/>
          <w:szCs w:val="22"/>
          <w:lang w:val="es-ES" w:eastAsia="en-US"/>
        </w:rPr>
        <w:t>mensualque</w:t>
      </w:r>
      <w:proofErr w:type="spellEnd"/>
      <w:r w:rsidRPr="00A369A0">
        <w:rPr>
          <w:rFonts w:ascii="Palatino Linotype" w:eastAsiaTheme="minorHAnsi" w:hAnsi="Palatino Linotype" w:cs="Arial"/>
          <w:i/>
          <w:szCs w:val="22"/>
          <w:lang w:val="es-ES" w:eastAsia="en-US"/>
        </w:rPr>
        <w:t xml:space="preserve"> corresponda, a fin de que se revise, y de ser necesario, para que se formulen las observaciones respectivas.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XXII. Las que les señalen las demás disposiciones legales y el ayuntamiento.</w:t>
      </w:r>
    </w:p>
    <w:p w:rsidR="00BD1C27" w:rsidRPr="00A369A0" w:rsidRDefault="00BD1C27" w:rsidP="00BD1C27">
      <w:pPr>
        <w:spacing w:line="276" w:lineRule="auto"/>
        <w:ind w:right="822"/>
        <w:jc w:val="both"/>
        <w:rPr>
          <w:rFonts w:ascii="Palatino Linotype" w:eastAsiaTheme="minorHAnsi" w:hAnsi="Palatino Linotype" w:cs="Arial"/>
          <w:i/>
          <w:szCs w:val="22"/>
          <w:lang w:val="es-ES" w:eastAsia="en-US"/>
        </w:rPr>
      </w:pPr>
    </w:p>
    <w:p w:rsidR="00BD1C27" w:rsidRPr="00A369A0" w:rsidRDefault="00BD1C27" w:rsidP="00BD1C27">
      <w:pPr>
        <w:pStyle w:val="Prrafodelista"/>
        <w:spacing w:line="276" w:lineRule="auto"/>
        <w:ind w:left="851" w:right="822"/>
        <w:rPr>
          <w:rFonts w:ascii="Palatino Linotype" w:eastAsiaTheme="minorHAnsi" w:hAnsi="Palatino Linotype" w:cs="Arial"/>
          <w:b/>
          <w:i/>
          <w:szCs w:val="22"/>
          <w:lang w:val="es-ES" w:eastAsia="en-US"/>
        </w:rPr>
      </w:pPr>
      <w:r w:rsidRPr="00A369A0">
        <w:rPr>
          <w:rFonts w:ascii="Palatino Linotype" w:eastAsiaTheme="minorHAnsi" w:hAnsi="Palatino Linotype" w:cs="Arial"/>
          <w:b/>
          <w:i/>
          <w:szCs w:val="22"/>
          <w:lang w:val="es-ES" w:eastAsia="en-US"/>
        </w:rPr>
        <w:t>Bando Municipal de Zinacantepec 2022</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b/>
          <w:i/>
          <w:szCs w:val="22"/>
          <w:lang w:val="es-ES" w:eastAsia="en-US"/>
        </w:rPr>
        <w:t xml:space="preserve">Artículo 21. </w:t>
      </w:r>
      <w:r w:rsidRPr="00A369A0">
        <w:rPr>
          <w:rFonts w:ascii="Palatino Linotype" w:eastAsiaTheme="minorHAnsi" w:hAnsi="Palatino Linotype" w:cs="Arial"/>
          <w:i/>
          <w:szCs w:val="22"/>
          <w:lang w:val="es-ES" w:eastAsia="en-US"/>
        </w:rPr>
        <w:t>El Presidente Municipal para el ejercicio de sus funciones, se auxiliará de las siguientes Unidades Administrativas: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 Secretaría del Ayuntamiento</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II. Secretaría Particular.</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III. Secretaría Técnica.</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IV. Unidad de Información, Planeación, Programación y Evaluación.</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 Coordinación Municipal de Mejora Regulatoria.</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 Unidad de Transparencia.</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VII. Secretaría Técnica del Consejo Municipal de Seguridad Pública.</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VIII. Coordinación de Asesores.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IX. Coordinación de Asuntos Intergubernamentales, y</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X. Las demás que determine crear el Ayuntamiento a propuesta del Presidente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p>
    <w:p w:rsidR="00BD1C27" w:rsidRPr="00A369A0" w:rsidRDefault="00BD1C27" w:rsidP="00BD1C27">
      <w:pPr>
        <w:pStyle w:val="Prrafodelista"/>
        <w:spacing w:line="276" w:lineRule="auto"/>
        <w:ind w:left="851" w:right="822"/>
        <w:jc w:val="both"/>
        <w:rPr>
          <w:rFonts w:ascii="Palatino Linotype" w:eastAsiaTheme="minorHAnsi" w:hAnsi="Palatino Linotype" w:cs="Arial"/>
          <w:b/>
          <w:i/>
          <w:szCs w:val="22"/>
          <w:lang w:val="es-ES" w:eastAsia="en-US"/>
        </w:rPr>
      </w:pPr>
      <w:r w:rsidRPr="00A369A0">
        <w:rPr>
          <w:rFonts w:ascii="Palatino Linotype" w:eastAsiaTheme="minorHAnsi" w:hAnsi="Palatino Linotype" w:cs="Arial"/>
          <w:b/>
          <w:i/>
          <w:szCs w:val="22"/>
          <w:lang w:val="es-ES" w:eastAsia="en-US"/>
        </w:rPr>
        <w:t>I. DEPENDENCIAS ADMINISTRATIVAS:</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1. Tesorería Municipal…</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i/>
          <w:szCs w:val="22"/>
          <w:lang w:val="es-ES" w:eastAsia="en-US"/>
        </w:rPr>
        <w:t>…</w:t>
      </w: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p>
    <w:p w:rsidR="00BD1C27" w:rsidRPr="00A369A0" w:rsidRDefault="00BD1C27" w:rsidP="00BD1C27">
      <w:pPr>
        <w:pStyle w:val="Prrafodelista"/>
        <w:spacing w:line="276" w:lineRule="auto"/>
        <w:ind w:left="851" w:right="822"/>
        <w:jc w:val="both"/>
        <w:rPr>
          <w:rFonts w:ascii="Palatino Linotype" w:eastAsiaTheme="minorHAnsi" w:hAnsi="Palatino Linotype" w:cs="Arial"/>
          <w:i/>
          <w:szCs w:val="22"/>
          <w:lang w:val="es-ES" w:eastAsia="en-US"/>
        </w:rPr>
      </w:pPr>
      <w:r w:rsidRPr="00A369A0">
        <w:rPr>
          <w:rFonts w:ascii="Palatino Linotype" w:eastAsiaTheme="minorHAnsi" w:hAnsi="Palatino Linotype" w:cs="Arial"/>
          <w:b/>
          <w:i/>
          <w:szCs w:val="22"/>
          <w:lang w:eastAsia="en-US"/>
        </w:rPr>
        <w:t>Artículo 55.</w:t>
      </w:r>
      <w:r w:rsidRPr="00A369A0">
        <w:rPr>
          <w:rFonts w:ascii="Palatino Linotype" w:eastAsiaTheme="minorHAnsi" w:hAnsi="Palatino Linotype" w:cs="Arial"/>
          <w:i/>
          <w:szCs w:val="22"/>
          <w:lang w:eastAsia="en-US"/>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rsidR="00BD1C27" w:rsidRPr="00A369A0" w:rsidRDefault="00BD1C27" w:rsidP="00BD1C27">
      <w:pPr>
        <w:pStyle w:val="Prrafodelista"/>
        <w:spacing w:line="276" w:lineRule="auto"/>
        <w:ind w:left="851" w:right="822"/>
        <w:jc w:val="both"/>
        <w:rPr>
          <w:rFonts w:ascii="Palatino Linotype" w:eastAsiaTheme="minorHAnsi" w:hAnsi="Palatino Linotype" w:cs="Arial"/>
          <w:szCs w:val="22"/>
          <w:lang w:val="es-ES" w:eastAsia="en-US"/>
        </w:rPr>
      </w:pPr>
    </w:p>
    <w:p w:rsidR="00BD1C27" w:rsidRPr="00A369A0" w:rsidRDefault="00BD1C27" w:rsidP="00BD1C27">
      <w:pPr>
        <w:pStyle w:val="Prrafodelista"/>
        <w:spacing w:line="276" w:lineRule="auto"/>
        <w:ind w:left="851" w:right="822"/>
        <w:rPr>
          <w:rFonts w:ascii="Palatino Linotype" w:eastAsiaTheme="minorHAnsi" w:hAnsi="Palatino Linotype" w:cs="Arial"/>
          <w:szCs w:val="22"/>
          <w:lang w:val="es-ES" w:eastAsia="en-US"/>
        </w:rPr>
      </w:pPr>
      <w:r w:rsidRPr="00A369A0">
        <w:rPr>
          <w:rFonts w:ascii="Palatino Linotype" w:eastAsiaTheme="minorHAnsi" w:hAnsi="Palatino Linotype" w:cs="Arial"/>
          <w:szCs w:val="22"/>
          <w:lang w:val="es-ES" w:eastAsia="en-US"/>
        </w:rPr>
        <w:t>(Énfasis añadido)</w:t>
      </w:r>
    </w:p>
    <w:p w:rsidR="00BD1C27" w:rsidRPr="00A369A0" w:rsidRDefault="00BD1C27" w:rsidP="00BD1C27">
      <w:pPr>
        <w:pStyle w:val="Prrafodelista"/>
        <w:spacing w:line="360" w:lineRule="auto"/>
        <w:ind w:left="644"/>
        <w:jc w:val="both"/>
        <w:rPr>
          <w:rFonts w:ascii="Palatino Linotype" w:hAnsi="Palatino Linotype"/>
          <w:lang w:val="es-ES_tradnl" w:eastAsia="es-ES"/>
        </w:rPr>
      </w:pPr>
    </w:p>
    <w:p w:rsidR="00BD1C27" w:rsidRPr="00A369A0" w:rsidRDefault="00BD1C27" w:rsidP="00BD1C27">
      <w:pPr>
        <w:pStyle w:val="Prrafodelista"/>
        <w:numPr>
          <w:ilvl w:val="0"/>
          <w:numId w:val="1"/>
        </w:numPr>
        <w:spacing w:line="360" w:lineRule="auto"/>
        <w:ind w:left="0" w:firstLine="0"/>
        <w:jc w:val="both"/>
        <w:rPr>
          <w:rFonts w:ascii="Palatino Linotype" w:eastAsiaTheme="minorHAnsi" w:hAnsi="Palatino Linotype" w:cs="Arial"/>
          <w:sz w:val="24"/>
          <w:lang w:val="es-ES" w:eastAsia="en-US"/>
        </w:rPr>
      </w:pPr>
      <w:r w:rsidRPr="00A369A0">
        <w:rPr>
          <w:rFonts w:ascii="Palatino Linotype" w:eastAsiaTheme="minorHAnsi" w:hAnsi="Palatino Linotype" w:cs="Arial"/>
          <w:sz w:val="24"/>
          <w:lang w:val="es-ES" w:eastAsia="en-US"/>
        </w:rPr>
        <w:lastRenderedPageBreak/>
        <w:t xml:space="preserve">De conformidad con los preceptos legales citados, podemos concluir que dentro de las distintas áreas de las que se auxilia el </w:t>
      </w:r>
      <w:r w:rsidRPr="00A369A0">
        <w:rPr>
          <w:rFonts w:ascii="Palatino Linotype" w:eastAsiaTheme="minorHAnsi" w:hAnsi="Palatino Linotype" w:cs="Arial"/>
          <w:b/>
          <w:sz w:val="24"/>
          <w:lang w:val="es-ES" w:eastAsia="en-US"/>
        </w:rPr>
        <w:t>Sujeto Obligado</w:t>
      </w:r>
      <w:r w:rsidRPr="00A369A0">
        <w:rPr>
          <w:rFonts w:ascii="Palatino Linotype" w:eastAsiaTheme="minorHAnsi" w:hAnsi="Palatino Linotype" w:cs="Arial"/>
          <w:sz w:val="24"/>
          <w:lang w:val="es-ES" w:eastAsia="en-US"/>
        </w:rPr>
        <w:t xml:space="preserve"> para la administración pública municipal, se encuentra la Tesorería Municipal, la cual es la unidad administrativa encargada de administrar la hacienda pública municipal, en particular del registro contable, financiero y administrativo de los ingresos.</w:t>
      </w:r>
    </w:p>
    <w:p w:rsidR="00BD1C27" w:rsidRPr="00A369A0" w:rsidRDefault="00BD1C27" w:rsidP="00BD1C27">
      <w:pPr>
        <w:pStyle w:val="Prrafodelista"/>
        <w:spacing w:line="360" w:lineRule="auto"/>
        <w:ind w:left="0"/>
        <w:jc w:val="both"/>
        <w:rPr>
          <w:rFonts w:ascii="Palatino Linotype" w:eastAsiaTheme="minorHAnsi" w:hAnsi="Palatino Linotype" w:cs="Arial"/>
          <w:sz w:val="24"/>
          <w:lang w:val="es-ES" w:eastAsia="en-US"/>
        </w:rPr>
      </w:pPr>
    </w:p>
    <w:p w:rsidR="00BD1C27" w:rsidRPr="00A369A0" w:rsidRDefault="00BD1C27" w:rsidP="00BD1C27">
      <w:pPr>
        <w:pStyle w:val="Prrafodelista"/>
        <w:numPr>
          <w:ilvl w:val="0"/>
          <w:numId w:val="1"/>
        </w:numPr>
        <w:spacing w:line="360" w:lineRule="auto"/>
        <w:ind w:left="0" w:firstLine="0"/>
        <w:jc w:val="both"/>
        <w:rPr>
          <w:rFonts w:ascii="Palatino Linotype" w:eastAsiaTheme="minorHAnsi" w:hAnsi="Palatino Linotype" w:cs="Arial"/>
          <w:sz w:val="24"/>
          <w:lang w:val="es-ES" w:eastAsia="en-US"/>
        </w:rPr>
      </w:pPr>
      <w:r w:rsidRPr="00A369A0">
        <w:rPr>
          <w:rFonts w:ascii="Palatino Linotype" w:eastAsiaTheme="minorHAnsi" w:hAnsi="Palatino Linotype" w:cs="Arial"/>
          <w:sz w:val="24"/>
          <w:lang w:val="es-ES" w:eastAsia="en-US"/>
        </w:rPr>
        <w:t>De conformidad con los artículos 350, 351, 352 y 352 Bis del Código Financiero del Estado de México, la administración pública municipal es objeto de fiscalización por parte Órgano Superior de Fiscalización del Estado de México (OSFEM), preceptos legales que se citan para mayor referencia:</w:t>
      </w:r>
    </w:p>
    <w:p w:rsidR="00BD1C27" w:rsidRPr="00A369A0" w:rsidRDefault="00BD1C27" w:rsidP="00BD1C27">
      <w:pPr>
        <w:pStyle w:val="Prrafodelista"/>
        <w:spacing w:line="360" w:lineRule="auto"/>
        <w:ind w:left="644"/>
        <w:jc w:val="both"/>
        <w:rPr>
          <w:rFonts w:ascii="Palatino Linotype" w:eastAsiaTheme="minorHAnsi" w:hAnsi="Palatino Linotype" w:cs="Arial"/>
          <w:lang w:val="es-ES" w:eastAsia="en-US"/>
        </w:rPr>
      </w:pP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w:t>
      </w:r>
      <w:r w:rsidRPr="00A369A0">
        <w:rPr>
          <w:rFonts w:ascii="Palatino Linotype" w:eastAsiaTheme="minorHAnsi" w:hAnsi="Palatino Linotype" w:cs="Arial"/>
          <w:b/>
          <w:i/>
          <w:lang w:val="es-ES" w:eastAsia="en-US"/>
        </w:rPr>
        <w:t>Artículo 350.-</w:t>
      </w:r>
      <w:r w:rsidRPr="00A369A0">
        <w:rPr>
          <w:rFonts w:ascii="Palatino Linotype" w:eastAsiaTheme="minorHAnsi" w:hAnsi="Palatino Linotype" w:cs="Arial"/>
          <w:i/>
          <w:lang w:val="es-ES" w:eastAsia="en-US"/>
        </w:rPr>
        <w:t xml:space="preserve"> La Secretaría y las </w:t>
      </w:r>
      <w:r w:rsidRPr="00A369A0">
        <w:rPr>
          <w:rFonts w:ascii="Palatino Linotype" w:eastAsiaTheme="minorHAnsi" w:hAnsi="Palatino Linotype" w:cs="Arial"/>
          <w:i/>
          <w:u w:val="single"/>
          <w:lang w:val="es-ES" w:eastAsia="en-US"/>
        </w:rPr>
        <w:t>Tesorerías</w:t>
      </w:r>
      <w:r w:rsidRPr="00A369A0">
        <w:rPr>
          <w:rFonts w:ascii="Palatino Linotype" w:eastAsiaTheme="minorHAnsi" w:hAnsi="Palatino Linotype" w:cs="Arial"/>
          <w:i/>
          <w:lang w:val="es-ES" w:eastAsia="en-US"/>
        </w:rPr>
        <w:t>,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I. Patrimonial.</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II. Presupuestal.</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III. De la obra pública.</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IV. De nómina</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b/>
          <w:i/>
          <w:lang w:val="es-ES" w:eastAsia="en-US"/>
        </w:rPr>
        <w:t>Artículo 351.-</w:t>
      </w:r>
      <w:r w:rsidRPr="00A369A0">
        <w:rPr>
          <w:rFonts w:ascii="Palatino Linotype" w:eastAsiaTheme="minorHAnsi" w:hAnsi="Palatino Linotype" w:cs="Arial"/>
          <w:i/>
          <w:lang w:val="es-ES" w:eastAsia="en-U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 xml:space="preserve">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w:t>
      </w:r>
      <w:r w:rsidRPr="00A369A0">
        <w:rPr>
          <w:rFonts w:ascii="Palatino Linotype" w:eastAsiaTheme="minorHAnsi" w:hAnsi="Palatino Linotype" w:cs="Arial"/>
          <w:i/>
          <w:lang w:val="es-ES" w:eastAsia="en-US"/>
        </w:rPr>
        <w:lastRenderedPageBreak/>
        <w:t>superiores de la administración municipal, a más tardar el 25 de febrero del año para el cual habrá de aplicar dicho presupuesto.</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b/>
          <w:i/>
          <w:lang w:val="es-ES" w:eastAsia="en-US"/>
        </w:rPr>
        <w:t>Artículo 352.-</w:t>
      </w:r>
      <w:r w:rsidRPr="00A369A0">
        <w:rPr>
          <w:rFonts w:ascii="Palatino Linotype" w:eastAsiaTheme="minorHAnsi" w:hAnsi="Palatino Linotype" w:cs="Arial"/>
          <w:i/>
          <w:lang w:val="es-ES" w:eastAsia="en-US"/>
        </w:rPr>
        <w:t xml:space="preserve"> La cuenta pública se constituye por la información económica, patrimonial,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b/>
          <w:i/>
          <w:lang w:val="es-ES" w:eastAsia="en-US"/>
        </w:rPr>
        <w:t>Artículo 352 Bis.-</w:t>
      </w:r>
      <w:r w:rsidRPr="00A369A0">
        <w:rPr>
          <w:rFonts w:ascii="Palatino Linotype" w:eastAsiaTheme="minorHAnsi" w:hAnsi="Palatino Linotype" w:cs="Arial"/>
          <w:i/>
          <w:lang w:val="es-ES" w:eastAsia="en-US"/>
        </w:rPr>
        <w:t xml:space="preserve"> Como parte de la cuenta pública, se informará a la Legislatura de las acciones y resultados de la ejecución del Plan de Desarrollo del Estado o del municipio que corresponda y del avance de los programas, en términos de lo establecido en la Ley de Planeación del Estado de México y Municipios.</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Se adicionará a dichos informes un apartado especial sobre las reasignaciones realizadas, a nivel de proyecto, así como otro apartado para informar de las asignaciones de los recursos en términos de lo dispuesto por el artículo 317 Bis A de este Código.</w:t>
      </w:r>
    </w:p>
    <w:p w:rsidR="00BD1C27" w:rsidRPr="00A369A0" w:rsidRDefault="00BD1C27" w:rsidP="00BD1C27">
      <w:pPr>
        <w:pStyle w:val="Prrafodelista"/>
        <w:spacing w:line="276" w:lineRule="auto"/>
        <w:ind w:left="644" w:right="567"/>
        <w:jc w:val="both"/>
        <w:rPr>
          <w:rFonts w:ascii="Palatino Linotype" w:eastAsiaTheme="minorHAnsi" w:hAnsi="Palatino Linotype" w:cs="Arial"/>
          <w:i/>
          <w:lang w:val="es-ES" w:eastAsia="en-US"/>
        </w:rPr>
      </w:pPr>
      <w:r w:rsidRPr="00A369A0">
        <w:rPr>
          <w:rFonts w:ascii="Palatino Linotype" w:eastAsiaTheme="minorHAnsi" w:hAnsi="Palatino Linotype" w:cs="Arial"/>
          <w:i/>
          <w:lang w:val="es-ES" w:eastAsia="en-US"/>
        </w:rPr>
        <w:t>El Poder Ejecutivo a través de la Secretaría, comparecerá en las reuniones trimestrales de análisis y evaluación de los informes presentados que, celebren el Órgano Superior de Fiscalización de la Legislatura y las Comisiones Legislativas respectivas.</w:t>
      </w:r>
    </w:p>
    <w:p w:rsidR="00BD1C27" w:rsidRPr="00A369A0" w:rsidRDefault="00BD1C27" w:rsidP="00BD1C27">
      <w:pPr>
        <w:pStyle w:val="Prrafodelista"/>
        <w:spacing w:line="276" w:lineRule="auto"/>
        <w:ind w:left="644"/>
        <w:jc w:val="both"/>
        <w:rPr>
          <w:rFonts w:ascii="Palatino Linotype" w:eastAsiaTheme="minorHAnsi" w:hAnsi="Palatino Linotype" w:cs="Arial"/>
          <w:lang w:val="es-ES" w:eastAsia="en-US"/>
        </w:rPr>
      </w:pPr>
    </w:p>
    <w:p w:rsidR="00BD1C27" w:rsidRPr="00A369A0" w:rsidRDefault="00BD1C27" w:rsidP="00BD1C27">
      <w:pPr>
        <w:pStyle w:val="Prrafodelista"/>
        <w:numPr>
          <w:ilvl w:val="0"/>
          <w:numId w:val="1"/>
        </w:numPr>
        <w:spacing w:line="360" w:lineRule="auto"/>
        <w:ind w:left="0" w:firstLine="0"/>
        <w:jc w:val="both"/>
        <w:rPr>
          <w:rFonts w:ascii="Palatino Linotype" w:eastAsiaTheme="minorHAnsi" w:hAnsi="Palatino Linotype" w:cs="Arial"/>
          <w:lang w:val="es-ES" w:eastAsia="en-US"/>
        </w:rPr>
      </w:pPr>
      <w:r w:rsidRPr="00A369A0">
        <w:rPr>
          <w:rFonts w:ascii="Palatino Linotype" w:eastAsiaTheme="minorHAnsi" w:hAnsi="Palatino Linotype" w:cs="Arial"/>
          <w:lang w:val="es-ES" w:eastAsia="en-US"/>
        </w:rPr>
        <w:t xml:space="preserve">En ese orden de ideas, debemos traer a colación lo establecido en el artículo 32 de la Ley Superior de Fiscalización del Estado de México, que consagra la obligación de los </w:t>
      </w:r>
      <w:r w:rsidRPr="00A369A0">
        <w:rPr>
          <w:rFonts w:ascii="Palatino Linotype" w:eastAsiaTheme="minorHAnsi" w:hAnsi="Palatino Linotype" w:cs="Arial"/>
          <w:lang w:val="es-ES" w:eastAsia="en-US"/>
        </w:rPr>
        <w:lastRenderedPageBreak/>
        <w:t>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2021, entre los que se destacan los denominados “Diario de Ingresos y Pólizas de Ingresos con los Documentos Comprobatorios”, en los que podemos observar, contendrá desagregados los distintos ingresos recibidos por los Municipios, precisando la fecha y concepto de estos, se insertan las imágenes siguientes para mayor referencia:</w:t>
      </w:r>
    </w:p>
    <w:p w:rsidR="00BD1C27" w:rsidRPr="00A369A0" w:rsidRDefault="00BD1C27" w:rsidP="00BD1C27">
      <w:pPr>
        <w:pStyle w:val="Prrafodelista"/>
        <w:spacing w:line="360" w:lineRule="auto"/>
        <w:ind w:left="644"/>
        <w:jc w:val="both"/>
        <w:rPr>
          <w:rFonts w:ascii="Palatino Linotype" w:eastAsiaTheme="minorHAnsi" w:hAnsi="Palatino Linotype" w:cs="Arial"/>
          <w:lang w:val="es-ES" w:eastAsia="en-US"/>
        </w:rPr>
      </w:pPr>
    </w:p>
    <w:p w:rsidR="00BD1C27" w:rsidRPr="00A369A0" w:rsidRDefault="00BD1C27" w:rsidP="00BA0C3A">
      <w:pPr>
        <w:pStyle w:val="Prrafodelista"/>
        <w:spacing w:line="360" w:lineRule="auto"/>
        <w:ind w:left="644"/>
        <w:jc w:val="center"/>
        <w:rPr>
          <w:rFonts w:ascii="Palatino Linotype" w:eastAsiaTheme="minorHAnsi" w:hAnsi="Palatino Linotype" w:cs="Arial"/>
          <w:lang w:val="es-ES" w:eastAsia="en-US"/>
        </w:rPr>
      </w:pPr>
      <w:r w:rsidRPr="00A369A0">
        <w:rPr>
          <w:rFonts w:eastAsiaTheme="minorHAnsi"/>
          <w:noProof/>
        </w:rPr>
        <w:drawing>
          <wp:inline distT="0" distB="0" distL="0" distR="0" wp14:anchorId="7BEC8DCE" wp14:editId="3D090ADA">
            <wp:extent cx="4239057" cy="253165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4240971" cy="2532802"/>
                    </a:xfrm>
                    <a:prstGeom prst="rect">
                      <a:avLst/>
                    </a:prstGeom>
                  </pic:spPr>
                </pic:pic>
              </a:graphicData>
            </a:graphic>
          </wp:inline>
        </w:drawing>
      </w:r>
    </w:p>
    <w:p w:rsidR="00BD1C27" w:rsidRPr="00A369A0" w:rsidRDefault="00BD1C27" w:rsidP="00BA0C3A">
      <w:pPr>
        <w:pStyle w:val="Prrafodelista"/>
        <w:spacing w:line="360" w:lineRule="auto"/>
        <w:ind w:left="644"/>
        <w:jc w:val="center"/>
        <w:rPr>
          <w:rFonts w:ascii="Palatino Linotype" w:eastAsiaTheme="minorHAnsi" w:hAnsi="Palatino Linotype" w:cs="Arial"/>
          <w:lang w:val="es-ES" w:eastAsia="en-US"/>
        </w:rPr>
      </w:pPr>
      <w:r w:rsidRPr="00A369A0">
        <w:rPr>
          <w:rFonts w:eastAsiaTheme="minorHAnsi"/>
          <w:noProof/>
        </w:rPr>
        <w:lastRenderedPageBreak/>
        <w:drawing>
          <wp:inline distT="0" distB="0" distL="0" distR="0" wp14:anchorId="1EF22025" wp14:editId="49C7E1D7">
            <wp:extent cx="4572638" cy="414395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4572638" cy="4143953"/>
                    </a:xfrm>
                    <a:prstGeom prst="rect">
                      <a:avLst/>
                    </a:prstGeom>
                  </pic:spPr>
                </pic:pic>
              </a:graphicData>
            </a:graphic>
          </wp:inline>
        </w:drawing>
      </w:r>
    </w:p>
    <w:p w:rsidR="00BD1C27" w:rsidRPr="00A369A0" w:rsidRDefault="00BD1C27" w:rsidP="00BA0C3A">
      <w:pPr>
        <w:pStyle w:val="Prrafodelista"/>
        <w:spacing w:line="360" w:lineRule="auto"/>
        <w:ind w:left="644"/>
        <w:jc w:val="center"/>
        <w:rPr>
          <w:rFonts w:ascii="Palatino Linotype" w:eastAsiaTheme="minorHAnsi" w:hAnsi="Palatino Linotype" w:cs="Arial"/>
          <w:lang w:val="es-ES" w:eastAsia="en-US"/>
        </w:rPr>
      </w:pPr>
      <w:r w:rsidRPr="00A369A0">
        <w:rPr>
          <w:rFonts w:eastAsiaTheme="minorHAnsi"/>
          <w:noProof/>
        </w:rPr>
        <w:drawing>
          <wp:inline distT="0" distB="0" distL="0" distR="0" wp14:anchorId="142FCA01" wp14:editId="08653420">
            <wp:extent cx="4650080" cy="2772896"/>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4650080" cy="2772896"/>
                    </a:xfrm>
                    <a:prstGeom prst="rect">
                      <a:avLst/>
                    </a:prstGeom>
                  </pic:spPr>
                </pic:pic>
              </a:graphicData>
            </a:graphic>
          </wp:inline>
        </w:drawing>
      </w:r>
    </w:p>
    <w:p w:rsidR="00BD1C27" w:rsidRPr="00A369A0" w:rsidRDefault="00BD1C27" w:rsidP="00BA0C3A">
      <w:pPr>
        <w:pStyle w:val="Prrafodelista"/>
        <w:spacing w:line="360" w:lineRule="auto"/>
        <w:ind w:left="644"/>
        <w:jc w:val="center"/>
        <w:rPr>
          <w:rFonts w:ascii="Palatino Linotype" w:eastAsiaTheme="minorHAnsi" w:hAnsi="Palatino Linotype" w:cs="Arial"/>
          <w:lang w:val="es-ES" w:eastAsia="en-US"/>
        </w:rPr>
      </w:pPr>
      <w:r w:rsidRPr="00A369A0">
        <w:rPr>
          <w:rFonts w:eastAsiaTheme="minorHAnsi"/>
          <w:noProof/>
        </w:rPr>
        <w:lastRenderedPageBreak/>
        <w:drawing>
          <wp:inline distT="0" distB="0" distL="0" distR="0" wp14:anchorId="2D8D6619" wp14:editId="2492A8F2">
            <wp:extent cx="3099544" cy="3379623"/>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1">
                      <a:extLst>
                        <a:ext uri="{28A0092B-C50C-407E-A947-70E740481C1C}">
                          <a14:useLocalDpi xmlns:a14="http://schemas.microsoft.com/office/drawing/2010/main" val="0"/>
                        </a:ext>
                      </a:extLst>
                    </a:blip>
                    <a:stretch>
                      <a:fillRect/>
                    </a:stretch>
                  </pic:blipFill>
                  <pic:spPr>
                    <a:xfrm>
                      <a:off x="0" y="0"/>
                      <a:ext cx="3107222" cy="3387994"/>
                    </a:xfrm>
                    <a:prstGeom prst="rect">
                      <a:avLst/>
                    </a:prstGeom>
                  </pic:spPr>
                </pic:pic>
              </a:graphicData>
            </a:graphic>
          </wp:inline>
        </w:drawing>
      </w:r>
    </w:p>
    <w:p w:rsidR="00BA0C3A" w:rsidRPr="00A369A0" w:rsidRDefault="00BD1C27" w:rsidP="00BA0C3A">
      <w:pPr>
        <w:pStyle w:val="Prrafodelista"/>
        <w:spacing w:line="360" w:lineRule="auto"/>
        <w:ind w:left="644"/>
        <w:jc w:val="center"/>
        <w:rPr>
          <w:rFonts w:ascii="Palatino Linotype" w:eastAsiaTheme="minorHAnsi" w:hAnsi="Palatino Linotype" w:cs="Arial"/>
          <w:lang w:val="es-ES" w:eastAsia="en-US"/>
        </w:rPr>
      </w:pPr>
      <w:r w:rsidRPr="00A369A0">
        <w:rPr>
          <w:rFonts w:eastAsiaTheme="minorHAnsi"/>
          <w:noProof/>
        </w:rPr>
        <w:drawing>
          <wp:inline distT="0" distB="0" distL="0" distR="0" wp14:anchorId="296819EB" wp14:editId="19B70339">
            <wp:extent cx="4534533" cy="408679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2">
                      <a:extLst>
                        <a:ext uri="{28A0092B-C50C-407E-A947-70E740481C1C}">
                          <a14:useLocalDpi xmlns:a14="http://schemas.microsoft.com/office/drawing/2010/main" val="0"/>
                        </a:ext>
                      </a:extLst>
                    </a:blip>
                    <a:stretch>
                      <a:fillRect/>
                    </a:stretch>
                  </pic:blipFill>
                  <pic:spPr>
                    <a:xfrm>
                      <a:off x="0" y="0"/>
                      <a:ext cx="4534533" cy="4086795"/>
                    </a:xfrm>
                    <a:prstGeom prst="rect">
                      <a:avLst/>
                    </a:prstGeom>
                  </pic:spPr>
                </pic:pic>
              </a:graphicData>
            </a:graphic>
          </wp:inline>
        </w:drawing>
      </w:r>
    </w:p>
    <w:p w:rsidR="00BA0C3A" w:rsidRPr="00A369A0" w:rsidRDefault="00BA0C3A" w:rsidP="00BA0C3A">
      <w:pPr>
        <w:pStyle w:val="Prrafodelista"/>
        <w:spacing w:line="360" w:lineRule="auto"/>
        <w:ind w:left="644"/>
        <w:rPr>
          <w:rFonts w:ascii="Palatino Linotype" w:eastAsiaTheme="minorHAnsi" w:hAnsi="Palatino Linotype" w:cs="Arial"/>
          <w:lang w:val="es-ES" w:eastAsia="en-US"/>
        </w:rPr>
      </w:pPr>
    </w:p>
    <w:p w:rsidR="00BD1C27" w:rsidRPr="00A369A0" w:rsidRDefault="00BD1C27" w:rsidP="00BD1C27">
      <w:pPr>
        <w:pStyle w:val="Prrafodelista"/>
        <w:numPr>
          <w:ilvl w:val="0"/>
          <w:numId w:val="1"/>
        </w:numPr>
        <w:autoSpaceDE w:val="0"/>
        <w:autoSpaceDN w:val="0"/>
        <w:adjustRightInd w:val="0"/>
        <w:spacing w:line="360" w:lineRule="auto"/>
        <w:ind w:left="0" w:firstLine="0"/>
        <w:jc w:val="both"/>
        <w:rPr>
          <w:rFonts w:ascii="Palatino Linotype" w:eastAsiaTheme="minorHAnsi" w:hAnsi="Palatino Linotype" w:cs="Arial"/>
          <w:sz w:val="24"/>
          <w:lang w:val="es-ES" w:eastAsia="en-US"/>
        </w:rPr>
      </w:pPr>
      <w:r w:rsidRPr="00A369A0">
        <w:rPr>
          <w:rFonts w:ascii="Palatino Linotype" w:eastAsiaTheme="minorHAnsi" w:hAnsi="Palatino Linotype" w:cs="Arial"/>
          <w:sz w:val="24"/>
          <w:lang w:val="es-ES" w:eastAsia="en-US"/>
        </w:rPr>
        <w:t xml:space="preserve">Con base en las imágenes insertas, podemos concluir que el </w:t>
      </w:r>
      <w:r w:rsidRPr="00A369A0">
        <w:rPr>
          <w:rFonts w:ascii="Palatino Linotype" w:eastAsiaTheme="minorHAnsi" w:hAnsi="Palatino Linotype" w:cs="Arial"/>
          <w:b/>
          <w:sz w:val="24"/>
          <w:lang w:val="es-ES" w:eastAsia="en-US"/>
        </w:rPr>
        <w:t>Sujeto Obligado</w:t>
      </w:r>
      <w:r w:rsidRPr="00A369A0">
        <w:rPr>
          <w:rFonts w:ascii="Palatino Linotype" w:eastAsiaTheme="minorHAnsi" w:hAnsi="Palatino Linotype" w:cs="Arial"/>
          <w:sz w:val="24"/>
          <w:lang w:val="es-ES" w:eastAsia="en-US"/>
        </w:rPr>
        <w:t xml:space="preserve"> al ser sujeto fiscalizado por parte del Órgano Superior de Fiscalización del Estado de México (OSFEM), debe rendir de manera </w:t>
      </w:r>
      <w:r w:rsidRPr="00A369A0">
        <w:rPr>
          <w:rFonts w:ascii="Palatino Linotype" w:eastAsiaTheme="minorHAnsi" w:hAnsi="Palatino Linotype" w:cs="Arial"/>
          <w:b/>
          <w:sz w:val="24"/>
          <w:lang w:val="es-ES" w:eastAsia="en-US"/>
        </w:rPr>
        <w:t>trimestral</w:t>
      </w:r>
      <w:r w:rsidRPr="00A369A0">
        <w:rPr>
          <w:rFonts w:ascii="Palatino Linotype" w:eastAsiaTheme="minorHAnsi" w:hAnsi="Palatino Linotype" w:cs="Arial"/>
          <w:sz w:val="24"/>
          <w:lang w:val="es-ES" w:eastAsia="en-US"/>
        </w:rPr>
        <w:t xml:space="preserve"> (dentro de los 20 días hábiles posteriores al término del trimestre que se informa) los formatos que permitan eficaz y eficientemente su fiscalización. </w:t>
      </w:r>
    </w:p>
    <w:p w:rsidR="00B063B3" w:rsidRPr="00A369A0" w:rsidRDefault="00B063B3" w:rsidP="00FC55DF">
      <w:pPr>
        <w:spacing w:line="360" w:lineRule="auto"/>
        <w:ind w:right="49"/>
        <w:contextualSpacing/>
        <w:jc w:val="both"/>
        <w:rPr>
          <w:rFonts w:ascii="Palatino Linotype" w:eastAsiaTheme="minorEastAsia" w:hAnsi="Palatino Linotype"/>
          <w:lang w:eastAsia="es-ES"/>
        </w:rPr>
      </w:pPr>
    </w:p>
    <w:p w:rsidR="00FC55DF" w:rsidRPr="00A369A0" w:rsidRDefault="00FC55DF" w:rsidP="00FC55DF">
      <w:pPr>
        <w:pStyle w:val="Prrafodelista"/>
        <w:numPr>
          <w:ilvl w:val="0"/>
          <w:numId w:val="5"/>
        </w:numPr>
        <w:spacing w:line="360" w:lineRule="auto"/>
        <w:ind w:right="49"/>
        <w:jc w:val="both"/>
        <w:rPr>
          <w:rFonts w:ascii="Palatino Linotype" w:eastAsiaTheme="minorEastAsia" w:hAnsi="Palatino Linotype"/>
          <w:b/>
          <w:sz w:val="24"/>
          <w:lang w:eastAsia="es-ES"/>
        </w:rPr>
      </w:pPr>
      <w:r w:rsidRPr="00A369A0">
        <w:rPr>
          <w:rFonts w:ascii="Palatino Linotype" w:eastAsiaTheme="minorEastAsia" w:hAnsi="Palatino Linotype"/>
          <w:b/>
          <w:sz w:val="24"/>
          <w:lang w:eastAsia="es-ES"/>
        </w:rPr>
        <w:t>De los recibos de predial</w:t>
      </w:r>
    </w:p>
    <w:p w:rsidR="00FC55DF" w:rsidRPr="00A369A0" w:rsidRDefault="00FC55DF" w:rsidP="00FC55DF">
      <w:pPr>
        <w:pStyle w:val="Prrafodelista"/>
        <w:spacing w:line="360" w:lineRule="auto"/>
        <w:ind w:right="49"/>
        <w:jc w:val="both"/>
        <w:rPr>
          <w:rFonts w:ascii="Palatino Linotype" w:eastAsiaTheme="minorEastAsia" w:hAnsi="Palatino Linotype"/>
          <w:lang w:eastAsia="es-ES"/>
        </w:rPr>
      </w:pPr>
    </w:p>
    <w:p w:rsidR="00FC55DF" w:rsidRPr="00A369A0" w:rsidRDefault="00FC55DF" w:rsidP="00FC55D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A369A0">
        <w:rPr>
          <w:rFonts w:ascii="Palatino Linotype" w:hAnsi="Palatino Linotype"/>
          <w:sz w:val="24"/>
          <w:lang w:val="es-ES"/>
        </w:rPr>
        <w:t xml:space="preserve">El derecho de acceso a la información encuentra su materia elemental en los archivos que se encuentran en posesión de los Sujetos Obligados, ya sea porque fueron generados por este, o bien, son generados por persona distinta pero se encuentran en su posesión. Esto por ser una obligación </w:t>
      </w:r>
      <w:r w:rsidRPr="00A369A0">
        <w:rPr>
          <w:rFonts w:ascii="Palatino Linotype" w:hAnsi="Palatino Linotype" w:cs="Arial"/>
          <w:sz w:val="24"/>
        </w:rPr>
        <w:t xml:space="preserve">contemplada tanto en la ley de transparencia como en la constitución, es decir, la obligación de </w:t>
      </w:r>
      <w:r w:rsidRPr="00A369A0">
        <w:rPr>
          <w:rFonts w:ascii="Palatino Linotype" w:eastAsia="Calibri" w:hAnsi="Palatino Linotype" w:cs="Arial"/>
          <w:b/>
          <w:sz w:val="24"/>
        </w:rPr>
        <w:t>documentar todo acto que se derive del ejercicio de sus facultades, competencias o funciones,</w:t>
      </w:r>
      <w:r w:rsidRPr="00A369A0">
        <w:rPr>
          <w:rFonts w:ascii="Palatino Linotype" w:eastAsia="Calibri" w:hAnsi="Palatino Linotype" w:cs="Arial"/>
          <w:sz w:val="24"/>
        </w:rPr>
        <w:t xml:space="preserve"> considerando desde su origen la eventual publicidad y reutilización de la información que generen, posean o administren.</w:t>
      </w:r>
    </w:p>
    <w:p w:rsidR="00FC55DF" w:rsidRPr="00A369A0" w:rsidRDefault="00FC55DF" w:rsidP="00FC55DF">
      <w:pPr>
        <w:spacing w:line="360" w:lineRule="auto"/>
        <w:ind w:right="49"/>
        <w:contextualSpacing/>
        <w:jc w:val="both"/>
        <w:rPr>
          <w:rFonts w:ascii="Palatino Linotype" w:eastAsiaTheme="minorEastAsia" w:hAnsi="Palatino Linotype"/>
          <w:lang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eastAsia="es-ES"/>
        </w:rPr>
      </w:pPr>
      <w:r w:rsidRPr="00A369A0">
        <w:rPr>
          <w:rFonts w:ascii="Palatino Linotype" w:hAnsi="Palatino Linotype"/>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B063B3" w:rsidRPr="00A369A0" w:rsidRDefault="00B063B3" w:rsidP="00B063B3">
      <w:pPr>
        <w:spacing w:line="360" w:lineRule="auto"/>
        <w:ind w:right="49"/>
        <w:contextualSpacing/>
        <w:jc w:val="both"/>
        <w:rPr>
          <w:rFonts w:ascii="Palatino Linotype" w:eastAsiaTheme="minorEastAsia" w:hAnsi="Palatino Linotype"/>
          <w:lang w:eastAsia="es-ES"/>
        </w:rPr>
      </w:pPr>
    </w:p>
    <w:p w:rsidR="00B063B3" w:rsidRPr="00A369A0" w:rsidRDefault="00B063B3" w:rsidP="00B063B3">
      <w:pPr>
        <w:numPr>
          <w:ilvl w:val="0"/>
          <w:numId w:val="1"/>
        </w:numPr>
        <w:spacing w:line="360" w:lineRule="auto"/>
        <w:ind w:left="0" w:right="49" w:firstLine="0"/>
        <w:contextualSpacing/>
        <w:jc w:val="both"/>
        <w:rPr>
          <w:rFonts w:ascii="Palatino Linotype" w:eastAsiaTheme="minorEastAsia" w:hAnsi="Palatino Linotype"/>
          <w:lang w:eastAsia="es-ES"/>
        </w:rPr>
      </w:pPr>
      <w:r w:rsidRPr="00A369A0">
        <w:rPr>
          <w:rFonts w:ascii="Palatino Linotype" w:hAnsi="Palatino Linotype"/>
          <w:lang w:val="es-ES" w:eastAsia="es-ES"/>
        </w:rPr>
        <w:lastRenderedPageBreak/>
        <w:t>Además</w:t>
      </w:r>
      <w:r w:rsidRPr="00A369A0">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bookmarkStart w:id="23" w:name="_Toc74188153"/>
      <w:bookmarkStart w:id="24" w:name="_Toc83301642"/>
    </w:p>
    <w:p w:rsidR="00B063B3" w:rsidRPr="00A369A0" w:rsidRDefault="00B063B3" w:rsidP="00B063B3">
      <w:pPr>
        <w:spacing w:line="360" w:lineRule="auto"/>
        <w:ind w:right="49"/>
        <w:contextualSpacing/>
        <w:jc w:val="both"/>
        <w:rPr>
          <w:rFonts w:ascii="Palatino Linotype" w:hAnsi="Palatino Linotype" w:cs="Arial"/>
          <w:color w:val="000000"/>
          <w:lang w:val="es-ES" w:eastAsia="es-ES"/>
        </w:rPr>
      </w:pPr>
    </w:p>
    <w:p w:rsidR="00B063B3" w:rsidRPr="00A369A0" w:rsidRDefault="00B063B3" w:rsidP="00B063B3">
      <w:pPr>
        <w:autoSpaceDE w:val="0"/>
        <w:autoSpaceDN w:val="0"/>
        <w:adjustRightInd w:val="0"/>
        <w:spacing w:line="360" w:lineRule="auto"/>
        <w:ind w:left="851" w:right="822"/>
        <w:jc w:val="both"/>
        <w:rPr>
          <w:rFonts w:ascii="Palatino Linotype" w:hAnsi="Palatino Linotype" w:cs="Bookman Old Style"/>
          <w:i/>
          <w:sz w:val="22"/>
        </w:rPr>
      </w:pPr>
      <w:r w:rsidRPr="00A369A0">
        <w:rPr>
          <w:rFonts w:ascii="Palatino Linotype" w:hAnsi="Palatino Linotype" w:cs="Bookman Old Style,Bold"/>
          <w:b/>
          <w:bCs/>
          <w:i/>
          <w:sz w:val="22"/>
        </w:rPr>
        <w:t xml:space="preserve">Artículo 4. </w:t>
      </w:r>
      <w:r w:rsidRPr="00A369A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B063B3" w:rsidRPr="00A369A0" w:rsidRDefault="00B063B3" w:rsidP="00B063B3">
      <w:pPr>
        <w:autoSpaceDE w:val="0"/>
        <w:autoSpaceDN w:val="0"/>
        <w:adjustRightInd w:val="0"/>
        <w:spacing w:line="360" w:lineRule="auto"/>
        <w:ind w:left="851" w:right="822"/>
        <w:jc w:val="both"/>
        <w:rPr>
          <w:rFonts w:ascii="Palatino Linotype" w:hAnsi="Palatino Linotype" w:cs="Bookman Old Style"/>
          <w:i/>
          <w:sz w:val="22"/>
        </w:rPr>
      </w:pPr>
      <w:r w:rsidRPr="00A369A0">
        <w:rPr>
          <w:rFonts w:ascii="Palatino Linotype" w:hAnsi="Palatino Linotype" w:cs="Bookman Old Style"/>
          <w:b/>
          <w:i/>
          <w:sz w:val="22"/>
        </w:rPr>
        <w:t>Toda la información</w:t>
      </w:r>
      <w:r w:rsidRPr="00A369A0">
        <w:rPr>
          <w:rFonts w:ascii="Palatino Linotype" w:hAnsi="Palatino Linotype" w:cs="Bookman Old Style"/>
          <w:i/>
          <w:sz w:val="22"/>
        </w:rPr>
        <w:t xml:space="preserve"> generada, obtenida, adquirida, transformada, administrada o </w:t>
      </w:r>
      <w:r w:rsidRPr="00A369A0">
        <w:rPr>
          <w:rFonts w:ascii="Palatino Linotype" w:hAnsi="Palatino Linotype" w:cs="Bookman Old Style"/>
          <w:b/>
          <w:i/>
          <w:sz w:val="22"/>
        </w:rPr>
        <w:t>en posesión de los sujetos obligados es pública</w:t>
      </w:r>
      <w:r w:rsidRPr="00A369A0">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063B3" w:rsidRPr="00A369A0" w:rsidRDefault="00B063B3" w:rsidP="00B063B3">
      <w:pPr>
        <w:autoSpaceDE w:val="0"/>
        <w:autoSpaceDN w:val="0"/>
        <w:adjustRightInd w:val="0"/>
        <w:spacing w:line="360" w:lineRule="auto"/>
        <w:ind w:left="851" w:right="822"/>
        <w:jc w:val="both"/>
        <w:rPr>
          <w:rFonts w:ascii="Palatino Linotype" w:hAnsi="Palatino Linotype" w:cs="Bookman Old Style"/>
          <w:i/>
          <w:sz w:val="22"/>
        </w:rPr>
      </w:pPr>
      <w:r w:rsidRPr="00A369A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B063B3" w:rsidRPr="00A369A0" w:rsidRDefault="00B063B3" w:rsidP="00B063B3">
      <w:pPr>
        <w:autoSpaceDE w:val="0"/>
        <w:autoSpaceDN w:val="0"/>
        <w:adjustRightInd w:val="0"/>
        <w:spacing w:line="360" w:lineRule="auto"/>
        <w:ind w:left="851" w:right="822"/>
        <w:jc w:val="both"/>
        <w:rPr>
          <w:rFonts w:ascii="Palatino Linotype" w:hAnsi="Palatino Linotype" w:cs="Bookman Old Style"/>
          <w:i/>
          <w:sz w:val="22"/>
        </w:rPr>
      </w:pPr>
    </w:p>
    <w:p w:rsidR="00B063B3" w:rsidRPr="00A369A0" w:rsidRDefault="00B063B3" w:rsidP="00B063B3">
      <w:pPr>
        <w:autoSpaceDE w:val="0"/>
        <w:autoSpaceDN w:val="0"/>
        <w:adjustRightInd w:val="0"/>
        <w:spacing w:line="360" w:lineRule="auto"/>
        <w:ind w:left="851" w:right="822"/>
        <w:jc w:val="both"/>
        <w:rPr>
          <w:rFonts w:ascii="Palatino Linotype" w:hAnsi="Palatino Linotype" w:cs="Bookman Old Style"/>
          <w:i/>
          <w:sz w:val="22"/>
        </w:rPr>
      </w:pPr>
      <w:r w:rsidRPr="00A369A0">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rsidR="00B063B3" w:rsidRPr="00A369A0" w:rsidRDefault="00B063B3" w:rsidP="00B063B3">
      <w:pPr>
        <w:autoSpaceDE w:val="0"/>
        <w:autoSpaceDN w:val="0"/>
        <w:adjustRightInd w:val="0"/>
        <w:spacing w:line="360" w:lineRule="auto"/>
        <w:ind w:left="851" w:right="822"/>
        <w:jc w:val="both"/>
        <w:rPr>
          <w:rFonts w:ascii="Palatino Linotype" w:hAnsi="Palatino Linotype" w:cs="Bookman Old Style"/>
          <w:i/>
          <w:sz w:val="22"/>
        </w:rPr>
      </w:pPr>
      <w:r w:rsidRPr="00A369A0">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A369A0">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cálculos o practicar investigaciones.</w:t>
      </w:r>
    </w:p>
    <w:p w:rsidR="00B063B3" w:rsidRPr="00A369A0" w:rsidRDefault="00B063B3" w:rsidP="00B063B3">
      <w:pPr>
        <w:spacing w:line="360" w:lineRule="auto"/>
        <w:ind w:right="49"/>
        <w:contextualSpacing/>
        <w:jc w:val="both"/>
        <w:rPr>
          <w:rFonts w:ascii="Palatino Linotype" w:eastAsiaTheme="minorEastAsia" w:hAnsi="Palatino Linotype"/>
          <w:lang w:eastAsia="es-ES"/>
        </w:rPr>
      </w:pPr>
    </w:p>
    <w:p w:rsidR="00FC55DF" w:rsidRPr="00A369A0" w:rsidRDefault="00B063B3" w:rsidP="00FC55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369A0">
        <w:rPr>
          <w:rFonts w:ascii="Palatino Linotype" w:eastAsiaTheme="minorEastAsia" w:hAnsi="Palatino Linotype" w:cs="Arial"/>
          <w:lang w:val="es-ES_tradnl"/>
        </w:rPr>
        <w:t>Ahora bien</w:t>
      </w:r>
      <w:r w:rsidR="00FC55DF" w:rsidRPr="00A369A0">
        <w:rPr>
          <w:rFonts w:ascii="Palatino Linotype" w:eastAsiaTheme="minorEastAsia" w:hAnsi="Palatino Linotype" w:cs="Arial"/>
          <w:lang w:val="es-ES_tradnl"/>
        </w:rPr>
        <w:t xml:space="preserve">, </w:t>
      </w:r>
      <w:r w:rsidR="00FC55DF" w:rsidRPr="00A369A0">
        <w:rPr>
          <w:rFonts w:ascii="Palatino Linotype" w:hAnsi="Palatino Linotype" w:cs="Arial"/>
        </w:rPr>
        <w:t>La Ley de Ingresos de los Municipios del Estado de México para el Ejercicio Fiscal 2022, que el pago del impuesto predial será percibido por la hacienda municipal de los municipios, lo anterior se encuentra en el artículo 1 de la Ley en mención que se trascribe a continuación:</w:t>
      </w:r>
    </w:p>
    <w:p w:rsidR="00FC55DF" w:rsidRPr="00A369A0" w:rsidRDefault="00FC55DF" w:rsidP="00FC55DF">
      <w:pPr>
        <w:pStyle w:val="Prrafodelista"/>
        <w:rPr>
          <w:rFonts w:ascii="Palatino Linotype" w:hAnsi="Palatino Linotype"/>
          <w:lang w:val="es-ES"/>
        </w:rPr>
      </w:pPr>
    </w:p>
    <w:p w:rsidR="00FC55DF" w:rsidRPr="00A369A0" w:rsidRDefault="00FC55DF" w:rsidP="00FC55DF">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t xml:space="preserve">“Artículo 1.- La hacienda pública de los municipios del Estado de México, percibirá durante el ejercicio fiscal del año 2022, los ingresos provenientes de los conceptos que a continuación se enumeran: </w:t>
      </w:r>
    </w:p>
    <w:p w:rsidR="00FC55DF" w:rsidRPr="00A369A0" w:rsidRDefault="00FC55DF" w:rsidP="00FC55DF">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t xml:space="preserve">1. IMPUESTOS: </w:t>
      </w:r>
    </w:p>
    <w:p w:rsidR="00FC55DF" w:rsidRPr="00A369A0" w:rsidRDefault="00FC55DF" w:rsidP="00FC55DF">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t>(…)</w:t>
      </w:r>
    </w:p>
    <w:p w:rsidR="00FC55DF" w:rsidRPr="00A369A0" w:rsidRDefault="00FC55DF" w:rsidP="00FC55DF">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t>1.2.1. Predial. (…)”</w:t>
      </w:r>
    </w:p>
    <w:p w:rsidR="00FC55DF" w:rsidRPr="00A369A0" w:rsidRDefault="00FC55DF" w:rsidP="00FC55D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A369A0">
        <w:rPr>
          <w:rFonts w:ascii="Palatino Linotype" w:hAnsi="Palatino Linotype" w:cs="Arial"/>
          <w:sz w:val="24"/>
        </w:rPr>
        <w:t>Del precepto anterior se desprende que el pago del impuesto predial, como obligación de los contribuyentes, ingresa a la hacienda municipal y a su vez está integrado en la Ley de Ingresos, por lo tanto tiene una doble naturaleza que se debe transparentar, por un lado es un acto de autoridad y por otro al ingresar al Municipio, obtiene la calidad de recurso público.</w:t>
      </w:r>
    </w:p>
    <w:p w:rsidR="00FC55DF" w:rsidRPr="00A369A0" w:rsidRDefault="00FC55DF" w:rsidP="00FC55DF">
      <w:pPr>
        <w:pStyle w:val="Prrafodelista"/>
        <w:tabs>
          <w:tab w:val="left" w:pos="851"/>
        </w:tabs>
        <w:spacing w:line="360" w:lineRule="auto"/>
        <w:ind w:left="0" w:right="49"/>
        <w:jc w:val="both"/>
        <w:rPr>
          <w:rFonts w:ascii="Palatino Linotype" w:hAnsi="Palatino Linotype"/>
          <w:sz w:val="24"/>
          <w:lang w:val="es-ES"/>
        </w:rPr>
      </w:pPr>
    </w:p>
    <w:p w:rsidR="00FC55DF" w:rsidRPr="00A369A0" w:rsidRDefault="00FC55DF" w:rsidP="00FC55D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A369A0">
        <w:rPr>
          <w:rFonts w:ascii="Palatino Linotype" w:hAnsi="Palatino Linotype" w:cs="Arial"/>
          <w:sz w:val="24"/>
        </w:rPr>
        <w:t>Correlacionado con lo expuesto en las líneas anteriores, es una obligación común de transparencia, el dar a conocer los ingresos recibidos por cualquier concepto, entendido ingreso, como el impuesto predial pagado por los contribuyentes, lo anterior descasa en la fracción XLVII del artículo 92 de  la Ley de la materia, que se transcribe a continuación:</w:t>
      </w:r>
    </w:p>
    <w:p w:rsidR="00FC55DF" w:rsidRPr="00A369A0" w:rsidRDefault="00FC55DF" w:rsidP="00157292">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C55DF" w:rsidRPr="00A369A0" w:rsidRDefault="00FC55DF" w:rsidP="00157292">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t>(…)</w:t>
      </w:r>
    </w:p>
    <w:p w:rsidR="00157292" w:rsidRPr="00A369A0" w:rsidRDefault="00FC55DF" w:rsidP="00157292">
      <w:pPr>
        <w:spacing w:before="100" w:beforeAutospacing="1" w:after="100" w:afterAutospacing="1" w:line="360" w:lineRule="auto"/>
        <w:ind w:left="851" w:right="851"/>
        <w:jc w:val="both"/>
        <w:rPr>
          <w:rFonts w:ascii="Palatino Linotype" w:hAnsi="Palatino Linotype" w:cs="Arial"/>
          <w:i/>
          <w:sz w:val="22"/>
        </w:rPr>
      </w:pPr>
      <w:r w:rsidRPr="00A369A0">
        <w:rPr>
          <w:rFonts w:ascii="Palatino Linotype" w:hAnsi="Palatino Linotype" w:cs="Arial"/>
          <w:i/>
          <w:sz w:val="22"/>
        </w:rPr>
        <w:t>XLVII. Los ingresos recibidos por cualquier concepto señalando el nombre de los responsables de recibirlos, administrarlos y ejercerlos, indicando el destino de cada uno de ellos; (…)”</w:t>
      </w:r>
    </w:p>
    <w:p w:rsidR="00157292" w:rsidRPr="00A369A0" w:rsidRDefault="00FC55DF" w:rsidP="00157292">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rPr>
      </w:pPr>
      <w:r w:rsidRPr="00A369A0">
        <w:rPr>
          <w:rFonts w:ascii="Palatino Linotype" w:hAnsi="Palatino Linotype" w:cs="Arial"/>
          <w:sz w:val="24"/>
        </w:rPr>
        <w:t>Siguiendo con el análisis, es preciso mencionar que los Sujetos Obligados están constreñidos a documentar todo acto que derive del ejercicio de sus facultades, competencias o funciones y para el caso concreto, debió de registrar los pagos realizados por los contribuyentes, lo anterior está contenido en el artículo 18 de la Ley de la materia.</w:t>
      </w:r>
    </w:p>
    <w:p w:rsidR="00157292" w:rsidRPr="00A369A0" w:rsidRDefault="00157292" w:rsidP="00157292">
      <w:pPr>
        <w:pStyle w:val="Prrafodelista"/>
        <w:numPr>
          <w:ilvl w:val="0"/>
          <w:numId w:val="1"/>
        </w:numPr>
        <w:spacing w:before="100" w:beforeAutospacing="1" w:after="100" w:afterAutospacing="1" w:line="360" w:lineRule="auto"/>
        <w:ind w:left="0" w:firstLine="0"/>
        <w:jc w:val="both"/>
        <w:rPr>
          <w:rFonts w:ascii="Palatino Linotype" w:hAnsi="Palatino Linotype" w:cs="Arial"/>
          <w:sz w:val="28"/>
        </w:rPr>
      </w:pPr>
      <w:r w:rsidRPr="00A369A0">
        <w:rPr>
          <w:rFonts w:ascii="Palatino Linotype" w:hAnsi="Palatino Linotype" w:cs="Arial"/>
          <w:sz w:val="24"/>
          <w:szCs w:val="28"/>
        </w:rPr>
        <w:t xml:space="preserve">Asimismo, es necesario traer a contexto el artículo </w:t>
      </w:r>
      <w:r w:rsidRPr="00A369A0">
        <w:rPr>
          <w:rFonts w:ascii="Palatino Linotype" w:eastAsia="Calibri" w:hAnsi="Palatino Linotype" w:cs="Tahoma"/>
          <w:bCs/>
          <w:sz w:val="24"/>
          <w:lang w:eastAsia="en-US"/>
        </w:rPr>
        <w:t>55 del Código Financiero del Estado de México y Municipios, en donde establece que el Ayuntamiento está obligado a guardar absoluta reserva o confidencialidad, respecto de las declaraciones y datos que proporcionen los particulares o terceros relacionados con ellos, así como los obtenidos en el ejercicio de las facultades de comprobación.</w:t>
      </w:r>
    </w:p>
    <w:p w:rsidR="00157292" w:rsidRPr="00A369A0" w:rsidRDefault="00157292" w:rsidP="00157292">
      <w:pPr>
        <w:pStyle w:val="Prrafodelista"/>
        <w:spacing w:before="100" w:beforeAutospacing="1" w:after="100" w:afterAutospacing="1" w:line="360" w:lineRule="auto"/>
        <w:ind w:left="0"/>
        <w:jc w:val="both"/>
        <w:rPr>
          <w:rFonts w:ascii="Palatino Linotype" w:hAnsi="Palatino Linotype" w:cs="Arial"/>
          <w:sz w:val="28"/>
        </w:rPr>
      </w:pPr>
    </w:p>
    <w:p w:rsidR="00157292" w:rsidRPr="00A369A0" w:rsidRDefault="00157292" w:rsidP="00157292">
      <w:pPr>
        <w:pStyle w:val="Prrafodelista"/>
        <w:numPr>
          <w:ilvl w:val="0"/>
          <w:numId w:val="1"/>
        </w:numPr>
        <w:spacing w:before="100" w:beforeAutospacing="1" w:after="100" w:afterAutospacing="1" w:line="360" w:lineRule="auto"/>
        <w:ind w:left="0" w:firstLine="0"/>
        <w:jc w:val="both"/>
        <w:rPr>
          <w:rFonts w:ascii="Palatino Linotype" w:hAnsi="Palatino Linotype" w:cs="Arial"/>
          <w:sz w:val="32"/>
        </w:rPr>
      </w:pPr>
      <w:r w:rsidRPr="00A369A0">
        <w:rPr>
          <w:rFonts w:ascii="Palatino Linotype" w:eastAsia="Calibri" w:hAnsi="Palatino Linotype" w:cs="Tahoma"/>
          <w:bCs/>
          <w:sz w:val="24"/>
          <w:lang w:eastAsia="en-US"/>
        </w:rPr>
        <w:t xml:space="preserve">Por su parte el artículo 143, fracción II, de la Ley de Transparencia y Acceso a la Información Pública del Estado de México y Municipios, dispone que se considera información confidencial, los secretos bancario, fiduciario, industrial, comercial, fiscal, </w:t>
      </w:r>
      <w:r w:rsidRPr="00A369A0">
        <w:rPr>
          <w:rFonts w:ascii="Palatino Linotype" w:eastAsia="Calibri" w:hAnsi="Palatino Linotype" w:cs="Tahoma"/>
          <w:bCs/>
          <w:sz w:val="24"/>
          <w:lang w:eastAsia="en-US"/>
        </w:rPr>
        <w:lastRenderedPageBreak/>
        <w:t>bursátil y postal, cuya titularidad corresponda a particulares, sujetos de derecho internacional o a sujetos obligados cuando no involucren el ejercicio de recursos públicos.</w:t>
      </w:r>
    </w:p>
    <w:p w:rsidR="00157292" w:rsidRPr="00A369A0" w:rsidRDefault="00157292" w:rsidP="00157292">
      <w:pPr>
        <w:pStyle w:val="Prrafodelista"/>
        <w:spacing w:before="100" w:beforeAutospacing="1" w:after="100" w:afterAutospacing="1" w:line="360" w:lineRule="auto"/>
        <w:ind w:left="0"/>
        <w:jc w:val="both"/>
        <w:rPr>
          <w:rFonts w:ascii="Palatino Linotype" w:hAnsi="Palatino Linotype" w:cs="Arial"/>
          <w:sz w:val="32"/>
        </w:rPr>
      </w:pPr>
    </w:p>
    <w:p w:rsidR="00157292" w:rsidRPr="00A369A0" w:rsidRDefault="00157292" w:rsidP="00157292">
      <w:pPr>
        <w:pStyle w:val="Prrafodelista"/>
        <w:numPr>
          <w:ilvl w:val="0"/>
          <w:numId w:val="1"/>
        </w:numPr>
        <w:spacing w:line="360" w:lineRule="auto"/>
        <w:ind w:left="0" w:firstLine="0"/>
        <w:jc w:val="both"/>
        <w:rPr>
          <w:rFonts w:ascii="Palatino Linotype" w:eastAsia="Calibri" w:hAnsi="Palatino Linotype" w:cs="Tahoma"/>
          <w:bCs/>
          <w:sz w:val="24"/>
          <w:lang w:eastAsia="en-US"/>
        </w:rPr>
      </w:pPr>
      <w:r w:rsidRPr="00A369A0">
        <w:rPr>
          <w:rFonts w:ascii="Palatino Linotype" w:eastAsia="Calibri" w:hAnsi="Palatino Linotype" w:cs="Tahoma"/>
          <w:bCs/>
          <w:sz w:val="24"/>
          <w:lang w:eastAsia="en-US"/>
        </w:rPr>
        <w:t>En este orden de ideas, en términos del Cuadragésimo quinto de los Lineamientos Generales en Materia de Clasificación y Desclasificación de la Información, así como para la Elaboración de Versiones Públicas, 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rsidR="00157292" w:rsidRPr="00A369A0" w:rsidRDefault="00157292" w:rsidP="00157292">
      <w:pPr>
        <w:pStyle w:val="Prrafodelista"/>
        <w:spacing w:line="360" w:lineRule="auto"/>
        <w:ind w:left="0"/>
        <w:jc w:val="both"/>
        <w:rPr>
          <w:rFonts w:ascii="Palatino Linotype" w:eastAsia="Calibri" w:hAnsi="Palatino Linotype" w:cs="Tahoma"/>
          <w:bCs/>
          <w:sz w:val="24"/>
          <w:lang w:eastAsia="en-US"/>
        </w:rPr>
      </w:pPr>
    </w:p>
    <w:p w:rsidR="00157292" w:rsidRPr="00A369A0" w:rsidRDefault="00157292" w:rsidP="00157292">
      <w:pPr>
        <w:pStyle w:val="Prrafodelista"/>
        <w:numPr>
          <w:ilvl w:val="0"/>
          <w:numId w:val="1"/>
        </w:numPr>
        <w:spacing w:line="360" w:lineRule="auto"/>
        <w:ind w:left="0" w:firstLine="0"/>
        <w:jc w:val="both"/>
        <w:rPr>
          <w:rFonts w:ascii="Palatino Linotype" w:eastAsia="Calibri" w:hAnsi="Palatino Linotype" w:cs="Tahoma"/>
          <w:bCs/>
          <w:sz w:val="24"/>
          <w:lang w:eastAsia="en-US"/>
        </w:rPr>
      </w:pPr>
      <w:r w:rsidRPr="00A369A0">
        <w:rPr>
          <w:rFonts w:ascii="Palatino Linotype" w:eastAsia="Calibri" w:hAnsi="Palatino Linotype" w:cs="Tahoma"/>
          <w:bCs/>
          <w:sz w:val="24"/>
          <w:lang w:eastAsia="en-US"/>
        </w:rPr>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rsidR="00157292" w:rsidRPr="00A369A0" w:rsidRDefault="00157292" w:rsidP="00157292">
      <w:pPr>
        <w:pStyle w:val="Prrafodelista"/>
        <w:spacing w:line="360" w:lineRule="auto"/>
        <w:ind w:left="0"/>
        <w:jc w:val="both"/>
        <w:rPr>
          <w:rFonts w:ascii="Palatino Linotype" w:eastAsia="Calibri" w:hAnsi="Palatino Linotype" w:cs="Tahoma"/>
          <w:bCs/>
          <w:sz w:val="24"/>
          <w:lang w:eastAsia="en-US"/>
        </w:rPr>
      </w:pPr>
    </w:p>
    <w:p w:rsidR="00157292" w:rsidRPr="00A369A0" w:rsidRDefault="00157292" w:rsidP="00157292">
      <w:pPr>
        <w:pStyle w:val="Prrafodelista"/>
        <w:numPr>
          <w:ilvl w:val="0"/>
          <w:numId w:val="1"/>
        </w:numPr>
        <w:spacing w:line="360" w:lineRule="auto"/>
        <w:ind w:left="0" w:firstLine="0"/>
        <w:jc w:val="both"/>
        <w:rPr>
          <w:rFonts w:ascii="Palatino Linotype" w:eastAsia="Calibri" w:hAnsi="Palatino Linotype" w:cs="Tahoma"/>
          <w:bCs/>
          <w:sz w:val="24"/>
          <w:lang w:eastAsia="en-US"/>
        </w:rPr>
      </w:pPr>
      <w:r w:rsidRPr="00A369A0">
        <w:rPr>
          <w:rFonts w:ascii="Palatino Linotype" w:eastAsia="Calibri" w:hAnsi="Palatino Linotype" w:cs="Tahoma"/>
          <w:bCs/>
          <w:sz w:val="24"/>
          <w:lang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rsidR="00157292" w:rsidRPr="00A369A0" w:rsidRDefault="00157292" w:rsidP="00157292">
      <w:pPr>
        <w:pStyle w:val="Prrafodelista"/>
        <w:spacing w:line="360" w:lineRule="auto"/>
        <w:ind w:left="0"/>
        <w:jc w:val="both"/>
        <w:rPr>
          <w:rFonts w:ascii="Palatino Linotype" w:eastAsia="Calibri" w:hAnsi="Palatino Linotype" w:cs="Tahoma"/>
          <w:bCs/>
          <w:sz w:val="24"/>
          <w:lang w:eastAsia="en-US"/>
        </w:rPr>
      </w:pPr>
    </w:p>
    <w:p w:rsidR="00157292" w:rsidRPr="00A369A0" w:rsidRDefault="00157292" w:rsidP="00157292">
      <w:pPr>
        <w:pStyle w:val="Prrafodelista"/>
        <w:numPr>
          <w:ilvl w:val="0"/>
          <w:numId w:val="1"/>
        </w:numPr>
        <w:spacing w:line="360" w:lineRule="auto"/>
        <w:ind w:left="0" w:firstLine="0"/>
        <w:jc w:val="both"/>
        <w:rPr>
          <w:rFonts w:ascii="Palatino Linotype" w:eastAsia="Calibri" w:hAnsi="Palatino Linotype" w:cs="Tahoma"/>
          <w:bCs/>
          <w:iCs/>
          <w:sz w:val="24"/>
          <w:lang w:eastAsia="en-US"/>
        </w:rPr>
      </w:pPr>
      <w:r w:rsidRPr="00A369A0">
        <w:rPr>
          <w:rFonts w:ascii="Palatino Linotype" w:eastAsia="Calibri" w:hAnsi="Palatino Linotype" w:cs="Tahoma"/>
          <w:bCs/>
          <w:sz w:val="24"/>
          <w:lang w:eastAsia="en-US"/>
        </w:rPr>
        <w:t>Sobre el particular, resulta aplicable la tesis aislada con número 1a.</w:t>
      </w:r>
      <w:r w:rsidRPr="00A369A0">
        <w:rPr>
          <w:rFonts w:ascii="Palatino Linotype" w:eastAsia="Calibri" w:hAnsi="Palatino Linotype" w:cs="Tahoma"/>
          <w:bCs/>
          <w:iCs/>
          <w:sz w:val="24"/>
          <w:lang w:eastAsia="en-US"/>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rsidR="00157292" w:rsidRPr="00A369A0" w:rsidRDefault="00157292" w:rsidP="00157292">
      <w:pPr>
        <w:pStyle w:val="Prrafodelista"/>
        <w:spacing w:line="360" w:lineRule="auto"/>
        <w:ind w:left="644"/>
        <w:jc w:val="both"/>
        <w:rPr>
          <w:rFonts w:ascii="Palatino Linotype" w:eastAsia="Calibri" w:hAnsi="Palatino Linotype" w:cs="Tahoma"/>
          <w:bCs/>
          <w:iCs/>
          <w:lang w:eastAsia="en-US"/>
        </w:rPr>
      </w:pPr>
    </w:p>
    <w:p w:rsidR="00157292" w:rsidRPr="00A369A0" w:rsidRDefault="00157292" w:rsidP="00157292">
      <w:pPr>
        <w:pStyle w:val="Prrafodelista"/>
        <w:spacing w:line="276" w:lineRule="auto"/>
        <w:ind w:left="851" w:right="822"/>
        <w:jc w:val="both"/>
        <w:rPr>
          <w:rFonts w:ascii="Palatino Linotype" w:eastAsia="Calibri" w:hAnsi="Palatino Linotype" w:cs="Tahoma"/>
          <w:bCs/>
          <w:i/>
          <w:iCs/>
          <w:szCs w:val="22"/>
          <w:lang w:eastAsia="en-US"/>
        </w:rPr>
      </w:pPr>
      <w:r w:rsidRPr="00A369A0">
        <w:rPr>
          <w:rFonts w:ascii="Palatino Linotype" w:eastAsia="Calibri" w:hAnsi="Palatino Linotype" w:cs="Tahoma"/>
          <w:b/>
          <w:bCs/>
          <w:i/>
          <w:iCs/>
          <w:szCs w:val="22"/>
          <w:lang w:eastAsia="en-US"/>
        </w:rPr>
        <w:t xml:space="preserve">“SECRETO FISCAL. CONCEPTO DE. </w:t>
      </w:r>
      <w:r w:rsidRPr="00A369A0">
        <w:rPr>
          <w:rFonts w:ascii="Palatino Linotype" w:eastAsia="Calibri" w:hAnsi="Palatino Linotype" w:cs="Tahoma"/>
          <w:bCs/>
          <w:i/>
          <w:iCs/>
          <w:szCs w:val="22"/>
          <w:lang w:eastAsia="en-U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w:t>
      </w:r>
      <w:r w:rsidRPr="00A369A0">
        <w:rPr>
          <w:rFonts w:ascii="Palatino Linotype" w:eastAsia="Calibri" w:hAnsi="Palatino Linotype" w:cs="Tahoma"/>
          <w:bCs/>
          <w:i/>
          <w:iCs/>
          <w:szCs w:val="22"/>
          <w:lang w:eastAsia="en-US"/>
        </w:rPr>
        <w:lastRenderedPageBreak/>
        <w:t>establecido textualmente, sino relativa al establecer dicho precepto distintas excepciones al respecto.”(Sic)</w:t>
      </w:r>
    </w:p>
    <w:p w:rsidR="00157292" w:rsidRPr="00A369A0" w:rsidRDefault="00157292" w:rsidP="00157292">
      <w:pPr>
        <w:pStyle w:val="Prrafodelista"/>
        <w:spacing w:line="360" w:lineRule="auto"/>
        <w:ind w:left="644"/>
        <w:jc w:val="both"/>
        <w:rPr>
          <w:rFonts w:ascii="Palatino Linotype" w:eastAsia="Calibri" w:hAnsi="Palatino Linotype" w:cs="Tahoma"/>
          <w:bCs/>
          <w:iCs/>
          <w:lang w:eastAsia="en-US"/>
        </w:rPr>
      </w:pPr>
    </w:p>
    <w:p w:rsidR="00157292" w:rsidRPr="00A369A0" w:rsidRDefault="00157292" w:rsidP="00157292">
      <w:pPr>
        <w:pStyle w:val="Prrafodelista"/>
        <w:numPr>
          <w:ilvl w:val="0"/>
          <w:numId w:val="1"/>
        </w:numPr>
        <w:spacing w:line="360" w:lineRule="auto"/>
        <w:ind w:left="0" w:firstLine="0"/>
        <w:jc w:val="both"/>
        <w:rPr>
          <w:rFonts w:ascii="Palatino Linotype" w:eastAsia="Calibri" w:hAnsi="Palatino Linotype" w:cs="Tahoma"/>
          <w:bCs/>
          <w:iCs/>
          <w:sz w:val="24"/>
          <w:lang w:eastAsia="en-US"/>
        </w:rPr>
      </w:pPr>
      <w:r w:rsidRPr="00A369A0">
        <w:rPr>
          <w:rFonts w:ascii="Palatino Linotype" w:eastAsia="Calibri" w:hAnsi="Palatino Linotype" w:cs="Tahoma"/>
          <w:bCs/>
          <w:iCs/>
          <w:sz w:val="24"/>
          <w:lang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p>
    <w:p w:rsidR="00157292" w:rsidRPr="00A369A0" w:rsidRDefault="00157292" w:rsidP="00157292">
      <w:pPr>
        <w:pStyle w:val="Prrafodelista"/>
        <w:spacing w:line="360" w:lineRule="auto"/>
        <w:ind w:left="0"/>
        <w:jc w:val="both"/>
        <w:rPr>
          <w:rFonts w:ascii="Palatino Linotype" w:eastAsia="Calibri" w:hAnsi="Palatino Linotype" w:cs="Tahoma"/>
          <w:bCs/>
          <w:iCs/>
          <w:sz w:val="24"/>
          <w:lang w:eastAsia="en-US"/>
        </w:rPr>
      </w:pPr>
    </w:p>
    <w:p w:rsidR="0027133A" w:rsidRPr="00A369A0" w:rsidRDefault="00157292" w:rsidP="0027133A">
      <w:pPr>
        <w:pStyle w:val="Prrafodelista"/>
        <w:numPr>
          <w:ilvl w:val="0"/>
          <w:numId w:val="1"/>
        </w:numPr>
        <w:spacing w:line="360" w:lineRule="auto"/>
        <w:ind w:left="0" w:firstLine="0"/>
        <w:jc w:val="both"/>
        <w:rPr>
          <w:rFonts w:ascii="Palatino Linotype" w:eastAsia="Calibri" w:hAnsi="Palatino Linotype" w:cs="Tahoma"/>
          <w:bCs/>
          <w:iCs/>
          <w:sz w:val="24"/>
          <w:lang w:eastAsia="en-US"/>
        </w:rPr>
      </w:pPr>
      <w:r w:rsidRPr="00A369A0">
        <w:rPr>
          <w:rFonts w:ascii="Palatino Linotype" w:eastAsia="Calibri" w:hAnsi="Palatino Linotype" w:cs="Tahoma"/>
          <w:bCs/>
          <w:iCs/>
          <w:sz w:val="24"/>
          <w:lang w:eastAsia="en-US"/>
        </w:rPr>
        <w:t>Lo cual, se traduce en una concreta carga -de no hacer- impuesta a la autoridad fiscal, consistente en que al aplicar las disposiciones fiscales no deben revelar de ninguna forma información tributaria de los contribuyentes. Por lo cual, no procede la entrega de dicha información, toda vez que se trata de información de contribuyentes sobre la cual prevalece el secreto fiscal.</w:t>
      </w:r>
    </w:p>
    <w:p w:rsidR="00FC55DF" w:rsidRPr="00A369A0" w:rsidRDefault="0027133A" w:rsidP="008A12B3">
      <w:pPr>
        <w:pStyle w:val="Prrafodelista"/>
        <w:numPr>
          <w:ilvl w:val="0"/>
          <w:numId w:val="1"/>
        </w:numPr>
        <w:spacing w:line="360" w:lineRule="auto"/>
        <w:ind w:left="0" w:firstLine="0"/>
        <w:jc w:val="both"/>
        <w:rPr>
          <w:rFonts w:ascii="Palatino Linotype" w:eastAsia="Calibri" w:hAnsi="Palatino Linotype" w:cs="Tahoma"/>
          <w:bCs/>
          <w:iCs/>
          <w:sz w:val="24"/>
          <w:lang w:eastAsia="en-US"/>
        </w:rPr>
      </w:pPr>
      <w:r w:rsidRPr="00A369A0">
        <w:rPr>
          <w:rFonts w:ascii="Palatino Linotype" w:eastAsia="Calibri" w:hAnsi="Palatino Linotype" w:cs="Tahoma"/>
          <w:bCs/>
          <w:iCs/>
          <w:sz w:val="24"/>
          <w:lang w:eastAsia="en-US"/>
        </w:rPr>
        <w:t xml:space="preserve">Puntualizado lo anteriormente expuesto, los recibos de pago predial de diciembre de dos mil veintidós,, actualizan el supuesto de confidencialidad establecido en el artículo 143, fracción II, de la Ley de Transparencia y Acceso a la Información Pública </w:t>
      </w:r>
      <w:r w:rsidRPr="00A369A0">
        <w:rPr>
          <w:rFonts w:ascii="Palatino Linotype" w:eastAsia="Calibri" w:hAnsi="Palatino Linotype" w:cs="Tahoma"/>
          <w:bCs/>
          <w:sz w:val="24"/>
          <w:lang w:eastAsia="en-US"/>
        </w:rPr>
        <w:t>del Estado de México y Municipios, por lo que el Sujeto Obligado a través de su Comité de Transparencia, deberá fundar y motivar la clasificación de la información,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8F6D66" w:rsidRPr="00A369A0" w:rsidRDefault="008F6D66" w:rsidP="008F6D66">
      <w:pPr>
        <w:pStyle w:val="Prrafodelista"/>
        <w:spacing w:line="360" w:lineRule="auto"/>
        <w:ind w:left="0"/>
        <w:jc w:val="both"/>
        <w:rPr>
          <w:rFonts w:ascii="Palatino Linotype" w:eastAsia="Calibri" w:hAnsi="Palatino Linotype" w:cs="Tahoma"/>
          <w:bCs/>
          <w:iCs/>
          <w:sz w:val="24"/>
          <w:lang w:eastAsia="en-US"/>
        </w:rPr>
      </w:pPr>
    </w:p>
    <w:p w:rsidR="008F6D66" w:rsidRPr="00A369A0" w:rsidRDefault="008F6D66" w:rsidP="008F6D66">
      <w:pPr>
        <w:pStyle w:val="Prrafodelista"/>
        <w:numPr>
          <w:ilvl w:val="0"/>
          <w:numId w:val="1"/>
        </w:numPr>
        <w:spacing w:line="360" w:lineRule="auto"/>
        <w:ind w:left="0" w:firstLine="0"/>
        <w:jc w:val="both"/>
        <w:rPr>
          <w:rFonts w:ascii="Palatino Linotype" w:hAnsi="Palatino Linotype" w:cs="Arial"/>
          <w:bCs/>
          <w:iCs/>
          <w:color w:val="000000" w:themeColor="text1"/>
          <w:sz w:val="24"/>
        </w:rPr>
      </w:pPr>
      <w:r w:rsidRPr="00A369A0">
        <w:rPr>
          <w:rFonts w:ascii="Palatino Linotype" w:hAnsi="Palatino Linotype" w:cs="Arial"/>
          <w:bCs/>
          <w:iCs/>
          <w:color w:val="000000" w:themeColor="text1"/>
          <w:sz w:val="24"/>
        </w:rPr>
        <w:t>Finalmente, en lo que corresponde a los recibos de pago predial de bienes inmuebles propiedad de las dependencias gubernamentales, debemos traer a contexto el artículo 23 del Código Financiero del Estado de México, el cual dispone:</w:t>
      </w:r>
    </w:p>
    <w:p w:rsidR="008F6D66" w:rsidRPr="00A369A0" w:rsidRDefault="008F6D66" w:rsidP="008F6D66">
      <w:pPr>
        <w:pStyle w:val="Prrafodelista"/>
        <w:spacing w:line="360" w:lineRule="auto"/>
        <w:ind w:left="644"/>
        <w:jc w:val="both"/>
        <w:rPr>
          <w:rFonts w:ascii="Palatino Linotype" w:hAnsi="Palatino Linotype" w:cs="Arial"/>
          <w:bCs/>
          <w:iCs/>
          <w:color w:val="000000" w:themeColor="text1"/>
        </w:rPr>
      </w:pPr>
    </w:p>
    <w:p w:rsidR="008F6D66" w:rsidRPr="00A369A0" w:rsidRDefault="008F6D66" w:rsidP="008F6D66">
      <w:pPr>
        <w:pStyle w:val="Prrafodelista"/>
        <w:spacing w:line="360" w:lineRule="auto"/>
        <w:ind w:left="851" w:right="822"/>
        <w:jc w:val="both"/>
        <w:rPr>
          <w:rFonts w:ascii="Palatino Linotype" w:hAnsi="Palatino Linotype" w:cs="Arial"/>
          <w:bCs/>
          <w:i/>
          <w:iCs/>
          <w:color w:val="000000" w:themeColor="text1"/>
        </w:rPr>
      </w:pPr>
      <w:r w:rsidRPr="00A369A0">
        <w:rPr>
          <w:rFonts w:ascii="Palatino Linotype" w:hAnsi="Palatino Linotype" w:cs="Arial"/>
          <w:bCs/>
          <w:i/>
          <w:iCs/>
          <w:color w:val="000000" w:themeColor="text1"/>
        </w:rPr>
        <w:t>“</w:t>
      </w:r>
      <w:r w:rsidRPr="00A369A0">
        <w:rPr>
          <w:rFonts w:ascii="Palatino Linotype" w:hAnsi="Palatino Linotype" w:cs="Arial"/>
          <w:b/>
          <w:bCs/>
          <w:i/>
          <w:iCs/>
          <w:color w:val="000000" w:themeColor="text1"/>
        </w:rPr>
        <w:t>Artículo 23</w:t>
      </w:r>
      <w:r w:rsidRPr="00A369A0">
        <w:rPr>
          <w:rFonts w:ascii="Palatino Linotype" w:hAnsi="Palatino Linotype" w:cs="Arial"/>
          <w:bCs/>
          <w:i/>
          <w:iCs/>
          <w:color w:val="000000" w:themeColor="text1"/>
        </w:rPr>
        <w:t xml:space="preserve">.- </w:t>
      </w:r>
      <w:r w:rsidRPr="00A369A0">
        <w:rPr>
          <w:rFonts w:ascii="Palatino Linotype" w:hAnsi="Palatino Linotype" w:cs="Arial"/>
          <w:bCs/>
          <w:i/>
          <w:iCs/>
          <w:color w:val="000000" w:themeColor="text1"/>
          <w:u w:val="single"/>
        </w:rPr>
        <w:t>Están exentos del pago de impuestos</w:t>
      </w:r>
      <w:r w:rsidRPr="00A369A0">
        <w:rPr>
          <w:rFonts w:ascii="Palatino Linotype" w:hAnsi="Palatino Linotype" w:cs="Arial"/>
          <w:bCs/>
          <w:i/>
          <w:iCs/>
          <w:color w:val="000000" w:themeColor="text1"/>
        </w:rPr>
        <w:t xml:space="preserve">, derechos y aportaciones de mejoras, el Estado, </w:t>
      </w:r>
      <w:r w:rsidRPr="00A369A0">
        <w:rPr>
          <w:rFonts w:ascii="Palatino Linotype" w:hAnsi="Palatino Linotype" w:cs="Arial"/>
          <w:bCs/>
          <w:i/>
          <w:iCs/>
          <w:color w:val="000000" w:themeColor="text1"/>
          <w:u w:val="single"/>
        </w:rPr>
        <w:t>los Municipios</w:t>
      </w:r>
      <w:r w:rsidRPr="00A369A0">
        <w:rPr>
          <w:rFonts w:ascii="Palatino Linotype" w:hAnsi="Palatino Linotype" w:cs="Arial"/>
          <w:bCs/>
          <w:i/>
          <w:iCs/>
          <w:color w:val="000000" w:themeColor="text1"/>
        </w:rPr>
        <w:t xml:space="preserve">, los Organismos Autónomos, las Entidades Públicas y las entidades federativas en caso de reciprocidad, </w:t>
      </w:r>
      <w:r w:rsidRPr="00A369A0">
        <w:rPr>
          <w:rFonts w:ascii="Palatino Linotype" w:hAnsi="Palatino Linotype" w:cs="Arial"/>
          <w:bCs/>
          <w:i/>
          <w:iCs/>
          <w:color w:val="000000" w:themeColor="text1"/>
          <w:u w:val="single"/>
        </w:rPr>
        <w:t>cuando su actividad corresponda a funciones de derecho público</w:t>
      </w:r>
      <w:r w:rsidRPr="00A369A0">
        <w:rPr>
          <w:rFonts w:ascii="Palatino Linotype" w:hAnsi="Palatino Linotype" w:cs="Arial"/>
          <w:bCs/>
          <w:i/>
          <w:iCs/>
          <w:color w:val="000000" w:themeColor="text1"/>
        </w:rPr>
        <w:t xml:space="preserve">, así como las personas físicas y jurídicas colectivas que señale este Código o en casos particulares de la Ley de Ingresos. </w:t>
      </w:r>
    </w:p>
    <w:p w:rsidR="008F6D66" w:rsidRPr="00A369A0" w:rsidRDefault="008F6D66" w:rsidP="008F6D66">
      <w:pPr>
        <w:pStyle w:val="Prrafodelista"/>
        <w:spacing w:line="360" w:lineRule="auto"/>
        <w:ind w:left="851" w:right="822"/>
        <w:jc w:val="both"/>
        <w:rPr>
          <w:rFonts w:ascii="Palatino Linotype" w:hAnsi="Palatino Linotype" w:cs="Arial"/>
          <w:bCs/>
          <w:i/>
          <w:iCs/>
          <w:color w:val="000000" w:themeColor="text1"/>
        </w:rPr>
      </w:pPr>
      <w:r w:rsidRPr="00A369A0">
        <w:rPr>
          <w:rFonts w:ascii="Palatino Linotype" w:hAnsi="Palatino Linotype" w:cs="Arial"/>
          <w:bCs/>
          <w:i/>
          <w:iCs/>
          <w:color w:val="000000" w:themeColor="text1"/>
        </w:rPr>
        <w:t xml:space="preserve">Lo dispuesto en el párrafo anterior no resulta aplicable para los artículos 56 y 216-I, así como a lo previsto en la Sección Segunda, del Capítulo Primero del Título Tercero y en la Sección Primera, del Capítulo Segundo del Título Cuarto de este Código. </w:t>
      </w:r>
    </w:p>
    <w:p w:rsidR="008F6D66" w:rsidRPr="00A369A0" w:rsidRDefault="008F6D66" w:rsidP="008F6D66">
      <w:pPr>
        <w:pStyle w:val="Prrafodelista"/>
        <w:spacing w:line="360" w:lineRule="auto"/>
        <w:ind w:left="851" w:right="822"/>
        <w:jc w:val="both"/>
        <w:rPr>
          <w:rFonts w:ascii="Palatino Linotype" w:hAnsi="Palatino Linotype" w:cs="Arial"/>
          <w:bCs/>
          <w:i/>
          <w:iCs/>
          <w:color w:val="000000" w:themeColor="text1"/>
        </w:rPr>
      </w:pPr>
      <w:r w:rsidRPr="00A369A0">
        <w:rPr>
          <w:rFonts w:ascii="Palatino Linotype" w:hAnsi="Palatino Linotype" w:cs="Arial"/>
          <w:bCs/>
          <w:i/>
          <w:iCs/>
          <w:color w:val="000000" w:themeColor="text1"/>
        </w:rPr>
        <w:t xml:space="preserve">Para efectos de la declaración de la exención a que se refiere la fracción IV del artículo 115 de la Constitución Política de los Estados Unidos Mexicanos, la calidad de bien del dominio público, deberá acreditarse fehacientemente. </w:t>
      </w:r>
    </w:p>
    <w:p w:rsidR="008F6D66" w:rsidRPr="00A369A0" w:rsidRDefault="008F6D66" w:rsidP="008F6D66">
      <w:pPr>
        <w:pStyle w:val="Prrafodelista"/>
        <w:spacing w:line="360" w:lineRule="auto"/>
        <w:ind w:left="851" w:right="822"/>
        <w:jc w:val="both"/>
        <w:rPr>
          <w:rFonts w:ascii="Palatino Linotype" w:hAnsi="Palatino Linotype" w:cs="Arial"/>
          <w:bCs/>
          <w:i/>
          <w:iCs/>
          <w:color w:val="000000" w:themeColor="text1"/>
        </w:rPr>
      </w:pPr>
      <w:r w:rsidRPr="00A369A0">
        <w:rPr>
          <w:rFonts w:ascii="Palatino Linotype" w:hAnsi="Palatino Linotype" w:cs="Arial"/>
          <w:bCs/>
          <w:i/>
          <w:iCs/>
          <w:color w:val="000000" w:themeColor="text1"/>
          <w:u w:val="single"/>
        </w:rPr>
        <w:t>La exención se solicitará por escrito a la autoridad fiscal competente, debiéndose acompañar u ofrecer las pruebas que demuestren su procedencia</w:t>
      </w:r>
      <w:r w:rsidRPr="00A369A0">
        <w:rPr>
          <w:rFonts w:ascii="Palatino Linotype" w:hAnsi="Palatino Linotype" w:cs="Arial"/>
          <w:bCs/>
          <w:i/>
          <w:iCs/>
          <w:color w:val="000000" w:themeColor="text1"/>
        </w:rPr>
        <w:t xml:space="preserve">. </w:t>
      </w:r>
    </w:p>
    <w:p w:rsidR="008F6D66" w:rsidRPr="00A369A0" w:rsidRDefault="008F6D66" w:rsidP="008F6D66">
      <w:pPr>
        <w:pStyle w:val="Prrafodelista"/>
        <w:spacing w:line="360" w:lineRule="auto"/>
        <w:ind w:left="851" w:right="822"/>
        <w:jc w:val="both"/>
        <w:rPr>
          <w:rFonts w:ascii="Palatino Linotype" w:hAnsi="Palatino Linotype" w:cs="Arial"/>
          <w:bCs/>
          <w:i/>
          <w:iCs/>
          <w:color w:val="000000" w:themeColor="text1"/>
        </w:rPr>
      </w:pPr>
      <w:r w:rsidRPr="00A369A0">
        <w:rPr>
          <w:rFonts w:ascii="Palatino Linotype" w:hAnsi="Palatino Linotype" w:cs="Arial"/>
          <w:bCs/>
          <w:i/>
          <w:iCs/>
          <w:color w:val="000000" w:themeColor="text1"/>
        </w:rPr>
        <w:t xml:space="preserve">No quedan comprendidos entre los bienes del dominio público los inmuebles que los organismos descentralizados utilicen para oficinas administrativas o en general para propósitos distintos a los del cumplimiento de su objeto. </w:t>
      </w:r>
    </w:p>
    <w:p w:rsidR="008F6D66" w:rsidRPr="00A369A0" w:rsidRDefault="008F6D66" w:rsidP="008F6D66">
      <w:pPr>
        <w:pStyle w:val="Prrafodelista"/>
        <w:spacing w:line="360" w:lineRule="auto"/>
        <w:ind w:left="851" w:right="822"/>
        <w:jc w:val="both"/>
        <w:rPr>
          <w:rFonts w:ascii="Palatino Linotype" w:hAnsi="Palatino Linotype" w:cs="Arial"/>
          <w:bCs/>
          <w:iCs/>
          <w:color w:val="000000" w:themeColor="text1"/>
        </w:rPr>
      </w:pPr>
      <w:r w:rsidRPr="00A369A0">
        <w:rPr>
          <w:rFonts w:ascii="Palatino Linotype" w:hAnsi="Palatino Linotype" w:cs="Arial"/>
          <w:bCs/>
          <w:i/>
          <w:iCs/>
          <w:color w:val="000000" w:themeColor="text1"/>
        </w:rPr>
        <w:t>Quienes de acuerdo con este Código, no estén obligadas a pagar contribuciones, únicamente tendrán las obligaciones de carácter administrativo que en el mismo se establezcan.”</w:t>
      </w:r>
    </w:p>
    <w:p w:rsidR="008F6D66" w:rsidRPr="00A369A0" w:rsidRDefault="008F6D66" w:rsidP="008F6D66">
      <w:pPr>
        <w:ind w:right="616"/>
        <w:jc w:val="both"/>
        <w:rPr>
          <w:rFonts w:ascii="Palatino Linotype" w:hAnsi="Palatino Linotype" w:cs="Arial"/>
          <w:bCs/>
          <w:iCs/>
          <w:color w:val="000000" w:themeColor="text1"/>
        </w:rPr>
      </w:pPr>
    </w:p>
    <w:p w:rsidR="008F6D66" w:rsidRPr="00A369A0" w:rsidRDefault="008F6D66" w:rsidP="008F6D66">
      <w:pPr>
        <w:pStyle w:val="Prrafodelista"/>
        <w:ind w:left="644" w:right="616"/>
        <w:rPr>
          <w:rFonts w:ascii="Palatino Linotype" w:hAnsi="Palatino Linotype" w:cs="Arial"/>
          <w:bCs/>
          <w:iCs/>
          <w:color w:val="000000" w:themeColor="text1"/>
        </w:rPr>
      </w:pPr>
      <w:r w:rsidRPr="00A369A0">
        <w:rPr>
          <w:rFonts w:ascii="Palatino Linotype" w:hAnsi="Palatino Linotype" w:cs="Arial"/>
          <w:bCs/>
          <w:iCs/>
          <w:color w:val="000000" w:themeColor="text1"/>
        </w:rPr>
        <w:t>(Énfasis añadido)</w:t>
      </w:r>
    </w:p>
    <w:p w:rsidR="008F6D66" w:rsidRPr="00A369A0" w:rsidRDefault="008F6D66" w:rsidP="008F6D66">
      <w:pPr>
        <w:spacing w:line="360" w:lineRule="auto"/>
        <w:ind w:left="284"/>
        <w:jc w:val="both"/>
        <w:rPr>
          <w:rFonts w:ascii="Palatino Linotype" w:hAnsi="Palatino Linotype" w:cs="Arial"/>
          <w:bCs/>
          <w:iCs/>
          <w:color w:val="000000" w:themeColor="text1"/>
        </w:rPr>
      </w:pPr>
    </w:p>
    <w:p w:rsidR="008F6D66" w:rsidRPr="00A369A0" w:rsidRDefault="008F6D66" w:rsidP="008F6D66">
      <w:pPr>
        <w:pStyle w:val="Prrafodelista"/>
        <w:numPr>
          <w:ilvl w:val="0"/>
          <w:numId w:val="1"/>
        </w:numPr>
        <w:spacing w:line="360" w:lineRule="auto"/>
        <w:ind w:left="0" w:firstLine="0"/>
        <w:jc w:val="both"/>
        <w:rPr>
          <w:rFonts w:ascii="Palatino Linotype" w:hAnsi="Palatino Linotype" w:cs="Arial"/>
          <w:bCs/>
          <w:iCs/>
          <w:color w:val="000000" w:themeColor="text1"/>
          <w:sz w:val="24"/>
        </w:rPr>
      </w:pPr>
      <w:r w:rsidRPr="00A369A0">
        <w:rPr>
          <w:rFonts w:ascii="Palatino Linotype" w:hAnsi="Palatino Linotype" w:cs="Arial"/>
          <w:bCs/>
          <w:iCs/>
          <w:color w:val="000000" w:themeColor="text1"/>
          <w:sz w:val="24"/>
        </w:rPr>
        <w:lastRenderedPageBreak/>
        <w:t xml:space="preserve">Precepto legal que consagra que los Municipios pueden peticionar la exención de pago del impuesto predial, cuando sus actividades correspondan a funciones de derecho público. Lo anterior toma relevancia, atendiendo que existe el supuesto que el </w:t>
      </w:r>
      <w:r w:rsidRPr="00A369A0">
        <w:rPr>
          <w:rFonts w:ascii="Palatino Linotype" w:hAnsi="Palatino Linotype" w:cs="Arial"/>
          <w:b/>
          <w:bCs/>
          <w:iCs/>
          <w:color w:val="000000" w:themeColor="text1"/>
          <w:sz w:val="24"/>
        </w:rPr>
        <w:t>Sujeto Obligado</w:t>
      </w:r>
      <w:r w:rsidRPr="00A369A0">
        <w:rPr>
          <w:rFonts w:ascii="Palatino Linotype" w:hAnsi="Palatino Linotype" w:cs="Arial"/>
          <w:bCs/>
          <w:iCs/>
          <w:color w:val="000000" w:themeColor="text1"/>
          <w:sz w:val="24"/>
        </w:rPr>
        <w:t xml:space="preserve"> no haya peticionado la exención de pago del impuesto predial, debiendo entonces, haber hecho pago del mismo. Por lo que, la publicidad de los comprobantes de pago permiten una debida transparencia y rendición de cuentas, por lo que deberá hacer entrega, observando lo relativo a la tutela de los datos de carácter sensible, en términos tanto de las Leyes Locales de Transparencia y de Protección de Datos Personales. </w:t>
      </w:r>
    </w:p>
    <w:p w:rsidR="008F6D66" w:rsidRPr="00A369A0" w:rsidRDefault="008F6D66" w:rsidP="008F6D66">
      <w:pPr>
        <w:pStyle w:val="Prrafodelista"/>
        <w:spacing w:line="360" w:lineRule="auto"/>
        <w:ind w:left="0"/>
        <w:jc w:val="both"/>
        <w:rPr>
          <w:rFonts w:ascii="Palatino Linotype" w:hAnsi="Palatino Linotype" w:cs="Arial"/>
          <w:bCs/>
          <w:iCs/>
          <w:color w:val="000000" w:themeColor="text1"/>
          <w:sz w:val="24"/>
        </w:rPr>
      </w:pPr>
    </w:p>
    <w:p w:rsidR="008F6D66" w:rsidRPr="00A369A0" w:rsidRDefault="008F6D66" w:rsidP="008F6D66">
      <w:pPr>
        <w:pStyle w:val="Prrafodelista"/>
        <w:numPr>
          <w:ilvl w:val="0"/>
          <w:numId w:val="1"/>
        </w:numPr>
        <w:spacing w:line="360" w:lineRule="auto"/>
        <w:ind w:left="0" w:firstLine="0"/>
        <w:jc w:val="both"/>
        <w:rPr>
          <w:rFonts w:ascii="Palatino Linotype" w:hAnsi="Palatino Linotype" w:cs="Arial"/>
          <w:bCs/>
          <w:iCs/>
          <w:color w:val="000000" w:themeColor="text1"/>
          <w:sz w:val="24"/>
        </w:rPr>
      </w:pPr>
      <w:r w:rsidRPr="00A369A0">
        <w:rPr>
          <w:rFonts w:ascii="Palatino Linotype" w:hAnsi="Palatino Linotype" w:cs="Arial"/>
          <w:bCs/>
          <w:iCs/>
          <w:color w:val="000000" w:themeColor="text1"/>
          <w:sz w:val="24"/>
        </w:rPr>
        <w:t>En sentido contrario, de haber peticionado la exención del pago del impuesto predial, se encuentra imposibilitado a la entrega de información que no fue generada, por dicha circunstancia. Por lo que en términos de cumplimiento a la presente resolución, de existir dicho supuesto, deberá hacerlo del conocimiento en términos del párrafo segundo del artículo 19 de la multicitada Ley de Transparencia Local</w:t>
      </w:r>
      <w:r w:rsidRPr="00A369A0">
        <w:rPr>
          <w:rStyle w:val="Refdenotaalpie"/>
          <w:rFonts w:ascii="Palatino Linotype" w:hAnsi="Palatino Linotype" w:cs="Arial"/>
          <w:bCs/>
          <w:iCs/>
          <w:color w:val="000000" w:themeColor="text1"/>
          <w:sz w:val="24"/>
        </w:rPr>
        <w:footnoteReference w:id="5"/>
      </w:r>
      <w:r w:rsidRPr="00A369A0">
        <w:rPr>
          <w:rFonts w:ascii="Palatino Linotype" w:hAnsi="Palatino Linotype" w:cs="Arial"/>
          <w:bCs/>
          <w:iCs/>
          <w:color w:val="000000" w:themeColor="text1"/>
          <w:sz w:val="24"/>
        </w:rPr>
        <w:t>.</w:t>
      </w:r>
    </w:p>
    <w:p w:rsidR="008F6D66" w:rsidRPr="00A369A0" w:rsidRDefault="008F6D66" w:rsidP="008F6D66">
      <w:pPr>
        <w:pStyle w:val="Prrafodelista"/>
        <w:spacing w:line="360" w:lineRule="auto"/>
        <w:ind w:left="0"/>
        <w:jc w:val="both"/>
        <w:rPr>
          <w:rFonts w:ascii="Palatino Linotype" w:hAnsi="Palatino Linotype" w:cs="Arial"/>
          <w:bCs/>
          <w:iCs/>
          <w:color w:val="000000" w:themeColor="text1"/>
          <w:sz w:val="24"/>
        </w:rPr>
      </w:pPr>
    </w:p>
    <w:p w:rsidR="008F6D66" w:rsidRPr="00A369A0" w:rsidRDefault="008F6D66" w:rsidP="008F6D66">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5" w:name="_Toc89350464"/>
      <w:bookmarkStart w:id="26" w:name="_Toc94119619"/>
      <w:r w:rsidRPr="00A369A0">
        <w:rPr>
          <w:rFonts w:ascii="Palatino Linotype" w:hAnsi="Palatino Linotype"/>
          <w:b/>
          <w:bCs/>
          <w:color w:val="000000" w:themeColor="text1"/>
          <w:sz w:val="24"/>
        </w:rPr>
        <w:t>QUINTO. De la versión pública.</w:t>
      </w:r>
      <w:bookmarkEnd w:id="25"/>
      <w:bookmarkEnd w:id="26"/>
    </w:p>
    <w:p w:rsidR="008F6D66" w:rsidRPr="00A369A0" w:rsidRDefault="008F6D66" w:rsidP="008F6D66">
      <w:pPr>
        <w:pStyle w:val="Prrafodelista"/>
        <w:tabs>
          <w:tab w:val="left" w:pos="426"/>
        </w:tabs>
        <w:spacing w:line="360" w:lineRule="auto"/>
        <w:ind w:left="0" w:right="51"/>
        <w:jc w:val="both"/>
        <w:rPr>
          <w:rFonts w:ascii="Palatino Linotype" w:hAnsi="Palatino Linotype"/>
          <w:color w:val="000000" w:themeColor="text1"/>
        </w:rPr>
      </w:pPr>
    </w:p>
    <w:p w:rsidR="008F6D66" w:rsidRPr="00A369A0" w:rsidRDefault="008F6D66" w:rsidP="008F6D6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A369A0">
        <w:rPr>
          <w:rFonts w:ascii="Palatino Linotype" w:hAnsi="Palatino Linotype"/>
          <w:color w:val="000000" w:themeColor="text1"/>
          <w:sz w:val="24"/>
        </w:rPr>
        <w:lastRenderedPageBreak/>
        <w:t>Debe destacarse que, debido a la naturaleza de la información solicitada</w:t>
      </w:r>
      <w:r w:rsidRPr="00A369A0">
        <w:rPr>
          <w:rFonts w:ascii="Palatino Linotype" w:hAnsi="Palatino Linotype"/>
          <w:b/>
          <w:color w:val="000000" w:themeColor="text1"/>
          <w:sz w:val="24"/>
        </w:rPr>
        <w:t xml:space="preserve"> </w:t>
      </w:r>
      <w:r w:rsidRPr="00A369A0">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8F6D66" w:rsidRPr="00A369A0" w:rsidRDefault="008F6D66" w:rsidP="008F6D66">
      <w:pPr>
        <w:pStyle w:val="Prrafodelista"/>
        <w:tabs>
          <w:tab w:val="left" w:pos="426"/>
        </w:tabs>
        <w:spacing w:line="360" w:lineRule="auto"/>
        <w:ind w:left="0" w:right="51"/>
        <w:jc w:val="both"/>
        <w:rPr>
          <w:rFonts w:ascii="Palatino Linotype" w:hAnsi="Palatino Linotype"/>
          <w:color w:val="000000" w:themeColor="text1"/>
          <w:sz w:val="24"/>
        </w:rPr>
      </w:pPr>
    </w:p>
    <w:p w:rsidR="008F6D66" w:rsidRPr="00A369A0" w:rsidRDefault="008F6D66" w:rsidP="008F6D66">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A369A0">
        <w:rPr>
          <w:rFonts w:ascii="Palatino Linotype" w:hAnsi="Palatino Linotype"/>
          <w:color w:val="000000" w:themeColor="text1"/>
          <w:sz w:val="24"/>
        </w:rPr>
        <w:t xml:space="preserve">La </w:t>
      </w:r>
      <w:r w:rsidRPr="00A369A0">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369A0">
        <w:rPr>
          <w:rFonts w:ascii="Palatino Linotype" w:hAnsi="Palatino Linotype" w:cs="Arial"/>
          <w:color w:val="000000"/>
          <w:sz w:val="24"/>
        </w:rPr>
        <w:t xml:space="preserve">Actualmente, el grave problema que enfrentamos son los Acuerdos de Clasificación de la Información que emiten los </w:t>
      </w:r>
      <w:r w:rsidRPr="00A369A0">
        <w:rPr>
          <w:rFonts w:ascii="Palatino Linotype" w:hAnsi="Palatino Linotype" w:cs="Arial"/>
          <w:b/>
          <w:color w:val="000000"/>
          <w:sz w:val="24"/>
        </w:rPr>
        <w:t>SUJETOS OBLIGADOS</w:t>
      </w:r>
      <w:r w:rsidRPr="00A369A0">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8F6D66" w:rsidRPr="00A369A0" w:rsidRDefault="008F6D66" w:rsidP="008F6D66">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8F6D66" w:rsidRPr="00A369A0" w:rsidTr="00635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F6D66" w:rsidRPr="00A369A0" w:rsidRDefault="008F6D66" w:rsidP="006359A2">
            <w:pPr>
              <w:spacing w:line="360" w:lineRule="auto"/>
              <w:rPr>
                <w:rFonts w:ascii="Palatino Linotype" w:hAnsi="Palatino Linotype"/>
                <w:sz w:val="22"/>
                <w:szCs w:val="20"/>
              </w:rPr>
            </w:pPr>
            <w:r w:rsidRPr="00A369A0">
              <w:rPr>
                <w:rFonts w:ascii="Palatino Linotype" w:hAnsi="Palatino Linotype" w:cstheme="majorBidi"/>
                <w:b w:val="0"/>
                <w:sz w:val="22"/>
                <w:szCs w:val="20"/>
              </w:rPr>
              <w:t>a) Requisitos previos.</w:t>
            </w:r>
          </w:p>
        </w:tc>
        <w:tc>
          <w:tcPr>
            <w:tcW w:w="6990" w:type="dxa"/>
          </w:tcPr>
          <w:p w:rsidR="008F6D66" w:rsidRPr="00A369A0" w:rsidRDefault="008F6D66" w:rsidP="006359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Los artículos 100 y 122 de la Ley Estatal y de la Ley General, respectivamente, señalan que si los </w:t>
            </w:r>
            <w:r w:rsidRPr="00A369A0">
              <w:rPr>
                <w:rFonts w:ascii="Palatino Linotype" w:hAnsi="Palatino Linotype" w:cs="Arial"/>
                <w:b w:val="0"/>
                <w:color w:val="000000"/>
                <w:sz w:val="22"/>
                <w:szCs w:val="20"/>
              </w:rPr>
              <w:t>Sujetos Obligados</w:t>
            </w:r>
            <w:r w:rsidRPr="00A369A0">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8F6D66" w:rsidRPr="00A369A0" w:rsidRDefault="008F6D66" w:rsidP="006359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Al hacerlo tienen que precisar de qué información se trata, señalando el supuesto de clasificación (confidencialidad o reserva).</w:t>
            </w:r>
          </w:p>
          <w:p w:rsidR="008F6D66" w:rsidRPr="00A369A0" w:rsidRDefault="008F6D66" w:rsidP="006359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lastRenderedPageBreak/>
              <w:t>Además, se debe señalar el procedimiento, de los tres que establecen los artículos 132 y 106 de la Ley Estatal y General, respectivamente.</w:t>
            </w:r>
          </w:p>
          <w:p w:rsidR="008F6D66" w:rsidRPr="00A369A0" w:rsidRDefault="008F6D66" w:rsidP="006359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A369A0">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A369A0">
              <w:rPr>
                <w:rFonts w:ascii="Palatino Linotype" w:hAnsi="Palatino Linotype" w:cs="Arial"/>
                <w:b w:val="0"/>
                <w:color w:val="000000"/>
                <w:sz w:val="22"/>
                <w:szCs w:val="20"/>
                <w:u w:val="single"/>
              </w:rPr>
              <w:t>no se puede hacer un acuerdo para clasificar de manera general todos los documentos de un expediente o área</w:t>
            </w:r>
            <w:proofErr w:type="gramStart"/>
            <w:r w:rsidRPr="00A369A0">
              <w:rPr>
                <w:rFonts w:ascii="Palatino Linotype" w:hAnsi="Palatino Linotype" w:cs="Arial"/>
                <w:b w:val="0"/>
                <w:color w:val="000000"/>
                <w:sz w:val="22"/>
                <w:szCs w:val="20"/>
                <w:u w:val="single"/>
              </w:rPr>
              <w:t xml:space="preserve">,  </w:t>
            </w:r>
            <w:r w:rsidRPr="00A369A0">
              <w:rPr>
                <w:rFonts w:ascii="Palatino Linotype" w:hAnsi="Palatino Linotype" w:cs="Arial"/>
                <w:color w:val="000000"/>
                <w:sz w:val="22"/>
                <w:szCs w:val="20"/>
              </w:rPr>
              <w:t>sin</w:t>
            </w:r>
            <w:proofErr w:type="gramEnd"/>
            <w:r w:rsidRPr="00A369A0">
              <w:rPr>
                <w:rFonts w:ascii="Palatino Linotype" w:hAnsi="Palatino Linotype" w:cs="Arial"/>
                <w:color w:val="000000"/>
                <w:sz w:val="22"/>
                <w:szCs w:val="20"/>
              </w:rPr>
              <w:t xml:space="preserve"> individualizar su análisis y tampoco se puede hacer un acuerdo por cada dato que se vaya a clasificar dentro de un documento con diez datos, por ejemplo, susceptibles de ser clasificados.</w:t>
            </w:r>
          </w:p>
        </w:tc>
      </w:tr>
      <w:tr w:rsidR="008F6D66" w:rsidRPr="00A369A0" w:rsidTr="0063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F6D66" w:rsidRPr="00A369A0" w:rsidRDefault="008F6D66" w:rsidP="006359A2">
            <w:pPr>
              <w:spacing w:line="360" w:lineRule="auto"/>
              <w:rPr>
                <w:rFonts w:ascii="Palatino Linotype" w:hAnsi="Palatino Linotype"/>
                <w:sz w:val="22"/>
                <w:szCs w:val="20"/>
              </w:rPr>
            </w:pPr>
            <w:r w:rsidRPr="00A369A0">
              <w:rPr>
                <w:rFonts w:ascii="Palatino Linotype" w:hAnsi="Palatino Linotype" w:cstheme="majorBidi"/>
                <w:b w:val="0"/>
                <w:sz w:val="22"/>
                <w:szCs w:val="20"/>
              </w:rPr>
              <w:lastRenderedPageBreak/>
              <w:t>b) Supuestos de clasificación.</w:t>
            </w:r>
          </w:p>
        </w:tc>
        <w:tc>
          <w:tcPr>
            <w:tcW w:w="6990" w:type="dxa"/>
          </w:tcPr>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F6D66" w:rsidRPr="00A369A0" w:rsidRDefault="008F6D66" w:rsidP="006359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A369A0">
              <w:rPr>
                <w:rFonts w:ascii="Palatino Linotype" w:hAnsi="Palatino Linotype" w:cs="Arial"/>
                <w:color w:val="000000"/>
                <w:sz w:val="22"/>
                <w:szCs w:val="20"/>
              </w:rPr>
              <w:t xml:space="preserve">El </w:t>
            </w:r>
            <w:r w:rsidRPr="00A369A0">
              <w:rPr>
                <w:rFonts w:ascii="Palatino Linotype" w:hAnsi="Palatino Linotype" w:cs="Arial"/>
                <w:b/>
                <w:color w:val="000000"/>
                <w:sz w:val="22"/>
                <w:szCs w:val="20"/>
              </w:rPr>
              <w:t>SUJETO OBLIGADO</w:t>
            </w:r>
            <w:r w:rsidRPr="00A369A0">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6D66" w:rsidRPr="00A369A0" w:rsidTr="006359A2">
        <w:tc>
          <w:tcPr>
            <w:cnfStyle w:val="001000000000" w:firstRow="0" w:lastRow="0" w:firstColumn="1" w:lastColumn="0" w:oddVBand="0" w:evenVBand="0" w:oddHBand="0" w:evenHBand="0" w:firstRowFirstColumn="0" w:firstRowLastColumn="0" w:lastRowFirstColumn="0" w:lastRowLastColumn="0"/>
            <w:tcW w:w="1838" w:type="dxa"/>
          </w:tcPr>
          <w:p w:rsidR="008F6D66" w:rsidRPr="00A369A0" w:rsidRDefault="008F6D66" w:rsidP="006359A2">
            <w:pPr>
              <w:spacing w:line="360" w:lineRule="auto"/>
              <w:rPr>
                <w:rFonts w:ascii="Palatino Linotype" w:hAnsi="Palatino Linotype"/>
                <w:sz w:val="22"/>
                <w:szCs w:val="20"/>
              </w:rPr>
            </w:pPr>
            <w:r w:rsidRPr="00A369A0">
              <w:rPr>
                <w:rFonts w:ascii="Palatino Linotype" w:hAnsi="Palatino Linotype" w:cstheme="majorBidi"/>
                <w:b w:val="0"/>
                <w:sz w:val="22"/>
                <w:szCs w:val="20"/>
              </w:rPr>
              <w:lastRenderedPageBreak/>
              <w:t>c) Formalidades para emitir el acuerdo de clasificación.</w:t>
            </w:r>
          </w:p>
        </w:tc>
        <w:tc>
          <w:tcPr>
            <w:tcW w:w="6990" w:type="dxa"/>
          </w:tcPr>
          <w:p w:rsidR="008F6D66" w:rsidRPr="00A369A0" w:rsidRDefault="008F6D66" w:rsidP="006359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8F6D66" w:rsidRPr="00A369A0" w:rsidRDefault="008F6D66" w:rsidP="006359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Es necesario que </w:t>
            </w:r>
            <w:r w:rsidRPr="00A369A0">
              <w:rPr>
                <w:rFonts w:ascii="Palatino Linotype" w:hAnsi="Palatino Linotype" w:cs="Arial"/>
                <w:b/>
                <w:color w:val="000000"/>
                <w:sz w:val="22"/>
                <w:szCs w:val="20"/>
                <w:u w:val="single"/>
              </w:rPr>
              <w:t>el acto reúna con los requisitos elementales</w:t>
            </w:r>
            <w:r w:rsidRPr="00A369A0">
              <w:rPr>
                <w:rFonts w:ascii="Palatino Linotype" w:hAnsi="Palatino Linotype" w:cs="Arial"/>
                <w:color w:val="000000"/>
                <w:sz w:val="22"/>
                <w:szCs w:val="20"/>
              </w:rPr>
              <w:t>, entre ellos, que la autoridad que va a emitir el acto de autoridad sea la legalmente facultada para ello.</w:t>
            </w:r>
          </w:p>
          <w:p w:rsidR="008F6D66" w:rsidRPr="00A369A0" w:rsidRDefault="008F6D66" w:rsidP="006359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A369A0">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F6D66" w:rsidRPr="00A369A0" w:rsidTr="0063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F6D66" w:rsidRPr="00A369A0" w:rsidRDefault="008F6D66" w:rsidP="006359A2">
            <w:pPr>
              <w:spacing w:line="360" w:lineRule="auto"/>
              <w:rPr>
                <w:rFonts w:ascii="Palatino Linotype" w:hAnsi="Palatino Linotype"/>
                <w:b w:val="0"/>
                <w:sz w:val="22"/>
                <w:szCs w:val="20"/>
              </w:rPr>
            </w:pPr>
          </w:p>
          <w:p w:rsidR="008F6D66" w:rsidRPr="00A369A0" w:rsidRDefault="008F6D66" w:rsidP="006359A2">
            <w:pPr>
              <w:spacing w:line="360" w:lineRule="auto"/>
              <w:jc w:val="both"/>
              <w:rPr>
                <w:rFonts w:ascii="Palatino Linotype" w:hAnsi="Palatino Linotype"/>
                <w:b w:val="0"/>
                <w:sz w:val="22"/>
                <w:szCs w:val="20"/>
              </w:rPr>
            </w:pPr>
            <w:r w:rsidRPr="00A369A0">
              <w:rPr>
                <w:rFonts w:ascii="Palatino Linotype" w:hAnsi="Palatino Linotype" w:cs="Arial"/>
                <w:b w:val="0"/>
                <w:color w:val="000000"/>
                <w:sz w:val="22"/>
                <w:szCs w:val="20"/>
              </w:rPr>
              <w:t xml:space="preserve">d) Requisitos de fondo del acuerdo de clasificación. </w:t>
            </w:r>
          </w:p>
        </w:tc>
        <w:tc>
          <w:tcPr>
            <w:tcW w:w="6990" w:type="dxa"/>
          </w:tcPr>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369A0">
              <w:rPr>
                <w:rFonts w:ascii="Palatino Linotype" w:hAnsi="Palatino Linotype" w:cs="Arial"/>
                <w:b/>
                <w:color w:val="000000"/>
                <w:sz w:val="22"/>
                <w:szCs w:val="20"/>
              </w:rPr>
              <w:t>Sujetos Obligados</w:t>
            </w:r>
            <w:r w:rsidRPr="00A369A0">
              <w:rPr>
                <w:rFonts w:ascii="Palatino Linotype" w:hAnsi="Palatino Linotype" w:cs="Arial"/>
                <w:color w:val="000000"/>
                <w:sz w:val="22"/>
                <w:szCs w:val="20"/>
              </w:rPr>
              <w:t xml:space="preserve">, por lo que deberán fundar y motivar debidamente la clasificación. </w:t>
            </w:r>
          </w:p>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De lo anterior, se desprende que para una correcta </w:t>
            </w:r>
            <w:r w:rsidRPr="00A369A0">
              <w:rPr>
                <w:rFonts w:ascii="Palatino Linotype" w:hAnsi="Palatino Linotype" w:cs="Arial"/>
                <w:b/>
                <w:color w:val="000000"/>
                <w:sz w:val="22"/>
                <w:szCs w:val="20"/>
              </w:rPr>
              <w:t>clasificación total o parcial</w:t>
            </w:r>
            <w:r w:rsidRPr="00A369A0">
              <w:rPr>
                <w:rFonts w:ascii="Palatino Linotype" w:hAnsi="Palatino Linotype" w:cs="Arial"/>
                <w:color w:val="000000"/>
                <w:sz w:val="22"/>
                <w:szCs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A369A0">
              <w:rPr>
                <w:rFonts w:ascii="Palatino Linotype" w:hAnsi="Palatino Linotype" w:cs="Arial"/>
                <w:color w:val="000000"/>
                <w:sz w:val="22"/>
                <w:szCs w:val="20"/>
              </w:rPr>
              <w:lastRenderedPageBreak/>
              <w:t>fundamentos legales que le dieron origen y las razones por las que se deben aplicar al caso concreto.</w:t>
            </w:r>
          </w:p>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8F6D66" w:rsidRPr="00A369A0" w:rsidRDefault="008F6D66" w:rsidP="006359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Ahora bien, </w:t>
            </w:r>
            <w:r w:rsidRPr="00A369A0">
              <w:rPr>
                <w:rFonts w:ascii="Palatino Linotype" w:hAnsi="Palatino Linotype" w:cs="Arial"/>
                <w:b/>
                <w:color w:val="000000"/>
                <w:sz w:val="22"/>
                <w:szCs w:val="20"/>
                <w:u w:val="single"/>
              </w:rPr>
              <w:t>para cada caso además de fundar y motivar</w:t>
            </w:r>
            <w:r w:rsidRPr="00A369A0">
              <w:rPr>
                <w:rFonts w:ascii="Palatino Linotype" w:hAnsi="Palatino Linotype" w:cs="Arial"/>
                <w:color w:val="000000"/>
                <w:sz w:val="22"/>
                <w:szCs w:val="20"/>
              </w:rPr>
              <w:t xml:space="preserve">, se debe identificar con claridad que datos contenidos en las documentales que son susceptibles de suprimirse, por ejemplo; </w:t>
            </w:r>
            <w:r w:rsidRPr="00A369A0">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F6D66" w:rsidRPr="00A369A0" w:rsidTr="006359A2">
        <w:tc>
          <w:tcPr>
            <w:cnfStyle w:val="001000000000" w:firstRow="0" w:lastRow="0" w:firstColumn="1" w:lastColumn="0" w:oddVBand="0" w:evenVBand="0" w:oddHBand="0" w:evenHBand="0" w:firstRowFirstColumn="0" w:firstRowLastColumn="0" w:lastRowFirstColumn="0" w:lastRowLastColumn="0"/>
            <w:tcW w:w="1838" w:type="dxa"/>
          </w:tcPr>
          <w:p w:rsidR="008F6D66" w:rsidRPr="00A369A0" w:rsidRDefault="008F6D66" w:rsidP="006359A2">
            <w:pPr>
              <w:spacing w:line="360" w:lineRule="auto"/>
              <w:ind w:right="49"/>
              <w:jc w:val="both"/>
              <w:rPr>
                <w:rFonts w:ascii="Palatino Linotype" w:hAnsi="Palatino Linotype" w:cs="Arial"/>
                <w:color w:val="000000"/>
                <w:sz w:val="22"/>
                <w:szCs w:val="20"/>
              </w:rPr>
            </w:pPr>
            <w:r w:rsidRPr="00A369A0">
              <w:rPr>
                <w:rFonts w:ascii="Palatino Linotype" w:eastAsia="MS Gothic" w:hAnsi="Palatino Linotype"/>
                <w:b w:val="0"/>
                <w:sz w:val="22"/>
                <w:szCs w:val="20"/>
              </w:rPr>
              <w:lastRenderedPageBreak/>
              <w:t xml:space="preserve">e) Condiciones especiales de la clasificación de la información como confidencial. </w:t>
            </w:r>
          </w:p>
          <w:p w:rsidR="008F6D66" w:rsidRPr="00A369A0" w:rsidRDefault="008F6D66" w:rsidP="006359A2">
            <w:pPr>
              <w:spacing w:line="360" w:lineRule="auto"/>
              <w:rPr>
                <w:rFonts w:ascii="Palatino Linotype" w:hAnsi="Palatino Linotype"/>
                <w:sz w:val="22"/>
                <w:szCs w:val="20"/>
              </w:rPr>
            </w:pPr>
          </w:p>
        </w:tc>
        <w:tc>
          <w:tcPr>
            <w:tcW w:w="6990" w:type="dxa"/>
          </w:tcPr>
          <w:p w:rsidR="008F6D66" w:rsidRPr="00A369A0" w:rsidRDefault="008F6D66" w:rsidP="006359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8F6D66" w:rsidRPr="00A369A0" w:rsidRDefault="008F6D66" w:rsidP="006359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369A0">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w:t>
            </w:r>
            <w:r w:rsidRPr="00A369A0">
              <w:rPr>
                <w:rFonts w:ascii="Palatino Linotype" w:hAnsi="Palatino Linotype" w:cs="Arial"/>
                <w:color w:val="000000"/>
                <w:sz w:val="22"/>
                <w:szCs w:val="20"/>
              </w:rPr>
              <w:lastRenderedPageBreak/>
              <w:t xml:space="preserve">los servidores públicos nos encontramos sujetos a un régimen menor de protección. </w:t>
            </w:r>
          </w:p>
          <w:p w:rsidR="008F6D66" w:rsidRPr="00A369A0" w:rsidRDefault="008F6D66" w:rsidP="006359A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A369A0">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F6D66" w:rsidRPr="00A369A0" w:rsidRDefault="008F6D66" w:rsidP="008F6D66">
      <w:pPr>
        <w:pStyle w:val="Prrafodelista"/>
        <w:spacing w:line="360" w:lineRule="auto"/>
        <w:ind w:left="0"/>
        <w:jc w:val="both"/>
        <w:rPr>
          <w:rFonts w:ascii="Palatino Linotype" w:hAnsi="Palatino Linotype" w:cs="Arial"/>
          <w:bCs/>
          <w:iCs/>
          <w:color w:val="000000" w:themeColor="text1"/>
          <w:sz w:val="24"/>
        </w:rPr>
      </w:pPr>
    </w:p>
    <w:bookmarkEnd w:id="23"/>
    <w:bookmarkEnd w:id="24"/>
    <w:p w:rsidR="00B063B3" w:rsidRPr="00A369A0" w:rsidRDefault="00B063B3" w:rsidP="00B063B3">
      <w:pPr>
        <w:pStyle w:val="Prrafodelista"/>
        <w:shd w:val="clear" w:color="auto" w:fill="FFFFFF"/>
        <w:spacing w:line="360" w:lineRule="auto"/>
        <w:ind w:left="0"/>
        <w:jc w:val="both"/>
        <w:rPr>
          <w:rFonts w:ascii="Palatino Linotype" w:hAnsi="Palatino Linotype" w:cs="Arial"/>
          <w:sz w:val="24"/>
        </w:rPr>
      </w:pPr>
    </w:p>
    <w:p w:rsidR="00B063B3" w:rsidRPr="00A369A0" w:rsidRDefault="00B063B3" w:rsidP="00B063B3">
      <w:pPr>
        <w:pStyle w:val="Sinespaciado"/>
        <w:numPr>
          <w:ilvl w:val="0"/>
          <w:numId w:val="1"/>
        </w:numPr>
        <w:spacing w:line="360" w:lineRule="auto"/>
        <w:ind w:left="0" w:firstLine="0"/>
        <w:contextualSpacing/>
        <w:jc w:val="both"/>
        <w:rPr>
          <w:rFonts w:ascii="Palatino Linotype" w:eastAsia="Calibri" w:hAnsi="Palatino Linotype"/>
          <w:sz w:val="24"/>
        </w:rPr>
      </w:pPr>
      <w:r w:rsidRPr="00A369A0">
        <w:rPr>
          <w:rFonts w:ascii="Palatino Linotype" w:eastAsia="Calibri" w:hAnsi="Palatino Linotype"/>
          <w:sz w:val="24"/>
        </w:rPr>
        <w:t xml:space="preserve">Por lo anteriormente expuesto y fundado, este </w:t>
      </w:r>
      <w:r w:rsidRPr="00A369A0">
        <w:rPr>
          <w:rFonts w:ascii="Palatino Linotype" w:eastAsia="Calibri" w:hAnsi="Palatino Linotype"/>
          <w:b/>
          <w:bCs/>
          <w:sz w:val="24"/>
        </w:rPr>
        <w:t>ÓRGANO GARANTE</w:t>
      </w:r>
      <w:r w:rsidRPr="00A369A0">
        <w:rPr>
          <w:rFonts w:ascii="Palatino Linotype" w:eastAsia="Calibri" w:hAnsi="Palatino Linotype"/>
          <w:sz w:val="24"/>
        </w:rPr>
        <w:t xml:space="preserve"> emite los siguientes:</w:t>
      </w:r>
    </w:p>
    <w:p w:rsidR="00B063B3" w:rsidRPr="00A369A0" w:rsidRDefault="00B063B3" w:rsidP="00B063B3">
      <w:pPr>
        <w:pStyle w:val="Sinespaciado"/>
        <w:spacing w:line="360" w:lineRule="auto"/>
        <w:contextualSpacing/>
        <w:jc w:val="both"/>
        <w:rPr>
          <w:rFonts w:ascii="Palatino Linotype" w:eastAsia="Calibri" w:hAnsi="Palatino Linotype"/>
          <w:sz w:val="24"/>
        </w:rPr>
      </w:pPr>
    </w:p>
    <w:p w:rsidR="00B063B3" w:rsidRPr="00A369A0" w:rsidRDefault="00B063B3" w:rsidP="00B063B3">
      <w:pPr>
        <w:pStyle w:val="Sinespaciado"/>
        <w:spacing w:line="360" w:lineRule="auto"/>
        <w:contextualSpacing/>
        <w:jc w:val="both"/>
        <w:rPr>
          <w:rFonts w:ascii="Palatino Linotype" w:eastAsia="Calibri" w:hAnsi="Palatino Linotype"/>
          <w:sz w:val="24"/>
        </w:rPr>
      </w:pPr>
    </w:p>
    <w:p w:rsidR="00B063B3" w:rsidRPr="00A369A0" w:rsidRDefault="00B063B3" w:rsidP="00B063B3">
      <w:pPr>
        <w:pStyle w:val="Sinespaciado"/>
        <w:spacing w:line="360" w:lineRule="auto"/>
        <w:contextualSpacing/>
        <w:jc w:val="both"/>
        <w:rPr>
          <w:rFonts w:ascii="Palatino Linotype" w:eastAsia="Calibri" w:hAnsi="Palatino Linotype"/>
          <w:sz w:val="24"/>
        </w:rPr>
      </w:pPr>
    </w:p>
    <w:p w:rsidR="00B063B3" w:rsidRPr="00A369A0" w:rsidRDefault="00B063B3" w:rsidP="00B063B3">
      <w:pPr>
        <w:pStyle w:val="Sinespaciado"/>
        <w:spacing w:line="360" w:lineRule="auto"/>
        <w:contextualSpacing/>
        <w:jc w:val="both"/>
        <w:rPr>
          <w:rFonts w:ascii="Palatino Linotype" w:eastAsia="Calibri" w:hAnsi="Palatino Linotype"/>
          <w:sz w:val="24"/>
        </w:rPr>
      </w:pPr>
    </w:p>
    <w:p w:rsidR="00B063B3" w:rsidRPr="00A369A0" w:rsidRDefault="00B063B3" w:rsidP="00B063B3">
      <w:pPr>
        <w:spacing w:line="360" w:lineRule="auto"/>
        <w:contextualSpacing/>
        <w:jc w:val="both"/>
        <w:rPr>
          <w:rFonts w:ascii="Palatino Linotype" w:eastAsia="Calibri" w:hAnsi="Palatino Linotype"/>
        </w:rPr>
      </w:pPr>
    </w:p>
    <w:p w:rsidR="00B063B3" w:rsidRPr="00A369A0" w:rsidRDefault="00B063B3" w:rsidP="00B063B3">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7" w:name="_Toc528153792"/>
      <w:bookmarkStart w:id="28" w:name="_Toc71158406"/>
      <w:bookmarkStart w:id="29" w:name="_Toc83301643"/>
      <w:r w:rsidRPr="00A369A0">
        <w:rPr>
          <w:rFonts w:ascii="Palatino Linotype" w:eastAsiaTheme="majorEastAsia" w:hAnsi="Palatino Linotype" w:cstheme="majorBidi"/>
          <w:b/>
          <w:color w:val="000000" w:themeColor="text1"/>
          <w:lang w:eastAsia="en-US"/>
        </w:rPr>
        <w:t>R E S O L U T I V O S</w:t>
      </w:r>
      <w:bookmarkEnd w:id="27"/>
      <w:bookmarkEnd w:id="28"/>
      <w:bookmarkEnd w:id="29"/>
    </w:p>
    <w:p w:rsidR="00B063B3" w:rsidRPr="00A369A0" w:rsidRDefault="00B063B3" w:rsidP="00B063B3">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B063B3" w:rsidRPr="00A369A0" w:rsidRDefault="00B063B3" w:rsidP="00B063B3">
      <w:pPr>
        <w:spacing w:line="360" w:lineRule="auto"/>
        <w:ind w:right="48"/>
        <w:jc w:val="both"/>
        <w:rPr>
          <w:rFonts w:ascii="Palatino Linotype" w:hAnsi="Palatino Linotype" w:cs="Arial"/>
          <w:bCs/>
        </w:rPr>
      </w:pPr>
      <w:r w:rsidRPr="00A369A0">
        <w:rPr>
          <w:rFonts w:ascii="Palatino Linotype" w:hAnsi="Palatino Linotype" w:cs="Arial"/>
          <w:b/>
        </w:rPr>
        <w:t xml:space="preserve">PRIMERO. </w:t>
      </w:r>
      <w:r w:rsidRPr="00A369A0">
        <w:rPr>
          <w:rFonts w:ascii="Palatino Linotype" w:hAnsi="Palatino Linotype" w:cs="Arial"/>
        </w:rPr>
        <w:t>Resultan fundadas las</w:t>
      </w:r>
      <w:r w:rsidRPr="00A369A0">
        <w:rPr>
          <w:rFonts w:ascii="Palatino Linotype" w:hAnsi="Palatino Linotype" w:cs="Arial"/>
          <w:b/>
        </w:rPr>
        <w:t xml:space="preserve"> </w:t>
      </w:r>
      <w:r w:rsidRPr="00A369A0">
        <w:rPr>
          <w:rFonts w:ascii="Palatino Linotype" w:hAnsi="Palatino Linotype" w:cs="Arial"/>
          <w:lang w:val="es-ES"/>
        </w:rPr>
        <w:t xml:space="preserve">razones o motivos de inconformidad hechos valer </w:t>
      </w:r>
      <w:r w:rsidRPr="00A369A0">
        <w:rPr>
          <w:rFonts w:ascii="Palatino Linotype" w:eastAsia="Calibri" w:hAnsi="Palatino Linotype" w:cs="Arial"/>
          <w:lang w:val="es-ES"/>
        </w:rPr>
        <w:t xml:space="preserve">en el recurso de revisión </w:t>
      </w:r>
      <w:r w:rsidR="0027133A" w:rsidRPr="00A369A0">
        <w:rPr>
          <w:rFonts w:ascii="Palatino Linotype" w:hAnsi="Palatino Linotype" w:cs="Arial"/>
          <w:b/>
          <w:bCs/>
        </w:rPr>
        <w:t>00753/INFOEM/IP/RR/2023</w:t>
      </w:r>
      <w:r w:rsidRPr="00A369A0">
        <w:rPr>
          <w:rFonts w:ascii="Palatino Linotype" w:hAnsi="Palatino Linotype" w:cs="Arial"/>
          <w:b/>
          <w:bCs/>
        </w:rPr>
        <w:t xml:space="preserve">, </w:t>
      </w:r>
      <w:r w:rsidRPr="00A369A0">
        <w:rPr>
          <w:rFonts w:ascii="Palatino Linotype" w:hAnsi="Palatino Linotype" w:cs="Arial"/>
          <w:bCs/>
        </w:rPr>
        <w:t xml:space="preserve">en términos del </w:t>
      </w:r>
      <w:r w:rsidRPr="00A369A0">
        <w:rPr>
          <w:rFonts w:ascii="Palatino Linotype" w:hAnsi="Palatino Linotype" w:cs="Arial"/>
          <w:b/>
          <w:bCs/>
        </w:rPr>
        <w:t>Considerando</w:t>
      </w:r>
      <w:r w:rsidRPr="00A369A0">
        <w:rPr>
          <w:rFonts w:ascii="Palatino Linotype" w:hAnsi="Palatino Linotype" w:cs="Arial"/>
          <w:bCs/>
        </w:rPr>
        <w:t xml:space="preserve"> </w:t>
      </w:r>
      <w:r w:rsidRPr="00A369A0">
        <w:rPr>
          <w:rFonts w:ascii="Palatino Linotype" w:hAnsi="Palatino Linotype" w:cs="Arial"/>
          <w:b/>
          <w:bCs/>
        </w:rPr>
        <w:t xml:space="preserve">CUARTO </w:t>
      </w:r>
      <w:r w:rsidRPr="00A369A0">
        <w:rPr>
          <w:rFonts w:ascii="Palatino Linotype" w:hAnsi="Palatino Linotype" w:cs="Arial"/>
          <w:bCs/>
        </w:rPr>
        <w:t>de la presente resolución.</w:t>
      </w:r>
    </w:p>
    <w:p w:rsidR="00B063B3" w:rsidRPr="00A369A0" w:rsidRDefault="00B063B3" w:rsidP="00B063B3">
      <w:pPr>
        <w:spacing w:line="360" w:lineRule="auto"/>
        <w:ind w:right="48"/>
        <w:jc w:val="both"/>
        <w:rPr>
          <w:rFonts w:ascii="Palatino Linotype" w:hAnsi="Palatino Linotype" w:cs="Arial"/>
          <w:bCs/>
        </w:rPr>
      </w:pPr>
    </w:p>
    <w:p w:rsidR="00B063B3" w:rsidRPr="00A369A0" w:rsidRDefault="00B063B3" w:rsidP="00B063B3">
      <w:pPr>
        <w:spacing w:line="360" w:lineRule="auto"/>
        <w:ind w:right="48"/>
        <w:jc w:val="both"/>
        <w:rPr>
          <w:rFonts w:ascii="Palatino Linotype" w:hAnsi="Palatino Linotype" w:cs="Arial"/>
          <w:bC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A369A0">
        <w:rPr>
          <w:rFonts w:ascii="Palatino Linotype" w:hAnsi="Palatino Linotype"/>
          <w:b/>
        </w:rPr>
        <w:t>SEGUNDO.</w:t>
      </w:r>
      <w:r w:rsidRPr="00A369A0">
        <w:rPr>
          <w:rStyle w:val="Ttulo2Car"/>
          <w:rFonts w:ascii="Palatino Linotype" w:hAnsi="Palatino Linotype"/>
          <w:sz w:val="28"/>
        </w:rPr>
        <w:t xml:space="preserve"> </w:t>
      </w:r>
      <w:bookmarkEnd w:id="30"/>
      <w:bookmarkEnd w:id="31"/>
      <w:bookmarkEnd w:id="32"/>
      <w:bookmarkEnd w:id="33"/>
      <w:bookmarkEnd w:id="34"/>
      <w:bookmarkEnd w:id="35"/>
      <w:bookmarkEnd w:id="36"/>
      <w:r w:rsidRPr="00A369A0">
        <w:rPr>
          <w:rFonts w:ascii="Palatino Linotype" w:eastAsia="Calibri" w:hAnsi="Palatino Linotype" w:cs="Arial"/>
          <w:lang w:val="es-ES"/>
        </w:rPr>
        <w:t>Se</w:t>
      </w:r>
      <w:r w:rsidRPr="00A369A0">
        <w:rPr>
          <w:rFonts w:ascii="Palatino Linotype" w:eastAsia="Calibri" w:hAnsi="Palatino Linotype" w:cs="Arial"/>
          <w:b/>
          <w:lang w:val="es-ES"/>
        </w:rPr>
        <w:t xml:space="preserve"> REVOCA </w:t>
      </w:r>
      <w:r w:rsidRPr="00A369A0">
        <w:rPr>
          <w:rFonts w:ascii="Palatino Linotype" w:eastAsia="Calibri" w:hAnsi="Palatino Linotype" w:cs="Arial"/>
          <w:lang w:val="es-ES"/>
        </w:rPr>
        <w:t xml:space="preserve">la respuesta emitida por el </w:t>
      </w:r>
      <w:r w:rsidRPr="00A369A0">
        <w:rPr>
          <w:rFonts w:ascii="Palatino Linotype" w:hAnsi="Palatino Linotype" w:cs="Arial"/>
          <w:b/>
        </w:rPr>
        <w:t xml:space="preserve">Ayuntamiento de </w:t>
      </w:r>
      <w:r w:rsidR="0027133A" w:rsidRPr="00A369A0">
        <w:rPr>
          <w:rFonts w:ascii="Palatino Linotype" w:hAnsi="Palatino Linotype" w:cs="Arial"/>
          <w:b/>
        </w:rPr>
        <w:t>Zinacantepec</w:t>
      </w:r>
      <w:r w:rsidRPr="00A369A0">
        <w:rPr>
          <w:rFonts w:ascii="Palatino Linotype" w:hAnsi="Palatino Linotype" w:cs="Arial"/>
          <w:b/>
        </w:rPr>
        <w:t xml:space="preserve"> </w:t>
      </w:r>
      <w:r w:rsidRPr="00A369A0">
        <w:rPr>
          <w:rFonts w:ascii="Palatino Linotype" w:eastAsia="Calibri" w:hAnsi="Palatino Linotype" w:cs="Arial"/>
          <w:lang w:val="es-ES"/>
        </w:rPr>
        <w:t>y se</w:t>
      </w:r>
      <w:r w:rsidRPr="00A369A0">
        <w:rPr>
          <w:rFonts w:ascii="Palatino Linotype" w:eastAsia="Calibri" w:hAnsi="Palatino Linotype" w:cs="Arial"/>
          <w:b/>
          <w:lang w:val="es-ES"/>
        </w:rPr>
        <w:t xml:space="preserve"> ORDENA </w:t>
      </w:r>
      <w:r w:rsidRPr="00A369A0">
        <w:rPr>
          <w:rFonts w:ascii="Palatino Linotype" w:hAnsi="Palatino Linotype" w:cs="Arial"/>
          <w:lang w:val="es-ES"/>
        </w:rPr>
        <w:t>entregar vía Sistema de Accesos a la I</w:t>
      </w:r>
      <w:r w:rsidR="0027133A" w:rsidRPr="00A369A0">
        <w:rPr>
          <w:rFonts w:ascii="Palatino Linotype" w:hAnsi="Palatino Linotype" w:cs="Arial"/>
          <w:lang w:val="es-ES"/>
        </w:rPr>
        <w:t xml:space="preserve">nformación Mexiquense </w:t>
      </w:r>
      <w:r w:rsidR="0027133A" w:rsidRPr="00A369A0">
        <w:rPr>
          <w:rFonts w:ascii="Palatino Linotype" w:hAnsi="Palatino Linotype" w:cs="Arial"/>
          <w:lang w:val="es-ES"/>
        </w:rPr>
        <w:lastRenderedPageBreak/>
        <w:t>(SAIMEX)</w:t>
      </w:r>
      <w:proofErr w:type="gramStart"/>
      <w:r w:rsidRPr="00A369A0">
        <w:rPr>
          <w:rFonts w:ascii="Palatino Linotype" w:hAnsi="Palatino Linotype" w:cs="Arial"/>
          <w:lang w:val="es-ES"/>
        </w:rPr>
        <w:t>,</w:t>
      </w:r>
      <w:r w:rsidR="008F6D66" w:rsidRPr="00A369A0">
        <w:rPr>
          <w:rFonts w:ascii="Palatino Linotype" w:hAnsi="Palatino Linotype" w:cs="Arial"/>
          <w:lang w:val="es-ES"/>
        </w:rPr>
        <w:t xml:space="preserve"> </w:t>
      </w:r>
      <w:r w:rsidRPr="00A369A0">
        <w:rPr>
          <w:rFonts w:ascii="Palatino Linotype" w:hAnsi="Palatino Linotype" w:cs="Arial"/>
          <w:lang w:val="es-ES"/>
        </w:rPr>
        <w:t xml:space="preserve"> </w:t>
      </w:r>
      <w:r w:rsidR="008F6D66" w:rsidRPr="00A369A0">
        <w:rPr>
          <w:rFonts w:ascii="Palatino Linotype" w:hAnsi="Palatino Linotype" w:cs="Arial"/>
          <w:lang w:val="es-ES"/>
        </w:rPr>
        <w:t>en</w:t>
      </w:r>
      <w:proofErr w:type="gramEnd"/>
      <w:r w:rsidR="008F6D66" w:rsidRPr="00A369A0">
        <w:rPr>
          <w:rFonts w:ascii="Palatino Linotype" w:hAnsi="Palatino Linotype" w:cs="Arial"/>
          <w:lang w:val="es-ES"/>
        </w:rPr>
        <w:t xml:space="preserve"> versión pública, referente al mes de diciembre de dos mil veintidós, </w:t>
      </w:r>
      <w:r w:rsidRPr="00A369A0">
        <w:rPr>
          <w:rFonts w:ascii="Palatino Linotype" w:hAnsi="Palatino Linotype" w:cs="Arial"/>
          <w:lang w:val="es-ES"/>
        </w:rPr>
        <w:t xml:space="preserve">la siguiente </w:t>
      </w:r>
      <w:r w:rsidRPr="00A369A0">
        <w:rPr>
          <w:rFonts w:ascii="Palatino Linotype" w:hAnsi="Palatino Linotype" w:cs="Arial"/>
          <w:bCs/>
        </w:rPr>
        <w:t>información:</w:t>
      </w:r>
    </w:p>
    <w:p w:rsidR="00B063B3" w:rsidRPr="00A369A0" w:rsidRDefault="00B063B3" w:rsidP="00B063B3">
      <w:pPr>
        <w:spacing w:line="360" w:lineRule="auto"/>
        <w:ind w:right="48"/>
        <w:jc w:val="both"/>
        <w:rPr>
          <w:rFonts w:ascii="Palatino Linotype" w:hAnsi="Palatino Linotype" w:cs="Arial"/>
          <w:b/>
          <w:bCs/>
          <w:sz w:val="28"/>
        </w:rPr>
      </w:pPr>
    </w:p>
    <w:p w:rsidR="008F6D66" w:rsidRPr="00A369A0" w:rsidRDefault="008F6D66" w:rsidP="0027133A">
      <w:pPr>
        <w:pStyle w:val="Prrafodelista"/>
        <w:numPr>
          <w:ilvl w:val="3"/>
          <w:numId w:val="4"/>
        </w:numPr>
        <w:spacing w:line="360" w:lineRule="auto"/>
        <w:ind w:left="851" w:right="822" w:firstLine="0"/>
        <w:jc w:val="both"/>
        <w:rPr>
          <w:rFonts w:ascii="Palatino Linotype" w:eastAsia="Palatino Linotype" w:hAnsi="Palatino Linotype" w:cs="Palatino Linotype"/>
          <w:b/>
          <w:sz w:val="24"/>
        </w:rPr>
      </w:pPr>
      <w:bookmarkStart w:id="37" w:name="_Toc460947013"/>
      <w:r w:rsidRPr="00A369A0">
        <w:rPr>
          <w:rFonts w:ascii="Palatino Linotype" w:eastAsia="Palatino Linotype" w:hAnsi="Palatino Linotype" w:cs="Palatino Linotype"/>
          <w:b/>
          <w:sz w:val="24"/>
        </w:rPr>
        <w:t>Comprobantes de pago predial de los bienes inmuebles propiedad del Sujeto Obligado;</w:t>
      </w:r>
    </w:p>
    <w:p w:rsidR="008F6D66" w:rsidRPr="00A369A0" w:rsidRDefault="008F6D66" w:rsidP="008F6D66">
      <w:pPr>
        <w:pStyle w:val="Prrafodelista"/>
        <w:spacing w:line="360" w:lineRule="auto"/>
        <w:ind w:left="851" w:right="822"/>
        <w:jc w:val="both"/>
        <w:rPr>
          <w:rFonts w:ascii="Palatino Linotype" w:eastAsia="Palatino Linotype" w:hAnsi="Palatino Linotype" w:cs="Palatino Linotype"/>
          <w:b/>
          <w:sz w:val="24"/>
        </w:rPr>
      </w:pPr>
    </w:p>
    <w:p w:rsidR="008F6D66" w:rsidRPr="00A369A0" w:rsidRDefault="0027133A" w:rsidP="0027133A">
      <w:pPr>
        <w:pStyle w:val="Prrafodelista"/>
        <w:numPr>
          <w:ilvl w:val="3"/>
          <w:numId w:val="4"/>
        </w:numPr>
        <w:spacing w:line="360" w:lineRule="auto"/>
        <w:ind w:left="851" w:right="822" w:firstLine="0"/>
        <w:jc w:val="both"/>
        <w:rPr>
          <w:rFonts w:ascii="Palatino Linotype" w:eastAsia="Palatino Linotype" w:hAnsi="Palatino Linotype" w:cs="Palatino Linotype"/>
          <w:b/>
          <w:sz w:val="24"/>
        </w:rPr>
      </w:pPr>
      <w:r w:rsidRPr="00A369A0">
        <w:rPr>
          <w:rFonts w:ascii="Palatino Linotype" w:hAnsi="Palatino Linotype" w:cs="Arial"/>
          <w:b/>
          <w:bCs/>
          <w:sz w:val="24"/>
        </w:rPr>
        <w:t xml:space="preserve">Acuerdo </w:t>
      </w:r>
      <w:r w:rsidR="008F6D66" w:rsidRPr="00A369A0">
        <w:rPr>
          <w:rFonts w:ascii="Palatino Linotype" w:eastAsiaTheme="minorHAnsi" w:hAnsi="Palatino Linotype" w:cs="Arial"/>
          <w:b/>
          <w:sz w:val="24"/>
          <w:lang w:val="es-ES_tradnl" w:eastAsia="en-US"/>
        </w:rPr>
        <w:t>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rsidR="00B063B3" w:rsidRPr="00A369A0" w:rsidRDefault="00B063B3" w:rsidP="0027133A">
      <w:pPr>
        <w:spacing w:line="360" w:lineRule="auto"/>
        <w:ind w:right="48"/>
        <w:jc w:val="both"/>
        <w:rPr>
          <w:rFonts w:ascii="Palatino Linotype" w:eastAsia="Palatino Linotype" w:hAnsi="Palatino Linotype" w:cs="Palatino Linotype"/>
          <w:b/>
        </w:rPr>
      </w:pPr>
    </w:p>
    <w:p w:rsidR="008F6D66" w:rsidRPr="00A369A0" w:rsidRDefault="008F6D66" w:rsidP="008F6D66">
      <w:pPr>
        <w:spacing w:line="360" w:lineRule="auto"/>
        <w:jc w:val="both"/>
        <w:rPr>
          <w:rFonts w:ascii="Palatino Linotype" w:eastAsia="Calibri" w:hAnsi="Palatino Linotype" w:cs="Arial"/>
          <w:b/>
        </w:rPr>
      </w:pPr>
      <w:r w:rsidRPr="00A369A0">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369A0">
        <w:rPr>
          <w:rFonts w:ascii="Palatino Linotype" w:eastAsia="Calibri" w:hAnsi="Palatino Linotype" w:cs="Arial"/>
          <w:b/>
        </w:rPr>
        <w:t>RECURRENTE.</w:t>
      </w:r>
    </w:p>
    <w:p w:rsidR="008F6D66" w:rsidRPr="00A369A0" w:rsidRDefault="008F6D66" w:rsidP="0027133A">
      <w:pPr>
        <w:spacing w:line="360" w:lineRule="auto"/>
        <w:ind w:right="48"/>
        <w:jc w:val="both"/>
        <w:rPr>
          <w:rFonts w:ascii="Palatino Linotype" w:eastAsia="Palatino Linotype" w:hAnsi="Palatino Linotype" w:cs="Palatino Linotype"/>
          <w:b/>
        </w:rPr>
      </w:pPr>
    </w:p>
    <w:p w:rsidR="008F6D66" w:rsidRPr="00A369A0" w:rsidRDefault="008F6D66" w:rsidP="008F6D66">
      <w:pPr>
        <w:spacing w:line="360" w:lineRule="auto"/>
        <w:jc w:val="both"/>
        <w:rPr>
          <w:rFonts w:ascii="Palatino Linotype" w:hAnsi="Palatino Linotype" w:cs="Tahoma"/>
          <w:lang w:eastAsia="es-ES"/>
        </w:rPr>
      </w:pPr>
      <w:r w:rsidRPr="00A369A0">
        <w:rPr>
          <w:rFonts w:ascii="Palatino Linotype" w:hAnsi="Palatino Linotype" w:cs="Tahoma"/>
          <w:lang w:eastAsia="es-ES"/>
        </w:rPr>
        <w:t xml:space="preserve">Respecto del numeral </w:t>
      </w:r>
      <w:r w:rsidRPr="00A369A0">
        <w:rPr>
          <w:rFonts w:ascii="Palatino Linotype" w:hAnsi="Palatino Linotype" w:cs="Tahoma"/>
          <w:b/>
          <w:sz w:val="26"/>
          <w:szCs w:val="26"/>
          <w:lang w:eastAsia="es-ES"/>
        </w:rPr>
        <w:t>1</w:t>
      </w:r>
      <w:r w:rsidRPr="00A369A0">
        <w:rPr>
          <w:rFonts w:ascii="Palatino Linotype" w:hAnsi="Palatino Linotype" w:cs="Tahoma"/>
          <w:lang w:eastAsia="es-ES"/>
        </w:rPr>
        <w:t>,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rsidR="008F6D66" w:rsidRPr="00A369A0" w:rsidRDefault="008F6D66" w:rsidP="0027133A">
      <w:pPr>
        <w:spacing w:line="360" w:lineRule="auto"/>
        <w:ind w:right="48"/>
        <w:jc w:val="both"/>
        <w:rPr>
          <w:rFonts w:ascii="Palatino Linotype" w:eastAsia="Palatino Linotype" w:hAnsi="Palatino Linotype" w:cs="Palatino Linotype"/>
          <w:b/>
        </w:rPr>
      </w:pPr>
    </w:p>
    <w:p w:rsidR="00B063B3" w:rsidRPr="00A369A0" w:rsidRDefault="00B063B3" w:rsidP="00B063B3">
      <w:pPr>
        <w:tabs>
          <w:tab w:val="left" w:pos="8080"/>
        </w:tabs>
        <w:spacing w:line="360" w:lineRule="auto"/>
        <w:ind w:right="48"/>
        <w:contextualSpacing/>
        <w:jc w:val="both"/>
        <w:rPr>
          <w:rFonts w:ascii="Palatino Linotype" w:eastAsia="Palatino Linotype" w:hAnsi="Palatino Linotype" w:cs="Palatino Linotype"/>
          <w:b/>
        </w:rPr>
      </w:pPr>
      <w:r w:rsidRPr="00A369A0">
        <w:rPr>
          <w:rFonts w:ascii="Palatino Linotype" w:eastAsia="Palatino Linotype" w:hAnsi="Palatino Linotype" w:cs="Palatino Linotype"/>
          <w:b/>
        </w:rPr>
        <w:lastRenderedPageBreak/>
        <w:t xml:space="preserve">TERCERO. Notifíquese </w:t>
      </w:r>
      <w:r w:rsidRPr="00A369A0">
        <w:rPr>
          <w:rFonts w:ascii="Palatino Linotype" w:eastAsia="Palatino Linotype" w:hAnsi="Palatino Linotype" w:cs="Palatino Linotype"/>
        </w:rPr>
        <w:t xml:space="preserve">al Titular de la Unidad de Transparencia del </w:t>
      </w:r>
      <w:r w:rsidRPr="00A369A0">
        <w:rPr>
          <w:rFonts w:ascii="Palatino Linotype" w:eastAsia="Palatino Linotype" w:hAnsi="Palatino Linotype" w:cs="Palatino Linotype"/>
          <w:b/>
        </w:rPr>
        <w:t>SUJETO OBLIGADO</w:t>
      </w:r>
      <w:r w:rsidRPr="00A369A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369A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063B3" w:rsidRPr="00A369A0" w:rsidRDefault="00B063B3" w:rsidP="00B063B3">
      <w:pPr>
        <w:shd w:val="clear" w:color="auto" w:fill="FFFFFF"/>
        <w:tabs>
          <w:tab w:val="left" w:pos="4020"/>
        </w:tabs>
        <w:spacing w:line="360" w:lineRule="auto"/>
        <w:ind w:right="48"/>
        <w:jc w:val="both"/>
        <w:rPr>
          <w:rFonts w:ascii="Palatino Linotype" w:hAnsi="Palatino Linotype" w:cs="Arial"/>
          <w:b/>
        </w:rPr>
      </w:pPr>
      <w:r w:rsidRPr="00A369A0">
        <w:rPr>
          <w:rFonts w:ascii="Palatino Linotype" w:hAnsi="Palatino Linotype" w:cs="Arial"/>
          <w:b/>
        </w:rPr>
        <w:tab/>
      </w:r>
    </w:p>
    <w:p w:rsidR="00B063B3" w:rsidRPr="00A369A0" w:rsidRDefault="00B063B3" w:rsidP="00B063B3">
      <w:pPr>
        <w:shd w:val="clear" w:color="auto" w:fill="FFFFFF"/>
        <w:spacing w:line="360" w:lineRule="auto"/>
        <w:ind w:right="48"/>
        <w:jc w:val="both"/>
        <w:rPr>
          <w:rFonts w:ascii="Palatino Linotype" w:hAnsi="Palatino Linotype"/>
        </w:rPr>
      </w:pPr>
      <w:r w:rsidRPr="00A369A0">
        <w:rPr>
          <w:rFonts w:ascii="Palatino Linotype" w:hAnsi="Palatino Linotype" w:cs="Arial"/>
          <w:b/>
        </w:rPr>
        <w:t xml:space="preserve">CUARTO. </w:t>
      </w:r>
      <w:r w:rsidRPr="00A369A0">
        <w:rPr>
          <w:rFonts w:ascii="Palatino Linotype" w:hAnsi="Palatino Linotype"/>
          <w:b/>
          <w:bCs/>
          <w:lang w:val="es-ES"/>
        </w:rPr>
        <w:t>Notifíquese al RECURRENTE</w:t>
      </w:r>
      <w:r w:rsidRPr="00A369A0">
        <w:rPr>
          <w:rFonts w:ascii="Palatino Linotype" w:hAnsi="Palatino Linotype"/>
        </w:rPr>
        <w:t xml:space="preserve"> la presente resolución.</w:t>
      </w:r>
    </w:p>
    <w:p w:rsidR="00B063B3" w:rsidRPr="00A369A0" w:rsidRDefault="00B063B3" w:rsidP="00B063B3">
      <w:pPr>
        <w:shd w:val="clear" w:color="auto" w:fill="FFFFFF"/>
        <w:spacing w:line="360" w:lineRule="auto"/>
        <w:ind w:right="48"/>
        <w:jc w:val="both"/>
        <w:rPr>
          <w:rFonts w:ascii="Palatino Linotype" w:hAnsi="Palatino Linotype"/>
          <w:b/>
          <w:color w:val="FF0000"/>
        </w:rPr>
      </w:pPr>
    </w:p>
    <w:bookmarkEnd w:id="37"/>
    <w:p w:rsidR="00B063B3" w:rsidRPr="00A369A0" w:rsidRDefault="00B063B3" w:rsidP="00B063B3">
      <w:pPr>
        <w:spacing w:line="360" w:lineRule="auto"/>
        <w:ind w:right="48"/>
        <w:jc w:val="both"/>
        <w:rPr>
          <w:rFonts w:ascii="Palatino Linotype" w:eastAsia="MS Mincho" w:hAnsi="Palatino Linotype"/>
        </w:rPr>
      </w:pPr>
      <w:r w:rsidRPr="00A369A0">
        <w:rPr>
          <w:rFonts w:ascii="Palatino Linotype" w:eastAsia="MS Mincho" w:hAnsi="Palatino Linotype"/>
          <w:b/>
        </w:rPr>
        <w:t>QUINTO.</w:t>
      </w:r>
      <w:r w:rsidRPr="00A369A0">
        <w:rPr>
          <w:rFonts w:ascii="Palatino Linotype" w:eastAsia="MS Mincho" w:hAnsi="Palatino Linotype"/>
        </w:rPr>
        <w:t xml:space="preserve"> </w:t>
      </w:r>
      <w:r w:rsidRPr="00A369A0">
        <w:rPr>
          <w:rFonts w:ascii="Palatino Linotype" w:eastAsia="MS Mincho" w:hAnsi="Palatino Linotype"/>
          <w:lang w:val="es-ES"/>
        </w:rPr>
        <w:t xml:space="preserve">Se hace del conocimiento del </w:t>
      </w:r>
      <w:r w:rsidRPr="00A369A0">
        <w:rPr>
          <w:rFonts w:ascii="Palatino Linotype" w:hAnsi="Palatino Linotype"/>
          <w:b/>
        </w:rPr>
        <w:t>RECURRENTE</w:t>
      </w:r>
      <w:r w:rsidRPr="00A369A0">
        <w:rPr>
          <w:rFonts w:ascii="Palatino Linotype" w:hAnsi="Palatino Linotype"/>
        </w:rPr>
        <w:t xml:space="preserve"> </w:t>
      </w:r>
      <w:r w:rsidRPr="00A369A0">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F24A9D" w:rsidRPr="00A369A0">
        <w:rPr>
          <w:rFonts w:ascii="Palatino Linotype" w:eastAsia="MS Mincho" w:hAnsi="Palatino Linotype"/>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F24A9D" w:rsidRPr="00A369A0" w:rsidRDefault="00F24A9D" w:rsidP="00B063B3">
      <w:pPr>
        <w:spacing w:line="360" w:lineRule="auto"/>
        <w:ind w:right="48"/>
        <w:jc w:val="both"/>
        <w:rPr>
          <w:rFonts w:ascii="Palatino Linotype" w:hAnsi="Palatino Linotype"/>
          <w:color w:val="000000"/>
          <w:shd w:val="clear" w:color="auto" w:fill="FFFFFF"/>
        </w:rPr>
      </w:pPr>
    </w:p>
    <w:p w:rsidR="00B063B3" w:rsidRPr="00A369A0" w:rsidRDefault="00B063B3" w:rsidP="00B063B3">
      <w:pPr>
        <w:spacing w:line="360" w:lineRule="auto"/>
        <w:ind w:right="48"/>
        <w:jc w:val="both"/>
        <w:rPr>
          <w:rFonts w:ascii="Palatino Linotype" w:eastAsia="Calibri" w:hAnsi="Palatino Linotype" w:cs="Arial"/>
          <w:bCs/>
        </w:rPr>
      </w:pPr>
      <w:r w:rsidRPr="00A369A0">
        <w:rPr>
          <w:rFonts w:ascii="Palatino Linotype" w:hAnsi="Palatino Linotype"/>
          <w:b/>
          <w:color w:val="000000"/>
          <w:shd w:val="clear" w:color="auto" w:fill="FFFFFF"/>
        </w:rPr>
        <w:t xml:space="preserve">SEXTO. </w:t>
      </w:r>
      <w:r w:rsidRPr="00A369A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063B3" w:rsidRPr="00A369A0" w:rsidRDefault="00B063B3" w:rsidP="00B063B3">
      <w:pPr>
        <w:spacing w:line="360" w:lineRule="auto"/>
        <w:ind w:right="48"/>
        <w:jc w:val="both"/>
        <w:rPr>
          <w:rFonts w:ascii="Palatino Linotype" w:hAnsi="Palatino Linotype"/>
        </w:rPr>
      </w:pPr>
    </w:p>
    <w:p w:rsidR="00A369A0" w:rsidRDefault="00A369A0" w:rsidP="00A369A0">
      <w:pPr>
        <w:spacing w:before="240" w:after="240" w:line="360" w:lineRule="auto"/>
        <w:jc w:val="both"/>
        <w:rPr>
          <w:rFonts w:ascii="Palatino Linotype" w:hAnsi="Palatino Linotype"/>
        </w:rPr>
      </w:pPr>
      <w:r w:rsidRPr="00A369A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rsidR="00B063B3" w:rsidRPr="009B6FD5" w:rsidRDefault="00B063B3" w:rsidP="00B063B3">
      <w:pPr>
        <w:spacing w:line="360" w:lineRule="auto"/>
        <w:ind w:right="48"/>
        <w:rPr>
          <w:rFonts w:ascii="Palatino Linotype" w:hAnsi="Palatino Linotype"/>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ind w:right="49"/>
        <w:jc w:val="both"/>
        <w:rPr>
          <w:rFonts w:ascii="Palatino Linotype" w:eastAsiaTheme="minorEastAsia" w:hAnsi="Palatino Linotype" w:cs="Arial"/>
          <w:lang w:val="es-ES_tradnl" w:eastAsia="es-ES"/>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Pr="009B6FD5" w:rsidRDefault="00B063B3" w:rsidP="00B063B3">
      <w:pPr>
        <w:spacing w:line="360" w:lineRule="auto"/>
        <w:rPr>
          <w:rFonts w:ascii="Palatino Linotype" w:hAnsi="Palatino Linotype"/>
        </w:rPr>
      </w:pPr>
    </w:p>
    <w:p w:rsidR="00B063B3" w:rsidRDefault="00B063B3" w:rsidP="00B063B3"/>
    <w:p w:rsidR="004E1710" w:rsidRDefault="00781247"/>
    <w:sectPr w:rsidR="004E1710" w:rsidSect="009177B0">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47" w:rsidRDefault="00781247" w:rsidP="00B063B3">
      <w:r>
        <w:separator/>
      </w:r>
    </w:p>
  </w:endnote>
  <w:endnote w:type="continuationSeparator" w:id="0">
    <w:p w:rsidR="00781247" w:rsidRDefault="00781247" w:rsidP="00B0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3A5C47">
    <w:pPr>
      <w:pStyle w:val="Piedepgina"/>
      <w:jc w:val="right"/>
    </w:pPr>
    <w:r>
      <w:rPr>
        <w:lang w:val="es-ES"/>
      </w:rPr>
      <w:t xml:space="preserve">Página </w:t>
    </w:r>
    <w:r>
      <w:rPr>
        <w:b/>
        <w:bCs/>
      </w:rPr>
      <w:fldChar w:fldCharType="begin"/>
    </w:r>
    <w:r>
      <w:rPr>
        <w:b/>
        <w:bCs/>
      </w:rPr>
      <w:instrText>PAGE</w:instrText>
    </w:r>
    <w:r>
      <w:rPr>
        <w:b/>
        <w:bCs/>
      </w:rPr>
      <w:fldChar w:fldCharType="separate"/>
    </w:r>
    <w:r w:rsidR="00FA1234">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A1234">
      <w:rPr>
        <w:b/>
        <w:bCs/>
        <w:noProof/>
      </w:rPr>
      <w:t>41</w:t>
    </w:r>
    <w:r>
      <w:rPr>
        <w:b/>
        <w:bCs/>
      </w:rPr>
      <w:fldChar w:fldCharType="end"/>
    </w:r>
  </w:p>
  <w:p w:rsidR="001774E1" w:rsidRDefault="007812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3A5C47">
    <w:pPr>
      <w:pStyle w:val="Piedepgina"/>
      <w:jc w:val="right"/>
    </w:pPr>
    <w:r>
      <w:rPr>
        <w:lang w:val="es-ES"/>
      </w:rPr>
      <w:t xml:space="preserve">Página </w:t>
    </w:r>
    <w:r>
      <w:rPr>
        <w:b/>
        <w:bCs/>
      </w:rPr>
      <w:fldChar w:fldCharType="begin"/>
    </w:r>
    <w:r>
      <w:rPr>
        <w:b/>
        <w:bCs/>
      </w:rPr>
      <w:instrText>PAGE</w:instrText>
    </w:r>
    <w:r>
      <w:rPr>
        <w:b/>
        <w:bCs/>
      </w:rPr>
      <w:fldChar w:fldCharType="separate"/>
    </w:r>
    <w:r w:rsidR="00FA123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A1234">
      <w:rPr>
        <w:b/>
        <w:bCs/>
        <w:noProof/>
      </w:rPr>
      <w:t>41</w:t>
    </w:r>
    <w:r>
      <w:rPr>
        <w:b/>
        <w:bCs/>
      </w:rPr>
      <w:fldChar w:fldCharType="end"/>
    </w:r>
  </w:p>
  <w:p w:rsidR="001774E1" w:rsidRDefault="007812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47" w:rsidRDefault="00781247" w:rsidP="00B063B3">
      <w:r>
        <w:separator/>
      </w:r>
    </w:p>
  </w:footnote>
  <w:footnote w:type="continuationSeparator" w:id="0">
    <w:p w:rsidR="00781247" w:rsidRDefault="00781247" w:rsidP="00B063B3">
      <w:r>
        <w:continuationSeparator/>
      </w:r>
    </w:p>
  </w:footnote>
  <w:footnote w:id="1">
    <w:p w:rsidR="00B063B3" w:rsidRDefault="00B063B3" w:rsidP="00B063B3">
      <w:pPr>
        <w:pStyle w:val="Textonotapie"/>
      </w:pPr>
      <w:r>
        <w:rPr>
          <w:rStyle w:val="Refdenotaalpie"/>
        </w:rPr>
        <w:footnoteRef/>
      </w:r>
      <w:r>
        <w:t xml:space="preserve"> Convención Americana sobre Derechos Humanos. Artículo 13.</w:t>
      </w:r>
    </w:p>
  </w:footnote>
  <w:footnote w:id="2">
    <w:p w:rsidR="00B063B3" w:rsidRDefault="00B063B3" w:rsidP="00B063B3">
      <w:pPr>
        <w:pStyle w:val="Textonotapie"/>
      </w:pPr>
      <w:r>
        <w:rPr>
          <w:rStyle w:val="Refdenotaalpie"/>
        </w:rPr>
        <w:footnoteRef/>
      </w:r>
      <w:r>
        <w:t xml:space="preserve"> Constitución Política de los Estados Unidos Mexicanos. Artículo sexto, sección A, fracción I.</w:t>
      </w:r>
    </w:p>
  </w:footnote>
  <w:footnote w:id="3">
    <w:p w:rsidR="00B063B3" w:rsidRDefault="00B063B3" w:rsidP="00B063B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063B3" w:rsidRDefault="00B063B3" w:rsidP="00B063B3">
      <w:pPr>
        <w:pStyle w:val="Textonotapie"/>
      </w:pPr>
      <w:r>
        <w:rPr>
          <w:rStyle w:val="Refdenotaalpie"/>
        </w:rPr>
        <w:footnoteRef/>
      </w:r>
      <w:r>
        <w:t xml:space="preserve"> Ibídem. </w:t>
      </w:r>
      <w:proofErr w:type="spellStart"/>
      <w:r>
        <w:t>Parr</w:t>
      </w:r>
      <w:proofErr w:type="spellEnd"/>
      <w:r>
        <w:t>. 87.</w:t>
      </w:r>
    </w:p>
  </w:footnote>
  <w:footnote w:id="5">
    <w:p w:rsidR="008F6D66" w:rsidRDefault="008F6D66" w:rsidP="008F6D66">
      <w:pPr>
        <w:pStyle w:val="Textonotapie"/>
        <w:jc w:val="both"/>
        <w:rPr>
          <w:rFonts w:ascii="Palatino Linotype" w:hAnsi="Palatino Linotype"/>
        </w:rPr>
      </w:pPr>
      <w:r>
        <w:rPr>
          <w:rStyle w:val="Refdenotaalpie"/>
        </w:rPr>
        <w:footnoteRef/>
      </w:r>
      <w:r>
        <w:t xml:space="preserve"> </w:t>
      </w:r>
      <w:r w:rsidRPr="002E365D">
        <w:rPr>
          <w:rFonts w:ascii="Palatino Linotype" w:hAnsi="Palatino Linotype"/>
          <w:b/>
        </w:rPr>
        <w:t>Artículo 19.</w:t>
      </w:r>
      <w:r w:rsidRPr="002E365D">
        <w:rPr>
          <w:rFonts w:ascii="Palatino Linotype" w:hAnsi="Palatino Linotype"/>
        </w:rPr>
        <w:t xml:space="preserve"> Se presume que la información debe existir si se refiere a las facultades, competencias y funciones que los ordenamientos jurídicos aplicables otorgan a los sujetos obligados. </w:t>
      </w:r>
    </w:p>
    <w:p w:rsidR="008F6D66" w:rsidRDefault="008F6D66" w:rsidP="008F6D66">
      <w:pPr>
        <w:pStyle w:val="Textonotapie"/>
        <w:jc w:val="both"/>
        <w:rPr>
          <w:rFonts w:ascii="Palatino Linotype" w:hAnsi="Palatino Linotype"/>
        </w:rPr>
      </w:pPr>
      <w:r w:rsidRPr="002E365D">
        <w:rPr>
          <w:rFonts w:ascii="Palatino Linotype" w:hAnsi="Palatino Linotype"/>
          <w:u w:val="single"/>
        </w:rPr>
        <w:t>En los casos en que ciertas facultades, competencias o funciones no se hayan ejercido, se debe motivar la respuesta en función de las causas que motiven tal circunstancia</w:t>
      </w:r>
      <w:r w:rsidRPr="002E365D">
        <w:rPr>
          <w:rFonts w:ascii="Palatino Linotype" w:hAnsi="Palatino Linotype"/>
        </w:rPr>
        <w:t xml:space="preserve">. </w:t>
      </w:r>
    </w:p>
    <w:p w:rsidR="008F6D66" w:rsidRDefault="008F6D66" w:rsidP="008F6D66">
      <w:pPr>
        <w:pStyle w:val="Textonotapie"/>
        <w:jc w:val="both"/>
      </w:pPr>
      <w:r w:rsidRPr="002E365D">
        <w:rPr>
          <w:rFonts w:ascii="Palatino Linotype" w:hAnsi="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78124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rsidTr="009177B0">
      <w:trPr>
        <w:trHeight w:val="1435"/>
      </w:trPr>
      <w:tc>
        <w:tcPr>
          <w:tcW w:w="2268" w:type="dxa"/>
          <w:shd w:val="clear" w:color="auto" w:fill="auto"/>
        </w:tcPr>
        <w:p w:rsidR="001774E1" w:rsidRPr="005C106F" w:rsidRDefault="00781247" w:rsidP="009177B0">
          <w:pPr>
            <w:tabs>
              <w:tab w:val="right" w:pos="4273"/>
            </w:tabs>
            <w:rPr>
              <w:rFonts w:ascii="Garamond" w:eastAsia="Calibri" w:hAnsi="Garamond"/>
              <w:sz w:val="16"/>
              <w:szCs w:val="16"/>
              <w:lang w:eastAsia="en-US"/>
            </w:rPr>
          </w:pPr>
        </w:p>
      </w:tc>
      <w:tc>
        <w:tcPr>
          <w:tcW w:w="6946" w:type="dxa"/>
          <w:shd w:val="clear" w:color="auto" w:fill="auto"/>
        </w:tcPr>
        <w:p w:rsidR="001774E1" w:rsidRDefault="00781247" w:rsidP="009177B0"/>
        <w:tbl>
          <w:tblPr>
            <w:tblW w:w="6662" w:type="dxa"/>
            <w:tblInd w:w="40" w:type="dxa"/>
            <w:tblLayout w:type="fixed"/>
            <w:tblLook w:val="0420" w:firstRow="1" w:lastRow="0" w:firstColumn="0" w:lastColumn="0" w:noHBand="0" w:noVBand="1"/>
          </w:tblPr>
          <w:tblGrid>
            <w:gridCol w:w="2551"/>
            <w:gridCol w:w="4111"/>
          </w:tblGrid>
          <w:tr w:rsidR="001774E1" w:rsidTr="009177B0">
            <w:trPr>
              <w:trHeight w:val="150"/>
            </w:trPr>
            <w:tc>
              <w:tcPr>
                <w:tcW w:w="2551" w:type="dxa"/>
                <w:shd w:val="clear" w:color="auto" w:fill="auto"/>
              </w:tcPr>
              <w:p w:rsidR="001774E1" w:rsidRPr="00020E73" w:rsidRDefault="003A5C47"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774E1" w:rsidRPr="00020E73" w:rsidRDefault="003A5C47" w:rsidP="00011C1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00753/INFOEM/IP/RR/2023</w:t>
                </w:r>
                <w:r w:rsidRPr="009E7B0A">
                  <w:rPr>
                    <w:rFonts w:ascii="Palatino Linotype" w:eastAsia="Calibri" w:hAnsi="Palatino Linotype" w:cs="Tahoma"/>
                    <w:b/>
                    <w:bCs/>
                    <w:sz w:val="22"/>
                    <w:szCs w:val="22"/>
                    <w:lang w:eastAsia="en-US"/>
                  </w:rPr>
                  <w:t xml:space="preserve"> </w:t>
                </w:r>
              </w:p>
            </w:tc>
          </w:tr>
          <w:tr w:rsidR="001774E1" w:rsidTr="009177B0">
            <w:trPr>
              <w:trHeight w:val="295"/>
            </w:trPr>
            <w:tc>
              <w:tcPr>
                <w:tcW w:w="2551" w:type="dxa"/>
                <w:shd w:val="clear" w:color="auto" w:fill="auto"/>
              </w:tcPr>
              <w:p w:rsidR="001774E1" w:rsidRPr="00020E73" w:rsidRDefault="003A5C47"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774E1" w:rsidRPr="00020E73" w:rsidRDefault="003A5C47" w:rsidP="00011C1B">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Zinacantepec</w:t>
                </w:r>
              </w:p>
            </w:tc>
          </w:tr>
          <w:tr w:rsidR="001774E1" w:rsidTr="009177B0">
            <w:trPr>
              <w:trHeight w:val="295"/>
            </w:trPr>
            <w:tc>
              <w:tcPr>
                <w:tcW w:w="2551" w:type="dxa"/>
                <w:shd w:val="clear" w:color="auto" w:fill="auto"/>
              </w:tcPr>
              <w:p w:rsidR="001774E1" w:rsidRPr="00020E73" w:rsidRDefault="003A5C47"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774E1" w:rsidRPr="00020E73" w:rsidRDefault="003A5C47"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781247" w:rsidP="009177B0">
                <w:pPr>
                  <w:tabs>
                    <w:tab w:val="right" w:pos="8838"/>
                  </w:tabs>
                  <w:ind w:left="-108" w:right="171"/>
                  <w:jc w:val="both"/>
                  <w:rPr>
                    <w:rFonts w:ascii="Palatino Linotype" w:eastAsia="Calibri" w:hAnsi="Palatino Linotype" w:cs="Tahoma"/>
                    <w:b/>
                    <w:sz w:val="22"/>
                    <w:szCs w:val="22"/>
                    <w:lang w:val="es-ES" w:eastAsia="en-US"/>
                  </w:rPr>
                </w:pPr>
              </w:p>
            </w:tc>
          </w:tr>
        </w:tbl>
        <w:p w:rsidR="001774E1" w:rsidRPr="005C106F" w:rsidRDefault="00781247" w:rsidP="009177B0">
          <w:pPr>
            <w:tabs>
              <w:tab w:val="right" w:pos="8838"/>
            </w:tabs>
            <w:ind w:left="-28"/>
            <w:jc w:val="both"/>
            <w:rPr>
              <w:rFonts w:ascii="Arial" w:eastAsia="Calibri" w:hAnsi="Arial" w:cs="Arial"/>
              <w:b/>
              <w:sz w:val="22"/>
              <w:szCs w:val="22"/>
              <w:lang w:eastAsia="en-US"/>
            </w:rPr>
          </w:pPr>
        </w:p>
      </w:tc>
    </w:tr>
  </w:tbl>
  <w:p w:rsidR="001774E1" w:rsidRPr="00443C6B" w:rsidRDefault="00781247"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rsidTr="009177B0">
      <w:trPr>
        <w:trHeight w:val="1435"/>
      </w:trPr>
      <w:tc>
        <w:tcPr>
          <w:tcW w:w="2268" w:type="dxa"/>
          <w:shd w:val="clear" w:color="auto" w:fill="auto"/>
        </w:tcPr>
        <w:p w:rsidR="001774E1" w:rsidRPr="00330DA7" w:rsidRDefault="00781247"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rsidTr="009177B0">
            <w:trPr>
              <w:trHeight w:val="144"/>
            </w:trPr>
            <w:tc>
              <w:tcPr>
                <w:tcW w:w="2444" w:type="dxa"/>
                <w:shd w:val="clear" w:color="auto" w:fill="auto"/>
              </w:tcPr>
              <w:p w:rsidR="001774E1" w:rsidRPr="00020E73" w:rsidRDefault="003A5C47"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774E1" w:rsidRPr="00020E73" w:rsidRDefault="003A5C47"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753/INFOEM/IP/RR/2023</w:t>
                </w:r>
                <w:r>
                  <w:rPr>
                    <w:rFonts w:ascii="Palatino Linotype" w:eastAsia="Calibri" w:hAnsi="Palatino Linotype" w:cs="Tahoma"/>
                    <w:b/>
                    <w:bCs/>
                    <w:sz w:val="22"/>
                    <w:szCs w:val="22"/>
                    <w:lang w:eastAsia="en-US"/>
                  </w:rPr>
                  <w:t xml:space="preserve"> </w:t>
                </w:r>
              </w:p>
            </w:tc>
          </w:tr>
          <w:tr w:rsidR="001774E1" w:rsidRPr="00330DA7" w:rsidTr="009177B0">
            <w:trPr>
              <w:trHeight w:val="144"/>
            </w:trPr>
            <w:tc>
              <w:tcPr>
                <w:tcW w:w="2444" w:type="dxa"/>
                <w:shd w:val="clear" w:color="auto" w:fill="auto"/>
              </w:tcPr>
              <w:p w:rsidR="001774E1" w:rsidRPr="00020E73" w:rsidRDefault="003A5C47"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774E1" w:rsidRPr="002D3C9B" w:rsidRDefault="00781247" w:rsidP="00C60D17">
                <w:pPr>
                  <w:tabs>
                    <w:tab w:val="left" w:pos="1185"/>
                  </w:tabs>
                  <w:ind w:right="-105"/>
                  <w:jc w:val="both"/>
                  <w:rPr>
                    <w:rFonts w:ascii="Palatino Linotype" w:eastAsia="Calibri" w:hAnsi="Palatino Linotype" w:cs="Tahoma"/>
                    <w:sz w:val="22"/>
                    <w:szCs w:val="22"/>
                    <w:lang w:val="es-ES" w:eastAsia="en-US"/>
                  </w:rPr>
                </w:pPr>
              </w:p>
            </w:tc>
          </w:tr>
          <w:tr w:rsidR="001774E1" w:rsidRPr="00330DA7" w:rsidTr="009177B0">
            <w:trPr>
              <w:trHeight w:val="283"/>
            </w:trPr>
            <w:tc>
              <w:tcPr>
                <w:tcW w:w="2444" w:type="dxa"/>
                <w:shd w:val="clear" w:color="auto" w:fill="auto"/>
              </w:tcPr>
              <w:p w:rsidR="001774E1" w:rsidRPr="00020E73" w:rsidRDefault="003A5C47"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774E1" w:rsidRPr="009E7B0A" w:rsidRDefault="003A5C47" w:rsidP="00011C1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Zinacantepec</w:t>
                </w:r>
              </w:p>
            </w:tc>
          </w:tr>
          <w:tr w:rsidR="001774E1" w:rsidRPr="00330DA7" w:rsidTr="009177B0">
            <w:trPr>
              <w:trHeight w:val="283"/>
            </w:trPr>
            <w:tc>
              <w:tcPr>
                <w:tcW w:w="2444" w:type="dxa"/>
                <w:shd w:val="clear" w:color="auto" w:fill="auto"/>
              </w:tcPr>
              <w:p w:rsidR="001774E1" w:rsidRPr="00020E73" w:rsidRDefault="003A5C47"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774E1" w:rsidRPr="00020E73" w:rsidRDefault="003A5C47"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781247" w:rsidP="009177B0">
                <w:pPr>
                  <w:tabs>
                    <w:tab w:val="right" w:pos="8838"/>
                  </w:tabs>
                  <w:ind w:left="-74" w:right="-105"/>
                  <w:jc w:val="both"/>
                  <w:rPr>
                    <w:rFonts w:ascii="Palatino Linotype" w:eastAsia="Calibri" w:hAnsi="Palatino Linotype" w:cs="Tahoma"/>
                    <w:b/>
                    <w:sz w:val="22"/>
                    <w:szCs w:val="22"/>
                    <w:lang w:val="es-ES" w:eastAsia="en-US"/>
                  </w:rPr>
                </w:pPr>
              </w:p>
            </w:tc>
          </w:tr>
        </w:tbl>
        <w:p w:rsidR="001774E1" w:rsidRPr="00330DA7" w:rsidRDefault="00781247" w:rsidP="009177B0">
          <w:pPr>
            <w:tabs>
              <w:tab w:val="right" w:pos="8838"/>
            </w:tabs>
            <w:ind w:left="-28"/>
            <w:jc w:val="both"/>
            <w:rPr>
              <w:rFonts w:ascii="Arial" w:eastAsia="Calibri" w:hAnsi="Arial" w:cs="Arial"/>
              <w:b/>
              <w:sz w:val="22"/>
              <w:szCs w:val="22"/>
              <w:lang w:eastAsia="en-US"/>
            </w:rPr>
          </w:pPr>
        </w:p>
      </w:tc>
    </w:tr>
  </w:tbl>
  <w:p w:rsidR="001774E1" w:rsidRPr="00827FA0" w:rsidRDefault="00781247"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B3"/>
    <w:rsid w:val="00007A3C"/>
    <w:rsid w:val="00157292"/>
    <w:rsid w:val="0016201F"/>
    <w:rsid w:val="00214EBE"/>
    <w:rsid w:val="00270C78"/>
    <w:rsid w:val="0027133A"/>
    <w:rsid w:val="003A5C47"/>
    <w:rsid w:val="0076643E"/>
    <w:rsid w:val="00781247"/>
    <w:rsid w:val="00855230"/>
    <w:rsid w:val="008A12B3"/>
    <w:rsid w:val="008F6D66"/>
    <w:rsid w:val="00A369A0"/>
    <w:rsid w:val="00B063B3"/>
    <w:rsid w:val="00BA0C3A"/>
    <w:rsid w:val="00BD1C27"/>
    <w:rsid w:val="00E572E7"/>
    <w:rsid w:val="00F24A9D"/>
    <w:rsid w:val="00FA1234"/>
    <w:rsid w:val="00FC5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869C7A9-7111-4446-BCA4-5362FEB0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B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063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3B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3B3"/>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063B3"/>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063B3"/>
    <w:pPr>
      <w:tabs>
        <w:tab w:val="center" w:pos="4419"/>
        <w:tab w:val="right" w:pos="8838"/>
      </w:tabs>
    </w:pPr>
  </w:style>
  <w:style w:type="character" w:customStyle="1" w:styleId="EncabezadoCar">
    <w:name w:val="Encabezado Car"/>
    <w:basedOn w:val="Fuentedeprrafopredeter"/>
    <w:link w:val="Encabezado"/>
    <w:uiPriority w:val="99"/>
    <w:rsid w:val="00B063B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063B3"/>
    <w:pPr>
      <w:tabs>
        <w:tab w:val="center" w:pos="4419"/>
        <w:tab w:val="right" w:pos="8838"/>
      </w:tabs>
    </w:pPr>
  </w:style>
  <w:style w:type="character" w:customStyle="1" w:styleId="PiedepginaCar">
    <w:name w:val="Pie de página Car"/>
    <w:basedOn w:val="Fuentedeprrafopredeter"/>
    <w:link w:val="Piedepgina"/>
    <w:uiPriority w:val="99"/>
    <w:rsid w:val="00B063B3"/>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3B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063B3"/>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063B3"/>
    <w:rPr>
      <w:color w:val="0563C1"/>
      <w:u w:val="single"/>
    </w:rPr>
  </w:style>
  <w:style w:type="paragraph" w:styleId="Sinespaciado">
    <w:name w:val="No Spacing"/>
    <w:aliases w:val="Francesa,INAI"/>
    <w:link w:val="SinespaciadoCar"/>
    <w:uiPriority w:val="1"/>
    <w:qFormat/>
    <w:rsid w:val="00B063B3"/>
    <w:pPr>
      <w:spacing w:after="0" w:line="240" w:lineRule="auto"/>
    </w:pPr>
    <w:rPr>
      <w:lang w:val="es-MX"/>
    </w:rPr>
  </w:style>
  <w:style w:type="character" w:customStyle="1" w:styleId="SinespaciadoCar">
    <w:name w:val="Sin espaciado Car"/>
    <w:aliases w:val="Francesa Car,INAI Car"/>
    <w:link w:val="Sinespaciado"/>
    <w:uiPriority w:val="1"/>
    <w:locked/>
    <w:rsid w:val="00B063B3"/>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063B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063B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3B3"/>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063B3"/>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B063B3"/>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6concolores">
    <w:name w:val="Grid Table 6 Colorful"/>
    <w:basedOn w:val="Tablanormal"/>
    <w:uiPriority w:val="51"/>
    <w:rsid w:val="008F6D66"/>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02664.page"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41</Pages>
  <Words>8717</Words>
  <Characters>47947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2023-03-01T17:53:00Z</dcterms:created>
  <dcterms:modified xsi:type="dcterms:W3CDTF">2023-03-21T22:41:00Z</dcterms:modified>
</cp:coreProperties>
</file>