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4665" w:rsidR="00D8203F" w:rsidP="007D49D3" w:rsidRDefault="00D8203F" w14:paraId="396EC2E0" w14:textId="0F82FDD9">
      <w:pPr>
        <w:spacing w:after="0"/>
        <w:rPr>
          <w:rFonts w:eastAsia="Times New Roman" w:cs="Tahoma"/>
          <w:bCs/>
          <w:color w:val="auto"/>
          <w:lang w:eastAsia="es-ES"/>
        </w:rPr>
      </w:pPr>
      <w:r w:rsidRPr="00A14665">
        <w:rPr>
          <w:rFonts w:cs="Tahoma"/>
          <w:bCs/>
        </w:rPr>
        <w:t xml:space="preserve">Resolución del Pleno del Instituto de Transparencia, Acceso a la Información Pública y </w:t>
      </w:r>
      <w:r w:rsidRPr="00A14665">
        <w:rPr>
          <w:rFonts w:eastAsia="Times New Roman" w:cs="Tahoma"/>
          <w:bCs/>
          <w:color w:val="auto"/>
          <w:lang w:eastAsia="es-ES"/>
        </w:rPr>
        <w:t xml:space="preserve">Protección de Datos Personales del Estado de México y Municipios, con domicilio en Metepec, Estado de México, de fecha </w:t>
      </w:r>
      <w:r w:rsidRPr="00A14665" w:rsidR="00C003A2">
        <w:rPr>
          <w:rFonts w:eastAsia="Times New Roman" w:cs="Tahoma"/>
          <w:bCs/>
          <w:color w:val="auto"/>
          <w:lang w:eastAsia="es-ES"/>
        </w:rPr>
        <w:t>primero</w:t>
      </w:r>
      <w:r w:rsidRPr="00A14665" w:rsidR="00EC3F60">
        <w:rPr>
          <w:rFonts w:eastAsia="Times New Roman" w:cs="Tahoma"/>
          <w:bCs/>
          <w:color w:val="auto"/>
          <w:lang w:eastAsia="es-ES"/>
        </w:rPr>
        <w:t xml:space="preserve"> de marzo de dos mil </w:t>
      </w:r>
      <w:r w:rsidRPr="00A14665" w:rsidR="00C003A2">
        <w:rPr>
          <w:rFonts w:eastAsia="Times New Roman" w:cs="Tahoma"/>
          <w:bCs/>
          <w:color w:val="auto"/>
          <w:lang w:eastAsia="es-ES"/>
        </w:rPr>
        <w:t>veintitrés</w:t>
      </w:r>
      <w:r w:rsidRPr="00A14665">
        <w:rPr>
          <w:rFonts w:eastAsia="Times New Roman" w:cs="Tahoma"/>
          <w:bCs/>
          <w:color w:val="auto"/>
          <w:lang w:eastAsia="es-ES"/>
        </w:rPr>
        <w:t xml:space="preserve">. </w:t>
      </w:r>
    </w:p>
    <w:p w:rsidRPr="00A14665" w:rsidR="00D8203F" w:rsidP="007D49D3" w:rsidRDefault="00D8203F" w14:paraId="6936EE21" w14:textId="77777777">
      <w:pPr>
        <w:spacing w:after="0"/>
      </w:pPr>
    </w:p>
    <w:p w:rsidRPr="00A14665" w:rsidR="00D8203F" w:rsidP="007D49D3" w:rsidRDefault="00D8203F" w14:paraId="7B5A5142" w14:textId="11D25180">
      <w:pPr>
        <w:spacing w:after="0"/>
      </w:pPr>
      <w:r w:rsidRPr="328E97D5" w:rsidR="328E97D5">
        <w:rPr>
          <w:b w:val="1"/>
          <w:bCs w:val="1"/>
        </w:rPr>
        <w:t xml:space="preserve">VISTO </w:t>
      </w:r>
      <w:r w:rsidR="328E97D5">
        <w:rPr/>
        <w:t xml:space="preserve">el expediente conformado con motivo del Recurso de Revisión 00596/INFOEM/IP/RR/2023, interpuesto por </w:t>
      </w:r>
      <w:r w:rsidRPr="328E97D5" w:rsidR="328E97D5">
        <w:rPr>
          <w:highlight w:val="black"/>
        </w:rPr>
        <w:t>XXXXXXXXXXX</w:t>
      </w:r>
      <w:r w:rsidR="328E97D5">
        <w:rPr/>
        <w:t xml:space="preserve">, en lo sucesivo </w:t>
      </w:r>
      <w:r w:rsidRPr="328E97D5" w:rsidR="328E97D5">
        <w:rPr>
          <w:rFonts w:cs="Tahoma"/>
          <w:color w:val="0D0D0D" w:themeColor="text1" w:themeTint="F2" w:themeShade="FF"/>
        </w:rPr>
        <w:t>Recurrente o Particular</w:t>
      </w:r>
      <w:r w:rsidR="328E97D5">
        <w:rPr/>
        <w:t>, en contra de la respuesta del Sujeto Obligado, Sistema Para el Desarrollo Integral de la Familia del Municipio de Atizapán de Zaragoza, a la solicitud de acceso a la información pública 00002/DIFATIZARA/IP/2023, se emite la presente Resolución, con base en los Antecedentes y Considerandos que a continuación se exponen:</w:t>
      </w:r>
    </w:p>
    <w:p w:rsidRPr="00A14665" w:rsidR="00D8203F" w:rsidP="007D49D3" w:rsidRDefault="00D8203F" w14:paraId="52EC590C" w14:textId="77777777">
      <w:pPr>
        <w:spacing w:after="0"/>
        <w:rPr>
          <w:bCs/>
        </w:rPr>
      </w:pPr>
    </w:p>
    <w:p w:rsidRPr="00A14665" w:rsidR="00D8203F" w:rsidP="007D49D3" w:rsidRDefault="00D8203F" w14:paraId="5020F5CE" w14:textId="77777777">
      <w:pPr>
        <w:spacing w:after="0"/>
        <w:jc w:val="center"/>
        <w:rPr>
          <w:b/>
        </w:rPr>
      </w:pPr>
      <w:r w:rsidRPr="00A14665">
        <w:rPr>
          <w:b/>
        </w:rPr>
        <w:t>A N T E C E D E N TE S:</w:t>
      </w:r>
    </w:p>
    <w:p w:rsidRPr="00A14665" w:rsidR="00D8203F" w:rsidP="007D49D3" w:rsidRDefault="00D8203F" w14:paraId="1B82AE83" w14:textId="77777777">
      <w:pPr>
        <w:tabs>
          <w:tab w:val="left" w:pos="567"/>
        </w:tabs>
        <w:spacing w:after="0"/>
        <w:rPr>
          <w:rFonts w:eastAsia="Times New Roman" w:cs="Tahoma"/>
          <w:b/>
          <w:color w:val="auto"/>
          <w:lang w:eastAsia="es-ES"/>
        </w:rPr>
      </w:pPr>
    </w:p>
    <w:p w:rsidRPr="00A14665" w:rsidR="00D8203F" w:rsidP="007D49D3" w:rsidRDefault="00D8203F" w14:paraId="7F6DA6C9" w14:textId="77777777">
      <w:pPr>
        <w:tabs>
          <w:tab w:val="left" w:pos="567"/>
        </w:tabs>
        <w:spacing w:after="0"/>
        <w:rPr>
          <w:rFonts w:eastAsia="Times New Roman" w:cs="Tahoma"/>
          <w:b/>
          <w:color w:val="auto"/>
          <w:lang w:eastAsia="es-ES"/>
        </w:rPr>
      </w:pPr>
      <w:r w:rsidRPr="00A14665">
        <w:rPr>
          <w:rFonts w:eastAsia="Times New Roman" w:cs="Tahoma"/>
          <w:b/>
          <w:color w:val="auto"/>
          <w:lang w:eastAsia="es-ES"/>
        </w:rPr>
        <w:t>I. Presentación de la solicitud de información:</w:t>
      </w:r>
    </w:p>
    <w:p w:rsidRPr="00A14665" w:rsidR="00D8203F" w:rsidP="007D49D3" w:rsidRDefault="00D8203F" w14:paraId="2CA46D00" w14:textId="01152D4E">
      <w:pPr>
        <w:tabs>
          <w:tab w:val="left" w:pos="567"/>
        </w:tabs>
        <w:spacing w:after="0"/>
        <w:rPr>
          <w:rFonts w:eastAsia="Times New Roman" w:cs="Tahoma"/>
          <w:color w:val="auto"/>
          <w:lang w:eastAsia="es-ES"/>
        </w:rPr>
      </w:pPr>
    </w:p>
    <w:p w:rsidRPr="00A14665" w:rsidR="008F07C8" w:rsidP="007D49D3" w:rsidRDefault="008F07C8" w14:paraId="269A560B" w14:textId="63157C47">
      <w:pPr>
        <w:spacing w:after="0"/>
        <w:rPr>
          <w:rFonts w:cs="Tahoma"/>
        </w:rPr>
      </w:pPr>
      <w:r w:rsidRPr="00A14665">
        <w:rPr>
          <w:rFonts w:eastAsia="Calibri" w:cs="Tahoma"/>
          <w:lang w:val="es-ES"/>
        </w:rPr>
        <w:t xml:space="preserve">Con fecha </w:t>
      </w:r>
      <w:r w:rsidRPr="00A14665" w:rsidR="00C003A2">
        <w:rPr>
          <w:rFonts w:eastAsia="Calibri" w:cs="Tahoma"/>
          <w:lang w:val="es-ES"/>
        </w:rPr>
        <w:t>nueve de enero de dos mil veintitrés</w:t>
      </w:r>
      <w:r w:rsidRPr="00A14665">
        <w:rPr>
          <w:rFonts w:eastAsia="Calibri" w:cs="Tahoma"/>
          <w:lang w:val="es-ES"/>
        </w:rPr>
        <w:t xml:space="preserve">, se tuvo por presentada la solicitud de información del Particular, a través del Sistema de Acceso a la Información Mexiquense (SAIMEX), ante el </w:t>
      </w:r>
      <w:r w:rsidRPr="00A14665" w:rsidR="00C003A2">
        <w:rPr>
          <w:rFonts w:eastAsia="Calibri" w:cs="Tahoma"/>
        </w:rPr>
        <w:t>Sistema Para el Desarrollo Integral de la Familia del Municipio de Atizapán de Zaragoza</w:t>
      </w:r>
      <w:r w:rsidRPr="00A14665">
        <w:rPr>
          <w:b/>
          <w:bCs/>
          <w:lang w:val="es-ES"/>
        </w:rPr>
        <w:t>,</w:t>
      </w:r>
      <w:r w:rsidRPr="00A14665">
        <w:rPr>
          <w:rFonts w:cs="Tahoma"/>
          <w:lang w:val="es-ES"/>
        </w:rPr>
        <w:t xml:space="preserve"> </w:t>
      </w:r>
      <w:r w:rsidRPr="00A14665">
        <w:rPr>
          <w:rFonts w:eastAsia="Calibri" w:cs="Times New Roman"/>
          <w:b/>
          <w:bCs/>
        </w:rPr>
        <w:t xml:space="preserve">ya que si bien, se registró, el </w:t>
      </w:r>
      <w:r w:rsidRPr="00A14665" w:rsidR="00C003A2">
        <w:rPr>
          <w:rFonts w:eastAsia="Calibri" w:cs="Times New Roman"/>
          <w:b/>
          <w:bCs/>
        </w:rPr>
        <w:t>cinco de dicho mes y año</w:t>
      </w:r>
      <w:r w:rsidRPr="00A14665">
        <w:rPr>
          <w:rFonts w:eastAsia="Calibri" w:cs="Times New Roman"/>
          <w:b/>
          <w:bCs/>
        </w:rPr>
        <w:t xml:space="preserve">,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A14665">
        <w:rPr>
          <w:rFonts w:eastAsia="Calibri" w:cs="Times New Roman"/>
          <w:bCs/>
        </w:rPr>
        <w:t>en los siguientes términos:</w:t>
      </w:r>
    </w:p>
    <w:p w:rsidRPr="00A14665" w:rsidR="00D8203F" w:rsidP="007D49D3" w:rsidRDefault="00D8203F" w14:paraId="174525F5" w14:textId="77777777">
      <w:pPr>
        <w:tabs>
          <w:tab w:val="left" w:pos="567"/>
        </w:tabs>
        <w:spacing w:after="0"/>
        <w:rPr>
          <w:rFonts w:eastAsia="Times New Roman" w:cs="Tahoma"/>
          <w:color w:val="auto"/>
          <w:lang w:eastAsia="es-ES"/>
        </w:rPr>
      </w:pPr>
    </w:p>
    <w:p w:rsidRPr="00A14665" w:rsidR="00D8203F" w:rsidP="007D49D3" w:rsidRDefault="00D8203F" w14:paraId="52CDF51B" w14:textId="77777777">
      <w:pPr>
        <w:tabs>
          <w:tab w:val="left" w:pos="4667"/>
        </w:tabs>
        <w:spacing w:after="0"/>
        <w:ind w:left="567" w:right="567"/>
        <w:rPr>
          <w:rFonts w:eastAsia="Times New Roman" w:cs="Tahoma"/>
          <w:b/>
          <w:i/>
          <w:iCs/>
          <w:color w:val="auto"/>
          <w:sz w:val="20"/>
          <w:szCs w:val="20"/>
          <w:lang w:eastAsia="es-ES"/>
        </w:rPr>
      </w:pPr>
      <w:r w:rsidRPr="00A14665">
        <w:rPr>
          <w:rFonts w:eastAsia="Times New Roman" w:cs="Tahoma"/>
          <w:b/>
          <w:i/>
          <w:iCs/>
          <w:color w:val="auto"/>
          <w:sz w:val="20"/>
          <w:szCs w:val="20"/>
          <w:lang w:eastAsia="es-ES"/>
        </w:rPr>
        <w:lastRenderedPageBreak/>
        <w:t>“DESCRIPCIÓN CLARA Y PRECISA DE LA INFORMACIÓN SOLICITADA.</w:t>
      </w:r>
    </w:p>
    <w:p w:rsidRPr="00A14665" w:rsidR="00D8203F" w:rsidP="007D49D3" w:rsidRDefault="00C003A2" w14:paraId="4240E320" w14:textId="4B8C150E">
      <w:pPr>
        <w:widowControl w:val="0"/>
        <w:tabs>
          <w:tab w:val="left" w:pos="4667"/>
        </w:tabs>
        <w:spacing w:after="0"/>
        <w:ind w:left="567" w:right="567"/>
        <w:rPr>
          <w:rFonts w:eastAsia="Times New Roman" w:cs="Tahoma"/>
          <w:bCs/>
          <w:i/>
          <w:iCs/>
          <w:color w:val="auto"/>
          <w:sz w:val="20"/>
          <w:szCs w:val="20"/>
          <w:lang w:eastAsia="es-ES"/>
        </w:rPr>
      </w:pPr>
      <w:r w:rsidRPr="00A14665">
        <w:rPr>
          <w:rFonts w:eastAsia="Times New Roman" w:cs="Tahoma"/>
          <w:bCs/>
          <w:i/>
          <w:iCs/>
          <w:color w:val="auto"/>
          <w:sz w:val="20"/>
          <w:szCs w:val="20"/>
          <w:lang w:eastAsia="es-ES"/>
        </w:rPr>
        <w:t xml:space="preserve">Solicito </w:t>
      </w:r>
      <w:proofErr w:type="spellStart"/>
      <w:r w:rsidRPr="00A14665">
        <w:rPr>
          <w:rFonts w:eastAsia="Times New Roman" w:cs="Tahoma"/>
          <w:bCs/>
          <w:i/>
          <w:iCs/>
          <w:color w:val="auto"/>
          <w:sz w:val="20"/>
          <w:szCs w:val="20"/>
          <w:lang w:eastAsia="es-ES"/>
        </w:rPr>
        <w:t>version</w:t>
      </w:r>
      <w:proofErr w:type="spellEnd"/>
      <w:r w:rsidRPr="00A14665">
        <w:rPr>
          <w:rFonts w:eastAsia="Times New Roman" w:cs="Tahoma"/>
          <w:bCs/>
          <w:i/>
          <w:iCs/>
          <w:color w:val="auto"/>
          <w:sz w:val="20"/>
          <w:szCs w:val="20"/>
          <w:lang w:eastAsia="es-ES"/>
        </w:rPr>
        <w:t xml:space="preserve"> publica de los recibos de </w:t>
      </w:r>
      <w:proofErr w:type="spellStart"/>
      <w:r w:rsidRPr="00A14665">
        <w:rPr>
          <w:rFonts w:eastAsia="Times New Roman" w:cs="Tahoma"/>
          <w:bCs/>
          <w:i/>
          <w:iCs/>
          <w:color w:val="auto"/>
          <w:sz w:val="20"/>
          <w:szCs w:val="20"/>
          <w:lang w:eastAsia="es-ES"/>
        </w:rPr>
        <w:t>nomina</w:t>
      </w:r>
      <w:proofErr w:type="spellEnd"/>
      <w:r w:rsidRPr="00A14665">
        <w:rPr>
          <w:rFonts w:eastAsia="Times New Roman" w:cs="Tahoma"/>
          <w:bCs/>
          <w:i/>
          <w:iCs/>
          <w:color w:val="auto"/>
          <w:sz w:val="20"/>
          <w:szCs w:val="20"/>
          <w:lang w:eastAsia="es-ES"/>
        </w:rPr>
        <w:t xml:space="preserve"> de la primer quincena de diciembre de todos los mandos medios y altos (presidenta, tesorera directores y coordinadores) adscritos al sistema municipal del DIF del municipio de </w:t>
      </w:r>
      <w:proofErr w:type="spellStart"/>
      <w:r w:rsidRPr="00A14665">
        <w:rPr>
          <w:rFonts w:eastAsia="Times New Roman" w:cs="Tahoma"/>
          <w:bCs/>
          <w:i/>
          <w:iCs/>
          <w:color w:val="auto"/>
          <w:sz w:val="20"/>
          <w:szCs w:val="20"/>
          <w:lang w:eastAsia="es-ES"/>
        </w:rPr>
        <w:t>atizapan</w:t>
      </w:r>
      <w:proofErr w:type="spellEnd"/>
      <w:r w:rsidRPr="00A14665" w:rsidR="00D8203F">
        <w:rPr>
          <w:rFonts w:eastAsia="Times New Roman" w:cs="Tahoma"/>
          <w:bCs/>
          <w:i/>
          <w:iCs/>
          <w:color w:val="auto"/>
          <w:sz w:val="20"/>
          <w:szCs w:val="20"/>
          <w:lang w:eastAsia="es-ES"/>
        </w:rPr>
        <w:t xml:space="preserve">” (Sic) </w:t>
      </w:r>
    </w:p>
    <w:p w:rsidRPr="00A14665" w:rsidR="00D8203F" w:rsidP="007D49D3" w:rsidRDefault="00D8203F" w14:paraId="4E56260E" w14:textId="77777777">
      <w:pPr>
        <w:tabs>
          <w:tab w:val="left" w:pos="4667"/>
        </w:tabs>
        <w:spacing w:after="0"/>
        <w:ind w:left="567" w:right="567"/>
        <w:rPr>
          <w:rFonts w:eastAsia="Times New Roman" w:cs="Tahoma"/>
          <w:bCs/>
          <w:i/>
          <w:iCs/>
          <w:color w:val="auto"/>
          <w:sz w:val="20"/>
          <w:szCs w:val="20"/>
          <w:lang w:eastAsia="es-ES"/>
        </w:rPr>
      </w:pPr>
    </w:p>
    <w:p w:rsidRPr="00A14665" w:rsidR="00D8203F" w:rsidP="007D49D3" w:rsidRDefault="00D8203F" w14:paraId="59FEC259" w14:textId="77777777">
      <w:pPr>
        <w:tabs>
          <w:tab w:val="left" w:pos="4667"/>
        </w:tabs>
        <w:spacing w:after="0"/>
        <w:ind w:left="567" w:right="567"/>
        <w:rPr>
          <w:rFonts w:eastAsia="Times New Roman" w:cs="Tahoma"/>
          <w:b/>
          <w:bCs/>
          <w:i/>
          <w:iCs/>
          <w:color w:val="auto"/>
          <w:sz w:val="20"/>
          <w:lang w:eastAsia="es-ES"/>
        </w:rPr>
      </w:pPr>
      <w:r w:rsidRPr="00A14665">
        <w:rPr>
          <w:rFonts w:eastAsia="Times New Roman" w:cs="Tahoma"/>
          <w:b/>
          <w:bCs/>
          <w:i/>
          <w:iCs/>
          <w:color w:val="auto"/>
          <w:sz w:val="20"/>
          <w:lang w:eastAsia="es-ES"/>
        </w:rPr>
        <w:t>“MODALIDAD DE ENTREGA</w:t>
      </w:r>
    </w:p>
    <w:p w:rsidRPr="00A14665" w:rsidR="00D8203F" w:rsidP="007D49D3" w:rsidRDefault="008F07C8" w14:paraId="1D72B351" w14:textId="654D5A0D">
      <w:pPr>
        <w:spacing w:after="0"/>
        <w:ind w:left="567" w:right="567"/>
        <w:rPr>
          <w:rFonts w:eastAsia="Times New Roman" w:cs="Arial"/>
          <w:bCs/>
          <w:i/>
          <w:iCs/>
          <w:color w:val="auto"/>
          <w:sz w:val="20"/>
          <w:lang w:eastAsia="es-ES"/>
        </w:rPr>
      </w:pPr>
      <w:r w:rsidRPr="00A14665">
        <w:rPr>
          <w:rFonts w:eastAsia="Times New Roman" w:cs="Arial"/>
          <w:bCs/>
          <w:i/>
          <w:iCs/>
          <w:color w:val="auto"/>
          <w:sz w:val="20"/>
          <w:lang w:eastAsia="es-ES"/>
        </w:rPr>
        <w:t>A través del SAIMEX</w:t>
      </w:r>
      <w:r w:rsidRPr="00A14665" w:rsidR="00D8203F">
        <w:rPr>
          <w:rFonts w:eastAsia="Times New Roman" w:cs="Arial"/>
          <w:bCs/>
          <w:i/>
          <w:iCs/>
          <w:color w:val="auto"/>
          <w:sz w:val="20"/>
          <w:lang w:eastAsia="es-ES"/>
        </w:rPr>
        <w:t>”</w:t>
      </w:r>
    </w:p>
    <w:p w:rsidRPr="00A14665" w:rsidR="00D8203F" w:rsidP="007D49D3" w:rsidRDefault="00D8203F" w14:paraId="5455DBE1" w14:textId="77777777">
      <w:pPr>
        <w:spacing w:after="0"/>
        <w:rPr>
          <w:b/>
        </w:rPr>
      </w:pPr>
    </w:p>
    <w:p w:rsidRPr="00A14665" w:rsidR="00D8203F" w:rsidP="007D49D3" w:rsidRDefault="00D8203F" w14:paraId="7CE11C14" w14:textId="77777777">
      <w:pPr>
        <w:spacing w:after="0"/>
        <w:rPr>
          <w:b/>
        </w:rPr>
      </w:pPr>
      <w:r w:rsidRPr="00A14665">
        <w:rPr>
          <w:b/>
        </w:rPr>
        <w:t>II. Respuesta del Sujeto Obligado.</w:t>
      </w:r>
    </w:p>
    <w:p w:rsidRPr="00A14665" w:rsidR="00D8203F" w:rsidP="007D49D3" w:rsidRDefault="00D8203F" w14:paraId="62FF2732" w14:textId="77777777">
      <w:pPr>
        <w:spacing w:after="0"/>
        <w:rPr>
          <w:rFonts w:eastAsia="Times New Roman" w:cs="Tahoma"/>
          <w:bCs/>
          <w:iCs/>
          <w:lang w:eastAsia="es-ES"/>
        </w:rPr>
      </w:pPr>
    </w:p>
    <w:p w:rsidRPr="00A14665" w:rsidR="00F97409" w:rsidP="007D49D3" w:rsidRDefault="00F97409" w14:paraId="3401BA4C" w14:textId="5688270C">
      <w:pPr>
        <w:spacing w:after="0"/>
        <w:rPr>
          <w:rFonts w:eastAsia="Times New Roman" w:cs="Tahoma"/>
          <w:bCs/>
          <w:iCs/>
          <w:lang w:eastAsia="es-ES"/>
        </w:rPr>
      </w:pPr>
      <w:r w:rsidRPr="00A14665">
        <w:rPr>
          <w:rFonts w:eastAsia="Times New Roman" w:cs="Tahoma"/>
          <w:bCs/>
          <w:iCs/>
          <w:lang w:eastAsia="es-ES"/>
        </w:rPr>
        <w:t xml:space="preserve">Con fecha </w:t>
      </w:r>
      <w:r w:rsidRPr="00A14665" w:rsidR="00C003A2">
        <w:rPr>
          <w:rFonts w:eastAsia="Times New Roman" w:cs="Tahoma"/>
          <w:bCs/>
          <w:iCs/>
          <w:lang w:eastAsia="es-ES"/>
        </w:rPr>
        <w:t>treinta y uno de enero de dos mil veintitrés</w:t>
      </w:r>
      <w:r w:rsidRPr="00A14665" w:rsidR="00777341">
        <w:rPr>
          <w:rFonts w:eastAsia="Times New Roman" w:cs="Tahoma"/>
          <w:bCs/>
          <w:iCs/>
          <w:lang w:eastAsia="es-ES"/>
        </w:rPr>
        <w:t xml:space="preserve">, </w:t>
      </w:r>
      <w:r w:rsidRPr="00A14665" w:rsidR="008F07C8">
        <w:rPr>
          <w:rFonts w:eastAsia="Times New Roman" w:cs="Tahoma"/>
          <w:bCs/>
          <w:iCs/>
          <w:lang w:eastAsia="es-ES"/>
        </w:rPr>
        <w:t>el</w:t>
      </w:r>
      <w:r w:rsidRPr="00A14665" w:rsidR="00D8203F">
        <w:rPr>
          <w:rFonts w:eastAsia="Times New Roman" w:cs="Tahoma"/>
          <w:bCs/>
          <w:iCs/>
          <w:lang w:eastAsia="es-ES"/>
        </w:rPr>
        <w:t xml:space="preserve"> </w:t>
      </w:r>
      <w:r w:rsidRPr="00A14665" w:rsidR="00C003A2">
        <w:rPr>
          <w:rFonts w:eastAsia="Times New Roman" w:cs="Tahoma"/>
          <w:bCs/>
          <w:iCs/>
          <w:lang w:eastAsia="es-ES"/>
        </w:rPr>
        <w:t>Sistema Para el Desarrollo Integral de la Familia del Municipio de Atizapán de Zaragoza</w:t>
      </w:r>
      <w:r w:rsidRPr="00A14665" w:rsidR="00D8203F">
        <w:rPr>
          <w:rFonts w:eastAsia="Times New Roman" w:cs="Tahoma"/>
          <w:bCs/>
          <w:iCs/>
          <w:lang w:eastAsia="es-ES"/>
        </w:rPr>
        <w:t xml:space="preserve">, a través del Sistema de Acceso a la Información Mexiquense (SAIMEX), notificó la respuesta </w:t>
      </w:r>
      <w:r w:rsidRPr="00A14665" w:rsidR="008A5840">
        <w:rPr>
          <w:rFonts w:eastAsia="Times New Roman" w:cs="Tahoma"/>
          <w:bCs/>
          <w:iCs/>
          <w:lang w:eastAsia="es-ES"/>
        </w:rPr>
        <w:t>al</w:t>
      </w:r>
      <w:r w:rsidRPr="00A14665" w:rsidR="00D8203F">
        <w:rPr>
          <w:rFonts w:eastAsia="Times New Roman" w:cs="Tahoma"/>
          <w:bCs/>
          <w:iCs/>
          <w:lang w:eastAsia="es-ES"/>
        </w:rPr>
        <w:t xml:space="preserve"> Soli</w:t>
      </w:r>
      <w:r w:rsidRPr="00A14665" w:rsidR="00777341">
        <w:rPr>
          <w:rFonts w:eastAsia="Times New Roman" w:cs="Tahoma"/>
          <w:bCs/>
          <w:iCs/>
          <w:lang w:eastAsia="es-ES"/>
        </w:rPr>
        <w:t xml:space="preserve">citante, por medio de </w:t>
      </w:r>
      <w:r w:rsidRPr="00A14665" w:rsidR="00D8203F">
        <w:rPr>
          <w:rFonts w:eastAsia="Times New Roman" w:cs="Tahoma"/>
          <w:bCs/>
          <w:iCs/>
          <w:lang w:eastAsia="es-ES"/>
        </w:rPr>
        <w:t xml:space="preserve">oficio </w:t>
      </w:r>
      <w:r w:rsidRPr="00A14665" w:rsidR="00C003A2">
        <w:rPr>
          <w:rFonts w:eastAsia="Times New Roman" w:cs="Tahoma"/>
          <w:bCs/>
          <w:iCs/>
          <w:lang w:eastAsia="es-ES"/>
        </w:rPr>
        <w:t xml:space="preserve">sin </w:t>
      </w:r>
      <w:r w:rsidRPr="00A14665" w:rsidR="00D8203F">
        <w:rPr>
          <w:rFonts w:eastAsia="Times New Roman" w:cs="Tahoma"/>
          <w:bCs/>
          <w:iCs/>
          <w:lang w:eastAsia="es-ES"/>
        </w:rPr>
        <w:t>número</w:t>
      </w:r>
      <w:r w:rsidRPr="00A14665" w:rsidR="008A5840">
        <w:rPr>
          <w:rFonts w:eastAsia="Times New Roman" w:cs="Tahoma"/>
          <w:bCs/>
          <w:iCs/>
          <w:lang w:eastAsia="es-ES"/>
        </w:rPr>
        <w:t xml:space="preserve">, </w:t>
      </w:r>
      <w:r w:rsidRPr="00A14665" w:rsidR="008F07C8">
        <w:rPr>
          <w:rFonts w:eastAsia="Times New Roman" w:cs="Tahoma"/>
          <w:bCs/>
          <w:iCs/>
          <w:lang w:eastAsia="es-ES"/>
        </w:rPr>
        <w:t>de la misma fecha</w:t>
      </w:r>
      <w:r w:rsidRPr="00A14665" w:rsidR="008A5840">
        <w:rPr>
          <w:rFonts w:eastAsia="Times New Roman" w:cs="Tahoma"/>
          <w:bCs/>
          <w:iCs/>
          <w:lang w:eastAsia="es-ES"/>
        </w:rPr>
        <w:t>,</w:t>
      </w:r>
      <w:r w:rsidRPr="00A14665">
        <w:rPr>
          <w:rFonts w:eastAsia="Times New Roman" w:cs="Tahoma"/>
          <w:bCs/>
          <w:iCs/>
          <w:lang w:eastAsia="es-ES"/>
        </w:rPr>
        <w:t xml:space="preserve"> </w:t>
      </w:r>
      <w:r w:rsidRPr="00A14665" w:rsidR="00C003A2">
        <w:rPr>
          <w:rFonts w:eastAsia="Times New Roman" w:cs="Tahoma"/>
          <w:bCs/>
          <w:iCs/>
          <w:lang w:eastAsia="es-ES"/>
        </w:rPr>
        <w:t xml:space="preserve">emitido por la Unidad de </w:t>
      </w:r>
      <w:proofErr w:type="spellStart"/>
      <w:r w:rsidRPr="00A14665" w:rsidR="00C003A2">
        <w:rPr>
          <w:rFonts w:eastAsia="Times New Roman" w:cs="Tahoma"/>
          <w:bCs/>
          <w:iCs/>
          <w:lang w:eastAsia="es-ES"/>
        </w:rPr>
        <w:t>Transparenica</w:t>
      </w:r>
      <w:proofErr w:type="spellEnd"/>
      <w:r w:rsidRPr="00A14665" w:rsidR="00D345E2">
        <w:rPr>
          <w:rFonts w:eastAsia="Times New Roman" w:cs="Tahoma"/>
          <w:bCs/>
          <w:iCs/>
          <w:lang w:eastAsia="es-ES"/>
        </w:rPr>
        <w:t xml:space="preserve"> y dirigido al Solicitante</w:t>
      </w:r>
      <w:r w:rsidRPr="00A14665">
        <w:rPr>
          <w:rFonts w:eastAsia="Times New Roman" w:cs="Tahoma"/>
          <w:bCs/>
          <w:iCs/>
          <w:lang w:eastAsia="es-ES"/>
        </w:rPr>
        <w:t xml:space="preserve">, por medio del cual </w:t>
      </w:r>
      <w:r w:rsidRPr="00A14665" w:rsidR="008A5840">
        <w:rPr>
          <w:rFonts w:eastAsia="Times New Roman" w:cs="Tahoma"/>
          <w:bCs/>
          <w:iCs/>
          <w:lang w:eastAsia="es-ES"/>
        </w:rPr>
        <w:t xml:space="preserve">precisa </w:t>
      </w:r>
      <w:r w:rsidRPr="00A14665" w:rsidR="00D345E2">
        <w:rPr>
          <w:rFonts w:eastAsia="Times New Roman" w:cs="Tahoma"/>
          <w:bCs/>
          <w:iCs/>
          <w:lang w:eastAsia="es-ES"/>
        </w:rPr>
        <w:t>lo siguiente:</w:t>
      </w:r>
    </w:p>
    <w:p w:rsidRPr="00A14665" w:rsidR="00D345E2" w:rsidP="007D49D3" w:rsidRDefault="00D345E2" w14:paraId="5947DE32" w14:textId="352402A6">
      <w:pPr>
        <w:spacing w:after="0"/>
        <w:rPr>
          <w:rFonts w:eastAsia="Times New Roman" w:cs="Tahoma"/>
          <w:bCs/>
          <w:iCs/>
          <w:lang w:eastAsia="es-ES"/>
        </w:rPr>
      </w:pPr>
    </w:p>
    <w:p w:rsidRPr="00A14665" w:rsidR="00D345E2" w:rsidP="007D49D3" w:rsidRDefault="00D345E2" w14:paraId="41867604" w14:textId="61396DB9">
      <w:pPr>
        <w:spacing w:after="0"/>
        <w:ind w:left="567" w:right="567"/>
        <w:rPr>
          <w:rFonts w:eastAsia="Times New Roman" w:cs="Tahoma"/>
          <w:bCs/>
          <w:i/>
          <w:sz w:val="20"/>
          <w:szCs w:val="20"/>
          <w:lang w:eastAsia="es-ES"/>
        </w:rPr>
      </w:pPr>
      <w:r w:rsidRPr="00A14665">
        <w:rPr>
          <w:rFonts w:eastAsia="Times New Roman" w:cs="Tahoma"/>
          <w:bCs/>
          <w:i/>
          <w:sz w:val="20"/>
          <w:szCs w:val="20"/>
          <w:lang w:eastAsia="es-ES"/>
        </w:rPr>
        <w:t>“…</w:t>
      </w:r>
    </w:p>
    <w:p w:rsidRPr="00A14665" w:rsidR="00C003A2" w:rsidP="007D49D3" w:rsidRDefault="00C003A2" w14:paraId="733346B8" w14:textId="4164B266">
      <w:pPr>
        <w:spacing w:after="0"/>
        <w:ind w:left="567" w:right="567"/>
        <w:rPr>
          <w:rFonts w:eastAsia="Times New Roman" w:cs="Tahoma"/>
          <w:bCs/>
          <w:i/>
          <w:sz w:val="20"/>
          <w:szCs w:val="20"/>
          <w:lang w:eastAsia="es-ES"/>
        </w:rPr>
      </w:pPr>
      <w:r w:rsidRPr="00A14665">
        <w:rPr>
          <w:rFonts w:eastAsia="Times New Roman" w:cs="Tahoma"/>
          <w:bCs/>
          <w:i/>
          <w:sz w:val="20"/>
          <w:szCs w:val="20"/>
          <w:lang w:eastAsia="es-ES"/>
        </w:rPr>
        <w:t xml:space="preserve">Se remiten archivos en formato PDF que contienen los recibos requeridos, así como acta del Comité de Transparencia que contiene acuerdo de clasificación de datos personales que obran en los recibos requeridos, dando así cumplimiento a su solicitud de información. Por lo anterior hago de su conocimiento que ante cualquier inconformidad relacionada con la presente respuesta como lo establece el Artículo 178 de la Ley de referencia podrá interponer recurso de revisión dentro de los siguientes 15 días hábiles a través del mismo Sistema SAIMEX y/o directamente en las oficinas que ocupa esta Unidad de Transparencia ubicadas en Av. Ruiz </w:t>
      </w:r>
      <w:proofErr w:type="spellStart"/>
      <w:r w:rsidRPr="00A14665">
        <w:rPr>
          <w:rFonts w:eastAsia="Times New Roman" w:cs="Tahoma"/>
          <w:bCs/>
          <w:i/>
          <w:sz w:val="20"/>
          <w:szCs w:val="20"/>
          <w:lang w:eastAsia="es-ES"/>
        </w:rPr>
        <w:t>Cortínes</w:t>
      </w:r>
      <w:proofErr w:type="spellEnd"/>
      <w:r w:rsidRPr="00A14665">
        <w:rPr>
          <w:rFonts w:eastAsia="Times New Roman" w:cs="Tahoma"/>
          <w:bCs/>
          <w:i/>
          <w:sz w:val="20"/>
          <w:szCs w:val="20"/>
          <w:lang w:eastAsia="es-ES"/>
        </w:rPr>
        <w:t xml:space="preserve"> s/n, esquina Acambay, col. Lomas de Atizapán, Atizapán de Zaragoza Estado de México. C.P 52977, de lunes a viernes de 9:00 a 18:00 horas.</w:t>
      </w:r>
    </w:p>
    <w:p w:rsidRPr="00A14665" w:rsidR="00D345E2" w:rsidP="007D49D3" w:rsidRDefault="00D345E2" w14:paraId="386E91A6" w14:textId="38CFFB5B">
      <w:pPr>
        <w:spacing w:after="0"/>
        <w:ind w:left="567" w:right="567"/>
        <w:rPr>
          <w:rFonts w:eastAsia="Times New Roman" w:cs="Tahoma"/>
          <w:bCs/>
          <w:i/>
          <w:sz w:val="20"/>
          <w:szCs w:val="20"/>
          <w:lang w:eastAsia="es-ES"/>
        </w:rPr>
      </w:pPr>
      <w:r w:rsidRPr="00A14665">
        <w:rPr>
          <w:rFonts w:eastAsia="Times New Roman" w:cs="Tahoma"/>
          <w:bCs/>
          <w:i/>
          <w:sz w:val="20"/>
          <w:szCs w:val="20"/>
          <w:lang w:eastAsia="es-ES"/>
        </w:rPr>
        <w:t>…”</w:t>
      </w:r>
    </w:p>
    <w:p w:rsidRPr="00A14665" w:rsidR="00C003A2" w:rsidP="007D49D3" w:rsidRDefault="00C003A2" w14:paraId="2B2C7E28" w14:textId="77777777">
      <w:pPr>
        <w:spacing w:after="0"/>
        <w:rPr>
          <w:rFonts w:eastAsia="Times New Roman" w:cs="Tahoma"/>
          <w:bCs/>
          <w:iCs/>
          <w:lang w:eastAsia="es-ES"/>
        </w:rPr>
      </w:pPr>
    </w:p>
    <w:p w:rsidRPr="00A14665" w:rsidR="007B0411" w:rsidP="007D49D3" w:rsidRDefault="008A5840" w14:paraId="6CFE54A7" w14:textId="6C44FA77">
      <w:pPr>
        <w:spacing w:after="0"/>
        <w:rPr>
          <w:rFonts w:eastAsia="Times New Roman" w:cs="Tahoma"/>
          <w:bCs/>
          <w:iCs/>
          <w:lang w:eastAsia="es-ES"/>
        </w:rPr>
      </w:pPr>
      <w:r w:rsidRPr="00A14665">
        <w:rPr>
          <w:rFonts w:eastAsia="Times New Roman" w:cs="Tahoma"/>
          <w:bCs/>
          <w:iCs/>
          <w:lang w:eastAsia="es-ES"/>
        </w:rPr>
        <w:lastRenderedPageBreak/>
        <w:t>El Ente Recurrido</w:t>
      </w:r>
      <w:r w:rsidRPr="00A14665" w:rsidR="00F97409">
        <w:rPr>
          <w:rFonts w:eastAsia="Times New Roman" w:cs="Tahoma"/>
          <w:bCs/>
          <w:iCs/>
          <w:lang w:eastAsia="es-ES"/>
        </w:rPr>
        <w:t xml:space="preserve"> adjunt</w:t>
      </w:r>
      <w:r w:rsidRPr="00A14665">
        <w:rPr>
          <w:rFonts w:eastAsia="Times New Roman" w:cs="Tahoma"/>
          <w:bCs/>
          <w:iCs/>
          <w:lang w:eastAsia="es-ES"/>
        </w:rPr>
        <w:t>ó</w:t>
      </w:r>
      <w:r w:rsidRPr="00A14665" w:rsidR="00F97409">
        <w:rPr>
          <w:rFonts w:eastAsia="Times New Roman" w:cs="Tahoma"/>
          <w:bCs/>
          <w:iCs/>
          <w:lang w:eastAsia="es-ES"/>
        </w:rPr>
        <w:t xml:space="preserve"> l</w:t>
      </w:r>
      <w:r w:rsidRPr="00A14665">
        <w:rPr>
          <w:rFonts w:eastAsia="Times New Roman" w:cs="Tahoma"/>
          <w:bCs/>
          <w:iCs/>
          <w:lang w:eastAsia="es-ES"/>
        </w:rPr>
        <w:t xml:space="preserve">a digitalización </w:t>
      </w:r>
      <w:r w:rsidRPr="00A14665" w:rsidR="00C003A2">
        <w:rPr>
          <w:rFonts w:eastAsia="Times New Roman" w:cs="Tahoma"/>
          <w:bCs/>
          <w:iCs/>
          <w:lang w:eastAsia="es-ES"/>
        </w:rPr>
        <w:t xml:space="preserve">de la versión pública de diversos recibos de nómina, así como, el Acta de la Primera Sesión Ordinaria con número DIF/CT/01/ORD/2023, del </w:t>
      </w:r>
      <w:r w:rsidRPr="00A14665" w:rsidR="007D49D3">
        <w:rPr>
          <w:rFonts w:eastAsia="Times New Roman" w:cs="Tahoma"/>
          <w:bCs/>
          <w:iCs/>
          <w:lang w:eastAsia="es-ES"/>
        </w:rPr>
        <w:t>treinta de enero de dos mil veintitrés, suscrita por el Comité de Transparencia, mediante el cual confirma la clasificación de los datos testados.</w:t>
      </w:r>
    </w:p>
    <w:p w:rsidRPr="00A14665" w:rsidR="00C870AA" w:rsidP="007D49D3" w:rsidRDefault="00C870AA" w14:paraId="0C1FD671" w14:textId="77777777">
      <w:pPr>
        <w:pStyle w:val="Prrafodelista"/>
        <w:spacing w:after="0"/>
        <w:rPr>
          <w:rFonts w:eastAsia="Times New Roman" w:cs="Tahoma"/>
          <w:bCs/>
          <w:iCs/>
          <w:lang w:eastAsia="es-ES"/>
        </w:rPr>
      </w:pPr>
    </w:p>
    <w:p w:rsidRPr="00A14665" w:rsidR="00D8203F" w:rsidP="007D49D3" w:rsidRDefault="00D8203F" w14:paraId="21F292FF" w14:textId="77777777">
      <w:pPr>
        <w:spacing w:after="0"/>
        <w:rPr>
          <w:b/>
          <w:bCs/>
        </w:rPr>
      </w:pPr>
      <w:r w:rsidRPr="00A14665">
        <w:rPr>
          <w:b/>
          <w:bCs/>
        </w:rPr>
        <w:t xml:space="preserve">III. Interposición del Recurso de Revisión. </w:t>
      </w:r>
    </w:p>
    <w:p w:rsidRPr="00A14665" w:rsidR="00D8203F" w:rsidP="007D49D3" w:rsidRDefault="00D8203F" w14:paraId="71FE0651" w14:textId="77777777">
      <w:pPr>
        <w:spacing w:after="0"/>
        <w:rPr>
          <w:b/>
          <w:bCs/>
        </w:rPr>
      </w:pPr>
    </w:p>
    <w:p w:rsidRPr="00A14665" w:rsidR="007B0411" w:rsidP="007D49D3" w:rsidRDefault="00454109" w14:paraId="7E37C3DB" w14:textId="31FCBA62">
      <w:pPr>
        <w:spacing w:after="0"/>
      </w:pPr>
      <w:r w:rsidRPr="00A14665">
        <w:rPr>
          <w:rFonts w:eastAsia="Times New Roman" w:cs="Tahoma"/>
          <w:color w:val="auto"/>
          <w:lang w:eastAsia="es-ES"/>
        </w:rPr>
        <w:t xml:space="preserve">Con fecha </w:t>
      </w:r>
      <w:r w:rsidRPr="00A14665" w:rsidR="007D49D3">
        <w:rPr>
          <w:rFonts w:eastAsia="Times New Roman" w:cs="Tahoma"/>
          <w:color w:val="auto"/>
          <w:lang w:eastAsia="es-ES"/>
        </w:rPr>
        <w:t>dos de febrero de dos mil veintitrés</w:t>
      </w:r>
      <w:r w:rsidRPr="00A14665" w:rsidR="007B0411">
        <w:rPr>
          <w:rFonts w:eastAsia="Times New Roman" w:cs="Tahoma"/>
          <w:color w:val="auto"/>
          <w:lang w:eastAsia="es-ES"/>
        </w:rPr>
        <w:t xml:space="preserve">, </w:t>
      </w:r>
      <w:r w:rsidRPr="00A14665" w:rsidR="00BD08C5">
        <w:t xml:space="preserve">se </w:t>
      </w:r>
      <w:r w:rsidRPr="00A14665" w:rsidR="00D345E2">
        <w:t>recibió</w:t>
      </w:r>
      <w:r w:rsidRPr="00A14665" w:rsidR="00BD08C5">
        <w:t xml:space="preserve"> en este Instituto, a través del Sistema</w:t>
      </w:r>
      <w:r w:rsidRPr="00A14665" w:rsidR="00BD08C5">
        <w:rPr>
          <w:lang w:val="es-ES"/>
        </w:rPr>
        <w:t xml:space="preserve"> de Acceso a la Información Mexiquense (SAIMEX)</w:t>
      </w:r>
      <w:r w:rsidRPr="00A14665" w:rsidR="00BD08C5">
        <w:t>, el Recurso de Revisión interpuesto por la parte Recurrente</w:t>
      </w:r>
      <w:r w:rsidRPr="00A14665" w:rsidR="007B0411">
        <w:rPr>
          <w:rFonts w:eastAsia="Batang" w:cs="Tahoma"/>
          <w:color w:val="auto"/>
          <w:lang w:val="es-ES" w:eastAsia="es-ES"/>
        </w:rPr>
        <w:t>,</w:t>
      </w:r>
      <w:r w:rsidRPr="00A14665" w:rsidR="00BD08C5">
        <w:rPr>
          <w:rFonts w:eastAsia="Batang" w:cs="Tahoma"/>
          <w:color w:val="auto"/>
          <w:lang w:val="es-ES" w:eastAsia="es-ES"/>
        </w:rPr>
        <w:t xml:space="preserve"> </w:t>
      </w:r>
      <w:r w:rsidRPr="00A14665" w:rsidR="00BD08C5">
        <w:t>en contra de la respuesta del Sujeto Obligado</w:t>
      </w:r>
      <w:r w:rsidRPr="00A14665">
        <w:t xml:space="preserve">, </w:t>
      </w:r>
      <w:r w:rsidRPr="00A14665" w:rsidR="00BD08C5">
        <w:rPr>
          <w:rFonts w:cs="Tahoma"/>
          <w:lang w:val="es-ES"/>
        </w:rPr>
        <w:t xml:space="preserve">en los siguientes términos: </w:t>
      </w:r>
    </w:p>
    <w:p w:rsidRPr="00A14665" w:rsidR="00D8203F" w:rsidP="007D49D3" w:rsidRDefault="00D8203F" w14:paraId="32EC2427" w14:textId="77777777">
      <w:pPr>
        <w:spacing w:after="0"/>
      </w:pPr>
    </w:p>
    <w:p w:rsidRPr="00A14665" w:rsidR="00D8203F" w:rsidP="007D49D3" w:rsidRDefault="00D8203F" w14:paraId="2833A950" w14:textId="77777777">
      <w:pPr>
        <w:spacing w:after="0"/>
        <w:ind w:left="567" w:right="567"/>
        <w:rPr>
          <w:bCs/>
          <w:i/>
          <w:sz w:val="20"/>
          <w:szCs w:val="20"/>
        </w:rPr>
      </w:pPr>
      <w:r w:rsidRPr="00A14665">
        <w:rPr>
          <w:b/>
          <w:bCs/>
          <w:i/>
          <w:sz w:val="20"/>
          <w:szCs w:val="20"/>
        </w:rPr>
        <w:t>“ACTO IMPUGNADO</w:t>
      </w:r>
    </w:p>
    <w:p w:rsidRPr="00A14665" w:rsidR="00D8203F" w:rsidP="007D49D3" w:rsidRDefault="007D49D3" w14:paraId="60F31DEE" w14:textId="3842D698">
      <w:pPr>
        <w:spacing w:after="0"/>
        <w:ind w:left="567" w:right="567"/>
        <w:rPr>
          <w:i/>
          <w:sz w:val="20"/>
          <w:szCs w:val="20"/>
        </w:rPr>
      </w:pPr>
      <w:r w:rsidRPr="00A14665">
        <w:rPr>
          <w:i/>
          <w:sz w:val="20"/>
          <w:szCs w:val="20"/>
        </w:rPr>
        <w:t>no se envió la información solicitada</w:t>
      </w:r>
      <w:r w:rsidRPr="00A14665" w:rsidR="00D8203F">
        <w:rPr>
          <w:i/>
          <w:sz w:val="20"/>
          <w:szCs w:val="20"/>
        </w:rPr>
        <w:t>” (Sic.)</w:t>
      </w:r>
    </w:p>
    <w:p w:rsidRPr="00A14665" w:rsidR="00D8203F" w:rsidP="007D49D3" w:rsidRDefault="00D8203F" w14:paraId="69D01251" w14:textId="77777777">
      <w:pPr>
        <w:spacing w:after="0"/>
        <w:ind w:left="567" w:right="567"/>
        <w:rPr>
          <w:i/>
          <w:sz w:val="20"/>
          <w:szCs w:val="20"/>
        </w:rPr>
      </w:pPr>
    </w:p>
    <w:p w:rsidRPr="00A14665" w:rsidR="00BD08C5" w:rsidP="007D49D3" w:rsidRDefault="00D8203F" w14:paraId="46664227" w14:textId="61AAD6B7">
      <w:pPr>
        <w:spacing w:after="0"/>
        <w:ind w:left="567" w:right="567"/>
        <w:rPr>
          <w:b/>
          <w:i/>
          <w:sz w:val="20"/>
          <w:szCs w:val="20"/>
        </w:rPr>
      </w:pPr>
      <w:r w:rsidRPr="00A14665">
        <w:rPr>
          <w:b/>
          <w:i/>
          <w:sz w:val="20"/>
          <w:szCs w:val="20"/>
        </w:rPr>
        <w:t>“RAZONES O MOTIVOS DE LA INCONFORMIDAD</w:t>
      </w:r>
    </w:p>
    <w:p w:rsidRPr="00A14665" w:rsidR="00D8203F" w:rsidP="007D49D3" w:rsidRDefault="007D49D3" w14:paraId="4DE18E01" w14:textId="40FAF892">
      <w:pPr>
        <w:spacing w:after="0"/>
        <w:ind w:left="567" w:right="567"/>
        <w:rPr>
          <w:i/>
          <w:sz w:val="20"/>
          <w:szCs w:val="20"/>
        </w:rPr>
      </w:pPr>
      <w:r w:rsidRPr="00A14665">
        <w:rPr>
          <w:i/>
          <w:sz w:val="20"/>
          <w:szCs w:val="20"/>
        </w:rPr>
        <w:t xml:space="preserve">en la </w:t>
      </w:r>
      <w:proofErr w:type="spellStart"/>
      <w:r w:rsidRPr="00A14665">
        <w:rPr>
          <w:i/>
          <w:sz w:val="20"/>
          <w:szCs w:val="20"/>
        </w:rPr>
        <w:t>solicitu</w:t>
      </w:r>
      <w:proofErr w:type="spellEnd"/>
      <w:r w:rsidRPr="00A14665">
        <w:rPr>
          <w:i/>
          <w:sz w:val="20"/>
          <w:szCs w:val="20"/>
        </w:rPr>
        <w:t xml:space="preserve"> le solicite </w:t>
      </w:r>
      <w:proofErr w:type="spellStart"/>
      <w:r w:rsidRPr="00A14665">
        <w:rPr>
          <w:i/>
          <w:sz w:val="20"/>
          <w:szCs w:val="20"/>
        </w:rPr>
        <w:t>PbRM</w:t>
      </w:r>
      <w:proofErr w:type="spellEnd"/>
      <w:r w:rsidRPr="00A14665">
        <w:rPr>
          <w:i/>
          <w:sz w:val="20"/>
          <w:szCs w:val="20"/>
        </w:rPr>
        <w:t xml:space="preserve"> 01a, </w:t>
      </w:r>
      <w:proofErr w:type="spellStart"/>
      <w:r w:rsidRPr="00A14665">
        <w:rPr>
          <w:i/>
          <w:sz w:val="20"/>
          <w:szCs w:val="20"/>
        </w:rPr>
        <w:t>PbRM</w:t>
      </w:r>
      <w:proofErr w:type="spellEnd"/>
      <w:r w:rsidRPr="00A14665">
        <w:rPr>
          <w:i/>
          <w:sz w:val="20"/>
          <w:szCs w:val="20"/>
        </w:rPr>
        <w:t xml:space="preserve"> 01b, </w:t>
      </w:r>
      <w:proofErr w:type="spellStart"/>
      <w:r w:rsidRPr="00A14665">
        <w:rPr>
          <w:i/>
          <w:sz w:val="20"/>
          <w:szCs w:val="20"/>
        </w:rPr>
        <w:t>PbRM</w:t>
      </w:r>
      <w:proofErr w:type="spellEnd"/>
      <w:r w:rsidRPr="00A14665">
        <w:rPr>
          <w:i/>
          <w:sz w:val="20"/>
          <w:szCs w:val="20"/>
        </w:rPr>
        <w:t xml:space="preserve"> 01c,PbRM 01d, </w:t>
      </w:r>
      <w:proofErr w:type="spellStart"/>
      <w:r w:rsidRPr="00A14665">
        <w:rPr>
          <w:i/>
          <w:sz w:val="20"/>
          <w:szCs w:val="20"/>
        </w:rPr>
        <w:t>PbRM</w:t>
      </w:r>
      <w:proofErr w:type="spellEnd"/>
      <w:r w:rsidRPr="00A14665">
        <w:rPr>
          <w:i/>
          <w:sz w:val="20"/>
          <w:szCs w:val="20"/>
        </w:rPr>
        <w:t xml:space="preserve"> 01e y </w:t>
      </w:r>
      <w:proofErr w:type="spellStart"/>
      <w:r w:rsidRPr="00A14665">
        <w:rPr>
          <w:i/>
          <w:sz w:val="20"/>
          <w:szCs w:val="20"/>
        </w:rPr>
        <w:t>PbRM</w:t>
      </w:r>
      <w:proofErr w:type="spellEnd"/>
      <w:r w:rsidRPr="00A14665">
        <w:rPr>
          <w:i/>
          <w:sz w:val="20"/>
          <w:szCs w:val="20"/>
        </w:rPr>
        <w:t xml:space="preserve"> 02a perfectamente llenados, firmados y alineados al POA 2022 que </w:t>
      </w:r>
      <w:proofErr w:type="spellStart"/>
      <w:r w:rsidRPr="00A14665">
        <w:rPr>
          <w:i/>
          <w:sz w:val="20"/>
          <w:szCs w:val="20"/>
        </w:rPr>
        <w:t>envio</w:t>
      </w:r>
      <w:proofErr w:type="spellEnd"/>
      <w:r w:rsidRPr="00A14665">
        <w:rPr>
          <w:i/>
          <w:sz w:val="20"/>
          <w:szCs w:val="20"/>
        </w:rPr>
        <w:t xml:space="preserve"> el DIFEM a dicha </w:t>
      </w:r>
      <w:proofErr w:type="spellStart"/>
      <w:r w:rsidRPr="00A14665">
        <w:rPr>
          <w:i/>
          <w:sz w:val="20"/>
          <w:szCs w:val="20"/>
        </w:rPr>
        <w:t>Institucion</w:t>
      </w:r>
      <w:proofErr w:type="spellEnd"/>
      <w:r w:rsidRPr="00A14665">
        <w:rPr>
          <w:i/>
          <w:sz w:val="20"/>
          <w:szCs w:val="20"/>
        </w:rPr>
        <w:t xml:space="preserve">, </w:t>
      </w:r>
      <w:proofErr w:type="spellStart"/>
      <w:r w:rsidRPr="00A14665">
        <w:rPr>
          <w:i/>
          <w:sz w:val="20"/>
          <w:szCs w:val="20"/>
        </w:rPr>
        <w:t>asi</w:t>
      </w:r>
      <w:proofErr w:type="spellEnd"/>
      <w:r w:rsidRPr="00A14665">
        <w:rPr>
          <w:i/>
          <w:sz w:val="20"/>
          <w:szCs w:val="20"/>
        </w:rPr>
        <w:t xml:space="preserve"> como los </w:t>
      </w:r>
      <w:proofErr w:type="spellStart"/>
      <w:r w:rsidRPr="00A14665">
        <w:rPr>
          <w:i/>
          <w:sz w:val="20"/>
          <w:szCs w:val="20"/>
        </w:rPr>
        <w:t>PbRM</w:t>
      </w:r>
      <w:proofErr w:type="spellEnd"/>
      <w:r w:rsidRPr="00A14665">
        <w:rPr>
          <w:i/>
          <w:sz w:val="20"/>
          <w:szCs w:val="20"/>
        </w:rPr>
        <w:t xml:space="preserve"> 08b y </w:t>
      </w:r>
      <w:proofErr w:type="spellStart"/>
      <w:r w:rsidRPr="00A14665">
        <w:rPr>
          <w:i/>
          <w:sz w:val="20"/>
          <w:szCs w:val="20"/>
        </w:rPr>
        <w:t>PbRM</w:t>
      </w:r>
      <w:proofErr w:type="spellEnd"/>
      <w:r w:rsidRPr="00A14665">
        <w:rPr>
          <w:i/>
          <w:sz w:val="20"/>
          <w:szCs w:val="20"/>
        </w:rPr>
        <w:t xml:space="preserve"> 08c generados por el </w:t>
      </w:r>
      <w:proofErr w:type="spellStart"/>
      <w:r w:rsidRPr="00A14665">
        <w:rPr>
          <w:i/>
          <w:sz w:val="20"/>
          <w:szCs w:val="20"/>
        </w:rPr>
        <w:t>progress</w:t>
      </w:r>
      <w:proofErr w:type="spellEnd"/>
      <w:r w:rsidRPr="00A14665">
        <w:rPr>
          <w:i/>
          <w:sz w:val="20"/>
          <w:szCs w:val="20"/>
        </w:rPr>
        <w:t xml:space="preserve"> de los 3 trimestres del 2022 enviados al </w:t>
      </w:r>
      <w:proofErr w:type="spellStart"/>
      <w:r w:rsidRPr="00A14665">
        <w:rPr>
          <w:i/>
          <w:sz w:val="20"/>
          <w:szCs w:val="20"/>
        </w:rPr>
        <w:t>osfem</w:t>
      </w:r>
      <w:proofErr w:type="spellEnd"/>
      <w:r w:rsidRPr="00A14665">
        <w:rPr>
          <w:i/>
          <w:sz w:val="20"/>
          <w:szCs w:val="20"/>
        </w:rPr>
        <w:t xml:space="preserve">, </w:t>
      </w:r>
      <w:proofErr w:type="spellStart"/>
      <w:r w:rsidRPr="00A14665">
        <w:rPr>
          <w:i/>
          <w:sz w:val="20"/>
          <w:szCs w:val="20"/>
        </w:rPr>
        <w:t>mas</w:t>
      </w:r>
      <w:proofErr w:type="spellEnd"/>
      <w:r w:rsidRPr="00A14665">
        <w:rPr>
          <w:i/>
          <w:sz w:val="20"/>
          <w:szCs w:val="20"/>
        </w:rPr>
        <w:t xml:space="preserve"> sin en cambio solo me enviaron un link en el cual la </w:t>
      </w:r>
      <w:proofErr w:type="spellStart"/>
      <w:r w:rsidRPr="00A14665">
        <w:rPr>
          <w:i/>
          <w:sz w:val="20"/>
          <w:szCs w:val="20"/>
        </w:rPr>
        <w:t>informacion</w:t>
      </w:r>
      <w:proofErr w:type="spellEnd"/>
      <w:r w:rsidRPr="00A14665">
        <w:rPr>
          <w:i/>
          <w:sz w:val="20"/>
          <w:szCs w:val="20"/>
        </w:rPr>
        <w:t xml:space="preserve"> no tiene nada que ver con la </w:t>
      </w:r>
      <w:proofErr w:type="spellStart"/>
      <w:r w:rsidRPr="00A14665">
        <w:rPr>
          <w:i/>
          <w:sz w:val="20"/>
          <w:szCs w:val="20"/>
        </w:rPr>
        <w:t>solicitasa</w:t>
      </w:r>
      <w:proofErr w:type="spellEnd"/>
      <w:r w:rsidRPr="00A14665" w:rsidR="00D8203F">
        <w:rPr>
          <w:i/>
          <w:sz w:val="20"/>
          <w:szCs w:val="20"/>
        </w:rPr>
        <w:t>” (Sic.)</w:t>
      </w:r>
    </w:p>
    <w:p w:rsidRPr="00A14665" w:rsidR="00D8203F" w:rsidP="007D49D3" w:rsidRDefault="00D8203F" w14:paraId="6111A3B0" w14:textId="77777777">
      <w:pPr>
        <w:spacing w:after="0"/>
      </w:pPr>
    </w:p>
    <w:p w:rsidRPr="00A14665" w:rsidR="00D8203F" w:rsidP="007D49D3" w:rsidRDefault="00D8203F" w14:paraId="7CC18348" w14:textId="77777777">
      <w:pPr>
        <w:spacing w:after="0"/>
        <w:rPr>
          <w:b/>
          <w:bCs/>
        </w:rPr>
      </w:pPr>
      <w:r w:rsidRPr="00A14665">
        <w:rPr>
          <w:b/>
          <w:bCs/>
        </w:rPr>
        <w:t>IV. Trámite del Recurso de Revisión ante el Instituto.</w:t>
      </w:r>
    </w:p>
    <w:p w:rsidRPr="00A14665" w:rsidR="00D8203F" w:rsidP="007D49D3" w:rsidRDefault="00D8203F" w14:paraId="26D65406" w14:textId="77777777">
      <w:pPr>
        <w:spacing w:after="0"/>
      </w:pPr>
    </w:p>
    <w:p w:rsidRPr="00A14665" w:rsidR="00D8203F" w:rsidP="007D49D3" w:rsidRDefault="00D8203F" w14:paraId="07622F31" w14:textId="4F420F27">
      <w:pPr>
        <w:spacing w:after="0"/>
        <w:rPr>
          <w:rFonts w:eastAsia="Batang" w:cs="Tahoma"/>
          <w:bCs/>
          <w:lang w:eastAsia="es-ES"/>
        </w:rPr>
      </w:pPr>
      <w:r w:rsidRPr="00A14665">
        <w:rPr>
          <w:b/>
          <w:bCs/>
        </w:rPr>
        <w:t xml:space="preserve">a) Turno del Recurso de Revisión. </w:t>
      </w:r>
      <w:r w:rsidRPr="00A14665">
        <w:t xml:space="preserve">El </w:t>
      </w:r>
      <w:r w:rsidRPr="00A14665" w:rsidR="007D49D3">
        <w:t>dos de febrero de dos mil veintitrés</w:t>
      </w:r>
      <w:r w:rsidRPr="00A14665">
        <w:rPr>
          <w:rFonts w:eastAsia="Batang" w:cs="Tahoma"/>
          <w:bCs/>
          <w:lang w:eastAsia="es-ES"/>
        </w:rPr>
        <w:t xml:space="preserve">, el </w:t>
      </w:r>
      <w:r w:rsidRPr="00A14665">
        <w:rPr>
          <w:rFonts w:eastAsia="Times New Roman" w:cs="Tahoma"/>
          <w:lang w:val="es-ES" w:eastAsia="es-ES"/>
        </w:rPr>
        <w:t>Sistema de Acceso a la Información Mexiquense (SAIMEX),</w:t>
      </w:r>
      <w:r w:rsidRPr="00A14665">
        <w:rPr>
          <w:rFonts w:eastAsia="Batang" w:cs="Tahoma"/>
          <w:bCs/>
          <w:lang w:eastAsia="es-ES"/>
        </w:rPr>
        <w:t xml:space="preserve"> asignó el número de expediente </w:t>
      </w:r>
      <w:r w:rsidRPr="00A14665" w:rsidR="00C003A2">
        <w:rPr>
          <w:rFonts w:eastAsia="Batang" w:cs="Tahoma"/>
          <w:b/>
          <w:bCs/>
          <w:lang w:eastAsia="es-ES"/>
        </w:rPr>
        <w:t>00596/INFOEM/IP/RR/2023</w:t>
      </w:r>
      <w:r w:rsidRPr="00A14665">
        <w:rPr>
          <w:rFonts w:eastAsia="Batang" w:cs="Tahoma"/>
          <w:bCs/>
          <w:lang w:eastAsia="es-ES"/>
        </w:rPr>
        <w:t xml:space="preserve">, al medio de impugnación que nos ocupa, con base en el sistema aprobado por el Pleno de este Órgano Garante y lo turnó al Comisionado Ponente Luis Gustavo </w:t>
      </w:r>
      <w:r w:rsidRPr="00A14665">
        <w:rPr>
          <w:rFonts w:eastAsia="Batang" w:cs="Tahoma"/>
          <w:bCs/>
          <w:lang w:eastAsia="es-ES"/>
        </w:rPr>
        <w:lastRenderedPageBreak/>
        <w:t>Parra Noriega, para los efectos del artículo 185, fracción I de la Ley de Transparencia y Acceso a la Información Pública del Estado de México y Municipios.</w:t>
      </w:r>
    </w:p>
    <w:p w:rsidRPr="00A14665" w:rsidR="00D8203F" w:rsidP="007D49D3" w:rsidRDefault="00D8203F" w14:paraId="5CB92970" w14:textId="77777777">
      <w:pPr>
        <w:spacing w:after="0"/>
        <w:rPr>
          <w:rFonts w:eastAsia="Batang" w:cs="Tahoma"/>
          <w:bCs/>
          <w:lang w:eastAsia="es-ES"/>
        </w:rPr>
      </w:pPr>
    </w:p>
    <w:p w:rsidRPr="00A14665" w:rsidR="00D8203F" w:rsidP="007D49D3" w:rsidRDefault="00D8203F" w14:paraId="4677A832" w14:textId="53A7F324">
      <w:pPr>
        <w:spacing w:after="0"/>
        <w:rPr>
          <w:rFonts w:eastAsia="Batang" w:cs="Tahoma"/>
          <w:bCs/>
          <w:lang w:val="es-ES_tradnl" w:eastAsia="es-ES"/>
        </w:rPr>
      </w:pPr>
      <w:r w:rsidRPr="00A14665">
        <w:rPr>
          <w:rFonts w:eastAsia="Batang" w:cs="Tahoma"/>
          <w:b/>
          <w:bCs/>
          <w:lang w:eastAsia="es-ES"/>
        </w:rPr>
        <w:t xml:space="preserve">b) Admisión del </w:t>
      </w:r>
      <w:r w:rsidRPr="00A14665">
        <w:rPr>
          <w:rFonts w:eastAsia="Times New Roman" w:cs="Tahoma"/>
          <w:b/>
          <w:lang w:eastAsia="es-ES"/>
        </w:rPr>
        <w:t>Recurso de Revisión</w:t>
      </w:r>
      <w:r w:rsidRPr="00A14665">
        <w:rPr>
          <w:rFonts w:eastAsia="Batang" w:cs="Tahoma"/>
          <w:b/>
          <w:bCs/>
          <w:lang w:val="es-ES_tradnl" w:eastAsia="es-ES"/>
        </w:rPr>
        <w:t xml:space="preserve">. </w:t>
      </w:r>
      <w:r w:rsidRPr="00A14665">
        <w:rPr>
          <w:rFonts w:eastAsia="Batang" w:cs="Tahoma"/>
          <w:bCs/>
          <w:lang w:eastAsia="es-ES"/>
        </w:rPr>
        <w:t xml:space="preserve">El </w:t>
      </w:r>
      <w:r w:rsidRPr="00A14665" w:rsidR="007D49D3">
        <w:rPr>
          <w:rFonts w:eastAsia="Batang" w:cs="Tahoma"/>
          <w:bCs/>
          <w:lang w:eastAsia="es-ES"/>
        </w:rPr>
        <w:t>ocho de febrero de dos mil veintitrés</w:t>
      </w:r>
      <w:r w:rsidRPr="00A14665">
        <w:rPr>
          <w:rFonts w:eastAsia="Batang" w:cs="Tahoma"/>
          <w:bCs/>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A14665" w:rsidR="00907668">
        <w:rPr>
          <w:rFonts w:eastAsia="Batang" w:cs="Tahoma"/>
          <w:bCs/>
          <w:lang w:val="es-ES_tradnl" w:eastAsia="es-ES"/>
        </w:rPr>
        <w:t xml:space="preserve">el </w:t>
      </w:r>
      <w:r w:rsidRPr="00A14665" w:rsidR="007D49D3">
        <w:rPr>
          <w:rFonts w:eastAsia="Batang" w:cs="Tahoma"/>
          <w:bCs/>
          <w:lang w:val="es-ES_tradnl" w:eastAsia="es-ES"/>
        </w:rPr>
        <w:t>nueve</w:t>
      </w:r>
      <w:r w:rsidRPr="00A14665" w:rsidR="00907668">
        <w:rPr>
          <w:rFonts w:eastAsia="Batang" w:cs="Tahoma"/>
          <w:bCs/>
          <w:lang w:val="es-ES_tradnl" w:eastAsia="es-ES"/>
        </w:rPr>
        <w:t xml:space="preserve"> de dicho mes y año</w:t>
      </w:r>
      <w:r w:rsidRPr="00A14665">
        <w:rPr>
          <w:rFonts w:eastAsia="Batang" w:cs="Tahoma"/>
          <w:bCs/>
          <w:lang w:val="es-ES_tradnl" w:eastAsia="es-ES"/>
        </w:rPr>
        <w:t>, a través del Sistema de Acceso a la Información Mexiquense (SAIMEX), en el que se les otorgó un plazo de siete días hábiles posteriores a la misma, para que manifestaran lo que a su derecho conviniera y formularan alegatos.</w:t>
      </w:r>
    </w:p>
    <w:p w:rsidRPr="00A14665" w:rsidR="00D8203F" w:rsidP="007D49D3" w:rsidRDefault="00D8203F" w14:paraId="777C5F53" w14:textId="77777777">
      <w:pPr>
        <w:spacing w:after="0"/>
        <w:rPr>
          <w:rFonts w:eastAsia="Batang" w:cs="Tahoma"/>
          <w:bCs/>
          <w:lang w:val="es-ES_tradnl" w:eastAsia="es-ES"/>
        </w:rPr>
      </w:pPr>
    </w:p>
    <w:p w:rsidRPr="00A14665" w:rsidR="00D8203F" w:rsidP="007D49D3" w:rsidRDefault="00D8203F" w14:paraId="4BF866FA" w14:textId="01C6257A">
      <w:pPr>
        <w:spacing w:after="0"/>
        <w:rPr>
          <w:rFonts w:cs="Tahoma"/>
          <w:bCs/>
        </w:rPr>
      </w:pPr>
      <w:r w:rsidRPr="00A14665">
        <w:rPr>
          <w:rFonts w:eastAsia="Times New Roman" w:cs="Tahoma"/>
          <w:b/>
          <w:lang w:eastAsia="es-ES"/>
        </w:rPr>
        <w:t>c)</w:t>
      </w:r>
      <w:r w:rsidRPr="00A14665">
        <w:rPr>
          <w:rFonts w:eastAsia="Times New Roman" w:cs="Tahoma"/>
          <w:lang w:val="es-ES_tradnl" w:eastAsia="es-ES"/>
        </w:rPr>
        <w:t xml:space="preserve"> </w:t>
      </w:r>
      <w:r w:rsidRPr="00A14665">
        <w:rPr>
          <w:rFonts w:eastAsia="Times New Roman" w:cs="Tahoma"/>
          <w:b/>
          <w:lang w:val="es-ES_tradnl" w:eastAsia="es-ES"/>
        </w:rPr>
        <w:t>Informe Justificado</w:t>
      </w:r>
      <w:r w:rsidRPr="00A14665" w:rsidR="007D49D3">
        <w:rPr>
          <w:rFonts w:eastAsia="Times New Roman" w:cs="Tahoma"/>
          <w:b/>
          <w:lang w:val="es-ES_tradnl" w:eastAsia="es-ES"/>
        </w:rPr>
        <w:t xml:space="preserve"> o manifestaciones.</w:t>
      </w:r>
      <w:r w:rsidRPr="00A14665" w:rsidR="007D49D3">
        <w:rPr>
          <w:rFonts w:eastAsia="Times New Roman" w:cs="Tahoma"/>
          <w:bCs/>
          <w:lang w:val="es-ES_tradnl" w:eastAsia="es-ES"/>
        </w:rPr>
        <w:t xml:space="preserve"> Las partes fueron omisas en emitir manifestaciones o alegatos.</w:t>
      </w:r>
    </w:p>
    <w:p w:rsidRPr="00A14665" w:rsidR="00D8203F" w:rsidP="007D49D3" w:rsidRDefault="00D8203F" w14:paraId="139373B8" w14:textId="77777777">
      <w:pPr>
        <w:spacing w:after="0"/>
        <w:rPr>
          <w:rFonts w:eastAsia="Times New Roman" w:cs="Tahoma"/>
          <w:b/>
          <w:color w:val="auto"/>
          <w:szCs w:val="24"/>
          <w:lang w:eastAsia="es-ES"/>
        </w:rPr>
      </w:pPr>
    </w:p>
    <w:p w:rsidRPr="00A14665" w:rsidR="00D8203F" w:rsidP="007D49D3" w:rsidRDefault="00D8203F" w14:paraId="1ACB06BA" w14:textId="3BD6CFA7">
      <w:pPr>
        <w:spacing w:after="0"/>
        <w:rPr>
          <w:rFonts w:eastAsia="Times New Roman" w:cs="Tahoma"/>
          <w:color w:val="auto"/>
          <w:szCs w:val="24"/>
          <w:lang w:eastAsia="es-ES"/>
        </w:rPr>
      </w:pPr>
      <w:r w:rsidRPr="00A14665">
        <w:rPr>
          <w:rFonts w:eastAsia="Times New Roman" w:cs="Tahoma"/>
          <w:b/>
          <w:color w:val="auto"/>
          <w:szCs w:val="24"/>
          <w:lang w:eastAsia="es-ES"/>
        </w:rPr>
        <w:t>e) Cierre de instrucción.</w:t>
      </w:r>
      <w:r w:rsidRPr="00A14665">
        <w:rPr>
          <w:rFonts w:eastAsia="Times New Roman" w:cs="Tahoma"/>
          <w:color w:val="auto"/>
          <w:szCs w:val="24"/>
          <w:lang w:eastAsia="es-ES"/>
        </w:rPr>
        <w:t xml:space="preserve"> El </w:t>
      </w:r>
      <w:r w:rsidRPr="00A14665" w:rsidR="007D49D3">
        <w:rPr>
          <w:rFonts w:eastAsia="Times New Roman" w:cs="Tahoma"/>
          <w:color w:val="auto"/>
          <w:szCs w:val="24"/>
          <w:lang w:val="es-ES" w:eastAsia="es-ES"/>
        </w:rPr>
        <w:t>veintidós de septiembre de dos mil veintitrés</w:t>
      </w:r>
      <w:r w:rsidRPr="00A1466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A14665">
        <w:rPr>
          <w:rFonts w:eastAsia="Times New Roman" w:cs="Tahoma"/>
          <w:color w:val="auto"/>
          <w:szCs w:val="20"/>
          <w:lang w:val="es-ES" w:eastAsia="es-ES"/>
        </w:rPr>
        <w:t>Sistema de Acceso a la Información Mexiquense (SAIMEX)</w:t>
      </w:r>
      <w:r w:rsidRPr="00A14665">
        <w:rPr>
          <w:rFonts w:eastAsia="Times New Roman" w:cs="Tahoma"/>
          <w:color w:val="auto"/>
          <w:szCs w:val="24"/>
          <w:lang w:eastAsia="es-ES"/>
        </w:rPr>
        <w:t>.</w:t>
      </w:r>
    </w:p>
    <w:p w:rsidRPr="00A14665" w:rsidR="00EF640A" w:rsidP="007D49D3" w:rsidRDefault="00EF640A" w14:paraId="7D034060" w14:textId="77777777">
      <w:pPr>
        <w:spacing w:after="0"/>
        <w:rPr>
          <w:rFonts w:eastAsia="Times New Roman" w:cs="Tahoma"/>
          <w:color w:val="auto"/>
          <w:szCs w:val="24"/>
          <w:lang w:val="es-ES" w:eastAsia="es-ES"/>
        </w:rPr>
      </w:pPr>
    </w:p>
    <w:p w:rsidRPr="00A14665" w:rsidR="00D8203F" w:rsidP="007D49D3" w:rsidRDefault="00D8203F" w14:paraId="79CDDFD7" w14:textId="77777777">
      <w:pPr>
        <w:spacing w:after="0"/>
        <w:rPr>
          <w:rFonts w:eastAsia="Times New Roman" w:cs="Tahoma"/>
          <w:color w:val="000000"/>
          <w:szCs w:val="24"/>
          <w:lang w:eastAsia="es-ES"/>
        </w:rPr>
      </w:pPr>
      <w:r w:rsidRPr="00A14665">
        <w:rPr>
          <w:rFonts w:eastAsia="Times New Roman" w:cs="Tahoma"/>
          <w:color w:val="000000"/>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A14665" w:rsidR="00D8203F" w:rsidP="007D49D3" w:rsidRDefault="00D8203F" w14:paraId="6A1125E0" w14:textId="77777777">
      <w:pPr>
        <w:spacing w:after="0"/>
        <w:rPr>
          <w:rFonts w:eastAsia="Times New Roman" w:cs="Tahoma"/>
          <w:bCs/>
          <w:iCs/>
          <w:color w:val="auto"/>
          <w:lang w:val="es-ES" w:eastAsia="es-ES"/>
        </w:rPr>
      </w:pPr>
    </w:p>
    <w:p w:rsidRPr="00A14665" w:rsidR="00D8203F" w:rsidP="007D49D3" w:rsidRDefault="00D8203F" w14:paraId="2EE6FC6F" w14:textId="77777777">
      <w:pPr>
        <w:spacing w:after="0"/>
        <w:jc w:val="center"/>
        <w:rPr>
          <w:rFonts w:eastAsia="Times New Roman" w:cs="Tahoma"/>
          <w:b/>
          <w:color w:val="auto"/>
          <w:lang w:val="es-ES" w:eastAsia="es-ES"/>
        </w:rPr>
      </w:pPr>
      <w:r w:rsidRPr="00A14665">
        <w:rPr>
          <w:rFonts w:eastAsia="Times New Roman" w:cs="Tahoma"/>
          <w:b/>
          <w:color w:val="auto"/>
          <w:lang w:val="es-ES" w:eastAsia="es-ES"/>
        </w:rPr>
        <w:t>C O N S I D E R A N D O S:</w:t>
      </w:r>
    </w:p>
    <w:p w:rsidRPr="00A14665" w:rsidR="00962B04" w:rsidP="007D49D3" w:rsidRDefault="00962B04" w14:paraId="0C5D3AC9" w14:textId="77777777">
      <w:pPr>
        <w:autoSpaceDE w:val="0"/>
        <w:autoSpaceDN w:val="0"/>
        <w:adjustRightInd w:val="0"/>
        <w:spacing w:after="0"/>
        <w:rPr>
          <w:rFonts w:eastAsia="Calibri" w:cs="Tahoma"/>
          <w:b/>
          <w:color w:val="000000"/>
          <w:szCs w:val="24"/>
          <w:lang w:val="es-ES" w:eastAsia="es-MX"/>
        </w:rPr>
      </w:pPr>
    </w:p>
    <w:p w:rsidRPr="00A14665" w:rsidR="00D8203F" w:rsidP="007D49D3" w:rsidRDefault="00D8203F" w14:paraId="33FAEC0B" w14:textId="7F0C0D0A">
      <w:pPr>
        <w:autoSpaceDE w:val="0"/>
        <w:autoSpaceDN w:val="0"/>
        <w:adjustRightInd w:val="0"/>
        <w:spacing w:after="0"/>
        <w:rPr>
          <w:rFonts w:eastAsia="Times New Roman" w:cs="Tahoma"/>
          <w:b/>
          <w:color w:val="auto"/>
          <w:szCs w:val="24"/>
          <w:lang w:val="es-ES" w:eastAsia="es-ES"/>
        </w:rPr>
      </w:pPr>
      <w:r w:rsidRPr="00A14665">
        <w:rPr>
          <w:rFonts w:eastAsia="Calibri" w:cs="Tahoma"/>
          <w:b/>
          <w:color w:val="000000"/>
          <w:szCs w:val="24"/>
          <w:lang w:val="es-ES" w:eastAsia="es-MX"/>
        </w:rPr>
        <w:lastRenderedPageBreak/>
        <w:t>PRIMERO</w:t>
      </w:r>
      <w:r w:rsidRPr="00A14665">
        <w:rPr>
          <w:rFonts w:eastAsia="Calibri" w:cs="Tahoma"/>
          <w:color w:val="000000"/>
          <w:szCs w:val="24"/>
          <w:lang w:val="es-ES" w:eastAsia="es-MX"/>
        </w:rPr>
        <w:t xml:space="preserve">. </w:t>
      </w:r>
      <w:r w:rsidRPr="00A14665">
        <w:rPr>
          <w:rFonts w:eastAsia="Times New Roman" w:cs="Tahoma"/>
          <w:b/>
          <w:color w:val="auto"/>
          <w:szCs w:val="24"/>
          <w:lang w:val="es-ES" w:eastAsia="es-ES"/>
        </w:rPr>
        <w:t>Competencia.</w:t>
      </w:r>
    </w:p>
    <w:p w:rsidRPr="00A14665" w:rsidR="00D8203F" w:rsidP="007D49D3" w:rsidRDefault="00D8203F" w14:paraId="3C3E37F0" w14:textId="77777777">
      <w:pPr>
        <w:autoSpaceDE w:val="0"/>
        <w:autoSpaceDN w:val="0"/>
        <w:adjustRightInd w:val="0"/>
        <w:spacing w:after="0"/>
        <w:rPr>
          <w:rFonts w:eastAsia="Times New Roman" w:cs="Tahoma"/>
          <w:b/>
          <w:color w:val="auto"/>
          <w:szCs w:val="24"/>
          <w:lang w:val="es-ES" w:eastAsia="es-ES"/>
        </w:rPr>
      </w:pPr>
    </w:p>
    <w:p w:rsidRPr="00A14665" w:rsidR="00D8203F" w:rsidP="007D49D3" w:rsidRDefault="00D8203F" w14:paraId="39F4D924" w14:textId="6214F536">
      <w:pPr>
        <w:spacing w:after="0"/>
        <w:rPr>
          <w:rFonts w:eastAsia="Calibri" w:cs="Times New Roman"/>
          <w:color w:val="000000"/>
        </w:rPr>
      </w:pPr>
      <w:r w:rsidRPr="00A14665">
        <w:rPr>
          <w:rFonts w:eastAsia="Calibri" w:cs="Times New Roman"/>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A14665" w:rsidR="00CA1B00">
        <w:rPr>
          <w:rFonts w:eastAsia="Calibri" w:cs="Times New Roman"/>
          <w:color w:val="000000"/>
        </w:rPr>
        <w:t>trigésimo, trigésimo primero y trigésimo segundo</w:t>
      </w:r>
      <w:r w:rsidRPr="00A14665">
        <w:rPr>
          <w:rFonts w:eastAsia="Calibri" w:cs="Times New Roman"/>
          <w:color w:val="000000"/>
        </w:rPr>
        <w:t>, fracciones I, II, III, IV y V de la Constitución Política del Estado Libre y Soberano de México; 1°, 8°, 9°, 10, 37 y 42, fracciones I, II y III, de la Ley General de Transparencia y Acceso a la Información Pública; 1°, 2°, fracciones II y IV; 13,</w:t>
      </w:r>
      <w:r w:rsidRPr="00A14665" w:rsidR="0035784F">
        <w:rPr>
          <w:rFonts w:eastAsia="Calibri" w:cs="Times New Roman"/>
          <w:color w:val="000000"/>
        </w:rPr>
        <w:t xml:space="preserve"> </w:t>
      </w:r>
      <w:r w:rsidRPr="00A14665">
        <w:rPr>
          <w:rFonts w:eastAsia="Calibri" w:cs="Times New Roman"/>
          <w:color w:val="000000"/>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A14665" w:rsidR="00D8203F" w:rsidP="007D49D3" w:rsidRDefault="00D8203F" w14:paraId="013B0396" w14:textId="77777777">
      <w:pPr>
        <w:spacing w:after="0"/>
        <w:rPr>
          <w:rFonts w:eastAsia="Times New Roman" w:cs="Tahoma"/>
          <w:bCs/>
          <w:color w:val="auto"/>
          <w:lang w:eastAsia="es-ES"/>
        </w:rPr>
      </w:pPr>
    </w:p>
    <w:p w:rsidRPr="00A14665" w:rsidR="00D8203F" w:rsidP="007D49D3" w:rsidRDefault="00D8203F" w14:paraId="50054C3C" w14:textId="52831F40">
      <w:pPr>
        <w:spacing w:after="0"/>
        <w:rPr>
          <w:rFonts w:eastAsia="Times New Roman" w:cs="Tahoma"/>
          <w:b/>
          <w:color w:val="auto"/>
          <w:lang w:eastAsia="es-ES"/>
        </w:rPr>
      </w:pPr>
      <w:r w:rsidRPr="00A14665">
        <w:rPr>
          <w:rFonts w:eastAsia="Times New Roman" w:cs="Tahoma"/>
          <w:b/>
          <w:color w:val="auto"/>
          <w:lang w:eastAsia="es-ES"/>
        </w:rPr>
        <w:t>SEGUNDO. Causales de procedencia</w:t>
      </w:r>
      <w:r w:rsidRPr="00A14665" w:rsidR="00D30581">
        <w:rPr>
          <w:rFonts w:eastAsia="Times New Roman" w:cs="Tahoma"/>
          <w:b/>
          <w:color w:val="auto"/>
          <w:lang w:eastAsia="es-ES"/>
        </w:rPr>
        <w:t>.</w:t>
      </w:r>
    </w:p>
    <w:p w:rsidRPr="00A14665" w:rsidR="00D8203F" w:rsidP="007D49D3" w:rsidRDefault="00D8203F" w14:paraId="764A8338" w14:textId="77777777">
      <w:pPr>
        <w:spacing w:after="0"/>
        <w:rPr>
          <w:rFonts w:eastAsia="Times New Roman" w:cs="Tahoma"/>
          <w:bCs/>
          <w:color w:val="auto"/>
          <w:lang w:eastAsia="es-ES"/>
        </w:rPr>
      </w:pPr>
    </w:p>
    <w:p w:rsidRPr="00A14665" w:rsidR="00D8203F" w:rsidP="007D49D3" w:rsidRDefault="00D8203F" w14:paraId="7F14A16F" w14:textId="77777777">
      <w:pPr>
        <w:spacing w:after="0"/>
        <w:rPr>
          <w:rFonts w:eastAsia="Times New Roman" w:cs="Tahoma"/>
          <w:bCs/>
          <w:color w:val="auto"/>
          <w:lang w:eastAsia="es-ES"/>
        </w:rPr>
      </w:pPr>
      <w:r w:rsidRPr="00A14665">
        <w:rPr>
          <w:rFonts w:eastAsia="Times New Roman" w:cs="Tahoma"/>
          <w:bCs/>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14665" w:rsidR="00D8203F" w:rsidP="007D49D3" w:rsidRDefault="00D8203F" w14:paraId="55821B1B" w14:textId="77777777">
      <w:pPr>
        <w:spacing w:after="0"/>
        <w:rPr>
          <w:rFonts w:eastAsia="Times New Roman" w:cs="Tahoma"/>
          <w:bCs/>
          <w:color w:val="auto"/>
          <w:lang w:eastAsia="es-ES"/>
        </w:rPr>
      </w:pPr>
      <w:r w:rsidRPr="00A14665">
        <w:rPr>
          <w:rFonts w:eastAsia="Times New Roman" w:cs="Tahoma"/>
          <w:bCs/>
          <w:color w:val="auto"/>
          <w:lang w:eastAsia="es-ES"/>
        </w:rPr>
        <w:t> </w:t>
      </w:r>
    </w:p>
    <w:p w:rsidRPr="00A14665" w:rsidR="005813D8" w:rsidP="007D49D3" w:rsidRDefault="005813D8" w14:paraId="4B8E0DB6" w14:textId="44CB3EE0">
      <w:pPr>
        <w:spacing w:after="0"/>
        <w:rPr>
          <w:rFonts w:eastAsia="Times New Roman" w:cs="Tahoma"/>
          <w:color w:val="auto"/>
          <w:szCs w:val="24"/>
          <w:lang w:eastAsia="es-ES"/>
        </w:rPr>
      </w:pPr>
      <w:r w:rsidRPr="00A14665">
        <w:rPr>
          <w:rFonts w:eastAsia="Times New Roman" w:cs="Tahoma"/>
          <w:color w:val="auto"/>
          <w:szCs w:val="24"/>
          <w:lang w:eastAsia="es-ES"/>
        </w:rPr>
        <w:t>En el presente caso, </w:t>
      </w:r>
      <w:r w:rsidRPr="00A14665">
        <w:rPr>
          <w:rFonts w:eastAsia="Times New Roman" w:cs="Tahoma"/>
          <w:b/>
          <w:bCs/>
          <w:color w:val="auto"/>
          <w:szCs w:val="24"/>
          <w:lang w:eastAsia="es-ES"/>
        </w:rPr>
        <w:t>no se actualiza ninguna de las causales de improcedencia</w:t>
      </w:r>
      <w:r w:rsidRPr="00A14665">
        <w:rPr>
          <w:rFonts w:eastAsia="Times New Roman" w:cs="Tahoma"/>
          <w:color w:val="auto"/>
          <w:szCs w:val="24"/>
          <w:lang w:eastAsia="es-ES"/>
        </w:rPr>
        <w:t xml:space="preserve"> establecidas en el ordenamiento jurídico previamente señalado, en sus fracciones I a VI, toda vez que: este </w:t>
      </w:r>
      <w:r w:rsidRPr="00A14665">
        <w:rPr>
          <w:rFonts w:eastAsia="Times New Roman" w:cs="Tahoma"/>
          <w:color w:val="auto"/>
          <w:szCs w:val="24"/>
          <w:lang w:eastAsia="es-ES"/>
        </w:rPr>
        <w:lastRenderedPageBreak/>
        <w:t>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mediante el pedimento de información.</w:t>
      </w:r>
    </w:p>
    <w:p w:rsidRPr="00A14665" w:rsidR="005813D8" w:rsidP="007D49D3" w:rsidRDefault="005813D8" w14:paraId="23B0D91C" w14:textId="77777777">
      <w:pPr>
        <w:spacing w:after="0"/>
        <w:rPr>
          <w:rFonts w:eastAsia="Times New Roman" w:cs="Tahoma"/>
          <w:color w:val="auto"/>
          <w:lang w:eastAsia="es-ES"/>
        </w:rPr>
      </w:pPr>
    </w:p>
    <w:p w:rsidRPr="00A14665" w:rsidR="005813D8" w:rsidP="007D49D3" w:rsidRDefault="005813D8" w14:paraId="5285C06B" w14:textId="70F91E6B">
      <w:pPr>
        <w:spacing w:after="0"/>
        <w:rPr>
          <w:rFonts w:eastAsia="Times New Roman" w:cs="Tahoma"/>
          <w:color w:val="auto"/>
          <w:lang w:val="es-ES" w:eastAsia="es-ES"/>
        </w:rPr>
      </w:pPr>
      <w:r w:rsidRPr="00A14665">
        <w:rPr>
          <w:rFonts w:eastAsia="Times New Roman" w:cs="Tahoma"/>
          <w:color w:val="auto"/>
          <w:lang w:eastAsia="es-ES"/>
        </w:rPr>
        <w:t xml:space="preserve">Asimismo, se considera por lo que hace a la fracción </w:t>
      </w:r>
      <w:r w:rsidRPr="00A14665" w:rsidR="007D49D3">
        <w:rPr>
          <w:rFonts w:eastAsia="Times New Roman" w:cs="Tahoma"/>
          <w:color w:val="auto"/>
          <w:lang w:eastAsia="es-ES"/>
        </w:rPr>
        <w:t xml:space="preserve">III y </w:t>
      </w:r>
      <w:r w:rsidRPr="00A14665">
        <w:rPr>
          <w:rFonts w:eastAsia="Times New Roman" w:cs="Tahoma"/>
          <w:color w:val="auto"/>
          <w:lang w:eastAsia="es-ES"/>
        </w:rPr>
        <w:t>VII, del artículo 191, de la Ley de la materia, toda vez, que ya ha sido admitido el Recurso de Revisión, se realizará el análisis correspondiente en el Considerando Tercero.</w:t>
      </w:r>
    </w:p>
    <w:p w:rsidRPr="00A14665" w:rsidR="00D8203F" w:rsidP="007D49D3" w:rsidRDefault="00D8203F" w14:paraId="1F9379E3" w14:textId="77777777">
      <w:pPr>
        <w:spacing w:after="0"/>
        <w:rPr>
          <w:rFonts w:eastAsia="Times New Roman" w:cs="Tahoma"/>
          <w:bCs/>
          <w:color w:val="auto"/>
          <w:lang w:eastAsia="es-ES"/>
        </w:rPr>
      </w:pPr>
    </w:p>
    <w:p w:rsidRPr="00A14665" w:rsidR="00B23031" w:rsidP="007D49D3" w:rsidRDefault="00B23031" w14:paraId="446B39A1" w14:textId="77777777">
      <w:pPr>
        <w:spacing w:after="0"/>
        <w:rPr>
          <w:rFonts w:eastAsia="Times New Roman" w:cs="Tahoma"/>
          <w:color w:val="auto"/>
          <w:lang w:eastAsia="es-ES"/>
        </w:rPr>
      </w:pPr>
      <w:r w:rsidRPr="00A14665">
        <w:rPr>
          <w:rFonts w:eastAsia="Times New Roman" w:cs="Tahoma"/>
          <w:b/>
          <w:bCs/>
          <w:color w:val="auto"/>
          <w:lang w:eastAsia="es-ES"/>
        </w:rPr>
        <w:t>TERCERO. Causales de sobreseimiento.</w:t>
      </w:r>
    </w:p>
    <w:p w:rsidRPr="00A14665" w:rsidR="00B23031" w:rsidP="007D49D3" w:rsidRDefault="00B23031" w14:paraId="608E9E3E" w14:textId="77777777">
      <w:pPr>
        <w:spacing w:after="0"/>
        <w:rPr>
          <w:rFonts w:eastAsia="Times New Roman" w:cs="Tahoma"/>
          <w:color w:val="auto"/>
          <w:lang w:eastAsia="es-ES"/>
        </w:rPr>
      </w:pPr>
      <w:r w:rsidRPr="00A14665">
        <w:rPr>
          <w:rFonts w:eastAsia="Times New Roman" w:cs="Tahoma"/>
          <w:color w:val="auto"/>
          <w:lang w:eastAsia="es-ES"/>
        </w:rPr>
        <w:t> </w:t>
      </w:r>
    </w:p>
    <w:p w:rsidRPr="00A14665" w:rsidR="00B23031" w:rsidP="007D49D3" w:rsidRDefault="00B23031" w14:paraId="5A5998AC" w14:textId="77777777">
      <w:pPr>
        <w:spacing w:after="0"/>
        <w:rPr>
          <w:rFonts w:eastAsia="Times New Roman" w:cs="Tahoma"/>
          <w:color w:val="auto"/>
          <w:lang w:eastAsia="es-ES"/>
        </w:rPr>
      </w:pPr>
      <w:r w:rsidRPr="00A14665">
        <w:rPr>
          <w:rFonts w:eastAsia="Times New Roman" w:cs="Tahoma"/>
          <w:color w:val="auto"/>
          <w:lang w:eastAsia="es-ES"/>
        </w:rPr>
        <w:t>Por ser de previo y especial pronunciamiento, este Instituto analiza si se actualiza alguna causal de sobreseimiento.</w:t>
      </w:r>
    </w:p>
    <w:p w:rsidRPr="00A14665" w:rsidR="00B23031" w:rsidP="007D49D3" w:rsidRDefault="00B23031" w14:paraId="3A42EAC2" w14:textId="77777777">
      <w:pPr>
        <w:spacing w:after="0"/>
        <w:rPr>
          <w:rFonts w:eastAsia="Times New Roman" w:cs="Tahoma"/>
          <w:color w:val="auto"/>
          <w:lang w:eastAsia="es-ES"/>
        </w:rPr>
      </w:pPr>
    </w:p>
    <w:p w:rsidRPr="00A14665" w:rsidR="00B23031" w:rsidP="007D49D3" w:rsidRDefault="00B23031" w14:paraId="3434DA03" w14:textId="77777777">
      <w:pPr>
        <w:widowControl w:val="0"/>
        <w:spacing w:after="0"/>
        <w:rPr>
          <w:rFonts w:eastAsia="Calibri" w:cs="Tahoma"/>
          <w:color w:val="auto"/>
          <w:lang w:eastAsia="es-ES_tradnl"/>
        </w:rPr>
      </w:pPr>
      <w:r w:rsidRPr="00A14665">
        <w:rPr>
          <w:rFonts w:eastAsia="Times New Roman" w:cs="Tahoma"/>
          <w:color w:val="auto"/>
          <w:lang w:eastAsia="es-ES"/>
        </w:rPr>
        <w:t xml:space="preserve">El artículo 192 de la </w:t>
      </w:r>
      <w:r w:rsidRPr="00A14665">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A14665">
        <w:rPr>
          <w:rFonts w:eastAsia="Calibri" w:cs="Tahoma"/>
          <w:color w:val="auto"/>
          <w:lang w:eastAsia="es-ES_tradnl"/>
        </w:rPr>
        <w:t>del análisis realizado por este Instituto, se advierte que</w:t>
      </w:r>
      <w:r w:rsidRPr="00A14665">
        <w:rPr>
          <w:rFonts w:eastAsia="Calibri" w:cs="Tahoma"/>
          <w:b/>
          <w:color w:val="auto"/>
          <w:lang w:eastAsia="es-ES_tradnl"/>
        </w:rPr>
        <w:t xml:space="preserve"> no se configuran las causales establecidas en las fracciones I, II, III, y V, </w:t>
      </w:r>
      <w:r w:rsidRPr="00A14665">
        <w:rPr>
          <w:rFonts w:eastAsia="Calibri" w:cs="Tahoma"/>
          <w:color w:val="auto"/>
          <w:lang w:eastAsia="es-ES_tradnl"/>
        </w:rPr>
        <w:t>toda vez que no hay constancias en el expediente en que se actúa, de que el Recurrente se haya desistido, fallecido, que el Sujeto Obligado hubiese modificado o revocado el acto impugnado o bien, haya quedado sin materia.</w:t>
      </w:r>
    </w:p>
    <w:p w:rsidRPr="00A14665" w:rsidR="00B23031" w:rsidP="007D49D3" w:rsidRDefault="00B23031" w14:paraId="6A9C6E25" w14:textId="77777777">
      <w:pPr>
        <w:spacing w:after="0"/>
        <w:rPr>
          <w:rFonts w:eastAsia="Calibri" w:cs="Tahoma"/>
          <w:b/>
          <w:color w:val="auto"/>
          <w:lang w:eastAsia="es-ES_tradnl"/>
        </w:rPr>
      </w:pPr>
    </w:p>
    <w:p w:rsidRPr="00A14665" w:rsidR="007D49D3" w:rsidP="007D49D3" w:rsidRDefault="00B23031" w14:paraId="391F6EC1" w14:textId="78F07585">
      <w:pPr>
        <w:spacing w:after="0"/>
        <w:rPr>
          <w:rFonts w:eastAsia="Calibri" w:cs="Tahoma"/>
          <w:bCs/>
          <w:color w:val="auto"/>
          <w:lang w:val="es-ES" w:eastAsia="es-ES_tradnl"/>
        </w:rPr>
      </w:pPr>
      <w:r w:rsidRPr="00A14665">
        <w:rPr>
          <w:rFonts w:eastAsia="Calibri" w:cs="Tahoma"/>
          <w:color w:val="auto"/>
          <w:lang w:eastAsia="es-ES_tradnl"/>
        </w:rPr>
        <w:t xml:space="preserve">No obstante, </w:t>
      </w:r>
      <w:r w:rsidRPr="00A14665" w:rsidR="005813D8">
        <w:rPr>
          <w:rFonts w:eastAsia="Calibri" w:cs="Tahoma"/>
          <w:color w:val="auto"/>
          <w:lang w:eastAsia="es-ES_tradnl"/>
        </w:rPr>
        <w:t xml:space="preserve">por lo que hace a la hipótesis prevista en </w:t>
      </w:r>
      <w:r w:rsidRPr="00A14665" w:rsidR="005813D8">
        <w:rPr>
          <w:rFonts w:eastAsia="Calibri" w:cs="Tahoma"/>
          <w:b/>
          <w:bCs/>
          <w:color w:val="auto"/>
          <w:lang w:eastAsia="es-ES_tradnl"/>
        </w:rPr>
        <w:t>la fracción IV,</w:t>
      </w:r>
      <w:r w:rsidRPr="00A14665" w:rsidR="005813D8">
        <w:rPr>
          <w:rFonts w:eastAsia="Calibri" w:cs="Tahoma"/>
          <w:color w:val="auto"/>
          <w:lang w:eastAsia="es-ES_tradnl"/>
        </w:rPr>
        <w:t xml:space="preserve"> a saber, que, una vez admitido el Recurso de Revisión, aparezca alguna causal de improcedencia en términos de la presente Ley, </w:t>
      </w:r>
      <w:r w:rsidRPr="00A14665" w:rsidR="005813D8">
        <w:rPr>
          <w:rFonts w:eastAsia="Calibri" w:cs="Tahoma"/>
          <w:bCs/>
          <w:color w:val="auto"/>
          <w:lang w:eastAsia="es-ES_tradnl"/>
        </w:rPr>
        <w:t>resulta necesario traer a colación</w:t>
      </w:r>
      <w:r w:rsidRPr="00A14665" w:rsidR="005813D8">
        <w:rPr>
          <w:rFonts w:eastAsia="Calibri" w:cs="Tahoma"/>
          <w:bCs/>
          <w:color w:val="auto"/>
          <w:lang w:val="es-ES" w:eastAsia="es-ES_tradnl"/>
        </w:rPr>
        <w:t xml:space="preserve"> el artículo 191, fracci</w:t>
      </w:r>
      <w:r w:rsidRPr="00A14665" w:rsidR="007D49D3">
        <w:rPr>
          <w:rFonts w:eastAsia="Calibri" w:cs="Tahoma"/>
          <w:bCs/>
          <w:color w:val="auto"/>
          <w:lang w:val="es-ES" w:eastAsia="es-ES_tradnl"/>
        </w:rPr>
        <w:t>ones III y VII, del ordenamiento jurídico referido, que establecen lo siguiente:</w:t>
      </w:r>
    </w:p>
    <w:p w:rsidRPr="00A14665" w:rsidR="007D49D3" w:rsidP="007D49D3" w:rsidRDefault="007D49D3" w14:paraId="3BD9798F" w14:textId="211941BC">
      <w:pPr>
        <w:spacing w:after="0"/>
        <w:rPr>
          <w:rFonts w:eastAsia="Calibri" w:cs="Tahoma"/>
          <w:bCs/>
          <w:color w:val="auto"/>
          <w:lang w:val="es-ES" w:eastAsia="es-ES_tradnl"/>
        </w:rPr>
      </w:pPr>
    </w:p>
    <w:p w:rsidRPr="00A14665" w:rsidR="007D49D3" w:rsidP="007D49D3" w:rsidRDefault="007D49D3" w14:paraId="60FB9A84" w14:textId="631C6FAD">
      <w:pPr>
        <w:spacing w:after="0"/>
        <w:ind w:left="567" w:right="567"/>
        <w:rPr>
          <w:rFonts w:eastAsia="Calibri" w:cs="Tahoma"/>
          <w:bCs/>
          <w:i/>
          <w:iCs/>
          <w:color w:val="auto"/>
          <w:sz w:val="20"/>
          <w:szCs w:val="20"/>
          <w:lang w:eastAsia="es-ES_tradnl"/>
        </w:rPr>
      </w:pPr>
      <w:r w:rsidRPr="00A14665">
        <w:rPr>
          <w:rFonts w:eastAsia="Calibri" w:cs="Tahoma"/>
          <w:b/>
          <w:i/>
          <w:iCs/>
          <w:color w:val="auto"/>
          <w:sz w:val="20"/>
          <w:szCs w:val="20"/>
          <w:lang w:val="es-ES" w:eastAsia="es-ES_tradnl"/>
        </w:rPr>
        <w:t>“</w:t>
      </w:r>
      <w:r w:rsidRPr="00A14665">
        <w:rPr>
          <w:rFonts w:eastAsia="Calibri" w:cs="Tahoma"/>
          <w:b/>
          <w:i/>
          <w:iCs/>
          <w:color w:val="auto"/>
          <w:sz w:val="20"/>
          <w:szCs w:val="20"/>
          <w:lang w:eastAsia="es-ES_tradnl"/>
        </w:rPr>
        <w:t>Artículo 191.</w:t>
      </w:r>
      <w:r w:rsidRPr="00A14665">
        <w:rPr>
          <w:rFonts w:eastAsia="Calibri" w:cs="Tahoma"/>
          <w:bCs/>
          <w:i/>
          <w:iCs/>
          <w:color w:val="auto"/>
          <w:sz w:val="20"/>
          <w:szCs w:val="20"/>
          <w:lang w:eastAsia="es-ES_tradnl"/>
        </w:rPr>
        <w:t xml:space="preserve"> El recurso será desechado por improcedente cuando:</w:t>
      </w:r>
    </w:p>
    <w:p w:rsidRPr="00A14665" w:rsidR="007D49D3" w:rsidP="007D49D3" w:rsidRDefault="007D49D3" w14:paraId="54F53E2D" w14:textId="634B4460">
      <w:pPr>
        <w:spacing w:after="0"/>
        <w:ind w:left="567" w:right="567"/>
        <w:rPr>
          <w:rFonts w:eastAsia="Calibri" w:cs="Tahoma"/>
          <w:bCs/>
          <w:i/>
          <w:iCs/>
          <w:color w:val="auto"/>
          <w:sz w:val="20"/>
          <w:szCs w:val="20"/>
          <w:lang w:eastAsia="es-ES_tradnl"/>
        </w:rPr>
      </w:pPr>
      <w:r w:rsidRPr="00A14665">
        <w:rPr>
          <w:rFonts w:eastAsia="Calibri" w:cs="Tahoma"/>
          <w:bCs/>
          <w:i/>
          <w:iCs/>
          <w:color w:val="auto"/>
          <w:sz w:val="20"/>
          <w:szCs w:val="20"/>
          <w:lang w:val="es-ES" w:eastAsia="es-ES_tradnl"/>
        </w:rPr>
        <w:lastRenderedPageBreak/>
        <w:t>…</w:t>
      </w:r>
    </w:p>
    <w:p w:rsidRPr="00A14665" w:rsidR="007D49D3" w:rsidP="007D49D3" w:rsidRDefault="007D49D3" w14:paraId="6BB967AD" w14:textId="3A32F20F">
      <w:pPr>
        <w:spacing w:after="0"/>
        <w:ind w:left="567" w:right="567"/>
        <w:rPr>
          <w:rFonts w:eastAsia="Calibri" w:cs="Tahoma"/>
          <w:bCs/>
          <w:i/>
          <w:iCs/>
          <w:color w:val="auto"/>
          <w:sz w:val="20"/>
          <w:szCs w:val="20"/>
          <w:lang w:eastAsia="es-ES_tradnl"/>
        </w:rPr>
      </w:pPr>
      <w:r w:rsidRPr="00A14665">
        <w:rPr>
          <w:rFonts w:eastAsia="Calibri" w:cs="Tahoma"/>
          <w:bCs/>
          <w:i/>
          <w:iCs/>
          <w:color w:val="auto"/>
          <w:sz w:val="20"/>
          <w:szCs w:val="20"/>
          <w:lang w:eastAsia="es-ES_tradnl"/>
        </w:rPr>
        <w:t>III. No actualice alguno de los supuestos previstos en la presente Ley;</w:t>
      </w:r>
    </w:p>
    <w:p w:rsidRPr="00A14665" w:rsidR="007D49D3" w:rsidP="007D49D3" w:rsidRDefault="007D49D3" w14:paraId="4F7D004A" w14:textId="73E8744A">
      <w:pPr>
        <w:spacing w:after="0"/>
        <w:ind w:left="567" w:right="567"/>
        <w:rPr>
          <w:rFonts w:eastAsia="Calibri" w:cs="Tahoma"/>
          <w:bCs/>
          <w:i/>
          <w:iCs/>
          <w:color w:val="auto"/>
          <w:sz w:val="20"/>
          <w:szCs w:val="20"/>
          <w:lang w:eastAsia="es-ES_tradnl"/>
        </w:rPr>
      </w:pPr>
      <w:r w:rsidRPr="00A14665">
        <w:rPr>
          <w:rFonts w:eastAsia="Calibri" w:cs="Tahoma"/>
          <w:bCs/>
          <w:i/>
          <w:iCs/>
          <w:color w:val="auto"/>
          <w:sz w:val="20"/>
          <w:szCs w:val="20"/>
          <w:lang w:eastAsia="es-ES_tradnl"/>
        </w:rPr>
        <w:t>…</w:t>
      </w:r>
    </w:p>
    <w:p w:rsidRPr="00A14665" w:rsidR="007D49D3" w:rsidP="007D49D3" w:rsidRDefault="007D49D3" w14:paraId="5E90D171" w14:textId="40C593A8">
      <w:pPr>
        <w:spacing w:after="0"/>
        <w:ind w:left="567" w:right="567"/>
        <w:rPr>
          <w:rFonts w:eastAsia="Calibri" w:cs="Tahoma"/>
          <w:bCs/>
          <w:i/>
          <w:iCs/>
          <w:color w:val="auto"/>
          <w:sz w:val="20"/>
          <w:szCs w:val="20"/>
          <w:lang w:val="es-ES" w:eastAsia="es-ES_tradnl"/>
        </w:rPr>
      </w:pPr>
      <w:r w:rsidRPr="00A14665">
        <w:rPr>
          <w:rFonts w:eastAsia="Calibri" w:cs="Tahoma"/>
          <w:bCs/>
          <w:i/>
          <w:iCs/>
          <w:color w:val="auto"/>
          <w:sz w:val="20"/>
          <w:szCs w:val="20"/>
          <w:lang w:eastAsia="es-ES_tradnl"/>
        </w:rPr>
        <w:t>VII. El recurrente amplíe su solicitud en el recurso de revisión, únicamente respecto de los nuevos contenidos.”</w:t>
      </w:r>
    </w:p>
    <w:p w:rsidRPr="00A14665" w:rsidR="007D49D3" w:rsidP="007D49D3" w:rsidRDefault="007D49D3" w14:paraId="62AA9195" w14:textId="77777777">
      <w:pPr>
        <w:spacing w:after="0"/>
        <w:rPr>
          <w:rFonts w:eastAsia="Calibri" w:cs="Tahoma"/>
          <w:bCs/>
          <w:color w:val="auto"/>
          <w:lang w:val="es-ES" w:eastAsia="es-ES_tradnl"/>
        </w:rPr>
      </w:pPr>
    </w:p>
    <w:p w:rsidRPr="00A14665" w:rsidR="005813D8" w:rsidP="007D49D3" w:rsidRDefault="007D49D3" w14:paraId="3F30BC8E" w14:textId="2CD59A06">
      <w:pPr>
        <w:spacing w:after="0"/>
        <w:rPr>
          <w:rFonts w:eastAsia="Calibri" w:cs="Tahoma"/>
          <w:bCs/>
          <w:color w:val="auto"/>
          <w:lang w:val="es-ES" w:eastAsia="es-ES_tradnl"/>
        </w:rPr>
      </w:pPr>
      <w:r w:rsidRPr="00A14665">
        <w:rPr>
          <w:rFonts w:eastAsia="Calibri" w:cs="Tahoma"/>
          <w:bCs/>
          <w:color w:val="auto"/>
          <w:lang w:val="es-ES" w:eastAsia="es-ES_tradnl"/>
        </w:rPr>
        <w:t xml:space="preserve">Conforme a lo anterior, se logra vislumbrar que la fracción </w:t>
      </w:r>
      <w:r w:rsidRPr="00A14665" w:rsidR="005813D8">
        <w:rPr>
          <w:rFonts w:eastAsia="Calibri" w:cs="Tahoma"/>
          <w:bCs/>
          <w:color w:val="auto"/>
          <w:lang w:val="es-ES" w:eastAsia="es-ES_tradnl"/>
        </w:rPr>
        <w:t>VII</w:t>
      </w:r>
      <w:r w:rsidRPr="00A14665">
        <w:rPr>
          <w:rFonts w:eastAsia="Calibri" w:cs="Tahoma"/>
          <w:bCs/>
          <w:color w:val="auto"/>
          <w:lang w:val="es-ES" w:eastAsia="es-ES_tradnl"/>
        </w:rPr>
        <w:t>, del artículo 191</w:t>
      </w:r>
      <w:r w:rsidRPr="00A14665" w:rsidR="005813D8">
        <w:rPr>
          <w:rFonts w:eastAsia="Calibri" w:cs="Tahoma"/>
          <w:bCs/>
          <w:color w:val="auto"/>
          <w:lang w:val="es-ES" w:eastAsia="es-ES_tradnl"/>
        </w:rPr>
        <w:t xml:space="preserve">, de </w:t>
      </w:r>
      <w:r w:rsidRPr="00A14665">
        <w:rPr>
          <w:rFonts w:eastAsia="Calibri" w:cs="Tahoma"/>
          <w:bCs/>
          <w:color w:val="auto"/>
          <w:lang w:val="es-ES" w:eastAsia="es-ES_tradnl"/>
        </w:rPr>
        <w:t xml:space="preserve">la Ley de Transparencia y Acceso a la Información Pública del Estado de México y Municipios, precisa </w:t>
      </w:r>
      <w:r w:rsidRPr="00A14665" w:rsidR="005813D8">
        <w:rPr>
          <w:rFonts w:eastAsia="Calibri" w:cs="Tahoma"/>
          <w:bCs/>
          <w:color w:val="auto"/>
          <w:lang w:val="es-ES" w:eastAsia="es-ES_tradnl"/>
        </w:rPr>
        <w:t xml:space="preserve"> que el Recurso de Revisión será desechado por improcedente, cuando la parte Recurrente amplíe su solicitud en el Medio de Impugnación.</w:t>
      </w:r>
    </w:p>
    <w:p w:rsidRPr="00A14665" w:rsidR="005813D8" w:rsidP="007D49D3" w:rsidRDefault="005813D8" w14:paraId="33330560" w14:textId="77777777">
      <w:pPr>
        <w:spacing w:after="0"/>
        <w:rPr>
          <w:rFonts w:eastAsia="Calibri" w:cs="Tahoma"/>
          <w:bCs/>
          <w:color w:val="auto"/>
          <w:lang w:val="es-ES" w:eastAsia="es-ES_tradnl"/>
        </w:rPr>
      </w:pPr>
    </w:p>
    <w:p w:rsidRPr="00A14665" w:rsidR="00962B04" w:rsidP="007D49D3" w:rsidRDefault="005813D8" w14:paraId="0CCF16F2" w14:textId="35E9196D">
      <w:pPr>
        <w:spacing w:after="0"/>
        <w:rPr>
          <w:rFonts w:eastAsia="Calibri" w:cs="Tahoma"/>
          <w:bCs/>
          <w:color w:val="auto"/>
          <w:lang w:val="es-ES" w:eastAsia="es-ES_tradnl"/>
        </w:rPr>
      </w:pPr>
      <w:r w:rsidRPr="00A14665">
        <w:rPr>
          <w:rFonts w:eastAsia="Calibri" w:cs="Tahoma"/>
          <w:bCs/>
          <w:color w:val="auto"/>
          <w:lang w:val="es-ES" w:eastAsia="es-ES_tradnl"/>
        </w:rPr>
        <w:t>En ese orden de ideas, de las constancias que obran en el expediente respectivo, se colige que el Particular requirió</w:t>
      </w:r>
      <w:r w:rsidRPr="00A14665" w:rsidR="00962B04">
        <w:rPr>
          <w:rFonts w:eastAsia="Calibri" w:cs="Tahoma"/>
          <w:bCs/>
          <w:color w:val="auto"/>
          <w:lang w:val="es-ES" w:eastAsia="es-ES_tradnl"/>
        </w:rPr>
        <w:t xml:space="preserve"> </w:t>
      </w:r>
      <w:r w:rsidRPr="00A14665" w:rsidR="007D49D3">
        <w:rPr>
          <w:rFonts w:eastAsia="Calibri" w:cs="Tahoma"/>
          <w:bCs/>
          <w:color w:val="auto"/>
          <w:lang w:val="es-ES" w:eastAsia="es-ES_tradnl"/>
        </w:rPr>
        <w:t xml:space="preserve">los recibos de nómina de la </w:t>
      </w:r>
      <w:r w:rsidRPr="00A14665" w:rsidR="00D97387">
        <w:rPr>
          <w:rFonts w:eastAsia="Calibri" w:cs="Tahoma"/>
          <w:bCs/>
          <w:color w:val="auto"/>
          <w:lang w:val="es-ES" w:eastAsia="es-ES_tradnl"/>
        </w:rPr>
        <w:t>primera quincena</w:t>
      </w:r>
      <w:r w:rsidRPr="00A14665" w:rsidR="007D49D3">
        <w:rPr>
          <w:rFonts w:eastAsia="Calibri" w:cs="Tahoma"/>
          <w:bCs/>
          <w:color w:val="auto"/>
          <w:lang w:val="es-ES" w:eastAsia="es-ES_tradnl"/>
        </w:rPr>
        <w:t xml:space="preserve"> de diciembre de dos mil veintidós, de todos los mandos medios y superiores adscritos al </w:t>
      </w:r>
      <w:r w:rsidRPr="00A14665" w:rsidR="007D49D3">
        <w:rPr>
          <w:rFonts w:eastAsia="Calibri" w:cs="Tahoma"/>
        </w:rPr>
        <w:t>Sistema Para el Desarrollo Integral de la Familia del Municipio de Atizapán de Zaragoza; para lo cual, el Sujeto Obligado proporcionó la versión pública de diversos recibos de nómina.</w:t>
      </w:r>
    </w:p>
    <w:p w:rsidRPr="00A14665" w:rsidR="00C870AA" w:rsidP="007D49D3" w:rsidRDefault="00C870AA" w14:paraId="64EC8384" w14:textId="03984C4E">
      <w:pPr>
        <w:spacing w:after="0"/>
        <w:rPr>
          <w:rFonts w:eastAsia="Calibri" w:cs="Tahoma"/>
          <w:bCs/>
          <w:color w:val="auto"/>
          <w:lang w:val="es-ES" w:eastAsia="es-ES_tradnl"/>
        </w:rPr>
      </w:pPr>
    </w:p>
    <w:p w:rsidRPr="00A14665" w:rsidR="005813D8" w:rsidP="007D49D3" w:rsidRDefault="005813D8" w14:paraId="209524D1" w14:textId="34A0CE85">
      <w:pPr>
        <w:spacing w:after="0"/>
        <w:rPr>
          <w:rFonts w:eastAsia="Calibri" w:cs="Tahoma"/>
          <w:b/>
          <w:color w:val="auto"/>
          <w:lang w:val="es-ES" w:eastAsia="es-ES_tradnl"/>
        </w:rPr>
      </w:pPr>
      <w:r w:rsidRPr="00A14665">
        <w:rPr>
          <w:rFonts w:eastAsia="Calibri" w:cs="Tahoma"/>
          <w:bCs/>
          <w:color w:val="auto"/>
          <w:lang w:val="es-ES" w:eastAsia="es-ES_tradnl"/>
        </w:rPr>
        <w:t xml:space="preserve">Ante tal </w:t>
      </w:r>
      <w:r w:rsidRPr="00A14665" w:rsidR="00C870AA">
        <w:rPr>
          <w:rFonts w:eastAsia="Calibri" w:cs="Tahoma"/>
          <w:bCs/>
          <w:color w:val="auto"/>
          <w:lang w:val="es-ES" w:eastAsia="es-ES_tradnl"/>
        </w:rPr>
        <w:t>circunstancia,</w:t>
      </w:r>
      <w:r w:rsidRPr="00A14665">
        <w:rPr>
          <w:rFonts w:eastAsia="Calibri" w:cs="Tahoma"/>
          <w:bCs/>
          <w:color w:val="auto"/>
          <w:lang w:val="es-ES" w:eastAsia="es-ES_tradnl"/>
        </w:rPr>
        <w:t xml:space="preserve"> el Recurrente interpuso Recurso de Revisión </w:t>
      </w:r>
      <w:r w:rsidRPr="00A14665" w:rsidR="00D97387">
        <w:rPr>
          <w:rFonts w:eastAsia="Calibri" w:cs="Tahoma"/>
          <w:bCs/>
          <w:color w:val="auto"/>
          <w:lang w:val="es-ES" w:eastAsia="es-ES_tradnl"/>
        </w:rPr>
        <w:t xml:space="preserve">en donde se agravió que no le habían entregado la información solicitada, consistente en los formatos </w:t>
      </w:r>
      <w:proofErr w:type="spellStart"/>
      <w:r w:rsidRPr="00A14665" w:rsidR="00D97387">
        <w:rPr>
          <w:rFonts w:eastAsia="Calibri" w:cs="Tahoma"/>
          <w:bCs/>
          <w:color w:val="auto"/>
          <w:lang w:eastAsia="es-ES_tradnl"/>
        </w:rPr>
        <w:t>PbRM</w:t>
      </w:r>
      <w:proofErr w:type="spellEnd"/>
      <w:r w:rsidRPr="00A14665" w:rsidR="00D97387">
        <w:rPr>
          <w:rFonts w:eastAsia="Calibri" w:cs="Tahoma"/>
          <w:bCs/>
          <w:color w:val="auto"/>
          <w:lang w:eastAsia="es-ES_tradnl"/>
        </w:rPr>
        <w:t xml:space="preserve"> 01a, </w:t>
      </w:r>
      <w:proofErr w:type="spellStart"/>
      <w:r w:rsidRPr="00A14665" w:rsidR="00D97387">
        <w:rPr>
          <w:rFonts w:eastAsia="Calibri" w:cs="Tahoma"/>
          <w:bCs/>
          <w:color w:val="auto"/>
          <w:lang w:eastAsia="es-ES_tradnl"/>
        </w:rPr>
        <w:t>PbRM</w:t>
      </w:r>
      <w:proofErr w:type="spellEnd"/>
      <w:r w:rsidRPr="00A14665" w:rsidR="00D97387">
        <w:rPr>
          <w:rFonts w:eastAsia="Calibri" w:cs="Tahoma"/>
          <w:bCs/>
          <w:color w:val="auto"/>
          <w:lang w:eastAsia="es-ES_tradnl"/>
        </w:rPr>
        <w:t xml:space="preserve"> 01b, </w:t>
      </w:r>
      <w:proofErr w:type="spellStart"/>
      <w:r w:rsidRPr="00A14665" w:rsidR="00D97387">
        <w:rPr>
          <w:rFonts w:eastAsia="Calibri" w:cs="Tahoma"/>
          <w:bCs/>
          <w:color w:val="auto"/>
          <w:lang w:eastAsia="es-ES_tradnl"/>
        </w:rPr>
        <w:t>PbRM</w:t>
      </w:r>
      <w:proofErr w:type="spellEnd"/>
      <w:r w:rsidRPr="00A14665" w:rsidR="00D97387">
        <w:rPr>
          <w:rFonts w:eastAsia="Calibri" w:cs="Tahoma"/>
          <w:bCs/>
          <w:color w:val="auto"/>
          <w:lang w:eastAsia="es-ES_tradnl"/>
        </w:rPr>
        <w:t xml:space="preserve"> 01c,PbRM 01d, </w:t>
      </w:r>
      <w:proofErr w:type="spellStart"/>
      <w:r w:rsidRPr="00A14665" w:rsidR="00D97387">
        <w:rPr>
          <w:rFonts w:eastAsia="Calibri" w:cs="Tahoma"/>
          <w:bCs/>
          <w:color w:val="auto"/>
          <w:lang w:eastAsia="es-ES_tradnl"/>
        </w:rPr>
        <w:t>PbRM</w:t>
      </w:r>
      <w:proofErr w:type="spellEnd"/>
      <w:r w:rsidRPr="00A14665" w:rsidR="00D97387">
        <w:rPr>
          <w:rFonts w:eastAsia="Calibri" w:cs="Tahoma"/>
          <w:bCs/>
          <w:color w:val="auto"/>
          <w:lang w:eastAsia="es-ES_tradnl"/>
        </w:rPr>
        <w:t xml:space="preserve"> 01e, </w:t>
      </w:r>
      <w:proofErr w:type="spellStart"/>
      <w:r w:rsidRPr="00A14665" w:rsidR="00D97387">
        <w:rPr>
          <w:rFonts w:eastAsia="Calibri" w:cs="Tahoma"/>
          <w:bCs/>
          <w:color w:val="auto"/>
          <w:lang w:eastAsia="es-ES_tradnl"/>
        </w:rPr>
        <w:t>PbRM</w:t>
      </w:r>
      <w:proofErr w:type="spellEnd"/>
      <w:r w:rsidRPr="00A14665" w:rsidR="00D97387">
        <w:rPr>
          <w:rFonts w:eastAsia="Calibri" w:cs="Tahoma"/>
          <w:bCs/>
          <w:color w:val="auto"/>
          <w:lang w:eastAsia="es-ES_tradnl"/>
        </w:rPr>
        <w:t xml:space="preserve"> 02a, </w:t>
      </w:r>
      <w:proofErr w:type="spellStart"/>
      <w:r w:rsidRPr="00A14665" w:rsidR="00D97387">
        <w:rPr>
          <w:rFonts w:eastAsia="Calibri" w:cs="Tahoma"/>
          <w:bCs/>
          <w:color w:val="auto"/>
          <w:lang w:eastAsia="es-ES_tradnl"/>
        </w:rPr>
        <w:t>PbRM</w:t>
      </w:r>
      <w:proofErr w:type="spellEnd"/>
      <w:r w:rsidRPr="00A14665" w:rsidR="00D97387">
        <w:rPr>
          <w:rFonts w:eastAsia="Calibri" w:cs="Tahoma"/>
          <w:bCs/>
          <w:color w:val="auto"/>
          <w:lang w:eastAsia="es-ES_tradnl"/>
        </w:rPr>
        <w:t xml:space="preserve"> 08b y </w:t>
      </w:r>
      <w:proofErr w:type="spellStart"/>
      <w:r w:rsidRPr="00A14665" w:rsidR="00D97387">
        <w:rPr>
          <w:rFonts w:eastAsia="Calibri" w:cs="Tahoma"/>
          <w:bCs/>
          <w:color w:val="auto"/>
          <w:lang w:eastAsia="es-ES_tradnl"/>
        </w:rPr>
        <w:t>PbRM</w:t>
      </w:r>
      <w:proofErr w:type="spellEnd"/>
      <w:r w:rsidRPr="00A14665" w:rsidR="00D97387">
        <w:rPr>
          <w:rFonts w:eastAsia="Calibri" w:cs="Tahoma"/>
          <w:bCs/>
          <w:color w:val="auto"/>
          <w:lang w:eastAsia="es-ES_tradnl"/>
        </w:rPr>
        <w:t xml:space="preserve"> 08c.</w:t>
      </w:r>
    </w:p>
    <w:p w:rsidRPr="00A14665" w:rsidR="005813D8" w:rsidP="007D49D3" w:rsidRDefault="005813D8" w14:paraId="14B239C6" w14:textId="2886CFC1">
      <w:pPr>
        <w:spacing w:after="0"/>
        <w:rPr>
          <w:rFonts w:eastAsia="Calibri" w:cs="Tahoma"/>
          <w:bCs/>
          <w:color w:val="auto"/>
          <w:lang w:val="es-ES" w:eastAsia="es-ES_tradnl"/>
        </w:rPr>
      </w:pPr>
    </w:p>
    <w:p w:rsidRPr="00A14665" w:rsidR="005813D8" w:rsidP="007D49D3" w:rsidRDefault="005813D8" w14:paraId="145F1E39" w14:textId="4686B99B">
      <w:pPr>
        <w:spacing w:after="0"/>
        <w:rPr>
          <w:rFonts w:eastAsia="Calibri" w:cs="Tahoma"/>
          <w:b/>
          <w:color w:val="auto"/>
          <w:lang w:eastAsia="es-ES_tradnl"/>
        </w:rPr>
      </w:pPr>
      <w:r w:rsidRPr="00A14665">
        <w:rPr>
          <w:rFonts w:eastAsia="Calibri" w:cs="Tahoma"/>
          <w:color w:val="auto"/>
          <w:lang w:eastAsia="es-ES_tradnl"/>
        </w:rPr>
        <w:t>En ese sentido</w:t>
      </w:r>
      <w:r w:rsidRPr="00A14665" w:rsidR="006A6CB3">
        <w:rPr>
          <w:rFonts w:eastAsia="Calibri" w:cs="Tahoma"/>
          <w:color w:val="auto"/>
          <w:lang w:eastAsia="es-ES_tradnl"/>
        </w:rPr>
        <w:t xml:space="preserve"> y conforme a lo </w:t>
      </w:r>
      <w:r w:rsidRPr="00A14665" w:rsidR="00D97387">
        <w:rPr>
          <w:rFonts w:eastAsia="Calibri" w:cs="Tahoma"/>
          <w:color w:val="auto"/>
          <w:lang w:eastAsia="es-ES_tradnl"/>
        </w:rPr>
        <w:t>expuesto</w:t>
      </w:r>
      <w:r w:rsidRPr="00A14665" w:rsidR="006A6CB3">
        <w:rPr>
          <w:rFonts w:eastAsia="Calibri" w:cs="Tahoma"/>
          <w:color w:val="auto"/>
          <w:lang w:eastAsia="es-ES_tradnl"/>
        </w:rPr>
        <w:t>, se logra vislumbrar que</w:t>
      </w:r>
      <w:r w:rsidRPr="00A14665">
        <w:rPr>
          <w:rFonts w:eastAsia="Calibri" w:cs="Tahoma"/>
          <w:color w:val="auto"/>
          <w:lang w:eastAsia="es-ES_tradnl"/>
        </w:rPr>
        <w:t xml:space="preserve"> del contra</w:t>
      </w:r>
      <w:r w:rsidRPr="00A14665" w:rsidR="006A6CB3">
        <w:rPr>
          <w:rFonts w:eastAsia="Calibri" w:cs="Tahoma"/>
          <w:color w:val="auto"/>
          <w:lang w:eastAsia="es-ES_tradnl"/>
        </w:rPr>
        <w:t>s</w:t>
      </w:r>
      <w:r w:rsidRPr="00A14665">
        <w:rPr>
          <w:rFonts w:eastAsia="Calibri" w:cs="Tahoma"/>
          <w:color w:val="auto"/>
          <w:lang w:eastAsia="es-ES_tradnl"/>
        </w:rPr>
        <w:t xml:space="preserve">te entre el planteamiento formulado en la solicitud de información y las manifestaciones vertidas en el Medio de Impugnación, que </w:t>
      </w:r>
      <w:r w:rsidRPr="00A14665" w:rsidR="006A6CB3">
        <w:rPr>
          <w:rFonts w:eastAsia="Calibri" w:cs="Tahoma"/>
          <w:color w:val="auto"/>
          <w:lang w:eastAsia="es-ES_tradnl"/>
        </w:rPr>
        <w:t xml:space="preserve">el Particular, </w:t>
      </w:r>
      <w:r w:rsidRPr="00A14665">
        <w:rPr>
          <w:rFonts w:eastAsia="Calibri" w:cs="Tahoma"/>
          <w:color w:val="auto"/>
          <w:lang w:eastAsia="es-ES_tradnl"/>
        </w:rPr>
        <w:t xml:space="preserve">a través </w:t>
      </w:r>
      <w:r w:rsidRPr="00A14665" w:rsidR="006A6CB3">
        <w:rPr>
          <w:rFonts w:eastAsia="Calibri" w:cs="Tahoma"/>
          <w:color w:val="auto"/>
          <w:lang w:eastAsia="es-ES_tradnl"/>
        </w:rPr>
        <w:t xml:space="preserve">del Recurso </w:t>
      </w:r>
      <w:r w:rsidRPr="00A14665">
        <w:rPr>
          <w:rFonts w:eastAsia="Calibri" w:cs="Tahoma"/>
          <w:color w:val="auto"/>
          <w:lang w:eastAsia="es-ES_tradnl"/>
        </w:rPr>
        <w:t xml:space="preserve">pretende obtener información diversa a la inicialmente requerida, </w:t>
      </w:r>
      <w:r w:rsidRPr="00A14665" w:rsidR="00D97387">
        <w:rPr>
          <w:rFonts w:eastAsia="Calibri" w:cs="Tahoma"/>
          <w:color w:val="auto"/>
          <w:lang w:eastAsia="es-ES_tradnl"/>
        </w:rPr>
        <w:t>pues inicialmente requirió recibos de nómina y posteriormente pidió diversos formatos del Presupuesto basado en Resultados Municipal.</w:t>
      </w:r>
    </w:p>
    <w:p w:rsidRPr="00A14665" w:rsidR="005813D8" w:rsidP="007D49D3" w:rsidRDefault="005813D8" w14:paraId="20173A84" w14:textId="77777777">
      <w:pPr>
        <w:spacing w:after="0"/>
        <w:rPr>
          <w:rFonts w:eastAsia="Calibri" w:cs="Tahoma"/>
          <w:color w:val="auto"/>
          <w:lang w:eastAsia="es-ES_tradnl"/>
        </w:rPr>
      </w:pPr>
    </w:p>
    <w:p w:rsidRPr="00A14665" w:rsidR="005813D8" w:rsidP="007D49D3" w:rsidRDefault="005813D8" w14:paraId="362C8A35" w14:textId="77777777">
      <w:pPr>
        <w:spacing w:after="0"/>
        <w:rPr>
          <w:rFonts w:eastAsia="Times New Roman" w:cs="Tahoma"/>
          <w:b/>
          <w:color w:val="auto"/>
          <w:lang w:val="es-ES" w:eastAsia="es-ES"/>
        </w:rPr>
      </w:pPr>
      <w:r w:rsidRPr="00A14665">
        <w:rPr>
          <w:rFonts w:eastAsia="Times New Roman" w:cs="Tahoma"/>
          <w:color w:val="auto"/>
          <w:lang w:val="es-ES" w:eastAsia="es-ES"/>
        </w:rPr>
        <w:lastRenderedPageBreak/>
        <w:t>Por tal circunstancia, dicha situación no puede constituir materia de estudio del presente Recurso de Revisión, debido a que la solicitud de información debe ser apreciada en los términos en que fue planteada originalmente ante el Sujeto Obligado,</w:t>
      </w:r>
      <w:r w:rsidRPr="00A14665">
        <w:rPr>
          <w:rFonts w:eastAsia="Times New Roman" w:cs="Tahoma"/>
          <w:b/>
          <w:color w:val="auto"/>
          <w:lang w:val="es-ES" w:eastAsia="es-ES"/>
        </w:rPr>
        <w:t xml:space="preserve"> sin variar en el fondo la controversia, ni constituir un nuevo requerimiento informativo.</w:t>
      </w:r>
    </w:p>
    <w:p w:rsidRPr="00A14665" w:rsidR="005813D8" w:rsidP="007D49D3" w:rsidRDefault="005813D8" w14:paraId="65BEEC31" w14:textId="77777777">
      <w:pPr>
        <w:spacing w:after="0"/>
        <w:rPr>
          <w:rFonts w:eastAsia="Times New Roman" w:cs="Tahoma"/>
          <w:color w:val="auto"/>
          <w:lang w:val="es-ES" w:eastAsia="es-ES"/>
        </w:rPr>
      </w:pPr>
    </w:p>
    <w:p w:rsidRPr="00A14665" w:rsidR="005813D8" w:rsidP="007D49D3" w:rsidRDefault="005813D8" w14:paraId="687804F1" w14:textId="24D17E40">
      <w:pPr>
        <w:shd w:val="clear" w:color="auto" w:fill="FFFFFF"/>
        <w:spacing w:after="0"/>
        <w:rPr>
          <w:rFonts w:eastAsia="Times New Roman" w:cs="Times New Roman"/>
          <w:color w:val="auto"/>
          <w:lang w:eastAsia="es-MX"/>
        </w:rPr>
      </w:pPr>
      <w:r w:rsidRPr="00A14665">
        <w:rPr>
          <w:rFonts w:eastAsia="Times New Roman" w:cs="Times New Roman"/>
          <w:color w:val="auto"/>
          <w:lang w:eastAsia="es-MX"/>
        </w:rPr>
        <w:t xml:space="preserve">Al respecto, resulta pertinente </w:t>
      </w:r>
      <w:r w:rsidRPr="00A14665" w:rsidR="00D97387">
        <w:rPr>
          <w:rFonts w:eastAsia="Times New Roman" w:cs="Times New Roman"/>
          <w:color w:val="auto"/>
          <w:lang w:eastAsia="es-MX"/>
        </w:rPr>
        <w:t xml:space="preserve">traer a colación el </w:t>
      </w:r>
      <w:r w:rsidRPr="00A14665" w:rsidR="00D97387">
        <w:rPr>
          <w:rFonts w:eastAsia="Calibri" w:cs="Tahoma"/>
          <w:bCs/>
          <w:lang w:val="es-ES"/>
        </w:rPr>
        <w:t xml:space="preserve">Criterio de Interpretación, de la Segunda Época, con clave de control </w:t>
      </w:r>
      <w:r w:rsidRPr="00A14665" w:rsidR="00D97387">
        <w:rPr>
          <w:rFonts w:eastAsia="Calibri" w:cs="Tahoma"/>
          <w:bCs/>
        </w:rPr>
        <w:t>SO/001/2017,</w:t>
      </w:r>
      <w:r w:rsidRPr="00A14665">
        <w:rPr>
          <w:rFonts w:eastAsia="Times New Roman" w:cs="Times New Roman"/>
          <w:color w:val="auto"/>
          <w:lang w:eastAsia="es-MX"/>
        </w:rPr>
        <w:t xml:space="preserve"> emitido por el Instituto Nacional de Transparencia, Acceso a la Información y Protección de Datos Personales, el cual indica que no resulta procedente ampliar vía recurso de revisión, las solicitudes de información:</w:t>
      </w:r>
    </w:p>
    <w:p w:rsidRPr="00A14665" w:rsidR="005813D8" w:rsidP="007D49D3" w:rsidRDefault="005813D8" w14:paraId="5F627607" w14:textId="77777777">
      <w:pPr>
        <w:shd w:val="clear" w:color="auto" w:fill="FFFFFF"/>
        <w:spacing w:after="0"/>
        <w:rPr>
          <w:rFonts w:eastAsia="Times New Roman" w:cs="Times New Roman"/>
          <w:i/>
          <w:color w:val="auto"/>
          <w:sz w:val="20"/>
          <w:szCs w:val="20"/>
          <w:lang w:eastAsia="es-MX"/>
        </w:rPr>
      </w:pPr>
    </w:p>
    <w:p w:rsidRPr="00A14665" w:rsidR="005813D8" w:rsidP="007D49D3" w:rsidRDefault="005813D8" w14:paraId="5F56DAA2" w14:textId="77777777">
      <w:pPr>
        <w:shd w:val="clear" w:color="auto" w:fill="FFFFFF"/>
        <w:spacing w:after="0"/>
        <w:ind w:left="567" w:right="567"/>
        <w:rPr>
          <w:rFonts w:eastAsia="Times New Roman" w:cs="Times New Roman"/>
          <w:i/>
          <w:color w:val="auto"/>
          <w:sz w:val="20"/>
          <w:szCs w:val="20"/>
          <w:lang w:eastAsia="es-MX"/>
        </w:rPr>
      </w:pPr>
      <w:r w:rsidRPr="00A14665">
        <w:rPr>
          <w:rFonts w:eastAsia="Times New Roman" w:cs="Times New Roman"/>
          <w:i/>
          <w:color w:val="auto"/>
          <w:sz w:val="20"/>
          <w:szCs w:val="20"/>
          <w:lang w:eastAsia="es-MX"/>
        </w:rPr>
        <w:t>“</w:t>
      </w:r>
      <w:r w:rsidRPr="00A14665">
        <w:rPr>
          <w:rFonts w:eastAsia="Times New Roman" w:cs="Times New Roman"/>
          <w:b/>
          <w:i/>
          <w:color w:val="auto"/>
          <w:sz w:val="20"/>
          <w:szCs w:val="20"/>
          <w:lang w:eastAsia="es-MX"/>
        </w:rPr>
        <w:t>Es improcedente ampliar las solicitudes de acceso a información, a través de la interposición del recurso de revisión.</w:t>
      </w:r>
      <w:r w:rsidRPr="00A14665">
        <w:rPr>
          <w:rFonts w:eastAsia="Times New Roman" w:cs="Times New Roman"/>
          <w:i/>
          <w:color w:val="auto"/>
          <w:sz w:val="20"/>
          <w:szCs w:val="20"/>
          <w:lang w:eastAsia="es-MX"/>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Pr="00A14665" w:rsidR="005813D8" w:rsidP="007D49D3" w:rsidRDefault="005813D8" w14:paraId="220E6EDE" w14:textId="77777777">
      <w:pPr>
        <w:shd w:val="clear" w:color="auto" w:fill="FFFFFF"/>
        <w:spacing w:after="0"/>
        <w:ind w:left="567" w:right="567"/>
        <w:rPr>
          <w:rFonts w:eastAsia="Times New Roman" w:cs="Times New Roman"/>
          <w:color w:val="auto"/>
          <w:sz w:val="20"/>
          <w:szCs w:val="20"/>
          <w:lang w:eastAsia="es-MX"/>
        </w:rPr>
      </w:pPr>
    </w:p>
    <w:p w:rsidRPr="00A14665" w:rsidR="005813D8" w:rsidP="007D49D3" w:rsidRDefault="005813D8" w14:paraId="1EBFF159" w14:textId="6C0EDD11">
      <w:pPr>
        <w:shd w:val="clear" w:color="auto" w:fill="FFFFFF"/>
        <w:spacing w:after="0"/>
        <w:rPr>
          <w:rFonts w:eastAsia="Times New Roman" w:cs="Times New Roman"/>
          <w:color w:val="auto"/>
          <w:lang w:eastAsia="es-MX"/>
        </w:rPr>
      </w:pPr>
      <w:r w:rsidRPr="00A14665">
        <w:rPr>
          <w:rFonts w:eastAsia="Times New Roman" w:cs="Times New Roman"/>
          <w:color w:val="auto"/>
          <w:lang w:eastAsia="es-MX"/>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rsidRPr="00A14665" w:rsidR="00D97387" w:rsidP="007D49D3" w:rsidRDefault="00D97387" w14:paraId="57B68A9C" w14:textId="10F063C8">
      <w:pPr>
        <w:shd w:val="clear" w:color="auto" w:fill="FFFFFF"/>
        <w:spacing w:after="0"/>
        <w:rPr>
          <w:rFonts w:eastAsia="Times New Roman" w:cs="Times New Roman"/>
          <w:color w:val="auto"/>
          <w:lang w:eastAsia="es-MX"/>
        </w:rPr>
      </w:pPr>
    </w:p>
    <w:p w:rsidRPr="00A14665" w:rsidR="00355A99" w:rsidP="007D49D3" w:rsidRDefault="00C870AA" w14:paraId="6A5B753A" w14:textId="0B606F04">
      <w:pPr>
        <w:spacing w:after="0"/>
        <w:rPr>
          <w:rFonts w:cs="Tahoma"/>
          <w:bCs/>
          <w:color w:val="000000"/>
          <w:lang w:val="es-ES"/>
        </w:rPr>
      </w:pPr>
      <w:r w:rsidRPr="00A14665">
        <w:rPr>
          <w:rFonts w:cs="Tahoma"/>
          <w:bCs/>
          <w:color w:val="000000"/>
        </w:rPr>
        <w:t xml:space="preserve">En ese sentido, toda vez que el Solicitante al interponer el Recurso de Revisión, amplió su solicitud de información, al requerir documentación no peticionada inicialmente, se actualiza </w:t>
      </w:r>
      <w:r w:rsidRPr="00A14665">
        <w:rPr>
          <w:rFonts w:cs="Tahoma"/>
          <w:bCs/>
          <w:color w:val="000000"/>
        </w:rPr>
        <w:lastRenderedPageBreak/>
        <w:t xml:space="preserve">la causal de </w:t>
      </w:r>
      <w:proofErr w:type="spellStart"/>
      <w:r w:rsidRPr="00A14665">
        <w:rPr>
          <w:rFonts w:cs="Tahoma"/>
          <w:bCs/>
          <w:color w:val="000000"/>
        </w:rPr>
        <w:t>desechamiento</w:t>
      </w:r>
      <w:proofErr w:type="spellEnd"/>
      <w:r w:rsidRPr="00A14665">
        <w:rPr>
          <w:rFonts w:cs="Tahoma"/>
          <w:bCs/>
          <w:color w:val="000000"/>
        </w:rPr>
        <w:t xml:space="preserve"> establecida en el diverso 191, fracción VII, </w:t>
      </w:r>
      <w:r w:rsidRPr="00A14665">
        <w:rPr>
          <w:rFonts w:cs="Tahoma"/>
          <w:bCs/>
          <w:color w:val="000000"/>
          <w:lang w:val="es-ES"/>
        </w:rPr>
        <w:t xml:space="preserve">de la Ley </w:t>
      </w:r>
      <w:r w:rsidRPr="00A14665" w:rsidR="00355A99">
        <w:rPr>
          <w:rFonts w:cs="Tahoma"/>
          <w:bCs/>
          <w:color w:val="000000"/>
          <w:lang w:val="es-ES"/>
        </w:rPr>
        <w:t>de Transparencia y Acceso a la Información Pública del Estado de México y Municipios.</w:t>
      </w:r>
    </w:p>
    <w:p w:rsidRPr="00A14665" w:rsidR="00355A99" w:rsidP="007D49D3" w:rsidRDefault="00355A99" w14:paraId="0D8F9870" w14:textId="58D7CC10">
      <w:pPr>
        <w:spacing w:after="0"/>
        <w:rPr>
          <w:rFonts w:cs="Tahoma"/>
          <w:bCs/>
          <w:color w:val="000000"/>
          <w:lang w:val="es-ES"/>
        </w:rPr>
      </w:pPr>
    </w:p>
    <w:p w:rsidRPr="00A14665" w:rsidR="00355A99" w:rsidP="00355A99" w:rsidRDefault="00355A99" w14:paraId="47C978B6" w14:textId="16EF4F9B">
      <w:pPr>
        <w:spacing w:after="0"/>
        <w:rPr>
          <w:rFonts w:eastAsia="Times New Roman" w:cs="Arial"/>
          <w:bCs/>
          <w:color w:val="000000"/>
          <w:lang w:eastAsia="es-ES"/>
        </w:rPr>
      </w:pPr>
      <w:r w:rsidRPr="00A14665">
        <w:rPr>
          <w:rFonts w:eastAsia="Times New Roman" w:cs="Arial"/>
          <w:bCs/>
          <w:color w:val="000000"/>
          <w:lang w:eastAsia="es-ES"/>
        </w:rPr>
        <w:t>Ahora bien, cabe recordar que</w:t>
      </w:r>
      <w:r w:rsidRPr="00A14665">
        <w:rPr>
          <w:rFonts w:eastAsia="Calibri" w:cs="Arial"/>
          <w:bCs/>
          <w:color w:val="000000"/>
          <w:lang w:val="es-ES"/>
        </w:rPr>
        <w:t xml:space="preserve"> el artículo 191, fracción III, de la Ley de Transparencia y Acceso a la Información Pública del Estado de México y Municipios, establece que el Recurso de Revisión será desechado por improcedente, cuando dicho medio no actualice alguno de los supuestos previstos en la presente Ley; en ese contexto</w:t>
      </w:r>
      <w:r w:rsidRPr="00A14665">
        <w:rPr>
          <w:rFonts w:eastAsia="Times New Roman" w:cs="Arial"/>
          <w:bCs/>
          <w:color w:val="000000"/>
          <w:lang w:eastAsia="es-ES"/>
        </w:rPr>
        <w:t>, el artículo 179 de la Ley referida, prevé lo siguiente:</w:t>
      </w:r>
    </w:p>
    <w:p w:rsidRPr="00A14665" w:rsidR="00355A99" w:rsidP="00355A99" w:rsidRDefault="00355A99" w14:paraId="1728BA6F" w14:textId="77777777">
      <w:pPr>
        <w:spacing w:after="0"/>
        <w:rPr>
          <w:rFonts w:eastAsia="Times New Roman" w:cs="Arial"/>
          <w:bCs/>
          <w:color w:val="000000"/>
          <w:lang w:eastAsia="es-ES"/>
        </w:rPr>
      </w:pPr>
    </w:p>
    <w:p w:rsidRPr="00A14665" w:rsidR="00355A99" w:rsidP="00355A99" w:rsidRDefault="00355A99" w14:paraId="1084DF69" w14:textId="77777777">
      <w:pPr>
        <w:spacing w:after="0"/>
        <w:ind w:left="567" w:right="567"/>
        <w:rPr>
          <w:rFonts w:eastAsia="Calibri" w:cs="Arial"/>
          <w:bCs/>
          <w:i/>
          <w:color w:val="000000"/>
          <w:sz w:val="20"/>
          <w:szCs w:val="20"/>
          <w:lang w:val="es-ES"/>
        </w:rPr>
      </w:pPr>
      <w:r w:rsidRPr="00A14665">
        <w:rPr>
          <w:rFonts w:eastAsia="Calibri" w:cs="Arial"/>
          <w:b/>
          <w:bCs/>
          <w:i/>
          <w:color w:val="000000"/>
          <w:sz w:val="20"/>
          <w:szCs w:val="20"/>
          <w:lang w:val="es-ES"/>
        </w:rPr>
        <w:t xml:space="preserve">“Artículo 179. </w:t>
      </w:r>
      <w:r w:rsidRPr="00A14665">
        <w:rPr>
          <w:rFonts w:eastAsia="Calibri" w:cs="Arial"/>
          <w:bCs/>
          <w:i/>
          <w:color w:val="000000"/>
          <w:sz w:val="20"/>
          <w:szCs w:val="20"/>
          <w:lang w:val="es-ES"/>
        </w:rPr>
        <w:t xml:space="preserve">El recurso de revisión es un medio de protección que la Ley otorga a los particulares, para hacer valer su derecho de acceso a la información pública, y procederá en contra de las siguientes causas: </w:t>
      </w:r>
    </w:p>
    <w:p w:rsidRPr="00A14665" w:rsidR="00355A99" w:rsidP="00355A99" w:rsidRDefault="00355A99" w14:paraId="547B83A1" w14:textId="77777777">
      <w:pPr>
        <w:spacing w:after="0"/>
        <w:ind w:left="567" w:right="567"/>
        <w:rPr>
          <w:rFonts w:eastAsia="Calibri" w:cs="Arial"/>
          <w:bCs/>
          <w:i/>
          <w:color w:val="000000"/>
          <w:sz w:val="20"/>
          <w:szCs w:val="20"/>
          <w:lang w:val="es-ES"/>
        </w:rPr>
      </w:pPr>
    </w:p>
    <w:p w:rsidRPr="00A14665" w:rsidR="00355A99" w:rsidP="00355A99" w:rsidRDefault="00355A99" w14:paraId="21759214"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I. La negativa a la información solicitada; </w:t>
      </w:r>
    </w:p>
    <w:p w:rsidRPr="00A14665" w:rsidR="00355A99" w:rsidP="00355A99" w:rsidRDefault="00355A99" w14:paraId="3671D3E5"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II. La clasificación de la información; </w:t>
      </w:r>
    </w:p>
    <w:p w:rsidRPr="00A14665" w:rsidR="00355A99" w:rsidP="00355A99" w:rsidRDefault="00355A99" w14:paraId="47DACEBC"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III. La declaración de inexistencia de la información; </w:t>
      </w:r>
    </w:p>
    <w:p w:rsidRPr="00A14665" w:rsidR="00355A99" w:rsidP="00355A99" w:rsidRDefault="00355A99" w14:paraId="3039D445"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IV. La declaración de incompetencia por el sujeto obligado; </w:t>
      </w:r>
    </w:p>
    <w:p w:rsidRPr="00A14665" w:rsidR="00355A99" w:rsidP="00355A99" w:rsidRDefault="00355A99" w14:paraId="359129F8"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V. La entrega de información incompleta; </w:t>
      </w:r>
    </w:p>
    <w:p w:rsidRPr="00A14665" w:rsidR="00355A99" w:rsidP="00355A99" w:rsidRDefault="00355A99" w14:paraId="1D03CCD6"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VI. La entrega de información que no corresponda con lo solicitado; </w:t>
      </w:r>
    </w:p>
    <w:p w:rsidRPr="00A14665" w:rsidR="00355A99" w:rsidP="00355A99" w:rsidRDefault="00355A99" w14:paraId="35D5FAFF"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VII. La falta de respuesta a una solicitud de acceso a la información; </w:t>
      </w:r>
    </w:p>
    <w:p w:rsidRPr="00A14665" w:rsidR="00355A99" w:rsidP="00355A99" w:rsidRDefault="00355A99" w14:paraId="6D0AC686"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VIII. La notificación, entrega o puesta a disposición de información en una modalidad o formato distinto al solicitado; </w:t>
      </w:r>
    </w:p>
    <w:p w:rsidRPr="00A14665" w:rsidR="00355A99" w:rsidP="00355A99" w:rsidRDefault="00355A99" w14:paraId="516F043B"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IX. La entrega o puesta a disposición de información en un formato incomprensible y/o no accesible para el solicitante; </w:t>
      </w:r>
    </w:p>
    <w:p w:rsidRPr="00A14665" w:rsidR="00355A99" w:rsidP="00355A99" w:rsidRDefault="00355A99" w14:paraId="2B022786"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X. Los costos o tiempos de entrega de la información; </w:t>
      </w:r>
    </w:p>
    <w:p w:rsidRPr="00A14665" w:rsidR="00355A99" w:rsidP="00355A99" w:rsidRDefault="00355A99" w14:paraId="0CB2FC3A"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XI. La falta de trámite a una solicitud; </w:t>
      </w:r>
    </w:p>
    <w:p w:rsidRPr="00A14665" w:rsidR="00355A99" w:rsidP="00355A99" w:rsidRDefault="00355A99" w14:paraId="4982E78E" w14:textId="75CDB310">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 xml:space="preserve">XII. La negativa a permitir la consulta directa de la información; </w:t>
      </w:r>
    </w:p>
    <w:p w:rsidRPr="00A14665" w:rsidR="00355A99" w:rsidP="00355A99" w:rsidRDefault="00355A99" w14:paraId="6F5B7122" w14:textId="22101D2A">
      <w:pPr>
        <w:spacing w:after="0"/>
        <w:ind w:left="567" w:right="567"/>
        <w:rPr>
          <w:rFonts w:eastAsia="Calibri" w:cs="Arial"/>
          <w:bCs/>
          <w:i/>
          <w:color w:val="000000"/>
          <w:sz w:val="20"/>
          <w:szCs w:val="20"/>
          <w:lang w:val="es-ES"/>
        </w:rPr>
      </w:pPr>
    </w:p>
    <w:p w:rsidRPr="00A14665" w:rsidR="00355A99" w:rsidP="00355A99" w:rsidRDefault="00355A99" w14:paraId="5F3B98D1" w14:textId="77777777">
      <w:pPr>
        <w:spacing w:after="0"/>
        <w:ind w:left="567" w:right="567"/>
        <w:rPr>
          <w:rFonts w:eastAsia="Calibri" w:cs="Arial"/>
          <w:bCs/>
          <w:i/>
          <w:color w:val="000000"/>
          <w:sz w:val="20"/>
          <w:szCs w:val="20"/>
          <w:lang w:val="es-ES"/>
        </w:rPr>
      </w:pPr>
    </w:p>
    <w:p w:rsidRPr="00A14665" w:rsidR="00355A99" w:rsidP="00355A99" w:rsidRDefault="00355A99" w14:paraId="3DFA0C0D"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lastRenderedPageBreak/>
        <w:t xml:space="preserve">XIII. La falta, deficiencia o insuficiencia de la fundamentación y/o motivación en la respuesta; y </w:t>
      </w:r>
    </w:p>
    <w:p w:rsidRPr="00A14665" w:rsidR="00355A99" w:rsidP="00355A99" w:rsidRDefault="00355A99" w14:paraId="3CAD23EB"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XIV. La orientación a un trámite específico.</w:t>
      </w:r>
    </w:p>
    <w:p w:rsidRPr="00A14665" w:rsidR="00355A99" w:rsidP="00355A99" w:rsidRDefault="00355A99" w14:paraId="5947B600" w14:textId="77777777">
      <w:pPr>
        <w:spacing w:after="0"/>
        <w:ind w:left="567" w:right="567"/>
        <w:rPr>
          <w:rFonts w:eastAsia="Calibri" w:cs="Arial"/>
          <w:bCs/>
          <w:i/>
          <w:color w:val="000000"/>
          <w:sz w:val="20"/>
          <w:szCs w:val="20"/>
          <w:lang w:val="es-ES"/>
        </w:rPr>
      </w:pPr>
      <w:r w:rsidRPr="00A14665">
        <w:rPr>
          <w:rFonts w:eastAsia="Calibri" w:cs="Arial"/>
          <w:bCs/>
          <w:i/>
          <w:color w:val="000000"/>
          <w:sz w:val="20"/>
          <w:szCs w:val="20"/>
          <w:lang w:val="es-ES"/>
        </w:rPr>
        <w:t>…”</w:t>
      </w:r>
    </w:p>
    <w:p w:rsidRPr="00A14665" w:rsidR="00355A99" w:rsidP="007D49D3" w:rsidRDefault="00355A99" w14:paraId="69BC77AC" w14:textId="77777777">
      <w:pPr>
        <w:spacing w:after="0"/>
        <w:rPr>
          <w:rFonts w:cs="Tahoma"/>
          <w:bCs/>
          <w:color w:val="000000"/>
          <w:lang w:val="es-ES"/>
        </w:rPr>
      </w:pPr>
    </w:p>
    <w:p w:rsidRPr="00A14665" w:rsidR="00355A99" w:rsidP="007D49D3" w:rsidRDefault="00355A99" w14:paraId="78AE644B" w14:textId="4358987E">
      <w:pPr>
        <w:spacing w:after="0"/>
        <w:rPr>
          <w:rFonts w:cs="Tahoma"/>
          <w:bCs/>
          <w:color w:val="000000"/>
          <w:lang w:val="es-ES"/>
        </w:rPr>
      </w:pPr>
      <w:r w:rsidRPr="00A14665">
        <w:rPr>
          <w:rFonts w:cs="Tahoma"/>
          <w:bCs/>
          <w:color w:val="000000"/>
          <w:lang w:val="es-ES"/>
        </w:rPr>
        <w:t>Al respecto, cabe recordar que el Sujeto Obligado proporcionó la versión pública de diversos recibos de nómina, a lo cual el Particular se inconformó al señalar que le habían</w:t>
      </w:r>
      <w:r w:rsidRPr="00A14665" w:rsidR="009F4590">
        <w:rPr>
          <w:rFonts w:cs="Tahoma"/>
          <w:bCs/>
          <w:color w:val="000000"/>
          <w:lang w:val="es-ES"/>
        </w:rPr>
        <w:t xml:space="preserve"> entregado una liga electrónica que no tenía nada que ver con lo solicitado.</w:t>
      </w:r>
    </w:p>
    <w:p w:rsidRPr="00A14665" w:rsidR="009F4590" w:rsidP="007D49D3" w:rsidRDefault="009F4590" w14:paraId="38DEFDF4" w14:textId="5DC14DDC">
      <w:pPr>
        <w:spacing w:after="0"/>
        <w:rPr>
          <w:rFonts w:cs="Tahoma"/>
          <w:bCs/>
          <w:color w:val="000000"/>
          <w:lang w:val="es-ES"/>
        </w:rPr>
      </w:pPr>
    </w:p>
    <w:p w:rsidRPr="00A14665" w:rsidR="009F4590" w:rsidP="007D49D3" w:rsidRDefault="009F4590" w14:paraId="276A3251" w14:textId="77777777">
      <w:pPr>
        <w:spacing w:after="0"/>
        <w:rPr>
          <w:rFonts w:cs="Tahoma"/>
          <w:bCs/>
          <w:color w:val="000000"/>
          <w:lang w:val="es-ES"/>
        </w:rPr>
      </w:pPr>
      <w:r w:rsidRPr="00A14665">
        <w:rPr>
          <w:rFonts w:cs="Tahoma"/>
          <w:bCs/>
          <w:color w:val="000000"/>
          <w:lang w:val="es-ES"/>
        </w:rPr>
        <w:t>De lo anterior, se logra vislumbrar que el agravió manifestado por el Particular, no guarda relación con la respuesta entregada, por lo cual, se logra vislumbrar que el agravió del Particular no actualiza ninguna causal de procedencia establecida en el artículo 179, de la Ley de Transparencia y Acceso a la Información Pública.</w:t>
      </w:r>
    </w:p>
    <w:p w:rsidRPr="00A14665" w:rsidR="009F4590" w:rsidP="007D49D3" w:rsidRDefault="009F4590" w14:paraId="4AF0E7D4" w14:textId="77777777">
      <w:pPr>
        <w:spacing w:after="0"/>
        <w:rPr>
          <w:rFonts w:cs="Tahoma"/>
          <w:bCs/>
          <w:color w:val="000000"/>
          <w:lang w:val="es-ES"/>
        </w:rPr>
      </w:pPr>
    </w:p>
    <w:p w:rsidRPr="00A14665" w:rsidR="00C870AA" w:rsidP="007D49D3" w:rsidRDefault="009F4590" w14:paraId="6EF4FEAD" w14:textId="73BFF212">
      <w:pPr>
        <w:spacing w:after="0"/>
        <w:rPr>
          <w:rFonts w:cs="Tahoma"/>
          <w:bCs/>
          <w:color w:val="0D0D0D" w:themeColor="text1" w:themeTint="F2"/>
        </w:rPr>
      </w:pPr>
      <w:r w:rsidRPr="00A14665">
        <w:rPr>
          <w:rFonts w:cs="Tahoma"/>
          <w:bCs/>
          <w:color w:val="000000"/>
        </w:rPr>
        <w:t xml:space="preserve">Así, el Recurso de Revisión actualiza las causales de </w:t>
      </w:r>
      <w:proofErr w:type="spellStart"/>
      <w:r w:rsidRPr="00A14665">
        <w:rPr>
          <w:rFonts w:cs="Tahoma"/>
          <w:bCs/>
          <w:color w:val="000000"/>
        </w:rPr>
        <w:t>desechamiento</w:t>
      </w:r>
      <w:proofErr w:type="spellEnd"/>
      <w:r w:rsidRPr="00A14665">
        <w:rPr>
          <w:rFonts w:cs="Tahoma"/>
          <w:bCs/>
          <w:color w:val="000000"/>
        </w:rPr>
        <w:t xml:space="preserve"> establecidas en el diverso 191, fracciones III y VII, </w:t>
      </w:r>
      <w:r w:rsidRPr="00A14665">
        <w:rPr>
          <w:rFonts w:cs="Tahoma"/>
          <w:bCs/>
          <w:color w:val="000000"/>
          <w:lang w:val="es-ES"/>
        </w:rPr>
        <w:t>de la Ley de la materia; no obstante,</w:t>
      </w:r>
      <w:r w:rsidRPr="00A14665" w:rsidR="00C870AA">
        <w:rPr>
          <w:rFonts w:cs="Tahoma"/>
          <w:bCs/>
          <w:color w:val="000000"/>
          <w:lang w:val="es-ES"/>
        </w:rPr>
        <w:t xml:space="preserve"> toda vez que fue necesario admitir el Medio de Impugnación, para verificar </w:t>
      </w:r>
      <w:r w:rsidRPr="00A14665" w:rsidR="006313B6">
        <w:rPr>
          <w:rFonts w:cs="Tahoma"/>
          <w:bCs/>
          <w:color w:val="000000"/>
          <w:lang w:val="es-ES"/>
        </w:rPr>
        <w:t>dicha circunstancia</w:t>
      </w:r>
      <w:r w:rsidRPr="00A14665" w:rsidR="00C870AA">
        <w:rPr>
          <w:rFonts w:cs="Tahoma"/>
          <w:bCs/>
          <w:color w:val="0D0D0D" w:themeColor="text1" w:themeTint="F2"/>
        </w:rPr>
        <w:t xml:space="preserve">, lo procedente es </w:t>
      </w:r>
      <w:r w:rsidRPr="00A14665" w:rsidR="00C870AA">
        <w:rPr>
          <w:rFonts w:cs="Tahoma"/>
          <w:b/>
          <w:bCs/>
          <w:color w:val="0D0D0D" w:themeColor="text1" w:themeTint="F2"/>
        </w:rPr>
        <w:t xml:space="preserve">SOBRESEER </w:t>
      </w:r>
      <w:r w:rsidRPr="00A14665" w:rsidR="00C870AA">
        <w:rPr>
          <w:rFonts w:cs="Tahoma"/>
          <w:bCs/>
          <w:color w:val="0D0D0D" w:themeColor="text1" w:themeTint="F2"/>
        </w:rPr>
        <w:t>el mismo.</w:t>
      </w:r>
    </w:p>
    <w:p w:rsidRPr="00A14665" w:rsidR="006313B6" w:rsidP="007D49D3" w:rsidRDefault="006313B6" w14:paraId="129FB8CC" w14:textId="77777777">
      <w:pPr>
        <w:spacing w:after="0"/>
        <w:rPr>
          <w:rFonts w:cs="Tahoma"/>
          <w:bCs/>
          <w:color w:val="000000"/>
          <w:lang w:val="es-ES"/>
        </w:rPr>
      </w:pPr>
    </w:p>
    <w:p w:rsidRPr="00A14665" w:rsidR="006313B6" w:rsidP="007D49D3" w:rsidRDefault="006313B6" w14:paraId="4ED0BA29" w14:textId="77777777">
      <w:pPr>
        <w:spacing w:after="0"/>
        <w:rPr>
          <w:rFonts w:eastAsia="Times New Roman" w:cs="Tahoma"/>
          <w:b/>
          <w:color w:val="auto"/>
          <w:lang w:val="es-ES" w:eastAsia="es-ES"/>
        </w:rPr>
      </w:pPr>
      <w:r w:rsidRPr="00A14665">
        <w:rPr>
          <w:rFonts w:eastAsia="Times New Roman" w:cs="Tahoma"/>
          <w:b/>
          <w:color w:val="auto"/>
          <w:lang w:val="es-ES" w:eastAsia="es-ES"/>
        </w:rPr>
        <w:t xml:space="preserve">CUARTO. Decisión. </w:t>
      </w:r>
    </w:p>
    <w:p w:rsidRPr="00A14665" w:rsidR="006313B6" w:rsidP="007D49D3" w:rsidRDefault="006313B6" w14:paraId="388286C5" w14:textId="77777777">
      <w:pPr>
        <w:spacing w:after="0"/>
        <w:rPr>
          <w:rFonts w:eastAsia="Times New Roman" w:cs="Tahoma"/>
          <w:b/>
          <w:color w:val="auto"/>
          <w:lang w:val="es-ES" w:eastAsia="es-ES"/>
        </w:rPr>
      </w:pPr>
    </w:p>
    <w:p w:rsidRPr="00A14665" w:rsidR="006313B6" w:rsidP="007D49D3" w:rsidRDefault="006313B6" w14:paraId="0278FF2C" w14:textId="7108DC44">
      <w:pPr>
        <w:spacing w:after="0"/>
        <w:rPr>
          <w:rFonts w:eastAsia="Times New Roman" w:cs="Tahoma"/>
          <w:color w:val="auto"/>
          <w:lang w:val="es-ES" w:eastAsia="es-ES"/>
        </w:rPr>
      </w:pPr>
      <w:r w:rsidRPr="00A14665">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A14665">
        <w:rPr>
          <w:rFonts w:eastAsia="Times New Roman" w:cs="Tahoma"/>
          <w:b/>
          <w:color w:val="auto"/>
          <w:lang w:val="es-ES" w:eastAsia="es-ES"/>
        </w:rPr>
        <w:t xml:space="preserve">SOBRESEER </w:t>
      </w:r>
      <w:r w:rsidRPr="00A14665">
        <w:rPr>
          <w:rFonts w:eastAsia="Times New Roman" w:cs="Tahoma"/>
          <w:color w:val="auto"/>
          <w:lang w:val="es-ES" w:eastAsia="es-ES"/>
        </w:rPr>
        <w:t>el Recurso de Revisión, en virtud de que se actualiza la hipótesis normativa prevista en la fracción IV, del diverso 192, en relación, con el 191, fracci</w:t>
      </w:r>
      <w:r w:rsidRPr="00A14665" w:rsidR="009F4590">
        <w:rPr>
          <w:rFonts w:eastAsia="Times New Roman" w:cs="Tahoma"/>
          <w:color w:val="auto"/>
          <w:lang w:val="es-ES" w:eastAsia="es-ES"/>
        </w:rPr>
        <w:t xml:space="preserve">ones V y </w:t>
      </w:r>
      <w:r w:rsidRPr="00A14665">
        <w:rPr>
          <w:rFonts w:eastAsia="Times New Roman" w:cs="Tahoma"/>
          <w:color w:val="auto"/>
          <w:lang w:val="es-ES" w:eastAsia="es-ES"/>
        </w:rPr>
        <w:t>VII, ambos del citado ordenamiento legal.</w:t>
      </w:r>
    </w:p>
    <w:p w:rsidRPr="00A14665" w:rsidR="00D8203F" w:rsidP="007D49D3" w:rsidRDefault="00D8203F" w14:paraId="064EF045" w14:textId="34275AF2">
      <w:pPr>
        <w:spacing w:after="0"/>
        <w:rPr>
          <w:rFonts w:eastAsia="Calibri" w:cs="Tahoma"/>
          <w:color w:val="auto"/>
          <w:lang w:eastAsia="es-ES_tradnl"/>
        </w:rPr>
      </w:pPr>
    </w:p>
    <w:p w:rsidRPr="00A14665" w:rsidR="00FA4CDC" w:rsidP="007D49D3" w:rsidRDefault="00FA4CDC" w14:paraId="2B2B0DAB" w14:textId="77777777">
      <w:pPr>
        <w:spacing w:after="0"/>
        <w:rPr>
          <w:rFonts w:eastAsia="Times New Roman" w:cs="Tahoma"/>
          <w:b/>
          <w:color w:val="auto"/>
          <w:lang w:eastAsia="es-ES"/>
        </w:rPr>
      </w:pPr>
      <w:r w:rsidRPr="00A14665">
        <w:rPr>
          <w:rFonts w:eastAsia="Times New Roman" w:cs="Tahoma"/>
          <w:b/>
          <w:color w:val="auto"/>
          <w:lang w:eastAsia="es-ES"/>
        </w:rPr>
        <w:t>Términos de la Resolución para conocimiento del Particular.</w:t>
      </w:r>
    </w:p>
    <w:p w:rsidRPr="00A14665" w:rsidR="00381AFD" w:rsidP="007D49D3" w:rsidRDefault="00FA4CDC" w14:paraId="49ECDE62" w14:textId="787FAA75">
      <w:pPr>
        <w:spacing w:after="0"/>
        <w:rPr>
          <w:rFonts w:eastAsia="Calibri" w:cs="Tahoma"/>
          <w:bCs/>
          <w:iCs/>
          <w:color w:val="auto"/>
        </w:rPr>
      </w:pPr>
      <w:r w:rsidRPr="00A14665">
        <w:rPr>
          <w:rFonts w:eastAsia="Times New Roman" w:cs="Tahoma"/>
          <w:bCs/>
          <w:color w:val="auto"/>
          <w:lang w:eastAsia="es-ES"/>
        </w:rPr>
        <w:lastRenderedPageBreak/>
        <w:t>Se le hace del conocimiento al Particular, que, en el presente caso,</w:t>
      </w:r>
      <w:r w:rsidRPr="00A14665" w:rsidR="00B21952">
        <w:rPr>
          <w:rFonts w:eastAsia="Times New Roman" w:cs="Tahoma"/>
          <w:bCs/>
          <w:color w:val="auto"/>
          <w:lang w:eastAsia="es-ES"/>
        </w:rPr>
        <w:t xml:space="preserve"> mediante el Recurso de Revisión, pretende acceder a información que no fue solicitada inicialmente, en su requerimiento primigenio, lo cual resulta improcedente</w:t>
      </w:r>
      <w:r w:rsidRPr="00A14665" w:rsidR="009F4590">
        <w:rPr>
          <w:rFonts w:eastAsia="Times New Roman" w:cs="Tahoma"/>
          <w:bCs/>
          <w:color w:val="auto"/>
          <w:lang w:eastAsia="es-ES"/>
        </w:rPr>
        <w:t>; además que el agravió no guarda relación con la respuesta entregada</w:t>
      </w:r>
      <w:r w:rsidRPr="00A14665" w:rsidR="00B21952">
        <w:rPr>
          <w:rFonts w:eastAsia="Times New Roman" w:cs="Tahoma"/>
          <w:bCs/>
          <w:color w:val="auto"/>
          <w:lang w:eastAsia="es-ES"/>
        </w:rPr>
        <w:t xml:space="preserve">; </w:t>
      </w:r>
      <w:r w:rsidRPr="00A14665" w:rsidR="009F4590">
        <w:rPr>
          <w:rFonts w:eastAsia="Times New Roman" w:cs="Tahoma"/>
          <w:bCs/>
          <w:color w:val="auto"/>
          <w:lang w:eastAsia="es-ES"/>
        </w:rPr>
        <w:t>por lo que, se</w:t>
      </w:r>
      <w:r w:rsidRPr="00A14665" w:rsidR="00B21952">
        <w:rPr>
          <w:rFonts w:eastAsia="Times New Roman" w:cs="Tahoma"/>
          <w:bCs/>
          <w:color w:val="auto"/>
          <w:lang w:eastAsia="es-ES"/>
        </w:rPr>
        <w:t xml:space="preserve"> le dejan a salvo sus derechos para que si es de su interés presente una nueva solicitud de información.</w:t>
      </w:r>
      <w:r w:rsidRPr="00A14665" w:rsidR="00333B53">
        <w:rPr>
          <w:rFonts w:eastAsia="Times New Roman" w:cs="Tahoma"/>
          <w:bCs/>
          <w:color w:val="auto"/>
          <w:lang w:eastAsia="es-ES"/>
        </w:rPr>
        <w:t xml:space="preserve"> </w:t>
      </w:r>
      <w:r w:rsidRPr="00A14665" w:rsidR="00381AFD">
        <w:rPr>
          <w:rFonts w:eastAsia="Calibri" w:cs="Tahoma"/>
          <w:bCs/>
          <w:iCs/>
          <w:color w:val="auto"/>
        </w:rPr>
        <w:t>Finalmente, la labor del Instituto es apoyar a la población a acceder a la información pública y garantizar la protección de sus datos personales.</w:t>
      </w:r>
    </w:p>
    <w:p w:rsidRPr="00A14665" w:rsidR="00FA4CDC" w:rsidP="007D49D3" w:rsidRDefault="00FA4CDC" w14:paraId="6005E4CE" w14:textId="77777777">
      <w:pPr>
        <w:spacing w:after="0"/>
        <w:rPr>
          <w:rFonts w:eastAsia="Times New Roman" w:cs="Tahoma"/>
          <w:bCs/>
          <w:color w:val="auto"/>
          <w:lang w:eastAsia="es-ES"/>
        </w:rPr>
      </w:pPr>
    </w:p>
    <w:p w:rsidRPr="00A14665" w:rsidR="00FA4CDC" w:rsidP="007D49D3" w:rsidRDefault="00FA4CDC" w14:paraId="5D278EC6" w14:textId="77777777">
      <w:pPr>
        <w:spacing w:after="0"/>
        <w:rPr>
          <w:rFonts w:eastAsia="Times New Roman" w:cs="Tahoma"/>
          <w:bCs/>
          <w:color w:val="auto"/>
          <w:lang w:eastAsia="es-ES"/>
        </w:rPr>
      </w:pPr>
      <w:r w:rsidRPr="00A14665">
        <w:rPr>
          <w:rFonts w:eastAsia="Times New Roman" w:cs="Tahoma"/>
          <w:bCs/>
          <w:color w:val="auto"/>
          <w:lang w:eastAsia="es-ES"/>
        </w:rPr>
        <w:t>Por lo expuesto y fundado, este Pleno:</w:t>
      </w:r>
    </w:p>
    <w:p w:rsidRPr="00A14665" w:rsidR="00381AFD" w:rsidP="007D49D3" w:rsidRDefault="00381AFD" w14:paraId="21E1F339" w14:textId="77777777">
      <w:pPr>
        <w:spacing w:after="0"/>
        <w:rPr>
          <w:rFonts w:eastAsia="Times New Roman" w:cs="Tahoma"/>
          <w:bCs/>
          <w:color w:val="auto"/>
          <w:lang w:eastAsia="es-ES"/>
        </w:rPr>
      </w:pPr>
    </w:p>
    <w:p w:rsidRPr="00A14665" w:rsidR="00FA4CDC" w:rsidP="007D49D3" w:rsidRDefault="00FA4CDC" w14:paraId="12844EA6" w14:textId="77777777">
      <w:pPr>
        <w:spacing w:after="0"/>
        <w:jc w:val="center"/>
        <w:rPr>
          <w:rFonts w:eastAsia="Times New Roman" w:cs="Tahoma"/>
          <w:b/>
          <w:color w:val="auto"/>
          <w:lang w:eastAsia="es-ES"/>
        </w:rPr>
      </w:pPr>
      <w:r w:rsidRPr="00A14665">
        <w:rPr>
          <w:rFonts w:eastAsia="Times New Roman" w:cs="Tahoma"/>
          <w:b/>
          <w:color w:val="auto"/>
          <w:lang w:eastAsia="es-ES"/>
        </w:rPr>
        <w:t>R E S U E L V E:</w:t>
      </w:r>
    </w:p>
    <w:p w:rsidRPr="00A14665" w:rsidR="00FA4CDC" w:rsidP="007D49D3" w:rsidRDefault="00FA4CDC" w14:paraId="78C9E8A7" w14:textId="77777777">
      <w:pPr>
        <w:spacing w:after="0"/>
        <w:rPr>
          <w:rFonts w:eastAsia="Times New Roman" w:cs="Tahoma"/>
          <w:bCs/>
          <w:color w:val="auto"/>
          <w:lang w:eastAsia="es-ES"/>
        </w:rPr>
      </w:pPr>
    </w:p>
    <w:p w:rsidRPr="00A14665" w:rsidR="00B21952" w:rsidP="007D49D3" w:rsidRDefault="00FA4CDC" w14:paraId="13B1013C" w14:textId="0F81ABC0">
      <w:pPr>
        <w:spacing w:after="0"/>
        <w:rPr>
          <w:rFonts w:eastAsia="Times New Roman" w:cs="Tahoma"/>
          <w:bCs/>
          <w:color w:val="auto"/>
          <w:lang w:val="es-ES" w:eastAsia="es-ES"/>
        </w:rPr>
      </w:pPr>
      <w:r w:rsidRPr="00A14665">
        <w:rPr>
          <w:rFonts w:eastAsia="Times New Roman" w:cs="Tahoma"/>
          <w:b/>
          <w:color w:val="auto"/>
          <w:lang w:eastAsia="es-ES"/>
        </w:rPr>
        <w:t>PRIMERO</w:t>
      </w:r>
      <w:r w:rsidRPr="00A14665">
        <w:rPr>
          <w:rFonts w:eastAsia="Times New Roman" w:cs="Tahoma"/>
          <w:bCs/>
          <w:color w:val="auto"/>
          <w:lang w:eastAsia="es-ES"/>
        </w:rPr>
        <w:t xml:space="preserve">. </w:t>
      </w:r>
      <w:r w:rsidRPr="00A14665" w:rsidR="00B21952">
        <w:rPr>
          <w:rFonts w:eastAsia="Times New Roman" w:cs="Tahoma"/>
          <w:bCs/>
          <w:color w:val="auto"/>
          <w:lang w:val="es-ES" w:eastAsia="es-ES"/>
        </w:rPr>
        <w:t xml:space="preserve">Se </w:t>
      </w:r>
      <w:r w:rsidRPr="00A14665" w:rsidR="00B21952">
        <w:rPr>
          <w:rFonts w:eastAsia="Times New Roman" w:cs="Tahoma"/>
          <w:b/>
          <w:bCs/>
          <w:color w:val="auto"/>
          <w:lang w:val="es-ES" w:eastAsia="es-ES"/>
        </w:rPr>
        <w:t>SOBRESEE</w:t>
      </w:r>
      <w:r w:rsidRPr="00A14665" w:rsidR="00B21952">
        <w:rPr>
          <w:rFonts w:eastAsia="Times New Roman" w:cs="Tahoma"/>
          <w:bCs/>
          <w:color w:val="auto"/>
          <w:lang w:val="es-ES" w:eastAsia="es-ES"/>
        </w:rPr>
        <w:t xml:space="preserve"> el Recurso de Revisión número </w:t>
      </w:r>
      <w:r w:rsidRPr="00A14665" w:rsidR="00C003A2">
        <w:rPr>
          <w:rFonts w:eastAsia="Calibri" w:cs="Tahoma"/>
        </w:rPr>
        <w:t>00596/INFOEM/IP/RR/2023</w:t>
      </w:r>
      <w:r w:rsidRPr="00A14665" w:rsidR="00B21952">
        <w:rPr>
          <w:rFonts w:eastAsia="Times New Roman" w:cs="Tahoma"/>
          <w:bCs/>
          <w:color w:val="auto"/>
          <w:lang w:val="es-ES" w:eastAsia="es-ES"/>
        </w:rPr>
        <w:t>,</w:t>
      </w:r>
      <w:r w:rsidRPr="00A14665" w:rsidR="00381AFD">
        <w:t xml:space="preserve"> </w:t>
      </w:r>
      <w:r w:rsidRPr="00A14665" w:rsidR="00381AFD">
        <w:rPr>
          <w:rFonts w:eastAsia="Times New Roman" w:cs="Tahoma"/>
          <w:bCs/>
          <w:color w:val="auto"/>
          <w:lang w:val="es-ES" w:eastAsia="es-ES"/>
        </w:rPr>
        <w:t xml:space="preserve">en términos del artículo 192, fracción IV, de la Ley de Transparencia y Acceso a la Información Pública del Estado de México y Municipios, </w:t>
      </w:r>
      <w:r w:rsidRPr="00A14665" w:rsidR="00B21952">
        <w:rPr>
          <w:rFonts w:eastAsia="Times New Roman" w:cs="Tahoma"/>
          <w:color w:val="auto"/>
          <w:lang w:val="es-ES" w:eastAsia="es-ES"/>
        </w:rPr>
        <w:t xml:space="preserve">por actualizarse </w:t>
      </w:r>
      <w:r w:rsidRPr="00A14665" w:rsidR="00333B53">
        <w:rPr>
          <w:rFonts w:eastAsia="Times New Roman" w:cs="Tahoma"/>
          <w:color w:val="auto"/>
          <w:lang w:val="es-ES" w:eastAsia="es-ES"/>
        </w:rPr>
        <w:t>las causales</w:t>
      </w:r>
      <w:r w:rsidRPr="00A14665" w:rsidR="00B21952">
        <w:rPr>
          <w:rFonts w:eastAsia="Times New Roman" w:cs="Tahoma"/>
          <w:color w:val="auto"/>
          <w:lang w:val="es-ES" w:eastAsia="es-ES"/>
        </w:rPr>
        <w:t xml:space="preserve"> de improcedencia establecida</w:t>
      </w:r>
      <w:r w:rsidRPr="00A14665" w:rsidR="009F4590">
        <w:rPr>
          <w:rFonts w:eastAsia="Times New Roman" w:cs="Tahoma"/>
          <w:color w:val="auto"/>
          <w:lang w:val="es-ES" w:eastAsia="es-ES"/>
        </w:rPr>
        <w:t>s</w:t>
      </w:r>
      <w:r w:rsidRPr="00A14665" w:rsidR="00B21952">
        <w:rPr>
          <w:rFonts w:eastAsia="Times New Roman" w:cs="Tahoma"/>
          <w:color w:val="auto"/>
          <w:lang w:val="es-ES" w:eastAsia="es-ES"/>
        </w:rPr>
        <w:t xml:space="preserve"> en </w:t>
      </w:r>
      <w:r w:rsidRPr="00A14665" w:rsidR="00333B53">
        <w:rPr>
          <w:rFonts w:eastAsia="Times New Roman" w:cs="Tahoma"/>
          <w:color w:val="auto"/>
          <w:lang w:val="es-ES" w:eastAsia="es-ES"/>
        </w:rPr>
        <w:t>las fracciones</w:t>
      </w:r>
      <w:r w:rsidRPr="00A14665" w:rsidR="009F4590">
        <w:rPr>
          <w:rFonts w:eastAsia="Times New Roman" w:cs="Tahoma"/>
          <w:color w:val="auto"/>
          <w:lang w:val="es-ES" w:eastAsia="es-ES"/>
        </w:rPr>
        <w:t xml:space="preserve"> III y</w:t>
      </w:r>
      <w:r w:rsidRPr="00A14665" w:rsidR="00B21952">
        <w:rPr>
          <w:rFonts w:eastAsia="Times New Roman" w:cs="Tahoma"/>
          <w:color w:val="auto"/>
          <w:lang w:val="es-ES" w:eastAsia="es-ES"/>
        </w:rPr>
        <w:t xml:space="preserve"> VII, del </w:t>
      </w:r>
      <w:r w:rsidRPr="00A14665" w:rsidR="00381AFD">
        <w:rPr>
          <w:rFonts w:eastAsia="Times New Roman" w:cs="Tahoma"/>
          <w:color w:val="auto"/>
          <w:lang w:val="es-ES" w:eastAsia="es-ES"/>
        </w:rPr>
        <w:t>diverso</w:t>
      </w:r>
      <w:r w:rsidRPr="00A14665" w:rsidR="00B21952">
        <w:rPr>
          <w:rFonts w:eastAsia="Times New Roman" w:cs="Tahoma"/>
          <w:color w:val="auto"/>
          <w:lang w:val="es-ES" w:eastAsia="es-ES"/>
        </w:rPr>
        <w:t xml:space="preserve"> 191 </w:t>
      </w:r>
      <w:r w:rsidRPr="00A14665" w:rsidR="00381AFD">
        <w:rPr>
          <w:rFonts w:eastAsia="Times New Roman" w:cs="Tahoma"/>
          <w:color w:val="auto"/>
          <w:lang w:val="es-ES" w:eastAsia="es-ES"/>
        </w:rPr>
        <w:t>de dicho ordenamiento jurídico</w:t>
      </w:r>
      <w:r w:rsidRPr="00A14665" w:rsidR="00B21952">
        <w:rPr>
          <w:rFonts w:eastAsia="Times New Roman" w:cs="Tahoma"/>
          <w:bCs/>
          <w:color w:val="auto"/>
          <w:lang w:val="es-ES" w:eastAsia="es-ES"/>
        </w:rPr>
        <w:t xml:space="preserve">, </w:t>
      </w:r>
      <w:r w:rsidRPr="00A14665" w:rsidR="00381AFD">
        <w:rPr>
          <w:rFonts w:eastAsia="Times New Roman" w:cs="Tahoma"/>
          <w:bCs/>
          <w:color w:val="auto"/>
          <w:lang w:val="es-ES" w:eastAsia="es-ES"/>
        </w:rPr>
        <w:t>de conformidad</w:t>
      </w:r>
      <w:r w:rsidRPr="00A14665" w:rsidR="00B21952">
        <w:rPr>
          <w:rFonts w:eastAsia="Times New Roman" w:cs="Tahoma"/>
          <w:bCs/>
          <w:color w:val="auto"/>
          <w:lang w:val="es-ES" w:eastAsia="es-ES"/>
        </w:rPr>
        <w:t xml:space="preserve"> </w:t>
      </w:r>
      <w:r w:rsidRPr="00A14665" w:rsidR="00381AFD">
        <w:rPr>
          <w:rFonts w:eastAsia="Times New Roman" w:cs="Tahoma"/>
          <w:bCs/>
          <w:color w:val="auto"/>
          <w:lang w:val="es-ES" w:eastAsia="es-ES"/>
        </w:rPr>
        <w:t>con l</w:t>
      </w:r>
      <w:r w:rsidRPr="00A14665" w:rsidR="00B21952">
        <w:rPr>
          <w:rFonts w:eastAsia="Times New Roman" w:cs="Tahoma"/>
          <w:bCs/>
          <w:color w:val="auto"/>
          <w:lang w:val="es-ES" w:eastAsia="es-ES"/>
        </w:rPr>
        <w:t>os Considerandos TERCERO y CUARTO de la presente Resolución.</w:t>
      </w:r>
    </w:p>
    <w:p w:rsidRPr="00A14665" w:rsidR="00FA4CDC" w:rsidP="007D49D3" w:rsidRDefault="00FA4CDC" w14:paraId="1C0D8E9F" w14:textId="77777777">
      <w:pPr>
        <w:spacing w:after="0"/>
        <w:rPr>
          <w:rFonts w:eastAsia="Times New Roman" w:cs="Tahoma"/>
          <w:bCs/>
          <w:color w:val="auto"/>
          <w:lang w:eastAsia="es-ES"/>
        </w:rPr>
      </w:pPr>
    </w:p>
    <w:p w:rsidRPr="00A14665" w:rsidR="00FA4CDC" w:rsidP="007D49D3" w:rsidRDefault="00FA4CDC" w14:paraId="4F253969" w14:textId="77777777">
      <w:pPr>
        <w:spacing w:after="0"/>
        <w:rPr>
          <w:rFonts w:eastAsia="Times New Roman" w:cs="Tahoma"/>
          <w:bCs/>
          <w:color w:val="auto"/>
          <w:lang w:eastAsia="es-ES"/>
        </w:rPr>
      </w:pPr>
      <w:r w:rsidRPr="00A14665">
        <w:rPr>
          <w:rFonts w:eastAsia="Times New Roman" w:cs="Tahoma"/>
          <w:b/>
          <w:color w:val="auto"/>
          <w:lang w:eastAsia="es-ES"/>
        </w:rPr>
        <w:t>SEGUNDO. NOTIFÍQUESE</w:t>
      </w:r>
      <w:r w:rsidRPr="00A14665">
        <w:rPr>
          <w:rFonts w:eastAsia="Times New Roman" w:cs="Tahoma"/>
          <w:bCs/>
          <w:color w:val="auto"/>
          <w:lang w:eastAsia="es-ES"/>
        </w:rPr>
        <w:t xml:space="preserve"> la presente resolución al Titular de la Unidad de Transparencia del Sujeto Obligado.</w:t>
      </w:r>
    </w:p>
    <w:p w:rsidRPr="00A14665" w:rsidR="00FA4CDC" w:rsidP="007D49D3" w:rsidRDefault="00FA4CDC" w14:paraId="62184E34" w14:textId="77777777">
      <w:pPr>
        <w:spacing w:after="0"/>
        <w:rPr>
          <w:rFonts w:eastAsia="Times New Roman" w:cs="Tahoma"/>
          <w:bCs/>
          <w:color w:val="auto"/>
          <w:lang w:eastAsia="es-ES"/>
        </w:rPr>
      </w:pPr>
    </w:p>
    <w:p w:rsidRPr="00A14665" w:rsidR="00FA4CDC" w:rsidP="007D49D3" w:rsidRDefault="00FA4CDC" w14:paraId="597D11A8" w14:textId="77777777">
      <w:pPr>
        <w:spacing w:after="0"/>
        <w:rPr>
          <w:rFonts w:eastAsia="Times New Roman" w:cs="Tahoma"/>
          <w:bCs/>
          <w:color w:val="auto"/>
          <w:lang w:eastAsia="es-ES"/>
        </w:rPr>
      </w:pPr>
      <w:r w:rsidRPr="00A14665">
        <w:rPr>
          <w:rFonts w:eastAsia="Times New Roman" w:cs="Tahoma"/>
          <w:b/>
          <w:color w:val="auto"/>
          <w:lang w:eastAsia="es-ES"/>
        </w:rPr>
        <w:t>TERCERO. NOTIFÍQUESE</w:t>
      </w:r>
      <w:r w:rsidRPr="00A14665">
        <w:rPr>
          <w:rFonts w:eastAsia="Times New Roman" w:cs="Tahoma"/>
          <w:bCs/>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14665" w:rsidR="00FA4CDC" w:rsidP="007D49D3" w:rsidRDefault="00FA4CDC" w14:paraId="2E1B4208" w14:textId="77777777">
      <w:pPr>
        <w:spacing w:after="0"/>
        <w:rPr>
          <w:rFonts w:eastAsia="Times New Roman" w:cs="Tahoma"/>
          <w:bCs/>
          <w:color w:val="auto"/>
          <w:lang w:eastAsia="es-ES"/>
        </w:rPr>
      </w:pPr>
    </w:p>
    <w:p w:rsidRPr="005813D8" w:rsidR="00D8203F" w:rsidP="007D49D3" w:rsidRDefault="009F273D" w14:paraId="6B043FFA" w14:textId="3D6AB919">
      <w:pPr>
        <w:spacing w:after="0"/>
        <w:rPr>
          <w:rFonts w:eastAsia="Times New Roman" w:cs="Tahoma"/>
          <w:bCs/>
          <w:color w:val="auto"/>
          <w:lang w:eastAsia="es-ES"/>
        </w:rPr>
      </w:pPr>
      <w:r w:rsidRPr="00A14665">
        <w:rPr>
          <w:rFonts w:eastAsia="Times New Roman" w:cs="Tahoma"/>
          <w:bCs/>
          <w:color w:val="auto"/>
          <w:lang w:eastAsia="es-E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w:t>
      </w:r>
      <w:r w:rsidRPr="00A14665" w:rsidR="00431F8E">
        <w:rPr>
          <w:rFonts w:eastAsia="Times New Roman" w:cs="Tahoma"/>
          <w:bCs/>
          <w:color w:val="auto"/>
          <w:lang w:eastAsia="es-ES"/>
        </w:rPr>
        <w:t>CRISTINA MORALES MARTÍNEZ, LUIS GUSTAVO PARRA NORIEGA Y GUADALUPE RAMÍREZ PEÑA, EN LA OCTAVA  SESIÓN ORDINARIA, CELEBRADA EL PRIMERO DE MARZO DE DOS MIL VEINTITRÉS, ANTE EL SECRETARIO TÉCNICO DEL PLENO, ALEXIS TAPIA RAMÍREZ.</w:t>
      </w:r>
    </w:p>
    <w:p w:rsidRPr="005813D8" w:rsidR="00D8203F" w:rsidP="007D49D3" w:rsidRDefault="00D8203F" w14:paraId="6DCEB034" w14:textId="00A3631D">
      <w:pPr>
        <w:spacing w:after="0"/>
        <w:jc w:val="left"/>
        <w:rPr>
          <w:rFonts w:eastAsia="Calibri" w:cs="Tahoma"/>
          <w:color w:val="000000"/>
        </w:rPr>
      </w:pPr>
      <w:r w:rsidRPr="005813D8">
        <w:rPr>
          <w:rFonts w:eastAsia="Calibri" w:cs="Tahoma"/>
          <w:color w:val="000000"/>
        </w:rPr>
        <w:br w:type="page"/>
      </w:r>
    </w:p>
    <w:p w:rsidRPr="005813D8" w:rsidR="008A050C" w:rsidP="007D49D3" w:rsidRDefault="008A050C" w14:paraId="171DF2FB" w14:textId="77777777">
      <w:pPr>
        <w:spacing w:after="0"/>
      </w:pPr>
    </w:p>
    <w:p w:rsidRPr="005813D8" w:rsidR="007D49D3" w:rsidRDefault="007D49D3" w14:paraId="5812B357" w14:textId="77777777">
      <w:pPr>
        <w:spacing w:after="0"/>
      </w:pPr>
    </w:p>
    <w:sectPr w:rsidRPr="005813D8" w:rsidR="007D49D3" w:rsidSect="001136B4">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7010" w:rsidP="00D8203F" w:rsidRDefault="00BC7010" w14:paraId="6F6DA7BF" w14:textId="77777777">
      <w:pPr>
        <w:spacing w:after="0" w:line="240" w:lineRule="auto"/>
      </w:pPr>
      <w:r>
        <w:separator/>
      </w:r>
    </w:p>
  </w:endnote>
  <w:endnote w:type="continuationSeparator" w:id="0">
    <w:p w:rsidR="00BC7010" w:rsidP="00D8203F" w:rsidRDefault="00BC7010" w14:paraId="3136B4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555A052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011C57" w:rsidRDefault="00A14665" w14:paraId="7984F74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rsidR="00011C57" w:rsidRDefault="00924CF0" w14:paraId="66F7D9E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36BF">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36BF">
              <w:rPr>
                <w:b/>
                <w:bCs/>
                <w:noProof/>
              </w:rPr>
              <w:t>13</w:t>
            </w:r>
            <w:r>
              <w:rPr>
                <w:b/>
                <w:bCs/>
                <w:sz w:val="24"/>
                <w:szCs w:val="24"/>
              </w:rPr>
              <w:fldChar w:fldCharType="end"/>
            </w:r>
          </w:p>
        </w:sdtContent>
      </w:sdt>
    </w:sdtContent>
  </w:sdt>
  <w:p w:rsidR="00011C57" w:rsidRDefault="00A14665" w14:paraId="4D6F5526"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924CF0" w14:paraId="2A6947B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36B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36BF">
      <w:rPr>
        <w:b/>
        <w:bCs/>
        <w:noProof/>
      </w:rPr>
      <w:t>13</w:t>
    </w:r>
    <w:r>
      <w:rPr>
        <w:b/>
        <w:bCs/>
        <w:sz w:val="24"/>
        <w:szCs w:val="24"/>
      </w:rPr>
      <w:fldChar w:fldCharType="end"/>
    </w:r>
  </w:p>
  <w:p w:rsidR="00011C57" w:rsidRDefault="00A14665" w14:paraId="23F05C8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7010" w:rsidP="00D8203F" w:rsidRDefault="00BC7010" w14:paraId="669C3576" w14:textId="77777777">
      <w:pPr>
        <w:spacing w:after="0" w:line="240" w:lineRule="auto"/>
      </w:pPr>
      <w:r>
        <w:separator/>
      </w:r>
    </w:p>
  </w:footnote>
  <w:footnote w:type="continuationSeparator" w:id="0">
    <w:p w:rsidR="00BC7010" w:rsidP="00D8203F" w:rsidRDefault="00BC7010" w14:paraId="70D641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9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3860"/>
    </w:tblGrid>
    <w:tr w:rsidRPr="00330DA7" w:rsidR="00011C57" w:rsidTr="00B0279C" w14:paraId="757EF26E" w14:textId="77777777">
      <w:trPr>
        <w:trHeight w:val="144"/>
        <w:jc w:val="right"/>
      </w:trPr>
      <w:tc>
        <w:tcPr>
          <w:tcW w:w="2530" w:type="dxa"/>
          <w:vAlign w:val="center"/>
        </w:tcPr>
        <w:p w:rsidRPr="00330DA7" w:rsidR="00011C57" w:rsidP="00B0279C" w:rsidRDefault="00924CF0" w14:paraId="704CC7D5"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rsidRPr="00330DA7" w:rsidR="00011C57" w:rsidP="00B0279C" w:rsidRDefault="00924CF0" w14:paraId="4C9B1B9B" w14:textId="77777777">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Pr="00330DA7" w:rsidR="00011C57" w:rsidTr="00B0279C" w14:paraId="64450472" w14:textId="77777777">
      <w:trPr>
        <w:trHeight w:val="283"/>
        <w:jc w:val="right"/>
      </w:trPr>
      <w:tc>
        <w:tcPr>
          <w:tcW w:w="2530" w:type="dxa"/>
          <w:vAlign w:val="center"/>
        </w:tcPr>
        <w:p w:rsidRPr="00330DA7" w:rsidR="00011C57" w:rsidP="00B0279C" w:rsidRDefault="00924CF0" w14:paraId="22276019"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rsidRPr="005754CF" w:rsidR="00011C57" w:rsidP="00B0279C" w:rsidRDefault="00924CF0" w14:paraId="5B9E558E" w14:textId="77777777">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Pr="00330DA7" w:rsidR="00011C57" w:rsidTr="00B0279C" w14:paraId="2A4EE535" w14:textId="77777777">
      <w:trPr>
        <w:trHeight w:val="283"/>
        <w:jc w:val="right"/>
      </w:trPr>
      <w:tc>
        <w:tcPr>
          <w:tcW w:w="2530" w:type="dxa"/>
          <w:vAlign w:val="center"/>
        </w:tcPr>
        <w:p w:rsidRPr="00330DA7" w:rsidR="00011C57" w:rsidP="00B0279C" w:rsidRDefault="00924CF0" w14:paraId="46C87DC7"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rsidRPr="005754CF" w:rsidR="00011C57" w:rsidP="00B0279C" w:rsidRDefault="00924CF0" w14:paraId="148E1882"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P="00B0279C" w:rsidRDefault="00A14665" w14:paraId="2FBBDBA6" w14:textId="77777777">
    <w:pPr>
      <w:pStyle w:val="Encabezado"/>
    </w:pPr>
    <w:r>
      <w:rPr>
        <w:noProof/>
      </w:rPr>
      <w:pict w14:anchorId="7EB532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5"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2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4697"/>
    </w:tblGrid>
    <w:tr w:rsidRPr="00330DA7" w:rsidR="00011C57" w:rsidTr="00C003A2" w14:paraId="542E7F84" w14:textId="77777777">
      <w:trPr>
        <w:trHeight w:val="144"/>
        <w:jc w:val="right"/>
      </w:trPr>
      <w:tc>
        <w:tcPr>
          <w:tcW w:w="2530" w:type="dxa"/>
          <w:vAlign w:val="center"/>
        </w:tcPr>
        <w:p w:rsidRPr="00330DA7" w:rsidR="00011C57" w:rsidP="00B0279C" w:rsidRDefault="00924CF0" w14:paraId="225A1910"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4697" w:type="dxa"/>
          <w:vAlign w:val="center"/>
        </w:tcPr>
        <w:p w:rsidRPr="00D65B00" w:rsidR="00011C57" w:rsidP="00B0279C" w:rsidRDefault="00C003A2" w14:paraId="75804045" w14:textId="2C73D0B5">
          <w:pPr>
            <w:tabs>
              <w:tab w:val="right" w:pos="8838"/>
            </w:tabs>
            <w:spacing w:line="276" w:lineRule="auto"/>
            <w:ind w:left="-74" w:right="-105"/>
            <w:jc w:val="left"/>
            <w:rPr>
              <w:rFonts w:eastAsia="Calibri" w:cs="Tahoma"/>
            </w:rPr>
          </w:pPr>
          <w:r>
            <w:rPr>
              <w:rFonts w:eastAsia="Calibri" w:cs="Tahoma"/>
            </w:rPr>
            <w:t>00596/INFOEM/IP/RR/2023</w:t>
          </w:r>
        </w:p>
      </w:tc>
    </w:tr>
    <w:tr w:rsidRPr="00330DA7" w:rsidR="00011C57" w:rsidTr="00C003A2" w14:paraId="12309B75" w14:textId="77777777">
      <w:trPr>
        <w:trHeight w:val="283"/>
        <w:jc w:val="right"/>
      </w:trPr>
      <w:tc>
        <w:tcPr>
          <w:tcW w:w="2530" w:type="dxa"/>
        </w:tcPr>
        <w:p w:rsidRPr="00330DA7" w:rsidR="00011C57" w:rsidP="006D24CC" w:rsidRDefault="00924CF0" w14:paraId="16DECCE3"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4697" w:type="dxa"/>
          <w:vAlign w:val="center"/>
        </w:tcPr>
        <w:p w:rsidRPr="00D65B00" w:rsidR="00011C57" w:rsidP="00D65B00" w:rsidRDefault="00C003A2" w14:paraId="7C66E373" w14:textId="67434016">
          <w:pPr>
            <w:tabs>
              <w:tab w:val="left" w:pos="2834"/>
              <w:tab w:val="right" w:pos="8838"/>
            </w:tabs>
            <w:spacing w:line="276" w:lineRule="auto"/>
            <w:ind w:left="-74" w:right="-105"/>
            <w:rPr>
              <w:rFonts w:eastAsia="Calibri" w:cs="Tahoma"/>
              <w:highlight w:val="yellow"/>
            </w:rPr>
          </w:pPr>
          <w:r>
            <w:rPr>
              <w:rFonts w:eastAsia="Calibri" w:cs="Tahoma"/>
            </w:rPr>
            <w:t>Sistema Para el Desarrollo Integral de la Familia del Municipio de Atizapán de Zaragoza</w:t>
          </w:r>
        </w:p>
      </w:tc>
    </w:tr>
    <w:tr w:rsidRPr="00330DA7" w:rsidR="00011C57" w:rsidTr="00C003A2" w14:paraId="6881DCB9" w14:textId="77777777">
      <w:trPr>
        <w:trHeight w:val="283"/>
        <w:jc w:val="right"/>
      </w:trPr>
      <w:tc>
        <w:tcPr>
          <w:tcW w:w="2530" w:type="dxa"/>
          <w:vAlign w:val="center"/>
        </w:tcPr>
        <w:p w:rsidRPr="00330DA7" w:rsidR="00011C57" w:rsidP="00B0279C" w:rsidRDefault="00924CF0" w14:paraId="6DC88189"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4697" w:type="dxa"/>
          <w:vAlign w:val="center"/>
        </w:tcPr>
        <w:p w:rsidRPr="005754CF" w:rsidR="00011C57" w:rsidP="00B0279C" w:rsidRDefault="00924CF0" w14:paraId="401E6127"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RDefault="00A14665" w14:paraId="58FD90F4" w14:textId="77777777">
    <w:pPr>
      <w:pStyle w:val="Encabezado"/>
    </w:pPr>
    <w:r>
      <w:rPr>
        <w:noProof/>
      </w:rPr>
      <w:pict w14:anchorId="08725E9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6" style="position:absolute;left:0;text-align:left;margin-left:-104.6pt;margin-top:-127.7pt;width:663.5pt;height:12in;z-index:-251658752;mso-position-horizontal-relative:margin;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820"/>
    </w:tblGrid>
    <w:tr w:rsidRPr="00330DA7" w:rsidR="00011C57" w:rsidTr="328E97D5" w14:paraId="2FB24069" w14:textId="77777777">
      <w:trPr>
        <w:trHeight w:val="144"/>
        <w:jc w:val="right"/>
      </w:trPr>
      <w:tc>
        <w:tcPr>
          <w:tcW w:w="2410" w:type="dxa"/>
          <w:tcMar/>
          <w:vAlign w:val="center"/>
        </w:tcPr>
        <w:p w:rsidRPr="00330DA7" w:rsidR="00011C57" w:rsidP="00B0279C" w:rsidRDefault="00924CF0" w14:paraId="1B6F5EF3" w14:textId="743847BF">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4820" w:type="dxa"/>
          <w:tcMar/>
          <w:vAlign w:val="center"/>
        </w:tcPr>
        <w:p w:rsidRPr="00D8203F" w:rsidR="00011C57" w:rsidP="0099703C" w:rsidRDefault="00C003A2" w14:paraId="1A9A621A" w14:textId="7B5D4915">
          <w:pPr>
            <w:tabs>
              <w:tab w:val="right" w:pos="8838"/>
            </w:tabs>
            <w:spacing w:line="276" w:lineRule="auto"/>
            <w:ind w:right="-105"/>
            <w:jc w:val="left"/>
            <w:rPr>
              <w:rFonts w:eastAsia="Calibri" w:cs="Tahoma"/>
            </w:rPr>
          </w:pPr>
          <w:r>
            <w:rPr>
              <w:rFonts w:eastAsia="Calibri" w:cs="Tahoma"/>
            </w:rPr>
            <w:t>00596/INFOEM/IP/RR/2023</w:t>
          </w:r>
        </w:p>
      </w:tc>
    </w:tr>
    <w:tr w:rsidRPr="00330DA7" w:rsidR="00011C57" w:rsidTr="328E97D5" w14:paraId="569CFEB5" w14:textId="77777777">
      <w:trPr>
        <w:trHeight w:val="144"/>
        <w:jc w:val="right"/>
      </w:trPr>
      <w:tc>
        <w:tcPr>
          <w:tcW w:w="2410" w:type="dxa"/>
          <w:tcMar/>
          <w:vAlign w:val="center"/>
        </w:tcPr>
        <w:p w:rsidRPr="00330DA7" w:rsidR="00011C57" w:rsidP="00B0279C" w:rsidRDefault="00924CF0" w14:paraId="645DC220" w14:textId="77777777">
          <w:pPr>
            <w:tabs>
              <w:tab w:val="right" w:pos="8838"/>
            </w:tabs>
            <w:spacing w:line="276" w:lineRule="auto"/>
            <w:ind w:left="-74" w:right="-105"/>
            <w:jc w:val="left"/>
            <w:rPr>
              <w:rFonts w:eastAsia="Calibri" w:cs="Tahoma"/>
              <w:b/>
            </w:rPr>
          </w:pPr>
          <w:r w:rsidRPr="00330DA7">
            <w:rPr>
              <w:rFonts w:eastAsia="Calibri" w:cs="Tahoma"/>
              <w:b/>
            </w:rPr>
            <w:t>Recurrente:</w:t>
          </w:r>
        </w:p>
      </w:tc>
      <w:tc>
        <w:tcPr>
          <w:tcW w:w="4820" w:type="dxa"/>
          <w:tcMar/>
          <w:vAlign w:val="center"/>
        </w:tcPr>
        <w:p w:rsidRPr="00330DA7" w:rsidR="00011C57" w:rsidP="328E97D5" w:rsidRDefault="00C003A2" w14:paraId="7BED387D" w14:textId="53E39FD4">
          <w:pPr>
            <w:tabs>
              <w:tab w:val="left" w:pos="3122"/>
              <w:tab w:val="right" w:pos="8838"/>
            </w:tabs>
            <w:spacing w:line="276" w:lineRule="auto"/>
            <w:ind w:right="-105"/>
            <w:jc w:val="left"/>
            <w:rPr>
              <w:rFonts w:eastAsia="Calibri" w:cs="Tahoma"/>
              <w:highlight w:val="black"/>
            </w:rPr>
          </w:pPr>
          <w:r w:rsidRPr="328E97D5" w:rsidR="328E97D5">
            <w:rPr>
              <w:rFonts w:eastAsia="Calibri" w:cs="Tahoma"/>
              <w:highlight w:val="black"/>
            </w:rPr>
            <w:t>XXXXXXXXX</w:t>
          </w:r>
        </w:p>
      </w:tc>
    </w:tr>
    <w:tr w:rsidRPr="00330DA7" w:rsidR="00011C57" w:rsidTr="328E97D5" w14:paraId="2CCCDD19" w14:textId="77777777">
      <w:trPr>
        <w:trHeight w:val="283"/>
        <w:jc w:val="right"/>
      </w:trPr>
      <w:tc>
        <w:tcPr>
          <w:tcW w:w="2410" w:type="dxa"/>
          <w:tcMar/>
        </w:tcPr>
        <w:p w:rsidRPr="00330DA7" w:rsidR="00011C57" w:rsidP="006D24CC" w:rsidRDefault="00924CF0" w14:paraId="5FE443CA"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4820" w:type="dxa"/>
          <w:tcMar/>
          <w:vAlign w:val="center"/>
        </w:tcPr>
        <w:p w:rsidRPr="00D8203F" w:rsidR="00011C57" w:rsidP="0099703C" w:rsidRDefault="00C003A2" w14:paraId="530974A6" w14:textId="5302269B">
          <w:pPr>
            <w:tabs>
              <w:tab w:val="left" w:pos="2834"/>
              <w:tab w:val="right" w:pos="8838"/>
            </w:tabs>
            <w:spacing w:line="276" w:lineRule="auto"/>
            <w:ind w:right="-105"/>
            <w:rPr>
              <w:rFonts w:eastAsia="Calibri" w:cs="Tahoma"/>
              <w:highlight w:val="yellow"/>
            </w:rPr>
          </w:pPr>
          <w:r>
            <w:rPr>
              <w:rFonts w:eastAsia="Calibri" w:cs="Tahoma"/>
            </w:rPr>
            <w:t>Sistema Para el Desarrollo Integral de la Familia del Municipio de Atizapán de Zaragoza</w:t>
          </w:r>
        </w:p>
      </w:tc>
    </w:tr>
    <w:tr w:rsidRPr="00330DA7" w:rsidR="00011C57" w:rsidTr="328E97D5" w14:paraId="6A0D177B" w14:textId="77777777">
      <w:trPr>
        <w:trHeight w:val="283"/>
        <w:jc w:val="right"/>
      </w:trPr>
      <w:tc>
        <w:tcPr>
          <w:tcW w:w="2410" w:type="dxa"/>
          <w:tcMar/>
          <w:vAlign w:val="center"/>
        </w:tcPr>
        <w:p w:rsidRPr="00330DA7" w:rsidR="00011C57" w:rsidP="00B0279C" w:rsidRDefault="00924CF0" w14:paraId="4A4AC4EC"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4820" w:type="dxa"/>
          <w:tcMar/>
          <w:vAlign w:val="center"/>
        </w:tcPr>
        <w:p w:rsidRPr="005754CF" w:rsidR="00011C57" w:rsidP="0099703C" w:rsidRDefault="00924CF0" w14:paraId="31717E75" w14:textId="77777777">
          <w:pPr>
            <w:tabs>
              <w:tab w:val="right" w:pos="8838"/>
            </w:tabs>
            <w:spacing w:line="276" w:lineRule="auto"/>
            <w:ind w:right="-105"/>
            <w:jc w:val="left"/>
            <w:rPr>
              <w:rFonts w:eastAsia="Calibri" w:cs="Tahoma"/>
            </w:rPr>
          </w:pPr>
          <w:r w:rsidRPr="00330DA7">
            <w:rPr>
              <w:rFonts w:eastAsia="Calibri" w:cs="Tahoma"/>
            </w:rPr>
            <w:t>Luis Gustavo Parra Noriega</w:t>
          </w:r>
        </w:p>
      </w:tc>
    </w:tr>
  </w:tbl>
  <w:p w:rsidR="00011C57" w:rsidP="00B0279C" w:rsidRDefault="00A14665" w14:paraId="134AC6BE" w14:textId="77777777">
    <w:pPr>
      <w:pStyle w:val="Encabezado"/>
    </w:pPr>
    <w:r>
      <w:rPr>
        <w:noProof/>
      </w:rPr>
      <w:pict w14:anchorId="26A3AD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left:0;text-align:left;margin-left:-100.1pt;margin-top:-126.5pt;width:663.5pt;height:12in;z-index:-251657728;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52E554F"/>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9D675C"/>
    <w:multiLevelType w:val="hybridMultilevel"/>
    <w:tmpl w:val="1DFCD368"/>
    <w:lvl w:ilvl="0" w:tplc="DA5A3ECE">
      <w:start w:val="1"/>
      <w:numFmt w:val="lowerRoman"/>
      <w:lvlText w:val="%1."/>
      <w:lvlJc w:val="left"/>
      <w:pPr>
        <w:ind w:left="1440" w:hanging="360"/>
      </w:pPr>
      <w:rPr>
        <w:rFonts w:hint="default" w:ascii="Palatino Linotype" w:hAnsi="Palatino Linotype"/>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F060AC4"/>
    <w:multiLevelType w:val="hybridMultilevel"/>
    <w:tmpl w:val="6812F5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189754F"/>
    <w:multiLevelType w:val="hybridMultilevel"/>
    <w:tmpl w:val="4ABC7128"/>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3B6047"/>
    <w:multiLevelType w:val="hybridMultilevel"/>
    <w:tmpl w:val="C1B61D1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86D32D4"/>
    <w:multiLevelType w:val="hybridMultilevel"/>
    <w:tmpl w:val="428C77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81149B"/>
    <w:multiLevelType w:val="hybridMultilevel"/>
    <w:tmpl w:val="B0181A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9BA29DD"/>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31B794B"/>
    <w:multiLevelType w:val="hybridMultilevel"/>
    <w:tmpl w:val="178CCF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8086AB4"/>
    <w:multiLevelType w:val="hybridMultilevel"/>
    <w:tmpl w:val="961C58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83E13B8"/>
    <w:multiLevelType w:val="hybridMultilevel"/>
    <w:tmpl w:val="F12E2416"/>
    <w:lvl w:ilvl="0" w:tplc="080A000F">
      <w:start w:val="1"/>
      <w:numFmt w:val="decimal"/>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8A924B3"/>
    <w:multiLevelType w:val="hybridMultilevel"/>
    <w:tmpl w:val="2EAA7A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AD73AC0"/>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CEA5692"/>
    <w:multiLevelType w:val="hybridMultilevel"/>
    <w:tmpl w:val="BCA0CD4C"/>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D23733"/>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F10EB9"/>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8631FE"/>
    <w:multiLevelType w:val="hybridMultilevel"/>
    <w:tmpl w:val="1D12A9B0"/>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FF270B6"/>
    <w:multiLevelType w:val="hybridMultilevel"/>
    <w:tmpl w:val="A79EDB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32A6F72"/>
    <w:multiLevelType w:val="hybridMultilevel"/>
    <w:tmpl w:val="71F43B6E"/>
    <w:lvl w:ilvl="0" w:tplc="080A0001">
      <w:start w:val="1"/>
      <w:numFmt w:val="bullet"/>
      <w:lvlText w:val=""/>
      <w:lvlJc w:val="left"/>
      <w:pPr>
        <w:ind w:left="720" w:hanging="360"/>
      </w:pPr>
      <w:rPr>
        <w:rFonts w:hint="default" w:ascii="Symbol" w:hAnsi="Symbol"/>
      </w:rPr>
    </w:lvl>
    <w:lvl w:ilvl="1" w:tplc="DA5A3ECE">
      <w:start w:val="1"/>
      <w:numFmt w:val="lowerRoman"/>
      <w:lvlText w:val="%2."/>
      <w:lvlJc w:val="left"/>
      <w:pPr>
        <w:ind w:left="1440" w:hanging="360"/>
      </w:pPr>
      <w:rPr>
        <w:rFonts w:hint="default" w:ascii="Palatino Linotype" w:hAnsi="Palatino Linotype"/>
        <w:sz w:val="20"/>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3E785D"/>
    <w:multiLevelType w:val="hybridMultilevel"/>
    <w:tmpl w:val="A2D433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9A603DD"/>
    <w:multiLevelType w:val="hybridMultilevel"/>
    <w:tmpl w:val="E400605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1F677D"/>
    <w:multiLevelType w:val="hybridMultilevel"/>
    <w:tmpl w:val="5DA28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0036345"/>
    <w:multiLevelType w:val="hybridMultilevel"/>
    <w:tmpl w:val="3BE068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837861"/>
    <w:multiLevelType w:val="hybridMultilevel"/>
    <w:tmpl w:val="036EFE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9310EE7"/>
    <w:multiLevelType w:val="hybridMultilevel"/>
    <w:tmpl w:val="F1DE93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4505201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037001">
    <w:abstractNumId w:val="10"/>
  </w:num>
  <w:num w:numId="3" w16cid:durableId="13418090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529054">
    <w:abstractNumId w:val="29"/>
  </w:num>
  <w:num w:numId="5" w16cid:durableId="631789229">
    <w:abstractNumId w:val="1"/>
  </w:num>
  <w:num w:numId="6" w16cid:durableId="1990281224">
    <w:abstractNumId w:val="11"/>
  </w:num>
  <w:num w:numId="7" w16cid:durableId="1019164949">
    <w:abstractNumId w:val="22"/>
  </w:num>
  <w:num w:numId="8" w16cid:durableId="1804272425">
    <w:abstractNumId w:val="24"/>
  </w:num>
  <w:num w:numId="9" w16cid:durableId="1662001827">
    <w:abstractNumId w:val="7"/>
  </w:num>
  <w:num w:numId="10" w16cid:durableId="866602592">
    <w:abstractNumId w:val="23"/>
  </w:num>
  <w:num w:numId="11" w16cid:durableId="1413894910">
    <w:abstractNumId w:val="25"/>
  </w:num>
  <w:num w:numId="12" w16cid:durableId="1286275166">
    <w:abstractNumId w:val="8"/>
  </w:num>
  <w:num w:numId="13" w16cid:durableId="558521536">
    <w:abstractNumId w:val="2"/>
  </w:num>
  <w:num w:numId="14" w16cid:durableId="1523588591">
    <w:abstractNumId w:val="13"/>
  </w:num>
  <w:num w:numId="15" w16cid:durableId="1607691882">
    <w:abstractNumId w:val="16"/>
  </w:num>
  <w:num w:numId="16" w16cid:durableId="1445156188">
    <w:abstractNumId w:val="5"/>
  </w:num>
  <w:num w:numId="17" w16cid:durableId="1859536485">
    <w:abstractNumId w:val="4"/>
  </w:num>
  <w:num w:numId="18" w16cid:durableId="1004167279">
    <w:abstractNumId w:val="21"/>
  </w:num>
  <w:num w:numId="19" w16cid:durableId="1477643863">
    <w:abstractNumId w:val="3"/>
  </w:num>
  <w:num w:numId="20" w16cid:durableId="1735928434">
    <w:abstractNumId w:val="9"/>
  </w:num>
  <w:num w:numId="21" w16cid:durableId="340473658">
    <w:abstractNumId w:val="27"/>
  </w:num>
  <w:num w:numId="22" w16cid:durableId="1822110369">
    <w:abstractNumId w:val="12"/>
  </w:num>
  <w:num w:numId="23" w16cid:durableId="655383376">
    <w:abstractNumId w:val="14"/>
  </w:num>
  <w:num w:numId="24" w16cid:durableId="1338770360">
    <w:abstractNumId w:val="18"/>
  </w:num>
  <w:num w:numId="25" w16cid:durableId="1803841693">
    <w:abstractNumId w:val="15"/>
  </w:num>
  <w:num w:numId="26" w16cid:durableId="2079937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3738078">
    <w:abstractNumId w:val="28"/>
  </w:num>
  <w:num w:numId="28" w16cid:durableId="857500759">
    <w:abstractNumId w:val="0"/>
  </w:num>
  <w:num w:numId="29" w16cid:durableId="979384324">
    <w:abstractNumId w:val="19"/>
  </w:num>
  <w:num w:numId="30" w16cid:durableId="1867061735">
    <w:abstractNumId w:val="17"/>
  </w:num>
  <w:num w:numId="31" w16cid:durableId="962544404">
    <w:abstractNumId w:val="30"/>
  </w:num>
  <w:num w:numId="32" w16cid:durableId="49042656">
    <w:abstractNumId w:val="20"/>
  </w:num>
  <w:num w:numId="33" w16cid:durableId="263533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3F"/>
    <w:rsid w:val="00002000"/>
    <w:rsid w:val="00005411"/>
    <w:rsid w:val="0001464C"/>
    <w:rsid w:val="00033495"/>
    <w:rsid w:val="00041034"/>
    <w:rsid w:val="000437E4"/>
    <w:rsid w:val="000530D1"/>
    <w:rsid w:val="00060676"/>
    <w:rsid w:val="0006659E"/>
    <w:rsid w:val="00072F70"/>
    <w:rsid w:val="00077108"/>
    <w:rsid w:val="000805DC"/>
    <w:rsid w:val="00092BC4"/>
    <w:rsid w:val="000B38F1"/>
    <w:rsid w:val="000D5539"/>
    <w:rsid w:val="000E518D"/>
    <w:rsid w:val="000E7811"/>
    <w:rsid w:val="0010753F"/>
    <w:rsid w:val="001136B4"/>
    <w:rsid w:val="0013003D"/>
    <w:rsid w:val="00147995"/>
    <w:rsid w:val="00152501"/>
    <w:rsid w:val="00155617"/>
    <w:rsid w:val="0016479F"/>
    <w:rsid w:val="00176419"/>
    <w:rsid w:val="00191AE4"/>
    <w:rsid w:val="00192BF8"/>
    <w:rsid w:val="00193B5F"/>
    <w:rsid w:val="001971E7"/>
    <w:rsid w:val="001A0FE6"/>
    <w:rsid w:val="001B1F7E"/>
    <w:rsid w:val="001B4FE3"/>
    <w:rsid w:val="001B5B28"/>
    <w:rsid w:val="001B6B5E"/>
    <w:rsid w:val="001C12E6"/>
    <w:rsid w:val="001C5F8F"/>
    <w:rsid w:val="001D4BEF"/>
    <w:rsid w:val="001E601D"/>
    <w:rsid w:val="001E61B0"/>
    <w:rsid w:val="001F6315"/>
    <w:rsid w:val="00202FD6"/>
    <w:rsid w:val="00205C3E"/>
    <w:rsid w:val="00212C5B"/>
    <w:rsid w:val="00221964"/>
    <w:rsid w:val="00224C52"/>
    <w:rsid w:val="00232543"/>
    <w:rsid w:val="002351AB"/>
    <w:rsid w:val="0023761E"/>
    <w:rsid w:val="002419D5"/>
    <w:rsid w:val="002513F1"/>
    <w:rsid w:val="002625D0"/>
    <w:rsid w:val="00271756"/>
    <w:rsid w:val="00273C8F"/>
    <w:rsid w:val="00273D56"/>
    <w:rsid w:val="002751C6"/>
    <w:rsid w:val="00277532"/>
    <w:rsid w:val="00283FB5"/>
    <w:rsid w:val="002878DE"/>
    <w:rsid w:val="00292E42"/>
    <w:rsid w:val="00296195"/>
    <w:rsid w:val="002B7026"/>
    <w:rsid w:val="002C425A"/>
    <w:rsid w:val="002C6689"/>
    <w:rsid w:val="002D1940"/>
    <w:rsid w:val="002D4507"/>
    <w:rsid w:val="002E32AB"/>
    <w:rsid w:val="002E5BC9"/>
    <w:rsid w:val="002F13CE"/>
    <w:rsid w:val="002F1649"/>
    <w:rsid w:val="002F7105"/>
    <w:rsid w:val="0030159C"/>
    <w:rsid w:val="00304EDC"/>
    <w:rsid w:val="00324ADE"/>
    <w:rsid w:val="00324EC3"/>
    <w:rsid w:val="00325503"/>
    <w:rsid w:val="00327C5F"/>
    <w:rsid w:val="0033169F"/>
    <w:rsid w:val="00333B53"/>
    <w:rsid w:val="00335515"/>
    <w:rsid w:val="00337795"/>
    <w:rsid w:val="0034646A"/>
    <w:rsid w:val="00351215"/>
    <w:rsid w:val="003512B5"/>
    <w:rsid w:val="00351BBE"/>
    <w:rsid w:val="00355A99"/>
    <w:rsid w:val="0035784F"/>
    <w:rsid w:val="0037052D"/>
    <w:rsid w:val="00371D10"/>
    <w:rsid w:val="0037486D"/>
    <w:rsid w:val="00376DE8"/>
    <w:rsid w:val="003778C6"/>
    <w:rsid w:val="00381AFD"/>
    <w:rsid w:val="00395577"/>
    <w:rsid w:val="003A074B"/>
    <w:rsid w:val="003B0D6C"/>
    <w:rsid w:val="003B1737"/>
    <w:rsid w:val="003B2792"/>
    <w:rsid w:val="003B5A0A"/>
    <w:rsid w:val="003B7B49"/>
    <w:rsid w:val="003C67AD"/>
    <w:rsid w:val="003D66E7"/>
    <w:rsid w:val="003D6E31"/>
    <w:rsid w:val="003E713C"/>
    <w:rsid w:val="003F0EAA"/>
    <w:rsid w:val="003F3FDB"/>
    <w:rsid w:val="00416FD2"/>
    <w:rsid w:val="0042237E"/>
    <w:rsid w:val="00426064"/>
    <w:rsid w:val="00431386"/>
    <w:rsid w:val="00431F8E"/>
    <w:rsid w:val="004436D4"/>
    <w:rsid w:val="00444B06"/>
    <w:rsid w:val="00446040"/>
    <w:rsid w:val="00450E27"/>
    <w:rsid w:val="00454109"/>
    <w:rsid w:val="004820EA"/>
    <w:rsid w:val="004954EF"/>
    <w:rsid w:val="00495E03"/>
    <w:rsid w:val="004B71D1"/>
    <w:rsid w:val="004D102C"/>
    <w:rsid w:val="004D3EDF"/>
    <w:rsid w:val="004D556A"/>
    <w:rsid w:val="004E5C8E"/>
    <w:rsid w:val="00501BDA"/>
    <w:rsid w:val="00502445"/>
    <w:rsid w:val="00523A2F"/>
    <w:rsid w:val="005345A9"/>
    <w:rsid w:val="00543DD3"/>
    <w:rsid w:val="0055608D"/>
    <w:rsid w:val="0056275B"/>
    <w:rsid w:val="00562EBC"/>
    <w:rsid w:val="005670FF"/>
    <w:rsid w:val="005703B8"/>
    <w:rsid w:val="005813D8"/>
    <w:rsid w:val="0058799A"/>
    <w:rsid w:val="00590E15"/>
    <w:rsid w:val="00593B72"/>
    <w:rsid w:val="005A4818"/>
    <w:rsid w:val="005B3BAB"/>
    <w:rsid w:val="005C64C9"/>
    <w:rsid w:val="005E03C3"/>
    <w:rsid w:val="005E0F61"/>
    <w:rsid w:val="005E21DD"/>
    <w:rsid w:val="005F2AA8"/>
    <w:rsid w:val="005F4D3B"/>
    <w:rsid w:val="005F573C"/>
    <w:rsid w:val="00601EA2"/>
    <w:rsid w:val="0060238A"/>
    <w:rsid w:val="00616387"/>
    <w:rsid w:val="00616923"/>
    <w:rsid w:val="00621403"/>
    <w:rsid w:val="006311A9"/>
    <w:rsid w:val="006313B6"/>
    <w:rsid w:val="006319BF"/>
    <w:rsid w:val="00635D9F"/>
    <w:rsid w:val="0065125A"/>
    <w:rsid w:val="00652BB7"/>
    <w:rsid w:val="00652D8D"/>
    <w:rsid w:val="00654565"/>
    <w:rsid w:val="0067778A"/>
    <w:rsid w:val="006900B8"/>
    <w:rsid w:val="00691F6B"/>
    <w:rsid w:val="00693809"/>
    <w:rsid w:val="006A2FB4"/>
    <w:rsid w:val="006A4ACF"/>
    <w:rsid w:val="006A6CB3"/>
    <w:rsid w:val="006C0BE4"/>
    <w:rsid w:val="006C526C"/>
    <w:rsid w:val="006F0034"/>
    <w:rsid w:val="006F47EF"/>
    <w:rsid w:val="0070107C"/>
    <w:rsid w:val="00711D42"/>
    <w:rsid w:val="0071218A"/>
    <w:rsid w:val="007138B4"/>
    <w:rsid w:val="00722333"/>
    <w:rsid w:val="00730406"/>
    <w:rsid w:val="00740517"/>
    <w:rsid w:val="00740AC4"/>
    <w:rsid w:val="00752CBF"/>
    <w:rsid w:val="00764A1C"/>
    <w:rsid w:val="00777341"/>
    <w:rsid w:val="00782C2E"/>
    <w:rsid w:val="00784A13"/>
    <w:rsid w:val="007851A6"/>
    <w:rsid w:val="007A23FE"/>
    <w:rsid w:val="007B0411"/>
    <w:rsid w:val="007C5768"/>
    <w:rsid w:val="007D49D3"/>
    <w:rsid w:val="007D4E6D"/>
    <w:rsid w:val="007E5CAF"/>
    <w:rsid w:val="007F329C"/>
    <w:rsid w:val="007F4B96"/>
    <w:rsid w:val="007F6748"/>
    <w:rsid w:val="007F6888"/>
    <w:rsid w:val="007F68DC"/>
    <w:rsid w:val="007F79FE"/>
    <w:rsid w:val="00806798"/>
    <w:rsid w:val="00813C48"/>
    <w:rsid w:val="008145EC"/>
    <w:rsid w:val="00814BE4"/>
    <w:rsid w:val="00821623"/>
    <w:rsid w:val="00830C85"/>
    <w:rsid w:val="0084321B"/>
    <w:rsid w:val="0084339B"/>
    <w:rsid w:val="008441BB"/>
    <w:rsid w:val="00846D35"/>
    <w:rsid w:val="00847200"/>
    <w:rsid w:val="0086681E"/>
    <w:rsid w:val="00875A4D"/>
    <w:rsid w:val="00887C2C"/>
    <w:rsid w:val="008A050C"/>
    <w:rsid w:val="008A0F99"/>
    <w:rsid w:val="008A5840"/>
    <w:rsid w:val="008B6A10"/>
    <w:rsid w:val="008C1900"/>
    <w:rsid w:val="008D0436"/>
    <w:rsid w:val="008D06D2"/>
    <w:rsid w:val="008D2AA0"/>
    <w:rsid w:val="008D4095"/>
    <w:rsid w:val="008D589F"/>
    <w:rsid w:val="008E2904"/>
    <w:rsid w:val="008F07C8"/>
    <w:rsid w:val="008F0993"/>
    <w:rsid w:val="0090299E"/>
    <w:rsid w:val="00903752"/>
    <w:rsid w:val="00907668"/>
    <w:rsid w:val="00911965"/>
    <w:rsid w:val="00917722"/>
    <w:rsid w:val="00921A6E"/>
    <w:rsid w:val="00924CF0"/>
    <w:rsid w:val="00941F99"/>
    <w:rsid w:val="009479DF"/>
    <w:rsid w:val="0095259E"/>
    <w:rsid w:val="00953BD3"/>
    <w:rsid w:val="00962B04"/>
    <w:rsid w:val="009638C6"/>
    <w:rsid w:val="009639F0"/>
    <w:rsid w:val="00966490"/>
    <w:rsid w:val="00966655"/>
    <w:rsid w:val="009736BF"/>
    <w:rsid w:val="00976739"/>
    <w:rsid w:val="009900F6"/>
    <w:rsid w:val="009B2E42"/>
    <w:rsid w:val="009B44DB"/>
    <w:rsid w:val="009C55B6"/>
    <w:rsid w:val="009D3092"/>
    <w:rsid w:val="009E048A"/>
    <w:rsid w:val="009E13D1"/>
    <w:rsid w:val="009F273D"/>
    <w:rsid w:val="009F4590"/>
    <w:rsid w:val="00A021D0"/>
    <w:rsid w:val="00A0231D"/>
    <w:rsid w:val="00A10F3C"/>
    <w:rsid w:val="00A14665"/>
    <w:rsid w:val="00A22A88"/>
    <w:rsid w:val="00A2355B"/>
    <w:rsid w:val="00A300C4"/>
    <w:rsid w:val="00A43DE3"/>
    <w:rsid w:val="00A47768"/>
    <w:rsid w:val="00A636D9"/>
    <w:rsid w:val="00A71605"/>
    <w:rsid w:val="00A92E13"/>
    <w:rsid w:val="00A95528"/>
    <w:rsid w:val="00A955E1"/>
    <w:rsid w:val="00AA2C3A"/>
    <w:rsid w:val="00AA478B"/>
    <w:rsid w:val="00AA7D70"/>
    <w:rsid w:val="00AC3E38"/>
    <w:rsid w:val="00AC473C"/>
    <w:rsid w:val="00AD046B"/>
    <w:rsid w:val="00AD0556"/>
    <w:rsid w:val="00AD4046"/>
    <w:rsid w:val="00AD4556"/>
    <w:rsid w:val="00AD6A80"/>
    <w:rsid w:val="00AE03DF"/>
    <w:rsid w:val="00AF09A1"/>
    <w:rsid w:val="00B033BC"/>
    <w:rsid w:val="00B21952"/>
    <w:rsid w:val="00B23031"/>
    <w:rsid w:val="00B248AF"/>
    <w:rsid w:val="00B33B4C"/>
    <w:rsid w:val="00B662F8"/>
    <w:rsid w:val="00B7264D"/>
    <w:rsid w:val="00B82893"/>
    <w:rsid w:val="00B92E09"/>
    <w:rsid w:val="00B96BE1"/>
    <w:rsid w:val="00BA1F27"/>
    <w:rsid w:val="00BB394B"/>
    <w:rsid w:val="00BC3B00"/>
    <w:rsid w:val="00BC7010"/>
    <w:rsid w:val="00BD016C"/>
    <w:rsid w:val="00BD08C5"/>
    <w:rsid w:val="00BE14C6"/>
    <w:rsid w:val="00BE3263"/>
    <w:rsid w:val="00BE3F5F"/>
    <w:rsid w:val="00BF27BE"/>
    <w:rsid w:val="00BF44C3"/>
    <w:rsid w:val="00C003A2"/>
    <w:rsid w:val="00C035DB"/>
    <w:rsid w:val="00C07FA6"/>
    <w:rsid w:val="00C138ED"/>
    <w:rsid w:val="00C25690"/>
    <w:rsid w:val="00C3697C"/>
    <w:rsid w:val="00C376BD"/>
    <w:rsid w:val="00C40AC9"/>
    <w:rsid w:val="00C435D5"/>
    <w:rsid w:val="00C43F93"/>
    <w:rsid w:val="00C44AF0"/>
    <w:rsid w:val="00C54877"/>
    <w:rsid w:val="00C56967"/>
    <w:rsid w:val="00C60536"/>
    <w:rsid w:val="00C65A34"/>
    <w:rsid w:val="00C70651"/>
    <w:rsid w:val="00C831F7"/>
    <w:rsid w:val="00C86FBC"/>
    <w:rsid w:val="00C870AA"/>
    <w:rsid w:val="00C92DAA"/>
    <w:rsid w:val="00C93CBC"/>
    <w:rsid w:val="00CA1B00"/>
    <w:rsid w:val="00CC42FB"/>
    <w:rsid w:val="00CC7B75"/>
    <w:rsid w:val="00CE17DA"/>
    <w:rsid w:val="00CF315E"/>
    <w:rsid w:val="00D03BBC"/>
    <w:rsid w:val="00D0584A"/>
    <w:rsid w:val="00D06558"/>
    <w:rsid w:val="00D142A7"/>
    <w:rsid w:val="00D30581"/>
    <w:rsid w:val="00D345E2"/>
    <w:rsid w:val="00D34ADA"/>
    <w:rsid w:val="00D4040E"/>
    <w:rsid w:val="00D41BDB"/>
    <w:rsid w:val="00D451C6"/>
    <w:rsid w:val="00D50360"/>
    <w:rsid w:val="00D56A74"/>
    <w:rsid w:val="00D715B0"/>
    <w:rsid w:val="00D75842"/>
    <w:rsid w:val="00D8203F"/>
    <w:rsid w:val="00D86243"/>
    <w:rsid w:val="00D91B6D"/>
    <w:rsid w:val="00D93C72"/>
    <w:rsid w:val="00D97387"/>
    <w:rsid w:val="00D974CF"/>
    <w:rsid w:val="00DD1AF9"/>
    <w:rsid w:val="00DD3DE5"/>
    <w:rsid w:val="00DF084F"/>
    <w:rsid w:val="00DF5F5D"/>
    <w:rsid w:val="00E1071F"/>
    <w:rsid w:val="00E24DAE"/>
    <w:rsid w:val="00E27548"/>
    <w:rsid w:val="00E278FF"/>
    <w:rsid w:val="00E30966"/>
    <w:rsid w:val="00E33C78"/>
    <w:rsid w:val="00E461AC"/>
    <w:rsid w:val="00E53178"/>
    <w:rsid w:val="00E5479A"/>
    <w:rsid w:val="00E56E00"/>
    <w:rsid w:val="00E637F3"/>
    <w:rsid w:val="00E77820"/>
    <w:rsid w:val="00E91068"/>
    <w:rsid w:val="00E915C0"/>
    <w:rsid w:val="00EA776B"/>
    <w:rsid w:val="00EC0586"/>
    <w:rsid w:val="00EC3F60"/>
    <w:rsid w:val="00EC7552"/>
    <w:rsid w:val="00EF640A"/>
    <w:rsid w:val="00EF700D"/>
    <w:rsid w:val="00EF75FB"/>
    <w:rsid w:val="00F053C6"/>
    <w:rsid w:val="00F10871"/>
    <w:rsid w:val="00F16379"/>
    <w:rsid w:val="00F22CD0"/>
    <w:rsid w:val="00F236A7"/>
    <w:rsid w:val="00F42CAA"/>
    <w:rsid w:val="00F45A0F"/>
    <w:rsid w:val="00F46BC9"/>
    <w:rsid w:val="00F551BD"/>
    <w:rsid w:val="00F61040"/>
    <w:rsid w:val="00F66D38"/>
    <w:rsid w:val="00F97409"/>
    <w:rsid w:val="00F97C83"/>
    <w:rsid w:val="00FA4CDC"/>
    <w:rsid w:val="00FA4CF7"/>
    <w:rsid w:val="00FB6C24"/>
    <w:rsid w:val="00FC5E8D"/>
    <w:rsid w:val="00FC60F9"/>
    <w:rsid w:val="00FC6764"/>
    <w:rsid w:val="00FD3A19"/>
    <w:rsid w:val="00FD4D46"/>
    <w:rsid w:val="00FE03F9"/>
    <w:rsid w:val="00FE1E4A"/>
    <w:rsid w:val="00FF7458"/>
    <w:rsid w:val="328E97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E4E857"/>
  <w15:chartTrackingRefBased/>
  <w15:docId w15:val="{FC29865A-8719-42FC-8C2A-7E7D616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4590"/>
    <w:pPr>
      <w:spacing w:line="360" w:lineRule="auto"/>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D820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D8203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8203F"/>
    <w:rPr>
      <w:rFonts w:ascii="Palatino Linotype" w:hAnsi="Palatino Linotype"/>
      <w:color w:val="000000" w:themeColor="text1"/>
    </w:rPr>
  </w:style>
  <w:style w:type="paragraph" w:styleId="Piedepgina">
    <w:name w:val="footer"/>
    <w:basedOn w:val="Normal"/>
    <w:link w:val="PiedepginaCar"/>
    <w:uiPriority w:val="99"/>
    <w:unhideWhenUsed/>
    <w:rsid w:val="00D8203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8203F"/>
    <w:rPr>
      <w:rFonts w:ascii="Palatino Linotype" w:hAnsi="Palatino Linotype"/>
      <w:color w:val="000000" w:themeColor="text1"/>
    </w:rPr>
  </w:style>
  <w:style w:type="paragraph" w:styleId="Prrafodelista">
    <w:name w:val="List Paragraph"/>
    <w:basedOn w:val="Normal"/>
    <w:uiPriority w:val="34"/>
    <w:qFormat/>
    <w:rsid w:val="00D8203F"/>
    <w:pPr>
      <w:ind w:left="720"/>
      <w:contextualSpacing/>
    </w:pPr>
  </w:style>
  <w:style w:type="character" w:styleId="Hipervnculo">
    <w:name w:val="Hyperlink"/>
    <w:basedOn w:val="Fuentedeprrafopredeter"/>
    <w:uiPriority w:val="99"/>
    <w:unhideWhenUsed/>
    <w:rsid w:val="00D8203F"/>
    <w:rPr>
      <w:color w:val="0563C1" w:themeColor="hyperlink"/>
      <w:u w:val="single"/>
    </w:rPr>
  </w:style>
  <w:style w:type="character" w:styleId="Refdecomentario">
    <w:name w:val="annotation reference"/>
    <w:basedOn w:val="Fuentedeprrafopredeter"/>
    <w:uiPriority w:val="99"/>
    <w:semiHidden/>
    <w:unhideWhenUsed/>
    <w:rsid w:val="002C6689"/>
    <w:rPr>
      <w:sz w:val="16"/>
      <w:szCs w:val="16"/>
    </w:rPr>
  </w:style>
  <w:style w:type="paragraph" w:styleId="Textocomentario">
    <w:name w:val="annotation text"/>
    <w:basedOn w:val="Normal"/>
    <w:link w:val="TextocomentarioCar"/>
    <w:uiPriority w:val="99"/>
    <w:semiHidden/>
    <w:unhideWhenUsed/>
    <w:rsid w:val="002C6689"/>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2C6689"/>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2C6689"/>
    <w:rPr>
      <w:b/>
      <w:bCs/>
    </w:rPr>
  </w:style>
  <w:style w:type="character" w:styleId="AsuntodelcomentarioCar" w:customStyle="1">
    <w:name w:val="Asunto del comentario Car"/>
    <w:basedOn w:val="TextocomentarioCar"/>
    <w:link w:val="Asuntodelcomentario"/>
    <w:uiPriority w:val="99"/>
    <w:semiHidden/>
    <w:rsid w:val="002C6689"/>
    <w:rPr>
      <w:rFonts w:ascii="Palatino Linotype" w:hAnsi="Palatino Linotype"/>
      <w:b/>
      <w:bCs/>
      <w:color w:val="000000" w:themeColor="text1"/>
      <w:sz w:val="20"/>
      <w:szCs w:val="20"/>
    </w:rPr>
  </w:style>
  <w:style w:type="character" w:styleId="Mencinsinresolver1" w:customStyle="1">
    <w:name w:val="Mención sin resolver1"/>
    <w:basedOn w:val="Fuentedeprrafopredeter"/>
    <w:uiPriority w:val="99"/>
    <w:semiHidden/>
    <w:unhideWhenUsed/>
    <w:rsid w:val="0025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1544">
      <w:bodyDiv w:val="1"/>
      <w:marLeft w:val="0"/>
      <w:marRight w:val="0"/>
      <w:marTop w:val="0"/>
      <w:marBottom w:val="0"/>
      <w:divBdr>
        <w:top w:val="none" w:sz="0" w:space="0" w:color="auto"/>
        <w:left w:val="none" w:sz="0" w:space="0" w:color="auto"/>
        <w:bottom w:val="none" w:sz="0" w:space="0" w:color="auto"/>
        <w:right w:val="none" w:sz="0" w:space="0" w:color="auto"/>
      </w:divBdr>
    </w:div>
    <w:div w:id="86780207">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6674019">
      <w:bodyDiv w:val="1"/>
      <w:marLeft w:val="0"/>
      <w:marRight w:val="0"/>
      <w:marTop w:val="0"/>
      <w:marBottom w:val="0"/>
      <w:divBdr>
        <w:top w:val="none" w:sz="0" w:space="0" w:color="auto"/>
        <w:left w:val="none" w:sz="0" w:space="0" w:color="auto"/>
        <w:bottom w:val="none" w:sz="0" w:space="0" w:color="auto"/>
        <w:right w:val="none" w:sz="0" w:space="0" w:color="auto"/>
      </w:divBdr>
    </w:div>
    <w:div w:id="255216377">
      <w:bodyDiv w:val="1"/>
      <w:marLeft w:val="0"/>
      <w:marRight w:val="0"/>
      <w:marTop w:val="0"/>
      <w:marBottom w:val="0"/>
      <w:divBdr>
        <w:top w:val="none" w:sz="0" w:space="0" w:color="auto"/>
        <w:left w:val="none" w:sz="0" w:space="0" w:color="auto"/>
        <w:bottom w:val="none" w:sz="0" w:space="0" w:color="auto"/>
        <w:right w:val="none" w:sz="0" w:space="0" w:color="auto"/>
      </w:divBdr>
    </w:div>
    <w:div w:id="490097466">
      <w:bodyDiv w:val="1"/>
      <w:marLeft w:val="0"/>
      <w:marRight w:val="0"/>
      <w:marTop w:val="0"/>
      <w:marBottom w:val="0"/>
      <w:divBdr>
        <w:top w:val="none" w:sz="0" w:space="0" w:color="auto"/>
        <w:left w:val="none" w:sz="0" w:space="0" w:color="auto"/>
        <w:bottom w:val="none" w:sz="0" w:space="0" w:color="auto"/>
        <w:right w:val="none" w:sz="0" w:space="0" w:color="auto"/>
      </w:divBdr>
    </w:div>
    <w:div w:id="551186618">
      <w:bodyDiv w:val="1"/>
      <w:marLeft w:val="0"/>
      <w:marRight w:val="0"/>
      <w:marTop w:val="0"/>
      <w:marBottom w:val="0"/>
      <w:divBdr>
        <w:top w:val="none" w:sz="0" w:space="0" w:color="auto"/>
        <w:left w:val="none" w:sz="0" w:space="0" w:color="auto"/>
        <w:bottom w:val="none" w:sz="0" w:space="0" w:color="auto"/>
        <w:right w:val="none" w:sz="0" w:space="0" w:color="auto"/>
      </w:divBdr>
    </w:div>
    <w:div w:id="570578796">
      <w:bodyDiv w:val="1"/>
      <w:marLeft w:val="0"/>
      <w:marRight w:val="0"/>
      <w:marTop w:val="0"/>
      <w:marBottom w:val="0"/>
      <w:divBdr>
        <w:top w:val="none" w:sz="0" w:space="0" w:color="auto"/>
        <w:left w:val="none" w:sz="0" w:space="0" w:color="auto"/>
        <w:bottom w:val="none" w:sz="0" w:space="0" w:color="auto"/>
        <w:right w:val="none" w:sz="0" w:space="0" w:color="auto"/>
      </w:divBdr>
    </w:div>
    <w:div w:id="651057862">
      <w:bodyDiv w:val="1"/>
      <w:marLeft w:val="0"/>
      <w:marRight w:val="0"/>
      <w:marTop w:val="0"/>
      <w:marBottom w:val="0"/>
      <w:divBdr>
        <w:top w:val="none" w:sz="0" w:space="0" w:color="auto"/>
        <w:left w:val="none" w:sz="0" w:space="0" w:color="auto"/>
        <w:bottom w:val="none" w:sz="0" w:space="0" w:color="auto"/>
        <w:right w:val="none" w:sz="0" w:space="0" w:color="auto"/>
      </w:divBdr>
    </w:div>
    <w:div w:id="681132400">
      <w:bodyDiv w:val="1"/>
      <w:marLeft w:val="0"/>
      <w:marRight w:val="0"/>
      <w:marTop w:val="0"/>
      <w:marBottom w:val="0"/>
      <w:divBdr>
        <w:top w:val="none" w:sz="0" w:space="0" w:color="auto"/>
        <w:left w:val="none" w:sz="0" w:space="0" w:color="auto"/>
        <w:bottom w:val="none" w:sz="0" w:space="0" w:color="auto"/>
        <w:right w:val="none" w:sz="0" w:space="0" w:color="auto"/>
      </w:divBdr>
    </w:div>
    <w:div w:id="1030377672">
      <w:bodyDiv w:val="1"/>
      <w:marLeft w:val="0"/>
      <w:marRight w:val="0"/>
      <w:marTop w:val="0"/>
      <w:marBottom w:val="0"/>
      <w:divBdr>
        <w:top w:val="none" w:sz="0" w:space="0" w:color="auto"/>
        <w:left w:val="none" w:sz="0" w:space="0" w:color="auto"/>
        <w:bottom w:val="none" w:sz="0" w:space="0" w:color="auto"/>
        <w:right w:val="none" w:sz="0" w:space="0" w:color="auto"/>
      </w:divBdr>
    </w:div>
    <w:div w:id="1050106713">
      <w:bodyDiv w:val="1"/>
      <w:marLeft w:val="0"/>
      <w:marRight w:val="0"/>
      <w:marTop w:val="0"/>
      <w:marBottom w:val="0"/>
      <w:divBdr>
        <w:top w:val="none" w:sz="0" w:space="0" w:color="auto"/>
        <w:left w:val="none" w:sz="0" w:space="0" w:color="auto"/>
        <w:bottom w:val="none" w:sz="0" w:space="0" w:color="auto"/>
        <w:right w:val="none" w:sz="0" w:space="0" w:color="auto"/>
      </w:divBdr>
    </w:div>
    <w:div w:id="1050571261">
      <w:bodyDiv w:val="1"/>
      <w:marLeft w:val="0"/>
      <w:marRight w:val="0"/>
      <w:marTop w:val="0"/>
      <w:marBottom w:val="0"/>
      <w:divBdr>
        <w:top w:val="none" w:sz="0" w:space="0" w:color="auto"/>
        <w:left w:val="none" w:sz="0" w:space="0" w:color="auto"/>
        <w:bottom w:val="none" w:sz="0" w:space="0" w:color="auto"/>
        <w:right w:val="none" w:sz="0" w:space="0" w:color="auto"/>
      </w:divBdr>
    </w:div>
    <w:div w:id="1091388285">
      <w:bodyDiv w:val="1"/>
      <w:marLeft w:val="0"/>
      <w:marRight w:val="0"/>
      <w:marTop w:val="0"/>
      <w:marBottom w:val="0"/>
      <w:divBdr>
        <w:top w:val="none" w:sz="0" w:space="0" w:color="auto"/>
        <w:left w:val="none" w:sz="0" w:space="0" w:color="auto"/>
        <w:bottom w:val="none" w:sz="0" w:space="0" w:color="auto"/>
        <w:right w:val="none" w:sz="0" w:space="0" w:color="auto"/>
      </w:divBdr>
    </w:div>
    <w:div w:id="1172454315">
      <w:bodyDiv w:val="1"/>
      <w:marLeft w:val="0"/>
      <w:marRight w:val="0"/>
      <w:marTop w:val="0"/>
      <w:marBottom w:val="0"/>
      <w:divBdr>
        <w:top w:val="none" w:sz="0" w:space="0" w:color="auto"/>
        <w:left w:val="none" w:sz="0" w:space="0" w:color="auto"/>
        <w:bottom w:val="none" w:sz="0" w:space="0" w:color="auto"/>
        <w:right w:val="none" w:sz="0" w:space="0" w:color="auto"/>
      </w:divBdr>
    </w:div>
    <w:div w:id="1252356476">
      <w:bodyDiv w:val="1"/>
      <w:marLeft w:val="0"/>
      <w:marRight w:val="0"/>
      <w:marTop w:val="0"/>
      <w:marBottom w:val="0"/>
      <w:divBdr>
        <w:top w:val="none" w:sz="0" w:space="0" w:color="auto"/>
        <w:left w:val="none" w:sz="0" w:space="0" w:color="auto"/>
        <w:bottom w:val="none" w:sz="0" w:space="0" w:color="auto"/>
        <w:right w:val="none" w:sz="0" w:space="0" w:color="auto"/>
      </w:divBdr>
    </w:div>
    <w:div w:id="1419133883">
      <w:bodyDiv w:val="1"/>
      <w:marLeft w:val="0"/>
      <w:marRight w:val="0"/>
      <w:marTop w:val="0"/>
      <w:marBottom w:val="0"/>
      <w:divBdr>
        <w:top w:val="none" w:sz="0" w:space="0" w:color="auto"/>
        <w:left w:val="none" w:sz="0" w:space="0" w:color="auto"/>
        <w:bottom w:val="none" w:sz="0" w:space="0" w:color="auto"/>
        <w:right w:val="none" w:sz="0" w:space="0" w:color="auto"/>
      </w:divBdr>
    </w:div>
    <w:div w:id="1510557283">
      <w:bodyDiv w:val="1"/>
      <w:marLeft w:val="0"/>
      <w:marRight w:val="0"/>
      <w:marTop w:val="0"/>
      <w:marBottom w:val="0"/>
      <w:divBdr>
        <w:top w:val="none" w:sz="0" w:space="0" w:color="auto"/>
        <w:left w:val="none" w:sz="0" w:space="0" w:color="auto"/>
        <w:bottom w:val="none" w:sz="0" w:space="0" w:color="auto"/>
        <w:right w:val="none" w:sz="0" w:space="0" w:color="auto"/>
      </w:divBdr>
    </w:div>
    <w:div w:id="1631589610">
      <w:bodyDiv w:val="1"/>
      <w:marLeft w:val="0"/>
      <w:marRight w:val="0"/>
      <w:marTop w:val="0"/>
      <w:marBottom w:val="0"/>
      <w:divBdr>
        <w:top w:val="none" w:sz="0" w:space="0" w:color="auto"/>
        <w:left w:val="none" w:sz="0" w:space="0" w:color="auto"/>
        <w:bottom w:val="none" w:sz="0" w:space="0" w:color="auto"/>
        <w:right w:val="none" w:sz="0" w:space="0" w:color="auto"/>
      </w:divBdr>
    </w:div>
    <w:div w:id="1666591127">
      <w:bodyDiv w:val="1"/>
      <w:marLeft w:val="0"/>
      <w:marRight w:val="0"/>
      <w:marTop w:val="0"/>
      <w:marBottom w:val="0"/>
      <w:divBdr>
        <w:top w:val="none" w:sz="0" w:space="0" w:color="auto"/>
        <w:left w:val="none" w:sz="0" w:space="0" w:color="auto"/>
        <w:bottom w:val="none" w:sz="0" w:space="0" w:color="auto"/>
        <w:right w:val="none" w:sz="0" w:space="0" w:color="auto"/>
      </w:divBdr>
    </w:div>
    <w:div w:id="21398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a334b2cae3b24d3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6b82e96-62d4-49f9-a493-d59bbf579bba}"/>
      </w:docPartPr>
      <w:docPartBody>
        <w:p w14:paraId="04A1451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AAACA-9157-4BB9-86AA-CC77A39B53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8</revision>
  <dcterms:created xsi:type="dcterms:W3CDTF">2023-02-21T16:47:00.0000000Z</dcterms:created>
  <dcterms:modified xsi:type="dcterms:W3CDTF">2023-04-12T17:06:58.7908820Z</dcterms:modified>
</coreProperties>
</file>