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09844" w14:textId="77777777" w:rsidR="00422C8E" w:rsidRDefault="00422C8E" w:rsidP="0041405C">
      <w:pPr>
        <w:tabs>
          <w:tab w:val="left" w:pos="1843"/>
        </w:tabs>
        <w:spacing w:after="0" w:line="360" w:lineRule="auto"/>
        <w:jc w:val="both"/>
        <w:rPr>
          <w:rFonts w:ascii="Palatino Linotype" w:hAnsi="Palatino Linotype" w:cs="Tahoma"/>
          <w:b/>
        </w:rPr>
      </w:pPr>
    </w:p>
    <w:p w14:paraId="4F4AAA78" w14:textId="5958004E" w:rsidR="0041405C" w:rsidRDefault="0041405C" w:rsidP="0041405C">
      <w:pPr>
        <w:tabs>
          <w:tab w:val="left" w:pos="1843"/>
        </w:tabs>
        <w:spacing w:after="0" w:line="360" w:lineRule="auto"/>
        <w:jc w:val="both"/>
        <w:rPr>
          <w:rFonts w:ascii="Palatino Linotype" w:hAnsi="Palatino Linotype" w:cs="Tahoma"/>
          <w:b/>
        </w:rPr>
      </w:pPr>
      <w:r w:rsidRPr="00274A5F">
        <w:rPr>
          <w:rFonts w:ascii="Palatino Linotype" w:hAnsi="Palatino Linotype" w:cs="Tahoma"/>
          <w:b/>
        </w:rPr>
        <w:t xml:space="preserve">VOTO PARTICULAR QUE FORMULA EL COMISIONADO LUIS GUSTAVO PARRA NORIEGA, A LA RESOLUCIÓN DEL RECURSO DE REVISIÓN </w:t>
      </w:r>
      <w:r w:rsidR="00D61E4B">
        <w:rPr>
          <w:rFonts w:ascii="Palatino Linotype" w:eastAsia="Palatino Linotype" w:hAnsi="Palatino Linotype" w:cs="Palatino Linotype"/>
          <w:b/>
        </w:rPr>
        <w:t>00931</w:t>
      </w:r>
      <w:r w:rsidRPr="00274A5F">
        <w:rPr>
          <w:rFonts w:ascii="Palatino Linotype" w:eastAsia="Palatino Linotype" w:hAnsi="Palatino Linotype" w:cs="Palatino Linotype"/>
          <w:b/>
        </w:rPr>
        <w:t>/INFOEM/IP/RR/202</w:t>
      </w:r>
      <w:r w:rsidR="00475548">
        <w:rPr>
          <w:rFonts w:ascii="Palatino Linotype" w:eastAsia="Palatino Linotype" w:hAnsi="Palatino Linotype" w:cs="Palatino Linotype"/>
          <w:b/>
        </w:rPr>
        <w:t>3</w:t>
      </w:r>
      <w:r w:rsidRPr="00274A5F">
        <w:rPr>
          <w:rFonts w:ascii="Palatino Linotype" w:hAnsi="Palatino Linotype"/>
          <w:b/>
          <w:lang w:val="es-MX"/>
        </w:rPr>
        <w:t>,</w:t>
      </w:r>
      <w:r w:rsidRPr="00274A5F">
        <w:rPr>
          <w:rFonts w:ascii="Palatino Linotype" w:hAnsi="Palatino Linotype" w:cs="Tahoma"/>
          <w:b/>
        </w:rPr>
        <w:t xml:space="preserve"> PROMOVIDO EN CONTRA DE</w:t>
      </w:r>
      <w:r w:rsidR="00B502EB">
        <w:rPr>
          <w:rFonts w:ascii="Palatino Linotype" w:hAnsi="Palatino Linotype" w:cs="Tahoma"/>
          <w:b/>
        </w:rPr>
        <w:t xml:space="preserve">L AYUNTAMIENTO DE </w:t>
      </w:r>
      <w:r w:rsidR="00D61E4B">
        <w:rPr>
          <w:rFonts w:ascii="Palatino Linotype" w:hAnsi="Palatino Linotype" w:cs="Tahoma"/>
          <w:b/>
        </w:rPr>
        <w:t>NEZAHUALCÓYOTL</w:t>
      </w:r>
      <w:r w:rsidR="00B502EB">
        <w:rPr>
          <w:rFonts w:ascii="Palatino Linotype" w:hAnsi="Palatino Linotype" w:cs="Tahoma"/>
          <w:b/>
        </w:rPr>
        <w:t>.</w:t>
      </w:r>
    </w:p>
    <w:p w14:paraId="29D7D6F6" w14:textId="77777777" w:rsidR="00342FF8" w:rsidRPr="00274A5F" w:rsidRDefault="00342FF8" w:rsidP="0041405C">
      <w:pPr>
        <w:tabs>
          <w:tab w:val="left" w:pos="1843"/>
        </w:tabs>
        <w:spacing w:after="0" w:line="360" w:lineRule="auto"/>
        <w:jc w:val="both"/>
        <w:rPr>
          <w:rFonts w:ascii="Palatino Linotype" w:hAnsi="Palatino Linotype" w:cs="Arial"/>
          <w:b/>
          <w:sz w:val="24"/>
          <w:szCs w:val="24"/>
        </w:rPr>
      </w:pPr>
    </w:p>
    <w:p w14:paraId="3F2A5958" w14:textId="7E84A2C0" w:rsidR="0041405C" w:rsidRDefault="0041405C" w:rsidP="00DF0541">
      <w:pPr>
        <w:tabs>
          <w:tab w:val="left" w:pos="1843"/>
        </w:tabs>
        <w:spacing w:after="0" w:line="360" w:lineRule="auto"/>
        <w:jc w:val="both"/>
        <w:rPr>
          <w:rFonts w:ascii="Palatino Linotype" w:hAnsi="Palatino Linotype"/>
          <w:b/>
          <w:lang w:val="es-MX"/>
        </w:rPr>
      </w:pPr>
      <w:r w:rsidRPr="00274A5F">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274A5F">
        <w:rPr>
          <w:rFonts w:ascii="Palatino Linotype" w:hAnsi="Palatino Linotype" w:cs="Tahoma"/>
          <w:b/>
        </w:rPr>
        <w:t>Voto Particular</w:t>
      </w:r>
      <w:r w:rsidRPr="00274A5F">
        <w:rPr>
          <w:rFonts w:ascii="Palatino Linotype" w:hAnsi="Palatino Linotype" w:cs="Tahoma"/>
        </w:rPr>
        <w:t xml:space="preserve"> por no compartir en su totalidad las consideraciones que sustentan la Resolución del Recurso de Revisión </w:t>
      </w:r>
      <w:r w:rsidR="00D61E4B">
        <w:rPr>
          <w:rFonts w:ascii="Palatino Linotype" w:eastAsia="Palatino Linotype" w:hAnsi="Palatino Linotype" w:cs="Palatino Linotype"/>
          <w:b/>
        </w:rPr>
        <w:t>00931</w:t>
      </w:r>
      <w:r w:rsidRPr="00274A5F">
        <w:rPr>
          <w:rFonts w:ascii="Palatino Linotype" w:eastAsia="Palatino Linotype" w:hAnsi="Palatino Linotype" w:cs="Palatino Linotype"/>
          <w:b/>
        </w:rPr>
        <w:t>/INFOEM/IP/RR/</w:t>
      </w:r>
      <w:r w:rsidR="00420AB0">
        <w:rPr>
          <w:rFonts w:ascii="Palatino Linotype" w:eastAsia="Palatino Linotype" w:hAnsi="Palatino Linotype" w:cs="Palatino Linotype"/>
          <w:b/>
        </w:rPr>
        <w:t>2023</w:t>
      </w:r>
      <w:r w:rsidR="00B502EB">
        <w:rPr>
          <w:rFonts w:ascii="Palatino Linotype" w:hAnsi="Palatino Linotype"/>
          <w:b/>
          <w:lang w:val="es-MX"/>
        </w:rPr>
        <w:t xml:space="preserve"> </w:t>
      </w:r>
      <w:r w:rsidR="00F7793C">
        <w:rPr>
          <w:rFonts w:ascii="Palatino Linotype" w:hAnsi="Palatino Linotype"/>
          <w:b/>
          <w:lang w:val="es-MX"/>
        </w:rPr>
        <w:t>que presenté conforme al criterio mayoritario del Pleno</w:t>
      </w:r>
      <w:r w:rsidR="00B502EB">
        <w:rPr>
          <w:rFonts w:ascii="Palatino Linotype" w:hAnsi="Palatino Linotype"/>
          <w:b/>
          <w:lang w:val="es-MX"/>
        </w:rPr>
        <w:t>.</w:t>
      </w:r>
    </w:p>
    <w:p w14:paraId="3D998A3A" w14:textId="77777777" w:rsidR="00DF0541" w:rsidRPr="00DF0541" w:rsidRDefault="00DF0541" w:rsidP="00DF0541">
      <w:pPr>
        <w:tabs>
          <w:tab w:val="left" w:pos="1843"/>
        </w:tabs>
        <w:spacing w:after="0" w:line="360" w:lineRule="auto"/>
        <w:jc w:val="both"/>
        <w:rPr>
          <w:rFonts w:ascii="Palatino Linotype" w:hAnsi="Palatino Linotype"/>
          <w:b/>
          <w:lang w:val="es-MX"/>
        </w:rPr>
      </w:pPr>
    </w:p>
    <w:p w14:paraId="7F59319D" w14:textId="6B8DC1CE" w:rsidR="00222A61" w:rsidRDefault="00B502EB" w:rsidP="00222A61">
      <w:pPr>
        <w:spacing w:after="0" w:line="360" w:lineRule="auto"/>
        <w:jc w:val="both"/>
        <w:rPr>
          <w:rFonts w:ascii="Palatino Linotype" w:eastAsia="Palatino Linotype" w:hAnsi="Palatino Linotype" w:cs="Palatino Linotype"/>
        </w:rPr>
      </w:pPr>
      <w:r w:rsidRPr="000C73AC">
        <w:rPr>
          <w:rFonts w:ascii="Palatino Linotype" w:hAnsi="Palatino Linotype" w:cs="Tahoma"/>
        </w:rPr>
        <w:t>Como se desprende de la Resolución en comento, el Particular solicitó</w:t>
      </w:r>
      <w:r w:rsidR="00475548">
        <w:rPr>
          <w:rFonts w:ascii="Palatino Linotype" w:hAnsi="Palatino Linotype" w:cs="Tahoma"/>
        </w:rPr>
        <w:t xml:space="preserve">  </w:t>
      </w:r>
      <w:r w:rsidR="00D61E4B">
        <w:rPr>
          <w:rFonts w:ascii="Palatino Linotype" w:hAnsi="Palatino Linotype" w:cs="Tahoma"/>
        </w:rPr>
        <w:t>el soporte documental del procedimiento empleado para la adquisición de vehículos destinados para patrullas</w:t>
      </w:r>
      <w:r>
        <w:rPr>
          <w:rFonts w:ascii="Palatino Linotype" w:hAnsi="Palatino Linotype" w:cs="Tahoma"/>
        </w:rPr>
        <w:t xml:space="preserve">; </w:t>
      </w:r>
      <w:r w:rsidR="00475548">
        <w:rPr>
          <w:rFonts w:ascii="Palatino Linotype" w:hAnsi="Palatino Linotype" w:cs="Tahoma"/>
        </w:rPr>
        <w:t xml:space="preserve">por lo tanto, si bien se ordenó la entrega de la información solicitada, </w:t>
      </w:r>
      <w:r>
        <w:rPr>
          <w:rFonts w:ascii="Palatino Linotype" w:hAnsi="Palatino Linotype" w:cs="Tahoma"/>
        </w:rPr>
        <w:t xml:space="preserve">se precisó que, </w:t>
      </w:r>
      <w:r w:rsidR="00D61E4B" w:rsidRPr="00885298">
        <w:rPr>
          <w:rFonts w:ascii="Palatino Linotype" w:hAnsi="Palatino Linotype" w:cs="Tahoma"/>
          <w:iCs/>
        </w:rPr>
        <w:t xml:space="preserve">proporcionar la especificaciones y equipamiento de las patrullas, revelaría la tecnología, sistemas y equipos, con los que cuenta </w:t>
      </w:r>
      <w:r w:rsidR="00D61E4B">
        <w:rPr>
          <w:rFonts w:ascii="Palatino Linotype" w:hAnsi="Palatino Linotype" w:cs="Tahoma"/>
          <w:iCs/>
        </w:rPr>
        <w:t xml:space="preserve">la Dirección de Seguridad Pública, por lo tanto, se estimó que dicha información deberá </w:t>
      </w:r>
      <w:r>
        <w:rPr>
          <w:rFonts w:ascii="Palatino Linotype" w:eastAsia="Palatino Linotype" w:hAnsi="Palatino Linotype" w:cs="Palatino Linotype"/>
        </w:rPr>
        <w:t>clasificarse en términos de lo establecido por el artículo 140</w:t>
      </w:r>
      <w:r>
        <w:rPr>
          <w:rFonts w:ascii="Palatino Linotype" w:hAnsi="Palatino Linotype" w:cs="Tahoma"/>
          <w:color w:val="0D0D0D" w:themeColor="text1" w:themeTint="F2"/>
        </w:rPr>
        <w:t>,</w:t>
      </w:r>
      <w:r w:rsidR="00475548">
        <w:rPr>
          <w:rFonts w:ascii="Palatino Linotype" w:hAnsi="Palatino Linotype" w:cs="Tahoma"/>
          <w:color w:val="0D0D0D" w:themeColor="text1" w:themeTint="F2"/>
        </w:rPr>
        <w:t xml:space="preserve"> fracción IV,</w:t>
      </w:r>
      <w:r>
        <w:rPr>
          <w:rFonts w:ascii="Palatino Linotype" w:hAnsi="Palatino Linotype" w:cs="Tahoma"/>
          <w:color w:val="0D0D0D" w:themeColor="text1" w:themeTint="F2"/>
        </w:rPr>
        <w:t xml:space="preserve"> </w:t>
      </w:r>
      <w:r>
        <w:rPr>
          <w:rFonts w:ascii="Palatino Linotype" w:eastAsia="Palatino Linotype" w:hAnsi="Palatino Linotype" w:cs="Palatino Linotype"/>
        </w:rPr>
        <w:t>de la Ley de Transparencia y Acceso a la Información pública del Estado de México y Municipios</w:t>
      </w:r>
      <w:r w:rsidR="00CA2E6B">
        <w:rPr>
          <w:rFonts w:ascii="Palatino Linotype" w:eastAsia="Palatino Linotype" w:hAnsi="Palatino Linotype" w:cs="Palatino Linotype"/>
        </w:rPr>
        <w:t xml:space="preserve"> y </w:t>
      </w:r>
      <w:r w:rsidR="00222A61">
        <w:rPr>
          <w:rFonts w:ascii="Palatino Linotype" w:eastAsia="Palatino Linotype" w:hAnsi="Palatino Linotype" w:cs="Palatino Linotype"/>
        </w:rPr>
        <w:t>hacer entrega del acuerdo del Comité de Transparencia, por el cual se funde y motive la clasificación de la información como reservada.</w:t>
      </w:r>
    </w:p>
    <w:p w14:paraId="1A600599" w14:textId="0DD8B1BB" w:rsidR="00B502EB" w:rsidRDefault="00422C8E" w:rsidP="00B502EB">
      <w:pPr>
        <w:spacing w:after="0" w:line="360" w:lineRule="auto"/>
        <w:jc w:val="both"/>
        <w:rPr>
          <w:rFonts w:ascii="Palatino Linotype" w:hAnsi="Palatino Linotype" w:cs="Tahoma"/>
        </w:rPr>
      </w:pPr>
      <w:r>
        <w:rPr>
          <w:rFonts w:ascii="Palatino Linotype" w:eastAsia="Calibri" w:hAnsi="Palatino Linotype" w:cs="Tahoma"/>
        </w:rPr>
        <w:lastRenderedPageBreak/>
        <w:t>Por lo anterior</w:t>
      </w:r>
      <w:r w:rsidR="00B502EB" w:rsidRPr="00767A96">
        <w:rPr>
          <w:rFonts w:ascii="Palatino Linotype" w:eastAsia="Calibri" w:hAnsi="Palatino Linotype" w:cs="Tahoma"/>
        </w:rPr>
        <w:t xml:space="preserve">, emito </w:t>
      </w:r>
      <w:r w:rsidR="00B502EB">
        <w:rPr>
          <w:rFonts w:ascii="Palatino Linotype" w:eastAsia="Calibri" w:hAnsi="Palatino Linotype" w:cs="Tahoma"/>
        </w:rPr>
        <w:t>voto particular,</w:t>
      </w:r>
      <w:r w:rsidR="00130695">
        <w:rPr>
          <w:rFonts w:ascii="Palatino Linotype" w:eastAsia="Calibri" w:hAnsi="Palatino Linotype" w:cs="Tahoma"/>
        </w:rPr>
        <w:t xml:space="preserve"> </w:t>
      </w:r>
      <w:r w:rsidR="00475548">
        <w:rPr>
          <w:rFonts w:ascii="Palatino Linotype" w:eastAsia="Calibri" w:hAnsi="Palatino Linotype" w:cs="Tahoma"/>
        </w:rPr>
        <w:t xml:space="preserve">toda vez que </w:t>
      </w:r>
      <w:r>
        <w:rPr>
          <w:rFonts w:ascii="Palatino Linotype" w:eastAsia="Calibri" w:hAnsi="Palatino Linotype" w:cs="Tahoma"/>
        </w:rPr>
        <w:t xml:space="preserve">desde </w:t>
      </w:r>
      <w:r w:rsidR="00475548">
        <w:rPr>
          <w:rFonts w:ascii="Palatino Linotype" w:eastAsia="Calibri" w:hAnsi="Palatino Linotype" w:cs="Tahoma"/>
        </w:rPr>
        <w:t xml:space="preserve">mi consideración, </w:t>
      </w:r>
      <w:r w:rsidR="00B502EB">
        <w:rPr>
          <w:rFonts w:ascii="Palatino Linotype" w:hAnsi="Palatino Linotype" w:cs="Tahoma"/>
        </w:rPr>
        <w:t xml:space="preserve">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00B502EB" w:rsidRPr="00885189">
        <w:rPr>
          <w:rFonts w:ascii="Palatino Linotype" w:hAnsi="Palatino Linotype" w:cs="Tahoma"/>
        </w:rPr>
        <w:t>Ley de Transparencia y Acceso a la Información Pública del Estado de México y Municipios</w:t>
      </w:r>
      <w:r w:rsidR="00B502EB">
        <w:rPr>
          <w:rFonts w:ascii="Palatino Linotype" w:hAnsi="Palatino Linotype" w:cs="Tahoma"/>
        </w:rPr>
        <w:t xml:space="preserve">, en relación con los </w:t>
      </w:r>
      <w:r w:rsidR="00B502EB" w:rsidRPr="00885189">
        <w:rPr>
          <w:rFonts w:ascii="Palatino Linotype" w:hAnsi="Palatino Linotype" w:cs="Tahoma"/>
        </w:rPr>
        <w:t>Lineamientos generales en materia de clasificación y desclasificación de la información, así como para la elaboración de versiones públicas.</w:t>
      </w:r>
    </w:p>
    <w:p w14:paraId="7F2562A7" w14:textId="77777777" w:rsidR="0041405C" w:rsidRPr="00274A5F" w:rsidRDefault="0041405C" w:rsidP="0041405C">
      <w:pPr>
        <w:spacing w:after="0" w:line="360" w:lineRule="auto"/>
        <w:jc w:val="both"/>
        <w:rPr>
          <w:rFonts w:ascii="Palatino Linotype" w:hAnsi="Palatino Linotype" w:cs="Tahoma"/>
        </w:rPr>
      </w:pPr>
    </w:p>
    <w:p w14:paraId="5846A477" w14:textId="7EA5DD26"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Lo anterior en virtud de que, para que proceda o no la reserva; no basta con que se actualice el dispositivo normativo </w:t>
      </w:r>
      <w:r w:rsidR="00CA6576" w:rsidRPr="00274A5F">
        <w:rPr>
          <w:rFonts w:ascii="Palatino Linotype" w:hAnsi="Palatino Linotype" w:cs="Tahoma"/>
        </w:rPr>
        <w:t>140 de la Ley de la materia</w:t>
      </w:r>
      <w:r w:rsidRPr="00274A5F">
        <w:rPr>
          <w:rFonts w:ascii="Palatino Linotype" w:hAnsi="Palatino Linotype" w:cs="Tahoma"/>
        </w:rPr>
        <w:t>, sino que además es menester acreditar dicha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2920568D" w14:textId="77777777" w:rsidR="0041405C" w:rsidRPr="00274A5F" w:rsidRDefault="0041405C" w:rsidP="0041405C">
      <w:pPr>
        <w:spacing w:after="0" w:line="360" w:lineRule="auto"/>
        <w:jc w:val="both"/>
        <w:rPr>
          <w:rFonts w:ascii="Palatino Linotype" w:hAnsi="Palatino Linotype" w:cs="Tahoma"/>
        </w:rPr>
      </w:pPr>
    </w:p>
    <w:p w14:paraId="58A53996"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supuesto de reserva del artículo 140, de la Ley de Transparencia de nuestra Entidad.</w:t>
      </w:r>
    </w:p>
    <w:p w14:paraId="559F0B94" w14:textId="77777777" w:rsidR="0041405C" w:rsidRPr="00274A5F" w:rsidRDefault="0041405C" w:rsidP="0041405C">
      <w:pPr>
        <w:spacing w:after="0" w:line="360" w:lineRule="auto"/>
        <w:jc w:val="both"/>
        <w:rPr>
          <w:rFonts w:ascii="Palatino Linotype" w:hAnsi="Palatino Linotype"/>
        </w:rPr>
      </w:pPr>
    </w:p>
    <w:p w14:paraId="518C0FAC" w14:textId="77777777" w:rsidR="0041405C" w:rsidRPr="00274A5F" w:rsidRDefault="0041405C" w:rsidP="0041405C">
      <w:pPr>
        <w:spacing w:after="0" w:line="360" w:lineRule="auto"/>
        <w:jc w:val="both"/>
        <w:rPr>
          <w:rFonts w:ascii="Palatino Linotype" w:hAnsi="Palatino Linotype" w:cs="Segoe UI"/>
        </w:rPr>
      </w:pPr>
      <w:r w:rsidRPr="00274A5F">
        <w:rPr>
          <w:rFonts w:ascii="Palatino Linotype" w:hAnsi="Palatino Linotype"/>
        </w:rPr>
        <w:t xml:space="preserve">Así, desde mi punto de vista, el </w:t>
      </w:r>
      <w:r w:rsidRPr="00274A5F">
        <w:rPr>
          <w:rFonts w:ascii="Palatino Linotype" w:hAnsi="Palatino Linotype" w:cs="Segoe UI"/>
        </w:rPr>
        <w:t xml:space="preserve">derecho de acceso a la información encuentra límites en el propio texto constitucional y que, debido a ello, debe existir una armonización congruente </w:t>
      </w:r>
      <w:r w:rsidRPr="00274A5F">
        <w:rPr>
          <w:rFonts w:ascii="Palatino Linotype" w:hAnsi="Palatino Linotype" w:cs="Segoe UI"/>
        </w:rPr>
        <w:lastRenderedPageBreak/>
        <w:t xml:space="preserve">con ese derecho fundamental con los principios rectores de la función del Sujeto Obligado, lo que encuentra sustento en las tesis jurisprudenciales emitidas por la Suprema Corte de Justicia de la Nación, que son del literal siguiente: </w:t>
      </w:r>
    </w:p>
    <w:p w14:paraId="05420A56" w14:textId="77777777" w:rsidR="0041405C" w:rsidRPr="00274A5F" w:rsidRDefault="0041405C" w:rsidP="0041405C">
      <w:pPr>
        <w:spacing w:after="0" w:line="360" w:lineRule="auto"/>
        <w:jc w:val="both"/>
        <w:rPr>
          <w:rFonts w:ascii="Palatino Linotype" w:hAnsi="Palatino Linotype" w:cs="Segoe UI"/>
        </w:rPr>
      </w:pPr>
    </w:p>
    <w:p w14:paraId="51933858" w14:textId="77777777" w:rsidR="0041405C" w:rsidRPr="00274A5F" w:rsidRDefault="0041405C" w:rsidP="0041405C">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274A5F">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274A5F">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7E55D2A" w14:textId="77777777" w:rsidR="0041405C" w:rsidRPr="00274A5F" w:rsidRDefault="0041405C" w:rsidP="0041405C">
      <w:pPr>
        <w:autoSpaceDE w:val="0"/>
        <w:autoSpaceDN w:val="0"/>
        <w:adjustRightInd w:val="0"/>
        <w:spacing w:after="0" w:line="360" w:lineRule="auto"/>
        <w:ind w:left="567" w:right="567"/>
        <w:jc w:val="both"/>
        <w:rPr>
          <w:rFonts w:ascii="Palatino Linotype" w:eastAsia="Calibri" w:hAnsi="Palatino Linotype" w:cs="Arial"/>
          <w:i/>
          <w:sz w:val="20"/>
          <w:szCs w:val="20"/>
        </w:rPr>
      </w:pPr>
    </w:p>
    <w:p w14:paraId="5533DBE3" w14:textId="77777777" w:rsidR="0041405C" w:rsidRPr="00274A5F" w:rsidRDefault="0041405C" w:rsidP="0041405C">
      <w:pPr>
        <w:shd w:val="clear" w:color="auto" w:fill="FFFFFF"/>
        <w:spacing w:after="0" w:line="360" w:lineRule="auto"/>
        <w:ind w:left="567" w:right="567"/>
        <w:jc w:val="both"/>
        <w:rPr>
          <w:rFonts w:ascii="Palatino Linotype" w:hAnsi="Palatino Linotype"/>
          <w:i/>
          <w:iCs/>
          <w:sz w:val="20"/>
          <w:szCs w:val="20"/>
          <w:lang w:eastAsia="es-MX"/>
        </w:rPr>
      </w:pPr>
      <w:r w:rsidRPr="00274A5F">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274A5F">
        <w:rPr>
          <w:rFonts w:ascii="Palatino Linotype" w:hAnsi="Palatino Linotype"/>
          <w:i/>
          <w:iCs/>
          <w:sz w:val="20"/>
          <w:szCs w:val="20"/>
          <w:lang w:eastAsia="es-MX"/>
        </w:rPr>
        <w:t xml:space="preserve"> El Tribunal en Pleno de la Suprema Corte de Justicia de la Nación en la tesis P. LX/2000 de rubro: "DERECHO A LA INFORMACIÓN. SU EJERCICIO SE ENCUENTRA LIMITADO </w:t>
      </w:r>
      <w:r w:rsidRPr="00274A5F">
        <w:rPr>
          <w:rFonts w:ascii="Palatino Linotype" w:hAnsi="Palatino Linotype"/>
          <w:i/>
          <w:iCs/>
          <w:sz w:val="20"/>
          <w:szCs w:val="20"/>
          <w:lang w:eastAsia="es-MX"/>
        </w:rPr>
        <w:lastRenderedPageBreak/>
        <w:t>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274A5F">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274A5F">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4187862E" w14:textId="77777777" w:rsidR="0041405C" w:rsidRPr="00274A5F" w:rsidRDefault="0041405C" w:rsidP="0041405C">
      <w:pPr>
        <w:spacing w:after="0" w:line="360" w:lineRule="auto"/>
        <w:jc w:val="both"/>
        <w:rPr>
          <w:rFonts w:ascii="Palatino Linotype" w:hAnsi="Palatino Linotype" w:cs="Arial"/>
        </w:rPr>
      </w:pPr>
    </w:p>
    <w:p w14:paraId="5B5F48D1" w14:textId="1748C09D" w:rsidR="0041405C" w:rsidRDefault="0041405C" w:rsidP="0041405C">
      <w:pPr>
        <w:spacing w:after="0" w:line="360" w:lineRule="auto"/>
        <w:jc w:val="both"/>
        <w:rPr>
          <w:rFonts w:ascii="Palatino Linotype" w:hAnsi="Palatino Linotype" w:cs="Tahoma"/>
        </w:rPr>
      </w:pPr>
      <w:r w:rsidRPr="00274A5F">
        <w:rPr>
          <w:rFonts w:ascii="Palatino Linotype" w:hAnsi="Palatino Linotype" w:cs="Arial"/>
        </w:rPr>
        <w:t>Con base en lo anterior, es posible advertir que existen elementos suficientes para que, en cada recurso de revisión que se analice, se acredite la respectiva prueba de daño, por lo que hace a la reserva de la información</w:t>
      </w:r>
      <w:r w:rsidRPr="00274A5F">
        <w:rPr>
          <w:rFonts w:ascii="Palatino Linotype" w:hAnsi="Palatino Linotype" w:cs="Tahoma"/>
        </w:rPr>
        <w:t xml:space="preserve">, pues ello abona a lo resuelto por el Instituto Nacional de Transparencia, Acceso a la Información Pública y Protección de Datos Personales, en los Recursos de Inconformidad con número </w:t>
      </w:r>
      <w:r w:rsidRPr="00274A5F">
        <w:rPr>
          <w:rFonts w:ascii="Palatino Linotype" w:hAnsi="Palatino Linotype" w:cs="Tahoma"/>
          <w:b/>
          <w:bCs/>
        </w:rPr>
        <w:t xml:space="preserve">RIA 0118/18, RIA 0124/19 </w:t>
      </w:r>
      <w:r w:rsidRPr="00274A5F">
        <w:rPr>
          <w:rFonts w:ascii="Palatino Linotype" w:hAnsi="Palatino Linotype" w:cs="Tahoma"/>
          <w:b/>
        </w:rPr>
        <w:t>y</w:t>
      </w:r>
      <w:r w:rsidRPr="00274A5F">
        <w:rPr>
          <w:rFonts w:ascii="Palatino Linotype" w:hAnsi="Palatino Linotype" w:cs="Tahoma"/>
          <w:b/>
          <w:bCs/>
        </w:rPr>
        <w:t xml:space="preserve"> RIA 0118/19</w:t>
      </w:r>
      <w:r w:rsidRPr="00274A5F">
        <w:rPr>
          <w:rFonts w:ascii="Palatino Linotype" w:hAnsi="Palatino Linotype" w:cs="Tahoma"/>
          <w:b/>
        </w:rPr>
        <w:t xml:space="preserve">, </w:t>
      </w:r>
      <w:r w:rsidRPr="00274A5F">
        <w:rPr>
          <w:rFonts w:ascii="Palatino Linotype" w:hAnsi="Palatino Linotype" w:cs="Tahoma"/>
        </w:rPr>
        <w:t>en donde se precisó que este Organismo Garante no debe ceñirse únicamente a verificar cuestiones de forma, sino también argumentar por qué la información solicitada se adecua o no a la o las hipótesis señaladas.</w:t>
      </w:r>
    </w:p>
    <w:p w14:paraId="6BD69C3F" w14:textId="014A72DC" w:rsidR="00CA6576" w:rsidRPr="00274A5F" w:rsidRDefault="00CA6576" w:rsidP="00CA6576">
      <w:pPr>
        <w:spacing w:after="0" w:line="360" w:lineRule="auto"/>
        <w:jc w:val="both"/>
        <w:rPr>
          <w:rFonts w:ascii="Palatino Linotype" w:hAnsi="Palatino Linotype" w:cs="Tahoma"/>
        </w:rPr>
      </w:pPr>
      <w:r w:rsidRPr="00274A5F">
        <w:rPr>
          <w:rFonts w:ascii="Palatino Linotype" w:hAnsi="Palatino Linotype" w:cs="Tahoma"/>
        </w:rPr>
        <w:lastRenderedPageBreak/>
        <w:t>También, el Juicio de Amparo Indirecto 1232/2017 resuelto por el Juzgado Cuarto de Distrito en Materia Administrativa en la Ciudad de México, cuya síntesis se expone en el libro Casos Paradigmáticos (Esquivel,</w:t>
      </w:r>
      <w:r w:rsidR="0048251D">
        <w:rPr>
          <w:rFonts w:ascii="Palatino Linotype" w:hAnsi="Palatino Linotype" w:cs="Tahoma"/>
        </w:rPr>
        <w:t xml:space="preserve"> </w:t>
      </w:r>
      <w:r w:rsidRPr="00274A5F">
        <w:rPr>
          <w:rFonts w:ascii="Palatino Linotype" w:hAnsi="Palatino Linotype" w:cs="Tahoma"/>
        </w:rPr>
        <w:t xml:space="preserve">Yasmin, </w:t>
      </w:r>
      <w:r w:rsidRPr="00274A5F">
        <w:rPr>
          <w:rFonts w:ascii="Palatino Linotype" w:hAnsi="Palatino Linotype" w:cs="Tahoma"/>
          <w:i/>
          <w:iCs/>
        </w:rPr>
        <w:t>et al</w:t>
      </w:r>
      <w:r w:rsidRPr="00274A5F">
        <w:rPr>
          <w:rFonts w:ascii="Palatino Linotype" w:hAnsi="Palatino Linotype" w:cs="Tahoma"/>
        </w:rPr>
        <w:t xml:space="preserve">. P. (2021), Casos Paradigmáticos del Poder Judicial de la Federación en materia de acceso a la información y protección de datos personales, INAI, pp. 45 a 61 ), en donde </w:t>
      </w:r>
      <w:r w:rsidRPr="00274A5F">
        <w:rPr>
          <w:rFonts w:ascii="Palatino Linotype" w:hAnsi="Palatino Linotype" w:cs="Tahoma"/>
          <w:i/>
          <w:iCs/>
        </w:rPr>
        <w:t>grosso modo</w:t>
      </w:r>
      <w:r w:rsidRPr="00274A5F">
        <w:rPr>
          <w:rFonts w:ascii="Palatino Linotype"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23350F28" w14:textId="77777777" w:rsidR="00CA6576" w:rsidRPr="00274A5F" w:rsidRDefault="00CA6576" w:rsidP="00CA6576">
      <w:pPr>
        <w:spacing w:after="0" w:line="360" w:lineRule="auto"/>
        <w:jc w:val="both"/>
        <w:rPr>
          <w:rFonts w:ascii="Palatino Linotype" w:hAnsi="Palatino Linotype" w:cs="Tahoma"/>
        </w:rPr>
      </w:pPr>
    </w:p>
    <w:p w14:paraId="45932528"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39054F24" w14:textId="77777777" w:rsidR="00CA6576" w:rsidRPr="00274A5F" w:rsidRDefault="00CA6576" w:rsidP="00CA6576">
      <w:pPr>
        <w:spacing w:after="0" w:line="360" w:lineRule="auto"/>
        <w:jc w:val="both"/>
        <w:rPr>
          <w:rFonts w:ascii="Palatino Linotype" w:hAnsi="Palatino Linotype" w:cs="Tahoma"/>
        </w:rPr>
      </w:pPr>
    </w:p>
    <w:p w14:paraId="1BB9E93A"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xml:space="preserve">(…) en la sentencia se sostuvo que el </w:t>
      </w:r>
      <w:r w:rsidRPr="00274A5F">
        <w:rPr>
          <w:rFonts w:ascii="Palatino Linotype" w:hAnsi="Palatino Linotype" w:cs="Tahoma"/>
          <w:b/>
          <w:bCs/>
          <w:u w:val="single"/>
        </w:rPr>
        <w:t>INAI no había justificado debidamente la ponderación entre los intereses en conflicto al correr la prueba de daño</w:t>
      </w:r>
      <w:r w:rsidRPr="00274A5F">
        <w:rPr>
          <w:rFonts w:ascii="Palatino Linotype"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4635250B" w14:textId="77777777" w:rsidR="00CA6576" w:rsidRPr="00274A5F" w:rsidRDefault="00CA6576" w:rsidP="00CA6576">
      <w:pPr>
        <w:spacing w:after="0" w:line="360" w:lineRule="auto"/>
        <w:jc w:val="both"/>
        <w:rPr>
          <w:rFonts w:ascii="Palatino Linotype" w:hAnsi="Palatino Linotype" w:cs="Tahoma"/>
        </w:rPr>
      </w:pPr>
    </w:p>
    <w:p w14:paraId="7FDB0211"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xml:space="preserve">(…)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w:t>
      </w:r>
      <w:r w:rsidRPr="00274A5F">
        <w:rPr>
          <w:rFonts w:ascii="Palatino Linotype" w:hAnsi="Palatino Linotype" w:cs="Tahoma"/>
        </w:rPr>
        <w:lastRenderedPageBreak/>
        <w:t>de clasificación y desclasificación de la información, así como para la elaboración de versiones públicas.</w:t>
      </w:r>
    </w:p>
    <w:p w14:paraId="0FEB35AC" w14:textId="77777777" w:rsidR="00CA6576" w:rsidRPr="00274A5F" w:rsidRDefault="00CA6576" w:rsidP="00CA6576">
      <w:pPr>
        <w:spacing w:after="0" w:line="360" w:lineRule="auto"/>
        <w:jc w:val="both"/>
        <w:rPr>
          <w:rFonts w:ascii="Palatino Linotype" w:hAnsi="Palatino Linotype" w:cs="Tahoma"/>
        </w:rPr>
      </w:pPr>
    </w:p>
    <w:p w14:paraId="608D2E6A" w14:textId="08DDA430" w:rsidR="00CA6576" w:rsidRDefault="00CA6576" w:rsidP="00CA6576">
      <w:pPr>
        <w:spacing w:after="0" w:line="360" w:lineRule="auto"/>
        <w:jc w:val="both"/>
        <w:rPr>
          <w:rFonts w:ascii="Palatino Linotype" w:hAnsi="Palatino Linotype" w:cs="Tahoma"/>
        </w:rPr>
      </w:pPr>
      <w:r w:rsidRPr="00274A5F">
        <w:rPr>
          <w:rFonts w:ascii="Palatino Linotype" w:hAnsi="Palatino Linotype" w:cs="Tahoma"/>
        </w:rPr>
        <w:t>Aún más, al resolverse la impugnación que interpuso el INAI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70C3816A" w14:textId="77777777" w:rsidR="00B502EB" w:rsidRPr="00274A5F" w:rsidRDefault="00B502EB" w:rsidP="00CA6576">
      <w:pPr>
        <w:spacing w:after="0" w:line="360" w:lineRule="auto"/>
        <w:jc w:val="both"/>
        <w:rPr>
          <w:rFonts w:ascii="Palatino Linotype" w:hAnsi="Palatino Linotype" w:cs="Tahoma"/>
        </w:rPr>
      </w:pPr>
    </w:p>
    <w:p w14:paraId="233A8648" w14:textId="77777777" w:rsidR="00CA6576" w:rsidRPr="00274A5F" w:rsidRDefault="00CA6576" w:rsidP="00CA6576">
      <w:pPr>
        <w:numPr>
          <w:ilvl w:val="0"/>
          <w:numId w:val="2"/>
        </w:numPr>
        <w:spacing w:line="360" w:lineRule="auto"/>
        <w:contextualSpacing/>
        <w:jc w:val="both"/>
        <w:rPr>
          <w:rFonts w:ascii="Palatino Linotype" w:hAnsi="Palatino Linotype" w:cs="Tahoma"/>
        </w:rPr>
      </w:pPr>
      <w:r w:rsidRPr="00274A5F">
        <w:rPr>
          <w:rFonts w:ascii="Palatino Linotype"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173E2F9B" w14:textId="77777777" w:rsidR="00CA6576" w:rsidRPr="00274A5F" w:rsidRDefault="00CA6576" w:rsidP="00CA6576">
      <w:pPr>
        <w:spacing w:after="0" w:line="360" w:lineRule="auto"/>
        <w:jc w:val="both"/>
        <w:rPr>
          <w:rFonts w:ascii="Palatino Linotype" w:hAnsi="Palatino Linotype" w:cs="Tahoma"/>
        </w:rPr>
      </w:pPr>
    </w:p>
    <w:p w14:paraId="47B510AB" w14:textId="77777777" w:rsidR="00CA6576" w:rsidRPr="00274A5F" w:rsidRDefault="00CA6576" w:rsidP="00CA6576">
      <w:pPr>
        <w:numPr>
          <w:ilvl w:val="0"/>
          <w:numId w:val="2"/>
        </w:numPr>
        <w:spacing w:line="360" w:lineRule="auto"/>
        <w:contextualSpacing/>
        <w:jc w:val="both"/>
        <w:rPr>
          <w:rFonts w:ascii="Palatino Linotype" w:hAnsi="Palatino Linotype" w:cs="Tahoma"/>
          <w:b/>
          <w:bCs/>
          <w:u w:val="single"/>
        </w:rPr>
      </w:pPr>
      <w:r w:rsidRPr="00274A5F">
        <w:rPr>
          <w:rFonts w:ascii="Palatino Linotype"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quedará satisfecha en sede administrativa, sin verse en la necesidad de acudir a otras instancias, de tal suerte que se dilate el tiempo en el que verá satisfecho el ejercicio de su derecho.</w:t>
      </w:r>
    </w:p>
    <w:p w14:paraId="084D5547" w14:textId="77777777" w:rsidR="00CA6576" w:rsidRPr="00274A5F" w:rsidRDefault="00CA6576" w:rsidP="00CA6576">
      <w:pPr>
        <w:spacing w:after="0" w:line="360" w:lineRule="auto"/>
        <w:jc w:val="both"/>
        <w:rPr>
          <w:rFonts w:ascii="Palatino Linotype" w:hAnsi="Palatino Linotype" w:cs="Tahoma"/>
        </w:rPr>
      </w:pPr>
    </w:p>
    <w:p w14:paraId="19CD4083" w14:textId="77777777" w:rsidR="00CA6576" w:rsidRPr="00274A5F" w:rsidRDefault="00CA6576" w:rsidP="00CA6576">
      <w:pPr>
        <w:spacing w:after="0" w:line="360" w:lineRule="auto"/>
        <w:jc w:val="both"/>
        <w:rPr>
          <w:rFonts w:ascii="Palatino Linotype" w:hAnsi="Palatino Linotype" w:cs="Tahoma"/>
        </w:rPr>
      </w:pPr>
      <w:r w:rsidRPr="00274A5F">
        <w:rPr>
          <w:rFonts w:ascii="Palatino Linotype" w:hAnsi="Palatino Linotype" w:cs="Tahoma"/>
        </w:rPr>
        <w:t xml:space="preserve">De acuerdo con lo ya señalado por la Corte, si bien, no existe disposición que de manera textual determine que los Organismos Garantes tienen atribuciones para hacer la prueba de </w:t>
      </w:r>
      <w:r w:rsidRPr="00274A5F">
        <w:rPr>
          <w:rFonts w:ascii="Palatino Linotype" w:hAnsi="Palatino Linotype" w:cs="Tahoma"/>
        </w:rPr>
        <w:lastRenderedPageBreak/>
        <w:t>daño, no es posible que ninguna instancia involucrada en garantizar el derecho humano de acceso a la información, reserve información sin analizar la prueba de daño.</w:t>
      </w:r>
    </w:p>
    <w:p w14:paraId="7230B282" w14:textId="77777777" w:rsidR="00CA6576" w:rsidRPr="00274A5F" w:rsidRDefault="00CA6576" w:rsidP="00CA6576">
      <w:pPr>
        <w:spacing w:after="0" w:line="360" w:lineRule="auto"/>
        <w:jc w:val="both"/>
        <w:rPr>
          <w:rFonts w:ascii="Palatino Linotype" w:eastAsia="Palatino Linotype" w:hAnsi="Palatino Linotype" w:cs="Palatino Linotype"/>
        </w:rPr>
      </w:pPr>
    </w:p>
    <w:p w14:paraId="513D2C06" w14:textId="77777777" w:rsidR="00CA6576" w:rsidRPr="00274A5F" w:rsidRDefault="00CA6576" w:rsidP="00CA6576">
      <w:pPr>
        <w:spacing w:after="0" w:line="360" w:lineRule="auto"/>
        <w:jc w:val="both"/>
        <w:rPr>
          <w:rFonts w:ascii="Palatino Linotype" w:eastAsia="Palatino Linotype" w:hAnsi="Palatino Linotype" w:cs="Palatino Linotype"/>
        </w:rPr>
      </w:pPr>
      <w:r w:rsidRPr="00274A5F">
        <w:rPr>
          <w:rFonts w:ascii="Palatino Linotype" w:eastAsia="Palatino Linotype" w:hAnsi="Palatino Linotype" w:cs="Palatino Linotype"/>
        </w:rPr>
        <w:t>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En otras palabras, la determinación que determina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6D87978B" w14:textId="77777777" w:rsidR="00CA6576" w:rsidRPr="00274A5F" w:rsidRDefault="00CA6576" w:rsidP="0041405C">
      <w:pPr>
        <w:spacing w:after="0" w:line="360" w:lineRule="auto"/>
        <w:jc w:val="both"/>
        <w:rPr>
          <w:rFonts w:ascii="Palatino Linotype" w:hAnsi="Palatino Linotype" w:cs="Tahoma"/>
        </w:rPr>
      </w:pPr>
    </w:p>
    <w:p w14:paraId="71795170" w14:textId="304EBDD4" w:rsidR="0041405C" w:rsidRPr="00475548" w:rsidRDefault="00274A5F" w:rsidP="0041405C">
      <w:pPr>
        <w:spacing w:after="0" w:line="360" w:lineRule="auto"/>
        <w:jc w:val="both"/>
        <w:rPr>
          <w:rFonts w:ascii="Palatino Linotype" w:eastAsia="Palatino Linotype" w:hAnsi="Palatino Linotype" w:cs="Palatino Linotype"/>
        </w:rPr>
      </w:pPr>
      <w:r w:rsidRPr="00274A5F">
        <w:rPr>
          <w:rFonts w:ascii="Palatino Linotype" w:eastAsia="Palatino Linotype" w:hAnsi="Palatino Linotype" w:cs="Palatino Linotype"/>
        </w:rPr>
        <w:t xml:space="preserve">Bajo esa lógica, estimo que en el presente caso, si bien la naturaleza de la información solicitada en efecto es la de reservada </w:t>
      </w:r>
      <w:r w:rsidR="00846892">
        <w:rPr>
          <w:rFonts w:ascii="Palatino Linotype" w:eastAsia="Palatino Linotype" w:hAnsi="Palatino Linotype" w:cs="Palatino Linotype"/>
        </w:rPr>
        <w:t>en términos de</w:t>
      </w:r>
      <w:r w:rsidRPr="00274A5F">
        <w:rPr>
          <w:rFonts w:ascii="Palatino Linotype" w:eastAsia="Palatino Linotype" w:hAnsi="Palatino Linotype" w:cs="Palatino Linotype"/>
        </w:rPr>
        <w:t xml:space="preserve"> la Ley de Transparencia y Acceso a la Información Pública del Estado de México y Municipios, </w:t>
      </w:r>
      <w:r w:rsidR="00846892">
        <w:rPr>
          <w:rFonts w:ascii="Palatino Linotype" w:eastAsia="Palatino Linotype" w:hAnsi="Palatino Linotype" w:cs="Palatino Linotype"/>
        </w:rPr>
        <w:t xml:space="preserve">sin embargo, </w:t>
      </w:r>
      <w:r w:rsidRPr="00274A5F">
        <w:rPr>
          <w:rFonts w:ascii="Palatino Linotype" w:eastAsia="Palatino Linotype" w:hAnsi="Palatino Linotype" w:cs="Palatino Linotype"/>
        </w:rPr>
        <w:t>para convalidar o revocar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w:t>
      </w:r>
      <w:r w:rsidR="00475548">
        <w:rPr>
          <w:rFonts w:ascii="Palatino Linotype" w:eastAsia="Palatino Linotype" w:hAnsi="Palatino Linotype" w:cs="Palatino Linotype"/>
        </w:rPr>
        <w:t>; por lo tanto,</w:t>
      </w:r>
      <w:r w:rsidR="0041405C" w:rsidRPr="00274A5F">
        <w:rPr>
          <w:rFonts w:ascii="Palatino Linotype" w:hAnsi="Palatino Linotype" w:cs="Tahoma"/>
        </w:rPr>
        <w:t xml:space="preserve"> se debe valorar el daño que causaría la divulgación de la información, con la finalidad de sustentar la reserva de la información y arribar a una determinación debidamente fundada y motivada que tenga como consecuencia la clasificación o no de la </w:t>
      </w:r>
      <w:r w:rsidR="00B826A6">
        <w:rPr>
          <w:rFonts w:ascii="Palatino Linotype" w:hAnsi="Palatino Linotype" w:cs="Tahoma"/>
        </w:rPr>
        <w:t>misma</w:t>
      </w:r>
      <w:r w:rsidR="0041405C" w:rsidRPr="00274A5F">
        <w:rPr>
          <w:rFonts w:ascii="Palatino Linotype" w:hAnsi="Palatino Linotype" w:cs="Tahoma"/>
        </w:rPr>
        <w:t xml:space="preserve">. </w:t>
      </w:r>
    </w:p>
    <w:p w14:paraId="56363BE2" w14:textId="77777777" w:rsidR="0041405C" w:rsidRPr="00274A5F" w:rsidRDefault="0041405C" w:rsidP="0041405C">
      <w:pPr>
        <w:spacing w:after="0" w:line="360" w:lineRule="auto"/>
        <w:jc w:val="both"/>
        <w:rPr>
          <w:rFonts w:ascii="Palatino Linotype" w:hAnsi="Palatino Linotype" w:cs="Tahoma"/>
        </w:rPr>
      </w:pPr>
    </w:p>
    <w:p w14:paraId="2B4E2804" w14:textId="0771FADB" w:rsidR="0041405C"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En otras palabras, la determinación que </w:t>
      </w:r>
      <w:r w:rsidR="00DF0541">
        <w:rPr>
          <w:rFonts w:ascii="Palatino Linotype" w:hAnsi="Palatino Linotype" w:cs="Tahoma"/>
        </w:rPr>
        <w:t>propone</w:t>
      </w:r>
      <w:r w:rsidRPr="00274A5F">
        <w:rPr>
          <w:rFonts w:ascii="Palatino Linotype" w:hAnsi="Palatino Linotype" w:cs="Tahoma"/>
        </w:rPr>
        <w:t xml:space="preserve"> la existencia de información clasificada o bien que revoca dicho argumento, debe contener un análisis exhaustivo de los elementos de </w:t>
      </w:r>
      <w:r w:rsidRPr="00274A5F">
        <w:rPr>
          <w:rFonts w:ascii="Palatino Linotype" w:hAnsi="Palatino Linotype" w:cs="Tahoma"/>
        </w:rPr>
        <w:lastRenderedPageBreak/>
        <w:t>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46E1BBA5" w14:textId="77777777" w:rsidR="00B826A6" w:rsidRPr="00274A5F" w:rsidRDefault="00B826A6" w:rsidP="0041405C">
      <w:pPr>
        <w:spacing w:after="0" w:line="360" w:lineRule="auto"/>
        <w:jc w:val="both"/>
        <w:rPr>
          <w:rFonts w:ascii="Palatino Linotype" w:hAnsi="Palatino Linotype" w:cs="Tahoma"/>
        </w:rPr>
      </w:pPr>
    </w:p>
    <w:p w14:paraId="7061E350"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765A674D" w14:textId="77777777" w:rsidR="0041405C" w:rsidRPr="00274A5F" w:rsidRDefault="0041405C" w:rsidP="0041405C">
      <w:pPr>
        <w:spacing w:after="0" w:line="360" w:lineRule="auto"/>
        <w:jc w:val="both"/>
        <w:rPr>
          <w:rFonts w:ascii="Palatino Linotype" w:hAnsi="Palatino Linotype" w:cs="Tahoma"/>
        </w:rPr>
      </w:pPr>
    </w:p>
    <w:p w14:paraId="0539DCE7"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17DC3B00" w14:textId="77777777" w:rsidR="0041405C" w:rsidRPr="00274A5F" w:rsidRDefault="0041405C" w:rsidP="0041405C">
      <w:pPr>
        <w:spacing w:after="0" w:line="360" w:lineRule="auto"/>
        <w:jc w:val="both"/>
        <w:rPr>
          <w:rFonts w:ascii="Palatino Linotype" w:hAnsi="Palatino Linotype" w:cs="Tahoma"/>
        </w:rPr>
      </w:pPr>
    </w:p>
    <w:p w14:paraId="4A265029" w14:textId="45ECEBAE" w:rsidR="0041405C" w:rsidRDefault="0041405C" w:rsidP="0041405C">
      <w:pPr>
        <w:spacing w:after="0" w:line="360" w:lineRule="auto"/>
        <w:jc w:val="both"/>
        <w:rPr>
          <w:rFonts w:ascii="Palatino Linotype" w:hAnsi="Palatino Linotype" w:cs="Tahoma"/>
        </w:rPr>
      </w:pPr>
      <w:r w:rsidRPr="00274A5F">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r w:rsidR="005B5A67">
        <w:rPr>
          <w:rFonts w:ascii="Palatino Linotype" w:hAnsi="Palatino Linotype" w:cs="Tahoma"/>
        </w:rPr>
        <w:t xml:space="preserve"> </w:t>
      </w:r>
      <w:r w:rsidRPr="00274A5F">
        <w:rPr>
          <w:rFonts w:ascii="Palatino Linotype" w:hAnsi="Palatino Linotype" w:cs="Tahoma"/>
        </w:rPr>
        <w:t>Así, con base en los razonamientos expuestos, se emite el Presente Voto Particular.</w:t>
      </w:r>
      <w:r w:rsidRPr="00274A5F">
        <w:rPr>
          <w:rFonts w:ascii="Palatino Linotype" w:eastAsia="Calibri" w:hAnsi="Palatino Linotype" w:cs="Times New Roman"/>
          <w:lang w:val="es-MX"/>
        </w:rPr>
        <w:t xml:space="preserve"> </w:t>
      </w:r>
      <w:r w:rsidRPr="00274A5F">
        <w:rPr>
          <w:rFonts w:ascii="Palatino Linotype" w:hAnsi="Palatino Linotype" w:cs="Tahoma"/>
          <w:lang w:val="es-MX"/>
        </w:rPr>
        <w:t>-------------------------------------------------------------------------------------------------------</w:t>
      </w:r>
      <w:r w:rsidR="00000C46">
        <w:rPr>
          <w:rFonts w:ascii="Palatino Linotype" w:hAnsi="Palatino Linotype" w:cs="Tahoma"/>
          <w:lang w:val="es-MX"/>
        </w:rPr>
        <w:t>--------------------------</w:t>
      </w:r>
      <w:r w:rsidR="00B502EB">
        <w:rPr>
          <w:rFonts w:ascii="Palatino Linotype" w:hAnsi="Palatino Linotype" w:cs="Tahoma"/>
          <w:lang w:val="es-MX"/>
        </w:rPr>
        <w:t>-</w:t>
      </w:r>
      <w:r w:rsidR="005B5A67">
        <w:rPr>
          <w:rFonts w:ascii="Palatino Linotype" w:hAnsi="Palatino Linotype" w:cs="Tahoma"/>
          <w:lang w:val="es-MX"/>
        </w:rPr>
        <w:t>---------------------------</w:t>
      </w:r>
    </w:p>
    <w:p w14:paraId="727B0464" w14:textId="77777777" w:rsidR="0041405C" w:rsidRDefault="0041405C" w:rsidP="0041405C">
      <w:pPr>
        <w:spacing w:after="0" w:line="360" w:lineRule="auto"/>
        <w:jc w:val="both"/>
        <w:rPr>
          <w:rFonts w:ascii="Palatino Linotype" w:hAnsi="Palatino Linotype" w:cs="Tahoma"/>
        </w:rPr>
      </w:pPr>
    </w:p>
    <w:p w14:paraId="7464625E" w14:textId="77777777" w:rsidR="0041405C" w:rsidRDefault="0041405C" w:rsidP="0041405C">
      <w:pPr>
        <w:spacing w:after="0" w:line="360" w:lineRule="auto"/>
        <w:jc w:val="both"/>
        <w:rPr>
          <w:rFonts w:ascii="Palatino Linotype" w:hAnsi="Palatino Linotype" w:cs="Tahoma"/>
        </w:rPr>
      </w:pPr>
    </w:p>
    <w:p w14:paraId="4A1E9BAC" w14:textId="77777777" w:rsidR="0041405C" w:rsidRDefault="0041405C" w:rsidP="0041405C">
      <w:pPr>
        <w:spacing w:after="0" w:line="360" w:lineRule="auto"/>
        <w:jc w:val="both"/>
        <w:rPr>
          <w:rFonts w:ascii="Palatino Linotype" w:hAnsi="Palatino Linotype" w:cs="Tahoma"/>
        </w:rPr>
      </w:pPr>
    </w:p>
    <w:p w14:paraId="1346E224" w14:textId="77777777" w:rsidR="0041405C" w:rsidRDefault="0041405C" w:rsidP="0041405C">
      <w:pPr>
        <w:spacing w:after="0" w:line="360" w:lineRule="auto"/>
        <w:jc w:val="both"/>
        <w:rPr>
          <w:rFonts w:ascii="Palatino Linotype" w:hAnsi="Palatino Linotype" w:cs="Tahoma"/>
        </w:rPr>
      </w:pPr>
    </w:p>
    <w:p w14:paraId="61AF03EC" w14:textId="77777777" w:rsidR="00CE7148" w:rsidRDefault="00CE7148">
      <w:bookmarkStart w:id="0" w:name="_GoBack"/>
      <w:bookmarkEnd w:id="0"/>
    </w:p>
    <w:sectPr w:rsidR="00CE7148" w:rsidSect="0062117E">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B24A7" w14:textId="77777777" w:rsidR="006F7915" w:rsidRDefault="006F7915" w:rsidP="0041405C">
      <w:pPr>
        <w:spacing w:after="0" w:line="240" w:lineRule="auto"/>
      </w:pPr>
      <w:r>
        <w:separator/>
      </w:r>
    </w:p>
  </w:endnote>
  <w:endnote w:type="continuationSeparator" w:id="0">
    <w:p w14:paraId="18AED6FB" w14:textId="77777777" w:rsidR="006F7915" w:rsidRDefault="006F7915" w:rsidP="0041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2061A9D7" w14:textId="77777777" w:rsidR="00DF0541" w:rsidRDefault="002566C8">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6443B4">
              <w:rPr>
                <w:b/>
                <w:bCs/>
                <w:noProof/>
              </w:rPr>
              <w:t>8</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443B4">
              <w:rPr>
                <w:b/>
                <w:bCs/>
                <w:noProof/>
              </w:rPr>
              <w:t>8</w:t>
            </w:r>
            <w:r>
              <w:rPr>
                <w:b/>
                <w:bCs/>
                <w:sz w:val="24"/>
                <w:szCs w:val="24"/>
              </w:rPr>
              <w:fldChar w:fldCharType="end"/>
            </w:r>
          </w:p>
        </w:sdtContent>
      </w:sdt>
    </w:sdtContent>
  </w:sdt>
  <w:p w14:paraId="5DBD6CE7" w14:textId="77777777" w:rsidR="00DF0541" w:rsidRDefault="00DF05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91BA6" w14:textId="77777777" w:rsidR="006F7915" w:rsidRDefault="006F7915" w:rsidP="0041405C">
      <w:pPr>
        <w:spacing w:after="0" w:line="240" w:lineRule="auto"/>
      </w:pPr>
      <w:r>
        <w:separator/>
      </w:r>
    </w:p>
  </w:footnote>
  <w:footnote w:type="continuationSeparator" w:id="0">
    <w:p w14:paraId="04AEDEF1" w14:textId="77777777" w:rsidR="006F7915" w:rsidRDefault="006F7915" w:rsidP="00414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529"/>
    </w:tblGrid>
    <w:tr w:rsidR="00363357" w:rsidRPr="001106EA" w14:paraId="0A1AEA9B" w14:textId="77777777" w:rsidTr="00A32CBC">
      <w:trPr>
        <w:trHeight w:val="2127"/>
      </w:trPr>
      <w:tc>
        <w:tcPr>
          <w:tcW w:w="3402" w:type="dxa"/>
          <w:vAlign w:val="bottom"/>
        </w:tcPr>
        <w:p w14:paraId="240D946E" w14:textId="77777777" w:rsidR="00DF0541" w:rsidRDefault="002566C8"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67968" behindDoc="0" locked="0" layoutInCell="1" allowOverlap="1" wp14:anchorId="101A2D89" wp14:editId="5751A328">
                <wp:simplePos x="0" y="0"/>
                <wp:positionH relativeFrom="column">
                  <wp:posOffset>-139065</wp:posOffset>
                </wp:positionH>
                <wp:positionV relativeFrom="paragraph">
                  <wp:posOffset>-939800</wp:posOffset>
                </wp:positionV>
                <wp:extent cx="1873250" cy="11144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14425"/>
                        </a:xfrm>
                        <a:prstGeom prst="rect">
                          <a:avLst/>
                        </a:prstGeom>
                      </pic:spPr>
                    </pic:pic>
                  </a:graphicData>
                </a:graphic>
                <wp14:sizeRelH relativeFrom="margin">
                  <wp14:pctWidth>0</wp14:pctWidth>
                </wp14:sizeRelH>
                <wp14:sizeRelV relativeFrom="margin">
                  <wp14:pctHeight>0</wp14:pctHeight>
                </wp14:sizeRelV>
              </wp:anchor>
            </w:drawing>
          </w:r>
        </w:p>
        <w:p w14:paraId="38040139" w14:textId="77777777" w:rsidR="00DF0541" w:rsidRDefault="00DF0541" w:rsidP="0077694E">
          <w:pPr>
            <w:pStyle w:val="Encabezado"/>
            <w:tabs>
              <w:tab w:val="clear" w:pos="4252"/>
              <w:tab w:val="center" w:pos="2614"/>
            </w:tabs>
          </w:pPr>
        </w:p>
      </w:tc>
      <w:tc>
        <w:tcPr>
          <w:tcW w:w="5529" w:type="dxa"/>
          <w:vAlign w:val="center"/>
        </w:tcPr>
        <w:p w14:paraId="0CAFC991" w14:textId="77777777" w:rsidR="00DF0541" w:rsidRPr="0041405C" w:rsidRDefault="002566C8" w:rsidP="004101F6">
          <w:pPr>
            <w:pStyle w:val="Encabezado"/>
            <w:jc w:val="both"/>
            <w:rPr>
              <w:rFonts w:ascii="Palatino Linotype" w:hAnsi="Palatino Linotype" w:cs="Tahoma"/>
              <w:b/>
            </w:rPr>
          </w:pPr>
          <w:r w:rsidRPr="0041405C">
            <w:rPr>
              <w:rFonts w:ascii="Palatino Linotype" w:hAnsi="Palatino Linotype" w:cs="Tahoma"/>
              <w:b/>
            </w:rPr>
            <w:t>Voto Particular</w:t>
          </w:r>
        </w:p>
        <w:p w14:paraId="4ED47BB1" w14:textId="74C8A982" w:rsidR="00DF0541" w:rsidRPr="0041405C" w:rsidRDefault="002566C8" w:rsidP="008F16D1">
          <w:pPr>
            <w:pStyle w:val="Encabezado"/>
            <w:jc w:val="both"/>
            <w:rPr>
              <w:rFonts w:ascii="Palatino Linotype" w:eastAsia="Palatino Linotype" w:hAnsi="Palatino Linotype" w:cs="Palatino Linotype"/>
              <w:b/>
            </w:rPr>
          </w:pPr>
          <w:r w:rsidRPr="0041405C">
            <w:rPr>
              <w:rFonts w:ascii="Palatino Linotype" w:hAnsi="Palatino Linotype" w:cs="Tahoma"/>
              <w:b/>
            </w:rPr>
            <w:t xml:space="preserve">Recurso de Revisión: </w:t>
          </w:r>
          <w:r w:rsidR="00D61E4B">
            <w:rPr>
              <w:rFonts w:ascii="Palatino Linotype" w:eastAsia="Palatino Linotype" w:hAnsi="Palatino Linotype" w:cs="Palatino Linotype"/>
              <w:b/>
            </w:rPr>
            <w:t>00931</w:t>
          </w:r>
          <w:r w:rsidRPr="0041405C">
            <w:rPr>
              <w:rFonts w:ascii="Palatino Linotype" w:eastAsia="Palatino Linotype" w:hAnsi="Palatino Linotype" w:cs="Palatino Linotype"/>
              <w:b/>
            </w:rPr>
            <w:t>/INFOEM/IP/RR/</w:t>
          </w:r>
          <w:r w:rsidR="00B502EB">
            <w:rPr>
              <w:rFonts w:ascii="Palatino Linotype" w:eastAsia="Palatino Linotype" w:hAnsi="Palatino Linotype" w:cs="Palatino Linotype"/>
              <w:b/>
            </w:rPr>
            <w:t>202</w:t>
          </w:r>
          <w:r w:rsidR="00475548">
            <w:rPr>
              <w:rFonts w:ascii="Palatino Linotype" w:eastAsia="Palatino Linotype" w:hAnsi="Palatino Linotype" w:cs="Palatino Linotype"/>
              <w:b/>
            </w:rPr>
            <w:t>3</w:t>
          </w:r>
        </w:p>
        <w:p w14:paraId="489A2219" w14:textId="2B7E96A8" w:rsidR="00DF0541" w:rsidRPr="0041405C" w:rsidRDefault="002566C8" w:rsidP="008F16D1">
          <w:pPr>
            <w:pStyle w:val="Encabezado"/>
            <w:jc w:val="both"/>
            <w:rPr>
              <w:rFonts w:ascii="Palatino Linotype" w:hAnsi="Palatino Linotype" w:cs="Tahoma"/>
              <w:b/>
            </w:rPr>
          </w:pPr>
          <w:r w:rsidRPr="0041405C">
            <w:rPr>
              <w:rFonts w:ascii="Palatino Linotype" w:hAnsi="Palatino Linotype" w:cs="Tahoma"/>
              <w:b/>
            </w:rPr>
            <w:t xml:space="preserve">Sujeto Obligado: </w:t>
          </w:r>
          <w:r w:rsidR="00B502EB">
            <w:rPr>
              <w:rFonts w:ascii="Palatino Linotype" w:eastAsia="Palatino Linotype" w:hAnsi="Palatino Linotype" w:cs="Palatino Linotype"/>
              <w:b/>
              <w:bCs/>
              <w:lang w:val="es-MX"/>
            </w:rPr>
            <w:t xml:space="preserve">Ayuntamiento de </w:t>
          </w:r>
          <w:r w:rsidR="00D61E4B">
            <w:rPr>
              <w:rFonts w:ascii="Palatino Linotype" w:eastAsia="Palatino Linotype" w:hAnsi="Palatino Linotype" w:cs="Palatino Linotype"/>
              <w:b/>
              <w:bCs/>
              <w:lang w:val="es-MX"/>
            </w:rPr>
            <w:t>Nezahualcóyotl</w:t>
          </w:r>
        </w:p>
        <w:p w14:paraId="5C1AE907" w14:textId="161582FD" w:rsidR="00DF0541" w:rsidRPr="0041405C" w:rsidRDefault="002566C8" w:rsidP="00F75AEE">
          <w:pPr>
            <w:pStyle w:val="Encabezado"/>
            <w:jc w:val="both"/>
            <w:rPr>
              <w:rFonts w:ascii="Palatino Linotype" w:hAnsi="Palatino Linotype" w:cs="Tahoma"/>
              <w:b/>
            </w:rPr>
          </w:pPr>
          <w:r w:rsidRPr="0041405C">
            <w:rPr>
              <w:rFonts w:ascii="Palatino Linotype" w:hAnsi="Palatino Linotype" w:cs="Tahoma"/>
              <w:b/>
            </w:rPr>
            <w:t>Comisionad</w:t>
          </w:r>
          <w:r w:rsidR="00475548">
            <w:rPr>
              <w:rFonts w:ascii="Palatino Linotype" w:hAnsi="Palatino Linotype" w:cs="Tahoma"/>
              <w:b/>
            </w:rPr>
            <w:t>o</w:t>
          </w:r>
          <w:r w:rsidRPr="0041405C">
            <w:rPr>
              <w:rFonts w:ascii="Palatino Linotype" w:hAnsi="Palatino Linotype" w:cs="Tahoma"/>
              <w:b/>
            </w:rPr>
            <w:t xml:space="preserve"> Ponente: </w:t>
          </w:r>
          <w:r w:rsidR="00B502EB">
            <w:rPr>
              <w:rFonts w:ascii="Palatino Linotype" w:hAnsi="Palatino Linotype"/>
              <w:b/>
            </w:rPr>
            <w:t>Luis Gustavo Parra Noriega</w:t>
          </w:r>
        </w:p>
        <w:p w14:paraId="0F6AAA7B" w14:textId="77777777" w:rsidR="00DF0541" w:rsidRPr="001106EA" w:rsidRDefault="00DF0541" w:rsidP="00F75AEE">
          <w:pPr>
            <w:pStyle w:val="Encabezado"/>
            <w:jc w:val="both"/>
            <w:rPr>
              <w:rFonts w:ascii="Tahoma" w:hAnsi="Tahoma" w:cs="Tahoma"/>
            </w:rPr>
          </w:pPr>
        </w:p>
      </w:tc>
    </w:tr>
  </w:tbl>
  <w:p w14:paraId="45A6FF72" w14:textId="77777777" w:rsidR="00DF0541" w:rsidRPr="001106EA" w:rsidRDefault="00DF0541">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05C"/>
    <w:rsid w:val="00000C46"/>
    <w:rsid w:val="000036C2"/>
    <w:rsid w:val="0009117E"/>
    <w:rsid w:val="000E1B29"/>
    <w:rsid w:val="000E1F2C"/>
    <w:rsid w:val="00103608"/>
    <w:rsid w:val="0010489F"/>
    <w:rsid w:val="00130695"/>
    <w:rsid w:val="001349E4"/>
    <w:rsid w:val="00173C9B"/>
    <w:rsid w:val="00183559"/>
    <w:rsid w:val="001976C1"/>
    <w:rsid w:val="001E11EF"/>
    <w:rsid w:val="002049B7"/>
    <w:rsid w:val="00210CF4"/>
    <w:rsid w:val="002166E2"/>
    <w:rsid w:val="002225A1"/>
    <w:rsid w:val="00222A61"/>
    <w:rsid w:val="002566C8"/>
    <w:rsid w:val="00264675"/>
    <w:rsid w:val="00274A5F"/>
    <w:rsid w:val="00342FF8"/>
    <w:rsid w:val="00374FF0"/>
    <w:rsid w:val="00386134"/>
    <w:rsid w:val="003B5720"/>
    <w:rsid w:val="004010E9"/>
    <w:rsid w:val="0041405C"/>
    <w:rsid w:val="00420AB0"/>
    <w:rsid w:val="00422C8E"/>
    <w:rsid w:val="00475548"/>
    <w:rsid w:val="00480BAE"/>
    <w:rsid w:val="0048251D"/>
    <w:rsid w:val="00485C09"/>
    <w:rsid w:val="004B0525"/>
    <w:rsid w:val="004F15E3"/>
    <w:rsid w:val="00543100"/>
    <w:rsid w:val="005A354E"/>
    <w:rsid w:val="005A4203"/>
    <w:rsid w:val="005B5A67"/>
    <w:rsid w:val="0062117E"/>
    <w:rsid w:val="00622B12"/>
    <w:rsid w:val="006443B4"/>
    <w:rsid w:val="006B153A"/>
    <w:rsid w:val="006F7915"/>
    <w:rsid w:val="007437ED"/>
    <w:rsid w:val="00747C80"/>
    <w:rsid w:val="00754C37"/>
    <w:rsid w:val="00787DEA"/>
    <w:rsid w:val="00796F11"/>
    <w:rsid w:val="007B4170"/>
    <w:rsid w:val="00806C7A"/>
    <w:rsid w:val="00836A1C"/>
    <w:rsid w:val="00846892"/>
    <w:rsid w:val="0091041F"/>
    <w:rsid w:val="00925C8F"/>
    <w:rsid w:val="00933A0D"/>
    <w:rsid w:val="00985D23"/>
    <w:rsid w:val="00A03556"/>
    <w:rsid w:val="00A10C0E"/>
    <w:rsid w:val="00A22FB6"/>
    <w:rsid w:val="00A273FA"/>
    <w:rsid w:val="00A77409"/>
    <w:rsid w:val="00AC408A"/>
    <w:rsid w:val="00B502EB"/>
    <w:rsid w:val="00B51399"/>
    <w:rsid w:val="00B826A6"/>
    <w:rsid w:val="00B84573"/>
    <w:rsid w:val="00C26D64"/>
    <w:rsid w:val="00C3211A"/>
    <w:rsid w:val="00C5130C"/>
    <w:rsid w:val="00C71E05"/>
    <w:rsid w:val="00CA2E6B"/>
    <w:rsid w:val="00CA6576"/>
    <w:rsid w:val="00CE7148"/>
    <w:rsid w:val="00D5251B"/>
    <w:rsid w:val="00D61E4B"/>
    <w:rsid w:val="00D84E04"/>
    <w:rsid w:val="00DF0541"/>
    <w:rsid w:val="00E3188C"/>
    <w:rsid w:val="00E92CF7"/>
    <w:rsid w:val="00EA5357"/>
    <w:rsid w:val="00EB4AE1"/>
    <w:rsid w:val="00F661A0"/>
    <w:rsid w:val="00F74B7B"/>
    <w:rsid w:val="00F7793C"/>
    <w:rsid w:val="00F82A67"/>
    <w:rsid w:val="00FB227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44F42"/>
  <w15:chartTrackingRefBased/>
  <w15:docId w15:val="{A297D102-2722-42C9-B04B-4B67527E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05C"/>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40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1405C"/>
    <w:rPr>
      <w:kern w:val="0"/>
      <w:lang w:val="es-ES"/>
      <w14:ligatures w14:val="none"/>
    </w:rPr>
  </w:style>
  <w:style w:type="paragraph" w:styleId="Piedepgina">
    <w:name w:val="footer"/>
    <w:basedOn w:val="Normal"/>
    <w:link w:val="PiedepginaCar"/>
    <w:uiPriority w:val="99"/>
    <w:unhideWhenUsed/>
    <w:rsid w:val="004140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1405C"/>
    <w:rPr>
      <w:kern w:val="0"/>
      <w:lang w:val="es-ES"/>
      <w14:ligatures w14:val="none"/>
    </w:rPr>
  </w:style>
  <w:style w:type="table" w:styleId="Tablaconcuadrcula">
    <w:name w:val="Table Grid"/>
    <w:basedOn w:val="Tablanormal"/>
    <w:uiPriority w:val="39"/>
    <w:rsid w:val="0041405C"/>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2332</Words>
  <Characters>12831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INFOEM500</cp:lastModifiedBy>
  <cp:revision>3</cp:revision>
  <cp:lastPrinted>2023-09-21T23:01:00Z</cp:lastPrinted>
  <dcterms:created xsi:type="dcterms:W3CDTF">2024-01-29T15:24:00Z</dcterms:created>
  <dcterms:modified xsi:type="dcterms:W3CDTF">2024-02-29T22:41:00Z</dcterms:modified>
</cp:coreProperties>
</file>