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0CE" w:rsidRDefault="00DA21A9">
      <w:pPr>
        <w:spacing w:before="240" w:after="240" w:line="360" w:lineRule="auto"/>
        <w:ind w:left="-567"/>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TRIGÉSIMA SÉPTIMA SESIÓN ORDINARIA DEL DIECISÉIS DE OCTUBRE DE DOS MIL VEINTICUATRO, EN EL RECURSO DE REVISIÓN </w:t>
      </w:r>
      <w:r>
        <w:rPr>
          <w:rFonts w:ascii="Palatino Linotype" w:eastAsia="Palatino Linotype" w:hAnsi="Palatino Linotype" w:cs="Palatino Linotype"/>
          <w:b/>
          <w:color w:val="000000"/>
        </w:rPr>
        <w:t>05961/INFOEM/IP/RR/2024</w:t>
      </w:r>
      <w:r>
        <w:rPr>
          <w:rFonts w:ascii="Palatino Linotype" w:eastAsia="Palatino Linotype" w:hAnsi="Palatino Linotype" w:cs="Palatino Linotype"/>
          <w:b/>
        </w:rPr>
        <w:t xml:space="preserve"> Y ACUMULADO.</w:t>
      </w:r>
    </w:p>
    <w:p w:rsidR="00EF00CE" w:rsidRDefault="00DA21A9">
      <w:pPr>
        <w:spacing w:after="80" w:line="360" w:lineRule="auto"/>
        <w:ind w:left="-567"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 los Recursos de Revisión </w:t>
      </w:r>
      <w:r>
        <w:rPr>
          <w:rFonts w:ascii="Palatino Linotype" w:eastAsia="Palatino Linotype" w:hAnsi="Palatino Linotype" w:cs="Palatino Linotype"/>
          <w:b/>
          <w:color w:val="000000"/>
        </w:rPr>
        <w:t>05961/INFOEM/IP/RR/2024</w:t>
      </w:r>
      <w:r>
        <w:rPr>
          <w:rFonts w:ascii="Palatino Linotype" w:eastAsia="Palatino Linotype" w:hAnsi="Palatino Linotype" w:cs="Palatino Linotype"/>
          <w:b/>
        </w:rPr>
        <w:t xml:space="preserve"> y acumulado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EF00CE" w:rsidRDefault="00EF00CE">
      <w:pPr>
        <w:spacing w:after="80" w:line="360" w:lineRule="auto"/>
        <w:ind w:left="-567" w:right="-93"/>
        <w:jc w:val="both"/>
        <w:rPr>
          <w:rFonts w:ascii="Palatino Linotype" w:eastAsia="Palatino Linotype" w:hAnsi="Palatino Linotype" w:cs="Palatino Linotype"/>
        </w:rPr>
      </w:pPr>
    </w:p>
    <w:p w:rsidR="00EF00CE" w:rsidRDefault="00DA21A9">
      <w:pPr>
        <w:spacing w:after="80" w:line="360" w:lineRule="auto"/>
        <w:ind w:left="-567"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EF00CE" w:rsidRDefault="00EF00CE">
      <w:pPr>
        <w:spacing w:after="80" w:line="360" w:lineRule="auto"/>
        <w:ind w:left="-567" w:right="-93"/>
        <w:jc w:val="both"/>
        <w:rPr>
          <w:rFonts w:ascii="Palatino Linotype" w:eastAsia="Palatino Linotype" w:hAnsi="Palatino Linotype" w:cs="Palatino Linotype"/>
        </w:rPr>
      </w:pPr>
    </w:p>
    <w:p w:rsidR="000E1AB2" w:rsidRDefault="00DA21A9" w:rsidP="000E1AB2">
      <w:pPr>
        <w:spacing w:after="80" w:line="360" w:lineRule="auto"/>
        <w:ind w:left="-567" w:right="-93"/>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EF00CE" w:rsidRDefault="00DA21A9" w:rsidP="000E1AB2">
      <w:pPr>
        <w:spacing w:after="80" w:line="360" w:lineRule="auto"/>
        <w:ind w:left="-567" w:right="-93"/>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sidR="000E1AB2">
        <w:rPr>
          <w:rFonts w:ascii="Palatino Linotype" w:eastAsia="Palatino Linotype" w:hAnsi="Palatino Linotype" w:cs="Palatino Linotype"/>
          <w:i/>
        </w:rPr>
        <w:t xml:space="preserve">: </w:t>
      </w:r>
    </w:p>
    <w:p w:rsidR="000E1AB2" w:rsidRPr="000E1AB2" w:rsidRDefault="000E1AB2" w:rsidP="000E1AB2">
      <w:pPr>
        <w:spacing w:after="80" w:line="360" w:lineRule="auto"/>
        <w:ind w:left="-567" w:right="-93"/>
        <w:jc w:val="both"/>
        <w:rPr>
          <w:rFonts w:ascii="Palatino Linotype" w:eastAsia="Palatino Linotype" w:hAnsi="Palatino Linotype" w:cs="Palatino Linotype"/>
        </w:rPr>
      </w:pPr>
    </w:p>
    <w:p w:rsidR="000E1AB2" w:rsidRPr="000E1AB2" w:rsidRDefault="000E1AB2" w:rsidP="000E1AB2">
      <w:pPr>
        <w:tabs>
          <w:tab w:val="left" w:pos="4962"/>
        </w:tabs>
        <w:spacing w:after="0" w:line="360" w:lineRule="auto"/>
        <w:ind w:right="1133"/>
        <w:jc w:val="both"/>
        <w:rPr>
          <w:rFonts w:ascii="Palatino Linotype" w:hAnsi="Palatino Linotype" w:cs="Tahoma"/>
          <w:bCs/>
          <w:i/>
        </w:rPr>
      </w:pPr>
      <w:r w:rsidRPr="000E1AB2">
        <w:rPr>
          <w:rFonts w:ascii="Palatino Linotype" w:hAnsi="Palatino Linotype" w:cs="Tahoma"/>
          <w:bCs/>
          <w:i/>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0E1AB2" w:rsidRPr="000E1AB2" w:rsidRDefault="000E1AB2" w:rsidP="000E1AB2">
      <w:pPr>
        <w:tabs>
          <w:tab w:val="left" w:pos="4962"/>
        </w:tabs>
        <w:spacing w:after="0" w:line="360" w:lineRule="auto"/>
        <w:ind w:right="1133"/>
        <w:jc w:val="both"/>
        <w:rPr>
          <w:rFonts w:ascii="Palatino Linotype" w:hAnsi="Palatino Linotype" w:cs="Tahoma"/>
          <w:bCs/>
          <w:i/>
        </w:rPr>
      </w:pPr>
    </w:p>
    <w:p w:rsidR="000E1AB2" w:rsidRPr="000E1AB2" w:rsidRDefault="000E1AB2" w:rsidP="000E1AB2">
      <w:pPr>
        <w:tabs>
          <w:tab w:val="left" w:pos="4962"/>
        </w:tabs>
        <w:spacing w:after="0" w:line="360" w:lineRule="auto"/>
        <w:ind w:right="1133"/>
        <w:jc w:val="both"/>
        <w:rPr>
          <w:rFonts w:ascii="Palatino Linotype" w:hAnsi="Palatino Linotype" w:cs="Tahoma"/>
          <w:bCs/>
          <w:i/>
        </w:rPr>
      </w:pPr>
      <w:r w:rsidRPr="000E1AB2">
        <w:rPr>
          <w:rFonts w:ascii="Palatino Linotype" w:hAnsi="Palatino Linotype" w:cs="Tahoma"/>
          <w:bCs/>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que una persona es servidor público y que cuenta con determinados conocimientos.</w:t>
      </w:r>
    </w:p>
    <w:p w:rsidR="000E1AB2" w:rsidRPr="000E1AB2" w:rsidRDefault="000E1AB2" w:rsidP="000E1AB2">
      <w:pPr>
        <w:tabs>
          <w:tab w:val="left" w:pos="4962"/>
        </w:tabs>
        <w:spacing w:after="0" w:line="360" w:lineRule="auto"/>
        <w:ind w:right="1133"/>
        <w:jc w:val="both"/>
        <w:rPr>
          <w:rFonts w:ascii="Palatino Linotype" w:hAnsi="Palatino Linotype" w:cs="Tahoma"/>
          <w:bCs/>
          <w:i/>
        </w:rPr>
      </w:pPr>
    </w:p>
    <w:p w:rsidR="000E1AB2" w:rsidRPr="000E1AB2" w:rsidRDefault="000E1AB2" w:rsidP="000E1AB2">
      <w:pPr>
        <w:spacing w:after="0" w:line="360" w:lineRule="auto"/>
        <w:ind w:right="1133"/>
        <w:contextualSpacing/>
        <w:jc w:val="both"/>
        <w:rPr>
          <w:rFonts w:ascii="Palatino Linotype" w:hAnsi="Palatino Linotype" w:cs="Times New Roman"/>
          <w:i/>
        </w:rPr>
      </w:pPr>
      <w:r w:rsidRPr="000E1AB2">
        <w:rPr>
          <w:rFonts w:ascii="Palatino Linotype" w:hAnsi="Palatino Linotype" w:cs="Times New Roman"/>
          <w:i/>
        </w:rPr>
        <w:t xml:space="preserve">Sobre el tema, resulta necesario traer a colación, </w:t>
      </w:r>
      <w:r w:rsidRPr="000E1AB2">
        <w:rPr>
          <w:rFonts w:ascii="Palatino Linotype" w:eastAsia="Times New Roman" w:hAnsi="Palatino Linotype" w:cs="Tahoma"/>
          <w:bCs/>
          <w:i/>
          <w:iCs/>
        </w:rPr>
        <w:t xml:space="preserve">el </w:t>
      </w:r>
      <w:r w:rsidRPr="000E1AB2">
        <w:rPr>
          <w:rFonts w:ascii="Palatino Linotype" w:hAnsi="Palatino Linotype" w:cs="Tahoma"/>
          <w:bCs/>
          <w:i/>
          <w:iCs/>
        </w:rPr>
        <w:t xml:space="preserve">Criterio de Interpretación, de la Segunda Época, con número de registro SO/015/2017, </w:t>
      </w:r>
      <w:r w:rsidRPr="000E1AB2">
        <w:rPr>
          <w:rFonts w:ascii="Palatino Linotype" w:eastAsia="Times New Roman" w:hAnsi="Palatino Linotype" w:cs="Tahoma"/>
          <w:bCs/>
          <w:i/>
          <w:iCs/>
        </w:rPr>
        <w:t>emitido por el Instituto Nacional de Transparencia, Acceso a la Información y Protección de Datos Personales</w:t>
      </w:r>
      <w:r w:rsidRPr="000E1AB2">
        <w:rPr>
          <w:rFonts w:ascii="Palatino Linotype" w:hAnsi="Palatino Linotype" w:cs="Times New Roman"/>
          <w:i/>
        </w:rPr>
        <w:t xml:space="preserve">, que precisa, </w:t>
      </w:r>
      <w:r w:rsidRPr="000E1AB2">
        <w:rPr>
          <w:rFonts w:ascii="Palatino Linotype" w:hAnsi="Palatino Linotype" w:cs="Times New Roman"/>
          <w:i/>
        </w:rPr>
        <w:lastRenderedPageBreak/>
        <w:t>que la fotografía localizada en título o cédula profesional guarda la naturaleza de pública, pues existe un interés público de conocer, de manera clara y específica, a la persona que se ostenta con una calidad profesional, tal como se muestra a continuación:</w:t>
      </w:r>
    </w:p>
    <w:p w:rsidR="000E1AB2" w:rsidRPr="000E1AB2" w:rsidRDefault="000E1AB2" w:rsidP="000E1AB2">
      <w:pPr>
        <w:spacing w:after="0" w:line="360" w:lineRule="auto"/>
        <w:ind w:right="1133"/>
        <w:contextualSpacing/>
        <w:jc w:val="both"/>
        <w:rPr>
          <w:rFonts w:ascii="Palatino Linotype" w:hAnsi="Palatino Linotype" w:cs="Times New Roman"/>
          <w:i/>
        </w:rPr>
      </w:pPr>
    </w:p>
    <w:p w:rsidR="000E1AB2" w:rsidRPr="000E1AB2" w:rsidRDefault="000E1AB2" w:rsidP="000E1AB2">
      <w:pPr>
        <w:spacing w:after="0" w:line="360" w:lineRule="auto"/>
        <w:ind w:left="567" w:right="1133"/>
        <w:contextualSpacing/>
        <w:jc w:val="both"/>
        <w:rPr>
          <w:rFonts w:ascii="Palatino Linotype" w:hAnsi="Palatino Linotype" w:cs="Times New Roman"/>
          <w:i/>
        </w:rPr>
      </w:pPr>
      <w:r w:rsidRPr="000E1AB2">
        <w:rPr>
          <w:rFonts w:ascii="Palatino Linotype" w:hAnsi="Palatino Linotype" w:cs="Times New Roman"/>
          <w:b/>
          <w:i/>
        </w:rPr>
        <w:t>“Fotografía en título o cédula profesional es de acceso público.</w:t>
      </w:r>
      <w:r w:rsidRPr="000E1AB2">
        <w:rPr>
          <w:rFonts w:ascii="Palatino Linotype" w:hAnsi="Palatino Linotype" w:cs="Times New Roman"/>
          <w:i/>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rsidR="000E1AB2" w:rsidRPr="000E1AB2" w:rsidRDefault="000E1AB2" w:rsidP="000E1AB2">
      <w:pPr>
        <w:spacing w:after="0" w:line="360" w:lineRule="auto"/>
        <w:ind w:left="567" w:right="1133"/>
        <w:contextualSpacing/>
        <w:jc w:val="both"/>
        <w:rPr>
          <w:rFonts w:ascii="Palatino Linotype" w:hAnsi="Palatino Linotype" w:cs="Times New Roman"/>
          <w:i/>
        </w:rPr>
      </w:pPr>
    </w:p>
    <w:p w:rsidR="000E1AB2" w:rsidRPr="000E1AB2" w:rsidRDefault="000E1AB2" w:rsidP="000E1AB2">
      <w:pPr>
        <w:spacing w:line="276" w:lineRule="auto"/>
        <w:ind w:left="567" w:right="1133"/>
        <w:jc w:val="both"/>
        <w:rPr>
          <w:rFonts w:ascii="Palatino Linotype" w:hAnsi="Palatino Linotype" w:cs="Tahoma"/>
          <w:i/>
          <w:lang w:val="x-none"/>
        </w:rPr>
      </w:pPr>
      <w:r w:rsidRPr="000E1AB2">
        <w:rPr>
          <w:rFonts w:ascii="Palatino Linotype" w:hAnsi="Palatino Linotype" w:cs="Tahoma"/>
          <w:i/>
        </w:rPr>
        <w:t>Conforme al criterio establecido, se desprende que la fotografía de cualquier persona que se encuentre en un título o cédula profesional, no es confidencial, pues permite identificar si la persona que se ostenta como profesional, es la que se localiza en los documentos comprobatorios, por lo que, en el presente caso, no procede su clasificación</w:t>
      </w:r>
      <w:r w:rsidRPr="000E1AB2">
        <w:rPr>
          <w:rFonts w:ascii="Palatino Linotype" w:hAnsi="Palatino Linotype" w:cs="Tahoma"/>
          <w:i/>
          <w:lang w:val="x-none"/>
        </w:rPr>
        <w:t xml:space="preserve"> en términos del artículo 143, fracción I, de la Ley de Transparencia y Acceso a la Información Pública del Estado de México y Municipios.</w:t>
      </w:r>
    </w:p>
    <w:p w:rsidR="00EF00CE" w:rsidRDefault="00EF00CE">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EF00CE" w:rsidRDefault="00DA21A9">
      <w:pPr>
        <w:spacing w:after="0" w:line="360" w:lineRule="auto"/>
        <w:ind w:left="-426"/>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 xml:space="preserve">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w:t>
      </w:r>
      <w:r>
        <w:rPr>
          <w:rFonts w:ascii="Palatino Linotype" w:eastAsia="Palatino Linotype" w:hAnsi="Palatino Linotype" w:cs="Palatino Linotype"/>
        </w:rPr>
        <w:lastRenderedPageBreak/>
        <w:t>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EF00CE" w:rsidRDefault="00DA21A9">
      <w:pPr>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EF00CE" w:rsidRDefault="00DA21A9">
      <w:pPr>
        <w:spacing w:before="240" w:after="240" w:line="360" w:lineRule="auto"/>
        <w:ind w:left="-426"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EF00CE" w:rsidRDefault="00DA21A9">
      <w:pPr>
        <w:tabs>
          <w:tab w:val="left" w:pos="4962"/>
        </w:tabs>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w:t>
      </w:r>
      <w:r>
        <w:rPr>
          <w:rFonts w:ascii="Palatino Linotype" w:eastAsia="Palatino Linotype" w:hAnsi="Palatino Linotype" w:cs="Palatino Linotype"/>
        </w:rPr>
        <w:lastRenderedPageBreak/>
        <w:t>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EF00CE" w:rsidRDefault="00DA21A9">
      <w:pPr>
        <w:spacing w:after="0" w:line="360" w:lineRule="auto"/>
        <w:ind w:left="-426"/>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EF00CE" w:rsidRDefault="00EF00CE">
      <w:pPr>
        <w:spacing w:after="0" w:line="360" w:lineRule="auto"/>
        <w:ind w:left="-426"/>
        <w:jc w:val="both"/>
        <w:rPr>
          <w:rFonts w:ascii="Palatino Linotype" w:eastAsia="Palatino Linotype" w:hAnsi="Palatino Linotype" w:cs="Palatino Linotype"/>
        </w:rPr>
      </w:pPr>
    </w:p>
    <w:p w:rsidR="00EF00CE" w:rsidRDefault="00DA21A9">
      <w:pPr>
        <w:spacing w:after="0" w:line="360" w:lineRule="auto"/>
        <w:ind w:left="-426"/>
        <w:jc w:val="both"/>
        <w:rPr>
          <w:rFonts w:ascii="Palatino Linotype" w:eastAsia="Palatino Linotype" w:hAnsi="Palatino Linotype" w:cs="Palatino Linotype"/>
          <w:highlight w:val="red"/>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w:t>
      </w:r>
      <w:r w:rsidRPr="000E1AB2">
        <w:rPr>
          <w:rFonts w:ascii="Palatino Linotype" w:eastAsia="Palatino Linotype" w:hAnsi="Palatino Linotype" w:cs="Palatino Linotype"/>
        </w:rPr>
        <w:t xml:space="preserve"> para dar cuenta de la idoneidad de las personas servidoras públicas para ocupar sus puestos o para acreditar que cumplieron con determinados requisitos, lo que da cuenta de ello es el propio documento.</w:t>
      </w:r>
    </w:p>
    <w:p w:rsidR="00EF00CE" w:rsidRDefault="00DA21A9">
      <w:pPr>
        <w:tabs>
          <w:tab w:val="left" w:pos="4962"/>
        </w:tabs>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xml:space="preserve">,  pues se estima que se actualiza la causal de clasificación establecida en el artículo 143, fracción I, de la Ley de la Ley de Transparencia y Acceso a la Información Pública del Estado de México y Municipios. </w:t>
      </w:r>
    </w:p>
    <w:p w:rsidR="00EF00CE" w:rsidRDefault="00EF00CE">
      <w:pPr>
        <w:tabs>
          <w:tab w:val="left" w:pos="4962"/>
        </w:tabs>
        <w:spacing w:before="240" w:after="240" w:line="360" w:lineRule="auto"/>
        <w:ind w:left="-426"/>
        <w:jc w:val="both"/>
        <w:rPr>
          <w:rFonts w:ascii="Palatino Linotype" w:eastAsia="Palatino Linotype" w:hAnsi="Palatino Linotype" w:cs="Palatino Linotype"/>
        </w:rPr>
      </w:pPr>
    </w:p>
    <w:p w:rsidR="00EF00CE" w:rsidRDefault="00EF00CE">
      <w:pPr>
        <w:tabs>
          <w:tab w:val="left" w:pos="4962"/>
        </w:tabs>
        <w:spacing w:before="240" w:after="240" w:line="360" w:lineRule="auto"/>
        <w:ind w:left="-426"/>
        <w:jc w:val="both"/>
        <w:rPr>
          <w:rFonts w:ascii="Palatino Linotype" w:eastAsia="Palatino Linotype" w:hAnsi="Palatino Linotype" w:cs="Palatino Linotype"/>
        </w:rPr>
      </w:pPr>
    </w:p>
    <w:p w:rsidR="00EF00CE" w:rsidRDefault="00EF00CE">
      <w:pPr>
        <w:tabs>
          <w:tab w:val="left" w:pos="4962"/>
        </w:tabs>
        <w:spacing w:before="240" w:after="240" w:line="360" w:lineRule="auto"/>
        <w:ind w:left="-426"/>
        <w:jc w:val="both"/>
        <w:rPr>
          <w:rFonts w:ascii="Palatino Linotype" w:eastAsia="Palatino Linotype" w:hAnsi="Palatino Linotype" w:cs="Palatino Linotype"/>
        </w:rPr>
      </w:pPr>
    </w:p>
    <w:p w:rsidR="00EF00CE" w:rsidRDefault="00EF00CE">
      <w:pPr>
        <w:tabs>
          <w:tab w:val="left" w:pos="4962"/>
        </w:tabs>
        <w:spacing w:before="240" w:after="240" w:line="360" w:lineRule="auto"/>
        <w:ind w:left="-426"/>
        <w:jc w:val="both"/>
        <w:rPr>
          <w:rFonts w:ascii="Palatino Linotype" w:eastAsia="Palatino Linotype" w:hAnsi="Palatino Linotype" w:cs="Palatino Linotype"/>
        </w:rPr>
      </w:pPr>
    </w:p>
    <w:p w:rsidR="00EF00CE" w:rsidRDefault="00EF00CE">
      <w:pPr>
        <w:tabs>
          <w:tab w:val="left" w:pos="4962"/>
        </w:tabs>
        <w:spacing w:before="240" w:after="240" w:line="360" w:lineRule="auto"/>
        <w:ind w:left="-426"/>
        <w:jc w:val="both"/>
        <w:rPr>
          <w:rFonts w:ascii="Palatino Linotype" w:eastAsia="Palatino Linotype" w:hAnsi="Palatino Linotype" w:cs="Palatino Linotype"/>
        </w:rPr>
      </w:pPr>
    </w:p>
    <w:p w:rsidR="00EF00CE" w:rsidRDefault="00EF00CE">
      <w:pPr>
        <w:tabs>
          <w:tab w:val="left" w:pos="4962"/>
        </w:tabs>
        <w:spacing w:before="240" w:after="240" w:line="360" w:lineRule="auto"/>
        <w:ind w:left="-426"/>
        <w:jc w:val="both"/>
        <w:rPr>
          <w:rFonts w:ascii="Palatino Linotype" w:eastAsia="Palatino Linotype" w:hAnsi="Palatino Linotype" w:cs="Palatino Linotype"/>
        </w:rPr>
      </w:pPr>
    </w:p>
    <w:p w:rsidR="00EF00CE" w:rsidRDefault="00EF00CE">
      <w:pPr>
        <w:tabs>
          <w:tab w:val="left" w:pos="4962"/>
        </w:tabs>
        <w:spacing w:before="240" w:after="240" w:line="360" w:lineRule="auto"/>
        <w:ind w:left="-426"/>
        <w:jc w:val="both"/>
        <w:rPr>
          <w:rFonts w:ascii="Palatino Linotype" w:eastAsia="Palatino Linotype" w:hAnsi="Palatino Linotype" w:cs="Palatino Linotype"/>
        </w:rPr>
      </w:pPr>
    </w:p>
    <w:p w:rsidR="00EF00CE" w:rsidRDefault="00EF00CE">
      <w:pPr>
        <w:tabs>
          <w:tab w:val="left" w:pos="4962"/>
        </w:tabs>
        <w:spacing w:before="240" w:after="240" w:line="360" w:lineRule="auto"/>
        <w:ind w:left="-426"/>
        <w:jc w:val="both"/>
        <w:rPr>
          <w:rFonts w:ascii="Palatino Linotype" w:eastAsia="Palatino Linotype" w:hAnsi="Palatino Linotype" w:cs="Palatino Linotype"/>
        </w:rPr>
      </w:pPr>
    </w:p>
    <w:p w:rsidR="00EF00CE" w:rsidRDefault="00EF00CE">
      <w:pPr>
        <w:tabs>
          <w:tab w:val="left" w:pos="4962"/>
        </w:tabs>
        <w:spacing w:before="240" w:after="240" w:line="360" w:lineRule="auto"/>
        <w:ind w:left="-426"/>
        <w:jc w:val="both"/>
        <w:rPr>
          <w:rFonts w:ascii="Palatino Linotype" w:eastAsia="Palatino Linotype" w:hAnsi="Palatino Linotype" w:cs="Palatino Linotype"/>
        </w:rPr>
      </w:pPr>
    </w:p>
    <w:p w:rsidR="00EF00CE" w:rsidRDefault="00EF00CE">
      <w:pPr>
        <w:tabs>
          <w:tab w:val="left" w:pos="4962"/>
        </w:tabs>
        <w:spacing w:before="240" w:after="240" w:line="360" w:lineRule="auto"/>
        <w:ind w:left="-426"/>
        <w:jc w:val="both"/>
        <w:rPr>
          <w:rFonts w:ascii="Palatino Linotype" w:eastAsia="Palatino Linotype" w:hAnsi="Palatino Linotype" w:cs="Palatino Linotype"/>
        </w:rPr>
      </w:pPr>
    </w:p>
    <w:p w:rsidR="00EF00CE" w:rsidRDefault="00EF00CE">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4" w:name="_heading=h.2et92p0" w:colFirst="0" w:colLast="0"/>
      <w:bookmarkEnd w:id="4"/>
    </w:p>
    <w:p w:rsidR="00EF00CE" w:rsidRDefault="00EF00CE">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EF00CE" w:rsidRDefault="00EF00CE">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EF00CE" w:rsidRDefault="00EF00CE">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EF00CE" w:rsidRDefault="00EF00CE">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EF00CE" w:rsidRDefault="00EF00CE">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EF00CE" w:rsidRDefault="00EF00CE">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EF00CE" w:rsidRDefault="00EF00CE">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EF00CE" w:rsidRDefault="00EF00CE">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EF00CE" w:rsidRDefault="00EF00CE">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EF00CE" w:rsidRDefault="00EF00CE">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EF00CE" w:rsidRDefault="00EF00CE">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EF00CE" w:rsidRDefault="00EF00CE">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EF00CE" w:rsidRDefault="00EF00CE">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EF00CE" w:rsidRDefault="00EF00CE">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EF00CE" w:rsidRDefault="00EF00CE">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EF00CE" w:rsidRDefault="00EF00CE">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EF00CE" w:rsidRDefault="00EF00CE">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EF00CE" w:rsidRDefault="00EF00CE">
      <w:pPr>
        <w:spacing w:after="0" w:line="360" w:lineRule="auto"/>
        <w:ind w:right="423"/>
        <w:jc w:val="both"/>
        <w:rPr>
          <w:rFonts w:ascii="Palatino Linotype" w:eastAsia="Palatino Linotype" w:hAnsi="Palatino Linotype" w:cs="Palatino Linotype"/>
          <w:sz w:val="24"/>
          <w:szCs w:val="24"/>
        </w:rPr>
      </w:pPr>
      <w:bookmarkStart w:id="5" w:name="_heading=h.30j0zll" w:colFirst="0" w:colLast="0"/>
      <w:bookmarkEnd w:id="5"/>
    </w:p>
    <w:sectPr w:rsidR="00EF00CE" w:rsidSect="000E1AB2">
      <w:headerReference w:type="default" r:id="rId8"/>
      <w:footerReference w:type="default" r:id="rId9"/>
      <w:pgSz w:w="12240" w:h="15840"/>
      <w:pgMar w:top="1871" w:right="1325"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87D" w:rsidRDefault="004A687D">
      <w:pPr>
        <w:spacing w:after="0" w:line="240" w:lineRule="auto"/>
      </w:pPr>
      <w:r>
        <w:separator/>
      </w:r>
    </w:p>
  </w:endnote>
  <w:endnote w:type="continuationSeparator" w:id="0">
    <w:p w:rsidR="004A687D" w:rsidRDefault="004A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0CE" w:rsidRDefault="00DA21A9">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46934">
      <w:rPr>
        <w:rFonts w:ascii="Arial" w:eastAsia="Arial" w:hAnsi="Arial" w:cs="Arial"/>
        <w:b/>
        <w:noProof/>
        <w:color w:val="000000"/>
        <w:sz w:val="20"/>
        <w:szCs w:val="20"/>
      </w:rPr>
      <w:t>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46934">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EF00CE" w:rsidRDefault="00EF00C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87D" w:rsidRDefault="004A687D">
      <w:pPr>
        <w:spacing w:after="0" w:line="240" w:lineRule="auto"/>
      </w:pPr>
      <w:r>
        <w:separator/>
      </w:r>
    </w:p>
  </w:footnote>
  <w:footnote w:type="continuationSeparator" w:id="0">
    <w:p w:rsidR="004A687D" w:rsidRDefault="004A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0CE" w:rsidRDefault="00DA21A9">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-1171565</wp:posOffset>
          </wp:positionH>
          <wp:positionV relativeFrom="paragraph">
            <wp:posOffset>-486398</wp:posOffset>
          </wp:positionV>
          <wp:extent cx="7510628" cy="988377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EF00CE" w:rsidRDefault="00DA21A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EF00CE" w:rsidRDefault="00DA21A9">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05961/INFOEM/IP/RR/2024 y acumulado</w:t>
    </w:r>
  </w:p>
  <w:p w:rsidR="00EF00CE" w:rsidRDefault="00DA21A9">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Zinacantepec</w:t>
    </w:r>
  </w:p>
  <w:p w:rsidR="00EF00CE" w:rsidRDefault="00DA21A9">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 Luis Gustavo Parra Noriega</w:t>
    </w:r>
  </w:p>
  <w:p w:rsidR="00EF00CE" w:rsidRDefault="00EF00C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CE"/>
    <w:rsid w:val="000E1AB2"/>
    <w:rsid w:val="004A687D"/>
    <w:rsid w:val="00A46934"/>
    <w:rsid w:val="00DA21A9"/>
    <w:rsid w:val="00EF00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02CAC-1C89-49C9-8E9E-8E55D61F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SJZTZrZ8FWghmw/zhVJq8cA+jg==">CgMxLjAyCGguZ2pkZ3hzMg5oLnNlem5rMHYza3dkcDIOaC54ZXpyMG9rZDU3dG4yCWguMmV0OTJwMDIJaC4zMGowemxsOAByITE0UEU5N0JvVW1ydWhKcUJyVXBhejZxOTBKNkQtSktQZg==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01FF33-2901-480C-9BD4-5DA6E61E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1356</Words>
  <Characters>7459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3</cp:revision>
  <cp:lastPrinted>2024-11-11T20:11:00Z</cp:lastPrinted>
  <dcterms:created xsi:type="dcterms:W3CDTF">2024-11-01T18:31:00Z</dcterms:created>
  <dcterms:modified xsi:type="dcterms:W3CDTF">2024-11-11T20:11:00Z</dcterms:modified>
</cp:coreProperties>
</file>