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bookmarkStart w:colFirst="0" w:colLast="0" w:name="_heading=h.gjdgxs"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sz w:val="22"/>
          <w:szCs w:val="22"/>
          <w:rtl w:val="0"/>
        </w:rPr>
        <w:t xml:space="preserve">once de diciembre de dos mil veinticuatro de dos mil veinticuatro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bookmarkStart w:colFirst="0" w:colLast="0" w:name="_heading=h.1t3h5sf" w:id="1"/>
      <w:bookmarkEnd w:id="1"/>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06654/INFOEM/RD/RR/2024</w:t>
      </w:r>
      <w:r w:rsidDel="00000000" w:rsidR="00000000" w:rsidRPr="00000000">
        <w:rPr>
          <w:rFonts w:ascii="Palatino Linotype" w:cs="Palatino Linotype" w:eastAsia="Palatino Linotype" w:hAnsi="Palatino Linotype"/>
          <w:sz w:val="22"/>
          <w:szCs w:val="22"/>
          <w:rtl w:val="0"/>
        </w:rPr>
        <w:t xml:space="preserve">, promovido por </w:t>
      </w:r>
      <w:r w:rsidDel="00000000" w:rsidR="00000000" w:rsidRPr="00000000">
        <w:rPr>
          <w:rFonts w:ascii="Palatino Linotype" w:cs="Palatino Linotype" w:eastAsia="Palatino Linotype" w:hAnsi="Palatino Linotype"/>
          <w:b w:val="1"/>
          <w:sz w:val="22"/>
          <w:szCs w:val="22"/>
          <w:rtl w:val="0"/>
        </w:rPr>
        <w:t xml:space="preserve">XXXXXXXX XXXXXXX XXXXXX, </w:t>
      </w:r>
      <w:r w:rsidDel="00000000" w:rsidR="00000000" w:rsidRPr="00000000">
        <w:rPr>
          <w:rFonts w:ascii="Palatino Linotype" w:cs="Palatino Linotype" w:eastAsia="Palatino Linotype" w:hAnsi="Palatino Linotype"/>
          <w:sz w:val="22"/>
          <w:szCs w:val="22"/>
          <w:rtl w:val="0"/>
        </w:rPr>
        <w:t xml:space="preserve">en lo sucesivo la</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falta de respuesta del</w:t>
      </w:r>
      <w:r w:rsidDel="00000000" w:rsidR="00000000" w:rsidRPr="00000000">
        <w:rPr>
          <w:rtl w:val="0"/>
        </w:rPr>
        <w:t xml:space="preserve"> </w:t>
      </w:r>
      <w:r w:rsidDel="00000000" w:rsidR="00000000" w:rsidRPr="00000000">
        <w:rPr>
          <w:rFonts w:ascii="Palatino Linotype" w:cs="Palatino Linotype" w:eastAsia="Palatino Linotype" w:hAnsi="Palatino Linotype"/>
          <w:b w:val="1"/>
          <w:sz w:val="22"/>
          <w:szCs w:val="22"/>
          <w:rtl w:val="0"/>
        </w:rPr>
        <w:t xml:space="preserve">Ayuntamiento de Otzoloapan, </w:t>
      </w:r>
      <w:r w:rsidDel="00000000" w:rsidR="00000000" w:rsidRPr="00000000">
        <w:rPr>
          <w:rFonts w:ascii="Palatino Linotype" w:cs="Palatino Linotype" w:eastAsia="Palatino Linotype" w:hAnsi="Palatino Linotype"/>
          <w:sz w:val="22"/>
          <w:szCs w:val="22"/>
          <w:rtl w:val="0"/>
        </w:rPr>
        <w:t xml:space="preserve">en lo sucesivo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se procede a dictar la presente resolución con base en los siguientes: </w:t>
      </w:r>
    </w:p>
    <w:p w:rsidR="00000000" w:rsidDel="00000000" w:rsidP="00000000" w:rsidRDefault="00000000" w:rsidRPr="00000000" w14:paraId="00000004">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5">
      <w:pPr>
        <w:spacing w:line="360" w:lineRule="auto"/>
        <w:jc w:val="both"/>
        <w:rPr>
          <w:rFonts w:ascii="Palatino Linotype" w:cs="Palatino Linotype" w:eastAsia="Palatino Linotype" w:hAnsi="Palatino Linotype"/>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1. Solicitud de rectificación de datos personales.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veinticinco de septiembre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a través del Sistema de Acceso, Rectificación, Cancelación y Oposición de Datos Personales en el Estado de México en lo subsecuente SARCOEM,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rectificación de datos personales, a la que se le asignó el número de expediente </w:t>
      </w:r>
      <w:r w:rsidDel="00000000" w:rsidR="00000000" w:rsidRPr="00000000">
        <w:rPr>
          <w:rFonts w:ascii="Palatino Linotype" w:cs="Palatino Linotype" w:eastAsia="Palatino Linotype" w:hAnsi="Palatino Linotype"/>
          <w:b w:val="1"/>
          <w:sz w:val="22"/>
          <w:szCs w:val="22"/>
          <w:rtl w:val="0"/>
        </w:rPr>
        <w:t xml:space="preserve">00001/OTZOLOAP/RD/2024</w:t>
      </w:r>
      <w:r w:rsidDel="00000000" w:rsidR="00000000" w:rsidRPr="00000000">
        <w:rPr>
          <w:rFonts w:ascii="Palatino Linotype" w:cs="Palatino Linotype" w:eastAsia="Palatino Linotype" w:hAnsi="Palatino Linotype"/>
          <w:sz w:val="22"/>
          <w:szCs w:val="22"/>
          <w:rtl w:val="0"/>
        </w:rPr>
        <w:t xml:space="preserve">, en la que precisó lo siguiente:</w:t>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51" w:right="89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Datos personales incorrectos: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Descripción de los errores en mi acta de nacimiento electrónica: 1. Favor de corregir la fecha de registro, dice 26/11/1964, y debe decir 16/11/1964. 2. Favor de corregir donde dice sexo hombre y debe decir mujer. 3. Favor ligar la búsqueda con mi CURP XXXXXXXXXXXXXXXXXX, toda vez que solamente la puedo encontrar mediante datos personales. Bajo protesta de decir verdad, manifiesto que los documentos oficiales que adjunto a la presente solicitud son los únicos con los que cuento, razón por la cual me veo en la necesidad de solicitar mi acta de nacimiento para solicitar mis documentos oficiales. Adjunto pdf con solicitud de corrección de datos detallada para mayor referencia.” (Sic)</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51" w:right="89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Datos personales correctos: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“ACTA DE NACIMIENTO Libro XXX Año XXXX Foja XX Acta XXX Oficialía - Lugar Otzoloapan, Estado de México. Registro 16/11/1964 Nacimiento </w:t>
      </w:r>
      <w:r w:rsidDel="00000000" w:rsidR="00000000" w:rsidRPr="00000000">
        <w:rPr>
          <w:rFonts w:ascii="Palatino Linotype" w:cs="Palatino Linotype" w:eastAsia="Palatino Linotype" w:hAnsi="Palatino Linotype"/>
          <w:i w:val="1"/>
          <w:sz w:val="22"/>
          <w:szCs w:val="22"/>
          <w:rtl w:val="0"/>
        </w:rPr>
        <w:t xml:space="preserve">XXXXXXXX</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Nombre XXXXXXXX XXXXXXX XXXXXX Sexo </w:t>
      </w:r>
      <w:r w:rsidDel="00000000" w:rsidR="00000000" w:rsidRPr="00000000">
        <w:rPr>
          <w:rFonts w:ascii="Palatino Linotype" w:cs="Palatino Linotype" w:eastAsia="Palatino Linotype" w:hAnsi="Palatino Linotype"/>
          <w:i w:val="1"/>
          <w:sz w:val="22"/>
          <w:szCs w:val="22"/>
          <w:rtl w:val="0"/>
        </w:rPr>
        <w:t xml:space="preserve">XXXX XXXXX</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(Sic)</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Anexos: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a su solicitud adjuntó los siguientes documentos:</w:t>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Escrito de solicitud de corrección de datos personales, signado por la persona solicitante, en la que medularmente requiere que se realice la corrección de sus datos personales contenidos en el Acta de Nacimiento electrónica, que se descarga a través del portal oficial “Acta de Nacimiento|Trámites|gob.mx(ww.gob.mx)”, ya que refiere que sólo puede descargarla ingresando sus datos personales, pero se encontró con dos errores; el primero, el sistema sólo le permite seleccionar la opción de hombre en el campo de sexo, lo cual es incorrecto, ya que es mujer; y, el segundo error, se encuentra en el año de registro, dice 16/11/1964 y debe decir 26/11/1964.</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Clave Única de Registro de Población a favor de la solicitante.</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Acta de Nacimiento y Reconocimiento a favor de la solicitante.</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Consulta de la lista nominal del INE sobre la vigencia de la credencial de elector expedida a favor de la solicitante.</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Acta de Nacimiento Electrónica a nombre de la persona solicitante.</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Credencial de elector expedida por el entonces Instituto Federal Electoral a favor de la persona solicitante.</w:t>
      </w:r>
    </w:p>
    <w:p w:rsidR="00000000" w:rsidDel="00000000" w:rsidP="00000000" w:rsidRDefault="00000000" w:rsidRPr="00000000" w14:paraId="00000012">
      <w:pPr>
        <w:spacing w:line="360" w:lineRule="auto"/>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fue omiso en proporcionar respuesta.</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Recurso de Revisión. </w:t>
      </w:r>
      <w:r w:rsidDel="00000000" w:rsidR="00000000" w:rsidRPr="00000000">
        <w:rPr>
          <w:rFonts w:ascii="Palatino Linotype" w:cs="Palatino Linotype" w:eastAsia="Palatino Linotype" w:hAnsi="Palatino Linotype"/>
          <w:sz w:val="22"/>
          <w:szCs w:val="22"/>
          <w:rtl w:val="0"/>
        </w:rPr>
        <w:t xml:space="preserve">Inconforme la parte solicitante con la falta de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interpuso recurso de revisión a través de </w:t>
      </w:r>
      <w:r w:rsidDel="00000000" w:rsidR="00000000" w:rsidRPr="00000000">
        <w:rPr>
          <w:rFonts w:ascii="Palatino Linotype" w:cs="Palatino Linotype" w:eastAsia="Palatino Linotype" w:hAnsi="Palatino Linotype"/>
          <w:b w:val="1"/>
          <w:sz w:val="22"/>
          <w:szCs w:val="22"/>
          <w:rtl w:val="0"/>
        </w:rPr>
        <w:t xml:space="preserve">SARCOEM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veinticinco de octubre de dos mil veinticuatro</w:t>
      </w:r>
      <w:r w:rsidDel="00000000" w:rsidR="00000000" w:rsidRPr="00000000">
        <w:rPr>
          <w:rFonts w:ascii="Palatino Linotype" w:cs="Palatino Linotype" w:eastAsia="Palatino Linotype" w:hAnsi="Palatino Linotype"/>
          <w:sz w:val="22"/>
          <w:szCs w:val="22"/>
          <w:rtl w:val="0"/>
        </w:rPr>
        <w:t xml:space="preserve">, expresando lo siguiente: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spacing w:line="360" w:lineRule="auto"/>
        <w:ind w:left="851" w:right="899" w:firstLine="0"/>
        <w:jc w:val="both"/>
        <w:rPr>
          <w:rFonts w:ascii="Palatino Linotype" w:cs="Palatino Linotype" w:eastAsia="Palatino Linotype" w:hAnsi="Palatino Linotype"/>
          <w:sz w:val="22"/>
          <w:szCs w:val="22"/>
        </w:rPr>
      </w:pPr>
      <w:bookmarkStart w:colFirst="0" w:colLast="0" w:name="_heading=h.3znysh7" w:id="3"/>
      <w:bookmarkEnd w:id="3"/>
      <w:r w:rsidDel="00000000" w:rsidR="00000000" w:rsidRPr="00000000">
        <w:rPr>
          <w:rFonts w:ascii="Palatino Linotype" w:cs="Palatino Linotype" w:eastAsia="Palatino Linotype" w:hAnsi="Palatino Linotype"/>
          <w:b w:val="1"/>
          <w:sz w:val="22"/>
          <w:szCs w:val="22"/>
          <w:rtl w:val="0"/>
        </w:rPr>
        <w:t xml:space="preserve">Acto impugnado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18">
      <w:pPr>
        <w:spacing w:line="276" w:lineRule="auto"/>
        <w:ind w:left="851" w:right="899" w:firstLine="0"/>
        <w:jc w:val="both"/>
        <w:rPr>
          <w:rFonts w:ascii="Palatino Linotype" w:cs="Palatino Linotype" w:eastAsia="Palatino Linotype" w:hAnsi="Palatino Linotype"/>
          <w:i w:val="1"/>
          <w:sz w:val="22"/>
          <w:szCs w:val="22"/>
        </w:rPr>
      </w:pPr>
      <w:bookmarkStart w:colFirst="0" w:colLast="0" w:name="_heading=h.2et92p0" w:id="4"/>
      <w:bookmarkEnd w:id="4"/>
      <w:r w:rsidDel="00000000" w:rsidR="00000000" w:rsidRPr="00000000">
        <w:rPr>
          <w:rFonts w:ascii="Palatino Linotype" w:cs="Palatino Linotype" w:eastAsia="Palatino Linotype" w:hAnsi="Palatino Linotype"/>
          <w:i w:val="1"/>
          <w:sz w:val="22"/>
          <w:szCs w:val="22"/>
          <w:rtl w:val="0"/>
        </w:rPr>
        <w:t xml:space="preserve">“Mi acto impugnado es la falta de respuesta por parte del H. Ayuntamiento de Otzoloapan y el H. Registro Civil de Otzoloapan a mi solicitud de rectificación de datos personales presentada el 25 de septiembre de 2024, a la que se le asignó el folio 00001/OTZOLOAP/RD/2024.” (Sic)</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ind w:left="1004"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A">
      <w:pPr>
        <w:spacing w:line="360" w:lineRule="auto"/>
        <w:ind w:left="851" w:right="899" w:firstLine="0"/>
        <w:jc w:val="both"/>
        <w:rPr>
          <w:rFonts w:ascii="Palatino Linotype" w:cs="Palatino Linotype" w:eastAsia="Palatino Linotype" w:hAnsi="Palatino Linotype"/>
          <w:b w:val="1"/>
          <w:sz w:val="22"/>
          <w:szCs w:val="22"/>
        </w:rPr>
      </w:pPr>
      <w:bookmarkStart w:colFirst="0" w:colLast="0" w:name="_heading=h.tyjcwt" w:id="5"/>
      <w:bookmarkEnd w:id="5"/>
      <w:r w:rsidDel="00000000" w:rsidR="00000000" w:rsidRPr="00000000">
        <w:rPr>
          <w:rFonts w:ascii="Palatino Linotype" w:cs="Palatino Linotype" w:eastAsia="Palatino Linotype" w:hAnsi="Palatino Linotype"/>
          <w:b w:val="1"/>
          <w:sz w:val="22"/>
          <w:szCs w:val="22"/>
          <w:rtl w:val="0"/>
        </w:rPr>
        <w:t xml:space="preserve">Razones o Motivos de inconformidad</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1B">
      <w:pPr>
        <w:spacing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“PRIMER MOTIVO: Violación al derecho de rectificación de datos personales. Conforme la Ley de Protección de Datos Personales en Posesión de Sujetos Obligados del Estado de México y Municipios, el titular de los datos personales tiene derecho a solicitar la rectificación de estos cuando sean inexactos, incompletos, desactualizados o inadecuados. Mi solicitud de rectificación de datos personales, presentada el 25 de septiembre de 2024, no ha sido respondida por el sujeto obligado, lo cual vulnera mi derecho a la protección y exactitud de mis datos personales. SEGUNDO MOTIVO: Omisión en la obligación de responder a una solicitud de rectificación de datos personales. La Ley de Protección de Datos Personales en Posesión de Sujetos Obligados del Estado de México y Municipios establece que los sujetos obligados deben responder a las solicitudes de rectificación de datos personales en un plazo de 20 días, ampliable por una sola vez hasta por 10 días adicionales, siempre que se notifique al solicitante la necesidad de la prórroga dentro del plazo inicial. En este caso, el sujeto obligado no ha emitido respuesta alguna ni ha solicitado una prórroga, incumpliendo los plazos legales establecidos y afectando mi derecho a una respuesta oportuna. TERCER MOTIVO: Incumplimiento de los plazos procesales establecidos en la Ley de Protección de Datos Personales en Posesión de Sujetos Obligados. La falta de respuesta dentro del plazo legal de 20 días hábiles, establecido en la ley mencionada, constituye una infracción a los principios de seguridad jurídica y eficiencia en la protección de los datos personales. Este incumplimiento deja en estado de indefensión al titular de los datos, ya que no se ha resuelto mi solicitud de rectificación. CUARTO MOTIVO: Negligencia en el cumplimiento de las obligaciones de los sujetos obligados. La Ley de Protección de Datos Personales en Posesión de Sujetos Obligados establece la obligación de los sujetos obligados de garantizar la exactitud y actualización de los datos personales. La falta de atención a mi solicitud representa una negligencia en el cumplimiento de esta obligación, al mantener información incorrecta o incompleta sobre mis datos personales, vulnerando así mis derechos. QUINTO MOTIVO: Sanciones por incumplimiento a la Ley de Transparencia y Acceso a la Información Pública del Estado de México y Municipios. La Ley de Transparencia y Acceso a la Información Pública del Estado de México y Municipios establece que el incumplimiento de los plazos para atender solicitudes, la omisión en la atención de las mismas y el incumplimiento de las disposiciones legales aplicables son causas sancionables para los servidores públicos responsables. Estas sanciones incluyen multas, amonestaciones públicas y otras medidas administrativas que deben aplicarse ante la omisión del sujeto obligado en mi solicitud de rectificación de datos. SEXTO MOTIVO: Aplicación la Ley de Transparencia por negligencia. De conformidad con la Ley de Transparencia y Acceso a la Información Pública del Estado de México y Municipios, si el Instituto determina que la falta de respuesta fue por negligencia del sujeto obligado, deberá requerir a la Unidad de Transparencia correspondiente que proporcione la información solicitada sin costo alguno dentro de los 15 días hábiles a partir del requerimiento. En este caso, solicito la aplicación de este artículo, dado que la omisión en atender mi solicitud constituye un incumplimiento que afecta mi derecho a la rectificación de mis datos personales.” (Sic)</w:t>
      </w:r>
    </w:p>
    <w:p w:rsidR="00000000" w:rsidDel="00000000" w:rsidP="00000000" w:rsidRDefault="00000000" w:rsidRPr="00000000" w14:paraId="0000001C">
      <w:pPr>
        <w:spacing w:line="276" w:lineRule="auto"/>
        <w:ind w:left="851" w:right="899"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1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Anexos: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adjuntó a su recurso de revisión los siguientes documentos:</w:t>
      </w:r>
    </w:p>
    <w:p w:rsidR="00000000" w:rsidDel="00000000" w:rsidP="00000000" w:rsidRDefault="00000000" w:rsidRPr="00000000" w14:paraId="0000001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Acuse de solicitud de rectificación de datos personales.</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Acta de Nacimiento y Reconocimiento a favor de la solicitante.</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Acta de Nacimiento Electrónica a nombre de la persona solicitante.</w:t>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line="276" w:lineRule="auto"/>
        <w:ind w:left="3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Clave Única de Registro de Población a favor de la solicitante.</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ind w:left="3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El recurso de revisión de mérito se registró en el Sistema de Acceso, Rectificación, Cancelación y Oposición de Datos Personales del Estado de México y fue turnado a la </w:t>
      </w:r>
      <w:r w:rsidDel="00000000" w:rsidR="00000000" w:rsidRPr="00000000">
        <w:rPr>
          <w:rFonts w:ascii="Palatino Linotype" w:cs="Palatino Linotype" w:eastAsia="Palatino Linotype" w:hAnsi="Palatino Linotype"/>
          <w:b w:val="1"/>
          <w:sz w:val="22"/>
          <w:szCs w:val="22"/>
          <w:rtl w:val="0"/>
        </w:rPr>
        <w:t xml:space="preserve">Comisionada Guadalupe Ramírez Peña, </w:t>
      </w:r>
      <w:r w:rsidDel="00000000" w:rsidR="00000000" w:rsidRPr="00000000">
        <w:rPr>
          <w:rFonts w:ascii="Palatino Linotype" w:cs="Palatino Linotype" w:eastAsia="Palatino Linotype" w:hAnsi="Palatino Linotype"/>
          <w:sz w:val="22"/>
          <w:szCs w:val="22"/>
          <w:rtl w:val="0"/>
        </w:rPr>
        <w:t xml:space="preserve">a efecto de que decretara su admisión o desechamiento, ello en términos de los artículos 11 y 127 de la Ley de Protección de Datos Personales en Posesión de Sujetos Obligados del Estado de México y Municipios, con relación al diverso 185, fracción I, de la Ley de Transparencia y Acceso a la Información Pública del Estado de México y Municipios, de aplicación supletoria a la citada Ley de Protección de Datos Personales por disposición de su artículo 11.</w:t>
      </w:r>
    </w:p>
    <w:p w:rsidR="00000000" w:rsidDel="00000000" w:rsidP="00000000" w:rsidRDefault="00000000" w:rsidRPr="00000000" w14:paraId="0000002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treinta de octubre de dos mil veinticuatro</w:t>
      </w:r>
      <w:r w:rsidDel="00000000" w:rsidR="00000000" w:rsidRPr="00000000">
        <w:rPr>
          <w:rFonts w:ascii="Palatino Linotype" w:cs="Palatino Linotype" w:eastAsia="Palatino Linotype" w:hAnsi="Palatino Linotype"/>
          <w:sz w:val="22"/>
          <w:szCs w:val="22"/>
          <w:rtl w:val="0"/>
        </w:rPr>
        <w:t xml:space="preserve">, conforme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6. Exhortación a la conciliación.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doce de noviembre de dos mil veinticuatro</w:t>
      </w:r>
      <w:r w:rsidDel="00000000" w:rsidR="00000000" w:rsidRPr="00000000">
        <w:rPr>
          <w:rFonts w:ascii="Palatino Linotype" w:cs="Palatino Linotype" w:eastAsia="Palatino Linotype" w:hAnsi="Palatino Linotype"/>
          <w:sz w:val="22"/>
          <w:szCs w:val="22"/>
          <w:rtl w:val="0"/>
        </w:rPr>
        <w:t xml:space="preserve">, se notificó a las partes el Acuerdo de exhortación a conciliación, y se otorgó un plazo máximo de siete días hábiles para que remitieran a este Instituto, por cualquier medio, un escrito en el que manifestaran su voluntad de conciliar, en términos del artículo 132, fracción I de la Ley de Protección de Datos Personales en Posesión de Sujetos Obligados del Estado de México y Municipios.  </w:t>
      </w:r>
    </w:p>
    <w:p w:rsidR="00000000" w:rsidDel="00000000" w:rsidP="00000000" w:rsidRDefault="00000000" w:rsidRPr="00000000" w14:paraId="00000029">
      <w:pPr>
        <w:widowControl w:val="0"/>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A">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Acuerdo de Preclusión de la Etapa de conciliación.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veinticinco de noviembre de dos mil veinticuatro</w:t>
      </w:r>
      <w:r w:rsidDel="00000000" w:rsidR="00000000" w:rsidRPr="00000000">
        <w:rPr>
          <w:rFonts w:ascii="Palatino Linotype" w:cs="Palatino Linotype" w:eastAsia="Palatino Linotype" w:hAnsi="Palatino Linotype"/>
          <w:sz w:val="22"/>
          <w:szCs w:val="22"/>
          <w:rtl w:val="0"/>
        </w:rPr>
        <w:t xml:space="preserve"> se notificó acuerdo de la misma fecha, en el que se determinó la preclusión de la posibilidad otorgada a las partes para manifestar su voluntad de conciliar; ello, en virtud de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trece de noviembre de dos mil veintitrés </w:t>
      </w:r>
      <w:r w:rsidDel="00000000" w:rsidR="00000000" w:rsidRPr="00000000">
        <w:rPr>
          <w:rFonts w:ascii="Palatino Linotype" w:cs="Palatino Linotype" w:eastAsia="Palatino Linotype" w:hAnsi="Palatino Linotype"/>
          <w:sz w:val="22"/>
          <w:szCs w:val="22"/>
          <w:rtl w:val="0"/>
        </w:rPr>
        <w:t xml:space="preserve">rechazó la conciliación,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fue omiso en manifestar su voluntad para conciliar en el presente asunto, durante el plazo otorgado, como se muestra:</w:t>
      </w:r>
    </w:p>
    <w:p w:rsidR="00000000" w:rsidDel="00000000" w:rsidP="00000000" w:rsidRDefault="00000000" w:rsidRPr="00000000" w14:paraId="0000002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91835" cy="2638425"/>
            <wp:effectExtent b="0" l="0" r="0" t="0"/>
            <wp:docPr id="2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91835"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Manifestaciones</w:t>
      </w:r>
      <w:r w:rsidDel="00000000" w:rsidR="00000000" w:rsidRPr="00000000">
        <w:rPr>
          <w:rFonts w:ascii="Palatino Linotype" w:cs="Palatino Linotype" w:eastAsia="Palatino Linotype" w:hAnsi="Palatino Linotype"/>
          <w:sz w:val="22"/>
          <w:szCs w:val="22"/>
          <w:rtl w:val="0"/>
        </w:rPr>
        <w:t xml:space="preserve">. Las partes fueron omisas en rendir manifestaciones:</w:t>
      </w:r>
    </w:p>
    <w:p w:rsidR="00000000" w:rsidDel="00000000" w:rsidP="00000000" w:rsidRDefault="00000000" w:rsidRPr="00000000" w14:paraId="0000002D">
      <w:pPr>
        <w:widowControl w:val="0"/>
        <w:spacing w:line="360" w:lineRule="auto"/>
        <w:ind w:right="49"/>
        <w:jc w:val="both"/>
        <w:rPr>
          <w:rFonts w:ascii="Palatino Linotype" w:cs="Palatino Linotype" w:eastAsia="Palatino Linotype" w:hAnsi="Palatino Linotype"/>
          <w:sz w:val="12"/>
          <w:szCs w:val="12"/>
        </w:rPr>
      </w:pPr>
      <w:r w:rsidDel="00000000" w:rsidR="00000000" w:rsidRPr="00000000">
        <w:rPr>
          <w:rtl w:val="0"/>
        </w:rPr>
      </w:r>
    </w:p>
    <w:p w:rsidR="00000000" w:rsidDel="00000000" w:rsidP="00000000" w:rsidRDefault="00000000" w:rsidRPr="00000000" w14:paraId="0000002E">
      <w:pPr>
        <w:widowControl w:val="0"/>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91835" cy="1471930"/>
            <wp:effectExtent b="3175" l="3175" r="3175" t="3175"/>
            <wp:docPr id="2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91835" cy="1471930"/>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9. 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cinco de diciembre de dos mil veinticuatro, </w:t>
      </w:r>
      <w:r w:rsidDel="00000000" w:rsidR="00000000" w:rsidRPr="00000000">
        <w:rPr>
          <w:rFonts w:ascii="Palatino Linotype" w:cs="Palatino Linotype" w:eastAsia="Palatino Linotype" w:hAnsi="Palatino Linotype"/>
          <w:sz w:val="22"/>
          <w:szCs w:val="22"/>
          <w:rtl w:val="0"/>
        </w:rPr>
        <w:t xml:space="preserve">al no existir diligencias pendientes por desahogar, se emitió el acuerdo por medio del cual se declaró cerrada la instrucción y se determinó pasar el expediente a resolución, en términos del artículo 185 fracción VI de la Ley de Transparencia y Acceso a la Información Pública del Estado de México y Municipios, de aplicación supletoria, iniciando el término legal para dictar resolución definitiva del asunto.</w:t>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w:t>
      </w:r>
    </w:p>
    <w:p w:rsidR="00000000" w:rsidDel="00000000" w:rsidP="00000000" w:rsidRDefault="00000000" w:rsidRPr="00000000" w14:paraId="00000033">
      <w:pP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10"/>
          <w:szCs w:val="10"/>
        </w:rPr>
      </w:pP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b w:val="1"/>
          <w:sz w:val="10"/>
          <w:szCs w:val="10"/>
        </w:rPr>
      </w:pP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fracción IV de la Constitución Política del Estado Libre y Soberano de México; artículos 1, 2 fracción II, 13, 29, 36 fracciones I y II, 176, 178, 179, 181 párrafo tercero; concatenado con los artículos 1, 81, 82 fracciones I y III, 119, 127, 128 y 129, de la Ley de Protección de Datos Personales en Posesión de Sujetos Obligados del Estado de México y Municipios; 1, 2, fracción II, 13, 29, 36, fracciones I y II, 176, 178, 179, 181, párrafo tercero, 185 y 194, de la Ley de Transparencia y Acceso a la Información Pública del Estado de México y Municipios de aplicación supletoria de la citada Ley de Protección de Datos en términos de su artículo 11; 6,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Segundo. Sobre los alcances del recurso de revisión. </w:t>
      </w:r>
      <w:r w:rsidDel="00000000" w:rsidR="00000000" w:rsidRPr="00000000">
        <w:rPr>
          <w:rFonts w:ascii="Palatino Linotype" w:cs="Palatino Linotype" w:eastAsia="Palatino Linotype" w:hAnsi="Palatino Linotype"/>
          <w:sz w:val="22"/>
          <w:szCs w:val="22"/>
          <w:rtl w:val="0"/>
        </w:rPr>
        <w:t xml:space="preserve">Derivado de la impugnación realizada, es menester señalar que el recurso de revisión inmerso en la Ley de Protección de Datos Personales en Posesión de Sujetos Obligados del Estado de México y Municipios en sus artículos 127, 129, así como en la Ley de Transparencia vigente en la entidad, tiene el fin y alcance que señalan los numerales 176, 179, 181 párrafo cuarto, 194 y 195 y demás aplicables de la Ley de Transparencia y Acceso a la Información Pública del Estado de México y Municipios vigente, supletoria en materia de acceso a datos personales, el cual será analizado conforme a las actuaciones que obren en el expediente electrónico, con la finalidad de reparar cualquier posible afectación al derecho de acceso a la información pública y garantizando el principio rector de máxima publicidad.</w:t>
      </w:r>
      <w:r w:rsidDel="00000000" w:rsidR="00000000" w:rsidRPr="00000000">
        <w:rPr>
          <w:rtl w:val="0"/>
        </w:rPr>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Tercero. Estudio de improcedencia y sobreseimiento. </w:t>
      </w:r>
      <w:r w:rsidDel="00000000" w:rsidR="00000000" w:rsidRPr="00000000">
        <w:rPr>
          <w:rFonts w:ascii="Palatino Linotype" w:cs="Palatino Linotype" w:eastAsia="Palatino Linotype" w:hAnsi="Palatino Linotype"/>
          <w:sz w:val="22"/>
          <w:szCs w:val="22"/>
          <w:rtl w:val="0"/>
        </w:rPr>
        <w:t xml:space="preserve">Este Instituto, previo al análisis de fondo del presente asunto, realizará el estudio preferente y oficioso de las causales de sobreseimiento e improcedencia, en lo que corresponde a las causales de improcedencia, el artículo 112 de la Ley General de Protección de Datos en Posesión de Sujetos Obligados, indica las siguientes:</w:t>
      </w:r>
      <w:r w:rsidDel="00000000" w:rsidR="00000000" w:rsidRPr="00000000">
        <w:rPr>
          <w:rtl w:val="0"/>
        </w:rPr>
      </w:r>
    </w:p>
    <w:p w:rsidR="00000000" w:rsidDel="00000000" w:rsidP="00000000" w:rsidRDefault="00000000" w:rsidRPr="00000000" w14:paraId="0000003B">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widowControl w:val="0"/>
        <w:spacing w:line="276"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112. </w:t>
      </w:r>
      <w:r w:rsidDel="00000000" w:rsidR="00000000" w:rsidRPr="00000000">
        <w:rPr>
          <w:rFonts w:ascii="Palatino Linotype" w:cs="Palatino Linotype" w:eastAsia="Palatino Linotype" w:hAnsi="Palatino Linotype"/>
          <w:i w:val="1"/>
          <w:sz w:val="22"/>
          <w:szCs w:val="22"/>
          <w:rtl w:val="0"/>
        </w:rPr>
        <w:t xml:space="preserve">El recurso de revisión podrá ser desechado por improcedente cuando:</w:t>
      </w:r>
    </w:p>
    <w:p w:rsidR="00000000" w:rsidDel="00000000" w:rsidP="00000000" w:rsidRDefault="00000000" w:rsidRPr="00000000" w14:paraId="0000003D">
      <w:pPr>
        <w:widowControl w:val="0"/>
        <w:spacing w:line="276"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Sea extemporáneo por haber transcurrido el plazo establecido en el artículo 103 de la presente Ley;</w:t>
      </w:r>
    </w:p>
    <w:p w:rsidR="00000000" w:rsidDel="00000000" w:rsidP="00000000" w:rsidRDefault="00000000" w:rsidRPr="00000000" w14:paraId="0000003E">
      <w:pPr>
        <w:widowControl w:val="0"/>
        <w:spacing w:line="276"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titular o su representante no acrediten debidamente su identidad y personalidad de este último;</w:t>
      </w:r>
    </w:p>
    <w:p w:rsidR="00000000" w:rsidDel="00000000" w:rsidP="00000000" w:rsidRDefault="00000000" w:rsidRPr="00000000" w14:paraId="0000003F">
      <w:pPr>
        <w:widowControl w:val="0"/>
        <w:spacing w:line="276"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III. El Instituto o, en su caso, los Organismos garantes hayan resuelto anteriormente en definitiva sobre la materia del mismo;</w:t>
      </w:r>
    </w:p>
    <w:p w:rsidR="00000000" w:rsidDel="00000000" w:rsidP="00000000" w:rsidRDefault="00000000" w:rsidRPr="00000000" w14:paraId="00000040">
      <w:pPr>
        <w:widowControl w:val="0"/>
        <w:spacing w:line="276"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IV. No se actualice alguna de las causales del recurso de revisión previstas en el artículo 104 de la presente Ley;</w:t>
      </w:r>
    </w:p>
    <w:p w:rsidR="00000000" w:rsidDel="00000000" w:rsidP="00000000" w:rsidRDefault="00000000" w:rsidRPr="00000000" w14:paraId="00000041">
      <w:pPr>
        <w:widowControl w:val="0"/>
        <w:spacing w:line="276"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V. Se esté tramitando ante los tribunales competentes algún recurso o medio de defensa interpuesto por el recurrente, o en su caso, por el tercero interesado, en contra del acto recurrido ante el Instituto o los Organismos garantes, según corresponda;</w:t>
      </w:r>
    </w:p>
    <w:p w:rsidR="00000000" w:rsidDel="00000000" w:rsidP="00000000" w:rsidRDefault="00000000" w:rsidRPr="00000000" w14:paraId="00000042">
      <w:pPr>
        <w:widowControl w:val="0"/>
        <w:spacing w:line="276"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VI. El recurrente modifique o amplíe su petición en el recurso de revisión, únicamente respecto de los nuevos contenidos, o </w:t>
      </w:r>
    </w:p>
    <w:p w:rsidR="00000000" w:rsidDel="00000000" w:rsidP="00000000" w:rsidRDefault="00000000" w:rsidRPr="00000000" w14:paraId="00000043">
      <w:pPr>
        <w:widowControl w:val="0"/>
        <w:spacing w:line="276"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El recurrente no acredite interés jurídico.</w:t>
      </w:r>
    </w:p>
    <w:p w:rsidR="00000000" w:rsidDel="00000000" w:rsidP="00000000" w:rsidRDefault="00000000" w:rsidRPr="00000000" w14:paraId="00000044">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base en lo establecido en el precepto de referencia, a la fecha que se resuelve no se actualizan las causales de improcedencia; ya que la Recurrente presentó su recurso dentro del término de quince días otorgado por la Ley; no se tiene conocimiento de que el Instituto o, en su caso, los Organismos garantes hayan resuelto anteriormente en definitiva sobre la materia del mismo; se actualizó la causal de procedencia establecida en la fracción II, del artículo 103, de la Ley General de Protección de Datos en Posesión de Sujetos  Obligados: no se tiene conocimiento de que se esté tramitando ante los tribunales competentes algún recurso o medio de defensa interpuesto por la Recurrente, o en su caso, por el tercero interesado, en contra del acto recurrido ante el Instituto o los Organismos garantes, el particular no amplió su solicitud a través de su medio de impugnación y no fue necesario que el Recurrente acreditara su interés jurídico, ya que es la titular de los datos personales solicitados.</w:t>
      </w:r>
    </w:p>
    <w:p w:rsidR="00000000" w:rsidDel="00000000" w:rsidP="00000000" w:rsidRDefault="00000000" w:rsidRPr="00000000" w14:paraId="00000046">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7">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el artículo 113, de la Ley General de Protección de Datos en Posesión de Sujetos Obligados, consagra lo relativo al sobreseimiento, en los términos siguientes:</w:t>
      </w:r>
    </w:p>
    <w:p w:rsidR="00000000" w:rsidDel="00000000" w:rsidP="00000000" w:rsidRDefault="00000000" w:rsidRPr="00000000" w14:paraId="00000048">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widowControl w:val="0"/>
        <w:spacing w:line="276"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113. </w:t>
      </w:r>
      <w:r w:rsidDel="00000000" w:rsidR="00000000" w:rsidRPr="00000000">
        <w:rPr>
          <w:rFonts w:ascii="Palatino Linotype" w:cs="Palatino Linotype" w:eastAsia="Palatino Linotype" w:hAnsi="Palatino Linotype"/>
          <w:i w:val="1"/>
          <w:sz w:val="22"/>
          <w:szCs w:val="22"/>
          <w:rtl w:val="0"/>
        </w:rPr>
        <w:t xml:space="preserve">El recurso de revisión solo podrá ser sobreseído cuando: </w:t>
      </w:r>
    </w:p>
    <w:p w:rsidR="00000000" w:rsidDel="00000000" w:rsidP="00000000" w:rsidRDefault="00000000" w:rsidRPr="00000000" w14:paraId="0000004A">
      <w:pPr>
        <w:widowControl w:val="0"/>
        <w:spacing w:line="276"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recurrente se desista expresamente; </w:t>
      </w:r>
    </w:p>
    <w:p w:rsidR="00000000" w:rsidDel="00000000" w:rsidP="00000000" w:rsidRDefault="00000000" w:rsidRPr="00000000" w14:paraId="0000004B">
      <w:pPr>
        <w:widowControl w:val="0"/>
        <w:spacing w:line="276"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recurrente fallezca; </w:t>
      </w:r>
    </w:p>
    <w:p w:rsidR="00000000" w:rsidDel="00000000" w:rsidP="00000000" w:rsidRDefault="00000000" w:rsidRPr="00000000" w14:paraId="0000004C">
      <w:pPr>
        <w:widowControl w:val="0"/>
        <w:spacing w:line="276"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Admitido el recurso de revisión, se actualice alguna causal de improcedencia en los términos de la presente Ley; </w:t>
      </w:r>
    </w:p>
    <w:p w:rsidR="00000000" w:rsidDel="00000000" w:rsidP="00000000" w:rsidRDefault="00000000" w:rsidRPr="00000000" w14:paraId="0000004D">
      <w:pPr>
        <w:widowControl w:val="0"/>
        <w:spacing w:line="276"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responsable modifique o revoque su respuesta de tal manera que el recurso de revisión quede sin materia, o </w:t>
      </w:r>
    </w:p>
    <w:p w:rsidR="00000000" w:rsidDel="00000000" w:rsidP="00000000" w:rsidRDefault="00000000" w:rsidRPr="00000000" w14:paraId="0000004E">
      <w:pPr>
        <w:widowControl w:val="0"/>
        <w:spacing w:line="276"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Quede sin materia el recurso de revisión</w:t>
      </w:r>
    </w:p>
    <w:p w:rsidR="00000000" w:rsidDel="00000000" w:rsidP="00000000" w:rsidRDefault="00000000" w:rsidRPr="00000000" w14:paraId="0000004F">
      <w:pPr>
        <w:widowControl w:val="0"/>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0">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análisis  realizado por este Instituto, no se actualiza ninguna de las causales de sobreseimiento mencionadas; ya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se ha desistido del recurso, no existe constancia que permita inferir que el particular haya fallecido; asimismo, no se advierte que el recurso de revisión actualice alguna causal de improcedencia establecida en el artículo 112, de la Ley citada, asimismo el responsable no modificó su respuesta de tal manera que haya dejado sin materia el presente recurso de revisión ni que se haya quedado sin materia por alguna otra circunstancia, siendo oportuno entrar al estudio de fondo del presente asunto.</w:t>
      </w:r>
    </w:p>
    <w:p w:rsidR="00000000" w:rsidDel="00000000" w:rsidP="00000000" w:rsidRDefault="00000000" w:rsidRPr="00000000" w14:paraId="00000051">
      <w:pPr>
        <w:spacing w:line="360" w:lineRule="auto"/>
        <w:ind w:right="51"/>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y resolución del asunto.</w:t>
      </w:r>
      <w:r w:rsidDel="00000000" w:rsidR="00000000" w:rsidRPr="00000000">
        <w:rPr>
          <w:rFonts w:ascii="Palatino Linotype" w:cs="Palatino Linotype" w:eastAsia="Palatino Linotype" w:hAnsi="Palatino Linotype"/>
          <w:sz w:val="22"/>
          <w:szCs w:val="22"/>
          <w:rtl w:val="0"/>
        </w:rPr>
        <w:t xml:space="preserve"> Antes del entrar al estudio, cabe precisar que el Sujeto Obligado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actualizan las hipótesis, señaladas en las fracciones VII y XI del artículo 129 de la Ley de Protección de Datos Personales en Posesión de Sujetos Obligados del Estado de México y Municipios, resultando procedente la interposición del recurso de revisión cuando no se dé respuesta a una solicitud para el ejercicio de los derechos ARCO.</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las cosas, ante la omisión del Sujeto Obligado para dar respuesta al Recurrente, se advierte lo que en la doctrina se le conoce como </w:t>
      </w:r>
      <w:r w:rsidDel="00000000" w:rsidR="00000000" w:rsidRPr="00000000">
        <w:rPr>
          <w:rFonts w:ascii="Palatino Linotype" w:cs="Palatino Linotype" w:eastAsia="Palatino Linotype" w:hAnsi="Palatino Linotype"/>
          <w:b w:val="1"/>
          <w:sz w:val="22"/>
          <w:szCs w:val="22"/>
          <w:u w:val="single"/>
          <w:rtl w:val="0"/>
        </w:rPr>
        <w:t xml:space="preserve">negativa ficta</w:t>
      </w:r>
      <w:r w:rsidDel="00000000" w:rsidR="00000000" w:rsidRPr="00000000">
        <w:rPr>
          <w:rFonts w:ascii="Palatino Linotype" w:cs="Palatino Linotype" w:eastAsia="Palatino Linotype" w:hAnsi="Palatino Linotype"/>
          <w:sz w:val="22"/>
          <w:szCs w:val="22"/>
          <w:rtl w:val="0"/>
        </w:rPr>
        <w:t xml:space="preserve">, figura jurídica cuya esencia consiste en atribuir un efecto negativo al silencio de la autoridad administrativa frente a las instancias y solicitudes que hagan los particulares.</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la negativa ficta constituye una presunción legal, en el entendido de que donde no hubo respuesta por parte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existe, una resolución de rechazo ante la solicitud del ciudadano; ya que efectivamente, dicha figura se encuentra íntimamente vinculada con los derechos de acceso, rectificación, cancelación y oposición de datos personales, consagrados en nuestra Carta Magna, es por ello que constituye un instrumento que garantiza la posibilidad de defensa del particular en contra de la incertidumbre jurídica y que tiende a realizar ese Estado de Derecho en el que, el particular, tiene siempre una vía de defensa.</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en el marco del derecho de acceso a la información pública, la figura de la negativa ficta brinda al ciudadano la oportunidad de inconformarse en los casos en que estime violentado su derecho; en consecuencia, resulta indispensable subrayar que el derecho a la rectificación de datos personales implica que los titulares de los datos puedan solicitar su rectificación al sujeto obligado responsable del tratamiento, cuando estos sean inexactos, incompletos, desactualizados, inadecuados o excesivos, como se establece en el artículo 99 de la Ley de Protección de Datos estatal, que a la letra estipula lo siguiente:</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99. El titular tendrá derecho a solicitar la rectificación de sus datos personales cuando sean inexactos, incompletos, desactualizados, inadecuados o excesivos.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Será el responsable del tratamiento, en términos de los lineamientos que emita el Instituto, quien decidirá cuando la rectificación resulte imposible o exija esfuerzos desproporcionados.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rectificación podrá hacerse de oficio, cuando el responsable del tratamiento tenga en su posesión los documentos que acrediten la inexactitud de los datos.[…]”</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76" w:lineRule="auto"/>
        <w:ind w:left="567" w:right="616"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conforme a las acciones del Sujeto Obligado, se establece que éste vulnera el derecho de rectificación de datos personales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toda vez que no dio respuesta.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396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punto, es toral recordar que la parte Recurrente solicitó la rectificación de sus datos personales, bajo los siguientes términos:</w:t>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396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51" w:right="89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Datos personales incorrectos: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Descripción de los errores en mi acta de nacimiento electrónica: 1. Favor de corregir la fecha de registro, dice 26/11/1964, y debe decir 16/11/1964. 2. Favor de corregir donde dice sexo hombre y debe decir mujer. 3. Favor ligar la búsqueda con mi CURP XXXXXXXXXXXXXXXXXXXX, toda vez que solamente la puedo encontrar mediante datos personales. Bajo protesta de decir verdad, manifiesto que los documentos oficiales que adjunto a la presente solicitud son los únicos con los que cuento, razón por la cual me veo en la necesidad de solicitar mi acta de nacimiento para solicitar mis documentos oficiales. Adjunto pdf con solicitud de corrección de datos detallada para mayor referencia.” (Sic)</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89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51" w:right="89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Datos personales correctos: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“ACTA DE NACIMIENTO Libro XXX Año XXXX Foja XX Acta XXX Oficialía - Lugar Otzoloapan, Estado de México. Registro 16/11/1964 Nacimiento </w:t>
      </w:r>
      <w:r w:rsidDel="00000000" w:rsidR="00000000" w:rsidRPr="00000000">
        <w:rPr>
          <w:rFonts w:ascii="Palatino Linotype" w:cs="Palatino Linotype" w:eastAsia="Palatino Linotype" w:hAnsi="Palatino Linotype"/>
          <w:i w:val="1"/>
          <w:sz w:val="22"/>
          <w:szCs w:val="22"/>
          <w:rtl w:val="0"/>
        </w:rPr>
        <w:t xml:space="preserve">XXXXXXXX</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Nombre XXXXXXXX XXXXXXX XXXXXX Sexo </w:t>
      </w:r>
      <w:r w:rsidDel="00000000" w:rsidR="00000000" w:rsidRPr="00000000">
        <w:rPr>
          <w:rFonts w:ascii="Palatino Linotype" w:cs="Palatino Linotype" w:eastAsia="Palatino Linotype" w:hAnsi="Palatino Linotype"/>
          <w:i w:val="1"/>
          <w:sz w:val="22"/>
          <w:szCs w:val="22"/>
          <w:rtl w:val="0"/>
        </w:rPr>
        <w:t xml:space="preserve">XXXXXXXXX</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(Sic)</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efecto de lo anterior, el particular adjuntó a su solicitud de rectificación de datos personales las documentales señaladas en el antecedente primero de la presente resolución, que consisten en: Escrito de solicitud de corrección de datos personales; Clave Única de Registro de Población; Acta de Nacimiento y Reconocimiento; Acta de Nacimiento Electrónica</w:t>
      </w:r>
      <w:r w:rsidDel="00000000" w:rsidR="00000000" w:rsidRPr="00000000">
        <w:rPr>
          <w:rtl w:val="0"/>
        </w:rPr>
        <w:t xml:space="preserve">; </w:t>
      </w:r>
      <w:r w:rsidDel="00000000" w:rsidR="00000000" w:rsidRPr="00000000">
        <w:rPr>
          <w:rFonts w:ascii="Palatino Linotype" w:cs="Palatino Linotype" w:eastAsia="Palatino Linotype" w:hAnsi="Palatino Linotype"/>
          <w:sz w:val="22"/>
          <w:szCs w:val="22"/>
          <w:rtl w:val="0"/>
        </w:rPr>
        <w:t xml:space="preserve">Credencial de elector expedida por el entonces Instituto Federal Electoral; y, consulta de la lista nominal del INE sobre la vigencia de la credencial de elector; todos estos documentos expedidos a nombre de la persona solicitante.</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lo anterior,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fue omiso en otorgar respuesta, situación por la que, la parte Solicitante se inconformó.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Posteriormente,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fue omiso en rendir informe justificado. </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se tiene que el presente recurso de revisión es procedente; toda vez que se actualiza la hipótesis prevista en la fracción VII del artículo 129 de la Ley de la materia, que a la letra dice:</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129.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recurso de revisión procederá en los supuestos siguientes: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616"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w:t>
        <w:tab/>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No se dé respuesta a una solicitud para el ejercicio de los derechos ARCO dentro de los plazos establecidos en la presente Ley y demás disposiciones que resulten aplicables en la materia.</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El precepto legal citado, establece como supuestos de procedencia del recurso de revisión, en aquellos casos en que no se dé respuesta a lo solicitado por los particulares y en el presente asunto,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omitió dar, tanto trámite como respuesta a lo requerido por el ahora Recurrente.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determinada la vía sobre la que versará el presente asunto y previa revisión del expediente electrónico formado en la plataforma SARCOEM</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por motivo de la solicitud de acceso a datos personales y del recurso de revisión al que dio origen, se observa que el Sujeto Obligado</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no dio respuesta a la solicitud de información planteada por el particular, lo que se traduce como la configuración de la negativa ficta.</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determinada la controversia a resolver se advierte que la parte</w:t>
      </w:r>
      <w:r w:rsidDel="00000000" w:rsidR="00000000" w:rsidRPr="00000000">
        <w:rPr>
          <w:rFonts w:ascii="Palatino Linotype" w:cs="Palatino Linotype" w:eastAsia="Palatino Linotype" w:hAnsi="Palatino Linotype"/>
          <w:b w:val="1"/>
          <w:sz w:val="22"/>
          <w:szCs w:val="22"/>
          <w:rtl w:val="0"/>
        </w:rPr>
        <w:t xml:space="preserve"> Recurrente </w:t>
      </w:r>
      <w:r w:rsidDel="00000000" w:rsidR="00000000" w:rsidRPr="00000000">
        <w:rPr>
          <w:rFonts w:ascii="Palatino Linotype" w:cs="Palatino Linotype" w:eastAsia="Palatino Linotype" w:hAnsi="Palatino Linotype"/>
          <w:sz w:val="22"/>
          <w:szCs w:val="22"/>
          <w:rtl w:val="0"/>
        </w:rPr>
        <w:t xml:space="preserve">pretende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rectificar su acta de nacimiento electrónica, al respecto de una búsqueda en la página de actas de nacimiento</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se encontró lo siguiente:</w:t>
      </w:r>
    </w:p>
    <w:p w:rsidR="00000000" w:rsidDel="00000000" w:rsidP="00000000" w:rsidRDefault="00000000" w:rsidRPr="00000000" w14:paraId="0000007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42940" cy="1527175"/>
            <wp:effectExtent b="0" l="0" r="0" t="0"/>
            <wp:docPr id="2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42940" cy="152717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E">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AVISO DE PRIVACIDAD INTEGRAL DEL ACTA DE NACIMIENTO EN LÍNEA</w:t>
      </w:r>
    </w:p>
    <w:p w:rsidR="00000000" w:rsidDel="00000000" w:rsidP="00000000" w:rsidRDefault="00000000" w:rsidRPr="00000000" w14:paraId="0000007F">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0">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recolección de datos personales se lleva a cabo a través de www.gob.mx/actanacimiento, cuyo administrador y responsable del tratamiento es la Coordinación de Estrategia Digital Nacional de la Oficina de la Presidencia de la República. Al mismo tiempo, la Dirección General del Registro Nacional de Población e Identidad (RENAPO) de la Secretaría de Gobernación (SEGOB) es la responsable del trámite de acta de nacimiento.</w:t>
      </w:r>
    </w:p>
    <w:p w:rsidR="00000000" w:rsidDel="00000000" w:rsidP="00000000" w:rsidRDefault="00000000" w:rsidRPr="00000000" w14:paraId="00000081">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2">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Sujetos Obligados</w:t>
      </w:r>
    </w:p>
    <w:p w:rsidR="00000000" w:rsidDel="00000000" w:rsidP="00000000" w:rsidRDefault="00000000" w:rsidRPr="00000000" w14:paraId="00000083">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4">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Coordinación de Estrategia Digital Nacional de la Oficina de la Presidencia de la República con domicilio en Avenida Constituyentes, número 161, piso 4, colonia San Miguel Chapultepec II sección, demarcación territorial Miguel Hidalgo, México, código postal 11850, en la Ciudad de México, y la Dirección General del Registro Nacional de Población e Identidad (RENAPO) de la Secretaría de Gobernación (SEGOB) con domicilio en Avenida Melchor Ocampo, Número 171, Colonia Tlaxpana, Miguel Hidalgo, Código Postal 11370, Ciudad de México, son los sujetos obligados y responsables del tratamiento de los datos personales que se recaban a través de www.gob.mx/actanacimiento, los cuales serán protegidos conforme a lo dispuesto por la Ley General de Protección de Datos Personales en Posesión de Sujetos Obligados, y demás normatividad que resulte aplicable.</w:t>
      </w:r>
    </w:p>
    <w:p w:rsidR="00000000" w:rsidDel="00000000" w:rsidP="00000000" w:rsidRDefault="00000000" w:rsidRPr="00000000" w14:paraId="00000085">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6">
      <w:pPr>
        <w:spacing w:line="276" w:lineRule="auto"/>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Mecanismo para ejercer sus derechos de acceso, rectificación, cancelación u oposición de sus datos personales (ARCO)</w:t>
      </w:r>
    </w:p>
    <w:p w:rsidR="00000000" w:rsidDel="00000000" w:rsidP="00000000" w:rsidRDefault="00000000" w:rsidRPr="00000000" w14:paraId="00000087">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8">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Ante RENAPO. El titular de los datos podrá ejercer sus derechos ARCO personalmente ante el Módulo de Atención de la Unidad de Transparencia de la </w:t>
      </w:r>
      <w:r w:rsidDel="00000000" w:rsidR="00000000" w:rsidRPr="00000000">
        <w:rPr>
          <w:rFonts w:ascii="Palatino Linotype" w:cs="Palatino Linotype" w:eastAsia="Palatino Linotype" w:hAnsi="Palatino Linotype"/>
          <w:b w:val="1"/>
          <w:i w:val="1"/>
          <w:sz w:val="22"/>
          <w:szCs w:val="22"/>
          <w:rtl w:val="0"/>
        </w:rPr>
        <w:t xml:space="preserve">Secretaría de Gobernación</w:t>
      </w:r>
      <w:r w:rsidDel="00000000" w:rsidR="00000000" w:rsidRPr="00000000">
        <w:rPr>
          <w:rFonts w:ascii="Palatino Linotype" w:cs="Palatino Linotype" w:eastAsia="Palatino Linotype" w:hAnsi="Palatino Linotype"/>
          <w:i w:val="1"/>
          <w:sz w:val="22"/>
          <w:szCs w:val="22"/>
          <w:rtl w:val="0"/>
        </w:rPr>
        <w:t xml:space="preserve">, ubicado en Avenida Bahía de Santa Bárbara, Número 193, Colonia Verónica Anzures, C.P. 11300, Miguel Hidalgo, Ciudad de México, o bien, a través de la </w:t>
      </w:r>
      <w:r w:rsidDel="00000000" w:rsidR="00000000" w:rsidRPr="00000000">
        <w:rPr>
          <w:rFonts w:ascii="Palatino Linotype" w:cs="Palatino Linotype" w:eastAsia="Palatino Linotype" w:hAnsi="Palatino Linotype"/>
          <w:b w:val="1"/>
          <w:i w:val="1"/>
          <w:sz w:val="22"/>
          <w:szCs w:val="22"/>
          <w:rtl w:val="0"/>
        </w:rPr>
        <w:t xml:space="preserve">Plataforma Nacional de Transparencia (http://www.plataformadetransparencia.org.mx/)</w:t>
      </w:r>
      <w:r w:rsidDel="00000000" w:rsidR="00000000" w:rsidRPr="00000000">
        <w:rPr>
          <w:rFonts w:ascii="Palatino Linotype" w:cs="Palatino Linotype" w:eastAsia="Palatino Linotype" w:hAnsi="Palatino Linotype"/>
          <w:i w:val="1"/>
          <w:sz w:val="22"/>
          <w:szCs w:val="22"/>
          <w:rtl w:val="0"/>
        </w:rPr>
        <w:t xml:space="preserve">, o por medio del correo electrónico: transparencia@segob.gob.mx.</w:t>
      </w:r>
    </w:p>
    <w:p w:rsidR="00000000" w:rsidDel="00000000" w:rsidP="00000000" w:rsidRDefault="00000000" w:rsidRPr="00000000" w14:paraId="00000089">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A">
      <w:pPr>
        <w:spacing w:line="276" w:lineRule="auto"/>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Ante UGD. El titular de los datos podrá ejercer sus derechos ARCO personalmente ante el Módulo de Atención de la Unidad de Transparencia de la Secretaría de la Función Pública ubicada en Avenida Insurgentes, Número 1735, Planta Baja, Colonia Guadalupe Inn, Álvaro Obregón, México, Código Postal 01020, Ciudad de México, o bien, a través de la Plataforma Nacional de Transparencia (http://www.plataformadetransparencia.org.mx/) o por medio del correo electrónico: derechos.arco@funcionpublica.gob.mx.”</w:t>
      </w:r>
    </w:p>
    <w:p w:rsidR="00000000" w:rsidDel="00000000" w:rsidP="00000000" w:rsidRDefault="00000000" w:rsidRPr="00000000" w14:paraId="0000008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puede advertir que existe una incompetencia evidente del Ayuntamiento de Otzoloapan para atender la rectificación de datos que pretende realizar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y que diverso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cumplir con las obligaciones, procesos, procedimientos y responsabilidades establecidas que tanto en la Ley General de Transparencia y Acceso a la Información Pública (Ley General), como en la Ley de Transparencia y Acceso a la Información Pública de nuestra entidad, así como, con los demás ordenamientos jurídicos aplicables en la materia, ello con la finalidad de fomentar la transparencia, el ejercicio del derecho de acceso a la información pública, la eficiencia de los Sujetos Obligados y la participación ciudadana. </w:t>
      </w:r>
    </w:p>
    <w:p w:rsidR="00000000" w:rsidDel="00000000" w:rsidP="00000000" w:rsidRDefault="00000000" w:rsidRPr="00000000" w14:paraId="0000008D">
      <w:pPr>
        <w:spacing w:line="360" w:lineRule="auto"/>
        <w:ind w:right="51"/>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8E">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tanto, es necesario traer a contexto lo dispuesto en el primer párrafo del artículo 112 de la Ley de Protección de Datos Personales en Posesión de Sujetos Obligados del Estado de México y Municipios, a saber:</w:t>
      </w:r>
    </w:p>
    <w:p w:rsidR="00000000" w:rsidDel="00000000" w:rsidP="00000000" w:rsidRDefault="00000000" w:rsidRPr="00000000" w14:paraId="0000008F">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0">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Artículo 112. Cuando el responsable no sea competente para atender la solicitud para el ejercicio de derechos ARCO, deberá hacer del conocimiento del titular dicha situación dentro de los tres días siguientes a la presentación de la solicitud y en caso de poderlo determinar, orientarlo hacia el responsable competente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1">
      <w:pPr>
        <w:spacing w:line="360" w:lineRule="auto"/>
        <w:ind w:right="51"/>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9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normativo se desprende que cuando el responsable de los datos personales, determine una notoria incompetencia para el ejercicio de los derechos ARCO, deben realizar lo siguiente:</w:t>
      </w:r>
    </w:p>
    <w:p w:rsidR="00000000" w:rsidDel="00000000" w:rsidP="00000000" w:rsidRDefault="00000000" w:rsidRPr="00000000" w14:paraId="0000009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4">
      <w:pPr>
        <w:numPr>
          <w:ilvl w:val="0"/>
          <w:numId w:val="3"/>
        </w:numPr>
        <w:tabs>
          <w:tab w:val="left" w:leader="none" w:pos="709"/>
        </w:tabs>
        <w:spacing w:line="360" w:lineRule="auto"/>
        <w:ind w:left="425"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Hacerlo del conocimiento de la persona solicitante, dentro de los tres días hábiles, posteriores a la presentación de la solicitud de información, y</w:t>
      </w:r>
    </w:p>
    <w:p w:rsidR="00000000" w:rsidDel="00000000" w:rsidP="00000000" w:rsidRDefault="00000000" w:rsidRPr="00000000" w14:paraId="00000095">
      <w:pPr>
        <w:numPr>
          <w:ilvl w:val="0"/>
          <w:numId w:val="3"/>
        </w:numPr>
        <w:tabs>
          <w:tab w:val="left" w:leader="none" w:pos="709"/>
        </w:tabs>
        <w:spacing w:line="360" w:lineRule="auto"/>
        <w:ind w:left="425"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caso de poder determinar al Sujeto Obligado competente, orientarle a la persona solicitante a presentar la solicitud ante el mismo.</w:t>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No obstante, en el presente caso,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fue omiso en dar respuesta y por tanto en hacer del conocimiento de la persona solicitante la incompetencia para atender la solicitud de rectificación de datos personales.</w:t>
      </w:r>
      <w:r w:rsidDel="00000000" w:rsidR="00000000" w:rsidRPr="00000000">
        <w:rPr>
          <w:rtl w:val="0"/>
        </w:rPr>
      </w:r>
    </w:p>
    <w:p w:rsidR="00000000" w:rsidDel="00000000" w:rsidP="00000000" w:rsidRDefault="00000000" w:rsidRPr="00000000" w14:paraId="00000098">
      <w:pPr>
        <w:spacing w:line="360" w:lineRule="auto"/>
        <w:ind w:right="51"/>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9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atendiendo 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dio cumplimiento al requisito de hacer del conocimiento de la persona solicitante la notoria incompetencia para llevar a cabo la rectificación de los datos personales contenidos en actas de nacimiento, dentro del plazo de tres días hábiles posteriores a la presentación de la solicitud, es que se hace necesario la emisión del acuerdo por el que el Comité de Transparencia confirme la declaratoria de incompetencia para llevar a cabo la rectificación de datos personales requerida.</w:t>
      </w:r>
    </w:p>
    <w:p w:rsidR="00000000" w:rsidDel="00000000" w:rsidP="00000000" w:rsidRDefault="00000000" w:rsidRPr="00000000" w14:paraId="0000009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Resultando aplicable a lo anterior, de manera supletoria, lo dispuesto por los artículos 49, fracción II y 53, fracción III de la Ley de Transparencia y Acceso a la Información Pública del Estado de México y Municipios, a saber:</w:t>
      </w:r>
    </w:p>
    <w:p w:rsidR="00000000" w:rsidDel="00000000" w:rsidP="00000000" w:rsidRDefault="00000000" w:rsidRPr="00000000" w14:paraId="0000009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D">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 </w:t>
      </w:r>
      <w:r w:rsidDel="00000000" w:rsidR="00000000" w:rsidRPr="00000000">
        <w:rPr>
          <w:rFonts w:ascii="Palatino Linotype" w:cs="Palatino Linotype" w:eastAsia="Palatino Linotype" w:hAnsi="Palatino Linotype"/>
          <w:i w:val="1"/>
          <w:sz w:val="22"/>
          <w:szCs w:val="22"/>
          <w:rtl w:val="0"/>
        </w:rPr>
        <w:t xml:space="preserve">Los Comités de Transparencia tendrán las siguientes atribuciones:</w:t>
      </w:r>
    </w:p>
    <w:p w:rsidR="00000000" w:rsidDel="00000000" w:rsidP="00000000" w:rsidRDefault="00000000" w:rsidRPr="00000000" w14:paraId="0000009E">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9F">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Confirmar, modificar o revocar las determinaciones que en materia de ampliación del plazo de respuesta, clasificación de la información y declaración de inexistencia </w:t>
      </w:r>
      <w:r w:rsidDel="00000000" w:rsidR="00000000" w:rsidRPr="00000000">
        <w:rPr>
          <w:rFonts w:ascii="Palatino Linotype" w:cs="Palatino Linotype" w:eastAsia="Palatino Linotype" w:hAnsi="Palatino Linotype"/>
          <w:b w:val="1"/>
          <w:i w:val="1"/>
          <w:sz w:val="22"/>
          <w:szCs w:val="22"/>
          <w:rtl w:val="0"/>
        </w:rPr>
        <w:t xml:space="preserve">o de incompetencia realicen los titulares de las áreas de los sujetos obligados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0">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1">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2">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53. Las Unidades de Transparencia tendrán las siguientes funciones: </w:t>
      </w:r>
    </w:p>
    <w:p w:rsidR="00000000" w:rsidDel="00000000" w:rsidP="00000000" w:rsidRDefault="00000000" w:rsidRPr="00000000" w14:paraId="000000A3">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4">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Auxiliar a los particulares en la elaboración de solicitudes de acceso a la información y, en su caso, orientarlos sobre los sujetos obligados competentes conforme a la normatividad aplicable;”</w:t>
      </w:r>
    </w:p>
    <w:p w:rsidR="00000000" w:rsidDel="00000000" w:rsidP="00000000" w:rsidRDefault="00000000" w:rsidRPr="00000000" w14:paraId="000000A5">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6">
      <w:pPr>
        <w:ind w:left="567" w:right="567"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A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Preceptos de los cuales se desprende que las </w:t>
      </w:r>
      <w:r w:rsidDel="00000000" w:rsidR="00000000" w:rsidRPr="00000000">
        <w:rPr>
          <w:rFonts w:ascii="Palatino Linotype" w:cs="Palatino Linotype" w:eastAsia="Palatino Linotype" w:hAnsi="Palatino Linotype"/>
          <w:b w:val="1"/>
          <w:sz w:val="22"/>
          <w:szCs w:val="22"/>
          <w:rtl w:val="0"/>
        </w:rPr>
        <w:t xml:space="preserve">Unidades de Transparencia son responsables de orientar a los particulares respecto de la dependencia, entidad u órgano que pudiera, en este caso, dar atención a la solicitud de rectificación de datos personales, cuando la misma no sea competencia del sujeto obligado ante el cual se formule la solicitud</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que los </w:t>
      </w:r>
      <w:r w:rsidDel="00000000" w:rsidR="00000000" w:rsidRPr="00000000">
        <w:rPr>
          <w:rFonts w:ascii="Palatino Linotype" w:cs="Palatino Linotype" w:eastAsia="Palatino Linotype" w:hAnsi="Palatino Linotype"/>
          <w:b w:val="1"/>
          <w:sz w:val="22"/>
          <w:szCs w:val="22"/>
          <w:rtl w:val="0"/>
        </w:rPr>
        <w:t xml:space="preserve">Comités de Transparencia tienen entre sus atribuciones confirmar, modificar o revocar la declaración de incompetencia</w:t>
      </w:r>
      <w:r w:rsidDel="00000000" w:rsidR="00000000" w:rsidRPr="00000000">
        <w:rPr>
          <w:rFonts w:ascii="Palatino Linotype" w:cs="Palatino Linotype" w:eastAsia="Palatino Linotype" w:hAnsi="Palatino Linotype"/>
          <w:sz w:val="22"/>
          <w:szCs w:val="22"/>
          <w:rtl w:val="0"/>
        </w:rPr>
        <w:t xml:space="preserve"> que realicen los titulares de las unidades administrativas.</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cuando las Unidades de Transparencia determinen la notoria incompetencia por parte de </w:t>
      </w:r>
      <w:r w:rsidDel="00000000" w:rsidR="00000000" w:rsidRPr="00000000">
        <w:rPr>
          <w:rFonts w:ascii="Palatino Linotype" w:cs="Palatino Linotype" w:eastAsia="Palatino Linotype" w:hAnsi="Palatino Linotype"/>
          <w:b w:val="1"/>
          <w:sz w:val="22"/>
          <w:szCs w:val="22"/>
          <w:rtl w:val="0"/>
        </w:rPr>
        <w:t xml:space="preserve">los sujetos obligados deberán comunicar al solicitante la misma dentro de los tres días posteriores a la recepción de la solicitud</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logra observar, si bien la Ley de la materia, prevé el supuesto de incompetencia para que los sujetos obligados den atención a solitudes, también lo es, que no se precisa en que consiste dicho concepto; al respecto, Cabanellas, Guillermo (1993), en el “Diccionario Jurídico Elemental” (p. 32 y 161), precisó los siguientes conceptos:</w:t>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567"/>
          <w:tab w:val="left" w:leader="none" w:pos="851"/>
        </w:tabs>
        <w:spacing w:after="240" w:before="240" w:line="276"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tab/>
        <w:t xml:space="preserve">Competencia: La capacidad de una autoridad para conocer sobre una materia o asunto.</w:t>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567"/>
          <w:tab w:val="left" w:leader="none" w:pos="851"/>
        </w:tabs>
        <w:spacing w:after="240" w:before="240" w:line="276"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tab/>
        <w:t xml:space="preserve">Incompetencia: Falta de Competencia.</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la incompetencia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LEGITIMACIÓN DE FUNCIONARIOS PÚBLICOS. LOS TRIBUNALES DE AMPARO, POR ESTAR VINCULADOS CON EL CONCEPTO DE COMPETENCIA A QUE SE REFIERE EL ARTÍCULO 16 CONSTITUCIONAL, NO PUEDEN CONOCER DE AQUÉLLA.</w:t>
      </w:r>
      <w:r w:rsidDel="00000000" w:rsidR="00000000" w:rsidRPr="00000000">
        <w:rPr>
          <w:rFonts w:ascii="Palatino Linotype" w:cs="Palatino Linotype" w:eastAsia="Palatino Linotype" w:hAnsi="Palatino Linotype"/>
          <w:i w:val="1"/>
          <w:sz w:val="22"/>
          <w:szCs w:val="22"/>
          <w:rtl w:val="0"/>
        </w:rPr>
        <w:t xml:space="preserve"> 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necesario traer a colación, el Criterio 13/17, emitido por el Instituto Nacional de Transparencia, Acceso a la Información y Protección de Datos Personales, que dispone lo siguiente: </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Incompetencia</w:t>
      </w:r>
      <w:r w:rsidDel="00000000" w:rsidR="00000000" w:rsidRPr="00000000">
        <w:rPr>
          <w:rFonts w:ascii="Palatino Linotype" w:cs="Palatino Linotype" w:eastAsia="Palatino Linotype" w:hAnsi="Palatino Linotype"/>
          <w:i w:val="1"/>
          <w:sz w:val="22"/>
          <w:szCs w:val="22"/>
          <w:rtl w:val="0"/>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8">
      <w:pPr>
        <w:tabs>
          <w:tab w:val="left" w:leader="none" w:pos="709"/>
        </w:tabs>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virtud, la incompetencia implica que, de conformidad con las atribuciones conferidas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habría razón por la cual éste deba dar atención a la solicitud planteada, en cuyo caso, tendría que orientar al particular para que acuda a la instancia competente.</w:t>
      </w:r>
    </w:p>
    <w:p w:rsidR="00000000" w:rsidDel="00000000" w:rsidP="00000000" w:rsidRDefault="00000000" w:rsidRPr="00000000" w14:paraId="000000B9">
      <w:pPr>
        <w:tabs>
          <w:tab w:val="left" w:leader="none" w:pos="709"/>
        </w:tabs>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A">
      <w:pPr>
        <w:tabs>
          <w:tab w:val="left" w:leader="none" w:pos="709"/>
        </w:tabs>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 confirmar la incompetencia que en el presente asunto encuadra en el supuesto de la Ley, es decir se deberá elaborar el acuerdo mediante el cual se confirme la incompetencia respecto a la solicitud de rectificación de datos personales presentada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debiendo notificarle de igual forma el Acuerdo de referencia.</w:t>
      </w:r>
    </w:p>
    <w:p w:rsidR="00000000" w:rsidDel="00000000" w:rsidP="00000000" w:rsidRDefault="00000000" w:rsidRPr="00000000" w14:paraId="000000BB">
      <w:pPr>
        <w:tabs>
          <w:tab w:val="left" w:leader="none" w:pos="709"/>
        </w:tabs>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C">
      <w:pPr>
        <w:tabs>
          <w:tab w:val="left" w:leader="none" w:pos="709"/>
        </w:tabs>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ante la incompetencia,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tiene la potestad de orientar al particular sobre la dependencia pública ante quien deba presentar su solicitud de información; situación que en el caso concreto el ente público tampoco cumplió.</w:t>
      </w:r>
    </w:p>
    <w:p w:rsidR="00000000" w:rsidDel="00000000" w:rsidP="00000000" w:rsidRDefault="00000000" w:rsidRPr="00000000" w14:paraId="000000BD">
      <w:pPr>
        <w:tabs>
          <w:tab w:val="left" w:leader="none" w:pos="709"/>
        </w:tabs>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E">
      <w:pPr>
        <w:tabs>
          <w:tab w:val="left" w:leader="none" w:pos="709"/>
        </w:tabs>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dejan a salvo los derechos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para que formule una nueva solicitud de rectificación de datos personales respecto del acta de nacimiento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competente, para lo cual deberá señalar de manera precisa los datos correctos a modificar.</w:t>
      </w:r>
    </w:p>
    <w:p w:rsidR="00000000" w:rsidDel="00000000" w:rsidP="00000000" w:rsidRDefault="00000000" w:rsidRPr="00000000" w14:paraId="000000B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último, es necesario señalar que el recurso de revisión previsto en la Ley de Protección de Datos local no es la vía idónea para investigar y sancionar a servidores públicos con motivo de la falta de respuesta a solicitudes de ejercicio de los derechos ARCO; no obstante, ante la vulneración del derecho de acceso a datos personales y de conformidad con las razones o motivos de inconformidad expuestos al momento de interponer este medio de impugnación, resulta procedente dar vista a la Secretaría Técnica del Pleno, para que en el ejercicio de las competencias reservadas integre y remita al Órgano de Control Interno competente, un expediente formado con motivo de las presuntas infracciones de carácter omisivo cometidas en detrimento al derecho del ejercicio de los derechos ARCO.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efecto, la Secretaría Técnica del Pleno hará del conocimiento del órgano interno de control competente de las infracciones en que el Sujeto Obligado incurrió, toda vez que la naturaleza de investigar y sancionar corresponde a un ente distinto a éste a través de un procedimiento diferente al recurso de revisión, lo cual se encuentra previsto en la Ley de Protección de Datos Personales en Posesión de Sujetos Obligados del Estado de México, específicamente en sus artículos 137 último párrafo y 165, que señalan lo siguiente:</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4">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C5">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6">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el Instituto determine durante la sustanciación del recurso de revisión que se pudo haber incurrido en una probable responsabilidad por el incumplimiento a las obligaciones previstas en la presente Ley y demás disposiciones que resulten aplicables en la materia, deberán hacerlo del conocimiento del órgano interno de control o de la instancia competente del responsable para que ésta inicie, en su caso, el Procedimiento de Responsabilidad respectivo.</w:t>
      </w:r>
    </w:p>
    <w:p w:rsidR="00000000" w:rsidDel="00000000" w:rsidP="00000000" w:rsidRDefault="00000000" w:rsidRPr="00000000" w14:paraId="000000C7">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8">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165.</w:t>
      </w:r>
      <w:r w:rsidDel="00000000" w:rsidR="00000000" w:rsidRPr="00000000">
        <w:rPr>
          <w:rFonts w:ascii="Palatino Linotype" w:cs="Palatino Linotype" w:eastAsia="Palatino Linotype" w:hAnsi="Palatino Linotype"/>
          <w:i w:val="1"/>
          <w:sz w:val="22"/>
          <w:szCs w:val="22"/>
          <w:rtl w:val="0"/>
        </w:rPr>
        <w:t xml:space="preserve"> Serán causas de responsabilidad administrativa de las y los servidores públicos por incumplimiento de las obligaciones establecidas en la presente Ley, las siguientes::</w:t>
      </w:r>
    </w:p>
    <w:p w:rsidR="00000000" w:rsidDel="00000000" w:rsidP="00000000" w:rsidRDefault="00000000" w:rsidRPr="00000000" w14:paraId="000000C9">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A">
      <w:pPr>
        <w:spacing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Actuar con negligencia, dolo o mala fe en la sustanciación de las solicitudes de acceso, rectificación, cancelación u oposición de datos personales, así como los demás derechos previstos por esta Ley.</w:t>
      </w:r>
    </w:p>
    <w:p w:rsidR="00000000" w:rsidDel="00000000" w:rsidP="00000000" w:rsidRDefault="00000000" w:rsidRPr="00000000" w14:paraId="000000CB">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C">
      <w:pPr>
        <w:spacing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Incumplir los plazos de atención previstos en la presente Ley para responder las solicitudes para el ejercicio de los derechos ARCO o para hacer efectivo el derecho que se trate.</w:t>
      </w:r>
    </w:p>
    <w:p w:rsidR="00000000" w:rsidDel="00000000" w:rsidP="00000000" w:rsidRDefault="00000000" w:rsidRPr="00000000" w14:paraId="000000CD">
      <w:pPr>
        <w:spacing w:line="276" w:lineRule="auto"/>
        <w:ind w:left="567" w:righ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complementaria a lo anterior, es conveniente señalar que la fracción XXVII, del artículo 19 del Reglamento Interior del Instituto de Transparencia, Acceso a la Información y Protección de Datos Personales, dispone lo siguiente:</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w:t>
      </w:r>
      <w:r w:rsidDel="00000000" w:rsidR="00000000" w:rsidRPr="00000000">
        <w:rPr>
          <w:rFonts w:ascii="Palatino Linotype" w:cs="Palatino Linotype" w:eastAsia="Palatino Linotype" w:hAnsi="Palatino Linotype"/>
          <w:i w:val="1"/>
          <w:sz w:val="22"/>
          <w:szCs w:val="22"/>
          <w:rtl w:val="0"/>
        </w:rPr>
        <w:t xml:space="preserve"> Corresponde a la Secretaría Técnica del Pleno ejercer las atribuciones siguientes:</w:t>
      </w:r>
    </w:p>
    <w:p w:rsidR="00000000" w:rsidDel="00000000" w:rsidP="00000000" w:rsidRDefault="00000000" w:rsidRPr="00000000" w14:paraId="000000D2">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3">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XXVII.</w:t>
      </w:r>
      <w:r w:rsidDel="00000000" w:rsidR="00000000" w:rsidRPr="00000000">
        <w:rPr>
          <w:rFonts w:ascii="Palatino Linotype" w:cs="Palatino Linotype" w:eastAsia="Palatino Linotype" w:hAnsi="Palatino Linotype"/>
          <w:i w:val="1"/>
          <w:sz w:val="22"/>
          <w:szCs w:val="22"/>
          <w:rtl w:val="0"/>
        </w:rPr>
        <w:t xml:space="preserve">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w:t>
      </w:r>
    </w:p>
    <w:p w:rsidR="00000000" w:rsidDel="00000000" w:rsidP="00000000" w:rsidRDefault="00000000" w:rsidRPr="00000000" w14:paraId="000000D4">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procedente dar vista a la Secretaría Técnica del Pleno a efecto de que ejerza las atribuciones previstas en la normatividad aplicable y comunique al Órgano Interno de Control de este Instituto para que éste último en ejercicio de sus atribuciones atienda las directivas marcadas en la propia Ley de la materia, con fundamento en su artículo 137, el cual estipula que cuando este Órgano Garante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Interno de Control de la instancia competente para que éste inicie, en su caso, el procedimiento de responsabilidad respectivo, cuyo resultado deberá de ser informado al Instituto.</w:t>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trigésimo tercero y trigésimo cuarto, fracciones IV y V de la Constitución Política del Estado Libre y Soberano de México y los artículos 2 fracción II, 11, 81, 82 fracciones I y III, 127, 128, 129, 133 y 137 de la Ley de Protección de Datos Personales en Posesión de Sujetos Obligados del Estado de México; 179 fracción VII y último párrafo, 185 y 188 de la Ley de Transparencia y Acceso a la Información Pública del Estado de México y Municipios de aplicación supletoria en materia del ejercicios de los derechos de acceso, rectificación, cancelación y oposición de datos personales, este Pleno:</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Resultan fundadas las razones o motivos de inconformidad hechos valer por el Recurrente</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en términos del </w:t>
      </w:r>
      <w:r w:rsidDel="00000000" w:rsidR="00000000" w:rsidRPr="00000000">
        <w:rPr>
          <w:rFonts w:ascii="Palatino Linotype" w:cs="Palatino Linotype" w:eastAsia="Palatino Linotype" w:hAnsi="Palatino Linotype"/>
          <w:b w:val="1"/>
          <w:sz w:val="22"/>
          <w:szCs w:val="22"/>
          <w:rtl w:val="0"/>
        </w:rPr>
        <w:t xml:space="preserve">Considerando CUARTO </w:t>
      </w:r>
      <w:r w:rsidDel="00000000" w:rsidR="00000000" w:rsidRPr="00000000">
        <w:rPr>
          <w:rFonts w:ascii="Palatino Linotype" w:cs="Palatino Linotype" w:eastAsia="Palatino Linotype" w:hAnsi="Palatino Linotype"/>
          <w:sz w:val="22"/>
          <w:szCs w:val="22"/>
          <w:rtl w:val="0"/>
        </w:rPr>
        <w:t xml:space="preserve">de la presente resolución.</w:t>
      </w:r>
    </w:p>
    <w:p w:rsidR="00000000" w:rsidDel="00000000" w:rsidP="00000000" w:rsidRDefault="00000000" w:rsidRPr="00000000" w14:paraId="000000D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w:t>
      </w:r>
      <w:r w:rsidDel="00000000" w:rsidR="00000000" w:rsidRPr="00000000">
        <w:rPr>
          <w:rFonts w:ascii="Palatino Linotype" w:cs="Palatino Linotype" w:eastAsia="Palatino Linotype" w:hAnsi="Palatino Linotype"/>
          <w:b w:val="1"/>
          <w:sz w:val="22"/>
          <w:szCs w:val="22"/>
          <w:rtl w:val="0"/>
        </w:rPr>
        <w:t xml:space="preserve"> ORDENA </w:t>
      </w:r>
      <w:r w:rsidDel="00000000" w:rsidR="00000000" w:rsidRPr="00000000">
        <w:rPr>
          <w:rFonts w:ascii="Palatino Linotype" w:cs="Palatino Linotype" w:eastAsia="Palatino Linotype" w:hAnsi="Palatino Linotype"/>
          <w:sz w:val="22"/>
          <w:szCs w:val="22"/>
          <w:rtl w:val="0"/>
        </w:rPr>
        <w:t xml:space="preserve">al Sujeto Obligado que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atienda la solicitud de rectificación de datos personales </w:t>
      </w:r>
      <w:r w:rsidDel="00000000" w:rsidR="00000000" w:rsidRPr="00000000">
        <w:rPr>
          <w:rFonts w:ascii="Palatino Linotype" w:cs="Palatino Linotype" w:eastAsia="Palatino Linotype" w:hAnsi="Palatino Linotype"/>
          <w:b w:val="1"/>
          <w:sz w:val="22"/>
          <w:szCs w:val="22"/>
          <w:rtl w:val="0"/>
        </w:rPr>
        <w:t xml:space="preserve">00001/OTZOLOAP/RD/2024, </w:t>
      </w:r>
      <w:r w:rsidDel="00000000" w:rsidR="00000000" w:rsidRPr="00000000">
        <w:rPr>
          <w:rFonts w:ascii="Palatino Linotype" w:cs="Palatino Linotype" w:eastAsia="Palatino Linotype" w:hAnsi="Palatino Linotype"/>
          <w:sz w:val="22"/>
          <w:szCs w:val="22"/>
          <w:rtl w:val="0"/>
        </w:rPr>
        <w:t xml:space="preserve">en términos del </w:t>
      </w:r>
      <w:r w:rsidDel="00000000" w:rsidR="00000000" w:rsidRPr="00000000">
        <w:rPr>
          <w:rFonts w:ascii="Palatino Linotype" w:cs="Palatino Linotype" w:eastAsia="Palatino Linotype" w:hAnsi="Palatino Linotype"/>
          <w:b w:val="1"/>
          <w:sz w:val="22"/>
          <w:szCs w:val="22"/>
          <w:rtl w:val="0"/>
        </w:rPr>
        <w:t xml:space="preserve">Considerando CUARTO </w:t>
      </w:r>
      <w:r w:rsidDel="00000000" w:rsidR="00000000" w:rsidRPr="00000000">
        <w:rPr>
          <w:rFonts w:ascii="Palatino Linotype" w:cs="Palatino Linotype" w:eastAsia="Palatino Linotype" w:hAnsi="Palatino Linotype"/>
          <w:sz w:val="22"/>
          <w:szCs w:val="22"/>
          <w:rtl w:val="0"/>
        </w:rPr>
        <w:t xml:space="preserve">de esta resolución; y entregue vía Sistema de Acceso, Rectificación, Cancelación y Oposición de Datos Personales en el Estado de México (SARCOEM), lo siguiente:</w:t>
      </w:r>
    </w:p>
    <w:p w:rsidR="00000000" w:rsidDel="00000000" w:rsidP="00000000" w:rsidRDefault="00000000" w:rsidRPr="00000000" w14:paraId="000000D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E">
      <w:pPr>
        <w:numPr>
          <w:ilvl w:val="0"/>
          <w:numId w:val="3"/>
        </w:numPr>
        <w:spacing w:line="360" w:lineRule="auto"/>
        <w:ind w:left="72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Acuerdo que emita el Comité de Transparencia mediante el que confirme la declaratoria de incompetencia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respecto de la solicitud de rectificación de datos personales.</w:t>
      </w:r>
    </w:p>
    <w:p w:rsidR="00000000" w:rsidDel="00000000" w:rsidP="00000000" w:rsidRDefault="00000000" w:rsidRPr="00000000" w14:paraId="000000DF">
      <w:pP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por medio del Sistema de Acceso, Rectificación, Cancelación y Oposición de Datos Personales en el Estado de México (SARCOEM), para que en los términos previstos en el artículo 137, segundo párrafo de la Ley de Protección de Datos Personales en Posesión de Sujetos Obligados del Estado de México y Municipios; con relación en los artículos 186, último párrafo y 189, párrafo segundo de la Ley de Transparencia y Acceso a la Información Pública del Estado de México y Municipios de aplicación supletoria por disposición del artículo 11 de la citada Ley de Datos, dé cumplimiento a lo ordenado dentro del plazo de diez días hábiles, e informe a este Instituto en un plazo de tres días hábiles siguientes sobre el cumplimiento dado a la presente resolución; y se le apercibe que, en caso de negarse a cumplir la presente resolución o hacerlo de manera parcial, se le impondrá una medida de apremio de conformidad con lo previsto en los artículos 154 y 155 de la Ley de Protección de Datos Personales en Posesión de Sujetos Obligados del Estado de México y Municipios</w:t>
      </w:r>
    </w:p>
    <w:p w:rsidR="00000000" w:rsidDel="00000000" w:rsidP="00000000" w:rsidRDefault="00000000" w:rsidRPr="00000000" w14:paraId="000000E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Notifíquese </w:t>
      </w:r>
      <w:r w:rsidDel="00000000" w:rsidR="00000000" w:rsidRPr="00000000">
        <w:rPr>
          <w:rFonts w:ascii="Palatino Linotype" w:cs="Palatino Linotype" w:eastAsia="Palatino Linotype" w:hAnsi="Palatino Linotype"/>
          <w:sz w:val="22"/>
          <w:szCs w:val="22"/>
          <w:rtl w:val="0"/>
        </w:rPr>
        <w:t xml:space="preserve">al Recurrente la presente resolución por medio del Sistema de Acceso, Rectificación, Cancelación y Oposición de Datos Personales en el Estado de México (SARCOEM) y hágase de su conocimiento que en caso de considerar que le causa algún perjuicio, podrá promover el Juicio de Amparo en los términos de las leyes aplicables, de acuerdo con lo estipulado por el artículo 142 de la Ley de Protección de Datos Personales en Posesión de Sujetos Obligados del Estado de México y Municipios.</w:t>
      </w:r>
    </w:p>
    <w:p w:rsidR="00000000" w:rsidDel="00000000" w:rsidP="00000000" w:rsidRDefault="00000000" w:rsidRPr="00000000" w14:paraId="000000E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Gírese </w:t>
      </w:r>
      <w:r w:rsidDel="00000000" w:rsidR="00000000" w:rsidRPr="00000000">
        <w:rPr>
          <w:rFonts w:ascii="Palatino Linotype" w:cs="Palatino Linotype" w:eastAsia="Palatino Linotype" w:hAnsi="Palatino Linotype"/>
          <w:sz w:val="22"/>
          <w:szCs w:val="22"/>
          <w:rtl w:val="0"/>
        </w:rPr>
        <w:t xml:space="preserve">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w:t>
      </w:r>
      <w:r w:rsidDel="00000000" w:rsidR="00000000" w:rsidRPr="00000000">
        <w:rPr>
          <w:rFonts w:ascii="Palatino Linotype" w:cs="Palatino Linotype" w:eastAsia="Palatino Linotype" w:hAnsi="Palatino Linotype"/>
          <w:b w:val="1"/>
          <w:sz w:val="22"/>
          <w:szCs w:val="22"/>
          <w:rtl w:val="0"/>
        </w:rPr>
        <w:t xml:space="preserve"> Considerando CUARTO </w:t>
      </w:r>
      <w:r w:rsidDel="00000000" w:rsidR="00000000" w:rsidRPr="00000000">
        <w:rPr>
          <w:rFonts w:ascii="Palatino Linotype" w:cs="Palatino Linotype" w:eastAsia="Palatino Linotype" w:hAnsi="Palatino Linotype"/>
          <w:sz w:val="22"/>
          <w:szCs w:val="22"/>
          <w:rtl w:val="0"/>
        </w:rPr>
        <w:t xml:space="preserve">de la presente resolución.</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ONCE DICIEMBRE DEL DOS MIL VEINTICUATRO, ANTE EL SECRETARIO TÉCNICO DEL PLENO, ALEXIS TAPIA RAMÍREZ.</w:t>
      </w:r>
    </w:p>
    <w:p w:rsidR="00000000" w:rsidDel="00000000" w:rsidP="00000000" w:rsidRDefault="00000000" w:rsidRPr="00000000" w14:paraId="000000E7">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8">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9">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A">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B">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C">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D">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E">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F">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0">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1">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2">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3">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4">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5">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6">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7">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8">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9">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A">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B">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C">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D">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E">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0">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1">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2">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3">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4">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6">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7">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8">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9">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A">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B">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C">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E">
      <w:pPr>
        <w:tabs>
          <w:tab w:val="left" w:leader="none" w:pos="1842"/>
        </w:tabs>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ab/>
      </w:r>
    </w:p>
    <w:sectPr>
      <w:headerReference r:id="rId11" w:type="default"/>
      <w:headerReference r:id="rId12" w:type="first"/>
      <w:footerReference r:id="rId13" w:type="default"/>
      <w:footerReference r:id="rId14" w:type="first"/>
      <w:pgSz w:h="15840" w:w="12240" w:orient="portrait"/>
      <w:pgMar w:bottom="1418" w:top="1418" w:left="1701"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https://www.gob.mx/ActaNacimiento/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Pr>
      <w:drawing>
        <wp:anchor allowOverlap="1" behindDoc="1" distB="0" distT="0" distL="0" distR="0" hidden="0" layoutInCell="1" locked="0" relativeHeight="0" simplePos="0">
          <wp:simplePos x="0" y="0"/>
          <wp:positionH relativeFrom="margin">
            <wp:posOffset>-737869</wp:posOffset>
          </wp:positionH>
          <wp:positionV relativeFrom="page">
            <wp:align>top</wp:align>
          </wp:positionV>
          <wp:extent cx="5791835" cy="7541895"/>
          <wp:effectExtent b="0" l="0" r="0" t="0"/>
          <wp:wrapNone/>
          <wp:docPr id="2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791835" cy="7541895"/>
                  </a:xfrm>
                  <a:prstGeom prst="rect"/>
                  <a:ln/>
                </pic:spPr>
              </pic:pic>
            </a:graphicData>
          </a:graphic>
        </wp:anchor>
      </w:drawing>
    </w:r>
    <w:r w:rsidDel="00000000" w:rsidR="00000000" w:rsidRPr="00000000">
      <w:rPr>
        <w:rFonts w:ascii="Calibri" w:cs="Calibri" w:eastAsia="Calibri" w:hAnsi="Calibri"/>
        <w:color w:val="000000"/>
        <w:rtl w:val="0"/>
      </w:rPr>
      <w:t xml:space="preserve">              </w:t>
    </w:r>
  </w:p>
  <w:tbl>
    <w:tblPr>
      <w:tblStyle w:val="Table1"/>
      <w:tblW w:w="6237.0" w:type="dxa"/>
      <w:jc w:val="left"/>
      <w:tblInd w:w="2694.0" w:type="dxa"/>
      <w:tblLayout w:type="fixed"/>
      <w:tblLook w:val="0400"/>
    </w:tblPr>
    <w:tblGrid>
      <w:gridCol w:w="2551"/>
      <w:gridCol w:w="3686"/>
      <w:tblGridChange w:id="0">
        <w:tblGrid>
          <w:gridCol w:w="2551"/>
          <w:gridCol w:w="3686"/>
        </w:tblGrid>
      </w:tblGridChange>
    </w:tblGrid>
    <w:tr>
      <w:trPr>
        <w:cantSplit w:val="0"/>
        <w:tblHeader w:val="0"/>
      </w:trPr>
      <w:tc>
        <w:tcPr>
          <w:shd w:fill="auto" w:val="clear"/>
          <w:vAlign w:val="center"/>
        </w:tcPr>
        <w:p w:rsidR="00000000" w:rsidDel="00000000" w:rsidP="00000000" w:rsidRDefault="00000000" w:rsidRPr="00000000" w14:paraId="0000011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1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06654/INFOEM/RD/RR/2024</w:t>
          </w:r>
        </w:p>
      </w:tc>
    </w:tr>
    <w:tr>
      <w:trPr>
        <w:cantSplit w:val="0"/>
        <w:trHeight w:val="228" w:hRule="atLeast"/>
        <w:tblHeader w:val="0"/>
      </w:trPr>
      <w:tc>
        <w:tcPr>
          <w:shd w:fill="auto" w:val="clear"/>
          <w:vAlign w:val="center"/>
        </w:tcPr>
        <w:p w:rsidR="00000000" w:rsidDel="00000000" w:rsidP="00000000" w:rsidRDefault="00000000" w:rsidRPr="00000000" w14:paraId="0000011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14">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Otzoloapan</w:t>
          </w:r>
        </w:p>
      </w:tc>
    </w:tr>
    <w:tr>
      <w:trPr>
        <w:cantSplit w:val="0"/>
        <w:tblHeader w:val="0"/>
      </w:trPr>
      <w:tc>
        <w:tcPr>
          <w:shd w:fill="auto" w:val="clear"/>
          <w:vAlign w:val="center"/>
        </w:tcPr>
        <w:p w:rsidR="00000000" w:rsidDel="00000000" w:rsidP="00000000" w:rsidRDefault="00000000" w:rsidRPr="00000000" w14:paraId="0000011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16">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sz w:val="20"/>
        <w:szCs w:val="20"/>
      </w:rPr>
    </w:pPr>
    <w:r w:rsidDel="00000000" w:rsidR="00000000" w:rsidRPr="00000000">
      <w:rPr>
        <w:rFonts w:ascii="Palatino Linotype" w:cs="Palatino Linotype" w:eastAsia="Palatino Linotype" w:hAnsi="Palatino Linotype"/>
        <w:b w:val="1"/>
        <w:color w:val="000000"/>
        <w:sz w:val="22"/>
        <w:szCs w:val="22"/>
      </w:rPr>
      <w:pict>
        <v:shape id="WordPictureWatermark1" style="position:absolute;width:663.5pt;height:864.0pt;rotation:0;z-index:-503316481;mso-position-horizontal-relative:margin;mso-position-horizontal:absolute;margin-left:-73.65pt;mso-position-vertical-relative:margin;mso-position-vertical:absolute;margin-top:-150.65pt;" alt="" type="#_x0000_t75">
          <v:imagedata cropbottom="0f" cropleft="0f" cropright="0f" croptop="0f" r:id="rId1" o:title="image4.png"/>
        </v:shape>
      </w:pict>
    </w:r>
    <w:r w:rsidDel="00000000" w:rsidR="00000000" w:rsidRPr="00000000">
      <w:rPr>
        <w:rtl w:val="0"/>
      </w:rPr>
    </w:r>
  </w:p>
  <w:tbl>
    <w:tblPr>
      <w:tblStyle w:val="Table2"/>
      <w:tblW w:w="6661.0" w:type="dxa"/>
      <w:jc w:val="left"/>
      <w:tblInd w:w="2694.0" w:type="dxa"/>
      <w:tblLayout w:type="fixed"/>
      <w:tblLook w:val="0400"/>
    </w:tblPr>
    <w:tblGrid>
      <w:gridCol w:w="2693"/>
      <w:gridCol w:w="3968"/>
      <w:tblGridChange w:id="0">
        <w:tblGrid>
          <w:gridCol w:w="2693"/>
          <w:gridCol w:w="3968"/>
        </w:tblGrid>
      </w:tblGridChange>
    </w:tblGrid>
    <w:tr>
      <w:trPr>
        <w:cantSplit w:val="0"/>
        <w:tblHeader w:val="0"/>
      </w:trPr>
      <w:tc>
        <w:tcPr>
          <w:shd w:fill="auto" w:val="clear"/>
          <w:vAlign w:val="center"/>
        </w:tcPr>
        <w:p w:rsidR="00000000" w:rsidDel="00000000" w:rsidP="00000000" w:rsidRDefault="00000000" w:rsidRPr="00000000" w14:paraId="0000011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1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06654/INFOEM/RD/RR/2024</w:t>
          </w:r>
        </w:p>
      </w:tc>
    </w:tr>
    <w:tr>
      <w:trPr>
        <w:cantSplit w:val="0"/>
        <w:tblHeader w:val="0"/>
      </w:trPr>
      <w:tc>
        <w:tcPr>
          <w:shd w:fill="auto" w:val="clear"/>
          <w:vAlign w:val="center"/>
        </w:tcPr>
        <w:p w:rsidR="00000000" w:rsidDel="00000000" w:rsidP="00000000" w:rsidRDefault="00000000" w:rsidRPr="00000000" w14:paraId="0000011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1C">
          <w:pPr>
            <w:rPr>
              <w:rFonts w:ascii="Palatino Linotype" w:cs="Palatino Linotype" w:eastAsia="Palatino Linotype" w:hAnsi="Palatino Linotype"/>
              <w:b w:val="1"/>
              <w:sz w:val="22"/>
              <w:szCs w:val="22"/>
            </w:rPr>
          </w:pPr>
          <w:bookmarkStart w:colFirst="0" w:colLast="0" w:name="_heading=h.1fob9te" w:id="6"/>
          <w:bookmarkEnd w:id="6"/>
          <w:r w:rsidDel="00000000" w:rsidR="00000000" w:rsidRPr="00000000">
            <w:rPr>
              <w:rFonts w:ascii="Palatino Linotype" w:cs="Palatino Linotype" w:eastAsia="Palatino Linotype" w:hAnsi="Palatino Linotype"/>
              <w:b w:val="1"/>
              <w:sz w:val="22"/>
              <w:szCs w:val="22"/>
              <w:rtl w:val="0"/>
            </w:rPr>
            <w:t xml:space="preserve">XXXXXXXX XXXXXXX XXXXXX </w:t>
          </w:r>
        </w:p>
      </w:tc>
    </w:tr>
    <w:tr>
      <w:trPr>
        <w:cantSplit w:val="0"/>
        <w:trHeight w:val="228" w:hRule="atLeast"/>
        <w:tblHeader w:val="0"/>
      </w:trPr>
      <w:tc>
        <w:tcPr>
          <w:shd w:fill="auto" w:val="clear"/>
          <w:vAlign w:val="center"/>
        </w:tcPr>
        <w:p w:rsidR="00000000" w:rsidDel="00000000" w:rsidP="00000000" w:rsidRDefault="00000000" w:rsidRPr="00000000" w14:paraId="0000011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1E">
          <w:pPr>
            <w:ind w:right="26"/>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Otzoloapan</w:t>
          </w:r>
        </w:p>
      </w:tc>
    </w:tr>
    <w:tr>
      <w:trPr>
        <w:cantSplit w:val="0"/>
        <w:tblHeader w:val="0"/>
      </w:trPr>
      <w:tc>
        <w:tcPr>
          <w:shd w:fill="auto" w:val="clear"/>
          <w:vAlign w:val="center"/>
        </w:tcPr>
        <w:p w:rsidR="00000000" w:rsidDel="00000000" w:rsidP="00000000" w:rsidRDefault="00000000" w:rsidRPr="00000000" w14:paraId="0000011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20">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3A3703"/>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link w:val="Ttulo2Car"/>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5"/>
    <w:tblPr>
      <w:tblStyleRowBandSize w:val="1"/>
      <w:tblStyleColBandSize w:val="1"/>
      <w:tblCellMar>
        <w:left w:w="115.0" w:type="dxa"/>
        <w:right w:w="115.0" w:type="dxa"/>
      </w:tblCellMar>
    </w:tblPr>
  </w:style>
  <w:style w:type="table" w:styleId="a0" w:customStyle="1">
    <w:basedOn w:val="TableNormal5"/>
    <w:tblPr>
      <w:tblStyleRowBandSize w:val="1"/>
      <w:tblStyleColBandSize w:val="1"/>
      <w:tblCellMar>
        <w:left w:w="115.0" w:type="dxa"/>
        <w:right w:w="115.0"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B0B78"/>
    <w:pPr>
      <w:ind w:left="720"/>
      <w:contextualSpacing w:val="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D921BF"/>
  </w:style>
  <w:style w:type="character" w:styleId="Ttulo2Car" w:customStyle="1">
    <w:name w:val="Título 2 Car"/>
    <w:basedOn w:val="Fuentedeprrafopredeter"/>
    <w:link w:val="Ttulo2"/>
    <w:uiPriority w:val="9"/>
    <w:rsid w:val="00D921BF"/>
    <w:rPr>
      <w:b w:val="1"/>
      <w:sz w:val="36"/>
      <w:szCs w:val="36"/>
    </w:rPr>
  </w:style>
  <w:style w:type="table" w:styleId="a1" w:customStyle="1">
    <w:basedOn w:val="TableNormal5"/>
    <w:tblPr>
      <w:tblStyleRowBandSize w:val="1"/>
      <w:tblStyleColBandSize w:val="1"/>
      <w:tblCellMar>
        <w:left w:w="115.0" w:type="dxa"/>
        <w:right w:w="115.0" w:type="dxa"/>
      </w:tblCellMar>
    </w:tblPr>
  </w:style>
  <w:style w:type="table" w:styleId="a2" w:customStyle="1">
    <w:basedOn w:val="TableNormal5"/>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C215D0"/>
    <w:pPr>
      <w:tabs>
        <w:tab w:val="center" w:pos="4419"/>
        <w:tab w:val="right" w:pos="8838"/>
      </w:tabs>
    </w:pPr>
  </w:style>
  <w:style w:type="character" w:styleId="EncabezadoCar" w:customStyle="1">
    <w:name w:val="Encabezado Car"/>
    <w:basedOn w:val="Fuentedeprrafopredeter"/>
    <w:link w:val="Encabezado"/>
    <w:uiPriority w:val="99"/>
    <w:rsid w:val="00C215D0"/>
  </w:style>
  <w:style w:type="paragraph" w:styleId="Piedepgina">
    <w:name w:val="footer"/>
    <w:basedOn w:val="Normal"/>
    <w:link w:val="PiedepginaCar"/>
    <w:uiPriority w:val="99"/>
    <w:unhideWhenUsed w:val="1"/>
    <w:rsid w:val="00C215D0"/>
    <w:pPr>
      <w:tabs>
        <w:tab w:val="center" w:pos="4419"/>
        <w:tab w:val="right" w:pos="8838"/>
      </w:tabs>
    </w:pPr>
  </w:style>
  <w:style w:type="character" w:styleId="PiedepginaCar" w:customStyle="1">
    <w:name w:val="Pie de página Car"/>
    <w:basedOn w:val="Fuentedeprrafopredeter"/>
    <w:link w:val="Piedepgina"/>
    <w:uiPriority w:val="99"/>
    <w:rsid w:val="00C215D0"/>
  </w:style>
  <w:style w:type="table" w:styleId="a3" w:customStyle="1">
    <w:basedOn w:val="TableNormal4"/>
    <w:tblPr>
      <w:tblStyleRowBandSize w:val="1"/>
      <w:tblStyleColBandSize w:val="1"/>
      <w:tblCellMar>
        <w:left w:w="115.0" w:type="dxa"/>
        <w:right w:w="115.0" w:type="dxa"/>
      </w:tblCellMar>
    </w:tblPr>
  </w:style>
  <w:style w:type="table" w:styleId="a4" w:customStyle="1">
    <w:basedOn w:val="TableNormal4"/>
    <w:tblPr>
      <w:tblStyleRowBandSize w:val="1"/>
      <w:tblStyleColBandSize w:val="1"/>
      <w:tblCellMar>
        <w:left w:w="115.0" w:type="dxa"/>
        <w:right w:w="115.0" w:type="dxa"/>
      </w:tblCellMar>
    </w:tblPr>
  </w:style>
  <w:style w:type="table" w:styleId="a5" w:customStyle="1">
    <w:basedOn w:val="TableNormal3"/>
    <w:tblPr>
      <w:tblStyleRowBandSize w:val="1"/>
      <w:tblStyleColBandSize w:val="1"/>
      <w:tblCellMar>
        <w:left w:w="115.0" w:type="dxa"/>
        <w:right w:w="115.0" w:type="dxa"/>
      </w:tblCellMar>
    </w:tblPr>
  </w:style>
  <w:style w:type="table" w:styleId="a6" w:customStyle="1">
    <w:basedOn w:val="TableNormal3"/>
    <w:tblPr>
      <w:tblStyleRowBandSize w:val="1"/>
      <w:tblStyleColBandSize w:val="1"/>
      <w:tblCellMar>
        <w:left w:w="115.0" w:type="dxa"/>
        <w:right w:w="115.0" w:type="dxa"/>
      </w:tblCellMar>
    </w:tblPr>
  </w:style>
  <w:style w:type="table" w:styleId="a7" w:customStyle="1">
    <w:basedOn w:val="TableNormal2"/>
    <w:tblPr>
      <w:tblStyleRowBandSize w:val="1"/>
      <w:tblStyleColBandSize w:val="1"/>
      <w:tblCellMar>
        <w:left w:w="115.0" w:type="dxa"/>
        <w:right w:w="115.0" w:type="dxa"/>
      </w:tblCellMar>
    </w:tblPr>
  </w:style>
  <w:style w:type="table" w:styleId="a8" w:customStyle="1">
    <w:basedOn w:val="TableNormal2"/>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8C3073"/>
    <w:pPr>
      <w:numPr>
        <w:numId w:val="4"/>
      </w:numPr>
      <w:contextualSpacing w:val="1"/>
    </w:pPr>
    <w:rPr>
      <w:lang w:val="es-ES"/>
    </w:rPr>
  </w:style>
  <w:style w:type="table" w:styleId="a9" w:customStyle="1">
    <w:basedOn w:val="TableNormal1"/>
    <w:tblPr>
      <w:tblStyleRowBandSize w:val="1"/>
      <w:tblStyleColBandSize w:val="1"/>
      <w:tblCellMar>
        <w:left w:w="115.0" w:type="dxa"/>
        <w:right w:w="115.0" w:type="dxa"/>
      </w:tblCellMar>
    </w:tblPr>
  </w:style>
  <w:style w:type="table" w:styleId="aa" w:customStyle="1">
    <w:basedOn w:val="TableNormal1"/>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paragraph" w:styleId="Sinespaciado">
    <w:name w:val="No Spacing"/>
    <w:aliases w:val="Francesa,INAI,Fundamentos"/>
    <w:link w:val="SinespaciadoCar"/>
    <w:uiPriority w:val="1"/>
    <w:qFormat w:val="1"/>
    <w:rsid w:val="007D2A13"/>
    <w:rPr>
      <w:lang w:eastAsia="es-ES"/>
    </w:rPr>
  </w:style>
  <w:style w:type="character" w:styleId="SinespaciadoCar" w:customStyle="1">
    <w:name w:val="Sin espaciado Car"/>
    <w:aliases w:val="Francesa Car,INAI Car,Fundamentos Car"/>
    <w:link w:val="Sinespaciado"/>
    <w:uiPriority w:val="1"/>
    <w:locked w:val="1"/>
    <w:rsid w:val="007D2A13"/>
    <w:rPr>
      <w:lang w:eastAsia="es-ES"/>
    </w:rPr>
  </w:style>
  <w:style w:type="paragraph" w:styleId="Textonotapie">
    <w:name w:val="footnote text"/>
    <w:basedOn w:val="Normal"/>
    <w:link w:val="TextonotapieCar"/>
    <w:uiPriority w:val="99"/>
    <w:semiHidden w:val="1"/>
    <w:unhideWhenUsed w:val="1"/>
    <w:rsid w:val="007D2A13"/>
    <w:pPr>
      <w:jc w:val="both"/>
    </w:pPr>
    <w:rPr>
      <w:rFonts w:ascii="Palatino Linotype" w:hAnsi="Palatino Linotype"/>
      <w:sz w:val="20"/>
      <w:szCs w:val="20"/>
      <w:lang w:eastAsia="es-ES"/>
    </w:rPr>
  </w:style>
  <w:style w:type="character" w:styleId="TextonotapieCar" w:customStyle="1">
    <w:name w:val="Texto nota pie Car"/>
    <w:basedOn w:val="Fuentedeprrafopredeter"/>
    <w:link w:val="Textonotapie"/>
    <w:uiPriority w:val="99"/>
    <w:semiHidden w:val="1"/>
    <w:rsid w:val="007D2A13"/>
    <w:rPr>
      <w:rFonts w:ascii="Palatino Linotype" w:hAnsi="Palatino Linotype"/>
      <w:sz w:val="20"/>
      <w:szCs w:val="20"/>
      <w:lang w:eastAsia="es-ES"/>
    </w:rPr>
  </w:style>
  <w:style w:type="character" w:styleId="Refdenotaalpie">
    <w:name w:val="footnote reference"/>
    <w:basedOn w:val="Fuentedeprrafopredeter"/>
    <w:uiPriority w:val="99"/>
    <w:semiHidden w:val="1"/>
    <w:unhideWhenUsed w:val="1"/>
    <w:rsid w:val="007D2A13"/>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fQDU+JuoOWICc5HzghMG2cqyHg==">CgMxLjAyCGguZ2pkZ3hzMgloLjF0M2g1c2YyCWguMzBqMHpsbDIJaC4zem55c2g3MgloLjJldDkycDAyCGgudHlqY3d0MgloLjFmb2I5dGU4AHIhMUJkRUxIbmxxNW10Qnd2UDJTSzFMWjRMUE5GYUd6cFRi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2025-01-15T18:48:00Z</dcterms:created>
  <dc:creator>USUARIO INFOEM</dc:creator>
</cp:coreProperties>
</file>