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460B" w14:textId="77777777" w:rsidR="00B7478F" w:rsidRPr="00F7284D" w:rsidRDefault="00B7478F" w:rsidP="00B7478F">
      <w:pPr>
        <w:spacing w:before="240" w:after="240"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catorce de mayo del dos mil veinticinco.</w:t>
      </w:r>
    </w:p>
    <w:p w14:paraId="5B97DDA6" w14:textId="77777777" w:rsidR="00B7478F" w:rsidRPr="00F7284D" w:rsidRDefault="00B7478F" w:rsidP="00B7478F">
      <w:pPr>
        <w:spacing w:before="240" w:after="240" w:line="360" w:lineRule="auto"/>
        <w:contextualSpacing/>
        <w:jc w:val="both"/>
        <w:rPr>
          <w:rFonts w:ascii="Palatino Linotype" w:eastAsia="Palatino Linotype" w:hAnsi="Palatino Linotype" w:cs="Palatino Linotype"/>
        </w:rPr>
      </w:pPr>
    </w:p>
    <w:p w14:paraId="6C1F1859" w14:textId="4C4BCA24" w:rsidR="00D34839" w:rsidRPr="00F7284D" w:rsidRDefault="00B7478F" w:rsidP="00B7478F">
      <w:pPr>
        <w:spacing w:before="240" w:after="240"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b/>
        </w:rPr>
        <w:t>Visto</w:t>
      </w:r>
      <w:r w:rsidRPr="00F7284D">
        <w:rPr>
          <w:rFonts w:ascii="Palatino Linotype" w:eastAsia="Palatino Linotype" w:hAnsi="Palatino Linotype" w:cs="Palatino Linotype"/>
        </w:rPr>
        <w:t xml:space="preserve"> el expediente relativo al recurso de revisión </w:t>
      </w:r>
      <w:r w:rsidRPr="00F7284D">
        <w:rPr>
          <w:rFonts w:ascii="Palatino Linotype" w:eastAsia="Palatino Linotype" w:hAnsi="Palatino Linotype" w:cs="Palatino Linotype"/>
          <w:b/>
        </w:rPr>
        <w:t>02809/INFOEM/AD/RR/2025</w:t>
      </w:r>
      <w:r w:rsidRPr="00F7284D">
        <w:rPr>
          <w:rFonts w:ascii="Palatino Linotype" w:eastAsia="Palatino Linotype" w:hAnsi="Palatino Linotype" w:cs="Palatino Linotype"/>
        </w:rPr>
        <w:t xml:space="preserve">, interpuesto por </w:t>
      </w:r>
      <w:r w:rsidR="009313CD" w:rsidRPr="009313CD">
        <w:rPr>
          <w:rFonts w:ascii="Palatino Linotype" w:eastAsia="Palatino Linotype" w:hAnsi="Palatino Linotype" w:cs="Palatino Linotype"/>
          <w:b/>
        </w:rPr>
        <w:t>XXXXXX XXXXXXXX XXXXXXXXX XXXX</w:t>
      </w:r>
      <w:r w:rsidRPr="00F7284D">
        <w:rPr>
          <w:rFonts w:ascii="Palatino Linotype" w:eastAsia="Palatino Linotype" w:hAnsi="Palatino Linotype" w:cs="Palatino Linotype"/>
        </w:rPr>
        <w:t xml:space="preserve">, a quien en lo sucesivo se le denominará </w:t>
      </w:r>
      <w:r w:rsidRPr="00F7284D">
        <w:rPr>
          <w:rFonts w:ascii="Palatino Linotype" w:eastAsia="Palatino Linotype" w:hAnsi="Palatino Linotype" w:cs="Palatino Linotype"/>
          <w:b/>
          <w:bCs/>
        </w:rPr>
        <w:t>LA</w:t>
      </w:r>
      <w:r w:rsidRPr="00F7284D">
        <w:rPr>
          <w:rFonts w:ascii="Palatino Linotype" w:eastAsia="Palatino Linotype" w:hAnsi="Palatino Linotype" w:cs="Palatino Linotype"/>
        </w:rPr>
        <w:t xml:space="preserve"> </w:t>
      </w:r>
      <w:r w:rsidRPr="00F7284D">
        <w:rPr>
          <w:rFonts w:ascii="Palatino Linotype" w:eastAsia="Palatino Linotype" w:hAnsi="Palatino Linotype" w:cs="Palatino Linotype"/>
          <w:b/>
        </w:rPr>
        <w:t>PARTE RECURRENTE</w:t>
      </w:r>
      <w:r w:rsidRPr="00F7284D">
        <w:rPr>
          <w:rFonts w:ascii="Palatino Linotype" w:eastAsia="Palatino Linotype" w:hAnsi="Palatino Linotype" w:cs="Palatino Linotype"/>
        </w:rPr>
        <w:t xml:space="preserve"> en contra de la respuesta a la solicitud de acceso a datos personales con número de folio </w:t>
      </w:r>
      <w:r w:rsidRPr="00F7284D">
        <w:rPr>
          <w:rFonts w:ascii="Palatino Linotype" w:eastAsia="Palatino Linotype" w:hAnsi="Palatino Linotype" w:cs="Palatino Linotype"/>
          <w:b/>
        </w:rPr>
        <w:t>00164/ISSEMYM/AD/2025</w:t>
      </w:r>
      <w:r w:rsidRPr="00F7284D">
        <w:rPr>
          <w:rFonts w:ascii="Palatino Linotype" w:eastAsia="Palatino Linotype" w:hAnsi="Palatino Linotype" w:cs="Palatino Linotype"/>
          <w:b/>
          <w:i/>
        </w:rPr>
        <w:t>,</w:t>
      </w:r>
      <w:r w:rsidRPr="00F7284D">
        <w:rPr>
          <w:rFonts w:ascii="Palatino Linotype" w:eastAsia="Palatino Linotype" w:hAnsi="Palatino Linotype" w:cs="Palatino Linotype"/>
        </w:rPr>
        <w:t xml:space="preserve"> del</w:t>
      </w:r>
      <w:r w:rsidRPr="00F7284D">
        <w:rPr>
          <w:rFonts w:ascii="Palatino Linotype" w:eastAsia="Palatino Linotype" w:hAnsi="Palatino Linotype" w:cs="Palatino Linotype"/>
          <w:b/>
        </w:rPr>
        <w:t xml:space="preserve"> Instituto de Seguridad Social del Estado de México y Municipios</w:t>
      </w:r>
      <w:r w:rsidRPr="00F7284D">
        <w:rPr>
          <w:rFonts w:ascii="Palatino Linotype" w:eastAsia="Palatino Linotype" w:hAnsi="Palatino Linotype" w:cs="Palatino Linotype"/>
        </w:rPr>
        <w:t xml:space="preserve">, en lo sucesivo el </w:t>
      </w:r>
      <w:r w:rsidRPr="00F7284D">
        <w:rPr>
          <w:rFonts w:ascii="Palatino Linotype" w:eastAsia="Palatino Linotype" w:hAnsi="Palatino Linotype" w:cs="Palatino Linotype"/>
          <w:b/>
        </w:rPr>
        <w:t>SUJETO OBLIGADO</w:t>
      </w:r>
      <w:r w:rsidRPr="00F7284D">
        <w:rPr>
          <w:rFonts w:ascii="Palatino Linotype" w:eastAsia="Palatino Linotype" w:hAnsi="Palatino Linotype" w:cs="Palatino Linotype"/>
        </w:rPr>
        <w:t>;</w:t>
      </w:r>
      <w:r w:rsidRPr="00F7284D">
        <w:rPr>
          <w:rFonts w:ascii="Palatino Linotype" w:eastAsia="Palatino Linotype" w:hAnsi="Palatino Linotype" w:cs="Palatino Linotype"/>
          <w:b/>
        </w:rPr>
        <w:t xml:space="preserve"> </w:t>
      </w:r>
      <w:r w:rsidRPr="00F7284D">
        <w:rPr>
          <w:rFonts w:ascii="Palatino Linotype" w:eastAsia="Palatino Linotype" w:hAnsi="Palatino Linotype" w:cs="Palatino Linotype"/>
        </w:rPr>
        <w:t>se procede a dictar la presente resolución, con base en los siguientes.</w:t>
      </w:r>
    </w:p>
    <w:p w14:paraId="7FF5EF83" w14:textId="77777777" w:rsidR="00B7478F" w:rsidRPr="00F7284D" w:rsidRDefault="00B7478F" w:rsidP="00B7478F">
      <w:pPr>
        <w:rPr>
          <w:rFonts w:ascii="Palatino Linotype" w:hAnsi="Palatino Linotype"/>
        </w:rPr>
      </w:pPr>
    </w:p>
    <w:p w14:paraId="18F2650F" w14:textId="77777777" w:rsidR="00B7478F" w:rsidRPr="00F7284D" w:rsidRDefault="00B7478F" w:rsidP="00B7478F">
      <w:pPr>
        <w:pStyle w:val="Ttulo2"/>
        <w:jc w:val="center"/>
        <w:rPr>
          <w:rFonts w:ascii="Palatino Linotype" w:eastAsia="Palatino Linotype" w:hAnsi="Palatino Linotype" w:cs="Palatino Linotype"/>
          <w:b/>
          <w:color w:val="auto"/>
          <w:sz w:val="24"/>
          <w:szCs w:val="24"/>
        </w:rPr>
      </w:pPr>
      <w:r w:rsidRPr="00F7284D">
        <w:rPr>
          <w:rFonts w:ascii="Palatino Linotype" w:eastAsia="Palatino Linotype" w:hAnsi="Palatino Linotype" w:cs="Palatino Linotype"/>
          <w:b/>
          <w:color w:val="auto"/>
          <w:sz w:val="24"/>
          <w:szCs w:val="24"/>
        </w:rPr>
        <w:t>A N T E C E D E N T E S:</w:t>
      </w:r>
    </w:p>
    <w:p w14:paraId="261BBCA7" w14:textId="77777777" w:rsidR="00B7478F" w:rsidRPr="00F7284D" w:rsidRDefault="00B7478F" w:rsidP="00B7478F">
      <w:pPr>
        <w:rPr>
          <w:rFonts w:ascii="Palatino Linotype" w:eastAsia="Palatino Linotype" w:hAnsi="Palatino Linotype"/>
        </w:rPr>
      </w:pPr>
    </w:p>
    <w:p w14:paraId="11212218" w14:textId="77777777" w:rsidR="00B7478F" w:rsidRPr="00F7284D" w:rsidRDefault="00B7478F" w:rsidP="00B7478F">
      <w:pPr>
        <w:spacing w:before="240" w:after="240" w:line="360" w:lineRule="auto"/>
        <w:jc w:val="both"/>
        <w:rPr>
          <w:rFonts w:ascii="Palatino Linotype" w:eastAsia="Palatino Linotype" w:hAnsi="Palatino Linotype" w:cs="Palatino Linotype"/>
        </w:rPr>
      </w:pPr>
      <w:bookmarkStart w:id="0" w:name="_heading=h.3znysh7" w:colFirst="0" w:colLast="0"/>
      <w:bookmarkEnd w:id="0"/>
      <w:r w:rsidRPr="00F7284D">
        <w:rPr>
          <w:rFonts w:ascii="Palatino Linotype" w:eastAsia="Palatino Linotype" w:hAnsi="Palatino Linotype" w:cs="Palatino Linotype"/>
          <w:b/>
        </w:rPr>
        <w:t>1. SOLICITUD DE ACCESO A DATOS PERSONALES</w:t>
      </w:r>
      <w:r w:rsidRPr="00F7284D">
        <w:rPr>
          <w:rFonts w:ascii="Palatino Linotype" w:eastAsia="Palatino Linotype" w:hAnsi="Palatino Linotype" w:cs="Palatino Linotype"/>
          <w:b/>
          <w:sz w:val="28"/>
          <w:szCs w:val="28"/>
        </w:rPr>
        <w:t>.</w:t>
      </w:r>
      <w:r w:rsidRPr="00F7284D">
        <w:rPr>
          <w:rFonts w:ascii="Palatino Linotype" w:eastAsia="Palatino Linotype" w:hAnsi="Palatino Linotype" w:cs="Palatino Linotype"/>
          <w:b/>
        </w:rPr>
        <w:t xml:space="preserve"> </w:t>
      </w:r>
      <w:r w:rsidRPr="00F7284D">
        <w:rPr>
          <w:rFonts w:ascii="Palatino Linotype" w:eastAsia="Palatino Linotype" w:hAnsi="Palatino Linotype" w:cs="Palatino Linotype"/>
        </w:rPr>
        <w:t xml:space="preserve">Con fecha diez de febrero del año dos mil veinticinco, </w:t>
      </w:r>
      <w:r w:rsidRPr="00F7284D">
        <w:rPr>
          <w:rFonts w:ascii="Palatino Linotype" w:eastAsia="Palatino Linotype" w:hAnsi="Palatino Linotype" w:cs="Palatino Linotype"/>
          <w:b/>
        </w:rPr>
        <w:t>LA PARTE RECURRENTE</w:t>
      </w:r>
      <w:r w:rsidRPr="00F7284D">
        <w:rPr>
          <w:rFonts w:ascii="Palatino Linotype" w:eastAsia="Palatino Linotype" w:hAnsi="Palatino Linotype" w:cs="Palatino Linotype"/>
        </w:rPr>
        <w:t xml:space="preserve"> presentó a través del Sistema de Acceso, Rectificación, Cancelación y Oposición de Datos Personales del Estado de México (SARCOEM) ante el </w:t>
      </w:r>
      <w:r w:rsidRPr="00F7284D">
        <w:rPr>
          <w:rFonts w:ascii="Palatino Linotype" w:eastAsia="Palatino Linotype" w:hAnsi="Palatino Linotype" w:cs="Palatino Linotype"/>
          <w:b/>
        </w:rPr>
        <w:t>SUJETO OBLIGADO</w:t>
      </w:r>
      <w:r w:rsidRPr="00F7284D">
        <w:rPr>
          <w:rFonts w:ascii="Palatino Linotype" w:eastAsia="Palatino Linotype" w:hAnsi="Palatino Linotype" w:cs="Palatino Linotype"/>
        </w:rPr>
        <w:t xml:space="preserve">, solicitud de acceso a datos personales, registrada bajo el expediente </w:t>
      </w:r>
      <w:r w:rsidRPr="00F7284D">
        <w:rPr>
          <w:rFonts w:ascii="Palatino Linotype" w:eastAsia="Palatino Linotype" w:hAnsi="Palatino Linotype" w:cs="Palatino Linotype"/>
          <w:b/>
        </w:rPr>
        <w:t xml:space="preserve">00164/ISSEMYM/AD/2025, </w:t>
      </w:r>
      <w:r w:rsidRPr="00F7284D">
        <w:rPr>
          <w:rFonts w:ascii="Palatino Linotype" w:eastAsia="Palatino Linotype" w:hAnsi="Palatino Linotype" w:cs="Palatino Linotype"/>
        </w:rPr>
        <w:t xml:space="preserve">mediante la cual requirió le fuese entregado, lo siguiente: </w:t>
      </w:r>
    </w:p>
    <w:p w14:paraId="3F25BAE0" w14:textId="77777777" w:rsidR="00B7478F" w:rsidRPr="00F7284D" w:rsidRDefault="00B7478F" w:rsidP="00B7478F">
      <w:pPr>
        <w:pBdr>
          <w:top w:val="nil"/>
          <w:left w:val="nil"/>
          <w:bottom w:val="nil"/>
          <w:right w:val="nil"/>
          <w:between w:val="nil"/>
        </w:pBdr>
        <w:spacing w:before="240" w:after="360"/>
        <w:ind w:left="851" w:right="902"/>
        <w:jc w:val="both"/>
        <w:rPr>
          <w:rFonts w:ascii="Palatino Linotype" w:eastAsia="Palatino Linotype" w:hAnsi="Palatino Linotype" w:cs="Palatino Linotype"/>
          <w:i/>
          <w:sz w:val="22"/>
          <w:szCs w:val="22"/>
        </w:rPr>
      </w:pPr>
      <w:bookmarkStart w:id="1" w:name="_heading=h.gjdgxs" w:colFirst="0" w:colLast="0"/>
      <w:bookmarkEnd w:id="1"/>
      <w:r w:rsidRPr="00F7284D">
        <w:rPr>
          <w:rFonts w:ascii="Palatino Linotype" w:eastAsia="Palatino Linotype" w:hAnsi="Palatino Linotype" w:cs="Palatino Linotype"/>
          <w:i/>
          <w:sz w:val="22"/>
          <w:szCs w:val="22"/>
        </w:rPr>
        <w:t xml:space="preserve">“SOLICITO UNA COPIA CERTIFICADA DE UN DICTAMEN DE CALIFICACION DE RIESGO DE TRABAJO EXPEDIDO EN EL HOSPITAL REGIONAL NEZAHUALCOYOTL POR SALUD DEL </w:t>
      </w:r>
      <w:r w:rsidRPr="00F7284D">
        <w:rPr>
          <w:rFonts w:ascii="Palatino Linotype" w:eastAsia="Palatino Linotype" w:hAnsi="Palatino Linotype" w:cs="Palatino Linotype"/>
          <w:i/>
          <w:sz w:val="22"/>
          <w:szCs w:val="22"/>
        </w:rPr>
        <w:lastRenderedPageBreak/>
        <w:t>TRABAJO EL 18 DE FEBRERO DE 2019 POR EL DR. VIDAL SUAREZ JORGE ANTONIO 597092 H.R ISSEMYM DE CD. NEZAHUALCOYOTL. 18/02/2019.” (Sic)</w:t>
      </w:r>
    </w:p>
    <w:p w14:paraId="257EFA25" w14:textId="77777777" w:rsidR="00B7478F" w:rsidRPr="00F7284D" w:rsidRDefault="00B7478F" w:rsidP="00B7478F">
      <w:pPr>
        <w:spacing w:before="240" w:after="240" w:line="360" w:lineRule="auto"/>
        <w:jc w:val="both"/>
        <w:rPr>
          <w:rFonts w:ascii="Palatino Linotype" w:eastAsia="Palatino Linotype" w:hAnsi="Palatino Linotype" w:cs="Palatino Linotype"/>
        </w:rPr>
      </w:pPr>
      <w:r w:rsidRPr="00F7284D">
        <w:rPr>
          <w:rFonts w:ascii="Palatino Linotype" w:eastAsia="Palatino Linotype" w:hAnsi="Palatino Linotype" w:cs="Palatino Linotype"/>
          <w:b/>
        </w:rPr>
        <w:t xml:space="preserve">Modalidad elegida para la entrega de la información: </w:t>
      </w:r>
      <w:r w:rsidRPr="00F7284D">
        <w:rPr>
          <w:rFonts w:ascii="Palatino Linotype" w:eastAsia="Palatino Linotype" w:hAnsi="Palatino Linotype" w:cs="Palatino Linotype"/>
        </w:rPr>
        <w:t>Copias certificadas.</w:t>
      </w:r>
    </w:p>
    <w:p w14:paraId="134F1DF5" w14:textId="77777777" w:rsidR="00B7478F" w:rsidRPr="00F7284D" w:rsidRDefault="00B7478F" w:rsidP="00B7478F">
      <w:pPr>
        <w:spacing w:before="240" w:after="240"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noProof/>
          <w:lang w:val="es-MX" w:eastAsia="es-MX"/>
        </w:rPr>
        <w:drawing>
          <wp:inline distT="0" distB="0" distL="0" distR="0" wp14:anchorId="5783548F" wp14:editId="644FCC03">
            <wp:extent cx="5359675" cy="92079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59675" cy="920797"/>
                    </a:xfrm>
                    <a:prstGeom prst="rect">
                      <a:avLst/>
                    </a:prstGeom>
                  </pic:spPr>
                </pic:pic>
              </a:graphicData>
            </a:graphic>
          </wp:inline>
        </w:drawing>
      </w:r>
    </w:p>
    <w:p w14:paraId="5D3D028A" w14:textId="77777777" w:rsidR="00B7478F" w:rsidRPr="00F7284D" w:rsidRDefault="00B7478F" w:rsidP="00B7478F">
      <w:pPr>
        <w:spacing w:before="240" w:after="240" w:line="360" w:lineRule="auto"/>
        <w:contextualSpacing/>
        <w:jc w:val="both"/>
        <w:rPr>
          <w:rFonts w:ascii="Palatino Linotype" w:eastAsia="Palatino Linotype" w:hAnsi="Palatino Linotype" w:cs="Palatino Linotype"/>
        </w:rPr>
      </w:pPr>
    </w:p>
    <w:p w14:paraId="08974D5D" w14:textId="77777777" w:rsidR="00B7478F" w:rsidRPr="00F7284D" w:rsidRDefault="00B7478F" w:rsidP="00B7478F">
      <w:pPr>
        <w:spacing w:line="360" w:lineRule="auto"/>
        <w:contextualSpacing/>
        <w:rPr>
          <w:rFonts w:ascii="Palatino Linotype" w:hAnsi="Palatino Linotype"/>
        </w:rPr>
      </w:pPr>
      <w:r w:rsidRPr="00F7284D">
        <w:rPr>
          <w:rFonts w:ascii="Palatino Linotype" w:hAnsi="Palatino Linotype"/>
          <w:b/>
        </w:rPr>
        <w:t>LA PARTE RECURRENTE</w:t>
      </w:r>
      <w:r w:rsidRPr="00F7284D">
        <w:rPr>
          <w:rFonts w:ascii="Palatino Linotype" w:hAnsi="Palatino Linotype"/>
        </w:rPr>
        <w:t>, adjuntó el archivo electrónico:</w:t>
      </w:r>
    </w:p>
    <w:p w14:paraId="2F7FAB79" w14:textId="77777777" w:rsidR="00B7478F" w:rsidRPr="00F7284D" w:rsidRDefault="00B7478F" w:rsidP="00B7478F">
      <w:pPr>
        <w:spacing w:line="360" w:lineRule="auto"/>
        <w:contextualSpacing/>
        <w:rPr>
          <w:rFonts w:ascii="Palatino Linotype" w:hAnsi="Palatino Linotype"/>
        </w:rPr>
      </w:pPr>
    </w:p>
    <w:p w14:paraId="4FE20DC2" w14:textId="77777777" w:rsidR="00B7478F" w:rsidRPr="00F7284D" w:rsidRDefault="00B7478F" w:rsidP="00B7478F">
      <w:pPr>
        <w:spacing w:line="360" w:lineRule="auto"/>
        <w:contextualSpacing/>
        <w:jc w:val="both"/>
        <w:rPr>
          <w:rFonts w:ascii="Palatino Linotype" w:hAnsi="Palatino Linotype"/>
        </w:rPr>
      </w:pPr>
      <w:r w:rsidRPr="00F7284D">
        <w:rPr>
          <w:rFonts w:ascii="Palatino Linotype" w:hAnsi="Palatino Linotype"/>
        </w:rPr>
        <w:t>“</w:t>
      </w:r>
      <w:proofErr w:type="spellStart"/>
      <w:r w:rsidRPr="00F7284D">
        <w:rPr>
          <w:rFonts w:ascii="Palatino Linotype" w:hAnsi="Palatino Linotype"/>
          <w:b/>
          <w:i/>
          <w:u w:val="single"/>
        </w:rPr>
        <w:t>Dictamen.Riesgo</w:t>
      </w:r>
      <w:proofErr w:type="spellEnd"/>
      <w:r w:rsidRPr="00F7284D">
        <w:rPr>
          <w:rFonts w:ascii="Palatino Linotype" w:hAnsi="Palatino Linotype"/>
          <w:b/>
          <w:i/>
          <w:u w:val="single"/>
        </w:rPr>
        <w:t xml:space="preserve"> de trabajo (1).</w:t>
      </w:r>
      <w:proofErr w:type="spellStart"/>
      <w:r w:rsidRPr="00F7284D">
        <w:rPr>
          <w:rFonts w:ascii="Palatino Linotype" w:hAnsi="Palatino Linotype"/>
          <w:b/>
          <w:i/>
          <w:u w:val="single"/>
        </w:rPr>
        <w:t>pdf</w:t>
      </w:r>
      <w:proofErr w:type="spellEnd"/>
      <w:r w:rsidRPr="00F7284D">
        <w:rPr>
          <w:rFonts w:ascii="Palatino Linotype" w:hAnsi="Palatino Linotype"/>
        </w:rPr>
        <w:t xml:space="preserve">”: Documento denominado aviso para calificar probable riesgo de trabajo a favor de </w:t>
      </w:r>
      <w:r w:rsidRPr="00F7284D">
        <w:rPr>
          <w:rFonts w:ascii="Palatino Linotype" w:hAnsi="Palatino Linotype"/>
          <w:b/>
        </w:rPr>
        <w:t>LA PARTE RECURRENTE</w:t>
      </w:r>
      <w:r w:rsidRPr="00F7284D">
        <w:rPr>
          <w:rFonts w:ascii="Palatino Linotype" w:hAnsi="Palatino Linotype"/>
        </w:rPr>
        <w:t xml:space="preserve">. </w:t>
      </w:r>
    </w:p>
    <w:p w14:paraId="2E36AC49" w14:textId="77777777" w:rsidR="00B7478F" w:rsidRPr="00F7284D" w:rsidRDefault="00B7478F" w:rsidP="00B7478F">
      <w:pPr>
        <w:spacing w:before="240" w:after="240" w:line="360" w:lineRule="auto"/>
        <w:contextualSpacing/>
        <w:jc w:val="both"/>
        <w:rPr>
          <w:rFonts w:ascii="Palatino Linotype" w:eastAsia="Palatino Linotype" w:hAnsi="Palatino Linotype" w:cs="Palatino Linotype"/>
        </w:rPr>
      </w:pPr>
    </w:p>
    <w:p w14:paraId="027C3A13" w14:textId="77777777" w:rsidR="00B7478F" w:rsidRPr="00F7284D" w:rsidRDefault="00B7478F" w:rsidP="00B7478F">
      <w:pPr>
        <w:spacing w:line="360" w:lineRule="auto"/>
        <w:contextualSpacing/>
        <w:jc w:val="both"/>
      </w:pPr>
      <w:r w:rsidRPr="00F7284D">
        <w:rPr>
          <w:rFonts w:ascii="Palatino Linotype" w:eastAsia="Palatino Linotype" w:hAnsi="Palatino Linotype" w:cs="Palatino Linotype"/>
          <w:b/>
        </w:rPr>
        <w:t xml:space="preserve">2. RESPUESTA.  </w:t>
      </w:r>
      <w:r w:rsidRPr="00F7284D">
        <w:rPr>
          <w:rFonts w:ascii="Palatino Linotype" w:eastAsia="Palatino Linotype" w:hAnsi="Palatino Linotype" w:cs="Palatino Linotype"/>
        </w:rPr>
        <w:t xml:space="preserve">Con fecha </w:t>
      </w:r>
      <w:r w:rsidR="00601325" w:rsidRPr="00F7284D">
        <w:rPr>
          <w:rFonts w:ascii="Palatino Linotype" w:eastAsia="Palatino Linotype" w:hAnsi="Palatino Linotype" w:cs="Palatino Linotype"/>
        </w:rPr>
        <w:t>once</w:t>
      </w:r>
      <w:r w:rsidRPr="00F7284D">
        <w:rPr>
          <w:rFonts w:ascii="Palatino Linotype" w:eastAsia="Palatino Linotype" w:hAnsi="Palatino Linotype" w:cs="Palatino Linotype"/>
        </w:rPr>
        <w:t xml:space="preserve"> de </w:t>
      </w:r>
      <w:r w:rsidR="00601325" w:rsidRPr="00F7284D">
        <w:rPr>
          <w:rFonts w:ascii="Palatino Linotype" w:eastAsia="Palatino Linotype" w:hAnsi="Palatino Linotype" w:cs="Palatino Linotype"/>
        </w:rPr>
        <w:t>marzo</w:t>
      </w:r>
      <w:r w:rsidRPr="00F7284D">
        <w:rPr>
          <w:rFonts w:ascii="Palatino Linotype" w:eastAsia="Palatino Linotype" w:hAnsi="Palatino Linotype" w:cs="Palatino Linotype"/>
        </w:rPr>
        <w:t xml:space="preserve"> del dos mil veinti</w:t>
      </w:r>
      <w:r w:rsidR="00601325" w:rsidRPr="00F7284D">
        <w:rPr>
          <w:rFonts w:ascii="Palatino Linotype" w:eastAsia="Palatino Linotype" w:hAnsi="Palatino Linotype" w:cs="Palatino Linotype"/>
        </w:rPr>
        <w:t>cinco</w:t>
      </w:r>
      <w:r w:rsidRPr="00F7284D">
        <w:rPr>
          <w:rFonts w:ascii="Palatino Linotype" w:eastAsia="Palatino Linotype" w:hAnsi="Palatino Linotype" w:cs="Palatino Linotype"/>
        </w:rPr>
        <w:t xml:space="preserve">, </w:t>
      </w:r>
      <w:r w:rsidRPr="00F7284D">
        <w:rPr>
          <w:rFonts w:ascii="Palatino Linotype" w:eastAsia="Palatino Linotype" w:hAnsi="Palatino Linotype" w:cs="Palatino Linotype"/>
          <w:b/>
        </w:rPr>
        <w:t>EL SUJETO OBLIGADO</w:t>
      </w:r>
      <w:r w:rsidRPr="00F7284D">
        <w:rPr>
          <w:rFonts w:ascii="Palatino Linotype" w:eastAsia="Palatino Linotype" w:hAnsi="Palatino Linotype" w:cs="Palatino Linotype"/>
        </w:rPr>
        <w:t xml:space="preserve"> otorgó, a través del SARCOEM respuesta a la solicitud de acceso a datos personales de la siguiente manera:</w:t>
      </w:r>
      <w:r w:rsidRPr="00F7284D">
        <w:t xml:space="preserve"> </w:t>
      </w:r>
    </w:p>
    <w:p w14:paraId="72CC9E4D" w14:textId="77777777" w:rsidR="00B7478F" w:rsidRPr="00F7284D" w:rsidRDefault="00B7478F" w:rsidP="00B7478F">
      <w:pPr>
        <w:spacing w:line="360" w:lineRule="auto"/>
        <w:jc w:val="both"/>
        <w:rPr>
          <w:rFonts w:ascii="Palatino Linotype" w:hAnsi="Palatino Linotype"/>
        </w:rPr>
      </w:pPr>
    </w:p>
    <w:p w14:paraId="2EE1E10B" w14:textId="77777777" w:rsidR="00B7478F" w:rsidRPr="00F7284D" w:rsidRDefault="00B7478F" w:rsidP="00B7478F">
      <w:pPr>
        <w:spacing w:line="276" w:lineRule="auto"/>
        <w:ind w:left="851" w:right="900"/>
        <w:jc w:val="both"/>
        <w:rPr>
          <w:rFonts w:ascii="Palatino Linotype" w:eastAsia="Palatino Linotype" w:hAnsi="Palatino Linotype" w:cs="Palatino Linotype"/>
          <w:i/>
        </w:rPr>
      </w:pPr>
      <w:r w:rsidRPr="00F7284D">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833126" w14:textId="77777777" w:rsidR="00B7478F" w:rsidRPr="00F7284D" w:rsidRDefault="00B7478F" w:rsidP="00B7478F">
      <w:pPr>
        <w:spacing w:line="276" w:lineRule="auto"/>
        <w:ind w:left="851" w:right="900"/>
        <w:jc w:val="both"/>
        <w:rPr>
          <w:rFonts w:ascii="Palatino Linotype" w:eastAsia="Palatino Linotype" w:hAnsi="Palatino Linotype" w:cs="Palatino Linotype"/>
          <w:i/>
        </w:rPr>
      </w:pPr>
      <w:r w:rsidRPr="00F7284D">
        <w:rPr>
          <w:rFonts w:ascii="Palatino Linotype" w:eastAsia="Palatino Linotype" w:hAnsi="Palatino Linotype" w:cs="Palatino Linotype"/>
          <w:i/>
        </w:rPr>
        <w:t xml:space="preserve">Como archivo adjunto, encontrará el oficio que dará respuesta a su solicitud de acceso a datos personales, mismo que podrá visualizar una vez que valide el Código para el Solicitante, el cual podrá localizar en el Acuse de la Solicitud, por lo que, deberá copiar y pegar dicho código en el campo </w:t>
      </w:r>
      <w:r w:rsidRPr="00F7284D">
        <w:rPr>
          <w:rFonts w:ascii="Palatino Linotype" w:eastAsia="Palatino Linotype" w:hAnsi="Palatino Linotype" w:cs="Palatino Linotype"/>
          <w:i/>
        </w:rPr>
        <w:lastRenderedPageBreak/>
        <w:t>“Para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06014398" w14:textId="77777777" w:rsidR="00B7478F" w:rsidRPr="00F7284D" w:rsidRDefault="00B7478F" w:rsidP="00B7478F">
      <w:pPr>
        <w:spacing w:line="276" w:lineRule="auto"/>
        <w:ind w:left="851" w:right="900"/>
        <w:jc w:val="both"/>
        <w:rPr>
          <w:rFonts w:ascii="Palatino Linotype" w:eastAsia="Palatino Linotype" w:hAnsi="Palatino Linotype" w:cs="Palatino Linotype"/>
          <w:i/>
        </w:rPr>
      </w:pPr>
      <w:r w:rsidRPr="00F7284D">
        <w:rPr>
          <w:rFonts w:ascii="Palatino Linotype" w:eastAsia="Palatino Linotype" w:hAnsi="Palatino Linotype" w:cs="Palatino Linotype"/>
          <w:i/>
        </w:rPr>
        <w:t>ATENTAMENTE</w:t>
      </w:r>
    </w:p>
    <w:p w14:paraId="798AC7F3" w14:textId="77777777" w:rsidR="00B7478F" w:rsidRPr="00F7284D" w:rsidRDefault="00B7478F" w:rsidP="00B7478F">
      <w:pPr>
        <w:spacing w:line="276" w:lineRule="auto"/>
        <w:ind w:left="851" w:right="900"/>
        <w:jc w:val="both"/>
        <w:rPr>
          <w:rFonts w:ascii="Palatino Linotype" w:eastAsia="Palatino Linotype" w:hAnsi="Palatino Linotype" w:cs="Palatino Linotype"/>
          <w:i/>
        </w:rPr>
      </w:pPr>
      <w:r w:rsidRPr="00F7284D">
        <w:rPr>
          <w:rFonts w:ascii="Palatino Linotype" w:eastAsia="Palatino Linotype" w:hAnsi="Palatino Linotype" w:cs="Palatino Linotype"/>
          <w:i/>
        </w:rPr>
        <w:t>LIC. EN PLANEACION TERRITORIAL ABRAHAM ISRAEL BADIA VARGAS”</w:t>
      </w:r>
    </w:p>
    <w:p w14:paraId="5C25BC26" w14:textId="77777777" w:rsidR="00B7478F" w:rsidRPr="00F7284D" w:rsidRDefault="00B7478F" w:rsidP="00B7478F">
      <w:pPr>
        <w:spacing w:line="360" w:lineRule="auto"/>
        <w:jc w:val="both"/>
        <w:rPr>
          <w:rFonts w:ascii="Palatino Linotype" w:eastAsia="Palatino Linotype" w:hAnsi="Palatino Linotype" w:cs="Palatino Linotype"/>
          <w:b/>
        </w:rPr>
      </w:pPr>
    </w:p>
    <w:p w14:paraId="2EAFD5D9" w14:textId="77777777" w:rsidR="00B7478F" w:rsidRPr="00F7284D" w:rsidRDefault="00B7478F" w:rsidP="00B7478F">
      <w:pPr>
        <w:spacing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rPr>
        <w:t xml:space="preserve">Para tal efecto </w:t>
      </w:r>
      <w:r w:rsidRPr="00F7284D">
        <w:rPr>
          <w:rFonts w:ascii="Palatino Linotype" w:eastAsia="Palatino Linotype" w:hAnsi="Palatino Linotype" w:cs="Palatino Linotype"/>
          <w:b/>
        </w:rPr>
        <w:t>EL SUJETO OBLIGADO</w:t>
      </w:r>
      <w:r w:rsidRPr="00F7284D">
        <w:rPr>
          <w:rFonts w:ascii="Palatino Linotype" w:eastAsia="Palatino Linotype" w:hAnsi="Palatino Linotype" w:cs="Palatino Linotype"/>
        </w:rPr>
        <w:t xml:space="preserve"> adjuntó el archivo electrónico:</w:t>
      </w:r>
    </w:p>
    <w:p w14:paraId="2AABA9B8" w14:textId="77777777" w:rsidR="00B7478F" w:rsidRPr="00F7284D" w:rsidRDefault="00B7478F" w:rsidP="00B7478F">
      <w:pPr>
        <w:spacing w:line="360" w:lineRule="auto"/>
        <w:contextualSpacing/>
        <w:jc w:val="both"/>
        <w:rPr>
          <w:rFonts w:ascii="Palatino Linotype" w:eastAsia="Palatino Linotype" w:hAnsi="Palatino Linotype" w:cs="Palatino Linotype"/>
        </w:rPr>
      </w:pPr>
    </w:p>
    <w:p w14:paraId="169AC10D" w14:textId="77777777" w:rsidR="00B7478F" w:rsidRPr="00F7284D" w:rsidRDefault="00B7478F" w:rsidP="00B7478F">
      <w:pPr>
        <w:spacing w:line="360" w:lineRule="auto"/>
        <w:contextualSpacing/>
        <w:jc w:val="both"/>
        <w:rPr>
          <w:rFonts w:ascii="Palatino Linotype" w:hAnsi="Palatino Linotype"/>
        </w:rPr>
      </w:pPr>
      <w:r w:rsidRPr="00F7284D">
        <w:rPr>
          <w:rFonts w:ascii="Palatino Linotype" w:hAnsi="Palatino Linotype"/>
        </w:rPr>
        <w:t>“</w:t>
      </w:r>
      <w:r w:rsidRPr="00F7284D">
        <w:rPr>
          <w:rFonts w:ascii="Palatino Linotype" w:hAnsi="Palatino Linotype"/>
          <w:b/>
          <w:i/>
          <w:u w:val="single"/>
        </w:rPr>
        <w:t>RESPUESTA 164.AD.2025.pdf</w:t>
      </w:r>
      <w:r w:rsidRPr="00F7284D">
        <w:rPr>
          <w:rFonts w:ascii="Palatino Linotype" w:hAnsi="Palatino Linotype"/>
        </w:rPr>
        <w:t xml:space="preserve">”: Oficio de fecha </w:t>
      </w:r>
      <w:r w:rsidR="004C1BC1" w:rsidRPr="00F7284D">
        <w:rPr>
          <w:rFonts w:ascii="Palatino Linotype" w:hAnsi="Palatino Linotype"/>
        </w:rPr>
        <w:t>diez</w:t>
      </w:r>
      <w:r w:rsidRPr="00F7284D">
        <w:rPr>
          <w:rFonts w:ascii="Palatino Linotype" w:hAnsi="Palatino Linotype"/>
        </w:rPr>
        <w:t xml:space="preserve"> de </w:t>
      </w:r>
      <w:r w:rsidR="004C1BC1" w:rsidRPr="00F7284D">
        <w:rPr>
          <w:rFonts w:ascii="Palatino Linotype" w:hAnsi="Palatino Linotype"/>
        </w:rPr>
        <w:t>marzo</w:t>
      </w:r>
      <w:r w:rsidRPr="00F7284D">
        <w:rPr>
          <w:rFonts w:ascii="Palatino Linotype" w:hAnsi="Palatino Linotype"/>
        </w:rPr>
        <w:t xml:space="preserve"> de dos mil veinti</w:t>
      </w:r>
      <w:r w:rsidR="004C1BC1" w:rsidRPr="00F7284D">
        <w:rPr>
          <w:rFonts w:ascii="Palatino Linotype" w:hAnsi="Palatino Linotype"/>
        </w:rPr>
        <w:t>cinco</w:t>
      </w:r>
      <w:r w:rsidRPr="00F7284D">
        <w:rPr>
          <w:rFonts w:ascii="Palatino Linotype" w:hAnsi="Palatino Linotype"/>
        </w:rPr>
        <w:t xml:space="preserve">, signado por </w:t>
      </w:r>
      <w:r w:rsidR="004C1BC1" w:rsidRPr="00F7284D">
        <w:rPr>
          <w:rFonts w:ascii="Palatino Linotype" w:hAnsi="Palatino Linotype"/>
        </w:rPr>
        <w:t>el Titular de la Unidad de Transparencia</w:t>
      </w:r>
      <w:r w:rsidRPr="00F7284D">
        <w:rPr>
          <w:rFonts w:ascii="Palatino Linotype" w:hAnsi="Palatino Linotype"/>
        </w:rPr>
        <w:t xml:space="preserve">, mediante el cual </w:t>
      </w:r>
      <w:r w:rsidR="004C1BC1" w:rsidRPr="00F7284D">
        <w:rPr>
          <w:rFonts w:ascii="Palatino Linotype" w:hAnsi="Palatino Linotype"/>
        </w:rPr>
        <w:t xml:space="preserve">señala que la Coordinación de Servicios de Salud informó que localizó el aviso para calificar probable riesgo de trabajo, elaborado en el Hospital Regional Nezahualcóyotl, que consta de una hoja, </w:t>
      </w:r>
      <w:r w:rsidR="006F20FE" w:rsidRPr="00F7284D">
        <w:rPr>
          <w:rFonts w:ascii="Palatino Linotype" w:hAnsi="Palatino Linotype"/>
        </w:rPr>
        <w:t>por lo que no se generará costo alguno, asimismo señaló</w:t>
      </w:r>
      <w:r w:rsidR="004C1BC1" w:rsidRPr="00F7284D">
        <w:rPr>
          <w:rFonts w:ascii="Palatino Linotype" w:hAnsi="Palatino Linotype"/>
        </w:rPr>
        <w:t xml:space="preserve"> el lugar y  el horario en donde podrá acceder a la documentación solicitada. </w:t>
      </w:r>
    </w:p>
    <w:p w14:paraId="49ECD4F5" w14:textId="77777777" w:rsidR="00B7478F" w:rsidRPr="00F7284D" w:rsidRDefault="00B7478F" w:rsidP="00B7478F">
      <w:pPr>
        <w:spacing w:before="240" w:after="240" w:line="360" w:lineRule="auto"/>
        <w:contextualSpacing/>
        <w:jc w:val="both"/>
        <w:rPr>
          <w:rFonts w:ascii="Palatino Linotype" w:eastAsia="Palatino Linotype" w:hAnsi="Palatino Linotype" w:cs="Palatino Linotype"/>
        </w:rPr>
      </w:pPr>
    </w:p>
    <w:p w14:paraId="1DB28E8D" w14:textId="77777777" w:rsidR="004C1BC1" w:rsidRPr="00F7284D" w:rsidRDefault="004C1BC1" w:rsidP="004C1BC1">
      <w:pPr>
        <w:spacing w:before="360" w:after="240"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b/>
        </w:rPr>
        <w:t xml:space="preserve">3. INTERPOSICIÓN DEL RECURSO DE REVISIÓN. </w:t>
      </w:r>
      <w:r w:rsidRPr="00F7284D">
        <w:rPr>
          <w:rFonts w:ascii="Palatino Linotype" w:eastAsia="Palatino Linotype" w:hAnsi="Palatino Linotype" w:cs="Palatino Linotype"/>
        </w:rPr>
        <w:t xml:space="preserve">Con fecha doce de marzo del año dos mil veinticinco, </w:t>
      </w:r>
      <w:r w:rsidRPr="00F7284D">
        <w:rPr>
          <w:rFonts w:ascii="Palatino Linotype" w:eastAsia="Palatino Linotype" w:hAnsi="Palatino Linotype" w:cs="Palatino Linotype"/>
          <w:b/>
        </w:rPr>
        <w:t>LA PARTE RECURRENTE</w:t>
      </w:r>
      <w:r w:rsidRPr="00F7284D">
        <w:rPr>
          <w:rFonts w:ascii="Palatino Linotype" w:eastAsia="Palatino Linotype" w:hAnsi="Palatino Linotype" w:cs="Palatino Linotype"/>
        </w:rPr>
        <w:t xml:space="preserve"> interpuso a través del SARCOEM el recurso de revisión al que se le asignó el número de expediente que al </w:t>
      </w:r>
      <w:r w:rsidRPr="00F7284D">
        <w:rPr>
          <w:rFonts w:ascii="Palatino Linotype" w:eastAsia="Palatino Linotype" w:hAnsi="Palatino Linotype" w:cs="Palatino Linotype"/>
        </w:rPr>
        <w:lastRenderedPageBreak/>
        <w:t xml:space="preserve">rubro se indica, señalando como acto impugnado y como razones o motivos de inconformidad lo siguiente: </w:t>
      </w:r>
    </w:p>
    <w:p w14:paraId="66137F01" w14:textId="77777777" w:rsidR="004C1BC1" w:rsidRPr="00F7284D" w:rsidRDefault="004C1BC1" w:rsidP="004C1BC1">
      <w:pPr>
        <w:spacing w:before="360" w:after="240" w:line="360" w:lineRule="auto"/>
        <w:ind w:firstLine="567"/>
        <w:jc w:val="both"/>
        <w:rPr>
          <w:rFonts w:ascii="Palatino Linotype" w:eastAsia="Palatino Linotype" w:hAnsi="Palatino Linotype" w:cs="Palatino Linotype"/>
          <w:b/>
        </w:rPr>
      </w:pPr>
      <w:r w:rsidRPr="00F7284D">
        <w:rPr>
          <w:rFonts w:ascii="Palatino Linotype" w:eastAsia="Palatino Linotype" w:hAnsi="Palatino Linotype" w:cs="Palatino Linotype"/>
          <w:b/>
        </w:rPr>
        <w:t>a) Acto impugnado.</w:t>
      </w:r>
    </w:p>
    <w:p w14:paraId="14FC23A8" w14:textId="5A088DC8" w:rsidR="004C1BC1" w:rsidRPr="00F7284D" w:rsidRDefault="004C1BC1" w:rsidP="004C1BC1">
      <w:pPr>
        <w:ind w:left="851" w:right="900"/>
        <w:jc w:val="both"/>
        <w:rPr>
          <w:rFonts w:ascii="Palatino Linotype" w:eastAsia="Palatino Linotype" w:hAnsi="Palatino Linotype" w:cs="Palatino Linotype"/>
          <w:i/>
          <w:sz w:val="22"/>
          <w:szCs w:val="22"/>
        </w:rPr>
      </w:pPr>
      <w:r w:rsidRPr="00F7284D">
        <w:rPr>
          <w:rFonts w:ascii="Palatino Linotype" w:eastAsia="Palatino Linotype" w:hAnsi="Palatino Linotype" w:cs="Palatino Linotype"/>
          <w:i/>
          <w:sz w:val="22"/>
          <w:szCs w:val="22"/>
        </w:rPr>
        <w:t xml:space="preserve">“Nezahualcóyotl, México a 04 de Febrero de 2025 Nombre del solicitante: </w:t>
      </w:r>
      <w:r w:rsidR="009313CD" w:rsidRPr="009313CD">
        <w:rPr>
          <w:rFonts w:ascii="Palatino Linotype" w:eastAsia="Palatino Linotype" w:hAnsi="Palatino Linotype" w:cs="Palatino Linotype"/>
          <w:i/>
          <w:sz w:val="22"/>
          <w:szCs w:val="22"/>
        </w:rPr>
        <w:t>XXXXXX XXXXXXXX XXXXXXXXX XXXX</w:t>
      </w:r>
      <w:r w:rsidRPr="00F7284D">
        <w:rPr>
          <w:rFonts w:ascii="Palatino Linotype" w:eastAsia="Palatino Linotype" w:hAnsi="Palatino Linotype" w:cs="Palatino Linotype"/>
          <w:i/>
          <w:sz w:val="22"/>
          <w:szCs w:val="22"/>
        </w:rPr>
        <w:t xml:space="preserve"> Folio de la solicitud: 00002/NEZA/AD/2025 Nezahualcóyotl, Estado de México a 04 de febrero de 2025 ESTIMADO </w:t>
      </w:r>
      <w:r w:rsidR="00142EB4">
        <w:rPr>
          <w:rFonts w:ascii="Palatino Linotype" w:eastAsia="Palatino Linotype" w:hAnsi="Palatino Linotype" w:cs="Palatino Linotype"/>
          <w:i/>
          <w:sz w:val="22"/>
          <w:szCs w:val="22"/>
        </w:rPr>
        <w:t>XXXXXXXXXX</w:t>
      </w:r>
      <w:r w:rsidRPr="00F7284D">
        <w:rPr>
          <w:rFonts w:ascii="Palatino Linotype" w:eastAsia="Palatino Linotype" w:hAnsi="Palatino Linotype" w:cs="Palatino Linotype"/>
          <w:i/>
          <w:sz w:val="22"/>
          <w:szCs w:val="22"/>
        </w:rPr>
        <w:t xml:space="preserve"> P R E S E N T E. En atención a la solicitud de Información Pública identificada con el número de folio 00002/NEZA/AD/2025, que a la letra dice: “SOLICITO UNA COPIA CERTIFICADA DE UN DICTAMEN DE CALIFICACION DE RIESGO DE TRABAJO EXPEDIDO EN EL HOSPITAL REGIONAL NEZAHUALCOYOTL POR SALUD DEL TRABAJO EL 18 DE FEBRERO DE 2019 POR EL DR. VIDAL SUAREZ JORGE ANTONIO 597092 H.R ISSEMYM DE CD. NEZAHUALCOYOTL. 18/02/2019” (SIC) Se le sugiere ingresar su petición en la liga de la siguiente: • Sistema de Acceso, Ratificación, Cancelación y Oposición de Datos Personales del Estado de México. https://www.sarcoem.org.mx/sarcoem/ciudadano/login.page • Posterior al llenado de todos los datos y registro exitoso, seleccionara Nueva Solicitud de Acceso a Datos Personales; • En el apartado donde deberá especificar el sujeto obligado del cual requiere la información, seleccionará: Poder Ejecutivo. • Posterior a este, en el cuadro de dependencia a elegir; instituto de Seguridad Social del Estado de México y Municipios (ISSEMYM). Con la finalidad de que le sea proporcionada la información requerida, lo anterior con fundamento en el artículo 112 párrafo primero, de la Ley de Protección de Datos Personales en Posesión de Sujetos Obligados de Estado de México y Municipios, que a la letra dice: “Artículo 112. Cuando el responsable no sea competente para atender la solicitud para el ejercicio de derechos ARCO, deberá hacer del conocimiento del titular dicha situación dentro de los tres días siguientes a la presentación de la solicitud y en caso de poderlo determinar, orientarlo hacia el responsable competente. En caso que el responsable advierta que la solicitud para el ejercicio de derechos ARCO corresponda a un derecho diferente de los previstos en la presente Ley, deberá reconducir la vía haciéndolo del conocimiento al titular en el plazo previsto en el primer párrafo.” Sin más por el momento, reciba un fraternal saludo. A T E N T A M E N T E LIC. CHRISTIAN LOZANO LARA TITULAR DE LA UNIDAD DE TRANSPARENCIA Y ACCESO A LA </w:t>
      </w:r>
      <w:r w:rsidRPr="00F7284D">
        <w:rPr>
          <w:rFonts w:ascii="Palatino Linotype" w:eastAsia="Palatino Linotype" w:hAnsi="Palatino Linotype" w:cs="Palatino Linotype"/>
          <w:i/>
          <w:sz w:val="22"/>
          <w:szCs w:val="22"/>
        </w:rPr>
        <w:lastRenderedPageBreak/>
        <w:t>INFORMACIÓN PÚBLICA MUNICIPAL ATENTAMENTE LIC. CHRISTIAN LOZANO LARA” (Sic)</w:t>
      </w:r>
    </w:p>
    <w:p w14:paraId="27F092CA" w14:textId="77777777" w:rsidR="004C1BC1" w:rsidRPr="00F7284D" w:rsidRDefault="004C1BC1" w:rsidP="004C1BC1">
      <w:pPr>
        <w:ind w:left="851" w:right="900"/>
        <w:jc w:val="both"/>
        <w:rPr>
          <w:rFonts w:ascii="Palatino Linotype" w:eastAsia="Palatino Linotype" w:hAnsi="Palatino Linotype" w:cs="Palatino Linotype"/>
          <w:i/>
          <w:sz w:val="22"/>
          <w:szCs w:val="22"/>
        </w:rPr>
      </w:pPr>
    </w:p>
    <w:p w14:paraId="533C100C" w14:textId="77777777" w:rsidR="004C1BC1" w:rsidRPr="00F7284D" w:rsidRDefault="004C1BC1" w:rsidP="004C1BC1">
      <w:pPr>
        <w:spacing w:before="240" w:after="240" w:line="360" w:lineRule="auto"/>
        <w:ind w:left="567"/>
        <w:jc w:val="both"/>
        <w:rPr>
          <w:rFonts w:ascii="Palatino Linotype" w:eastAsia="Palatino Linotype" w:hAnsi="Palatino Linotype" w:cs="Palatino Linotype"/>
          <w:b/>
        </w:rPr>
      </w:pPr>
      <w:r w:rsidRPr="00F7284D">
        <w:rPr>
          <w:rFonts w:ascii="Palatino Linotype" w:eastAsia="Palatino Linotype" w:hAnsi="Palatino Linotype" w:cs="Palatino Linotype"/>
          <w:b/>
        </w:rPr>
        <w:t>b) Motivos de inconformidad.</w:t>
      </w:r>
    </w:p>
    <w:p w14:paraId="42406CD5" w14:textId="77777777" w:rsidR="004C1BC1" w:rsidRPr="00F7284D" w:rsidRDefault="004C1BC1" w:rsidP="004C1BC1">
      <w:pPr>
        <w:ind w:left="851" w:right="900"/>
        <w:jc w:val="both"/>
        <w:rPr>
          <w:rFonts w:ascii="Palatino Linotype" w:eastAsia="Palatino Linotype" w:hAnsi="Palatino Linotype" w:cs="Palatino Linotype"/>
          <w:i/>
          <w:sz w:val="22"/>
          <w:szCs w:val="22"/>
        </w:rPr>
      </w:pPr>
      <w:r w:rsidRPr="00F7284D">
        <w:rPr>
          <w:rFonts w:ascii="Palatino Linotype" w:eastAsia="Palatino Linotype" w:hAnsi="Palatino Linotype" w:cs="Palatino Linotype"/>
          <w:i/>
          <w:sz w:val="22"/>
          <w:szCs w:val="22"/>
        </w:rPr>
        <w:t xml:space="preserve">“Qué procede? </w:t>
      </w:r>
      <w:proofErr w:type="gramStart"/>
      <w:r w:rsidRPr="00F7284D">
        <w:rPr>
          <w:rFonts w:ascii="Palatino Linotype" w:eastAsia="Palatino Linotype" w:hAnsi="Palatino Linotype" w:cs="Palatino Linotype"/>
          <w:i/>
          <w:sz w:val="22"/>
          <w:szCs w:val="22"/>
        </w:rPr>
        <w:t>Dónde puedo solicitar mi documento?</w:t>
      </w:r>
      <w:proofErr w:type="gramEnd"/>
      <w:r w:rsidRPr="00F7284D">
        <w:rPr>
          <w:rFonts w:ascii="Palatino Linotype" w:eastAsia="Palatino Linotype" w:hAnsi="Palatino Linotype" w:cs="Palatino Linotype"/>
          <w:i/>
          <w:sz w:val="22"/>
          <w:szCs w:val="22"/>
        </w:rPr>
        <w:t xml:space="preserve"> Me es de suma urgencia” (Sic)</w:t>
      </w:r>
    </w:p>
    <w:p w14:paraId="3C9C045E" w14:textId="77777777" w:rsidR="004C1BC1" w:rsidRPr="00F7284D" w:rsidRDefault="004C1BC1" w:rsidP="004C1BC1">
      <w:pPr>
        <w:spacing w:line="360" w:lineRule="auto"/>
        <w:contextualSpacing/>
        <w:jc w:val="both"/>
        <w:rPr>
          <w:rFonts w:ascii="Palatino Linotype" w:hAnsi="Palatino Linotype"/>
        </w:rPr>
      </w:pPr>
    </w:p>
    <w:p w14:paraId="48604D95" w14:textId="77777777" w:rsidR="004C1BC1" w:rsidRPr="00F7284D" w:rsidRDefault="004C1BC1" w:rsidP="004C1BC1">
      <w:pPr>
        <w:spacing w:line="360" w:lineRule="auto"/>
        <w:contextualSpacing/>
        <w:jc w:val="both"/>
        <w:rPr>
          <w:rFonts w:ascii="Palatino Linotype" w:hAnsi="Palatino Linotype"/>
        </w:rPr>
      </w:pPr>
      <w:r w:rsidRPr="00F7284D">
        <w:rPr>
          <w:rFonts w:ascii="Palatino Linotype" w:hAnsi="Palatino Linotype"/>
          <w:b/>
        </w:rPr>
        <w:t>LA</w:t>
      </w:r>
      <w:r w:rsidRPr="00F7284D">
        <w:rPr>
          <w:rFonts w:ascii="Palatino Linotype" w:hAnsi="Palatino Linotype"/>
        </w:rPr>
        <w:t xml:space="preserve"> </w:t>
      </w:r>
      <w:r w:rsidRPr="00F7284D">
        <w:rPr>
          <w:rFonts w:ascii="Palatino Linotype" w:hAnsi="Palatino Linotype"/>
          <w:b/>
        </w:rPr>
        <w:t>PARTE RECURRENTE</w:t>
      </w:r>
      <w:r w:rsidRPr="00F7284D">
        <w:rPr>
          <w:rFonts w:ascii="Palatino Linotype" w:hAnsi="Palatino Linotype"/>
        </w:rPr>
        <w:t>, adjuntó el archivo electrónico “</w:t>
      </w:r>
      <w:proofErr w:type="spellStart"/>
      <w:r w:rsidRPr="00F7284D">
        <w:rPr>
          <w:rFonts w:ascii="Palatino Linotype" w:hAnsi="Palatino Linotype"/>
          <w:b/>
          <w:i/>
          <w:u w:val="single"/>
        </w:rPr>
        <w:t>Dictamen.Riesgo</w:t>
      </w:r>
      <w:proofErr w:type="spellEnd"/>
      <w:r w:rsidRPr="00F7284D">
        <w:rPr>
          <w:rFonts w:ascii="Palatino Linotype" w:hAnsi="Palatino Linotype"/>
          <w:b/>
          <w:i/>
          <w:u w:val="single"/>
        </w:rPr>
        <w:t xml:space="preserve"> de trabajo.pdf”</w:t>
      </w:r>
      <w:r w:rsidRPr="00F7284D">
        <w:rPr>
          <w:rFonts w:ascii="Palatino Linotype" w:hAnsi="Palatino Linotype"/>
        </w:rPr>
        <w:t xml:space="preserve">, en donde se advierte el documento que adjunto en la solicitud de información. </w:t>
      </w:r>
    </w:p>
    <w:p w14:paraId="318D3940" w14:textId="77777777" w:rsidR="004C1BC1" w:rsidRPr="00F7284D" w:rsidRDefault="004C1BC1" w:rsidP="004C1BC1">
      <w:pPr>
        <w:spacing w:line="360" w:lineRule="auto"/>
        <w:contextualSpacing/>
        <w:jc w:val="both"/>
        <w:rPr>
          <w:rFonts w:ascii="Palatino Linotype" w:hAnsi="Palatino Linotype"/>
        </w:rPr>
      </w:pPr>
    </w:p>
    <w:p w14:paraId="11DA2A37" w14:textId="77777777" w:rsidR="004C1BC1" w:rsidRPr="00F7284D" w:rsidRDefault="004C1BC1" w:rsidP="004C1BC1">
      <w:pPr>
        <w:spacing w:before="240" w:after="240"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b/>
        </w:rPr>
        <w:t>4. TURNO.</w:t>
      </w:r>
      <w:r w:rsidRPr="00F7284D">
        <w:rPr>
          <w:rFonts w:ascii="Palatino Linotype" w:eastAsia="Palatino Linotype" w:hAnsi="Palatino Linotype" w:cs="Palatino Linotype"/>
          <w:b/>
          <w:sz w:val="28"/>
          <w:szCs w:val="28"/>
        </w:rPr>
        <w:t xml:space="preserve"> </w:t>
      </w:r>
      <w:r w:rsidRPr="00F7284D">
        <w:rPr>
          <w:rFonts w:ascii="Palatino Linotype" w:eastAsia="Palatino Linotype" w:hAnsi="Palatino Linotype" w:cs="Palatino Linotype"/>
        </w:rPr>
        <w:t xml:space="preserve">El presente recurso de revisión se envió electrónicamente mediante el SARCOEM al Instituto de Transparencia, Acceso a la Información Pública y Protección de Datos Personales del Estado de México y Municipios, que por razón de turno fue asignado a la Comisionada </w:t>
      </w:r>
      <w:r w:rsidRPr="00F7284D">
        <w:rPr>
          <w:rFonts w:ascii="Palatino Linotype" w:eastAsia="Palatino Linotype" w:hAnsi="Palatino Linotype" w:cs="Palatino Linotype"/>
          <w:b/>
        </w:rPr>
        <w:t>Guadalupe Ramírez Peña</w:t>
      </w:r>
      <w:r w:rsidRPr="00F7284D">
        <w:rPr>
          <w:rFonts w:ascii="Palatino Linotype" w:eastAsia="Palatino Linotype" w:hAnsi="Palatino Linotype" w:cs="Palatino Linotype"/>
        </w:rPr>
        <w:t xml:space="preserve"> ello en términos de los artículos 11 y 127, de la Ley de Protección de Datos Personales en Posesión de Sujetos Obligados del Estado de México y Municipios, en relación con el diverso 185, fracción I, de la Ley de Transparencia y Acceso a la Información Pública del Estado de México y Municipios, de aplicación supletoria a la citada Ley de Protección de Datos Personales por disposición de su artículo 11.</w:t>
      </w:r>
    </w:p>
    <w:p w14:paraId="79922AE9" w14:textId="77777777" w:rsidR="004C1BC1" w:rsidRPr="00F7284D" w:rsidRDefault="004C1BC1" w:rsidP="004C1BC1">
      <w:pPr>
        <w:spacing w:line="360" w:lineRule="auto"/>
        <w:contextualSpacing/>
        <w:jc w:val="both"/>
        <w:rPr>
          <w:rFonts w:ascii="Palatino Linotype" w:hAnsi="Palatino Linotype"/>
          <w:b/>
        </w:rPr>
      </w:pPr>
    </w:p>
    <w:p w14:paraId="77852FEA" w14:textId="77777777" w:rsidR="004C1BC1" w:rsidRPr="00F7284D" w:rsidRDefault="004C1BC1" w:rsidP="004C1BC1">
      <w:pPr>
        <w:spacing w:before="240" w:after="240"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b/>
        </w:rPr>
        <w:t xml:space="preserve">5. ADMISIÓN. </w:t>
      </w:r>
      <w:r w:rsidRPr="00F7284D">
        <w:rPr>
          <w:rFonts w:ascii="Palatino Linotype" w:eastAsia="Palatino Linotype" w:hAnsi="Palatino Linotype" w:cs="Palatino Linotype"/>
        </w:rPr>
        <w:t xml:space="preserve">En fecha dieciocho de marzo del año dos mil veinticinco atento a lo dispuesto en los artículos 11, 127 y 131, de la Ley de Protección de Datos Personales en Posesión de Sujetos Obligados del Estado de México y Municipios, y el artículo </w:t>
      </w:r>
      <w:r w:rsidRPr="00F7284D">
        <w:rPr>
          <w:rFonts w:ascii="Palatino Linotype" w:eastAsia="Palatino Linotype" w:hAnsi="Palatino Linotype" w:cs="Palatino Linotype"/>
        </w:rPr>
        <w:lastRenderedPageBreak/>
        <w:t>185, fracción II, de la Ley de Transparencia y Acceso a la Información Pública del Estado de México y Municipios de aplicación supletoria, se acordó lo siguiente:</w:t>
      </w:r>
    </w:p>
    <w:p w14:paraId="4B8C2D33" w14:textId="77777777" w:rsidR="004C1BC1" w:rsidRPr="00F7284D" w:rsidRDefault="004C1BC1" w:rsidP="004C1BC1">
      <w:pPr>
        <w:spacing w:before="240" w:after="240" w:line="360" w:lineRule="auto"/>
        <w:contextualSpacing/>
        <w:jc w:val="both"/>
        <w:rPr>
          <w:rFonts w:ascii="Palatino Linotype" w:eastAsia="Palatino Linotype" w:hAnsi="Palatino Linotype" w:cs="Palatino Linotype"/>
        </w:rPr>
      </w:pPr>
    </w:p>
    <w:p w14:paraId="5BAEEDD8" w14:textId="77777777" w:rsidR="004C1BC1" w:rsidRPr="00F7284D" w:rsidRDefault="004C1BC1" w:rsidP="004C1BC1">
      <w:pPr>
        <w:numPr>
          <w:ilvl w:val="0"/>
          <w:numId w:val="1"/>
        </w:numPr>
        <w:pBdr>
          <w:top w:val="nil"/>
          <w:left w:val="nil"/>
          <w:bottom w:val="nil"/>
          <w:right w:val="nil"/>
          <w:between w:val="nil"/>
        </w:pBdr>
        <w:spacing w:line="360" w:lineRule="auto"/>
        <w:ind w:left="567" w:right="1183" w:hanging="141"/>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rPr>
        <w:t>La admisión a trámite del referido recurso de revisión;</w:t>
      </w:r>
    </w:p>
    <w:p w14:paraId="60E75C05" w14:textId="77777777" w:rsidR="004C1BC1" w:rsidRPr="00F7284D" w:rsidRDefault="004C1BC1" w:rsidP="004C1BC1">
      <w:pPr>
        <w:numPr>
          <w:ilvl w:val="0"/>
          <w:numId w:val="1"/>
        </w:numPr>
        <w:pBdr>
          <w:top w:val="nil"/>
          <w:left w:val="nil"/>
          <w:bottom w:val="nil"/>
          <w:right w:val="nil"/>
          <w:between w:val="nil"/>
        </w:pBdr>
        <w:spacing w:line="360" w:lineRule="auto"/>
        <w:ind w:left="567" w:right="1183" w:hanging="141"/>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b/>
        </w:rPr>
        <w:t xml:space="preserve"> </w:t>
      </w:r>
      <w:r w:rsidRPr="00F7284D">
        <w:rPr>
          <w:rFonts w:ascii="Palatino Linotype" w:eastAsia="Palatino Linotype" w:hAnsi="Palatino Linotype" w:cs="Palatino Linotype"/>
        </w:rPr>
        <w:t xml:space="preserve">La integración del expediente a fin de ponerlo a disposición de las partes a efecto de que ofrecieran pruebas, </w:t>
      </w:r>
      <w:r w:rsidRPr="00F7284D">
        <w:rPr>
          <w:rFonts w:ascii="Palatino Linotype" w:eastAsia="Palatino Linotype" w:hAnsi="Palatino Linotype" w:cs="Palatino Linotype"/>
          <w:b/>
        </w:rPr>
        <w:t>EL SUJETO OBLIGADO</w:t>
      </w:r>
      <w:r w:rsidRPr="00F7284D">
        <w:rPr>
          <w:rFonts w:ascii="Palatino Linotype" w:eastAsia="Palatino Linotype" w:hAnsi="Palatino Linotype" w:cs="Palatino Linotype"/>
        </w:rPr>
        <w:t xml:space="preserve"> rindiera los Informes Justificados, o bien </w:t>
      </w:r>
      <w:r w:rsidRPr="00F7284D">
        <w:rPr>
          <w:rFonts w:ascii="Palatino Linotype" w:eastAsia="Palatino Linotype" w:hAnsi="Palatino Linotype" w:cs="Palatino Linotype"/>
          <w:b/>
        </w:rPr>
        <w:t>LA PARTE RECURRENTE</w:t>
      </w:r>
      <w:r w:rsidRPr="00F7284D">
        <w:rPr>
          <w:rFonts w:ascii="Palatino Linotype" w:eastAsia="Palatino Linotype" w:hAnsi="Palatino Linotype" w:cs="Palatino Linotype"/>
        </w:rPr>
        <w:t xml:space="preserve"> emitiera sus manifestaciones y alegatos; y </w:t>
      </w:r>
    </w:p>
    <w:p w14:paraId="26C222E1" w14:textId="77777777" w:rsidR="004C1BC1" w:rsidRPr="00F7284D" w:rsidRDefault="004C1BC1" w:rsidP="004C1BC1">
      <w:pPr>
        <w:numPr>
          <w:ilvl w:val="0"/>
          <w:numId w:val="1"/>
        </w:numPr>
        <w:pBdr>
          <w:top w:val="nil"/>
          <w:left w:val="nil"/>
          <w:bottom w:val="nil"/>
          <w:right w:val="nil"/>
          <w:between w:val="nil"/>
        </w:pBdr>
        <w:spacing w:line="360" w:lineRule="auto"/>
        <w:ind w:left="567" w:right="1183" w:hanging="141"/>
        <w:jc w:val="both"/>
        <w:rPr>
          <w:rFonts w:ascii="Palatino Linotype" w:eastAsia="Palatino Linotype" w:hAnsi="Palatino Linotype" w:cs="Palatino Linotype"/>
        </w:rPr>
      </w:pPr>
      <w:r w:rsidRPr="00F7284D">
        <w:rPr>
          <w:rFonts w:ascii="Palatino Linotype" w:eastAsia="Palatino Linotype" w:hAnsi="Palatino Linotype" w:cs="Palatino Linotype"/>
        </w:rPr>
        <w:t>El requerimiento</w:t>
      </w:r>
      <w:r w:rsidRPr="00F7284D">
        <w:rPr>
          <w:rFonts w:ascii="Palatino Linotype" w:eastAsia="Palatino Linotype" w:hAnsi="Palatino Linotype" w:cs="Palatino Linotype"/>
          <w:b/>
        </w:rPr>
        <w:t xml:space="preserve"> </w:t>
      </w:r>
      <w:r w:rsidRPr="00F7284D">
        <w:rPr>
          <w:rFonts w:ascii="Palatino Linotype" w:eastAsia="Palatino Linotype" w:hAnsi="Palatino Linotype" w:cs="Palatino Linotype"/>
        </w:rPr>
        <w:t>a las partes para que en un plazo no mayor a siete días manifestaran, por cualquier medio, su voluntad de conciliar, con el apercibimiento de que, en caso de no hacerlo, se tendría por precluido su derecho, para tales efectos. 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00C0DD45" w14:textId="77777777" w:rsidR="004C1BC1" w:rsidRPr="00F7284D" w:rsidRDefault="004C1BC1" w:rsidP="004C1BC1">
      <w:pPr>
        <w:spacing w:line="360" w:lineRule="auto"/>
        <w:contextualSpacing/>
        <w:jc w:val="both"/>
        <w:rPr>
          <w:rFonts w:ascii="Palatino Linotype" w:hAnsi="Palatino Linotype"/>
        </w:rPr>
      </w:pPr>
    </w:p>
    <w:p w14:paraId="01F55725" w14:textId="77777777" w:rsidR="004C1BC1" w:rsidRPr="00F7284D" w:rsidRDefault="004C1BC1" w:rsidP="004C1BC1">
      <w:pPr>
        <w:spacing w:before="240" w:after="240"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b/>
        </w:rPr>
        <w:t xml:space="preserve">6. CONCILIACIÓN A LAS PARTES y MANIFESTACIONES. </w:t>
      </w:r>
      <w:r w:rsidRPr="00F7284D">
        <w:rPr>
          <w:rFonts w:ascii="Palatino Linotype" w:eastAsia="Palatino Linotype" w:hAnsi="Palatino Linotype" w:cs="Palatino Linotype"/>
        </w:rPr>
        <w:t xml:space="preserve">Mediante la notificación del acuerdo de admisión por medio del Sistema de Acceso, Rectificación, Cancelación y Oposición de Datos Personales del Estado de México (SARCOEM), este Instituto hizo del conocimiento a las partes la posibilidad de iniciar procedimiento de conciliación en términos del artículo 132 Ley de Protección </w:t>
      </w:r>
      <w:r w:rsidRPr="00F7284D">
        <w:rPr>
          <w:rFonts w:ascii="Palatino Linotype" w:eastAsia="Palatino Linotype" w:hAnsi="Palatino Linotype" w:cs="Palatino Linotype"/>
        </w:rPr>
        <w:lastRenderedPageBreak/>
        <w:t xml:space="preserve">de Datos Personales en Posesión de Sujetos Obligados del Estado de México y Municipios. De igual manera, se le hizo del conocimiento a las partes que tienen un plazo de siete días hábiles para manifestar su voluntad de conciliar, misma que fue aceptada por </w:t>
      </w:r>
      <w:r w:rsidRPr="00F7284D">
        <w:rPr>
          <w:rFonts w:ascii="Palatino Linotype" w:eastAsia="Palatino Linotype" w:hAnsi="Palatino Linotype" w:cs="Palatino Linotype"/>
          <w:b/>
        </w:rPr>
        <w:t xml:space="preserve">EL SUJETO OBLIGADO </w:t>
      </w:r>
      <w:r w:rsidRPr="00F7284D">
        <w:rPr>
          <w:rFonts w:ascii="Palatino Linotype" w:eastAsia="Palatino Linotype" w:hAnsi="Palatino Linotype" w:cs="Palatino Linotype"/>
        </w:rPr>
        <w:t>adjuntó el archivo electrónico:</w:t>
      </w:r>
    </w:p>
    <w:p w14:paraId="3C1CC6F6" w14:textId="77777777" w:rsidR="004C1BC1" w:rsidRPr="00F7284D" w:rsidRDefault="004C1BC1" w:rsidP="004C1BC1">
      <w:pPr>
        <w:spacing w:before="240" w:after="240" w:line="360" w:lineRule="auto"/>
        <w:contextualSpacing/>
        <w:jc w:val="both"/>
        <w:rPr>
          <w:rFonts w:ascii="Palatino Linotype" w:eastAsia="Palatino Linotype" w:hAnsi="Palatino Linotype" w:cs="Palatino Linotype"/>
        </w:rPr>
      </w:pPr>
    </w:p>
    <w:p w14:paraId="3709AA43" w14:textId="77777777" w:rsidR="004C1BC1" w:rsidRPr="00F7284D" w:rsidRDefault="004C1BC1" w:rsidP="004C1BC1">
      <w:pPr>
        <w:spacing w:before="240" w:after="240"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rPr>
        <w:t xml:space="preserve">Aunado a ello, </w:t>
      </w:r>
      <w:r w:rsidRPr="00F7284D">
        <w:rPr>
          <w:rFonts w:ascii="Palatino Linotype" w:eastAsia="Palatino Linotype" w:hAnsi="Palatino Linotype" w:cs="Palatino Linotype"/>
          <w:b/>
        </w:rPr>
        <w:t xml:space="preserve">EL SUJETO OBLIGADO </w:t>
      </w:r>
      <w:r w:rsidRPr="00F7284D">
        <w:rPr>
          <w:rFonts w:ascii="Palatino Linotype" w:eastAsia="Palatino Linotype" w:hAnsi="Palatino Linotype" w:cs="Palatino Linotype"/>
        </w:rPr>
        <w:t>fue omiso en rendir informe justificado</w:t>
      </w:r>
      <w:r w:rsidR="004D48FC" w:rsidRPr="00F7284D">
        <w:rPr>
          <w:rFonts w:ascii="Palatino Linotype" w:eastAsia="Palatino Linotype" w:hAnsi="Palatino Linotype" w:cs="Palatino Linotype"/>
        </w:rPr>
        <w:t>, por su parte</w:t>
      </w:r>
      <w:r w:rsidRPr="00F7284D">
        <w:rPr>
          <w:rFonts w:ascii="Palatino Linotype" w:eastAsia="Palatino Linotype" w:hAnsi="Palatino Linotype" w:cs="Palatino Linotype"/>
        </w:rPr>
        <w:t xml:space="preserve"> </w:t>
      </w:r>
      <w:r w:rsidRPr="00F7284D">
        <w:rPr>
          <w:rFonts w:ascii="Palatino Linotype" w:eastAsia="Palatino Linotype" w:hAnsi="Palatino Linotype" w:cs="Palatino Linotype"/>
          <w:b/>
        </w:rPr>
        <w:t>LA PARTE RECURRENTE</w:t>
      </w:r>
      <w:r w:rsidRPr="00F7284D">
        <w:rPr>
          <w:rFonts w:ascii="Palatino Linotype" w:eastAsia="Palatino Linotype" w:hAnsi="Palatino Linotype" w:cs="Palatino Linotype"/>
        </w:rPr>
        <w:t xml:space="preserve"> </w:t>
      </w:r>
      <w:r w:rsidR="004D48FC" w:rsidRPr="00F7284D">
        <w:rPr>
          <w:rFonts w:ascii="Palatino Linotype" w:eastAsia="Palatino Linotype" w:hAnsi="Palatino Linotype" w:cs="Palatino Linotype"/>
        </w:rPr>
        <w:t>no emitió sus</w:t>
      </w:r>
      <w:r w:rsidRPr="00F7284D">
        <w:rPr>
          <w:rFonts w:ascii="Palatino Linotype" w:eastAsia="Palatino Linotype" w:hAnsi="Palatino Linotype" w:cs="Palatino Linotype"/>
        </w:rPr>
        <w:t xml:space="preserve"> manifestaciones, alegatos o cualquier argumento que a su derecho conviniera.</w:t>
      </w:r>
    </w:p>
    <w:p w14:paraId="08D5A43C" w14:textId="77777777" w:rsidR="006F20FE" w:rsidRPr="00F7284D" w:rsidRDefault="006F20FE" w:rsidP="004C1BC1">
      <w:pPr>
        <w:spacing w:before="240" w:after="240" w:line="360" w:lineRule="auto"/>
        <w:contextualSpacing/>
        <w:jc w:val="both"/>
        <w:rPr>
          <w:rFonts w:ascii="Palatino Linotype" w:eastAsia="Palatino Linotype" w:hAnsi="Palatino Linotype" w:cs="Palatino Linotype"/>
        </w:rPr>
      </w:pPr>
    </w:p>
    <w:p w14:paraId="070A47C0" w14:textId="77777777" w:rsidR="00D61F40" w:rsidRPr="00F7284D" w:rsidRDefault="00D61F40" w:rsidP="00D61F40">
      <w:pPr>
        <w:spacing w:before="240"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b/>
        </w:rPr>
        <w:t xml:space="preserve">7. ACREDITACIÓN DE LA IDENTIDAD. </w:t>
      </w:r>
      <w:r w:rsidRPr="00F7284D">
        <w:rPr>
          <w:rFonts w:ascii="Palatino Linotype" w:eastAsia="Palatino Linotype" w:hAnsi="Palatino Linotype" w:cs="Palatino Linotype"/>
        </w:rPr>
        <w:t xml:space="preserve">El </w:t>
      </w:r>
      <w:r w:rsidRPr="00F7284D">
        <w:rPr>
          <w:rFonts w:ascii="Palatino Linotype" w:eastAsia="Palatino Linotype" w:hAnsi="Palatino Linotype" w:cs="Palatino Linotype"/>
          <w:b/>
        </w:rPr>
        <w:t xml:space="preserve">veintidós de abril de dos mil veinticinco, </w:t>
      </w:r>
      <w:r w:rsidRPr="00F7284D">
        <w:rPr>
          <w:rFonts w:ascii="Palatino Linotype" w:eastAsia="Palatino Linotype" w:hAnsi="Palatino Linotype" w:cs="Palatino Linotype"/>
        </w:rPr>
        <w:t>fue notificado a las partes, el acuerdo por el que de acuerdo a lo dispuesto en los artículos 11, 127 y 130 fracción VI de la Ley de Protección de Datos Personales en Posesión de Sujetos Obligados del Estado de México y Municipios y 185 fracciones I, II y IV de la Ley de Transparencia y Acceso a la Información Pública del Estado de México y Municipios de aplicación supletoria, se acordó lo siguiente:</w:t>
      </w:r>
    </w:p>
    <w:p w14:paraId="306F3BD6" w14:textId="77777777" w:rsidR="00D61F40" w:rsidRPr="00F7284D" w:rsidRDefault="00D61F40" w:rsidP="00D61F40">
      <w:pPr>
        <w:spacing w:before="240" w:line="360" w:lineRule="auto"/>
        <w:contextualSpacing/>
        <w:jc w:val="both"/>
        <w:rPr>
          <w:rFonts w:ascii="Palatino Linotype" w:eastAsia="Palatino Linotype" w:hAnsi="Palatino Linotype" w:cs="Palatino Linotype"/>
        </w:rPr>
      </w:pPr>
    </w:p>
    <w:p w14:paraId="3657453A" w14:textId="77777777" w:rsidR="00D61F40" w:rsidRPr="00F7284D" w:rsidRDefault="00D61F40" w:rsidP="00D61F40">
      <w:pPr>
        <w:spacing w:after="240" w:line="360" w:lineRule="auto"/>
        <w:ind w:left="567" w:right="900"/>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rPr>
        <w:t xml:space="preserve">a) Se previene a </w:t>
      </w:r>
      <w:r w:rsidRPr="00F7284D">
        <w:rPr>
          <w:rFonts w:ascii="Palatino Linotype" w:eastAsia="Palatino Linotype" w:hAnsi="Palatino Linotype" w:cs="Palatino Linotype"/>
          <w:b/>
        </w:rPr>
        <w:t>LA PARTE RECURRENTE</w:t>
      </w:r>
      <w:r w:rsidRPr="00F7284D">
        <w:rPr>
          <w:rFonts w:ascii="Palatino Linotype" w:eastAsia="Palatino Linotype" w:hAnsi="Palatino Linotype" w:cs="Palatino Linotype"/>
        </w:rPr>
        <w:t xml:space="preserve"> para que, en un plazo máximo de </w:t>
      </w:r>
      <w:r w:rsidRPr="00F7284D">
        <w:rPr>
          <w:rFonts w:ascii="Palatino Linotype" w:eastAsia="Palatino Linotype" w:hAnsi="Palatino Linotype" w:cs="Palatino Linotype"/>
          <w:b/>
        </w:rPr>
        <w:t>cinco días hábiles</w:t>
      </w:r>
      <w:r w:rsidRPr="00F7284D">
        <w:rPr>
          <w:rFonts w:ascii="Palatino Linotype" w:eastAsia="Palatino Linotype" w:hAnsi="Palatino Linotype" w:cs="Palatino Linotype"/>
        </w:rPr>
        <w:t xml:space="preserve"> contados a partir del día siguiente de la notificación del presente Acuerdo, subsane la omisión de acreditar su identidad mediante identificación oficial vigente con fotografía para acceder a los datos personales que desea, con el apercibimiento de no cumplir con el  requerimiento, se desechará el recurso de revisión en términos de lo señalado por el artículo  136 de la Ley de Protección de </w:t>
      </w:r>
      <w:r w:rsidRPr="00F7284D">
        <w:rPr>
          <w:rFonts w:ascii="Palatino Linotype" w:eastAsia="Palatino Linotype" w:hAnsi="Palatino Linotype" w:cs="Palatino Linotype"/>
        </w:rPr>
        <w:lastRenderedPageBreak/>
        <w:t>Datos Personales en Posesión de Sujetos Obligados del Estado  de México y Municipios.</w:t>
      </w:r>
    </w:p>
    <w:p w14:paraId="4D079CA8" w14:textId="77777777" w:rsidR="00D61F40" w:rsidRPr="00F7284D" w:rsidRDefault="00D61F40" w:rsidP="00D61F40">
      <w:pPr>
        <w:spacing w:after="240" w:line="360" w:lineRule="auto"/>
        <w:ind w:left="567" w:right="900"/>
        <w:contextualSpacing/>
        <w:jc w:val="both"/>
        <w:rPr>
          <w:rFonts w:ascii="Palatino Linotype" w:eastAsia="Palatino Linotype" w:hAnsi="Palatino Linotype" w:cs="Palatino Linotype"/>
        </w:rPr>
      </w:pPr>
    </w:p>
    <w:p w14:paraId="3811CA06" w14:textId="77777777" w:rsidR="00D61F40" w:rsidRPr="00F7284D" w:rsidRDefault="00D61F40" w:rsidP="00D61F40">
      <w:pPr>
        <w:spacing w:after="240" w:line="360" w:lineRule="auto"/>
        <w:ind w:right="49"/>
        <w:contextualSpacing/>
        <w:jc w:val="both"/>
        <w:rPr>
          <w:rFonts w:ascii="Palatino Linotype" w:eastAsia="Palatino Linotype" w:hAnsi="Palatino Linotype" w:cs="Palatino Linotype"/>
          <w:b/>
        </w:rPr>
      </w:pPr>
      <w:r w:rsidRPr="00F7284D">
        <w:rPr>
          <w:rFonts w:ascii="Palatino Linotype" w:eastAsia="Palatino Linotype" w:hAnsi="Palatino Linotype" w:cs="Palatino Linotype"/>
          <w:b/>
        </w:rPr>
        <w:t xml:space="preserve">8. DE LA ACREDITACIÓN DE LA IDENTIDAD. De las constancias que obran en el expediente electrónico, </w:t>
      </w:r>
      <w:r w:rsidRPr="00F7284D">
        <w:rPr>
          <w:rFonts w:ascii="Palatino Linotype" w:eastAsia="Palatino Linotype" w:hAnsi="Palatino Linotype" w:cs="Palatino Linotype"/>
          <w:b/>
          <w:u w:val="single"/>
        </w:rPr>
        <w:t>no se aprecia que la persona solicitante hubiere acreditado su identidad.</w:t>
      </w:r>
    </w:p>
    <w:p w14:paraId="1D801EB9" w14:textId="77777777" w:rsidR="00D61F40" w:rsidRPr="00F7284D" w:rsidRDefault="00D61F40" w:rsidP="004D48FC">
      <w:pPr>
        <w:spacing w:line="360" w:lineRule="auto"/>
        <w:jc w:val="both"/>
        <w:rPr>
          <w:rFonts w:ascii="Palatino Linotype" w:eastAsia="Palatino Linotype" w:hAnsi="Palatino Linotype" w:cs="Palatino Linotype"/>
        </w:rPr>
      </w:pPr>
    </w:p>
    <w:p w14:paraId="5727712D" w14:textId="77777777" w:rsidR="004D48FC" w:rsidRPr="00F7284D" w:rsidRDefault="00D61F40" w:rsidP="004D48FC">
      <w:pPr>
        <w:spacing w:line="360" w:lineRule="auto"/>
        <w:jc w:val="both"/>
        <w:rPr>
          <w:rFonts w:ascii="Palatino Linotype" w:eastAsia="Palatino Linotype" w:hAnsi="Palatino Linotype" w:cs="Palatino Linotype"/>
        </w:rPr>
      </w:pPr>
      <w:r w:rsidRPr="00F7284D">
        <w:rPr>
          <w:rFonts w:ascii="Palatino Linotype" w:eastAsia="Palatino Linotype" w:hAnsi="Palatino Linotype" w:cs="Palatino Linotype"/>
          <w:b/>
        </w:rPr>
        <w:t>9</w:t>
      </w:r>
      <w:r w:rsidR="004D48FC" w:rsidRPr="00F7284D">
        <w:rPr>
          <w:rFonts w:ascii="Palatino Linotype" w:eastAsia="Palatino Linotype" w:hAnsi="Palatino Linotype" w:cs="Palatino Linotype"/>
          <w:b/>
        </w:rPr>
        <w:t xml:space="preserve">. DESISTIMIENTO DEL RECURSO DE REVISIÓN. </w:t>
      </w:r>
      <w:r w:rsidR="004D48FC" w:rsidRPr="00F7284D">
        <w:rPr>
          <w:rFonts w:ascii="Palatino Linotype" w:eastAsia="Palatino Linotype" w:hAnsi="Palatino Linotype" w:cs="Palatino Linotype"/>
        </w:rPr>
        <w:t xml:space="preserve">Con fecha veintidós de abril de dos mil veinticinco, </w:t>
      </w:r>
      <w:r w:rsidR="004D48FC" w:rsidRPr="00F7284D">
        <w:rPr>
          <w:rFonts w:ascii="Palatino Linotype" w:eastAsia="Palatino Linotype" w:hAnsi="Palatino Linotype" w:cs="Palatino Linotype"/>
          <w:b/>
        </w:rPr>
        <w:t>LA PARTE RECURRENTE</w:t>
      </w:r>
      <w:r w:rsidR="004D48FC" w:rsidRPr="00F7284D">
        <w:rPr>
          <w:rFonts w:ascii="Palatino Linotype" w:eastAsia="Palatino Linotype" w:hAnsi="Palatino Linotype" w:cs="Palatino Linotype"/>
        </w:rPr>
        <w:t xml:space="preserve"> decidió desistirse del presente medio de impugnación señalando como motivo el siguiente: </w:t>
      </w:r>
    </w:p>
    <w:p w14:paraId="1F2DC09D" w14:textId="77777777" w:rsidR="004D48FC" w:rsidRPr="00F7284D" w:rsidRDefault="004D48FC" w:rsidP="004D48FC">
      <w:pPr>
        <w:spacing w:line="360" w:lineRule="auto"/>
        <w:jc w:val="both"/>
        <w:rPr>
          <w:rFonts w:ascii="Palatino Linotype" w:eastAsia="Palatino Linotype" w:hAnsi="Palatino Linotype" w:cs="Palatino Linotype"/>
        </w:rPr>
      </w:pPr>
    </w:p>
    <w:p w14:paraId="394304C7" w14:textId="77777777" w:rsidR="004D48FC" w:rsidRPr="00F7284D" w:rsidRDefault="004D48FC" w:rsidP="004D48FC">
      <w:pPr>
        <w:pStyle w:val="Citas"/>
        <w:spacing w:before="0" w:after="0" w:line="240" w:lineRule="auto"/>
      </w:pPr>
      <w:r w:rsidRPr="00F7284D">
        <w:t xml:space="preserve">“Me presente a las oficinas presencialmente y me dieron el acta certificada de riesgo de trabajo. Gracias” (Sic) </w:t>
      </w:r>
    </w:p>
    <w:p w14:paraId="5B1B138B" w14:textId="77777777" w:rsidR="004D48FC" w:rsidRPr="00F7284D" w:rsidRDefault="004D48FC" w:rsidP="004D48FC">
      <w:pPr>
        <w:rPr>
          <w:rFonts w:ascii="Palatino Linotype" w:hAnsi="Palatino Linotype"/>
        </w:rPr>
      </w:pPr>
    </w:p>
    <w:p w14:paraId="38C99FC0" w14:textId="77777777" w:rsidR="004D48FC" w:rsidRPr="00F7284D" w:rsidRDefault="004D48FC" w:rsidP="004D48FC"/>
    <w:p w14:paraId="2A0263F0" w14:textId="77777777" w:rsidR="004D48FC" w:rsidRPr="00F7284D" w:rsidRDefault="00D61F40" w:rsidP="004D48FC">
      <w:pPr>
        <w:spacing w:before="240" w:after="240"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b/>
        </w:rPr>
        <w:t>10</w:t>
      </w:r>
      <w:r w:rsidR="004D48FC" w:rsidRPr="00F7284D">
        <w:rPr>
          <w:rFonts w:ascii="Palatino Linotype" w:eastAsia="Palatino Linotype" w:hAnsi="Palatino Linotype" w:cs="Palatino Linotype"/>
          <w:b/>
        </w:rPr>
        <w:t>. CIERRE DE INSTRUCCIÓN.</w:t>
      </w:r>
      <w:r w:rsidR="004D48FC" w:rsidRPr="00F7284D">
        <w:rPr>
          <w:rFonts w:ascii="Palatino Linotype" w:eastAsia="Palatino Linotype" w:hAnsi="Palatino Linotype" w:cs="Palatino Linotype"/>
        </w:rPr>
        <w:t xml:space="preserve"> Una vez analizado el estado procesal que guardaba el expediente, el siete de mayo de dos mil veinticinco</w:t>
      </w:r>
      <w:r w:rsidR="004D48FC" w:rsidRPr="00F7284D">
        <w:rPr>
          <w:rFonts w:ascii="Palatino Linotype" w:eastAsia="Palatino Linotype" w:hAnsi="Palatino Linotype" w:cs="Palatino Linotype"/>
          <w:b/>
        </w:rPr>
        <w:t xml:space="preserve">, </w:t>
      </w:r>
      <w:r w:rsidR="004D48FC" w:rsidRPr="00F7284D">
        <w:rPr>
          <w:rFonts w:ascii="Palatino Linotype" w:eastAsia="Palatino Linotype" w:hAnsi="Palatino Linotype" w:cs="Palatino Linotype"/>
        </w:rPr>
        <w:t>y de conformidad con lo establecido en los artículos 11, 125, 127 y 133 de la Ley de Protección de Datos Personales en Posesión de Sujetos Obligados del Estado de México y Municipios y 185 fracción VI de la Ley de Transparencia y Acceso a la Información Pública del Estado de México y Municipios de aplicación supletoria, se tiene por cerrada la etapa de instrucción a efecto de que se proceda con la integración de resolución del asunto.</w:t>
      </w:r>
    </w:p>
    <w:p w14:paraId="38C0CA33" w14:textId="77777777" w:rsidR="004D48FC" w:rsidRPr="00F7284D" w:rsidRDefault="004D48FC" w:rsidP="004D48FC">
      <w:pPr>
        <w:spacing w:before="240" w:after="240" w:line="360" w:lineRule="auto"/>
        <w:contextualSpacing/>
        <w:jc w:val="both"/>
        <w:rPr>
          <w:rFonts w:ascii="Palatino Linotype" w:eastAsia="Palatino Linotype" w:hAnsi="Palatino Linotype" w:cs="Palatino Linotype"/>
        </w:rPr>
      </w:pPr>
    </w:p>
    <w:p w14:paraId="5719E277" w14:textId="77777777" w:rsidR="004D48FC" w:rsidRPr="00F7284D" w:rsidRDefault="004D48FC" w:rsidP="004D48FC">
      <w:pPr>
        <w:spacing w:before="240" w:after="240"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rPr>
        <w:lastRenderedPageBreak/>
        <w:t>En razón de que fue debidamente sustanciado el expediente electrónico y no existe diligencia pendiente de desahogo, se emite la Resolución que conforme a Derecho proceda, de acuerdo con los siguientes:</w:t>
      </w:r>
    </w:p>
    <w:p w14:paraId="1711C434" w14:textId="77777777" w:rsidR="004C1BC1" w:rsidRPr="00F7284D" w:rsidRDefault="004C1BC1" w:rsidP="004C1BC1">
      <w:pPr>
        <w:spacing w:line="360" w:lineRule="auto"/>
        <w:contextualSpacing/>
        <w:jc w:val="both"/>
        <w:rPr>
          <w:rFonts w:ascii="Palatino Linotype" w:hAnsi="Palatino Linotype"/>
        </w:rPr>
      </w:pPr>
    </w:p>
    <w:p w14:paraId="1FA0B19F" w14:textId="77777777" w:rsidR="004D48FC" w:rsidRPr="00F7284D" w:rsidRDefault="004D48FC" w:rsidP="004D48FC">
      <w:pPr>
        <w:pBdr>
          <w:top w:val="nil"/>
          <w:left w:val="nil"/>
          <w:bottom w:val="nil"/>
          <w:right w:val="nil"/>
          <w:between w:val="nil"/>
        </w:pBdr>
        <w:spacing w:line="360" w:lineRule="auto"/>
        <w:contextualSpacing/>
        <w:jc w:val="center"/>
        <w:rPr>
          <w:rFonts w:ascii="Palatino Linotype" w:eastAsia="Palatino Linotype" w:hAnsi="Palatino Linotype" w:cs="Palatino Linotype"/>
          <w:b/>
          <w:szCs w:val="28"/>
        </w:rPr>
      </w:pPr>
      <w:r w:rsidRPr="00F7284D">
        <w:rPr>
          <w:rFonts w:ascii="Palatino Linotype" w:eastAsia="Palatino Linotype" w:hAnsi="Palatino Linotype" w:cs="Palatino Linotype"/>
          <w:b/>
          <w:szCs w:val="28"/>
        </w:rPr>
        <w:t>C O N S I D E R A N D O S</w:t>
      </w:r>
    </w:p>
    <w:p w14:paraId="72CAD31C" w14:textId="77777777" w:rsidR="004D48FC" w:rsidRPr="00F7284D" w:rsidRDefault="004D48FC" w:rsidP="004D48FC">
      <w:pPr>
        <w:spacing w:line="360" w:lineRule="auto"/>
        <w:jc w:val="both"/>
        <w:rPr>
          <w:rFonts w:ascii="Palatino Linotype" w:eastAsia="Palatino Linotype" w:hAnsi="Palatino Linotype" w:cs="Palatino Linotype"/>
          <w:b/>
        </w:rPr>
      </w:pPr>
    </w:p>
    <w:p w14:paraId="6A11DBC5" w14:textId="77777777" w:rsidR="00F750DE" w:rsidRPr="00F7284D" w:rsidRDefault="004D48FC" w:rsidP="004D48FC">
      <w:pPr>
        <w:spacing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b/>
        </w:rPr>
        <w:t>PRIMERO.</w:t>
      </w:r>
      <w:r w:rsidRPr="00F7284D">
        <w:rPr>
          <w:rFonts w:ascii="Palatino Linotype" w:eastAsia="Palatino Linotype" w:hAnsi="Palatino Linotype" w:cs="Palatino Linotype"/>
        </w:rPr>
        <w:t xml:space="preserve"> </w:t>
      </w:r>
      <w:r w:rsidRPr="00F7284D">
        <w:rPr>
          <w:rFonts w:ascii="Palatino Linotype" w:eastAsia="Palatino Linotype" w:hAnsi="Palatino Linotype" w:cs="Palatino Linotype"/>
          <w:b/>
        </w:rPr>
        <w:t>DE LA COMPETENCIA</w:t>
      </w:r>
      <w:r w:rsidRPr="00F7284D">
        <w:rPr>
          <w:rFonts w:ascii="Palatino Linotype" w:eastAsia="Palatino Linotype" w:hAnsi="Palatino Linotype" w:cs="Palatino Linotype"/>
        </w:rPr>
        <w:t>.</w:t>
      </w:r>
      <w:r w:rsidRPr="00F7284D">
        <w:rPr>
          <w:rFonts w:ascii="Palatino Linotype" w:eastAsia="Palatino Linotype" w:hAnsi="Palatino Linotype" w:cs="Palatino Linotype"/>
          <w:sz w:val="28"/>
          <w:szCs w:val="28"/>
        </w:rPr>
        <w:t xml:space="preserve"> </w:t>
      </w:r>
      <w:r w:rsidRPr="00F7284D">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el Recurrente, conforme a lo dispuesto en los artículos 6°, apartado A, de la Constitución Política de los Estados Unidos Mexicanos; 5°, párrafos trigésimo </w:t>
      </w:r>
      <w:r w:rsidR="00E27768" w:rsidRPr="00F7284D">
        <w:rPr>
          <w:rFonts w:ascii="Palatino Linotype" w:eastAsia="Palatino Linotype" w:hAnsi="Palatino Linotype" w:cs="Palatino Linotype"/>
        </w:rPr>
        <w:t>séptimo</w:t>
      </w:r>
      <w:r w:rsidRPr="00F7284D">
        <w:rPr>
          <w:rFonts w:ascii="Palatino Linotype" w:eastAsia="Palatino Linotype" w:hAnsi="Palatino Linotype" w:cs="Palatino Linotype"/>
        </w:rPr>
        <w:t xml:space="preserve">, trigésimo </w:t>
      </w:r>
      <w:r w:rsidR="00E27768" w:rsidRPr="00F7284D">
        <w:rPr>
          <w:rFonts w:ascii="Palatino Linotype" w:eastAsia="Palatino Linotype" w:hAnsi="Palatino Linotype" w:cs="Palatino Linotype"/>
        </w:rPr>
        <w:t>octavo</w:t>
      </w:r>
      <w:r w:rsidRPr="00F7284D">
        <w:rPr>
          <w:rFonts w:ascii="Palatino Linotype" w:eastAsia="Palatino Linotype" w:hAnsi="Palatino Linotype" w:cs="Palatino Linotype"/>
        </w:rPr>
        <w:t xml:space="preserve"> y trigésimo </w:t>
      </w:r>
      <w:r w:rsidR="00E27768" w:rsidRPr="00F7284D">
        <w:rPr>
          <w:rFonts w:ascii="Palatino Linotype" w:eastAsia="Palatino Linotype" w:hAnsi="Palatino Linotype" w:cs="Palatino Linotype"/>
        </w:rPr>
        <w:t>noveno</w:t>
      </w:r>
      <w:r w:rsidRPr="00F7284D">
        <w:rPr>
          <w:rFonts w:ascii="Palatino Linotype" w:eastAsia="Palatino Linotype" w:hAnsi="Palatino Linotype" w:cs="Palatino Linotype"/>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w:t>
      </w:r>
    </w:p>
    <w:p w14:paraId="4A29057C" w14:textId="77777777" w:rsidR="004D48FC" w:rsidRPr="00F7284D" w:rsidRDefault="004D48FC" w:rsidP="004D48FC">
      <w:pPr>
        <w:spacing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rPr>
        <w:t xml:space="preserve">°, 3°, fracción XXIV, fracción I, 103 y 111, de la Ley General de Protección de Datos Personales en Posesión de Sujetos Obligados, </w:t>
      </w:r>
      <w:r w:rsidR="00D61F40" w:rsidRPr="00F7284D">
        <w:rPr>
          <w:rFonts w:ascii="Palatino Linotype" w:eastAsia="Palatino Linotype" w:hAnsi="Palatino Linotype" w:cs="Palatino Linotype"/>
        </w:rPr>
        <w:t>vigente al diez de febrero de dos mil veinticinco</w:t>
      </w:r>
      <w:r w:rsidRPr="00F7284D">
        <w:rPr>
          <w:rFonts w:ascii="Palatino Linotype" w:eastAsia="Palatino Linotype" w:hAnsi="Palatino Linotype" w:cs="Palatino Linotype"/>
        </w:rPr>
        <w:t xml:space="preserve"> así como los artículos 1°, 4°, fracción XXII 81, 82, fracción III, 119 y 137 de la Ley de Protección de Datos Personales en Posesión de Sujetos Obligados del Estado de México y Municipios, y 11 del Reglamento Interior del Instituto de </w:t>
      </w:r>
      <w:r w:rsidRPr="00F7284D">
        <w:rPr>
          <w:rFonts w:ascii="Palatino Linotype" w:eastAsia="Palatino Linotype" w:hAnsi="Palatino Linotype" w:cs="Palatino Linotype"/>
        </w:rPr>
        <w:lastRenderedPageBreak/>
        <w:t>Transparencia, Acceso a la Información Pública y Protección de Datos Personales del Estado de México y Municipios.</w:t>
      </w:r>
    </w:p>
    <w:p w14:paraId="22C4359F" w14:textId="77777777" w:rsidR="004D48FC" w:rsidRPr="00F7284D" w:rsidRDefault="004D48FC" w:rsidP="004D48FC">
      <w:pPr>
        <w:spacing w:line="360" w:lineRule="auto"/>
        <w:jc w:val="both"/>
        <w:rPr>
          <w:rFonts w:ascii="Palatino Linotype" w:hAnsi="Palatino Linotype"/>
        </w:rPr>
      </w:pPr>
    </w:p>
    <w:p w14:paraId="5C49EADA" w14:textId="77777777" w:rsidR="004D48FC" w:rsidRPr="00F7284D" w:rsidRDefault="004D48FC" w:rsidP="004D48FC">
      <w:pPr>
        <w:spacing w:line="360" w:lineRule="auto"/>
        <w:jc w:val="both"/>
        <w:rPr>
          <w:rFonts w:ascii="Palatino Linotype" w:eastAsia="Palatino Linotype" w:hAnsi="Palatino Linotype" w:cs="Palatino Linotype"/>
        </w:rPr>
      </w:pPr>
      <w:r w:rsidRPr="00F7284D">
        <w:rPr>
          <w:rFonts w:ascii="Palatino Linotype" w:eastAsia="Palatino Linotype" w:hAnsi="Palatino Linotype" w:cs="Palatino Linotype"/>
          <w:b/>
        </w:rPr>
        <w:t xml:space="preserve">SEGUNDO. OPORTUNIDAD. </w:t>
      </w:r>
      <w:r w:rsidRPr="00F7284D">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128 y 130 de la Ley de Protección de Datos Personales en Posesión de Sujetos Obligado del Estado de México y Municipios.</w:t>
      </w:r>
    </w:p>
    <w:p w14:paraId="1AC3A216" w14:textId="77777777" w:rsidR="004D48FC" w:rsidRPr="00F7284D" w:rsidRDefault="004D48FC" w:rsidP="004D48FC">
      <w:pPr>
        <w:spacing w:line="360" w:lineRule="auto"/>
        <w:jc w:val="both"/>
        <w:rPr>
          <w:rFonts w:ascii="Palatino Linotype" w:eastAsia="Palatino Linotype" w:hAnsi="Palatino Linotype" w:cs="Palatino Linotype"/>
        </w:rPr>
      </w:pPr>
    </w:p>
    <w:p w14:paraId="5E2DE741" w14:textId="77777777" w:rsidR="00E27768" w:rsidRPr="00F7284D" w:rsidRDefault="004D48FC" w:rsidP="00E27768">
      <w:pPr>
        <w:spacing w:line="360" w:lineRule="auto"/>
        <w:contextualSpacing/>
        <w:jc w:val="both"/>
      </w:pPr>
      <w:r w:rsidRPr="00F7284D">
        <w:rPr>
          <w:rFonts w:ascii="Palatino Linotype" w:eastAsia="Palatino Linotype" w:hAnsi="Palatino Linotype" w:cs="Palatino Linotype"/>
        </w:rPr>
        <w:t xml:space="preserve">El recurso de revisión fue interpuesto dentro del plazo de quince días hábiles, previsto en el artículo 128 de la Ley de Protección de Datos Personales en Posesión de Sujetos Obligado del Estado de México y Municipios, toda vez que </w:t>
      </w:r>
      <w:r w:rsidRPr="00F7284D">
        <w:rPr>
          <w:rFonts w:ascii="Palatino Linotype" w:eastAsia="Palatino Linotype" w:hAnsi="Palatino Linotype" w:cs="Palatino Linotype"/>
          <w:b/>
        </w:rPr>
        <w:t>EL</w:t>
      </w:r>
      <w:r w:rsidRPr="00F7284D">
        <w:rPr>
          <w:rFonts w:ascii="Palatino Linotype" w:eastAsia="Palatino Linotype" w:hAnsi="Palatino Linotype" w:cs="Palatino Linotype"/>
        </w:rPr>
        <w:t xml:space="preserve"> </w:t>
      </w:r>
      <w:r w:rsidRPr="00F7284D">
        <w:rPr>
          <w:rFonts w:ascii="Palatino Linotype" w:eastAsia="Palatino Linotype" w:hAnsi="Palatino Linotype" w:cs="Palatino Linotype"/>
          <w:b/>
        </w:rPr>
        <w:t xml:space="preserve">SUJETO OBLIGADO </w:t>
      </w:r>
      <w:r w:rsidRPr="00F7284D">
        <w:rPr>
          <w:rFonts w:ascii="Palatino Linotype" w:eastAsia="Palatino Linotype" w:hAnsi="Palatino Linotype" w:cs="Palatino Linotype"/>
        </w:rPr>
        <w:t xml:space="preserve">remitió respuesta a la solicitud de acceso a datos personales el día </w:t>
      </w:r>
      <w:r w:rsidRPr="00F7284D">
        <w:rPr>
          <w:rFonts w:ascii="Palatino Linotype" w:eastAsia="Palatino Linotype" w:hAnsi="Palatino Linotype" w:cs="Palatino Linotype"/>
          <w:b/>
        </w:rPr>
        <w:t xml:space="preserve">once de marzo de dos mil veinticinco, </w:t>
      </w:r>
      <w:r w:rsidRPr="00F7284D">
        <w:rPr>
          <w:rFonts w:ascii="Palatino Linotype" w:eastAsia="Palatino Linotype" w:hAnsi="Palatino Linotype" w:cs="Palatino Linotype"/>
        </w:rPr>
        <w:t xml:space="preserve">mientras que </w:t>
      </w:r>
      <w:r w:rsidRPr="00F7284D">
        <w:rPr>
          <w:rFonts w:ascii="Palatino Linotype" w:eastAsia="Palatino Linotype" w:hAnsi="Palatino Linotype" w:cs="Palatino Linotype"/>
          <w:b/>
        </w:rPr>
        <w:t>LA PARTE</w:t>
      </w:r>
      <w:r w:rsidRPr="00F7284D">
        <w:rPr>
          <w:rFonts w:ascii="Palatino Linotype" w:eastAsia="Palatino Linotype" w:hAnsi="Palatino Linotype" w:cs="Palatino Linotype"/>
        </w:rPr>
        <w:t xml:space="preserve"> </w:t>
      </w:r>
      <w:r w:rsidRPr="00F7284D">
        <w:rPr>
          <w:rFonts w:ascii="Palatino Linotype" w:eastAsia="Palatino Linotype" w:hAnsi="Palatino Linotype" w:cs="Palatino Linotype"/>
          <w:b/>
        </w:rPr>
        <w:t>RECURRENTE</w:t>
      </w:r>
      <w:r w:rsidRPr="00F7284D">
        <w:rPr>
          <w:rFonts w:ascii="Palatino Linotype" w:eastAsia="Palatino Linotype" w:hAnsi="Palatino Linotype" w:cs="Palatino Linotype"/>
        </w:rPr>
        <w:t xml:space="preserve"> interpuso el recurso de revisión en fecha </w:t>
      </w:r>
      <w:r w:rsidRPr="00F7284D">
        <w:rPr>
          <w:rFonts w:ascii="Palatino Linotype" w:eastAsia="Palatino Linotype" w:hAnsi="Palatino Linotype" w:cs="Palatino Linotype"/>
          <w:b/>
        </w:rPr>
        <w:t>doce de marzo de dos mil veinticinco</w:t>
      </w:r>
      <w:r w:rsidRPr="00F7284D">
        <w:rPr>
          <w:rFonts w:ascii="Palatino Linotype" w:eastAsia="Palatino Linotype" w:hAnsi="Palatino Linotype" w:cs="Palatino Linotype"/>
        </w:rPr>
        <w:t>.</w:t>
      </w:r>
    </w:p>
    <w:p w14:paraId="220D8A79" w14:textId="77777777" w:rsidR="00E27768" w:rsidRPr="00F7284D" w:rsidRDefault="00E27768" w:rsidP="00E27768">
      <w:pPr>
        <w:spacing w:line="360" w:lineRule="auto"/>
        <w:contextualSpacing/>
        <w:jc w:val="both"/>
        <w:rPr>
          <w:rFonts w:ascii="Palatino Linotype" w:hAnsi="Palatino Linotype"/>
        </w:rPr>
      </w:pPr>
    </w:p>
    <w:p w14:paraId="7C85FFF9" w14:textId="77777777" w:rsidR="00E27768" w:rsidRPr="00F7284D" w:rsidRDefault="00E27768" w:rsidP="00E27768">
      <w:pPr>
        <w:spacing w:line="360" w:lineRule="auto"/>
        <w:contextualSpacing/>
        <w:jc w:val="both"/>
      </w:pPr>
      <w:r w:rsidRPr="00F7284D">
        <w:rPr>
          <w:rFonts w:ascii="Palatino Linotype" w:eastAsia="Palatino Linotype" w:hAnsi="Palatino Linotype" w:cs="Palatino Linotype"/>
          <w:b/>
        </w:rPr>
        <w:t xml:space="preserve">TERCERO. ANÁLISIS DE LA CAUSAL DE SOBRESEIMIENTO DEL RECURSO DE REVISIÓN. </w:t>
      </w:r>
      <w:r w:rsidRPr="00F7284D">
        <w:rPr>
          <w:rFonts w:ascii="Palatino Linotype" w:eastAsia="Palatino Linotype" w:hAnsi="Palatino Linotype" w:cs="Palatino Linotype"/>
        </w:rPr>
        <w:t>El artículo 139 de la Ley de Protección de Datos Personales en Posesión de Sujetos Obligados del Estado de México y Municipios, señala que el recurso de revisión será sobreseído en todo o en parte, cuando, una vez admitido, se actualice alguno de los siguientes supuestos:</w:t>
      </w:r>
    </w:p>
    <w:p w14:paraId="3BB9E041" w14:textId="77777777" w:rsidR="00E27768" w:rsidRPr="00F7284D" w:rsidRDefault="00E27768" w:rsidP="00E27768">
      <w:pPr>
        <w:spacing w:line="360" w:lineRule="auto"/>
        <w:contextualSpacing/>
        <w:jc w:val="both"/>
        <w:rPr>
          <w:rFonts w:ascii="Palatino Linotype" w:eastAsia="Palatino Linotype" w:hAnsi="Palatino Linotype" w:cs="Palatino Linotype"/>
        </w:rPr>
      </w:pPr>
    </w:p>
    <w:p w14:paraId="64DCED8F" w14:textId="77777777" w:rsidR="00E27768" w:rsidRPr="00F7284D" w:rsidRDefault="00E27768" w:rsidP="00E27768">
      <w:pPr>
        <w:pStyle w:val="Citas"/>
        <w:spacing w:line="276" w:lineRule="auto"/>
        <w:contextualSpacing/>
        <w:rPr>
          <w:b/>
          <w:u w:val="single"/>
        </w:rPr>
      </w:pPr>
      <w:r w:rsidRPr="00F7284D">
        <w:rPr>
          <w:b/>
        </w:rPr>
        <w:lastRenderedPageBreak/>
        <w:t>Artículo 139. El recurso de revisión sólo podrá ser sobreseído cuando:</w:t>
      </w:r>
      <w:r w:rsidRPr="00F7284D">
        <w:rPr>
          <w:b/>
        </w:rPr>
        <w:cr/>
      </w:r>
      <w:r w:rsidRPr="00F7284D">
        <w:t xml:space="preserve"> </w:t>
      </w:r>
      <w:r w:rsidRPr="00F7284D">
        <w:rPr>
          <w:b/>
          <w:u w:val="single"/>
        </w:rPr>
        <w:t>I. El recurrente se desista expresamente.</w:t>
      </w:r>
    </w:p>
    <w:p w14:paraId="0A927FE3" w14:textId="77777777" w:rsidR="00E27768" w:rsidRPr="00F7284D" w:rsidRDefault="00E27768" w:rsidP="00E27768">
      <w:pPr>
        <w:pStyle w:val="Citas"/>
        <w:spacing w:line="276" w:lineRule="auto"/>
        <w:contextualSpacing/>
      </w:pPr>
      <w:r w:rsidRPr="00F7284D">
        <w:t>II. El recurrente fallezca.</w:t>
      </w:r>
    </w:p>
    <w:p w14:paraId="3140E163" w14:textId="77777777" w:rsidR="00E27768" w:rsidRPr="00F7284D" w:rsidRDefault="00E27768" w:rsidP="00E27768">
      <w:pPr>
        <w:pStyle w:val="Citas"/>
        <w:spacing w:line="276" w:lineRule="auto"/>
        <w:contextualSpacing/>
      </w:pPr>
      <w:r w:rsidRPr="00F7284D">
        <w:t>III. Admitido el recurso de revisión, se actualice alguna causal de improcedencia en los términos de la presente Ley.</w:t>
      </w:r>
    </w:p>
    <w:p w14:paraId="2113561A" w14:textId="77777777" w:rsidR="00E27768" w:rsidRPr="00F7284D" w:rsidRDefault="00E27768" w:rsidP="00E27768">
      <w:pPr>
        <w:pStyle w:val="Citas"/>
        <w:spacing w:line="276" w:lineRule="auto"/>
        <w:contextualSpacing/>
      </w:pPr>
      <w:r w:rsidRPr="00F7284D">
        <w:t>IV. El responsable modifique o revoque su respuesta de tal manera que el recurso de revisión quede sin materia.</w:t>
      </w:r>
    </w:p>
    <w:p w14:paraId="7DDAF3B1" w14:textId="77777777" w:rsidR="00E27768" w:rsidRPr="00F7284D" w:rsidRDefault="00E27768" w:rsidP="00E27768">
      <w:pPr>
        <w:pStyle w:val="Citas"/>
        <w:spacing w:before="0" w:after="0" w:line="276" w:lineRule="auto"/>
        <w:contextualSpacing/>
      </w:pPr>
      <w:r w:rsidRPr="00F7284D">
        <w:t>V. Quede sin materia el recurso de revisión.</w:t>
      </w:r>
    </w:p>
    <w:p w14:paraId="53C3BBBF" w14:textId="77777777" w:rsidR="00E27768" w:rsidRPr="00F7284D" w:rsidRDefault="00E27768" w:rsidP="00E27768">
      <w:pPr>
        <w:pStyle w:val="Citas"/>
        <w:spacing w:before="0" w:after="0" w:line="276" w:lineRule="auto"/>
        <w:contextualSpacing/>
        <w:rPr>
          <w:sz w:val="24"/>
        </w:rPr>
      </w:pPr>
    </w:p>
    <w:p w14:paraId="17065E57" w14:textId="77777777" w:rsidR="00E27768" w:rsidRPr="00F7284D" w:rsidRDefault="00E27768" w:rsidP="00E27768">
      <w:pPr>
        <w:spacing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rPr>
        <w:t xml:space="preserve">En ese sentido, es susceptible de análisis la actualización del supuesto jurídico previsto en la fracción I, del artículo 139, de la ley en cita, mismo que dispone que el recurso de revisión será sobreseído cuando </w:t>
      </w:r>
      <w:r w:rsidRPr="00F7284D">
        <w:rPr>
          <w:rFonts w:ascii="Palatino Linotype" w:eastAsia="Palatino Linotype" w:hAnsi="Palatino Linotype" w:cs="Palatino Linotype"/>
          <w:b/>
        </w:rPr>
        <w:t>LA PARTE RECURRENTE se desista expresamente</w:t>
      </w:r>
      <w:r w:rsidRPr="00F7284D">
        <w:rPr>
          <w:rFonts w:ascii="Palatino Linotype" w:eastAsia="Palatino Linotype" w:hAnsi="Palatino Linotype" w:cs="Palatino Linotype"/>
        </w:rPr>
        <w:t xml:space="preserve">. </w:t>
      </w:r>
    </w:p>
    <w:p w14:paraId="6A5DDBD0" w14:textId="77777777" w:rsidR="004D48FC" w:rsidRPr="00F7284D" w:rsidRDefault="004D48FC" w:rsidP="004C1BC1">
      <w:pPr>
        <w:spacing w:line="360" w:lineRule="auto"/>
        <w:contextualSpacing/>
        <w:jc w:val="both"/>
        <w:rPr>
          <w:rFonts w:ascii="Palatino Linotype" w:hAnsi="Palatino Linotype"/>
        </w:rPr>
      </w:pPr>
    </w:p>
    <w:p w14:paraId="2DC69AD9" w14:textId="77777777" w:rsidR="00E27768" w:rsidRPr="00F7284D" w:rsidRDefault="00E27768" w:rsidP="00E27768">
      <w:pPr>
        <w:spacing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rPr>
        <w:t xml:space="preserve">Ello, toda vez que </w:t>
      </w:r>
      <w:r w:rsidRPr="00F7284D">
        <w:rPr>
          <w:rFonts w:ascii="Palatino Linotype" w:eastAsia="Palatino Linotype" w:hAnsi="Palatino Linotype" w:cs="Palatino Linotype"/>
          <w:b/>
        </w:rPr>
        <w:t>LA PARTE RECURRENTE</w:t>
      </w:r>
      <w:r w:rsidRPr="00F7284D">
        <w:rPr>
          <w:rFonts w:ascii="Palatino Linotype" w:eastAsia="Palatino Linotype" w:hAnsi="Palatino Linotype" w:cs="Palatino Linotype"/>
        </w:rPr>
        <w:t xml:space="preserve"> con fecha veintidós de abril de dos mil veinticinco, a través del SAIMEX, se desistió expresamente del presente medio de impugnación y en consecuencia, se estima que se actualiza el supuesto previsto en el artículo 139, fracción I, de la Ley de Protección de Datos Personales en Posesión de Sujetos Obligados del Estado de México y Municipios.</w:t>
      </w:r>
    </w:p>
    <w:p w14:paraId="372F39F8" w14:textId="77777777" w:rsidR="00E27768" w:rsidRPr="00F7284D" w:rsidRDefault="00E27768" w:rsidP="004C1BC1">
      <w:pPr>
        <w:spacing w:line="360" w:lineRule="auto"/>
        <w:contextualSpacing/>
        <w:jc w:val="both"/>
        <w:rPr>
          <w:rFonts w:ascii="Palatino Linotype" w:hAnsi="Palatino Linotype"/>
        </w:rPr>
      </w:pPr>
    </w:p>
    <w:p w14:paraId="29CFAF58" w14:textId="77777777" w:rsidR="00E27768" w:rsidRPr="00F7284D" w:rsidRDefault="00E27768" w:rsidP="00E27768">
      <w:pPr>
        <w:spacing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1F868B0D" w14:textId="77777777" w:rsidR="00E27768" w:rsidRPr="00F7284D" w:rsidRDefault="00E27768" w:rsidP="00E27768">
      <w:pPr>
        <w:spacing w:line="360" w:lineRule="auto"/>
        <w:contextualSpacing/>
        <w:jc w:val="both"/>
        <w:rPr>
          <w:rFonts w:ascii="Palatino Linotype" w:eastAsia="Palatino Linotype" w:hAnsi="Palatino Linotype" w:cs="Palatino Linotype"/>
        </w:rPr>
      </w:pPr>
    </w:p>
    <w:p w14:paraId="07914186" w14:textId="77777777" w:rsidR="00E27768" w:rsidRPr="00F7284D" w:rsidRDefault="00E27768" w:rsidP="00E27768">
      <w:pPr>
        <w:pStyle w:val="Citas"/>
        <w:spacing w:before="0" w:after="0" w:line="276" w:lineRule="auto"/>
        <w:contextualSpacing/>
      </w:pPr>
      <w:r w:rsidRPr="00F7284D">
        <w:rPr>
          <w:b/>
        </w:rPr>
        <w:t xml:space="preserve">DESISTIMIENTO DE LA INSTANCIA. SURTE EFECTOS DESDE EL MOMENTO EN QUE SE PRESENTA EL ESCRITO CORRESPONDIENTE. </w:t>
      </w:r>
      <w:r w:rsidRPr="00F7284D">
        <w:t xml:space="preserve">Los órganos jurisdiccionales tienen conocimiento de las </w:t>
      </w:r>
      <w:r w:rsidRPr="00F7284D">
        <w:lastRenderedPageBreak/>
        <w:t>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6A8B7650" w14:textId="77777777" w:rsidR="00E27768" w:rsidRPr="00F7284D" w:rsidRDefault="00E27768" w:rsidP="00E27768">
      <w:pPr>
        <w:pStyle w:val="Citas"/>
        <w:spacing w:before="0" w:after="0"/>
        <w:contextualSpacing/>
        <w:rPr>
          <w:i w:val="0"/>
          <w:sz w:val="24"/>
        </w:rPr>
      </w:pPr>
    </w:p>
    <w:p w14:paraId="4CCA3A3E" w14:textId="565298B6" w:rsidR="00601325" w:rsidRPr="00F7284D" w:rsidRDefault="00E27768" w:rsidP="00601325">
      <w:pPr>
        <w:pBdr>
          <w:top w:val="nil"/>
          <w:left w:val="nil"/>
          <w:bottom w:val="nil"/>
          <w:right w:val="nil"/>
          <w:between w:val="nil"/>
        </w:pBdr>
        <w:spacing w:before="240" w:after="240" w:line="360" w:lineRule="auto"/>
        <w:ind w:right="49"/>
        <w:contextualSpacing/>
        <w:jc w:val="both"/>
      </w:pPr>
      <w:r w:rsidRPr="00F7284D">
        <w:rPr>
          <w:rFonts w:ascii="Palatino Linotype" w:eastAsia="Palatino Linotype" w:hAnsi="Palatino Linotype" w:cs="Palatino Linotype"/>
        </w:rPr>
        <w:t xml:space="preserve">De esta forma, y atendiendo a que se ha declarado el sobreseimiento del presente medio de impugnación, este Órgano Garante se abstiene de analizar el  motivo de inconformidad que expresó </w:t>
      </w:r>
      <w:r w:rsidRPr="00F7284D">
        <w:rPr>
          <w:rFonts w:ascii="Palatino Linotype" w:eastAsia="Palatino Linotype" w:hAnsi="Palatino Linotype" w:cs="Palatino Linotype"/>
          <w:b/>
        </w:rPr>
        <w:t>LA PARTE</w:t>
      </w:r>
      <w:r w:rsidRPr="00F7284D">
        <w:rPr>
          <w:rFonts w:ascii="Palatino Linotype" w:eastAsia="Palatino Linotype" w:hAnsi="Palatino Linotype" w:cs="Palatino Linotype"/>
        </w:rPr>
        <w:t xml:space="preserve"> </w:t>
      </w:r>
      <w:r w:rsidRPr="00F7284D">
        <w:rPr>
          <w:rFonts w:ascii="Palatino Linotype" w:eastAsia="Palatino Linotype" w:hAnsi="Palatino Linotype" w:cs="Palatino Linotype"/>
          <w:b/>
        </w:rPr>
        <w:t>RECURRENTE</w:t>
      </w:r>
      <w:r w:rsidRPr="00F7284D">
        <w:rPr>
          <w:rFonts w:ascii="Palatino Linotype" w:eastAsia="Palatino Linotype" w:hAnsi="Palatino Linotype" w:cs="Palatino Linotype"/>
        </w:rPr>
        <w:t>, en atención a que el sobreseimiento impide el análisis de los motivos de inconformidad hechos valer en el recurso de revisión, discernimiento que encuentra apoyo en la Tesis de Jurisprudencia publicada en el Apéndice de 1995, Tomo III, Parte TCC, Octava Época, Instancia Tribunales Colegiados de Circuito, Materia Administrativa, página 566, registrada con el rubro: </w:t>
      </w:r>
    </w:p>
    <w:p w14:paraId="052933D2" w14:textId="77777777" w:rsidR="00E27768" w:rsidRPr="00F7284D" w:rsidRDefault="00E27768" w:rsidP="00601325">
      <w:pPr>
        <w:pBdr>
          <w:top w:val="nil"/>
          <w:left w:val="nil"/>
          <w:bottom w:val="nil"/>
          <w:right w:val="nil"/>
          <w:between w:val="nil"/>
        </w:pBdr>
        <w:spacing w:line="276" w:lineRule="auto"/>
        <w:ind w:left="851" w:right="851"/>
        <w:contextualSpacing/>
        <w:jc w:val="both"/>
        <w:rPr>
          <w:sz w:val="22"/>
          <w:szCs w:val="22"/>
        </w:rPr>
      </w:pPr>
      <w:r w:rsidRPr="00F7284D">
        <w:rPr>
          <w:rFonts w:ascii="Palatino Linotype" w:eastAsia="Palatino Linotype" w:hAnsi="Palatino Linotype" w:cs="Palatino Linotype"/>
          <w:i/>
          <w:sz w:val="22"/>
          <w:szCs w:val="22"/>
        </w:rPr>
        <w:t>“</w:t>
      </w:r>
      <w:r w:rsidRPr="00F7284D">
        <w:rPr>
          <w:rFonts w:ascii="Palatino Linotype" w:eastAsia="Palatino Linotype" w:hAnsi="Palatino Linotype" w:cs="Palatino Linotype"/>
          <w:b/>
          <w:i/>
          <w:sz w:val="22"/>
          <w:szCs w:val="22"/>
        </w:rPr>
        <w:t>SOBRESEIMIENTO DEL JUICIO CONTENCIOSO-ADMINISTRATIVO, NO PERMITE ENTRAR AL ESTUDIO DE LAS CUESTIONES DE FONDO</w:t>
      </w:r>
      <w:r w:rsidRPr="00F7284D">
        <w:rPr>
          <w:rFonts w:ascii="Palatino Linotype" w:eastAsia="Palatino Linotype" w:hAnsi="Palatino Linotype" w:cs="Palatino Linotype"/>
          <w:i/>
          <w:sz w:val="22"/>
          <w:szCs w:val="22"/>
        </w:rPr>
        <w:t>.</w:t>
      </w:r>
    </w:p>
    <w:p w14:paraId="18B5BADC" w14:textId="77777777" w:rsidR="00E27768" w:rsidRPr="00F7284D" w:rsidRDefault="00E27768" w:rsidP="00601325">
      <w:pPr>
        <w:pBdr>
          <w:top w:val="nil"/>
          <w:left w:val="nil"/>
          <w:bottom w:val="nil"/>
          <w:right w:val="nil"/>
          <w:between w:val="nil"/>
        </w:pBdr>
        <w:spacing w:line="276" w:lineRule="auto"/>
        <w:ind w:left="851" w:right="851"/>
        <w:contextualSpacing/>
        <w:jc w:val="both"/>
        <w:rPr>
          <w:sz w:val="22"/>
          <w:szCs w:val="22"/>
        </w:rPr>
      </w:pPr>
      <w:r w:rsidRPr="00F7284D">
        <w:rPr>
          <w:rFonts w:ascii="Palatino Linotype" w:eastAsia="Palatino Linotype" w:hAnsi="Palatino Linotype" w:cs="Palatino Linotype"/>
          <w:i/>
          <w:sz w:val="22"/>
          <w:szCs w:val="22"/>
        </w:rPr>
        <w:lastRenderedPageBreak/>
        <w:t>No causa agravio la sentencia que no se ocupa de los conceptos de anulación tendientes a demostrar las causales de nulidad de que adolece la resolución impugnada, que constituye el problema de fondo, si se declara el sobreseimiento del juicio contencioso-administrativo.</w:t>
      </w:r>
    </w:p>
    <w:p w14:paraId="0ECE4CE9" w14:textId="77777777" w:rsidR="00E27768" w:rsidRPr="00F7284D" w:rsidRDefault="00E27768" w:rsidP="00601325">
      <w:pPr>
        <w:pBdr>
          <w:top w:val="nil"/>
          <w:left w:val="nil"/>
          <w:bottom w:val="nil"/>
          <w:right w:val="nil"/>
          <w:between w:val="nil"/>
        </w:pBdr>
        <w:spacing w:line="276" w:lineRule="auto"/>
        <w:ind w:left="851" w:right="851"/>
        <w:contextualSpacing/>
        <w:jc w:val="both"/>
        <w:rPr>
          <w:sz w:val="22"/>
          <w:szCs w:val="22"/>
        </w:rPr>
      </w:pPr>
      <w:r w:rsidRPr="00F7284D">
        <w:rPr>
          <w:rFonts w:ascii="Palatino Linotype" w:eastAsia="Palatino Linotype" w:hAnsi="Palatino Linotype" w:cs="Palatino Linotype"/>
          <w:i/>
          <w:sz w:val="22"/>
          <w:szCs w:val="22"/>
        </w:rPr>
        <w:t>SEGUNDO TRIBUNAL COLEGIADO DEL SEXTO CIRCUITO.</w:t>
      </w:r>
    </w:p>
    <w:p w14:paraId="1B6948F5" w14:textId="77777777" w:rsidR="00E27768" w:rsidRPr="00F7284D" w:rsidRDefault="00E27768" w:rsidP="00601325">
      <w:pPr>
        <w:spacing w:line="276" w:lineRule="auto"/>
        <w:ind w:right="851"/>
        <w:contextualSpacing/>
        <w:rPr>
          <w:sz w:val="22"/>
          <w:szCs w:val="22"/>
        </w:rPr>
      </w:pPr>
    </w:p>
    <w:p w14:paraId="3120AF54" w14:textId="77777777" w:rsidR="00E27768" w:rsidRPr="00F7284D" w:rsidRDefault="00E27768" w:rsidP="00601325">
      <w:pPr>
        <w:pBdr>
          <w:top w:val="nil"/>
          <w:left w:val="nil"/>
          <w:bottom w:val="nil"/>
          <w:right w:val="nil"/>
          <w:between w:val="nil"/>
        </w:pBdr>
        <w:spacing w:line="276" w:lineRule="auto"/>
        <w:ind w:left="851" w:right="851"/>
        <w:contextualSpacing/>
        <w:jc w:val="both"/>
        <w:rPr>
          <w:sz w:val="22"/>
          <w:szCs w:val="22"/>
        </w:rPr>
      </w:pPr>
      <w:r w:rsidRPr="00F7284D">
        <w:rPr>
          <w:rFonts w:ascii="Palatino Linotype" w:eastAsia="Palatino Linotype" w:hAnsi="Palatino Linotype" w:cs="Palatino Linotype"/>
          <w:i/>
          <w:sz w:val="22"/>
          <w:szCs w:val="22"/>
        </w:rPr>
        <w:t>Octava Época:</w:t>
      </w:r>
    </w:p>
    <w:p w14:paraId="4DF2F890" w14:textId="77777777" w:rsidR="00E27768" w:rsidRPr="00F7284D" w:rsidRDefault="00E27768" w:rsidP="00601325">
      <w:pPr>
        <w:pBdr>
          <w:top w:val="nil"/>
          <w:left w:val="nil"/>
          <w:bottom w:val="nil"/>
          <w:right w:val="nil"/>
          <w:between w:val="nil"/>
        </w:pBdr>
        <w:spacing w:line="276" w:lineRule="auto"/>
        <w:ind w:left="851" w:right="851"/>
        <w:contextualSpacing/>
        <w:jc w:val="both"/>
        <w:rPr>
          <w:sz w:val="22"/>
          <w:szCs w:val="22"/>
        </w:rPr>
      </w:pPr>
      <w:r w:rsidRPr="00F7284D">
        <w:rPr>
          <w:rFonts w:ascii="Palatino Linotype" w:eastAsia="Palatino Linotype" w:hAnsi="Palatino Linotype" w:cs="Palatino Linotype"/>
          <w:i/>
          <w:sz w:val="22"/>
          <w:szCs w:val="22"/>
        </w:rPr>
        <w:t>Amparo directo 412/90. Emilio Juárez Becerra. 23 de octubre de 1990. Unanimidad de votos.</w:t>
      </w:r>
    </w:p>
    <w:p w14:paraId="7D369E5A" w14:textId="77777777" w:rsidR="00E27768" w:rsidRPr="00F7284D" w:rsidRDefault="00E27768" w:rsidP="00601325">
      <w:pPr>
        <w:pBdr>
          <w:top w:val="nil"/>
          <w:left w:val="nil"/>
          <w:bottom w:val="nil"/>
          <w:right w:val="nil"/>
          <w:between w:val="nil"/>
        </w:pBdr>
        <w:spacing w:line="276" w:lineRule="auto"/>
        <w:ind w:left="851" w:right="851"/>
        <w:contextualSpacing/>
        <w:jc w:val="both"/>
        <w:rPr>
          <w:sz w:val="22"/>
          <w:szCs w:val="22"/>
        </w:rPr>
      </w:pPr>
      <w:r w:rsidRPr="00F7284D">
        <w:rPr>
          <w:rFonts w:ascii="Palatino Linotype" w:eastAsia="Palatino Linotype" w:hAnsi="Palatino Linotype" w:cs="Palatino Linotype"/>
          <w:i/>
          <w:sz w:val="22"/>
          <w:szCs w:val="22"/>
        </w:rPr>
        <w:t>Amparo directo 359/92. Grupo Naviero de Tuxpan, S. A. de C. V. 14 de octubre de 1992. Unanimidad de votos.</w:t>
      </w:r>
    </w:p>
    <w:p w14:paraId="3365CE12" w14:textId="77777777" w:rsidR="00E27768" w:rsidRPr="00F7284D" w:rsidRDefault="00E27768" w:rsidP="00601325">
      <w:pPr>
        <w:pBdr>
          <w:top w:val="nil"/>
          <w:left w:val="nil"/>
          <w:bottom w:val="nil"/>
          <w:right w:val="nil"/>
          <w:between w:val="nil"/>
        </w:pBdr>
        <w:spacing w:line="276" w:lineRule="auto"/>
        <w:ind w:left="851" w:right="851"/>
        <w:contextualSpacing/>
        <w:jc w:val="both"/>
        <w:rPr>
          <w:sz w:val="22"/>
          <w:szCs w:val="22"/>
        </w:rPr>
      </w:pPr>
      <w:r w:rsidRPr="00F7284D">
        <w:rPr>
          <w:rFonts w:ascii="Palatino Linotype" w:eastAsia="Palatino Linotype" w:hAnsi="Palatino Linotype" w:cs="Palatino Linotype"/>
          <w:i/>
          <w:sz w:val="22"/>
          <w:szCs w:val="22"/>
        </w:rPr>
        <w:t>Amparo directo 154/93. Antonio Lima Flores. 6 de mayo de 1993. Unanimidad de votos.</w:t>
      </w:r>
    </w:p>
    <w:p w14:paraId="639F4741" w14:textId="77777777" w:rsidR="00E27768" w:rsidRPr="00F7284D" w:rsidRDefault="00E27768" w:rsidP="00601325">
      <w:pPr>
        <w:pBdr>
          <w:top w:val="nil"/>
          <w:left w:val="nil"/>
          <w:bottom w:val="nil"/>
          <w:right w:val="nil"/>
          <w:between w:val="nil"/>
        </w:pBdr>
        <w:spacing w:line="276" w:lineRule="auto"/>
        <w:ind w:left="851" w:right="851"/>
        <w:contextualSpacing/>
        <w:jc w:val="both"/>
        <w:rPr>
          <w:sz w:val="22"/>
          <w:szCs w:val="22"/>
        </w:rPr>
      </w:pPr>
      <w:r w:rsidRPr="00F7284D">
        <w:rPr>
          <w:rFonts w:ascii="Palatino Linotype" w:eastAsia="Palatino Linotype" w:hAnsi="Palatino Linotype" w:cs="Palatino Linotype"/>
          <w:i/>
          <w:sz w:val="22"/>
          <w:szCs w:val="22"/>
        </w:rPr>
        <w:t xml:space="preserve">Amparo directo 189/93. José Pedro </w:t>
      </w:r>
      <w:proofErr w:type="spellStart"/>
      <w:r w:rsidRPr="00F7284D">
        <w:rPr>
          <w:rFonts w:ascii="Palatino Linotype" w:eastAsia="Palatino Linotype" w:hAnsi="Palatino Linotype" w:cs="Palatino Linotype"/>
          <w:i/>
          <w:sz w:val="22"/>
          <w:szCs w:val="22"/>
        </w:rPr>
        <w:t>Temolzin</w:t>
      </w:r>
      <w:proofErr w:type="spellEnd"/>
      <w:r w:rsidRPr="00F7284D">
        <w:rPr>
          <w:rFonts w:ascii="Palatino Linotype" w:eastAsia="Palatino Linotype" w:hAnsi="Palatino Linotype" w:cs="Palatino Linotype"/>
          <w:i/>
          <w:sz w:val="22"/>
          <w:szCs w:val="22"/>
        </w:rPr>
        <w:t xml:space="preserve"> </w:t>
      </w:r>
      <w:proofErr w:type="spellStart"/>
      <w:r w:rsidRPr="00F7284D">
        <w:rPr>
          <w:rFonts w:ascii="Palatino Linotype" w:eastAsia="Palatino Linotype" w:hAnsi="Palatino Linotype" w:cs="Palatino Linotype"/>
          <w:i/>
          <w:sz w:val="22"/>
          <w:szCs w:val="22"/>
        </w:rPr>
        <w:t>Brais</w:t>
      </w:r>
      <w:proofErr w:type="spellEnd"/>
      <w:r w:rsidRPr="00F7284D">
        <w:rPr>
          <w:rFonts w:ascii="Palatino Linotype" w:eastAsia="Palatino Linotype" w:hAnsi="Palatino Linotype" w:cs="Palatino Linotype"/>
          <w:i/>
          <w:sz w:val="22"/>
          <w:szCs w:val="22"/>
        </w:rPr>
        <w:t>. 6 de mayo de 1993. Unanimidad de votos.</w:t>
      </w:r>
    </w:p>
    <w:p w14:paraId="707D63B9" w14:textId="77777777" w:rsidR="00E27768" w:rsidRPr="00F7284D" w:rsidRDefault="00E27768" w:rsidP="00601325">
      <w:pPr>
        <w:pBdr>
          <w:top w:val="nil"/>
          <w:left w:val="nil"/>
          <w:bottom w:val="nil"/>
          <w:right w:val="nil"/>
          <w:between w:val="nil"/>
        </w:pBdr>
        <w:spacing w:line="276" w:lineRule="auto"/>
        <w:ind w:left="851" w:right="851"/>
        <w:contextualSpacing/>
        <w:jc w:val="both"/>
        <w:rPr>
          <w:sz w:val="22"/>
          <w:szCs w:val="22"/>
        </w:rPr>
      </w:pPr>
      <w:r w:rsidRPr="00F7284D">
        <w:rPr>
          <w:rFonts w:ascii="Palatino Linotype" w:eastAsia="Palatino Linotype" w:hAnsi="Palatino Linotype" w:cs="Palatino Linotype"/>
          <w:i/>
          <w:sz w:val="22"/>
          <w:szCs w:val="22"/>
        </w:rPr>
        <w:t>Amparo directo 349/93. José Jerónimo Cerezo Vélez. 29 de septiembre de 1993. Unanimidad de votos.</w:t>
      </w:r>
    </w:p>
    <w:p w14:paraId="1567AB9E" w14:textId="77777777" w:rsidR="00E27768" w:rsidRPr="00F7284D" w:rsidRDefault="00E27768" w:rsidP="00601325">
      <w:pPr>
        <w:pBdr>
          <w:top w:val="nil"/>
          <w:left w:val="nil"/>
          <w:bottom w:val="nil"/>
          <w:right w:val="nil"/>
          <w:between w:val="nil"/>
        </w:pBdr>
        <w:spacing w:line="276" w:lineRule="auto"/>
        <w:ind w:left="851" w:right="851"/>
        <w:contextualSpacing/>
        <w:jc w:val="both"/>
        <w:rPr>
          <w:sz w:val="22"/>
          <w:szCs w:val="22"/>
        </w:rPr>
      </w:pPr>
      <w:r w:rsidRPr="00F7284D">
        <w:rPr>
          <w:rFonts w:ascii="Palatino Linotype" w:eastAsia="Palatino Linotype" w:hAnsi="Palatino Linotype" w:cs="Palatino Linotype"/>
          <w:i/>
          <w:sz w:val="22"/>
          <w:szCs w:val="22"/>
        </w:rPr>
        <w:t>NOTA: </w:t>
      </w:r>
    </w:p>
    <w:p w14:paraId="452F862B" w14:textId="77777777" w:rsidR="00E27768" w:rsidRPr="00F7284D" w:rsidRDefault="00E27768" w:rsidP="00601325">
      <w:pPr>
        <w:pBdr>
          <w:top w:val="nil"/>
          <w:left w:val="nil"/>
          <w:bottom w:val="nil"/>
          <w:right w:val="nil"/>
          <w:between w:val="nil"/>
        </w:pBdr>
        <w:spacing w:line="276" w:lineRule="auto"/>
        <w:ind w:left="851" w:right="851"/>
        <w:contextualSpacing/>
        <w:jc w:val="both"/>
        <w:rPr>
          <w:sz w:val="22"/>
          <w:szCs w:val="22"/>
        </w:rPr>
      </w:pPr>
      <w:r w:rsidRPr="00F7284D">
        <w:rPr>
          <w:rFonts w:ascii="Palatino Linotype" w:eastAsia="Palatino Linotype" w:hAnsi="Palatino Linotype" w:cs="Palatino Linotype"/>
          <w:i/>
          <w:sz w:val="22"/>
          <w:szCs w:val="22"/>
        </w:rPr>
        <w:t>Tesis VI.2o.J/280, Gaceta número 77, pág. 77; véase ejecutoria en el Semanario Judicial de la Federación, tomo XIII-Mayo, pág. 348.”</w:t>
      </w:r>
    </w:p>
    <w:p w14:paraId="4B3AFB2F" w14:textId="77777777" w:rsidR="00E27768" w:rsidRPr="00F7284D" w:rsidRDefault="00E27768" w:rsidP="00E27768">
      <w:pPr>
        <w:spacing w:before="240" w:after="240" w:line="360" w:lineRule="auto"/>
        <w:contextualSpacing/>
        <w:jc w:val="both"/>
        <w:rPr>
          <w:rFonts w:ascii="Palatino Linotype" w:eastAsia="Palatino Linotype" w:hAnsi="Palatino Linotype" w:cs="Palatino Linotype"/>
        </w:rPr>
      </w:pPr>
    </w:p>
    <w:p w14:paraId="30C31291" w14:textId="77777777" w:rsidR="00E27768" w:rsidRPr="00F7284D" w:rsidRDefault="00E27768" w:rsidP="00E27768">
      <w:pPr>
        <w:spacing w:before="240" w:after="240"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rPr>
        <w:t>Conforme a lo citado se puede colegir que cuando la parte Recurrente</w:t>
      </w:r>
      <w:r w:rsidRPr="00F7284D">
        <w:rPr>
          <w:rFonts w:ascii="Palatino Linotype" w:eastAsia="Palatino Linotype" w:hAnsi="Palatino Linotype" w:cs="Palatino Linotype"/>
          <w:b/>
        </w:rPr>
        <w:t xml:space="preserve"> </w:t>
      </w:r>
      <w:r w:rsidRPr="00F7284D">
        <w:rPr>
          <w:rFonts w:ascii="Palatino Linotype" w:eastAsia="Palatino Linotype" w:hAnsi="Palatino Linotype" w:cs="Palatino Linotype"/>
        </w:rPr>
        <w:t>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46AC0C02" w14:textId="77777777" w:rsidR="00E27768" w:rsidRPr="00F7284D" w:rsidRDefault="00E27768" w:rsidP="00E27768">
      <w:pPr>
        <w:spacing w:before="240" w:after="240" w:line="360" w:lineRule="auto"/>
        <w:contextualSpacing/>
        <w:jc w:val="both"/>
        <w:rPr>
          <w:rFonts w:ascii="Palatino Linotype" w:eastAsia="Palatino Linotype" w:hAnsi="Palatino Linotype" w:cs="Palatino Linotype"/>
        </w:rPr>
      </w:pPr>
    </w:p>
    <w:p w14:paraId="51557F91" w14:textId="77777777" w:rsidR="00E27768" w:rsidRPr="00F7284D" w:rsidRDefault="00E27768" w:rsidP="00E27768">
      <w:pPr>
        <w:spacing w:before="240" w:after="240"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rPr>
        <w:lastRenderedPageBreak/>
        <w:t xml:space="preserve">En ese sentido, toda vez que este Instituto constató que </w:t>
      </w:r>
      <w:r w:rsidRPr="00F7284D">
        <w:rPr>
          <w:rFonts w:ascii="Palatino Linotype" w:eastAsia="Palatino Linotype" w:hAnsi="Palatino Linotype" w:cs="Palatino Linotype"/>
          <w:b/>
        </w:rPr>
        <w:t>LA PARTE</w:t>
      </w:r>
      <w:r w:rsidRPr="00F7284D">
        <w:rPr>
          <w:rFonts w:ascii="Palatino Linotype" w:eastAsia="Palatino Linotype" w:hAnsi="Palatino Linotype" w:cs="Palatino Linotype"/>
        </w:rPr>
        <w:t xml:space="preserve"> </w:t>
      </w:r>
      <w:r w:rsidRPr="00F7284D">
        <w:rPr>
          <w:rFonts w:ascii="Palatino Linotype" w:eastAsia="Palatino Linotype" w:hAnsi="Palatino Linotype" w:cs="Palatino Linotype"/>
          <w:b/>
        </w:rPr>
        <w:t>RECURRENTE</w:t>
      </w:r>
      <w:r w:rsidRPr="00F7284D">
        <w:rPr>
          <w:rFonts w:ascii="Palatino Linotype" w:eastAsia="Palatino Linotype" w:hAnsi="Palatino Linotype" w:cs="Palatino Linotype"/>
        </w:rPr>
        <w:t xml:space="preserve"> se desistió por la vía idónea para realizar dicha acción, a saber, por el SARCOEM, resulta procedente </w:t>
      </w:r>
      <w:r w:rsidRPr="00F7284D">
        <w:rPr>
          <w:rFonts w:ascii="Palatino Linotype" w:eastAsia="Palatino Linotype" w:hAnsi="Palatino Linotype" w:cs="Palatino Linotype"/>
          <w:b/>
        </w:rPr>
        <w:t xml:space="preserve">SOBRESEER </w:t>
      </w:r>
      <w:r w:rsidRPr="00F7284D">
        <w:rPr>
          <w:rFonts w:ascii="Palatino Linotype" w:eastAsia="Palatino Linotype" w:hAnsi="Palatino Linotype" w:cs="Palatino Linotype"/>
        </w:rPr>
        <w:t xml:space="preserve">el Recurso de Revisión con número </w:t>
      </w:r>
      <w:r w:rsidRPr="00F7284D">
        <w:rPr>
          <w:rFonts w:ascii="Palatino Linotype" w:eastAsia="Palatino Linotype" w:hAnsi="Palatino Linotype" w:cs="Palatino Linotype"/>
          <w:b/>
        </w:rPr>
        <w:t>02809/INFOEM/AD/RR/2025</w:t>
      </w:r>
      <w:r w:rsidRPr="00F7284D">
        <w:rPr>
          <w:rFonts w:ascii="Palatino Linotype" w:eastAsia="Palatino Linotype" w:hAnsi="Palatino Linotype" w:cs="Palatino Linotype"/>
        </w:rPr>
        <w:t>, al actualizarse el supuesto previsto en el artículo 139 fracción I, de la Ley de Protección de Datos Personales en Posesión de Sujetos Obligados del Estado de México y Municipios, en relación con el 186, fracción I de ese ordenamiento legal.</w:t>
      </w:r>
    </w:p>
    <w:p w14:paraId="580BCB85" w14:textId="77777777" w:rsidR="00E27768" w:rsidRPr="00F7284D" w:rsidRDefault="00E27768" w:rsidP="00E27768">
      <w:pPr>
        <w:spacing w:before="240" w:after="240" w:line="360" w:lineRule="auto"/>
        <w:contextualSpacing/>
        <w:jc w:val="both"/>
        <w:rPr>
          <w:rFonts w:ascii="Palatino Linotype" w:eastAsia="Palatino Linotype" w:hAnsi="Palatino Linotype" w:cs="Palatino Linotype"/>
        </w:rPr>
      </w:pPr>
    </w:p>
    <w:p w14:paraId="578B9218" w14:textId="1137DC1B" w:rsidR="00E27768" w:rsidRPr="00F7284D" w:rsidRDefault="00E27768"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rPr>
        <w:t>Así, con fundamento en lo prescrito en los artículos 5 párrafos trigésimo séptimo, trigésimo octavo y trigésimo noveno de la Constitución Política del Estado Libre y Soberano de México; 2, fracción II; 29, 36 fracciones I y II; 176, 178, 179, 181 y 185 de la Ley de Transparencia y Acceso a la Información Pública del Estado de México y Municipios, de aplicación supletoria, y 137 fracción I de la Ley de Protección de Datos Personales en Posesión de Sujetos Obligados del Estado de México y Municipios este Pleno:</w:t>
      </w:r>
    </w:p>
    <w:p w14:paraId="182A9752" w14:textId="77777777" w:rsidR="00E27768" w:rsidRPr="00F7284D" w:rsidRDefault="00E27768" w:rsidP="00E27768">
      <w:pPr>
        <w:pStyle w:val="Prrafodelista"/>
        <w:pBdr>
          <w:top w:val="nil"/>
          <w:left w:val="nil"/>
          <w:bottom w:val="nil"/>
          <w:right w:val="nil"/>
          <w:between w:val="nil"/>
        </w:pBdr>
        <w:spacing w:line="360" w:lineRule="auto"/>
        <w:ind w:left="1080"/>
        <w:jc w:val="center"/>
        <w:rPr>
          <w:rFonts w:ascii="Palatino Linotype" w:eastAsia="Palatino Linotype" w:hAnsi="Palatino Linotype" w:cs="Palatino Linotype"/>
          <w:b/>
        </w:rPr>
      </w:pPr>
      <w:r w:rsidRPr="00F7284D">
        <w:rPr>
          <w:rFonts w:ascii="Palatino Linotype" w:eastAsia="Palatino Linotype" w:hAnsi="Palatino Linotype" w:cs="Palatino Linotype"/>
          <w:b/>
        </w:rPr>
        <w:t>R E S U E L V E:</w:t>
      </w:r>
    </w:p>
    <w:p w14:paraId="34FBDCFC" w14:textId="77777777" w:rsidR="00E27768" w:rsidRPr="00F7284D" w:rsidRDefault="00E27768" w:rsidP="00E27768">
      <w:pPr>
        <w:pStyle w:val="Prrafodelista"/>
        <w:pBdr>
          <w:top w:val="nil"/>
          <w:left w:val="nil"/>
          <w:bottom w:val="nil"/>
          <w:right w:val="nil"/>
          <w:between w:val="nil"/>
        </w:pBdr>
        <w:spacing w:line="360" w:lineRule="auto"/>
        <w:ind w:left="1080"/>
        <w:jc w:val="center"/>
        <w:rPr>
          <w:rFonts w:ascii="Palatino Linotype" w:eastAsia="Palatino Linotype" w:hAnsi="Palatino Linotype" w:cs="Palatino Linotype"/>
          <w:b/>
        </w:rPr>
      </w:pPr>
    </w:p>
    <w:p w14:paraId="3D59923A" w14:textId="77777777" w:rsidR="00E27768" w:rsidRPr="00F7284D" w:rsidRDefault="00E27768" w:rsidP="00E27768">
      <w:pPr>
        <w:pBdr>
          <w:top w:val="nil"/>
          <w:left w:val="nil"/>
          <w:bottom w:val="nil"/>
          <w:right w:val="nil"/>
          <w:between w:val="nil"/>
        </w:pBdr>
        <w:tabs>
          <w:tab w:val="left" w:pos="7936"/>
        </w:tabs>
        <w:spacing w:line="360" w:lineRule="auto"/>
        <w:contextualSpacing/>
        <w:jc w:val="both"/>
        <w:rPr>
          <w:rFonts w:ascii="Palatino Linotype" w:eastAsia="Palatino Linotype" w:hAnsi="Palatino Linotype" w:cs="Palatino Linotype"/>
          <w:b/>
        </w:rPr>
      </w:pPr>
      <w:bookmarkStart w:id="2" w:name="_heading=h.3dy6vkm" w:colFirst="0" w:colLast="0"/>
      <w:bookmarkEnd w:id="2"/>
      <w:r w:rsidRPr="00F7284D">
        <w:rPr>
          <w:rFonts w:ascii="Palatino Linotype" w:eastAsia="Palatino Linotype" w:hAnsi="Palatino Linotype" w:cs="Palatino Linotype"/>
          <w:b/>
        </w:rPr>
        <w:t xml:space="preserve">PRIMERO. </w:t>
      </w:r>
      <w:r w:rsidRPr="00F7284D">
        <w:rPr>
          <w:rFonts w:ascii="Palatino Linotype" w:eastAsia="Palatino Linotype" w:hAnsi="Palatino Linotype" w:cs="Palatino Linotype"/>
        </w:rPr>
        <w:t>Se</w:t>
      </w:r>
      <w:r w:rsidRPr="00F7284D">
        <w:rPr>
          <w:rFonts w:ascii="Palatino Linotype" w:eastAsia="Palatino Linotype" w:hAnsi="Palatino Linotype" w:cs="Palatino Linotype"/>
          <w:b/>
        </w:rPr>
        <w:t xml:space="preserve"> SOBRESEE </w:t>
      </w:r>
      <w:r w:rsidRPr="00F7284D">
        <w:rPr>
          <w:rFonts w:ascii="Palatino Linotype" w:eastAsia="Palatino Linotype" w:hAnsi="Palatino Linotype" w:cs="Palatino Linotype"/>
        </w:rPr>
        <w:t xml:space="preserve">el recurso de revisión número </w:t>
      </w:r>
      <w:r w:rsidRPr="00F7284D">
        <w:rPr>
          <w:rFonts w:ascii="Palatino Linotype" w:eastAsia="Palatino Linotype" w:hAnsi="Palatino Linotype" w:cs="Palatino Linotype"/>
          <w:b/>
        </w:rPr>
        <w:t>02809/INFOEM/AD/RR/2025</w:t>
      </w:r>
      <w:r w:rsidRPr="00F7284D">
        <w:rPr>
          <w:rFonts w:ascii="Palatino Linotype" w:eastAsia="Palatino Linotype" w:hAnsi="Palatino Linotype" w:cs="Palatino Linotype"/>
        </w:rPr>
        <w:t>,</w:t>
      </w:r>
      <w:r w:rsidRPr="00F7284D">
        <w:rPr>
          <w:rFonts w:ascii="Palatino Linotype" w:eastAsia="Palatino Linotype" w:hAnsi="Palatino Linotype" w:cs="Palatino Linotype"/>
          <w:b/>
        </w:rPr>
        <w:t xml:space="preserve"> </w:t>
      </w:r>
      <w:r w:rsidRPr="00F7284D">
        <w:rPr>
          <w:rFonts w:ascii="Palatino Linotype" w:eastAsia="Palatino Linotype" w:hAnsi="Palatino Linotype" w:cs="Palatino Linotype"/>
        </w:rPr>
        <w:t xml:space="preserve">en términos del considerando tercero de la presente resolución, al actualizarse la fracción I del artículo 139 de la Ley de Protección de Datos Personales en Posesión de Sujetos Obligados del Estado de México y Municipios por haberse desistido expresamente </w:t>
      </w:r>
      <w:r w:rsidRPr="00F7284D">
        <w:rPr>
          <w:rFonts w:ascii="Palatino Linotype" w:eastAsia="Palatino Linotype" w:hAnsi="Palatino Linotype" w:cs="Palatino Linotype"/>
          <w:b/>
        </w:rPr>
        <w:t>LA PARTE RECURRENTE.</w:t>
      </w:r>
    </w:p>
    <w:p w14:paraId="304B9D61" w14:textId="77777777" w:rsidR="00601325" w:rsidRPr="00F7284D" w:rsidRDefault="00601325" w:rsidP="00E27768">
      <w:pPr>
        <w:pBdr>
          <w:top w:val="nil"/>
          <w:left w:val="nil"/>
          <w:bottom w:val="nil"/>
          <w:right w:val="nil"/>
          <w:between w:val="nil"/>
        </w:pBdr>
        <w:tabs>
          <w:tab w:val="left" w:pos="7936"/>
        </w:tabs>
        <w:spacing w:line="360" w:lineRule="auto"/>
        <w:contextualSpacing/>
        <w:jc w:val="both"/>
        <w:rPr>
          <w:rFonts w:ascii="Palatino Linotype" w:eastAsia="Palatino Linotype" w:hAnsi="Palatino Linotype" w:cs="Palatino Linotype"/>
          <w:b/>
        </w:rPr>
      </w:pPr>
    </w:p>
    <w:p w14:paraId="5FE151B3" w14:textId="77777777" w:rsidR="00E27768" w:rsidRPr="00F7284D" w:rsidRDefault="00E27768" w:rsidP="00E27768">
      <w:pPr>
        <w:pBdr>
          <w:top w:val="nil"/>
          <w:left w:val="nil"/>
          <w:bottom w:val="nil"/>
          <w:right w:val="nil"/>
          <w:between w:val="nil"/>
        </w:pBdr>
        <w:tabs>
          <w:tab w:val="left" w:pos="7936"/>
        </w:tabs>
        <w:spacing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b/>
        </w:rPr>
        <w:lastRenderedPageBreak/>
        <w:t xml:space="preserve">SEGUNDO. NOTIFÍQUESE,  </w:t>
      </w:r>
      <w:r w:rsidRPr="00F7284D">
        <w:rPr>
          <w:rFonts w:ascii="Palatino Linotype" w:eastAsia="Palatino Linotype" w:hAnsi="Palatino Linotype" w:cs="Palatino Linotype"/>
        </w:rPr>
        <w:t>Sistema de Acceso, Rectificación, Cancelación y Oposición de Datos Personales del Estado de México (SARCOEM)</w:t>
      </w:r>
      <w:r w:rsidRPr="00F7284D">
        <w:rPr>
          <w:rFonts w:ascii="Palatino Linotype" w:eastAsia="Palatino Linotype" w:hAnsi="Palatino Linotype" w:cs="Palatino Linotype"/>
          <w:b/>
        </w:rPr>
        <w:t xml:space="preserve">, </w:t>
      </w:r>
      <w:r w:rsidRPr="00F7284D">
        <w:rPr>
          <w:rFonts w:ascii="Palatino Linotype" w:eastAsia="Palatino Linotype" w:hAnsi="Palatino Linotype" w:cs="Palatino Linotype"/>
        </w:rPr>
        <w:t>la presente resolución a la Persona Titular de la Unidad de Transparencia del</w:t>
      </w:r>
      <w:r w:rsidRPr="00F7284D">
        <w:rPr>
          <w:rFonts w:ascii="Palatino Linotype" w:eastAsia="Palatino Linotype" w:hAnsi="Palatino Linotype" w:cs="Palatino Linotype"/>
          <w:b/>
        </w:rPr>
        <w:t xml:space="preserve"> SUJETO OBLIGADO, </w:t>
      </w:r>
      <w:r w:rsidRPr="00F7284D">
        <w:rPr>
          <w:rFonts w:ascii="Palatino Linotype" w:eastAsia="Palatino Linotype" w:hAnsi="Palatino Linotype" w:cs="Palatino Linotype"/>
        </w:rPr>
        <w:t>para su conocimiento.</w:t>
      </w:r>
    </w:p>
    <w:p w14:paraId="62083A75" w14:textId="77777777" w:rsidR="00E27768" w:rsidRPr="00F7284D" w:rsidRDefault="00E27768" w:rsidP="00E27768">
      <w:pPr>
        <w:pBdr>
          <w:top w:val="nil"/>
          <w:left w:val="nil"/>
          <w:bottom w:val="nil"/>
          <w:right w:val="nil"/>
          <w:between w:val="nil"/>
        </w:pBdr>
        <w:tabs>
          <w:tab w:val="left" w:pos="7936"/>
        </w:tabs>
        <w:spacing w:line="360" w:lineRule="auto"/>
        <w:contextualSpacing/>
        <w:jc w:val="both"/>
        <w:rPr>
          <w:rFonts w:ascii="Palatino Linotype" w:eastAsia="Palatino Linotype" w:hAnsi="Palatino Linotype" w:cs="Palatino Linotype"/>
          <w:b/>
        </w:rPr>
      </w:pPr>
    </w:p>
    <w:p w14:paraId="70B79310" w14:textId="77777777" w:rsidR="00E27768" w:rsidRPr="00F7284D" w:rsidRDefault="00E27768" w:rsidP="00E27768">
      <w:pPr>
        <w:spacing w:line="360" w:lineRule="auto"/>
        <w:contextualSpacing/>
        <w:jc w:val="both"/>
        <w:rPr>
          <w:rFonts w:ascii="Palatino Linotype" w:eastAsia="Palatino Linotype" w:hAnsi="Palatino Linotype" w:cs="Palatino Linotype"/>
        </w:rPr>
      </w:pPr>
      <w:r w:rsidRPr="00F7284D">
        <w:rPr>
          <w:rFonts w:ascii="Palatino Linotype" w:eastAsia="Palatino Linotype" w:hAnsi="Palatino Linotype" w:cs="Palatino Linotype"/>
          <w:b/>
        </w:rPr>
        <w:t xml:space="preserve">TERCERO. NOTIFÍQUESE, </w:t>
      </w:r>
      <w:r w:rsidRPr="00F7284D">
        <w:rPr>
          <w:rFonts w:ascii="Palatino Linotype" w:eastAsia="Palatino Linotype" w:hAnsi="Palatino Linotype" w:cs="Palatino Linotype"/>
        </w:rPr>
        <w:t>vía</w:t>
      </w:r>
      <w:r w:rsidRPr="00F7284D">
        <w:rPr>
          <w:rFonts w:ascii="Palatino Linotype" w:eastAsia="Palatino Linotype" w:hAnsi="Palatino Linotype" w:cs="Palatino Linotype"/>
          <w:b/>
        </w:rPr>
        <w:t xml:space="preserve"> </w:t>
      </w:r>
      <w:r w:rsidRPr="00F7284D">
        <w:rPr>
          <w:rFonts w:ascii="Palatino Linotype" w:eastAsia="Palatino Linotype" w:hAnsi="Palatino Linotype" w:cs="Palatino Linotype"/>
        </w:rPr>
        <w:t>Sistema de Acceso, Rectificación, Cancelación y Oposición de Datos Personales del Estado de México (SARCOEM), a</w:t>
      </w:r>
      <w:r w:rsidRPr="00F7284D">
        <w:rPr>
          <w:rFonts w:ascii="Palatino Linotype" w:eastAsia="Palatino Linotype" w:hAnsi="Palatino Linotype" w:cs="Palatino Linotype"/>
          <w:b/>
        </w:rPr>
        <w:t xml:space="preserve"> LA PARTE RECURRENTE</w:t>
      </w:r>
      <w:r w:rsidRPr="00F7284D">
        <w:rPr>
          <w:rFonts w:ascii="Palatino Linotype" w:eastAsia="Palatino Linotype" w:hAnsi="Palatino Linotype" w:cs="Palatino Linotype"/>
        </w:rPr>
        <w:t xml:space="preserve"> la presente resolución, así como, que de conformidad con lo establecido en el artículo 142 de la Ley de Protección de Datos Personales en Posesión de Sujetos Obligados del Estado de México y Municipios, podrá impugnarla vía el Juicio de Amparo en los términos de las leyes aplicables. </w:t>
      </w:r>
    </w:p>
    <w:p w14:paraId="4D91B09E" w14:textId="77777777" w:rsidR="00E27768" w:rsidRPr="00F7284D" w:rsidRDefault="00E27768"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69317523" w14:textId="77777777" w:rsidR="00E27768" w:rsidRPr="0054367A" w:rsidRDefault="00E27768" w:rsidP="00E27768">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F7284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p>
    <w:p w14:paraId="2967B474" w14:textId="77777777" w:rsidR="00E27768" w:rsidRPr="0054367A" w:rsidRDefault="00E27768"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0A829FD5"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503A721D"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6D38A42A"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30FED319"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3AF53907"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6C999E4D"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5C5AEB3A"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26FF08A2"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20FAEC4C"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5547D0FC"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3F294849"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2DC6F236"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4446C55A"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6A0DEF53"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33A336FE"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17818112"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5E415E5D"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0CCDF2ED"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53ED191B"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49E904B0"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p w14:paraId="0B65B2A7" w14:textId="77777777" w:rsidR="00C23CE0" w:rsidRPr="0054367A" w:rsidRDefault="00C23CE0" w:rsidP="00E27768">
      <w:pPr>
        <w:pBdr>
          <w:top w:val="nil"/>
          <w:left w:val="nil"/>
          <w:bottom w:val="nil"/>
          <w:right w:val="nil"/>
          <w:between w:val="nil"/>
        </w:pBdr>
        <w:spacing w:before="280" w:after="280" w:line="360" w:lineRule="auto"/>
        <w:ind w:right="49"/>
        <w:contextualSpacing/>
        <w:jc w:val="both"/>
        <w:rPr>
          <w:rFonts w:ascii="Palatino Linotype" w:eastAsia="Palatino Linotype" w:hAnsi="Palatino Linotype" w:cs="Palatino Linotype"/>
        </w:rPr>
      </w:pPr>
    </w:p>
    <w:sectPr w:rsidR="00C23CE0" w:rsidRPr="0054367A" w:rsidSect="00B7478F">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EFD25" w14:textId="77777777" w:rsidR="000C6935" w:rsidRDefault="000C6935" w:rsidP="00B7478F">
      <w:r>
        <w:separator/>
      </w:r>
    </w:p>
  </w:endnote>
  <w:endnote w:type="continuationSeparator" w:id="0">
    <w:p w14:paraId="514FC440" w14:textId="77777777" w:rsidR="000C6935" w:rsidRDefault="000C6935" w:rsidP="00B7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5373" w14:textId="77777777" w:rsidR="00C23CE0" w:rsidRDefault="00C23CE0" w:rsidP="00C23CE0">
    <w:pPr>
      <w:pBdr>
        <w:top w:val="nil"/>
        <w:left w:val="nil"/>
        <w:bottom w:val="nil"/>
        <w:right w:val="nil"/>
        <w:between w:val="nil"/>
      </w:pBdr>
      <w:tabs>
        <w:tab w:val="center" w:pos="4419"/>
        <w:tab w:val="right" w:pos="8838"/>
      </w:tabs>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7284D">
      <w:rPr>
        <w:rFonts w:ascii="Arial" w:eastAsia="Arial" w:hAnsi="Arial" w:cs="Arial"/>
        <w:b/>
        <w:noProof/>
        <w:color w:val="000000"/>
        <w:sz w:val="20"/>
        <w:szCs w:val="20"/>
      </w:rPr>
      <w:t>16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7284D">
      <w:rPr>
        <w:rFonts w:ascii="Arial" w:eastAsia="Arial" w:hAnsi="Arial" w:cs="Arial"/>
        <w:b/>
        <w:noProof/>
        <w:color w:val="000000"/>
        <w:sz w:val="20"/>
        <w:szCs w:val="20"/>
      </w:rPr>
      <w:t>16</w:t>
    </w:r>
    <w:r>
      <w:rPr>
        <w:rFonts w:ascii="Arial" w:eastAsia="Arial" w:hAnsi="Arial" w:cs="Arial"/>
        <w:b/>
        <w:color w:val="000000"/>
        <w:sz w:val="20"/>
        <w:szCs w:val="20"/>
      </w:rPr>
      <w:fldChar w:fldCharType="end"/>
    </w:r>
  </w:p>
  <w:p w14:paraId="1B256980" w14:textId="77777777" w:rsidR="00C23CE0" w:rsidRDefault="00C23C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1CD8" w14:textId="77777777" w:rsidR="00B7478F" w:rsidRDefault="00B7478F" w:rsidP="00B7478F">
    <w:pPr>
      <w:pBdr>
        <w:top w:val="nil"/>
        <w:left w:val="nil"/>
        <w:bottom w:val="nil"/>
        <w:right w:val="nil"/>
        <w:between w:val="nil"/>
      </w:pBdr>
      <w:tabs>
        <w:tab w:val="center" w:pos="4419"/>
        <w:tab w:val="right" w:pos="8838"/>
      </w:tabs>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7284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7284D">
      <w:rPr>
        <w:rFonts w:ascii="Arial" w:eastAsia="Arial" w:hAnsi="Arial" w:cs="Arial"/>
        <w:b/>
        <w:noProof/>
        <w:color w:val="000000"/>
        <w:sz w:val="20"/>
        <w:szCs w:val="20"/>
      </w:rPr>
      <w:t>16</w:t>
    </w:r>
    <w:r>
      <w:rPr>
        <w:rFonts w:ascii="Arial" w:eastAsia="Arial" w:hAnsi="Arial" w:cs="Arial"/>
        <w:b/>
        <w:color w:val="000000"/>
        <w:sz w:val="20"/>
        <w:szCs w:val="20"/>
      </w:rPr>
      <w:fldChar w:fldCharType="end"/>
    </w:r>
  </w:p>
  <w:p w14:paraId="10F070D3" w14:textId="77777777" w:rsidR="00B7478F" w:rsidRDefault="00B747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65DF" w14:textId="77777777" w:rsidR="000C6935" w:rsidRDefault="000C6935" w:rsidP="00B7478F">
      <w:r>
        <w:separator/>
      </w:r>
    </w:p>
  </w:footnote>
  <w:footnote w:type="continuationSeparator" w:id="0">
    <w:p w14:paraId="200C58B3" w14:textId="77777777" w:rsidR="000C6935" w:rsidRDefault="000C6935" w:rsidP="00B74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B7478F" w14:paraId="2CF95705" w14:textId="77777777" w:rsidTr="00B30B14">
      <w:trPr>
        <w:trHeight w:val="246"/>
      </w:trPr>
      <w:tc>
        <w:tcPr>
          <w:tcW w:w="5716" w:type="dxa"/>
        </w:tcPr>
        <w:p w14:paraId="358D920F" w14:textId="77777777" w:rsidR="00B7478F" w:rsidRDefault="00B7478F" w:rsidP="00B7478F">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1329283D" w14:textId="77777777" w:rsidR="00B7478F" w:rsidRDefault="00B7478F" w:rsidP="00B7478F">
          <w:pPr>
            <w:spacing w:after="120"/>
            <w:ind w:left="-486" w:right="214" w:firstLine="1408"/>
            <w:jc w:val="right"/>
            <w:rPr>
              <w:rFonts w:ascii="Palatino Linotype" w:eastAsia="Palatino Linotype" w:hAnsi="Palatino Linotype" w:cs="Palatino Linotype"/>
            </w:rPr>
          </w:pPr>
          <w:r w:rsidRPr="00B7478F">
            <w:rPr>
              <w:rFonts w:ascii="Palatino Linotype" w:eastAsia="Palatino Linotype" w:hAnsi="Palatino Linotype" w:cs="Palatino Linotype"/>
            </w:rPr>
            <w:t>02809/INFOEM/AD/RR/2025</w:t>
          </w:r>
          <w:r>
            <w:rPr>
              <w:rFonts w:ascii="Palatino Linotype" w:eastAsia="Palatino Linotype" w:hAnsi="Palatino Linotype" w:cs="Palatino Linotype"/>
            </w:rPr>
            <w:t>.</w:t>
          </w:r>
        </w:p>
      </w:tc>
    </w:tr>
    <w:tr w:rsidR="00B7478F" w14:paraId="05D46A9F" w14:textId="77777777" w:rsidTr="00B30B14">
      <w:trPr>
        <w:trHeight w:val="212"/>
      </w:trPr>
      <w:tc>
        <w:tcPr>
          <w:tcW w:w="5716" w:type="dxa"/>
        </w:tcPr>
        <w:p w14:paraId="748C30C2" w14:textId="77777777" w:rsidR="00B7478F" w:rsidRDefault="00B7478F" w:rsidP="00B7478F">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4137696E" w14:textId="77777777" w:rsidR="00B7478F" w:rsidRDefault="00B7478F" w:rsidP="00B7478F">
          <w:pPr>
            <w:spacing w:after="120"/>
            <w:ind w:left="-486" w:right="214" w:firstLine="567"/>
            <w:jc w:val="right"/>
            <w:rPr>
              <w:rFonts w:ascii="Palatino Linotype" w:eastAsia="Palatino Linotype" w:hAnsi="Palatino Linotype" w:cs="Palatino Linotype"/>
            </w:rPr>
          </w:pPr>
        </w:p>
      </w:tc>
    </w:tr>
    <w:tr w:rsidR="00B7478F" w14:paraId="7DD71DCE" w14:textId="77777777" w:rsidTr="00B30B14">
      <w:trPr>
        <w:trHeight w:val="264"/>
      </w:trPr>
      <w:tc>
        <w:tcPr>
          <w:tcW w:w="5716" w:type="dxa"/>
        </w:tcPr>
        <w:p w14:paraId="410AF814" w14:textId="77777777" w:rsidR="00B7478F" w:rsidRDefault="00B7478F" w:rsidP="00B7478F">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5CDBF872" w14:textId="77777777" w:rsidR="00B7478F" w:rsidRDefault="00B7478F" w:rsidP="00B7478F">
          <w:pPr>
            <w:ind w:left="-495" w:right="214" w:firstLine="567"/>
            <w:jc w:val="right"/>
            <w:rPr>
              <w:rFonts w:ascii="Palatino Linotype" w:eastAsia="Palatino Linotype" w:hAnsi="Palatino Linotype" w:cs="Palatino Linotype"/>
            </w:rPr>
          </w:pPr>
          <w:r w:rsidRPr="00B7478F">
            <w:rPr>
              <w:rFonts w:ascii="Palatino Linotype" w:eastAsia="Palatino Linotype" w:hAnsi="Palatino Linotype" w:cs="Palatino Linotype"/>
            </w:rPr>
            <w:t>Instituto de Seguridad Social del Estado de México y Municipios</w:t>
          </w:r>
          <w:r>
            <w:rPr>
              <w:rFonts w:ascii="Palatino Linotype" w:eastAsia="Palatino Linotype" w:hAnsi="Palatino Linotype" w:cs="Palatino Linotype"/>
            </w:rPr>
            <w:t>.</w:t>
          </w:r>
        </w:p>
      </w:tc>
    </w:tr>
    <w:tr w:rsidR="00B7478F" w14:paraId="305B54C6" w14:textId="77777777" w:rsidTr="00B30B14">
      <w:trPr>
        <w:trHeight w:val="373"/>
      </w:trPr>
      <w:tc>
        <w:tcPr>
          <w:tcW w:w="5716" w:type="dxa"/>
        </w:tcPr>
        <w:p w14:paraId="409F535C" w14:textId="77777777" w:rsidR="00B7478F" w:rsidRDefault="00B7478F" w:rsidP="00B7478F">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3B4DBD13" w14:textId="77777777" w:rsidR="00B7478F" w:rsidRDefault="00B7478F" w:rsidP="00B7478F">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3AD005B9" w14:textId="77777777" w:rsidR="00B7478F" w:rsidRDefault="00E27768">
    <w:pPr>
      <w:pStyle w:val="Encabezado"/>
    </w:pPr>
    <w:r>
      <w:rPr>
        <w:noProof/>
        <w:lang w:val="es-MX" w:eastAsia="es-MX"/>
      </w:rPr>
      <w:drawing>
        <wp:anchor distT="0" distB="0" distL="0" distR="0" simplePos="0" relativeHeight="251661312" behindDoc="1" locked="0" layoutInCell="1" hidden="0" allowOverlap="1" wp14:anchorId="01223B02" wp14:editId="193E7AE5">
          <wp:simplePos x="0" y="0"/>
          <wp:positionH relativeFrom="page">
            <wp:align>right</wp:align>
          </wp:positionH>
          <wp:positionV relativeFrom="paragraph">
            <wp:posOffset>-1376045</wp:posOffset>
          </wp:positionV>
          <wp:extent cx="7353300" cy="8658225"/>
          <wp:effectExtent l="0" t="0" r="0" b="952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1281" w:type="dxa"/>
      <w:tblLayout w:type="fixed"/>
      <w:tblLook w:val="0400" w:firstRow="0" w:lastRow="0" w:firstColumn="0" w:lastColumn="0" w:noHBand="0" w:noVBand="1"/>
    </w:tblPr>
    <w:tblGrid>
      <w:gridCol w:w="5716"/>
      <w:gridCol w:w="4557"/>
    </w:tblGrid>
    <w:tr w:rsidR="00B7478F" w14:paraId="00CEEC34" w14:textId="77777777" w:rsidTr="00B30B14">
      <w:trPr>
        <w:trHeight w:val="246"/>
      </w:trPr>
      <w:tc>
        <w:tcPr>
          <w:tcW w:w="5716" w:type="dxa"/>
        </w:tcPr>
        <w:p w14:paraId="7A7B4F2D" w14:textId="77777777" w:rsidR="00B7478F" w:rsidRDefault="00B7478F" w:rsidP="00B7478F">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679957EC" w14:textId="77777777" w:rsidR="00B7478F" w:rsidRDefault="00B7478F" w:rsidP="00B7478F">
          <w:pPr>
            <w:spacing w:after="120"/>
            <w:ind w:left="-486" w:right="214" w:firstLine="1408"/>
            <w:jc w:val="right"/>
            <w:rPr>
              <w:rFonts w:ascii="Palatino Linotype" w:eastAsia="Palatino Linotype" w:hAnsi="Palatino Linotype" w:cs="Palatino Linotype"/>
            </w:rPr>
          </w:pPr>
          <w:r w:rsidRPr="00B7478F">
            <w:rPr>
              <w:rFonts w:ascii="Palatino Linotype" w:eastAsia="Palatino Linotype" w:hAnsi="Palatino Linotype" w:cs="Palatino Linotype"/>
            </w:rPr>
            <w:t>02809/INFOEM/AD/RR/2025</w:t>
          </w:r>
          <w:r>
            <w:rPr>
              <w:rFonts w:ascii="Palatino Linotype" w:eastAsia="Palatino Linotype" w:hAnsi="Palatino Linotype" w:cs="Palatino Linotype"/>
            </w:rPr>
            <w:t>.</w:t>
          </w:r>
        </w:p>
      </w:tc>
    </w:tr>
    <w:tr w:rsidR="00B7478F" w14:paraId="49D66152" w14:textId="77777777" w:rsidTr="00B30B14">
      <w:trPr>
        <w:trHeight w:val="212"/>
      </w:trPr>
      <w:tc>
        <w:tcPr>
          <w:tcW w:w="5716" w:type="dxa"/>
        </w:tcPr>
        <w:p w14:paraId="1D4836D9" w14:textId="77777777" w:rsidR="00B7478F" w:rsidRDefault="00B7478F" w:rsidP="00B7478F">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766CDFE6" w14:textId="0B7E37F6" w:rsidR="00B7478F" w:rsidRDefault="009313CD" w:rsidP="00B7478F">
          <w:pPr>
            <w:spacing w:after="120"/>
            <w:ind w:left="-486" w:right="214" w:firstLine="567"/>
            <w:jc w:val="right"/>
            <w:rPr>
              <w:rFonts w:ascii="Palatino Linotype" w:eastAsia="Palatino Linotype" w:hAnsi="Palatino Linotype" w:cs="Palatino Linotype"/>
            </w:rPr>
          </w:pPr>
          <w:bookmarkStart w:id="3" w:name="_Hlk199848247"/>
          <w:r>
            <w:rPr>
              <w:rFonts w:ascii="Palatino Linotype" w:eastAsia="Palatino Linotype" w:hAnsi="Palatino Linotype" w:cs="Palatino Linotype"/>
              <w:color w:val="000000" w:themeColor="text1"/>
            </w:rPr>
            <w:t>XXXXXX XXXXXXXX XXXXXXXXX XXXX</w:t>
          </w:r>
          <w:bookmarkEnd w:id="3"/>
          <w:r w:rsidR="00B7478F" w:rsidRPr="006011DA">
            <w:rPr>
              <w:rFonts w:ascii="Palatino Linotype" w:eastAsia="Palatino Linotype" w:hAnsi="Palatino Linotype" w:cs="Palatino Linotype"/>
              <w:color w:val="000000" w:themeColor="text1"/>
            </w:rPr>
            <w:t>.</w:t>
          </w:r>
        </w:p>
      </w:tc>
    </w:tr>
    <w:tr w:rsidR="00B7478F" w14:paraId="349A097F" w14:textId="77777777" w:rsidTr="00B30B14">
      <w:trPr>
        <w:trHeight w:val="264"/>
      </w:trPr>
      <w:tc>
        <w:tcPr>
          <w:tcW w:w="5716" w:type="dxa"/>
        </w:tcPr>
        <w:p w14:paraId="40605218" w14:textId="77777777" w:rsidR="00B7478F" w:rsidRDefault="00B7478F" w:rsidP="00B7478F">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4A3A2B40" w14:textId="77777777" w:rsidR="00B7478F" w:rsidRDefault="00B7478F" w:rsidP="00B7478F">
          <w:pPr>
            <w:ind w:left="-495" w:right="214" w:firstLine="567"/>
            <w:jc w:val="right"/>
            <w:rPr>
              <w:rFonts w:ascii="Palatino Linotype" w:eastAsia="Palatino Linotype" w:hAnsi="Palatino Linotype" w:cs="Palatino Linotype"/>
            </w:rPr>
          </w:pPr>
          <w:r w:rsidRPr="00B7478F">
            <w:rPr>
              <w:rFonts w:ascii="Palatino Linotype" w:eastAsia="Palatino Linotype" w:hAnsi="Palatino Linotype" w:cs="Palatino Linotype"/>
            </w:rPr>
            <w:t>Instituto de Seguridad Social del Estado de México y Municipios</w:t>
          </w:r>
          <w:r>
            <w:rPr>
              <w:rFonts w:ascii="Palatino Linotype" w:eastAsia="Palatino Linotype" w:hAnsi="Palatino Linotype" w:cs="Palatino Linotype"/>
            </w:rPr>
            <w:t>.</w:t>
          </w:r>
        </w:p>
      </w:tc>
    </w:tr>
    <w:tr w:rsidR="00B7478F" w14:paraId="6E7AF234" w14:textId="77777777" w:rsidTr="00B30B14">
      <w:trPr>
        <w:trHeight w:val="373"/>
      </w:trPr>
      <w:tc>
        <w:tcPr>
          <w:tcW w:w="5716" w:type="dxa"/>
        </w:tcPr>
        <w:p w14:paraId="146B1F69" w14:textId="77777777" w:rsidR="00B7478F" w:rsidRDefault="00B7478F" w:rsidP="00B7478F">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6CA0C38D" w14:textId="77777777" w:rsidR="00B7478F" w:rsidRDefault="00B7478F" w:rsidP="00B7478F">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7DAAAA00" w14:textId="77777777" w:rsidR="00B7478F" w:rsidRDefault="00E27768">
    <w:pPr>
      <w:pStyle w:val="Encabezado"/>
    </w:pPr>
    <w:r>
      <w:rPr>
        <w:noProof/>
        <w:lang w:val="es-MX" w:eastAsia="es-MX"/>
      </w:rPr>
      <w:drawing>
        <wp:anchor distT="0" distB="0" distL="0" distR="0" simplePos="0" relativeHeight="251659264" behindDoc="1" locked="0" layoutInCell="1" hidden="0" allowOverlap="1" wp14:anchorId="0CFD5B64" wp14:editId="6EA7D325">
          <wp:simplePos x="0" y="0"/>
          <wp:positionH relativeFrom="page">
            <wp:posOffset>396240</wp:posOffset>
          </wp:positionH>
          <wp:positionV relativeFrom="paragraph">
            <wp:posOffset>-1438910</wp:posOffset>
          </wp:positionV>
          <wp:extent cx="7353300" cy="8658225"/>
          <wp:effectExtent l="0" t="0" r="0" b="952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CA1454"/>
    <w:multiLevelType w:val="multilevel"/>
    <w:tmpl w:val="1B8AE598"/>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8F"/>
    <w:rsid w:val="000C6935"/>
    <w:rsid w:val="00142EB4"/>
    <w:rsid w:val="00455602"/>
    <w:rsid w:val="004C1BC1"/>
    <w:rsid w:val="004D48FC"/>
    <w:rsid w:val="0054367A"/>
    <w:rsid w:val="00601325"/>
    <w:rsid w:val="00676400"/>
    <w:rsid w:val="006F20FE"/>
    <w:rsid w:val="009313CD"/>
    <w:rsid w:val="00992F1D"/>
    <w:rsid w:val="00B7478F"/>
    <w:rsid w:val="00C23CE0"/>
    <w:rsid w:val="00D34839"/>
    <w:rsid w:val="00D61F40"/>
    <w:rsid w:val="00E27768"/>
    <w:rsid w:val="00F7284D"/>
    <w:rsid w:val="00F750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BFF7"/>
  <w15:chartTrackingRefBased/>
  <w15:docId w15:val="{BDF27EE9-A2E0-4329-A600-A8C73CFCF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78F"/>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B7478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478F"/>
    <w:pPr>
      <w:tabs>
        <w:tab w:val="center" w:pos="4419"/>
        <w:tab w:val="right" w:pos="8838"/>
      </w:tabs>
    </w:pPr>
  </w:style>
  <w:style w:type="character" w:customStyle="1" w:styleId="EncabezadoCar">
    <w:name w:val="Encabezado Car"/>
    <w:basedOn w:val="Fuentedeprrafopredeter"/>
    <w:link w:val="Encabezado"/>
    <w:uiPriority w:val="99"/>
    <w:rsid w:val="00B7478F"/>
  </w:style>
  <w:style w:type="paragraph" w:styleId="Piedepgina">
    <w:name w:val="footer"/>
    <w:basedOn w:val="Normal"/>
    <w:link w:val="PiedepginaCar"/>
    <w:uiPriority w:val="99"/>
    <w:unhideWhenUsed/>
    <w:rsid w:val="00B7478F"/>
    <w:pPr>
      <w:tabs>
        <w:tab w:val="center" w:pos="4419"/>
        <w:tab w:val="right" w:pos="8838"/>
      </w:tabs>
    </w:pPr>
  </w:style>
  <w:style w:type="character" w:customStyle="1" w:styleId="PiedepginaCar">
    <w:name w:val="Pie de página Car"/>
    <w:basedOn w:val="Fuentedeprrafopredeter"/>
    <w:link w:val="Piedepgina"/>
    <w:uiPriority w:val="99"/>
    <w:rsid w:val="00B7478F"/>
  </w:style>
  <w:style w:type="character" w:customStyle="1" w:styleId="Ttulo2Car">
    <w:name w:val="Título 2 Car"/>
    <w:basedOn w:val="Fuentedeprrafopredeter"/>
    <w:link w:val="Ttulo2"/>
    <w:uiPriority w:val="9"/>
    <w:rsid w:val="00B7478F"/>
    <w:rPr>
      <w:rFonts w:asciiTheme="majorHAnsi" w:eastAsiaTheme="majorEastAsia" w:hAnsiTheme="majorHAnsi" w:cstheme="majorBidi"/>
      <w:color w:val="2E74B5" w:themeColor="accent1" w:themeShade="BF"/>
      <w:sz w:val="26"/>
      <w:szCs w:val="26"/>
      <w:lang w:val="es-ES" w:eastAsia="es-ES"/>
    </w:rPr>
  </w:style>
  <w:style w:type="paragraph" w:customStyle="1" w:styleId="Citas">
    <w:name w:val="Citas"/>
    <w:basedOn w:val="Normal"/>
    <w:qFormat/>
    <w:rsid w:val="004D48F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7768"/>
    <w:pPr>
      <w:ind w:left="720"/>
      <w:contextualSpacing/>
    </w:pPr>
    <w:rPr>
      <w:lang w:val="es-MX"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7768"/>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3372</Words>
  <Characters>18547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INFOEM505</dc:creator>
  <cp:keywords/>
  <dc:description/>
  <cp:lastModifiedBy>Maricela Villagómez Martínez</cp:lastModifiedBy>
  <cp:revision>2</cp:revision>
  <cp:lastPrinted>2025-05-16T19:56:00Z</cp:lastPrinted>
  <dcterms:created xsi:type="dcterms:W3CDTF">2025-06-03T19:43:00Z</dcterms:created>
  <dcterms:modified xsi:type="dcterms:W3CDTF">2025-06-03T19:43:00Z</dcterms:modified>
</cp:coreProperties>
</file>