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7C76F" w14:textId="77777777" w:rsidR="005978D0" w:rsidRDefault="005978D0" w:rsidP="005527AD">
      <w:pPr>
        <w:spacing w:after="0" w:line="360" w:lineRule="auto"/>
        <w:ind w:right="49"/>
        <w:jc w:val="both"/>
        <w:rPr>
          <w:rFonts w:ascii="Palatino Linotype" w:hAnsi="Palatino Linotype" w:cs="Tahoma"/>
          <w:b/>
        </w:rPr>
      </w:pPr>
    </w:p>
    <w:p w14:paraId="2B5DC8E8" w14:textId="2EA783AC" w:rsidR="00262743" w:rsidRDefault="005527AD" w:rsidP="005527AD">
      <w:pPr>
        <w:spacing w:after="0" w:line="360" w:lineRule="auto"/>
        <w:ind w:right="49"/>
        <w:jc w:val="both"/>
        <w:rPr>
          <w:rFonts w:ascii="Palatino Linotype" w:hAnsi="Palatino Linotype" w:cs="Tahoma"/>
          <w:b/>
        </w:rPr>
      </w:pPr>
      <w:r w:rsidRPr="00807C88">
        <w:rPr>
          <w:rFonts w:ascii="Palatino Linotype" w:hAnsi="Palatino Linotype" w:cs="Tahoma"/>
          <w:b/>
        </w:rPr>
        <w:t xml:space="preserve">VOTO </w:t>
      </w:r>
      <w:r w:rsidR="00C12762">
        <w:rPr>
          <w:rFonts w:ascii="Palatino Linotype" w:hAnsi="Palatino Linotype" w:cs="Tahoma"/>
          <w:b/>
        </w:rPr>
        <w:t>DISIDENTE</w:t>
      </w:r>
      <w:r w:rsidRPr="00807C88">
        <w:rPr>
          <w:rFonts w:ascii="Palatino Linotype" w:hAnsi="Palatino Linotype" w:cs="Tahoma"/>
          <w:b/>
        </w:rPr>
        <w:t xml:space="preserve"> QUE FORMULA EL COMISIONADO LUIS GUSTAVO PARRA NORIEGA, A LA RESO</w:t>
      </w:r>
      <w:r w:rsidR="00201767">
        <w:rPr>
          <w:rFonts w:ascii="Palatino Linotype" w:hAnsi="Palatino Linotype" w:cs="Tahoma"/>
          <w:b/>
        </w:rPr>
        <w:t>L</w:t>
      </w:r>
      <w:r w:rsidRPr="00807C88">
        <w:rPr>
          <w:rFonts w:ascii="Palatino Linotype" w:hAnsi="Palatino Linotype" w:cs="Tahoma"/>
          <w:b/>
        </w:rPr>
        <w:t xml:space="preserve">UCIÓN DEL RECURSO DE REVISIÓN </w:t>
      </w:r>
      <w:r w:rsidR="00245C4C" w:rsidRPr="00245C4C">
        <w:rPr>
          <w:rFonts w:ascii="Palatino Linotype" w:hAnsi="Palatino Linotype" w:cs="Arial"/>
          <w:b/>
          <w:lang w:val="es-MX"/>
        </w:rPr>
        <w:t>02084/INFOEM/AD/RR/2025</w:t>
      </w:r>
      <w:r w:rsidRPr="00807C88">
        <w:rPr>
          <w:rFonts w:ascii="Palatino Linotype" w:hAnsi="Palatino Linotype" w:cs="Tahoma"/>
          <w:b/>
        </w:rPr>
        <w:t>, PROMOVIDO EN CONTRA DE</w:t>
      </w:r>
      <w:r w:rsidR="00262743">
        <w:rPr>
          <w:rFonts w:ascii="Palatino Linotype" w:hAnsi="Palatino Linotype" w:cs="Tahoma"/>
          <w:b/>
        </w:rPr>
        <w:t>L</w:t>
      </w:r>
      <w:r w:rsidR="00B23FBE">
        <w:rPr>
          <w:rFonts w:ascii="Palatino Linotype" w:hAnsi="Palatino Linotype" w:cs="Tahoma"/>
          <w:b/>
        </w:rPr>
        <w:t xml:space="preserve"> </w:t>
      </w:r>
      <w:r w:rsidR="00245C4C" w:rsidRPr="00245C4C">
        <w:rPr>
          <w:rFonts w:ascii="Palatino Linotype" w:hAnsi="Palatino Linotype" w:cs="Tahoma"/>
          <w:b/>
        </w:rPr>
        <w:t>AYUNTAMIENTO DE ATIZAPÁN DE ZARAGOZA</w:t>
      </w:r>
    </w:p>
    <w:p w14:paraId="7E58F577" w14:textId="77777777" w:rsidR="00702561" w:rsidRPr="00807C88" w:rsidRDefault="00702561" w:rsidP="005527AD">
      <w:pPr>
        <w:spacing w:after="0" w:line="360" w:lineRule="auto"/>
        <w:ind w:right="49"/>
        <w:jc w:val="both"/>
        <w:rPr>
          <w:rFonts w:ascii="Palatino Linotype" w:hAnsi="Palatino Linotype" w:cs="Tahoma"/>
        </w:rPr>
      </w:pPr>
    </w:p>
    <w:p w14:paraId="5C56B58E" w14:textId="2112DC05" w:rsidR="005527AD" w:rsidRPr="00807C88" w:rsidRDefault="005527AD" w:rsidP="005527AD">
      <w:pPr>
        <w:spacing w:after="0" w:line="360" w:lineRule="auto"/>
        <w:ind w:right="49"/>
        <w:jc w:val="both"/>
        <w:rPr>
          <w:rFonts w:ascii="Palatino Linotype" w:hAnsi="Palatino Linotype" w:cs="Tahoma"/>
          <w:b/>
        </w:rPr>
      </w:pPr>
      <w:r w:rsidRPr="00807C88">
        <w:rPr>
          <w:rFonts w:ascii="Palatino Linotype" w:hAnsi="Palatino Linotype" w:cs="Tahoma"/>
        </w:rPr>
        <w:t xml:space="preserve">En términos de lo dispuesto por los artículos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45, 48, fracción I, de los Lineamientos para el funcionamiento del Pleno y las Comisiones del Instituto de Transparencia, Acceso a la Información Pública y Protección de Datos Personales del Estado de México y Municipios, emito el presente </w:t>
      </w:r>
      <w:r w:rsidRPr="00807C88">
        <w:rPr>
          <w:rFonts w:ascii="Palatino Linotype" w:hAnsi="Palatino Linotype" w:cs="Tahoma"/>
          <w:b/>
        </w:rPr>
        <w:t xml:space="preserve">Voto </w:t>
      </w:r>
      <w:r w:rsidR="00F94829">
        <w:rPr>
          <w:rFonts w:ascii="Palatino Linotype" w:hAnsi="Palatino Linotype" w:cs="Tahoma"/>
          <w:b/>
        </w:rPr>
        <w:t>Disidente</w:t>
      </w:r>
      <w:r w:rsidRPr="00807C88">
        <w:rPr>
          <w:rFonts w:ascii="Palatino Linotype" w:hAnsi="Palatino Linotype" w:cs="Tahoma"/>
        </w:rPr>
        <w:t xml:space="preserve"> por no compartir las consideraciones que sustentan la Resolución del Recurso de Revisión </w:t>
      </w:r>
      <w:r w:rsidR="00245C4C" w:rsidRPr="00245C4C">
        <w:rPr>
          <w:rFonts w:ascii="Palatino Linotype" w:hAnsi="Palatino Linotype" w:cs="Arial"/>
          <w:b/>
        </w:rPr>
        <w:t>02084/INFOEM/AD/RR/2025</w:t>
      </w:r>
      <w:r w:rsidRPr="00807C88">
        <w:rPr>
          <w:rFonts w:ascii="Palatino Linotype" w:hAnsi="Palatino Linotype" w:cs="Tahoma"/>
          <w:b/>
          <w:lang w:val="es-ES_tradnl"/>
        </w:rPr>
        <w:t>.</w:t>
      </w:r>
    </w:p>
    <w:p w14:paraId="057FEC9E" w14:textId="77777777" w:rsidR="005527AD" w:rsidRPr="00807C88" w:rsidRDefault="005527AD" w:rsidP="005527AD">
      <w:pPr>
        <w:spacing w:after="0" w:line="360" w:lineRule="auto"/>
        <w:ind w:right="49"/>
        <w:jc w:val="both"/>
        <w:rPr>
          <w:rFonts w:ascii="Palatino Linotype" w:hAnsi="Palatino Linotype" w:cs="Tahoma"/>
        </w:rPr>
      </w:pPr>
    </w:p>
    <w:p w14:paraId="75833E2F" w14:textId="77777777" w:rsidR="001F52E4" w:rsidRDefault="005527AD" w:rsidP="0064035D">
      <w:pPr>
        <w:pStyle w:val="Encabezado"/>
        <w:spacing w:line="360" w:lineRule="auto"/>
        <w:jc w:val="both"/>
        <w:rPr>
          <w:rFonts w:ascii="Palatino Linotype" w:eastAsiaTheme="minorEastAsia" w:hAnsi="Palatino Linotype" w:cs="Arial"/>
          <w:color w:val="000000" w:themeColor="text1"/>
          <w:szCs w:val="20"/>
          <w:lang w:val="es-ES_tradnl"/>
        </w:rPr>
      </w:pPr>
      <w:r w:rsidRPr="00807C88">
        <w:rPr>
          <w:rFonts w:ascii="Palatino Linotype" w:hAnsi="Palatino Linotype" w:cs="Tahoma"/>
        </w:rPr>
        <w:t xml:space="preserve">Como se desprende de la Resolución en comento, </w:t>
      </w:r>
      <w:r w:rsidR="00633E73">
        <w:rPr>
          <w:rFonts w:ascii="Palatino Linotype" w:hAnsi="Palatino Linotype" w:cs="Tahoma"/>
        </w:rPr>
        <w:t>la</w:t>
      </w:r>
      <w:r w:rsidRPr="00807C88">
        <w:rPr>
          <w:rFonts w:ascii="Palatino Linotype" w:hAnsi="Palatino Linotype" w:cs="Tahoma"/>
        </w:rPr>
        <w:t xml:space="preserve"> Particular solicitó</w:t>
      </w:r>
      <w:r w:rsidR="00B23FBE">
        <w:rPr>
          <w:rFonts w:ascii="Palatino Linotype" w:hAnsi="Palatino Linotype" w:cs="Tahoma"/>
        </w:rPr>
        <w:t xml:space="preserve"> </w:t>
      </w:r>
      <w:r w:rsidR="0064035D">
        <w:rPr>
          <w:rFonts w:ascii="Palatino Linotype" w:hAnsi="Palatino Linotype" w:cs="Tahoma"/>
        </w:rPr>
        <w:t xml:space="preserve">copia certificada de un escrito de petición presentado el seis de marzo de dos mil veintitrés identificado con el número de folio </w:t>
      </w:r>
      <w:r w:rsidR="0064035D" w:rsidRPr="0064035D">
        <w:rPr>
          <w:rFonts w:ascii="Palatino Linotype" w:hAnsi="Palatino Linotype" w:cs="Tahoma"/>
        </w:rPr>
        <w:t>OCP 19846</w:t>
      </w:r>
      <w:r w:rsidR="0064035D">
        <w:rPr>
          <w:rFonts w:ascii="Palatino Linotype" w:hAnsi="Palatino Linotype" w:cs="Tahoma"/>
        </w:rPr>
        <w:t xml:space="preserve"> y par atal efecto proporcionó el Acta de Defunción de su cónyuge fallecido, Acta de Matrimonio y la Identificación oficial de la </w:t>
      </w:r>
      <w:r w:rsidR="00A4285D">
        <w:rPr>
          <w:rFonts w:ascii="Palatino Linotype" w:hAnsi="Palatino Linotype" w:cs="Tahoma"/>
        </w:rPr>
        <w:t>Solicitante de información expedida por el Instituto Nacional Electoral</w:t>
      </w:r>
      <w:r w:rsidR="005513AA" w:rsidRPr="00532FDE">
        <w:rPr>
          <w:rFonts w:ascii="Palatino Linotype" w:eastAsiaTheme="minorEastAsia" w:hAnsi="Palatino Linotype" w:cs="Arial"/>
          <w:color w:val="000000" w:themeColor="text1"/>
          <w:szCs w:val="20"/>
          <w:lang w:val="es-ES_tradnl"/>
        </w:rPr>
        <w:t xml:space="preserve">, </w:t>
      </w:r>
      <w:r w:rsidR="009C7723">
        <w:rPr>
          <w:rFonts w:ascii="Palatino Linotype" w:eastAsiaTheme="minorEastAsia" w:hAnsi="Palatino Linotype" w:cs="Arial"/>
          <w:color w:val="000000" w:themeColor="text1"/>
          <w:szCs w:val="20"/>
          <w:lang w:val="es-ES_tradnl"/>
        </w:rPr>
        <w:t xml:space="preserve">así, en respuesta </w:t>
      </w:r>
      <w:r w:rsidR="00A4285D">
        <w:rPr>
          <w:rFonts w:ascii="Palatino Linotype" w:eastAsiaTheme="minorEastAsia" w:hAnsi="Palatino Linotype" w:cs="Arial"/>
          <w:color w:val="000000" w:themeColor="text1"/>
          <w:szCs w:val="20"/>
          <w:lang w:val="es-ES_tradnl"/>
        </w:rPr>
        <w:t>el Sujeto Obligado a través de la Unidad de Transparencia precisó que las copias certificadas tenían costo, por lo que se pondría a disposición de la Particular previo pago de los derechos ante la Tesorería Municipal</w:t>
      </w:r>
      <w:r w:rsidR="001F52E4">
        <w:rPr>
          <w:rFonts w:ascii="Palatino Linotype" w:eastAsiaTheme="minorEastAsia" w:hAnsi="Palatino Linotype" w:cs="Arial"/>
          <w:color w:val="000000" w:themeColor="text1"/>
          <w:szCs w:val="20"/>
          <w:lang w:val="es-ES_tradnl"/>
        </w:rPr>
        <w:t>.</w:t>
      </w:r>
    </w:p>
    <w:p w14:paraId="54B96F36" w14:textId="77777777" w:rsidR="001F52E4" w:rsidRDefault="001F52E4" w:rsidP="0064035D">
      <w:pPr>
        <w:pStyle w:val="Encabezado"/>
        <w:spacing w:line="360" w:lineRule="auto"/>
        <w:jc w:val="both"/>
        <w:rPr>
          <w:rFonts w:ascii="Palatino Linotype" w:eastAsiaTheme="minorEastAsia" w:hAnsi="Palatino Linotype" w:cs="Arial"/>
          <w:color w:val="000000" w:themeColor="text1"/>
          <w:szCs w:val="20"/>
          <w:lang w:val="es-ES_tradnl"/>
        </w:rPr>
      </w:pPr>
    </w:p>
    <w:p w14:paraId="7A20D245" w14:textId="1193A561" w:rsidR="001F52E4" w:rsidRDefault="001F52E4" w:rsidP="0064035D">
      <w:pPr>
        <w:pStyle w:val="Encabezado"/>
        <w:spacing w:line="360" w:lineRule="auto"/>
        <w:jc w:val="both"/>
        <w:rPr>
          <w:rFonts w:ascii="Palatino Linotype" w:hAnsi="Palatino Linotype" w:cs="Tahoma"/>
          <w:lang w:val="es-ES_tradnl"/>
        </w:rPr>
      </w:pPr>
      <w:r>
        <w:rPr>
          <w:rFonts w:ascii="Palatino Linotype" w:eastAsiaTheme="minorEastAsia" w:hAnsi="Palatino Linotype" w:cs="Arial"/>
          <w:color w:val="000000" w:themeColor="text1"/>
          <w:szCs w:val="20"/>
          <w:lang w:val="es-ES_tradnl"/>
        </w:rPr>
        <w:lastRenderedPageBreak/>
        <w:t>E</w:t>
      </w:r>
      <w:r w:rsidR="00633E73">
        <w:rPr>
          <w:rFonts w:ascii="Palatino Linotype" w:eastAsiaTheme="minorEastAsia" w:hAnsi="Palatino Linotype" w:cs="Arial"/>
          <w:color w:val="000000" w:themeColor="text1"/>
          <w:szCs w:val="20"/>
          <w:lang w:val="es-ES_tradnl"/>
        </w:rPr>
        <w:t xml:space="preserve">n ese orden de ideas, </w:t>
      </w:r>
      <w:r w:rsidR="00AC343A">
        <w:rPr>
          <w:rFonts w:ascii="Palatino Linotype" w:hAnsi="Palatino Linotype" w:cs="Tahoma"/>
          <w:lang w:val="es-ES_tradnl"/>
        </w:rPr>
        <w:t>se determinó</w:t>
      </w:r>
      <w:r w:rsidR="001D1748">
        <w:rPr>
          <w:rFonts w:ascii="Palatino Linotype" w:hAnsi="Palatino Linotype" w:cs="Tahoma"/>
          <w:lang w:val="es-ES_tradnl"/>
        </w:rPr>
        <w:t xml:space="preserve"> </w:t>
      </w:r>
      <w:r>
        <w:rPr>
          <w:rFonts w:ascii="Palatino Linotype" w:hAnsi="Palatino Linotype" w:cs="Tahoma"/>
          <w:lang w:val="es-ES_tradnl"/>
        </w:rPr>
        <w:t>que era procede ordenar el documento solicitado sin  conocer el contenido del mismo y sin acreditar que contiene los datos personales del fallecido, esto</w:t>
      </w:r>
      <w:r w:rsidR="00AC343A">
        <w:rPr>
          <w:rFonts w:ascii="Palatino Linotype" w:hAnsi="Palatino Linotype" w:cs="Tahoma"/>
          <w:lang w:val="es-ES_tradnl"/>
        </w:rPr>
        <w:t xml:space="preserve"> </w:t>
      </w:r>
      <w:r w:rsidR="00A4285D">
        <w:rPr>
          <w:rFonts w:ascii="Palatino Linotype" w:hAnsi="Palatino Linotype" w:cs="Tahoma"/>
          <w:lang w:val="es-ES_tradnl"/>
        </w:rPr>
        <w:t>en copias certificadas sin costo</w:t>
      </w:r>
      <w:r>
        <w:rPr>
          <w:rFonts w:ascii="Palatino Linotype" w:hAnsi="Palatino Linotype" w:cs="Tahoma"/>
          <w:lang w:val="es-ES_tradnl"/>
        </w:rPr>
        <w:t xml:space="preserve"> y</w:t>
      </w:r>
      <w:r w:rsidR="00A4285D">
        <w:rPr>
          <w:rFonts w:ascii="Palatino Linotype" w:hAnsi="Palatino Linotype" w:cs="Tahoma"/>
          <w:lang w:val="es-ES_tradnl"/>
        </w:rPr>
        <w:t>, previa acreditación de la identidad junto con el Acuerdo del Comité de Transparencia</w:t>
      </w:r>
      <w:r w:rsidR="006B0D1D">
        <w:rPr>
          <w:rFonts w:ascii="Palatino Linotype" w:hAnsi="Palatino Linotype" w:cs="Tahoma"/>
          <w:lang w:val="es-ES_tradnl"/>
        </w:rPr>
        <w:t xml:space="preserve"> que funde y motive la versión pública del documento, de ser procedente. </w:t>
      </w:r>
    </w:p>
    <w:p w14:paraId="357E8EEC" w14:textId="77777777" w:rsidR="001F52E4" w:rsidRPr="006B0D1D" w:rsidRDefault="001F52E4" w:rsidP="0064035D">
      <w:pPr>
        <w:pStyle w:val="Encabezado"/>
        <w:spacing w:line="360" w:lineRule="auto"/>
        <w:jc w:val="both"/>
        <w:rPr>
          <w:rFonts w:ascii="Palatino Linotype" w:hAnsi="Palatino Linotype" w:cs="Tahoma"/>
          <w:lang w:val="es-ES_tradnl"/>
        </w:rPr>
      </w:pPr>
    </w:p>
    <w:p w14:paraId="3834B564" w14:textId="6ECB484C" w:rsidR="00D81D40" w:rsidRDefault="000F5703" w:rsidP="006B0D1D">
      <w:pPr>
        <w:tabs>
          <w:tab w:val="center" w:pos="4252"/>
          <w:tab w:val="right" w:pos="8504"/>
        </w:tabs>
        <w:spacing w:after="0" w:line="360" w:lineRule="auto"/>
        <w:jc w:val="both"/>
        <w:rPr>
          <w:rFonts w:ascii="Palatino Linotype" w:eastAsia="Calibri" w:hAnsi="Palatino Linotype" w:cs="Tahoma"/>
        </w:rPr>
      </w:pPr>
      <w:r w:rsidRPr="000F5703">
        <w:rPr>
          <w:rFonts w:ascii="Palatino Linotype" w:eastAsia="Calibri" w:hAnsi="Palatino Linotype" w:cs="Tahoma"/>
        </w:rPr>
        <w:t xml:space="preserve">Al respecto, difiero del sentido de la resolución, </w:t>
      </w:r>
      <w:r w:rsidR="00EC7CDB">
        <w:rPr>
          <w:rFonts w:ascii="Palatino Linotype" w:eastAsia="Calibri" w:hAnsi="Palatino Linotype" w:cs="Tahoma"/>
        </w:rPr>
        <w:t xml:space="preserve">toda vez que </w:t>
      </w:r>
      <w:r w:rsidR="00D81D40">
        <w:rPr>
          <w:rFonts w:ascii="Palatino Linotype" w:eastAsia="Calibri" w:hAnsi="Palatino Linotype" w:cs="Tahoma"/>
        </w:rPr>
        <w:t xml:space="preserve">de las constancias que obran en el expediente electrónico se logra advertir  que la persona Recurrente pretende acceder a los </w:t>
      </w:r>
      <w:r w:rsidR="001F52E4">
        <w:rPr>
          <w:rFonts w:ascii="Palatino Linotype" w:eastAsia="Calibri" w:hAnsi="Palatino Linotype" w:cs="Tahoma"/>
        </w:rPr>
        <w:t>d</w:t>
      </w:r>
      <w:r w:rsidR="00D81D40">
        <w:rPr>
          <w:rFonts w:ascii="Palatino Linotype" w:eastAsia="Calibri" w:hAnsi="Palatino Linotype" w:cs="Tahoma"/>
        </w:rPr>
        <w:t xml:space="preserve">atos </w:t>
      </w:r>
      <w:r w:rsidR="001F52E4">
        <w:rPr>
          <w:rFonts w:ascii="Palatino Linotype" w:eastAsia="Calibri" w:hAnsi="Palatino Linotype" w:cs="Tahoma"/>
        </w:rPr>
        <w:t>p</w:t>
      </w:r>
      <w:r w:rsidR="00D81D40">
        <w:rPr>
          <w:rFonts w:ascii="Palatino Linotype" w:eastAsia="Calibri" w:hAnsi="Palatino Linotype" w:cs="Tahoma"/>
        </w:rPr>
        <w:t>ersonales de su cónyuge fallecido</w:t>
      </w:r>
      <w:r w:rsidR="00162EEE">
        <w:rPr>
          <w:rFonts w:ascii="Palatino Linotype" w:eastAsia="Calibri" w:hAnsi="Palatino Linotype" w:cs="Tahoma"/>
        </w:rPr>
        <w:t xml:space="preserve">; </w:t>
      </w:r>
      <w:r w:rsidR="001F52E4">
        <w:rPr>
          <w:rFonts w:ascii="Palatino Linotype" w:eastAsia="Calibri" w:hAnsi="Palatino Linotype" w:cs="Tahoma"/>
        </w:rPr>
        <w:t>por tal motivo,</w:t>
      </w:r>
      <w:r w:rsidR="00D81D40">
        <w:rPr>
          <w:rFonts w:ascii="Palatino Linotype" w:eastAsia="Calibri" w:hAnsi="Palatino Linotype" w:cs="Tahoma"/>
        </w:rPr>
        <w:t xml:space="preserve"> cabe precisar que para ejercicio de los Derechos ARCO se deberá acreditar la titularidad de los datos personales o bien la calidad de representante, a través de documento de identidad</w:t>
      </w:r>
      <w:r w:rsidR="00162EEE">
        <w:rPr>
          <w:rFonts w:ascii="Palatino Linotype" w:eastAsia="Calibri" w:hAnsi="Palatino Linotype" w:cs="Tahoma"/>
        </w:rPr>
        <w:t xml:space="preserve">, esto es, cuando la persona se encuentra con vida, ya sea a través de sí mismo o de su representante, no obstante, al tratarse de  </w:t>
      </w:r>
      <w:r w:rsidR="00D81D40">
        <w:rPr>
          <w:rFonts w:ascii="Palatino Linotype" w:eastAsia="Calibri" w:hAnsi="Palatino Linotype" w:cs="Tahoma"/>
        </w:rPr>
        <w:t xml:space="preserve"> </w:t>
      </w:r>
      <w:r w:rsidR="00162EEE">
        <w:rPr>
          <w:rFonts w:ascii="Palatino Linotype" w:eastAsia="Calibri" w:hAnsi="Palatino Linotype" w:cs="Tahoma"/>
        </w:rPr>
        <w:t xml:space="preserve">personas fallecidas,  el artículo 106 de la Ley </w:t>
      </w:r>
      <w:r w:rsidR="00162EEE" w:rsidRPr="00162EEE">
        <w:rPr>
          <w:rFonts w:ascii="Palatino Linotype" w:eastAsia="Calibri" w:hAnsi="Palatino Linotype" w:cs="Tahoma"/>
        </w:rPr>
        <w:t>de Protección de Datos Personales</w:t>
      </w:r>
      <w:r w:rsidR="00162EEE">
        <w:rPr>
          <w:rFonts w:ascii="Palatino Linotype" w:eastAsia="Calibri" w:hAnsi="Palatino Linotype" w:cs="Tahoma"/>
        </w:rPr>
        <w:t xml:space="preserve"> precisa que para acceder a los datos, además de </w:t>
      </w:r>
      <w:r w:rsidR="009839D2">
        <w:rPr>
          <w:rFonts w:ascii="Palatino Linotype" w:eastAsia="Calibri" w:hAnsi="Palatino Linotype" w:cs="Tahoma"/>
        </w:rPr>
        <w:t xml:space="preserve">acreditar la identidad de titular y en su caso la identidad y personalidad con la que actúe el representante, </w:t>
      </w:r>
      <w:r w:rsidR="00162EEE">
        <w:rPr>
          <w:rFonts w:ascii="Palatino Linotype" w:eastAsia="Calibri" w:hAnsi="Palatino Linotype" w:cs="Tahoma"/>
        </w:rPr>
        <w:t xml:space="preserve">se deberá acreditar la existencia de interés jurídico y legítimo. </w:t>
      </w:r>
    </w:p>
    <w:p w14:paraId="27A3D6C6" w14:textId="53732040" w:rsidR="00162EEE" w:rsidRDefault="00162EEE" w:rsidP="006B0D1D">
      <w:pPr>
        <w:tabs>
          <w:tab w:val="center" w:pos="4252"/>
          <w:tab w:val="right" w:pos="8504"/>
        </w:tabs>
        <w:spacing w:after="0" w:line="360" w:lineRule="auto"/>
        <w:jc w:val="both"/>
        <w:rPr>
          <w:rFonts w:ascii="Palatino Linotype" w:eastAsia="Calibri" w:hAnsi="Palatino Linotype" w:cs="Tahoma"/>
        </w:rPr>
      </w:pPr>
    </w:p>
    <w:p w14:paraId="76FCCA51" w14:textId="7D5BA97D" w:rsidR="00CD20CA" w:rsidRDefault="009839D2" w:rsidP="009839D2">
      <w:pPr>
        <w:tabs>
          <w:tab w:val="center" w:pos="4252"/>
          <w:tab w:val="right" w:pos="8504"/>
        </w:tabs>
        <w:spacing w:after="0" w:line="360" w:lineRule="auto"/>
        <w:jc w:val="both"/>
        <w:rPr>
          <w:rFonts w:ascii="Palatino Linotype" w:eastAsia="Calibri" w:hAnsi="Palatino Linotype" w:cs="Tahoma"/>
        </w:rPr>
      </w:pPr>
      <w:r>
        <w:rPr>
          <w:rFonts w:ascii="Palatino Linotype" w:eastAsia="Calibri" w:hAnsi="Palatino Linotype" w:cs="Tahoma"/>
        </w:rPr>
        <w:t xml:space="preserve">Conforme a lo anterior, </w:t>
      </w:r>
      <w:r w:rsidR="001F52E4">
        <w:rPr>
          <w:rFonts w:ascii="Palatino Linotype" w:eastAsia="Calibri" w:hAnsi="Palatino Linotype" w:cs="Tahoma"/>
        </w:rPr>
        <w:t xml:space="preserve">dentro del expediente electrónico se verificó que </w:t>
      </w:r>
      <w:r>
        <w:rPr>
          <w:rFonts w:ascii="Palatino Linotype" w:eastAsia="Calibri" w:hAnsi="Palatino Linotype" w:cs="Tahoma"/>
        </w:rPr>
        <w:t>no se proporcionó la identifica</w:t>
      </w:r>
      <w:r w:rsidR="001F52E4">
        <w:rPr>
          <w:rFonts w:ascii="Palatino Linotype" w:eastAsia="Calibri" w:hAnsi="Palatino Linotype" w:cs="Tahoma"/>
        </w:rPr>
        <w:t>ción oficial de</w:t>
      </w:r>
      <w:r>
        <w:rPr>
          <w:rFonts w:ascii="Palatino Linotype" w:eastAsia="Calibri" w:hAnsi="Palatino Linotype" w:cs="Tahoma"/>
        </w:rPr>
        <w:t xml:space="preserve"> la persona fallecida como titular de los datos a los que se quiere tener acceso, por lo que en primera instancia no se cumplieron con todos los elementos necesarios para acreditar la identidad tanto del titular de los datos, además </w:t>
      </w:r>
      <w:r w:rsidR="001F52E4">
        <w:rPr>
          <w:rFonts w:ascii="Palatino Linotype" w:eastAsia="Calibri" w:hAnsi="Palatino Linotype" w:cs="Tahoma"/>
        </w:rPr>
        <w:t xml:space="preserve">de </w:t>
      </w:r>
      <w:r w:rsidR="00CD20CA">
        <w:rPr>
          <w:rFonts w:ascii="Palatino Linotype" w:eastAsia="Calibri" w:hAnsi="Palatino Linotype" w:cs="Tahoma"/>
        </w:rPr>
        <w:t>que</w:t>
      </w:r>
      <w:r w:rsidR="001F52E4">
        <w:rPr>
          <w:rFonts w:ascii="Palatino Linotype" w:eastAsia="Calibri" w:hAnsi="Palatino Linotype" w:cs="Tahoma"/>
        </w:rPr>
        <w:t>,</w:t>
      </w:r>
      <w:r w:rsidR="00CD20CA">
        <w:rPr>
          <w:rFonts w:ascii="Palatino Linotype" w:eastAsia="Calibri" w:hAnsi="Palatino Linotype" w:cs="Tahoma"/>
        </w:rPr>
        <w:t xml:space="preserve"> para la entrega del documento referido por la Particular, desde mi perspectiva era necesario que se acreditara que dicho documento contiene los datos personales de la persona fallecida, situación que en el presente caso no aconteció, pues se desconoce el contenido de dicho documento.  </w:t>
      </w:r>
    </w:p>
    <w:p w14:paraId="59FC266F" w14:textId="77777777" w:rsidR="001F52E4" w:rsidRDefault="001F52E4" w:rsidP="009839D2">
      <w:pPr>
        <w:tabs>
          <w:tab w:val="center" w:pos="4252"/>
          <w:tab w:val="right" w:pos="8504"/>
        </w:tabs>
        <w:spacing w:after="0" w:line="360" w:lineRule="auto"/>
        <w:jc w:val="both"/>
        <w:rPr>
          <w:rFonts w:ascii="Palatino Linotype" w:eastAsia="Calibri" w:hAnsi="Palatino Linotype" w:cs="Tahoma"/>
        </w:rPr>
      </w:pPr>
    </w:p>
    <w:p w14:paraId="01D97529" w14:textId="58A8C3C0" w:rsidR="001F52E4" w:rsidRDefault="001F52E4" w:rsidP="009839D2">
      <w:pPr>
        <w:tabs>
          <w:tab w:val="center" w:pos="4252"/>
          <w:tab w:val="right" w:pos="8504"/>
        </w:tabs>
        <w:spacing w:after="0" w:line="360" w:lineRule="auto"/>
        <w:jc w:val="both"/>
        <w:rPr>
          <w:rFonts w:ascii="Palatino Linotype" w:eastAsia="Calibri" w:hAnsi="Palatino Linotype" w:cs="Tahoma"/>
        </w:rPr>
      </w:pPr>
      <w:r>
        <w:rPr>
          <w:rFonts w:ascii="Palatino Linotype" w:eastAsia="Calibri" w:hAnsi="Palatino Linotype" w:cs="Tahoma"/>
        </w:rPr>
        <w:lastRenderedPageBreak/>
        <w:t xml:space="preserve">Lo anterior era necesario, en virtud de que, si bien cualquier documento que obre en los archivos de los sujetos obligados es susceptible de acceso a la información, para el caso que nos ocupa, vía el derecho de acceso a datos personales procede la entrega de la información en la que se dejen visibles estos, por lo tanto, la entrega de datos personales requiere un estudio riguroso en donde se acredite primero que el o los documentos solicitados contienen datos </w:t>
      </w:r>
      <w:r w:rsidR="00A27407">
        <w:rPr>
          <w:rFonts w:ascii="Palatino Linotype" w:eastAsia="Calibri" w:hAnsi="Palatino Linotype" w:cs="Tahoma"/>
        </w:rPr>
        <w:t>personales, segundo que el solicitante ha acreditado los datos a entregar corresponden a quien los solicita o, que está acreditada la representación o, que se acredita el interés jurídico y legítimo de acceder a los datos y por último, que no se trate de una solicitud improcedente de acuerdo con lo previsto en el artículo 117 de la Ley de Protección de Datos Personales en Posesión de Sujetos Obligados del Estado de México</w:t>
      </w:r>
    </w:p>
    <w:p w14:paraId="0D48B860" w14:textId="77777777" w:rsidR="00A27407" w:rsidRDefault="00A27407" w:rsidP="009839D2">
      <w:pPr>
        <w:tabs>
          <w:tab w:val="center" w:pos="4252"/>
          <w:tab w:val="right" w:pos="8504"/>
        </w:tabs>
        <w:spacing w:after="0" w:line="360" w:lineRule="auto"/>
        <w:jc w:val="both"/>
        <w:rPr>
          <w:rFonts w:ascii="Palatino Linotype" w:eastAsia="Calibri" w:hAnsi="Palatino Linotype" w:cs="Tahoma"/>
        </w:rPr>
      </w:pPr>
    </w:p>
    <w:p w14:paraId="7ED376A5" w14:textId="0D2F284A" w:rsidR="00A27407" w:rsidRPr="00A27407" w:rsidRDefault="00A27407" w:rsidP="00A27407">
      <w:pPr>
        <w:tabs>
          <w:tab w:val="center" w:pos="4252"/>
          <w:tab w:val="right" w:pos="8504"/>
        </w:tabs>
        <w:spacing w:after="0" w:line="360" w:lineRule="auto"/>
        <w:ind w:left="567" w:right="567"/>
        <w:jc w:val="both"/>
        <w:rPr>
          <w:rFonts w:ascii="Palatino Linotype" w:eastAsia="Calibri" w:hAnsi="Palatino Linotype" w:cs="Tahoma"/>
          <w:sz w:val="20"/>
          <w:szCs w:val="20"/>
        </w:rPr>
      </w:pPr>
      <w:r w:rsidRPr="00A27407">
        <w:rPr>
          <w:rFonts w:ascii="Palatino Linotype" w:eastAsia="Calibri" w:hAnsi="Palatino Linotype" w:cs="Tahoma"/>
          <w:sz w:val="20"/>
          <w:szCs w:val="20"/>
        </w:rPr>
        <w:t>“</w:t>
      </w:r>
      <w:r w:rsidRPr="00A27407">
        <w:rPr>
          <w:rFonts w:ascii="Palatino Linotype" w:eastAsia="Calibri" w:hAnsi="Palatino Linotype" w:cs="Tahoma"/>
          <w:sz w:val="20"/>
          <w:szCs w:val="20"/>
        </w:rPr>
        <w:t>Artículo 117. Las únicas causas en las que el ejercicio de los derechos ARCO no será procedente son:</w:t>
      </w:r>
    </w:p>
    <w:p w14:paraId="117B924D" w14:textId="77777777" w:rsidR="00A27407" w:rsidRPr="00A27407" w:rsidRDefault="00A27407" w:rsidP="00A27407">
      <w:pPr>
        <w:tabs>
          <w:tab w:val="center" w:pos="4252"/>
          <w:tab w:val="right" w:pos="8504"/>
        </w:tabs>
        <w:spacing w:after="0" w:line="360" w:lineRule="auto"/>
        <w:ind w:left="567" w:right="567"/>
        <w:jc w:val="both"/>
        <w:rPr>
          <w:rFonts w:ascii="Palatino Linotype" w:eastAsia="Calibri" w:hAnsi="Palatino Linotype" w:cs="Tahoma"/>
          <w:sz w:val="20"/>
          <w:szCs w:val="20"/>
        </w:rPr>
      </w:pPr>
      <w:r w:rsidRPr="00A27407">
        <w:rPr>
          <w:rFonts w:ascii="Palatino Linotype" w:eastAsia="Calibri" w:hAnsi="Palatino Linotype" w:cs="Tahoma"/>
          <w:sz w:val="20"/>
          <w:szCs w:val="20"/>
        </w:rPr>
        <w:t>I. Cuando el titular o su representante no estén debidamente acreditados para ello.</w:t>
      </w:r>
    </w:p>
    <w:p w14:paraId="4CA85F46" w14:textId="77777777" w:rsidR="00A27407" w:rsidRPr="00A27407" w:rsidRDefault="00A27407" w:rsidP="00A27407">
      <w:pPr>
        <w:tabs>
          <w:tab w:val="center" w:pos="4252"/>
          <w:tab w:val="right" w:pos="8504"/>
        </w:tabs>
        <w:spacing w:after="0" w:line="360" w:lineRule="auto"/>
        <w:ind w:left="567" w:right="567"/>
        <w:jc w:val="both"/>
        <w:rPr>
          <w:rFonts w:ascii="Palatino Linotype" w:eastAsia="Calibri" w:hAnsi="Palatino Linotype" w:cs="Tahoma"/>
          <w:sz w:val="20"/>
          <w:szCs w:val="20"/>
        </w:rPr>
      </w:pPr>
      <w:r w:rsidRPr="00A27407">
        <w:rPr>
          <w:rFonts w:ascii="Palatino Linotype" w:eastAsia="Calibri" w:hAnsi="Palatino Linotype" w:cs="Tahoma"/>
          <w:sz w:val="20"/>
          <w:szCs w:val="20"/>
        </w:rPr>
        <w:t>II. Cuando los datos personales no se encuentren en posesión del responsable.</w:t>
      </w:r>
    </w:p>
    <w:p w14:paraId="725BEF52" w14:textId="77777777" w:rsidR="00A27407" w:rsidRPr="00A27407" w:rsidRDefault="00A27407" w:rsidP="00A27407">
      <w:pPr>
        <w:tabs>
          <w:tab w:val="center" w:pos="4252"/>
          <w:tab w:val="right" w:pos="8504"/>
        </w:tabs>
        <w:spacing w:after="0" w:line="360" w:lineRule="auto"/>
        <w:ind w:left="567" w:right="567"/>
        <w:jc w:val="both"/>
        <w:rPr>
          <w:rFonts w:ascii="Palatino Linotype" w:eastAsia="Calibri" w:hAnsi="Palatino Linotype" w:cs="Tahoma"/>
          <w:sz w:val="20"/>
          <w:szCs w:val="20"/>
        </w:rPr>
      </w:pPr>
      <w:r w:rsidRPr="00A27407">
        <w:rPr>
          <w:rFonts w:ascii="Palatino Linotype" w:eastAsia="Calibri" w:hAnsi="Palatino Linotype" w:cs="Tahoma"/>
          <w:sz w:val="20"/>
          <w:szCs w:val="20"/>
        </w:rPr>
        <w:t>III. Cuando exista un impedimento legal.</w:t>
      </w:r>
    </w:p>
    <w:p w14:paraId="4BF91666" w14:textId="77777777" w:rsidR="00A27407" w:rsidRPr="00A27407" w:rsidRDefault="00A27407" w:rsidP="00A27407">
      <w:pPr>
        <w:tabs>
          <w:tab w:val="center" w:pos="4252"/>
          <w:tab w:val="right" w:pos="8504"/>
        </w:tabs>
        <w:spacing w:after="0" w:line="360" w:lineRule="auto"/>
        <w:ind w:left="567" w:right="567"/>
        <w:jc w:val="both"/>
        <w:rPr>
          <w:rFonts w:ascii="Palatino Linotype" w:eastAsia="Calibri" w:hAnsi="Palatino Linotype" w:cs="Tahoma"/>
          <w:sz w:val="20"/>
          <w:szCs w:val="20"/>
        </w:rPr>
      </w:pPr>
      <w:r w:rsidRPr="00A27407">
        <w:rPr>
          <w:rFonts w:ascii="Palatino Linotype" w:eastAsia="Calibri" w:hAnsi="Palatino Linotype" w:cs="Tahoma"/>
          <w:sz w:val="20"/>
          <w:szCs w:val="20"/>
        </w:rPr>
        <w:t>IV. Cuando se lesionen los derechos de un tercero.</w:t>
      </w:r>
    </w:p>
    <w:p w14:paraId="2DDD1967" w14:textId="77777777" w:rsidR="00A27407" w:rsidRPr="00A27407" w:rsidRDefault="00A27407" w:rsidP="00A27407">
      <w:pPr>
        <w:tabs>
          <w:tab w:val="center" w:pos="4252"/>
          <w:tab w:val="right" w:pos="8504"/>
        </w:tabs>
        <w:spacing w:after="0" w:line="360" w:lineRule="auto"/>
        <w:ind w:left="567" w:right="567"/>
        <w:jc w:val="both"/>
        <w:rPr>
          <w:rFonts w:ascii="Palatino Linotype" w:eastAsia="Calibri" w:hAnsi="Palatino Linotype" w:cs="Tahoma"/>
          <w:sz w:val="20"/>
          <w:szCs w:val="20"/>
        </w:rPr>
      </w:pPr>
      <w:r w:rsidRPr="00A27407">
        <w:rPr>
          <w:rFonts w:ascii="Palatino Linotype" w:eastAsia="Calibri" w:hAnsi="Palatino Linotype" w:cs="Tahoma"/>
          <w:sz w:val="20"/>
          <w:szCs w:val="20"/>
        </w:rPr>
        <w:t>V. Cuando se obstaculicen actuaciones judiciales o administrativas.</w:t>
      </w:r>
    </w:p>
    <w:p w14:paraId="0A16149D" w14:textId="578559D6" w:rsidR="00A27407" w:rsidRPr="00A27407" w:rsidRDefault="00A27407" w:rsidP="00A27407">
      <w:pPr>
        <w:tabs>
          <w:tab w:val="center" w:pos="4252"/>
          <w:tab w:val="right" w:pos="8504"/>
        </w:tabs>
        <w:spacing w:after="0" w:line="360" w:lineRule="auto"/>
        <w:ind w:left="567" w:right="567"/>
        <w:jc w:val="both"/>
        <w:rPr>
          <w:rFonts w:ascii="Palatino Linotype" w:eastAsia="Calibri" w:hAnsi="Palatino Linotype" w:cs="Tahoma"/>
          <w:sz w:val="20"/>
          <w:szCs w:val="20"/>
        </w:rPr>
      </w:pPr>
      <w:r w:rsidRPr="00A27407">
        <w:rPr>
          <w:rFonts w:ascii="Palatino Linotype" w:eastAsia="Calibri" w:hAnsi="Palatino Linotype" w:cs="Tahoma"/>
          <w:sz w:val="20"/>
          <w:szCs w:val="20"/>
        </w:rPr>
        <w:t>VI. Cuando exista una resolución de autoridad competente que restrinja el acceso a los datos personales o no permita la</w:t>
      </w:r>
      <w:r w:rsidRPr="00A27407">
        <w:rPr>
          <w:rFonts w:ascii="Palatino Linotype" w:eastAsia="Calibri" w:hAnsi="Palatino Linotype" w:cs="Tahoma"/>
          <w:sz w:val="20"/>
          <w:szCs w:val="20"/>
        </w:rPr>
        <w:t xml:space="preserve"> </w:t>
      </w:r>
      <w:r w:rsidRPr="00A27407">
        <w:rPr>
          <w:rFonts w:ascii="Palatino Linotype" w:eastAsia="Calibri" w:hAnsi="Palatino Linotype" w:cs="Tahoma"/>
          <w:sz w:val="20"/>
          <w:szCs w:val="20"/>
        </w:rPr>
        <w:t>rectificación, cancelación u oposición de los mismos.</w:t>
      </w:r>
    </w:p>
    <w:p w14:paraId="0C2173CD" w14:textId="77777777" w:rsidR="00A27407" w:rsidRPr="00A27407" w:rsidRDefault="00A27407" w:rsidP="00A27407">
      <w:pPr>
        <w:tabs>
          <w:tab w:val="center" w:pos="4252"/>
          <w:tab w:val="right" w:pos="8504"/>
        </w:tabs>
        <w:spacing w:after="0" w:line="360" w:lineRule="auto"/>
        <w:ind w:left="567" w:right="567"/>
        <w:jc w:val="both"/>
        <w:rPr>
          <w:rFonts w:ascii="Palatino Linotype" w:eastAsia="Calibri" w:hAnsi="Palatino Linotype" w:cs="Tahoma"/>
          <w:sz w:val="20"/>
          <w:szCs w:val="20"/>
        </w:rPr>
      </w:pPr>
      <w:r w:rsidRPr="00A27407">
        <w:rPr>
          <w:rFonts w:ascii="Palatino Linotype" w:eastAsia="Calibri" w:hAnsi="Palatino Linotype" w:cs="Tahoma"/>
          <w:sz w:val="20"/>
          <w:szCs w:val="20"/>
        </w:rPr>
        <w:t>VII. Cuando la cancelación u oposición haya sido previamente realizada.</w:t>
      </w:r>
    </w:p>
    <w:p w14:paraId="7A642BC1" w14:textId="77777777" w:rsidR="00A27407" w:rsidRPr="00A27407" w:rsidRDefault="00A27407" w:rsidP="00A27407">
      <w:pPr>
        <w:tabs>
          <w:tab w:val="center" w:pos="4252"/>
          <w:tab w:val="right" w:pos="8504"/>
        </w:tabs>
        <w:spacing w:after="0" w:line="360" w:lineRule="auto"/>
        <w:ind w:left="567" w:right="567"/>
        <w:jc w:val="both"/>
        <w:rPr>
          <w:rFonts w:ascii="Palatino Linotype" w:eastAsia="Calibri" w:hAnsi="Palatino Linotype" w:cs="Tahoma"/>
          <w:sz w:val="20"/>
          <w:szCs w:val="20"/>
        </w:rPr>
      </w:pPr>
      <w:r w:rsidRPr="00A27407">
        <w:rPr>
          <w:rFonts w:ascii="Palatino Linotype" w:eastAsia="Calibri" w:hAnsi="Palatino Linotype" w:cs="Tahoma"/>
          <w:sz w:val="20"/>
          <w:szCs w:val="20"/>
        </w:rPr>
        <w:t>VIII. Cuando el responsable no sea competente.</w:t>
      </w:r>
    </w:p>
    <w:p w14:paraId="6FEF725D" w14:textId="77777777" w:rsidR="00A27407" w:rsidRPr="00A27407" w:rsidRDefault="00A27407" w:rsidP="00A27407">
      <w:pPr>
        <w:tabs>
          <w:tab w:val="center" w:pos="4252"/>
          <w:tab w:val="right" w:pos="8504"/>
        </w:tabs>
        <w:spacing w:after="0" w:line="360" w:lineRule="auto"/>
        <w:ind w:left="567" w:right="567"/>
        <w:jc w:val="both"/>
        <w:rPr>
          <w:rFonts w:ascii="Palatino Linotype" w:eastAsia="Calibri" w:hAnsi="Palatino Linotype" w:cs="Tahoma"/>
          <w:sz w:val="20"/>
          <w:szCs w:val="20"/>
        </w:rPr>
      </w:pPr>
      <w:r w:rsidRPr="00A27407">
        <w:rPr>
          <w:rFonts w:ascii="Palatino Linotype" w:eastAsia="Calibri" w:hAnsi="Palatino Linotype" w:cs="Tahoma"/>
          <w:sz w:val="20"/>
          <w:szCs w:val="20"/>
        </w:rPr>
        <w:t>IX. Cuando sean necesarios para proteger intereses jurídicamente tutelados del titular.</w:t>
      </w:r>
    </w:p>
    <w:p w14:paraId="50033F50" w14:textId="77777777" w:rsidR="00A27407" w:rsidRPr="00A27407" w:rsidRDefault="00A27407" w:rsidP="00A27407">
      <w:pPr>
        <w:tabs>
          <w:tab w:val="center" w:pos="4252"/>
          <w:tab w:val="right" w:pos="8504"/>
        </w:tabs>
        <w:spacing w:after="0" w:line="360" w:lineRule="auto"/>
        <w:ind w:left="567" w:right="567"/>
        <w:jc w:val="both"/>
        <w:rPr>
          <w:rFonts w:ascii="Palatino Linotype" w:eastAsia="Calibri" w:hAnsi="Palatino Linotype" w:cs="Tahoma"/>
          <w:sz w:val="20"/>
          <w:szCs w:val="20"/>
        </w:rPr>
      </w:pPr>
      <w:r w:rsidRPr="00A27407">
        <w:rPr>
          <w:rFonts w:ascii="Palatino Linotype" w:eastAsia="Calibri" w:hAnsi="Palatino Linotype" w:cs="Tahoma"/>
          <w:sz w:val="20"/>
          <w:szCs w:val="20"/>
        </w:rPr>
        <w:t>X. Cuando sean necesarios para dar cumplimiento a obligaciones legalmente adquiridas por el titular.</w:t>
      </w:r>
    </w:p>
    <w:p w14:paraId="60FA4F49" w14:textId="10163B55" w:rsidR="00A27407" w:rsidRPr="00A27407" w:rsidRDefault="00A27407" w:rsidP="00A27407">
      <w:pPr>
        <w:tabs>
          <w:tab w:val="center" w:pos="4252"/>
          <w:tab w:val="right" w:pos="8504"/>
        </w:tabs>
        <w:spacing w:after="0" w:line="360" w:lineRule="auto"/>
        <w:ind w:left="567" w:right="567"/>
        <w:jc w:val="both"/>
        <w:rPr>
          <w:rFonts w:ascii="Palatino Linotype" w:eastAsia="Calibri" w:hAnsi="Palatino Linotype" w:cs="Tahoma"/>
          <w:sz w:val="20"/>
          <w:szCs w:val="20"/>
        </w:rPr>
      </w:pPr>
      <w:r w:rsidRPr="00A27407">
        <w:rPr>
          <w:rFonts w:ascii="Palatino Linotype" w:eastAsia="Calibri" w:hAnsi="Palatino Linotype" w:cs="Tahoma"/>
          <w:sz w:val="20"/>
          <w:szCs w:val="20"/>
        </w:rPr>
        <w:t>…</w:t>
      </w:r>
    </w:p>
    <w:p w14:paraId="49ADDB39" w14:textId="12B783F7" w:rsidR="00A27407" w:rsidRPr="00A27407" w:rsidRDefault="00A27407" w:rsidP="00A27407">
      <w:pPr>
        <w:tabs>
          <w:tab w:val="center" w:pos="4252"/>
          <w:tab w:val="right" w:pos="8504"/>
        </w:tabs>
        <w:spacing w:after="0" w:line="360" w:lineRule="auto"/>
        <w:ind w:left="567" w:right="567"/>
        <w:jc w:val="both"/>
        <w:rPr>
          <w:rFonts w:ascii="Palatino Linotype" w:eastAsia="Calibri" w:hAnsi="Palatino Linotype" w:cs="Tahoma"/>
          <w:sz w:val="20"/>
          <w:szCs w:val="20"/>
        </w:rPr>
      </w:pPr>
      <w:r w:rsidRPr="00A27407">
        <w:rPr>
          <w:rFonts w:ascii="Palatino Linotype" w:eastAsia="Calibri" w:hAnsi="Palatino Linotype" w:cs="Tahoma"/>
          <w:sz w:val="20"/>
          <w:szCs w:val="20"/>
        </w:rPr>
        <w:t>…</w:t>
      </w:r>
    </w:p>
    <w:p w14:paraId="4990C81D" w14:textId="6A6ED25B" w:rsidR="00A27407" w:rsidRPr="00A27407" w:rsidRDefault="00A27407" w:rsidP="00A27407">
      <w:pPr>
        <w:tabs>
          <w:tab w:val="center" w:pos="4252"/>
          <w:tab w:val="right" w:pos="8504"/>
        </w:tabs>
        <w:spacing w:after="0" w:line="360" w:lineRule="auto"/>
        <w:ind w:left="567" w:right="567"/>
        <w:jc w:val="both"/>
        <w:rPr>
          <w:rFonts w:ascii="Palatino Linotype" w:eastAsia="Calibri" w:hAnsi="Palatino Linotype" w:cs="Tahoma"/>
          <w:sz w:val="20"/>
          <w:szCs w:val="20"/>
        </w:rPr>
      </w:pPr>
      <w:r w:rsidRPr="00A27407">
        <w:rPr>
          <w:rFonts w:ascii="Palatino Linotype" w:eastAsia="Calibri" w:hAnsi="Palatino Linotype" w:cs="Tahoma"/>
          <w:sz w:val="20"/>
          <w:szCs w:val="20"/>
        </w:rPr>
        <w:lastRenderedPageBreak/>
        <w:t>…”</w:t>
      </w:r>
    </w:p>
    <w:p w14:paraId="10EA0B8B" w14:textId="7DC9870B" w:rsidR="00CD20CA" w:rsidRDefault="00CD20CA" w:rsidP="009839D2">
      <w:pPr>
        <w:tabs>
          <w:tab w:val="center" w:pos="4252"/>
          <w:tab w:val="right" w:pos="8504"/>
        </w:tabs>
        <w:spacing w:after="0" w:line="360" w:lineRule="auto"/>
        <w:jc w:val="both"/>
        <w:rPr>
          <w:rFonts w:ascii="Palatino Linotype" w:eastAsia="Calibri" w:hAnsi="Palatino Linotype" w:cs="Tahoma"/>
        </w:rPr>
      </w:pPr>
    </w:p>
    <w:p w14:paraId="7D6623CC" w14:textId="5B6933AF" w:rsidR="00A27407" w:rsidRDefault="00FC402D" w:rsidP="009839D2">
      <w:pPr>
        <w:tabs>
          <w:tab w:val="center" w:pos="4252"/>
          <w:tab w:val="right" w:pos="8504"/>
        </w:tabs>
        <w:spacing w:after="0" w:line="360" w:lineRule="auto"/>
        <w:jc w:val="both"/>
        <w:rPr>
          <w:rFonts w:ascii="Palatino Linotype" w:eastAsia="Calibri" w:hAnsi="Palatino Linotype" w:cs="Tahoma"/>
        </w:rPr>
      </w:pPr>
      <w:r>
        <w:rPr>
          <w:rFonts w:ascii="Palatino Linotype" w:eastAsia="Calibri" w:hAnsi="Palatino Linotype" w:cs="Tahoma"/>
        </w:rPr>
        <w:t>En ese orden de ideas, emito</w:t>
      </w:r>
      <w:r w:rsidRPr="00CD20CA">
        <w:rPr>
          <w:rFonts w:ascii="Palatino Linotype" w:eastAsia="Calibri" w:hAnsi="Palatino Linotype" w:cs="Tahoma"/>
        </w:rPr>
        <w:t xml:space="preserve"> el presente Voto Disidente toda vez que, desde mi perspectiva, </w:t>
      </w:r>
      <w:r w:rsidR="00A27407">
        <w:rPr>
          <w:rFonts w:ascii="Palatino Linotype" w:eastAsia="Calibri" w:hAnsi="Palatino Linotype" w:cs="Tahoma"/>
        </w:rPr>
        <w:t xml:space="preserve">se debió prevenir a la persona Recurrente </w:t>
      </w:r>
      <w:r>
        <w:rPr>
          <w:rFonts w:ascii="Palatino Linotype" w:eastAsia="Calibri" w:hAnsi="Palatino Linotype" w:cs="Tahoma"/>
        </w:rPr>
        <w:t>a efecto de que completara los documentos con los que acreditara la identidad del titular de los datos personales, además de Requerir al Sujeto Obligado para constatar que el documento solicitado contiene los datos personales del fallecido y a partir de ahí, acreditar en el estudio el interés jurídico y legítimo para acceder la información solicitada. ---------------------------------------------------------------------------------------------------------------------------------------------------------------------------------------------------------------------------------------------------------------------------------------------------------------------------</w:t>
      </w:r>
    </w:p>
    <w:p w14:paraId="2C4A72B2" w14:textId="77777777" w:rsidR="00A27407" w:rsidRDefault="00A27407" w:rsidP="009839D2">
      <w:pPr>
        <w:tabs>
          <w:tab w:val="center" w:pos="4252"/>
          <w:tab w:val="right" w:pos="8504"/>
        </w:tabs>
        <w:spacing w:after="0" w:line="360" w:lineRule="auto"/>
        <w:jc w:val="both"/>
        <w:rPr>
          <w:rFonts w:ascii="Palatino Linotype" w:eastAsia="Calibri" w:hAnsi="Palatino Linotype" w:cs="Tahoma"/>
        </w:rPr>
      </w:pPr>
    </w:p>
    <w:p w14:paraId="374EB000" w14:textId="0E2C651C" w:rsidR="00CD20CA" w:rsidRPr="009839D2" w:rsidRDefault="00CD20CA" w:rsidP="009839D2">
      <w:pPr>
        <w:tabs>
          <w:tab w:val="center" w:pos="4252"/>
          <w:tab w:val="right" w:pos="8504"/>
        </w:tabs>
        <w:spacing w:after="0" w:line="360" w:lineRule="auto"/>
        <w:jc w:val="both"/>
        <w:rPr>
          <w:rFonts w:ascii="Palatino Linotype" w:eastAsia="Calibri" w:hAnsi="Palatino Linotype" w:cs="Tahoma"/>
        </w:rPr>
      </w:pPr>
    </w:p>
    <w:sectPr w:rsidR="00CD20CA" w:rsidRPr="009839D2" w:rsidSect="00911209">
      <w:headerReference w:type="default" r:id="rId7"/>
      <w:footerReference w:type="default" r:id="rId8"/>
      <w:pgSz w:w="12240" w:h="15840" w:code="1"/>
      <w:pgMar w:top="266" w:right="1701" w:bottom="1560" w:left="1701" w:header="284" w:footer="11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3403A" w14:textId="77777777" w:rsidR="00BE4165" w:rsidRDefault="00BE4165" w:rsidP="005527AD">
      <w:pPr>
        <w:spacing w:after="0" w:line="240" w:lineRule="auto"/>
      </w:pPr>
      <w:r>
        <w:separator/>
      </w:r>
    </w:p>
  </w:endnote>
  <w:endnote w:type="continuationSeparator" w:id="0">
    <w:p w14:paraId="21951F5A" w14:textId="77777777" w:rsidR="00BE4165" w:rsidRDefault="00BE4165" w:rsidP="00552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6824658"/>
      <w:docPartObj>
        <w:docPartGallery w:val="Page Numbers (Bottom of Page)"/>
        <w:docPartUnique/>
      </w:docPartObj>
    </w:sdtPr>
    <w:sdtContent>
      <w:sdt>
        <w:sdtPr>
          <w:id w:val="2046860423"/>
          <w:docPartObj>
            <w:docPartGallery w:val="Page Numbers (Top of Page)"/>
            <w:docPartUnique/>
          </w:docPartObj>
        </w:sdtPr>
        <w:sdtContent>
          <w:p w14:paraId="1E696A5D" w14:textId="77777777" w:rsidR="0087429B" w:rsidRDefault="00CF3C6E">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F73A50">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F73A50">
              <w:rPr>
                <w:b/>
                <w:bCs/>
                <w:noProof/>
              </w:rPr>
              <w:t>1</w:t>
            </w:r>
            <w:r>
              <w:rPr>
                <w:b/>
                <w:bCs/>
                <w:sz w:val="24"/>
                <w:szCs w:val="24"/>
              </w:rPr>
              <w:fldChar w:fldCharType="end"/>
            </w:r>
          </w:p>
        </w:sdtContent>
      </w:sdt>
    </w:sdtContent>
  </w:sdt>
  <w:p w14:paraId="4D223226" w14:textId="77777777" w:rsidR="0087429B" w:rsidRDefault="008742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69769" w14:textId="77777777" w:rsidR="00BE4165" w:rsidRDefault="00BE4165" w:rsidP="005527AD">
      <w:pPr>
        <w:spacing w:after="0" w:line="240" w:lineRule="auto"/>
      </w:pPr>
      <w:r>
        <w:separator/>
      </w:r>
    </w:p>
  </w:footnote>
  <w:footnote w:type="continuationSeparator" w:id="0">
    <w:p w14:paraId="3217F86F" w14:textId="77777777" w:rsidR="00BE4165" w:rsidRDefault="00BE4165" w:rsidP="00552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864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5528"/>
    </w:tblGrid>
    <w:tr w:rsidR="003212EB" w:rsidRPr="001106EA" w14:paraId="2B80A1D5" w14:textId="77777777" w:rsidTr="00B959DF">
      <w:trPr>
        <w:trHeight w:val="1782"/>
      </w:trPr>
      <w:tc>
        <w:tcPr>
          <w:tcW w:w="3119" w:type="dxa"/>
          <w:vAlign w:val="bottom"/>
        </w:tcPr>
        <w:p w14:paraId="68B04F91" w14:textId="77777777" w:rsidR="0087429B" w:rsidRDefault="00CF3C6E" w:rsidP="00343107">
          <w:pPr>
            <w:pStyle w:val="Encabezado"/>
            <w:tabs>
              <w:tab w:val="clear" w:pos="4252"/>
              <w:tab w:val="center" w:pos="2614"/>
            </w:tabs>
          </w:pPr>
          <w:r>
            <w:rPr>
              <w:noProof/>
              <w:sz w:val="10"/>
              <w:szCs w:val="10"/>
              <w:lang w:val="es-MX" w:eastAsia="es-MX"/>
            </w:rPr>
            <w:drawing>
              <wp:anchor distT="0" distB="0" distL="114300" distR="114300" simplePos="0" relativeHeight="251659264" behindDoc="0" locked="0" layoutInCell="1" allowOverlap="1" wp14:anchorId="4E726AAC" wp14:editId="167330CA">
                <wp:simplePos x="0" y="0"/>
                <wp:positionH relativeFrom="column">
                  <wp:posOffset>-320040</wp:posOffset>
                </wp:positionH>
                <wp:positionV relativeFrom="paragraph">
                  <wp:posOffset>-969645</wp:posOffset>
                </wp:positionV>
                <wp:extent cx="1873250" cy="1126490"/>
                <wp:effectExtent l="0" t="0" r="0" b="0"/>
                <wp:wrapNone/>
                <wp:docPr id="730028510" name="Imagen 730028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26490"/>
                        </a:xfrm>
                        <a:prstGeom prst="rect">
                          <a:avLst/>
                        </a:prstGeom>
                      </pic:spPr>
                    </pic:pic>
                  </a:graphicData>
                </a:graphic>
                <wp14:sizeRelH relativeFrom="margin">
                  <wp14:pctWidth>0</wp14:pctWidth>
                </wp14:sizeRelH>
                <wp14:sizeRelV relativeFrom="margin">
                  <wp14:pctHeight>0</wp14:pctHeight>
                </wp14:sizeRelV>
              </wp:anchor>
            </w:drawing>
          </w:r>
        </w:p>
        <w:p w14:paraId="4EE95B85" w14:textId="77777777" w:rsidR="0087429B" w:rsidRDefault="0087429B" w:rsidP="00285C7B">
          <w:pPr>
            <w:pStyle w:val="Encabezado"/>
            <w:tabs>
              <w:tab w:val="clear" w:pos="4252"/>
              <w:tab w:val="center" w:pos="2614"/>
            </w:tabs>
            <w:ind w:left="-255"/>
          </w:pPr>
        </w:p>
      </w:tc>
      <w:tc>
        <w:tcPr>
          <w:tcW w:w="5528" w:type="dxa"/>
          <w:vAlign w:val="center"/>
        </w:tcPr>
        <w:p w14:paraId="77B69852" w14:textId="77777777" w:rsidR="0087429B" w:rsidRDefault="0087429B" w:rsidP="00343107">
          <w:pPr>
            <w:pStyle w:val="Encabezado"/>
            <w:spacing w:line="360" w:lineRule="auto"/>
            <w:ind w:right="-250"/>
            <w:jc w:val="both"/>
            <w:rPr>
              <w:rFonts w:ascii="Palatino Linotype" w:hAnsi="Palatino Linotype" w:cs="Tahoma"/>
              <w:b/>
            </w:rPr>
          </w:pPr>
        </w:p>
        <w:p w14:paraId="32FE6751" w14:textId="200FCAD0" w:rsidR="0087429B" w:rsidRPr="00B9745A" w:rsidRDefault="00262743" w:rsidP="00DC5CFF">
          <w:pPr>
            <w:pStyle w:val="Encabezado"/>
            <w:ind w:left="-108" w:right="-250"/>
            <w:jc w:val="both"/>
            <w:rPr>
              <w:rFonts w:ascii="Palatino Linotype" w:hAnsi="Palatino Linotype" w:cs="Tahoma"/>
              <w:b/>
            </w:rPr>
          </w:pPr>
          <w:r>
            <w:rPr>
              <w:rFonts w:ascii="Palatino Linotype" w:hAnsi="Palatino Linotype" w:cs="Tahoma"/>
              <w:b/>
            </w:rPr>
            <w:t>Voto D</w:t>
          </w:r>
          <w:r w:rsidR="006D201D">
            <w:rPr>
              <w:rFonts w:ascii="Palatino Linotype" w:hAnsi="Palatino Linotype" w:cs="Tahoma"/>
              <w:b/>
            </w:rPr>
            <w:t>isidente</w:t>
          </w:r>
        </w:p>
        <w:p w14:paraId="64CE6D0F" w14:textId="6F24DBF7" w:rsidR="0087429B" w:rsidRDefault="00CF3C6E" w:rsidP="00DC5CFF">
          <w:pPr>
            <w:pStyle w:val="Encabezado"/>
            <w:ind w:left="-108"/>
            <w:jc w:val="both"/>
            <w:rPr>
              <w:rFonts w:ascii="Palatino Linotype" w:hAnsi="Palatino Linotype"/>
              <w:b/>
            </w:rPr>
          </w:pPr>
          <w:r w:rsidRPr="00B9745A">
            <w:rPr>
              <w:rFonts w:ascii="Palatino Linotype" w:hAnsi="Palatino Linotype" w:cs="Tahoma"/>
              <w:b/>
            </w:rPr>
            <w:t xml:space="preserve">Recurso de Revisión: </w:t>
          </w:r>
          <w:r w:rsidR="00245C4C" w:rsidRPr="00245C4C">
            <w:rPr>
              <w:rFonts w:ascii="Palatino Linotype" w:hAnsi="Palatino Linotype"/>
              <w:bCs/>
              <w:lang w:val="es-MX"/>
            </w:rPr>
            <w:t>02084/INFOEM/AD/RR/2025</w:t>
          </w:r>
        </w:p>
        <w:p w14:paraId="5BB9A7B1" w14:textId="3D964498" w:rsidR="00321F12" w:rsidRDefault="00CF3C6E" w:rsidP="00DC5CFF">
          <w:pPr>
            <w:pStyle w:val="Encabezado"/>
            <w:ind w:left="-108"/>
            <w:jc w:val="both"/>
            <w:rPr>
              <w:rFonts w:ascii="Palatino Linotype" w:hAnsi="Palatino Linotype"/>
              <w:bCs/>
              <w:lang w:val="es-MX"/>
            </w:rPr>
          </w:pPr>
          <w:r>
            <w:rPr>
              <w:rFonts w:ascii="Palatino Linotype" w:hAnsi="Palatino Linotype" w:cs="Tahoma"/>
              <w:b/>
            </w:rPr>
            <w:t>Sujeto Obligado:</w:t>
          </w:r>
          <w:r>
            <w:rPr>
              <w:rFonts w:ascii="Palatino Linotype" w:hAnsi="Palatino Linotype"/>
              <w:bCs/>
              <w:lang w:val="es-MX"/>
            </w:rPr>
            <w:t xml:space="preserve"> </w:t>
          </w:r>
          <w:r w:rsidR="00245C4C" w:rsidRPr="00245C4C">
            <w:rPr>
              <w:rFonts w:ascii="Palatino Linotype" w:hAnsi="Palatino Linotype"/>
              <w:bCs/>
              <w:lang w:val="es-MX"/>
            </w:rPr>
            <w:t>Ayuntamiento de Atizapán de Zaragoza</w:t>
          </w:r>
        </w:p>
        <w:p w14:paraId="44AC2335" w14:textId="43075862" w:rsidR="0087429B" w:rsidRDefault="00CF3C6E" w:rsidP="00201767">
          <w:pPr>
            <w:pStyle w:val="Encabezado"/>
            <w:ind w:left="-108"/>
            <w:jc w:val="both"/>
            <w:rPr>
              <w:rFonts w:ascii="Palatino Linotype" w:hAnsi="Palatino Linotype" w:cs="Arial"/>
              <w:szCs w:val="20"/>
            </w:rPr>
          </w:pPr>
          <w:r w:rsidRPr="00B9745A">
            <w:rPr>
              <w:rFonts w:ascii="Palatino Linotype" w:hAnsi="Palatino Linotype" w:cs="Tahoma"/>
              <w:b/>
            </w:rPr>
            <w:t>Comisionad</w:t>
          </w:r>
          <w:r>
            <w:rPr>
              <w:rFonts w:ascii="Palatino Linotype" w:hAnsi="Palatino Linotype" w:cs="Tahoma"/>
              <w:b/>
            </w:rPr>
            <w:t>a</w:t>
          </w:r>
          <w:r w:rsidRPr="00B9745A">
            <w:rPr>
              <w:rFonts w:ascii="Palatino Linotype" w:hAnsi="Palatino Linotype" w:cs="Tahoma"/>
              <w:b/>
            </w:rPr>
            <w:t xml:space="preserve"> Ponente: </w:t>
          </w:r>
          <w:r w:rsidR="00262743" w:rsidRPr="00262743">
            <w:rPr>
              <w:rFonts w:ascii="Palatino Linotype" w:hAnsi="Palatino Linotype" w:cs="Arial"/>
              <w:bCs/>
              <w:szCs w:val="20"/>
              <w:lang w:val="es-ES_tradnl"/>
            </w:rPr>
            <w:t>María del Rosario Mejía Ayala</w:t>
          </w:r>
        </w:p>
        <w:p w14:paraId="02CA71E9" w14:textId="07117B19" w:rsidR="00201767" w:rsidRPr="009A041C" w:rsidRDefault="00201767" w:rsidP="00201767">
          <w:pPr>
            <w:pStyle w:val="Encabezado"/>
            <w:ind w:left="-108"/>
            <w:jc w:val="both"/>
            <w:rPr>
              <w:rFonts w:ascii="Palatino Linotype" w:hAnsi="Palatino Linotype" w:cs="Arial"/>
              <w:szCs w:val="20"/>
            </w:rPr>
          </w:pPr>
        </w:p>
      </w:tc>
    </w:tr>
  </w:tbl>
  <w:p w14:paraId="00CD25FA" w14:textId="77777777" w:rsidR="0087429B" w:rsidRPr="001106EA" w:rsidRDefault="0087429B">
    <w:pPr>
      <w:pStyle w:val="Encabezad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542FF"/>
    <w:multiLevelType w:val="hybridMultilevel"/>
    <w:tmpl w:val="C720AC64"/>
    <w:lvl w:ilvl="0" w:tplc="22EAF1B8">
      <w:numFmt w:val="bullet"/>
      <w:lvlText w:val="-"/>
      <w:lvlJc w:val="left"/>
      <w:pPr>
        <w:ind w:left="720" w:hanging="360"/>
      </w:pPr>
      <w:rPr>
        <w:rFonts w:ascii="Palatino Linotype" w:eastAsia="Times New Roman" w:hAnsi="Palatino Linotype" w:cs="Times New Roman" w:hint="default"/>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EFF51BB"/>
    <w:multiLevelType w:val="hybridMultilevel"/>
    <w:tmpl w:val="7BFE2A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93447E8"/>
    <w:multiLevelType w:val="hybridMultilevel"/>
    <w:tmpl w:val="A7EED6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5422B96"/>
    <w:multiLevelType w:val="hybridMultilevel"/>
    <w:tmpl w:val="2F007C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75C96ADB"/>
    <w:multiLevelType w:val="hybridMultilevel"/>
    <w:tmpl w:val="5E8CB95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num w:numId="1" w16cid:durableId="5331903">
    <w:abstractNumId w:val="3"/>
  </w:num>
  <w:num w:numId="2" w16cid:durableId="1770731107">
    <w:abstractNumId w:val="1"/>
  </w:num>
  <w:num w:numId="3" w16cid:durableId="1498421337">
    <w:abstractNumId w:val="2"/>
  </w:num>
  <w:num w:numId="4" w16cid:durableId="14426025">
    <w:abstractNumId w:val="4"/>
  </w:num>
  <w:num w:numId="5" w16cid:durableId="87608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7AD"/>
    <w:rsid w:val="000038F8"/>
    <w:rsid w:val="000220E7"/>
    <w:rsid w:val="0002695E"/>
    <w:rsid w:val="00041FF1"/>
    <w:rsid w:val="00050538"/>
    <w:rsid w:val="00063277"/>
    <w:rsid w:val="00067E1E"/>
    <w:rsid w:val="00092361"/>
    <w:rsid w:val="000B239D"/>
    <w:rsid w:val="000C1C05"/>
    <w:rsid w:val="000D1412"/>
    <w:rsid w:val="000D5C7C"/>
    <w:rsid w:val="000E1F87"/>
    <w:rsid w:val="000F2AA6"/>
    <w:rsid w:val="000F5703"/>
    <w:rsid w:val="0010533B"/>
    <w:rsid w:val="00117595"/>
    <w:rsid w:val="00140578"/>
    <w:rsid w:val="001520CB"/>
    <w:rsid w:val="00160439"/>
    <w:rsid w:val="00162EEE"/>
    <w:rsid w:val="001665FB"/>
    <w:rsid w:val="00177B7C"/>
    <w:rsid w:val="00183BEF"/>
    <w:rsid w:val="00191327"/>
    <w:rsid w:val="00192045"/>
    <w:rsid w:val="00196076"/>
    <w:rsid w:val="001A6A67"/>
    <w:rsid w:val="001B50FA"/>
    <w:rsid w:val="001D1748"/>
    <w:rsid w:val="001E2151"/>
    <w:rsid w:val="001E46EF"/>
    <w:rsid w:val="001F09DE"/>
    <w:rsid w:val="001F52E4"/>
    <w:rsid w:val="00201767"/>
    <w:rsid w:val="00212187"/>
    <w:rsid w:val="00230D03"/>
    <w:rsid w:val="00240774"/>
    <w:rsid w:val="0024286D"/>
    <w:rsid w:val="00245C4C"/>
    <w:rsid w:val="00245F8E"/>
    <w:rsid w:val="00246320"/>
    <w:rsid w:val="00252FB7"/>
    <w:rsid w:val="00255AA8"/>
    <w:rsid w:val="00262743"/>
    <w:rsid w:val="002712FE"/>
    <w:rsid w:val="00271E68"/>
    <w:rsid w:val="002850C4"/>
    <w:rsid w:val="00292B29"/>
    <w:rsid w:val="00294279"/>
    <w:rsid w:val="002C6D70"/>
    <w:rsid w:val="002E3129"/>
    <w:rsid w:val="0032105B"/>
    <w:rsid w:val="00321F12"/>
    <w:rsid w:val="003247C4"/>
    <w:rsid w:val="00331363"/>
    <w:rsid w:val="00343107"/>
    <w:rsid w:val="0034655F"/>
    <w:rsid w:val="003474CC"/>
    <w:rsid w:val="003601C4"/>
    <w:rsid w:val="00372E35"/>
    <w:rsid w:val="00390B87"/>
    <w:rsid w:val="0039348A"/>
    <w:rsid w:val="00395B07"/>
    <w:rsid w:val="003A62CB"/>
    <w:rsid w:val="003B215E"/>
    <w:rsid w:val="003C7677"/>
    <w:rsid w:val="003D283E"/>
    <w:rsid w:val="003D44F0"/>
    <w:rsid w:val="003D6A8B"/>
    <w:rsid w:val="00400D5A"/>
    <w:rsid w:val="00406EEB"/>
    <w:rsid w:val="004227D4"/>
    <w:rsid w:val="004548BA"/>
    <w:rsid w:val="00462A67"/>
    <w:rsid w:val="0046725B"/>
    <w:rsid w:val="004806E8"/>
    <w:rsid w:val="00482F45"/>
    <w:rsid w:val="00495CCD"/>
    <w:rsid w:val="004A6197"/>
    <w:rsid w:val="004D1E7C"/>
    <w:rsid w:val="004E361C"/>
    <w:rsid w:val="004F4EE3"/>
    <w:rsid w:val="00501B56"/>
    <w:rsid w:val="005022AF"/>
    <w:rsid w:val="00512653"/>
    <w:rsid w:val="00513084"/>
    <w:rsid w:val="00532FDE"/>
    <w:rsid w:val="00534890"/>
    <w:rsid w:val="00535341"/>
    <w:rsid w:val="0053670E"/>
    <w:rsid w:val="00536F2F"/>
    <w:rsid w:val="0053759D"/>
    <w:rsid w:val="005513AA"/>
    <w:rsid w:val="0055215F"/>
    <w:rsid w:val="005527AD"/>
    <w:rsid w:val="005571B9"/>
    <w:rsid w:val="0058001B"/>
    <w:rsid w:val="00581AD5"/>
    <w:rsid w:val="00583254"/>
    <w:rsid w:val="00592267"/>
    <w:rsid w:val="005978D0"/>
    <w:rsid w:val="005B1050"/>
    <w:rsid w:val="005B4376"/>
    <w:rsid w:val="005C0C9B"/>
    <w:rsid w:val="005C6EDE"/>
    <w:rsid w:val="005D3B67"/>
    <w:rsid w:val="005E0964"/>
    <w:rsid w:val="005E10F4"/>
    <w:rsid w:val="005E2F6E"/>
    <w:rsid w:val="005E7E11"/>
    <w:rsid w:val="005F4E58"/>
    <w:rsid w:val="00606574"/>
    <w:rsid w:val="00612AE0"/>
    <w:rsid w:val="0061325A"/>
    <w:rsid w:val="006304ED"/>
    <w:rsid w:val="00630E63"/>
    <w:rsid w:val="00630F6A"/>
    <w:rsid w:val="00633E73"/>
    <w:rsid w:val="00635CFC"/>
    <w:rsid w:val="0064035D"/>
    <w:rsid w:val="00655216"/>
    <w:rsid w:val="00655B0E"/>
    <w:rsid w:val="00656A8D"/>
    <w:rsid w:val="0066234B"/>
    <w:rsid w:val="00663F6C"/>
    <w:rsid w:val="006641D6"/>
    <w:rsid w:val="006721DE"/>
    <w:rsid w:val="006768B7"/>
    <w:rsid w:val="006915AD"/>
    <w:rsid w:val="00693792"/>
    <w:rsid w:val="00693A28"/>
    <w:rsid w:val="00693F8F"/>
    <w:rsid w:val="006B0BD8"/>
    <w:rsid w:val="006B0D1D"/>
    <w:rsid w:val="006B3B77"/>
    <w:rsid w:val="006B4C9B"/>
    <w:rsid w:val="006B6DD2"/>
    <w:rsid w:val="006C5553"/>
    <w:rsid w:val="006C6D98"/>
    <w:rsid w:val="006D201D"/>
    <w:rsid w:val="006F615C"/>
    <w:rsid w:val="00702561"/>
    <w:rsid w:val="00714251"/>
    <w:rsid w:val="007421D4"/>
    <w:rsid w:val="00744508"/>
    <w:rsid w:val="00746987"/>
    <w:rsid w:val="00766E3C"/>
    <w:rsid w:val="00776C10"/>
    <w:rsid w:val="007771A1"/>
    <w:rsid w:val="0077763B"/>
    <w:rsid w:val="007827AD"/>
    <w:rsid w:val="007875A9"/>
    <w:rsid w:val="00795616"/>
    <w:rsid w:val="007A2CE5"/>
    <w:rsid w:val="007B73DD"/>
    <w:rsid w:val="007C1142"/>
    <w:rsid w:val="007F4A0D"/>
    <w:rsid w:val="00834CD5"/>
    <w:rsid w:val="008429BE"/>
    <w:rsid w:val="00846D4F"/>
    <w:rsid w:val="00861657"/>
    <w:rsid w:val="00864F48"/>
    <w:rsid w:val="008730C6"/>
    <w:rsid w:val="0087429B"/>
    <w:rsid w:val="00877721"/>
    <w:rsid w:val="008824D0"/>
    <w:rsid w:val="00892A93"/>
    <w:rsid w:val="008952E3"/>
    <w:rsid w:val="00895844"/>
    <w:rsid w:val="008963A5"/>
    <w:rsid w:val="008A4EF3"/>
    <w:rsid w:val="008B2B06"/>
    <w:rsid w:val="008B4E60"/>
    <w:rsid w:val="008B632D"/>
    <w:rsid w:val="008B7A5A"/>
    <w:rsid w:val="008C188C"/>
    <w:rsid w:val="008D6D98"/>
    <w:rsid w:val="008E04B7"/>
    <w:rsid w:val="0090170F"/>
    <w:rsid w:val="00911209"/>
    <w:rsid w:val="00944699"/>
    <w:rsid w:val="009544D5"/>
    <w:rsid w:val="00960B81"/>
    <w:rsid w:val="009772C1"/>
    <w:rsid w:val="00980CCA"/>
    <w:rsid w:val="009839D2"/>
    <w:rsid w:val="00985D47"/>
    <w:rsid w:val="009967C2"/>
    <w:rsid w:val="009C1EA2"/>
    <w:rsid w:val="009C54EB"/>
    <w:rsid w:val="009C7723"/>
    <w:rsid w:val="009E0C62"/>
    <w:rsid w:val="009E2939"/>
    <w:rsid w:val="009F5376"/>
    <w:rsid w:val="009F7BA9"/>
    <w:rsid w:val="00A07706"/>
    <w:rsid w:val="00A27407"/>
    <w:rsid w:val="00A27965"/>
    <w:rsid w:val="00A4285D"/>
    <w:rsid w:val="00A62F3D"/>
    <w:rsid w:val="00A90ECB"/>
    <w:rsid w:val="00A956C2"/>
    <w:rsid w:val="00AA5E21"/>
    <w:rsid w:val="00AA7198"/>
    <w:rsid w:val="00AB318A"/>
    <w:rsid w:val="00AC343A"/>
    <w:rsid w:val="00AD3DB2"/>
    <w:rsid w:val="00AD520B"/>
    <w:rsid w:val="00AE11BB"/>
    <w:rsid w:val="00AE37FE"/>
    <w:rsid w:val="00AE51A0"/>
    <w:rsid w:val="00AF500A"/>
    <w:rsid w:val="00B0360F"/>
    <w:rsid w:val="00B059E4"/>
    <w:rsid w:val="00B14B78"/>
    <w:rsid w:val="00B212DB"/>
    <w:rsid w:val="00B23FBE"/>
    <w:rsid w:val="00B25CBD"/>
    <w:rsid w:val="00B344FD"/>
    <w:rsid w:val="00B45790"/>
    <w:rsid w:val="00B60706"/>
    <w:rsid w:val="00B7353E"/>
    <w:rsid w:val="00B7368B"/>
    <w:rsid w:val="00B77DCA"/>
    <w:rsid w:val="00B86838"/>
    <w:rsid w:val="00B9589A"/>
    <w:rsid w:val="00B959DF"/>
    <w:rsid w:val="00B976E2"/>
    <w:rsid w:val="00BA3B4E"/>
    <w:rsid w:val="00BB3FD1"/>
    <w:rsid w:val="00BE302D"/>
    <w:rsid w:val="00BE4165"/>
    <w:rsid w:val="00C12762"/>
    <w:rsid w:val="00C153E0"/>
    <w:rsid w:val="00C2465F"/>
    <w:rsid w:val="00C30B80"/>
    <w:rsid w:val="00C34B57"/>
    <w:rsid w:val="00C35398"/>
    <w:rsid w:val="00C36809"/>
    <w:rsid w:val="00C42FFE"/>
    <w:rsid w:val="00C43F86"/>
    <w:rsid w:val="00C535BF"/>
    <w:rsid w:val="00C72E0D"/>
    <w:rsid w:val="00C84546"/>
    <w:rsid w:val="00CC729F"/>
    <w:rsid w:val="00CD09A9"/>
    <w:rsid w:val="00CD20B2"/>
    <w:rsid w:val="00CD20CA"/>
    <w:rsid w:val="00CE398F"/>
    <w:rsid w:val="00CF3C6E"/>
    <w:rsid w:val="00D037A0"/>
    <w:rsid w:val="00D1733B"/>
    <w:rsid w:val="00D21C53"/>
    <w:rsid w:val="00D40CD7"/>
    <w:rsid w:val="00D515C2"/>
    <w:rsid w:val="00D5650D"/>
    <w:rsid w:val="00D57775"/>
    <w:rsid w:val="00D57B68"/>
    <w:rsid w:val="00D60711"/>
    <w:rsid w:val="00D70906"/>
    <w:rsid w:val="00D70EA7"/>
    <w:rsid w:val="00D81D40"/>
    <w:rsid w:val="00D867B8"/>
    <w:rsid w:val="00DA5F19"/>
    <w:rsid w:val="00DA6991"/>
    <w:rsid w:val="00DB4F9E"/>
    <w:rsid w:val="00DD1BDC"/>
    <w:rsid w:val="00DD2FB5"/>
    <w:rsid w:val="00DD5D6E"/>
    <w:rsid w:val="00DE1C76"/>
    <w:rsid w:val="00DF4F96"/>
    <w:rsid w:val="00DF607A"/>
    <w:rsid w:val="00E07410"/>
    <w:rsid w:val="00E170CB"/>
    <w:rsid w:val="00E34C7A"/>
    <w:rsid w:val="00E510E8"/>
    <w:rsid w:val="00E76F14"/>
    <w:rsid w:val="00E83E0F"/>
    <w:rsid w:val="00E84F6B"/>
    <w:rsid w:val="00E93893"/>
    <w:rsid w:val="00EA0DC2"/>
    <w:rsid w:val="00EC7CDB"/>
    <w:rsid w:val="00ED238A"/>
    <w:rsid w:val="00ED49D3"/>
    <w:rsid w:val="00ED5836"/>
    <w:rsid w:val="00EE42A5"/>
    <w:rsid w:val="00EE4EBB"/>
    <w:rsid w:val="00F10CE0"/>
    <w:rsid w:val="00F122A0"/>
    <w:rsid w:val="00F1502B"/>
    <w:rsid w:val="00F17CEF"/>
    <w:rsid w:val="00F25B2A"/>
    <w:rsid w:val="00F50697"/>
    <w:rsid w:val="00F64FA5"/>
    <w:rsid w:val="00F73A50"/>
    <w:rsid w:val="00F817F0"/>
    <w:rsid w:val="00F830EC"/>
    <w:rsid w:val="00F86C6C"/>
    <w:rsid w:val="00F94829"/>
    <w:rsid w:val="00FC1B69"/>
    <w:rsid w:val="00FC402D"/>
    <w:rsid w:val="00FE2973"/>
    <w:rsid w:val="00FF61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E394C"/>
  <w15:chartTrackingRefBased/>
  <w15:docId w15:val="{1C0B73DD-60AE-47AD-9F43-54E5E6619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7AD"/>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527A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527AD"/>
    <w:rPr>
      <w:lang w:val="es-ES"/>
    </w:rPr>
  </w:style>
  <w:style w:type="paragraph" w:styleId="Piedepgina">
    <w:name w:val="footer"/>
    <w:basedOn w:val="Normal"/>
    <w:link w:val="PiedepginaCar"/>
    <w:uiPriority w:val="99"/>
    <w:unhideWhenUsed/>
    <w:rsid w:val="005527A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527AD"/>
    <w:rPr>
      <w:lang w:val="es-ES"/>
    </w:rPr>
  </w:style>
  <w:style w:type="table" w:styleId="Tablaconcuadrcula">
    <w:name w:val="Table Grid"/>
    <w:basedOn w:val="Tablanormal"/>
    <w:uiPriority w:val="59"/>
    <w:rsid w:val="005527AD"/>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uentedeprrafopredeter"/>
    <w:rsid w:val="00655B0E"/>
  </w:style>
  <w:style w:type="character" w:styleId="Hipervnculo">
    <w:name w:val="Hyperlink"/>
    <w:basedOn w:val="Fuentedeprrafopredeter"/>
    <w:uiPriority w:val="99"/>
    <w:unhideWhenUsed/>
    <w:rsid w:val="00D70906"/>
    <w:rPr>
      <w:color w:val="0563C1" w:themeColor="hyperlink"/>
      <w:u w:val="single"/>
    </w:rPr>
  </w:style>
  <w:style w:type="character" w:customStyle="1" w:styleId="Mencinsinresolver1">
    <w:name w:val="Mención sin resolver1"/>
    <w:basedOn w:val="Fuentedeprrafopredeter"/>
    <w:uiPriority w:val="99"/>
    <w:semiHidden/>
    <w:unhideWhenUsed/>
    <w:rsid w:val="00D70906"/>
    <w:rPr>
      <w:color w:val="605E5C"/>
      <w:shd w:val="clear" w:color="auto" w:fill="E1DFDD"/>
    </w:rPr>
  </w:style>
  <w:style w:type="character" w:customStyle="1" w:styleId="Mencinsinresolver2">
    <w:name w:val="Mención sin resolver2"/>
    <w:basedOn w:val="Fuentedeprrafopredeter"/>
    <w:uiPriority w:val="99"/>
    <w:semiHidden/>
    <w:unhideWhenUsed/>
    <w:rsid w:val="00FC1B69"/>
    <w:rPr>
      <w:color w:val="605E5C"/>
      <w:shd w:val="clear" w:color="auto" w:fill="E1DFDD"/>
    </w:rPr>
  </w:style>
  <w:style w:type="character" w:styleId="Hipervnculovisitado">
    <w:name w:val="FollowedHyperlink"/>
    <w:basedOn w:val="Fuentedeprrafopredeter"/>
    <w:uiPriority w:val="99"/>
    <w:semiHidden/>
    <w:unhideWhenUsed/>
    <w:rsid w:val="000F2AA6"/>
    <w:rPr>
      <w:color w:val="954F72" w:themeColor="followedHyperlink"/>
      <w:u w:val="single"/>
    </w:rPr>
  </w:style>
  <w:style w:type="paragraph" w:styleId="Prrafodelista">
    <w:name w:val="List Paragraph"/>
    <w:basedOn w:val="Normal"/>
    <w:uiPriority w:val="34"/>
    <w:qFormat/>
    <w:rsid w:val="00230D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86776">
      <w:bodyDiv w:val="1"/>
      <w:marLeft w:val="0"/>
      <w:marRight w:val="0"/>
      <w:marTop w:val="0"/>
      <w:marBottom w:val="0"/>
      <w:divBdr>
        <w:top w:val="none" w:sz="0" w:space="0" w:color="auto"/>
        <w:left w:val="none" w:sz="0" w:space="0" w:color="auto"/>
        <w:bottom w:val="none" w:sz="0" w:space="0" w:color="auto"/>
        <w:right w:val="none" w:sz="0" w:space="0" w:color="auto"/>
      </w:divBdr>
    </w:div>
    <w:div w:id="32679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934</Words>
  <Characters>5138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Oswaldo Hernández</dc:creator>
  <cp:keywords/>
  <dc:description/>
  <cp:lastModifiedBy>inf03m_31@outlook.com</cp:lastModifiedBy>
  <cp:revision>2</cp:revision>
  <cp:lastPrinted>2024-03-11T16:14:00Z</cp:lastPrinted>
  <dcterms:created xsi:type="dcterms:W3CDTF">2025-05-16T04:29:00Z</dcterms:created>
  <dcterms:modified xsi:type="dcterms:W3CDTF">2025-05-16T04:29:00Z</dcterms:modified>
</cp:coreProperties>
</file>