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sdt>
      <w:sdtPr>
        <w:rPr>
          <w:rFonts w:ascii="Times New Roman" w:eastAsia="Times New Roman" w:hAnsi="Times New Roman" w:cs="Times New Roman"/>
          <w:color w:val="auto"/>
          <w:sz w:val="20"/>
          <w:szCs w:val="20"/>
          <w:lang w:val="es-ES" w:eastAsia="es-ES"/>
        </w:rPr>
        <w:id w:val="802194066"/>
        <w:docPartObj>
          <w:docPartGallery w:val="Table of Contents"/>
          <w:docPartUnique/>
        </w:docPartObj>
      </w:sdtPr>
      <w:sdtEndPr>
        <w:rPr>
          <w:b/>
          <w:bCs/>
        </w:rPr>
      </w:sdtEndPr>
      <w:sdtContent>
        <w:p w14:paraId="6DFB0025" w14:textId="649A516F" w:rsidR="004717ED" w:rsidRPr="001E7F59" w:rsidRDefault="004717ED" w:rsidP="008C780E">
          <w:pPr>
            <w:pStyle w:val="TtulodeTDC"/>
            <w:spacing w:before="0" w:line="240" w:lineRule="auto"/>
            <w:rPr>
              <w:rFonts w:ascii="Palatino Linotype" w:hAnsi="Palatino Linotype"/>
              <w:sz w:val="24"/>
              <w:szCs w:val="24"/>
            </w:rPr>
          </w:pPr>
          <w:r w:rsidRPr="001E7F59">
            <w:rPr>
              <w:rFonts w:ascii="Palatino Linotype" w:hAnsi="Palatino Linotype"/>
              <w:sz w:val="24"/>
              <w:szCs w:val="24"/>
              <w:lang w:val="es-ES"/>
            </w:rPr>
            <w:t>Tabla de contenido</w:t>
          </w:r>
        </w:p>
        <w:p w14:paraId="60BF8B4A" w14:textId="5222B3D2" w:rsidR="00EC0EDC" w:rsidRPr="001E7F59" w:rsidRDefault="004717ED">
          <w:pPr>
            <w:pStyle w:val="TDC1"/>
            <w:rPr>
              <w:rFonts w:asciiTheme="minorHAnsi" w:eastAsiaTheme="minorEastAsia" w:hAnsiTheme="minorHAnsi" w:cstheme="minorBidi"/>
              <w:noProof/>
              <w:sz w:val="22"/>
              <w:szCs w:val="22"/>
              <w:lang w:eastAsia="es-MX"/>
            </w:rPr>
          </w:pPr>
          <w:r w:rsidRPr="001E7F59">
            <w:rPr>
              <w:rFonts w:ascii="Palatino Linotype" w:hAnsi="Palatino Linotype"/>
              <w:b/>
              <w:bCs/>
              <w:sz w:val="24"/>
              <w:szCs w:val="24"/>
              <w:lang w:val="es-ES"/>
            </w:rPr>
            <w:fldChar w:fldCharType="begin"/>
          </w:r>
          <w:r w:rsidRPr="001E7F59">
            <w:rPr>
              <w:rFonts w:ascii="Palatino Linotype" w:hAnsi="Palatino Linotype"/>
              <w:b/>
              <w:bCs/>
              <w:sz w:val="24"/>
              <w:szCs w:val="24"/>
              <w:lang w:val="es-ES"/>
            </w:rPr>
            <w:instrText xml:space="preserve"> TOC \o "1-3" \h \z \u </w:instrText>
          </w:r>
          <w:r w:rsidRPr="001E7F59">
            <w:rPr>
              <w:rFonts w:ascii="Palatino Linotype" w:hAnsi="Palatino Linotype"/>
              <w:b/>
              <w:bCs/>
              <w:sz w:val="24"/>
              <w:szCs w:val="24"/>
              <w:lang w:val="es-ES"/>
            </w:rPr>
            <w:fldChar w:fldCharType="separate"/>
          </w:r>
          <w:hyperlink w:anchor="_Toc191296116" w:history="1">
            <w:r w:rsidR="00EC0EDC" w:rsidRPr="001E7F59">
              <w:rPr>
                <w:rStyle w:val="Hipervnculo"/>
                <w:noProof/>
                <w:lang w:val="pt-BR" w:eastAsia="en-US"/>
              </w:rPr>
              <w:t>A N T E C E D E N T E S</w:t>
            </w:r>
            <w:r w:rsidR="00EC0EDC" w:rsidRPr="001E7F59">
              <w:rPr>
                <w:noProof/>
                <w:webHidden/>
              </w:rPr>
              <w:tab/>
            </w:r>
            <w:r w:rsidR="00EC0EDC" w:rsidRPr="001E7F59">
              <w:rPr>
                <w:noProof/>
                <w:webHidden/>
              </w:rPr>
              <w:fldChar w:fldCharType="begin"/>
            </w:r>
            <w:r w:rsidR="00EC0EDC" w:rsidRPr="001E7F59">
              <w:rPr>
                <w:noProof/>
                <w:webHidden/>
              </w:rPr>
              <w:instrText xml:space="preserve"> PAGEREF _Toc191296116 \h </w:instrText>
            </w:r>
            <w:r w:rsidR="00EC0EDC" w:rsidRPr="001E7F59">
              <w:rPr>
                <w:noProof/>
                <w:webHidden/>
              </w:rPr>
            </w:r>
            <w:r w:rsidR="00EC0EDC" w:rsidRPr="001E7F59">
              <w:rPr>
                <w:noProof/>
                <w:webHidden/>
              </w:rPr>
              <w:fldChar w:fldCharType="separate"/>
            </w:r>
            <w:r w:rsidR="00F3684D">
              <w:rPr>
                <w:noProof/>
                <w:webHidden/>
              </w:rPr>
              <w:t>2</w:t>
            </w:r>
            <w:r w:rsidR="00EC0EDC" w:rsidRPr="001E7F59">
              <w:rPr>
                <w:noProof/>
                <w:webHidden/>
              </w:rPr>
              <w:fldChar w:fldCharType="end"/>
            </w:r>
          </w:hyperlink>
        </w:p>
        <w:p w14:paraId="2F4F82C1" w14:textId="38F35F2F" w:rsidR="00EC0EDC" w:rsidRPr="001E7F59" w:rsidRDefault="00993A40">
          <w:pPr>
            <w:pStyle w:val="TDC2"/>
            <w:tabs>
              <w:tab w:val="right" w:leader="dot" w:pos="9034"/>
            </w:tabs>
            <w:rPr>
              <w:rFonts w:asciiTheme="minorHAnsi" w:eastAsiaTheme="minorEastAsia" w:hAnsiTheme="minorHAnsi" w:cstheme="minorBidi"/>
              <w:noProof/>
              <w:sz w:val="22"/>
              <w:szCs w:val="22"/>
              <w:lang w:eastAsia="es-MX"/>
            </w:rPr>
          </w:pPr>
          <w:hyperlink w:anchor="_Toc191296117" w:history="1">
            <w:r w:rsidR="00EC0EDC" w:rsidRPr="001E7F59">
              <w:rPr>
                <w:rStyle w:val="Hipervnculo"/>
                <w:noProof/>
                <w:lang w:eastAsia="en-US"/>
              </w:rPr>
              <w:t>I. Presentación de la solicitud de información</w:t>
            </w:r>
            <w:r w:rsidR="00EC0EDC" w:rsidRPr="001E7F59">
              <w:rPr>
                <w:noProof/>
                <w:webHidden/>
              </w:rPr>
              <w:tab/>
            </w:r>
            <w:r w:rsidR="00EC0EDC" w:rsidRPr="001E7F59">
              <w:rPr>
                <w:noProof/>
                <w:webHidden/>
              </w:rPr>
              <w:fldChar w:fldCharType="begin"/>
            </w:r>
            <w:r w:rsidR="00EC0EDC" w:rsidRPr="001E7F59">
              <w:rPr>
                <w:noProof/>
                <w:webHidden/>
              </w:rPr>
              <w:instrText xml:space="preserve"> PAGEREF _Toc191296117 \h </w:instrText>
            </w:r>
            <w:r w:rsidR="00EC0EDC" w:rsidRPr="001E7F59">
              <w:rPr>
                <w:noProof/>
                <w:webHidden/>
              </w:rPr>
            </w:r>
            <w:r w:rsidR="00EC0EDC" w:rsidRPr="001E7F59">
              <w:rPr>
                <w:noProof/>
                <w:webHidden/>
              </w:rPr>
              <w:fldChar w:fldCharType="separate"/>
            </w:r>
            <w:r w:rsidR="00F3684D">
              <w:rPr>
                <w:noProof/>
                <w:webHidden/>
              </w:rPr>
              <w:t>2</w:t>
            </w:r>
            <w:r w:rsidR="00EC0EDC" w:rsidRPr="001E7F59">
              <w:rPr>
                <w:noProof/>
                <w:webHidden/>
              </w:rPr>
              <w:fldChar w:fldCharType="end"/>
            </w:r>
          </w:hyperlink>
        </w:p>
        <w:p w14:paraId="1857FD08" w14:textId="297A7931" w:rsidR="00EC0EDC" w:rsidRPr="001E7F59" w:rsidRDefault="00993A40">
          <w:pPr>
            <w:pStyle w:val="TDC2"/>
            <w:tabs>
              <w:tab w:val="right" w:leader="dot" w:pos="9034"/>
            </w:tabs>
            <w:rPr>
              <w:rFonts w:asciiTheme="minorHAnsi" w:eastAsiaTheme="minorEastAsia" w:hAnsiTheme="minorHAnsi" w:cstheme="minorBidi"/>
              <w:noProof/>
              <w:sz w:val="22"/>
              <w:szCs w:val="22"/>
              <w:lang w:eastAsia="es-MX"/>
            </w:rPr>
          </w:pPr>
          <w:hyperlink w:anchor="_Toc191296118" w:history="1">
            <w:r w:rsidR="00EC0EDC" w:rsidRPr="001E7F59">
              <w:rPr>
                <w:rStyle w:val="Hipervnculo"/>
                <w:noProof/>
              </w:rPr>
              <w:t>II. Prórroga para la entrega de la información</w:t>
            </w:r>
            <w:r w:rsidR="00EC0EDC" w:rsidRPr="001E7F59">
              <w:rPr>
                <w:noProof/>
                <w:webHidden/>
              </w:rPr>
              <w:tab/>
            </w:r>
            <w:r w:rsidR="00EC0EDC" w:rsidRPr="001E7F59">
              <w:rPr>
                <w:noProof/>
                <w:webHidden/>
              </w:rPr>
              <w:fldChar w:fldCharType="begin"/>
            </w:r>
            <w:r w:rsidR="00EC0EDC" w:rsidRPr="001E7F59">
              <w:rPr>
                <w:noProof/>
                <w:webHidden/>
              </w:rPr>
              <w:instrText xml:space="preserve"> PAGEREF _Toc191296118 \h </w:instrText>
            </w:r>
            <w:r w:rsidR="00EC0EDC" w:rsidRPr="001E7F59">
              <w:rPr>
                <w:noProof/>
                <w:webHidden/>
              </w:rPr>
            </w:r>
            <w:r w:rsidR="00EC0EDC" w:rsidRPr="001E7F59">
              <w:rPr>
                <w:noProof/>
                <w:webHidden/>
              </w:rPr>
              <w:fldChar w:fldCharType="separate"/>
            </w:r>
            <w:r w:rsidR="00F3684D">
              <w:rPr>
                <w:noProof/>
                <w:webHidden/>
              </w:rPr>
              <w:t>3</w:t>
            </w:r>
            <w:r w:rsidR="00EC0EDC" w:rsidRPr="001E7F59">
              <w:rPr>
                <w:noProof/>
                <w:webHidden/>
              </w:rPr>
              <w:fldChar w:fldCharType="end"/>
            </w:r>
          </w:hyperlink>
        </w:p>
        <w:p w14:paraId="0292EA5C" w14:textId="31AA10FF" w:rsidR="00EC0EDC" w:rsidRPr="001E7F59" w:rsidRDefault="00993A40">
          <w:pPr>
            <w:pStyle w:val="TDC2"/>
            <w:tabs>
              <w:tab w:val="right" w:leader="dot" w:pos="9034"/>
            </w:tabs>
            <w:rPr>
              <w:rFonts w:asciiTheme="minorHAnsi" w:eastAsiaTheme="minorEastAsia" w:hAnsiTheme="minorHAnsi" w:cstheme="minorBidi"/>
              <w:noProof/>
              <w:sz w:val="22"/>
              <w:szCs w:val="22"/>
              <w:lang w:eastAsia="es-MX"/>
            </w:rPr>
          </w:pPr>
          <w:hyperlink w:anchor="_Toc191296119" w:history="1">
            <w:r w:rsidR="00EC0EDC" w:rsidRPr="001E7F59">
              <w:rPr>
                <w:rStyle w:val="Hipervnculo"/>
                <w:noProof/>
              </w:rPr>
              <w:t>III. Respuesta del Sujeto Obligado</w:t>
            </w:r>
            <w:r w:rsidR="00EC0EDC" w:rsidRPr="001E7F59">
              <w:rPr>
                <w:noProof/>
                <w:webHidden/>
              </w:rPr>
              <w:tab/>
            </w:r>
            <w:r w:rsidR="00EC0EDC" w:rsidRPr="001E7F59">
              <w:rPr>
                <w:noProof/>
                <w:webHidden/>
              </w:rPr>
              <w:fldChar w:fldCharType="begin"/>
            </w:r>
            <w:r w:rsidR="00EC0EDC" w:rsidRPr="001E7F59">
              <w:rPr>
                <w:noProof/>
                <w:webHidden/>
              </w:rPr>
              <w:instrText xml:space="preserve"> PAGEREF _Toc191296119 \h </w:instrText>
            </w:r>
            <w:r w:rsidR="00EC0EDC" w:rsidRPr="001E7F59">
              <w:rPr>
                <w:noProof/>
                <w:webHidden/>
              </w:rPr>
            </w:r>
            <w:r w:rsidR="00EC0EDC" w:rsidRPr="001E7F59">
              <w:rPr>
                <w:noProof/>
                <w:webHidden/>
              </w:rPr>
              <w:fldChar w:fldCharType="separate"/>
            </w:r>
            <w:r w:rsidR="00F3684D">
              <w:rPr>
                <w:noProof/>
                <w:webHidden/>
              </w:rPr>
              <w:t>3</w:t>
            </w:r>
            <w:r w:rsidR="00EC0EDC" w:rsidRPr="001E7F59">
              <w:rPr>
                <w:noProof/>
                <w:webHidden/>
              </w:rPr>
              <w:fldChar w:fldCharType="end"/>
            </w:r>
          </w:hyperlink>
        </w:p>
        <w:p w14:paraId="593585B7" w14:textId="0BA20E2C" w:rsidR="00EC0EDC" w:rsidRPr="001E7F59" w:rsidRDefault="00993A40">
          <w:pPr>
            <w:pStyle w:val="TDC2"/>
            <w:tabs>
              <w:tab w:val="right" w:leader="dot" w:pos="9034"/>
            </w:tabs>
            <w:rPr>
              <w:rFonts w:asciiTheme="minorHAnsi" w:eastAsiaTheme="minorEastAsia" w:hAnsiTheme="minorHAnsi" w:cstheme="minorBidi"/>
              <w:noProof/>
              <w:sz w:val="22"/>
              <w:szCs w:val="22"/>
              <w:lang w:eastAsia="es-MX"/>
            </w:rPr>
          </w:pPr>
          <w:hyperlink w:anchor="_Toc191296120" w:history="1">
            <w:r w:rsidR="00EC0EDC" w:rsidRPr="001E7F59">
              <w:rPr>
                <w:rStyle w:val="Hipervnculo"/>
                <w:noProof/>
              </w:rPr>
              <w:t>IV. Interposición del Recurso de Revisión</w:t>
            </w:r>
            <w:r w:rsidR="00EC0EDC" w:rsidRPr="001E7F59">
              <w:rPr>
                <w:noProof/>
                <w:webHidden/>
              </w:rPr>
              <w:tab/>
            </w:r>
            <w:r w:rsidR="00EC0EDC" w:rsidRPr="001E7F59">
              <w:rPr>
                <w:noProof/>
                <w:webHidden/>
              </w:rPr>
              <w:fldChar w:fldCharType="begin"/>
            </w:r>
            <w:r w:rsidR="00EC0EDC" w:rsidRPr="001E7F59">
              <w:rPr>
                <w:noProof/>
                <w:webHidden/>
              </w:rPr>
              <w:instrText xml:space="preserve"> PAGEREF _Toc191296120 \h </w:instrText>
            </w:r>
            <w:r w:rsidR="00EC0EDC" w:rsidRPr="001E7F59">
              <w:rPr>
                <w:noProof/>
                <w:webHidden/>
              </w:rPr>
            </w:r>
            <w:r w:rsidR="00EC0EDC" w:rsidRPr="001E7F59">
              <w:rPr>
                <w:noProof/>
                <w:webHidden/>
              </w:rPr>
              <w:fldChar w:fldCharType="separate"/>
            </w:r>
            <w:r w:rsidR="00F3684D">
              <w:rPr>
                <w:noProof/>
                <w:webHidden/>
              </w:rPr>
              <w:t>5</w:t>
            </w:r>
            <w:r w:rsidR="00EC0EDC" w:rsidRPr="001E7F59">
              <w:rPr>
                <w:noProof/>
                <w:webHidden/>
              </w:rPr>
              <w:fldChar w:fldCharType="end"/>
            </w:r>
          </w:hyperlink>
        </w:p>
        <w:p w14:paraId="7557A375" w14:textId="05600E5B" w:rsidR="00EC0EDC" w:rsidRPr="001E7F59" w:rsidRDefault="00993A40">
          <w:pPr>
            <w:pStyle w:val="TDC2"/>
            <w:tabs>
              <w:tab w:val="right" w:leader="dot" w:pos="9034"/>
            </w:tabs>
            <w:rPr>
              <w:rFonts w:asciiTheme="minorHAnsi" w:eastAsiaTheme="minorEastAsia" w:hAnsiTheme="minorHAnsi" w:cstheme="minorBidi"/>
              <w:noProof/>
              <w:sz w:val="22"/>
              <w:szCs w:val="22"/>
              <w:lang w:eastAsia="es-MX"/>
            </w:rPr>
          </w:pPr>
          <w:hyperlink w:anchor="_Toc191296121" w:history="1">
            <w:r w:rsidR="00EC0EDC" w:rsidRPr="001E7F59">
              <w:rPr>
                <w:rStyle w:val="Hipervnculo"/>
                <w:noProof/>
              </w:rPr>
              <w:t>V. Trámite del Recurso de Revisión ante el Instituto</w:t>
            </w:r>
            <w:r w:rsidR="00EC0EDC" w:rsidRPr="001E7F59">
              <w:rPr>
                <w:noProof/>
                <w:webHidden/>
              </w:rPr>
              <w:tab/>
            </w:r>
            <w:r w:rsidR="00EC0EDC" w:rsidRPr="001E7F59">
              <w:rPr>
                <w:noProof/>
                <w:webHidden/>
              </w:rPr>
              <w:fldChar w:fldCharType="begin"/>
            </w:r>
            <w:r w:rsidR="00EC0EDC" w:rsidRPr="001E7F59">
              <w:rPr>
                <w:noProof/>
                <w:webHidden/>
              </w:rPr>
              <w:instrText xml:space="preserve"> PAGEREF _Toc191296121 \h </w:instrText>
            </w:r>
            <w:r w:rsidR="00EC0EDC" w:rsidRPr="001E7F59">
              <w:rPr>
                <w:noProof/>
                <w:webHidden/>
              </w:rPr>
            </w:r>
            <w:r w:rsidR="00EC0EDC" w:rsidRPr="001E7F59">
              <w:rPr>
                <w:noProof/>
                <w:webHidden/>
              </w:rPr>
              <w:fldChar w:fldCharType="separate"/>
            </w:r>
            <w:r w:rsidR="00F3684D">
              <w:rPr>
                <w:noProof/>
                <w:webHidden/>
              </w:rPr>
              <w:t>6</w:t>
            </w:r>
            <w:r w:rsidR="00EC0EDC" w:rsidRPr="001E7F59">
              <w:rPr>
                <w:noProof/>
                <w:webHidden/>
              </w:rPr>
              <w:fldChar w:fldCharType="end"/>
            </w:r>
          </w:hyperlink>
        </w:p>
        <w:p w14:paraId="3E26B883" w14:textId="70F2988B" w:rsidR="00EC0EDC" w:rsidRPr="001E7F59" w:rsidRDefault="00993A40">
          <w:pPr>
            <w:pStyle w:val="TDC3"/>
            <w:tabs>
              <w:tab w:val="right" w:leader="dot" w:pos="9034"/>
            </w:tabs>
            <w:rPr>
              <w:rFonts w:asciiTheme="minorHAnsi" w:eastAsiaTheme="minorEastAsia" w:hAnsiTheme="minorHAnsi" w:cstheme="minorBidi"/>
              <w:noProof/>
              <w:sz w:val="22"/>
              <w:szCs w:val="22"/>
              <w:lang w:eastAsia="es-MX"/>
            </w:rPr>
          </w:pPr>
          <w:hyperlink w:anchor="_Toc191296122" w:history="1">
            <w:r w:rsidR="00EC0EDC" w:rsidRPr="001E7F59">
              <w:rPr>
                <w:rStyle w:val="Hipervnculo"/>
                <w:noProof/>
              </w:rPr>
              <w:t>a) Turno del Recurso de Revisión.</w:t>
            </w:r>
            <w:r w:rsidR="00EC0EDC" w:rsidRPr="001E7F59">
              <w:rPr>
                <w:noProof/>
                <w:webHidden/>
              </w:rPr>
              <w:tab/>
            </w:r>
            <w:r w:rsidR="00EC0EDC" w:rsidRPr="001E7F59">
              <w:rPr>
                <w:noProof/>
                <w:webHidden/>
              </w:rPr>
              <w:fldChar w:fldCharType="begin"/>
            </w:r>
            <w:r w:rsidR="00EC0EDC" w:rsidRPr="001E7F59">
              <w:rPr>
                <w:noProof/>
                <w:webHidden/>
              </w:rPr>
              <w:instrText xml:space="preserve"> PAGEREF _Toc191296122 \h </w:instrText>
            </w:r>
            <w:r w:rsidR="00EC0EDC" w:rsidRPr="001E7F59">
              <w:rPr>
                <w:noProof/>
                <w:webHidden/>
              </w:rPr>
            </w:r>
            <w:r w:rsidR="00EC0EDC" w:rsidRPr="001E7F59">
              <w:rPr>
                <w:noProof/>
                <w:webHidden/>
              </w:rPr>
              <w:fldChar w:fldCharType="separate"/>
            </w:r>
            <w:r w:rsidR="00F3684D">
              <w:rPr>
                <w:noProof/>
                <w:webHidden/>
              </w:rPr>
              <w:t>6</w:t>
            </w:r>
            <w:r w:rsidR="00EC0EDC" w:rsidRPr="001E7F59">
              <w:rPr>
                <w:noProof/>
                <w:webHidden/>
              </w:rPr>
              <w:fldChar w:fldCharType="end"/>
            </w:r>
          </w:hyperlink>
        </w:p>
        <w:p w14:paraId="6E8160EA" w14:textId="2A1CDD7C" w:rsidR="00EC0EDC" w:rsidRPr="001E7F59" w:rsidRDefault="00993A40">
          <w:pPr>
            <w:pStyle w:val="TDC3"/>
            <w:tabs>
              <w:tab w:val="right" w:leader="dot" w:pos="9034"/>
            </w:tabs>
            <w:rPr>
              <w:rFonts w:asciiTheme="minorHAnsi" w:eastAsiaTheme="minorEastAsia" w:hAnsiTheme="minorHAnsi" w:cstheme="minorBidi"/>
              <w:noProof/>
              <w:sz w:val="22"/>
              <w:szCs w:val="22"/>
              <w:lang w:eastAsia="es-MX"/>
            </w:rPr>
          </w:pPr>
          <w:hyperlink w:anchor="_Toc191296123" w:history="1">
            <w:r w:rsidR="00EC0EDC" w:rsidRPr="001E7F59">
              <w:rPr>
                <w:rStyle w:val="Hipervnculo"/>
                <w:noProof/>
              </w:rPr>
              <w:t>b) Admisión del Recurso de Revisión.</w:t>
            </w:r>
            <w:r w:rsidR="00EC0EDC" w:rsidRPr="001E7F59">
              <w:rPr>
                <w:noProof/>
                <w:webHidden/>
              </w:rPr>
              <w:tab/>
            </w:r>
            <w:r w:rsidR="00EC0EDC" w:rsidRPr="001E7F59">
              <w:rPr>
                <w:noProof/>
                <w:webHidden/>
              </w:rPr>
              <w:fldChar w:fldCharType="begin"/>
            </w:r>
            <w:r w:rsidR="00EC0EDC" w:rsidRPr="001E7F59">
              <w:rPr>
                <w:noProof/>
                <w:webHidden/>
              </w:rPr>
              <w:instrText xml:space="preserve"> PAGEREF _Toc191296123 \h </w:instrText>
            </w:r>
            <w:r w:rsidR="00EC0EDC" w:rsidRPr="001E7F59">
              <w:rPr>
                <w:noProof/>
                <w:webHidden/>
              </w:rPr>
            </w:r>
            <w:r w:rsidR="00EC0EDC" w:rsidRPr="001E7F59">
              <w:rPr>
                <w:noProof/>
                <w:webHidden/>
              </w:rPr>
              <w:fldChar w:fldCharType="separate"/>
            </w:r>
            <w:r w:rsidR="00F3684D">
              <w:rPr>
                <w:noProof/>
                <w:webHidden/>
              </w:rPr>
              <w:t>6</w:t>
            </w:r>
            <w:r w:rsidR="00EC0EDC" w:rsidRPr="001E7F59">
              <w:rPr>
                <w:noProof/>
                <w:webHidden/>
              </w:rPr>
              <w:fldChar w:fldCharType="end"/>
            </w:r>
          </w:hyperlink>
        </w:p>
        <w:p w14:paraId="746FDD5A" w14:textId="62DA2FF9" w:rsidR="00EC0EDC" w:rsidRPr="001E7F59" w:rsidRDefault="00993A40">
          <w:pPr>
            <w:pStyle w:val="TDC3"/>
            <w:tabs>
              <w:tab w:val="right" w:leader="dot" w:pos="9034"/>
            </w:tabs>
            <w:rPr>
              <w:rFonts w:asciiTheme="minorHAnsi" w:eastAsiaTheme="minorEastAsia" w:hAnsiTheme="minorHAnsi" w:cstheme="minorBidi"/>
              <w:noProof/>
              <w:sz w:val="22"/>
              <w:szCs w:val="22"/>
              <w:lang w:eastAsia="es-MX"/>
            </w:rPr>
          </w:pPr>
          <w:hyperlink w:anchor="_Toc191296124" w:history="1">
            <w:r w:rsidR="00EC0EDC" w:rsidRPr="001E7F59">
              <w:rPr>
                <w:rStyle w:val="Hipervnculo"/>
                <w:noProof/>
              </w:rPr>
              <w:t>c) Informe Justificado.</w:t>
            </w:r>
            <w:r w:rsidR="00EC0EDC" w:rsidRPr="001E7F59">
              <w:rPr>
                <w:noProof/>
                <w:webHidden/>
              </w:rPr>
              <w:tab/>
            </w:r>
            <w:r w:rsidR="00EC0EDC" w:rsidRPr="001E7F59">
              <w:rPr>
                <w:noProof/>
                <w:webHidden/>
              </w:rPr>
              <w:fldChar w:fldCharType="begin"/>
            </w:r>
            <w:r w:rsidR="00EC0EDC" w:rsidRPr="001E7F59">
              <w:rPr>
                <w:noProof/>
                <w:webHidden/>
              </w:rPr>
              <w:instrText xml:space="preserve"> PAGEREF _Toc191296124 \h </w:instrText>
            </w:r>
            <w:r w:rsidR="00EC0EDC" w:rsidRPr="001E7F59">
              <w:rPr>
                <w:noProof/>
                <w:webHidden/>
              </w:rPr>
            </w:r>
            <w:r w:rsidR="00EC0EDC" w:rsidRPr="001E7F59">
              <w:rPr>
                <w:noProof/>
                <w:webHidden/>
              </w:rPr>
              <w:fldChar w:fldCharType="separate"/>
            </w:r>
            <w:r w:rsidR="00F3684D">
              <w:rPr>
                <w:noProof/>
                <w:webHidden/>
              </w:rPr>
              <w:t>7</w:t>
            </w:r>
            <w:r w:rsidR="00EC0EDC" w:rsidRPr="001E7F59">
              <w:rPr>
                <w:noProof/>
                <w:webHidden/>
              </w:rPr>
              <w:fldChar w:fldCharType="end"/>
            </w:r>
          </w:hyperlink>
        </w:p>
        <w:p w14:paraId="028BB8B7" w14:textId="31AEFCDC" w:rsidR="00EC0EDC" w:rsidRPr="001E7F59" w:rsidRDefault="00993A40">
          <w:pPr>
            <w:pStyle w:val="TDC3"/>
            <w:tabs>
              <w:tab w:val="right" w:leader="dot" w:pos="9034"/>
            </w:tabs>
            <w:rPr>
              <w:rFonts w:asciiTheme="minorHAnsi" w:eastAsiaTheme="minorEastAsia" w:hAnsiTheme="minorHAnsi" w:cstheme="minorBidi"/>
              <w:noProof/>
              <w:sz w:val="22"/>
              <w:szCs w:val="22"/>
              <w:lang w:eastAsia="es-MX"/>
            </w:rPr>
          </w:pPr>
          <w:hyperlink w:anchor="_Toc191296125" w:history="1">
            <w:r w:rsidR="00EC0EDC" w:rsidRPr="001E7F59">
              <w:rPr>
                <w:rStyle w:val="Hipervnculo"/>
                <w:noProof/>
              </w:rPr>
              <w:t>d) Cierre de instrucción.</w:t>
            </w:r>
            <w:r w:rsidR="00EC0EDC" w:rsidRPr="001E7F59">
              <w:rPr>
                <w:noProof/>
                <w:webHidden/>
              </w:rPr>
              <w:tab/>
            </w:r>
            <w:r w:rsidR="00EC0EDC" w:rsidRPr="001E7F59">
              <w:rPr>
                <w:noProof/>
                <w:webHidden/>
              </w:rPr>
              <w:fldChar w:fldCharType="begin"/>
            </w:r>
            <w:r w:rsidR="00EC0EDC" w:rsidRPr="001E7F59">
              <w:rPr>
                <w:noProof/>
                <w:webHidden/>
              </w:rPr>
              <w:instrText xml:space="preserve"> PAGEREF _Toc191296125 \h </w:instrText>
            </w:r>
            <w:r w:rsidR="00EC0EDC" w:rsidRPr="001E7F59">
              <w:rPr>
                <w:noProof/>
                <w:webHidden/>
              </w:rPr>
            </w:r>
            <w:r w:rsidR="00EC0EDC" w:rsidRPr="001E7F59">
              <w:rPr>
                <w:noProof/>
                <w:webHidden/>
              </w:rPr>
              <w:fldChar w:fldCharType="separate"/>
            </w:r>
            <w:r w:rsidR="00F3684D">
              <w:rPr>
                <w:noProof/>
                <w:webHidden/>
              </w:rPr>
              <w:t>7</w:t>
            </w:r>
            <w:r w:rsidR="00EC0EDC" w:rsidRPr="001E7F59">
              <w:rPr>
                <w:noProof/>
                <w:webHidden/>
              </w:rPr>
              <w:fldChar w:fldCharType="end"/>
            </w:r>
          </w:hyperlink>
        </w:p>
        <w:p w14:paraId="4539F110" w14:textId="7D284050" w:rsidR="00EC0EDC" w:rsidRPr="001E7F59" w:rsidRDefault="00993A40">
          <w:pPr>
            <w:pStyle w:val="TDC1"/>
            <w:rPr>
              <w:rFonts w:asciiTheme="minorHAnsi" w:eastAsiaTheme="minorEastAsia" w:hAnsiTheme="minorHAnsi" w:cstheme="minorBidi"/>
              <w:noProof/>
              <w:sz w:val="22"/>
              <w:szCs w:val="22"/>
              <w:lang w:eastAsia="es-MX"/>
            </w:rPr>
          </w:pPr>
          <w:hyperlink w:anchor="_Toc191296126" w:history="1">
            <w:r w:rsidR="00EC0EDC" w:rsidRPr="001E7F59">
              <w:rPr>
                <w:rStyle w:val="Hipervnculo"/>
                <w:noProof/>
                <w:lang w:val="pt-BR"/>
              </w:rPr>
              <w:t>C O N S I D E R A N D O S</w:t>
            </w:r>
            <w:r w:rsidR="00EC0EDC" w:rsidRPr="001E7F59">
              <w:rPr>
                <w:noProof/>
                <w:webHidden/>
              </w:rPr>
              <w:tab/>
            </w:r>
            <w:r w:rsidR="00EC0EDC" w:rsidRPr="001E7F59">
              <w:rPr>
                <w:noProof/>
                <w:webHidden/>
              </w:rPr>
              <w:fldChar w:fldCharType="begin"/>
            </w:r>
            <w:r w:rsidR="00EC0EDC" w:rsidRPr="001E7F59">
              <w:rPr>
                <w:noProof/>
                <w:webHidden/>
              </w:rPr>
              <w:instrText xml:space="preserve"> PAGEREF _Toc191296126 \h </w:instrText>
            </w:r>
            <w:r w:rsidR="00EC0EDC" w:rsidRPr="001E7F59">
              <w:rPr>
                <w:noProof/>
                <w:webHidden/>
              </w:rPr>
            </w:r>
            <w:r w:rsidR="00EC0EDC" w:rsidRPr="001E7F59">
              <w:rPr>
                <w:noProof/>
                <w:webHidden/>
              </w:rPr>
              <w:fldChar w:fldCharType="separate"/>
            </w:r>
            <w:r w:rsidR="00F3684D">
              <w:rPr>
                <w:noProof/>
                <w:webHidden/>
              </w:rPr>
              <w:t>7</w:t>
            </w:r>
            <w:r w:rsidR="00EC0EDC" w:rsidRPr="001E7F59">
              <w:rPr>
                <w:noProof/>
                <w:webHidden/>
              </w:rPr>
              <w:fldChar w:fldCharType="end"/>
            </w:r>
          </w:hyperlink>
        </w:p>
        <w:p w14:paraId="5AE1CF93" w14:textId="6268647C" w:rsidR="00EC0EDC" w:rsidRPr="001E7F59" w:rsidRDefault="00993A40">
          <w:pPr>
            <w:pStyle w:val="TDC2"/>
            <w:tabs>
              <w:tab w:val="right" w:leader="dot" w:pos="9034"/>
            </w:tabs>
            <w:rPr>
              <w:rFonts w:asciiTheme="minorHAnsi" w:eastAsiaTheme="minorEastAsia" w:hAnsiTheme="minorHAnsi" w:cstheme="minorBidi"/>
              <w:noProof/>
              <w:sz w:val="22"/>
              <w:szCs w:val="22"/>
              <w:lang w:eastAsia="es-MX"/>
            </w:rPr>
          </w:pPr>
          <w:hyperlink w:anchor="_Toc191296127" w:history="1">
            <w:r w:rsidR="00EC0EDC" w:rsidRPr="001E7F59">
              <w:rPr>
                <w:rStyle w:val="Hipervnculo"/>
                <w:rFonts w:eastAsia="Calibri"/>
                <w:noProof/>
                <w:lang w:val="es-ES" w:eastAsia="es-MX"/>
              </w:rPr>
              <w:t xml:space="preserve">PRIMERO. </w:t>
            </w:r>
            <w:r w:rsidR="00EC0EDC" w:rsidRPr="001E7F59">
              <w:rPr>
                <w:rStyle w:val="Hipervnculo"/>
                <w:noProof/>
                <w:lang w:val="es-ES"/>
              </w:rPr>
              <w:t>Competencia</w:t>
            </w:r>
            <w:r w:rsidR="00EC0EDC" w:rsidRPr="001E7F59">
              <w:rPr>
                <w:noProof/>
                <w:webHidden/>
              </w:rPr>
              <w:tab/>
            </w:r>
            <w:r w:rsidR="00EC0EDC" w:rsidRPr="001E7F59">
              <w:rPr>
                <w:noProof/>
                <w:webHidden/>
              </w:rPr>
              <w:fldChar w:fldCharType="begin"/>
            </w:r>
            <w:r w:rsidR="00EC0EDC" w:rsidRPr="001E7F59">
              <w:rPr>
                <w:noProof/>
                <w:webHidden/>
              </w:rPr>
              <w:instrText xml:space="preserve"> PAGEREF _Toc191296127 \h </w:instrText>
            </w:r>
            <w:r w:rsidR="00EC0EDC" w:rsidRPr="001E7F59">
              <w:rPr>
                <w:noProof/>
                <w:webHidden/>
              </w:rPr>
            </w:r>
            <w:r w:rsidR="00EC0EDC" w:rsidRPr="001E7F59">
              <w:rPr>
                <w:noProof/>
                <w:webHidden/>
              </w:rPr>
              <w:fldChar w:fldCharType="separate"/>
            </w:r>
            <w:r w:rsidR="00F3684D">
              <w:rPr>
                <w:noProof/>
                <w:webHidden/>
              </w:rPr>
              <w:t>7</w:t>
            </w:r>
            <w:r w:rsidR="00EC0EDC" w:rsidRPr="001E7F59">
              <w:rPr>
                <w:noProof/>
                <w:webHidden/>
              </w:rPr>
              <w:fldChar w:fldCharType="end"/>
            </w:r>
          </w:hyperlink>
        </w:p>
        <w:p w14:paraId="23E5264D" w14:textId="1233EA94" w:rsidR="00EC0EDC" w:rsidRPr="001E7F59" w:rsidRDefault="00993A40">
          <w:pPr>
            <w:pStyle w:val="TDC2"/>
            <w:tabs>
              <w:tab w:val="right" w:leader="dot" w:pos="9034"/>
            </w:tabs>
            <w:rPr>
              <w:rFonts w:asciiTheme="minorHAnsi" w:eastAsiaTheme="minorEastAsia" w:hAnsiTheme="minorHAnsi" w:cstheme="minorBidi"/>
              <w:noProof/>
              <w:sz w:val="22"/>
              <w:szCs w:val="22"/>
              <w:lang w:eastAsia="es-MX"/>
            </w:rPr>
          </w:pPr>
          <w:hyperlink w:anchor="_Toc191296128" w:history="1">
            <w:r w:rsidR="00EC0EDC" w:rsidRPr="001E7F59">
              <w:rPr>
                <w:rStyle w:val="Hipervnculo"/>
                <w:noProof/>
                <w:lang w:eastAsia="es-MX"/>
              </w:rPr>
              <w:t>SEGUNDO. Causales de improcedencia y sobreseimiento</w:t>
            </w:r>
            <w:r w:rsidR="00EC0EDC" w:rsidRPr="001E7F59">
              <w:rPr>
                <w:noProof/>
                <w:webHidden/>
              </w:rPr>
              <w:tab/>
            </w:r>
            <w:r w:rsidR="00EC0EDC" w:rsidRPr="001E7F59">
              <w:rPr>
                <w:noProof/>
                <w:webHidden/>
              </w:rPr>
              <w:fldChar w:fldCharType="begin"/>
            </w:r>
            <w:r w:rsidR="00EC0EDC" w:rsidRPr="001E7F59">
              <w:rPr>
                <w:noProof/>
                <w:webHidden/>
              </w:rPr>
              <w:instrText xml:space="preserve"> PAGEREF _Toc191296128 \h </w:instrText>
            </w:r>
            <w:r w:rsidR="00EC0EDC" w:rsidRPr="001E7F59">
              <w:rPr>
                <w:noProof/>
                <w:webHidden/>
              </w:rPr>
            </w:r>
            <w:r w:rsidR="00EC0EDC" w:rsidRPr="001E7F59">
              <w:rPr>
                <w:noProof/>
                <w:webHidden/>
              </w:rPr>
              <w:fldChar w:fldCharType="separate"/>
            </w:r>
            <w:r w:rsidR="00F3684D">
              <w:rPr>
                <w:noProof/>
                <w:webHidden/>
              </w:rPr>
              <w:t>8</w:t>
            </w:r>
            <w:r w:rsidR="00EC0EDC" w:rsidRPr="001E7F59">
              <w:rPr>
                <w:noProof/>
                <w:webHidden/>
              </w:rPr>
              <w:fldChar w:fldCharType="end"/>
            </w:r>
          </w:hyperlink>
        </w:p>
        <w:p w14:paraId="28FB2108" w14:textId="5ACBDAC0" w:rsidR="00EC0EDC" w:rsidRPr="001E7F59" w:rsidRDefault="00993A40">
          <w:pPr>
            <w:pStyle w:val="TDC3"/>
            <w:tabs>
              <w:tab w:val="right" w:leader="dot" w:pos="9034"/>
            </w:tabs>
            <w:rPr>
              <w:rFonts w:asciiTheme="minorHAnsi" w:eastAsiaTheme="minorEastAsia" w:hAnsiTheme="minorHAnsi" w:cstheme="minorBidi"/>
              <w:noProof/>
              <w:sz w:val="22"/>
              <w:szCs w:val="22"/>
              <w:lang w:eastAsia="es-MX"/>
            </w:rPr>
          </w:pPr>
          <w:hyperlink w:anchor="_Toc191296129" w:history="1">
            <w:r w:rsidR="00EC0EDC" w:rsidRPr="001E7F59">
              <w:rPr>
                <w:rStyle w:val="Hipervnculo"/>
                <w:noProof/>
                <w:lang w:eastAsia="es-ES_tradnl"/>
              </w:rPr>
              <w:t>Causales de sobreseimiento</w:t>
            </w:r>
            <w:r w:rsidR="00EC0EDC" w:rsidRPr="001E7F59">
              <w:rPr>
                <w:noProof/>
                <w:webHidden/>
              </w:rPr>
              <w:tab/>
            </w:r>
            <w:r w:rsidR="00EC0EDC" w:rsidRPr="001E7F59">
              <w:rPr>
                <w:noProof/>
                <w:webHidden/>
              </w:rPr>
              <w:fldChar w:fldCharType="begin"/>
            </w:r>
            <w:r w:rsidR="00EC0EDC" w:rsidRPr="001E7F59">
              <w:rPr>
                <w:noProof/>
                <w:webHidden/>
              </w:rPr>
              <w:instrText xml:space="preserve"> PAGEREF _Toc191296129 \h </w:instrText>
            </w:r>
            <w:r w:rsidR="00EC0EDC" w:rsidRPr="001E7F59">
              <w:rPr>
                <w:noProof/>
                <w:webHidden/>
              </w:rPr>
            </w:r>
            <w:r w:rsidR="00EC0EDC" w:rsidRPr="001E7F59">
              <w:rPr>
                <w:noProof/>
                <w:webHidden/>
              </w:rPr>
              <w:fldChar w:fldCharType="separate"/>
            </w:r>
            <w:r w:rsidR="00F3684D">
              <w:rPr>
                <w:noProof/>
                <w:webHidden/>
              </w:rPr>
              <w:t>9</w:t>
            </w:r>
            <w:r w:rsidR="00EC0EDC" w:rsidRPr="001E7F59">
              <w:rPr>
                <w:noProof/>
                <w:webHidden/>
              </w:rPr>
              <w:fldChar w:fldCharType="end"/>
            </w:r>
          </w:hyperlink>
        </w:p>
        <w:p w14:paraId="452EE734" w14:textId="1AD03202" w:rsidR="00EC0EDC" w:rsidRPr="001E7F59" w:rsidRDefault="00993A40">
          <w:pPr>
            <w:pStyle w:val="TDC2"/>
            <w:tabs>
              <w:tab w:val="right" w:leader="dot" w:pos="9034"/>
            </w:tabs>
            <w:rPr>
              <w:rFonts w:asciiTheme="minorHAnsi" w:eastAsiaTheme="minorEastAsia" w:hAnsiTheme="minorHAnsi" w:cstheme="minorBidi"/>
              <w:noProof/>
              <w:sz w:val="22"/>
              <w:szCs w:val="22"/>
              <w:lang w:eastAsia="es-MX"/>
            </w:rPr>
          </w:pPr>
          <w:hyperlink w:anchor="_Toc191296130" w:history="1">
            <w:r w:rsidR="00EC0EDC" w:rsidRPr="001E7F59">
              <w:rPr>
                <w:rStyle w:val="Hipervnculo"/>
                <w:noProof/>
                <w:lang w:val="es-ES" w:eastAsia="es-ES_tradnl"/>
              </w:rPr>
              <w:t>TERCERO. Determinación de la Controversia</w:t>
            </w:r>
            <w:r w:rsidR="00EC0EDC" w:rsidRPr="001E7F59">
              <w:rPr>
                <w:noProof/>
                <w:webHidden/>
              </w:rPr>
              <w:tab/>
            </w:r>
            <w:r w:rsidR="00EC0EDC" w:rsidRPr="001E7F59">
              <w:rPr>
                <w:noProof/>
                <w:webHidden/>
              </w:rPr>
              <w:fldChar w:fldCharType="begin"/>
            </w:r>
            <w:r w:rsidR="00EC0EDC" w:rsidRPr="001E7F59">
              <w:rPr>
                <w:noProof/>
                <w:webHidden/>
              </w:rPr>
              <w:instrText xml:space="preserve"> PAGEREF _Toc191296130 \h </w:instrText>
            </w:r>
            <w:r w:rsidR="00EC0EDC" w:rsidRPr="001E7F59">
              <w:rPr>
                <w:noProof/>
                <w:webHidden/>
              </w:rPr>
            </w:r>
            <w:r w:rsidR="00EC0EDC" w:rsidRPr="001E7F59">
              <w:rPr>
                <w:noProof/>
                <w:webHidden/>
              </w:rPr>
              <w:fldChar w:fldCharType="separate"/>
            </w:r>
            <w:r w:rsidR="00F3684D">
              <w:rPr>
                <w:noProof/>
                <w:webHidden/>
              </w:rPr>
              <w:t>9</w:t>
            </w:r>
            <w:r w:rsidR="00EC0EDC" w:rsidRPr="001E7F59">
              <w:rPr>
                <w:noProof/>
                <w:webHidden/>
              </w:rPr>
              <w:fldChar w:fldCharType="end"/>
            </w:r>
          </w:hyperlink>
        </w:p>
        <w:p w14:paraId="336891AE" w14:textId="6E3192EC" w:rsidR="00EC0EDC" w:rsidRPr="001E7F59" w:rsidRDefault="00993A40">
          <w:pPr>
            <w:pStyle w:val="TDC2"/>
            <w:tabs>
              <w:tab w:val="right" w:leader="dot" w:pos="9034"/>
            </w:tabs>
            <w:rPr>
              <w:rFonts w:asciiTheme="minorHAnsi" w:eastAsiaTheme="minorEastAsia" w:hAnsiTheme="minorHAnsi" w:cstheme="minorBidi"/>
              <w:noProof/>
              <w:sz w:val="22"/>
              <w:szCs w:val="22"/>
              <w:lang w:eastAsia="es-MX"/>
            </w:rPr>
          </w:pPr>
          <w:hyperlink w:anchor="_Toc191296131" w:history="1">
            <w:r w:rsidR="00EC0EDC" w:rsidRPr="001E7F59">
              <w:rPr>
                <w:rStyle w:val="Hipervnculo"/>
                <w:noProof/>
                <w:lang w:val="es-ES"/>
              </w:rPr>
              <w:t xml:space="preserve">CUARTO. </w:t>
            </w:r>
            <w:r w:rsidR="00EC0EDC" w:rsidRPr="001E7F59">
              <w:rPr>
                <w:rStyle w:val="Hipervnculo"/>
                <w:noProof/>
              </w:rPr>
              <w:t>Marco normativo aplicable en materia de transparencia y acceso a la información pública</w:t>
            </w:r>
            <w:r w:rsidR="00EC0EDC" w:rsidRPr="001E7F59">
              <w:rPr>
                <w:noProof/>
                <w:webHidden/>
              </w:rPr>
              <w:tab/>
            </w:r>
            <w:r w:rsidR="00EC0EDC" w:rsidRPr="001E7F59">
              <w:rPr>
                <w:noProof/>
                <w:webHidden/>
              </w:rPr>
              <w:fldChar w:fldCharType="begin"/>
            </w:r>
            <w:r w:rsidR="00EC0EDC" w:rsidRPr="001E7F59">
              <w:rPr>
                <w:noProof/>
                <w:webHidden/>
              </w:rPr>
              <w:instrText xml:space="preserve"> PAGEREF _Toc191296131 \h </w:instrText>
            </w:r>
            <w:r w:rsidR="00EC0EDC" w:rsidRPr="001E7F59">
              <w:rPr>
                <w:noProof/>
                <w:webHidden/>
              </w:rPr>
            </w:r>
            <w:r w:rsidR="00EC0EDC" w:rsidRPr="001E7F59">
              <w:rPr>
                <w:noProof/>
                <w:webHidden/>
              </w:rPr>
              <w:fldChar w:fldCharType="separate"/>
            </w:r>
            <w:r w:rsidR="00F3684D">
              <w:rPr>
                <w:noProof/>
                <w:webHidden/>
              </w:rPr>
              <w:t>10</w:t>
            </w:r>
            <w:r w:rsidR="00EC0EDC" w:rsidRPr="001E7F59">
              <w:rPr>
                <w:noProof/>
                <w:webHidden/>
              </w:rPr>
              <w:fldChar w:fldCharType="end"/>
            </w:r>
          </w:hyperlink>
        </w:p>
        <w:p w14:paraId="4DA9873E" w14:textId="315DE0F1" w:rsidR="00EC0EDC" w:rsidRPr="001E7F59" w:rsidRDefault="00993A40">
          <w:pPr>
            <w:pStyle w:val="TDC2"/>
            <w:tabs>
              <w:tab w:val="right" w:leader="dot" w:pos="9034"/>
            </w:tabs>
            <w:rPr>
              <w:rFonts w:asciiTheme="minorHAnsi" w:eastAsiaTheme="minorEastAsia" w:hAnsiTheme="minorHAnsi" w:cstheme="minorBidi"/>
              <w:noProof/>
              <w:sz w:val="22"/>
              <w:szCs w:val="22"/>
              <w:lang w:eastAsia="es-MX"/>
            </w:rPr>
          </w:pPr>
          <w:hyperlink w:anchor="_Toc191296132" w:history="1">
            <w:r w:rsidR="00EC0EDC" w:rsidRPr="001E7F59">
              <w:rPr>
                <w:rStyle w:val="Hipervnculo"/>
                <w:noProof/>
              </w:rPr>
              <w:t>QUINTO. Estudio de Fondo</w:t>
            </w:r>
            <w:r w:rsidR="00EC0EDC" w:rsidRPr="001E7F59">
              <w:rPr>
                <w:noProof/>
                <w:webHidden/>
              </w:rPr>
              <w:tab/>
            </w:r>
            <w:r w:rsidR="00EC0EDC" w:rsidRPr="001E7F59">
              <w:rPr>
                <w:noProof/>
                <w:webHidden/>
              </w:rPr>
              <w:fldChar w:fldCharType="begin"/>
            </w:r>
            <w:r w:rsidR="00EC0EDC" w:rsidRPr="001E7F59">
              <w:rPr>
                <w:noProof/>
                <w:webHidden/>
              </w:rPr>
              <w:instrText xml:space="preserve"> PAGEREF _Toc191296132 \h </w:instrText>
            </w:r>
            <w:r w:rsidR="00EC0EDC" w:rsidRPr="001E7F59">
              <w:rPr>
                <w:noProof/>
                <w:webHidden/>
              </w:rPr>
            </w:r>
            <w:r w:rsidR="00EC0EDC" w:rsidRPr="001E7F59">
              <w:rPr>
                <w:noProof/>
                <w:webHidden/>
              </w:rPr>
              <w:fldChar w:fldCharType="separate"/>
            </w:r>
            <w:r w:rsidR="00F3684D">
              <w:rPr>
                <w:noProof/>
                <w:webHidden/>
              </w:rPr>
              <w:t>12</w:t>
            </w:r>
            <w:r w:rsidR="00EC0EDC" w:rsidRPr="001E7F59">
              <w:rPr>
                <w:noProof/>
                <w:webHidden/>
              </w:rPr>
              <w:fldChar w:fldCharType="end"/>
            </w:r>
          </w:hyperlink>
        </w:p>
        <w:p w14:paraId="7BB636DA" w14:textId="6F15067C" w:rsidR="00EC0EDC" w:rsidRPr="001E7F59" w:rsidRDefault="00993A40">
          <w:pPr>
            <w:pStyle w:val="TDC2"/>
            <w:tabs>
              <w:tab w:val="right" w:leader="dot" w:pos="9034"/>
            </w:tabs>
            <w:rPr>
              <w:rFonts w:asciiTheme="minorHAnsi" w:eastAsiaTheme="minorEastAsia" w:hAnsiTheme="minorHAnsi" w:cstheme="minorBidi"/>
              <w:noProof/>
              <w:sz w:val="22"/>
              <w:szCs w:val="22"/>
              <w:lang w:eastAsia="es-MX"/>
            </w:rPr>
          </w:pPr>
          <w:hyperlink w:anchor="_Toc191296133" w:history="1">
            <w:r w:rsidR="00EC0EDC" w:rsidRPr="001E7F59">
              <w:rPr>
                <w:rStyle w:val="Hipervnculo"/>
                <w:rFonts w:eastAsiaTheme="minorHAnsi"/>
                <w:noProof/>
                <w:lang w:eastAsia="en-US"/>
              </w:rPr>
              <w:t xml:space="preserve">SEXTO. </w:t>
            </w:r>
            <w:r w:rsidR="00EC0EDC" w:rsidRPr="001E7F59">
              <w:rPr>
                <w:rStyle w:val="Hipervnculo"/>
                <w:noProof/>
                <w:lang w:val="es-ES_tradnl" w:eastAsia="en-US"/>
              </w:rPr>
              <w:t>Vista la Dirección General de Protección de Datos Personales</w:t>
            </w:r>
            <w:r w:rsidR="00EC0EDC" w:rsidRPr="001E7F59">
              <w:rPr>
                <w:noProof/>
                <w:webHidden/>
              </w:rPr>
              <w:tab/>
            </w:r>
            <w:r w:rsidR="00EC0EDC" w:rsidRPr="001E7F59">
              <w:rPr>
                <w:noProof/>
                <w:webHidden/>
              </w:rPr>
              <w:fldChar w:fldCharType="begin"/>
            </w:r>
            <w:r w:rsidR="00EC0EDC" w:rsidRPr="001E7F59">
              <w:rPr>
                <w:noProof/>
                <w:webHidden/>
              </w:rPr>
              <w:instrText xml:space="preserve"> PAGEREF _Toc191296133 \h </w:instrText>
            </w:r>
            <w:r w:rsidR="00EC0EDC" w:rsidRPr="001E7F59">
              <w:rPr>
                <w:noProof/>
                <w:webHidden/>
              </w:rPr>
            </w:r>
            <w:r w:rsidR="00EC0EDC" w:rsidRPr="001E7F59">
              <w:rPr>
                <w:noProof/>
                <w:webHidden/>
              </w:rPr>
              <w:fldChar w:fldCharType="separate"/>
            </w:r>
            <w:r w:rsidR="00F3684D">
              <w:rPr>
                <w:noProof/>
                <w:webHidden/>
              </w:rPr>
              <w:t>55</w:t>
            </w:r>
            <w:r w:rsidR="00EC0EDC" w:rsidRPr="001E7F59">
              <w:rPr>
                <w:noProof/>
                <w:webHidden/>
              </w:rPr>
              <w:fldChar w:fldCharType="end"/>
            </w:r>
          </w:hyperlink>
        </w:p>
        <w:p w14:paraId="18634787" w14:textId="59A66223" w:rsidR="00EC0EDC" w:rsidRPr="001E7F59" w:rsidRDefault="00993A40">
          <w:pPr>
            <w:pStyle w:val="TDC2"/>
            <w:tabs>
              <w:tab w:val="right" w:leader="dot" w:pos="9034"/>
            </w:tabs>
            <w:rPr>
              <w:rFonts w:asciiTheme="minorHAnsi" w:eastAsiaTheme="minorEastAsia" w:hAnsiTheme="minorHAnsi" w:cstheme="minorBidi"/>
              <w:noProof/>
              <w:sz w:val="22"/>
              <w:szCs w:val="22"/>
              <w:lang w:eastAsia="es-MX"/>
            </w:rPr>
          </w:pPr>
          <w:hyperlink w:anchor="_Toc191296134" w:history="1">
            <w:r w:rsidR="00EC0EDC" w:rsidRPr="001E7F59">
              <w:rPr>
                <w:rStyle w:val="Hipervnculo"/>
                <w:noProof/>
                <w:lang w:eastAsia="en-US"/>
              </w:rPr>
              <w:t>SÉPTIMO. Decisión</w:t>
            </w:r>
            <w:r w:rsidR="00EC0EDC" w:rsidRPr="001E7F59">
              <w:rPr>
                <w:noProof/>
                <w:webHidden/>
              </w:rPr>
              <w:tab/>
            </w:r>
            <w:r w:rsidR="00EC0EDC" w:rsidRPr="001E7F59">
              <w:rPr>
                <w:noProof/>
                <w:webHidden/>
              </w:rPr>
              <w:fldChar w:fldCharType="begin"/>
            </w:r>
            <w:r w:rsidR="00EC0EDC" w:rsidRPr="001E7F59">
              <w:rPr>
                <w:noProof/>
                <w:webHidden/>
              </w:rPr>
              <w:instrText xml:space="preserve"> PAGEREF _Toc191296134 \h </w:instrText>
            </w:r>
            <w:r w:rsidR="00EC0EDC" w:rsidRPr="001E7F59">
              <w:rPr>
                <w:noProof/>
                <w:webHidden/>
              </w:rPr>
            </w:r>
            <w:r w:rsidR="00EC0EDC" w:rsidRPr="001E7F59">
              <w:rPr>
                <w:noProof/>
                <w:webHidden/>
              </w:rPr>
              <w:fldChar w:fldCharType="separate"/>
            </w:r>
            <w:r w:rsidR="00F3684D">
              <w:rPr>
                <w:noProof/>
                <w:webHidden/>
              </w:rPr>
              <w:t>56</w:t>
            </w:r>
            <w:r w:rsidR="00EC0EDC" w:rsidRPr="001E7F59">
              <w:rPr>
                <w:noProof/>
                <w:webHidden/>
              </w:rPr>
              <w:fldChar w:fldCharType="end"/>
            </w:r>
          </w:hyperlink>
        </w:p>
        <w:p w14:paraId="33BBC31C" w14:textId="7B4CC035" w:rsidR="00EC0EDC" w:rsidRPr="001E7F59" w:rsidRDefault="00993A40">
          <w:pPr>
            <w:pStyle w:val="TDC3"/>
            <w:tabs>
              <w:tab w:val="right" w:leader="dot" w:pos="9034"/>
            </w:tabs>
            <w:rPr>
              <w:rFonts w:asciiTheme="minorHAnsi" w:eastAsiaTheme="minorEastAsia" w:hAnsiTheme="minorHAnsi" w:cstheme="minorBidi"/>
              <w:noProof/>
              <w:sz w:val="22"/>
              <w:szCs w:val="22"/>
              <w:lang w:eastAsia="es-MX"/>
            </w:rPr>
          </w:pPr>
          <w:hyperlink w:anchor="_Toc191296135" w:history="1">
            <w:r w:rsidR="00EC0EDC" w:rsidRPr="001E7F59">
              <w:rPr>
                <w:rStyle w:val="Hipervnculo"/>
                <w:noProof/>
                <w:lang w:val="es-ES" w:eastAsia="es-ES_tradnl"/>
              </w:rPr>
              <w:t>Términos de la Resolución para el Recurrente</w:t>
            </w:r>
            <w:r w:rsidR="00EC0EDC" w:rsidRPr="001E7F59">
              <w:rPr>
                <w:noProof/>
                <w:webHidden/>
              </w:rPr>
              <w:tab/>
            </w:r>
            <w:r w:rsidR="00EC0EDC" w:rsidRPr="001E7F59">
              <w:rPr>
                <w:noProof/>
                <w:webHidden/>
              </w:rPr>
              <w:fldChar w:fldCharType="begin"/>
            </w:r>
            <w:r w:rsidR="00EC0EDC" w:rsidRPr="001E7F59">
              <w:rPr>
                <w:noProof/>
                <w:webHidden/>
              </w:rPr>
              <w:instrText xml:space="preserve"> PAGEREF _Toc191296135 \h </w:instrText>
            </w:r>
            <w:r w:rsidR="00EC0EDC" w:rsidRPr="001E7F59">
              <w:rPr>
                <w:noProof/>
                <w:webHidden/>
              </w:rPr>
            </w:r>
            <w:r w:rsidR="00EC0EDC" w:rsidRPr="001E7F59">
              <w:rPr>
                <w:noProof/>
                <w:webHidden/>
              </w:rPr>
              <w:fldChar w:fldCharType="separate"/>
            </w:r>
            <w:r w:rsidR="00F3684D">
              <w:rPr>
                <w:noProof/>
                <w:webHidden/>
              </w:rPr>
              <w:t>56</w:t>
            </w:r>
            <w:r w:rsidR="00EC0EDC" w:rsidRPr="001E7F59">
              <w:rPr>
                <w:noProof/>
                <w:webHidden/>
              </w:rPr>
              <w:fldChar w:fldCharType="end"/>
            </w:r>
          </w:hyperlink>
        </w:p>
        <w:p w14:paraId="4538E46F" w14:textId="45CD8F53" w:rsidR="00EC0EDC" w:rsidRPr="001E7F59" w:rsidRDefault="00993A40">
          <w:pPr>
            <w:pStyle w:val="TDC1"/>
            <w:rPr>
              <w:rFonts w:asciiTheme="minorHAnsi" w:eastAsiaTheme="minorEastAsia" w:hAnsiTheme="minorHAnsi" w:cstheme="minorBidi"/>
              <w:noProof/>
              <w:sz w:val="22"/>
              <w:szCs w:val="22"/>
              <w:lang w:eastAsia="es-MX"/>
            </w:rPr>
          </w:pPr>
          <w:hyperlink w:anchor="_Toc191296136" w:history="1">
            <w:r w:rsidR="00EC0EDC" w:rsidRPr="001E7F59">
              <w:rPr>
                <w:rStyle w:val="Hipervnculo"/>
                <w:noProof/>
                <w:lang w:eastAsia="en-US"/>
              </w:rPr>
              <w:t>R E S U E L V E</w:t>
            </w:r>
            <w:r w:rsidR="00EC0EDC" w:rsidRPr="001E7F59">
              <w:rPr>
                <w:noProof/>
                <w:webHidden/>
              </w:rPr>
              <w:tab/>
            </w:r>
            <w:r w:rsidR="00EC0EDC" w:rsidRPr="001E7F59">
              <w:rPr>
                <w:noProof/>
                <w:webHidden/>
              </w:rPr>
              <w:fldChar w:fldCharType="begin"/>
            </w:r>
            <w:r w:rsidR="00EC0EDC" w:rsidRPr="001E7F59">
              <w:rPr>
                <w:noProof/>
                <w:webHidden/>
              </w:rPr>
              <w:instrText xml:space="preserve"> PAGEREF _Toc191296136 \h </w:instrText>
            </w:r>
            <w:r w:rsidR="00EC0EDC" w:rsidRPr="001E7F59">
              <w:rPr>
                <w:noProof/>
                <w:webHidden/>
              </w:rPr>
            </w:r>
            <w:r w:rsidR="00EC0EDC" w:rsidRPr="001E7F59">
              <w:rPr>
                <w:noProof/>
                <w:webHidden/>
              </w:rPr>
              <w:fldChar w:fldCharType="separate"/>
            </w:r>
            <w:r w:rsidR="00F3684D">
              <w:rPr>
                <w:noProof/>
                <w:webHidden/>
              </w:rPr>
              <w:t>57</w:t>
            </w:r>
            <w:r w:rsidR="00EC0EDC" w:rsidRPr="001E7F59">
              <w:rPr>
                <w:noProof/>
                <w:webHidden/>
              </w:rPr>
              <w:fldChar w:fldCharType="end"/>
            </w:r>
          </w:hyperlink>
        </w:p>
        <w:p w14:paraId="32A0594E" w14:textId="74C95E1C" w:rsidR="00EC0EDC" w:rsidRPr="001E7F59" w:rsidRDefault="00993A40">
          <w:pPr>
            <w:pStyle w:val="TDC2"/>
            <w:tabs>
              <w:tab w:val="right" w:leader="dot" w:pos="9034"/>
            </w:tabs>
            <w:rPr>
              <w:rFonts w:asciiTheme="minorHAnsi" w:eastAsiaTheme="minorEastAsia" w:hAnsiTheme="minorHAnsi" w:cstheme="minorBidi"/>
              <w:noProof/>
              <w:sz w:val="22"/>
              <w:szCs w:val="22"/>
              <w:lang w:eastAsia="es-MX"/>
            </w:rPr>
          </w:pPr>
          <w:hyperlink w:anchor="_Toc191296137" w:history="1">
            <w:r w:rsidR="00EC0EDC" w:rsidRPr="001E7F59">
              <w:rPr>
                <w:rStyle w:val="Hipervnculo"/>
                <w:noProof/>
                <w:lang w:val="es-ES" w:eastAsia="en-US"/>
              </w:rPr>
              <w:t>PRIMERO.</w:t>
            </w:r>
            <w:r w:rsidR="00EC0EDC" w:rsidRPr="001E7F59">
              <w:rPr>
                <w:noProof/>
                <w:webHidden/>
              </w:rPr>
              <w:tab/>
            </w:r>
            <w:r w:rsidR="00EC0EDC" w:rsidRPr="001E7F59">
              <w:rPr>
                <w:noProof/>
                <w:webHidden/>
              </w:rPr>
              <w:fldChar w:fldCharType="begin"/>
            </w:r>
            <w:r w:rsidR="00EC0EDC" w:rsidRPr="001E7F59">
              <w:rPr>
                <w:noProof/>
                <w:webHidden/>
              </w:rPr>
              <w:instrText xml:space="preserve"> PAGEREF _Toc191296137 \h </w:instrText>
            </w:r>
            <w:r w:rsidR="00EC0EDC" w:rsidRPr="001E7F59">
              <w:rPr>
                <w:noProof/>
                <w:webHidden/>
              </w:rPr>
            </w:r>
            <w:r w:rsidR="00EC0EDC" w:rsidRPr="001E7F59">
              <w:rPr>
                <w:noProof/>
                <w:webHidden/>
              </w:rPr>
              <w:fldChar w:fldCharType="separate"/>
            </w:r>
            <w:r w:rsidR="00F3684D">
              <w:rPr>
                <w:noProof/>
                <w:webHidden/>
              </w:rPr>
              <w:t>57</w:t>
            </w:r>
            <w:r w:rsidR="00EC0EDC" w:rsidRPr="001E7F59">
              <w:rPr>
                <w:noProof/>
                <w:webHidden/>
              </w:rPr>
              <w:fldChar w:fldCharType="end"/>
            </w:r>
          </w:hyperlink>
        </w:p>
        <w:p w14:paraId="4C8EDD27" w14:textId="78EE9328" w:rsidR="00EC0EDC" w:rsidRPr="001E7F59" w:rsidRDefault="00993A40">
          <w:pPr>
            <w:pStyle w:val="TDC2"/>
            <w:tabs>
              <w:tab w:val="right" w:leader="dot" w:pos="9034"/>
            </w:tabs>
            <w:rPr>
              <w:rFonts w:asciiTheme="minorHAnsi" w:eastAsiaTheme="minorEastAsia" w:hAnsiTheme="minorHAnsi" w:cstheme="minorBidi"/>
              <w:noProof/>
              <w:sz w:val="22"/>
              <w:szCs w:val="22"/>
              <w:lang w:eastAsia="es-MX"/>
            </w:rPr>
          </w:pPr>
          <w:hyperlink w:anchor="_Toc191296138" w:history="1">
            <w:r w:rsidR="00EC0EDC" w:rsidRPr="001E7F59">
              <w:rPr>
                <w:rStyle w:val="Hipervnculo"/>
                <w:noProof/>
                <w:lang w:eastAsia="es-MX"/>
              </w:rPr>
              <w:t>SEGUNDO.</w:t>
            </w:r>
            <w:r w:rsidR="00EC0EDC" w:rsidRPr="001E7F59">
              <w:rPr>
                <w:noProof/>
                <w:webHidden/>
              </w:rPr>
              <w:tab/>
            </w:r>
            <w:r w:rsidR="00EC0EDC" w:rsidRPr="001E7F59">
              <w:rPr>
                <w:noProof/>
                <w:webHidden/>
              </w:rPr>
              <w:fldChar w:fldCharType="begin"/>
            </w:r>
            <w:r w:rsidR="00EC0EDC" w:rsidRPr="001E7F59">
              <w:rPr>
                <w:noProof/>
                <w:webHidden/>
              </w:rPr>
              <w:instrText xml:space="preserve"> PAGEREF _Toc191296138 \h </w:instrText>
            </w:r>
            <w:r w:rsidR="00EC0EDC" w:rsidRPr="001E7F59">
              <w:rPr>
                <w:noProof/>
                <w:webHidden/>
              </w:rPr>
            </w:r>
            <w:r w:rsidR="00EC0EDC" w:rsidRPr="001E7F59">
              <w:rPr>
                <w:noProof/>
                <w:webHidden/>
              </w:rPr>
              <w:fldChar w:fldCharType="separate"/>
            </w:r>
            <w:r w:rsidR="00F3684D">
              <w:rPr>
                <w:noProof/>
                <w:webHidden/>
              </w:rPr>
              <w:t>57</w:t>
            </w:r>
            <w:r w:rsidR="00EC0EDC" w:rsidRPr="001E7F59">
              <w:rPr>
                <w:noProof/>
                <w:webHidden/>
              </w:rPr>
              <w:fldChar w:fldCharType="end"/>
            </w:r>
          </w:hyperlink>
        </w:p>
        <w:p w14:paraId="1FC6F683" w14:textId="06A9E2E4" w:rsidR="00EC0EDC" w:rsidRPr="001E7F59" w:rsidRDefault="00993A40">
          <w:pPr>
            <w:pStyle w:val="TDC2"/>
            <w:tabs>
              <w:tab w:val="right" w:leader="dot" w:pos="9034"/>
            </w:tabs>
            <w:rPr>
              <w:rFonts w:asciiTheme="minorHAnsi" w:eastAsiaTheme="minorEastAsia" w:hAnsiTheme="minorHAnsi" w:cstheme="minorBidi"/>
              <w:noProof/>
              <w:sz w:val="22"/>
              <w:szCs w:val="22"/>
              <w:lang w:eastAsia="es-MX"/>
            </w:rPr>
          </w:pPr>
          <w:hyperlink w:anchor="_Toc191296139" w:history="1">
            <w:r w:rsidR="00EC0EDC" w:rsidRPr="001E7F59">
              <w:rPr>
                <w:rStyle w:val="Hipervnculo"/>
                <w:noProof/>
                <w:lang w:val="es-ES_tradnl" w:eastAsia="en-US"/>
              </w:rPr>
              <w:t>TERCERO.</w:t>
            </w:r>
            <w:r w:rsidR="00EC0EDC" w:rsidRPr="001E7F59">
              <w:rPr>
                <w:noProof/>
                <w:webHidden/>
              </w:rPr>
              <w:tab/>
            </w:r>
            <w:r w:rsidR="00EC0EDC" w:rsidRPr="001E7F59">
              <w:rPr>
                <w:noProof/>
                <w:webHidden/>
              </w:rPr>
              <w:fldChar w:fldCharType="begin"/>
            </w:r>
            <w:r w:rsidR="00EC0EDC" w:rsidRPr="001E7F59">
              <w:rPr>
                <w:noProof/>
                <w:webHidden/>
              </w:rPr>
              <w:instrText xml:space="preserve"> PAGEREF _Toc191296139 \h </w:instrText>
            </w:r>
            <w:r w:rsidR="00EC0EDC" w:rsidRPr="001E7F59">
              <w:rPr>
                <w:noProof/>
                <w:webHidden/>
              </w:rPr>
            </w:r>
            <w:r w:rsidR="00EC0EDC" w:rsidRPr="001E7F59">
              <w:rPr>
                <w:noProof/>
                <w:webHidden/>
              </w:rPr>
              <w:fldChar w:fldCharType="separate"/>
            </w:r>
            <w:r w:rsidR="00F3684D">
              <w:rPr>
                <w:noProof/>
                <w:webHidden/>
              </w:rPr>
              <w:t>58</w:t>
            </w:r>
            <w:r w:rsidR="00EC0EDC" w:rsidRPr="001E7F59">
              <w:rPr>
                <w:noProof/>
                <w:webHidden/>
              </w:rPr>
              <w:fldChar w:fldCharType="end"/>
            </w:r>
          </w:hyperlink>
        </w:p>
        <w:p w14:paraId="2EEBD529" w14:textId="35BCD518" w:rsidR="00EC0EDC" w:rsidRPr="001E7F59" w:rsidRDefault="00993A40">
          <w:pPr>
            <w:pStyle w:val="TDC2"/>
            <w:tabs>
              <w:tab w:val="right" w:leader="dot" w:pos="9034"/>
            </w:tabs>
            <w:rPr>
              <w:rFonts w:asciiTheme="minorHAnsi" w:eastAsiaTheme="minorEastAsia" w:hAnsiTheme="minorHAnsi" w:cstheme="minorBidi"/>
              <w:noProof/>
              <w:sz w:val="22"/>
              <w:szCs w:val="22"/>
              <w:lang w:eastAsia="es-MX"/>
            </w:rPr>
          </w:pPr>
          <w:hyperlink w:anchor="_Toc191296140" w:history="1">
            <w:r w:rsidR="00EC0EDC" w:rsidRPr="001E7F59">
              <w:rPr>
                <w:rStyle w:val="Hipervnculo"/>
                <w:noProof/>
                <w:lang w:eastAsia="en-US"/>
              </w:rPr>
              <w:t>CUARTO.</w:t>
            </w:r>
            <w:r w:rsidR="00EC0EDC" w:rsidRPr="001E7F59">
              <w:rPr>
                <w:noProof/>
                <w:webHidden/>
              </w:rPr>
              <w:tab/>
            </w:r>
            <w:r w:rsidR="00EC0EDC" w:rsidRPr="001E7F59">
              <w:rPr>
                <w:noProof/>
                <w:webHidden/>
              </w:rPr>
              <w:fldChar w:fldCharType="begin"/>
            </w:r>
            <w:r w:rsidR="00EC0EDC" w:rsidRPr="001E7F59">
              <w:rPr>
                <w:noProof/>
                <w:webHidden/>
              </w:rPr>
              <w:instrText xml:space="preserve"> PAGEREF _Toc191296140 \h </w:instrText>
            </w:r>
            <w:r w:rsidR="00EC0EDC" w:rsidRPr="001E7F59">
              <w:rPr>
                <w:noProof/>
                <w:webHidden/>
              </w:rPr>
            </w:r>
            <w:r w:rsidR="00EC0EDC" w:rsidRPr="001E7F59">
              <w:rPr>
                <w:noProof/>
                <w:webHidden/>
              </w:rPr>
              <w:fldChar w:fldCharType="separate"/>
            </w:r>
            <w:r w:rsidR="00F3684D">
              <w:rPr>
                <w:noProof/>
                <w:webHidden/>
              </w:rPr>
              <w:t>59</w:t>
            </w:r>
            <w:r w:rsidR="00EC0EDC" w:rsidRPr="001E7F59">
              <w:rPr>
                <w:noProof/>
                <w:webHidden/>
              </w:rPr>
              <w:fldChar w:fldCharType="end"/>
            </w:r>
          </w:hyperlink>
        </w:p>
        <w:p w14:paraId="285D4A02" w14:textId="6601ECD4" w:rsidR="00EC0EDC" w:rsidRPr="001E7F59" w:rsidRDefault="00993A40">
          <w:pPr>
            <w:pStyle w:val="TDC2"/>
            <w:tabs>
              <w:tab w:val="right" w:leader="dot" w:pos="9034"/>
            </w:tabs>
            <w:rPr>
              <w:rFonts w:asciiTheme="minorHAnsi" w:eastAsiaTheme="minorEastAsia" w:hAnsiTheme="minorHAnsi" w:cstheme="minorBidi"/>
              <w:noProof/>
              <w:sz w:val="22"/>
              <w:szCs w:val="22"/>
              <w:lang w:eastAsia="es-MX"/>
            </w:rPr>
          </w:pPr>
          <w:hyperlink w:anchor="_Toc191296141" w:history="1">
            <w:r w:rsidR="00EC0EDC" w:rsidRPr="001E7F59">
              <w:rPr>
                <w:rStyle w:val="Hipervnculo"/>
                <w:noProof/>
                <w:lang w:eastAsia="en-US"/>
              </w:rPr>
              <w:t>QUINTO.</w:t>
            </w:r>
            <w:r w:rsidR="00EC0EDC" w:rsidRPr="001E7F59">
              <w:rPr>
                <w:noProof/>
                <w:webHidden/>
              </w:rPr>
              <w:tab/>
            </w:r>
            <w:r w:rsidR="00EC0EDC" w:rsidRPr="001E7F59">
              <w:rPr>
                <w:noProof/>
                <w:webHidden/>
              </w:rPr>
              <w:fldChar w:fldCharType="begin"/>
            </w:r>
            <w:r w:rsidR="00EC0EDC" w:rsidRPr="001E7F59">
              <w:rPr>
                <w:noProof/>
                <w:webHidden/>
              </w:rPr>
              <w:instrText xml:space="preserve"> PAGEREF _Toc191296141 \h </w:instrText>
            </w:r>
            <w:r w:rsidR="00EC0EDC" w:rsidRPr="001E7F59">
              <w:rPr>
                <w:noProof/>
                <w:webHidden/>
              </w:rPr>
            </w:r>
            <w:r w:rsidR="00EC0EDC" w:rsidRPr="001E7F59">
              <w:rPr>
                <w:noProof/>
                <w:webHidden/>
              </w:rPr>
              <w:fldChar w:fldCharType="separate"/>
            </w:r>
            <w:r w:rsidR="00F3684D">
              <w:rPr>
                <w:noProof/>
                <w:webHidden/>
              </w:rPr>
              <w:t>59</w:t>
            </w:r>
            <w:r w:rsidR="00EC0EDC" w:rsidRPr="001E7F59">
              <w:rPr>
                <w:noProof/>
                <w:webHidden/>
              </w:rPr>
              <w:fldChar w:fldCharType="end"/>
            </w:r>
          </w:hyperlink>
        </w:p>
        <w:p w14:paraId="51418C18" w14:textId="373B7807" w:rsidR="004717ED" w:rsidRPr="001E7F59" w:rsidRDefault="004717ED" w:rsidP="008C780E">
          <w:r w:rsidRPr="001E7F59">
            <w:rPr>
              <w:rFonts w:ascii="Palatino Linotype" w:hAnsi="Palatino Linotype"/>
              <w:b/>
              <w:bCs/>
              <w:sz w:val="24"/>
              <w:szCs w:val="24"/>
              <w:lang w:val="es-ES"/>
            </w:rPr>
            <w:fldChar w:fldCharType="end"/>
          </w:r>
        </w:p>
      </w:sdtContent>
    </w:sdt>
    <w:p w14:paraId="47D9D33C" w14:textId="52343642" w:rsidR="008F4B45" w:rsidRPr="001E7F59" w:rsidRDefault="00FC3FFA" w:rsidP="008C780E">
      <w:pPr>
        <w:spacing w:after="160" w:line="360" w:lineRule="auto"/>
        <w:jc w:val="both"/>
        <w:rPr>
          <w:rFonts w:ascii="Palatino Linotype" w:hAnsi="Palatino Linotype"/>
          <w:noProof/>
          <w:sz w:val="22"/>
          <w:szCs w:val="22"/>
          <w:lang w:val="es-ES"/>
        </w:rPr>
      </w:pPr>
      <w:r w:rsidRPr="001E7F59">
        <w:rPr>
          <w:rFonts w:ascii="Palatino Linotype" w:hAnsi="Palatino Linotype" w:cs="Tahoma"/>
          <w:bCs/>
          <w:sz w:val="22"/>
          <w:szCs w:val="22"/>
        </w:rPr>
        <w:br w:type="page"/>
      </w:r>
      <w:r w:rsidR="008F4B45" w:rsidRPr="001E7F59">
        <w:rPr>
          <w:rFonts w:ascii="Palatino Linotype" w:eastAsia="Calibri" w:hAnsi="Palatino Linotype" w:cs="Tahoma"/>
          <w:sz w:val="22"/>
          <w:szCs w:val="22"/>
          <w:lang w:eastAsia="en-US"/>
        </w:rPr>
        <w:lastRenderedPageBreak/>
        <w:t xml:space="preserve">Resolución del Pleno del Instituto de Transparencia, Acceso a la Información Pública y Protección de Datos Personales del Estado de México y Municipios, con domicilio en Metepec, Estado de México, de fecha </w:t>
      </w:r>
      <w:r w:rsidR="008C3448" w:rsidRPr="001E7F59">
        <w:rPr>
          <w:rFonts w:ascii="Palatino Linotype" w:eastAsia="Calibri" w:hAnsi="Palatino Linotype" w:cs="Tahoma"/>
          <w:sz w:val="22"/>
          <w:szCs w:val="22"/>
          <w:lang w:eastAsia="en-US"/>
        </w:rPr>
        <w:t>veintiséis</w:t>
      </w:r>
      <w:r w:rsidR="005D770B" w:rsidRPr="001E7F59">
        <w:rPr>
          <w:rFonts w:ascii="Palatino Linotype" w:eastAsia="Calibri" w:hAnsi="Palatino Linotype" w:cs="Tahoma"/>
          <w:sz w:val="22"/>
          <w:szCs w:val="22"/>
          <w:lang w:eastAsia="en-US"/>
        </w:rPr>
        <w:t xml:space="preserve"> de febrero de dos mil veinticinco</w:t>
      </w:r>
      <w:r w:rsidR="00B014BD" w:rsidRPr="001E7F59">
        <w:rPr>
          <w:rFonts w:ascii="Palatino Linotype" w:eastAsia="Calibri" w:hAnsi="Palatino Linotype" w:cs="Tahoma"/>
          <w:sz w:val="22"/>
          <w:szCs w:val="22"/>
          <w:lang w:eastAsia="en-US"/>
        </w:rPr>
        <w:t>.</w:t>
      </w:r>
    </w:p>
    <w:p w14:paraId="0A896D68" w14:textId="77777777" w:rsidR="008F4B45" w:rsidRPr="001E7F59" w:rsidRDefault="008F4B45" w:rsidP="00A35192">
      <w:pPr>
        <w:spacing w:line="360" w:lineRule="auto"/>
        <w:contextualSpacing/>
        <w:jc w:val="both"/>
        <w:rPr>
          <w:rFonts w:ascii="Palatino Linotype" w:hAnsi="Palatino Linotype"/>
          <w:noProof/>
          <w:sz w:val="22"/>
          <w:szCs w:val="22"/>
          <w:lang w:val="es-ES"/>
        </w:rPr>
      </w:pPr>
    </w:p>
    <w:p w14:paraId="1801C976" w14:textId="4CF5151C" w:rsidR="00B67D24" w:rsidRPr="001E7F59" w:rsidRDefault="00B67D24" w:rsidP="00A35192">
      <w:pPr>
        <w:spacing w:line="360" w:lineRule="auto"/>
        <w:contextualSpacing/>
        <w:jc w:val="both"/>
        <w:rPr>
          <w:rFonts w:ascii="Palatino Linotype" w:hAnsi="Palatino Linotype" w:cs="Tahoma"/>
          <w:bCs/>
          <w:color w:val="0D0D0D" w:themeColor="text1" w:themeTint="F2"/>
          <w:sz w:val="22"/>
          <w:szCs w:val="22"/>
        </w:rPr>
      </w:pPr>
      <w:r w:rsidRPr="001E7F59">
        <w:rPr>
          <w:rFonts w:ascii="Palatino Linotype" w:hAnsi="Palatino Linotype" w:cs="Tahoma"/>
          <w:b/>
          <w:bCs/>
          <w:color w:val="0D0D0D" w:themeColor="text1" w:themeTint="F2"/>
          <w:sz w:val="22"/>
          <w:szCs w:val="22"/>
        </w:rPr>
        <w:t>VISTO</w:t>
      </w:r>
      <w:r w:rsidRPr="001E7F59">
        <w:rPr>
          <w:rFonts w:ascii="Palatino Linotype" w:hAnsi="Palatino Linotype" w:cs="Tahoma"/>
          <w:bCs/>
          <w:color w:val="0D0D0D" w:themeColor="text1" w:themeTint="F2"/>
          <w:sz w:val="22"/>
          <w:szCs w:val="22"/>
        </w:rPr>
        <w:t xml:space="preserve"> </w:t>
      </w:r>
      <w:r w:rsidR="009F789C" w:rsidRPr="001E7F59">
        <w:rPr>
          <w:rFonts w:ascii="Palatino Linotype" w:hAnsi="Palatino Linotype" w:cs="Tahoma"/>
          <w:bCs/>
          <w:color w:val="0D0D0D" w:themeColor="text1" w:themeTint="F2"/>
          <w:sz w:val="22"/>
          <w:szCs w:val="22"/>
        </w:rPr>
        <w:t>el</w:t>
      </w:r>
      <w:r w:rsidRPr="001E7F59">
        <w:rPr>
          <w:rFonts w:ascii="Palatino Linotype" w:hAnsi="Palatino Linotype" w:cs="Tahoma"/>
          <w:bCs/>
          <w:color w:val="0D0D0D" w:themeColor="text1" w:themeTint="F2"/>
          <w:sz w:val="22"/>
          <w:szCs w:val="22"/>
        </w:rPr>
        <w:t xml:space="preserve"> expediente conformado con motivo de</w:t>
      </w:r>
      <w:r w:rsidR="009F789C" w:rsidRPr="001E7F59">
        <w:rPr>
          <w:rFonts w:ascii="Palatino Linotype" w:hAnsi="Palatino Linotype" w:cs="Tahoma"/>
          <w:bCs/>
          <w:color w:val="0D0D0D" w:themeColor="text1" w:themeTint="F2"/>
          <w:sz w:val="22"/>
          <w:szCs w:val="22"/>
        </w:rPr>
        <w:t>l</w:t>
      </w:r>
      <w:r w:rsidRPr="001E7F59">
        <w:rPr>
          <w:rFonts w:ascii="Palatino Linotype" w:hAnsi="Palatino Linotype" w:cs="Tahoma"/>
          <w:bCs/>
          <w:color w:val="0D0D0D" w:themeColor="text1" w:themeTint="F2"/>
          <w:sz w:val="22"/>
          <w:szCs w:val="22"/>
        </w:rPr>
        <w:t xml:space="preserve"> Recurso de Revisión </w:t>
      </w:r>
      <w:r w:rsidR="005E15BB" w:rsidRPr="00321457">
        <w:rPr>
          <w:rFonts w:ascii="Palatino Linotype" w:eastAsia="Calibri" w:hAnsi="Palatino Linotype" w:cs="Tahoma"/>
          <w:b/>
          <w:bCs/>
          <w:sz w:val="22"/>
          <w:szCs w:val="22"/>
          <w:lang w:eastAsia="en-US"/>
        </w:rPr>
        <w:t>0</w:t>
      </w:r>
      <w:r w:rsidR="0082621D" w:rsidRPr="00321457">
        <w:rPr>
          <w:rFonts w:ascii="Palatino Linotype" w:eastAsia="Calibri" w:hAnsi="Palatino Linotype" w:cs="Tahoma"/>
          <w:b/>
          <w:bCs/>
          <w:sz w:val="22"/>
          <w:szCs w:val="22"/>
          <w:lang w:eastAsia="en-US"/>
        </w:rPr>
        <w:t>0</w:t>
      </w:r>
      <w:r w:rsidR="008C3448" w:rsidRPr="00321457">
        <w:rPr>
          <w:rFonts w:ascii="Palatino Linotype" w:eastAsia="Calibri" w:hAnsi="Palatino Linotype" w:cs="Tahoma"/>
          <w:b/>
          <w:bCs/>
          <w:sz w:val="22"/>
          <w:szCs w:val="22"/>
          <w:lang w:eastAsia="en-US"/>
        </w:rPr>
        <w:t>541</w:t>
      </w:r>
      <w:r w:rsidR="005E15BB" w:rsidRPr="00321457">
        <w:rPr>
          <w:rFonts w:ascii="Palatino Linotype" w:eastAsia="Calibri" w:hAnsi="Palatino Linotype" w:cs="Tahoma"/>
          <w:b/>
          <w:bCs/>
          <w:sz w:val="22"/>
          <w:szCs w:val="22"/>
          <w:lang w:eastAsia="en-US"/>
        </w:rPr>
        <w:t>/INFOEM/IP/RR/202</w:t>
      </w:r>
      <w:r w:rsidR="0082621D" w:rsidRPr="00321457">
        <w:rPr>
          <w:rFonts w:ascii="Palatino Linotype" w:eastAsia="Calibri" w:hAnsi="Palatino Linotype" w:cs="Tahoma"/>
          <w:b/>
          <w:bCs/>
          <w:sz w:val="22"/>
          <w:szCs w:val="22"/>
          <w:lang w:eastAsia="en-US"/>
        </w:rPr>
        <w:t>5</w:t>
      </w:r>
      <w:r w:rsidR="000104C4" w:rsidRPr="001E7F59">
        <w:rPr>
          <w:rFonts w:ascii="Palatino Linotype" w:eastAsia="Calibri" w:hAnsi="Palatino Linotype" w:cs="Tahoma"/>
          <w:sz w:val="22"/>
          <w:szCs w:val="22"/>
          <w:lang w:eastAsia="en-US"/>
        </w:rPr>
        <w:t>,</w:t>
      </w:r>
      <w:r w:rsidR="00F77239" w:rsidRPr="001E7F59">
        <w:rPr>
          <w:rFonts w:ascii="Palatino Linotype" w:eastAsia="Calibri" w:hAnsi="Palatino Linotype" w:cs="Tahoma"/>
          <w:sz w:val="22"/>
          <w:szCs w:val="22"/>
          <w:lang w:eastAsia="en-US"/>
        </w:rPr>
        <w:t xml:space="preserve"> </w:t>
      </w:r>
      <w:r w:rsidRPr="001E7F59">
        <w:rPr>
          <w:rFonts w:ascii="Palatino Linotype" w:hAnsi="Palatino Linotype" w:cs="Tahoma"/>
          <w:color w:val="0D0D0D" w:themeColor="text1" w:themeTint="F2"/>
          <w:sz w:val="22"/>
          <w:szCs w:val="22"/>
        </w:rPr>
        <w:t>interpuesto por</w:t>
      </w:r>
      <w:r w:rsidRPr="001E7F59">
        <w:rPr>
          <w:rFonts w:ascii="Palatino Linotype" w:eastAsia="Calibri" w:hAnsi="Palatino Linotype" w:cs="Tahoma"/>
          <w:sz w:val="22"/>
          <w:szCs w:val="22"/>
          <w:lang w:eastAsia="en-US"/>
        </w:rPr>
        <w:t xml:space="preserve"> </w:t>
      </w:r>
      <w:r w:rsidR="00004754" w:rsidRPr="00A97B2D">
        <w:rPr>
          <w:bCs/>
          <w:highlight w:val="black"/>
        </w:rPr>
        <w:t>XXXXXXXX</w:t>
      </w:r>
      <w:r w:rsidR="00004754">
        <w:rPr>
          <w:bCs/>
          <w:highlight w:val="black"/>
        </w:rPr>
        <w:t>XXX</w:t>
      </w:r>
      <w:r w:rsidR="00004754" w:rsidRPr="00A97B2D">
        <w:rPr>
          <w:bCs/>
          <w:highlight w:val="black"/>
        </w:rPr>
        <w:t>XX</w:t>
      </w:r>
      <w:r w:rsidRPr="00321457">
        <w:rPr>
          <w:rFonts w:ascii="Palatino Linotype" w:hAnsi="Palatino Linotype" w:cs="Tahoma"/>
          <w:b/>
          <w:bCs/>
          <w:color w:val="0D0D0D" w:themeColor="text1" w:themeTint="F2"/>
          <w:sz w:val="22"/>
          <w:szCs w:val="22"/>
        </w:rPr>
        <w:t>,</w:t>
      </w:r>
      <w:r w:rsidRPr="001E7F59">
        <w:rPr>
          <w:rFonts w:ascii="Palatino Linotype" w:hAnsi="Palatino Linotype" w:cs="Tahoma"/>
          <w:color w:val="0D0D0D" w:themeColor="text1" w:themeTint="F2"/>
          <w:sz w:val="22"/>
          <w:szCs w:val="22"/>
        </w:rPr>
        <w:t xml:space="preserve"> </w:t>
      </w:r>
      <w:r w:rsidR="009954B0" w:rsidRPr="001E7F59">
        <w:rPr>
          <w:rFonts w:ascii="Palatino Linotype" w:hAnsi="Palatino Linotype" w:cs="Tahoma"/>
          <w:color w:val="0D0D0D" w:themeColor="text1" w:themeTint="F2"/>
          <w:sz w:val="22"/>
          <w:szCs w:val="22"/>
        </w:rPr>
        <w:t>persona</w:t>
      </w:r>
      <w:r w:rsidRPr="001E7F59">
        <w:rPr>
          <w:rFonts w:ascii="Palatino Linotype" w:hAnsi="Palatino Linotype" w:cs="Tahoma"/>
          <w:color w:val="0D0D0D" w:themeColor="text1" w:themeTint="F2"/>
          <w:sz w:val="22"/>
          <w:szCs w:val="22"/>
        </w:rPr>
        <w:t xml:space="preserve"> Recurrente o Particular, </w:t>
      </w:r>
      <w:r w:rsidRPr="001E7F59">
        <w:rPr>
          <w:rFonts w:ascii="Palatino Linotype" w:eastAsia="Calibri" w:hAnsi="Palatino Linotype" w:cs="Tahoma"/>
          <w:sz w:val="22"/>
          <w:szCs w:val="22"/>
          <w:lang w:val="es-ES" w:eastAsia="en-US"/>
        </w:rPr>
        <w:t xml:space="preserve">en contra de la respuesta del Sujeto Obligado, </w:t>
      </w:r>
      <w:r w:rsidR="008C3448" w:rsidRPr="00321457">
        <w:rPr>
          <w:rFonts w:ascii="Palatino Linotype" w:eastAsia="Calibri" w:hAnsi="Palatino Linotype" w:cs="Tahoma"/>
          <w:b/>
          <w:bCs/>
          <w:sz w:val="22"/>
          <w:szCs w:val="22"/>
          <w:lang w:eastAsia="en-US"/>
        </w:rPr>
        <w:t>Organismo Agua y Saneamiento de Toluca</w:t>
      </w:r>
      <w:r w:rsidR="00F77239" w:rsidRPr="00321457">
        <w:rPr>
          <w:rFonts w:ascii="Palatino Linotype" w:eastAsia="Calibri" w:hAnsi="Palatino Linotype" w:cs="Tahoma"/>
          <w:b/>
          <w:bCs/>
          <w:sz w:val="22"/>
          <w:szCs w:val="22"/>
          <w:lang w:val="es-ES" w:eastAsia="en-US"/>
        </w:rPr>
        <w:t>,</w:t>
      </w:r>
      <w:r w:rsidR="00F77239" w:rsidRPr="001E7F59">
        <w:rPr>
          <w:rFonts w:ascii="Palatino Linotype" w:eastAsia="Calibri" w:hAnsi="Palatino Linotype" w:cs="Tahoma"/>
          <w:sz w:val="22"/>
          <w:szCs w:val="22"/>
          <w:lang w:val="es-ES" w:eastAsia="en-US"/>
        </w:rPr>
        <w:t xml:space="preserve"> a la </w:t>
      </w:r>
      <w:r w:rsidR="009F789C" w:rsidRPr="001E7F59">
        <w:rPr>
          <w:rFonts w:ascii="Palatino Linotype" w:eastAsia="Calibri" w:hAnsi="Palatino Linotype" w:cs="Tahoma"/>
          <w:sz w:val="22"/>
          <w:szCs w:val="22"/>
          <w:lang w:val="es-ES" w:eastAsia="en-US"/>
        </w:rPr>
        <w:t>solicitud</w:t>
      </w:r>
      <w:r w:rsidRPr="001E7F59">
        <w:rPr>
          <w:rFonts w:ascii="Palatino Linotype" w:eastAsia="Calibri" w:hAnsi="Palatino Linotype" w:cs="Tahoma"/>
          <w:sz w:val="22"/>
          <w:szCs w:val="22"/>
          <w:lang w:val="es-ES" w:eastAsia="en-US"/>
        </w:rPr>
        <w:t xml:space="preserve"> de acceso a la información pública con número de folio </w:t>
      </w:r>
      <w:r w:rsidR="008C3448" w:rsidRPr="001E7F59">
        <w:rPr>
          <w:rFonts w:ascii="Palatino Linotype" w:eastAsia="Calibri" w:hAnsi="Palatino Linotype" w:cs="Tahoma"/>
          <w:sz w:val="22"/>
          <w:szCs w:val="22"/>
          <w:lang w:eastAsia="en-US"/>
        </w:rPr>
        <w:t>00192/OASTOL/IP/2024</w:t>
      </w:r>
      <w:r w:rsidRPr="001E7F59">
        <w:rPr>
          <w:rFonts w:ascii="Palatino Linotype" w:eastAsia="Calibri" w:hAnsi="Palatino Linotype" w:cs="Tahoma"/>
          <w:sz w:val="22"/>
          <w:szCs w:val="22"/>
          <w:lang w:val="es-ES" w:eastAsia="en-US"/>
        </w:rPr>
        <w:t>, se emite la presente</w:t>
      </w:r>
      <w:r w:rsidRPr="001E7F59">
        <w:rPr>
          <w:rFonts w:ascii="Palatino Linotype" w:eastAsia="Calibri" w:hAnsi="Palatino Linotype" w:cs="Tahoma"/>
          <w:bCs/>
          <w:sz w:val="22"/>
          <w:szCs w:val="22"/>
          <w:lang w:val="es-ES" w:eastAsia="en-US"/>
        </w:rPr>
        <w:t xml:space="preserve"> Resolución, con base en los Antecedentes y Consideraciones que a continuación se exponen:</w:t>
      </w:r>
      <w:r w:rsidR="0082621D" w:rsidRPr="001E7F59">
        <w:rPr>
          <w:rFonts w:ascii="Palatino Linotype" w:eastAsia="Calibri" w:hAnsi="Palatino Linotype" w:cs="Tahoma"/>
          <w:bCs/>
          <w:sz w:val="22"/>
          <w:szCs w:val="22"/>
          <w:lang w:val="es-ES" w:eastAsia="en-US"/>
        </w:rPr>
        <w:t xml:space="preserve">   </w:t>
      </w:r>
    </w:p>
    <w:p w14:paraId="4FC0AE1F" w14:textId="546D38B6" w:rsidR="00380A6B" w:rsidRPr="001E7F59" w:rsidRDefault="008F4B45" w:rsidP="00A35192">
      <w:pPr>
        <w:tabs>
          <w:tab w:val="left" w:pos="2835"/>
        </w:tabs>
        <w:spacing w:line="360" w:lineRule="auto"/>
        <w:ind w:right="-93"/>
        <w:contextualSpacing/>
        <w:jc w:val="both"/>
        <w:rPr>
          <w:rFonts w:ascii="Palatino Linotype" w:eastAsia="Calibri" w:hAnsi="Palatino Linotype" w:cs="Tahoma"/>
          <w:bCs/>
          <w:sz w:val="22"/>
          <w:szCs w:val="22"/>
          <w:lang w:val="es-ES" w:eastAsia="en-US"/>
        </w:rPr>
      </w:pPr>
      <w:r w:rsidRPr="001E7F59">
        <w:rPr>
          <w:rFonts w:ascii="Palatino Linotype" w:eastAsia="Calibri" w:hAnsi="Palatino Linotype" w:cs="Tahoma"/>
          <w:bCs/>
          <w:sz w:val="22"/>
          <w:szCs w:val="22"/>
          <w:lang w:val="es-ES" w:eastAsia="en-US"/>
        </w:rPr>
        <w:tab/>
      </w:r>
    </w:p>
    <w:p w14:paraId="5C86BBDC" w14:textId="77777777" w:rsidR="009B6BEB" w:rsidRPr="001E7F59" w:rsidRDefault="009B6BEB" w:rsidP="00A35192">
      <w:pPr>
        <w:tabs>
          <w:tab w:val="left" w:pos="2835"/>
        </w:tabs>
        <w:spacing w:line="360" w:lineRule="auto"/>
        <w:ind w:right="-93"/>
        <w:contextualSpacing/>
        <w:jc w:val="both"/>
        <w:rPr>
          <w:rFonts w:ascii="Palatino Linotype" w:eastAsia="Calibri" w:hAnsi="Palatino Linotype" w:cs="Tahoma"/>
          <w:b/>
          <w:bCs/>
          <w:sz w:val="22"/>
          <w:szCs w:val="22"/>
          <w:lang w:eastAsia="en-US"/>
        </w:rPr>
      </w:pPr>
    </w:p>
    <w:p w14:paraId="0394FE27" w14:textId="256F0047" w:rsidR="008F4B45" w:rsidRPr="001E7F59" w:rsidRDefault="000F623D" w:rsidP="00A35192">
      <w:pPr>
        <w:pStyle w:val="Ttulo1"/>
        <w:spacing w:before="0"/>
        <w:rPr>
          <w:lang w:val="pt-BR" w:eastAsia="en-US"/>
        </w:rPr>
      </w:pPr>
      <w:bookmarkStart w:id="0" w:name="_Toc191296116"/>
      <w:r w:rsidRPr="001E7F59">
        <w:rPr>
          <w:lang w:val="pt-BR" w:eastAsia="en-US"/>
        </w:rPr>
        <w:t>A N T E C E D E N T E S</w:t>
      </w:r>
      <w:bookmarkEnd w:id="0"/>
    </w:p>
    <w:p w14:paraId="05E6C7E8" w14:textId="77777777" w:rsidR="008F4B45" w:rsidRPr="001E7F59" w:rsidRDefault="008F4B45" w:rsidP="00A35192">
      <w:pPr>
        <w:spacing w:line="360" w:lineRule="auto"/>
        <w:ind w:right="-93"/>
        <w:contextualSpacing/>
        <w:jc w:val="both"/>
        <w:rPr>
          <w:rFonts w:ascii="Palatino Linotype" w:eastAsia="Calibri" w:hAnsi="Palatino Linotype" w:cs="Tahoma"/>
          <w:bCs/>
          <w:sz w:val="22"/>
          <w:szCs w:val="22"/>
          <w:lang w:val="pt-BR" w:eastAsia="en-US"/>
        </w:rPr>
      </w:pPr>
    </w:p>
    <w:p w14:paraId="018FC96E" w14:textId="607FADD8" w:rsidR="008F4B45" w:rsidRPr="001E7F59" w:rsidRDefault="008F4B45" w:rsidP="00A35192">
      <w:pPr>
        <w:pStyle w:val="Ttulo2"/>
        <w:spacing w:before="0"/>
        <w:rPr>
          <w:lang w:eastAsia="en-US"/>
        </w:rPr>
      </w:pPr>
      <w:bookmarkStart w:id="1" w:name="_Toc191296117"/>
      <w:r w:rsidRPr="001E7F59">
        <w:rPr>
          <w:lang w:eastAsia="en-US"/>
        </w:rPr>
        <w:t xml:space="preserve">I. Presentación </w:t>
      </w:r>
      <w:r w:rsidR="000F623D" w:rsidRPr="001E7F59">
        <w:rPr>
          <w:lang w:eastAsia="en-US"/>
        </w:rPr>
        <w:t>de la solicitud de información</w:t>
      </w:r>
      <w:bookmarkEnd w:id="1"/>
    </w:p>
    <w:p w14:paraId="59E5F325" w14:textId="77777777" w:rsidR="00316AB7" w:rsidRPr="001E7F59" w:rsidRDefault="00316AB7" w:rsidP="00A35192">
      <w:pPr>
        <w:autoSpaceDE w:val="0"/>
        <w:autoSpaceDN w:val="0"/>
        <w:adjustRightInd w:val="0"/>
        <w:spacing w:line="360" w:lineRule="auto"/>
        <w:jc w:val="both"/>
        <w:rPr>
          <w:rFonts w:ascii="Palatino Linotype" w:hAnsi="Palatino Linotype" w:cs="Tahoma"/>
          <w:sz w:val="22"/>
          <w:szCs w:val="22"/>
        </w:rPr>
      </w:pPr>
    </w:p>
    <w:p w14:paraId="21B68177" w14:textId="39097F96" w:rsidR="008F4B45" w:rsidRPr="001E7F59" w:rsidRDefault="00316AB7" w:rsidP="00A35192">
      <w:pPr>
        <w:autoSpaceDE w:val="0"/>
        <w:autoSpaceDN w:val="0"/>
        <w:adjustRightInd w:val="0"/>
        <w:spacing w:line="360" w:lineRule="auto"/>
        <w:jc w:val="both"/>
        <w:rPr>
          <w:rFonts w:ascii="Palatino Linotype" w:eastAsia="Calibri" w:hAnsi="Palatino Linotype" w:cs="Tahoma"/>
          <w:bCs/>
          <w:sz w:val="22"/>
          <w:szCs w:val="22"/>
          <w:lang w:eastAsia="en-US"/>
        </w:rPr>
      </w:pPr>
      <w:r w:rsidRPr="001E7F59">
        <w:rPr>
          <w:rFonts w:ascii="Palatino Linotype" w:hAnsi="Palatino Linotype" w:cs="Tahoma"/>
          <w:sz w:val="22"/>
          <w:szCs w:val="22"/>
        </w:rPr>
        <w:t xml:space="preserve">Con fecha </w:t>
      </w:r>
      <w:r w:rsidR="008C3448" w:rsidRPr="001E7F59">
        <w:rPr>
          <w:rFonts w:ascii="Palatino Linotype" w:hAnsi="Palatino Linotype" w:cs="Tahoma"/>
          <w:sz w:val="22"/>
          <w:szCs w:val="22"/>
        </w:rPr>
        <w:t>veintiocho de noviembre de dos mil veinticuatro</w:t>
      </w:r>
      <w:r w:rsidRPr="001E7F59">
        <w:rPr>
          <w:rFonts w:ascii="Palatino Linotype" w:hAnsi="Palatino Linotype" w:cs="Tahoma"/>
          <w:sz w:val="22"/>
          <w:szCs w:val="22"/>
        </w:rPr>
        <w:t xml:space="preserve">, </w:t>
      </w:r>
      <w:r w:rsidR="005E15BB" w:rsidRPr="001E7F59">
        <w:rPr>
          <w:rFonts w:ascii="Palatino Linotype" w:hAnsi="Palatino Linotype" w:cs="Tahoma"/>
          <w:sz w:val="22"/>
          <w:szCs w:val="22"/>
        </w:rPr>
        <w:t>el</w:t>
      </w:r>
      <w:r w:rsidRPr="001E7F59">
        <w:rPr>
          <w:rFonts w:ascii="Palatino Linotype" w:hAnsi="Palatino Linotype" w:cs="Tahoma"/>
          <w:sz w:val="22"/>
          <w:szCs w:val="22"/>
        </w:rPr>
        <w:t xml:space="preserve"> Particular presentó </w:t>
      </w:r>
      <w:r w:rsidR="0026006C" w:rsidRPr="001E7F59">
        <w:rPr>
          <w:rFonts w:ascii="Palatino Linotype" w:hAnsi="Palatino Linotype" w:cs="Tahoma"/>
          <w:sz w:val="22"/>
          <w:szCs w:val="22"/>
        </w:rPr>
        <w:t xml:space="preserve">una </w:t>
      </w:r>
      <w:r w:rsidRPr="001E7F59">
        <w:rPr>
          <w:rFonts w:ascii="Palatino Linotype" w:hAnsi="Palatino Linotype" w:cs="Tahoma"/>
          <w:sz w:val="22"/>
          <w:szCs w:val="22"/>
        </w:rPr>
        <w:t>solicitud de acceso a la información pública, a través del Sistema de Acceso a la Información Mexiquense</w:t>
      </w:r>
      <w:r w:rsidR="00384D88" w:rsidRPr="001E7F59">
        <w:rPr>
          <w:rFonts w:ascii="Palatino Linotype" w:hAnsi="Palatino Linotype" w:cs="Tahoma"/>
          <w:sz w:val="22"/>
          <w:szCs w:val="22"/>
        </w:rPr>
        <w:t>, en lo sucesivo</w:t>
      </w:r>
      <w:r w:rsidRPr="001E7F59">
        <w:rPr>
          <w:rFonts w:ascii="Palatino Linotype" w:hAnsi="Palatino Linotype" w:cs="Tahoma"/>
          <w:sz w:val="22"/>
          <w:szCs w:val="22"/>
        </w:rPr>
        <w:t xml:space="preserve"> </w:t>
      </w:r>
      <w:r w:rsidR="00384D88" w:rsidRPr="001E7F59">
        <w:rPr>
          <w:rFonts w:ascii="Palatino Linotype" w:hAnsi="Palatino Linotype" w:cs="Tahoma"/>
          <w:sz w:val="22"/>
          <w:szCs w:val="22"/>
        </w:rPr>
        <w:t xml:space="preserve">el </w:t>
      </w:r>
      <w:r w:rsidRPr="009D3CAC">
        <w:rPr>
          <w:rFonts w:ascii="Palatino Linotype" w:hAnsi="Palatino Linotype" w:cs="Tahoma"/>
          <w:sz w:val="22"/>
          <w:szCs w:val="22"/>
        </w:rPr>
        <w:t xml:space="preserve">SAIMEX, ante </w:t>
      </w:r>
      <w:r w:rsidR="0082621D" w:rsidRPr="009D3CAC">
        <w:rPr>
          <w:rFonts w:ascii="Palatino Linotype" w:hAnsi="Palatino Linotype" w:cs="Tahoma"/>
          <w:sz w:val="22"/>
          <w:szCs w:val="22"/>
        </w:rPr>
        <w:t xml:space="preserve">el </w:t>
      </w:r>
      <w:r w:rsidR="008C3448" w:rsidRPr="009D3CAC">
        <w:rPr>
          <w:rFonts w:ascii="Palatino Linotype" w:hAnsi="Palatino Linotype" w:cs="Tahoma"/>
          <w:sz w:val="22"/>
          <w:szCs w:val="22"/>
        </w:rPr>
        <w:t>Organismo Agua</w:t>
      </w:r>
      <w:bookmarkStart w:id="2" w:name="_GoBack"/>
      <w:bookmarkEnd w:id="2"/>
      <w:r w:rsidR="008C3448" w:rsidRPr="001E7F59">
        <w:rPr>
          <w:rFonts w:ascii="Palatino Linotype" w:hAnsi="Palatino Linotype" w:cs="Tahoma"/>
          <w:sz w:val="22"/>
          <w:szCs w:val="22"/>
        </w:rPr>
        <w:t xml:space="preserve"> y Saneamiento de Toluca</w:t>
      </w:r>
      <w:r w:rsidR="007810CC" w:rsidRPr="001E7F59">
        <w:rPr>
          <w:rFonts w:ascii="Palatino Linotype" w:hAnsi="Palatino Linotype" w:cs="Tahoma"/>
          <w:bCs/>
          <w:sz w:val="22"/>
          <w:szCs w:val="22"/>
        </w:rPr>
        <w:t xml:space="preserve">, </w:t>
      </w:r>
      <w:r w:rsidR="00D3618F" w:rsidRPr="001E7F59">
        <w:rPr>
          <w:rFonts w:ascii="Palatino Linotype" w:eastAsia="Calibri" w:hAnsi="Palatino Linotype" w:cs="Tahoma"/>
          <w:bCs/>
          <w:sz w:val="22"/>
          <w:szCs w:val="22"/>
          <w:lang w:eastAsia="en-US"/>
        </w:rPr>
        <w:t>en</w:t>
      </w:r>
      <w:r w:rsidR="008F4B45" w:rsidRPr="001E7F59">
        <w:rPr>
          <w:rFonts w:ascii="Palatino Linotype" w:eastAsia="Calibri" w:hAnsi="Palatino Linotype" w:cs="Tahoma"/>
          <w:bCs/>
          <w:sz w:val="22"/>
          <w:szCs w:val="22"/>
          <w:lang w:eastAsia="en-US"/>
        </w:rPr>
        <w:t xml:space="preserve"> la cual requirió lo siguiente:</w:t>
      </w:r>
    </w:p>
    <w:p w14:paraId="4F3B7FD1" w14:textId="77777777" w:rsidR="009F789C" w:rsidRPr="001E7F59" w:rsidRDefault="009F789C" w:rsidP="00A35192">
      <w:pPr>
        <w:spacing w:line="360" w:lineRule="auto"/>
        <w:ind w:left="567" w:right="567"/>
        <w:contextualSpacing/>
        <w:jc w:val="both"/>
        <w:rPr>
          <w:rFonts w:ascii="Palatino Linotype" w:hAnsi="Palatino Linotype" w:cs="Tahoma"/>
          <w:b/>
          <w:i/>
          <w:iCs/>
        </w:rPr>
      </w:pPr>
    </w:p>
    <w:p w14:paraId="154A2E5E" w14:textId="6E8A8565" w:rsidR="00D3618F" w:rsidRPr="001E7F59" w:rsidRDefault="009F789C" w:rsidP="00A35192">
      <w:pPr>
        <w:spacing w:line="360" w:lineRule="auto"/>
        <w:ind w:left="567" w:right="567"/>
        <w:contextualSpacing/>
        <w:jc w:val="both"/>
        <w:rPr>
          <w:rFonts w:ascii="Palatino Linotype" w:hAnsi="Palatino Linotype" w:cs="Tahoma"/>
          <w:b/>
          <w:iCs/>
        </w:rPr>
      </w:pPr>
      <w:r w:rsidRPr="001E7F59">
        <w:rPr>
          <w:rFonts w:ascii="Palatino Linotype" w:hAnsi="Palatino Linotype" w:cs="Tahoma"/>
          <w:b/>
          <w:i/>
          <w:iCs/>
        </w:rPr>
        <w:t xml:space="preserve"> </w:t>
      </w:r>
      <w:r w:rsidR="00D3618F" w:rsidRPr="001E7F59">
        <w:rPr>
          <w:rFonts w:ascii="Palatino Linotype" w:hAnsi="Palatino Linotype" w:cs="Tahoma"/>
          <w:b/>
          <w:iCs/>
        </w:rPr>
        <w:t>DESCRIPCIÓN CLARA Y PRECISA DE LA INFORMACIÓN SOLICITADA</w:t>
      </w:r>
    </w:p>
    <w:p w14:paraId="39A7FD48" w14:textId="65E450EF" w:rsidR="00D3618F" w:rsidRPr="001E7F59" w:rsidRDefault="000F623D" w:rsidP="00A35192">
      <w:pPr>
        <w:widowControl w:val="0"/>
        <w:spacing w:line="360" w:lineRule="auto"/>
        <w:ind w:left="567" w:right="567"/>
        <w:contextualSpacing/>
        <w:jc w:val="both"/>
        <w:rPr>
          <w:rFonts w:ascii="Palatino Linotype" w:hAnsi="Palatino Linotype"/>
          <w:bCs/>
          <w:iCs/>
          <w:color w:val="000000"/>
        </w:rPr>
      </w:pPr>
      <w:r w:rsidRPr="001E7F59">
        <w:rPr>
          <w:rFonts w:ascii="Palatino Linotype" w:hAnsi="Palatino Linotype"/>
          <w:bCs/>
          <w:i/>
          <w:iCs/>
          <w:color w:val="000000"/>
        </w:rPr>
        <w:t>“</w:t>
      </w:r>
      <w:r w:rsidR="00F774D1" w:rsidRPr="001E7F59">
        <w:rPr>
          <w:rFonts w:ascii="Palatino Linotype" w:hAnsi="Palatino Linotype"/>
          <w:bCs/>
          <w:i/>
          <w:iCs/>
          <w:color w:val="000000"/>
        </w:rPr>
        <w:t>Solicito expediente personal, alta, recibos de nomina de todo el ejercicio fiscal 2024, cedula profesional y titulo profesional de la titular de la Subdirección de Administración de Agua y Saneamiento de Toluca. además se me informe si cuenta con vehículo oficial asignado, de ser afirmativo señale las placas, modelo, color y cuanto combustible tiene asignado.</w:t>
      </w:r>
      <w:r w:rsidRPr="001E7F59">
        <w:rPr>
          <w:rFonts w:ascii="Palatino Linotype" w:hAnsi="Palatino Linotype"/>
          <w:bCs/>
          <w:i/>
          <w:iCs/>
          <w:color w:val="000000"/>
        </w:rPr>
        <w:t>”</w:t>
      </w:r>
      <w:r w:rsidR="00695AC4" w:rsidRPr="001E7F59">
        <w:rPr>
          <w:rFonts w:ascii="Palatino Linotype" w:hAnsi="Palatino Linotype"/>
          <w:bCs/>
          <w:i/>
          <w:iCs/>
          <w:color w:val="000000"/>
        </w:rPr>
        <w:t xml:space="preserve"> </w:t>
      </w:r>
      <w:r w:rsidR="00695AC4" w:rsidRPr="001E7F59">
        <w:rPr>
          <w:rFonts w:ascii="Palatino Linotype" w:hAnsi="Palatino Linotype"/>
          <w:bCs/>
          <w:iCs/>
          <w:color w:val="000000"/>
        </w:rPr>
        <w:t>(Sic)</w:t>
      </w:r>
      <w:r w:rsidR="00384D88" w:rsidRPr="001E7F59">
        <w:rPr>
          <w:rFonts w:ascii="Palatino Linotype" w:hAnsi="Palatino Linotype"/>
          <w:bCs/>
          <w:iCs/>
          <w:color w:val="000000"/>
        </w:rPr>
        <w:t>.</w:t>
      </w:r>
    </w:p>
    <w:p w14:paraId="7FEC60D5" w14:textId="2A4BB840" w:rsidR="00D3618F" w:rsidRPr="001E7F59" w:rsidRDefault="00D3618F" w:rsidP="00A35192">
      <w:pPr>
        <w:widowControl w:val="0"/>
        <w:spacing w:line="360" w:lineRule="auto"/>
        <w:ind w:left="567" w:right="567"/>
        <w:contextualSpacing/>
        <w:jc w:val="both"/>
        <w:rPr>
          <w:rFonts w:ascii="Palatino Linotype" w:hAnsi="Palatino Linotype"/>
          <w:bCs/>
          <w:i/>
          <w:iCs/>
          <w:color w:val="000000"/>
        </w:rPr>
      </w:pPr>
    </w:p>
    <w:p w14:paraId="43E13316" w14:textId="18B20F3E" w:rsidR="00D3618F" w:rsidRPr="001E7F59" w:rsidRDefault="000F623D" w:rsidP="00A35192">
      <w:pPr>
        <w:tabs>
          <w:tab w:val="left" w:pos="4667"/>
        </w:tabs>
        <w:spacing w:line="360" w:lineRule="auto"/>
        <w:ind w:left="567"/>
        <w:jc w:val="both"/>
        <w:rPr>
          <w:rFonts w:ascii="Palatino Linotype" w:hAnsi="Palatino Linotype" w:cs="Tahoma"/>
          <w:bCs/>
          <w:i/>
        </w:rPr>
      </w:pPr>
      <w:r w:rsidRPr="001E7F59">
        <w:rPr>
          <w:rFonts w:ascii="Palatino Linotype" w:hAnsi="Palatino Linotype" w:cs="Tahoma"/>
          <w:b/>
          <w:bCs/>
        </w:rPr>
        <w:lastRenderedPageBreak/>
        <w:t>MODALIDAD DE ENTREGA</w:t>
      </w:r>
      <w:r w:rsidR="00A1214F" w:rsidRPr="001E7F59">
        <w:rPr>
          <w:rFonts w:ascii="Palatino Linotype" w:hAnsi="Palatino Linotype" w:cs="Tahoma"/>
          <w:b/>
          <w:bCs/>
        </w:rPr>
        <w:t xml:space="preserve"> </w:t>
      </w:r>
      <w:r w:rsidRPr="001E7F59">
        <w:rPr>
          <w:rFonts w:ascii="Palatino Linotype" w:hAnsi="Palatino Linotype" w:cs="Tahoma"/>
          <w:bCs/>
          <w:i/>
        </w:rPr>
        <w:t>“SAIMEX”</w:t>
      </w:r>
    </w:p>
    <w:p w14:paraId="124152D8" w14:textId="109F27D9" w:rsidR="00F61C75" w:rsidRPr="001E7F59" w:rsidRDefault="00F774D1" w:rsidP="00F774D1">
      <w:pPr>
        <w:tabs>
          <w:tab w:val="left" w:pos="567"/>
          <w:tab w:val="left" w:pos="988"/>
        </w:tabs>
        <w:spacing w:line="360" w:lineRule="auto"/>
        <w:ind w:left="567" w:right="-28"/>
        <w:jc w:val="both"/>
        <w:rPr>
          <w:rFonts w:ascii="Palatino Linotype" w:hAnsi="Palatino Linotype" w:cs="Tahoma"/>
          <w:bCs/>
          <w:i/>
          <w:sz w:val="22"/>
          <w:szCs w:val="22"/>
        </w:rPr>
      </w:pPr>
      <w:r w:rsidRPr="001E7F59">
        <w:rPr>
          <w:rFonts w:ascii="Palatino Linotype" w:hAnsi="Palatino Linotype" w:cs="Tahoma"/>
          <w:bCs/>
          <w:i/>
          <w:sz w:val="22"/>
          <w:szCs w:val="22"/>
        </w:rPr>
        <w:tab/>
      </w:r>
    </w:p>
    <w:p w14:paraId="7252A84A" w14:textId="77777777" w:rsidR="00F774D1" w:rsidRPr="001E7F59" w:rsidRDefault="00156E5D" w:rsidP="00F774D1">
      <w:pPr>
        <w:pStyle w:val="Ttulo2"/>
      </w:pPr>
      <w:bookmarkStart w:id="3" w:name="_Toc191296118"/>
      <w:r w:rsidRPr="001E7F59">
        <w:t xml:space="preserve">II. </w:t>
      </w:r>
      <w:r w:rsidR="00F774D1" w:rsidRPr="001E7F59">
        <w:t>Prórroga para la entrega de la información</w:t>
      </w:r>
      <w:bookmarkEnd w:id="3"/>
    </w:p>
    <w:p w14:paraId="680F17E4" w14:textId="77777777" w:rsidR="00F774D1" w:rsidRPr="001E7F59" w:rsidRDefault="00F774D1" w:rsidP="00F774D1">
      <w:pPr>
        <w:pStyle w:val="Ttulo2"/>
        <w:spacing w:line="360" w:lineRule="auto"/>
      </w:pPr>
    </w:p>
    <w:p w14:paraId="26146D28" w14:textId="5C0B7F6F" w:rsidR="00F774D1" w:rsidRPr="001E7F59" w:rsidRDefault="00F774D1" w:rsidP="00F774D1">
      <w:pPr>
        <w:autoSpaceDE w:val="0"/>
        <w:autoSpaceDN w:val="0"/>
        <w:adjustRightInd w:val="0"/>
        <w:spacing w:line="360" w:lineRule="auto"/>
        <w:ind w:right="-28"/>
        <w:jc w:val="both"/>
        <w:rPr>
          <w:rFonts w:ascii="Palatino Linotype" w:hAnsi="Palatino Linotype" w:cs="Tahoma"/>
          <w:bCs/>
          <w:sz w:val="22"/>
          <w:szCs w:val="22"/>
        </w:rPr>
      </w:pPr>
      <w:r w:rsidRPr="001E7F59">
        <w:rPr>
          <w:rFonts w:ascii="Palatino Linotype" w:hAnsi="Palatino Linotype" w:cs="Tahoma"/>
          <w:bCs/>
          <w:sz w:val="22"/>
          <w:szCs w:val="22"/>
        </w:rPr>
        <w:t xml:space="preserve">El diecinueve de diciembre del año dos mil veinticuatro, el Sujeto Obligado a través del SAIMEX notificó al Particular la prórroga por siete días hábiles, para dar atención a su solicitud de acceso a la información. </w:t>
      </w:r>
    </w:p>
    <w:p w14:paraId="78AC5D83" w14:textId="77777777" w:rsidR="00F774D1" w:rsidRPr="001E7F59" w:rsidRDefault="00F774D1" w:rsidP="00F774D1">
      <w:pPr>
        <w:autoSpaceDE w:val="0"/>
        <w:autoSpaceDN w:val="0"/>
        <w:adjustRightInd w:val="0"/>
        <w:spacing w:line="360" w:lineRule="auto"/>
        <w:ind w:right="-28"/>
        <w:jc w:val="both"/>
        <w:rPr>
          <w:rFonts w:ascii="Palatino Linotype" w:hAnsi="Palatino Linotype" w:cs="Tahoma"/>
          <w:bCs/>
          <w:sz w:val="22"/>
          <w:szCs w:val="22"/>
        </w:rPr>
      </w:pPr>
    </w:p>
    <w:p w14:paraId="0301D425" w14:textId="480E3F1D" w:rsidR="00F774D1" w:rsidRPr="001E7F59" w:rsidRDefault="00F774D1" w:rsidP="00F774D1">
      <w:pPr>
        <w:autoSpaceDE w:val="0"/>
        <w:autoSpaceDN w:val="0"/>
        <w:adjustRightInd w:val="0"/>
        <w:spacing w:line="360" w:lineRule="auto"/>
        <w:ind w:right="-28"/>
        <w:jc w:val="both"/>
        <w:rPr>
          <w:rFonts w:ascii="Palatino Linotype" w:hAnsi="Palatino Linotype" w:cs="Tahoma"/>
          <w:bCs/>
          <w:sz w:val="22"/>
          <w:szCs w:val="22"/>
        </w:rPr>
      </w:pPr>
      <w:r w:rsidRPr="001E7F59">
        <w:rPr>
          <w:rFonts w:ascii="Palatino Linotype" w:hAnsi="Palatino Linotype" w:cs="Tahoma"/>
          <w:bCs/>
          <w:sz w:val="22"/>
          <w:szCs w:val="22"/>
        </w:rPr>
        <w:t xml:space="preserve">Es necesario señalar que el Sujeto Obligado, no adjuntó Acta del Comité de Transparencia, por medio de la cual se apruebe la ampliación del periodo para otorgar respuesta en términos de lo establecido de la Ley de Transparencia y Acceso a la Información Pública del Estado de México y Municipios, por lo que, se insta al Organismo Agua y Saneamiento de Toluca a que en futuras ocasiones se abstenga de ampliar el plazo de respuesta si este no está debidamente aprobado por su Comité. </w:t>
      </w:r>
    </w:p>
    <w:p w14:paraId="055A412F" w14:textId="77777777" w:rsidR="00F774D1" w:rsidRPr="001E7F59" w:rsidRDefault="00F774D1" w:rsidP="00F774D1">
      <w:pPr>
        <w:pStyle w:val="Ttulo2"/>
        <w:spacing w:before="0" w:line="360" w:lineRule="auto"/>
      </w:pPr>
    </w:p>
    <w:p w14:paraId="091A1333" w14:textId="30EFB745" w:rsidR="008F4B45" w:rsidRPr="001E7F59" w:rsidRDefault="00F774D1" w:rsidP="00F774D1">
      <w:pPr>
        <w:pStyle w:val="Ttulo2"/>
      </w:pPr>
      <w:bookmarkStart w:id="4" w:name="_Toc191296119"/>
      <w:r w:rsidRPr="001E7F59">
        <w:t xml:space="preserve">III. </w:t>
      </w:r>
      <w:r w:rsidR="008F4B45" w:rsidRPr="001E7F59">
        <w:t>Respuesta del Sujeto Obligado</w:t>
      </w:r>
      <w:bookmarkEnd w:id="4"/>
    </w:p>
    <w:p w14:paraId="5636B513" w14:textId="77777777" w:rsidR="00AB3B2F" w:rsidRPr="001E7F59" w:rsidRDefault="00AB3B2F" w:rsidP="00A35192">
      <w:pPr>
        <w:pStyle w:val="Prrafodelista"/>
        <w:tabs>
          <w:tab w:val="left" w:pos="567"/>
        </w:tabs>
        <w:spacing w:line="360" w:lineRule="auto"/>
        <w:ind w:left="0"/>
        <w:jc w:val="both"/>
        <w:rPr>
          <w:rFonts w:ascii="Palatino Linotype" w:hAnsi="Palatino Linotype" w:cs="Tahoma"/>
          <w:szCs w:val="22"/>
        </w:rPr>
      </w:pPr>
    </w:p>
    <w:p w14:paraId="5C887603" w14:textId="19BE9330" w:rsidR="00F774D1" w:rsidRPr="001E7F59" w:rsidRDefault="00F77239" w:rsidP="00A35192">
      <w:pPr>
        <w:autoSpaceDE w:val="0"/>
        <w:autoSpaceDN w:val="0"/>
        <w:adjustRightInd w:val="0"/>
        <w:spacing w:line="360" w:lineRule="auto"/>
        <w:ind w:right="-28"/>
        <w:jc w:val="both"/>
        <w:rPr>
          <w:rFonts w:ascii="Palatino Linotype" w:hAnsi="Palatino Linotype" w:cs="Tahoma"/>
          <w:sz w:val="22"/>
          <w:szCs w:val="22"/>
        </w:rPr>
      </w:pPr>
      <w:r w:rsidRPr="001E7F59">
        <w:rPr>
          <w:rFonts w:ascii="Palatino Linotype" w:hAnsi="Palatino Linotype" w:cs="Tahoma"/>
          <w:bCs/>
          <w:sz w:val="22"/>
          <w:szCs w:val="22"/>
        </w:rPr>
        <w:t xml:space="preserve">Con fecha </w:t>
      </w:r>
      <w:r w:rsidR="00F774D1" w:rsidRPr="001E7F59">
        <w:rPr>
          <w:rFonts w:ascii="Palatino Linotype" w:hAnsi="Palatino Linotype" w:cs="Tahoma"/>
          <w:bCs/>
          <w:sz w:val="22"/>
          <w:szCs w:val="22"/>
        </w:rPr>
        <w:t>veinte</w:t>
      </w:r>
      <w:r w:rsidR="0082621D" w:rsidRPr="001E7F59">
        <w:rPr>
          <w:rFonts w:ascii="Palatino Linotype" w:hAnsi="Palatino Linotype" w:cs="Tahoma"/>
          <w:bCs/>
          <w:sz w:val="22"/>
          <w:szCs w:val="22"/>
        </w:rPr>
        <w:t xml:space="preserve"> de enero de dos mil veinticinco</w:t>
      </w:r>
      <w:r w:rsidRPr="001E7F59">
        <w:rPr>
          <w:rFonts w:ascii="Palatino Linotype" w:hAnsi="Palatino Linotype" w:cs="Tahoma"/>
          <w:bCs/>
          <w:sz w:val="22"/>
          <w:szCs w:val="22"/>
        </w:rPr>
        <w:t>, el</w:t>
      </w:r>
      <w:r w:rsidRPr="001E7F59">
        <w:rPr>
          <w:rFonts w:ascii="Palatino Linotype" w:hAnsi="Palatino Linotype" w:cs="Tahoma"/>
          <w:b/>
          <w:sz w:val="22"/>
          <w:szCs w:val="22"/>
        </w:rPr>
        <w:t xml:space="preserve"> </w:t>
      </w:r>
      <w:r w:rsidRPr="001E7F59">
        <w:rPr>
          <w:rFonts w:ascii="Palatino Linotype" w:hAnsi="Palatino Linotype" w:cs="Tahoma"/>
          <w:sz w:val="22"/>
          <w:szCs w:val="22"/>
        </w:rPr>
        <w:t xml:space="preserve">Sujeto Obligado dio respuesta a la solicitud de acceso a la información, a través del </w:t>
      </w:r>
      <w:r w:rsidR="00384D88" w:rsidRPr="001E7F59">
        <w:rPr>
          <w:rFonts w:ascii="Palatino Linotype" w:hAnsi="Palatino Linotype" w:cs="Tahoma"/>
          <w:sz w:val="22"/>
          <w:szCs w:val="22"/>
        </w:rPr>
        <w:t>SAIMEX</w:t>
      </w:r>
      <w:r w:rsidRPr="001E7F59">
        <w:rPr>
          <w:rFonts w:ascii="Palatino Linotype" w:hAnsi="Palatino Linotype" w:cs="Tahoma"/>
          <w:sz w:val="22"/>
          <w:szCs w:val="22"/>
        </w:rPr>
        <w:t xml:space="preserve">, </w:t>
      </w:r>
      <w:r w:rsidR="007F3801" w:rsidRPr="001E7F59">
        <w:rPr>
          <w:rFonts w:ascii="Palatino Linotype" w:hAnsi="Palatino Linotype" w:cs="Tahoma"/>
          <w:sz w:val="22"/>
          <w:szCs w:val="22"/>
        </w:rPr>
        <w:t xml:space="preserve">mediante </w:t>
      </w:r>
      <w:r w:rsidR="00F774D1" w:rsidRPr="001E7F59">
        <w:rPr>
          <w:rFonts w:ascii="Palatino Linotype" w:hAnsi="Palatino Linotype" w:cs="Tahoma"/>
          <w:sz w:val="22"/>
          <w:szCs w:val="22"/>
        </w:rPr>
        <w:t xml:space="preserve">diversos documentos, </w:t>
      </w:r>
      <w:r w:rsidR="00C45906" w:rsidRPr="001E7F59">
        <w:rPr>
          <w:rFonts w:ascii="Palatino Linotype" w:hAnsi="Palatino Linotype" w:cs="Tahoma"/>
          <w:sz w:val="22"/>
          <w:szCs w:val="22"/>
        </w:rPr>
        <w:t>los cuales</w:t>
      </w:r>
      <w:r w:rsidR="00F774D1" w:rsidRPr="001E7F59">
        <w:rPr>
          <w:rFonts w:ascii="Palatino Linotype" w:hAnsi="Palatino Linotype" w:cs="Tahoma"/>
          <w:sz w:val="22"/>
          <w:szCs w:val="22"/>
        </w:rPr>
        <w:t xml:space="preserve"> se describen a continuación:</w:t>
      </w:r>
    </w:p>
    <w:p w14:paraId="58D79AE6" w14:textId="77777777" w:rsidR="00F774D1" w:rsidRPr="001E7F59" w:rsidRDefault="00F774D1" w:rsidP="00A35192">
      <w:pPr>
        <w:autoSpaceDE w:val="0"/>
        <w:autoSpaceDN w:val="0"/>
        <w:adjustRightInd w:val="0"/>
        <w:spacing w:line="360" w:lineRule="auto"/>
        <w:ind w:right="-28"/>
        <w:jc w:val="both"/>
        <w:rPr>
          <w:rFonts w:ascii="Palatino Linotype" w:hAnsi="Palatino Linotype" w:cs="Tahoma"/>
          <w:sz w:val="22"/>
          <w:szCs w:val="22"/>
        </w:rPr>
      </w:pPr>
    </w:p>
    <w:p w14:paraId="570CB730" w14:textId="33366554" w:rsidR="00F774D1" w:rsidRPr="001E7F59" w:rsidRDefault="00F774D1" w:rsidP="00A35192">
      <w:pPr>
        <w:autoSpaceDE w:val="0"/>
        <w:autoSpaceDN w:val="0"/>
        <w:adjustRightInd w:val="0"/>
        <w:spacing w:line="360" w:lineRule="auto"/>
        <w:ind w:right="-28"/>
        <w:jc w:val="both"/>
        <w:rPr>
          <w:rFonts w:ascii="Palatino Linotype" w:hAnsi="Palatino Linotype" w:cs="Tahoma"/>
          <w:sz w:val="22"/>
          <w:szCs w:val="22"/>
        </w:rPr>
      </w:pPr>
      <w:r w:rsidRPr="001E7F59">
        <w:rPr>
          <w:rFonts w:ascii="Palatino Linotype" w:hAnsi="Palatino Linotype" w:cs="Tahoma"/>
          <w:sz w:val="22"/>
          <w:szCs w:val="22"/>
        </w:rPr>
        <w:t>I) Oficio 200C16201/001/2025, de fecha quince de enero de dos mil veinticinco, suscrito por el Jefe del Departamento de Transparencia, Oficialía de Partes y Atención Ciudadana, mediante el cual de manera general señaló que adjuntaba los oficios 200C13001/023/2025 y anexos, emitido por el Jefe de Departamento de Recursos Humanos y 200C13100/0032/2025, remitido por el Subdirector de Administración.</w:t>
      </w:r>
    </w:p>
    <w:p w14:paraId="7EC2D224" w14:textId="6A02185E" w:rsidR="00C45906" w:rsidRPr="001E7F59" w:rsidRDefault="00C45906" w:rsidP="00A35192">
      <w:pPr>
        <w:autoSpaceDE w:val="0"/>
        <w:autoSpaceDN w:val="0"/>
        <w:adjustRightInd w:val="0"/>
        <w:spacing w:line="360" w:lineRule="auto"/>
        <w:ind w:right="-28"/>
        <w:jc w:val="both"/>
        <w:rPr>
          <w:rFonts w:ascii="Palatino Linotype" w:hAnsi="Palatino Linotype" w:cs="Tahoma"/>
          <w:sz w:val="22"/>
          <w:szCs w:val="22"/>
        </w:rPr>
      </w:pPr>
      <w:r w:rsidRPr="001E7F59">
        <w:rPr>
          <w:rFonts w:ascii="Palatino Linotype" w:hAnsi="Palatino Linotype" w:cs="Tahoma"/>
          <w:sz w:val="22"/>
          <w:szCs w:val="22"/>
        </w:rPr>
        <w:lastRenderedPageBreak/>
        <w:t xml:space="preserve">II) Oficio 200C13001/023/2025, de fecha catorce de enero de dos mil veinticinco, emitido por el Jefe de Departamento de Recursos Humanos, mediante el cual de manera general señaló que anexaba los documentos </w:t>
      </w:r>
      <w:r w:rsidR="00732470" w:rsidRPr="001E7F59">
        <w:rPr>
          <w:rFonts w:ascii="Palatino Linotype" w:hAnsi="Palatino Linotype" w:cs="Tahoma"/>
          <w:sz w:val="22"/>
          <w:szCs w:val="22"/>
        </w:rPr>
        <w:t>solicitados.</w:t>
      </w:r>
    </w:p>
    <w:p w14:paraId="6D6DB579" w14:textId="77777777" w:rsidR="00732470" w:rsidRPr="001E7F59" w:rsidRDefault="00732470" w:rsidP="00A35192">
      <w:pPr>
        <w:autoSpaceDE w:val="0"/>
        <w:autoSpaceDN w:val="0"/>
        <w:adjustRightInd w:val="0"/>
        <w:spacing w:line="360" w:lineRule="auto"/>
        <w:ind w:right="-28"/>
        <w:jc w:val="both"/>
        <w:rPr>
          <w:rFonts w:ascii="Palatino Linotype" w:hAnsi="Palatino Linotype" w:cs="Tahoma"/>
          <w:sz w:val="22"/>
          <w:szCs w:val="22"/>
        </w:rPr>
      </w:pPr>
    </w:p>
    <w:p w14:paraId="24D7CF4E" w14:textId="37E1DA63" w:rsidR="00732470" w:rsidRPr="001E7F59" w:rsidRDefault="00732470" w:rsidP="00A35192">
      <w:pPr>
        <w:autoSpaceDE w:val="0"/>
        <w:autoSpaceDN w:val="0"/>
        <w:adjustRightInd w:val="0"/>
        <w:spacing w:line="360" w:lineRule="auto"/>
        <w:ind w:right="-28"/>
        <w:jc w:val="both"/>
        <w:rPr>
          <w:rFonts w:ascii="Palatino Linotype" w:hAnsi="Palatino Linotype" w:cs="Tahoma"/>
          <w:sz w:val="22"/>
          <w:szCs w:val="22"/>
        </w:rPr>
      </w:pPr>
      <w:r w:rsidRPr="001E7F59">
        <w:rPr>
          <w:rFonts w:ascii="Palatino Linotype" w:hAnsi="Palatino Linotype" w:cs="Tahoma"/>
          <w:sz w:val="22"/>
          <w:szCs w:val="22"/>
        </w:rPr>
        <w:t xml:space="preserve">III) 24 recibos de nómina, respecto de la servidora pública de la que se solicita la información, correspondientes al ejercicio dos mil veinticuatro, los cuales se encuentran en versión pública (se eliminaron los datos </w:t>
      </w:r>
      <w:r w:rsidR="00373381" w:rsidRPr="001E7F59">
        <w:rPr>
          <w:rFonts w:ascii="Palatino Linotype" w:hAnsi="Palatino Linotype" w:cs="Tahoma"/>
          <w:sz w:val="22"/>
          <w:szCs w:val="22"/>
        </w:rPr>
        <w:t>referentes a</w:t>
      </w:r>
      <w:r w:rsidRPr="001E7F59">
        <w:rPr>
          <w:rFonts w:ascii="Palatino Linotype" w:hAnsi="Palatino Linotype" w:cs="Tahoma"/>
          <w:sz w:val="22"/>
          <w:szCs w:val="22"/>
        </w:rPr>
        <w:t xml:space="preserve"> CURP, RFC, clave ISSEMYM, </w:t>
      </w:r>
      <w:r w:rsidR="00373381" w:rsidRPr="001E7F59">
        <w:rPr>
          <w:rFonts w:ascii="Palatino Linotype" w:hAnsi="Palatino Linotype" w:cs="Tahoma"/>
          <w:sz w:val="22"/>
          <w:szCs w:val="22"/>
        </w:rPr>
        <w:t>faltas, código QR y firma de servidor público).</w:t>
      </w:r>
    </w:p>
    <w:p w14:paraId="625E4F15" w14:textId="77777777" w:rsidR="00F774D1" w:rsidRPr="001E7F59" w:rsidRDefault="00F774D1" w:rsidP="00A35192">
      <w:pPr>
        <w:autoSpaceDE w:val="0"/>
        <w:autoSpaceDN w:val="0"/>
        <w:adjustRightInd w:val="0"/>
        <w:spacing w:line="360" w:lineRule="auto"/>
        <w:ind w:right="-28"/>
        <w:jc w:val="both"/>
        <w:rPr>
          <w:rFonts w:ascii="Palatino Linotype" w:hAnsi="Palatino Linotype" w:cs="Tahoma"/>
          <w:sz w:val="22"/>
          <w:szCs w:val="22"/>
        </w:rPr>
      </w:pPr>
    </w:p>
    <w:p w14:paraId="28659D4C" w14:textId="4A8ED387" w:rsidR="00373381" w:rsidRPr="001E7F59" w:rsidRDefault="00373381" w:rsidP="00373381">
      <w:pPr>
        <w:autoSpaceDE w:val="0"/>
        <w:autoSpaceDN w:val="0"/>
        <w:adjustRightInd w:val="0"/>
        <w:spacing w:line="360" w:lineRule="auto"/>
        <w:ind w:right="-28"/>
        <w:jc w:val="both"/>
        <w:rPr>
          <w:rFonts w:ascii="Palatino Linotype" w:hAnsi="Palatino Linotype" w:cs="Tahoma"/>
          <w:sz w:val="22"/>
          <w:szCs w:val="22"/>
        </w:rPr>
      </w:pPr>
      <w:r w:rsidRPr="001E7F59">
        <w:rPr>
          <w:rFonts w:ascii="Palatino Linotype" w:hAnsi="Palatino Linotype" w:cs="Tahoma"/>
          <w:sz w:val="22"/>
          <w:szCs w:val="22"/>
        </w:rPr>
        <w:t xml:space="preserve">IV) Oficio 200C13100/0032/2025, de fecha catorce de enero de dos mil veinticinco, emitido por el Subdirector de Administración, el cual de manera general señaló, que se ponía a disposición del particular, en consulta directa, la información respecto del vehículo oficial asignado, ya que la misma se encuentra bajo el resguardo del Departamento de Servicios Generales y Control Patrimonial.  </w:t>
      </w:r>
    </w:p>
    <w:p w14:paraId="6455C672" w14:textId="77777777" w:rsidR="00373381" w:rsidRPr="001E7F59" w:rsidRDefault="00373381" w:rsidP="00373381">
      <w:pPr>
        <w:autoSpaceDE w:val="0"/>
        <w:autoSpaceDN w:val="0"/>
        <w:adjustRightInd w:val="0"/>
        <w:spacing w:line="360" w:lineRule="auto"/>
        <w:ind w:right="-28"/>
        <w:jc w:val="both"/>
        <w:rPr>
          <w:rFonts w:ascii="Palatino Linotype" w:hAnsi="Palatino Linotype" w:cs="Tahoma"/>
          <w:sz w:val="22"/>
          <w:szCs w:val="22"/>
        </w:rPr>
      </w:pPr>
    </w:p>
    <w:p w14:paraId="49AAEC8A" w14:textId="69CF99BA" w:rsidR="00373381" w:rsidRPr="001E7F59" w:rsidRDefault="00373381" w:rsidP="00373381">
      <w:pPr>
        <w:autoSpaceDE w:val="0"/>
        <w:autoSpaceDN w:val="0"/>
        <w:adjustRightInd w:val="0"/>
        <w:spacing w:line="360" w:lineRule="auto"/>
        <w:ind w:right="-28"/>
        <w:jc w:val="both"/>
        <w:rPr>
          <w:rFonts w:ascii="Palatino Linotype" w:hAnsi="Palatino Linotype" w:cs="Tahoma"/>
          <w:sz w:val="22"/>
          <w:szCs w:val="22"/>
        </w:rPr>
      </w:pPr>
      <w:r w:rsidRPr="001E7F59">
        <w:rPr>
          <w:rFonts w:ascii="Palatino Linotype" w:hAnsi="Palatino Linotype" w:cs="Tahoma"/>
          <w:sz w:val="22"/>
          <w:szCs w:val="22"/>
        </w:rPr>
        <w:t>V) Archivo que contiene los</w:t>
      </w:r>
      <w:r w:rsidR="002E5CB0" w:rsidRPr="001E7F59">
        <w:rPr>
          <w:rFonts w:ascii="Palatino Linotype" w:hAnsi="Palatino Linotype" w:cs="Tahoma"/>
          <w:sz w:val="22"/>
          <w:szCs w:val="22"/>
        </w:rPr>
        <w:t xml:space="preserve"> documentos siguientes</w:t>
      </w:r>
      <w:r w:rsidRPr="001E7F59">
        <w:rPr>
          <w:rFonts w:ascii="Palatino Linotype" w:hAnsi="Palatino Linotype" w:cs="Tahoma"/>
          <w:sz w:val="22"/>
          <w:szCs w:val="22"/>
        </w:rPr>
        <w:t xml:space="preserve">: Solicitud de Vacaciones y Permiso del tres de diciembre de dos mil veinticuatro (se eliminan firmas de servidores públicos), Formato Único de Movimiento de Personal </w:t>
      </w:r>
      <w:r w:rsidR="00FB3B2A" w:rsidRPr="001E7F59">
        <w:rPr>
          <w:rFonts w:ascii="Palatino Linotype" w:hAnsi="Palatino Linotype" w:cs="Tahoma"/>
          <w:sz w:val="22"/>
          <w:szCs w:val="22"/>
        </w:rPr>
        <w:t xml:space="preserve">del  uno de febrero de dos mil veinticuatro </w:t>
      </w:r>
      <w:r w:rsidRPr="001E7F59">
        <w:rPr>
          <w:rFonts w:ascii="Palatino Linotype" w:hAnsi="Palatino Linotype" w:cs="Tahoma"/>
          <w:sz w:val="22"/>
          <w:szCs w:val="22"/>
        </w:rPr>
        <w:t>(se elimina el RFC</w:t>
      </w:r>
      <w:r w:rsidR="00F14F49" w:rsidRPr="001E7F59">
        <w:rPr>
          <w:rFonts w:ascii="Palatino Linotype" w:hAnsi="Palatino Linotype" w:cs="Tahoma"/>
          <w:sz w:val="22"/>
          <w:szCs w:val="22"/>
        </w:rPr>
        <w:t>, CURP</w:t>
      </w:r>
      <w:r w:rsidR="00FB3B2A" w:rsidRPr="001E7F59">
        <w:rPr>
          <w:rFonts w:ascii="Palatino Linotype" w:hAnsi="Palatino Linotype" w:cs="Tahoma"/>
          <w:sz w:val="22"/>
          <w:szCs w:val="22"/>
        </w:rPr>
        <w:t xml:space="preserve"> y</w:t>
      </w:r>
      <w:r w:rsidRPr="001E7F59">
        <w:rPr>
          <w:rFonts w:ascii="Palatino Linotype" w:hAnsi="Palatino Linotype" w:cs="Tahoma"/>
          <w:sz w:val="22"/>
          <w:szCs w:val="22"/>
        </w:rPr>
        <w:t xml:space="preserve"> clave ISSEMYM</w:t>
      </w:r>
      <w:r w:rsidR="00FB3B2A" w:rsidRPr="001E7F59">
        <w:rPr>
          <w:rFonts w:ascii="Palatino Linotype" w:hAnsi="Palatino Linotype" w:cs="Tahoma"/>
          <w:sz w:val="22"/>
          <w:szCs w:val="22"/>
        </w:rPr>
        <w:t xml:space="preserve">), Nombramiento como Subdirectora de Administración (se eliminó firma de servidor público que otorga nombramiento), recibos de nómina de la primera y segunda quincena de enero, primera y segunda quincena de febrero, todos del ejercicio 2024 (se elimina RFC, CURP, clave ISSEMYM, firma de servidor público, faltas y código QR), Formato Único de Movimiento de Personal del  dieciséis de enero de dos mil veinticuatro (se elimina el RFC, CURP y clave ISSEMYM), Aviso en el que se le da a conocer que deberá checar su asistencia en lista de asistencia (se elimina la firma del servidor público que lo emitió), hoja que contiene los requisitos para la contratación de personal, </w:t>
      </w:r>
      <w:r w:rsidR="00F14F49" w:rsidRPr="001E7F59">
        <w:rPr>
          <w:rFonts w:ascii="Palatino Linotype" w:hAnsi="Palatino Linotype" w:cs="Tahoma"/>
          <w:sz w:val="22"/>
          <w:szCs w:val="22"/>
        </w:rPr>
        <w:t xml:space="preserve">Constancia de </w:t>
      </w:r>
      <w:r w:rsidR="002E5CB0" w:rsidRPr="001E7F59">
        <w:rPr>
          <w:rFonts w:ascii="Palatino Linotype" w:hAnsi="Palatino Linotype" w:cs="Tahoma"/>
          <w:sz w:val="22"/>
          <w:szCs w:val="22"/>
        </w:rPr>
        <w:t>N</w:t>
      </w:r>
      <w:r w:rsidR="00F14F49" w:rsidRPr="001E7F59">
        <w:rPr>
          <w:rFonts w:ascii="Palatino Linotype" w:hAnsi="Palatino Linotype" w:cs="Tahoma"/>
          <w:sz w:val="22"/>
          <w:szCs w:val="22"/>
        </w:rPr>
        <w:t xml:space="preserve">o </w:t>
      </w:r>
      <w:r w:rsidR="002E5CB0" w:rsidRPr="001E7F59">
        <w:rPr>
          <w:rFonts w:ascii="Palatino Linotype" w:hAnsi="Palatino Linotype" w:cs="Tahoma"/>
          <w:sz w:val="22"/>
          <w:szCs w:val="22"/>
        </w:rPr>
        <w:t>I</w:t>
      </w:r>
      <w:r w:rsidR="00F14F49" w:rsidRPr="001E7F59">
        <w:rPr>
          <w:rFonts w:ascii="Palatino Linotype" w:hAnsi="Palatino Linotype" w:cs="Tahoma"/>
          <w:sz w:val="22"/>
          <w:szCs w:val="22"/>
        </w:rPr>
        <w:t xml:space="preserve">nhabilitación </w:t>
      </w:r>
      <w:r w:rsidR="00F14F49" w:rsidRPr="001E7F59">
        <w:rPr>
          <w:rFonts w:ascii="Palatino Linotype" w:hAnsi="Palatino Linotype" w:cs="Tahoma"/>
          <w:sz w:val="22"/>
          <w:szCs w:val="22"/>
        </w:rPr>
        <w:lastRenderedPageBreak/>
        <w:t xml:space="preserve">(se elimina RFC), Formato Único de Movimiento de Personal, del primero de enero de dos mil veinticuatro, mediante el cual se da de alta (se elimina el RFC, CURP y clave ISSEMYM), hoja que contiene el pago proporcional y propuesta, Aviso de Movimientos de ISSEMYM (se elimina clave ISSEMYM, CURP y firma de recibido), Solicitud de empleo (se eliminan los datos referentes al domicilio particular,  ciudad, código postal y se dejan visibles datos como lo son números de teléfono de particulares, RFC, clave IFE, clave ISSEMYM, CURP, fechas de nacimiento, Nacionalidad, edad, datos familiares), Informe de Antecedentes </w:t>
      </w:r>
      <w:r w:rsidR="002E5CB0" w:rsidRPr="001E7F59">
        <w:rPr>
          <w:rFonts w:ascii="Palatino Linotype" w:hAnsi="Palatino Linotype" w:cs="Tahoma"/>
          <w:sz w:val="22"/>
          <w:szCs w:val="22"/>
        </w:rPr>
        <w:t>N</w:t>
      </w:r>
      <w:r w:rsidR="00F14F49" w:rsidRPr="001E7F59">
        <w:rPr>
          <w:rFonts w:ascii="Palatino Linotype" w:hAnsi="Palatino Linotype" w:cs="Tahoma"/>
          <w:sz w:val="22"/>
          <w:szCs w:val="22"/>
        </w:rPr>
        <w:t xml:space="preserve">o Penales, (se eliminan datos como fecha de nacimiento, CURP, clave de elector, Domicilio), </w:t>
      </w:r>
      <w:r w:rsidR="008C3ECC" w:rsidRPr="001E7F59">
        <w:rPr>
          <w:rFonts w:ascii="Palatino Linotype" w:hAnsi="Palatino Linotype" w:cs="Tahoma"/>
          <w:sz w:val="22"/>
          <w:szCs w:val="22"/>
        </w:rPr>
        <w:t>Acta de Nacimiento (ilegible), Cédula Profesional (se elimina número y CURP y se deja visible la firma de la titular), Certificado de Estudios de la Maestría en Derecho (se eliminan las calificaciones, tipo de asignatura, créditos, promedio general y código QR), Historial Académico (se eliminan datos como promedio general, promedio último ciclo y avance y se dejan visibles los créditos, tipo de examen y calificaciones)</w:t>
      </w:r>
      <w:r w:rsidR="005D36A9" w:rsidRPr="001E7F59">
        <w:rPr>
          <w:rFonts w:ascii="Palatino Linotype" w:hAnsi="Palatino Linotype" w:cs="Tahoma"/>
          <w:sz w:val="22"/>
          <w:szCs w:val="22"/>
        </w:rPr>
        <w:t xml:space="preserve">, Título Profesional de Licenciatura en Derecho, Certificado de Buena Salud (se elimina la clave ISSEMYM y se dejan visibles datos médicos), </w:t>
      </w:r>
      <w:r w:rsidR="009B3200" w:rsidRPr="001E7F59">
        <w:rPr>
          <w:rFonts w:ascii="Palatino Linotype" w:hAnsi="Palatino Linotype" w:cs="Tahoma"/>
          <w:sz w:val="22"/>
          <w:szCs w:val="22"/>
        </w:rPr>
        <w:t>Factura de Gas Natural (se deja visible número de contrato y cuenta del cliente y se eliminan el código QR)</w:t>
      </w:r>
      <w:r w:rsidR="00610FA9" w:rsidRPr="001E7F59">
        <w:rPr>
          <w:rFonts w:ascii="Palatino Linotype" w:hAnsi="Palatino Linotype" w:cs="Tahoma"/>
          <w:sz w:val="22"/>
          <w:szCs w:val="22"/>
        </w:rPr>
        <w:t xml:space="preserve">, </w:t>
      </w:r>
      <w:r w:rsidR="00962733" w:rsidRPr="001E7F59">
        <w:rPr>
          <w:rFonts w:ascii="Palatino Linotype" w:hAnsi="Palatino Linotype" w:cs="Tahoma"/>
          <w:sz w:val="22"/>
          <w:szCs w:val="22"/>
        </w:rPr>
        <w:t xml:space="preserve">formato CURP (se elimina clave y códigos QR), Currículum Vitae (se deja visible el estado civil), Credencial para Votar (se elimina el domicilio, clave de elector, CURP, firma de la titular y IDMEX, pero se deja visible fecha de nacimiento y sexo), licencia de conducir en el que se elimina el código QR y firma y se deja visible la nacionalidad y huella dactilar), </w:t>
      </w:r>
      <w:r w:rsidR="0052069D" w:rsidRPr="001E7F59">
        <w:rPr>
          <w:rFonts w:ascii="Palatino Linotype" w:hAnsi="Palatino Linotype" w:cs="Tahoma"/>
          <w:sz w:val="22"/>
          <w:szCs w:val="22"/>
        </w:rPr>
        <w:t>Cartas de Recomendación (se deja visible nombre y teléfono de particulares), Cédula de Identificación Fiscal, Certificado de no deudor alimentario moroso (se elimina CURP) y Cédula Informativa para presentar Manifestación de Bienes (se elimina firma de servidor público).</w:t>
      </w:r>
    </w:p>
    <w:p w14:paraId="29785E0D" w14:textId="77777777" w:rsidR="007F3801" w:rsidRPr="001E7F59" w:rsidRDefault="007F3801" w:rsidP="00A35192">
      <w:pPr>
        <w:autoSpaceDE w:val="0"/>
        <w:autoSpaceDN w:val="0"/>
        <w:adjustRightInd w:val="0"/>
        <w:spacing w:line="360" w:lineRule="auto"/>
        <w:jc w:val="both"/>
        <w:rPr>
          <w:rFonts w:ascii="Palatino Linotype" w:hAnsi="Palatino Linotype" w:cs="Tahoma"/>
          <w:b/>
          <w:sz w:val="22"/>
          <w:szCs w:val="22"/>
        </w:rPr>
      </w:pPr>
    </w:p>
    <w:p w14:paraId="512BBB54" w14:textId="3909ADD0" w:rsidR="00FD5AA4" w:rsidRPr="001E7F59" w:rsidRDefault="00FD5AA4" w:rsidP="00A35192">
      <w:pPr>
        <w:pStyle w:val="Ttulo2"/>
        <w:spacing w:before="0"/>
      </w:pPr>
      <w:bookmarkStart w:id="5" w:name="_Toc191296120"/>
      <w:r w:rsidRPr="001E7F59">
        <w:t>I</w:t>
      </w:r>
      <w:r w:rsidR="00F774D1" w:rsidRPr="001E7F59">
        <w:t>V</w:t>
      </w:r>
      <w:r w:rsidRPr="001E7F59">
        <w:t>. Interposición del Recurso de Revisión</w:t>
      </w:r>
      <w:bookmarkEnd w:id="5"/>
      <w:r w:rsidRPr="001E7F59">
        <w:t xml:space="preserve"> </w:t>
      </w:r>
    </w:p>
    <w:p w14:paraId="15BE5ED5" w14:textId="77777777" w:rsidR="00FD5AA4" w:rsidRPr="001E7F59" w:rsidRDefault="00FD5AA4" w:rsidP="00A35192">
      <w:pPr>
        <w:widowControl w:val="0"/>
        <w:spacing w:line="360" w:lineRule="auto"/>
        <w:jc w:val="both"/>
        <w:rPr>
          <w:rFonts w:ascii="Palatino Linotype" w:hAnsi="Palatino Linotype" w:cs="Tahoma"/>
          <w:sz w:val="22"/>
          <w:szCs w:val="22"/>
        </w:rPr>
      </w:pPr>
    </w:p>
    <w:p w14:paraId="4348D8A3" w14:textId="65C87DE9" w:rsidR="00FD5AA4" w:rsidRPr="001E7F59" w:rsidRDefault="00FD5AA4" w:rsidP="00A35192">
      <w:pPr>
        <w:widowControl w:val="0"/>
        <w:spacing w:line="360" w:lineRule="auto"/>
        <w:jc w:val="both"/>
        <w:rPr>
          <w:rFonts w:ascii="Palatino Linotype" w:hAnsi="Palatino Linotype" w:cs="Tahoma"/>
          <w:b/>
          <w:bCs/>
          <w:sz w:val="22"/>
          <w:szCs w:val="22"/>
        </w:rPr>
      </w:pPr>
      <w:r w:rsidRPr="001E7F59">
        <w:rPr>
          <w:rFonts w:ascii="Palatino Linotype" w:hAnsi="Palatino Linotype" w:cs="Tahoma"/>
          <w:sz w:val="22"/>
          <w:szCs w:val="22"/>
        </w:rPr>
        <w:t xml:space="preserve">Con fecha </w:t>
      </w:r>
      <w:r w:rsidR="00C7663A" w:rsidRPr="001E7F59">
        <w:rPr>
          <w:rFonts w:ascii="Palatino Linotype" w:hAnsi="Palatino Linotype" w:cs="Tahoma"/>
          <w:sz w:val="22"/>
          <w:szCs w:val="22"/>
        </w:rPr>
        <w:t>cuatro de febrero</w:t>
      </w:r>
      <w:r w:rsidR="00B36076" w:rsidRPr="001E7F59">
        <w:rPr>
          <w:rFonts w:ascii="Palatino Linotype" w:hAnsi="Palatino Linotype" w:cs="Tahoma"/>
          <w:sz w:val="22"/>
          <w:szCs w:val="22"/>
        </w:rPr>
        <w:t xml:space="preserve"> de dos mil veinticinco</w:t>
      </w:r>
      <w:r w:rsidR="00C12969" w:rsidRPr="001E7F59">
        <w:rPr>
          <w:rFonts w:ascii="Palatino Linotype" w:hAnsi="Palatino Linotype" w:cs="Tahoma"/>
          <w:sz w:val="22"/>
          <w:szCs w:val="22"/>
        </w:rPr>
        <w:t xml:space="preserve">, </w:t>
      </w:r>
      <w:r w:rsidR="00D64985" w:rsidRPr="001E7F59">
        <w:rPr>
          <w:rFonts w:ascii="Palatino Linotype" w:hAnsi="Palatino Linotype" w:cs="Tahoma"/>
          <w:sz w:val="22"/>
          <w:szCs w:val="22"/>
        </w:rPr>
        <w:t>el</w:t>
      </w:r>
      <w:r w:rsidRPr="001E7F59">
        <w:rPr>
          <w:rFonts w:ascii="Palatino Linotype" w:hAnsi="Palatino Linotype" w:cs="Tahoma"/>
          <w:sz w:val="22"/>
          <w:szCs w:val="22"/>
        </w:rPr>
        <w:t xml:space="preserve"> Particular interpuso Recurso de Revisión </w:t>
      </w:r>
      <w:r w:rsidRPr="001E7F59">
        <w:rPr>
          <w:rFonts w:ascii="Palatino Linotype" w:hAnsi="Palatino Linotype" w:cs="Tahoma"/>
          <w:sz w:val="22"/>
          <w:szCs w:val="22"/>
        </w:rPr>
        <w:lastRenderedPageBreak/>
        <w:t xml:space="preserve">en este Instituto, a través del </w:t>
      </w:r>
      <w:r w:rsidR="00384D88" w:rsidRPr="001E7F59">
        <w:rPr>
          <w:rFonts w:ascii="Palatino Linotype" w:hAnsi="Palatino Linotype" w:cs="Tahoma"/>
          <w:sz w:val="22"/>
          <w:szCs w:val="22"/>
          <w:lang w:val="es-ES"/>
        </w:rPr>
        <w:t>SAIMEX</w:t>
      </w:r>
      <w:r w:rsidRPr="001E7F59">
        <w:rPr>
          <w:rFonts w:ascii="Palatino Linotype" w:hAnsi="Palatino Linotype" w:cs="Tahoma"/>
          <w:sz w:val="22"/>
          <w:szCs w:val="22"/>
          <w:lang w:val="es-ES"/>
        </w:rPr>
        <w:t xml:space="preserve">, en </w:t>
      </w:r>
      <w:r w:rsidRPr="001E7F59">
        <w:rPr>
          <w:rFonts w:ascii="Palatino Linotype" w:hAnsi="Palatino Linotype" w:cs="Tahoma"/>
          <w:sz w:val="22"/>
          <w:szCs w:val="22"/>
        </w:rPr>
        <w:t>contra de la respuesta del Sujeto Obligado,</w:t>
      </w:r>
      <w:r w:rsidR="00C12969" w:rsidRPr="001E7F59">
        <w:rPr>
          <w:rFonts w:ascii="Palatino Linotype" w:hAnsi="Palatino Linotype" w:cs="Tahoma"/>
          <w:sz w:val="22"/>
          <w:szCs w:val="22"/>
        </w:rPr>
        <w:t xml:space="preserve"> </w:t>
      </w:r>
      <w:r w:rsidRPr="001E7F59">
        <w:rPr>
          <w:rFonts w:ascii="Palatino Linotype" w:hAnsi="Palatino Linotype" w:cs="Tahoma"/>
          <w:bCs/>
          <w:sz w:val="22"/>
          <w:szCs w:val="22"/>
          <w:lang w:val="es-ES"/>
        </w:rPr>
        <w:t>en los términos siguientes</w:t>
      </w:r>
      <w:r w:rsidRPr="001E7F59">
        <w:rPr>
          <w:rFonts w:ascii="Palatino Linotype" w:hAnsi="Palatino Linotype" w:cs="Tahoma"/>
          <w:b/>
          <w:bCs/>
          <w:sz w:val="22"/>
          <w:szCs w:val="22"/>
          <w:lang w:val="es-ES"/>
        </w:rPr>
        <w:t>:</w:t>
      </w:r>
    </w:p>
    <w:p w14:paraId="5CABB516" w14:textId="77777777" w:rsidR="00FD5AA4" w:rsidRPr="001E7F59" w:rsidRDefault="00FD5AA4" w:rsidP="00A35192">
      <w:pPr>
        <w:widowControl w:val="0"/>
        <w:spacing w:line="360" w:lineRule="auto"/>
        <w:jc w:val="both"/>
        <w:rPr>
          <w:rFonts w:ascii="Palatino Linotype" w:hAnsi="Palatino Linotype" w:cs="Tahoma"/>
          <w:b/>
          <w:bCs/>
          <w:sz w:val="22"/>
          <w:szCs w:val="22"/>
          <w:lang w:val="es-ES"/>
        </w:rPr>
      </w:pPr>
    </w:p>
    <w:p w14:paraId="424EFEF5" w14:textId="77777777" w:rsidR="00FD5AA4" w:rsidRPr="001E7F59" w:rsidRDefault="00FD5AA4" w:rsidP="00A35192">
      <w:pPr>
        <w:tabs>
          <w:tab w:val="left" w:pos="4667"/>
        </w:tabs>
        <w:spacing w:line="360" w:lineRule="auto"/>
        <w:ind w:left="567" w:right="567"/>
        <w:jc w:val="both"/>
        <w:rPr>
          <w:rFonts w:ascii="Palatino Linotype" w:hAnsi="Palatino Linotype" w:cs="Tahoma"/>
          <w:b/>
          <w:bCs/>
          <w:i/>
        </w:rPr>
      </w:pPr>
      <w:r w:rsidRPr="001E7F59">
        <w:rPr>
          <w:rFonts w:ascii="Palatino Linotype" w:hAnsi="Palatino Linotype" w:cs="Tahoma"/>
          <w:b/>
          <w:bCs/>
          <w:i/>
        </w:rPr>
        <w:t>“ACTO IMPUGNADO</w:t>
      </w:r>
    </w:p>
    <w:p w14:paraId="6B97E168" w14:textId="02B22C3E" w:rsidR="00FD5AA4" w:rsidRPr="001E7F59" w:rsidRDefault="00EE1474" w:rsidP="00A35192">
      <w:pPr>
        <w:tabs>
          <w:tab w:val="left" w:pos="4667"/>
        </w:tabs>
        <w:spacing w:line="360" w:lineRule="auto"/>
        <w:ind w:left="567" w:right="567"/>
        <w:jc w:val="both"/>
        <w:rPr>
          <w:rFonts w:ascii="Palatino Linotype" w:hAnsi="Palatino Linotype" w:cs="Tahoma"/>
          <w:bCs/>
          <w:i/>
        </w:rPr>
      </w:pPr>
      <w:r w:rsidRPr="001E7F59">
        <w:rPr>
          <w:rFonts w:ascii="Palatino Linotype" w:hAnsi="Palatino Linotype" w:cs="Tahoma"/>
          <w:bCs/>
          <w:i/>
        </w:rPr>
        <w:t>LA NO ENTREGA DE LA INFORMACIÓN AL CAMBIAR DE MODALIDAD DE LA CONSULTA DE LA INFORMACIÓN ASÍ COMO EL CONTENIDO DE LOS OFICIOS CON EL CUAL PRETENDER DAR ACCESO A LA INFORMACIÓN PUBLICA</w:t>
      </w:r>
      <w:r w:rsidR="00FD5AA4" w:rsidRPr="001E7F59">
        <w:rPr>
          <w:rFonts w:ascii="Palatino Linotype" w:hAnsi="Palatino Linotype" w:cs="Tahoma"/>
          <w:bCs/>
          <w:i/>
        </w:rPr>
        <w:t xml:space="preserve">” </w:t>
      </w:r>
      <w:r w:rsidR="00B36076" w:rsidRPr="001E7F59">
        <w:rPr>
          <w:rFonts w:ascii="Palatino Linotype" w:hAnsi="Palatino Linotype" w:cs="Tahoma"/>
          <w:bCs/>
        </w:rPr>
        <w:t>(Sic)</w:t>
      </w:r>
      <w:r w:rsidR="00384D88" w:rsidRPr="001E7F59">
        <w:rPr>
          <w:rFonts w:ascii="Palatino Linotype" w:hAnsi="Palatino Linotype" w:cs="Tahoma"/>
          <w:bCs/>
        </w:rPr>
        <w:t>.</w:t>
      </w:r>
    </w:p>
    <w:p w14:paraId="3CAF3BE8" w14:textId="77777777" w:rsidR="00FD5AA4" w:rsidRPr="001E7F59" w:rsidRDefault="00FD5AA4" w:rsidP="00A35192">
      <w:pPr>
        <w:tabs>
          <w:tab w:val="left" w:pos="4667"/>
        </w:tabs>
        <w:spacing w:line="360" w:lineRule="auto"/>
        <w:ind w:left="567" w:right="567"/>
        <w:jc w:val="both"/>
        <w:rPr>
          <w:rFonts w:ascii="Palatino Linotype" w:hAnsi="Palatino Linotype" w:cs="Tahoma"/>
          <w:bCs/>
          <w:i/>
        </w:rPr>
      </w:pPr>
    </w:p>
    <w:p w14:paraId="299A0721" w14:textId="77777777" w:rsidR="00FD5AA4" w:rsidRPr="001E7F59" w:rsidRDefault="00FD5AA4" w:rsidP="00A35192">
      <w:pPr>
        <w:tabs>
          <w:tab w:val="left" w:pos="4667"/>
        </w:tabs>
        <w:spacing w:line="360" w:lineRule="auto"/>
        <w:ind w:left="567" w:right="567"/>
        <w:jc w:val="both"/>
        <w:rPr>
          <w:rFonts w:ascii="Palatino Linotype" w:hAnsi="Palatino Linotype" w:cs="Tahoma"/>
          <w:b/>
          <w:bCs/>
          <w:i/>
        </w:rPr>
      </w:pPr>
      <w:r w:rsidRPr="001E7F59">
        <w:rPr>
          <w:rFonts w:ascii="Palatino Linotype" w:hAnsi="Palatino Linotype" w:cs="Tahoma"/>
          <w:b/>
          <w:bCs/>
          <w:i/>
        </w:rPr>
        <w:t>“RAZONES O MOTIVOS DE LA INCONFORMIDAD</w:t>
      </w:r>
    </w:p>
    <w:p w14:paraId="15103A48" w14:textId="18723E47" w:rsidR="00FD5AA4" w:rsidRPr="001E7F59" w:rsidRDefault="00EE1474" w:rsidP="00A35192">
      <w:pPr>
        <w:tabs>
          <w:tab w:val="left" w:pos="4667"/>
        </w:tabs>
        <w:spacing w:line="360" w:lineRule="auto"/>
        <w:ind w:left="567" w:right="567"/>
        <w:jc w:val="both"/>
        <w:rPr>
          <w:rFonts w:ascii="Palatino Linotype" w:hAnsi="Palatino Linotype" w:cs="Tahoma"/>
          <w:i/>
        </w:rPr>
      </w:pPr>
      <w:r w:rsidRPr="001E7F59">
        <w:rPr>
          <w:rFonts w:ascii="Palatino Linotype" w:hAnsi="Palatino Linotype"/>
          <w:i/>
        </w:rPr>
        <w:t>SE SOLICITÓ INFORMACÓN QUE PUEDE SER ENTREGADA VÍA SAIMEX Y EL SUJETO OBLIGADO REALIZA EL CAMBIO DE MODALIDAD DE ENTREGA DE INFORMACÓN</w:t>
      </w:r>
      <w:r w:rsidR="00FD5AA4" w:rsidRPr="001E7F59">
        <w:rPr>
          <w:rFonts w:ascii="Palatino Linotype" w:hAnsi="Palatino Linotype" w:cs="Tahoma"/>
          <w:i/>
        </w:rPr>
        <w:t xml:space="preserve">” </w:t>
      </w:r>
      <w:r w:rsidR="00B36076" w:rsidRPr="001E7F59">
        <w:rPr>
          <w:rFonts w:ascii="Palatino Linotype" w:hAnsi="Palatino Linotype" w:cs="Tahoma"/>
          <w:bCs/>
        </w:rPr>
        <w:t>(Sic)</w:t>
      </w:r>
    </w:p>
    <w:p w14:paraId="7041BF91" w14:textId="415F66A4" w:rsidR="00587430" w:rsidRPr="001E7F59" w:rsidRDefault="00587430" w:rsidP="00A35192">
      <w:pPr>
        <w:tabs>
          <w:tab w:val="left" w:pos="4667"/>
        </w:tabs>
        <w:spacing w:line="360" w:lineRule="auto"/>
        <w:ind w:right="567"/>
        <w:jc w:val="both"/>
        <w:rPr>
          <w:rFonts w:ascii="Palatino Linotype" w:hAnsi="Palatino Linotype" w:cs="Tahoma"/>
          <w:b/>
          <w:bCs/>
          <w:i/>
        </w:rPr>
      </w:pPr>
    </w:p>
    <w:p w14:paraId="3D23A4FC" w14:textId="435DE692" w:rsidR="00FD5AA4" w:rsidRPr="001E7F59" w:rsidRDefault="00FD5AA4" w:rsidP="00A35192">
      <w:pPr>
        <w:pStyle w:val="Ttulo2"/>
        <w:spacing w:before="0"/>
      </w:pPr>
      <w:bookmarkStart w:id="6" w:name="_Toc191296121"/>
      <w:r w:rsidRPr="001E7F59">
        <w:t xml:space="preserve">V. Trámite del Recurso de Revisión </w:t>
      </w:r>
      <w:r w:rsidR="007F3801" w:rsidRPr="001E7F59">
        <w:t>ante el Instituto</w:t>
      </w:r>
      <w:bookmarkEnd w:id="6"/>
    </w:p>
    <w:p w14:paraId="4C0F013E" w14:textId="77777777" w:rsidR="00B65BDF" w:rsidRPr="001E7F59" w:rsidRDefault="00B65BDF" w:rsidP="00A35192">
      <w:pPr>
        <w:spacing w:line="360" w:lineRule="auto"/>
        <w:jc w:val="both"/>
        <w:rPr>
          <w:rFonts w:ascii="Palatino Linotype" w:eastAsia="Batang" w:hAnsi="Palatino Linotype" w:cs="Tahoma"/>
          <w:b/>
          <w:bCs/>
          <w:sz w:val="22"/>
          <w:szCs w:val="22"/>
        </w:rPr>
      </w:pPr>
    </w:p>
    <w:p w14:paraId="2CB9F631" w14:textId="0D68C904" w:rsidR="00FD5AA4" w:rsidRPr="001E7F59" w:rsidRDefault="00FD5AA4" w:rsidP="00A35192">
      <w:pPr>
        <w:spacing w:line="360" w:lineRule="auto"/>
        <w:jc w:val="both"/>
        <w:rPr>
          <w:rFonts w:ascii="Palatino Linotype" w:eastAsia="Batang" w:hAnsi="Palatino Linotype" w:cs="Tahoma"/>
          <w:bCs/>
          <w:sz w:val="22"/>
          <w:szCs w:val="22"/>
        </w:rPr>
      </w:pPr>
      <w:bookmarkStart w:id="7" w:name="_Toc191296122"/>
      <w:r w:rsidRPr="001E7F59">
        <w:rPr>
          <w:rStyle w:val="Ttulo3Car"/>
        </w:rPr>
        <w:t>a) Turno del Recurso de Revisión.</w:t>
      </w:r>
      <w:bookmarkEnd w:id="7"/>
      <w:r w:rsidRPr="001E7F59">
        <w:rPr>
          <w:rFonts w:ascii="Palatino Linotype" w:eastAsia="Batang" w:hAnsi="Palatino Linotype" w:cs="Tahoma"/>
          <w:b/>
          <w:bCs/>
          <w:sz w:val="22"/>
          <w:szCs w:val="22"/>
        </w:rPr>
        <w:t xml:space="preserve"> </w:t>
      </w:r>
      <w:r w:rsidRPr="001E7F59">
        <w:rPr>
          <w:rFonts w:ascii="Palatino Linotype" w:eastAsia="Batang" w:hAnsi="Palatino Linotype" w:cs="Tahoma"/>
          <w:bCs/>
          <w:sz w:val="22"/>
          <w:szCs w:val="22"/>
        </w:rPr>
        <w:t xml:space="preserve">El </w:t>
      </w:r>
      <w:r w:rsidR="00EE1474" w:rsidRPr="001E7F59">
        <w:rPr>
          <w:rFonts w:ascii="Palatino Linotype" w:eastAsia="Batang" w:hAnsi="Palatino Linotype" w:cs="Tahoma"/>
          <w:bCs/>
          <w:sz w:val="22"/>
          <w:szCs w:val="22"/>
        </w:rPr>
        <w:t>cuatro de febrero de dos mil veinticinco</w:t>
      </w:r>
      <w:r w:rsidRPr="001E7F59">
        <w:rPr>
          <w:rFonts w:ascii="Palatino Linotype" w:eastAsia="Batang" w:hAnsi="Palatino Linotype" w:cs="Tahoma"/>
          <w:bCs/>
          <w:sz w:val="22"/>
          <w:szCs w:val="22"/>
        </w:rPr>
        <w:t xml:space="preserve">, el </w:t>
      </w:r>
      <w:r w:rsidR="00384D88" w:rsidRPr="001E7F59">
        <w:rPr>
          <w:rFonts w:ascii="Palatino Linotype" w:hAnsi="Palatino Linotype" w:cs="Tahoma"/>
          <w:sz w:val="22"/>
          <w:szCs w:val="22"/>
          <w:lang w:val="es-ES"/>
        </w:rPr>
        <w:t>SAIMEX</w:t>
      </w:r>
      <w:r w:rsidRPr="001E7F59">
        <w:rPr>
          <w:rFonts w:ascii="Palatino Linotype" w:hAnsi="Palatino Linotype" w:cs="Tahoma"/>
          <w:sz w:val="22"/>
          <w:szCs w:val="22"/>
          <w:lang w:val="es-ES"/>
        </w:rPr>
        <w:t>,</w:t>
      </w:r>
      <w:r w:rsidRPr="001E7F59">
        <w:rPr>
          <w:rFonts w:ascii="Palatino Linotype" w:eastAsia="Batang" w:hAnsi="Palatino Linotype" w:cs="Tahoma"/>
          <w:bCs/>
          <w:sz w:val="22"/>
          <w:szCs w:val="22"/>
        </w:rPr>
        <w:t xml:space="preserve"> asignó con número de expediente </w:t>
      </w:r>
      <w:r w:rsidR="005E15BB" w:rsidRPr="001E7F59">
        <w:rPr>
          <w:rFonts w:ascii="Palatino Linotype" w:eastAsia="Batang" w:hAnsi="Palatino Linotype" w:cs="Tahoma"/>
          <w:b/>
          <w:bCs/>
          <w:sz w:val="22"/>
          <w:szCs w:val="22"/>
        </w:rPr>
        <w:t>0</w:t>
      </w:r>
      <w:r w:rsidR="004F0F4E" w:rsidRPr="001E7F59">
        <w:rPr>
          <w:rFonts w:ascii="Palatino Linotype" w:eastAsia="Batang" w:hAnsi="Palatino Linotype" w:cs="Tahoma"/>
          <w:b/>
          <w:bCs/>
          <w:sz w:val="22"/>
          <w:szCs w:val="22"/>
        </w:rPr>
        <w:t>0</w:t>
      </w:r>
      <w:r w:rsidR="00EE1474" w:rsidRPr="001E7F59">
        <w:rPr>
          <w:rFonts w:ascii="Palatino Linotype" w:eastAsia="Batang" w:hAnsi="Palatino Linotype" w:cs="Tahoma"/>
          <w:b/>
          <w:bCs/>
          <w:sz w:val="22"/>
          <w:szCs w:val="22"/>
        </w:rPr>
        <w:t>541</w:t>
      </w:r>
      <w:r w:rsidR="005E15BB" w:rsidRPr="001E7F59">
        <w:rPr>
          <w:rFonts w:ascii="Palatino Linotype" w:eastAsia="Batang" w:hAnsi="Palatino Linotype" w:cs="Tahoma"/>
          <w:b/>
          <w:bCs/>
          <w:sz w:val="22"/>
          <w:szCs w:val="22"/>
        </w:rPr>
        <w:t>/INFOEM/IP/RR/202</w:t>
      </w:r>
      <w:r w:rsidR="004F0F4E" w:rsidRPr="001E7F59">
        <w:rPr>
          <w:rFonts w:ascii="Palatino Linotype" w:eastAsia="Batang" w:hAnsi="Palatino Linotype" w:cs="Tahoma"/>
          <w:b/>
          <w:bCs/>
          <w:sz w:val="22"/>
          <w:szCs w:val="22"/>
        </w:rPr>
        <w:t>5</w:t>
      </w:r>
      <w:r w:rsidR="00265C01" w:rsidRPr="001E7F59">
        <w:rPr>
          <w:rFonts w:ascii="Palatino Linotype" w:eastAsia="Batang" w:hAnsi="Palatino Linotype" w:cs="Tahoma"/>
          <w:b/>
          <w:bCs/>
          <w:sz w:val="22"/>
          <w:szCs w:val="22"/>
        </w:rPr>
        <w:t xml:space="preserve"> </w:t>
      </w:r>
      <w:r w:rsidRPr="001E7F59">
        <w:rPr>
          <w:rFonts w:ascii="Palatino Linotype" w:eastAsia="Batang" w:hAnsi="Palatino Linotype" w:cs="Tahoma"/>
          <w:bCs/>
          <w:sz w:val="22"/>
          <w:szCs w:val="22"/>
        </w:rPr>
        <w:t>al Medio de Impugnación que nos ocupa, con base en el sistema aprobado por el Pleno de este Órgano Garante y lo turnó al Comisionado Ponente Luis Gustavo Parra Noriega, para los efectos del artículo 185, fracción I de la Ley de Transparencia y Acceso a la Información Pública del Estado de México y Municipios.</w:t>
      </w:r>
      <w:r w:rsidR="004F0F4E" w:rsidRPr="001E7F59">
        <w:rPr>
          <w:rFonts w:ascii="Palatino Linotype" w:eastAsia="Batang" w:hAnsi="Palatino Linotype" w:cs="Tahoma"/>
          <w:bCs/>
          <w:sz w:val="22"/>
          <w:szCs w:val="22"/>
        </w:rPr>
        <w:t xml:space="preserve"> </w:t>
      </w:r>
    </w:p>
    <w:p w14:paraId="752673EA" w14:textId="77777777" w:rsidR="00FD5AA4" w:rsidRPr="001E7F59" w:rsidRDefault="00FD5AA4" w:rsidP="00A35192">
      <w:pPr>
        <w:spacing w:line="360" w:lineRule="auto"/>
        <w:jc w:val="both"/>
        <w:rPr>
          <w:rFonts w:ascii="Palatino Linotype" w:eastAsia="Batang" w:hAnsi="Palatino Linotype" w:cs="Tahoma"/>
          <w:b/>
          <w:bCs/>
          <w:sz w:val="22"/>
          <w:szCs w:val="22"/>
        </w:rPr>
      </w:pPr>
    </w:p>
    <w:p w14:paraId="5F39C819" w14:textId="1497C3A5" w:rsidR="00FD5AA4" w:rsidRPr="001E7F59" w:rsidRDefault="00FD5AA4" w:rsidP="00A35192">
      <w:pPr>
        <w:spacing w:line="360" w:lineRule="auto"/>
        <w:jc w:val="both"/>
        <w:rPr>
          <w:rFonts w:ascii="Palatino Linotype" w:eastAsia="Batang" w:hAnsi="Palatino Linotype" w:cs="Tahoma"/>
          <w:bCs/>
          <w:sz w:val="22"/>
          <w:szCs w:val="22"/>
        </w:rPr>
      </w:pPr>
      <w:bookmarkStart w:id="8" w:name="_Toc191296123"/>
      <w:r w:rsidRPr="001E7F59">
        <w:rPr>
          <w:rStyle w:val="Ttulo3Car"/>
        </w:rPr>
        <w:t>b) Admisión del Recurso de Revisión.</w:t>
      </w:r>
      <w:bookmarkEnd w:id="8"/>
      <w:r w:rsidRPr="001E7F59">
        <w:rPr>
          <w:rFonts w:ascii="Palatino Linotype" w:eastAsia="Batang" w:hAnsi="Palatino Linotype" w:cs="Tahoma"/>
          <w:b/>
          <w:bCs/>
          <w:sz w:val="22"/>
          <w:szCs w:val="22"/>
        </w:rPr>
        <w:t xml:space="preserve"> </w:t>
      </w:r>
      <w:r w:rsidRPr="001E7F59">
        <w:rPr>
          <w:rFonts w:ascii="Palatino Linotype" w:eastAsia="Batang" w:hAnsi="Palatino Linotype" w:cs="Tahoma"/>
          <w:bCs/>
          <w:sz w:val="22"/>
          <w:szCs w:val="22"/>
        </w:rPr>
        <w:t xml:space="preserve">El </w:t>
      </w:r>
      <w:r w:rsidR="00EE1474" w:rsidRPr="001E7F59">
        <w:rPr>
          <w:rFonts w:ascii="Palatino Linotype" w:eastAsia="Batang" w:hAnsi="Palatino Linotype" w:cs="Tahoma"/>
          <w:bCs/>
          <w:sz w:val="22"/>
          <w:szCs w:val="22"/>
        </w:rPr>
        <w:t>seis</w:t>
      </w:r>
      <w:r w:rsidR="004F0F4E" w:rsidRPr="001E7F59">
        <w:rPr>
          <w:rFonts w:ascii="Palatino Linotype" w:eastAsia="Batang" w:hAnsi="Palatino Linotype" w:cs="Tahoma"/>
          <w:bCs/>
          <w:sz w:val="22"/>
          <w:szCs w:val="22"/>
        </w:rPr>
        <w:t xml:space="preserve"> de febrero de dos mil veinticinco</w:t>
      </w:r>
      <w:r w:rsidRPr="001E7F59">
        <w:rPr>
          <w:rFonts w:ascii="Palatino Linotype" w:eastAsia="Batang" w:hAnsi="Palatino Linotype" w:cs="Tahoma"/>
          <w:bCs/>
          <w:sz w:val="22"/>
          <w:szCs w:val="22"/>
        </w:rPr>
        <w:t xml:space="preserve">, se acordó la admisión del Recurso de Revisión interpuesto por el Particular en contra del Sujeto Obligado, en términos del artículo 185, fracciones I, II y IV de la Ley de Transparencia y Acceso a la Información Pública del Estado de México y Municipios, el cual fue notificado a las partes el </w:t>
      </w:r>
      <w:r w:rsidR="004F0F4E" w:rsidRPr="001E7F59">
        <w:rPr>
          <w:rFonts w:ascii="Palatino Linotype" w:eastAsia="Batang" w:hAnsi="Palatino Linotype" w:cs="Tahoma"/>
          <w:bCs/>
          <w:sz w:val="22"/>
          <w:szCs w:val="22"/>
        </w:rPr>
        <w:t>mismo día, mes y año</w:t>
      </w:r>
      <w:r w:rsidRPr="001E7F59">
        <w:rPr>
          <w:rFonts w:ascii="Palatino Linotype" w:eastAsia="Batang" w:hAnsi="Palatino Linotype" w:cs="Tahoma"/>
          <w:bCs/>
          <w:sz w:val="22"/>
          <w:szCs w:val="22"/>
        </w:rPr>
        <w:t xml:space="preserve">, a través del </w:t>
      </w:r>
      <w:r w:rsidR="00384D88" w:rsidRPr="001E7F59">
        <w:rPr>
          <w:rFonts w:ascii="Palatino Linotype" w:eastAsia="Batang" w:hAnsi="Palatino Linotype" w:cs="Tahoma"/>
          <w:bCs/>
          <w:sz w:val="22"/>
          <w:szCs w:val="22"/>
        </w:rPr>
        <w:t>SAIMEX</w:t>
      </w:r>
      <w:r w:rsidRPr="001E7F59">
        <w:rPr>
          <w:rFonts w:ascii="Palatino Linotype" w:eastAsia="Batang" w:hAnsi="Palatino Linotype" w:cs="Tahoma"/>
          <w:bCs/>
          <w:sz w:val="22"/>
          <w:szCs w:val="22"/>
        </w:rPr>
        <w:t xml:space="preserve">, en el que se les otorgó un plazo de siete días </w:t>
      </w:r>
      <w:r w:rsidRPr="001E7F59">
        <w:rPr>
          <w:rFonts w:ascii="Palatino Linotype" w:eastAsia="Batang" w:hAnsi="Palatino Linotype" w:cs="Tahoma"/>
          <w:bCs/>
          <w:sz w:val="22"/>
          <w:szCs w:val="22"/>
        </w:rPr>
        <w:lastRenderedPageBreak/>
        <w:t>hábiles posteriores a la misma, para que manifestaran lo que a su derecho conviniera y formularan alegatos.</w:t>
      </w:r>
    </w:p>
    <w:p w14:paraId="46BE5D18" w14:textId="77777777" w:rsidR="00FD5AA4" w:rsidRPr="001E7F59" w:rsidRDefault="00FD5AA4" w:rsidP="00A35192">
      <w:pPr>
        <w:spacing w:line="360" w:lineRule="auto"/>
        <w:jc w:val="both"/>
        <w:rPr>
          <w:rFonts w:ascii="Palatino Linotype" w:eastAsia="Batang" w:hAnsi="Palatino Linotype" w:cs="Tahoma"/>
          <w:bCs/>
          <w:sz w:val="22"/>
          <w:szCs w:val="22"/>
        </w:rPr>
      </w:pPr>
    </w:p>
    <w:p w14:paraId="70060F64" w14:textId="77777777" w:rsidR="00D87D20" w:rsidRPr="001E7F59" w:rsidRDefault="00D87D20" w:rsidP="00A35192">
      <w:pPr>
        <w:spacing w:line="360" w:lineRule="auto"/>
        <w:jc w:val="both"/>
        <w:rPr>
          <w:rFonts w:ascii="Palatino Linotype" w:hAnsi="Palatino Linotype" w:cs="Tahoma"/>
          <w:bCs/>
          <w:sz w:val="22"/>
          <w:szCs w:val="22"/>
          <w:lang w:val="es-ES"/>
        </w:rPr>
      </w:pPr>
      <w:bookmarkStart w:id="9" w:name="_Toc191296124"/>
      <w:r w:rsidRPr="001E7F59">
        <w:rPr>
          <w:rStyle w:val="Ttulo3Car"/>
        </w:rPr>
        <w:t>c) Informe Justificado.</w:t>
      </w:r>
      <w:bookmarkEnd w:id="9"/>
      <w:r w:rsidRPr="001E7F59">
        <w:rPr>
          <w:rFonts w:ascii="Palatino Linotype" w:eastAsia="Calibri" w:hAnsi="Palatino Linotype"/>
          <w:b/>
          <w:color w:val="000000"/>
          <w:sz w:val="22"/>
          <w:szCs w:val="22"/>
          <w:lang w:eastAsia="en-US"/>
        </w:rPr>
        <w:t xml:space="preserve"> </w:t>
      </w:r>
      <w:r w:rsidRPr="001E7F59">
        <w:rPr>
          <w:rFonts w:ascii="Palatino Linotype" w:hAnsi="Palatino Linotype" w:cs="Tahoma"/>
          <w:bCs/>
          <w:sz w:val="22"/>
          <w:szCs w:val="22"/>
          <w:lang w:val="es-ES"/>
        </w:rPr>
        <w:t xml:space="preserve">Las partes fueron omisas en presentar alegatos o manifestaciones que a derecho convinieran. </w:t>
      </w:r>
    </w:p>
    <w:p w14:paraId="33897154" w14:textId="77777777" w:rsidR="00D87D20" w:rsidRPr="001E7F59" w:rsidRDefault="00D87D20" w:rsidP="00A35192">
      <w:pPr>
        <w:spacing w:line="360" w:lineRule="auto"/>
        <w:ind w:right="567"/>
        <w:jc w:val="both"/>
        <w:rPr>
          <w:rFonts w:ascii="Palatino Linotype" w:hAnsi="Palatino Linotype" w:cs="Tahoma"/>
          <w:i/>
          <w:szCs w:val="22"/>
        </w:rPr>
      </w:pPr>
    </w:p>
    <w:p w14:paraId="0BCB8473" w14:textId="62B5310C" w:rsidR="00D87D20" w:rsidRPr="001E7F59" w:rsidRDefault="00D87D20" w:rsidP="00A35192">
      <w:pPr>
        <w:spacing w:line="360" w:lineRule="auto"/>
        <w:jc w:val="both"/>
        <w:rPr>
          <w:rFonts w:ascii="Palatino Linotype" w:hAnsi="Palatino Linotype" w:cs="Tahoma"/>
          <w:sz w:val="22"/>
          <w:szCs w:val="24"/>
        </w:rPr>
      </w:pPr>
      <w:bookmarkStart w:id="10" w:name="_Toc191296125"/>
      <w:r w:rsidRPr="001E7F59">
        <w:rPr>
          <w:rStyle w:val="Ttulo3Car"/>
        </w:rPr>
        <w:t>d) Cierre de instrucción.</w:t>
      </w:r>
      <w:bookmarkEnd w:id="10"/>
      <w:r w:rsidRPr="001E7F59">
        <w:rPr>
          <w:rFonts w:ascii="Palatino Linotype" w:hAnsi="Palatino Linotype" w:cs="Tahoma"/>
          <w:b/>
          <w:sz w:val="22"/>
          <w:szCs w:val="22"/>
        </w:rPr>
        <w:t xml:space="preserve"> </w:t>
      </w:r>
      <w:r w:rsidR="0012152C" w:rsidRPr="001E7F59">
        <w:rPr>
          <w:rFonts w:ascii="Palatino Linotype" w:hAnsi="Palatino Linotype" w:cs="Tahoma"/>
          <w:sz w:val="22"/>
          <w:szCs w:val="22"/>
        </w:rPr>
        <w:t xml:space="preserve">En fecha </w:t>
      </w:r>
      <w:r w:rsidR="00EE1474" w:rsidRPr="001E7F59">
        <w:rPr>
          <w:rFonts w:ascii="Palatino Linotype" w:hAnsi="Palatino Linotype" w:cs="Tahoma"/>
          <w:sz w:val="22"/>
          <w:szCs w:val="22"/>
        </w:rPr>
        <w:t>dieciocho</w:t>
      </w:r>
      <w:r w:rsidR="0012152C" w:rsidRPr="001E7F59">
        <w:rPr>
          <w:rFonts w:ascii="Palatino Linotype" w:hAnsi="Palatino Linotype" w:cs="Tahoma"/>
          <w:sz w:val="22"/>
          <w:szCs w:val="22"/>
        </w:rPr>
        <w:t xml:space="preserve"> de febrero de dos mil veinticinco</w:t>
      </w:r>
      <w:r w:rsidRPr="001E7F59">
        <w:rPr>
          <w:rFonts w:ascii="Palatino Linotype" w:hAnsi="Palatino Linotype" w:cs="Tahoma"/>
          <w:sz w:val="22"/>
          <w:szCs w:val="22"/>
        </w:rPr>
        <w:t xml:space="preserve">, al no existir diligencias pendientes por desahogar, se emitió el acuerdo por medio del cual se declaró cerrada la instrucción y se determinó pasar el expediente a resolución, en términos de lo dispuesto en los artículos 185, fracciones VI y VIII, de la Ley de Transparencia y Acceso a la Información Pública del Estado de México y Municipios, mismo que fue notificado a las partes el mismo día, a través del </w:t>
      </w:r>
      <w:r w:rsidR="00384D88" w:rsidRPr="001E7F59">
        <w:rPr>
          <w:rFonts w:ascii="Palatino Linotype" w:hAnsi="Palatino Linotype" w:cs="Tahoma"/>
          <w:sz w:val="22"/>
          <w:szCs w:val="22"/>
          <w:lang w:val="es-ES"/>
        </w:rPr>
        <w:t>SAIMEX</w:t>
      </w:r>
      <w:r w:rsidRPr="001E7F59">
        <w:rPr>
          <w:rFonts w:ascii="Palatino Linotype" w:hAnsi="Palatino Linotype" w:cs="Tahoma"/>
          <w:sz w:val="22"/>
          <w:szCs w:val="22"/>
        </w:rPr>
        <w:t>.</w:t>
      </w:r>
    </w:p>
    <w:p w14:paraId="19A4E248" w14:textId="77777777" w:rsidR="00D87D20" w:rsidRPr="001E7F59" w:rsidRDefault="00D87D20" w:rsidP="00A35192">
      <w:pPr>
        <w:spacing w:line="360" w:lineRule="auto"/>
        <w:jc w:val="both"/>
        <w:rPr>
          <w:rFonts w:ascii="Palatino Linotype" w:hAnsi="Palatino Linotype" w:cs="Tahoma"/>
          <w:sz w:val="22"/>
          <w:szCs w:val="24"/>
        </w:rPr>
      </w:pPr>
    </w:p>
    <w:p w14:paraId="6589A7F7" w14:textId="77777777" w:rsidR="00D87D20" w:rsidRPr="001E7F59" w:rsidRDefault="00D87D20" w:rsidP="00A35192">
      <w:pPr>
        <w:spacing w:line="360" w:lineRule="auto"/>
        <w:jc w:val="both"/>
        <w:rPr>
          <w:rFonts w:ascii="Palatino Linotype" w:hAnsi="Palatino Linotype" w:cs="Tahoma"/>
          <w:sz w:val="22"/>
          <w:szCs w:val="24"/>
        </w:rPr>
      </w:pPr>
      <w:r w:rsidRPr="001E7F59">
        <w:rPr>
          <w:rFonts w:ascii="Palatino Linotype" w:hAnsi="Palatino Linotype" w:cs="Tahoma"/>
          <w:sz w:val="22"/>
          <w:szCs w:val="24"/>
        </w:rPr>
        <w:t>En razón de que fue debidamente sustanciado e integrado el expediente electrónico y no existe diligencia pendiente de desahogo, se emite la resolución que conforme a Derecho proceda, de acuerdo a los siguientes:</w:t>
      </w:r>
    </w:p>
    <w:p w14:paraId="6CFD9754" w14:textId="77777777" w:rsidR="00D87D20" w:rsidRPr="001E7F59" w:rsidRDefault="00D87D20" w:rsidP="00A35192">
      <w:pPr>
        <w:spacing w:line="360" w:lineRule="auto"/>
        <w:ind w:left="708"/>
        <w:jc w:val="both"/>
        <w:rPr>
          <w:rFonts w:ascii="Palatino Linotype" w:hAnsi="Palatino Linotype" w:cs="Tahoma"/>
          <w:bCs/>
          <w:iCs/>
          <w:sz w:val="22"/>
          <w:szCs w:val="22"/>
          <w:lang w:val="es-ES"/>
        </w:rPr>
      </w:pPr>
    </w:p>
    <w:p w14:paraId="57A3613C" w14:textId="77777777" w:rsidR="00D87D20" w:rsidRPr="001E7F59" w:rsidRDefault="00D87D20" w:rsidP="00A35192">
      <w:pPr>
        <w:pStyle w:val="Ttulo1"/>
        <w:spacing w:before="0"/>
        <w:rPr>
          <w:lang w:val="pt-BR"/>
        </w:rPr>
      </w:pPr>
      <w:bookmarkStart w:id="11" w:name="_Toc191296126"/>
      <w:r w:rsidRPr="001E7F59">
        <w:rPr>
          <w:lang w:val="pt-BR"/>
        </w:rPr>
        <w:t>C O N S I D E R A N D O S</w:t>
      </w:r>
      <w:bookmarkEnd w:id="11"/>
      <w:r w:rsidRPr="001E7F59">
        <w:rPr>
          <w:lang w:val="pt-BR"/>
        </w:rPr>
        <w:t xml:space="preserve"> </w:t>
      </w:r>
    </w:p>
    <w:p w14:paraId="31D60E0B" w14:textId="77777777" w:rsidR="00D87D20" w:rsidRPr="001E7F59" w:rsidRDefault="00D87D20" w:rsidP="00A35192">
      <w:pPr>
        <w:spacing w:line="360" w:lineRule="auto"/>
        <w:jc w:val="both"/>
        <w:rPr>
          <w:rFonts w:ascii="Palatino Linotype" w:eastAsiaTheme="minorHAnsi" w:hAnsi="Palatino Linotype" w:cstheme="minorBidi"/>
          <w:b/>
          <w:color w:val="000000" w:themeColor="text1"/>
          <w:sz w:val="22"/>
          <w:szCs w:val="22"/>
          <w:lang w:val="pt-BR" w:eastAsia="en-US"/>
        </w:rPr>
      </w:pPr>
    </w:p>
    <w:p w14:paraId="7BE58E44" w14:textId="77777777" w:rsidR="00D87D20" w:rsidRPr="001E7F59" w:rsidRDefault="00D87D20" w:rsidP="00A35192">
      <w:pPr>
        <w:pStyle w:val="Ttulo2"/>
        <w:spacing w:before="0"/>
        <w:rPr>
          <w:lang w:val="es-ES"/>
        </w:rPr>
      </w:pPr>
      <w:bookmarkStart w:id="12" w:name="_Toc191296127"/>
      <w:r w:rsidRPr="001E7F59">
        <w:rPr>
          <w:rFonts w:eastAsia="Calibri"/>
          <w:color w:val="000000"/>
          <w:lang w:val="es-ES" w:eastAsia="es-MX"/>
        </w:rPr>
        <w:t xml:space="preserve">PRIMERO. </w:t>
      </w:r>
      <w:r w:rsidRPr="001E7F59">
        <w:rPr>
          <w:lang w:val="es-ES"/>
        </w:rPr>
        <w:t>Competencia</w:t>
      </w:r>
      <w:bookmarkEnd w:id="12"/>
    </w:p>
    <w:p w14:paraId="308FB17A" w14:textId="77777777" w:rsidR="00D87D20" w:rsidRPr="001E7F59" w:rsidRDefault="00D87D20" w:rsidP="00A35192">
      <w:pPr>
        <w:autoSpaceDE w:val="0"/>
        <w:autoSpaceDN w:val="0"/>
        <w:adjustRightInd w:val="0"/>
        <w:spacing w:line="360" w:lineRule="auto"/>
        <w:jc w:val="both"/>
        <w:rPr>
          <w:rFonts w:ascii="Palatino Linotype" w:hAnsi="Palatino Linotype" w:cs="Tahoma"/>
          <w:b/>
          <w:sz w:val="22"/>
          <w:szCs w:val="24"/>
          <w:lang w:val="es-ES"/>
        </w:rPr>
      </w:pPr>
    </w:p>
    <w:p w14:paraId="13986905" w14:textId="6C0BC449" w:rsidR="00D87D20" w:rsidRPr="001E7F59" w:rsidRDefault="00D87D20" w:rsidP="00A35192">
      <w:pPr>
        <w:spacing w:line="360" w:lineRule="auto"/>
        <w:jc w:val="both"/>
        <w:rPr>
          <w:rFonts w:ascii="Palatino Linotype" w:eastAsiaTheme="minorHAnsi" w:hAnsi="Palatino Linotype" w:cs="Tahoma"/>
          <w:color w:val="000000" w:themeColor="text1"/>
          <w:sz w:val="22"/>
          <w:szCs w:val="22"/>
          <w:lang w:eastAsia="en-US"/>
        </w:rPr>
      </w:pPr>
      <w:r w:rsidRPr="001E7F59">
        <w:rPr>
          <w:rFonts w:ascii="Palatino Linotype" w:eastAsiaTheme="minorHAnsi" w:hAnsi="Palatino Linotype" w:cs="Tahoma"/>
          <w:color w:val="000000" w:themeColor="text1"/>
          <w:sz w:val="22"/>
          <w:szCs w:val="22"/>
          <w:lang w:eastAsia="en-US"/>
        </w:rPr>
        <w:t xml:space="preserve">El Instituto de Transparencia, Acceso a la Información Pública y Protección de Datos Personales del Estado de México y Municipios, es competente para conocer y resolver el presente recurso de revisión interpuesto por la parte recurrente, conforme a lo dispuesto en </w:t>
      </w:r>
      <w:r w:rsidR="0012152C" w:rsidRPr="001E7F59">
        <w:rPr>
          <w:rFonts w:ascii="Palatino Linotype" w:eastAsiaTheme="minorHAnsi" w:hAnsi="Palatino Linotype" w:cs="Tahoma"/>
          <w:color w:val="000000" w:themeColor="text1"/>
          <w:sz w:val="22"/>
          <w:szCs w:val="22"/>
          <w:lang w:eastAsia="en-US"/>
        </w:rPr>
        <w:t>e</w:t>
      </w:r>
      <w:r w:rsidRPr="001E7F59">
        <w:rPr>
          <w:rFonts w:ascii="Palatino Linotype" w:eastAsiaTheme="minorHAnsi" w:hAnsi="Palatino Linotype" w:cs="Tahoma"/>
          <w:color w:val="000000" w:themeColor="text1"/>
          <w:sz w:val="22"/>
          <w:szCs w:val="22"/>
          <w:lang w:eastAsia="en-US"/>
        </w:rPr>
        <w:t>l</w:t>
      </w:r>
      <w:r w:rsidR="0012152C" w:rsidRPr="001E7F59">
        <w:rPr>
          <w:rFonts w:ascii="Palatino Linotype" w:eastAsiaTheme="minorHAnsi" w:hAnsi="Palatino Linotype" w:cs="Tahoma"/>
          <w:color w:val="000000" w:themeColor="text1"/>
          <w:sz w:val="22"/>
          <w:szCs w:val="22"/>
          <w:lang w:eastAsia="en-US"/>
        </w:rPr>
        <w:t xml:space="preserve"> artículo</w:t>
      </w:r>
      <w:r w:rsidRPr="001E7F59">
        <w:rPr>
          <w:rFonts w:ascii="Palatino Linotype" w:eastAsiaTheme="minorHAnsi" w:hAnsi="Palatino Linotype" w:cs="Tahoma"/>
          <w:color w:val="000000" w:themeColor="text1"/>
          <w:sz w:val="22"/>
          <w:szCs w:val="22"/>
          <w:lang w:eastAsia="en-US"/>
        </w:rPr>
        <w:t xml:space="preserve"> 5°, párrafos trigésimo segundo, trigésimo tercero y trigésimo cuarto, fracciones I, II, III, IV y V de la Constitución Política del Estado Libre y Soberano de México; 1°, 8°, 9°, 10, 37 </w:t>
      </w:r>
      <w:r w:rsidRPr="001E7F59">
        <w:rPr>
          <w:rFonts w:ascii="Palatino Linotype" w:eastAsiaTheme="minorHAnsi" w:hAnsi="Palatino Linotype" w:cs="Tahoma"/>
          <w:color w:val="000000" w:themeColor="text1"/>
          <w:sz w:val="22"/>
          <w:szCs w:val="22"/>
          <w:lang w:eastAsia="en-US"/>
        </w:rPr>
        <w:lastRenderedPageBreak/>
        <w:t>y 42, fracciones I, II y III, de la Ley General de Transparencia y Acceso a la Información Pública; 1°, 2°, fracciones II y IV; 13, 29, 36, fracciones I y II; 176, 178, 179, 181 párrafo tercero, 185, 188 y 189 de la Ley Transparencia y Acceso a la Información Pública del Estado de México y Municipios; 7°, 9°, fracciones I y XXIII, y 11 del Reglamento Interior del Instituto de Transparencia, Acceso a la Información Pública y Protección de Datos Personales del Estado de México y Municipios.</w:t>
      </w:r>
    </w:p>
    <w:p w14:paraId="5901942B" w14:textId="77777777" w:rsidR="00D87D20" w:rsidRPr="001E7F59" w:rsidRDefault="00D87D20" w:rsidP="00A35192">
      <w:pPr>
        <w:tabs>
          <w:tab w:val="left" w:pos="8055"/>
        </w:tabs>
        <w:spacing w:line="360" w:lineRule="auto"/>
        <w:jc w:val="both"/>
        <w:rPr>
          <w:rFonts w:ascii="Palatino Linotype" w:hAnsi="Palatino Linotype" w:cs="Tahoma"/>
          <w:bCs/>
          <w:sz w:val="22"/>
          <w:szCs w:val="22"/>
        </w:rPr>
      </w:pPr>
      <w:r w:rsidRPr="001E7F59">
        <w:rPr>
          <w:rFonts w:ascii="Palatino Linotype" w:hAnsi="Palatino Linotype" w:cs="Tahoma"/>
          <w:bCs/>
          <w:sz w:val="22"/>
          <w:szCs w:val="22"/>
        </w:rPr>
        <w:tab/>
      </w:r>
    </w:p>
    <w:p w14:paraId="2C9E2E08" w14:textId="77777777" w:rsidR="00D87D20" w:rsidRPr="001E7F59" w:rsidRDefault="00D87D20" w:rsidP="00A35192">
      <w:pPr>
        <w:pStyle w:val="Ttulo2"/>
        <w:spacing w:before="0"/>
        <w:rPr>
          <w:lang w:eastAsia="es-MX"/>
        </w:rPr>
      </w:pPr>
      <w:bookmarkStart w:id="13" w:name="_Toc191296128"/>
      <w:r w:rsidRPr="001E7F59">
        <w:rPr>
          <w:lang w:eastAsia="es-MX"/>
        </w:rPr>
        <w:t>SEGUNDO. Causales de improcedencia y sobreseimiento</w:t>
      </w:r>
      <w:bookmarkEnd w:id="13"/>
    </w:p>
    <w:p w14:paraId="4B58BEC6" w14:textId="77777777" w:rsidR="00D87D20" w:rsidRPr="001E7F59" w:rsidRDefault="00D87D20" w:rsidP="00A35192">
      <w:pPr>
        <w:autoSpaceDE w:val="0"/>
        <w:autoSpaceDN w:val="0"/>
        <w:adjustRightInd w:val="0"/>
        <w:spacing w:line="360" w:lineRule="auto"/>
        <w:jc w:val="both"/>
        <w:rPr>
          <w:rFonts w:ascii="Palatino Linotype" w:eastAsia="Calibri" w:hAnsi="Palatino Linotype" w:cs="Tahoma"/>
          <w:color w:val="000000"/>
          <w:sz w:val="22"/>
          <w:szCs w:val="22"/>
          <w:lang w:eastAsia="es-MX"/>
        </w:rPr>
      </w:pPr>
    </w:p>
    <w:p w14:paraId="269B91EA" w14:textId="77777777" w:rsidR="00D87D20" w:rsidRPr="001E7F59" w:rsidRDefault="00D87D20" w:rsidP="00A35192">
      <w:pPr>
        <w:autoSpaceDE w:val="0"/>
        <w:autoSpaceDN w:val="0"/>
        <w:adjustRightInd w:val="0"/>
        <w:spacing w:line="360" w:lineRule="auto"/>
        <w:jc w:val="both"/>
        <w:rPr>
          <w:rFonts w:ascii="Palatino Linotype" w:eastAsia="Calibri" w:hAnsi="Palatino Linotype" w:cs="Tahoma"/>
          <w:color w:val="000000"/>
          <w:sz w:val="22"/>
          <w:szCs w:val="22"/>
          <w:lang w:eastAsia="es-MX"/>
        </w:rPr>
      </w:pPr>
      <w:r w:rsidRPr="001E7F59">
        <w:rPr>
          <w:rFonts w:ascii="Palatino Linotype" w:eastAsia="Calibri" w:hAnsi="Palatino Linotype" w:cs="Tahoma"/>
          <w:color w:val="000000"/>
          <w:sz w:val="22"/>
          <w:szCs w:val="22"/>
          <w:lang w:eastAsia="es-MX"/>
        </w:rPr>
        <w:t>Este Instituto realiza el estudio oficioso de las causales de improcedencia, por tratarse de una cuestión de orden público y de estudio preferente acorde con el Criterio orientador en la Tesis de Jurisprudencia “IMPROCEDENCIA.” (Semanario Judicial de la Federación, Quinta Época, 1985, pág. 262), el cual establece que debe examinarse previamente la procedencia del juicio de amparo, sea que las partes lo soliciten o no, por ser una cuestión de orden público; de tal suerte, deberá ser desechado cualquier Recurso de Revisión que actualice alguno de los supuestos establecidos en el artículo 191 de la Ley de Transparencia y Acceso a la Información Pública del Estado de México y Municipios, por ser improcedente.</w:t>
      </w:r>
    </w:p>
    <w:p w14:paraId="39398BA2" w14:textId="77777777" w:rsidR="00D87D20" w:rsidRPr="001E7F59" w:rsidRDefault="00D87D20" w:rsidP="00A35192">
      <w:pPr>
        <w:autoSpaceDE w:val="0"/>
        <w:autoSpaceDN w:val="0"/>
        <w:adjustRightInd w:val="0"/>
        <w:spacing w:line="360" w:lineRule="auto"/>
        <w:jc w:val="both"/>
        <w:rPr>
          <w:rFonts w:ascii="Palatino Linotype" w:eastAsia="Calibri" w:hAnsi="Palatino Linotype" w:cs="Tahoma"/>
          <w:color w:val="000000"/>
          <w:sz w:val="22"/>
          <w:szCs w:val="22"/>
          <w:lang w:eastAsia="es-MX"/>
        </w:rPr>
      </w:pPr>
    </w:p>
    <w:p w14:paraId="6FAEA695" w14:textId="77777777" w:rsidR="00D87D20" w:rsidRPr="001E7F59" w:rsidRDefault="00D87D20" w:rsidP="00A35192">
      <w:pPr>
        <w:autoSpaceDE w:val="0"/>
        <w:autoSpaceDN w:val="0"/>
        <w:adjustRightInd w:val="0"/>
        <w:spacing w:line="360" w:lineRule="auto"/>
        <w:jc w:val="both"/>
        <w:rPr>
          <w:rFonts w:ascii="Palatino Linotype" w:eastAsia="Calibri" w:hAnsi="Palatino Linotype" w:cs="Tahoma"/>
          <w:color w:val="000000"/>
          <w:sz w:val="22"/>
          <w:szCs w:val="22"/>
          <w:lang w:eastAsia="es-MX"/>
        </w:rPr>
      </w:pPr>
      <w:r w:rsidRPr="001E7F59">
        <w:rPr>
          <w:rFonts w:ascii="Palatino Linotype" w:eastAsia="Calibri" w:hAnsi="Palatino Linotype" w:cs="Tahoma"/>
          <w:color w:val="000000"/>
          <w:sz w:val="22"/>
          <w:szCs w:val="22"/>
          <w:lang w:eastAsia="es-MX"/>
        </w:rPr>
        <w:t>En el presente caso, no se actualiza ninguna de las causales de improcedencia establecidas en el ordenamiento jurídico previamente señalado, toda vez que: el recurso fue presentado dentro del plazo establecido en el artículo 178 de la Ley de Transparencia y Acceso a la Información Pública del Estado de México y Municipios; este Instituto no tiene conocimiento de que se encuentre en trámite algún medio de defensa presentado por el recurrente ante otra instancia; no existió prevención alguna; la veracidad de la respuesta no formó parte del agravio; ni se realizó una consulta o ampliación a los alcances del requerimiento informativo.</w:t>
      </w:r>
    </w:p>
    <w:p w14:paraId="1A398F14" w14:textId="77777777" w:rsidR="00D87D20" w:rsidRPr="001E7F59" w:rsidRDefault="00D87D20" w:rsidP="00A35192">
      <w:pPr>
        <w:spacing w:line="360" w:lineRule="auto"/>
        <w:jc w:val="both"/>
        <w:rPr>
          <w:rFonts w:ascii="Palatino Linotype" w:eastAsia="Calibri" w:hAnsi="Palatino Linotype" w:cs="Tahoma"/>
          <w:b/>
          <w:sz w:val="22"/>
          <w:szCs w:val="22"/>
          <w:lang w:eastAsia="es-ES_tradnl"/>
        </w:rPr>
      </w:pPr>
    </w:p>
    <w:p w14:paraId="2D32A9F0" w14:textId="77777777" w:rsidR="00D87D20" w:rsidRPr="001E7F59" w:rsidRDefault="00D87D20" w:rsidP="00A35192">
      <w:pPr>
        <w:pStyle w:val="Ttulo3"/>
        <w:spacing w:before="0"/>
        <w:rPr>
          <w:lang w:eastAsia="es-ES_tradnl"/>
        </w:rPr>
      </w:pPr>
      <w:bookmarkStart w:id="14" w:name="_Toc191296129"/>
      <w:r w:rsidRPr="001E7F59">
        <w:rPr>
          <w:lang w:eastAsia="es-ES_tradnl"/>
        </w:rPr>
        <w:lastRenderedPageBreak/>
        <w:t>Causales de sobreseimiento</w:t>
      </w:r>
      <w:bookmarkEnd w:id="14"/>
    </w:p>
    <w:p w14:paraId="0BAE3475" w14:textId="77777777" w:rsidR="00D87D20" w:rsidRPr="001E7F59" w:rsidRDefault="00D87D20" w:rsidP="00A35192">
      <w:pPr>
        <w:spacing w:line="360" w:lineRule="auto"/>
        <w:jc w:val="both"/>
        <w:rPr>
          <w:rFonts w:ascii="Palatino Linotype" w:eastAsia="Calibri" w:hAnsi="Palatino Linotype" w:cs="Tahoma"/>
          <w:b/>
          <w:sz w:val="22"/>
          <w:szCs w:val="22"/>
          <w:lang w:eastAsia="es-ES_tradnl"/>
        </w:rPr>
      </w:pPr>
    </w:p>
    <w:p w14:paraId="351F1EEF" w14:textId="77777777" w:rsidR="00D87D20" w:rsidRPr="001E7F59" w:rsidRDefault="00D87D20" w:rsidP="00A35192">
      <w:pPr>
        <w:spacing w:line="360" w:lineRule="auto"/>
        <w:jc w:val="both"/>
        <w:rPr>
          <w:rFonts w:ascii="Palatino Linotype" w:eastAsia="Calibri" w:hAnsi="Palatino Linotype" w:cs="Tahoma"/>
          <w:sz w:val="22"/>
          <w:szCs w:val="22"/>
          <w:lang w:eastAsia="es-ES_tradnl"/>
        </w:rPr>
      </w:pPr>
      <w:r w:rsidRPr="001E7F59">
        <w:rPr>
          <w:rFonts w:ascii="Palatino Linotype" w:eastAsia="Calibri" w:hAnsi="Palatino Linotype" w:cs="Tahoma"/>
          <w:sz w:val="22"/>
          <w:szCs w:val="22"/>
          <w:lang w:eastAsia="es-ES_tradnl"/>
        </w:rPr>
        <w:t>Por lo que hace a las causales de sobreseimiento, del análisis realizado por este Instituto, se advierte que</w:t>
      </w:r>
      <w:r w:rsidRPr="001E7F59">
        <w:rPr>
          <w:rFonts w:ascii="Palatino Linotype" w:eastAsia="Calibri" w:hAnsi="Palatino Linotype" w:cs="Tahoma"/>
          <w:b/>
          <w:sz w:val="22"/>
          <w:szCs w:val="22"/>
          <w:lang w:eastAsia="es-ES_tradnl"/>
        </w:rPr>
        <w:t xml:space="preserve"> no se actualiza ninguna de las previstas por el artículo 192 de la Ley de Transparencia y Acceso a la Información Pública del Estado de México y Municipios; </w:t>
      </w:r>
      <w:r w:rsidRPr="001E7F59">
        <w:rPr>
          <w:rFonts w:ascii="Palatino Linotype" w:hAnsi="Palatino Linotype" w:cs="Tahoma"/>
          <w:sz w:val="22"/>
          <w:szCs w:val="22"/>
        </w:rPr>
        <w:t xml:space="preserve">lo anterior, en virtud de que no existe constancia en el expediente en que se actúa, de que la recurrente se hubiera desistido del recurso, hubiera fallecido, que sobreviniera alguna causal de improcedencia, que el Sujeto Obligado hubiese modificado o revocado el acto impugnado, o bien que el recurso de revisión hubiera quedado sin materia. </w:t>
      </w:r>
      <w:r w:rsidRPr="001E7F59">
        <w:rPr>
          <w:rFonts w:ascii="Palatino Linotype" w:eastAsia="Calibri" w:hAnsi="Palatino Linotype" w:cs="Tahoma"/>
          <w:bCs/>
          <w:sz w:val="22"/>
          <w:szCs w:val="22"/>
          <w:lang w:eastAsia="es-ES_tradnl"/>
        </w:rPr>
        <w:t xml:space="preserve">Por tales motivos, </w:t>
      </w:r>
      <w:r w:rsidRPr="001E7F59">
        <w:rPr>
          <w:rFonts w:ascii="Palatino Linotype" w:eastAsia="Calibri" w:hAnsi="Palatino Linotype" w:cs="Tahoma"/>
          <w:sz w:val="22"/>
          <w:szCs w:val="22"/>
          <w:lang w:eastAsia="es-ES_tradnl"/>
        </w:rPr>
        <w:t xml:space="preserve">se considera procedente entrar al fondo del presente asunto. </w:t>
      </w:r>
    </w:p>
    <w:p w14:paraId="05F273AB" w14:textId="77777777" w:rsidR="00D87D20" w:rsidRPr="001E7F59" w:rsidRDefault="00D87D20" w:rsidP="00A35192">
      <w:pPr>
        <w:autoSpaceDE w:val="0"/>
        <w:autoSpaceDN w:val="0"/>
        <w:adjustRightInd w:val="0"/>
        <w:spacing w:line="360" w:lineRule="auto"/>
        <w:jc w:val="both"/>
        <w:rPr>
          <w:rFonts w:ascii="Palatino Linotype" w:eastAsia="Calibri" w:hAnsi="Palatino Linotype" w:cs="Tahoma"/>
          <w:color w:val="000000"/>
          <w:sz w:val="22"/>
          <w:szCs w:val="22"/>
          <w:lang w:eastAsia="es-MX"/>
        </w:rPr>
      </w:pPr>
    </w:p>
    <w:p w14:paraId="414C2D7B" w14:textId="77777777" w:rsidR="00D87D20" w:rsidRPr="001E7F59" w:rsidRDefault="00D87D20" w:rsidP="00A35192">
      <w:pPr>
        <w:pStyle w:val="Ttulo2"/>
        <w:spacing w:before="0"/>
        <w:rPr>
          <w:lang w:val="es-ES" w:eastAsia="es-ES_tradnl"/>
        </w:rPr>
      </w:pPr>
      <w:bookmarkStart w:id="15" w:name="_Toc191296130"/>
      <w:r w:rsidRPr="001E7F59">
        <w:rPr>
          <w:lang w:val="es-ES" w:eastAsia="es-ES_tradnl"/>
        </w:rPr>
        <w:t>TERCERO. Determinación de la Controversia</w:t>
      </w:r>
      <w:bookmarkEnd w:id="15"/>
    </w:p>
    <w:p w14:paraId="227990AA" w14:textId="77777777" w:rsidR="00D87D20" w:rsidRPr="001E7F59" w:rsidRDefault="00D87D20" w:rsidP="00A35192">
      <w:pPr>
        <w:tabs>
          <w:tab w:val="left" w:pos="4962"/>
        </w:tabs>
        <w:spacing w:line="360" w:lineRule="auto"/>
        <w:jc w:val="both"/>
        <w:rPr>
          <w:rFonts w:ascii="Palatino Linotype" w:eastAsia="Calibri" w:hAnsi="Palatino Linotype" w:cs="Tahoma"/>
          <w:iCs/>
          <w:sz w:val="22"/>
          <w:szCs w:val="22"/>
          <w:lang w:eastAsia="es-ES_tradnl"/>
        </w:rPr>
      </w:pPr>
    </w:p>
    <w:p w14:paraId="0C1D9599" w14:textId="36D116FA" w:rsidR="00D87D20" w:rsidRPr="001E7F59" w:rsidRDefault="00D87D20" w:rsidP="00A35192">
      <w:pPr>
        <w:tabs>
          <w:tab w:val="left" w:pos="4962"/>
        </w:tabs>
        <w:spacing w:line="360" w:lineRule="auto"/>
        <w:jc w:val="both"/>
        <w:rPr>
          <w:rFonts w:ascii="Palatino Linotype" w:eastAsia="Calibri" w:hAnsi="Palatino Linotype" w:cs="Tahoma"/>
          <w:sz w:val="22"/>
          <w:szCs w:val="24"/>
        </w:rPr>
      </w:pPr>
      <w:r w:rsidRPr="001E7F59">
        <w:rPr>
          <w:rFonts w:ascii="Palatino Linotype" w:eastAsia="Calibri" w:hAnsi="Palatino Linotype" w:cs="Tahoma"/>
          <w:iCs/>
          <w:sz w:val="22"/>
          <w:szCs w:val="22"/>
          <w:lang w:eastAsia="es-ES_tradnl"/>
        </w:rPr>
        <w:t>Con el objeto de ilustrar la controversia planteada, resulta conveniente precisar que el Particular</w:t>
      </w:r>
      <w:r w:rsidR="00EE1474" w:rsidRPr="001E7F59">
        <w:rPr>
          <w:rFonts w:ascii="Palatino Linotype" w:eastAsia="Calibri" w:hAnsi="Palatino Linotype" w:cs="Tahoma"/>
          <w:sz w:val="22"/>
          <w:szCs w:val="22"/>
          <w:lang w:eastAsia="en-US"/>
        </w:rPr>
        <w:t>, solicitó</w:t>
      </w:r>
      <w:r w:rsidR="00A867F8" w:rsidRPr="001E7F59">
        <w:rPr>
          <w:rFonts w:ascii="Palatino Linotype" w:eastAsia="Calibri" w:hAnsi="Palatino Linotype" w:cs="Tahoma"/>
          <w:sz w:val="22"/>
          <w:szCs w:val="22"/>
          <w:lang w:eastAsia="en-US"/>
        </w:rPr>
        <w:t xml:space="preserve"> </w:t>
      </w:r>
      <w:r w:rsidR="00EE1474" w:rsidRPr="001E7F59">
        <w:rPr>
          <w:rFonts w:ascii="Palatino Linotype" w:eastAsia="Calibri" w:hAnsi="Palatino Linotype" w:cs="Tahoma"/>
          <w:sz w:val="22"/>
          <w:szCs w:val="22"/>
          <w:lang w:eastAsia="en-US"/>
        </w:rPr>
        <w:t>de la Titular de la Subdirección de Administración de Agua y Saneamiento de Toluca</w:t>
      </w:r>
      <w:r w:rsidR="00A867F8" w:rsidRPr="001E7F59">
        <w:rPr>
          <w:rFonts w:ascii="Palatino Linotype" w:eastAsia="Calibri" w:hAnsi="Palatino Linotype" w:cs="Tahoma"/>
          <w:sz w:val="22"/>
          <w:szCs w:val="22"/>
          <w:lang w:eastAsia="en-US"/>
        </w:rPr>
        <w:t xml:space="preserve">, </w:t>
      </w:r>
      <w:r w:rsidR="00EE1474" w:rsidRPr="001E7F59">
        <w:rPr>
          <w:rFonts w:ascii="Palatino Linotype" w:eastAsia="Calibri" w:hAnsi="Palatino Linotype" w:cs="Tahoma"/>
          <w:sz w:val="22"/>
          <w:szCs w:val="22"/>
          <w:lang w:eastAsia="en-US"/>
        </w:rPr>
        <w:t>de</w:t>
      </w:r>
      <w:r w:rsidR="009D18AF" w:rsidRPr="001E7F59">
        <w:rPr>
          <w:rFonts w:ascii="Palatino Linotype" w:eastAsia="Calibri" w:hAnsi="Palatino Linotype" w:cs="Tahoma"/>
          <w:sz w:val="22"/>
          <w:szCs w:val="24"/>
        </w:rPr>
        <w:t xml:space="preserve">l primero de </w:t>
      </w:r>
      <w:r w:rsidR="00A867F8" w:rsidRPr="001E7F59">
        <w:rPr>
          <w:rFonts w:ascii="Palatino Linotype" w:eastAsia="Calibri" w:hAnsi="Palatino Linotype" w:cs="Tahoma"/>
          <w:sz w:val="22"/>
          <w:szCs w:val="24"/>
        </w:rPr>
        <w:t xml:space="preserve">enero </w:t>
      </w:r>
      <w:r w:rsidR="00EE1474" w:rsidRPr="001E7F59">
        <w:rPr>
          <w:rFonts w:ascii="Palatino Linotype" w:eastAsia="Calibri" w:hAnsi="Palatino Linotype" w:cs="Tahoma"/>
          <w:sz w:val="22"/>
          <w:szCs w:val="24"/>
        </w:rPr>
        <w:t>al treinta y uno de diciembre de dos mil veinticuatro</w:t>
      </w:r>
      <w:r w:rsidR="00A867F8" w:rsidRPr="001E7F59">
        <w:rPr>
          <w:rFonts w:ascii="Palatino Linotype" w:eastAsia="Calibri" w:hAnsi="Palatino Linotype" w:cs="Tahoma"/>
          <w:sz w:val="22"/>
          <w:szCs w:val="24"/>
        </w:rPr>
        <w:t>,</w:t>
      </w:r>
      <w:r w:rsidR="00DC24E5" w:rsidRPr="001E7F59">
        <w:rPr>
          <w:rFonts w:ascii="Palatino Linotype" w:eastAsia="Calibri" w:hAnsi="Palatino Linotype" w:cs="Tahoma"/>
          <w:sz w:val="22"/>
          <w:szCs w:val="24"/>
        </w:rPr>
        <w:t xml:space="preserve"> lo siguiente:</w:t>
      </w:r>
    </w:p>
    <w:p w14:paraId="7DCE0A06" w14:textId="77777777" w:rsidR="00384D88" w:rsidRPr="001E7F59" w:rsidRDefault="00384D88" w:rsidP="00A35192">
      <w:pPr>
        <w:tabs>
          <w:tab w:val="left" w:pos="4962"/>
        </w:tabs>
        <w:spacing w:line="360" w:lineRule="auto"/>
        <w:jc w:val="both"/>
        <w:rPr>
          <w:rFonts w:ascii="Palatino Linotype" w:eastAsia="Calibri" w:hAnsi="Palatino Linotype" w:cs="Tahoma"/>
          <w:sz w:val="22"/>
          <w:szCs w:val="24"/>
        </w:rPr>
      </w:pPr>
    </w:p>
    <w:p w14:paraId="0496F865" w14:textId="6E83DE48" w:rsidR="00EE1474" w:rsidRPr="001E7F59" w:rsidRDefault="00EE1474" w:rsidP="00A35192">
      <w:pPr>
        <w:pStyle w:val="Prrafodelista"/>
        <w:numPr>
          <w:ilvl w:val="0"/>
          <w:numId w:val="3"/>
        </w:numPr>
        <w:tabs>
          <w:tab w:val="left" w:pos="4962"/>
        </w:tabs>
        <w:spacing w:line="360" w:lineRule="auto"/>
        <w:jc w:val="both"/>
        <w:rPr>
          <w:rFonts w:ascii="Palatino Linotype" w:eastAsia="Calibri" w:hAnsi="Palatino Linotype" w:cs="Tahoma"/>
        </w:rPr>
      </w:pPr>
      <w:r w:rsidRPr="001E7F59">
        <w:rPr>
          <w:rFonts w:ascii="Palatino Linotype" w:eastAsia="Calibri" w:hAnsi="Palatino Linotype" w:cs="Tahoma"/>
        </w:rPr>
        <w:t>Expediente de Personal</w:t>
      </w:r>
    </w:p>
    <w:p w14:paraId="209C9BB9" w14:textId="53F35396" w:rsidR="00EE1474" w:rsidRPr="001E7F59" w:rsidRDefault="00EE1474" w:rsidP="00A35192">
      <w:pPr>
        <w:pStyle w:val="Prrafodelista"/>
        <w:numPr>
          <w:ilvl w:val="0"/>
          <w:numId w:val="3"/>
        </w:numPr>
        <w:tabs>
          <w:tab w:val="left" w:pos="4962"/>
        </w:tabs>
        <w:spacing w:line="360" w:lineRule="auto"/>
        <w:jc w:val="both"/>
        <w:rPr>
          <w:rFonts w:ascii="Palatino Linotype" w:eastAsia="Calibri" w:hAnsi="Palatino Linotype" w:cs="Tahoma"/>
        </w:rPr>
      </w:pPr>
      <w:r w:rsidRPr="001E7F59">
        <w:rPr>
          <w:rFonts w:ascii="Palatino Linotype" w:eastAsia="Calibri" w:hAnsi="Palatino Linotype" w:cs="Tahoma"/>
        </w:rPr>
        <w:t>Alta</w:t>
      </w:r>
    </w:p>
    <w:p w14:paraId="065D98C2" w14:textId="38DA7CD5" w:rsidR="00EE1474" w:rsidRPr="001E7F59" w:rsidRDefault="00EE1474" w:rsidP="00A35192">
      <w:pPr>
        <w:pStyle w:val="Prrafodelista"/>
        <w:numPr>
          <w:ilvl w:val="0"/>
          <w:numId w:val="3"/>
        </w:numPr>
        <w:tabs>
          <w:tab w:val="left" w:pos="4962"/>
        </w:tabs>
        <w:spacing w:line="360" w:lineRule="auto"/>
        <w:jc w:val="both"/>
        <w:rPr>
          <w:rFonts w:ascii="Palatino Linotype" w:eastAsia="Calibri" w:hAnsi="Palatino Linotype" w:cs="Tahoma"/>
        </w:rPr>
      </w:pPr>
      <w:r w:rsidRPr="001E7F59">
        <w:rPr>
          <w:rFonts w:ascii="Palatino Linotype" w:eastAsia="Calibri" w:hAnsi="Palatino Linotype" w:cs="Tahoma"/>
        </w:rPr>
        <w:t>Recibos de nómina</w:t>
      </w:r>
    </w:p>
    <w:p w14:paraId="67CDDE58" w14:textId="755BB90B" w:rsidR="00EE1474" w:rsidRPr="001E7F59" w:rsidRDefault="00EE1474" w:rsidP="00A35192">
      <w:pPr>
        <w:pStyle w:val="Prrafodelista"/>
        <w:numPr>
          <w:ilvl w:val="0"/>
          <w:numId w:val="3"/>
        </w:numPr>
        <w:tabs>
          <w:tab w:val="left" w:pos="4962"/>
        </w:tabs>
        <w:spacing w:line="360" w:lineRule="auto"/>
        <w:jc w:val="both"/>
        <w:rPr>
          <w:rFonts w:ascii="Palatino Linotype" w:eastAsia="Calibri" w:hAnsi="Palatino Linotype" w:cs="Tahoma"/>
        </w:rPr>
      </w:pPr>
      <w:r w:rsidRPr="001E7F59">
        <w:rPr>
          <w:rFonts w:ascii="Palatino Linotype" w:eastAsia="Calibri" w:hAnsi="Palatino Linotype" w:cs="Tahoma"/>
        </w:rPr>
        <w:t>Cédula y Título Profesional</w:t>
      </w:r>
    </w:p>
    <w:p w14:paraId="6F705014" w14:textId="01059572" w:rsidR="00DC24E5" w:rsidRPr="001E7F59" w:rsidRDefault="00EE1474" w:rsidP="002E7961">
      <w:pPr>
        <w:pStyle w:val="Prrafodelista"/>
        <w:numPr>
          <w:ilvl w:val="0"/>
          <w:numId w:val="3"/>
        </w:numPr>
        <w:tabs>
          <w:tab w:val="left" w:pos="4962"/>
        </w:tabs>
        <w:spacing w:line="360" w:lineRule="auto"/>
        <w:jc w:val="both"/>
        <w:rPr>
          <w:rFonts w:ascii="Palatino Linotype" w:eastAsia="Calibri" w:hAnsi="Palatino Linotype" w:cs="Tahoma"/>
        </w:rPr>
      </w:pPr>
      <w:r w:rsidRPr="001E7F59">
        <w:rPr>
          <w:rFonts w:ascii="Palatino Linotype" w:eastAsia="Calibri" w:hAnsi="Palatino Linotype" w:cs="Tahoma"/>
        </w:rPr>
        <w:t>Vehículo ofici</w:t>
      </w:r>
      <w:r w:rsidR="00766B1B" w:rsidRPr="001E7F59">
        <w:rPr>
          <w:rFonts w:ascii="Palatino Linotype" w:eastAsia="Calibri" w:hAnsi="Palatino Linotype" w:cs="Tahoma"/>
        </w:rPr>
        <w:t xml:space="preserve">al asignado, placas, modelo, </w:t>
      </w:r>
      <w:r w:rsidRPr="001E7F59">
        <w:rPr>
          <w:rFonts w:ascii="Palatino Linotype" w:eastAsia="Calibri" w:hAnsi="Palatino Linotype" w:cs="Tahoma"/>
        </w:rPr>
        <w:t>color</w:t>
      </w:r>
      <w:r w:rsidR="00766B1B" w:rsidRPr="001E7F59">
        <w:rPr>
          <w:rFonts w:ascii="Palatino Linotype" w:eastAsia="Calibri" w:hAnsi="Palatino Linotype" w:cs="Tahoma"/>
        </w:rPr>
        <w:t xml:space="preserve"> y c</w:t>
      </w:r>
      <w:r w:rsidRPr="001E7F59">
        <w:rPr>
          <w:rFonts w:ascii="Palatino Linotype" w:eastAsia="Calibri" w:hAnsi="Palatino Linotype" w:cs="Tahoma"/>
        </w:rPr>
        <w:t>antidad de combustible asignado</w:t>
      </w:r>
    </w:p>
    <w:p w14:paraId="34C27130" w14:textId="77777777" w:rsidR="00D87D20" w:rsidRPr="001E7F59" w:rsidRDefault="00D87D20" w:rsidP="00A35192">
      <w:pPr>
        <w:tabs>
          <w:tab w:val="left" w:pos="4962"/>
        </w:tabs>
        <w:spacing w:line="360" w:lineRule="auto"/>
        <w:jc w:val="both"/>
        <w:rPr>
          <w:rFonts w:ascii="Palatino Linotype" w:eastAsia="Calibri" w:hAnsi="Palatino Linotype" w:cs="Tahoma"/>
          <w:sz w:val="22"/>
          <w:szCs w:val="22"/>
          <w:lang w:eastAsia="en-US"/>
        </w:rPr>
      </w:pPr>
      <w:r w:rsidRPr="001E7F59">
        <w:rPr>
          <w:rFonts w:ascii="Palatino Linotype" w:eastAsia="Calibri" w:hAnsi="Palatino Linotype" w:cs="Tahoma"/>
          <w:sz w:val="22"/>
          <w:szCs w:val="22"/>
          <w:lang w:eastAsia="en-US"/>
        </w:rPr>
        <w:tab/>
      </w:r>
    </w:p>
    <w:p w14:paraId="227D0C4A" w14:textId="22F2F3F2" w:rsidR="00D87D20" w:rsidRPr="001E7F59" w:rsidRDefault="00D87D20" w:rsidP="00A35192">
      <w:pPr>
        <w:tabs>
          <w:tab w:val="left" w:pos="4962"/>
        </w:tabs>
        <w:spacing w:line="360" w:lineRule="auto"/>
        <w:jc w:val="both"/>
        <w:rPr>
          <w:rFonts w:ascii="Palatino Linotype" w:hAnsi="Palatino Linotype" w:cs="Tahoma"/>
          <w:sz w:val="22"/>
          <w:szCs w:val="24"/>
        </w:rPr>
      </w:pPr>
      <w:r w:rsidRPr="001E7F59">
        <w:rPr>
          <w:rFonts w:ascii="Palatino Linotype" w:eastAsia="Calibri" w:hAnsi="Palatino Linotype" w:cs="Tahoma"/>
          <w:sz w:val="22"/>
          <w:szCs w:val="22"/>
          <w:lang w:eastAsia="en-US"/>
        </w:rPr>
        <w:t xml:space="preserve">Derivado de ello, el </w:t>
      </w:r>
      <w:r w:rsidRPr="001E7F59">
        <w:rPr>
          <w:rFonts w:ascii="Palatino Linotype" w:hAnsi="Palatino Linotype" w:cs="Tahoma"/>
          <w:bCs/>
          <w:iCs/>
          <w:sz w:val="22"/>
          <w:szCs w:val="22"/>
        </w:rPr>
        <w:t>Sujeto Obligado a través de la Titular de la Unidad de Transparencia remitió la</w:t>
      </w:r>
      <w:r w:rsidR="00032B58" w:rsidRPr="001E7F59">
        <w:rPr>
          <w:rFonts w:ascii="Palatino Linotype" w:hAnsi="Palatino Linotype" w:cs="Tahoma"/>
          <w:bCs/>
          <w:iCs/>
          <w:sz w:val="22"/>
          <w:szCs w:val="22"/>
        </w:rPr>
        <w:t>s</w:t>
      </w:r>
      <w:r w:rsidRPr="001E7F59">
        <w:rPr>
          <w:rFonts w:ascii="Palatino Linotype" w:hAnsi="Palatino Linotype" w:cs="Tahoma"/>
          <w:bCs/>
          <w:iCs/>
          <w:sz w:val="22"/>
          <w:szCs w:val="22"/>
        </w:rPr>
        <w:t xml:space="preserve"> respuesta</w:t>
      </w:r>
      <w:r w:rsidR="00032B58" w:rsidRPr="001E7F59">
        <w:rPr>
          <w:rFonts w:ascii="Palatino Linotype" w:hAnsi="Palatino Linotype" w:cs="Tahoma"/>
          <w:bCs/>
          <w:iCs/>
          <w:sz w:val="22"/>
          <w:szCs w:val="22"/>
        </w:rPr>
        <w:t>s</w:t>
      </w:r>
      <w:r w:rsidRPr="001E7F59">
        <w:rPr>
          <w:rFonts w:ascii="Palatino Linotype" w:hAnsi="Palatino Linotype" w:cs="Tahoma"/>
          <w:bCs/>
          <w:iCs/>
          <w:sz w:val="22"/>
          <w:szCs w:val="22"/>
        </w:rPr>
        <w:t xml:space="preserve"> </w:t>
      </w:r>
      <w:r w:rsidR="00A867F8" w:rsidRPr="001E7F59">
        <w:rPr>
          <w:rFonts w:ascii="Palatino Linotype" w:hAnsi="Palatino Linotype" w:cs="Tahoma"/>
          <w:bCs/>
          <w:iCs/>
          <w:sz w:val="22"/>
          <w:szCs w:val="22"/>
        </w:rPr>
        <w:t xml:space="preserve">proporcionada por </w:t>
      </w:r>
      <w:r w:rsidR="00032B58" w:rsidRPr="001E7F59">
        <w:rPr>
          <w:rFonts w:ascii="Palatino Linotype" w:hAnsi="Palatino Linotype" w:cs="Tahoma"/>
          <w:bCs/>
          <w:iCs/>
          <w:sz w:val="22"/>
          <w:szCs w:val="22"/>
        </w:rPr>
        <w:t xml:space="preserve">el Jefe de Departamento de Recursos Humanos y </w:t>
      </w:r>
      <w:r w:rsidR="00032B58" w:rsidRPr="001E7F59">
        <w:rPr>
          <w:rFonts w:ascii="Palatino Linotype" w:hAnsi="Palatino Linotype" w:cs="Tahoma"/>
          <w:sz w:val="22"/>
          <w:szCs w:val="22"/>
        </w:rPr>
        <w:t xml:space="preserve">el </w:t>
      </w:r>
      <w:r w:rsidR="00032B58" w:rsidRPr="001E7F59">
        <w:rPr>
          <w:rFonts w:ascii="Palatino Linotype" w:hAnsi="Palatino Linotype" w:cs="Tahoma"/>
          <w:sz w:val="22"/>
          <w:szCs w:val="22"/>
        </w:rPr>
        <w:lastRenderedPageBreak/>
        <w:t>Subdirector de Administración</w:t>
      </w:r>
      <w:r w:rsidR="00A867F8" w:rsidRPr="001E7F59">
        <w:rPr>
          <w:rFonts w:ascii="Palatino Linotype" w:hAnsi="Palatino Linotype" w:cs="Tahoma"/>
          <w:bCs/>
          <w:iCs/>
          <w:sz w:val="22"/>
          <w:szCs w:val="22"/>
        </w:rPr>
        <w:t xml:space="preserve">, </w:t>
      </w:r>
      <w:r w:rsidR="00032B58" w:rsidRPr="001E7F59">
        <w:rPr>
          <w:rFonts w:ascii="Palatino Linotype" w:hAnsi="Palatino Linotype" w:cs="Tahoma"/>
          <w:bCs/>
          <w:iCs/>
          <w:sz w:val="22"/>
          <w:szCs w:val="22"/>
        </w:rPr>
        <w:t>los cuales a su consideración proporcionaron la información que es de interés del solicitante</w:t>
      </w:r>
      <w:r w:rsidRPr="001E7F59">
        <w:rPr>
          <w:rFonts w:ascii="Palatino Linotype" w:hAnsi="Palatino Linotype" w:cs="Tahoma"/>
          <w:bCs/>
          <w:iCs/>
          <w:sz w:val="22"/>
          <w:szCs w:val="22"/>
        </w:rPr>
        <w:t xml:space="preserve">. </w:t>
      </w:r>
      <w:r w:rsidR="00A1214F" w:rsidRPr="001E7F59">
        <w:rPr>
          <w:rFonts w:ascii="Palatino Linotype" w:hAnsi="Palatino Linotype" w:cs="Tahoma"/>
          <w:bCs/>
          <w:iCs/>
          <w:sz w:val="22"/>
          <w:szCs w:val="22"/>
        </w:rPr>
        <w:t>Debido a</w:t>
      </w:r>
      <w:r w:rsidRPr="001E7F59">
        <w:rPr>
          <w:rFonts w:ascii="Palatino Linotype" w:hAnsi="Palatino Linotype" w:cs="Tahoma"/>
          <w:bCs/>
          <w:iCs/>
          <w:sz w:val="22"/>
          <w:szCs w:val="22"/>
        </w:rPr>
        <w:t xml:space="preserve"> lo anterior, </w:t>
      </w:r>
      <w:r w:rsidRPr="001E7F59">
        <w:rPr>
          <w:rFonts w:ascii="Palatino Linotype" w:hAnsi="Palatino Linotype" w:cs="Tahoma"/>
          <w:bCs/>
          <w:iCs/>
          <w:sz w:val="22"/>
          <w:szCs w:val="22"/>
          <w:lang w:val="es-ES"/>
        </w:rPr>
        <w:t xml:space="preserve">el Particular, señaló </w:t>
      </w:r>
      <w:r w:rsidR="00A867F8" w:rsidRPr="001E7F59">
        <w:rPr>
          <w:rFonts w:ascii="Palatino Linotype" w:hAnsi="Palatino Linotype" w:cs="Tahoma"/>
          <w:bCs/>
          <w:iCs/>
          <w:sz w:val="22"/>
          <w:szCs w:val="22"/>
          <w:lang w:val="es-ES"/>
        </w:rPr>
        <w:t>como</w:t>
      </w:r>
      <w:r w:rsidRPr="001E7F59">
        <w:rPr>
          <w:rFonts w:ascii="Palatino Linotype" w:hAnsi="Palatino Linotype" w:cs="Tahoma"/>
          <w:bCs/>
          <w:iCs/>
          <w:sz w:val="22"/>
          <w:szCs w:val="22"/>
          <w:lang w:val="es-ES"/>
        </w:rPr>
        <w:t xml:space="preserve"> acto impugnado</w:t>
      </w:r>
      <w:r w:rsidR="00032B58" w:rsidRPr="001E7F59">
        <w:rPr>
          <w:rFonts w:ascii="Palatino Linotype" w:hAnsi="Palatino Linotype" w:cs="Tahoma"/>
          <w:bCs/>
          <w:iCs/>
          <w:sz w:val="22"/>
          <w:szCs w:val="22"/>
          <w:lang w:val="es-ES"/>
        </w:rPr>
        <w:t xml:space="preserve"> el cambio de modalidad y el contenido de los oficios con los que se da respuesta</w:t>
      </w:r>
      <w:r w:rsidRPr="001E7F59">
        <w:rPr>
          <w:rFonts w:ascii="Palatino Linotype" w:hAnsi="Palatino Linotype" w:cs="Tahoma"/>
          <w:bCs/>
          <w:iCs/>
          <w:sz w:val="22"/>
          <w:szCs w:val="22"/>
          <w:lang w:val="es-ES"/>
        </w:rPr>
        <w:t xml:space="preserve">, </w:t>
      </w:r>
      <w:r w:rsidR="00A867F8" w:rsidRPr="001E7F59">
        <w:rPr>
          <w:rFonts w:ascii="Palatino Linotype" w:hAnsi="Palatino Linotype" w:cs="Tahoma"/>
          <w:bCs/>
          <w:iCs/>
          <w:sz w:val="22"/>
          <w:szCs w:val="22"/>
          <w:lang w:val="es-ES"/>
        </w:rPr>
        <w:t>mientras que</w:t>
      </w:r>
      <w:r w:rsidR="00923E81" w:rsidRPr="001E7F59">
        <w:rPr>
          <w:rFonts w:ascii="Palatino Linotype" w:hAnsi="Palatino Linotype" w:cs="Tahoma"/>
          <w:bCs/>
          <w:iCs/>
          <w:sz w:val="22"/>
          <w:szCs w:val="22"/>
          <w:lang w:val="es-ES"/>
        </w:rPr>
        <w:t xml:space="preserve"> en sus motivos de inconformidad, </w:t>
      </w:r>
      <w:r w:rsidR="00A867F8" w:rsidRPr="001E7F59">
        <w:rPr>
          <w:rFonts w:ascii="Palatino Linotype" w:hAnsi="Palatino Linotype" w:cs="Tahoma"/>
          <w:bCs/>
          <w:iCs/>
          <w:sz w:val="22"/>
          <w:szCs w:val="22"/>
          <w:lang w:val="es-ES"/>
        </w:rPr>
        <w:t xml:space="preserve">señaló </w:t>
      </w:r>
      <w:r w:rsidR="00032B58" w:rsidRPr="001E7F59">
        <w:rPr>
          <w:rFonts w:ascii="Palatino Linotype" w:hAnsi="Palatino Linotype" w:cs="Tahoma"/>
          <w:bCs/>
          <w:iCs/>
          <w:sz w:val="22"/>
          <w:szCs w:val="22"/>
          <w:lang w:val="es-ES"/>
        </w:rPr>
        <w:t xml:space="preserve">el cambio de modalidad, </w:t>
      </w:r>
      <w:r w:rsidRPr="001E7F59">
        <w:rPr>
          <w:rFonts w:ascii="Palatino Linotype" w:hAnsi="Palatino Linotype" w:cs="Tahoma"/>
          <w:bCs/>
          <w:iCs/>
          <w:sz w:val="22"/>
          <w:szCs w:val="22"/>
          <w:lang w:val="es-ES"/>
        </w:rPr>
        <w:t xml:space="preserve">lo cual </w:t>
      </w:r>
      <w:r w:rsidR="00923E81" w:rsidRPr="001E7F59">
        <w:rPr>
          <w:rFonts w:ascii="Palatino Linotype" w:hAnsi="Palatino Linotype" w:cs="Tahoma"/>
          <w:bCs/>
          <w:iCs/>
          <w:sz w:val="22"/>
          <w:szCs w:val="22"/>
          <w:lang w:val="es-ES"/>
        </w:rPr>
        <w:t>a</w:t>
      </w:r>
      <w:r w:rsidRPr="001E7F59">
        <w:rPr>
          <w:rFonts w:ascii="Palatino Linotype" w:hAnsi="Palatino Linotype" w:cs="Tahoma"/>
          <w:bCs/>
          <w:iCs/>
          <w:sz w:val="22"/>
          <w:szCs w:val="22"/>
          <w:lang w:val="es-ES"/>
        </w:rPr>
        <w:t xml:space="preserve">ctualiza </w:t>
      </w:r>
      <w:r w:rsidR="00A867F8" w:rsidRPr="001E7F59">
        <w:rPr>
          <w:rFonts w:ascii="Palatino Linotype" w:hAnsi="Palatino Linotype" w:cs="Tahoma"/>
          <w:bCs/>
          <w:iCs/>
          <w:sz w:val="22"/>
          <w:szCs w:val="22"/>
          <w:lang w:val="es-ES"/>
        </w:rPr>
        <w:t>e</w:t>
      </w:r>
      <w:r w:rsidRPr="001E7F59">
        <w:rPr>
          <w:rFonts w:ascii="Palatino Linotype" w:hAnsi="Palatino Linotype" w:cs="Tahoma"/>
          <w:bCs/>
          <w:iCs/>
          <w:sz w:val="22"/>
          <w:szCs w:val="22"/>
          <w:lang w:val="es-ES"/>
        </w:rPr>
        <w:t>l supuesto</w:t>
      </w:r>
      <w:r w:rsidR="00A867F8" w:rsidRPr="001E7F59">
        <w:rPr>
          <w:rFonts w:ascii="Palatino Linotype" w:hAnsi="Palatino Linotype" w:cs="Tahoma"/>
          <w:bCs/>
          <w:iCs/>
          <w:sz w:val="22"/>
          <w:szCs w:val="22"/>
          <w:lang w:val="es-ES"/>
        </w:rPr>
        <w:t xml:space="preserve"> previsto</w:t>
      </w:r>
      <w:r w:rsidR="003F3F33" w:rsidRPr="001E7F59">
        <w:rPr>
          <w:rFonts w:ascii="Palatino Linotype" w:hAnsi="Palatino Linotype" w:cs="Tahoma"/>
          <w:bCs/>
          <w:iCs/>
          <w:sz w:val="22"/>
          <w:szCs w:val="22"/>
          <w:lang w:val="es-ES"/>
        </w:rPr>
        <w:t xml:space="preserve"> en el artículo 179, fracciones VI y </w:t>
      </w:r>
      <w:r w:rsidR="00032B58" w:rsidRPr="001E7F59">
        <w:rPr>
          <w:rFonts w:ascii="Palatino Linotype" w:hAnsi="Palatino Linotype" w:cs="Tahoma"/>
          <w:bCs/>
          <w:iCs/>
          <w:sz w:val="22"/>
          <w:szCs w:val="22"/>
          <w:lang w:val="es-ES"/>
        </w:rPr>
        <w:t>VIII</w:t>
      </w:r>
      <w:r w:rsidRPr="001E7F59">
        <w:rPr>
          <w:rFonts w:ascii="Palatino Linotype" w:hAnsi="Palatino Linotype" w:cs="Tahoma"/>
          <w:bCs/>
          <w:iCs/>
          <w:sz w:val="22"/>
          <w:szCs w:val="22"/>
          <w:lang w:val="es-ES"/>
        </w:rPr>
        <w:t xml:space="preserve"> de la Ley </w:t>
      </w:r>
      <w:r w:rsidRPr="001E7F59">
        <w:rPr>
          <w:rFonts w:ascii="Palatino Linotype" w:hAnsi="Palatino Linotype" w:cs="Tahoma"/>
          <w:sz w:val="22"/>
          <w:szCs w:val="24"/>
        </w:rPr>
        <w:t xml:space="preserve">de Transparencia y Acceso a la Información Pública del Estado de México y Municipios. </w:t>
      </w:r>
    </w:p>
    <w:p w14:paraId="0FD2B09A" w14:textId="77777777" w:rsidR="00923E81" w:rsidRPr="001E7F59" w:rsidRDefault="00923E81" w:rsidP="00A35192">
      <w:pPr>
        <w:spacing w:line="360" w:lineRule="auto"/>
        <w:contextualSpacing/>
        <w:jc w:val="both"/>
        <w:rPr>
          <w:rFonts w:ascii="Palatino Linotype" w:hAnsi="Palatino Linotype" w:cs="Tahoma"/>
          <w:sz w:val="22"/>
          <w:szCs w:val="24"/>
        </w:rPr>
      </w:pPr>
    </w:p>
    <w:p w14:paraId="58EFD91D" w14:textId="77777777" w:rsidR="00D87D20" w:rsidRPr="001E7F59" w:rsidRDefault="00D87D20" w:rsidP="00A35192">
      <w:pPr>
        <w:spacing w:line="360" w:lineRule="auto"/>
        <w:contextualSpacing/>
        <w:jc w:val="both"/>
        <w:rPr>
          <w:rFonts w:ascii="Palatino Linotype" w:hAnsi="Palatino Linotype" w:cs="Tahoma"/>
          <w:sz w:val="22"/>
          <w:szCs w:val="24"/>
        </w:rPr>
      </w:pPr>
      <w:r w:rsidRPr="001E7F59">
        <w:rPr>
          <w:rFonts w:ascii="Palatino Linotype" w:hAnsi="Palatino Linotype" w:cs="Tahoma"/>
          <w:sz w:val="22"/>
          <w:szCs w:val="24"/>
        </w:rPr>
        <w:t xml:space="preserve">Así las cosas, una vez admitido y notificado el Recurso de Revisión a las partes, tanto el Sujeto Obligado como el Recurrente, fueron omisos en presentar manifestaciones o alegatos que a su derecho convinieran. </w:t>
      </w:r>
    </w:p>
    <w:p w14:paraId="04690C8C" w14:textId="77777777" w:rsidR="00D87D20" w:rsidRPr="001E7F59" w:rsidRDefault="00D87D20" w:rsidP="00A35192">
      <w:pPr>
        <w:spacing w:line="360" w:lineRule="auto"/>
        <w:contextualSpacing/>
        <w:jc w:val="both"/>
        <w:rPr>
          <w:rFonts w:ascii="Palatino Linotype" w:hAnsi="Palatino Linotype" w:cs="Tahoma"/>
          <w:sz w:val="22"/>
          <w:szCs w:val="24"/>
        </w:rPr>
      </w:pPr>
    </w:p>
    <w:p w14:paraId="4D13169F" w14:textId="327EB46F" w:rsidR="00D87D20" w:rsidRPr="001E7F59" w:rsidRDefault="00D87D20" w:rsidP="00A35192">
      <w:pPr>
        <w:spacing w:line="360" w:lineRule="auto"/>
        <w:jc w:val="both"/>
        <w:rPr>
          <w:rFonts w:ascii="Palatino Linotype" w:eastAsiaTheme="minorHAnsi" w:hAnsi="Palatino Linotype" w:cstheme="minorBidi"/>
          <w:color w:val="000000" w:themeColor="text1"/>
          <w:sz w:val="22"/>
          <w:szCs w:val="22"/>
          <w:lang w:eastAsia="en-US"/>
        </w:rPr>
      </w:pPr>
      <w:r w:rsidRPr="001E7F59">
        <w:rPr>
          <w:rFonts w:ascii="Palatino Linotype" w:eastAsiaTheme="minorHAnsi" w:hAnsi="Palatino Linotype" w:cstheme="minorBidi"/>
          <w:color w:val="000000" w:themeColor="text1"/>
          <w:sz w:val="22"/>
          <w:szCs w:val="22"/>
          <w:lang w:eastAsia="en-US"/>
        </w:rPr>
        <w:t xml:space="preserve">Lo hasta aquí expuesto, se desprende de las documentales que obran en el expediente de referencia, materia de la presente Resolución, consistentes en: la solicitud de acceso a la información con número de folio </w:t>
      </w:r>
      <w:r w:rsidR="00032B58" w:rsidRPr="001E7F59">
        <w:rPr>
          <w:rFonts w:ascii="Palatino Linotype" w:eastAsia="Calibri" w:hAnsi="Palatino Linotype" w:cs="Tahoma"/>
          <w:color w:val="000000"/>
          <w:sz w:val="22"/>
          <w:szCs w:val="22"/>
          <w:lang w:eastAsia="en-US"/>
        </w:rPr>
        <w:t>00192/OASTOL/IP/2024</w:t>
      </w:r>
      <w:r w:rsidRPr="001E7F59">
        <w:rPr>
          <w:rFonts w:ascii="Palatino Linotype" w:eastAsia="Calibri" w:hAnsi="Palatino Linotype" w:cs="Tahoma"/>
          <w:color w:val="000000"/>
          <w:sz w:val="22"/>
          <w:szCs w:val="22"/>
          <w:lang w:eastAsia="en-US"/>
        </w:rPr>
        <w:t>;</w:t>
      </w:r>
      <w:r w:rsidRPr="001E7F59">
        <w:rPr>
          <w:rFonts w:ascii="Palatino Linotype" w:eastAsia="Calibri" w:hAnsi="Palatino Linotype" w:cs="Tahoma"/>
          <w:color w:val="000000" w:themeColor="text1"/>
          <w:sz w:val="22"/>
          <w:szCs w:val="22"/>
          <w:lang w:eastAsia="en-US"/>
        </w:rPr>
        <w:t xml:space="preserve"> el</w:t>
      </w:r>
      <w:r w:rsidRPr="001E7F59">
        <w:rPr>
          <w:rFonts w:ascii="Palatino Linotype" w:eastAsiaTheme="minorHAnsi" w:hAnsi="Palatino Linotype" w:cstheme="minorBidi"/>
          <w:color w:val="000000" w:themeColor="text1"/>
          <w:sz w:val="22"/>
          <w:szCs w:val="22"/>
          <w:lang w:eastAsia="en-US"/>
        </w:rPr>
        <w:t xml:space="preserve"> escrito recursal </w:t>
      </w:r>
      <w:r w:rsidR="00923E81" w:rsidRPr="001E7F59">
        <w:rPr>
          <w:rFonts w:ascii="Palatino Linotype" w:hAnsi="Palatino Linotype"/>
          <w:sz w:val="22"/>
          <w:szCs w:val="22"/>
        </w:rPr>
        <w:t>0</w:t>
      </w:r>
      <w:r w:rsidR="00595E0A" w:rsidRPr="001E7F59">
        <w:rPr>
          <w:rFonts w:ascii="Palatino Linotype" w:hAnsi="Palatino Linotype"/>
          <w:sz w:val="22"/>
          <w:szCs w:val="22"/>
        </w:rPr>
        <w:t>0</w:t>
      </w:r>
      <w:r w:rsidR="00032B58" w:rsidRPr="001E7F59">
        <w:rPr>
          <w:rFonts w:ascii="Palatino Linotype" w:hAnsi="Palatino Linotype"/>
          <w:sz w:val="22"/>
          <w:szCs w:val="22"/>
        </w:rPr>
        <w:t>541</w:t>
      </w:r>
      <w:r w:rsidR="00923E81" w:rsidRPr="001E7F59">
        <w:rPr>
          <w:rFonts w:ascii="Palatino Linotype" w:hAnsi="Palatino Linotype"/>
          <w:sz w:val="22"/>
          <w:szCs w:val="22"/>
        </w:rPr>
        <w:t>/INFOEM/IP/RR/202</w:t>
      </w:r>
      <w:r w:rsidR="00595E0A" w:rsidRPr="001E7F59">
        <w:rPr>
          <w:rFonts w:ascii="Palatino Linotype" w:hAnsi="Palatino Linotype"/>
          <w:sz w:val="22"/>
          <w:szCs w:val="22"/>
        </w:rPr>
        <w:t>5</w:t>
      </w:r>
      <w:r w:rsidR="00923E81" w:rsidRPr="001E7F59">
        <w:rPr>
          <w:rFonts w:ascii="Palatino Linotype" w:hAnsi="Palatino Linotype"/>
          <w:sz w:val="22"/>
          <w:szCs w:val="22"/>
        </w:rPr>
        <w:t xml:space="preserve"> </w:t>
      </w:r>
      <w:r w:rsidRPr="001E7F59">
        <w:rPr>
          <w:rFonts w:ascii="Palatino Linotype" w:eastAsiaTheme="minorHAnsi" w:hAnsi="Palatino Linotype" w:cstheme="minorBidi"/>
          <w:color w:val="000000" w:themeColor="text1"/>
          <w:sz w:val="22"/>
          <w:szCs w:val="22"/>
          <w:lang w:eastAsia="en-US"/>
        </w:rPr>
        <w:t xml:space="preserve">y la respuesta proporcionada por el Sujeto Obligado; instrumentales que se toman en cuenta a efecto de resolver el presente medio de impugnación, conforme a lo dispuesto por el artículo 185, fracción IV, de la Ley de Transparencia y Acceso a la Información Pública del Estado de México y Municipios. </w:t>
      </w:r>
    </w:p>
    <w:p w14:paraId="7057C1B4" w14:textId="77777777" w:rsidR="00D87D20" w:rsidRPr="001E7F59" w:rsidRDefault="00D87D20" w:rsidP="00A35192">
      <w:pPr>
        <w:spacing w:line="360" w:lineRule="auto"/>
        <w:contextualSpacing/>
        <w:jc w:val="both"/>
        <w:rPr>
          <w:rFonts w:ascii="Palatino Linotype" w:hAnsi="Palatino Linotype" w:cs="Tahoma"/>
          <w:sz w:val="22"/>
          <w:szCs w:val="24"/>
        </w:rPr>
      </w:pPr>
    </w:p>
    <w:p w14:paraId="71AEFE77" w14:textId="77777777" w:rsidR="00D87D20" w:rsidRPr="001E7F59" w:rsidRDefault="00D87D20" w:rsidP="00A35192">
      <w:pPr>
        <w:pStyle w:val="Ttulo2"/>
        <w:spacing w:before="0"/>
        <w:jc w:val="both"/>
      </w:pPr>
      <w:bookmarkStart w:id="16" w:name="_Toc191296131"/>
      <w:r w:rsidRPr="001E7F59">
        <w:rPr>
          <w:lang w:val="es-ES"/>
        </w:rPr>
        <w:t xml:space="preserve">CUARTO. </w:t>
      </w:r>
      <w:r w:rsidRPr="001E7F59">
        <w:t>Marco normativo aplicable en materia de transparencia y acceso a la información pública</w:t>
      </w:r>
      <w:bookmarkEnd w:id="16"/>
    </w:p>
    <w:p w14:paraId="6165009B" w14:textId="77777777" w:rsidR="00D87D20" w:rsidRPr="001E7F59" w:rsidRDefault="00D87D20" w:rsidP="00A35192">
      <w:pPr>
        <w:spacing w:line="360" w:lineRule="auto"/>
        <w:ind w:right="-93"/>
        <w:jc w:val="both"/>
        <w:rPr>
          <w:rFonts w:ascii="Palatino Linotype" w:hAnsi="Palatino Linotype" w:cs="Tahoma"/>
          <w:b/>
          <w:sz w:val="22"/>
          <w:szCs w:val="24"/>
        </w:rPr>
      </w:pPr>
    </w:p>
    <w:p w14:paraId="7AD5315E" w14:textId="77777777" w:rsidR="00D87D20" w:rsidRPr="001E7F59" w:rsidRDefault="00D87D20" w:rsidP="00A35192">
      <w:pPr>
        <w:spacing w:line="360" w:lineRule="auto"/>
        <w:contextualSpacing/>
        <w:jc w:val="both"/>
        <w:rPr>
          <w:rFonts w:ascii="Palatino Linotype" w:hAnsi="Palatino Linotype" w:cs="Tahoma"/>
          <w:sz w:val="22"/>
          <w:szCs w:val="24"/>
        </w:rPr>
      </w:pPr>
      <w:r w:rsidRPr="001E7F59">
        <w:rPr>
          <w:rFonts w:ascii="Palatino Linotype" w:hAnsi="Palatino Linotype" w:cs="Tahoma"/>
          <w:sz w:val="22"/>
          <w:szCs w:val="24"/>
        </w:rPr>
        <w:t>El artículo 6°, Apartado A), fracción I de la Constitución Política de los Estados Unidos Mexicanos, establece que toda la información en posesión de cualquier autoridad, es pública y sólo podrá ser reservada temporalmente por razones de interés público.</w:t>
      </w:r>
    </w:p>
    <w:p w14:paraId="5FD3D50A" w14:textId="77777777" w:rsidR="00D87D20" w:rsidRPr="001E7F59" w:rsidRDefault="00D87D20" w:rsidP="00A35192">
      <w:pPr>
        <w:spacing w:line="360" w:lineRule="auto"/>
        <w:contextualSpacing/>
        <w:jc w:val="both"/>
        <w:rPr>
          <w:rFonts w:ascii="Palatino Linotype" w:hAnsi="Palatino Linotype" w:cs="Tahoma"/>
          <w:sz w:val="22"/>
          <w:szCs w:val="24"/>
        </w:rPr>
      </w:pPr>
    </w:p>
    <w:p w14:paraId="5CA0BE11" w14:textId="77777777" w:rsidR="00D87D20" w:rsidRPr="001E7F59" w:rsidRDefault="00D87D20" w:rsidP="00A35192">
      <w:pPr>
        <w:spacing w:line="360" w:lineRule="auto"/>
        <w:jc w:val="both"/>
        <w:rPr>
          <w:rFonts w:ascii="Palatino Linotype" w:hAnsi="Palatino Linotype" w:cs="Tahoma"/>
          <w:sz w:val="22"/>
          <w:szCs w:val="24"/>
        </w:rPr>
      </w:pPr>
      <w:r w:rsidRPr="001E7F59">
        <w:rPr>
          <w:rFonts w:ascii="Palatino Linotype" w:hAnsi="Palatino Linotype" w:cs="Tahoma"/>
          <w:sz w:val="22"/>
          <w:szCs w:val="24"/>
        </w:rPr>
        <w:lastRenderedPageBreak/>
        <w:t>La Ley General de Transparencia y Acceso a la Información Pública, publicada en el Diario Oficial de la Federación el 4 de mayo de 2015, dispone en su artículo 70, la información que se considera corresponde a las Obligaciones de Transparencia, la cual debe estar disponible para cualquier persona de manera permanente y actualizada.</w:t>
      </w:r>
    </w:p>
    <w:p w14:paraId="1DA87F6C" w14:textId="77777777" w:rsidR="00D87D20" w:rsidRPr="001E7F59" w:rsidRDefault="00D87D20" w:rsidP="00A35192">
      <w:pPr>
        <w:spacing w:line="360" w:lineRule="auto"/>
        <w:jc w:val="both"/>
        <w:rPr>
          <w:rFonts w:ascii="Palatino Linotype" w:hAnsi="Palatino Linotype" w:cs="Tahoma"/>
          <w:sz w:val="22"/>
          <w:szCs w:val="24"/>
        </w:rPr>
      </w:pPr>
    </w:p>
    <w:p w14:paraId="642D25A1" w14:textId="77777777" w:rsidR="00D87D20" w:rsidRPr="001E7F59" w:rsidRDefault="00D87D20" w:rsidP="00A35192">
      <w:pPr>
        <w:spacing w:line="360" w:lineRule="auto"/>
        <w:jc w:val="both"/>
        <w:rPr>
          <w:rFonts w:ascii="Palatino Linotype" w:hAnsi="Palatino Linotype" w:cs="Tahoma"/>
          <w:sz w:val="22"/>
          <w:szCs w:val="24"/>
        </w:rPr>
      </w:pPr>
      <w:r w:rsidRPr="001E7F59">
        <w:rPr>
          <w:rFonts w:ascii="Palatino Linotype" w:hAnsi="Palatino Linotype" w:cs="Tahoma"/>
          <w:sz w:val="22"/>
          <w:szCs w:val="24"/>
        </w:rPr>
        <w:t>Por su parte, en materia local, el artículo 5°, fracción I de la Constitución Política del Estado Libre y Soberano de México, es coincidente con la Constitución Federal, en el sentido de la publicidad de toda la información, con la única restricción de proteger el interés público, así como la información referente a la intimidad de la vida privada y la imagen de las personas, con las excepciones que establezca la ley reglamentaria.</w:t>
      </w:r>
    </w:p>
    <w:p w14:paraId="330971B3" w14:textId="77777777" w:rsidR="00D87D20" w:rsidRPr="001E7F59" w:rsidRDefault="00D87D20" w:rsidP="00A35192">
      <w:pPr>
        <w:spacing w:line="360" w:lineRule="auto"/>
        <w:jc w:val="both"/>
        <w:rPr>
          <w:rFonts w:ascii="Palatino Linotype" w:hAnsi="Palatino Linotype" w:cs="Tahoma"/>
          <w:sz w:val="22"/>
          <w:szCs w:val="24"/>
        </w:rPr>
      </w:pPr>
    </w:p>
    <w:p w14:paraId="0C5B9C33" w14:textId="77777777" w:rsidR="00D87D20" w:rsidRPr="001E7F59" w:rsidRDefault="00D87D20" w:rsidP="00A35192">
      <w:pPr>
        <w:spacing w:line="360" w:lineRule="auto"/>
        <w:jc w:val="both"/>
        <w:rPr>
          <w:rFonts w:ascii="Palatino Linotype" w:hAnsi="Palatino Linotype" w:cs="Tahoma"/>
          <w:sz w:val="22"/>
          <w:szCs w:val="24"/>
        </w:rPr>
      </w:pPr>
      <w:r w:rsidRPr="001E7F59">
        <w:rPr>
          <w:rFonts w:ascii="Palatino Linotype" w:hAnsi="Palatino Linotype" w:cs="Tahoma"/>
          <w:sz w:val="22"/>
          <w:szCs w:val="24"/>
        </w:rPr>
        <w:t>Por su parte, la Ley de Transparencia y Acceso a la Información Pública del Estado de México y Municipios (Reglamentaria del artículo 5° de la Constitución Local), establece lo siguiente:</w:t>
      </w:r>
    </w:p>
    <w:p w14:paraId="3183FE89" w14:textId="77777777" w:rsidR="00D87D20" w:rsidRPr="001E7F59" w:rsidRDefault="00D87D20" w:rsidP="00A35192">
      <w:pPr>
        <w:spacing w:line="360" w:lineRule="auto"/>
        <w:jc w:val="both"/>
        <w:rPr>
          <w:rFonts w:ascii="Palatino Linotype" w:hAnsi="Palatino Linotype" w:cs="Tahoma"/>
          <w:sz w:val="22"/>
          <w:szCs w:val="24"/>
        </w:rPr>
      </w:pPr>
    </w:p>
    <w:p w14:paraId="2FC8957A" w14:textId="77777777" w:rsidR="00D87D20" w:rsidRPr="001E7F59" w:rsidRDefault="00D87D20" w:rsidP="00A35192">
      <w:pPr>
        <w:spacing w:line="360" w:lineRule="auto"/>
        <w:jc w:val="both"/>
        <w:rPr>
          <w:rFonts w:ascii="Palatino Linotype" w:hAnsi="Palatino Linotype" w:cs="Tahoma"/>
          <w:sz w:val="22"/>
          <w:szCs w:val="24"/>
        </w:rPr>
      </w:pPr>
      <w:r w:rsidRPr="001E7F59">
        <w:rPr>
          <w:rFonts w:ascii="Palatino Linotype" w:hAnsi="Palatino Linotype" w:cs="Tahoma"/>
          <w:sz w:val="22"/>
          <w:szCs w:val="24"/>
        </w:rPr>
        <w:t>El artículo 12, que, quienes generen, recopilen, administren, manejen, procesen, archiven o conserven información pública serán responsables de la misma. El artículo 18, que, los Sujetos Obligados deberán documentar todo acto que derive del ejercicio de sus facultades, competencias o funciones, considerando desde su origen la eventual publicidad y reutilización de la información que generen.</w:t>
      </w:r>
    </w:p>
    <w:p w14:paraId="3D1B3CA4" w14:textId="77777777" w:rsidR="00D87D20" w:rsidRPr="001E7F59" w:rsidRDefault="00D87D20" w:rsidP="00A35192">
      <w:pPr>
        <w:spacing w:line="360" w:lineRule="auto"/>
        <w:jc w:val="both"/>
        <w:rPr>
          <w:rFonts w:ascii="Palatino Linotype" w:hAnsi="Palatino Linotype" w:cs="Tahoma"/>
          <w:szCs w:val="24"/>
        </w:rPr>
      </w:pPr>
    </w:p>
    <w:p w14:paraId="271E3FD4" w14:textId="5F7A9093" w:rsidR="0086538F" w:rsidRPr="001E7F59" w:rsidRDefault="00D87D20" w:rsidP="00A35192">
      <w:pPr>
        <w:spacing w:line="360" w:lineRule="auto"/>
        <w:jc w:val="both"/>
        <w:rPr>
          <w:rFonts w:ascii="Palatino Linotype" w:hAnsi="Palatino Linotype" w:cs="Tahoma"/>
          <w:sz w:val="22"/>
          <w:szCs w:val="22"/>
        </w:rPr>
      </w:pPr>
      <w:r w:rsidRPr="001E7F59">
        <w:rPr>
          <w:rFonts w:ascii="Palatino Linotype" w:hAnsi="Palatino Linotype" w:cs="Tahoma"/>
          <w:sz w:val="22"/>
          <w:szCs w:val="24"/>
        </w:rPr>
        <w:t>El artículo 19, que, se presume que la información debe existir si se refiere a las facultades, competencias y funciones que los ordenamientos jurídicos aplicables otorgan a los sujetos obligados y en caso de que dichas facultades no se hayan ejercido, se deberá motivar la respuesta en función de las causas que motivaron tal circunstancia.</w:t>
      </w:r>
    </w:p>
    <w:p w14:paraId="4E1E9E2A" w14:textId="77777777" w:rsidR="00B65BDF" w:rsidRPr="001E7F59" w:rsidRDefault="00B65BDF" w:rsidP="00A35192">
      <w:pPr>
        <w:spacing w:line="360" w:lineRule="auto"/>
        <w:jc w:val="both"/>
        <w:rPr>
          <w:rFonts w:ascii="Palatino Linotype" w:hAnsi="Palatino Linotype" w:cs="Tahoma"/>
          <w:sz w:val="22"/>
          <w:szCs w:val="22"/>
        </w:rPr>
      </w:pPr>
    </w:p>
    <w:p w14:paraId="3B10E5C2" w14:textId="0C2B3944" w:rsidR="00FC638E" w:rsidRPr="001E7F59" w:rsidRDefault="003F7EDC" w:rsidP="00A35192">
      <w:pPr>
        <w:pStyle w:val="Ttulo2"/>
        <w:spacing w:before="0"/>
      </w:pPr>
      <w:r w:rsidRPr="001E7F59">
        <w:lastRenderedPageBreak/>
        <w:t xml:space="preserve"> </w:t>
      </w:r>
      <w:bookmarkStart w:id="17" w:name="_Toc191296132"/>
      <w:r w:rsidR="00FC638E" w:rsidRPr="001E7F59">
        <w:t>QUINTO. Estudio de Fondo</w:t>
      </w:r>
      <w:bookmarkEnd w:id="17"/>
    </w:p>
    <w:p w14:paraId="707F958D" w14:textId="77777777" w:rsidR="0087367C" w:rsidRPr="001E7F59" w:rsidRDefault="0087367C" w:rsidP="00A35192">
      <w:pPr>
        <w:spacing w:line="360" w:lineRule="auto"/>
        <w:ind w:right="-28"/>
        <w:contextualSpacing/>
        <w:jc w:val="both"/>
        <w:rPr>
          <w:rFonts w:ascii="Palatino Linotype" w:hAnsi="Palatino Linotype" w:cs="Tahoma"/>
          <w:bCs/>
          <w:sz w:val="22"/>
          <w:szCs w:val="22"/>
          <w:shd w:val="clear" w:color="auto" w:fill="FFFFFF"/>
        </w:rPr>
      </w:pPr>
    </w:p>
    <w:p w14:paraId="456117A4" w14:textId="692674A1" w:rsidR="00517E8A" w:rsidRPr="001E7F59" w:rsidRDefault="00517E8A" w:rsidP="00A35192">
      <w:pPr>
        <w:spacing w:line="360" w:lineRule="auto"/>
        <w:ind w:right="-93"/>
        <w:jc w:val="both"/>
        <w:rPr>
          <w:rFonts w:ascii="Palatino Linotype" w:hAnsi="Palatino Linotype" w:cs="Tahoma"/>
          <w:sz w:val="22"/>
          <w:szCs w:val="22"/>
          <w:lang w:val="es-ES"/>
        </w:rPr>
      </w:pPr>
      <w:r w:rsidRPr="001E7F59">
        <w:rPr>
          <w:rFonts w:ascii="Palatino Linotype" w:hAnsi="Palatino Linotype" w:cs="Tahoma"/>
          <w:sz w:val="22"/>
          <w:szCs w:val="22"/>
          <w:lang w:val="es-ES"/>
        </w:rPr>
        <w:t>Expuestas las posturas de las partes, se procede analizar la</w:t>
      </w:r>
      <w:r w:rsidR="00722603" w:rsidRPr="001E7F59">
        <w:rPr>
          <w:rFonts w:ascii="Palatino Linotype" w:hAnsi="Palatino Linotype" w:cs="Tahoma"/>
          <w:sz w:val="22"/>
          <w:szCs w:val="22"/>
          <w:lang w:val="es-ES"/>
        </w:rPr>
        <w:t xml:space="preserve"> respuesta proporcionada por el Sujeto Obligado,</w:t>
      </w:r>
      <w:r w:rsidR="003F3F33" w:rsidRPr="001E7F59">
        <w:rPr>
          <w:rFonts w:ascii="Palatino Linotype" w:hAnsi="Palatino Linotype" w:cs="Tahoma"/>
          <w:sz w:val="22"/>
          <w:szCs w:val="22"/>
          <w:lang w:val="es-ES"/>
        </w:rPr>
        <w:t xml:space="preserve"> que originó los motivos de inconformidad de la persona Recurrente, </w:t>
      </w:r>
      <w:r w:rsidR="00722603" w:rsidRPr="001E7F59">
        <w:rPr>
          <w:rFonts w:ascii="Palatino Linotype" w:hAnsi="Palatino Linotype" w:cs="Tahoma"/>
          <w:sz w:val="22"/>
          <w:szCs w:val="22"/>
          <w:lang w:val="es-ES"/>
        </w:rPr>
        <w:t>referentes a la</w:t>
      </w:r>
      <w:r w:rsidR="003F3F33" w:rsidRPr="001E7F59">
        <w:rPr>
          <w:rFonts w:ascii="Palatino Linotype" w:hAnsi="Palatino Linotype" w:cs="Tahoma"/>
          <w:sz w:val="22"/>
          <w:szCs w:val="22"/>
          <w:lang w:val="es-ES"/>
        </w:rPr>
        <w:t xml:space="preserve"> entrega de información que no corresponda con lo solicitado y la notificación, entrega o puesta a disposición de información en una modalidad o formato distinto al solicitado</w:t>
      </w:r>
      <w:r w:rsidR="00363907" w:rsidRPr="001E7F59">
        <w:rPr>
          <w:rFonts w:ascii="Palatino Linotype" w:hAnsi="Palatino Linotype" w:cs="Tahoma"/>
          <w:sz w:val="22"/>
          <w:szCs w:val="22"/>
          <w:lang w:val="es-ES"/>
        </w:rPr>
        <w:t>,</w:t>
      </w:r>
      <w:r w:rsidR="00DD0768" w:rsidRPr="001E7F59">
        <w:rPr>
          <w:rFonts w:ascii="Palatino Linotype" w:hAnsi="Palatino Linotype" w:cs="Tahoma"/>
          <w:sz w:val="22"/>
          <w:szCs w:val="22"/>
          <w:lang w:val="es-ES"/>
        </w:rPr>
        <w:t xml:space="preserve"> </w:t>
      </w:r>
      <w:r w:rsidR="003F3F33" w:rsidRPr="001E7F59">
        <w:rPr>
          <w:rFonts w:ascii="Palatino Linotype" w:hAnsi="Palatino Linotype" w:cs="Tahoma"/>
          <w:sz w:val="22"/>
          <w:szCs w:val="22"/>
          <w:lang w:val="es-ES"/>
        </w:rPr>
        <w:t>referente</w:t>
      </w:r>
      <w:r w:rsidR="00DD0768" w:rsidRPr="001E7F59">
        <w:rPr>
          <w:rFonts w:ascii="Palatino Linotype" w:hAnsi="Palatino Linotype" w:cs="Tahoma"/>
          <w:sz w:val="22"/>
          <w:szCs w:val="22"/>
          <w:lang w:val="es-ES"/>
        </w:rPr>
        <w:t xml:space="preserve"> a</w:t>
      </w:r>
      <w:r w:rsidR="003F3F33" w:rsidRPr="001E7F59">
        <w:rPr>
          <w:rFonts w:ascii="Palatino Linotype" w:hAnsi="Palatino Linotype" w:cs="Tahoma"/>
          <w:sz w:val="22"/>
          <w:szCs w:val="22"/>
          <w:lang w:val="es-ES"/>
        </w:rPr>
        <w:t xml:space="preserve"> la información de la Titular de la Subdirección de Administración de Agua y Saneamiento</w:t>
      </w:r>
      <w:r w:rsidR="00176F07" w:rsidRPr="001E7F59">
        <w:rPr>
          <w:rFonts w:ascii="Palatino Linotype" w:hAnsi="Palatino Linotype" w:cs="Tahoma"/>
          <w:sz w:val="22"/>
          <w:szCs w:val="22"/>
          <w:lang w:val="es-ES"/>
        </w:rPr>
        <w:t xml:space="preserve"> de Toluca</w:t>
      </w:r>
      <w:r w:rsidR="00363907" w:rsidRPr="001E7F59">
        <w:rPr>
          <w:rFonts w:ascii="Palatino Linotype" w:hAnsi="Palatino Linotype" w:cs="Tahoma"/>
          <w:sz w:val="22"/>
          <w:szCs w:val="22"/>
          <w:lang w:val="es-ES"/>
        </w:rPr>
        <w:t>.</w:t>
      </w:r>
    </w:p>
    <w:p w14:paraId="6A3DFCE6" w14:textId="77777777" w:rsidR="00434A0F" w:rsidRPr="001E7F59" w:rsidRDefault="00434A0F" w:rsidP="00A35192">
      <w:pPr>
        <w:spacing w:line="360" w:lineRule="auto"/>
        <w:ind w:right="-93"/>
        <w:jc w:val="both"/>
        <w:rPr>
          <w:rFonts w:ascii="Palatino Linotype" w:hAnsi="Palatino Linotype" w:cs="Tahoma"/>
          <w:sz w:val="22"/>
          <w:szCs w:val="22"/>
          <w:lang w:val="es-ES"/>
        </w:rPr>
      </w:pPr>
    </w:p>
    <w:p w14:paraId="3436FC91" w14:textId="77777777" w:rsidR="001B3766" w:rsidRPr="001E7F59" w:rsidRDefault="001B3766" w:rsidP="001B3766">
      <w:pPr>
        <w:spacing w:line="360" w:lineRule="auto"/>
        <w:ind w:right="-93"/>
        <w:jc w:val="both"/>
        <w:rPr>
          <w:rFonts w:ascii="Palatino Linotype" w:eastAsia="Calibri" w:hAnsi="Palatino Linotype" w:cs="Tahoma"/>
          <w:bCs/>
          <w:sz w:val="22"/>
          <w:szCs w:val="22"/>
        </w:rPr>
      </w:pPr>
      <w:bookmarkStart w:id="18" w:name="_Hlk68806277"/>
      <w:r w:rsidRPr="001E7F59">
        <w:rPr>
          <w:rFonts w:ascii="Palatino Linotype" w:eastAsia="Calibri" w:hAnsi="Palatino Linotype" w:cs="Tahoma"/>
          <w:bCs/>
          <w:sz w:val="22"/>
          <w:szCs w:val="22"/>
        </w:rPr>
        <w:t>Previo al estudio de fondo, con la finalidad de precisar la actuación del Sujeto Obligado en relación con los requerimientos del Particular, es conducente insertar el siguiente cuadro comparativo:</w:t>
      </w:r>
    </w:p>
    <w:p w14:paraId="3C84082A" w14:textId="77777777" w:rsidR="001B3766" w:rsidRPr="001E7F59" w:rsidRDefault="001B3766" w:rsidP="001B3766">
      <w:pPr>
        <w:spacing w:line="360" w:lineRule="auto"/>
        <w:jc w:val="both"/>
        <w:rPr>
          <w:rFonts w:ascii="Palatino Linotype" w:eastAsiaTheme="minorHAnsi" w:hAnsi="Palatino Linotype" w:cs="Tahoma"/>
          <w:color w:val="000000" w:themeColor="text1"/>
          <w:sz w:val="22"/>
          <w:szCs w:val="22"/>
          <w:lang w:eastAsia="en-US"/>
        </w:rPr>
      </w:pPr>
      <w:r w:rsidRPr="001E7F59">
        <w:rPr>
          <w:rFonts w:ascii="Palatino Linotype" w:eastAsiaTheme="minorHAnsi" w:hAnsi="Palatino Linotype" w:cs="Tahoma"/>
          <w:color w:val="000000" w:themeColor="text1"/>
          <w:sz w:val="22"/>
          <w:szCs w:val="22"/>
          <w:lang w:eastAsia="en-US"/>
        </w:rPr>
        <w:t xml:space="preserve"> </w:t>
      </w:r>
    </w:p>
    <w:tbl>
      <w:tblPr>
        <w:tblStyle w:val="Tablaconcuadrcula"/>
        <w:tblW w:w="0" w:type="auto"/>
        <w:tblLook w:val="04A0" w:firstRow="1" w:lastRow="0" w:firstColumn="1" w:lastColumn="0" w:noHBand="0" w:noVBand="1"/>
      </w:tblPr>
      <w:tblGrid>
        <w:gridCol w:w="1838"/>
        <w:gridCol w:w="3544"/>
        <w:gridCol w:w="3652"/>
      </w:tblGrid>
      <w:tr w:rsidR="001B3766" w:rsidRPr="001E7F59" w14:paraId="79968B89" w14:textId="77777777" w:rsidTr="00507401">
        <w:tc>
          <w:tcPr>
            <w:tcW w:w="1838" w:type="dxa"/>
            <w:tcBorders>
              <w:bottom w:val="single" w:sz="4" w:space="0" w:color="auto"/>
            </w:tcBorders>
            <w:shd w:val="clear" w:color="auto" w:fill="BFBFBF" w:themeFill="background1" w:themeFillShade="BF"/>
          </w:tcPr>
          <w:p w14:paraId="303A03A8" w14:textId="77777777" w:rsidR="001B3766" w:rsidRPr="001E7F59" w:rsidRDefault="001B3766" w:rsidP="001B3766">
            <w:pPr>
              <w:spacing w:line="360" w:lineRule="auto"/>
              <w:ind w:right="-93"/>
              <w:jc w:val="center"/>
              <w:rPr>
                <w:rFonts w:ascii="Palatino Linotype" w:eastAsia="Calibri" w:hAnsi="Palatino Linotype" w:cs="Tahoma"/>
                <w:bCs/>
                <w:color w:val="000000" w:themeColor="text1"/>
                <w:lang w:eastAsia="en-US"/>
              </w:rPr>
            </w:pPr>
            <w:r w:rsidRPr="001E7F59">
              <w:rPr>
                <w:rFonts w:ascii="Palatino Linotype" w:eastAsia="Calibri" w:hAnsi="Palatino Linotype" w:cs="Tahoma"/>
                <w:b/>
                <w:color w:val="000000" w:themeColor="text1"/>
                <w:lang w:eastAsia="en-US"/>
              </w:rPr>
              <w:t>Solicitud</w:t>
            </w:r>
          </w:p>
        </w:tc>
        <w:tc>
          <w:tcPr>
            <w:tcW w:w="3544" w:type="dxa"/>
            <w:tcBorders>
              <w:bottom w:val="single" w:sz="4" w:space="0" w:color="auto"/>
            </w:tcBorders>
            <w:shd w:val="clear" w:color="auto" w:fill="BFBFBF" w:themeFill="background1" w:themeFillShade="BF"/>
          </w:tcPr>
          <w:p w14:paraId="3CAB1A0D" w14:textId="77777777" w:rsidR="001B3766" w:rsidRPr="001E7F59" w:rsidRDefault="001B3766" w:rsidP="001B3766">
            <w:pPr>
              <w:spacing w:line="360" w:lineRule="auto"/>
              <w:ind w:right="-93"/>
              <w:jc w:val="center"/>
              <w:rPr>
                <w:rFonts w:ascii="Palatino Linotype" w:eastAsia="Calibri" w:hAnsi="Palatino Linotype" w:cs="Tahoma"/>
                <w:bCs/>
                <w:color w:val="000000" w:themeColor="text1"/>
                <w:lang w:eastAsia="en-US"/>
              </w:rPr>
            </w:pPr>
            <w:r w:rsidRPr="001E7F59">
              <w:rPr>
                <w:rFonts w:ascii="Palatino Linotype" w:eastAsia="Calibri" w:hAnsi="Palatino Linotype" w:cs="Tahoma"/>
                <w:b/>
                <w:color w:val="000000" w:themeColor="text1"/>
                <w:lang w:eastAsia="en-US"/>
              </w:rPr>
              <w:t>Respuesta</w:t>
            </w:r>
          </w:p>
        </w:tc>
        <w:tc>
          <w:tcPr>
            <w:tcW w:w="3652" w:type="dxa"/>
            <w:tcBorders>
              <w:bottom w:val="single" w:sz="4" w:space="0" w:color="auto"/>
            </w:tcBorders>
            <w:shd w:val="clear" w:color="auto" w:fill="BFBFBF" w:themeFill="background1" w:themeFillShade="BF"/>
          </w:tcPr>
          <w:p w14:paraId="0B132C48" w14:textId="77777777" w:rsidR="001B3766" w:rsidRPr="001E7F59" w:rsidRDefault="001B3766" w:rsidP="001B3766">
            <w:pPr>
              <w:spacing w:line="360" w:lineRule="auto"/>
              <w:ind w:right="-93"/>
              <w:jc w:val="center"/>
              <w:rPr>
                <w:rFonts w:ascii="Palatino Linotype" w:eastAsia="Calibri" w:hAnsi="Palatino Linotype" w:cs="Tahoma"/>
                <w:bCs/>
                <w:color w:val="000000" w:themeColor="text1"/>
                <w:lang w:eastAsia="en-US"/>
              </w:rPr>
            </w:pPr>
            <w:r w:rsidRPr="001E7F59">
              <w:rPr>
                <w:rFonts w:ascii="Palatino Linotype" w:eastAsia="Calibri" w:hAnsi="Palatino Linotype" w:cs="Tahoma"/>
                <w:b/>
                <w:color w:val="000000" w:themeColor="text1"/>
                <w:lang w:eastAsia="en-US"/>
              </w:rPr>
              <w:t>Observaciones</w:t>
            </w:r>
          </w:p>
        </w:tc>
      </w:tr>
      <w:tr w:rsidR="001B3766" w:rsidRPr="001E7F59" w14:paraId="0682C55B" w14:textId="77777777" w:rsidTr="00507401">
        <w:tc>
          <w:tcPr>
            <w:tcW w:w="1838" w:type="dxa"/>
          </w:tcPr>
          <w:p w14:paraId="31EBEC19" w14:textId="39869187" w:rsidR="001B3766" w:rsidRPr="001E7F59" w:rsidRDefault="002518B0" w:rsidP="002518B0">
            <w:pPr>
              <w:spacing w:line="360" w:lineRule="auto"/>
              <w:contextualSpacing/>
              <w:jc w:val="both"/>
              <w:rPr>
                <w:rFonts w:ascii="Palatino Linotype" w:eastAsia="Calibri" w:hAnsi="Palatino Linotype" w:cs="Tahoma"/>
                <w:bCs/>
                <w:color w:val="000000" w:themeColor="text1"/>
              </w:rPr>
            </w:pPr>
            <w:r w:rsidRPr="001E7F59">
              <w:rPr>
                <w:rFonts w:ascii="Palatino Linotype" w:hAnsi="Palatino Linotype"/>
                <w:color w:val="000000" w:themeColor="text1"/>
              </w:rPr>
              <w:t xml:space="preserve">1. </w:t>
            </w:r>
            <w:r w:rsidR="001B3D53" w:rsidRPr="001E7F59">
              <w:rPr>
                <w:rFonts w:ascii="Palatino Linotype" w:hAnsi="Palatino Linotype"/>
                <w:color w:val="000000" w:themeColor="text1"/>
              </w:rPr>
              <w:t>Expediente de Personal</w:t>
            </w:r>
          </w:p>
        </w:tc>
        <w:tc>
          <w:tcPr>
            <w:tcW w:w="3544" w:type="dxa"/>
          </w:tcPr>
          <w:p w14:paraId="42CD4509" w14:textId="6F01D761" w:rsidR="001B3766" w:rsidRPr="001E7F59" w:rsidRDefault="00507401" w:rsidP="001B3766">
            <w:pPr>
              <w:spacing w:line="360" w:lineRule="auto"/>
              <w:ind w:right="-35"/>
              <w:jc w:val="both"/>
              <w:rPr>
                <w:rFonts w:ascii="Palatino Linotype" w:eastAsia="Calibri" w:hAnsi="Palatino Linotype" w:cs="Tahoma"/>
                <w:bCs/>
                <w:color w:val="000000" w:themeColor="text1"/>
                <w:lang w:eastAsia="en-US"/>
              </w:rPr>
            </w:pPr>
            <w:r w:rsidRPr="001E7F59">
              <w:rPr>
                <w:rFonts w:ascii="Palatino Linotype" w:eastAsia="Calibri" w:hAnsi="Palatino Linotype" w:cs="Tahoma"/>
                <w:bCs/>
                <w:color w:val="000000" w:themeColor="text1"/>
                <w:lang w:eastAsia="en-US"/>
              </w:rPr>
              <w:t>Envió diversos documentos que forman parte del expediente laboral.</w:t>
            </w:r>
          </w:p>
        </w:tc>
        <w:tc>
          <w:tcPr>
            <w:tcW w:w="3652" w:type="dxa"/>
          </w:tcPr>
          <w:p w14:paraId="57DE4ED2" w14:textId="77777777" w:rsidR="001B3766" w:rsidRPr="001E7F59" w:rsidRDefault="001B3766" w:rsidP="001B3766">
            <w:pPr>
              <w:spacing w:line="360" w:lineRule="auto"/>
              <w:jc w:val="both"/>
              <w:rPr>
                <w:rFonts w:ascii="Palatino Linotype" w:eastAsia="Calibri" w:hAnsi="Palatino Linotype" w:cs="Tahoma"/>
                <w:bCs/>
                <w:color w:val="000000" w:themeColor="text1"/>
                <w:lang w:eastAsia="en-US"/>
              </w:rPr>
            </w:pPr>
            <w:r w:rsidRPr="001E7F59">
              <w:rPr>
                <w:rFonts w:ascii="Palatino Linotype" w:eastAsia="Calibri" w:hAnsi="Palatino Linotype" w:cs="Tahoma"/>
                <w:bCs/>
                <w:color w:val="000000" w:themeColor="text1"/>
                <w:lang w:eastAsia="en-US"/>
              </w:rPr>
              <w:t>Se remite la fuente documental relacionada con el interés del Recurrente en una versión pública incorrecta.</w:t>
            </w:r>
          </w:p>
        </w:tc>
      </w:tr>
      <w:tr w:rsidR="001B3766" w:rsidRPr="001E7F59" w14:paraId="7A7ED37C" w14:textId="77777777" w:rsidTr="00507401">
        <w:tc>
          <w:tcPr>
            <w:tcW w:w="1838" w:type="dxa"/>
          </w:tcPr>
          <w:p w14:paraId="61D9D939" w14:textId="47D66BC2" w:rsidR="001B3766" w:rsidRPr="001E7F59" w:rsidRDefault="002518B0" w:rsidP="002518B0">
            <w:pPr>
              <w:spacing w:line="360" w:lineRule="auto"/>
              <w:contextualSpacing/>
              <w:jc w:val="both"/>
              <w:rPr>
                <w:rFonts w:ascii="Palatino Linotype" w:eastAsia="Calibri" w:hAnsi="Palatino Linotype" w:cs="Tahoma"/>
                <w:bCs/>
                <w:color w:val="000000" w:themeColor="text1"/>
              </w:rPr>
            </w:pPr>
            <w:r w:rsidRPr="001E7F59">
              <w:rPr>
                <w:rFonts w:ascii="Palatino Linotype" w:hAnsi="Palatino Linotype"/>
                <w:color w:val="000000" w:themeColor="text1"/>
              </w:rPr>
              <w:t xml:space="preserve">2. </w:t>
            </w:r>
            <w:r w:rsidR="001B3D53" w:rsidRPr="001E7F59">
              <w:rPr>
                <w:rFonts w:ascii="Palatino Linotype" w:hAnsi="Palatino Linotype"/>
                <w:color w:val="000000" w:themeColor="text1"/>
              </w:rPr>
              <w:t>Alta</w:t>
            </w:r>
          </w:p>
        </w:tc>
        <w:tc>
          <w:tcPr>
            <w:tcW w:w="3544" w:type="dxa"/>
          </w:tcPr>
          <w:p w14:paraId="484CF2B2" w14:textId="0154C087" w:rsidR="001B3766" w:rsidRPr="001E7F59" w:rsidRDefault="002518B0" w:rsidP="002518B0">
            <w:pPr>
              <w:spacing w:line="360" w:lineRule="auto"/>
              <w:ind w:right="-35"/>
              <w:jc w:val="both"/>
              <w:rPr>
                <w:rFonts w:ascii="Palatino Linotype" w:eastAsia="Calibri" w:hAnsi="Palatino Linotype" w:cs="Tahoma"/>
                <w:bCs/>
                <w:color w:val="000000" w:themeColor="text1"/>
                <w:lang w:eastAsia="en-US"/>
              </w:rPr>
            </w:pPr>
            <w:r w:rsidRPr="001E7F59">
              <w:rPr>
                <w:rFonts w:ascii="Palatino Linotype" w:eastAsia="Calibri" w:hAnsi="Palatino Linotype" w:cs="Tahoma"/>
                <w:bCs/>
                <w:color w:val="000000" w:themeColor="text1"/>
                <w:lang w:eastAsia="en-US"/>
              </w:rPr>
              <w:t>Remite Formato Único de Movimiento de Personal</w:t>
            </w:r>
            <w:r w:rsidR="00C93499" w:rsidRPr="001E7F59">
              <w:rPr>
                <w:rFonts w:ascii="Palatino Linotype" w:eastAsia="Calibri" w:hAnsi="Palatino Linotype" w:cs="Tahoma"/>
                <w:bCs/>
                <w:color w:val="000000" w:themeColor="text1"/>
                <w:lang w:eastAsia="en-US"/>
              </w:rPr>
              <w:t xml:space="preserve"> y </w:t>
            </w:r>
            <w:r w:rsidR="00C93499" w:rsidRPr="001E7F59">
              <w:rPr>
                <w:rFonts w:ascii="Palatino Linotype" w:eastAsia="Calibri" w:hAnsi="Palatino Linotype" w:cs="Tahoma"/>
                <w:bCs/>
                <w:color w:val="000000" w:themeColor="text1"/>
                <w:lang w:val="es-MX" w:eastAsia="en-US"/>
              </w:rPr>
              <w:t>Aviso de Movimiento de Alta del Instituto de Seguridad Social del Estado de México y Municipios</w:t>
            </w:r>
          </w:p>
        </w:tc>
        <w:tc>
          <w:tcPr>
            <w:tcW w:w="3652" w:type="dxa"/>
          </w:tcPr>
          <w:p w14:paraId="38EF1C62" w14:textId="77777777" w:rsidR="001B3766" w:rsidRPr="001E7F59" w:rsidRDefault="004D1BE7" w:rsidP="001B3766">
            <w:pPr>
              <w:spacing w:line="360" w:lineRule="auto"/>
              <w:jc w:val="both"/>
              <w:rPr>
                <w:rFonts w:ascii="Palatino Linotype" w:eastAsia="Calibri" w:hAnsi="Palatino Linotype" w:cs="Tahoma"/>
                <w:bCs/>
                <w:color w:val="000000" w:themeColor="text1"/>
                <w:lang w:eastAsia="en-US"/>
              </w:rPr>
            </w:pPr>
            <w:r w:rsidRPr="001E7F59">
              <w:rPr>
                <w:rFonts w:ascii="Palatino Linotype" w:eastAsia="Calibri" w:hAnsi="Palatino Linotype" w:cs="Tahoma"/>
                <w:bCs/>
                <w:color w:val="000000" w:themeColor="text1"/>
                <w:lang w:eastAsia="en-US"/>
              </w:rPr>
              <w:t>Se remite la fuente documental relacionada con el interés del Recurrente.</w:t>
            </w:r>
          </w:p>
          <w:p w14:paraId="4820B627" w14:textId="77777777" w:rsidR="00C93499" w:rsidRPr="001E7F59" w:rsidRDefault="00C93499" w:rsidP="001B3766">
            <w:pPr>
              <w:spacing w:line="360" w:lineRule="auto"/>
              <w:jc w:val="both"/>
              <w:rPr>
                <w:rFonts w:ascii="Palatino Linotype" w:eastAsia="Calibri" w:hAnsi="Palatino Linotype" w:cs="Tahoma"/>
                <w:bCs/>
                <w:color w:val="000000" w:themeColor="text1"/>
                <w:lang w:eastAsia="en-US"/>
              </w:rPr>
            </w:pPr>
          </w:p>
          <w:p w14:paraId="4B0784CF" w14:textId="34CFAE0C" w:rsidR="00C93499" w:rsidRPr="001E7F59" w:rsidRDefault="00C93499" w:rsidP="001B3766">
            <w:pPr>
              <w:spacing w:line="360" w:lineRule="auto"/>
              <w:jc w:val="both"/>
              <w:rPr>
                <w:rFonts w:ascii="Palatino Linotype" w:eastAsia="Calibri" w:hAnsi="Palatino Linotype" w:cs="Tahoma"/>
                <w:bCs/>
                <w:color w:val="000000" w:themeColor="text1"/>
                <w:lang w:eastAsia="en-US"/>
              </w:rPr>
            </w:pPr>
            <w:r w:rsidRPr="001E7F59">
              <w:rPr>
                <w:rFonts w:ascii="Palatino Linotype" w:eastAsia="Calibri" w:hAnsi="Palatino Linotype" w:cs="Tahoma"/>
                <w:bCs/>
                <w:color w:val="000000" w:themeColor="text1"/>
                <w:lang w:eastAsia="en-US"/>
              </w:rPr>
              <w:t xml:space="preserve">Se desprende una versión pública incorrecta del </w:t>
            </w:r>
            <w:r w:rsidRPr="001E7F59">
              <w:rPr>
                <w:rFonts w:ascii="Palatino Linotype" w:eastAsia="Calibri" w:hAnsi="Palatino Linotype" w:cs="Tahoma"/>
                <w:bCs/>
                <w:color w:val="000000" w:themeColor="text1"/>
                <w:lang w:val="es-MX" w:eastAsia="en-US"/>
              </w:rPr>
              <w:t>Aviso de Movimiento de Alta del Instituto de Seguridad Social del Estado de México y Municipios.</w:t>
            </w:r>
          </w:p>
        </w:tc>
      </w:tr>
      <w:tr w:rsidR="001B3766" w:rsidRPr="001E7F59" w14:paraId="26CF8BF3" w14:textId="77777777" w:rsidTr="00507401">
        <w:tc>
          <w:tcPr>
            <w:tcW w:w="1838" w:type="dxa"/>
          </w:tcPr>
          <w:p w14:paraId="6E843787" w14:textId="5F55386C" w:rsidR="001B3766" w:rsidRPr="001E7F59" w:rsidRDefault="002518B0" w:rsidP="002518B0">
            <w:pPr>
              <w:spacing w:line="360" w:lineRule="auto"/>
              <w:contextualSpacing/>
              <w:jc w:val="both"/>
              <w:rPr>
                <w:rFonts w:ascii="Palatino Linotype" w:hAnsi="Palatino Linotype"/>
                <w:color w:val="000000" w:themeColor="text1"/>
              </w:rPr>
            </w:pPr>
            <w:r w:rsidRPr="001E7F59">
              <w:rPr>
                <w:rFonts w:ascii="Palatino Linotype" w:hAnsi="Palatino Linotype"/>
                <w:color w:val="000000" w:themeColor="text1"/>
              </w:rPr>
              <w:lastRenderedPageBreak/>
              <w:t xml:space="preserve">3. </w:t>
            </w:r>
            <w:r w:rsidR="001B3D53" w:rsidRPr="001E7F59">
              <w:rPr>
                <w:rFonts w:ascii="Palatino Linotype" w:hAnsi="Palatino Linotype"/>
                <w:color w:val="000000" w:themeColor="text1"/>
              </w:rPr>
              <w:t>Recibos de Nómina</w:t>
            </w:r>
          </w:p>
        </w:tc>
        <w:tc>
          <w:tcPr>
            <w:tcW w:w="3544" w:type="dxa"/>
          </w:tcPr>
          <w:p w14:paraId="61531D11" w14:textId="65B3466F" w:rsidR="001B3766" w:rsidRPr="001E7F59" w:rsidRDefault="001B3D53" w:rsidP="001B3D53">
            <w:pPr>
              <w:spacing w:line="360" w:lineRule="auto"/>
              <w:ind w:right="-35"/>
              <w:jc w:val="both"/>
              <w:rPr>
                <w:rFonts w:ascii="Palatino Linotype" w:eastAsia="Calibri" w:hAnsi="Palatino Linotype" w:cs="Tahoma"/>
                <w:bCs/>
                <w:color w:val="000000" w:themeColor="text1"/>
                <w:lang w:eastAsia="en-US"/>
              </w:rPr>
            </w:pPr>
            <w:r w:rsidRPr="001E7F59">
              <w:rPr>
                <w:rFonts w:ascii="Palatino Linotype" w:eastAsia="Calibri" w:hAnsi="Palatino Linotype" w:cs="Tahoma"/>
                <w:bCs/>
                <w:color w:val="000000" w:themeColor="text1"/>
                <w:lang w:eastAsia="en-US"/>
              </w:rPr>
              <w:t>24 recibos de nómina en versión pública, correspondientes al ejercicio dos mil veinticuatro.</w:t>
            </w:r>
          </w:p>
        </w:tc>
        <w:tc>
          <w:tcPr>
            <w:tcW w:w="3652" w:type="dxa"/>
          </w:tcPr>
          <w:p w14:paraId="4C8F0C16" w14:textId="063527F0" w:rsidR="001B3766" w:rsidRPr="001E7F59" w:rsidRDefault="001B3D53" w:rsidP="001B3766">
            <w:pPr>
              <w:spacing w:line="360" w:lineRule="auto"/>
              <w:jc w:val="both"/>
              <w:rPr>
                <w:rFonts w:ascii="Palatino Linotype" w:eastAsia="Calibri" w:hAnsi="Palatino Linotype" w:cs="Tahoma"/>
                <w:bCs/>
                <w:color w:val="000000" w:themeColor="text1"/>
                <w:lang w:eastAsia="en-US"/>
              </w:rPr>
            </w:pPr>
            <w:r w:rsidRPr="001E7F59">
              <w:rPr>
                <w:rFonts w:ascii="Palatino Linotype" w:eastAsia="Calibri" w:hAnsi="Palatino Linotype" w:cs="Tahoma"/>
                <w:bCs/>
                <w:color w:val="000000" w:themeColor="text1"/>
                <w:lang w:val="es-MX" w:eastAsia="en-US"/>
              </w:rPr>
              <w:t>Se remite la fuente documental relacionada con el interés del Recurrente en una versión pública incorrecta</w:t>
            </w:r>
            <w:r w:rsidR="00507401" w:rsidRPr="001E7F59">
              <w:rPr>
                <w:rFonts w:ascii="Palatino Linotype" w:eastAsia="Calibri" w:hAnsi="Palatino Linotype" w:cs="Tahoma"/>
                <w:bCs/>
                <w:color w:val="000000" w:themeColor="text1"/>
                <w:lang w:val="es-MX" w:eastAsia="en-US"/>
              </w:rPr>
              <w:t xml:space="preserve"> (se eliminan los datos referentes a las faltas y firma de recepción del servidor público)</w:t>
            </w:r>
            <w:r w:rsidRPr="001E7F59">
              <w:rPr>
                <w:rFonts w:ascii="Palatino Linotype" w:eastAsia="Calibri" w:hAnsi="Palatino Linotype" w:cs="Tahoma"/>
                <w:bCs/>
                <w:color w:val="000000" w:themeColor="text1"/>
                <w:lang w:val="es-MX" w:eastAsia="en-US"/>
              </w:rPr>
              <w:t>.</w:t>
            </w:r>
          </w:p>
        </w:tc>
      </w:tr>
      <w:tr w:rsidR="001B3766" w:rsidRPr="001E7F59" w14:paraId="27D15C5B" w14:textId="77777777" w:rsidTr="00507401">
        <w:trPr>
          <w:trHeight w:val="1377"/>
        </w:trPr>
        <w:tc>
          <w:tcPr>
            <w:tcW w:w="1838" w:type="dxa"/>
          </w:tcPr>
          <w:p w14:paraId="119557A4" w14:textId="241C4A3D" w:rsidR="001B3766" w:rsidRPr="001E7F59" w:rsidRDefault="002518B0" w:rsidP="002518B0">
            <w:pPr>
              <w:spacing w:line="360" w:lineRule="auto"/>
              <w:contextualSpacing/>
              <w:jc w:val="both"/>
              <w:rPr>
                <w:rFonts w:ascii="Palatino Linotype" w:eastAsia="Calibri" w:hAnsi="Palatino Linotype" w:cs="Tahoma"/>
                <w:bCs/>
                <w:color w:val="000000" w:themeColor="text1"/>
              </w:rPr>
            </w:pPr>
            <w:r w:rsidRPr="001E7F59">
              <w:rPr>
                <w:rFonts w:ascii="Palatino Linotype" w:eastAsia="Calibri" w:hAnsi="Palatino Linotype" w:cs="Tahoma"/>
                <w:bCs/>
                <w:color w:val="000000" w:themeColor="text1"/>
              </w:rPr>
              <w:t xml:space="preserve">4. </w:t>
            </w:r>
            <w:r w:rsidR="001B3D53" w:rsidRPr="001E7F59">
              <w:rPr>
                <w:rFonts w:ascii="Palatino Linotype" w:eastAsia="Calibri" w:hAnsi="Palatino Linotype" w:cs="Tahoma"/>
                <w:bCs/>
                <w:color w:val="000000" w:themeColor="text1"/>
              </w:rPr>
              <w:t>Cédula y Título Profesional</w:t>
            </w:r>
          </w:p>
        </w:tc>
        <w:tc>
          <w:tcPr>
            <w:tcW w:w="3544" w:type="dxa"/>
          </w:tcPr>
          <w:p w14:paraId="414DD164" w14:textId="77777777" w:rsidR="001B3766" w:rsidRPr="001E7F59" w:rsidRDefault="001B3766" w:rsidP="001B3766">
            <w:pPr>
              <w:spacing w:line="360" w:lineRule="auto"/>
              <w:jc w:val="both"/>
              <w:rPr>
                <w:rFonts w:ascii="Palatino Linotype" w:eastAsia="Calibri" w:hAnsi="Palatino Linotype" w:cs="Tahoma"/>
                <w:bCs/>
                <w:color w:val="000000" w:themeColor="text1"/>
                <w:lang w:eastAsia="en-US"/>
              </w:rPr>
            </w:pPr>
            <w:r w:rsidRPr="001E7F59">
              <w:rPr>
                <w:rFonts w:ascii="Palatino Linotype" w:eastAsia="Calibri" w:hAnsi="Palatino Linotype" w:cs="Tahoma"/>
                <w:bCs/>
                <w:color w:val="000000" w:themeColor="text1"/>
                <w:lang w:eastAsia="en-US"/>
              </w:rPr>
              <w:t>Título Profesional</w:t>
            </w:r>
            <w:r w:rsidR="002518B0" w:rsidRPr="001E7F59">
              <w:rPr>
                <w:rFonts w:ascii="Palatino Linotype" w:eastAsia="Calibri" w:hAnsi="Palatino Linotype" w:cs="Tahoma"/>
                <w:bCs/>
                <w:color w:val="000000" w:themeColor="text1"/>
                <w:lang w:eastAsia="en-US"/>
              </w:rPr>
              <w:t xml:space="preserve"> de Licenciada en Derecho.</w:t>
            </w:r>
          </w:p>
          <w:p w14:paraId="6166AF62" w14:textId="77777777" w:rsidR="002518B0" w:rsidRPr="001E7F59" w:rsidRDefault="002518B0" w:rsidP="001B3766">
            <w:pPr>
              <w:spacing w:line="360" w:lineRule="auto"/>
              <w:jc w:val="both"/>
              <w:rPr>
                <w:rFonts w:ascii="Palatino Linotype" w:eastAsia="Calibri" w:hAnsi="Palatino Linotype" w:cs="Tahoma"/>
                <w:bCs/>
                <w:color w:val="000000" w:themeColor="text1"/>
                <w:lang w:eastAsia="en-US"/>
              </w:rPr>
            </w:pPr>
          </w:p>
          <w:p w14:paraId="294FE893" w14:textId="3B633C70" w:rsidR="002518B0" w:rsidRPr="001E7F59" w:rsidRDefault="002518B0" w:rsidP="001B3766">
            <w:pPr>
              <w:spacing w:line="360" w:lineRule="auto"/>
              <w:jc w:val="both"/>
              <w:rPr>
                <w:rFonts w:ascii="Palatino Linotype" w:eastAsia="Calibri" w:hAnsi="Palatino Linotype" w:cs="Tahoma"/>
                <w:bCs/>
                <w:color w:val="000000" w:themeColor="text1"/>
                <w:lang w:eastAsia="en-US"/>
              </w:rPr>
            </w:pPr>
            <w:r w:rsidRPr="001E7F59">
              <w:rPr>
                <w:rFonts w:ascii="Palatino Linotype" w:hAnsi="Palatino Linotype" w:cs="Tahoma"/>
                <w:sz w:val="22"/>
                <w:szCs w:val="22"/>
              </w:rPr>
              <w:t>Cédula Profesional</w:t>
            </w:r>
          </w:p>
        </w:tc>
        <w:tc>
          <w:tcPr>
            <w:tcW w:w="3652" w:type="dxa"/>
          </w:tcPr>
          <w:p w14:paraId="2AC1D864" w14:textId="77777777" w:rsidR="001B3766" w:rsidRPr="001E7F59" w:rsidRDefault="001B3766" w:rsidP="001B3766">
            <w:pPr>
              <w:spacing w:line="360" w:lineRule="auto"/>
              <w:jc w:val="both"/>
              <w:rPr>
                <w:rFonts w:ascii="Palatino Linotype" w:eastAsia="Calibri" w:hAnsi="Palatino Linotype" w:cs="Tahoma"/>
                <w:bCs/>
                <w:color w:val="000000" w:themeColor="text1"/>
                <w:lang w:eastAsia="en-US"/>
              </w:rPr>
            </w:pPr>
            <w:r w:rsidRPr="001E7F59">
              <w:rPr>
                <w:rFonts w:ascii="Palatino Linotype" w:eastAsia="Calibri" w:hAnsi="Palatino Linotype" w:cs="Tahoma"/>
                <w:bCs/>
                <w:color w:val="000000" w:themeColor="text1"/>
                <w:lang w:eastAsia="en-US"/>
              </w:rPr>
              <w:t>Se remite la fuente documental relacionada con el interés del Recurrente.</w:t>
            </w:r>
          </w:p>
          <w:p w14:paraId="69973896" w14:textId="77777777" w:rsidR="002518B0" w:rsidRPr="001E7F59" w:rsidRDefault="002518B0" w:rsidP="001B3766">
            <w:pPr>
              <w:spacing w:line="360" w:lineRule="auto"/>
              <w:jc w:val="both"/>
              <w:rPr>
                <w:rFonts w:ascii="Palatino Linotype" w:eastAsia="Calibri" w:hAnsi="Palatino Linotype" w:cs="Tahoma"/>
                <w:bCs/>
                <w:color w:val="000000" w:themeColor="text1"/>
                <w:lang w:eastAsia="en-US"/>
              </w:rPr>
            </w:pPr>
          </w:p>
          <w:p w14:paraId="799A1981" w14:textId="6C32BEE7" w:rsidR="002518B0" w:rsidRPr="001E7F59" w:rsidRDefault="002518B0" w:rsidP="002518B0">
            <w:pPr>
              <w:spacing w:line="360" w:lineRule="auto"/>
              <w:jc w:val="both"/>
              <w:rPr>
                <w:rFonts w:ascii="Palatino Linotype" w:eastAsia="Calibri" w:hAnsi="Palatino Linotype" w:cs="Tahoma"/>
                <w:bCs/>
                <w:color w:val="000000" w:themeColor="text1"/>
                <w:lang w:eastAsia="en-US"/>
              </w:rPr>
            </w:pPr>
            <w:r w:rsidRPr="001E7F59">
              <w:rPr>
                <w:rFonts w:ascii="Palatino Linotype" w:eastAsia="Calibri" w:hAnsi="Palatino Linotype" w:cs="Tahoma"/>
                <w:bCs/>
                <w:color w:val="000000" w:themeColor="text1"/>
                <w:lang w:val="es-MX" w:eastAsia="en-US"/>
              </w:rPr>
              <w:t>La Cédula Profesional se encuentra en una versión pública incorrecta (se elimina número de Cédula y se deja visible la firma)</w:t>
            </w:r>
          </w:p>
        </w:tc>
      </w:tr>
      <w:tr w:rsidR="001B3766" w:rsidRPr="001E7F59" w14:paraId="099EC90E" w14:textId="77777777" w:rsidTr="00507401">
        <w:trPr>
          <w:trHeight w:val="1275"/>
        </w:trPr>
        <w:tc>
          <w:tcPr>
            <w:tcW w:w="1838" w:type="dxa"/>
          </w:tcPr>
          <w:p w14:paraId="25D0D784" w14:textId="245BAFBF" w:rsidR="001B3766" w:rsidRPr="001E7F59" w:rsidRDefault="002518B0" w:rsidP="002518B0">
            <w:pPr>
              <w:spacing w:line="360" w:lineRule="auto"/>
              <w:contextualSpacing/>
              <w:jc w:val="both"/>
              <w:rPr>
                <w:rFonts w:ascii="Palatino Linotype" w:eastAsia="Calibri" w:hAnsi="Palatino Linotype" w:cs="Tahoma"/>
                <w:bCs/>
                <w:color w:val="000000" w:themeColor="text1"/>
              </w:rPr>
            </w:pPr>
            <w:r w:rsidRPr="001E7F59">
              <w:rPr>
                <w:rFonts w:ascii="Palatino Linotype" w:eastAsia="Calibri" w:hAnsi="Palatino Linotype" w:cs="Tahoma"/>
                <w:bCs/>
                <w:color w:val="000000" w:themeColor="text1"/>
              </w:rPr>
              <w:t xml:space="preserve">5. </w:t>
            </w:r>
            <w:r w:rsidR="001B3D53" w:rsidRPr="001E7F59">
              <w:rPr>
                <w:rFonts w:ascii="Palatino Linotype" w:eastAsia="Calibri" w:hAnsi="Palatino Linotype" w:cs="Tahoma"/>
                <w:bCs/>
                <w:color w:val="000000" w:themeColor="text1"/>
              </w:rPr>
              <w:t>Vehículo asignado, placas, modelo, color y cantidad de combustible asignado</w:t>
            </w:r>
          </w:p>
        </w:tc>
        <w:tc>
          <w:tcPr>
            <w:tcW w:w="3544" w:type="dxa"/>
          </w:tcPr>
          <w:p w14:paraId="57E8AF3B" w14:textId="528E5869" w:rsidR="001B3766" w:rsidRPr="001E7F59" w:rsidRDefault="0081212F" w:rsidP="0081212F">
            <w:pPr>
              <w:spacing w:line="360" w:lineRule="auto"/>
              <w:jc w:val="both"/>
              <w:rPr>
                <w:rFonts w:ascii="Palatino Linotype" w:eastAsia="Calibri" w:hAnsi="Palatino Linotype" w:cs="Tahoma"/>
                <w:bCs/>
                <w:color w:val="000000" w:themeColor="text1"/>
                <w:lang w:eastAsia="en-US"/>
              </w:rPr>
            </w:pPr>
            <w:r w:rsidRPr="001E7F59">
              <w:rPr>
                <w:rFonts w:ascii="Palatino Linotype" w:eastAsia="Calibri" w:hAnsi="Palatino Linotype" w:cs="Tahoma"/>
                <w:bCs/>
                <w:color w:val="000000" w:themeColor="text1"/>
                <w:lang w:eastAsia="en-US"/>
              </w:rPr>
              <w:t>Subdirector de Administración ponía a disposición del particular, en consulta directa, la información solicitada, ya que la misma se encuentra bajo el resguardo del Departamento de Servicios Generales y Control Patrimonial</w:t>
            </w:r>
          </w:p>
        </w:tc>
        <w:tc>
          <w:tcPr>
            <w:tcW w:w="3652" w:type="dxa"/>
          </w:tcPr>
          <w:p w14:paraId="149740D4" w14:textId="6E9512AE" w:rsidR="002518B0" w:rsidRPr="001E7F59" w:rsidRDefault="0081212F" w:rsidP="001B3766">
            <w:pPr>
              <w:spacing w:line="360" w:lineRule="auto"/>
              <w:jc w:val="both"/>
              <w:rPr>
                <w:rFonts w:ascii="Palatino Linotype" w:eastAsia="Calibri" w:hAnsi="Palatino Linotype" w:cs="Tahoma"/>
                <w:bCs/>
                <w:color w:val="000000" w:themeColor="text1"/>
                <w:lang w:eastAsia="en-US"/>
              </w:rPr>
            </w:pPr>
            <w:r w:rsidRPr="001E7F59">
              <w:rPr>
                <w:rFonts w:ascii="Palatino Linotype" w:eastAsia="Calibri" w:hAnsi="Palatino Linotype" w:cs="Tahoma"/>
                <w:bCs/>
                <w:color w:val="000000" w:themeColor="text1"/>
                <w:lang w:eastAsia="en-US"/>
              </w:rPr>
              <w:t>No</w:t>
            </w:r>
            <w:r w:rsidR="001B3766" w:rsidRPr="001E7F59">
              <w:rPr>
                <w:rFonts w:ascii="Palatino Linotype" w:eastAsia="Calibri" w:hAnsi="Palatino Linotype" w:cs="Tahoma"/>
                <w:bCs/>
                <w:color w:val="000000" w:themeColor="text1"/>
                <w:lang w:eastAsia="en-US"/>
              </w:rPr>
              <w:t xml:space="preserve"> remite la fuente documental relacionad</w:t>
            </w:r>
            <w:r w:rsidR="002518B0" w:rsidRPr="001E7F59">
              <w:rPr>
                <w:rFonts w:ascii="Palatino Linotype" w:eastAsia="Calibri" w:hAnsi="Palatino Linotype" w:cs="Tahoma"/>
                <w:bCs/>
                <w:color w:val="000000" w:themeColor="text1"/>
                <w:lang w:eastAsia="en-US"/>
              </w:rPr>
              <w:t>a con el interés del Recurrente y cambia la modalidad a consulta directa.</w:t>
            </w:r>
          </w:p>
        </w:tc>
      </w:tr>
    </w:tbl>
    <w:p w14:paraId="38B50BFA" w14:textId="77777777" w:rsidR="001B3766" w:rsidRPr="001E7F59" w:rsidRDefault="001B3766" w:rsidP="001B3766">
      <w:pPr>
        <w:spacing w:line="360" w:lineRule="auto"/>
        <w:jc w:val="both"/>
        <w:rPr>
          <w:rFonts w:ascii="Palatino Linotype" w:eastAsiaTheme="minorHAnsi" w:hAnsi="Palatino Linotype" w:cs="Tahoma"/>
          <w:color w:val="000000" w:themeColor="text1"/>
          <w:sz w:val="22"/>
          <w:szCs w:val="22"/>
          <w:lang w:eastAsia="en-US"/>
        </w:rPr>
      </w:pPr>
    </w:p>
    <w:p w14:paraId="14994EB0" w14:textId="77777777" w:rsidR="001B3766" w:rsidRPr="001E7F59" w:rsidRDefault="001B3766" w:rsidP="001B3766">
      <w:pPr>
        <w:spacing w:line="360" w:lineRule="auto"/>
        <w:jc w:val="both"/>
        <w:rPr>
          <w:rFonts w:ascii="Palatino Linotype" w:eastAsiaTheme="minorHAnsi" w:hAnsi="Palatino Linotype" w:cs="Tahoma"/>
          <w:color w:val="000000" w:themeColor="text1"/>
          <w:sz w:val="22"/>
          <w:szCs w:val="22"/>
          <w:lang w:eastAsia="en-US"/>
        </w:rPr>
      </w:pPr>
      <w:r w:rsidRPr="001E7F59">
        <w:rPr>
          <w:rFonts w:ascii="Palatino Linotype" w:eastAsiaTheme="minorHAnsi" w:hAnsi="Palatino Linotype" w:cs="Tahoma"/>
          <w:color w:val="000000" w:themeColor="text1"/>
          <w:sz w:val="22"/>
          <w:szCs w:val="22"/>
          <w:lang w:eastAsia="en-US"/>
        </w:rPr>
        <w:t>En este orden de ideas y en aras de abonar a las observaciones precisadas en la tabla de relación desarrollada, es conducente dividir el estudio de la Presente conforme a lo siguiente:</w:t>
      </w:r>
    </w:p>
    <w:p w14:paraId="586C79BF" w14:textId="77777777" w:rsidR="001B3766" w:rsidRPr="001E7F59" w:rsidRDefault="001B3766" w:rsidP="001B3766">
      <w:pPr>
        <w:spacing w:line="360" w:lineRule="auto"/>
        <w:jc w:val="both"/>
        <w:rPr>
          <w:rFonts w:ascii="Palatino Linotype" w:eastAsiaTheme="minorHAnsi" w:hAnsi="Palatino Linotype" w:cs="Tahoma"/>
          <w:color w:val="000000" w:themeColor="text1"/>
          <w:sz w:val="22"/>
          <w:szCs w:val="22"/>
          <w:lang w:eastAsia="en-US"/>
        </w:rPr>
      </w:pPr>
    </w:p>
    <w:p w14:paraId="0FD9A3D3" w14:textId="63687361" w:rsidR="001B3766" w:rsidRPr="001E7F59" w:rsidRDefault="001B3766" w:rsidP="001B3766">
      <w:pPr>
        <w:numPr>
          <w:ilvl w:val="0"/>
          <w:numId w:val="28"/>
        </w:numPr>
        <w:spacing w:after="160" w:line="360" w:lineRule="auto"/>
        <w:contextualSpacing/>
        <w:jc w:val="both"/>
        <w:rPr>
          <w:rFonts w:ascii="Palatino Linotype" w:hAnsi="Palatino Linotype" w:cs="Tahoma"/>
          <w:b/>
          <w:color w:val="000000" w:themeColor="text1"/>
          <w:sz w:val="22"/>
          <w:szCs w:val="24"/>
        </w:rPr>
      </w:pPr>
      <w:r w:rsidRPr="001E7F59">
        <w:rPr>
          <w:rFonts w:ascii="Palatino Linotype" w:hAnsi="Palatino Linotype" w:cs="Tahoma"/>
          <w:b/>
          <w:color w:val="000000" w:themeColor="text1"/>
          <w:sz w:val="22"/>
          <w:szCs w:val="24"/>
        </w:rPr>
        <w:t>Expediente Laboral</w:t>
      </w:r>
    </w:p>
    <w:p w14:paraId="2B6E8ED3" w14:textId="77777777" w:rsidR="001B3766" w:rsidRPr="001E7F59" w:rsidRDefault="001B3766" w:rsidP="001B3766">
      <w:pPr>
        <w:spacing w:line="360" w:lineRule="auto"/>
        <w:jc w:val="both"/>
        <w:rPr>
          <w:rFonts w:ascii="Palatino Linotype" w:eastAsiaTheme="minorHAnsi" w:hAnsi="Palatino Linotype" w:cs="Tahoma"/>
          <w:color w:val="000000" w:themeColor="text1"/>
          <w:sz w:val="22"/>
          <w:szCs w:val="22"/>
          <w:lang w:eastAsia="en-US"/>
        </w:rPr>
      </w:pPr>
    </w:p>
    <w:p w14:paraId="4B69FED5" w14:textId="472944C7" w:rsidR="0095175C" w:rsidRPr="001E7F59" w:rsidRDefault="001B3766" w:rsidP="0095175C">
      <w:pPr>
        <w:spacing w:line="360" w:lineRule="auto"/>
        <w:jc w:val="both"/>
        <w:rPr>
          <w:rFonts w:ascii="Palatino Linotype" w:eastAsiaTheme="minorHAnsi" w:hAnsi="Palatino Linotype" w:cs="Tahoma"/>
          <w:color w:val="000000" w:themeColor="text1"/>
          <w:sz w:val="22"/>
          <w:szCs w:val="22"/>
          <w:lang w:eastAsia="en-US"/>
        </w:rPr>
      </w:pPr>
      <w:r w:rsidRPr="001E7F59">
        <w:rPr>
          <w:rFonts w:ascii="Palatino Linotype" w:eastAsiaTheme="minorHAnsi" w:hAnsi="Palatino Linotype" w:cs="Tahoma"/>
          <w:color w:val="000000" w:themeColor="text1"/>
          <w:sz w:val="22"/>
          <w:szCs w:val="22"/>
          <w:lang w:eastAsia="en-US"/>
        </w:rPr>
        <w:lastRenderedPageBreak/>
        <w:t>Respecto del presente requerimiento se tiene que el particular solicita los documentos que fueron presentados por l</w:t>
      </w:r>
      <w:r w:rsidR="002E7961" w:rsidRPr="001E7F59">
        <w:rPr>
          <w:rFonts w:ascii="Palatino Linotype" w:eastAsiaTheme="minorHAnsi" w:hAnsi="Palatino Linotype" w:cs="Tahoma"/>
          <w:color w:val="000000" w:themeColor="text1"/>
          <w:sz w:val="22"/>
          <w:szCs w:val="22"/>
          <w:lang w:eastAsia="en-US"/>
        </w:rPr>
        <w:t>a</w:t>
      </w:r>
      <w:r w:rsidRPr="001E7F59">
        <w:rPr>
          <w:rFonts w:ascii="Palatino Linotype" w:eastAsiaTheme="minorHAnsi" w:hAnsi="Palatino Linotype" w:cs="Tahoma"/>
          <w:color w:val="000000" w:themeColor="text1"/>
          <w:sz w:val="22"/>
          <w:szCs w:val="22"/>
          <w:lang w:eastAsia="en-US"/>
        </w:rPr>
        <w:t xml:space="preserve"> servidor</w:t>
      </w:r>
      <w:r w:rsidR="002E7961" w:rsidRPr="001E7F59">
        <w:rPr>
          <w:rFonts w:ascii="Palatino Linotype" w:eastAsiaTheme="minorHAnsi" w:hAnsi="Palatino Linotype" w:cs="Tahoma"/>
          <w:color w:val="000000" w:themeColor="text1"/>
          <w:sz w:val="22"/>
          <w:szCs w:val="22"/>
          <w:lang w:eastAsia="en-US"/>
        </w:rPr>
        <w:t>a</w:t>
      </w:r>
      <w:r w:rsidRPr="001E7F59">
        <w:rPr>
          <w:rFonts w:ascii="Palatino Linotype" w:eastAsiaTheme="minorHAnsi" w:hAnsi="Palatino Linotype" w:cs="Tahoma"/>
          <w:color w:val="000000" w:themeColor="text1"/>
          <w:sz w:val="22"/>
          <w:szCs w:val="22"/>
          <w:lang w:eastAsia="en-US"/>
        </w:rPr>
        <w:t xml:space="preserve"> públic</w:t>
      </w:r>
      <w:r w:rsidR="002E7961" w:rsidRPr="001E7F59">
        <w:rPr>
          <w:rFonts w:ascii="Palatino Linotype" w:eastAsiaTheme="minorHAnsi" w:hAnsi="Palatino Linotype" w:cs="Tahoma"/>
          <w:color w:val="000000" w:themeColor="text1"/>
          <w:sz w:val="22"/>
          <w:szCs w:val="22"/>
          <w:lang w:eastAsia="en-US"/>
        </w:rPr>
        <w:t>a</w:t>
      </w:r>
      <w:r w:rsidRPr="001E7F59">
        <w:rPr>
          <w:rFonts w:ascii="Palatino Linotype" w:eastAsiaTheme="minorHAnsi" w:hAnsi="Palatino Linotype" w:cs="Tahoma"/>
          <w:color w:val="000000" w:themeColor="text1"/>
          <w:sz w:val="22"/>
          <w:szCs w:val="22"/>
          <w:lang w:eastAsia="en-US"/>
        </w:rPr>
        <w:t xml:space="preserve"> para ingresar a laborar al </w:t>
      </w:r>
      <w:r w:rsidR="002E7961" w:rsidRPr="001E7F59">
        <w:rPr>
          <w:rFonts w:ascii="Palatino Linotype" w:eastAsiaTheme="minorHAnsi" w:hAnsi="Palatino Linotype" w:cs="Tahoma"/>
          <w:color w:val="000000" w:themeColor="text1"/>
          <w:sz w:val="22"/>
          <w:szCs w:val="22"/>
          <w:lang w:eastAsia="en-US"/>
        </w:rPr>
        <w:t>Organismo de Agua y Saneamiento</w:t>
      </w:r>
      <w:r w:rsidRPr="001E7F59">
        <w:rPr>
          <w:rFonts w:ascii="Palatino Linotype" w:eastAsiaTheme="minorHAnsi" w:hAnsi="Palatino Linotype" w:cs="Tahoma"/>
          <w:color w:val="000000" w:themeColor="text1"/>
          <w:sz w:val="22"/>
          <w:szCs w:val="22"/>
          <w:lang w:eastAsia="en-US"/>
        </w:rPr>
        <w:t xml:space="preserve"> de Toluca. </w:t>
      </w:r>
    </w:p>
    <w:p w14:paraId="78DFB851" w14:textId="77777777" w:rsidR="009B6BEB" w:rsidRPr="001E7F59" w:rsidRDefault="009B6BEB" w:rsidP="0095175C">
      <w:pPr>
        <w:spacing w:line="360" w:lineRule="auto"/>
        <w:jc w:val="both"/>
        <w:rPr>
          <w:rFonts w:ascii="Palatino Linotype" w:eastAsia="Calibri" w:hAnsi="Palatino Linotype" w:cs="Tahoma"/>
          <w:color w:val="000000"/>
          <w:sz w:val="22"/>
          <w:szCs w:val="22"/>
          <w:lang w:val="es-ES" w:eastAsia="en-US"/>
        </w:rPr>
      </w:pPr>
    </w:p>
    <w:p w14:paraId="2879F245" w14:textId="1FDF37CD" w:rsidR="001B3766" w:rsidRPr="001E7F59" w:rsidRDefault="001B3766" w:rsidP="001B3766">
      <w:pPr>
        <w:widowControl w:val="0"/>
        <w:spacing w:line="360" w:lineRule="auto"/>
        <w:contextualSpacing/>
        <w:jc w:val="both"/>
        <w:rPr>
          <w:rFonts w:ascii="Palatino Linotype" w:hAnsi="Palatino Linotype" w:cs="Tahoma"/>
          <w:iCs/>
          <w:sz w:val="22"/>
          <w:szCs w:val="22"/>
        </w:rPr>
      </w:pPr>
      <w:r w:rsidRPr="001E7F59">
        <w:rPr>
          <w:rFonts w:ascii="Palatino Linotype" w:eastAsia="Calibri" w:hAnsi="Palatino Linotype" w:cs="Tahoma"/>
          <w:color w:val="000000"/>
          <w:sz w:val="22"/>
          <w:szCs w:val="22"/>
          <w:lang w:val="es-ES" w:eastAsia="en-US"/>
        </w:rPr>
        <w:t xml:space="preserve">Sobre este punto, </w:t>
      </w:r>
      <w:r w:rsidRPr="001E7F59">
        <w:rPr>
          <w:rFonts w:ascii="Palatino Linotype" w:hAnsi="Palatino Linotype" w:cs="Tahoma"/>
          <w:iCs/>
          <w:sz w:val="22"/>
          <w:szCs w:val="22"/>
        </w:rPr>
        <w:t>el artículo 108 de la Constitución Política de los Estados Unidos Mexicanos, con relación al diverso 130 de la Constitución Política del Estado Libre y Soberano de México, establecen que se considera como servidor público a toda persona que desempeñe un empleo, cargo o comisión en alguno de los poderes del Estado, organismos autónomos, en los municipios y organismos auxiliares, así como los titulares o quienes hagan sus veces en empresas de participación estatal o municipal, sociedades o asociaciones asimiladas a éstas y en los fideicomisos públicos.</w:t>
      </w:r>
    </w:p>
    <w:p w14:paraId="695012D0" w14:textId="77777777" w:rsidR="001B3766" w:rsidRPr="001E7F59" w:rsidRDefault="001B3766" w:rsidP="001B3766">
      <w:pPr>
        <w:spacing w:line="360" w:lineRule="auto"/>
        <w:jc w:val="both"/>
        <w:rPr>
          <w:rFonts w:ascii="Palatino Linotype" w:eastAsia="Calibri" w:hAnsi="Palatino Linotype"/>
          <w:bCs/>
          <w:color w:val="000000"/>
          <w:sz w:val="22"/>
          <w:szCs w:val="22"/>
          <w:lang w:eastAsia="en-US"/>
        </w:rPr>
      </w:pPr>
    </w:p>
    <w:p w14:paraId="3FEE95EC" w14:textId="77777777" w:rsidR="001B3766" w:rsidRPr="001E7F59" w:rsidRDefault="001B3766" w:rsidP="001B3766">
      <w:pPr>
        <w:spacing w:line="360" w:lineRule="auto"/>
        <w:jc w:val="both"/>
        <w:rPr>
          <w:rFonts w:ascii="Palatino Linotype" w:eastAsia="Calibri" w:hAnsi="Palatino Linotype" w:cs="Tahoma"/>
          <w:bCs/>
          <w:color w:val="0D0D0D"/>
          <w:sz w:val="22"/>
          <w:szCs w:val="22"/>
          <w:lang w:eastAsia="en-US"/>
        </w:rPr>
      </w:pPr>
      <w:r w:rsidRPr="001E7F59">
        <w:rPr>
          <w:rFonts w:ascii="Palatino Linotype" w:eastAsia="Calibri" w:hAnsi="Palatino Linotype" w:cs="Tahoma"/>
          <w:bCs/>
          <w:color w:val="0D0D0D"/>
          <w:sz w:val="22"/>
          <w:szCs w:val="22"/>
          <w:lang w:eastAsia="en-US"/>
        </w:rPr>
        <w:t xml:space="preserve">En ese orden de ideas, el 47 de la Ley de Trabajo de los Servidores Públicos del Estado de México y Municipios, establece que las personas que quieran ingresar al servicio público deben cumplir diversos requisitos, tales como, </w:t>
      </w:r>
      <w:r w:rsidRPr="001E7F59">
        <w:rPr>
          <w:rFonts w:ascii="Palatino Linotype" w:eastAsia="Calibri" w:hAnsi="Palatino Linotype" w:cs="Tahoma"/>
          <w:b/>
          <w:bCs/>
          <w:color w:val="0D0D0D"/>
          <w:sz w:val="22"/>
          <w:szCs w:val="22"/>
          <w:lang w:eastAsia="en-US"/>
        </w:rPr>
        <w:t>presentar una solicitud en el formato oficial, ser de nacionalidad mexicana, estar en ejercicio de derechos civiles y políticos, no haber sido separado del servicio, tener buena salud, acreditar los exámenes de conocimientos correspondientes, entre otros</w:t>
      </w:r>
      <w:r w:rsidRPr="001E7F59">
        <w:rPr>
          <w:rFonts w:ascii="Palatino Linotype" w:eastAsia="Calibri" w:hAnsi="Palatino Linotype" w:cs="Tahoma"/>
          <w:bCs/>
          <w:color w:val="0D0D0D"/>
          <w:sz w:val="22"/>
          <w:szCs w:val="22"/>
          <w:lang w:eastAsia="en-US"/>
        </w:rPr>
        <w:t xml:space="preserve">. </w:t>
      </w:r>
    </w:p>
    <w:p w14:paraId="3EFA48D7" w14:textId="77777777" w:rsidR="001B3766" w:rsidRPr="001E7F59" w:rsidRDefault="001B3766" w:rsidP="001B3766">
      <w:pPr>
        <w:spacing w:line="360" w:lineRule="auto"/>
        <w:jc w:val="both"/>
        <w:rPr>
          <w:rFonts w:ascii="Palatino Linotype" w:eastAsia="Calibri" w:hAnsi="Palatino Linotype" w:cs="Tahoma"/>
          <w:bCs/>
          <w:color w:val="0D0D0D"/>
          <w:sz w:val="22"/>
          <w:szCs w:val="22"/>
          <w:lang w:eastAsia="en-US"/>
        </w:rPr>
      </w:pPr>
    </w:p>
    <w:p w14:paraId="22C92C3C" w14:textId="5AD8DC73" w:rsidR="001B3766" w:rsidRPr="001E7F59" w:rsidRDefault="001B3766" w:rsidP="001B3766">
      <w:pPr>
        <w:spacing w:line="360" w:lineRule="auto"/>
        <w:jc w:val="both"/>
        <w:rPr>
          <w:rFonts w:ascii="Palatino Linotype" w:eastAsia="Calibri" w:hAnsi="Palatino Linotype" w:cs="Tahoma"/>
          <w:bCs/>
          <w:color w:val="0D0D0D"/>
          <w:sz w:val="22"/>
          <w:szCs w:val="22"/>
          <w:lang w:eastAsia="en-US"/>
        </w:rPr>
      </w:pPr>
      <w:r w:rsidRPr="001E7F59">
        <w:rPr>
          <w:rFonts w:ascii="Palatino Linotype" w:eastAsia="Calibri" w:hAnsi="Palatino Linotype" w:cs="Tahoma"/>
          <w:bCs/>
          <w:iCs/>
          <w:color w:val="0D0D0D"/>
          <w:sz w:val="22"/>
          <w:szCs w:val="22"/>
          <w:lang w:val="es-ES_tradnl" w:eastAsia="en-US"/>
        </w:rPr>
        <w:t>Se logra advertir que toda persona que ingrese al servicio público debe cumplir con las especificaciones que para el cargo a ocupar son necesarias, esto es, los requisitos mínimos tales como, de manera enunciativa más no limitativa pueden ser la nacionalidad y el pleno ejercicio de sus derechos civiles y políticos; entonces, este Instituto puede advertir que la pretensión del ahora Recurrente es obtener los documentos que conforman el expediente laboral de l</w:t>
      </w:r>
      <w:r w:rsidR="00A75A11" w:rsidRPr="001E7F59">
        <w:rPr>
          <w:rFonts w:ascii="Palatino Linotype" w:eastAsia="Calibri" w:hAnsi="Palatino Linotype" w:cs="Tahoma"/>
          <w:bCs/>
          <w:iCs/>
          <w:color w:val="0D0D0D"/>
          <w:sz w:val="22"/>
          <w:szCs w:val="22"/>
          <w:lang w:val="es-ES_tradnl" w:eastAsia="en-US"/>
        </w:rPr>
        <w:t>a</w:t>
      </w:r>
      <w:r w:rsidRPr="001E7F59">
        <w:rPr>
          <w:rFonts w:ascii="Palatino Linotype" w:eastAsia="Calibri" w:hAnsi="Palatino Linotype" w:cs="Tahoma"/>
          <w:bCs/>
          <w:iCs/>
          <w:color w:val="0D0D0D"/>
          <w:sz w:val="22"/>
          <w:szCs w:val="22"/>
          <w:lang w:val="es-ES_tradnl" w:eastAsia="en-US"/>
        </w:rPr>
        <w:t xml:space="preserve"> Servidor</w:t>
      </w:r>
      <w:r w:rsidR="00A75A11" w:rsidRPr="001E7F59">
        <w:rPr>
          <w:rFonts w:ascii="Palatino Linotype" w:eastAsia="Calibri" w:hAnsi="Palatino Linotype" w:cs="Tahoma"/>
          <w:bCs/>
          <w:iCs/>
          <w:color w:val="0D0D0D"/>
          <w:sz w:val="22"/>
          <w:szCs w:val="22"/>
          <w:lang w:val="es-ES_tradnl" w:eastAsia="en-US"/>
        </w:rPr>
        <w:t>a</w:t>
      </w:r>
      <w:r w:rsidRPr="001E7F59">
        <w:rPr>
          <w:rFonts w:ascii="Palatino Linotype" w:eastAsia="Calibri" w:hAnsi="Palatino Linotype" w:cs="Tahoma"/>
          <w:bCs/>
          <w:iCs/>
          <w:color w:val="0D0D0D"/>
          <w:sz w:val="22"/>
          <w:szCs w:val="22"/>
          <w:lang w:val="es-ES_tradnl" w:eastAsia="en-US"/>
        </w:rPr>
        <w:t xml:space="preserve"> Públic</w:t>
      </w:r>
      <w:r w:rsidR="00A75A11" w:rsidRPr="001E7F59">
        <w:rPr>
          <w:rFonts w:ascii="Palatino Linotype" w:eastAsia="Calibri" w:hAnsi="Palatino Linotype" w:cs="Tahoma"/>
          <w:bCs/>
          <w:iCs/>
          <w:color w:val="0D0D0D"/>
          <w:sz w:val="22"/>
          <w:szCs w:val="22"/>
          <w:lang w:val="es-ES_tradnl" w:eastAsia="en-US"/>
        </w:rPr>
        <w:t>a con cargo de</w:t>
      </w:r>
      <w:r w:rsidRPr="001E7F59">
        <w:rPr>
          <w:rFonts w:ascii="Palatino Linotype" w:eastAsia="Calibri" w:hAnsi="Palatino Linotype" w:cs="Tahoma"/>
          <w:bCs/>
          <w:iCs/>
          <w:color w:val="0D0D0D"/>
          <w:sz w:val="22"/>
          <w:szCs w:val="22"/>
          <w:lang w:val="es-ES_tradnl" w:eastAsia="en-US"/>
        </w:rPr>
        <w:t xml:space="preserve"> </w:t>
      </w:r>
      <w:r w:rsidR="00A75A11" w:rsidRPr="001E7F59">
        <w:rPr>
          <w:rFonts w:ascii="Palatino Linotype" w:eastAsia="Calibri" w:hAnsi="Palatino Linotype" w:cs="Tahoma"/>
          <w:bCs/>
          <w:iCs/>
          <w:color w:val="0D0D0D"/>
          <w:sz w:val="22"/>
          <w:szCs w:val="22"/>
          <w:lang w:val="es-ES_tradnl" w:eastAsia="en-US"/>
        </w:rPr>
        <w:t>Titular de la Subdirección de Administración de Agua y Saneamiento de Toluca</w:t>
      </w:r>
      <w:r w:rsidRPr="001E7F59">
        <w:rPr>
          <w:rFonts w:ascii="Palatino Linotype" w:eastAsia="Calibri" w:hAnsi="Palatino Linotype" w:cs="Tahoma"/>
          <w:bCs/>
          <w:iCs/>
          <w:color w:val="0D0D0D"/>
          <w:sz w:val="22"/>
          <w:szCs w:val="22"/>
          <w:lang w:val="es-ES_tradnl" w:eastAsia="en-US"/>
        </w:rPr>
        <w:t>, es decir, se trata de mando medio y superior</w:t>
      </w:r>
      <w:r w:rsidR="00A75A11" w:rsidRPr="001E7F59">
        <w:rPr>
          <w:rFonts w:ascii="Palatino Linotype" w:eastAsia="Calibri" w:hAnsi="Palatino Linotype" w:cs="Tahoma"/>
          <w:bCs/>
          <w:iCs/>
          <w:color w:val="0D0D0D"/>
          <w:sz w:val="22"/>
          <w:szCs w:val="22"/>
          <w:lang w:val="es-ES_tradnl" w:eastAsia="en-US"/>
        </w:rPr>
        <w:t xml:space="preserve">, durante el primero de </w:t>
      </w:r>
      <w:r w:rsidR="00A75A11" w:rsidRPr="001E7F59">
        <w:rPr>
          <w:rFonts w:ascii="Palatino Linotype" w:eastAsia="Calibri" w:hAnsi="Palatino Linotype" w:cs="Tahoma"/>
          <w:bCs/>
          <w:iCs/>
          <w:color w:val="0D0D0D"/>
          <w:sz w:val="22"/>
          <w:szCs w:val="22"/>
          <w:lang w:val="es-ES_tradnl" w:eastAsia="en-US"/>
        </w:rPr>
        <w:lastRenderedPageBreak/>
        <w:t>enero al treinta y uno de diciembre de dos mil veinticuatro,</w:t>
      </w:r>
      <w:r w:rsidRPr="001E7F59">
        <w:rPr>
          <w:rFonts w:ascii="Palatino Linotype" w:eastAsia="Calibri" w:hAnsi="Palatino Linotype" w:cs="Tahoma"/>
          <w:bCs/>
          <w:iCs/>
          <w:color w:val="0D0D0D"/>
          <w:sz w:val="22"/>
          <w:szCs w:val="22"/>
          <w:lang w:val="es-ES_tradnl" w:eastAsia="en-US"/>
        </w:rPr>
        <w:t xml:space="preserve"> del </w:t>
      </w:r>
      <w:r w:rsidR="00A75A11" w:rsidRPr="001E7F59">
        <w:rPr>
          <w:rFonts w:ascii="Palatino Linotype" w:eastAsia="Calibri" w:hAnsi="Palatino Linotype" w:cs="Tahoma"/>
          <w:bCs/>
          <w:iCs/>
          <w:color w:val="0D0D0D"/>
          <w:sz w:val="22"/>
          <w:szCs w:val="22"/>
          <w:lang w:val="es-ES_tradnl" w:eastAsia="en-US"/>
        </w:rPr>
        <w:t>Organismo de Agua y Saneamiento de</w:t>
      </w:r>
      <w:r w:rsidRPr="001E7F59">
        <w:rPr>
          <w:rFonts w:ascii="Palatino Linotype" w:eastAsia="Calibri" w:hAnsi="Palatino Linotype" w:cs="Tahoma"/>
          <w:bCs/>
          <w:iCs/>
          <w:color w:val="0D0D0D"/>
          <w:sz w:val="22"/>
          <w:szCs w:val="22"/>
          <w:lang w:val="es-ES_tradnl" w:eastAsia="en-US"/>
        </w:rPr>
        <w:t xml:space="preserve"> Toluca; </w:t>
      </w:r>
      <w:r w:rsidRPr="001E7F59">
        <w:rPr>
          <w:rFonts w:ascii="Palatino Linotype" w:eastAsia="Calibri" w:hAnsi="Palatino Linotype" w:cs="Tahoma"/>
          <w:b/>
          <w:bCs/>
          <w:iCs/>
          <w:color w:val="0D0D0D"/>
          <w:sz w:val="22"/>
          <w:szCs w:val="22"/>
          <w:lang w:val="es-ES_tradnl" w:eastAsia="en-US"/>
        </w:rPr>
        <w:t>esto es, las documentales que dan cuenta del cumplimiento de los requisitos previstos en el artículo en comento.</w:t>
      </w:r>
    </w:p>
    <w:p w14:paraId="1AB2C241" w14:textId="77777777" w:rsidR="001B3766" w:rsidRPr="001E7F59" w:rsidRDefault="001B3766" w:rsidP="001B3766">
      <w:pPr>
        <w:spacing w:line="360" w:lineRule="auto"/>
        <w:jc w:val="both"/>
        <w:rPr>
          <w:rFonts w:ascii="Palatino Linotype" w:eastAsia="Calibri" w:hAnsi="Palatino Linotype" w:cs="Tahoma"/>
          <w:bCs/>
          <w:color w:val="0D0D0D"/>
          <w:sz w:val="22"/>
          <w:szCs w:val="22"/>
          <w:lang w:eastAsia="en-US"/>
        </w:rPr>
      </w:pPr>
    </w:p>
    <w:p w14:paraId="56D303E4" w14:textId="77777777" w:rsidR="001B3766" w:rsidRPr="001E7F59" w:rsidRDefault="001B3766" w:rsidP="001B3766">
      <w:pPr>
        <w:spacing w:line="360" w:lineRule="auto"/>
        <w:jc w:val="both"/>
        <w:rPr>
          <w:rFonts w:ascii="Palatino Linotype" w:eastAsia="Calibri" w:hAnsi="Palatino Linotype"/>
          <w:bCs/>
          <w:color w:val="000000"/>
          <w:sz w:val="22"/>
          <w:szCs w:val="22"/>
          <w:lang w:eastAsia="en-US"/>
        </w:rPr>
      </w:pPr>
      <w:r w:rsidRPr="001E7F59">
        <w:rPr>
          <w:rFonts w:ascii="Palatino Linotype" w:eastAsia="Calibri" w:hAnsi="Palatino Linotype"/>
          <w:bCs/>
          <w:color w:val="000000"/>
          <w:sz w:val="22"/>
          <w:szCs w:val="22"/>
          <w:lang w:eastAsia="en-US"/>
        </w:rPr>
        <w:t xml:space="preserve">Además, el Manual de Normas y Procedimientos de Desarrollo y Administración de Personal, traído a manera de analogía, establece el procedimiento denominado Expediente de Personal, que establece que su objetivo es mantener actualizada la documentación personal y la </w:t>
      </w:r>
      <w:r w:rsidRPr="001E7F59">
        <w:rPr>
          <w:rFonts w:ascii="Palatino Linotype" w:eastAsia="Calibri" w:hAnsi="Palatino Linotype"/>
          <w:color w:val="000000"/>
          <w:sz w:val="22"/>
          <w:szCs w:val="22"/>
          <w:lang w:eastAsia="en-US"/>
        </w:rPr>
        <w:t>histórica-laboral de los servidores públicos, a fin de que el expediente de cada uno de ellos contenga todas las incidencias que ocurren desde su alta hasta su baja; por lo que, los órganos desconcentrados serán los responsables de conformar y mantener actualizados los expedientes de los trabajadores gubernamentales.</w:t>
      </w:r>
    </w:p>
    <w:p w14:paraId="78491838" w14:textId="77777777" w:rsidR="001B3766" w:rsidRPr="001E7F59" w:rsidRDefault="001B3766" w:rsidP="001B3766">
      <w:pPr>
        <w:spacing w:line="360" w:lineRule="auto"/>
        <w:jc w:val="both"/>
        <w:rPr>
          <w:rFonts w:ascii="Palatino Linotype" w:eastAsia="Calibri" w:hAnsi="Palatino Linotype"/>
          <w:bCs/>
          <w:color w:val="000000"/>
          <w:sz w:val="22"/>
          <w:szCs w:val="22"/>
          <w:lang w:eastAsia="en-US"/>
        </w:rPr>
      </w:pPr>
    </w:p>
    <w:p w14:paraId="273306BE" w14:textId="77777777" w:rsidR="001B3766" w:rsidRPr="001E7F59" w:rsidRDefault="001B3766" w:rsidP="001B3766">
      <w:pPr>
        <w:spacing w:line="360" w:lineRule="auto"/>
        <w:jc w:val="both"/>
        <w:rPr>
          <w:rFonts w:ascii="Palatino Linotype" w:eastAsia="Calibri" w:hAnsi="Palatino Linotype"/>
          <w:bCs/>
          <w:color w:val="000000"/>
          <w:sz w:val="22"/>
          <w:szCs w:val="22"/>
          <w:lang w:eastAsia="en-US"/>
        </w:rPr>
      </w:pPr>
      <w:r w:rsidRPr="001E7F59">
        <w:rPr>
          <w:rFonts w:ascii="Palatino Linotype" w:eastAsia="Calibri" w:hAnsi="Palatino Linotype"/>
          <w:bCs/>
          <w:color w:val="000000"/>
          <w:sz w:val="22"/>
          <w:szCs w:val="22"/>
          <w:lang w:eastAsia="en-US"/>
        </w:rPr>
        <w:t>Asimismo, precisa que los expedientes se conformaran por los documentos que los servidores públicos entreguen para ingresar al cargo y se necesiten para causa alta, así como, todos aquellos que se procesen dentro de la dependencia pública, sus reconocimientos y sanciones, los movimientos que les afecten.</w:t>
      </w:r>
    </w:p>
    <w:p w14:paraId="6B967E2A" w14:textId="77777777" w:rsidR="001B3766" w:rsidRPr="001E7F59" w:rsidRDefault="001B3766" w:rsidP="001B3766">
      <w:pPr>
        <w:spacing w:line="360" w:lineRule="auto"/>
        <w:jc w:val="both"/>
        <w:rPr>
          <w:rFonts w:ascii="Palatino Linotype" w:eastAsia="Calibri" w:hAnsi="Palatino Linotype"/>
          <w:bCs/>
          <w:color w:val="000000"/>
          <w:sz w:val="22"/>
          <w:szCs w:val="22"/>
          <w:lang w:eastAsia="en-US"/>
        </w:rPr>
      </w:pPr>
    </w:p>
    <w:p w14:paraId="0772F49E" w14:textId="77777777" w:rsidR="001B3766" w:rsidRPr="001E7F59" w:rsidRDefault="001B3766" w:rsidP="001B3766">
      <w:pPr>
        <w:spacing w:line="360" w:lineRule="auto"/>
        <w:jc w:val="both"/>
        <w:rPr>
          <w:rFonts w:ascii="Palatino Linotype" w:eastAsia="Calibri" w:hAnsi="Palatino Linotype"/>
          <w:bCs/>
          <w:color w:val="000000"/>
          <w:sz w:val="22"/>
          <w:szCs w:val="22"/>
          <w:lang w:eastAsia="en-US"/>
        </w:rPr>
      </w:pPr>
      <w:r w:rsidRPr="001E7F59">
        <w:rPr>
          <w:rFonts w:ascii="Palatino Linotype" w:eastAsia="Calibri" w:hAnsi="Palatino Linotype"/>
          <w:bCs/>
          <w:color w:val="000000"/>
          <w:sz w:val="22"/>
          <w:szCs w:val="22"/>
          <w:lang w:eastAsia="en-US"/>
        </w:rPr>
        <w:t xml:space="preserve">En ese contexto, el artículo 98, fracción XVII, de la </w:t>
      </w:r>
      <w:r w:rsidRPr="001E7F59">
        <w:rPr>
          <w:rFonts w:ascii="Palatino Linotype" w:eastAsia="Calibri" w:hAnsi="Palatino Linotype"/>
          <w:bCs/>
          <w:color w:val="000000"/>
          <w:sz w:val="22"/>
          <w:szCs w:val="22"/>
          <w:lang w:val="es-ES" w:eastAsia="en-US"/>
        </w:rPr>
        <w:t xml:space="preserve">Ley del Trabajo de los Servidores Públicos del Estado de México y Municipios, establece que es obligación de las instituciones públicas el integrar </w:t>
      </w:r>
      <w:r w:rsidRPr="001E7F59">
        <w:rPr>
          <w:rFonts w:ascii="Palatino Linotype" w:eastAsia="Calibri" w:hAnsi="Palatino Linotype"/>
          <w:bCs/>
          <w:color w:val="000000"/>
          <w:sz w:val="22"/>
          <w:szCs w:val="22"/>
          <w:lang w:eastAsia="en-US"/>
        </w:rPr>
        <w:t>los expedientes de los servidores públicos y proporcionar las constancias que éstos soliciten para el trámite de los asuntos de su interés.</w:t>
      </w:r>
    </w:p>
    <w:p w14:paraId="601EFF7A" w14:textId="77777777" w:rsidR="001B3766" w:rsidRPr="001E7F59" w:rsidRDefault="001B3766" w:rsidP="001B3766">
      <w:pPr>
        <w:spacing w:line="360" w:lineRule="auto"/>
        <w:contextualSpacing/>
        <w:jc w:val="both"/>
        <w:rPr>
          <w:rFonts w:ascii="Palatino Linotype" w:hAnsi="Palatino Linotype" w:cs="Tahoma"/>
          <w:sz w:val="22"/>
          <w:szCs w:val="22"/>
        </w:rPr>
      </w:pPr>
    </w:p>
    <w:p w14:paraId="203BE05C" w14:textId="77777777" w:rsidR="001B3766" w:rsidRPr="001E7F59" w:rsidRDefault="001B3766" w:rsidP="001B3766">
      <w:pPr>
        <w:spacing w:line="360" w:lineRule="auto"/>
        <w:contextualSpacing/>
        <w:jc w:val="both"/>
        <w:rPr>
          <w:rFonts w:ascii="Palatino Linotype" w:hAnsi="Palatino Linotype" w:cs="Tahoma"/>
          <w:bCs/>
          <w:sz w:val="22"/>
          <w:szCs w:val="22"/>
        </w:rPr>
      </w:pPr>
      <w:r w:rsidRPr="001E7F59">
        <w:rPr>
          <w:rFonts w:ascii="Palatino Linotype" w:hAnsi="Palatino Linotype" w:cs="Tahoma"/>
          <w:bCs/>
          <w:sz w:val="22"/>
          <w:szCs w:val="22"/>
        </w:rPr>
        <w:t xml:space="preserve">Además, la Guía Técnica 9 “La Administración del Personal Municipal”, emitida por el Instituto Nacional para el Federalismo y el Desarrollo Municipal, establece que el área o servidor público responsable de la administración del personal, debe llevar un control de todo el personal que ingresa al Ayuntamiento, </w:t>
      </w:r>
      <w:r w:rsidRPr="001E7F59">
        <w:rPr>
          <w:rFonts w:ascii="Palatino Linotype" w:hAnsi="Palatino Linotype" w:cs="Tahoma"/>
          <w:b/>
          <w:sz w:val="22"/>
          <w:szCs w:val="22"/>
        </w:rPr>
        <w:t>así como integrar sus respectivos expedientes</w:t>
      </w:r>
      <w:r w:rsidRPr="001E7F59">
        <w:rPr>
          <w:rFonts w:ascii="Palatino Linotype" w:hAnsi="Palatino Linotype" w:cs="Tahoma"/>
          <w:bCs/>
          <w:sz w:val="22"/>
          <w:szCs w:val="22"/>
        </w:rPr>
        <w:t xml:space="preserve">, de </w:t>
      </w:r>
      <w:r w:rsidRPr="001E7F59">
        <w:rPr>
          <w:rFonts w:ascii="Palatino Linotype" w:hAnsi="Palatino Linotype" w:cs="Tahoma"/>
          <w:bCs/>
          <w:sz w:val="22"/>
          <w:szCs w:val="22"/>
        </w:rPr>
        <w:lastRenderedPageBreak/>
        <w:t>deberá contener entre otros documentos aquellos con los cuales se acredite la experiencia laboral y académica.</w:t>
      </w:r>
    </w:p>
    <w:p w14:paraId="341AF89F" w14:textId="77777777" w:rsidR="001B3766" w:rsidRPr="001E7F59" w:rsidRDefault="001B3766" w:rsidP="001B3766">
      <w:pPr>
        <w:spacing w:line="360" w:lineRule="auto"/>
        <w:ind w:right="-93"/>
        <w:jc w:val="both"/>
        <w:rPr>
          <w:rFonts w:ascii="Palatino Linotype" w:hAnsi="Palatino Linotype" w:cs="Tahoma"/>
          <w:bCs/>
          <w:iCs/>
          <w:sz w:val="22"/>
          <w:szCs w:val="22"/>
        </w:rPr>
      </w:pPr>
    </w:p>
    <w:p w14:paraId="09C0C561" w14:textId="77777777" w:rsidR="001B3766" w:rsidRPr="001E7F59" w:rsidRDefault="001B3766" w:rsidP="001B3766">
      <w:pPr>
        <w:spacing w:line="360" w:lineRule="auto"/>
        <w:ind w:right="-93"/>
        <w:jc w:val="both"/>
        <w:rPr>
          <w:rFonts w:ascii="Palatino Linotype" w:hAnsi="Palatino Linotype" w:cs="Tahoma"/>
          <w:bCs/>
          <w:iCs/>
          <w:sz w:val="22"/>
          <w:szCs w:val="22"/>
        </w:rPr>
      </w:pPr>
      <w:r w:rsidRPr="001E7F59">
        <w:rPr>
          <w:rFonts w:ascii="Palatino Linotype" w:hAnsi="Palatino Linotype" w:cs="Tahoma"/>
          <w:bCs/>
          <w:iCs/>
          <w:sz w:val="22"/>
          <w:szCs w:val="22"/>
        </w:rPr>
        <w:t>Por su parte, la Ley Orgánica Municipal del Estado de México, tiene por objeto regular las bases para la integración y organización del territorio, la población, el gobierno y la administración pública municipal, así mismo, señala los requisitos para ocupar los cargos de mandos medios y superiores, siendo estos los siguientes:</w:t>
      </w:r>
    </w:p>
    <w:p w14:paraId="4360D701" w14:textId="77777777" w:rsidR="001B3766" w:rsidRPr="001E7F59" w:rsidRDefault="001B3766" w:rsidP="001B3766">
      <w:pPr>
        <w:spacing w:line="360" w:lineRule="auto"/>
        <w:ind w:right="-93"/>
        <w:jc w:val="both"/>
        <w:rPr>
          <w:rFonts w:ascii="Palatino Linotype" w:hAnsi="Palatino Linotype" w:cs="Tahoma"/>
          <w:bCs/>
          <w:iCs/>
          <w:sz w:val="22"/>
          <w:szCs w:val="22"/>
        </w:rPr>
      </w:pPr>
    </w:p>
    <w:p w14:paraId="7525271D" w14:textId="77777777" w:rsidR="001B3766" w:rsidRPr="001E7F59" w:rsidRDefault="001B3766" w:rsidP="001B3766">
      <w:pPr>
        <w:spacing w:line="360" w:lineRule="auto"/>
        <w:ind w:left="567" w:right="567"/>
        <w:jc w:val="both"/>
        <w:rPr>
          <w:rFonts w:ascii="Palatino Linotype" w:hAnsi="Palatino Linotype" w:cs="Tahoma"/>
          <w:bCs/>
          <w:i/>
          <w:iCs/>
          <w:szCs w:val="22"/>
        </w:rPr>
      </w:pPr>
      <w:r w:rsidRPr="001E7F59">
        <w:rPr>
          <w:rFonts w:ascii="Palatino Linotype" w:hAnsi="Palatino Linotype" w:cs="Tahoma"/>
          <w:bCs/>
          <w:i/>
          <w:iCs/>
          <w:szCs w:val="22"/>
        </w:rPr>
        <w:t xml:space="preserve"> Artículo 32.- Para ocupar los cargos de Secretario; Tesorero; Director de Obras Públicas, de Desarrollo Económico, Director de Turismo, Coordinador General Municipal de Mejora Regulatoria, Ecología, Desarrollo Urbano, de Desarrollo Social, de las Mujeres, del Campo o equivalentes, titulares de las unidades administrativas, de Protección Civil y de los organismos auxiliares se deberán satisfacer los siguientes requisitos:  </w:t>
      </w:r>
    </w:p>
    <w:p w14:paraId="2D5A7700" w14:textId="77777777" w:rsidR="001B3766" w:rsidRPr="001E7F59" w:rsidRDefault="001B3766" w:rsidP="001B3766">
      <w:pPr>
        <w:spacing w:line="360" w:lineRule="auto"/>
        <w:ind w:left="567" w:right="567"/>
        <w:jc w:val="both"/>
        <w:rPr>
          <w:rFonts w:ascii="Palatino Linotype" w:hAnsi="Palatino Linotype" w:cs="Tahoma"/>
          <w:bCs/>
          <w:i/>
          <w:iCs/>
          <w:szCs w:val="22"/>
        </w:rPr>
      </w:pPr>
    </w:p>
    <w:p w14:paraId="02941165" w14:textId="77777777" w:rsidR="001B3766" w:rsidRPr="001E7F59" w:rsidRDefault="001B3766" w:rsidP="001B3766">
      <w:pPr>
        <w:spacing w:line="360" w:lineRule="auto"/>
        <w:ind w:left="567" w:right="567"/>
        <w:jc w:val="both"/>
        <w:rPr>
          <w:rFonts w:ascii="Palatino Linotype" w:hAnsi="Palatino Linotype" w:cs="Tahoma"/>
          <w:bCs/>
          <w:i/>
          <w:iCs/>
          <w:szCs w:val="22"/>
        </w:rPr>
      </w:pPr>
      <w:r w:rsidRPr="001E7F59">
        <w:rPr>
          <w:rFonts w:ascii="Palatino Linotype" w:hAnsi="Palatino Linotype" w:cs="Tahoma"/>
          <w:bCs/>
          <w:i/>
          <w:iCs/>
          <w:szCs w:val="22"/>
        </w:rPr>
        <w:t xml:space="preserve">I. Ser persona ciudadana del Estado, en pleno uso de sus derechos;  </w:t>
      </w:r>
    </w:p>
    <w:p w14:paraId="056C13BB" w14:textId="77777777" w:rsidR="001B3766" w:rsidRPr="001E7F59" w:rsidRDefault="001B3766" w:rsidP="001B3766">
      <w:pPr>
        <w:spacing w:line="360" w:lineRule="auto"/>
        <w:ind w:left="567" w:right="567"/>
        <w:jc w:val="both"/>
        <w:rPr>
          <w:rFonts w:ascii="Palatino Linotype" w:hAnsi="Palatino Linotype" w:cs="Tahoma"/>
          <w:bCs/>
          <w:i/>
          <w:iCs/>
          <w:szCs w:val="22"/>
        </w:rPr>
      </w:pPr>
      <w:r w:rsidRPr="001E7F59">
        <w:rPr>
          <w:rFonts w:ascii="Palatino Linotype" w:hAnsi="Palatino Linotype" w:cs="Tahoma"/>
          <w:bCs/>
          <w:i/>
          <w:iCs/>
          <w:szCs w:val="22"/>
        </w:rPr>
        <w:t xml:space="preserve">II. No estar inhabilitada o inhabilitado para desempeñar cargo, empleo, o comisión pública;  </w:t>
      </w:r>
    </w:p>
    <w:p w14:paraId="1E3D9DB7" w14:textId="77777777" w:rsidR="001B3766" w:rsidRPr="001E7F59" w:rsidRDefault="001B3766" w:rsidP="001B3766">
      <w:pPr>
        <w:spacing w:line="360" w:lineRule="auto"/>
        <w:ind w:left="567" w:right="567"/>
        <w:jc w:val="both"/>
        <w:rPr>
          <w:rFonts w:ascii="Palatino Linotype" w:hAnsi="Palatino Linotype" w:cs="Tahoma"/>
          <w:bCs/>
          <w:i/>
          <w:iCs/>
          <w:szCs w:val="22"/>
        </w:rPr>
      </w:pPr>
      <w:r w:rsidRPr="001E7F59">
        <w:rPr>
          <w:rFonts w:ascii="Palatino Linotype" w:hAnsi="Palatino Linotype" w:cs="Tahoma"/>
          <w:bCs/>
          <w:i/>
          <w:iCs/>
          <w:szCs w:val="22"/>
        </w:rPr>
        <w:t xml:space="preserve">III. Contar con título profesional o acreditar experiencia mínima de un año en la materia, ante la o el Presidente o el Ayuntamiento, cuando sea el caso, para el desempeño de los cargos que así lo requieran;  </w:t>
      </w:r>
    </w:p>
    <w:p w14:paraId="3CD84977" w14:textId="77777777" w:rsidR="001B3766" w:rsidRPr="001E7F59" w:rsidRDefault="001B3766" w:rsidP="001B3766">
      <w:pPr>
        <w:spacing w:line="360" w:lineRule="auto"/>
        <w:ind w:left="567" w:right="567"/>
        <w:jc w:val="both"/>
        <w:rPr>
          <w:rFonts w:ascii="Palatino Linotype" w:hAnsi="Palatino Linotype" w:cs="Tahoma"/>
          <w:bCs/>
          <w:i/>
          <w:iCs/>
          <w:szCs w:val="22"/>
        </w:rPr>
      </w:pPr>
      <w:r w:rsidRPr="001E7F59">
        <w:rPr>
          <w:rFonts w:ascii="Palatino Linotype" w:hAnsi="Palatino Linotype" w:cs="Tahoma"/>
          <w:bCs/>
          <w:i/>
          <w:iCs/>
          <w:szCs w:val="22"/>
        </w:rPr>
        <w:t xml:space="preserve">IV. Contar con certificación de competencia laboral en la materia del cargo que se desempeñará, expedida por institución con reconocimiento de validez oficial. Este requisito deberá acreditarse dentro de los seis meses siguientes a la fecha en que inicien sus funciones;  </w:t>
      </w:r>
    </w:p>
    <w:p w14:paraId="50873C93" w14:textId="77777777" w:rsidR="001B3766" w:rsidRPr="001E7F59" w:rsidRDefault="001B3766" w:rsidP="001B3766">
      <w:pPr>
        <w:spacing w:line="360" w:lineRule="auto"/>
        <w:ind w:left="567" w:right="567"/>
        <w:jc w:val="both"/>
        <w:rPr>
          <w:rFonts w:ascii="Palatino Linotype" w:hAnsi="Palatino Linotype" w:cs="Tahoma"/>
          <w:bCs/>
          <w:i/>
          <w:iCs/>
          <w:szCs w:val="22"/>
        </w:rPr>
      </w:pPr>
      <w:r w:rsidRPr="001E7F59">
        <w:rPr>
          <w:rFonts w:ascii="Palatino Linotype" w:hAnsi="Palatino Linotype" w:cs="Tahoma"/>
          <w:bCs/>
          <w:i/>
          <w:iCs/>
          <w:szCs w:val="22"/>
        </w:rPr>
        <w:t xml:space="preserve">V. No estar condenada o condenado por sentencia ejecutoriada por el delito de violencia política contra las mujeres en razón de género;   </w:t>
      </w:r>
    </w:p>
    <w:p w14:paraId="6F2BA991" w14:textId="77777777" w:rsidR="001B3766" w:rsidRPr="001E7F59" w:rsidRDefault="001B3766" w:rsidP="001B3766">
      <w:pPr>
        <w:spacing w:line="360" w:lineRule="auto"/>
        <w:ind w:left="567" w:right="567"/>
        <w:jc w:val="both"/>
        <w:rPr>
          <w:rFonts w:ascii="Palatino Linotype" w:hAnsi="Palatino Linotype" w:cs="Tahoma"/>
          <w:bCs/>
          <w:i/>
          <w:iCs/>
          <w:szCs w:val="22"/>
        </w:rPr>
      </w:pPr>
      <w:r w:rsidRPr="001E7F59">
        <w:rPr>
          <w:rFonts w:ascii="Palatino Linotype" w:hAnsi="Palatino Linotype" w:cs="Tahoma"/>
          <w:bCs/>
          <w:i/>
          <w:iCs/>
          <w:szCs w:val="22"/>
        </w:rPr>
        <w:t xml:space="preserve">VI. No estar inscrito en el Registro de Deudores Alimentarios Morosos en el Estado, ni en otra entidad federativa, y  </w:t>
      </w:r>
    </w:p>
    <w:p w14:paraId="79151B87" w14:textId="77777777" w:rsidR="001B3766" w:rsidRPr="001E7F59" w:rsidRDefault="001B3766" w:rsidP="001B3766">
      <w:pPr>
        <w:spacing w:line="360" w:lineRule="auto"/>
        <w:ind w:left="567" w:right="567"/>
        <w:jc w:val="both"/>
        <w:rPr>
          <w:rFonts w:ascii="Palatino Linotype" w:hAnsi="Palatino Linotype" w:cs="Tahoma"/>
          <w:bCs/>
          <w:i/>
          <w:iCs/>
          <w:szCs w:val="22"/>
        </w:rPr>
      </w:pPr>
      <w:r w:rsidRPr="001E7F59">
        <w:rPr>
          <w:rFonts w:ascii="Palatino Linotype" w:hAnsi="Palatino Linotype" w:cs="Tahoma"/>
          <w:bCs/>
          <w:i/>
          <w:iCs/>
          <w:szCs w:val="22"/>
        </w:rPr>
        <w:lastRenderedPageBreak/>
        <w:t xml:space="preserve">VII. No estar condenada o condenado por sentencia ejecutoriada por delitos de violencia familiar, contra la libertad sexual o de violencia de género.  </w:t>
      </w:r>
    </w:p>
    <w:p w14:paraId="39CE13FD" w14:textId="77777777" w:rsidR="001B3766" w:rsidRPr="001E7F59" w:rsidRDefault="001B3766" w:rsidP="001B3766">
      <w:pPr>
        <w:spacing w:line="360" w:lineRule="auto"/>
        <w:ind w:left="567" w:right="567"/>
        <w:jc w:val="both"/>
        <w:rPr>
          <w:rFonts w:ascii="Palatino Linotype" w:hAnsi="Palatino Linotype" w:cs="Tahoma"/>
          <w:bCs/>
          <w:i/>
          <w:iCs/>
          <w:szCs w:val="22"/>
        </w:rPr>
      </w:pPr>
    </w:p>
    <w:p w14:paraId="31E193D3" w14:textId="77777777" w:rsidR="001B3766" w:rsidRPr="001E7F59" w:rsidRDefault="001B3766" w:rsidP="001B3766">
      <w:pPr>
        <w:spacing w:line="360" w:lineRule="auto"/>
        <w:ind w:left="567" w:right="567"/>
        <w:jc w:val="both"/>
        <w:rPr>
          <w:rFonts w:ascii="Palatino Linotype" w:hAnsi="Palatino Linotype" w:cs="Tahoma"/>
          <w:bCs/>
          <w:i/>
          <w:iCs/>
          <w:szCs w:val="22"/>
        </w:rPr>
      </w:pPr>
      <w:r w:rsidRPr="001E7F59">
        <w:rPr>
          <w:rFonts w:ascii="Palatino Linotype" w:hAnsi="Palatino Linotype" w:cs="Tahoma"/>
          <w:bCs/>
          <w:i/>
          <w:iCs/>
          <w:szCs w:val="22"/>
        </w:rPr>
        <w:t>Vencido el plazo a que se refiere la fracción IV, la o el Presidente Municipal informará al Cabildo sobre el cumplimiento de dicha certificación laboral para que, en su caso, el Ayuntamiento tome las medidas correspondientes respecto de aquellos servidores públicos que no hubiesen cumplido.</w:t>
      </w:r>
    </w:p>
    <w:p w14:paraId="35F0C0FF" w14:textId="77777777" w:rsidR="001B3766" w:rsidRPr="001E7F59" w:rsidRDefault="001B3766" w:rsidP="001B3766">
      <w:pPr>
        <w:spacing w:line="360" w:lineRule="auto"/>
        <w:ind w:left="567" w:right="567"/>
        <w:jc w:val="both"/>
        <w:rPr>
          <w:rFonts w:ascii="Palatino Linotype" w:hAnsi="Palatino Linotype" w:cs="Tahoma"/>
          <w:bCs/>
          <w:i/>
          <w:iCs/>
          <w:szCs w:val="22"/>
        </w:rPr>
      </w:pPr>
    </w:p>
    <w:p w14:paraId="7028CB14" w14:textId="0899D25C" w:rsidR="001B3766" w:rsidRPr="001E7F59" w:rsidRDefault="001B3766" w:rsidP="001B3766">
      <w:pPr>
        <w:spacing w:line="360" w:lineRule="auto"/>
        <w:jc w:val="both"/>
        <w:rPr>
          <w:rFonts w:ascii="Palatino Linotype" w:eastAsia="Calibri" w:hAnsi="Palatino Linotype"/>
          <w:b/>
          <w:bCs/>
          <w:iCs/>
          <w:color w:val="000000"/>
          <w:sz w:val="22"/>
          <w:szCs w:val="22"/>
          <w:lang w:val="es-ES_tradnl" w:eastAsia="en-US"/>
        </w:rPr>
      </w:pPr>
      <w:r w:rsidRPr="001E7F59">
        <w:rPr>
          <w:rFonts w:ascii="Palatino Linotype" w:eastAsia="Calibri" w:hAnsi="Palatino Linotype"/>
          <w:bCs/>
          <w:iCs/>
          <w:color w:val="000000"/>
          <w:sz w:val="22"/>
          <w:szCs w:val="22"/>
          <w:lang w:val="es-ES_tradnl" w:eastAsia="en-US"/>
        </w:rPr>
        <w:t xml:space="preserve">En este tenor, se advierte que para los cargos de Titulares de Unidades Administrativas, se requiere además de los señalado en el artículo 47 de la </w:t>
      </w:r>
      <w:r w:rsidRPr="001E7F59">
        <w:rPr>
          <w:rFonts w:ascii="Palatino Linotype" w:eastAsia="Calibri" w:hAnsi="Palatino Linotype"/>
          <w:bCs/>
          <w:color w:val="000000"/>
          <w:sz w:val="22"/>
          <w:szCs w:val="22"/>
          <w:lang w:eastAsia="en-US"/>
        </w:rPr>
        <w:t xml:space="preserve">Ley del Trabajo de los Servidores Públicos del Estado y Municipios, cumplir con la experiencia necesaria </w:t>
      </w:r>
      <w:r w:rsidRPr="001E7F59">
        <w:rPr>
          <w:rFonts w:ascii="Palatino Linotype" w:eastAsia="Calibri" w:hAnsi="Palatino Linotype"/>
          <w:b/>
          <w:bCs/>
          <w:color w:val="000000"/>
          <w:sz w:val="22"/>
          <w:szCs w:val="22"/>
          <w:lang w:eastAsia="en-US"/>
        </w:rPr>
        <w:t>y en su caso, la certificación que avale que el servidor público es experto en la materia en la que presta sus servicios.</w:t>
      </w:r>
      <w:r w:rsidRPr="001E7F59">
        <w:rPr>
          <w:rFonts w:ascii="Palatino Linotype" w:eastAsia="Calibri" w:hAnsi="Palatino Linotype"/>
          <w:bCs/>
          <w:color w:val="000000"/>
          <w:sz w:val="22"/>
          <w:szCs w:val="22"/>
          <w:lang w:eastAsia="en-US"/>
        </w:rPr>
        <w:t xml:space="preserve"> </w:t>
      </w:r>
      <w:r w:rsidRPr="001E7F59">
        <w:rPr>
          <w:rFonts w:ascii="Palatino Linotype" w:eastAsia="Calibri" w:hAnsi="Palatino Linotype"/>
          <w:bCs/>
          <w:iCs/>
          <w:color w:val="000000"/>
          <w:sz w:val="22"/>
          <w:szCs w:val="22"/>
          <w:lang w:val="es-ES_tradnl" w:eastAsia="en-US"/>
        </w:rPr>
        <w:t xml:space="preserve">Así, este Instituto puede advertir que la pretensión del ahora Recurrente </w:t>
      </w:r>
      <w:r w:rsidRPr="001E7F59">
        <w:rPr>
          <w:rFonts w:ascii="Palatino Linotype" w:eastAsia="Calibri" w:hAnsi="Palatino Linotype"/>
          <w:b/>
          <w:bCs/>
          <w:iCs/>
          <w:color w:val="000000"/>
          <w:sz w:val="22"/>
          <w:szCs w:val="22"/>
          <w:u w:val="single"/>
          <w:lang w:val="es-ES_tradnl" w:eastAsia="en-US"/>
        </w:rPr>
        <w:t>es obtener los documentos que conforman el expediente laboral</w:t>
      </w:r>
      <w:r w:rsidRPr="001E7F59">
        <w:rPr>
          <w:rFonts w:ascii="Palatino Linotype" w:eastAsia="Calibri" w:hAnsi="Palatino Linotype"/>
          <w:bCs/>
          <w:iCs/>
          <w:color w:val="000000"/>
          <w:sz w:val="22"/>
          <w:szCs w:val="22"/>
          <w:lang w:val="es-ES_tradnl" w:eastAsia="en-US"/>
        </w:rPr>
        <w:t xml:space="preserve"> de </w:t>
      </w:r>
      <w:r w:rsidR="0095175C" w:rsidRPr="001E7F59">
        <w:rPr>
          <w:rFonts w:ascii="Palatino Linotype" w:eastAsia="Calibri" w:hAnsi="Palatino Linotype"/>
          <w:bCs/>
          <w:iCs/>
          <w:color w:val="000000"/>
          <w:sz w:val="22"/>
          <w:szCs w:val="22"/>
          <w:lang w:val="es-ES_tradnl" w:eastAsia="en-US"/>
        </w:rPr>
        <w:t>la Titular de la Subdirección de Administración de Agua y Saneamiento de Toluca, del primero de enero al treinta y uno de diciembre de dos mil veinticuatro</w:t>
      </w:r>
      <w:r w:rsidRPr="001E7F59">
        <w:rPr>
          <w:rFonts w:ascii="Palatino Linotype" w:eastAsia="Calibri" w:hAnsi="Palatino Linotype"/>
          <w:bCs/>
          <w:iCs/>
          <w:color w:val="000000"/>
          <w:sz w:val="22"/>
          <w:szCs w:val="22"/>
          <w:lang w:val="es-ES_tradnl" w:eastAsia="en-US"/>
        </w:rPr>
        <w:t xml:space="preserve">; </w:t>
      </w:r>
      <w:r w:rsidRPr="001E7F59">
        <w:rPr>
          <w:rFonts w:ascii="Palatino Linotype" w:eastAsia="Calibri" w:hAnsi="Palatino Linotype"/>
          <w:b/>
          <w:bCs/>
          <w:iCs/>
          <w:color w:val="000000"/>
          <w:sz w:val="22"/>
          <w:szCs w:val="22"/>
          <w:lang w:val="es-ES_tradnl" w:eastAsia="en-US"/>
        </w:rPr>
        <w:t xml:space="preserve">esto es, las documentales que dan cuenta del cumplimiento de los requisitos previstos para ocupar </w:t>
      </w:r>
      <w:r w:rsidR="0095175C" w:rsidRPr="001E7F59">
        <w:rPr>
          <w:rFonts w:ascii="Palatino Linotype" w:eastAsia="Calibri" w:hAnsi="Palatino Linotype"/>
          <w:b/>
          <w:bCs/>
          <w:iCs/>
          <w:color w:val="000000"/>
          <w:sz w:val="22"/>
          <w:szCs w:val="22"/>
          <w:lang w:val="es-ES_tradnl" w:eastAsia="en-US"/>
        </w:rPr>
        <w:t>e</w:t>
      </w:r>
      <w:r w:rsidRPr="001E7F59">
        <w:rPr>
          <w:rFonts w:ascii="Palatino Linotype" w:eastAsia="Calibri" w:hAnsi="Palatino Linotype"/>
          <w:b/>
          <w:bCs/>
          <w:iCs/>
          <w:color w:val="000000"/>
          <w:sz w:val="22"/>
          <w:szCs w:val="22"/>
          <w:lang w:val="es-ES_tradnl" w:eastAsia="en-US"/>
        </w:rPr>
        <w:t xml:space="preserve">l </w:t>
      </w:r>
      <w:r w:rsidR="0095175C" w:rsidRPr="001E7F59">
        <w:rPr>
          <w:rFonts w:ascii="Palatino Linotype" w:eastAsia="Calibri" w:hAnsi="Palatino Linotype"/>
          <w:b/>
          <w:bCs/>
          <w:iCs/>
          <w:color w:val="000000"/>
          <w:sz w:val="22"/>
          <w:szCs w:val="22"/>
          <w:lang w:val="es-ES_tradnl" w:eastAsia="en-US"/>
        </w:rPr>
        <w:t>cargo</w:t>
      </w:r>
      <w:r w:rsidRPr="001E7F59">
        <w:rPr>
          <w:rFonts w:ascii="Palatino Linotype" w:eastAsia="Calibri" w:hAnsi="Palatino Linotype"/>
          <w:b/>
          <w:bCs/>
          <w:iCs/>
          <w:color w:val="000000"/>
          <w:sz w:val="22"/>
          <w:szCs w:val="22"/>
          <w:lang w:val="es-ES_tradnl" w:eastAsia="en-US"/>
        </w:rPr>
        <w:t xml:space="preserve"> de mando medio y superior en la Administración Pública del </w:t>
      </w:r>
      <w:r w:rsidR="0095175C" w:rsidRPr="001E7F59">
        <w:rPr>
          <w:rFonts w:ascii="Palatino Linotype" w:eastAsia="Calibri" w:hAnsi="Palatino Linotype"/>
          <w:b/>
          <w:bCs/>
          <w:iCs/>
          <w:color w:val="000000"/>
          <w:sz w:val="22"/>
          <w:szCs w:val="22"/>
          <w:lang w:val="es-ES_tradnl" w:eastAsia="en-US"/>
        </w:rPr>
        <w:t>Organismo de Agua y Saneamiento</w:t>
      </w:r>
      <w:r w:rsidRPr="001E7F59">
        <w:rPr>
          <w:rFonts w:ascii="Palatino Linotype" w:eastAsia="Calibri" w:hAnsi="Palatino Linotype"/>
          <w:b/>
          <w:bCs/>
          <w:iCs/>
          <w:color w:val="000000"/>
          <w:sz w:val="22"/>
          <w:szCs w:val="22"/>
          <w:lang w:val="es-ES_tradnl" w:eastAsia="en-US"/>
        </w:rPr>
        <w:t xml:space="preserve"> de Toluca. </w:t>
      </w:r>
    </w:p>
    <w:p w14:paraId="6803B34D" w14:textId="77777777" w:rsidR="001B3766" w:rsidRPr="001E7F59" w:rsidRDefault="001B3766" w:rsidP="001B3766">
      <w:pPr>
        <w:spacing w:line="360" w:lineRule="auto"/>
        <w:jc w:val="both"/>
        <w:rPr>
          <w:rFonts w:ascii="Palatino Linotype" w:eastAsia="Calibri" w:hAnsi="Palatino Linotype"/>
          <w:bCs/>
          <w:color w:val="000000"/>
          <w:sz w:val="22"/>
          <w:szCs w:val="22"/>
          <w:lang w:eastAsia="en-US"/>
        </w:rPr>
      </w:pPr>
    </w:p>
    <w:p w14:paraId="5917D9A9" w14:textId="117885E6" w:rsidR="001B3766" w:rsidRPr="001E7F59" w:rsidRDefault="001B3766" w:rsidP="001B3766">
      <w:pPr>
        <w:tabs>
          <w:tab w:val="left" w:pos="8931"/>
        </w:tabs>
        <w:spacing w:line="360" w:lineRule="auto"/>
        <w:ind w:right="-93"/>
        <w:jc w:val="both"/>
        <w:rPr>
          <w:rFonts w:ascii="Palatino Linotype" w:eastAsia="Calibri" w:hAnsi="Palatino Linotype" w:cs="Arial"/>
          <w:sz w:val="22"/>
          <w:szCs w:val="22"/>
          <w:lang w:val="es-ES" w:eastAsia="en-US"/>
        </w:rPr>
      </w:pPr>
      <w:r w:rsidRPr="001E7F59">
        <w:rPr>
          <w:rFonts w:ascii="Palatino Linotype" w:eastAsia="Calibri" w:hAnsi="Palatino Linotype" w:cs="Tahoma"/>
          <w:bCs/>
          <w:sz w:val="22"/>
          <w:szCs w:val="22"/>
          <w:lang w:eastAsia="en-US"/>
        </w:rPr>
        <w:t xml:space="preserve">Por lo anterior, conviene señalar que si bien, dentro de los expedientes laborales se puede incluir información que no abona a la transparencia o que no se encuentra relacionada con el actuar de un servidor público, </w:t>
      </w:r>
      <w:r w:rsidR="009B6BEB" w:rsidRPr="001E7F59">
        <w:rPr>
          <w:rFonts w:ascii="Palatino Linotype" w:eastAsia="Calibri" w:hAnsi="Palatino Linotype" w:cs="Tahoma"/>
          <w:bCs/>
          <w:sz w:val="22"/>
          <w:szCs w:val="22"/>
          <w:lang w:eastAsia="en-US"/>
        </w:rPr>
        <w:t xml:space="preserve">tales como los relacionados exclusivamente con la vida privada de un trabajador, como el acta de nacimiento o la credencial para votar con fotografía; </w:t>
      </w:r>
      <w:r w:rsidRPr="001E7F59">
        <w:rPr>
          <w:rFonts w:ascii="Palatino Linotype" w:eastAsia="Calibri" w:hAnsi="Palatino Linotype" w:cs="Tahoma"/>
          <w:bCs/>
          <w:sz w:val="22"/>
          <w:szCs w:val="22"/>
          <w:lang w:eastAsia="en-US"/>
        </w:rPr>
        <w:t>no obstante, se deberán entregar todos aquellos documentos que, dentro del expediente laboral, den cuenta de la preparación académica y/o laboral de l</w:t>
      </w:r>
      <w:r w:rsidR="0095175C" w:rsidRPr="001E7F59">
        <w:rPr>
          <w:rFonts w:ascii="Palatino Linotype" w:eastAsia="Calibri" w:hAnsi="Palatino Linotype" w:cs="Tahoma"/>
          <w:bCs/>
          <w:sz w:val="22"/>
          <w:szCs w:val="22"/>
          <w:lang w:eastAsia="en-US"/>
        </w:rPr>
        <w:t>a</w:t>
      </w:r>
      <w:r w:rsidRPr="001E7F59">
        <w:rPr>
          <w:rFonts w:ascii="Palatino Linotype" w:eastAsia="Calibri" w:hAnsi="Palatino Linotype" w:cs="Tahoma"/>
          <w:bCs/>
          <w:sz w:val="22"/>
          <w:szCs w:val="22"/>
          <w:lang w:eastAsia="en-US"/>
        </w:rPr>
        <w:t xml:space="preserve"> servidor</w:t>
      </w:r>
      <w:r w:rsidR="0095175C" w:rsidRPr="001E7F59">
        <w:rPr>
          <w:rFonts w:ascii="Palatino Linotype" w:eastAsia="Calibri" w:hAnsi="Palatino Linotype" w:cs="Tahoma"/>
          <w:bCs/>
          <w:sz w:val="22"/>
          <w:szCs w:val="22"/>
          <w:lang w:eastAsia="en-US"/>
        </w:rPr>
        <w:t>a</w:t>
      </w:r>
      <w:r w:rsidRPr="001E7F59">
        <w:rPr>
          <w:rFonts w:ascii="Palatino Linotype" w:eastAsia="Calibri" w:hAnsi="Palatino Linotype" w:cs="Tahoma"/>
          <w:bCs/>
          <w:sz w:val="22"/>
          <w:szCs w:val="22"/>
          <w:lang w:eastAsia="en-US"/>
        </w:rPr>
        <w:t xml:space="preserve"> públic</w:t>
      </w:r>
      <w:r w:rsidR="0095175C" w:rsidRPr="001E7F59">
        <w:rPr>
          <w:rFonts w:ascii="Palatino Linotype" w:eastAsia="Calibri" w:hAnsi="Palatino Linotype" w:cs="Tahoma"/>
          <w:bCs/>
          <w:sz w:val="22"/>
          <w:szCs w:val="22"/>
          <w:lang w:eastAsia="en-US"/>
        </w:rPr>
        <w:t>a</w:t>
      </w:r>
      <w:r w:rsidRPr="001E7F59">
        <w:rPr>
          <w:rFonts w:ascii="Palatino Linotype" w:eastAsia="Calibri" w:hAnsi="Palatino Linotype" w:cs="Tahoma"/>
          <w:bCs/>
          <w:sz w:val="22"/>
          <w:szCs w:val="22"/>
          <w:lang w:eastAsia="en-US"/>
        </w:rPr>
        <w:t xml:space="preserve"> identificad</w:t>
      </w:r>
      <w:r w:rsidR="0095175C" w:rsidRPr="001E7F59">
        <w:rPr>
          <w:rFonts w:ascii="Palatino Linotype" w:eastAsia="Calibri" w:hAnsi="Palatino Linotype" w:cs="Tahoma"/>
          <w:bCs/>
          <w:sz w:val="22"/>
          <w:szCs w:val="22"/>
          <w:lang w:eastAsia="en-US"/>
        </w:rPr>
        <w:t>a</w:t>
      </w:r>
      <w:r w:rsidRPr="001E7F59">
        <w:rPr>
          <w:rFonts w:ascii="Palatino Linotype" w:eastAsia="Calibri" w:hAnsi="Palatino Linotype" w:cs="Tahoma"/>
          <w:bCs/>
          <w:sz w:val="22"/>
          <w:szCs w:val="22"/>
          <w:lang w:eastAsia="en-US"/>
        </w:rPr>
        <w:t xml:space="preserve"> en la solicitud de información</w:t>
      </w:r>
      <w:r w:rsidR="0095175C" w:rsidRPr="001E7F59">
        <w:rPr>
          <w:rFonts w:ascii="Palatino Linotype" w:eastAsia="Calibri" w:hAnsi="Palatino Linotype" w:cs="Tahoma"/>
          <w:bCs/>
          <w:sz w:val="22"/>
          <w:szCs w:val="22"/>
          <w:lang w:eastAsia="en-US"/>
        </w:rPr>
        <w:t xml:space="preserve"> 00192/OASTOL/IP/2024</w:t>
      </w:r>
      <w:r w:rsidRPr="001E7F59">
        <w:rPr>
          <w:rFonts w:ascii="Palatino Linotype" w:eastAsia="Calibri" w:hAnsi="Palatino Linotype" w:cs="Tahoma"/>
          <w:bCs/>
          <w:sz w:val="22"/>
          <w:szCs w:val="22"/>
          <w:lang w:eastAsia="en-US"/>
        </w:rPr>
        <w:t xml:space="preserve">, y que se ostentan como </w:t>
      </w:r>
      <w:r w:rsidR="0095175C" w:rsidRPr="001E7F59">
        <w:rPr>
          <w:rFonts w:ascii="Palatino Linotype" w:eastAsia="Calibri" w:hAnsi="Palatino Linotype" w:cs="Tahoma"/>
          <w:bCs/>
          <w:sz w:val="22"/>
          <w:szCs w:val="22"/>
          <w:lang w:eastAsia="en-US"/>
        </w:rPr>
        <w:t>Titular de la Subdirección de Administración de Agua y Saneamiento de Toluca</w:t>
      </w:r>
      <w:r w:rsidRPr="001E7F59">
        <w:rPr>
          <w:rFonts w:ascii="Palatino Linotype" w:eastAsia="Calibri" w:hAnsi="Palatino Linotype" w:cs="Tahoma"/>
          <w:bCs/>
          <w:sz w:val="22"/>
          <w:szCs w:val="22"/>
          <w:lang w:eastAsia="en-US"/>
        </w:rPr>
        <w:t xml:space="preserve">, ya que </w:t>
      </w:r>
      <w:r w:rsidRPr="001E7F59">
        <w:rPr>
          <w:rFonts w:ascii="Palatino Linotype" w:eastAsia="Calibri" w:hAnsi="Palatino Linotype" w:cs="Arial"/>
          <w:sz w:val="22"/>
          <w:szCs w:val="22"/>
          <w:lang w:val="es-ES" w:eastAsia="en-US"/>
        </w:rPr>
        <w:t xml:space="preserve">existe un interés </w:t>
      </w:r>
      <w:r w:rsidRPr="001E7F59">
        <w:rPr>
          <w:rFonts w:ascii="Palatino Linotype" w:eastAsia="Calibri" w:hAnsi="Palatino Linotype" w:cs="Arial"/>
          <w:sz w:val="22"/>
          <w:szCs w:val="22"/>
          <w:lang w:val="es-ES" w:eastAsia="en-US"/>
        </w:rPr>
        <w:lastRenderedPageBreak/>
        <w:t xml:space="preserve">público para dar a conocer dicha información, pues transparenta </w:t>
      </w:r>
      <w:r w:rsidRPr="001E7F59">
        <w:rPr>
          <w:rFonts w:ascii="Palatino Linotype" w:eastAsia="Calibri" w:hAnsi="Palatino Linotype" w:cs="Arial"/>
          <w:b/>
          <w:bCs/>
          <w:sz w:val="22"/>
          <w:szCs w:val="22"/>
          <w:lang w:val="es-ES" w:eastAsia="en-US"/>
        </w:rPr>
        <w:t>que el personal que labora para el Sujeto Obligado cuenta con las capacidades, conocimientos y experiencia necesaria para cumplir con sus funciones.</w:t>
      </w:r>
    </w:p>
    <w:p w14:paraId="03061CD6" w14:textId="77777777" w:rsidR="001B3766" w:rsidRPr="001E7F59" w:rsidRDefault="001B3766" w:rsidP="001B3766">
      <w:pPr>
        <w:tabs>
          <w:tab w:val="left" w:pos="8931"/>
        </w:tabs>
        <w:spacing w:line="360" w:lineRule="auto"/>
        <w:ind w:right="-93"/>
        <w:jc w:val="both"/>
        <w:rPr>
          <w:rFonts w:ascii="Palatino Linotype" w:eastAsia="Calibri" w:hAnsi="Palatino Linotype" w:cs="Arial"/>
          <w:sz w:val="22"/>
          <w:szCs w:val="22"/>
          <w:lang w:val="es-ES" w:eastAsia="en-US"/>
        </w:rPr>
      </w:pPr>
    </w:p>
    <w:p w14:paraId="1C8CFB8F" w14:textId="77777777" w:rsidR="001B3766" w:rsidRPr="001E7F59" w:rsidRDefault="001B3766" w:rsidP="001B3766">
      <w:pPr>
        <w:tabs>
          <w:tab w:val="left" w:pos="3828"/>
        </w:tabs>
        <w:spacing w:line="360" w:lineRule="auto"/>
        <w:jc w:val="both"/>
        <w:rPr>
          <w:rFonts w:ascii="Palatino Linotype" w:hAnsi="Palatino Linotype" w:cs="Tahoma"/>
          <w:bCs/>
          <w:iCs/>
          <w:sz w:val="22"/>
          <w:szCs w:val="22"/>
        </w:rPr>
      </w:pPr>
      <w:r w:rsidRPr="001E7F59">
        <w:rPr>
          <w:rFonts w:ascii="Palatino Linotype" w:hAnsi="Palatino Linotype" w:cs="Tahoma"/>
          <w:bCs/>
          <w:sz w:val="22"/>
          <w:szCs w:val="22"/>
          <w:lang w:val="es-ES"/>
        </w:rPr>
        <w:t xml:space="preserve">En este tenor, lo dicho toma relevancia, pues conforme al formato 17 LGT_Art_70_Fr_XVII (Información curricular y las sanciones administrativas definitivas de los(as) servidores(as) públicas(os) y/o personas que desempeñen un empleo, cargo o comisión) de los </w:t>
      </w:r>
      <w:r w:rsidRPr="001E7F59">
        <w:rPr>
          <w:rFonts w:ascii="Palatino Linotype" w:hAnsi="Palatino Linotype" w:cs="Tahoma"/>
          <w:bCs/>
          <w:iCs/>
          <w:sz w:val="22"/>
          <w:szCs w:val="22"/>
        </w:rPr>
        <w:t xml:space="preserve">Lineamientos técnicos generales para la publicación, homologación y estandarización de la información de las obligaciones establecidas en el título quinto y en la fracción IV del artículo 31 de la Ley General de Transparencia y Acceso a la Información Pública –Lineamientos Generales-, que deben de difundir los sujetos obligados en los portales de Internet y en la Plataforma Nacional de Transparencia, establece como datos a publicar, de los servidores públicos, su información curricular, tal como lo es, </w:t>
      </w:r>
      <w:r w:rsidRPr="001E7F59">
        <w:rPr>
          <w:rFonts w:ascii="Palatino Linotype" w:hAnsi="Palatino Linotype" w:cs="Tahoma"/>
          <w:b/>
          <w:bCs/>
          <w:iCs/>
          <w:sz w:val="22"/>
          <w:szCs w:val="22"/>
        </w:rPr>
        <w:t>el nivel máximo de estudios concluido y comprobable</w:t>
      </w:r>
      <w:r w:rsidRPr="001E7F59">
        <w:rPr>
          <w:rFonts w:ascii="Palatino Linotype" w:hAnsi="Palatino Linotype" w:cs="Tahoma"/>
          <w:bCs/>
          <w:iCs/>
          <w:sz w:val="22"/>
          <w:szCs w:val="22"/>
        </w:rPr>
        <w:t xml:space="preserve">, </w:t>
      </w:r>
      <w:r w:rsidRPr="001E7F59">
        <w:rPr>
          <w:rFonts w:ascii="Palatino Linotype" w:hAnsi="Palatino Linotype" w:cs="Tahoma"/>
          <w:b/>
          <w:iCs/>
          <w:sz w:val="22"/>
          <w:szCs w:val="22"/>
        </w:rPr>
        <w:t xml:space="preserve">así como la experiencia laboral, </w:t>
      </w:r>
      <w:r w:rsidRPr="001E7F59">
        <w:rPr>
          <w:rFonts w:ascii="Palatino Linotype" w:hAnsi="Palatino Linotype" w:cs="Tahoma"/>
          <w:bCs/>
          <w:iCs/>
          <w:sz w:val="22"/>
          <w:szCs w:val="22"/>
        </w:rPr>
        <w:t>tal como se muestra continuación:</w:t>
      </w:r>
    </w:p>
    <w:p w14:paraId="679B712B" w14:textId="77777777" w:rsidR="001B3766" w:rsidRPr="001E7F59" w:rsidRDefault="001B3766" w:rsidP="001B3766">
      <w:pPr>
        <w:tabs>
          <w:tab w:val="left" w:pos="3828"/>
        </w:tabs>
        <w:spacing w:line="360" w:lineRule="auto"/>
        <w:jc w:val="both"/>
        <w:rPr>
          <w:rFonts w:ascii="Palatino Linotype" w:hAnsi="Palatino Linotype" w:cs="Tahoma"/>
          <w:bCs/>
          <w:iCs/>
          <w:sz w:val="22"/>
          <w:szCs w:val="22"/>
        </w:rPr>
      </w:pPr>
    </w:p>
    <w:p w14:paraId="515175C2" w14:textId="77777777" w:rsidR="001B3766" w:rsidRPr="001E7F59" w:rsidRDefault="001B3766" w:rsidP="001B3766">
      <w:pPr>
        <w:tabs>
          <w:tab w:val="left" w:pos="3828"/>
        </w:tabs>
        <w:spacing w:line="360" w:lineRule="auto"/>
        <w:ind w:left="567"/>
        <w:jc w:val="both"/>
        <w:rPr>
          <w:rFonts w:ascii="Palatino Linotype" w:hAnsi="Palatino Linotype" w:cs="Tahoma"/>
          <w:bCs/>
          <w:iCs/>
          <w:sz w:val="22"/>
          <w:szCs w:val="22"/>
        </w:rPr>
      </w:pPr>
      <w:r w:rsidRPr="001E7F59">
        <w:rPr>
          <w:rFonts w:ascii="Palatino Linotype" w:hAnsi="Palatino Linotype"/>
          <w:noProof/>
          <w:lang w:eastAsia="es-MX"/>
        </w:rPr>
        <w:drawing>
          <wp:inline distT="0" distB="0" distL="0" distR="0" wp14:anchorId="3CF8FA2E" wp14:editId="36A2884F">
            <wp:extent cx="4993547" cy="1762963"/>
            <wp:effectExtent l="0" t="0" r="0" b="8890"/>
            <wp:docPr id="18"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049254" cy="1782630"/>
                    </a:xfrm>
                    <a:prstGeom prst="rect">
                      <a:avLst/>
                    </a:prstGeom>
                  </pic:spPr>
                </pic:pic>
              </a:graphicData>
            </a:graphic>
          </wp:inline>
        </w:drawing>
      </w:r>
    </w:p>
    <w:p w14:paraId="3D1F65F9" w14:textId="77777777" w:rsidR="001B3766" w:rsidRPr="001E7F59" w:rsidRDefault="001B3766" w:rsidP="001B3766">
      <w:pPr>
        <w:tabs>
          <w:tab w:val="left" w:pos="3828"/>
        </w:tabs>
        <w:spacing w:line="360" w:lineRule="auto"/>
        <w:jc w:val="both"/>
        <w:rPr>
          <w:rFonts w:ascii="Palatino Linotype" w:hAnsi="Palatino Linotype" w:cs="Tahoma"/>
          <w:bCs/>
          <w:iCs/>
          <w:sz w:val="22"/>
          <w:szCs w:val="22"/>
        </w:rPr>
      </w:pPr>
    </w:p>
    <w:p w14:paraId="7897DAC5" w14:textId="1F1C264E" w:rsidR="001B3766" w:rsidRPr="001E7F59" w:rsidRDefault="001B3766" w:rsidP="001B3766">
      <w:pPr>
        <w:spacing w:line="360" w:lineRule="auto"/>
        <w:contextualSpacing/>
        <w:jc w:val="both"/>
        <w:rPr>
          <w:rFonts w:ascii="Palatino Linotype" w:hAnsi="Palatino Linotype" w:cs="Arial"/>
          <w:sz w:val="22"/>
          <w:szCs w:val="24"/>
        </w:rPr>
      </w:pPr>
      <w:r w:rsidRPr="001E7F59">
        <w:rPr>
          <w:rFonts w:ascii="Palatino Linotype" w:hAnsi="Palatino Linotype" w:cs="Arial"/>
          <w:sz w:val="22"/>
          <w:szCs w:val="24"/>
        </w:rPr>
        <w:t>Bajo este orden de ideas, la entrega de los documentos que acreditan el nivel académico o de preparación en algún área del conocimiento, aporta elementos de convicción sobre su legalidad y legitimidad, además de que permite verificar que l</w:t>
      </w:r>
      <w:r w:rsidR="0095175C" w:rsidRPr="001E7F59">
        <w:rPr>
          <w:rFonts w:ascii="Palatino Linotype" w:hAnsi="Palatino Linotype" w:cs="Arial"/>
          <w:sz w:val="22"/>
          <w:szCs w:val="24"/>
        </w:rPr>
        <w:t xml:space="preserve">a Titular de la Subdirección de </w:t>
      </w:r>
      <w:r w:rsidR="0095175C" w:rsidRPr="001E7F59">
        <w:rPr>
          <w:rFonts w:ascii="Palatino Linotype" w:hAnsi="Palatino Linotype" w:cs="Arial"/>
          <w:sz w:val="22"/>
          <w:szCs w:val="24"/>
        </w:rPr>
        <w:lastRenderedPageBreak/>
        <w:t>Administración de Agua y Saneamiento de Toluca</w:t>
      </w:r>
      <w:r w:rsidRPr="001E7F59">
        <w:rPr>
          <w:rFonts w:ascii="Palatino Linotype" w:hAnsi="Palatino Linotype" w:cs="Arial"/>
          <w:sz w:val="22"/>
          <w:szCs w:val="24"/>
        </w:rPr>
        <w:t>, acredit</w:t>
      </w:r>
      <w:r w:rsidR="0095175C" w:rsidRPr="001E7F59">
        <w:rPr>
          <w:rFonts w:ascii="Palatino Linotype" w:hAnsi="Palatino Linotype" w:cs="Arial"/>
          <w:sz w:val="22"/>
          <w:szCs w:val="24"/>
        </w:rPr>
        <w:t>ó</w:t>
      </w:r>
      <w:r w:rsidRPr="001E7F59">
        <w:rPr>
          <w:rFonts w:ascii="Palatino Linotype" w:hAnsi="Palatino Linotype" w:cs="Arial"/>
          <w:sz w:val="22"/>
          <w:szCs w:val="24"/>
        </w:rPr>
        <w:t xml:space="preserve"> el nivel académico y la experiencia necesaria para ocupar un cargo público dentro de su estructura orgánica. </w:t>
      </w:r>
    </w:p>
    <w:p w14:paraId="1540544C" w14:textId="77777777" w:rsidR="0095175C" w:rsidRPr="001E7F59" w:rsidRDefault="0095175C" w:rsidP="001B3766">
      <w:pPr>
        <w:spacing w:line="360" w:lineRule="auto"/>
        <w:contextualSpacing/>
        <w:jc w:val="both"/>
        <w:rPr>
          <w:rFonts w:ascii="Palatino Linotype" w:hAnsi="Palatino Linotype" w:cs="Arial"/>
          <w:sz w:val="22"/>
          <w:szCs w:val="24"/>
        </w:rPr>
      </w:pPr>
    </w:p>
    <w:p w14:paraId="6041C6D8" w14:textId="19B921E3" w:rsidR="0095175C" w:rsidRPr="001E7F59" w:rsidRDefault="0095175C" w:rsidP="0095175C">
      <w:pPr>
        <w:spacing w:line="360" w:lineRule="auto"/>
        <w:jc w:val="both"/>
        <w:rPr>
          <w:rFonts w:ascii="Palatino Linotype" w:eastAsiaTheme="minorHAnsi" w:hAnsi="Palatino Linotype" w:cs="Tahoma"/>
          <w:color w:val="000000" w:themeColor="text1"/>
          <w:sz w:val="22"/>
          <w:szCs w:val="22"/>
          <w:lang w:eastAsia="en-US"/>
        </w:rPr>
      </w:pPr>
      <w:r w:rsidRPr="001E7F59">
        <w:rPr>
          <w:rFonts w:ascii="Palatino Linotype" w:eastAsiaTheme="minorHAnsi" w:hAnsi="Palatino Linotype" w:cs="Tahoma"/>
          <w:color w:val="000000" w:themeColor="text1"/>
          <w:sz w:val="22"/>
          <w:szCs w:val="22"/>
          <w:lang w:eastAsia="en-US"/>
        </w:rPr>
        <w:t xml:space="preserve">En este contexto, el Sujeto Obligado, a través del Jefe de Departamento de Recursos Humanos, </w:t>
      </w:r>
      <w:r w:rsidR="00B63C68" w:rsidRPr="001E7F59">
        <w:rPr>
          <w:rFonts w:ascii="Palatino Linotype" w:eastAsiaTheme="minorHAnsi" w:hAnsi="Palatino Linotype" w:cs="Tahoma"/>
          <w:color w:val="000000" w:themeColor="text1"/>
          <w:sz w:val="22"/>
          <w:szCs w:val="22"/>
          <w:lang w:eastAsia="en-US"/>
        </w:rPr>
        <w:t>en</w:t>
      </w:r>
      <w:r w:rsidRPr="001E7F59">
        <w:rPr>
          <w:rFonts w:ascii="Palatino Linotype" w:eastAsiaTheme="minorHAnsi" w:hAnsi="Palatino Linotype" w:cs="Tahoma"/>
          <w:color w:val="000000" w:themeColor="text1"/>
          <w:sz w:val="22"/>
          <w:szCs w:val="22"/>
          <w:lang w:eastAsia="en-US"/>
        </w:rPr>
        <w:t xml:space="preserve"> respuesta, remitió diversos documentos que a su consideración forman parte del expediente laboral solicitado. En razón de ello, el Recurrente se inco</w:t>
      </w:r>
      <w:r w:rsidR="00061CC0" w:rsidRPr="001E7F59">
        <w:rPr>
          <w:rFonts w:ascii="Palatino Linotype" w:eastAsiaTheme="minorHAnsi" w:hAnsi="Palatino Linotype" w:cs="Tahoma"/>
          <w:color w:val="000000" w:themeColor="text1"/>
          <w:sz w:val="22"/>
          <w:szCs w:val="22"/>
          <w:lang w:eastAsia="en-US"/>
        </w:rPr>
        <w:t>n</w:t>
      </w:r>
      <w:r w:rsidRPr="001E7F59">
        <w:rPr>
          <w:rFonts w:ascii="Palatino Linotype" w:eastAsiaTheme="minorHAnsi" w:hAnsi="Palatino Linotype" w:cs="Tahoma"/>
          <w:color w:val="000000" w:themeColor="text1"/>
          <w:sz w:val="22"/>
          <w:szCs w:val="22"/>
          <w:lang w:eastAsia="en-US"/>
        </w:rPr>
        <w:t>formó del</w:t>
      </w:r>
      <w:r w:rsidR="00061CC0" w:rsidRPr="001E7F59">
        <w:rPr>
          <w:rFonts w:ascii="Palatino Linotype" w:eastAsiaTheme="minorHAnsi" w:hAnsi="Palatino Linotype" w:cs="Tahoma"/>
          <w:color w:val="000000" w:themeColor="text1"/>
          <w:sz w:val="22"/>
          <w:szCs w:val="22"/>
          <w:lang w:eastAsia="en-US"/>
        </w:rPr>
        <w:t xml:space="preserve"> </w:t>
      </w:r>
      <w:r w:rsidR="00810176" w:rsidRPr="001E7F59">
        <w:rPr>
          <w:rFonts w:ascii="Palatino Linotype" w:eastAsiaTheme="minorHAnsi" w:hAnsi="Palatino Linotype" w:cs="Tahoma"/>
          <w:color w:val="000000" w:themeColor="text1"/>
          <w:sz w:val="22"/>
          <w:szCs w:val="22"/>
          <w:lang w:eastAsia="en-US"/>
        </w:rPr>
        <w:t>contenido</w:t>
      </w:r>
      <w:r w:rsidR="00061CC0" w:rsidRPr="001E7F59">
        <w:rPr>
          <w:rFonts w:ascii="Palatino Linotype" w:eastAsiaTheme="minorHAnsi" w:hAnsi="Palatino Linotype" w:cs="Tahoma"/>
          <w:color w:val="000000" w:themeColor="text1"/>
          <w:sz w:val="22"/>
          <w:szCs w:val="22"/>
          <w:lang w:eastAsia="en-US"/>
        </w:rPr>
        <w:t xml:space="preserve"> de los oficios con los que se dio respuesta, entre ellos, con el que se le entregó el soporte documental</w:t>
      </w:r>
      <w:r w:rsidR="00810176" w:rsidRPr="001E7F59">
        <w:rPr>
          <w:rFonts w:ascii="Palatino Linotype" w:eastAsiaTheme="minorHAnsi" w:hAnsi="Palatino Linotype" w:cs="Tahoma"/>
          <w:color w:val="000000" w:themeColor="text1"/>
          <w:sz w:val="22"/>
          <w:szCs w:val="22"/>
          <w:lang w:eastAsia="en-US"/>
        </w:rPr>
        <w:t xml:space="preserve"> </w:t>
      </w:r>
      <w:r w:rsidR="00992A85" w:rsidRPr="001E7F59">
        <w:rPr>
          <w:rFonts w:ascii="Palatino Linotype" w:eastAsiaTheme="minorHAnsi" w:hAnsi="Palatino Linotype" w:cs="Tahoma"/>
          <w:color w:val="000000" w:themeColor="text1"/>
          <w:sz w:val="22"/>
          <w:szCs w:val="22"/>
          <w:lang w:eastAsia="en-US"/>
        </w:rPr>
        <w:t>del expediente laboral, entre los cuales se encuentran los documentos siguientes:</w:t>
      </w:r>
    </w:p>
    <w:p w14:paraId="56762C3A" w14:textId="77777777" w:rsidR="0095175C" w:rsidRPr="001E7F59" w:rsidRDefault="0095175C" w:rsidP="0095175C">
      <w:pPr>
        <w:spacing w:line="360" w:lineRule="auto"/>
        <w:jc w:val="both"/>
        <w:rPr>
          <w:rFonts w:ascii="Palatino Linotype" w:eastAsiaTheme="minorHAnsi" w:hAnsi="Palatino Linotype" w:cs="Tahoma"/>
          <w:color w:val="000000" w:themeColor="text1"/>
          <w:sz w:val="22"/>
          <w:szCs w:val="22"/>
          <w:lang w:eastAsia="en-US"/>
        </w:rPr>
      </w:pPr>
    </w:p>
    <w:p w14:paraId="0E8B8C28" w14:textId="6CEB069A" w:rsidR="0095175C" w:rsidRPr="001E7F59" w:rsidRDefault="0095175C" w:rsidP="0095175C">
      <w:pPr>
        <w:pStyle w:val="Prrafodelista"/>
        <w:numPr>
          <w:ilvl w:val="0"/>
          <w:numId w:val="23"/>
        </w:numPr>
        <w:spacing w:line="360" w:lineRule="auto"/>
        <w:jc w:val="both"/>
        <w:rPr>
          <w:rFonts w:ascii="Palatino Linotype" w:eastAsiaTheme="minorHAnsi" w:hAnsi="Palatino Linotype" w:cs="Tahoma"/>
          <w:bCs/>
          <w:color w:val="000000" w:themeColor="text1"/>
          <w:szCs w:val="22"/>
          <w:lang w:eastAsia="en-US"/>
        </w:rPr>
      </w:pPr>
      <w:r w:rsidRPr="001E7F59">
        <w:rPr>
          <w:rFonts w:ascii="Palatino Linotype" w:eastAsia="Calibri" w:hAnsi="Palatino Linotype" w:cs="Tahoma"/>
          <w:bCs/>
          <w:color w:val="000000" w:themeColor="text1"/>
        </w:rPr>
        <w:t>Solicitud de Vacaciones y Permiso (se eliminan firmas de servidores públicos)</w:t>
      </w:r>
    </w:p>
    <w:p w14:paraId="1A8CA144" w14:textId="53B40235" w:rsidR="0095175C" w:rsidRPr="001E7F59" w:rsidRDefault="0095175C" w:rsidP="0095175C">
      <w:pPr>
        <w:pStyle w:val="Prrafodelista"/>
        <w:numPr>
          <w:ilvl w:val="0"/>
          <w:numId w:val="23"/>
        </w:numPr>
        <w:spacing w:line="360" w:lineRule="auto"/>
        <w:jc w:val="both"/>
        <w:rPr>
          <w:rFonts w:ascii="Palatino Linotype" w:eastAsiaTheme="minorHAnsi" w:hAnsi="Palatino Linotype" w:cs="Tahoma"/>
          <w:bCs/>
          <w:color w:val="000000" w:themeColor="text1"/>
          <w:szCs w:val="22"/>
          <w:lang w:eastAsia="en-US"/>
        </w:rPr>
      </w:pPr>
      <w:r w:rsidRPr="001E7F59">
        <w:rPr>
          <w:rFonts w:ascii="Palatino Linotype" w:eastAsia="Calibri" w:hAnsi="Palatino Linotype" w:cs="Tahoma"/>
          <w:bCs/>
          <w:color w:val="000000" w:themeColor="text1"/>
        </w:rPr>
        <w:t>Formato Único de Movimiento de Personal (se elimina el RFC, CURP y clave ISSEMYM)</w:t>
      </w:r>
    </w:p>
    <w:p w14:paraId="2013732A" w14:textId="59B23109" w:rsidR="0095175C" w:rsidRPr="001E7F59" w:rsidRDefault="0095175C" w:rsidP="0095175C">
      <w:pPr>
        <w:pStyle w:val="Prrafodelista"/>
        <w:numPr>
          <w:ilvl w:val="0"/>
          <w:numId w:val="23"/>
        </w:numPr>
        <w:spacing w:line="360" w:lineRule="auto"/>
        <w:jc w:val="both"/>
        <w:rPr>
          <w:rFonts w:ascii="Palatino Linotype" w:eastAsiaTheme="minorHAnsi" w:hAnsi="Palatino Linotype" w:cs="Tahoma"/>
          <w:bCs/>
          <w:color w:val="000000" w:themeColor="text1"/>
          <w:szCs w:val="22"/>
          <w:lang w:eastAsia="en-US"/>
        </w:rPr>
      </w:pPr>
      <w:r w:rsidRPr="001E7F59">
        <w:rPr>
          <w:rFonts w:ascii="Palatino Linotype" w:eastAsia="Calibri" w:hAnsi="Palatino Linotype" w:cs="Tahoma"/>
          <w:bCs/>
          <w:color w:val="000000" w:themeColor="text1"/>
        </w:rPr>
        <w:t xml:space="preserve">Nombramiento (se eliminó firma de servidor público que otorga nombramiento), </w:t>
      </w:r>
    </w:p>
    <w:p w14:paraId="2535D459" w14:textId="23C658EF" w:rsidR="0095175C" w:rsidRPr="001E7F59" w:rsidRDefault="0095175C" w:rsidP="0095175C">
      <w:pPr>
        <w:pStyle w:val="Prrafodelista"/>
        <w:numPr>
          <w:ilvl w:val="0"/>
          <w:numId w:val="23"/>
        </w:numPr>
        <w:spacing w:line="360" w:lineRule="auto"/>
        <w:jc w:val="both"/>
        <w:rPr>
          <w:rFonts w:ascii="Palatino Linotype" w:eastAsiaTheme="minorHAnsi" w:hAnsi="Palatino Linotype" w:cs="Tahoma"/>
          <w:bCs/>
          <w:color w:val="000000" w:themeColor="text1"/>
          <w:szCs w:val="22"/>
          <w:lang w:eastAsia="en-US"/>
        </w:rPr>
      </w:pPr>
      <w:r w:rsidRPr="001E7F59">
        <w:rPr>
          <w:rFonts w:ascii="Palatino Linotype" w:eastAsia="Calibri" w:hAnsi="Palatino Linotype" w:cs="Tahoma"/>
          <w:bCs/>
          <w:color w:val="000000" w:themeColor="text1"/>
        </w:rPr>
        <w:t>Recibos de nómina de la primera y segunda quincena de enero y febrero del ejercicio 2024 (se elimina RFC, CURP, clave ISSEMYM, firma de servidor público, faltas y código QR)</w:t>
      </w:r>
    </w:p>
    <w:p w14:paraId="1D2015C1" w14:textId="3FE598F6" w:rsidR="0095175C" w:rsidRPr="001E7F59" w:rsidRDefault="0095175C" w:rsidP="0095175C">
      <w:pPr>
        <w:pStyle w:val="Prrafodelista"/>
        <w:numPr>
          <w:ilvl w:val="0"/>
          <w:numId w:val="23"/>
        </w:numPr>
        <w:spacing w:line="360" w:lineRule="auto"/>
        <w:jc w:val="both"/>
        <w:rPr>
          <w:rFonts w:ascii="Palatino Linotype" w:eastAsiaTheme="minorHAnsi" w:hAnsi="Palatino Linotype" w:cs="Tahoma"/>
          <w:bCs/>
          <w:color w:val="000000" w:themeColor="text1"/>
          <w:szCs w:val="22"/>
          <w:lang w:eastAsia="en-US"/>
        </w:rPr>
      </w:pPr>
      <w:r w:rsidRPr="001E7F59">
        <w:rPr>
          <w:rFonts w:ascii="Palatino Linotype" w:eastAsia="Calibri" w:hAnsi="Palatino Linotype" w:cs="Tahoma"/>
          <w:bCs/>
          <w:color w:val="000000" w:themeColor="text1"/>
        </w:rPr>
        <w:t xml:space="preserve">Aviso </w:t>
      </w:r>
      <w:r w:rsidR="00992A85" w:rsidRPr="001E7F59">
        <w:rPr>
          <w:rFonts w:ascii="Palatino Linotype" w:eastAsia="Calibri" w:hAnsi="Palatino Linotype" w:cs="Tahoma"/>
          <w:bCs/>
          <w:color w:val="000000" w:themeColor="text1"/>
        </w:rPr>
        <w:t>para</w:t>
      </w:r>
      <w:r w:rsidRPr="001E7F59">
        <w:rPr>
          <w:rFonts w:ascii="Palatino Linotype" w:eastAsia="Calibri" w:hAnsi="Palatino Linotype" w:cs="Tahoma"/>
          <w:bCs/>
          <w:color w:val="000000" w:themeColor="text1"/>
        </w:rPr>
        <w:t xml:space="preserve"> checar asistencia (se elimina la firma del servidor público que lo emitió), </w:t>
      </w:r>
    </w:p>
    <w:p w14:paraId="43A0C897" w14:textId="0B4EA0A5" w:rsidR="00992A85" w:rsidRPr="001E7F59" w:rsidRDefault="00992A85" w:rsidP="0095175C">
      <w:pPr>
        <w:pStyle w:val="Prrafodelista"/>
        <w:numPr>
          <w:ilvl w:val="0"/>
          <w:numId w:val="23"/>
        </w:numPr>
        <w:spacing w:line="360" w:lineRule="auto"/>
        <w:jc w:val="both"/>
        <w:rPr>
          <w:rFonts w:ascii="Palatino Linotype" w:eastAsiaTheme="minorHAnsi" w:hAnsi="Palatino Linotype" w:cs="Tahoma"/>
          <w:bCs/>
          <w:color w:val="000000" w:themeColor="text1"/>
          <w:szCs w:val="22"/>
          <w:lang w:eastAsia="en-US"/>
        </w:rPr>
      </w:pPr>
      <w:r w:rsidRPr="001E7F59">
        <w:rPr>
          <w:rFonts w:ascii="Palatino Linotype" w:eastAsia="Calibri" w:hAnsi="Palatino Linotype" w:cs="Tahoma"/>
          <w:bCs/>
          <w:color w:val="000000" w:themeColor="text1"/>
        </w:rPr>
        <w:t>R</w:t>
      </w:r>
      <w:r w:rsidR="0095175C" w:rsidRPr="001E7F59">
        <w:rPr>
          <w:rFonts w:ascii="Palatino Linotype" w:eastAsia="Calibri" w:hAnsi="Palatino Linotype" w:cs="Tahoma"/>
          <w:bCs/>
          <w:color w:val="000000" w:themeColor="text1"/>
        </w:rPr>
        <w:t>equisitos para la contratación de perso</w:t>
      </w:r>
      <w:r w:rsidRPr="001E7F59">
        <w:rPr>
          <w:rFonts w:ascii="Palatino Linotype" w:eastAsia="Calibri" w:hAnsi="Palatino Linotype" w:cs="Tahoma"/>
          <w:bCs/>
          <w:color w:val="000000" w:themeColor="text1"/>
        </w:rPr>
        <w:t>nal</w:t>
      </w:r>
    </w:p>
    <w:p w14:paraId="72EF4229" w14:textId="52129B4D" w:rsidR="0095175C" w:rsidRPr="001E7F59" w:rsidRDefault="0095175C" w:rsidP="0095175C">
      <w:pPr>
        <w:pStyle w:val="Prrafodelista"/>
        <w:numPr>
          <w:ilvl w:val="0"/>
          <w:numId w:val="23"/>
        </w:numPr>
        <w:spacing w:line="360" w:lineRule="auto"/>
        <w:jc w:val="both"/>
        <w:rPr>
          <w:rFonts w:ascii="Palatino Linotype" w:eastAsiaTheme="minorHAnsi" w:hAnsi="Palatino Linotype" w:cs="Tahoma"/>
          <w:bCs/>
          <w:color w:val="000000" w:themeColor="text1"/>
          <w:szCs w:val="22"/>
          <w:lang w:eastAsia="en-US"/>
        </w:rPr>
      </w:pPr>
      <w:r w:rsidRPr="001E7F59">
        <w:rPr>
          <w:rFonts w:ascii="Palatino Linotype" w:eastAsia="Calibri" w:hAnsi="Palatino Linotype" w:cs="Tahoma"/>
          <w:bCs/>
          <w:color w:val="000000" w:themeColor="text1"/>
        </w:rPr>
        <w:t>Constancia de No Inhabilitación (se elimina RFC)</w:t>
      </w:r>
    </w:p>
    <w:p w14:paraId="5FCA0FCF" w14:textId="6642CA86" w:rsidR="0095175C" w:rsidRPr="001E7F59" w:rsidRDefault="0095175C" w:rsidP="0095175C">
      <w:pPr>
        <w:pStyle w:val="Prrafodelista"/>
        <w:numPr>
          <w:ilvl w:val="0"/>
          <w:numId w:val="23"/>
        </w:numPr>
        <w:spacing w:line="360" w:lineRule="auto"/>
        <w:jc w:val="both"/>
        <w:rPr>
          <w:rFonts w:ascii="Palatino Linotype" w:eastAsiaTheme="minorHAnsi" w:hAnsi="Palatino Linotype" w:cs="Tahoma"/>
          <w:bCs/>
          <w:color w:val="000000" w:themeColor="text1"/>
          <w:szCs w:val="22"/>
          <w:lang w:eastAsia="en-US"/>
        </w:rPr>
      </w:pPr>
      <w:r w:rsidRPr="001E7F59">
        <w:rPr>
          <w:rFonts w:ascii="Palatino Linotype" w:eastAsia="Calibri" w:hAnsi="Palatino Linotype" w:cs="Tahoma"/>
          <w:bCs/>
          <w:color w:val="000000" w:themeColor="text1"/>
        </w:rPr>
        <w:t>Hoja que contiene el pago proporcional y propuesta</w:t>
      </w:r>
    </w:p>
    <w:p w14:paraId="65CD6E36" w14:textId="29CCC6AE" w:rsidR="0095175C" w:rsidRPr="001E7F59" w:rsidRDefault="0095175C" w:rsidP="0095175C">
      <w:pPr>
        <w:pStyle w:val="Prrafodelista"/>
        <w:numPr>
          <w:ilvl w:val="0"/>
          <w:numId w:val="23"/>
        </w:numPr>
        <w:spacing w:line="360" w:lineRule="auto"/>
        <w:jc w:val="both"/>
        <w:rPr>
          <w:rFonts w:ascii="Palatino Linotype" w:eastAsiaTheme="minorHAnsi" w:hAnsi="Palatino Linotype" w:cs="Tahoma"/>
          <w:bCs/>
          <w:color w:val="000000" w:themeColor="text1"/>
          <w:szCs w:val="22"/>
          <w:lang w:eastAsia="en-US"/>
        </w:rPr>
      </w:pPr>
      <w:r w:rsidRPr="001E7F59">
        <w:rPr>
          <w:rFonts w:ascii="Palatino Linotype" w:eastAsia="Calibri" w:hAnsi="Palatino Linotype" w:cs="Tahoma"/>
          <w:bCs/>
          <w:color w:val="000000" w:themeColor="text1"/>
        </w:rPr>
        <w:t>Aviso de Movimientos de ISSEMYM (se elimina clave ISSEMYM, CURP y firma de recibido)</w:t>
      </w:r>
    </w:p>
    <w:p w14:paraId="1509EAAE" w14:textId="750C44CB" w:rsidR="0095175C" w:rsidRPr="001E7F59" w:rsidRDefault="0095175C" w:rsidP="0095175C">
      <w:pPr>
        <w:pStyle w:val="Prrafodelista"/>
        <w:numPr>
          <w:ilvl w:val="0"/>
          <w:numId w:val="23"/>
        </w:numPr>
        <w:spacing w:line="360" w:lineRule="auto"/>
        <w:jc w:val="both"/>
        <w:rPr>
          <w:rFonts w:ascii="Palatino Linotype" w:eastAsiaTheme="minorHAnsi" w:hAnsi="Palatino Linotype" w:cs="Tahoma"/>
          <w:bCs/>
          <w:color w:val="000000" w:themeColor="text1"/>
          <w:szCs w:val="22"/>
          <w:lang w:eastAsia="en-US"/>
        </w:rPr>
      </w:pPr>
      <w:r w:rsidRPr="001E7F59">
        <w:rPr>
          <w:rFonts w:ascii="Palatino Linotype" w:eastAsia="Calibri" w:hAnsi="Palatino Linotype" w:cs="Tahoma"/>
          <w:bCs/>
          <w:color w:val="000000" w:themeColor="text1"/>
        </w:rPr>
        <w:t>Solicitud de empleo (se eliminan los datos referentes al domicilio particular,  ciudad, código postal y se dejan visibles datos como lo son números de teléfono de particulares, RFC, clave IFE, clave ISSEMYM, CURP, fechas de nacimiento, Nacionalidad, edad, datos familiares)</w:t>
      </w:r>
    </w:p>
    <w:p w14:paraId="387CDF9E" w14:textId="1CD0FD7A" w:rsidR="0095175C" w:rsidRPr="001E7F59" w:rsidRDefault="0095175C" w:rsidP="0095175C">
      <w:pPr>
        <w:pStyle w:val="Prrafodelista"/>
        <w:numPr>
          <w:ilvl w:val="0"/>
          <w:numId w:val="23"/>
        </w:numPr>
        <w:spacing w:line="360" w:lineRule="auto"/>
        <w:jc w:val="both"/>
        <w:rPr>
          <w:rFonts w:ascii="Palatino Linotype" w:eastAsiaTheme="minorHAnsi" w:hAnsi="Palatino Linotype" w:cs="Tahoma"/>
          <w:bCs/>
          <w:color w:val="000000" w:themeColor="text1"/>
          <w:szCs w:val="22"/>
          <w:lang w:eastAsia="en-US"/>
        </w:rPr>
      </w:pPr>
      <w:r w:rsidRPr="001E7F59">
        <w:rPr>
          <w:rFonts w:ascii="Palatino Linotype" w:eastAsia="Calibri" w:hAnsi="Palatino Linotype" w:cs="Tahoma"/>
          <w:bCs/>
          <w:color w:val="000000" w:themeColor="text1"/>
        </w:rPr>
        <w:lastRenderedPageBreak/>
        <w:t>Informe de Antecedentes No Penales, (se eliminan datos como fecha de nacimiento, CURP, clave de elector y Domicilio)</w:t>
      </w:r>
    </w:p>
    <w:p w14:paraId="299B720A" w14:textId="3BE1BF8B" w:rsidR="0095175C" w:rsidRPr="001E7F59" w:rsidRDefault="0095175C" w:rsidP="0095175C">
      <w:pPr>
        <w:pStyle w:val="Prrafodelista"/>
        <w:numPr>
          <w:ilvl w:val="0"/>
          <w:numId w:val="23"/>
        </w:numPr>
        <w:spacing w:line="360" w:lineRule="auto"/>
        <w:jc w:val="both"/>
        <w:rPr>
          <w:rFonts w:ascii="Palatino Linotype" w:eastAsiaTheme="minorHAnsi" w:hAnsi="Palatino Linotype" w:cs="Tahoma"/>
          <w:bCs/>
          <w:color w:val="000000" w:themeColor="text1"/>
          <w:szCs w:val="22"/>
          <w:lang w:eastAsia="en-US"/>
        </w:rPr>
      </w:pPr>
      <w:r w:rsidRPr="001E7F59">
        <w:rPr>
          <w:rFonts w:ascii="Palatino Linotype" w:eastAsia="Calibri" w:hAnsi="Palatino Linotype" w:cs="Tahoma"/>
          <w:bCs/>
          <w:color w:val="000000" w:themeColor="text1"/>
        </w:rPr>
        <w:t>Acta de Nacimiento (ilegible)</w:t>
      </w:r>
    </w:p>
    <w:p w14:paraId="4B72A19B" w14:textId="77777777" w:rsidR="0095175C" w:rsidRPr="001E7F59" w:rsidRDefault="0095175C" w:rsidP="0095175C">
      <w:pPr>
        <w:pStyle w:val="Prrafodelista"/>
        <w:numPr>
          <w:ilvl w:val="0"/>
          <w:numId w:val="23"/>
        </w:numPr>
        <w:spacing w:line="360" w:lineRule="auto"/>
        <w:jc w:val="both"/>
        <w:rPr>
          <w:rFonts w:ascii="Palatino Linotype" w:eastAsiaTheme="minorHAnsi" w:hAnsi="Palatino Linotype" w:cs="Tahoma"/>
          <w:bCs/>
          <w:color w:val="000000" w:themeColor="text1"/>
          <w:szCs w:val="22"/>
          <w:lang w:eastAsia="en-US"/>
        </w:rPr>
      </w:pPr>
      <w:r w:rsidRPr="001E7F59">
        <w:rPr>
          <w:rFonts w:ascii="Palatino Linotype" w:eastAsia="Calibri" w:hAnsi="Palatino Linotype" w:cs="Tahoma"/>
          <w:bCs/>
          <w:color w:val="000000" w:themeColor="text1"/>
        </w:rPr>
        <w:t xml:space="preserve">Cédula Profesional (se elimina número y CURP y se deja visible la firma de la titular), </w:t>
      </w:r>
    </w:p>
    <w:p w14:paraId="07AE8517" w14:textId="222A476C" w:rsidR="0095175C" w:rsidRPr="001E7F59" w:rsidRDefault="0095175C" w:rsidP="0095175C">
      <w:pPr>
        <w:pStyle w:val="Prrafodelista"/>
        <w:numPr>
          <w:ilvl w:val="0"/>
          <w:numId w:val="23"/>
        </w:numPr>
        <w:spacing w:line="360" w:lineRule="auto"/>
        <w:jc w:val="both"/>
        <w:rPr>
          <w:rFonts w:ascii="Palatino Linotype" w:eastAsiaTheme="minorHAnsi" w:hAnsi="Palatino Linotype" w:cs="Tahoma"/>
          <w:bCs/>
          <w:color w:val="000000" w:themeColor="text1"/>
          <w:szCs w:val="22"/>
          <w:lang w:eastAsia="en-US"/>
        </w:rPr>
      </w:pPr>
      <w:r w:rsidRPr="001E7F59">
        <w:rPr>
          <w:rFonts w:ascii="Palatino Linotype" w:eastAsia="Calibri" w:hAnsi="Palatino Linotype" w:cs="Tahoma"/>
          <w:bCs/>
          <w:color w:val="000000" w:themeColor="text1"/>
        </w:rPr>
        <w:t>Certificado de Estudios de la Maestría en Derecho (se eliminan las calificaciones, tipo de asignatura, créditos, promedio general y código QR)</w:t>
      </w:r>
    </w:p>
    <w:p w14:paraId="4D34654C" w14:textId="419DE77A" w:rsidR="0095175C" w:rsidRPr="001E7F59" w:rsidRDefault="0095175C" w:rsidP="0095175C">
      <w:pPr>
        <w:pStyle w:val="Prrafodelista"/>
        <w:numPr>
          <w:ilvl w:val="0"/>
          <w:numId w:val="23"/>
        </w:numPr>
        <w:spacing w:line="360" w:lineRule="auto"/>
        <w:jc w:val="both"/>
        <w:rPr>
          <w:rFonts w:ascii="Palatino Linotype" w:eastAsiaTheme="minorHAnsi" w:hAnsi="Palatino Linotype" w:cs="Tahoma"/>
          <w:bCs/>
          <w:color w:val="000000" w:themeColor="text1"/>
          <w:szCs w:val="22"/>
          <w:lang w:eastAsia="en-US"/>
        </w:rPr>
      </w:pPr>
      <w:r w:rsidRPr="001E7F59">
        <w:rPr>
          <w:rFonts w:ascii="Palatino Linotype" w:eastAsia="Calibri" w:hAnsi="Palatino Linotype" w:cs="Tahoma"/>
          <w:bCs/>
          <w:color w:val="000000" w:themeColor="text1"/>
        </w:rPr>
        <w:t>Historial Académico (se eliminan datos como promedio general, promedio último ciclo y avance y se dejan visibles los créditos, tipo de examen y calificaciones)</w:t>
      </w:r>
    </w:p>
    <w:p w14:paraId="6E1EF94F" w14:textId="07695EC2" w:rsidR="0095175C" w:rsidRPr="001E7F59" w:rsidRDefault="0095175C" w:rsidP="0095175C">
      <w:pPr>
        <w:pStyle w:val="Prrafodelista"/>
        <w:numPr>
          <w:ilvl w:val="0"/>
          <w:numId w:val="23"/>
        </w:numPr>
        <w:spacing w:line="360" w:lineRule="auto"/>
        <w:jc w:val="both"/>
        <w:rPr>
          <w:rFonts w:ascii="Palatino Linotype" w:eastAsiaTheme="minorHAnsi" w:hAnsi="Palatino Linotype" w:cs="Tahoma"/>
          <w:bCs/>
          <w:color w:val="000000" w:themeColor="text1"/>
          <w:szCs w:val="22"/>
          <w:lang w:eastAsia="en-US"/>
        </w:rPr>
      </w:pPr>
      <w:r w:rsidRPr="001E7F59">
        <w:rPr>
          <w:rFonts w:ascii="Palatino Linotype" w:eastAsia="Calibri" w:hAnsi="Palatino Linotype" w:cs="Tahoma"/>
          <w:bCs/>
          <w:color w:val="000000" w:themeColor="text1"/>
        </w:rPr>
        <w:t>Título Profesional de Licenciatura en Derecho</w:t>
      </w:r>
    </w:p>
    <w:p w14:paraId="354F50B3" w14:textId="6ADF3FC2" w:rsidR="0095175C" w:rsidRPr="001E7F59" w:rsidRDefault="0095175C" w:rsidP="0095175C">
      <w:pPr>
        <w:pStyle w:val="Prrafodelista"/>
        <w:numPr>
          <w:ilvl w:val="0"/>
          <w:numId w:val="23"/>
        </w:numPr>
        <w:spacing w:line="360" w:lineRule="auto"/>
        <w:jc w:val="both"/>
        <w:rPr>
          <w:rFonts w:ascii="Palatino Linotype" w:eastAsiaTheme="minorHAnsi" w:hAnsi="Palatino Linotype" w:cs="Tahoma"/>
          <w:bCs/>
          <w:color w:val="000000" w:themeColor="text1"/>
          <w:szCs w:val="22"/>
          <w:lang w:eastAsia="en-US"/>
        </w:rPr>
      </w:pPr>
      <w:r w:rsidRPr="001E7F59">
        <w:rPr>
          <w:rFonts w:ascii="Palatino Linotype" w:eastAsia="Calibri" w:hAnsi="Palatino Linotype" w:cs="Tahoma"/>
          <w:bCs/>
          <w:color w:val="000000" w:themeColor="text1"/>
        </w:rPr>
        <w:t>Certificado de Buena Salud (se elimina la clave ISSEMYM y se dejan visibles datos médicos)</w:t>
      </w:r>
    </w:p>
    <w:p w14:paraId="3ED7A663" w14:textId="7231F99D" w:rsidR="0095175C" w:rsidRPr="001E7F59" w:rsidRDefault="0095175C" w:rsidP="0095175C">
      <w:pPr>
        <w:pStyle w:val="Prrafodelista"/>
        <w:numPr>
          <w:ilvl w:val="0"/>
          <w:numId w:val="23"/>
        </w:numPr>
        <w:spacing w:line="360" w:lineRule="auto"/>
        <w:jc w:val="both"/>
        <w:rPr>
          <w:rFonts w:ascii="Palatino Linotype" w:eastAsiaTheme="minorHAnsi" w:hAnsi="Palatino Linotype" w:cs="Tahoma"/>
          <w:bCs/>
          <w:color w:val="000000" w:themeColor="text1"/>
          <w:szCs w:val="22"/>
          <w:lang w:eastAsia="en-US"/>
        </w:rPr>
      </w:pPr>
      <w:r w:rsidRPr="001E7F59">
        <w:rPr>
          <w:rFonts w:ascii="Palatino Linotype" w:eastAsia="Calibri" w:hAnsi="Palatino Linotype" w:cs="Tahoma"/>
          <w:bCs/>
          <w:color w:val="000000" w:themeColor="text1"/>
        </w:rPr>
        <w:t>Factura de Gas Natural (se deja visible número de contrato y cuenta del cliente y se eliminan el código QR)</w:t>
      </w:r>
    </w:p>
    <w:p w14:paraId="7217091E" w14:textId="3593C338" w:rsidR="0095175C" w:rsidRPr="001E7F59" w:rsidRDefault="0095175C" w:rsidP="0095175C">
      <w:pPr>
        <w:pStyle w:val="Prrafodelista"/>
        <w:numPr>
          <w:ilvl w:val="0"/>
          <w:numId w:val="23"/>
        </w:numPr>
        <w:spacing w:line="360" w:lineRule="auto"/>
        <w:jc w:val="both"/>
        <w:rPr>
          <w:rFonts w:ascii="Palatino Linotype" w:eastAsiaTheme="minorHAnsi" w:hAnsi="Palatino Linotype" w:cs="Tahoma"/>
          <w:bCs/>
          <w:color w:val="000000" w:themeColor="text1"/>
          <w:szCs w:val="22"/>
          <w:lang w:eastAsia="en-US"/>
        </w:rPr>
      </w:pPr>
      <w:r w:rsidRPr="001E7F59">
        <w:rPr>
          <w:rFonts w:ascii="Palatino Linotype" w:eastAsia="Calibri" w:hAnsi="Palatino Linotype" w:cs="Tahoma"/>
          <w:bCs/>
          <w:color w:val="000000" w:themeColor="text1"/>
        </w:rPr>
        <w:t>CURP (se elimina clave y códigos QR)</w:t>
      </w:r>
    </w:p>
    <w:p w14:paraId="78C5A5FA" w14:textId="3DBE3777" w:rsidR="0095175C" w:rsidRPr="001E7F59" w:rsidRDefault="0095175C" w:rsidP="0095175C">
      <w:pPr>
        <w:pStyle w:val="Prrafodelista"/>
        <w:numPr>
          <w:ilvl w:val="0"/>
          <w:numId w:val="23"/>
        </w:numPr>
        <w:spacing w:line="360" w:lineRule="auto"/>
        <w:jc w:val="both"/>
        <w:rPr>
          <w:rFonts w:ascii="Palatino Linotype" w:eastAsiaTheme="minorHAnsi" w:hAnsi="Palatino Linotype" w:cs="Tahoma"/>
          <w:bCs/>
          <w:color w:val="000000" w:themeColor="text1"/>
          <w:szCs w:val="22"/>
          <w:lang w:eastAsia="en-US"/>
        </w:rPr>
      </w:pPr>
      <w:r w:rsidRPr="001E7F59">
        <w:rPr>
          <w:rFonts w:ascii="Palatino Linotype" w:eastAsia="Calibri" w:hAnsi="Palatino Linotype" w:cs="Tahoma"/>
          <w:bCs/>
          <w:color w:val="000000" w:themeColor="text1"/>
        </w:rPr>
        <w:t>Currículum Vitae (se deja visible el estado civil)</w:t>
      </w:r>
    </w:p>
    <w:p w14:paraId="517D5F2E" w14:textId="752ED128" w:rsidR="0095175C" w:rsidRPr="001E7F59" w:rsidRDefault="0095175C" w:rsidP="0095175C">
      <w:pPr>
        <w:pStyle w:val="Prrafodelista"/>
        <w:numPr>
          <w:ilvl w:val="0"/>
          <w:numId w:val="23"/>
        </w:numPr>
        <w:spacing w:line="360" w:lineRule="auto"/>
        <w:jc w:val="both"/>
        <w:rPr>
          <w:rFonts w:ascii="Palatino Linotype" w:eastAsiaTheme="minorHAnsi" w:hAnsi="Palatino Linotype" w:cs="Tahoma"/>
          <w:bCs/>
          <w:color w:val="000000" w:themeColor="text1"/>
          <w:szCs w:val="22"/>
          <w:lang w:eastAsia="en-US"/>
        </w:rPr>
      </w:pPr>
      <w:r w:rsidRPr="001E7F59">
        <w:rPr>
          <w:rFonts w:ascii="Palatino Linotype" w:eastAsia="Calibri" w:hAnsi="Palatino Linotype" w:cs="Tahoma"/>
          <w:bCs/>
          <w:color w:val="000000" w:themeColor="text1"/>
        </w:rPr>
        <w:t>Credencial para Votar (se elimina el domicilio, clave de elector, CURP, firma de la titular y IDMEX, pero se deja visible fecha de nacimiento y sexo)</w:t>
      </w:r>
    </w:p>
    <w:p w14:paraId="51B94F30" w14:textId="4015282F" w:rsidR="0095175C" w:rsidRPr="001E7F59" w:rsidRDefault="0095175C" w:rsidP="0095175C">
      <w:pPr>
        <w:pStyle w:val="Prrafodelista"/>
        <w:numPr>
          <w:ilvl w:val="0"/>
          <w:numId w:val="23"/>
        </w:numPr>
        <w:spacing w:line="360" w:lineRule="auto"/>
        <w:jc w:val="both"/>
        <w:rPr>
          <w:rFonts w:ascii="Palatino Linotype" w:eastAsiaTheme="minorHAnsi" w:hAnsi="Palatino Linotype" w:cs="Tahoma"/>
          <w:bCs/>
          <w:color w:val="000000" w:themeColor="text1"/>
          <w:szCs w:val="22"/>
          <w:lang w:eastAsia="en-US"/>
        </w:rPr>
      </w:pPr>
      <w:r w:rsidRPr="001E7F59">
        <w:rPr>
          <w:rFonts w:ascii="Palatino Linotype" w:eastAsia="Calibri" w:hAnsi="Palatino Linotype" w:cs="Tahoma"/>
          <w:bCs/>
          <w:color w:val="000000" w:themeColor="text1"/>
        </w:rPr>
        <w:t xml:space="preserve">Licencia de conducir </w:t>
      </w:r>
      <w:r w:rsidR="00992A85" w:rsidRPr="001E7F59">
        <w:rPr>
          <w:rFonts w:ascii="Palatino Linotype" w:eastAsia="Calibri" w:hAnsi="Palatino Linotype" w:cs="Tahoma"/>
          <w:bCs/>
          <w:color w:val="000000" w:themeColor="text1"/>
        </w:rPr>
        <w:t>(</w:t>
      </w:r>
      <w:r w:rsidRPr="001E7F59">
        <w:rPr>
          <w:rFonts w:ascii="Palatino Linotype" w:eastAsia="Calibri" w:hAnsi="Palatino Linotype" w:cs="Tahoma"/>
          <w:bCs/>
          <w:color w:val="000000" w:themeColor="text1"/>
        </w:rPr>
        <w:t>se elimina el código QR y firma y se deja visible la nacionalidad y huella dactilar)</w:t>
      </w:r>
    </w:p>
    <w:p w14:paraId="4D1FB85B" w14:textId="2D1B3689" w:rsidR="0095175C" w:rsidRPr="001E7F59" w:rsidRDefault="0095175C" w:rsidP="0095175C">
      <w:pPr>
        <w:pStyle w:val="Prrafodelista"/>
        <w:numPr>
          <w:ilvl w:val="0"/>
          <w:numId w:val="23"/>
        </w:numPr>
        <w:spacing w:line="360" w:lineRule="auto"/>
        <w:jc w:val="both"/>
        <w:rPr>
          <w:rFonts w:ascii="Palatino Linotype" w:eastAsiaTheme="minorHAnsi" w:hAnsi="Palatino Linotype" w:cs="Tahoma"/>
          <w:bCs/>
          <w:color w:val="000000" w:themeColor="text1"/>
          <w:szCs w:val="22"/>
          <w:lang w:eastAsia="en-US"/>
        </w:rPr>
      </w:pPr>
      <w:r w:rsidRPr="001E7F59">
        <w:rPr>
          <w:rFonts w:ascii="Palatino Linotype" w:eastAsia="Calibri" w:hAnsi="Palatino Linotype" w:cs="Tahoma"/>
          <w:bCs/>
          <w:color w:val="000000" w:themeColor="text1"/>
        </w:rPr>
        <w:t>Cartas de Recomendación (se deja visible nombre y teléfono de particulares)</w:t>
      </w:r>
    </w:p>
    <w:p w14:paraId="54F065AE" w14:textId="316AE8F2" w:rsidR="0095175C" w:rsidRPr="001E7F59" w:rsidRDefault="0095175C" w:rsidP="0095175C">
      <w:pPr>
        <w:pStyle w:val="Prrafodelista"/>
        <w:numPr>
          <w:ilvl w:val="0"/>
          <w:numId w:val="23"/>
        </w:numPr>
        <w:spacing w:line="360" w:lineRule="auto"/>
        <w:jc w:val="both"/>
        <w:rPr>
          <w:rFonts w:ascii="Palatino Linotype" w:eastAsiaTheme="minorHAnsi" w:hAnsi="Palatino Linotype" w:cs="Tahoma"/>
          <w:bCs/>
          <w:color w:val="000000" w:themeColor="text1"/>
          <w:szCs w:val="22"/>
          <w:lang w:eastAsia="en-US"/>
        </w:rPr>
      </w:pPr>
      <w:r w:rsidRPr="001E7F59">
        <w:rPr>
          <w:rFonts w:ascii="Palatino Linotype" w:eastAsia="Calibri" w:hAnsi="Palatino Linotype" w:cs="Tahoma"/>
          <w:bCs/>
          <w:color w:val="000000" w:themeColor="text1"/>
        </w:rPr>
        <w:t xml:space="preserve">Cédula de Identificación Fiscal versión </w:t>
      </w:r>
      <w:r w:rsidR="00992A85" w:rsidRPr="001E7F59">
        <w:rPr>
          <w:rFonts w:ascii="Palatino Linotype" w:eastAsia="Calibri" w:hAnsi="Palatino Linotype" w:cs="Tahoma"/>
          <w:bCs/>
          <w:color w:val="000000" w:themeColor="text1"/>
        </w:rPr>
        <w:t>íntegra</w:t>
      </w:r>
    </w:p>
    <w:p w14:paraId="2579B042" w14:textId="77777777" w:rsidR="0095175C" w:rsidRPr="001E7F59" w:rsidRDefault="0095175C" w:rsidP="0095175C">
      <w:pPr>
        <w:pStyle w:val="Prrafodelista"/>
        <w:numPr>
          <w:ilvl w:val="0"/>
          <w:numId w:val="23"/>
        </w:numPr>
        <w:spacing w:line="360" w:lineRule="auto"/>
        <w:jc w:val="both"/>
        <w:rPr>
          <w:rFonts w:ascii="Palatino Linotype" w:eastAsiaTheme="minorHAnsi" w:hAnsi="Palatino Linotype" w:cs="Tahoma"/>
          <w:bCs/>
          <w:color w:val="000000" w:themeColor="text1"/>
          <w:szCs w:val="22"/>
          <w:lang w:eastAsia="en-US"/>
        </w:rPr>
      </w:pPr>
      <w:r w:rsidRPr="001E7F59">
        <w:rPr>
          <w:rFonts w:ascii="Palatino Linotype" w:eastAsia="Calibri" w:hAnsi="Palatino Linotype" w:cs="Tahoma"/>
          <w:bCs/>
          <w:color w:val="000000" w:themeColor="text1"/>
        </w:rPr>
        <w:t xml:space="preserve">Certificado de no deudor alimentario moroso (se elimina CURP) y </w:t>
      </w:r>
    </w:p>
    <w:p w14:paraId="486BAAF8" w14:textId="6D775FFB" w:rsidR="0095175C" w:rsidRPr="001E7F59" w:rsidRDefault="0095175C" w:rsidP="0095175C">
      <w:pPr>
        <w:pStyle w:val="Prrafodelista"/>
        <w:numPr>
          <w:ilvl w:val="0"/>
          <w:numId w:val="23"/>
        </w:numPr>
        <w:spacing w:line="360" w:lineRule="auto"/>
        <w:jc w:val="both"/>
        <w:rPr>
          <w:rFonts w:ascii="Palatino Linotype" w:eastAsiaTheme="minorHAnsi" w:hAnsi="Palatino Linotype" w:cs="Tahoma"/>
          <w:bCs/>
          <w:color w:val="000000" w:themeColor="text1"/>
          <w:szCs w:val="22"/>
          <w:lang w:eastAsia="en-US"/>
        </w:rPr>
      </w:pPr>
      <w:r w:rsidRPr="001E7F59">
        <w:rPr>
          <w:rFonts w:ascii="Palatino Linotype" w:eastAsia="Calibri" w:hAnsi="Palatino Linotype" w:cs="Tahoma"/>
          <w:bCs/>
          <w:color w:val="000000" w:themeColor="text1"/>
        </w:rPr>
        <w:t>Cédula Informativa para presentar Manifestación de Bienes (se elimina firma de servidor público)</w:t>
      </w:r>
    </w:p>
    <w:p w14:paraId="658AC183" w14:textId="77777777" w:rsidR="0095175C" w:rsidRPr="001E7F59" w:rsidRDefault="0095175C" w:rsidP="0095175C">
      <w:pPr>
        <w:spacing w:line="360" w:lineRule="auto"/>
        <w:jc w:val="both"/>
        <w:rPr>
          <w:rFonts w:ascii="Palatino Linotype" w:eastAsiaTheme="minorHAnsi" w:hAnsi="Palatino Linotype" w:cs="Tahoma"/>
          <w:color w:val="000000" w:themeColor="text1"/>
          <w:sz w:val="22"/>
          <w:szCs w:val="22"/>
          <w:lang w:eastAsia="en-US"/>
        </w:rPr>
      </w:pPr>
    </w:p>
    <w:p w14:paraId="5FEE9E75" w14:textId="3F1C291E" w:rsidR="0095175C" w:rsidRPr="001E7F59" w:rsidRDefault="00D92FBC" w:rsidP="0095175C">
      <w:pPr>
        <w:spacing w:line="360" w:lineRule="auto"/>
        <w:contextualSpacing/>
        <w:jc w:val="both"/>
        <w:rPr>
          <w:rFonts w:ascii="Palatino Linotype" w:hAnsi="Palatino Linotype" w:cs="Arial"/>
          <w:sz w:val="22"/>
          <w:szCs w:val="24"/>
        </w:rPr>
      </w:pPr>
      <w:r w:rsidRPr="001E7F59">
        <w:rPr>
          <w:rFonts w:ascii="Palatino Linotype" w:hAnsi="Palatino Linotype" w:cs="Arial"/>
          <w:sz w:val="22"/>
          <w:szCs w:val="24"/>
        </w:rPr>
        <w:lastRenderedPageBreak/>
        <w:t xml:space="preserve">Así, de lo anterior se advierte que el Sujeto Obligado, a través del área competente hizo entrega de la información que obra en sus archivos, la cual remitió en versión pública, sin que adjuntara el Acuerdo emitido por el Comité de Transparencia en el que </w:t>
      </w:r>
      <w:r w:rsidR="00992A85" w:rsidRPr="001E7F59">
        <w:rPr>
          <w:rFonts w:ascii="Palatino Linotype" w:hAnsi="Palatino Linotype" w:cs="Arial"/>
          <w:sz w:val="22"/>
          <w:szCs w:val="24"/>
        </w:rPr>
        <w:t xml:space="preserve">se </w:t>
      </w:r>
      <w:r w:rsidRPr="001E7F59">
        <w:rPr>
          <w:rFonts w:ascii="Palatino Linotype" w:hAnsi="Palatino Linotype" w:cs="Arial"/>
          <w:sz w:val="22"/>
          <w:szCs w:val="24"/>
        </w:rPr>
        <w:t xml:space="preserve">confirme la clasificación de la información como confidencial. Además, este Instituto advierte </w:t>
      </w:r>
      <w:r w:rsidR="00992A85" w:rsidRPr="001E7F59">
        <w:rPr>
          <w:rFonts w:ascii="Palatino Linotype" w:hAnsi="Palatino Linotype" w:cs="Arial"/>
          <w:sz w:val="22"/>
          <w:szCs w:val="24"/>
        </w:rPr>
        <w:t xml:space="preserve">de la revisión previa a los documentos remitidos, </w:t>
      </w:r>
      <w:r w:rsidRPr="001E7F59">
        <w:rPr>
          <w:rFonts w:ascii="Palatino Linotype" w:hAnsi="Palatino Linotype" w:cs="Arial"/>
          <w:sz w:val="22"/>
          <w:szCs w:val="24"/>
        </w:rPr>
        <w:t>que se entregaron documen</w:t>
      </w:r>
      <w:r w:rsidR="00992A85" w:rsidRPr="001E7F59">
        <w:rPr>
          <w:rFonts w:ascii="Palatino Linotype" w:hAnsi="Palatino Linotype" w:cs="Arial"/>
          <w:sz w:val="22"/>
          <w:szCs w:val="24"/>
        </w:rPr>
        <w:t xml:space="preserve">tos de naturaleza confidencial y </w:t>
      </w:r>
      <w:r w:rsidRPr="001E7F59">
        <w:rPr>
          <w:rFonts w:ascii="Palatino Linotype" w:hAnsi="Palatino Linotype" w:cs="Arial"/>
          <w:sz w:val="22"/>
          <w:szCs w:val="24"/>
        </w:rPr>
        <w:t xml:space="preserve">se dejaron visibles datos confidenciales.  </w:t>
      </w:r>
    </w:p>
    <w:p w14:paraId="74B0A52F" w14:textId="77777777" w:rsidR="001B3766" w:rsidRPr="001E7F59" w:rsidRDefault="001B3766" w:rsidP="001B3766">
      <w:pPr>
        <w:spacing w:line="360" w:lineRule="auto"/>
        <w:contextualSpacing/>
        <w:jc w:val="both"/>
        <w:rPr>
          <w:rFonts w:ascii="Palatino Linotype" w:hAnsi="Palatino Linotype" w:cs="Arial"/>
          <w:sz w:val="22"/>
          <w:szCs w:val="24"/>
        </w:rPr>
      </w:pPr>
    </w:p>
    <w:p w14:paraId="37BDF263" w14:textId="1DFEAD88" w:rsidR="001B3766" w:rsidRPr="001E7F59" w:rsidRDefault="00D92FBC" w:rsidP="001B3766">
      <w:pPr>
        <w:spacing w:line="360" w:lineRule="auto"/>
        <w:contextualSpacing/>
        <w:jc w:val="both"/>
        <w:rPr>
          <w:rFonts w:ascii="Palatino Linotype" w:eastAsia="Calibri" w:hAnsi="Palatino Linotype" w:cs="Tahoma"/>
          <w:bCs/>
          <w:iCs/>
          <w:sz w:val="22"/>
          <w:szCs w:val="22"/>
          <w:lang w:val="es-ES_tradnl" w:eastAsia="en-US"/>
        </w:rPr>
      </w:pPr>
      <w:r w:rsidRPr="001E7F59">
        <w:rPr>
          <w:rFonts w:ascii="Palatino Linotype" w:eastAsia="Calibri" w:hAnsi="Palatino Linotype" w:cs="Tahoma"/>
          <w:bCs/>
          <w:iCs/>
          <w:sz w:val="22"/>
          <w:szCs w:val="22"/>
          <w:lang w:val="es-ES_tradnl" w:eastAsia="en-US"/>
        </w:rPr>
        <w:t xml:space="preserve">Esto </w:t>
      </w:r>
      <w:r w:rsidR="001B3766" w:rsidRPr="001E7F59">
        <w:rPr>
          <w:rFonts w:ascii="Palatino Linotype" w:hAnsi="Palatino Linotype" w:cs="Tahoma"/>
          <w:bCs/>
          <w:sz w:val="22"/>
          <w:szCs w:val="22"/>
        </w:rPr>
        <w:t xml:space="preserve">es, de la naturaleza jurídica de los documentos requeridos por el Particular, se pueden desprender datos susceptibles de clasificación en términos del numeral 143 de la Ley de Transparencia y Acceso a la Información Pública del Estado de México y Municipios, por lo tanto, </w:t>
      </w:r>
      <w:r w:rsidR="001B3766" w:rsidRPr="001E7F59">
        <w:rPr>
          <w:rFonts w:ascii="Palatino Linotype" w:eastAsia="Calibri" w:hAnsi="Palatino Linotype" w:cs="Tahoma"/>
          <w:bCs/>
          <w:sz w:val="22"/>
          <w:szCs w:val="22"/>
        </w:rPr>
        <w:t xml:space="preserve">cabe mencionar que el artículo 6°, Apartado A), fracción II, de la Constitución Política de los Estados Unidos Mexicanos, prevé que la información que se refiere a la vida privada y los datos personales será protegida en los términos y con las excepciones que fijen las leyes. </w:t>
      </w:r>
    </w:p>
    <w:p w14:paraId="0D08929D" w14:textId="77777777" w:rsidR="001B3766" w:rsidRPr="001E7F59" w:rsidRDefault="001B3766" w:rsidP="001B3766">
      <w:pPr>
        <w:autoSpaceDE w:val="0"/>
        <w:autoSpaceDN w:val="0"/>
        <w:spacing w:line="360" w:lineRule="auto"/>
        <w:jc w:val="both"/>
        <w:rPr>
          <w:rFonts w:ascii="Palatino Linotype" w:eastAsia="Calibri" w:hAnsi="Palatino Linotype" w:cs="Tahoma"/>
          <w:bCs/>
          <w:sz w:val="22"/>
          <w:szCs w:val="22"/>
        </w:rPr>
      </w:pPr>
    </w:p>
    <w:p w14:paraId="1CED51ED" w14:textId="1F8C75AC" w:rsidR="001B3766" w:rsidRPr="001E7F59" w:rsidRDefault="001B3766" w:rsidP="001B3766">
      <w:pPr>
        <w:spacing w:line="360" w:lineRule="auto"/>
        <w:jc w:val="both"/>
        <w:rPr>
          <w:rFonts w:ascii="Palatino Linotype" w:eastAsia="Calibri" w:hAnsi="Palatino Linotype"/>
          <w:bCs/>
          <w:color w:val="000000"/>
          <w:sz w:val="22"/>
          <w:szCs w:val="22"/>
          <w:lang w:eastAsia="en-US"/>
        </w:rPr>
      </w:pPr>
      <w:r w:rsidRPr="001E7F59">
        <w:rPr>
          <w:rFonts w:ascii="Palatino Linotype" w:eastAsia="Calibri" w:hAnsi="Palatino Linotype" w:cs="Tahoma"/>
          <w:bCs/>
          <w:sz w:val="22"/>
          <w:szCs w:val="22"/>
          <w:lang w:eastAsia="en-US"/>
        </w:rPr>
        <w:t xml:space="preserve">Bajo ese contexto, se analizarán </w:t>
      </w:r>
      <w:r w:rsidR="00D92FBC" w:rsidRPr="001E7F59">
        <w:rPr>
          <w:rFonts w:ascii="Palatino Linotype" w:eastAsia="Calibri" w:hAnsi="Palatino Linotype" w:cs="Tahoma"/>
          <w:bCs/>
          <w:sz w:val="22"/>
          <w:szCs w:val="22"/>
          <w:lang w:eastAsia="en-US"/>
        </w:rPr>
        <w:t>l</w:t>
      </w:r>
      <w:r w:rsidRPr="001E7F59">
        <w:rPr>
          <w:rFonts w:ascii="Palatino Linotype" w:eastAsia="Calibri" w:hAnsi="Palatino Linotype" w:cs="Tahoma"/>
          <w:bCs/>
          <w:sz w:val="22"/>
          <w:szCs w:val="22"/>
          <w:lang w:eastAsia="en-US"/>
        </w:rPr>
        <w:t xml:space="preserve">os datos personales </w:t>
      </w:r>
      <w:r w:rsidR="00D92FBC" w:rsidRPr="001E7F59">
        <w:rPr>
          <w:rFonts w:ascii="Palatino Linotype" w:eastAsia="Calibri" w:hAnsi="Palatino Linotype" w:cs="Tahoma"/>
          <w:bCs/>
          <w:sz w:val="22"/>
          <w:szCs w:val="22"/>
          <w:lang w:eastAsia="en-US"/>
        </w:rPr>
        <w:t>contenidos en</w:t>
      </w:r>
      <w:r w:rsidRPr="001E7F59">
        <w:rPr>
          <w:rFonts w:ascii="Palatino Linotype" w:eastAsia="Calibri" w:hAnsi="Palatino Linotype" w:cs="Tahoma"/>
          <w:bCs/>
          <w:sz w:val="22"/>
          <w:szCs w:val="22"/>
          <w:lang w:eastAsia="en-US"/>
        </w:rPr>
        <w:t xml:space="preserve"> los documentos que </w:t>
      </w:r>
      <w:r w:rsidR="00D92FBC" w:rsidRPr="001E7F59">
        <w:rPr>
          <w:rFonts w:ascii="Palatino Linotype" w:eastAsia="Calibri" w:hAnsi="Palatino Linotype" w:cs="Tahoma"/>
          <w:bCs/>
          <w:sz w:val="22"/>
          <w:szCs w:val="22"/>
          <w:lang w:eastAsia="en-US"/>
        </w:rPr>
        <w:t xml:space="preserve">remitidos que </w:t>
      </w:r>
      <w:r w:rsidRPr="001E7F59">
        <w:rPr>
          <w:rFonts w:ascii="Palatino Linotype" w:eastAsia="Calibri" w:hAnsi="Palatino Linotype" w:cs="Tahoma"/>
          <w:bCs/>
          <w:sz w:val="22"/>
          <w:szCs w:val="22"/>
          <w:lang w:eastAsia="en-US"/>
        </w:rPr>
        <w:t>da</w:t>
      </w:r>
      <w:r w:rsidR="00D92FBC" w:rsidRPr="001E7F59">
        <w:rPr>
          <w:rFonts w:ascii="Palatino Linotype" w:eastAsia="Calibri" w:hAnsi="Palatino Linotype" w:cs="Tahoma"/>
          <w:bCs/>
          <w:sz w:val="22"/>
          <w:szCs w:val="22"/>
          <w:lang w:eastAsia="en-US"/>
        </w:rPr>
        <w:t>n</w:t>
      </w:r>
      <w:r w:rsidRPr="001E7F59">
        <w:rPr>
          <w:rFonts w:ascii="Palatino Linotype" w:eastAsia="Calibri" w:hAnsi="Palatino Linotype" w:cs="Tahoma"/>
          <w:bCs/>
          <w:sz w:val="22"/>
          <w:szCs w:val="22"/>
          <w:lang w:eastAsia="en-US"/>
        </w:rPr>
        <w:t xml:space="preserve"> cuenta de lo requerido por el Particular; esto es, verificar si actualizan la causal de clasificación establecida en el artículo 143, fracción I, de la Ley de Transparencia y Acceso a la Información Pública del Estado de México y Municipios.</w:t>
      </w:r>
    </w:p>
    <w:p w14:paraId="576CB01C" w14:textId="77777777" w:rsidR="001B3766" w:rsidRPr="001E7F59" w:rsidRDefault="001B3766" w:rsidP="001B3766">
      <w:pPr>
        <w:spacing w:line="360" w:lineRule="auto"/>
        <w:ind w:right="-28"/>
        <w:jc w:val="both"/>
        <w:rPr>
          <w:rFonts w:ascii="Palatino Linotype" w:hAnsi="Palatino Linotype" w:cs="Tahoma"/>
          <w:bCs/>
          <w:iCs/>
          <w:sz w:val="22"/>
          <w:szCs w:val="22"/>
          <w:lang w:val="es-ES"/>
        </w:rPr>
      </w:pPr>
    </w:p>
    <w:p w14:paraId="7FAD1928" w14:textId="4A0B1273" w:rsidR="001B3766" w:rsidRPr="001E7F59" w:rsidRDefault="001B3766" w:rsidP="001B3766">
      <w:pPr>
        <w:numPr>
          <w:ilvl w:val="0"/>
          <w:numId w:val="24"/>
        </w:numPr>
        <w:tabs>
          <w:tab w:val="left" w:pos="4962"/>
        </w:tabs>
        <w:spacing w:after="160" w:line="360" w:lineRule="auto"/>
        <w:ind w:right="-28"/>
        <w:contextualSpacing/>
        <w:jc w:val="both"/>
        <w:rPr>
          <w:rFonts w:ascii="Palatino Linotype" w:eastAsia="Calibri" w:hAnsi="Palatino Linotype" w:cs="Tahoma"/>
          <w:b/>
          <w:iCs/>
          <w:sz w:val="22"/>
          <w:szCs w:val="22"/>
          <w:lang w:eastAsia="es-ES_tradnl"/>
        </w:rPr>
      </w:pPr>
      <w:r w:rsidRPr="001E7F59">
        <w:rPr>
          <w:rFonts w:ascii="Palatino Linotype" w:eastAsia="Calibri" w:hAnsi="Palatino Linotype" w:cs="Tahoma"/>
          <w:b/>
          <w:iCs/>
          <w:sz w:val="22"/>
          <w:szCs w:val="22"/>
          <w:lang w:eastAsia="es-ES_tradnl"/>
        </w:rPr>
        <w:t>Acta de Nacimiento</w:t>
      </w:r>
      <w:r w:rsidR="00B63C68" w:rsidRPr="001E7F59">
        <w:rPr>
          <w:rFonts w:ascii="Palatino Linotype" w:eastAsia="Calibri" w:hAnsi="Palatino Linotype" w:cs="Tahoma"/>
          <w:b/>
          <w:iCs/>
          <w:sz w:val="22"/>
          <w:szCs w:val="22"/>
          <w:lang w:eastAsia="es-ES_tradnl"/>
        </w:rPr>
        <w:t xml:space="preserve"> y credencial para votar con fotografía.</w:t>
      </w:r>
    </w:p>
    <w:p w14:paraId="2B16CBF5" w14:textId="77777777" w:rsidR="00B63C68" w:rsidRPr="001E7F59" w:rsidRDefault="00B63C68" w:rsidP="001B3766">
      <w:pPr>
        <w:tabs>
          <w:tab w:val="left" w:pos="4962"/>
        </w:tabs>
        <w:spacing w:line="360" w:lineRule="auto"/>
        <w:ind w:right="-28"/>
        <w:jc w:val="both"/>
        <w:rPr>
          <w:rFonts w:ascii="Palatino Linotype" w:eastAsia="Calibri" w:hAnsi="Palatino Linotype" w:cs="Tahoma"/>
          <w:b/>
          <w:iCs/>
          <w:sz w:val="22"/>
          <w:szCs w:val="22"/>
          <w:lang w:eastAsia="es-ES_tradnl"/>
        </w:rPr>
      </w:pPr>
    </w:p>
    <w:p w14:paraId="1F303401" w14:textId="6AAB58A3" w:rsidR="001B3766" w:rsidRPr="001E7F59" w:rsidRDefault="00B63C68" w:rsidP="001B3766">
      <w:pPr>
        <w:tabs>
          <w:tab w:val="left" w:pos="4962"/>
        </w:tabs>
        <w:spacing w:line="360" w:lineRule="auto"/>
        <w:ind w:right="-28"/>
        <w:jc w:val="both"/>
        <w:rPr>
          <w:rFonts w:ascii="Palatino Linotype" w:eastAsia="Calibri" w:hAnsi="Palatino Linotype" w:cs="Tahoma"/>
          <w:bCs/>
          <w:iCs/>
          <w:sz w:val="22"/>
          <w:szCs w:val="22"/>
          <w:lang w:eastAsia="es-ES_tradnl"/>
        </w:rPr>
      </w:pPr>
      <w:r w:rsidRPr="001E7F59">
        <w:rPr>
          <w:rFonts w:ascii="Palatino Linotype" w:eastAsia="Calibri" w:hAnsi="Palatino Linotype" w:cs="Tahoma"/>
          <w:bCs/>
          <w:iCs/>
          <w:sz w:val="22"/>
          <w:szCs w:val="22"/>
          <w:lang w:eastAsia="es-ES_tradnl"/>
        </w:rPr>
        <w:t>Tanto el acta de nacimiento como la credencial de elector contiene entre otros datos</w:t>
      </w:r>
      <w:r w:rsidR="001B3766" w:rsidRPr="001E7F59">
        <w:rPr>
          <w:rFonts w:ascii="Palatino Linotype" w:eastAsia="Calibri" w:hAnsi="Palatino Linotype" w:cs="Tahoma"/>
          <w:bCs/>
          <w:iCs/>
          <w:sz w:val="22"/>
          <w:szCs w:val="22"/>
          <w:lang w:eastAsia="es-ES_tradnl"/>
        </w:rPr>
        <w:t xml:space="preserve"> </w:t>
      </w:r>
      <w:r w:rsidRPr="001E7F59">
        <w:rPr>
          <w:rFonts w:ascii="Palatino Linotype" w:eastAsia="Calibri" w:hAnsi="Palatino Linotype" w:cs="Tahoma"/>
          <w:bCs/>
          <w:iCs/>
          <w:sz w:val="22"/>
          <w:szCs w:val="22"/>
          <w:lang w:eastAsia="es-ES_tradnl"/>
        </w:rPr>
        <w:t>información de sus titulares como</w:t>
      </w:r>
      <w:r w:rsidR="001B3766" w:rsidRPr="001E7F59">
        <w:rPr>
          <w:rFonts w:ascii="Palatino Linotype" w:eastAsia="Calibri" w:hAnsi="Palatino Linotype" w:cs="Tahoma"/>
          <w:bCs/>
          <w:iCs/>
          <w:sz w:val="22"/>
          <w:szCs w:val="22"/>
          <w:lang w:eastAsia="es-ES_tradnl"/>
        </w:rPr>
        <w:t xml:space="preserve"> sexo, fecha de nacimiento, lugar de nacimiento, </w:t>
      </w:r>
      <w:r w:rsidRPr="001E7F59">
        <w:rPr>
          <w:rFonts w:ascii="Palatino Linotype" w:eastAsia="Calibri" w:hAnsi="Palatino Linotype" w:cs="Tahoma"/>
          <w:bCs/>
          <w:iCs/>
          <w:sz w:val="22"/>
          <w:szCs w:val="22"/>
          <w:lang w:eastAsia="es-ES_tradnl"/>
        </w:rPr>
        <w:t xml:space="preserve">huella dactilar </w:t>
      </w:r>
      <w:r w:rsidR="001B3766" w:rsidRPr="001E7F59">
        <w:rPr>
          <w:rFonts w:ascii="Palatino Linotype" w:eastAsia="Calibri" w:hAnsi="Palatino Linotype" w:cs="Tahoma"/>
          <w:bCs/>
          <w:iCs/>
          <w:sz w:val="22"/>
          <w:szCs w:val="22"/>
          <w:lang w:eastAsia="es-ES_tradnl"/>
        </w:rPr>
        <w:t>entre otros.</w:t>
      </w:r>
      <w:r w:rsidRPr="001E7F59">
        <w:rPr>
          <w:rFonts w:ascii="Palatino Linotype" w:eastAsia="Calibri" w:hAnsi="Palatino Linotype" w:cs="Tahoma"/>
          <w:bCs/>
          <w:iCs/>
          <w:sz w:val="22"/>
          <w:szCs w:val="22"/>
          <w:lang w:eastAsia="es-ES_tradnl"/>
        </w:rPr>
        <w:t xml:space="preserve"> Si bien estos documentos obran en los expedientes de personal, corresponden datos e información de interés de sus titulares y no tienen trascendencia la función del servicio público. </w:t>
      </w:r>
      <w:r w:rsidR="001B3766" w:rsidRPr="001E7F59">
        <w:rPr>
          <w:rFonts w:ascii="Palatino Linotype" w:eastAsia="Calibri" w:hAnsi="Palatino Linotype" w:cs="Tahoma"/>
          <w:bCs/>
          <w:iCs/>
          <w:sz w:val="22"/>
          <w:szCs w:val="22"/>
          <w:lang w:eastAsia="es-ES_tradnl"/>
        </w:rPr>
        <w:t xml:space="preserve"> </w:t>
      </w:r>
    </w:p>
    <w:p w14:paraId="1747D60B" w14:textId="77777777" w:rsidR="001B3766" w:rsidRPr="001E7F59" w:rsidRDefault="001B3766" w:rsidP="001B3766">
      <w:pPr>
        <w:tabs>
          <w:tab w:val="left" w:pos="4962"/>
        </w:tabs>
        <w:spacing w:line="360" w:lineRule="auto"/>
        <w:ind w:right="-28"/>
        <w:jc w:val="both"/>
        <w:rPr>
          <w:rFonts w:ascii="Palatino Linotype" w:eastAsia="Calibri" w:hAnsi="Palatino Linotype" w:cs="Tahoma"/>
          <w:bCs/>
          <w:iCs/>
          <w:sz w:val="22"/>
          <w:szCs w:val="22"/>
          <w:lang w:eastAsia="es-ES_tradnl"/>
        </w:rPr>
      </w:pPr>
    </w:p>
    <w:p w14:paraId="0C621A4C" w14:textId="48D5494F" w:rsidR="001B3766" w:rsidRPr="001E7F59" w:rsidRDefault="001B3766" w:rsidP="001B3766">
      <w:pPr>
        <w:tabs>
          <w:tab w:val="left" w:pos="4962"/>
        </w:tabs>
        <w:spacing w:line="360" w:lineRule="auto"/>
        <w:ind w:right="-28"/>
        <w:jc w:val="both"/>
        <w:rPr>
          <w:rFonts w:ascii="Palatino Linotype" w:eastAsia="Calibri" w:hAnsi="Palatino Linotype" w:cs="Tahoma"/>
          <w:bCs/>
          <w:sz w:val="22"/>
          <w:szCs w:val="22"/>
          <w:lang w:val="es-ES"/>
        </w:rPr>
      </w:pPr>
      <w:r w:rsidRPr="001E7F59">
        <w:rPr>
          <w:rFonts w:ascii="Palatino Linotype" w:hAnsi="Palatino Linotype" w:cs="Tahoma"/>
          <w:sz w:val="22"/>
          <w:szCs w:val="22"/>
        </w:rPr>
        <w:t xml:space="preserve">Dada esta relevancia y que no guarda relación directa con el ejercicio de atribuciones de servidores públicos es que su contenido debe ser analizado en su totalidad, además que parte los dato que integran hacen identificable a la persona sin tener que ver con el ejercicio de un cargo público. </w:t>
      </w:r>
      <w:r w:rsidRPr="001E7F59">
        <w:rPr>
          <w:rFonts w:ascii="Palatino Linotype" w:eastAsia="Calibri" w:hAnsi="Palatino Linotype" w:cs="Tahoma"/>
          <w:bCs/>
          <w:sz w:val="22"/>
          <w:szCs w:val="22"/>
          <w:lang w:val="es-ES"/>
        </w:rPr>
        <w:t>De esta manera, se trata de documento</w:t>
      </w:r>
      <w:r w:rsidR="00EB0F45" w:rsidRPr="001E7F59">
        <w:rPr>
          <w:rFonts w:ascii="Palatino Linotype" w:eastAsia="Calibri" w:hAnsi="Palatino Linotype" w:cs="Tahoma"/>
          <w:bCs/>
          <w:sz w:val="22"/>
          <w:szCs w:val="22"/>
          <w:lang w:val="es-ES"/>
        </w:rPr>
        <w:t>s</w:t>
      </w:r>
      <w:r w:rsidRPr="001E7F59">
        <w:rPr>
          <w:rFonts w:ascii="Palatino Linotype" w:eastAsia="Calibri" w:hAnsi="Palatino Linotype" w:cs="Tahoma"/>
          <w:bCs/>
          <w:sz w:val="22"/>
          <w:szCs w:val="22"/>
          <w:lang w:val="es-ES"/>
        </w:rPr>
        <w:t xml:space="preserve"> de naturaleza confidencial que tiene que ver únicamente con la vida privada de las personas, motivo por el cual </w:t>
      </w:r>
      <w:r w:rsidRPr="001E7F59">
        <w:rPr>
          <w:rFonts w:ascii="Palatino Linotype" w:eastAsia="Calibri" w:hAnsi="Palatino Linotype" w:cs="Tahoma"/>
          <w:b/>
          <w:bCs/>
          <w:sz w:val="22"/>
          <w:szCs w:val="22"/>
          <w:lang w:val="es-ES"/>
        </w:rPr>
        <w:t>se considera que actualiza</w:t>
      </w:r>
      <w:r w:rsidR="00EB0F45" w:rsidRPr="001E7F59">
        <w:rPr>
          <w:rFonts w:ascii="Palatino Linotype" w:eastAsia="Calibri" w:hAnsi="Palatino Linotype" w:cs="Tahoma"/>
          <w:b/>
          <w:bCs/>
          <w:sz w:val="22"/>
          <w:szCs w:val="22"/>
          <w:lang w:val="es-ES"/>
        </w:rPr>
        <w:t>n</w:t>
      </w:r>
      <w:r w:rsidRPr="001E7F59">
        <w:rPr>
          <w:rFonts w:ascii="Palatino Linotype" w:eastAsia="Calibri" w:hAnsi="Palatino Linotype" w:cs="Tahoma"/>
          <w:b/>
          <w:bCs/>
          <w:sz w:val="22"/>
          <w:szCs w:val="22"/>
          <w:lang w:val="es-ES"/>
        </w:rPr>
        <w:t xml:space="preserve"> la causal de clasificación establecida en el artículo 143, fracción I,</w:t>
      </w:r>
      <w:r w:rsidRPr="001E7F59">
        <w:rPr>
          <w:rFonts w:ascii="Palatino Linotype" w:eastAsia="Calibri" w:hAnsi="Palatino Linotype" w:cs="Tahoma"/>
          <w:bCs/>
          <w:sz w:val="22"/>
          <w:szCs w:val="22"/>
          <w:lang w:val="es-ES"/>
        </w:rPr>
        <w:t xml:space="preserve"> de la Ley de Transparencia y Acceso a la Información Pública del Estado de México y Municipios</w:t>
      </w:r>
      <w:r w:rsidR="00B63C68" w:rsidRPr="001E7F59">
        <w:rPr>
          <w:rFonts w:ascii="Palatino Linotype" w:eastAsia="Calibri" w:hAnsi="Palatino Linotype" w:cs="Tahoma"/>
          <w:bCs/>
          <w:sz w:val="22"/>
          <w:szCs w:val="22"/>
          <w:lang w:val="es-ES"/>
        </w:rPr>
        <w:t>, por lo que no deben ser entregados.</w:t>
      </w:r>
    </w:p>
    <w:p w14:paraId="2A97886A" w14:textId="77777777" w:rsidR="001B3766" w:rsidRPr="001E7F59" w:rsidRDefault="001B3766" w:rsidP="001B3766">
      <w:pPr>
        <w:tabs>
          <w:tab w:val="left" w:pos="4962"/>
        </w:tabs>
        <w:spacing w:line="360" w:lineRule="auto"/>
        <w:ind w:right="-28"/>
        <w:jc w:val="both"/>
        <w:rPr>
          <w:rFonts w:ascii="Palatino Linotype" w:eastAsia="Calibri" w:hAnsi="Palatino Linotype" w:cs="Tahoma"/>
          <w:bCs/>
          <w:iCs/>
          <w:sz w:val="22"/>
          <w:szCs w:val="22"/>
          <w:lang w:eastAsia="es-ES_tradnl"/>
        </w:rPr>
      </w:pPr>
    </w:p>
    <w:p w14:paraId="2D96A578" w14:textId="6DC18A38" w:rsidR="001B3766" w:rsidRPr="001E7F59" w:rsidRDefault="001B3766" w:rsidP="001B3766">
      <w:pPr>
        <w:numPr>
          <w:ilvl w:val="0"/>
          <w:numId w:val="24"/>
        </w:numPr>
        <w:spacing w:after="160" w:line="360" w:lineRule="auto"/>
        <w:contextualSpacing/>
        <w:jc w:val="both"/>
        <w:rPr>
          <w:rFonts w:ascii="Palatino Linotype" w:eastAsia="Calibri" w:hAnsi="Palatino Linotype" w:cs="Tahoma"/>
          <w:b/>
          <w:bCs/>
          <w:sz w:val="22"/>
          <w:szCs w:val="22"/>
        </w:rPr>
      </w:pPr>
      <w:r w:rsidRPr="001E7F59">
        <w:rPr>
          <w:rFonts w:ascii="Palatino Linotype" w:eastAsia="Calibri" w:hAnsi="Palatino Linotype" w:cs="Tahoma"/>
          <w:b/>
          <w:bCs/>
          <w:sz w:val="22"/>
          <w:szCs w:val="22"/>
        </w:rPr>
        <w:t>Domicilio particular y comprobante de domicilio</w:t>
      </w:r>
    </w:p>
    <w:p w14:paraId="0756C397" w14:textId="77777777" w:rsidR="001B3766" w:rsidRPr="001E7F59" w:rsidRDefault="001B3766" w:rsidP="001B3766">
      <w:pPr>
        <w:spacing w:line="360" w:lineRule="auto"/>
        <w:ind w:left="720"/>
        <w:contextualSpacing/>
        <w:jc w:val="both"/>
        <w:rPr>
          <w:rFonts w:ascii="Palatino Linotype" w:eastAsia="Calibri" w:hAnsi="Palatino Linotype" w:cs="Tahoma"/>
          <w:b/>
          <w:bCs/>
          <w:sz w:val="22"/>
          <w:szCs w:val="22"/>
        </w:rPr>
      </w:pPr>
    </w:p>
    <w:p w14:paraId="269A26EA" w14:textId="77777777" w:rsidR="001B3766" w:rsidRPr="001E7F59" w:rsidRDefault="001B3766" w:rsidP="001B3766">
      <w:pPr>
        <w:spacing w:line="360" w:lineRule="auto"/>
        <w:ind w:right="-93"/>
        <w:jc w:val="both"/>
        <w:rPr>
          <w:rFonts w:ascii="Palatino Linotype" w:hAnsi="Palatino Linotype" w:cs="Tahoma"/>
          <w:sz w:val="22"/>
          <w:szCs w:val="22"/>
          <w:lang w:val="es-ES"/>
        </w:rPr>
      </w:pPr>
      <w:r w:rsidRPr="001E7F59">
        <w:rPr>
          <w:rFonts w:ascii="Palatino Linotype" w:hAnsi="Palatino Linotype" w:cs="Tahoma"/>
          <w:sz w:val="22"/>
          <w:szCs w:val="22"/>
          <w:lang w:val="es-ES"/>
        </w:rPr>
        <w:t xml:space="preserve">De acuerdo a lo señalado en los artículos 2.3 y 2.5 del Código Civil del Estado de México, el domicilio es un atributo de la personalidad y un derecho de las personas; además que tiene como propósito que una persona pueda establecerse temporal o permanentemente en un lugar determinado, para habitar, establecer su centro de trabajo o negocios. </w:t>
      </w:r>
    </w:p>
    <w:p w14:paraId="02D3952F" w14:textId="77777777" w:rsidR="001B3766" w:rsidRPr="001E7F59" w:rsidRDefault="001B3766" w:rsidP="001B3766">
      <w:pPr>
        <w:spacing w:line="360" w:lineRule="auto"/>
        <w:ind w:right="-93"/>
        <w:jc w:val="both"/>
        <w:rPr>
          <w:rFonts w:ascii="Palatino Linotype" w:hAnsi="Palatino Linotype" w:cs="Tahoma"/>
          <w:sz w:val="22"/>
          <w:szCs w:val="22"/>
          <w:lang w:val="es-ES"/>
        </w:rPr>
      </w:pPr>
    </w:p>
    <w:p w14:paraId="0A0EEC11" w14:textId="77777777" w:rsidR="001B3766" w:rsidRPr="001E7F59" w:rsidRDefault="001B3766" w:rsidP="001B3766">
      <w:pPr>
        <w:spacing w:line="360" w:lineRule="auto"/>
        <w:ind w:right="-93"/>
        <w:jc w:val="both"/>
        <w:rPr>
          <w:rFonts w:ascii="Palatino Linotype" w:hAnsi="Palatino Linotype" w:cs="Tahoma"/>
          <w:b/>
          <w:sz w:val="22"/>
          <w:szCs w:val="22"/>
          <w:lang w:val="es-ES"/>
        </w:rPr>
      </w:pPr>
      <w:r w:rsidRPr="001E7F59">
        <w:rPr>
          <w:rFonts w:ascii="Palatino Linotype" w:hAnsi="Palatino Linotype" w:cs="Tahoma"/>
          <w:sz w:val="22"/>
          <w:szCs w:val="22"/>
          <w:lang w:val="es-ES"/>
        </w:rPr>
        <w:t>De la misma manera, lo establece el artículo 29 del Código Civil Federal, al precisar que el domicilio de personas físicas</w:t>
      </w:r>
      <w:r w:rsidRPr="001E7F59">
        <w:rPr>
          <w:rFonts w:ascii="Palatino Linotype" w:hAnsi="Palatino Linotype" w:cs="Tahoma"/>
          <w:b/>
          <w:sz w:val="22"/>
          <w:szCs w:val="22"/>
          <w:lang w:val="es-ES"/>
        </w:rPr>
        <w:t>, es el lugar donde residen habitualmente, el lugar del centro principal de sus negocios, donde residan o el lugar donde se encuentren.</w:t>
      </w:r>
    </w:p>
    <w:p w14:paraId="7983004C" w14:textId="77777777" w:rsidR="001B3766" w:rsidRPr="001E7F59" w:rsidRDefault="001B3766" w:rsidP="001B3766">
      <w:pPr>
        <w:spacing w:line="360" w:lineRule="auto"/>
        <w:jc w:val="both"/>
        <w:rPr>
          <w:rFonts w:ascii="Palatino Linotype" w:eastAsia="Calibri" w:hAnsi="Palatino Linotype" w:cs="Tahoma"/>
          <w:b/>
          <w:bCs/>
          <w:sz w:val="22"/>
          <w:szCs w:val="22"/>
        </w:rPr>
      </w:pPr>
    </w:p>
    <w:p w14:paraId="31AF5651" w14:textId="77777777" w:rsidR="001B3766" w:rsidRPr="001E7F59" w:rsidRDefault="001B3766" w:rsidP="001B3766">
      <w:pPr>
        <w:spacing w:line="360" w:lineRule="auto"/>
        <w:ind w:right="-93"/>
        <w:jc w:val="both"/>
        <w:rPr>
          <w:rFonts w:ascii="Palatino Linotype" w:hAnsi="Palatino Linotype" w:cs="Tahoma"/>
          <w:sz w:val="22"/>
          <w:szCs w:val="22"/>
          <w:lang w:val="es-ES"/>
        </w:rPr>
      </w:pPr>
      <w:r w:rsidRPr="001E7F59">
        <w:rPr>
          <w:rFonts w:ascii="Palatino Linotype" w:hAnsi="Palatino Linotype" w:cs="Tahoma"/>
          <w:sz w:val="22"/>
          <w:szCs w:val="22"/>
          <w:lang w:val="es-ES"/>
        </w:rPr>
        <w:t xml:space="preserve">En ese contexto, la dirección o domicilio es el lugar en donde reside habitualmente una persona física, por lo que, permite hacerlo identificable y ubicable, propiciando que pueda ser molestado en su casa o negocio, de este modo, los datos que permiten a cualquier individuo con esfuerzos mínimos identificar el lugar de residencia o de trabajo constituye un dato </w:t>
      </w:r>
      <w:r w:rsidRPr="001E7F59">
        <w:rPr>
          <w:rFonts w:ascii="Palatino Linotype" w:hAnsi="Palatino Linotype" w:cs="Tahoma"/>
          <w:sz w:val="22"/>
          <w:szCs w:val="22"/>
          <w:lang w:val="es-ES"/>
        </w:rPr>
        <w:lastRenderedPageBreak/>
        <w:t xml:space="preserve">personal y, por ende, confidencial, ya que incide directamente en la privacidad de personas físicas identificadas y su difusión podría afectar la esfera privada de las mismas. </w:t>
      </w:r>
    </w:p>
    <w:p w14:paraId="2E8F2F94" w14:textId="77777777" w:rsidR="001B3766" w:rsidRPr="001E7F59" w:rsidRDefault="001B3766" w:rsidP="001B3766">
      <w:pPr>
        <w:spacing w:line="360" w:lineRule="auto"/>
        <w:ind w:right="-93"/>
        <w:jc w:val="both"/>
        <w:rPr>
          <w:rFonts w:ascii="Palatino Linotype" w:hAnsi="Palatino Linotype" w:cs="Tahoma"/>
          <w:sz w:val="22"/>
          <w:szCs w:val="22"/>
          <w:lang w:val="es-ES"/>
        </w:rPr>
      </w:pPr>
    </w:p>
    <w:p w14:paraId="4621058D" w14:textId="77777777" w:rsidR="001B3766" w:rsidRPr="001E7F59" w:rsidRDefault="001B3766" w:rsidP="001B3766">
      <w:pPr>
        <w:spacing w:line="360" w:lineRule="auto"/>
        <w:ind w:right="-93"/>
        <w:jc w:val="both"/>
        <w:rPr>
          <w:rFonts w:ascii="Palatino Linotype" w:eastAsia="Calibri" w:hAnsi="Palatino Linotype" w:cs="Tahoma"/>
          <w:bCs/>
          <w:sz w:val="22"/>
          <w:szCs w:val="22"/>
          <w:lang w:eastAsia="en-US"/>
        </w:rPr>
      </w:pPr>
      <w:r w:rsidRPr="001E7F59">
        <w:rPr>
          <w:rFonts w:ascii="Palatino Linotype" w:hAnsi="Palatino Linotype" w:cs="Tahoma"/>
          <w:sz w:val="22"/>
          <w:szCs w:val="22"/>
          <w:lang w:val="es-ES"/>
        </w:rPr>
        <w:t xml:space="preserve">La misma suerte corre el comprobante de domicilio, pues mediante este se acredita que la servidora pública vive donde señala en los documentos que entrega; sin embargo, es de señalar que este documento guarda la naturaleza de privado, pues no abona en nada a la transparencia, ni rinde cuentas de la forma de actuar de la trabajadora, al contrario la hace ubicable en su carácter de particular, por lo que, se concluye que </w:t>
      </w:r>
      <w:r w:rsidRPr="001E7F59">
        <w:rPr>
          <w:rFonts w:ascii="Palatino Linotype" w:hAnsi="Palatino Linotype" w:cs="Tahoma"/>
          <w:b/>
          <w:sz w:val="22"/>
          <w:szCs w:val="22"/>
          <w:lang w:val="es-ES"/>
        </w:rPr>
        <w:t>el comprobante guarda la naturaleza de privado. Por lo tanto, se actualiza la clasificación del domicilio y su comprobante, de conformidad con la fracción I, del artículo 143</w:t>
      </w:r>
      <w:r w:rsidRPr="001E7F59">
        <w:rPr>
          <w:rFonts w:ascii="Palatino Linotype" w:hAnsi="Palatino Linotype" w:cs="Tahoma"/>
          <w:sz w:val="22"/>
          <w:szCs w:val="22"/>
          <w:lang w:val="es-ES"/>
        </w:rPr>
        <w:t xml:space="preserve"> de la Ley de Transparencia y Acceso a la Información Pública del Estado de México y Municipios.</w:t>
      </w:r>
      <w:r w:rsidRPr="001E7F59">
        <w:rPr>
          <w:rFonts w:ascii="Palatino Linotype" w:eastAsia="Calibri" w:hAnsi="Palatino Linotype" w:cs="Tahoma"/>
          <w:bCs/>
          <w:sz w:val="22"/>
          <w:szCs w:val="22"/>
          <w:lang w:eastAsia="en-US"/>
        </w:rPr>
        <w:t xml:space="preserve"> </w:t>
      </w:r>
    </w:p>
    <w:p w14:paraId="7BDEC251" w14:textId="77777777" w:rsidR="001B3766" w:rsidRPr="001E7F59" w:rsidRDefault="001B3766" w:rsidP="001B3766">
      <w:pPr>
        <w:spacing w:line="360" w:lineRule="auto"/>
        <w:ind w:right="-93"/>
        <w:jc w:val="both"/>
        <w:rPr>
          <w:rFonts w:ascii="Palatino Linotype" w:eastAsia="Calibri" w:hAnsi="Palatino Linotype" w:cs="Tahoma"/>
          <w:bCs/>
          <w:sz w:val="22"/>
          <w:szCs w:val="22"/>
          <w:lang w:eastAsia="en-US"/>
        </w:rPr>
      </w:pPr>
    </w:p>
    <w:p w14:paraId="2BD1A44C" w14:textId="34E07E9B" w:rsidR="001B3766" w:rsidRPr="001E7F59" w:rsidRDefault="001B3766" w:rsidP="001B3766">
      <w:pPr>
        <w:numPr>
          <w:ilvl w:val="0"/>
          <w:numId w:val="24"/>
        </w:numPr>
        <w:tabs>
          <w:tab w:val="left" w:pos="4962"/>
        </w:tabs>
        <w:spacing w:after="160" w:line="360" w:lineRule="auto"/>
        <w:ind w:right="-28"/>
        <w:contextualSpacing/>
        <w:jc w:val="both"/>
        <w:rPr>
          <w:rFonts w:ascii="Palatino Linotype" w:eastAsia="Calibri" w:hAnsi="Palatino Linotype" w:cs="Tahoma"/>
          <w:b/>
          <w:iCs/>
          <w:sz w:val="22"/>
          <w:szCs w:val="22"/>
        </w:rPr>
      </w:pPr>
      <w:r w:rsidRPr="001E7F59">
        <w:rPr>
          <w:rFonts w:ascii="Palatino Linotype" w:eastAsia="Calibri" w:hAnsi="Palatino Linotype" w:cs="Tahoma"/>
          <w:b/>
          <w:iCs/>
          <w:sz w:val="22"/>
          <w:szCs w:val="22"/>
        </w:rPr>
        <w:t>Cartas de Recomendación</w:t>
      </w:r>
    </w:p>
    <w:p w14:paraId="2498CFA7" w14:textId="77777777" w:rsidR="001B3766" w:rsidRPr="001E7F59" w:rsidRDefault="001B3766" w:rsidP="001B3766">
      <w:pPr>
        <w:spacing w:line="360" w:lineRule="auto"/>
        <w:jc w:val="both"/>
        <w:rPr>
          <w:rFonts w:ascii="Palatino Linotype" w:eastAsia="Calibri" w:hAnsi="Palatino Linotype" w:cs="Tahoma"/>
          <w:bCs/>
          <w:iCs/>
          <w:sz w:val="22"/>
          <w:szCs w:val="22"/>
        </w:rPr>
      </w:pPr>
    </w:p>
    <w:p w14:paraId="1562FD8E" w14:textId="77777777" w:rsidR="001B3766" w:rsidRPr="001E7F59" w:rsidRDefault="001B3766" w:rsidP="001B3766">
      <w:pPr>
        <w:spacing w:line="360" w:lineRule="auto"/>
        <w:jc w:val="both"/>
        <w:rPr>
          <w:rFonts w:ascii="Palatino Linotype" w:eastAsia="Calibri" w:hAnsi="Palatino Linotype" w:cs="Tahoma"/>
          <w:bCs/>
          <w:iCs/>
          <w:sz w:val="22"/>
          <w:szCs w:val="22"/>
        </w:rPr>
      </w:pPr>
      <w:r w:rsidRPr="001E7F59">
        <w:rPr>
          <w:rFonts w:ascii="Palatino Linotype" w:eastAsia="Calibri" w:hAnsi="Palatino Linotype" w:cs="Tahoma"/>
          <w:bCs/>
          <w:iCs/>
          <w:sz w:val="22"/>
          <w:szCs w:val="22"/>
        </w:rPr>
        <w:t>Sobre dichos documentos, es de señalar que corresponden aquellos documentos en donde personas particulares dan referencias o una valoración de la persona que recomiendan, las cuales pueden contener información  de su forma de actuar, comportarse, valores, entre otras cuestiones, por lo que, se considera que son documentos de naturaleza privada, pues no abonan en nada a la transparencia, ni rinden cuentas del actuar de una trabajadora gubernamental, sino corresponde una apreciación subjetiva de una persona para recomendar a otra, las cuales son ocupadas comúnmente al solicitar un empleo.</w:t>
      </w:r>
    </w:p>
    <w:p w14:paraId="11A5F9CB" w14:textId="77777777" w:rsidR="001B3766" w:rsidRPr="001E7F59" w:rsidRDefault="001B3766" w:rsidP="001B3766">
      <w:pPr>
        <w:spacing w:line="360" w:lineRule="auto"/>
        <w:jc w:val="both"/>
        <w:rPr>
          <w:rFonts w:ascii="Palatino Linotype" w:eastAsia="Calibri" w:hAnsi="Palatino Linotype" w:cs="Tahoma"/>
          <w:bCs/>
          <w:iCs/>
          <w:sz w:val="22"/>
          <w:szCs w:val="22"/>
        </w:rPr>
      </w:pPr>
    </w:p>
    <w:p w14:paraId="276CA5FB" w14:textId="77777777" w:rsidR="001B3766" w:rsidRPr="001E7F59" w:rsidRDefault="001B3766" w:rsidP="001B3766">
      <w:pPr>
        <w:spacing w:line="360" w:lineRule="auto"/>
        <w:ind w:right="-93"/>
        <w:jc w:val="both"/>
        <w:rPr>
          <w:rFonts w:ascii="Palatino Linotype" w:hAnsi="Palatino Linotype" w:cs="Tahoma"/>
          <w:sz w:val="22"/>
          <w:szCs w:val="22"/>
          <w:lang w:val="es-ES"/>
        </w:rPr>
      </w:pPr>
      <w:r w:rsidRPr="001E7F59">
        <w:rPr>
          <w:rFonts w:ascii="Palatino Linotype" w:eastAsia="Calibri" w:hAnsi="Palatino Linotype" w:cs="Tahoma"/>
          <w:bCs/>
          <w:iCs/>
          <w:sz w:val="22"/>
          <w:szCs w:val="22"/>
        </w:rPr>
        <w:t xml:space="preserve">Por lo que, se considera que dichos documentos </w:t>
      </w:r>
      <w:r w:rsidRPr="001E7F59">
        <w:rPr>
          <w:rFonts w:ascii="Palatino Linotype" w:eastAsia="Calibri" w:hAnsi="Palatino Linotype" w:cs="Tahoma"/>
          <w:b/>
          <w:bCs/>
          <w:iCs/>
          <w:sz w:val="22"/>
          <w:szCs w:val="22"/>
        </w:rPr>
        <w:t>actualizan la clasificación, de la causal establecida en el artículo 143, fracción I,</w:t>
      </w:r>
      <w:r w:rsidRPr="001E7F59">
        <w:rPr>
          <w:rFonts w:ascii="Palatino Linotype" w:eastAsia="Calibri" w:hAnsi="Palatino Linotype" w:cs="Tahoma"/>
          <w:bCs/>
          <w:iCs/>
          <w:sz w:val="22"/>
          <w:szCs w:val="22"/>
        </w:rPr>
        <w:t xml:space="preserve"> de la </w:t>
      </w:r>
      <w:r w:rsidRPr="001E7F59">
        <w:rPr>
          <w:rFonts w:ascii="Palatino Linotype" w:hAnsi="Palatino Linotype" w:cs="Tahoma"/>
          <w:sz w:val="22"/>
          <w:szCs w:val="22"/>
          <w:lang w:val="es-ES"/>
        </w:rPr>
        <w:t>Ley de Transparencia y Acceso a la Información Pública del Estado de México y Municipios.</w:t>
      </w:r>
    </w:p>
    <w:p w14:paraId="0E2861BB" w14:textId="77777777" w:rsidR="001B3766" w:rsidRPr="001E7F59" w:rsidRDefault="001B3766" w:rsidP="001B3766">
      <w:pPr>
        <w:spacing w:line="360" w:lineRule="auto"/>
        <w:jc w:val="both"/>
        <w:rPr>
          <w:rFonts w:ascii="Palatino Linotype" w:eastAsia="Calibri" w:hAnsi="Palatino Linotype" w:cs="Tahoma"/>
          <w:bCs/>
          <w:iCs/>
          <w:sz w:val="22"/>
          <w:szCs w:val="22"/>
        </w:rPr>
      </w:pPr>
    </w:p>
    <w:p w14:paraId="3E3A0AB7" w14:textId="12C29442" w:rsidR="001B3766" w:rsidRPr="001E7F59" w:rsidRDefault="001B3766" w:rsidP="001B3766">
      <w:pPr>
        <w:numPr>
          <w:ilvl w:val="0"/>
          <w:numId w:val="24"/>
        </w:numPr>
        <w:tabs>
          <w:tab w:val="left" w:pos="4962"/>
        </w:tabs>
        <w:spacing w:after="160" w:line="360" w:lineRule="auto"/>
        <w:ind w:right="-28"/>
        <w:contextualSpacing/>
        <w:jc w:val="both"/>
        <w:rPr>
          <w:rFonts w:ascii="Palatino Linotype" w:eastAsia="Calibri" w:hAnsi="Palatino Linotype" w:cs="Tahoma"/>
          <w:b/>
          <w:iCs/>
          <w:sz w:val="22"/>
          <w:szCs w:val="22"/>
          <w:lang w:eastAsia="es-ES_tradnl"/>
        </w:rPr>
      </w:pPr>
      <w:r w:rsidRPr="001E7F59">
        <w:rPr>
          <w:rFonts w:ascii="Palatino Linotype" w:eastAsia="Calibri" w:hAnsi="Palatino Linotype" w:cs="Tahoma"/>
          <w:b/>
          <w:iCs/>
          <w:sz w:val="22"/>
          <w:szCs w:val="22"/>
          <w:lang w:eastAsia="es-ES_tradnl"/>
        </w:rPr>
        <w:lastRenderedPageBreak/>
        <w:t>Certificado médico</w:t>
      </w:r>
    </w:p>
    <w:p w14:paraId="53B9E8C5" w14:textId="77777777" w:rsidR="001B3766" w:rsidRPr="001E7F59" w:rsidRDefault="001B3766" w:rsidP="001B3766">
      <w:pPr>
        <w:spacing w:line="360" w:lineRule="auto"/>
        <w:ind w:left="720"/>
        <w:contextualSpacing/>
        <w:jc w:val="both"/>
        <w:rPr>
          <w:rFonts w:ascii="Palatino Linotype" w:eastAsia="Calibri" w:hAnsi="Palatino Linotype" w:cs="Tahoma"/>
          <w:b/>
          <w:iCs/>
          <w:sz w:val="22"/>
          <w:szCs w:val="22"/>
          <w:lang w:eastAsia="es-ES_tradnl"/>
        </w:rPr>
      </w:pPr>
    </w:p>
    <w:p w14:paraId="1E23A2B0" w14:textId="77777777" w:rsidR="001B3766" w:rsidRPr="001E7F59" w:rsidRDefault="001B3766" w:rsidP="001B3766">
      <w:pPr>
        <w:spacing w:line="360" w:lineRule="auto"/>
        <w:jc w:val="both"/>
        <w:rPr>
          <w:rFonts w:ascii="Palatino Linotype" w:hAnsi="Palatino Linotype" w:cs="Tahoma"/>
          <w:b/>
          <w:bCs/>
          <w:sz w:val="22"/>
          <w:szCs w:val="22"/>
        </w:rPr>
      </w:pPr>
      <w:r w:rsidRPr="001E7F59">
        <w:rPr>
          <w:rFonts w:ascii="Palatino Linotype" w:hAnsi="Palatino Linotype" w:cs="Tahoma"/>
          <w:sz w:val="22"/>
          <w:szCs w:val="22"/>
        </w:rPr>
        <w:t xml:space="preserve">En principio, es de señalar que cualquier información que dé cuenta del </w:t>
      </w:r>
      <w:r w:rsidRPr="001E7F59">
        <w:rPr>
          <w:rFonts w:ascii="Palatino Linotype" w:hAnsi="Palatino Linotype" w:cs="Tahoma"/>
          <w:b/>
          <w:bCs/>
          <w:sz w:val="22"/>
          <w:szCs w:val="22"/>
        </w:rPr>
        <w:t>estado de salud de una persona</w:t>
      </w:r>
      <w:r w:rsidRPr="001E7F59">
        <w:rPr>
          <w:rFonts w:ascii="Palatino Linotype" w:hAnsi="Palatino Linotype" w:cs="Tahoma"/>
          <w:sz w:val="22"/>
          <w:szCs w:val="22"/>
        </w:rPr>
        <w:t xml:space="preserve">, concierne a su vida íntima y privada; lo anterior, pues el artículo 4°, fracción XII, de la Ley de Protección de Datos Personales en Posesión de Sujetos Obligados del Estado de México y Municipios, establece que los datos personales sensibles, son aquellos cuya utilización indebida, puedan dar origen a discriminación o conlleven a un riesgo grave para éste, entre los cuales se encuentran los que </w:t>
      </w:r>
      <w:r w:rsidRPr="001E7F59">
        <w:rPr>
          <w:rFonts w:ascii="Palatino Linotype" w:hAnsi="Palatino Linotype" w:cs="Tahoma"/>
          <w:b/>
          <w:bCs/>
          <w:sz w:val="22"/>
          <w:szCs w:val="22"/>
        </w:rPr>
        <w:t>den cuenta del estado de salud, ya sea físico o mental.</w:t>
      </w:r>
    </w:p>
    <w:p w14:paraId="5824FA99" w14:textId="77777777" w:rsidR="001B3766" w:rsidRPr="001E7F59" w:rsidRDefault="001B3766" w:rsidP="001B3766">
      <w:pPr>
        <w:spacing w:line="360" w:lineRule="auto"/>
        <w:jc w:val="both"/>
        <w:rPr>
          <w:rFonts w:ascii="Palatino Linotype" w:hAnsi="Palatino Linotype" w:cs="Tahoma"/>
          <w:sz w:val="22"/>
          <w:szCs w:val="22"/>
        </w:rPr>
      </w:pPr>
    </w:p>
    <w:p w14:paraId="1DAEB66C" w14:textId="0C2A5016" w:rsidR="001B3766" w:rsidRPr="001E7F59" w:rsidRDefault="001B3766" w:rsidP="001B3766">
      <w:pPr>
        <w:spacing w:line="360" w:lineRule="auto"/>
        <w:ind w:right="-93"/>
        <w:jc w:val="both"/>
        <w:rPr>
          <w:rFonts w:ascii="Palatino Linotype" w:eastAsia="Calibri" w:hAnsi="Palatino Linotype" w:cs="Tahoma"/>
          <w:sz w:val="22"/>
          <w:szCs w:val="22"/>
          <w:lang w:val="es-ES"/>
        </w:rPr>
      </w:pPr>
      <w:r w:rsidRPr="001E7F59">
        <w:rPr>
          <w:rFonts w:ascii="Palatino Linotype" w:eastAsia="Calibri" w:hAnsi="Palatino Linotype" w:cs="Tahoma"/>
          <w:sz w:val="22"/>
          <w:szCs w:val="22"/>
          <w:lang w:val="es-ES"/>
        </w:rPr>
        <w:t xml:space="preserve">De tales circunstancias, se considera </w:t>
      </w:r>
      <w:r w:rsidRPr="001E7F59">
        <w:rPr>
          <w:rFonts w:ascii="Palatino Linotype" w:eastAsia="Calibri" w:hAnsi="Palatino Linotype" w:cs="Tahoma"/>
          <w:b/>
          <w:sz w:val="22"/>
          <w:szCs w:val="22"/>
          <w:lang w:val="es-ES"/>
        </w:rPr>
        <w:t>que la información contenida en el certificado médico, únicamente identifica el estado de salud físico de la servidora pública, lo cual guarda el carácter confidencial, en términos del artículo 143, fracción I,</w:t>
      </w:r>
      <w:r w:rsidRPr="001E7F59">
        <w:rPr>
          <w:rFonts w:ascii="Palatino Linotype" w:eastAsia="Calibri" w:hAnsi="Palatino Linotype" w:cs="Tahoma"/>
          <w:sz w:val="22"/>
          <w:szCs w:val="22"/>
          <w:lang w:val="es-ES"/>
        </w:rPr>
        <w:t xml:space="preserve"> de la Ley de Transparencia y Acceso a la Información Pública del Estado de México y Municipios.</w:t>
      </w:r>
    </w:p>
    <w:p w14:paraId="529903DB" w14:textId="77777777" w:rsidR="001B3766" w:rsidRPr="001E7F59" w:rsidRDefault="001B3766" w:rsidP="001B3766">
      <w:pPr>
        <w:spacing w:line="360" w:lineRule="auto"/>
        <w:jc w:val="both"/>
        <w:rPr>
          <w:rFonts w:ascii="Palatino Linotype" w:eastAsia="Calibri" w:hAnsi="Palatino Linotype" w:cs="Tahoma"/>
          <w:b/>
          <w:bCs/>
          <w:sz w:val="22"/>
          <w:szCs w:val="22"/>
        </w:rPr>
      </w:pPr>
    </w:p>
    <w:p w14:paraId="5335D25B" w14:textId="4E4F16F6" w:rsidR="001B3766" w:rsidRPr="001E7F59" w:rsidRDefault="001B3766" w:rsidP="001B3766">
      <w:pPr>
        <w:numPr>
          <w:ilvl w:val="0"/>
          <w:numId w:val="13"/>
        </w:numPr>
        <w:spacing w:after="160" w:line="360" w:lineRule="auto"/>
        <w:contextualSpacing/>
        <w:jc w:val="both"/>
        <w:rPr>
          <w:rFonts w:ascii="Palatino Linotype" w:eastAsia="Calibri" w:hAnsi="Palatino Linotype" w:cs="Tahoma"/>
          <w:b/>
          <w:bCs/>
          <w:sz w:val="22"/>
          <w:szCs w:val="22"/>
        </w:rPr>
      </w:pPr>
      <w:r w:rsidRPr="001E7F59">
        <w:rPr>
          <w:rFonts w:ascii="Palatino Linotype" w:eastAsia="Calibri" w:hAnsi="Palatino Linotype" w:cs="Tahoma"/>
          <w:b/>
          <w:bCs/>
          <w:sz w:val="22"/>
          <w:szCs w:val="22"/>
        </w:rPr>
        <w:t>Estado civil</w:t>
      </w:r>
    </w:p>
    <w:p w14:paraId="52D3D92E" w14:textId="77777777" w:rsidR="001B3766" w:rsidRPr="001E7F59" w:rsidRDefault="001B3766" w:rsidP="001B3766">
      <w:pPr>
        <w:spacing w:line="360" w:lineRule="auto"/>
        <w:jc w:val="both"/>
        <w:rPr>
          <w:rFonts w:ascii="Palatino Linotype" w:eastAsia="Calibri" w:hAnsi="Palatino Linotype" w:cs="Tahoma"/>
          <w:b/>
          <w:bCs/>
          <w:sz w:val="22"/>
          <w:szCs w:val="22"/>
        </w:rPr>
      </w:pPr>
    </w:p>
    <w:p w14:paraId="243F97AC" w14:textId="77777777" w:rsidR="001B3766" w:rsidRPr="001E7F59" w:rsidRDefault="001B3766" w:rsidP="001B3766">
      <w:pPr>
        <w:spacing w:line="360" w:lineRule="auto"/>
        <w:jc w:val="both"/>
        <w:rPr>
          <w:rFonts w:ascii="Palatino Linotype" w:eastAsia="Calibri" w:hAnsi="Palatino Linotype" w:cs="Tahoma"/>
          <w:bCs/>
          <w:sz w:val="22"/>
          <w:szCs w:val="22"/>
          <w:lang w:val="es-ES"/>
        </w:rPr>
      </w:pPr>
      <w:r w:rsidRPr="001E7F59">
        <w:rPr>
          <w:rFonts w:ascii="Palatino Linotype" w:eastAsia="Calibri" w:hAnsi="Palatino Linotype" w:cs="Tahoma"/>
          <w:bCs/>
          <w:sz w:val="22"/>
          <w:szCs w:val="22"/>
          <w:lang w:val="es-ES"/>
        </w:rPr>
        <w:t>El estado civil es un atributo de la personalidad, de acuerdo al artículo 2.3 del Código Civil del Estado de México, e indica si las personas son solteras o casadas y sólo se comprueba con las constancias relativas del Registro Civil. Por lo que es un tema que tiene que ver con la vida privada, ya que, para acceder a un cargo público, el estado civil de las personas es irrelevante, ya que tener uno u otro no influye en el mejor o menor desempeño de un cargo público.</w:t>
      </w:r>
    </w:p>
    <w:p w14:paraId="36AA72C8" w14:textId="77777777" w:rsidR="001B3766" w:rsidRPr="001E7F59" w:rsidRDefault="001B3766" w:rsidP="001B3766">
      <w:pPr>
        <w:spacing w:line="360" w:lineRule="auto"/>
        <w:jc w:val="both"/>
        <w:rPr>
          <w:rFonts w:ascii="Palatino Linotype" w:eastAsia="Calibri" w:hAnsi="Palatino Linotype" w:cs="Tahoma"/>
          <w:bCs/>
          <w:sz w:val="22"/>
          <w:szCs w:val="22"/>
          <w:lang w:val="es-ES"/>
        </w:rPr>
      </w:pPr>
    </w:p>
    <w:p w14:paraId="44023F91" w14:textId="77777777" w:rsidR="001B3766" w:rsidRPr="001E7F59" w:rsidRDefault="001B3766" w:rsidP="001B3766">
      <w:pPr>
        <w:spacing w:line="360" w:lineRule="auto"/>
        <w:jc w:val="both"/>
        <w:rPr>
          <w:rFonts w:ascii="Palatino Linotype" w:eastAsia="Calibri" w:hAnsi="Palatino Linotype" w:cs="Tahoma"/>
          <w:bCs/>
          <w:sz w:val="22"/>
          <w:szCs w:val="22"/>
          <w:lang w:val="es-ES"/>
        </w:rPr>
      </w:pPr>
      <w:r w:rsidRPr="001E7F59">
        <w:rPr>
          <w:rFonts w:ascii="Palatino Linotype" w:eastAsia="Calibri" w:hAnsi="Palatino Linotype" w:cs="Tahoma"/>
          <w:bCs/>
          <w:sz w:val="22"/>
          <w:szCs w:val="22"/>
          <w:lang w:val="es-ES"/>
        </w:rPr>
        <w:t xml:space="preserve">De esta manera, se trata de un dato personal confidencial que tiene que ver únicamente con la vida privada de las personas, motivo por el cual se considera un dato personal en términos </w:t>
      </w:r>
      <w:r w:rsidRPr="001E7F59">
        <w:rPr>
          <w:rFonts w:ascii="Palatino Linotype" w:eastAsia="Calibri" w:hAnsi="Palatino Linotype" w:cs="Tahoma"/>
          <w:bCs/>
          <w:sz w:val="22"/>
          <w:szCs w:val="22"/>
          <w:lang w:val="es-ES"/>
        </w:rPr>
        <w:lastRenderedPageBreak/>
        <w:t>del artículo 143, fracción I de la Ley de Transparencia y Acceso a la Información Pública del Estado de México y Municipios.</w:t>
      </w:r>
    </w:p>
    <w:p w14:paraId="254D8082" w14:textId="77777777" w:rsidR="001B3766" w:rsidRPr="001E7F59" w:rsidRDefault="001B3766" w:rsidP="001B3766">
      <w:pPr>
        <w:spacing w:line="360" w:lineRule="auto"/>
        <w:jc w:val="both"/>
        <w:rPr>
          <w:rFonts w:ascii="Palatino Linotype" w:eastAsia="Calibri" w:hAnsi="Palatino Linotype" w:cs="Tahoma"/>
          <w:bCs/>
          <w:sz w:val="22"/>
          <w:szCs w:val="22"/>
          <w:lang w:val="es-ES"/>
        </w:rPr>
      </w:pPr>
    </w:p>
    <w:p w14:paraId="2947C51C" w14:textId="4B30B355" w:rsidR="001B3766" w:rsidRPr="001E7F59" w:rsidRDefault="001B3766" w:rsidP="001B3766">
      <w:pPr>
        <w:numPr>
          <w:ilvl w:val="0"/>
          <w:numId w:val="13"/>
        </w:numPr>
        <w:spacing w:after="160" w:line="360" w:lineRule="auto"/>
        <w:contextualSpacing/>
        <w:jc w:val="both"/>
        <w:rPr>
          <w:rFonts w:ascii="Palatino Linotype" w:hAnsi="Palatino Linotype" w:cs="Tahoma"/>
          <w:sz w:val="22"/>
          <w:szCs w:val="22"/>
        </w:rPr>
      </w:pPr>
      <w:r w:rsidRPr="001E7F59">
        <w:rPr>
          <w:rFonts w:ascii="Palatino Linotype" w:hAnsi="Palatino Linotype" w:cs="Tahoma"/>
          <w:b/>
          <w:sz w:val="22"/>
          <w:szCs w:val="22"/>
        </w:rPr>
        <w:t>Correo electrónico particular</w:t>
      </w:r>
    </w:p>
    <w:p w14:paraId="41617A65" w14:textId="77777777" w:rsidR="001B3766" w:rsidRPr="001E7F59" w:rsidRDefault="001B3766" w:rsidP="001B3766">
      <w:pPr>
        <w:spacing w:line="360" w:lineRule="auto"/>
        <w:jc w:val="both"/>
        <w:rPr>
          <w:rFonts w:ascii="Palatino Linotype" w:eastAsia="Calibri" w:hAnsi="Palatino Linotype" w:cs="Tahoma"/>
          <w:bCs/>
          <w:sz w:val="22"/>
          <w:szCs w:val="22"/>
          <w:lang w:val="es-ES"/>
        </w:rPr>
      </w:pPr>
    </w:p>
    <w:p w14:paraId="53A14982" w14:textId="77777777" w:rsidR="001B3766" w:rsidRPr="001E7F59" w:rsidRDefault="001B3766" w:rsidP="001B3766">
      <w:pPr>
        <w:spacing w:line="360" w:lineRule="auto"/>
        <w:jc w:val="both"/>
        <w:rPr>
          <w:rFonts w:ascii="Palatino Linotype" w:eastAsia="Calibri" w:hAnsi="Palatino Linotype" w:cs="Tahoma"/>
          <w:bCs/>
          <w:sz w:val="22"/>
          <w:szCs w:val="22"/>
          <w:lang w:val="es-ES"/>
        </w:rPr>
      </w:pPr>
      <w:r w:rsidRPr="001E7F59">
        <w:rPr>
          <w:rFonts w:ascii="Palatino Linotype" w:eastAsia="Calibri" w:hAnsi="Palatino Linotype" w:cs="Tahoma"/>
          <w:bCs/>
          <w:sz w:val="22"/>
          <w:szCs w:val="22"/>
          <w:lang w:val="es-ES"/>
        </w:rPr>
        <w:t>El correo electrónico es un sistema de transmisión de mensajes por computadora a través de redes informáticas. Dicho dato se puede asimilar al teléfono o domicilio particular, cuya nomenclatura, se considera como un dato personal, toda vez que es un medio para comunicarse con la persona titular del mismo, la hace localizable e incluso identificable, al poder estar conformado por parte de su nombre o bien, fecha de nacimiento.</w:t>
      </w:r>
    </w:p>
    <w:p w14:paraId="6D8DF1BE" w14:textId="77777777" w:rsidR="001B3766" w:rsidRPr="001E7F59" w:rsidRDefault="001B3766" w:rsidP="001B3766">
      <w:pPr>
        <w:spacing w:line="360" w:lineRule="auto"/>
        <w:jc w:val="both"/>
        <w:rPr>
          <w:rFonts w:ascii="Palatino Linotype" w:eastAsia="Calibri" w:hAnsi="Palatino Linotype" w:cs="Tahoma"/>
          <w:bCs/>
          <w:sz w:val="22"/>
          <w:szCs w:val="22"/>
          <w:lang w:val="es-ES"/>
        </w:rPr>
      </w:pPr>
    </w:p>
    <w:p w14:paraId="797FE6FA" w14:textId="77777777" w:rsidR="001B3766" w:rsidRPr="001E7F59" w:rsidRDefault="001B3766" w:rsidP="001B3766">
      <w:pPr>
        <w:spacing w:line="360" w:lineRule="auto"/>
        <w:jc w:val="both"/>
        <w:rPr>
          <w:rFonts w:ascii="Palatino Linotype" w:eastAsia="Calibri" w:hAnsi="Palatino Linotype" w:cs="Tahoma"/>
          <w:bCs/>
          <w:sz w:val="22"/>
          <w:szCs w:val="22"/>
          <w:lang w:val="es-ES"/>
        </w:rPr>
      </w:pPr>
      <w:r w:rsidRPr="001E7F59">
        <w:rPr>
          <w:rFonts w:ascii="Palatino Linotype" w:eastAsia="Calibri" w:hAnsi="Palatino Linotype" w:cs="Tahoma"/>
          <w:bCs/>
          <w:sz w:val="22"/>
          <w:szCs w:val="22"/>
          <w:lang w:val="es-ES"/>
        </w:rPr>
        <w:t>En ese sentido,  cabe señalar que el correo electrónico en estudio fue proporcionado por una servidora pública en su carácter de particular, por lo que, mantiene su carácter primigenio, es decir, que la titularidad de dicho dato corresponde a la persona física y no así en su calidad de trabajador del Gobierno; por lo que corresponde a un dato personal que actualiza la causal de clasificación establecida en el artículo 143, fracción I de la Ley de Transparencia y Acceso a la Información Pública del Estado de México y Municipios.</w:t>
      </w:r>
    </w:p>
    <w:p w14:paraId="3ACD06D2" w14:textId="77777777" w:rsidR="001B3766" w:rsidRPr="001E7F59" w:rsidRDefault="001B3766" w:rsidP="001B3766">
      <w:pPr>
        <w:spacing w:line="360" w:lineRule="auto"/>
        <w:jc w:val="both"/>
        <w:rPr>
          <w:rFonts w:ascii="Palatino Linotype" w:eastAsia="Calibri" w:hAnsi="Palatino Linotype" w:cs="Tahoma"/>
          <w:bCs/>
          <w:sz w:val="22"/>
          <w:szCs w:val="22"/>
          <w:lang w:val="es-ES"/>
        </w:rPr>
      </w:pPr>
    </w:p>
    <w:p w14:paraId="668B85D2" w14:textId="265CA729" w:rsidR="001B3766" w:rsidRPr="001E7F59" w:rsidRDefault="001B3766" w:rsidP="001B3766">
      <w:pPr>
        <w:numPr>
          <w:ilvl w:val="0"/>
          <w:numId w:val="13"/>
        </w:numPr>
        <w:spacing w:after="160" w:line="360" w:lineRule="auto"/>
        <w:contextualSpacing/>
        <w:jc w:val="both"/>
        <w:rPr>
          <w:rFonts w:ascii="Palatino Linotype" w:hAnsi="Palatino Linotype" w:cs="Tahoma"/>
          <w:sz w:val="22"/>
          <w:szCs w:val="22"/>
        </w:rPr>
      </w:pPr>
      <w:r w:rsidRPr="001E7F59">
        <w:rPr>
          <w:rFonts w:ascii="Palatino Linotype" w:hAnsi="Palatino Linotype" w:cs="Tahoma"/>
          <w:b/>
          <w:sz w:val="22"/>
          <w:szCs w:val="22"/>
        </w:rPr>
        <w:t>Teléfono y celular particular</w:t>
      </w:r>
    </w:p>
    <w:p w14:paraId="1199B9D6" w14:textId="77777777" w:rsidR="001B3766" w:rsidRPr="001E7F59" w:rsidRDefault="001B3766" w:rsidP="001B3766">
      <w:pPr>
        <w:spacing w:line="360" w:lineRule="auto"/>
        <w:jc w:val="both"/>
        <w:rPr>
          <w:rFonts w:ascii="Palatino Linotype" w:hAnsi="Palatino Linotype" w:cs="Tahoma"/>
          <w:sz w:val="22"/>
          <w:szCs w:val="22"/>
        </w:rPr>
      </w:pPr>
    </w:p>
    <w:p w14:paraId="517AF379" w14:textId="77777777" w:rsidR="001B3766" w:rsidRPr="001E7F59" w:rsidRDefault="001B3766" w:rsidP="001B3766">
      <w:pPr>
        <w:spacing w:line="360" w:lineRule="auto"/>
        <w:jc w:val="both"/>
        <w:rPr>
          <w:rFonts w:ascii="Palatino Linotype" w:hAnsi="Palatino Linotype" w:cs="Tahoma"/>
          <w:sz w:val="22"/>
          <w:szCs w:val="22"/>
        </w:rPr>
      </w:pPr>
      <w:r w:rsidRPr="001E7F59">
        <w:rPr>
          <w:rFonts w:ascii="Palatino Linotype" w:hAnsi="Palatino Linotype" w:cs="Tahoma"/>
          <w:sz w:val="22"/>
          <w:szCs w:val="22"/>
        </w:rPr>
        <w:t xml:space="preserve">Al igual que el correo electrónico, el número asignado a un teléfono particular o celular permite localizar a una persona física identificada o identificable, ya sea a través de un dispositivo móvil o bien, en un lugar como el domicilio. </w:t>
      </w:r>
    </w:p>
    <w:p w14:paraId="74DB53A7" w14:textId="77777777" w:rsidR="001B3766" w:rsidRPr="001E7F59" w:rsidRDefault="001B3766" w:rsidP="001B3766">
      <w:pPr>
        <w:spacing w:line="360" w:lineRule="auto"/>
        <w:jc w:val="both"/>
        <w:rPr>
          <w:rFonts w:ascii="Palatino Linotype" w:hAnsi="Palatino Linotype" w:cs="Tahoma"/>
          <w:sz w:val="22"/>
          <w:szCs w:val="22"/>
        </w:rPr>
      </w:pPr>
    </w:p>
    <w:p w14:paraId="1D2520AF" w14:textId="77777777" w:rsidR="001B3766" w:rsidRPr="001E7F59" w:rsidRDefault="001B3766" w:rsidP="001B3766">
      <w:pPr>
        <w:spacing w:line="360" w:lineRule="auto"/>
        <w:jc w:val="both"/>
        <w:rPr>
          <w:rFonts w:ascii="Palatino Linotype" w:hAnsi="Palatino Linotype" w:cs="Tahoma"/>
          <w:sz w:val="22"/>
          <w:szCs w:val="22"/>
        </w:rPr>
      </w:pPr>
      <w:r w:rsidRPr="001E7F59">
        <w:rPr>
          <w:rFonts w:ascii="Palatino Linotype" w:hAnsi="Palatino Linotype" w:cs="Tahoma"/>
          <w:sz w:val="22"/>
          <w:szCs w:val="22"/>
        </w:rPr>
        <w:t xml:space="preserve">En ese sentido, se colige que si bien fue proporcionado por la ahora servidora pública que ocupa el cargo de Titular de la Unidad de Transparencia, lo cierto es que fue proporcionado </w:t>
      </w:r>
      <w:r w:rsidRPr="001E7F59">
        <w:rPr>
          <w:rFonts w:ascii="Palatino Linotype" w:hAnsi="Palatino Linotype" w:cs="Tahoma"/>
          <w:sz w:val="22"/>
          <w:szCs w:val="22"/>
        </w:rPr>
        <w:lastRenderedPageBreak/>
        <w:t>como número contacto, para poder ser localizada de manera privada; por lo que, la titularidad del mismo, al igual que el correo electrónico analizado, corresponde a la persona física en su calidad de particular y no como servidor público.</w:t>
      </w:r>
    </w:p>
    <w:p w14:paraId="3463AC85" w14:textId="77777777" w:rsidR="001B3766" w:rsidRPr="001E7F59" w:rsidRDefault="001B3766" w:rsidP="001B3766">
      <w:pPr>
        <w:spacing w:line="360" w:lineRule="auto"/>
        <w:jc w:val="both"/>
        <w:rPr>
          <w:rFonts w:ascii="Palatino Linotype" w:hAnsi="Palatino Linotype" w:cs="Tahoma"/>
          <w:sz w:val="22"/>
          <w:szCs w:val="22"/>
        </w:rPr>
      </w:pPr>
    </w:p>
    <w:p w14:paraId="6EDE4713" w14:textId="77777777" w:rsidR="001B3766" w:rsidRPr="001E7F59" w:rsidRDefault="001B3766" w:rsidP="001B3766">
      <w:pPr>
        <w:spacing w:line="360" w:lineRule="auto"/>
        <w:jc w:val="both"/>
        <w:rPr>
          <w:rFonts w:ascii="Palatino Linotype" w:hAnsi="Palatino Linotype" w:cs="Tahoma"/>
          <w:sz w:val="22"/>
          <w:szCs w:val="22"/>
        </w:rPr>
      </w:pPr>
      <w:r w:rsidRPr="001E7F59">
        <w:rPr>
          <w:rFonts w:ascii="Palatino Linotype" w:hAnsi="Palatino Linotype" w:cs="Tahoma"/>
          <w:sz w:val="22"/>
          <w:szCs w:val="22"/>
        </w:rPr>
        <w:t>En tales consideraciones, dicho dato personal es susceptible de ser clasificado como confidencial, con fundamento en el artículo 143, fracción I de la Ley de Transparencia y Acceso a la Información Pública.</w:t>
      </w:r>
    </w:p>
    <w:p w14:paraId="60599F28" w14:textId="77777777" w:rsidR="001B3766" w:rsidRPr="001E7F59" w:rsidRDefault="001B3766" w:rsidP="001B3766">
      <w:pPr>
        <w:tabs>
          <w:tab w:val="left" w:pos="4962"/>
        </w:tabs>
        <w:spacing w:line="360" w:lineRule="auto"/>
        <w:ind w:right="-28"/>
        <w:jc w:val="both"/>
        <w:rPr>
          <w:rFonts w:ascii="Palatino Linotype" w:eastAsia="Calibri" w:hAnsi="Palatino Linotype" w:cs="Tahoma"/>
          <w:b/>
          <w:iCs/>
          <w:sz w:val="22"/>
          <w:szCs w:val="22"/>
          <w:lang w:eastAsia="es-ES_tradnl"/>
        </w:rPr>
      </w:pPr>
    </w:p>
    <w:p w14:paraId="5AB82538" w14:textId="289385B9" w:rsidR="007122E3" w:rsidRPr="001E7F59" w:rsidRDefault="007122E3" w:rsidP="0041173D">
      <w:pPr>
        <w:numPr>
          <w:ilvl w:val="0"/>
          <w:numId w:val="13"/>
        </w:numPr>
        <w:tabs>
          <w:tab w:val="num" w:pos="720"/>
        </w:tabs>
        <w:spacing w:after="160" w:line="360" w:lineRule="auto"/>
        <w:jc w:val="both"/>
        <w:rPr>
          <w:rFonts w:ascii="Palatino Linotype" w:eastAsia="Calibri" w:hAnsi="Palatino Linotype" w:cs="Tahoma"/>
          <w:bCs/>
          <w:color w:val="000000" w:themeColor="text1"/>
          <w:sz w:val="22"/>
          <w:szCs w:val="22"/>
          <w:lang w:eastAsia="en-US"/>
        </w:rPr>
      </w:pPr>
      <w:r w:rsidRPr="001E7F59">
        <w:rPr>
          <w:rFonts w:ascii="Palatino Linotype" w:hAnsi="Palatino Linotype" w:cs="Tahoma"/>
          <w:b/>
          <w:bCs/>
          <w:sz w:val="22"/>
          <w:szCs w:val="22"/>
        </w:rPr>
        <w:t>Datos</w:t>
      </w:r>
      <w:r w:rsidRPr="001E7F59">
        <w:rPr>
          <w:rFonts w:ascii="Palatino Linotype" w:eastAsia="Calibri" w:hAnsi="Palatino Linotype" w:cs="Tahoma"/>
          <w:b/>
          <w:bCs/>
          <w:color w:val="000000" w:themeColor="text1"/>
          <w:sz w:val="22"/>
          <w:szCs w:val="22"/>
          <w:lang w:eastAsia="en-US"/>
        </w:rPr>
        <w:t xml:space="preserve"> </w:t>
      </w:r>
      <w:bookmarkStart w:id="19" w:name="_Hlk108682634"/>
      <w:r w:rsidRPr="001E7F59">
        <w:rPr>
          <w:rFonts w:ascii="Palatino Linotype" w:eastAsia="Calibri" w:hAnsi="Palatino Linotype" w:cs="Tahoma"/>
          <w:b/>
          <w:bCs/>
          <w:color w:val="000000" w:themeColor="text1"/>
          <w:sz w:val="22"/>
          <w:szCs w:val="22"/>
          <w:lang w:eastAsia="en-US"/>
        </w:rPr>
        <w:t>de institución educativa, número de acuerdo de reconocimiento de validez oficial de estudios, clave de carrera, plan de estudios, denominación, campus o plantel, materias cursadas, fechas, folios, lugar de expedición</w:t>
      </w:r>
      <w:bookmarkEnd w:id="19"/>
      <w:r w:rsidRPr="001E7F59">
        <w:rPr>
          <w:rFonts w:ascii="Palatino Linotype" w:eastAsia="Calibri" w:hAnsi="Palatino Linotype" w:cs="Tahoma"/>
          <w:b/>
          <w:bCs/>
          <w:color w:val="000000" w:themeColor="text1"/>
          <w:sz w:val="22"/>
          <w:szCs w:val="22"/>
          <w:lang w:eastAsia="en-US"/>
        </w:rPr>
        <w:t xml:space="preserve">, </w:t>
      </w:r>
      <w:r w:rsidR="00096C00" w:rsidRPr="001E7F59">
        <w:rPr>
          <w:rFonts w:ascii="Palatino Linotype" w:eastAsia="Calibri" w:hAnsi="Palatino Linotype" w:cs="Tahoma"/>
          <w:b/>
          <w:bCs/>
          <w:color w:val="000000" w:themeColor="text1"/>
          <w:sz w:val="22"/>
          <w:szCs w:val="22"/>
          <w:lang w:eastAsia="en-US"/>
        </w:rPr>
        <w:t>calificaciones y promedio</w:t>
      </w:r>
    </w:p>
    <w:p w14:paraId="7C0A6FE7" w14:textId="77777777" w:rsidR="00096C00" w:rsidRPr="001E7F59" w:rsidRDefault="00096C00" w:rsidP="00096C00">
      <w:pPr>
        <w:spacing w:after="160" w:line="360" w:lineRule="auto"/>
        <w:ind w:left="720"/>
        <w:jc w:val="both"/>
        <w:rPr>
          <w:rFonts w:ascii="Palatino Linotype" w:eastAsia="Calibri" w:hAnsi="Palatino Linotype" w:cs="Tahoma"/>
          <w:bCs/>
          <w:color w:val="000000" w:themeColor="text1"/>
          <w:sz w:val="22"/>
          <w:szCs w:val="22"/>
          <w:lang w:eastAsia="en-US"/>
        </w:rPr>
      </w:pPr>
    </w:p>
    <w:p w14:paraId="6578CA61" w14:textId="77777777" w:rsidR="007122E3" w:rsidRPr="001E7F59" w:rsidRDefault="007122E3" w:rsidP="007122E3">
      <w:pPr>
        <w:spacing w:line="360" w:lineRule="auto"/>
        <w:jc w:val="both"/>
        <w:rPr>
          <w:rFonts w:ascii="Palatino Linotype" w:eastAsia="Calibri" w:hAnsi="Palatino Linotype" w:cs="Tahoma"/>
          <w:bCs/>
          <w:color w:val="000000" w:themeColor="text1"/>
          <w:sz w:val="22"/>
          <w:szCs w:val="22"/>
          <w:lang w:eastAsia="en-US"/>
        </w:rPr>
      </w:pPr>
      <w:r w:rsidRPr="001E7F59">
        <w:rPr>
          <w:rFonts w:ascii="Palatino Linotype" w:eastAsia="Calibri" w:hAnsi="Palatino Linotype" w:cs="Tahoma"/>
          <w:bCs/>
          <w:color w:val="000000" w:themeColor="text1"/>
          <w:sz w:val="22"/>
          <w:szCs w:val="22"/>
          <w:lang w:eastAsia="en-US"/>
        </w:rPr>
        <w:t>Al respecto, sobre dichos datos, este Instituto no advierte de que forma, darlos a conocer puede afectar a la intimidad o privacidad del servidor público, pues al contrario, abonan a la transparencia, pues los datos le dan validez al documento, al conocer cuando curso el grado de estudios, ante que Institución, si tiene validez oficial ante la Secretaría de Educación y los folios ; además que permite identificar y robustecer el grado conocimientos con los que cuenta el servidor público, al conocer las materias que curso y el plan de estudios.</w:t>
      </w:r>
    </w:p>
    <w:p w14:paraId="65F8E0CC" w14:textId="77777777" w:rsidR="007122E3" w:rsidRPr="001E7F59" w:rsidRDefault="007122E3" w:rsidP="007122E3">
      <w:pPr>
        <w:spacing w:line="360" w:lineRule="auto"/>
        <w:jc w:val="both"/>
        <w:rPr>
          <w:rFonts w:ascii="Palatino Linotype" w:eastAsia="Calibri" w:hAnsi="Palatino Linotype" w:cs="Tahoma"/>
          <w:bCs/>
          <w:color w:val="000000" w:themeColor="text1"/>
          <w:sz w:val="22"/>
          <w:szCs w:val="22"/>
          <w:lang w:eastAsia="en-US"/>
        </w:rPr>
      </w:pPr>
    </w:p>
    <w:p w14:paraId="17D4F217" w14:textId="49E9C767" w:rsidR="007122E3" w:rsidRPr="001E7F59" w:rsidRDefault="007122E3" w:rsidP="007122E3">
      <w:pPr>
        <w:spacing w:line="360" w:lineRule="auto"/>
        <w:jc w:val="both"/>
        <w:rPr>
          <w:rFonts w:ascii="Palatino Linotype" w:eastAsia="Calibri" w:hAnsi="Palatino Linotype" w:cs="Tahoma"/>
          <w:bCs/>
          <w:color w:val="000000" w:themeColor="text1"/>
          <w:sz w:val="22"/>
          <w:szCs w:val="22"/>
          <w:lang w:eastAsia="en-US"/>
        </w:rPr>
      </w:pPr>
      <w:r w:rsidRPr="001E7F59">
        <w:rPr>
          <w:rFonts w:ascii="Palatino Linotype" w:eastAsia="Calibri" w:hAnsi="Palatino Linotype" w:cs="Tahoma"/>
          <w:bCs/>
          <w:color w:val="000000" w:themeColor="text1"/>
          <w:sz w:val="22"/>
          <w:szCs w:val="22"/>
          <w:lang w:eastAsia="en-US"/>
        </w:rPr>
        <w:t xml:space="preserve">Por lo que, los datos concernientes a la institución educativa, número de acuerdo de reconocimiento de validez oficial de estudios, clave de carrera, plan de estudios, denominación, campus o plantel, materias cursadas, fechas, folios, </w:t>
      </w:r>
      <w:r w:rsidR="00096C00" w:rsidRPr="001E7F59">
        <w:rPr>
          <w:rFonts w:ascii="Palatino Linotype" w:eastAsia="Calibri" w:hAnsi="Palatino Linotype" w:cs="Tahoma"/>
          <w:bCs/>
          <w:color w:val="000000" w:themeColor="text1"/>
          <w:sz w:val="22"/>
          <w:szCs w:val="22"/>
          <w:lang w:eastAsia="en-US"/>
        </w:rPr>
        <w:t xml:space="preserve">número de matrícula, calificaciones, promedios, </w:t>
      </w:r>
      <w:r w:rsidRPr="001E7F59">
        <w:rPr>
          <w:rFonts w:ascii="Palatino Linotype" w:eastAsia="Calibri" w:hAnsi="Palatino Linotype" w:cs="Tahoma"/>
          <w:bCs/>
          <w:color w:val="000000" w:themeColor="text1"/>
          <w:sz w:val="22"/>
          <w:szCs w:val="22"/>
          <w:lang w:eastAsia="en-US"/>
        </w:rPr>
        <w:t xml:space="preserve">lugar de expedición u homólogos, no actualizan la causal de </w:t>
      </w:r>
      <w:r w:rsidRPr="001E7F59">
        <w:rPr>
          <w:rFonts w:ascii="Palatino Linotype" w:eastAsia="Calibri" w:hAnsi="Palatino Linotype" w:cs="Tahoma"/>
          <w:bCs/>
          <w:color w:val="000000" w:themeColor="text1"/>
          <w:sz w:val="22"/>
          <w:szCs w:val="22"/>
          <w:lang w:eastAsia="en-US"/>
        </w:rPr>
        <w:lastRenderedPageBreak/>
        <w:t>clasificación establecida en el artículo 143, fracción I, de la Ley de Transparencia y Acceso a la Información Pública del Estado de México y Municipios.</w:t>
      </w:r>
    </w:p>
    <w:p w14:paraId="5F58191F" w14:textId="77777777" w:rsidR="007122E3" w:rsidRPr="001E7F59" w:rsidRDefault="007122E3" w:rsidP="007122E3">
      <w:pPr>
        <w:spacing w:line="360" w:lineRule="auto"/>
        <w:jc w:val="both"/>
        <w:rPr>
          <w:rFonts w:ascii="Palatino Linotype" w:eastAsia="Calibri" w:hAnsi="Palatino Linotype" w:cs="Tahoma"/>
          <w:bCs/>
          <w:color w:val="000000" w:themeColor="text1"/>
          <w:sz w:val="22"/>
          <w:szCs w:val="22"/>
          <w:lang w:eastAsia="en-US"/>
        </w:rPr>
      </w:pPr>
    </w:p>
    <w:p w14:paraId="33BB593D" w14:textId="74D3B124" w:rsidR="001B3766" w:rsidRPr="001E7F59" w:rsidRDefault="001B3766" w:rsidP="001B3766">
      <w:pPr>
        <w:numPr>
          <w:ilvl w:val="0"/>
          <w:numId w:val="13"/>
        </w:numPr>
        <w:tabs>
          <w:tab w:val="num" w:pos="720"/>
        </w:tabs>
        <w:spacing w:after="160" w:line="360" w:lineRule="auto"/>
        <w:contextualSpacing/>
        <w:jc w:val="both"/>
        <w:rPr>
          <w:rFonts w:ascii="Palatino Linotype" w:hAnsi="Palatino Linotype" w:cs="Tahoma"/>
          <w:b/>
          <w:sz w:val="22"/>
          <w:szCs w:val="22"/>
        </w:rPr>
      </w:pPr>
      <w:r w:rsidRPr="001E7F59">
        <w:rPr>
          <w:rFonts w:ascii="Palatino Linotype" w:eastAsia="Calibri" w:hAnsi="Palatino Linotype" w:cs="Tahoma"/>
          <w:b/>
          <w:bCs/>
          <w:sz w:val="22"/>
          <w:szCs w:val="22"/>
        </w:rPr>
        <w:t>Fotografías de los servidores públicos</w:t>
      </w:r>
    </w:p>
    <w:p w14:paraId="355B3794" w14:textId="77777777" w:rsidR="001B3766" w:rsidRPr="001E7F59" w:rsidRDefault="001B3766" w:rsidP="001B3766">
      <w:pPr>
        <w:widowControl w:val="0"/>
        <w:autoSpaceDE w:val="0"/>
        <w:autoSpaceDN w:val="0"/>
        <w:adjustRightInd w:val="0"/>
        <w:spacing w:line="360" w:lineRule="auto"/>
        <w:jc w:val="both"/>
        <w:rPr>
          <w:rFonts w:ascii="Palatino Linotype" w:hAnsi="Palatino Linotype" w:cs="Tahoma"/>
          <w:b/>
          <w:sz w:val="22"/>
          <w:szCs w:val="22"/>
        </w:rPr>
      </w:pPr>
    </w:p>
    <w:p w14:paraId="076FF383" w14:textId="77777777" w:rsidR="001B3766" w:rsidRPr="001E7F59" w:rsidRDefault="001B3766" w:rsidP="001B3766">
      <w:pPr>
        <w:tabs>
          <w:tab w:val="left" w:pos="4962"/>
        </w:tabs>
        <w:spacing w:line="360" w:lineRule="auto"/>
        <w:jc w:val="both"/>
        <w:rPr>
          <w:rFonts w:ascii="Palatino Linotype" w:eastAsia="Calibri" w:hAnsi="Palatino Linotype" w:cs="Tahoma"/>
          <w:bCs/>
          <w:sz w:val="22"/>
          <w:szCs w:val="22"/>
          <w:lang w:val="es-ES" w:eastAsia="en-US"/>
        </w:rPr>
      </w:pPr>
      <w:r w:rsidRPr="001E7F59">
        <w:rPr>
          <w:rFonts w:ascii="Palatino Linotype" w:eastAsia="Calibri" w:hAnsi="Palatino Linotype" w:cs="Tahoma"/>
          <w:bCs/>
          <w:sz w:val="22"/>
          <w:szCs w:val="22"/>
          <w:lang w:val="es-ES" w:eastAsia="en-US"/>
        </w:rPr>
        <w:t>Por lo que hace a las fotografías, es preciso señalar que estas dan cuenta de las características físicas de los servidores públicos; por lo que, no debe perderse de vista que la imagen personal es la apariencia física, la cual puede ser captada en dibujo, pintura, escultura, fotografía, y video; la imagen así captada puede ser reproducida, publicada y divulgada por diversos medios, desde volantes impresos de la forma más rudimentaria, hasta filmaciones y fotografías transmitidas por televisión cine, video, correo electrónico o Internet.</w:t>
      </w:r>
    </w:p>
    <w:p w14:paraId="6CDD900A" w14:textId="77777777" w:rsidR="001B3766" w:rsidRPr="001E7F59" w:rsidRDefault="001B3766" w:rsidP="001B3766">
      <w:pPr>
        <w:tabs>
          <w:tab w:val="left" w:pos="4962"/>
        </w:tabs>
        <w:spacing w:line="360" w:lineRule="auto"/>
        <w:jc w:val="both"/>
        <w:rPr>
          <w:rFonts w:ascii="Palatino Linotype" w:eastAsia="Calibri" w:hAnsi="Palatino Linotype" w:cs="Tahoma"/>
          <w:bCs/>
          <w:sz w:val="22"/>
          <w:szCs w:val="22"/>
          <w:lang w:val="es-ES" w:eastAsia="en-US"/>
        </w:rPr>
      </w:pPr>
    </w:p>
    <w:p w14:paraId="0AEBAE9C" w14:textId="77777777" w:rsidR="001B3766" w:rsidRPr="001E7F59" w:rsidRDefault="001B3766" w:rsidP="001B3766">
      <w:pPr>
        <w:tabs>
          <w:tab w:val="left" w:pos="4962"/>
        </w:tabs>
        <w:spacing w:line="360" w:lineRule="auto"/>
        <w:jc w:val="both"/>
        <w:rPr>
          <w:rFonts w:ascii="Palatino Linotype" w:eastAsia="Calibri" w:hAnsi="Palatino Linotype" w:cs="Tahoma"/>
          <w:bCs/>
          <w:sz w:val="22"/>
          <w:szCs w:val="22"/>
          <w:lang w:val="es-ES" w:eastAsia="en-US"/>
        </w:rPr>
      </w:pPr>
      <w:r w:rsidRPr="001E7F59">
        <w:rPr>
          <w:rFonts w:ascii="Palatino Linotype" w:eastAsia="Calibri" w:hAnsi="Palatino Linotype" w:cs="Tahoma"/>
          <w:bCs/>
          <w:sz w:val="22"/>
          <w:szCs w:val="22"/>
          <w:lang w:val="es-ES" w:eastAsia="en-US"/>
        </w:rPr>
        <w:t>Así, dichos datos constituyen la reproducción fiel de las características físicas de una persona en un momento determinado, por lo que representan un instrumento de identificación, proyección exterior y factor imprescindible para su propio reconocimiento como sujeto individual; lo que en el presente caso, acreditaría e identificaría a una persona como servidor público, por lo que es posible advertir que existe cierto interés público, cuando la fotografía obra en documentos de servidores públicos vinculados con el cumplimiento de disposiciones legales.</w:t>
      </w:r>
    </w:p>
    <w:p w14:paraId="0E963FD0" w14:textId="77777777" w:rsidR="001B3766" w:rsidRPr="001E7F59" w:rsidRDefault="001B3766" w:rsidP="001B3766">
      <w:pPr>
        <w:tabs>
          <w:tab w:val="left" w:pos="4962"/>
        </w:tabs>
        <w:spacing w:line="360" w:lineRule="auto"/>
        <w:jc w:val="both"/>
        <w:rPr>
          <w:rFonts w:ascii="Palatino Linotype" w:eastAsia="Calibri" w:hAnsi="Palatino Linotype" w:cs="Tahoma"/>
          <w:bCs/>
          <w:sz w:val="22"/>
          <w:szCs w:val="22"/>
          <w:lang w:val="es-ES" w:eastAsia="en-US"/>
        </w:rPr>
      </w:pPr>
    </w:p>
    <w:p w14:paraId="351AB753" w14:textId="77777777" w:rsidR="001B3766" w:rsidRPr="001E7F59" w:rsidRDefault="001B3766" w:rsidP="001B3766">
      <w:pPr>
        <w:tabs>
          <w:tab w:val="left" w:pos="4962"/>
        </w:tabs>
        <w:spacing w:line="360" w:lineRule="auto"/>
        <w:jc w:val="both"/>
        <w:rPr>
          <w:rFonts w:ascii="Palatino Linotype" w:eastAsia="Calibri" w:hAnsi="Palatino Linotype" w:cs="Tahoma"/>
          <w:bCs/>
          <w:sz w:val="22"/>
          <w:szCs w:val="22"/>
          <w:lang w:val="es-ES" w:eastAsia="en-US"/>
        </w:rPr>
      </w:pPr>
      <w:r w:rsidRPr="001E7F59">
        <w:rPr>
          <w:rFonts w:ascii="Palatino Linotype" w:eastAsia="Calibri" w:hAnsi="Palatino Linotype" w:cs="Tahoma"/>
          <w:bCs/>
          <w:sz w:val="22"/>
          <w:szCs w:val="22"/>
          <w:lang w:val="es-ES" w:eastAsia="en-US"/>
        </w:rPr>
        <w:t xml:space="preserve">Además, existen documentos que contienen la fotografía con los cuales se permite identificar que una persona que se acredita como trabajador gubernamental, realmente tiene el cargo con el que se ostenta, otros documentos con los cuales se rinde cuentas a la ciudadanía, por ejemplo cuando se cubre el perfil de puesto; además cuando se brinda servicios a la ciudadanía, es de relevancia conocer e identificar a todos sus trabajadores, no importa el nivel o rango (con excepción del personal operativo en materia de seguridad, respecto del cual el </w:t>
      </w:r>
      <w:r w:rsidRPr="001E7F59">
        <w:rPr>
          <w:rFonts w:ascii="Palatino Linotype" w:eastAsia="Calibri" w:hAnsi="Palatino Linotype" w:cs="Tahoma"/>
          <w:bCs/>
          <w:sz w:val="22"/>
          <w:szCs w:val="22"/>
          <w:lang w:val="es-ES" w:eastAsia="en-US"/>
        </w:rPr>
        <w:lastRenderedPageBreak/>
        <w:t>Pleno de este Instituto ya se ha pronunciado en el sentido de que la información que los haga identificados o identificables debe clasificarse como reservada).</w:t>
      </w:r>
    </w:p>
    <w:p w14:paraId="5CF7BDCC" w14:textId="77777777" w:rsidR="001B3766" w:rsidRPr="001E7F59" w:rsidRDefault="001B3766" w:rsidP="001B3766">
      <w:pPr>
        <w:tabs>
          <w:tab w:val="left" w:pos="4962"/>
        </w:tabs>
        <w:spacing w:line="360" w:lineRule="auto"/>
        <w:jc w:val="both"/>
        <w:rPr>
          <w:rFonts w:ascii="Palatino Linotype" w:eastAsia="Calibri" w:hAnsi="Palatino Linotype" w:cs="Tahoma"/>
          <w:bCs/>
          <w:sz w:val="22"/>
          <w:szCs w:val="22"/>
          <w:lang w:val="es-ES" w:eastAsia="en-US"/>
        </w:rPr>
      </w:pPr>
    </w:p>
    <w:p w14:paraId="2739225D" w14:textId="77777777" w:rsidR="001B3766" w:rsidRPr="001E7F59" w:rsidRDefault="001B3766" w:rsidP="001B3766">
      <w:pPr>
        <w:tabs>
          <w:tab w:val="left" w:pos="4962"/>
        </w:tabs>
        <w:spacing w:line="360" w:lineRule="auto"/>
        <w:jc w:val="both"/>
        <w:rPr>
          <w:rFonts w:ascii="Palatino Linotype" w:eastAsia="Calibri" w:hAnsi="Palatino Linotype" w:cs="Tahoma"/>
          <w:bCs/>
          <w:sz w:val="22"/>
          <w:szCs w:val="22"/>
          <w:lang w:val="es-ES" w:eastAsia="en-US"/>
        </w:rPr>
      </w:pPr>
      <w:r w:rsidRPr="001E7F59">
        <w:rPr>
          <w:rFonts w:ascii="Palatino Linotype" w:eastAsia="Calibri" w:hAnsi="Palatino Linotype" w:cs="Tahoma"/>
          <w:bCs/>
          <w:sz w:val="22"/>
          <w:szCs w:val="22"/>
          <w:lang w:val="es-ES" w:eastAsia="en-US"/>
        </w:rPr>
        <w:t>En este sentido, resultan aplicables por analogía, los Criterios SO/015/2017 y SO/001/2013 del Instituto Nacional de Transparencia y Acceso a la Información Pública y Protección de Datos Personales, en los cuales se esgrimen argumentos, que, si bien no refieren de manera específica a fotografías de servidores públicos, sí establecen un criterio para que este dato personal pueda ser considerado como público, cuando se pretende acreditar que una persona es servidor público.</w:t>
      </w:r>
    </w:p>
    <w:p w14:paraId="55E808CD" w14:textId="77777777" w:rsidR="001B3766" w:rsidRPr="001E7F59" w:rsidRDefault="001B3766" w:rsidP="001B3766">
      <w:pPr>
        <w:tabs>
          <w:tab w:val="left" w:pos="4962"/>
        </w:tabs>
        <w:spacing w:line="360" w:lineRule="auto"/>
        <w:jc w:val="both"/>
        <w:rPr>
          <w:rFonts w:ascii="Palatino Linotype" w:eastAsia="Calibri" w:hAnsi="Palatino Linotype" w:cs="Tahoma"/>
          <w:bCs/>
          <w:sz w:val="22"/>
          <w:szCs w:val="22"/>
          <w:lang w:val="es-ES" w:eastAsia="en-US"/>
        </w:rPr>
      </w:pPr>
    </w:p>
    <w:p w14:paraId="41A67119" w14:textId="77777777" w:rsidR="001B3766" w:rsidRPr="001E7F59" w:rsidRDefault="001B3766" w:rsidP="001B3766">
      <w:pPr>
        <w:tabs>
          <w:tab w:val="left" w:pos="4962"/>
        </w:tabs>
        <w:spacing w:line="360" w:lineRule="auto"/>
        <w:jc w:val="both"/>
        <w:rPr>
          <w:rFonts w:ascii="Palatino Linotype" w:eastAsia="Calibri" w:hAnsi="Palatino Linotype" w:cs="Tahoma"/>
          <w:bCs/>
          <w:sz w:val="22"/>
          <w:szCs w:val="22"/>
          <w:lang w:val="es-ES" w:eastAsia="en-US"/>
        </w:rPr>
      </w:pPr>
      <w:r w:rsidRPr="001E7F59">
        <w:rPr>
          <w:rFonts w:ascii="Palatino Linotype" w:eastAsia="Calibri" w:hAnsi="Palatino Linotype" w:cs="Tahoma"/>
          <w:bCs/>
          <w:sz w:val="22"/>
          <w:szCs w:val="22"/>
          <w:lang w:val="es-ES" w:eastAsia="en-US"/>
        </w:rPr>
        <w:t xml:space="preserve">Debe tenerse presente que el actuar de los servidores públicos incide de manera específica en los derechos de los particulares, pues el acto de un servidor público en ejercicio de sus funciones, de manera directa genera derechos y obligaciones pues se considera un acto administrativo o acto de autoridad, por lo que es primordial, que estos trabajadores se identifiquen ante la ciudadanía, por lo que otorgar acceso a los documentos que obran en los archivos de los sujetos obligados y que además están directamente relacionados con el cumplimiento de disposiciones normativas o el ejercicio de funciones revisten un interés público. </w:t>
      </w:r>
    </w:p>
    <w:p w14:paraId="294D90A5" w14:textId="77777777" w:rsidR="001B3766" w:rsidRPr="001E7F59" w:rsidRDefault="001B3766" w:rsidP="001B3766">
      <w:pPr>
        <w:tabs>
          <w:tab w:val="left" w:pos="4962"/>
        </w:tabs>
        <w:spacing w:line="360" w:lineRule="auto"/>
        <w:jc w:val="both"/>
        <w:rPr>
          <w:rFonts w:ascii="Palatino Linotype" w:eastAsia="Calibri" w:hAnsi="Palatino Linotype" w:cs="Tahoma"/>
          <w:bCs/>
          <w:sz w:val="22"/>
          <w:szCs w:val="22"/>
          <w:lang w:val="es-ES" w:eastAsia="en-US"/>
        </w:rPr>
      </w:pPr>
    </w:p>
    <w:p w14:paraId="1FB2C523" w14:textId="77777777" w:rsidR="001B3766" w:rsidRPr="001E7F59" w:rsidRDefault="001B3766" w:rsidP="001B3766">
      <w:pPr>
        <w:tabs>
          <w:tab w:val="left" w:pos="4962"/>
        </w:tabs>
        <w:spacing w:line="360" w:lineRule="auto"/>
        <w:jc w:val="both"/>
        <w:rPr>
          <w:rFonts w:ascii="Palatino Linotype" w:eastAsia="Calibri" w:hAnsi="Palatino Linotype" w:cs="Tahoma"/>
          <w:bCs/>
          <w:sz w:val="22"/>
          <w:szCs w:val="22"/>
          <w:lang w:val="es-ES" w:eastAsia="en-US"/>
        </w:rPr>
      </w:pPr>
      <w:r w:rsidRPr="001E7F59">
        <w:rPr>
          <w:rFonts w:ascii="Palatino Linotype" w:eastAsia="Calibri" w:hAnsi="Palatino Linotype" w:cs="Tahoma"/>
          <w:bCs/>
          <w:sz w:val="22"/>
          <w:szCs w:val="22"/>
          <w:lang w:val="es-ES" w:eastAsia="en-US"/>
        </w:rPr>
        <w:t xml:space="preserve">Por lo anterior, cuando las fotografías de los servidores públicos obran en documentos que dan cuenta del cumplimiento de funciones, requisitos legales o los acredita como servidores públicos, deben ser consideradas un dato personal, que no puede ser clasificado como confidencial, pues en este caso, es superado por el interés público de conocer si en realidad, la persona que se ostenta en carácter de servidor público, se encuentra en ese encargo, si realiza las funciones o si cumple con los requisitos legales; sin que se considere como factor </w:t>
      </w:r>
      <w:r w:rsidRPr="001E7F59">
        <w:rPr>
          <w:rFonts w:ascii="Palatino Linotype" w:eastAsia="Calibri" w:hAnsi="Palatino Linotype" w:cs="Tahoma"/>
          <w:bCs/>
          <w:sz w:val="22"/>
          <w:szCs w:val="22"/>
          <w:lang w:val="es-ES" w:eastAsia="en-US"/>
        </w:rPr>
        <w:lastRenderedPageBreak/>
        <w:t>diferenciador para determinar la publicidad o clasificación el cargo o nivel jerárquico en el que se desempeñe el servidor público.</w:t>
      </w:r>
    </w:p>
    <w:p w14:paraId="28419639" w14:textId="77777777" w:rsidR="001B3766" w:rsidRPr="001E7F59" w:rsidRDefault="001B3766" w:rsidP="001B3766">
      <w:pPr>
        <w:tabs>
          <w:tab w:val="left" w:pos="4962"/>
        </w:tabs>
        <w:spacing w:line="360" w:lineRule="auto"/>
        <w:jc w:val="both"/>
        <w:rPr>
          <w:rFonts w:ascii="Palatino Linotype" w:eastAsia="Calibri" w:hAnsi="Palatino Linotype" w:cs="Tahoma"/>
          <w:bCs/>
          <w:sz w:val="22"/>
          <w:szCs w:val="22"/>
          <w:lang w:val="es-ES" w:eastAsia="en-US"/>
        </w:rPr>
      </w:pPr>
    </w:p>
    <w:p w14:paraId="772CDF9F" w14:textId="77777777" w:rsidR="001B3766" w:rsidRPr="001E7F59" w:rsidRDefault="001B3766" w:rsidP="001B3766">
      <w:pPr>
        <w:tabs>
          <w:tab w:val="left" w:pos="4962"/>
        </w:tabs>
        <w:spacing w:line="360" w:lineRule="auto"/>
        <w:jc w:val="both"/>
        <w:rPr>
          <w:rFonts w:ascii="Palatino Linotype" w:eastAsia="Calibri" w:hAnsi="Palatino Linotype" w:cs="Tahoma"/>
          <w:bCs/>
          <w:sz w:val="22"/>
          <w:szCs w:val="22"/>
          <w:lang w:val="es-ES" w:eastAsia="en-US"/>
        </w:rPr>
      </w:pPr>
      <w:r w:rsidRPr="001E7F59">
        <w:rPr>
          <w:rFonts w:ascii="Palatino Linotype" w:eastAsia="Calibri" w:hAnsi="Palatino Linotype" w:cs="Tahoma"/>
          <w:bCs/>
          <w:sz w:val="22"/>
          <w:szCs w:val="22"/>
          <w:lang w:val="es-ES" w:eastAsia="en-US"/>
        </w:rPr>
        <w:t>De acuerdo con el argumento planteado, la determinación de esta resolución deja sin efectos el criterio adoptado anteriormente por el Pleno de este Instituto, con número 03/2019, en el que solo se consideraban como públicas las fotografías de mandos medios y/o superiores.</w:t>
      </w:r>
    </w:p>
    <w:p w14:paraId="0F8BCB94" w14:textId="77777777" w:rsidR="001B3766" w:rsidRPr="001E7F59" w:rsidRDefault="001B3766" w:rsidP="001B3766">
      <w:pPr>
        <w:tabs>
          <w:tab w:val="left" w:pos="4962"/>
        </w:tabs>
        <w:spacing w:line="360" w:lineRule="auto"/>
        <w:jc w:val="both"/>
        <w:rPr>
          <w:rFonts w:ascii="Palatino Linotype" w:eastAsia="Calibri" w:hAnsi="Palatino Linotype" w:cs="Tahoma"/>
          <w:bCs/>
          <w:sz w:val="22"/>
          <w:szCs w:val="22"/>
          <w:lang w:val="es-ES" w:eastAsia="en-US"/>
        </w:rPr>
      </w:pPr>
    </w:p>
    <w:p w14:paraId="010DA724" w14:textId="77777777" w:rsidR="001B3766" w:rsidRPr="001E7F59" w:rsidRDefault="001B3766" w:rsidP="001B3766">
      <w:pPr>
        <w:tabs>
          <w:tab w:val="left" w:pos="4962"/>
        </w:tabs>
        <w:spacing w:line="360" w:lineRule="auto"/>
        <w:jc w:val="both"/>
        <w:rPr>
          <w:rFonts w:ascii="Palatino Linotype" w:eastAsia="Calibri" w:hAnsi="Palatino Linotype" w:cs="Tahoma"/>
          <w:b/>
          <w:bCs/>
          <w:sz w:val="22"/>
          <w:szCs w:val="22"/>
          <w:lang w:val="es-ES"/>
        </w:rPr>
      </w:pPr>
      <w:r w:rsidRPr="001E7F59">
        <w:rPr>
          <w:rFonts w:ascii="Palatino Linotype" w:eastAsia="Calibri" w:hAnsi="Palatino Linotype" w:cs="Tahoma"/>
          <w:bCs/>
          <w:sz w:val="22"/>
          <w:szCs w:val="22"/>
          <w:lang w:val="es-ES" w:eastAsia="en-US"/>
        </w:rPr>
        <w:t xml:space="preserve">Conforme a lo anterior, las fotografías de servidores públicos sin importar el nivel o rango guardan la naturaleza de públicas (con excepción del personal operativo en materia de seguridad) y </w:t>
      </w:r>
      <w:r w:rsidRPr="001E7F59">
        <w:rPr>
          <w:rFonts w:ascii="Palatino Linotype" w:eastAsia="Calibri" w:hAnsi="Palatino Linotype" w:cs="Tahoma"/>
          <w:b/>
          <w:bCs/>
          <w:sz w:val="22"/>
          <w:szCs w:val="22"/>
          <w:lang w:val="es-ES" w:eastAsia="en-US"/>
        </w:rPr>
        <w:t>no procede su clasificación</w:t>
      </w:r>
      <w:r w:rsidRPr="001E7F59">
        <w:rPr>
          <w:rFonts w:ascii="Palatino Linotype" w:eastAsia="Calibri" w:hAnsi="Palatino Linotype" w:cs="Tahoma"/>
          <w:bCs/>
          <w:sz w:val="22"/>
          <w:szCs w:val="22"/>
          <w:lang w:val="es-ES" w:eastAsia="en-US"/>
        </w:rPr>
        <w:t>, en términos del artículo 143, fracción I, de la Ley de Transparencia y Acceso a la Información Pública del Estado de México y Municipios.</w:t>
      </w:r>
      <w:r w:rsidRPr="001E7F59">
        <w:rPr>
          <w:rFonts w:ascii="Palatino Linotype" w:eastAsia="Calibri" w:hAnsi="Palatino Linotype" w:cs="Tahoma"/>
          <w:bCs/>
          <w:sz w:val="22"/>
          <w:szCs w:val="22"/>
          <w:lang w:val="es-ES"/>
        </w:rPr>
        <w:t xml:space="preserve"> </w:t>
      </w:r>
      <w:r w:rsidRPr="001E7F59">
        <w:rPr>
          <w:rFonts w:ascii="Palatino Linotype" w:eastAsia="Calibri" w:hAnsi="Palatino Linotype" w:cs="Tahoma"/>
          <w:b/>
          <w:bCs/>
          <w:sz w:val="22"/>
          <w:szCs w:val="22"/>
          <w:lang w:val="es-ES"/>
        </w:rPr>
        <w:t>Cabe hacer la aclaración</w:t>
      </w:r>
      <w:r w:rsidRPr="001E7F59">
        <w:rPr>
          <w:rFonts w:ascii="Palatino Linotype" w:eastAsia="Calibri" w:hAnsi="Palatino Linotype" w:cs="Tahoma"/>
          <w:b/>
          <w:bCs/>
          <w:sz w:val="22"/>
          <w:szCs w:val="22"/>
          <w:lang w:val="x-none"/>
        </w:rPr>
        <w:t xml:space="preserve"> que aquellos documentos que sean clasificados en su totalidad por no revestir de interés público, como lo es la credencial de elector, la fotografía correrá la misma suerte que el documento en cuestión, únicamente para dicha expresión documental.</w:t>
      </w:r>
    </w:p>
    <w:p w14:paraId="03D1B04D" w14:textId="77777777" w:rsidR="001B3766" w:rsidRPr="001E7F59" w:rsidRDefault="001B3766" w:rsidP="001B3766">
      <w:pPr>
        <w:tabs>
          <w:tab w:val="left" w:pos="4962"/>
        </w:tabs>
        <w:spacing w:line="360" w:lineRule="auto"/>
        <w:ind w:right="-28"/>
        <w:jc w:val="both"/>
        <w:rPr>
          <w:rFonts w:ascii="Palatino Linotype" w:eastAsia="Calibri" w:hAnsi="Palatino Linotype" w:cs="Tahoma"/>
          <w:b/>
          <w:iCs/>
          <w:sz w:val="22"/>
          <w:szCs w:val="22"/>
          <w:lang w:eastAsia="es-ES_tradnl"/>
        </w:rPr>
      </w:pPr>
    </w:p>
    <w:p w14:paraId="1E653180" w14:textId="783FB9FF" w:rsidR="001B3766" w:rsidRPr="001E7F59" w:rsidRDefault="001B3766" w:rsidP="001B3766">
      <w:pPr>
        <w:numPr>
          <w:ilvl w:val="0"/>
          <w:numId w:val="26"/>
        </w:numPr>
        <w:tabs>
          <w:tab w:val="num" w:pos="720"/>
        </w:tabs>
        <w:spacing w:after="160" w:line="360" w:lineRule="auto"/>
        <w:contextualSpacing/>
        <w:jc w:val="both"/>
        <w:rPr>
          <w:rFonts w:ascii="Palatino Linotype" w:eastAsia="Calibri" w:hAnsi="Palatino Linotype" w:cs="Tahoma"/>
          <w:bCs/>
          <w:sz w:val="22"/>
          <w:szCs w:val="22"/>
        </w:rPr>
      </w:pPr>
      <w:r w:rsidRPr="001E7F59">
        <w:rPr>
          <w:rFonts w:ascii="Palatino Linotype" w:eastAsia="Calibri" w:hAnsi="Palatino Linotype" w:cs="Tahoma"/>
          <w:b/>
          <w:sz w:val="22"/>
          <w:szCs w:val="22"/>
        </w:rPr>
        <w:t>Firma de servidores públicos</w:t>
      </w:r>
    </w:p>
    <w:p w14:paraId="2B28AAF7" w14:textId="77777777" w:rsidR="001B3766" w:rsidRPr="001E7F59" w:rsidRDefault="001B3766" w:rsidP="001B3766">
      <w:pPr>
        <w:spacing w:line="360" w:lineRule="auto"/>
        <w:jc w:val="both"/>
        <w:rPr>
          <w:rFonts w:ascii="Palatino Linotype" w:eastAsia="Calibri" w:hAnsi="Palatino Linotype" w:cs="Tahoma"/>
          <w:bCs/>
          <w:sz w:val="22"/>
          <w:szCs w:val="22"/>
        </w:rPr>
      </w:pPr>
    </w:p>
    <w:p w14:paraId="52338768" w14:textId="77777777" w:rsidR="001B3766" w:rsidRPr="001E7F59" w:rsidRDefault="001B3766" w:rsidP="001B3766">
      <w:pPr>
        <w:tabs>
          <w:tab w:val="left" w:pos="4962"/>
        </w:tabs>
        <w:spacing w:line="360" w:lineRule="auto"/>
        <w:jc w:val="both"/>
        <w:rPr>
          <w:rFonts w:ascii="Palatino Linotype" w:eastAsia="Calibri" w:hAnsi="Palatino Linotype" w:cs="Tahoma"/>
          <w:bCs/>
          <w:sz w:val="22"/>
          <w:szCs w:val="22"/>
          <w:lang w:val="es-ES" w:eastAsia="en-US"/>
        </w:rPr>
      </w:pPr>
      <w:r w:rsidRPr="001E7F59">
        <w:rPr>
          <w:rFonts w:ascii="Palatino Linotype" w:eastAsia="Calibri" w:hAnsi="Palatino Linotype" w:cs="Tahoma"/>
          <w:bCs/>
          <w:sz w:val="22"/>
          <w:szCs w:val="22"/>
          <w:lang w:val="es-ES" w:eastAsia="en-US"/>
        </w:rPr>
        <w:t>Sobre dicho dato, cabe precisar que, en el presente caso, se trata de los servidores públicos en su calidad de particular, por lo que, es de señalar que la firma es un dato personal confidencial y únicamente será público dicho dato cuando sirva para la emisión de un acto de autoridad, en ejercicio de sus funciones.</w:t>
      </w:r>
    </w:p>
    <w:p w14:paraId="1DDE6F6C" w14:textId="77777777" w:rsidR="001B3766" w:rsidRPr="001E7F59" w:rsidRDefault="001B3766" w:rsidP="001B3766">
      <w:pPr>
        <w:tabs>
          <w:tab w:val="left" w:pos="4962"/>
        </w:tabs>
        <w:spacing w:line="360" w:lineRule="auto"/>
        <w:jc w:val="both"/>
        <w:rPr>
          <w:rFonts w:ascii="Palatino Linotype" w:eastAsia="Calibri" w:hAnsi="Palatino Linotype" w:cs="Tahoma"/>
          <w:bCs/>
          <w:sz w:val="22"/>
          <w:szCs w:val="22"/>
          <w:lang w:val="es-ES" w:eastAsia="en-US"/>
        </w:rPr>
      </w:pPr>
      <w:r w:rsidRPr="001E7F59">
        <w:rPr>
          <w:rFonts w:ascii="Palatino Linotype" w:eastAsia="Calibri" w:hAnsi="Palatino Linotype" w:cs="Tahoma"/>
          <w:bCs/>
          <w:sz w:val="22"/>
          <w:szCs w:val="22"/>
          <w:lang w:val="es-ES" w:eastAsia="en-US"/>
        </w:rPr>
        <w:t> </w:t>
      </w:r>
    </w:p>
    <w:p w14:paraId="79653ABA" w14:textId="77777777" w:rsidR="001B3766" w:rsidRPr="001E7F59" w:rsidRDefault="001B3766" w:rsidP="001B3766">
      <w:pPr>
        <w:tabs>
          <w:tab w:val="left" w:pos="4962"/>
        </w:tabs>
        <w:spacing w:line="360" w:lineRule="auto"/>
        <w:jc w:val="both"/>
        <w:rPr>
          <w:rFonts w:ascii="Palatino Linotype" w:eastAsia="Calibri" w:hAnsi="Palatino Linotype" w:cs="Tahoma"/>
          <w:bCs/>
          <w:sz w:val="22"/>
          <w:szCs w:val="22"/>
          <w:lang w:val="es-ES" w:eastAsia="en-US"/>
        </w:rPr>
      </w:pPr>
      <w:r w:rsidRPr="001E7F59">
        <w:rPr>
          <w:rFonts w:ascii="Palatino Linotype" w:eastAsia="Calibri" w:hAnsi="Palatino Linotype" w:cs="Tahoma"/>
          <w:bCs/>
          <w:sz w:val="22"/>
          <w:szCs w:val="22"/>
          <w:lang w:val="es-ES" w:eastAsia="en-US"/>
        </w:rPr>
        <w:t>Lo anterior, es así, toda vez que la firma de servidores públicos, vinculada al ejercicio de la función pública es información de naturaleza pública, pues documenta y rinde cuentas sobre el debido ejercicio de sus atribuciones, lo cual acontece en el presente caso, pues garantiza que los trabajadores recibieron sus remuneraciones quincenales.</w:t>
      </w:r>
    </w:p>
    <w:p w14:paraId="5C2ACD85" w14:textId="3FCF58A8" w:rsidR="001B3766" w:rsidRPr="001E7F59" w:rsidRDefault="001B3766" w:rsidP="00096C00">
      <w:pPr>
        <w:tabs>
          <w:tab w:val="left" w:pos="4962"/>
        </w:tabs>
        <w:spacing w:line="360" w:lineRule="auto"/>
        <w:jc w:val="both"/>
        <w:rPr>
          <w:rFonts w:ascii="Palatino Linotype" w:hAnsi="Palatino Linotype"/>
          <w:color w:val="000000"/>
          <w:sz w:val="22"/>
          <w:szCs w:val="22"/>
          <w:lang w:eastAsia="en-US"/>
        </w:rPr>
      </w:pPr>
      <w:r w:rsidRPr="001E7F59">
        <w:rPr>
          <w:rFonts w:ascii="Palatino Linotype" w:eastAsia="Calibri" w:hAnsi="Palatino Linotype" w:cs="Tahoma"/>
          <w:bCs/>
          <w:sz w:val="22"/>
          <w:szCs w:val="22"/>
          <w:lang w:val="es-ES" w:eastAsia="en-US"/>
        </w:rPr>
        <w:lastRenderedPageBreak/>
        <w:t> </w:t>
      </w:r>
      <w:r w:rsidRPr="001E7F59">
        <w:rPr>
          <w:rFonts w:ascii="Palatino Linotype" w:hAnsi="Palatino Linotype"/>
          <w:sz w:val="22"/>
          <w:szCs w:val="22"/>
          <w:bdr w:val="none" w:sz="0" w:space="0" w:color="auto" w:frame="1"/>
          <w:lang w:eastAsia="en-US"/>
        </w:rPr>
        <w:t>La publicidad de dichos datos, se robustece, con el </w:t>
      </w:r>
      <w:r w:rsidRPr="001E7F59">
        <w:rPr>
          <w:rFonts w:ascii="Palatino Linotype" w:hAnsi="Palatino Linotype"/>
          <w:color w:val="000000"/>
          <w:sz w:val="22"/>
          <w:szCs w:val="22"/>
          <w:bdr w:val="none" w:sz="0" w:space="0" w:color="auto" w:frame="1"/>
          <w:lang w:val="es-ES" w:eastAsia="en-US"/>
        </w:rPr>
        <w:t>Criterio de Interpretación, de la Segunda Época, con clave de control </w:t>
      </w:r>
      <w:r w:rsidRPr="001E7F59">
        <w:rPr>
          <w:rFonts w:ascii="Palatino Linotype" w:hAnsi="Palatino Linotype"/>
          <w:color w:val="000000"/>
          <w:sz w:val="22"/>
          <w:szCs w:val="22"/>
          <w:lang w:eastAsia="en-US"/>
        </w:rPr>
        <w:t>SO/002/2019</w:t>
      </w:r>
      <w:r w:rsidRPr="001E7F59">
        <w:rPr>
          <w:rFonts w:ascii="Palatino Linotype" w:hAnsi="Palatino Linotype"/>
          <w:sz w:val="22"/>
          <w:szCs w:val="22"/>
          <w:bdr w:val="none" w:sz="0" w:space="0" w:color="auto" w:frame="1"/>
          <w:lang w:eastAsia="en-US"/>
        </w:rPr>
        <w:t>, emitido por el Instituto Nacional de Transparencia, Acceso a la Información y Protección de Datos Personales, que establece lo siguiente:</w:t>
      </w:r>
    </w:p>
    <w:p w14:paraId="711B559C" w14:textId="77777777" w:rsidR="001B3766" w:rsidRPr="001E7F59" w:rsidRDefault="001B3766" w:rsidP="001B3766">
      <w:pPr>
        <w:shd w:val="clear" w:color="auto" w:fill="FFFFFF"/>
        <w:spacing w:line="360" w:lineRule="auto"/>
        <w:jc w:val="both"/>
        <w:rPr>
          <w:rFonts w:ascii="Palatino Linotype" w:hAnsi="Palatino Linotype"/>
          <w:color w:val="000000"/>
          <w:sz w:val="22"/>
          <w:szCs w:val="22"/>
          <w:lang w:eastAsia="en-US"/>
        </w:rPr>
      </w:pPr>
      <w:r w:rsidRPr="001E7F59">
        <w:rPr>
          <w:rFonts w:ascii="Palatino Linotype" w:hAnsi="Palatino Linotype"/>
          <w:sz w:val="22"/>
          <w:szCs w:val="22"/>
          <w:bdr w:val="none" w:sz="0" w:space="0" w:color="auto" w:frame="1"/>
          <w:lang w:eastAsia="en-US"/>
        </w:rPr>
        <w:t> </w:t>
      </w:r>
    </w:p>
    <w:p w14:paraId="40B029E6" w14:textId="77777777" w:rsidR="001B3766" w:rsidRPr="001E7F59" w:rsidRDefault="001B3766" w:rsidP="001B3766">
      <w:pPr>
        <w:spacing w:line="360" w:lineRule="auto"/>
        <w:ind w:left="567" w:right="567"/>
        <w:jc w:val="both"/>
        <w:rPr>
          <w:rFonts w:ascii="Palatino Linotype" w:hAnsi="Palatino Linotype"/>
          <w:color w:val="000000"/>
          <w:szCs w:val="22"/>
          <w:lang w:eastAsia="en-US"/>
        </w:rPr>
      </w:pPr>
      <w:r w:rsidRPr="001E7F59">
        <w:rPr>
          <w:rFonts w:ascii="Palatino Linotype" w:hAnsi="Palatino Linotype"/>
          <w:b/>
          <w:bCs/>
          <w:i/>
          <w:iCs/>
          <w:szCs w:val="22"/>
          <w:bdr w:val="none" w:sz="0" w:space="0" w:color="auto" w:frame="1"/>
          <w:lang w:eastAsia="en-US"/>
        </w:rPr>
        <w:t>“Firma y rúbrica de servidores públicos.</w:t>
      </w:r>
      <w:r w:rsidRPr="001E7F59">
        <w:rPr>
          <w:rFonts w:ascii="Palatino Linotype" w:hAnsi="Palatino Linotype"/>
          <w:i/>
          <w:iCs/>
          <w:szCs w:val="22"/>
          <w:bdr w:val="none" w:sz="0" w:space="0" w:color="auto" w:frame="1"/>
          <w:lang w:eastAsia="en-US"/>
        </w:rPr>
        <w:t> Si bien la firma y la rúbrica son datos personales confidenciales, cuando un servidor público emite un acto como autoridad, en ejercicio de las funciones que tiene conferidas, la firma o rúbrica mediante la cual se valida dicho acto es pública.”</w:t>
      </w:r>
    </w:p>
    <w:p w14:paraId="41442982" w14:textId="77777777" w:rsidR="001B3766" w:rsidRPr="001E7F59" w:rsidRDefault="001B3766" w:rsidP="001B3766">
      <w:pPr>
        <w:tabs>
          <w:tab w:val="left" w:pos="4962"/>
        </w:tabs>
        <w:spacing w:line="360" w:lineRule="auto"/>
        <w:jc w:val="both"/>
        <w:rPr>
          <w:rFonts w:ascii="Palatino Linotype" w:eastAsia="Calibri" w:hAnsi="Palatino Linotype" w:cs="Tahoma"/>
          <w:bCs/>
          <w:sz w:val="22"/>
          <w:szCs w:val="22"/>
          <w:lang w:val="es-ES" w:eastAsia="en-US"/>
        </w:rPr>
      </w:pPr>
      <w:r w:rsidRPr="001E7F59">
        <w:rPr>
          <w:rFonts w:ascii="Palatino Linotype" w:eastAsia="Calibri" w:hAnsi="Palatino Linotype" w:cs="Tahoma"/>
          <w:bCs/>
          <w:sz w:val="22"/>
          <w:szCs w:val="22"/>
          <w:lang w:val="es-ES" w:eastAsia="en-US"/>
        </w:rPr>
        <w:t> </w:t>
      </w:r>
    </w:p>
    <w:p w14:paraId="6EF9289B" w14:textId="77777777" w:rsidR="001B3766" w:rsidRPr="001E7F59" w:rsidRDefault="001B3766" w:rsidP="001B3766">
      <w:pPr>
        <w:tabs>
          <w:tab w:val="left" w:pos="4962"/>
        </w:tabs>
        <w:spacing w:line="360" w:lineRule="auto"/>
        <w:jc w:val="both"/>
        <w:rPr>
          <w:rFonts w:ascii="Palatino Linotype" w:eastAsia="Calibri" w:hAnsi="Palatino Linotype" w:cs="Tahoma"/>
          <w:bCs/>
          <w:sz w:val="22"/>
          <w:szCs w:val="22"/>
          <w:lang w:val="es-ES" w:eastAsia="en-US"/>
        </w:rPr>
      </w:pPr>
      <w:r w:rsidRPr="001E7F59">
        <w:rPr>
          <w:rFonts w:ascii="Palatino Linotype" w:eastAsia="Calibri" w:hAnsi="Palatino Linotype" w:cs="Tahoma"/>
          <w:bCs/>
          <w:sz w:val="22"/>
          <w:szCs w:val="22"/>
          <w:lang w:val="es-ES" w:eastAsia="en-US"/>
        </w:rPr>
        <w:t>Conforme a lo expuesto, en el presente caso, procede la clasificación, en términos del artículo 143, fracción I de la Ley de Transparencia y Acceso a la Información Pública del Estado de México y Municipios, de la firma localizada en el documento comprobatoria de nivel de estudios, pues da cuenta de la aceptación de un grado o nivel académico. </w:t>
      </w:r>
    </w:p>
    <w:p w14:paraId="6797ADFA" w14:textId="77777777" w:rsidR="001B3766" w:rsidRPr="001E7F59" w:rsidRDefault="001B3766" w:rsidP="001B3766">
      <w:pPr>
        <w:tabs>
          <w:tab w:val="left" w:pos="4962"/>
        </w:tabs>
        <w:spacing w:line="360" w:lineRule="auto"/>
        <w:ind w:right="-28"/>
        <w:jc w:val="both"/>
        <w:rPr>
          <w:rFonts w:ascii="Palatino Linotype" w:eastAsia="Calibri" w:hAnsi="Palatino Linotype" w:cs="Tahoma"/>
          <w:b/>
          <w:iCs/>
          <w:sz w:val="22"/>
          <w:szCs w:val="22"/>
          <w:lang w:eastAsia="es-ES_tradnl"/>
        </w:rPr>
      </w:pPr>
    </w:p>
    <w:p w14:paraId="40FA50C6" w14:textId="77777777" w:rsidR="001B3766" w:rsidRPr="001E7F59" w:rsidRDefault="001B3766" w:rsidP="001B3766">
      <w:pPr>
        <w:numPr>
          <w:ilvl w:val="0"/>
          <w:numId w:val="13"/>
        </w:numPr>
        <w:spacing w:after="160" w:line="360" w:lineRule="auto"/>
        <w:contextualSpacing/>
        <w:jc w:val="both"/>
        <w:rPr>
          <w:rFonts w:ascii="Palatino Linotype" w:eastAsia="Calibri" w:hAnsi="Palatino Linotype" w:cs="Tahoma"/>
          <w:b/>
          <w:iCs/>
          <w:sz w:val="22"/>
          <w:szCs w:val="22"/>
          <w:lang w:eastAsia="es-ES_tradnl"/>
        </w:rPr>
      </w:pPr>
      <w:r w:rsidRPr="001E7F59">
        <w:rPr>
          <w:rFonts w:ascii="Palatino Linotype" w:eastAsia="Calibri" w:hAnsi="Palatino Linotype" w:cs="Tahoma"/>
          <w:b/>
          <w:iCs/>
          <w:sz w:val="22"/>
          <w:szCs w:val="22"/>
          <w:lang w:eastAsia="es-ES_tradnl"/>
        </w:rPr>
        <w:t>Certificado de no deudor alimentario</w:t>
      </w:r>
    </w:p>
    <w:p w14:paraId="5DF9868F" w14:textId="77777777" w:rsidR="001B3766" w:rsidRPr="001E7F59" w:rsidRDefault="001B3766" w:rsidP="001B3766">
      <w:pPr>
        <w:spacing w:line="360" w:lineRule="auto"/>
        <w:ind w:right="-93"/>
        <w:jc w:val="both"/>
        <w:rPr>
          <w:rFonts w:ascii="Palatino Linotype" w:eastAsia="Calibri" w:hAnsi="Palatino Linotype" w:cs="Tahoma"/>
          <w:b/>
          <w:bCs/>
          <w:color w:val="000000"/>
          <w:sz w:val="22"/>
          <w:szCs w:val="22"/>
          <w:lang w:val="es-ES_tradnl" w:eastAsia="en-US"/>
        </w:rPr>
      </w:pPr>
    </w:p>
    <w:p w14:paraId="48ABF27E" w14:textId="77777777" w:rsidR="001B3766" w:rsidRPr="001E7F59" w:rsidRDefault="001B3766" w:rsidP="001B3766">
      <w:pPr>
        <w:spacing w:line="360" w:lineRule="auto"/>
        <w:contextualSpacing/>
        <w:jc w:val="both"/>
        <w:rPr>
          <w:rFonts w:ascii="Palatino Linotype" w:eastAsia="Calibri" w:hAnsi="Palatino Linotype"/>
          <w:color w:val="000000"/>
          <w:sz w:val="22"/>
          <w:szCs w:val="22"/>
          <w:lang w:eastAsia="en-US"/>
        </w:rPr>
      </w:pPr>
      <w:r w:rsidRPr="001E7F59">
        <w:rPr>
          <w:rFonts w:ascii="Palatino Linotype" w:eastAsia="Calibri" w:hAnsi="Palatino Linotype"/>
          <w:color w:val="000000"/>
          <w:sz w:val="22"/>
          <w:szCs w:val="22"/>
          <w:lang w:eastAsia="en-US"/>
        </w:rPr>
        <w:t xml:space="preserve">Respecto a este punto, es de indicar que la Ley General de los Derechos de las Niñas, Niños y Adolescentes </w:t>
      </w:r>
      <w:hyperlink r:id="rId9" w:history="1">
        <w:r w:rsidRPr="001E7F59">
          <w:rPr>
            <w:rFonts w:ascii="Palatino Linotype" w:eastAsia="Calibri" w:hAnsi="Palatino Linotype"/>
            <w:color w:val="0563C1"/>
            <w:sz w:val="22"/>
            <w:szCs w:val="22"/>
            <w:u w:val="single"/>
            <w:lang w:eastAsia="en-US"/>
          </w:rPr>
          <w:t>https://www.diputados.gob.mx/LeyesBiblio/pdf/LGDNNA.pdf</w:t>
        </w:r>
      </w:hyperlink>
      <w:r w:rsidRPr="001E7F59">
        <w:rPr>
          <w:rFonts w:ascii="Palatino Linotype" w:eastAsia="Calibri" w:hAnsi="Palatino Linotype"/>
          <w:color w:val="000000"/>
          <w:sz w:val="22"/>
          <w:szCs w:val="22"/>
          <w:lang w:eastAsia="en-US"/>
        </w:rPr>
        <w:t xml:space="preserve"> (consultada el once de septiembre de dos mil veintitrés), en sus artículos 1, 13, 18 y 46, regula de manera enunciativa y no limitativa, entre otros derechos, garantizar el pleno ejercicio, respeto, protección y promoción de los derechos humanos, derecho a la vida, a la paz, a la supervivencia y al desarrollo, el recibir alimentos para lograr el sano desarrollo del menor en su ámbito, bio-psico-social, y establece como obligación de los progenitores para con sus hijos, el proporcionarles, apoyo, cuidados, educación y protección a su salud.</w:t>
      </w:r>
    </w:p>
    <w:p w14:paraId="07829DC0" w14:textId="77777777" w:rsidR="001B3766" w:rsidRPr="001E7F59" w:rsidRDefault="001B3766" w:rsidP="001B3766">
      <w:pPr>
        <w:spacing w:line="360" w:lineRule="auto"/>
        <w:contextualSpacing/>
        <w:jc w:val="both"/>
        <w:rPr>
          <w:rFonts w:ascii="Palatino Linotype" w:eastAsia="Calibri" w:hAnsi="Palatino Linotype"/>
          <w:color w:val="000000"/>
          <w:sz w:val="22"/>
          <w:szCs w:val="22"/>
          <w:lang w:eastAsia="en-US"/>
        </w:rPr>
      </w:pPr>
    </w:p>
    <w:p w14:paraId="38EA7749" w14:textId="77777777" w:rsidR="001B3766" w:rsidRPr="001E7F59" w:rsidRDefault="001B3766" w:rsidP="001B3766">
      <w:pPr>
        <w:spacing w:line="360" w:lineRule="auto"/>
        <w:contextualSpacing/>
        <w:jc w:val="both"/>
        <w:rPr>
          <w:rFonts w:ascii="Palatino Linotype" w:eastAsia="Calibri" w:hAnsi="Palatino Linotype"/>
          <w:color w:val="000000"/>
          <w:sz w:val="22"/>
          <w:szCs w:val="22"/>
          <w:lang w:eastAsia="en-US"/>
        </w:rPr>
      </w:pPr>
      <w:r w:rsidRPr="001E7F59">
        <w:rPr>
          <w:rFonts w:ascii="Palatino Linotype" w:eastAsia="Calibri" w:hAnsi="Palatino Linotype"/>
          <w:color w:val="000000"/>
          <w:sz w:val="22"/>
          <w:szCs w:val="22"/>
          <w:lang w:eastAsia="en-US"/>
        </w:rPr>
        <w:t xml:space="preserve">De ahí que, se crea el Registro Nacional de Obligaciones Alimentarias cuyo objeto es concentrar la información de deudores y acreedores de obligaciones alimentarias, a fin de dar </w:t>
      </w:r>
      <w:r w:rsidRPr="001E7F59">
        <w:rPr>
          <w:rFonts w:ascii="Palatino Linotype" w:eastAsia="Calibri" w:hAnsi="Palatino Linotype"/>
          <w:color w:val="000000"/>
          <w:sz w:val="22"/>
          <w:szCs w:val="22"/>
          <w:lang w:eastAsia="en-US"/>
        </w:rPr>
        <w:lastRenderedPageBreak/>
        <w:t>efectiva protección y restitución de los derechos de niñas, niños y adolescentes. Los Tribunales Superiores de las entidades federativas y de la Ciudad de México suministrarán, intercambiarán, sistematizarán, consultarán, analizarán y actualizarán, la información que se genere sobre el incumplimiento de las obligaciones alimentarias en el ámbito de sus competencias utilizando los sistemas e instrumentos tecnológicos del Sistema Nacional DIF para que con ella integre al Registro Nacional de Obligaciones.</w:t>
      </w:r>
    </w:p>
    <w:p w14:paraId="15EF0FA0" w14:textId="77777777" w:rsidR="001B3766" w:rsidRPr="001E7F59" w:rsidRDefault="001B3766" w:rsidP="001B3766">
      <w:pPr>
        <w:spacing w:line="360" w:lineRule="auto"/>
        <w:contextualSpacing/>
        <w:jc w:val="both"/>
        <w:rPr>
          <w:rFonts w:ascii="Palatino Linotype" w:eastAsia="Calibri" w:hAnsi="Palatino Linotype"/>
          <w:color w:val="000000"/>
          <w:sz w:val="22"/>
          <w:szCs w:val="22"/>
          <w:lang w:eastAsia="en-US"/>
        </w:rPr>
      </w:pPr>
    </w:p>
    <w:p w14:paraId="0F373A61" w14:textId="77777777" w:rsidR="001B3766" w:rsidRPr="001E7F59" w:rsidRDefault="001B3766" w:rsidP="001B3766">
      <w:pPr>
        <w:spacing w:line="360" w:lineRule="auto"/>
        <w:contextualSpacing/>
        <w:jc w:val="both"/>
        <w:rPr>
          <w:rFonts w:ascii="Palatino Linotype" w:eastAsia="Calibri" w:hAnsi="Palatino Linotype"/>
          <w:color w:val="000000"/>
          <w:sz w:val="22"/>
          <w:szCs w:val="22"/>
          <w:lang w:eastAsia="en-US"/>
        </w:rPr>
      </w:pPr>
      <w:r w:rsidRPr="001E7F59">
        <w:rPr>
          <w:rFonts w:ascii="Palatino Linotype" w:eastAsia="Calibri" w:hAnsi="Palatino Linotype"/>
          <w:b/>
          <w:color w:val="000000"/>
          <w:sz w:val="22"/>
          <w:szCs w:val="22"/>
          <w:lang w:eastAsia="en-US"/>
        </w:rPr>
        <w:t>La calidad de deudor moroso se difundirá en el Registro Nacional de Obligaciones Alimentarias, el cual, será público con base en lo dispuesto en la Ley General de Protección de Datos Personales en Posesión de Sujetos Obligados.</w:t>
      </w:r>
      <w:r w:rsidRPr="001E7F59">
        <w:rPr>
          <w:rFonts w:ascii="Palatino Linotype" w:eastAsia="Calibri" w:hAnsi="Palatino Linotype"/>
          <w:color w:val="000000"/>
          <w:sz w:val="22"/>
          <w:szCs w:val="22"/>
          <w:lang w:eastAsia="en-US"/>
        </w:rPr>
        <w:t xml:space="preserve"> Es de recalcar que las Autoridades de los tres órdenes de gobierno (Federal, Estatal y Municipal) en el ámbito de sus competencias, dispondrán lo necesario a fin de establecer como requisito la presentación del certificado de no inscripción en el Registro Nacional de Obligaciones Alimentarias; es decir, la denominación que se le dio fue el de Registro de Deudores Alimentarios Morosos, ya que, la palabra moroso deriva de mora; la mora es el retraso en el cumplimiento de las obligaciones y se incurre en ella desde el momento en que feneció el plazo que se señaló para el cumplimiento de una obligación.</w:t>
      </w:r>
    </w:p>
    <w:p w14:paraId="54C75921" w14:textId="77777777" w:rsidR="001B3766" w:rsidRPr="001E7F59" w:rsidRDefault="001B3766" w:rsidP="001B3766">
      <w:pPr>
        <w:tabs>
          <w:tab w:val="left" w:pos="4962"/>
        </w:tabs>
        <w:spacing w:line="360" w:lineRule="auto"/>
        <w:contextualSpacing/>
        <w:jc w:val="both"/>
        <w:rPr>
          <w:rFonts w:ascii="Palatino Linotype" w:hAnsi="Palatino Linotype" w:cs="Tahoma"/>
          <w:sz w:val="22"/>
          <w:szCs w:val="22"/>
          <w:lang w:val="es-ES"/>
        </w:rPr>
      </w:pPr>
    </w:p>
    <w:p w14:paraId="7EB3222C" w14:textId="77777777" w:rsidR="001B3766" w:rsidRPr="001E7F59" w:rsidRDefault="001B3766" w:rsidP="001B3766">
      <w:pPr>
        <w:spacing w:line="360" w:lineRule="auto"/>
        <w:contextualSpacing/>
        <w:jc w:val="both"/>
        <w:rPr>
          <w:rFonts w:ascii="Palatino Linotype" w:hAnsi="Palatino Linotype" w:cs="Tahoma"/>
          <w:sz w:val="22"/>
          <w:szCs w:val="22"/>
        </w:rPr>
      </w:pPr>
      <w:r w:rsidRPr="001E7F59">
        <w:rPr>
          <w:rFonts w:ascii="Palatino Linotype" w:hAnsi="Palatino Linotype" w:cs="Tahoma"/>
          <w:sz w:val="22"/>
          <w:szCs w:val="22"/>
        </w:rPr>
        <w:t xml:space="preserve">Al respecto, en el Proyecto de Decreto por el que se Reforman y Adicionan Diversas Disposiciones para crear el Registro de Deudores Alimentarios del Estado de México, disponible en la dirección electrónica </w:t>
      </w:r>
      <w:hyperlink r:id="rId10" w:history="1">
        <w:r w:rsidRPr="001E7F59">
          <w:rPr>
            <w:rFonts w:ascii="Palatino Linotype" w:eastAsia="Calibri" w:hAnsi="Palatino Linotype"/>
            <w:color w:val="0563C1"/>
            <w:sz w:val="22"/>
            <w:szCs w:val="22"/>
            <w:u w:val="single"/>
            <w:lang w:eastAsia="en-US"/>
          </w:rPr>
          <w:t>https://legislacion.edomex.gob.mx/sites/legislacion.edomex.gob.mx/files/files/pdf/gct/2014/nov144.PDF</w:t>
        </w:r>
      </w:hyperlink>
      <w:r w:rsidRPr="001E7F59">
        <w:rPr>
          <w:rFonts w:ascii="Palatino Linotype" w:eastAsia="Calibri" w:hAnsi="Palatino Linotype"/>
          <w:color w:val="000000"/>
          <w:sz w:val="22"/>
          <w:szCs w:val="22"/>
          <w:lang w:eastAsia="en-US"/>
        </w:rPr>
        <w:t>,</w:t>
      </w:r>
      <w:r w:rsidRPr="001E7F59">
        <w:rPr>
          <w:rFonts w:ascii="Palatino Linotype" w:hAnsi="Palatino Linotype" w:cs="Tahoma"/>
          <w:sz w:val="22"/>
          <w:szCs w:val="22"/>
        </w:rPr>
        <w:t xml:space="preserve"> advierte lo siguiente: </w:t>
      </w:r>
    </w:p>
    <w:p w14:paraId="3932F45C" w14:textId="77777777" w:rsidR="001B3766" w:rsidRPr="001E7F59" w:rsidRDefault="001B3766" w:rsidP="001B3766">
      <w:pPr>
        <w:spacing w:line="360" w:lineRule="auto"/>
        <w:ind w:left="567" w:right="567"/>
        <w:contextualSpacing/>
        <w:jc w:val="both"/>
        <w:rPr>
          <w:rFonts w:ascii="Palatino Linotype" w:hAnsi="Palatino Linotype" w:cs="Tahoma"/>
          <w:b/>
          <w:i/>
          <w:szCs w:val="22"/>
        </w:rPr>
      </w:pPr>
    </w:p>
    <w:p w14:paraId="72D5495B" w14:textId="77777777" w:rsidR="001B3766" w:rsidRPr="001E7F59" w:rsidRDefault="001B3766" w:rsidP="001B3766">
      <w:pPr>
        <w:spacing w:line="360" w:lineRule="auto"/>
        <w:ind w:left="567" w:right="567"/>
        <w:contextualSpacing/>
        <w:jc w:val="both"/>
        <w:rPr>
          <w:rFonts w:ascii="Palatino Linotype" w:hAnsi="Palatino Linotype" w:cs="Tahoma"/>
          <w:i/>
          <w:szCs w:val="22"/>
        </w:rPr>
      </w:pPr>
      <w:r w:rsidRPr="001E7F59">
        <w:rPr>
          <w:rFonts w:ascii="Palatino Linotype" w:hAnsi="Palatino Linotype" w:cs="Tahoma"/>
          <w:b/>
          <w:i/>
          <w:szCs w:val="22"/>
        </w:rPr>
        <w:t>“</w:t>
      </w:r>
      <w:r w:rsidRPr="001E7F59">
        <w:rPr>
          <w:rFonts w:ascii="Palatino Linotype" w:hAnsi="Palatino Linotype" w:cs="Tahoma"/>
          <w:i/>
          <w:szCs w:val="22"/>
        </w:rPr>
        <w:t xml:space="preserve">4.146 Bis.- El área del Registro de Deudores Alimentarios Morosos, es una unidad administrativa del Registro Civil. Actos inscribibles en el Registro de Deudores Alimentarios Morosos </w:t>
      </w:r>
    </w:p>
    <w:p w14:paraId="7B6C2363" w14:textId="77777777" w:rsidR="001B3766" w:rsidRPr="001E7F59" w:rsidRDefault="001B3766" w:rsidP="001B3766">
      <w:pPr>
        <w:spacing w:line="360" w:lineRule="auto"/>
        <w:ind w:left="567" w:right="567"/>
        <w:contextualSpacing/>
        <w:jc w:val="both"/>
        <w:rPr>
          <w:rFonts w:ascii="Palatino Linotype" w:hAnsi="Palatino Linotype" w:cs="Tahoma"/>
          <w:i/>
          <w:szCs w:val="22"/>
        </w:rPr>
      </w:pPr>
    </w:p>
    <w:p w14:paraId="7E968C90" w14:textId="77777777" w:rsidR="001B3766" w:rsidRPr="001E7F59" w:rsidRDefault="001B3766" w:rsidP="001B3766">
      <w:pPr>
        <w:spacing w:line="360" w:lineRule="auto"/>
        <w:ind w:left="567" w:right="567"/>
        <w:contextualSpacing/>
        <w:jc w:val="both"/>
        <w:rPr>
          <w:rFonts w:ascii="Palatino Linotype" w:hAnsi="Palatino Linotype" w:cs="Tahoma"/>
          <w:i/>
          <w:szCs w:val="22"/>
        </w:rPr>
      </w:pPr>
      <w:r w:rsidRPr="001E7F59">
        <w:rPr>
          <w:rFonts w:ascii="Palatino Linotype" w:hAnsi="Palatino Linotype" w:cs="Tahoma"/>
          <w:i/>
          <w:szCs w:val="22"/>
        </w:rPr>
        <w:t xml:space="preserve">4.146 Ter.- En el Registro de Deudores Alimentarios Morosos se inscriben a las personas que el Juez de lo Familiar determina en términos del artículo 4.136 del presente Código. </w:t>
      </w:r>
    </w:p>
    <w:p w14:paraId="709B7D66" w14:textId="77777777" w:rsidR="001B3766" w:rsidRPr="001E7F59" w:rsidRDefault="001B3766" w:rsidP="001B3766">
      <w:pPr>
        <w:spacing w:line="360" w:lineRule="auto"/>
        <w:ind w:left="567" w:right="567"/>
        <w:contextualSpacing/>
        <w:jc w:val="both"/>
        <w:rPr>
          <w:rFonts w:ascii="Palatino Linotype" w:hAnsi="Palatino Linotype" w:cs="Tahoma"/>
          <w:i/>
          <w:szCs w:val="22"/>
        </w:rPr>
      </w:pPr>
      <w:r w:rsidRPr="001E7F59">
        <w:rPr>
          <w:rFonts w:ascii="Palatino Linotype" w:hAnsi="Palatino Linotype" w:cs="Tahoma"/>
          <w:i/>
          <w:szCs w:val="22"/>
        </w:rPr>
        <w:t>Serán objeto de registro los empleadores que incumplan una orden de descuento para alimentos ordenada por el órgano jurisdiccional.</w:t>
      </w:r>
    </w:p>
    <w:p w14:paraId="1826B375" w14:textId="77777777" w:rsidR="001B3766" w:rsidRPr="001E7F59" w:rsidRDefault="001B3766" w:rsidP="001B3766">
      <w:pPr>
        <w:spacing w:line="360" w:lineRule="auto"/>
        <w:ind w:left="567" w:right="567"/>
        <w:contextualSpacing/>
        <w:jc w:val="both"/>
        <w:rPr>
          <w:rFonts w:ascii="Palatino Linotype" w:hAnsi="Palatino Linotype" w:cs="Tahoma"/>
          <w:i/>
          <w:szCs w:val="22"/>
        </w:rPr>
      </w:pPr>
    </w:p>
    <w:p w14:paraId="1FBF5DA8" w14:textId="77777777" w:rsidR="001B3766" w:rsidRPr="001E7F59" w:rsidRDefault="001B3766" w:rsidP="001B3766">
      <w:pPr>
        <w:spacing w:line="360" w:lineRule="auto"/>
        <w:ind w:left="567" w:right="567"/>
        <w:contextualSpacing/>
        <w:jc w:val="both"/>
        <w:rPr>
          <w:rFonts w:ascii="Palatino Linotype" w:eastAsia="Calibri" w:hAnsi="Palatino Linotype"/>
          <w:i/>
          <w:color w:val="000000"/>
          <w:szCs w:val="22"/>
          <w:lang w:eastAsia="en-US"/>
        </w:rPr>
      </w:pPr>
      <w:r w:rsidRPr="001E7F59">
        <w:rPr>
          <w:rFonts w:ascii="Palatino Linotype" w:eastAsia="Calibri" w:hAnsi="Palatino Linotype"/>
          <w:i/>
          <w:color w:val="000000"/>
          <w:szCs w:val="22"/>
          <w:lang w:eastAsia="en-US"/>
        </w:rPr>
        <w:t xml:space="preserve">De los datos que contendrá el Registro de Deudores Alimentarios Morosos </w:t>
      </w:r>
    </w:p>
    <w:p w14:paraId="31A3B406" w14:textId="77777777" w:rsidR="001B3766" w:rsidRPr="001E7F59" w:rsidRDefault="001B3766" w:rsidP="001B3766">
      <w:pPr>
        <w:spacing w:line="360" w:lineRule="auto"/>
        <w:ind w:left="567" w:right="567"/>
        <w:contextualSpacing/>
        <w:jc w:val="both"/>
        <w:rPr>
          <w:rFonts w:ascii="Palatino Linotype" w:eastAsia="Calibri" w:hAnsi="Palatino Linotype"/>
          <w:i/>
          <w:color w:val="000000"/>
          <w:szCs w:val="22"/>
          <w:lang w:eastAsia="en-US"/>
        </w:rPr>
      </w:pPr>
      <w:r w:rsidRPr="001E7F59">
        <w:rPr>
          <w:rFonts w:ascii="Palatino Linotype" w:eastAsia="Calibri" w:hAnsi="Palatino Linotype"/>
          <w:i/>
          <w:color w:val="000000"/>
          <w:szCs w:val="22"/>
          <w:lang w:eastAsia="en-US"/>
        </w:rPr>
        <w:t xml:space="preserve">Artículo. 4.146 Quáter.- El Registro de Deudores Alimentarios Morosos contendrá: </w:t>
      </w:r>
    </w:p>
    <w:p w14:paraId="703E2AAF" w14:textId="77777777" w:rsidR="001B3766" w:rsidRPr="001E7F59" w:rsidRDefault="001B3766" w:rsidP="001B3766">
      <w:pPr>
        <w:spacing w:line="360" w:lineRule="auto"/>
        <w:ind w:left="567" w:right="567"/>
        <w:contextualSpacing/>
        <w:jc w:val="both"/>
        <w:rPr>
          <w:rFonts w:ascii="Palatino Linotype" w:eastAsia="Calibri" w:hAnsi="Palatino Linotype"/>
          <w:i/>
          <w:color w:val="000000"/>
          <w:szCs w:val="22"/>
          <w:lang w:eastAsia="en-US"/>
        </w:rPr>
      </w:pPr>
    </w:p>
    <w:p w14:paraId="1BF879FB" w14:textId="77777777" w:rsidR="001B3766" w:rsidRPr="001E7F59" w:rsidRDefault="001B3766" w:rsidP="001B3766">
      <w:pPr>
        <w:spacing w:line="360" w:lineRule="auto"/>
        <w:ind w:left="567" w:right="567"/>
        <w:contextualSpacing/>
        <w:jc w:val="both"/>
        <w:rPr>
          <w:rFonts w:ascii="Palatino Linotype" w:eastAsia="Calibri" w:hAnsi="Palatino Linotype"/>
          <w:i/>
          <w:color w:val="000000"/>
          <w:szCs w:val="22"/>
          <w:lang w:eastAsia="en-US"/>
        </w:rPr>
      </w:pPr>
      <w:r w:rsidRPr="001E7F59">
        <w:rPr>
          <w:rFonts w:ascii="Palatino Linotype" w:eastAsia="Calibri" w:hAnsi="Palatino Linotype"/>
          <w:i/>
          <w:color w:val="000000"/>
          <w:szCs w:val="22"/>
          <w:lang w:eastAsia="en-US"/>
        </w:rPr>
        <w:t xml:space="preserve">I. Nombre y Clave Única del Registro de Población del deudor alimentario; </w:t>
      </w:r>
    </w:p>
    <w:p w14:paraId="266C5625" w14:textId="77777777" w:rsidR="001B3766" w:rsidRPr="001E7F59" w:rsidRDefault="001B3766" w:rsidP="001B3766">
      <w:pPr>
        <w:spacing w:line="360" w:lineRule="auto"/>
        <w:ind w:left="567" w:right="567"/>
        <w:contextualSpacing/>
        <w:jc w:val="both"/>
        <w:rPr>
          <w:rFonts w:ascii="Palatino Linotype" w:eastAsia="Calibri" w:hAnsi="Palatino Linotype"/>
          <w:i/>
          <w:color w:val="000000"/>
          <w:szCs w:val="22"/>
          <w:lang w:eastAsia="en-US"/>
        </w:rPr>
      </w:pPr>
      <w:r w:rsidRPr="001E7F59">
        <w:rPr>
          <w:rFonts w:ascii="Palatino Linotype" w:eastAsia="Calibri" w:hAnsi="Palatino Linotype"/>
          <w:i/>
          <w:color w:val="000000"/>
          <w:szCs w:val="22"/>
          <w:lang w:eastAsia="en-US"/>
        </w:rPr>
        <w:t xml:space="preserve">II. Nombre del acreedor o acreedores alimentarios; </w:t>
      </w:r>
    </w:p>
    <w:p w14:paraId="2531999E" w14:textId="77777777" w:rsidR="001B3766" w:rsidRPr="001E7F59" w:rsidRDefault="001B3766" w:rsidP="001B3766">
      <w:pPr>
        <w:spacing w:line="360" w:lineRule="auto"/>
        <w:ind w:left="567" w:right="567"/>
        <w:contextualSpacing/>
        <w:jc w:val="both"/>
        <w:rPr>
          <w:rFonts w:ascii="Palatino Linotype" w:eastAsia="Calibri" w:hAnsi="Palatino Linotype"/>
          <w:i/>
          <w:color w:val="000000"/>
          <w:szCs w:val="22"/>
          <w:lang w:eastAsia="en-US"/>
        </w:rPr>
      </w:pPr>
      <w:r w:rsidRPr="001E7F59">
        <w:rPr>
          <w:rFonts w:ascii="Palatino Linotype" w:eastAsia="Calibri" w:hAnsi="Palatino Linotype"/>
          <w:i/>
          <w:color w:val="000000"/>
          <w:szCs w:val="22"/>
          <w:lang w:eastAsia="en-US"/>
        </w:rPr>
        <w:t xml:space="preserve">III. Datos del acta que acredite el vínculo entre deudor y acreedor alimentario, en su caso; </w:t>
      </w:r>
    </w:p>
    <w:p w14:paraId="7ADF0382" w14:textId="77777777" w:rsidR="001B3766" w:rsidRPr="001E7F59" w:rsidRDefault="001B3766" w:rsidP="001B3766">
      <w:pPr>
        <w:spacing w:line="360" w:lineRule="auto"/>
        <w:ind w:left="567" w:right="567"/>
        <w:contextualSpacing/>
        <w:jc w:val="both"/>
        <w:rPr>
          <w:rFonts w:ascii="Palatino Linotype" w:eastAsia="Calibri" w:hAnsi="Palatino Linotype"/>
          <w:i/>
          <w:color w:val="000000"/>
          <w:szCs w:val="22"/>
          <w:lang w:eastAsia="en-US"/>
        </w:rPr>
      </w:pPr>
      <w:r w:rsidRPr="001E7F59">
        <w:rPr>
          <w:rFonts w:ascii="Palatino Linotype" w:eastAsia="Calibri" w:hAnsi="Palatino Linotype"/>
          <w:i/>
          <w:color w:val="000000"/>
          <w:szCs w:val="22"/>
          <w:lang w:eastAsia="en-US"/>
        </w:rPr>
        <w:t xml:space="preserve">IV. Monto de la pensión decretada o convenida, en su caso, número de pagos incumplidos y monto del adeudo alimentario; </w:t>
      </w:r>
    </w:p>
    <w:p w14:paraId="58968C82" w14:textId="77777777" w:rsidR="001B3766" w:rsidRPr="001E7F59" w:rsidRDefault="001B3766" w:rsidP="001B3766">
      <w:pPr>
        <w:spacing w:line="360" w:lineRule="auto"/>
        <w:ind w:left="567" w:right="567"/>
        <w:contextualSpacing/>
        <w:jc w:val="both"/>
        <w:rPr>
          <w:rFonts w:ascii="Palatino Linotype" w:eastAsia="Calibri" w:hAnsi="Palatino Linotype"/>
          <w:i/>
          <w:color w:val="000000"/>
          <w:szCs w:val="22"/>
          <w:lang w:eastAsia="en-US"/>
        </w:rPr>
      </w:pPr>
      <w:r w:rsidRPr="001E7F59">
        <w:rPr>
          <w:rFonts w:ascii="Palatino Linotype" w:eastAsia="Calibri" w:hAnsi="Palatino Linotype"/>
          <w:i/>
          <w:color w:val="000000"/>
          <w:szCs w:val="22"/>
          <w:lang w:eastAsia="en-US"/>
        </w:rPr>
        <w:t xml:space="preserve">V. Órgano jurisdiccional que ordenó el registro; </w:t>
      </w:r>
    </w:p>
    <w:p w14:paraId="229941DA" w14:textId="77777777" w:rsidR="001B3766" w:rsidRPr="001E7F59" w:rsidRDefault="001B3766" w:rsidP="001B3766">
      <w:pPr>
        <w:spacing w:line="360" w:lineRule="auto"/>
        <w:ind w:left="567" w:right="567"/>
        <w:contextualSpacing/>
        <w:jc w:val="both"/>
        <w:rPr>
          <w:rFonts w:ascii="Palatino Linotype" w:eastAsia="Calibri" w:hAnsi="Palatino Linotype"/>
          <w:i/>
          <w:color w:val="000000"/>
          <w:szCs w:val="22"/>
          <w:lang w:eastAsia="en-US"/>
        </w:rPr>
      </w:pPr>
      <w:r w:rsidRPr="001E7F59">
        <w:rPr>
          <w:rFonts w:ascii="Palatino Linotype" w:eastAsia="Calibri" w:hAnsi="Palatino Linotype"/>
          <w:i/>
          <w:color w:val="000000"/>
          <w:szCs w:val="22"/>
          <w:lang w:eastAsia="en-US"/>
        </w:rPr>
        <w:t xml:space="preserve">VI. Datos del expediente jurisdiccional de la que deriva su inscripción. </w:t>
      </w:r>
    </w:p>
    <w:p w14:paraId="6C800DE0" w14:textId="77777777" w:rsidR="001B3766" w:rsidRPr="001E7F59" w:rsidRDefault="001B3766" w:rsidP="001B3766">
      <w:pPr>
        <w:spacing w:line="360" w:lineRule="auto"/>
        <w:ind w:left="567" w:right="567"/>
        <w:contextualSpacing/>
        <w:jc w:val="both"/>
        <w:rPr>
          <w:rFonts w:ascii="Palatino Linotype" w:eastAsia="Calibri" w:hAnsi="Palatino Linotype"/>
          <w:i/>
          <w:color w:val="000000"/>
          <w:szCs w:val="22"/>
          <w:lang w:eastAsia="en-US"/>
        </w:rPr>
      </w:pPr>
    </w:p>
    <w:p w14:paraId="07A147BC" w14:textId="77777777" w:rsidR="001B3766" w:rsidRPr="001E7F59" w:rsidRDefault="001B3766" w:rsidP="001B3766">
      <w:pPr>
        <w:spacing w:line="360" w:lineRule="auto"/>
        <w:ind w:left="567" w:right="567"/>
        <w:contextualSpacing/>
        <w:jc w:val="both"/>
        <w:rPr>
          <w:rFonts w:ascii="Palatino Linotype" w:eastAsia="Calibri" w:hAnsi="Palatino Linotype"/>
          <w:i/>
          <w:color w:val="000000"/>
          <w:szCs w:val="22"/>
          <w:lang w:eastAsia="en-US"/>
        </w:rPr>
      </w:pPr>
      <w:r w:rsidRPr="001E7F59">
        <w:rPr>
          <w:rFonts w:ascii="Palatino Linotype" w:eastAsia="Calibri" w:hAnsi="Palatino Linotype"/>
          <w:i/>
          <w:color w:val="000000"/>
          <w:szCs w:val="22"/>
          <w:lang w:eastAsia="en-US"/>
        </w:rPr>
        <w:t>Una vez hecha la inscripción a que se refiere el párrafo anterior se girará oficio al Instituto de la Función Registral del Estado de México, a efecto de que se anote el certificado de deudor alimentario en los folios reales de que sea propietario el deudor alimentario. El Instituto de la Función Registral informará al Registro Civil si fue procedente la anotación, en cuyo caso dará aviso al Juez del conocimiento para que el acreedor alimentario haga cobrable las cantidades adeudadas en la vía judicial respectiva.</w:t>
      </w:r>
    </w:p>
    <w:p w14:paraId="5149A66D" w14:textId="77777777" w:rsidR="001B3766" w:rsidRPr="001E7F59" w:rsidRDefault="001B3766" w:rsidP="001B3766">
      <w:pPr>
        <w:spacing w:line="360" w:lineRule="auto"/>
        <w:ind w:left="567" w:right="567"/>
        <w:contextualSpacing/>
        <w:jc w:val="both"/>
        <w:rPr>
          <w:rFonts w:ascii="Palatino Linotype" w:eastAsia="Calibri" w:hAnsi="Palatino Linotype"/>
          <w:i/>
          <w:color w:val="000000"/>
          <w:szCs w:val="22"/>
          <w:lang w:eastAsia="en-US"/>
        </w:rPr>
      </w:pPr>
    </w:p>
    <w:p w14:paraId="1182871B" w14:textId="77777777" w:rsidR="001B3766" w:rsidRPr="001E7F59" w:rsidRDefault="001B3766" w:rsidP="001B3766">
      <w:pPr>
        <w:spacing w:line="360" w:lineRule="auto"/>
        <w:ind w:left="567" w:right="567"/>
        <w:contextualSpacing/>
        <w:jc w:val="both"/>
        <w:rPr>
          <w:rFonts w:ascii="Palatino Linotype" w:eastAsia="Calibri" w:hAnsi="Palatino Linotype"/>
          <w:b/>
          <w:i/>
          <w:color w:val="000000"/>
          <w:szCs w:val="22"/>
          <w:lang w:eastAsia="en-US"/>
        </w:rPr>
      </w:pPr>
      <w:r w:rsidRPr="001E7F59">
        <w:rPr>
          <w:rFonts w:ascii="Palatino Linotype" w:eastAsia="Calibri" w:hAnsi="Palatino Linotype"/>
          <w:b/>
          <w:i/>
          <w:color w:val="000000"/>
          <w:szCs w:val="22"/>
          <w:lang w:eastAsia="en-US"/>
        </w:rPr>
        <w:t xml:space="preserve">Datos del Certificado expedido por la Unidad del Registro de Deudores Alimentarios Morosos </w:t>
      </w:r>
    </w:p>
    <w:p w14:paraId="5785D2AD" w14:textId="77777777" w:rsidR="001B3766" w:rsidRPr="001E7F59" w:rsidRDefault="001B3766" w:rsidP="001B3766">
      <w:pPr>
        <w:spacing w:line="360" w:lineRule="auto"/>
        <w:ind w:left="567" w:right="567"/>
        <w:contextualSpacing/>
        <w:jc w:val="both"/>
        <w:rPr>
          <w:rFonts w:ascii="Palatino Linotype" w:eastAsia="Calibri" w:hAnsi="Palatino Linotype"/>
          <w:i/>
          <w:color w:val="000000"/>
          <w:szCs w:val="22"/>
          <w:lang w:eastAsia="en-US"/>
        </w:rPr>
      </w:pPr>
    </w:p>
    <w:p w14:paraId="43F015B5" w14:textId="77777777" w:rsidR="001B3766" w:rsidRPr="001E7F59" w:rsidRDefault="001B3766" w:rsidP="001B3766">
      <w:pPr>
        <w:spacing w:line="360" w:lineRule="auto"/>
        <w:ind w:left="567" w:right="567"/>
        <w:contextualSpacing/>
        <w:jc w:val="both"/>
        <w:rPr>
          <w:rFonts w:ascii="Palatino Linotype" w:eastAsia="Calibri" w:hAnsi="Palatino Linotype"/>
          <w:i/>
          <w:color w:val="000000"/>
          <w:szCs w:val="22"/>
          <w:lang w:eastAsia="en-US"/>
        </w:rPr>
      </w:pPr>
      <w:r w:rsidRPr="001E7F59">
        <w:rPr>
          <w:rFonts w:ascii="Palatino Linotype" w:eastAsia="Calibri" w:hAnsi="Palatino Linotype"/>
          <w:i/>
          <w:color w:val="000000"/>
          <w:szCs w:val="22"/>
          <w:lang w:eastAsia="en-US"/>
        </w:rPr>
        <w:lastRenderedPageBreak/>
        <w:t xml:space="preserve">Artículo 4.146 Quinquies.- </w:t>
      </w:r>
      <w:r w:rsidRPr="001E7F59">
        <w:rPr>
          <w:rFonts w:ascii="Palatino Linotype" w:eastAsia="Calibri" w:hAnsi="Palatino Linotype"/>
          <w:b/>
          <w:i/>
          <w:color w:val="000000"/>
          <w:szCs w:val="22"/>
          <w:lang w:eastAsia="en-US"/>
        </w:rPr>
        <w:t>El Certificado expedido por la Unidad del Registro de Deudores Alimentarios Morosos contendrá lo siguiente:</w:t>
      </w:r>
      <w:r w:rsidRPr="001E7F59">
        <w:rPr>
          <w:rFonts w:ascii="Palatino Linotype" w:eastAsia="Calibri" w:hAnsi="Palatino Linotype"/>
          <w:i/>
          <w:color w:val="000000"/>
          <w:szCs w:val="22"/>
          <w:lang w:eastAsia="en-US"/>
        </w:rPr>
        <w:t xml:space="preserve"> </w:t>
      </w:r>
    </w:p>
    <w:p w14:paraId="6C7D98F1" w14:textId="77777777" w:rsidR="001B3766" w:rsidRPr="001E7F59" w:rsidRDefault="001B3766" w:rsidP="001B3766">
      <w:pPr>
        <w:spacing w:line="360" w:lineRule="auto"/>
        <w:ind w:left="567" w:right="567"/>
        <w:contextualSpacing/>
        <w:jc w:val="both"/>
        <w:rPr>
          <w:rFonts w:ascii="Palatino Linotype" w:eastAsia="Calibri" w:hAnsi="Palatino Linotype"/>
          <w:i/>
          <w:color w:val="000000"/>
          <w:szCs w:val="22"/>
          <w:lang w:eastAsia="en-US"/>
        </w:rPr>
      </w:pPr>
    </w:p>
    <w:p w14:paraId="29614DBD" w14:textId="77777777" w:rsidR="001B3766" w:rsidRPr="001E7F59" w:rsidRDefault="001B3766" w:rsidP="001B3766">
      <w:pPr>
        <w:spacing w:line="360" w:lineRule="auto"/>
        <w:ind w:left="567" w:right="567"/>
        <w:contextualSpacing/>
        <w:jc w:val="both"/>
        <w:rPr>
          <w:rFonts w:ascii="Palatino Linotype" w:eastAsia="Calibri" w:hAnsi="Palatino Linotype"/>
          <w:i/>
          <w:color w:val="000000"/>
          <w:szCs w:val="22"/>
          <w:lang w:eastAsia="en-US"/>
        </w:rPr>
      </w:pPr>
      <w:r w:rsidRPr="001E7F59">
        <w:rPr>
          <w:rFonts w:ascii="Palatino Linotype" w:eastAsia="Calibri" w:hAnsi="Palatino Linotype"/>
          <w:i/>
          <w:color w:val="000000"/>
          <w:szCs w:val="22"/>
          <w:lang w:eastAsia="en-US"/>
        </w:rPr>
        <w:t xml:space="preserve">I. Nombre y Clave Única de Registro de Población del solicitante; </w:t>
      </w:r>
    </w:p>
    <w:p w14:paraId="14F00CA0" w14:textId="77777777" w:rsidR="001B3766" w:rsidRPr="001E7F59" w:rsidRDefault="001B3766" w:rsidP="001B3766">
      <w:pPr>
        <w:spacing w:line="360" w:lineRule="auto"/>
        <w:ind w:left="567" w:right="567"/>
        <w:contextualSpacing/>
        <w:jc w:val="both"/>
        <w:rPr>
          <w:rFonts w:ascii="Palatino Linotype" w:eastAsia="Calibri" w:hAnsi="Palatino Linotype"/>
          <w:i/>
          <w:color w:val="000000"/>
          <w:szCs w:val="22"/>
          <w:lang w:eastAsia="en-US"/>
        </w:rPr>
      </w:pPr>
      <w:r w:rsidRPr="001E7F59">
        <w:rPr>
          <w:rFonts w:ascii="Palatino Linotype" w:eastAsia="Calibri" w:hAnsi="Palatino Linotype"/>
          <w:i/>
          <w:color w:val="000000"/>
          <w:szCs w:val="22"/>
          <w:lang w:eastAsia="en-US"/>
        </w:rPr>
        <w:t>II. La información sobre su inscripción o no en el registro de deudores alimentarios morosos.</w:t>
      </w:r>
    </w:p>
    <w:p w14:paraId="58211C1B" w14:textId="77777777" w:rsidR="001B3766" w:rsidRPr="001E7F59" w:rsidRDefault="001B3766" w:rsidP="001B3766">
      <w:pPr>
        <w:spacing w:line="360" w:lineRule="auto"/>
        <w:ind w:left="567" w:right="567"/>
        <w:contextualSpacing/>
        <w:jc w:val="both"/>
        <w:rPr>
          <w:rFonts w:ascii="Palatino Linotype" w:eastAsia="Calibri" w:hAnsi="Palatino Linotype"/>
          <w:i/>
          <w:color w:val="000000"/>
          <w:szCs w:val="22"/>
          <w:lang w:eastAsia="en-US"/>
        </w:rPr>
      </w:pPr>
    </w:p>
    <w:p w14:paraId="09402AAD" w14:textId="77777777" w:rsidR="001B3766" w:rsidRPr="001E7F59" w:rsidRDefault="001B3766" w:rsidP="001B3766">
      <w:pPr>
        <w:spacing w:line="360" w:lineRule="auto"/>
        <w:ind w:left="567" w:right="567"/>
        <w:contextualSpacing/>
        <w:jc w:val="both"/>
        <w:rPr>
          <w:rFonts w:ascii="Palatino Linotype" w:eastAsia="Calibri" w:hAnsi="Palatino Linotype"/>
          <w:i/>
          <w:color w:val="000000"/>
          <w:szCs w:val="22"/>
          <w:lang w:eastAsia="en-US"/>
        </w:rPr>
      </w:pPr>
      <w:r w:rsidRPr="001E7F59">
        <w:rPr>
          <w:rFonts w:ascii="Palatino Linotype" w:eastAsia="Calibri" w:hAnsi="Palatino Linotype"/>
          <w:i/>
          <w:color w:val="000000"/>
          <w:szCs w:val="22"/>
          <w:lang w:eastAsia="en-US"/>
        </w:rPr>
        <w:t>De ser el caso que el solicitante se encuentre inscrito en el registro, la constancia incluirá además lo siguiente:</w:t>
      </w:r>
    </w:p>
    <w:p w14:paraId="7DB1F3C7" w14:textId="77777777" w:rsidR="001B3766" w:rsidRPr="001E7F59" w:rsidRDefault="001B3766" w:rsidP="001B3766">
      <w:pPr>
        <w:spacing w:line="360" w:lineRule="auto"/>
        <w:ind w:left="567" w:right="567"/>
        <w:contextualSpacing/>
        <w:jc w:val="both"/>
        <w:rPr>
          <w:rFonts w:ascii="Palatino Linotype" w:eastAsia="Calibri" w:hAnsi="Palatino Linotype"/>
          <w:i/>
          <w:color w:val="000000"/>
          <w:szCs w:val="22"/>
          <w:lang w:eastAsia="en-US"/>
        </w:rPr>
      </w:pPr>
    </w:p>
    <w:p w14:paraId="2EE21DB1" w14:textId="77777777" w:rsidR="001B3766" w:rsidRPr="001E7F59" w:rsidRDefault="001B3766" w:rsidP="001B3766">
      <w:pPr>
        <w:spacing w:line="360" w:lineRule="auto"/>
        <w:ind w:left="567" w:right="567"/>
        <w:contextualSpacing/>
        <w:jc w:val="both"/>
        <w:rPr>
          <w:rFonts w:ascii="Palatino Linotype" w:eastAsia="Calibri" w:hAnsi="Palatino Linotype"/>
          <w:i/>
          <w:color w:val="000000"/>
          <w:szCs w:val="22"/>
          <w:lang w:eastAsia="en-US"/>
        </w:rPr>
      </w:pPr>
      <w:r w:rsidRPr="001E7F59">
        <w:rPr>
          <w:rFonts w:ascii="Palatino Linotype" w:eastAsia="Calibri" w:hAnsi="Palatino Linotype"/>
          <w:i/>
          <w:color w:val="000000"/>
          <w:szCs w:val="22"/>
          <w:lang w:eastAsia="en-US"/>
        </w:rPr>
        <w:t>I. Número de acreedores alimentarios;</w:t>
      </w:r>
    </w:p>
    <w:p w14:paraId="3399E7A4" w14:textId="77777777" w:rsidR="001B3766" w:rsidRPr="001E7F59" w:rsidRDefault="001B3766" w:rsidP="001B3766">
      <w:pPr>
        <w:spacing w:line="360" w:lineRule="auto"/>
        <w:ind w:left="567" w:right="567"/>
        <w:contextualSpacing/>
        <w:jc w:val="both"/>
        <w:rPr>
          <w:rFonts w:ascii="Palatino Linotype" w:eastAsia="Calibri" w:hAnsi="Palatino Linotype"/>
          <w:i/>
          <w:color w:val="000000"/>
          <w:szCs w:val="22"/>
          <w:lang w:eastAsia="en-US"/>
        </w:rPr>
      </w:pPr>
      <w:r w:rsidRPr="001E7F59">
        <w:rPr>
          <w:rFonts w:ascii="Palatino Linotype" w:eastAsia="Calibri" w:hAnsi="Palatino Linotype"/>
          <w:i/>
          <w:color w:val="000000"/>
          <w:szCs w:val="22"/>
          <w:lang w:eastAsia="en-US"/>
        </w:rPr>
        <w:t>II. Monto de la pensión alimenticia decretada o convenida;</w:t>
      </w:r>
    </w:p>
    <w:p w14:paraId="32585E56" w14:textId="77777777" w:rsidR="001B3766" w:rsidRPr="001E7F59" w:rsidRDefault="001B3766" w:rsidP="001B3766">
      <w:pPr>
        <w:spacing w:line="360" w:lineRule="auto"/>
        <w:ind w:left="567" w:right="567"/>
        <w:contextualSpacing/>
        <w:jc w:val="both"/>
        <w:rPr>
          <w:rFonts w:ascii="Palatino Linotype" w:eastAsia="Calibri" w:hAnsi="Palatino Linotype"/>
          <w:i/>
          <w:color w:val="000000"/>
          <w:szCs w:val="22"/>
          <w:lang w:eastAsia="en-US"/>
        </w:rPr>
      </w:pPr>
      <w:r w:rsidRPr="001E7F59">
        <w:rPr>
          <w:rFonts w:ascii="Palatino Linotype" w:eastAsia="Calibri" w:hAnsi="Palatino Linotype"/>
          <w:i/>
          <w:color w:val="000000"/>
          <w:szCs w:val="22"/>
          <w:lang w:eastAsia="en-US"/>
        </w:rPr>
        <w:t>III. Órgano jurisdiccional que ordenó el registro;</w:t>
      </w:r>
    </w:p>
    <w:p w14:paraId="0327E855" w14:textId="77777777" w:rsidR="001B3766" w:rsidRPr="001E7F59" w:rsidRDefault="001B3766" w:rsidP="001B3766">
      <w:pPr>
        <w:spacing w:line="360" w:lineRule="auto"/>
        <w:ind w:left="567" w:right="567"/>
        <w:contextualSpacing/>
        <w:jc w:val="both"/>
        <w:rPr>
          <w:rFonts w:ascii="Palatino Linotype" w:eastAsia="Calibri" w:hAnsi="Palatino Linotype"/>
          <w:i/>
          <w:color w:val="000000"/>
          <w:szCs w:val="22"/>
          <w:lang w:eastAsia="en-US"/>
        </w:rPr>
      </w:pPr>
      <w:r w:rsidRPr="001E7F59">
        <w:rPr>
          <w:rFonts w:ascii="Palatino Linotype" w:eastAsia="Calibri" w:hAnsi="Palatino Linotype"/>
          <w:i/>
          <w:color w:val="000000"/>
          <w:szCs w:val="22"/>
          <w:lang w:eastAsia="en-US"/>
        </w:rPr>
        <w:t>IV. Datos del expediente jurisdiccional de la que deriva su inscripción.</w:t>
      </w:r>
    </w:p>
    <w:p w14:paraId="2D08A540" w14:textId="77777777" w:rsidR="001B3766" w:rsidRPr="001E7F59" w:rsidRDefault="001B3766" w:rsidP="001B3766">
      <w:pPr>
        <w:spacing w:line="360" w:lineRule="auto"/>
        <w:ind w:left="567" w:right="567"/>
        <w:contextualSpacing/>
        <w:jc w:val="both"/>
        <w:rPr>
          <w:rFonts w:ascii="Palatino Linotype" w:eastAsia="Calibri" w:hAnsi="Palatino Linotype"/>
          <w:i/>
          <w:color w:val="000000"/>
          <w:szCs w:val="22"/>
          <w:lang w:eastAsia="en-US"/>
        </w:rPr>
      </w:pPr>
    </w:p>
    <w:p w14:paraId="3FB84DB6" w14:textId="77777777" w:rsidR="001B3766" w:rsidRPr="001E7F59" w:rsidRDefault="001B3766" w:rsidP="001B3766">
      <w:pPr>
        <w:spacing w:line="360" w:lineRule="auto"/>
        <w:ind w:left="567" w:right="567"/>
        <w:contextualSpacing/>
        <w:jc w:val="both"/>
        <w:rPr>
          <w:rFonts w:ascii="Palatino Linotype" w:eastAsia="Calibri" w:hAnsi="Palatino Linotype"/>
          <w:i/>
          <w:color w:val="000000"/>
          <w:szCs w:val="22"/>
          <w:lang w:eastAsia="en-US"/>
        </w:rPr>
      </w:pPr>
      <w:r w:rsidRPr="001E7F59">
        <w:rPr>
          <w:rFonts w:ascii="Palatino Linotype" w:eastAsia="Calibri" w:hAnsi="Palatino Linotype"/>
          <w:i/>
          <w:color w:val="000000"/>
          <w:szCs w:val="22"/>
          <w:lang w:eastAsia="en-US"/>
        </w:rPr>
        <w:t>El Certificado a que se refiere el presente artículo será expedido el mismo día hábil de su solicitud.</w:t>
      </w:r>
    </w:p>
    <w:p w14:paraId="1C8A1836" w14:textId="77777777" w:rsidR="001B3766" w:rsidRPr="001E7F59" w:rsidRDefault="001B3766" w:rsidP="001B3766">
      <w:pPr>
        <w:spacing w:line="360" w:lineRule="auto"/>
        <w:ind w:left="567" w:right="567"/>
        <w:contextualSpacing/>
        <w:jc w:val="both"/>
        <w:rPr>
          <w:rFonts w:ascii="Palatino Linotype" w:eastAsia="Calibri" w:hAnsi="Palatino Linotype"/>
          <w:i/>
          <w:color w:val="000000"/>
          <w:szCs w:val="22"/>
          <w:lang w:eastAsia="en-US"/>
        </w:rPr>
      </w:pPr>
      <w:r w:rsidRPr="001E7F59">
        <w:rPr>
          <w:rFonts w:ascii="Palatino Linotype" w:eastAsia="Calibri" w:hAnsi="Palatino Linotype"/>
          <w:i/>
          <w:color w:val="000000"/>
          <w:szCs w:val="22"/>
          <w:lang w:eastAsia="en-US"/>
        </w:rPr>
        <w:t>…”</w:t>
      </w:r>
    </w:p>
    <w:p w14:paraId="78CF81F7" w14:textId="77777777" w:rsidR="001B3766" w:rsidRPr="001E7F59" w:rsidRDefault="001B3766" w:rsidP="001B3766">
      <w:pPr>
        <w:spacing w:line="360" w:lineRule="auto"/>
        <w:contextualSpacing/>
        <w:jc w:val="both"/>
        <w:rPr>
          <w:rFonts w:ascii="Palatino Linotype" w:hAnsi="Palatino Linotype" w:cs="Tahoma"/>
          <w:sz w:val="22"/>
          <w:szCs w:val="22"/>
        </w:rPr>
      </w:pPr>
    </w:p>
    <w:p w14:paraId="3552FE6F" w14:textId="6B52C57F" w:rsidR="001B3766" w:rsidRPr="001E7F59" w:rsidRDefault="001B3766" w:rsidP="00096C00">
      <w:pPr>
        <w:spacing w:line="360" w:lineRule="auto"/>
        <w:contextualSpacing/>
        <w:jc w:val="both"/>
        <w:rPr>
          <w:rFonts w:ascii="Palatino Linotype" w:eastAsia="Calibri" w:hAnsi="Palatino Linotype"/>
          <w:color w:val="000000"/>
          <w:sz w:val="22"/>
          <w:szCs w:val="22"/>
          <w:lang w:eastAsia="en-US"/>
        </w:rPr>
      </w:pPr>
      <w:r w:rsidRPr="001E7F59">
        <w:rPr>
          <w:rFonts w:ascii="Palatino Linotype" w:hAnsi="Palatino Linotype" w:cs="Tahoma"/>
          <w:sz w:val="22"/>
          <w:szCs w:val="22"/>
        </w:rPr>
        <w:t xml:space="preserve">Ahora bien, respecto a aquellos servidores públicos que se encuentren o no inscritos en dicho registro, procede su entrega en versión pública, ya que al ser un requisito </w:t>
      </w:r>
      <w:r w:rsidRPr="001E7F59">
        <w:rPr>
          <w:rFonts w:ascii="Palatino Linotype" w:hAnsi="Palatino Linotype" w:cs="Tahoma"/>
          <w:b/>
          <w:i/>
          <w:sz w:val="22"/>
          <w:szCs w:val="22"/>
        </w:rPr>
        <w:t xml:space="preserve">sine qua non </w:t>
      </w:r>
      <w:r w:rsidRPr="001E7F59">
        <w:rPr>
          <w:rFonts w:ascii="Palatino Linotype" w:hAnsi="Palatino Linotype" w:cs="Tahoma"/>
          <w:sz w:val="22"/>
          <w:szCs w:val="22"/>
        </w:rPr>
        <w:t>para ingresar al servicio público, específicamente como Titular de alguna Unidad Administrativa Municipal, se convierte en información que da certeza a la ciudadanía de que el Servidor Público que ostenta un cargo de Titular cumplió con los requisitos señalados por el artículo 32 de la Ley Orgánica Municipal</w:t>
      </w:r>
      <w:r w:rsidR="00096C00" w:rsidRPr="001E7F59">
        <w:rPr>
          <w:rFonts w:ascii="Palatino Linotype" w:hAnsi="Palatino Linotype" w:cs="Tahoma"/>
          <w:sz w:val="22"/>
          <w:szCs w:val="22"/>
        </w:rPr>
        <w:t>.</w:t>
      </w:r>
    </w:p>
    <w:p w14:paraId="79A32B1E" w14:textId="77777777" w:rsidR="007E465F" w:rsidRPr="001E7F59" w:rsidRDefault="007E465F" w:rsidP="001B3766">
      <w:pPr>
        <w:spacing w:line="360" w:lineRule="auto"/>
        <w:contextualSpacing/>
        <w:jc w:val="both"/>
        <w:rPr>
          <w:rFonts w:ascii="Palatino Linotype" w:eastAsia="Calibri" w:hAnsi="Palatino Linotype"/>
          <w:color w:val="000000"/>
          <w:sz w:val="22"/>
          <w:szCs w:val="22"/>
          <w:lang w:eastAsia="en-US"/>
        </w:rPr>
      </w:pPr>
    </w:p>
    <w:p w14:paraId="7EDB2B7C" w14:textId="77777777" w:rsidR="004044F5" w:rsidRPr="001E7F59" w:rsidRDefault="001B3766" w:rsidP="001B3766">
      <w:pPr>
        <w:spacing w:line="360" w:lineRule="auto"/>
        <w:contextualSpacing/>
        <w:jc w:val="both"/>
        <w:rPr>
          <w:rFonts w:ascii="Palatino Linotype" w:eastAsia="Calibri" w:hAnsi="Palatino Linotype"/>
          <w:color w:val="000000"/>
          <w:sz w:val="22"/>
          <w:szCs w:val="22"/>
          <w:lang w:eastAsia="en-US"/>
        </w:rPr>
      </w:pPr>
      <w:r w:rsidRPr="001E7F59">
        <w:rPr>
          <w:rFonts w:ascii="Palatino Linotype" w:eastAsia="Calibri" w:hAnsi="Palatino Linotype"/>
          <w:color w:val="000000"/>
          <w:sz w:val="22"/>
          <w:szCs w:val="22"/>
          <w:lang w:eastAsia="en-US"/>
        </w:rPr>
        <w:t xml:space="preserve">Derivado de lo anterior, cualquier ciudadano que desee obtener dicha información, podrá ingresar a la Ventanilla Electrónica Única, en la que accederá con su CUTS y contraseña, </w:t>
      </w:r>
      <w:r w:rsidRPr="001E7F59">
        <w:rPr>
          <w:rFonts w:ascii="Palatino Linotype" w:eastAsia="Calibri" w:hAnsi="Palatino Linotype"/>
          <w:color w:val="000000"/>
          <w:sz w:val="22"/>
          <w:szCs w:val="22"/>
          <w:lang w:eastAsia="en-US"/>
        </w:rPr>
        <w:lastRenderedPageBreak/>
        <w:t xml:space="preserve">capturando los datos como son CURP, nombre, primer y segundo apellido, y se comenzará la búsqueda de lo solicitado, en el que arrojará si se encuentra en calidad de deudor o no. </w:t>
      </w:r>
    </w:p>
    <w:p w14:paraId="23E028A8" w14:textId="77777777" w:rsidR="004044F5" w:rsidRPr="001E7F59" w:rsidRDefault="004044F5" w:rsidP="001B3766">
      <w:pPr>
        <w:spacing w:line="360" w:lineRule="auto"/>
        <w:contextualSpacing/>
        <w:jc w:val="both"/>
        <w:rPr>
          <w:rFonts w:ascii="Palatino Linotype" w:eastAsia="Calibri" w:hAnsi="Palatino Linotype"/>
          <w:color w:val="000000"/>
          <w:sz w:val="22"/>
          <w:szCs w:val="22"/>
          <w:lang w:eastAsia="en-US"/>
        </w:rPr>
      </w:pPr>
    </w:p>
    <w:p w14:paraId="4BF7B7E6" w14:textId="7FC5290B" w:rsidR="001B3766" w:rsidRPr="001E7F59" w:rsidRDefault="001B3766" w:rsidP="001B3766">
      <w:pPr>
        <w:spacing w:line="360" w:lineRule="auto"/>
        <w:contextualSpacing/>
        <w:jc w:val="both"/>
        <w:rPr>
          <w:rFonts w:ascii="Palatino Linotype" w:eastAsia="Calibri" w:hAnsi="Palatino Linotype"/>
          <w:color w:val="000000"/>
          <w:sz w:val="22"/>
          <w:szCs w:val="22"/>
          <w:lang w:eastAsia="en-US"/>
        </w:rPr>
      </w:pPr>
      <w:r w:rsidRPr="001E7F59">
        <w:rPr>
          <w:rFonts w:ascii="Palatino Linotype" w:eastAsia="Calibri" w:hAnsi="Palatino Linotype"/>
          <w:color w:val="000000"/>
          <w:sz w:val="22"/>
          <w:szCs w:val="22"/>
          <w:lang w:eastAsia="en-US"/>
        </w:rPr>
        <w:t xml:space="preserve">En este sentido, se advierte que al ser un requisito indispensable y preponderante para ser Titular de Unidad Administrativa dentro del Ámbito Municipal, el Sujeto Obligado </w:t>
      </w:r>
      <w:r w:rsidR="004044F5" w:rsidRPr="001E7F59">
        <w:rPr>
          <w:rFonts w:ascii="Palatino Linotype" w:eastAsia="Calibri" w:hAnsi="Palatino Linotype"/>
          <w:color w:val="000000"/>
          <w:sz w:val="22"/>
          <w:szCs w:val="22"/>
          <w:lang w:eastAsia="en-US"/>
        </w:rPr>
        <w:t>hizo entrega de dicho documento, que da cuenta del</w:t>
      </w:r>
      <w:r w:rsidRPr="001E7F59">
        <w:rPr>
          <w:rFonts w:ascii="Palatino Linotype" w:eastAsia="Calibri" w:hAnsi="Palatino Linotype"/>
          <w:color w:val="000000"/>
          <w:sz w:val="22"/>
          <w:szCs w:val="22"/>
          <w:lang w:eastAsia="en-US"/>
        </w:rPr>
        <w:t xml:space="preserve"> cumpli</w:t>
      </w:r>
      <w:r w:rsidR="004044F5" w:rsidRPr="001E7F59">
        <w:rPr>
          <w:rFonts w:ascii="Palatino Linotype" w:eastAsia="Calibri" w:hAnsi="Palatino Linotype"/>
          <w:color w:val="000000"/>
          <w:sz w:val="22"/>
          <w:szCs w:val="22"/>
          <w:lang w:eastAsia="en-US"/>
        </w:rPr>
        <w:t>miento</w:t>
      </w:r>
      <w:r w:rsidRPr="001E7F59">
        <w:rPr>
          <w:rFonts w:ascii="Palatino Linotype" w:eastAsia="Calibri" w:hAnsi="Palatino Linotype"/>
          <w:color w:val="000000"/>
          <w:sz w:val="22"/>
          <w:szCs w:val="22"/>
          <w:lang w:eastAsia="en-US"/>
        </w:rPr>
        <w:t xml:space="preserve"> </w:t>
      </w:r>
      <w:r w:rsidR="004044F5" w:rsidRPr="001E7F59">
        <w:rPr>
          <w:rFonts w:ascii="Palatino Linotype" w:eastAsia="Calibri" w:hAnsi="Palatino Linotype"/>
          <w:color w:val="000000"/>
          <w:sz w:val="22"/>
          <w:szCs w:val="22"/>
          <w:lang w:eastAsia="en-US"/>
        </w:rPr>
        <w:t xml:space="preserve">de </w:t>
      </w:r>
      <w:r w:rsidRPr="001E7F59">
        <w:rPr>
          <w:rFonts w:ascii="Palatino Linotype" w:eastAsia="Calibri" w:hAnsi="Palatino Linotype"/>
          <w:color w:val="000000"/>
          <w:sz w:val="22"/>
          <w:szCs w:val="22"/>
          <w:lang w:eastAsia="en-US"/>
        </w:rPr>
        <w:t>las obligaciones que adquieran con sus menores hijos, porque al haberlas cubierto, no formarán parte de ese registro, no pasa desapercibido, que</w:t>
      </w:r>
      <w:r w:rsidR="004044F5" w:rsidRPr="001E7F59">
        <w:rPr>
          <w:rFonts w:ascii="Palatino Linotype" w:eastAsia="Calibri" w:hAnsi="Palatino Linotype"/>
          <w:color w:val="000000"/>
          <w:sz w:val="22"/>
          <w:szCs w:val="22"/>
          <w:lang w:eastAsia="en-US"/>
        </w:rPr>
        <w:t xml:space="preserve"> este se entregó en versión pública correcta, sin embargo no adjunto el Acuerdo emitido por el Comité de Transparencia en el que funde y motive el dato eliminado de carácter confidencial como lo es el CURP</w:t>
      </w:r>
      <w:r w:rsidRPr="001E7F59">
        <w:rPr>
          <w:rFonts w:ascii="Palatino Linotype" w:eastAsia="Calibri" w:hAnsi="Palatino Linotype"/>
          <w:color w:val="000000"/>
          <w:sz w:val="22"/>
          <w:szCs w:val="22"/>
          <w:lang w:eastAsia="en-US"/>
        </w:rPr>
        <w:t>.</w:t>
      </w:r>
    </w:p>
    <w:p w14:paraId="7956C8A5" w14:textId="77777777" w:rsidR="001B3766" w:rsidRPr="001E7F59" w:rsidRDefault="001B3766" w:rsidP="001B3766">
      <w:pPr>
        <w:spacing w:line="360" w:lineRule="auto"/>
        <w:contextualSpacing/>
        <w:jc w:val="both"/>
        <w:rPr>
          <w:rFonts w:ascii="Palatino Linotype" w:eastAsia="Calibri" w:hAnsi="Palatino Linotype"/>
          <w:color w:val="000000"/>
          <w:sz w:val="22"/>
          <w:szCs w:val="22"/>
          <w:lang w:eastAsia="en-US"/>
        </w:rPr>
      </w:pPr>
    </w:p>
    <w:p w14:paraId="115C56D5" w14:textId="0E04B6D7" w:rsidR="001B3766" w:rsidRPr="001E7F59" w:rsidRDefault="001B3766" w:rsidP="001B3766">
      <w:pPr>
        <w:numPr>
          <w:ilvl w:val="0"/>
          <w:numId w:val="24"/>
        </w:numPr>
        <w:tabs>
          <w:tab w:val="left" w:pos="4962"/>
        </w:tabs>
        <w:spacing w:after="160" w:line="360" w:lineRule="auto"/>
        <w:ind w:right="-28"/>
        <w:contextualSpacing/>
        <w:jc w:val="both"/>
        <w:rPr>
          <w:rFonts w:ascii="Palatino Linotype" w:eastAsia="Calibri" w:hAnsi="Palatino Linotype" w:cs="Tahoma"/>
          <w:b/>
          <w:iCs/>
          <w:sz w:val="22"/>
          <w:szCs w:val="22"/>
          <w:lang w:eastAsia="es-ES_tradnl"/>
        </w:rPr>
      </w:pPr>
      <w:r w:rsidRPr="001E7F59">
        <w:rPr>
          <w:rFonts w:ascii="Palatino Linotype" w:eastAsia="Calibri" w:hAnsi="Palatino Linotype" w:cs="Tahoma"/>
          <w:b/>
          <w:iCs/>
          <w:sz w:val="22"/>
          <w:szCs w:val="22"/>
          <w:lang w:eastAsia="es-ES_tradnl"/>
        </w:rPr>
        <w:t>Cédula de Identificación Fiscal</w:t>
      </w:r>
    </w:p>
    <w:p w14:paraId="1E7BEAA5" w14:textId="77777777" w:rsidR="001B3766" w:rsidRPr="001E7F59" w:rsidRDefault="001B3766" w:rsidP="001B3766">
      <w:pPr>
        <w:tabs>
          <w:tab w:val="left" w:pos="4962"/>
        </w:tabs>
        <w:spacing w:line="360" w:lineRule="auto"/>
        <w:ind w:right="-28"/>
        <w:jc w:val="both"/>
        <w:rPr>
          <w:rFonts w:ascii="Palatino Linotype" w:eastAsia="Calibri" w:hAnsi="Palatino Linotype" w:cs="Tahoma"/>
          <w:bCs/>
          <w:iCs/>
          <w:sz w:val="22"/>
          <w:szCs w:val="22"/>
          <w:lang w:eastAsia="es-ES_tradnl"/>
        </w:rPr>
      </w:pPr>
    </w:p>
    <w:p w14:paraId="12E57770" w14:textId="77777777" w:rsidR="001B3766" w:rsidRPr="001E7F59" w:rsidRDefault="001B3766" w:rsidP="001B3766">
      <w:pPr>
        <w:spacing w:line="360" w:lineRule="auto"/>
        <w:jc w:val="both"/>
        <w:rPr>
          <w:rFonts w:ascii="Palatino Linotype" w:hAnsi="Palatino Linotype" w:cs="Tahoma"/>
          <w:bCs/>
          <w:sz w:val="22"/>
          <w:szCs w:val="22"/>
        </w:rPr>
      </w:pPr>
      <w:r w:rsidRPr="001E7F59">
        <w:rPr>
          <w:rFonts w:ascii="Palatino Linotype" w:hAnsi="Palatino Linotype" w:cs="Tahoma"/>
          <w:bCs/>
          <w:sz w:val="22"/>
          <w:szCs w:val="22"/>
        </w:rPr>
        <w:t>Al respecto, cabe precisar que las personas físicas que deban presentar declaraciones periódicas o que están obligadas a expedir comprobantes fiscales, tienen que solicitar su inscripción en el Registro Federal de Contribuyentes, esta inscripción es realizada por el Servicio de Administración Tributaria, quien entrega una cédula de identificación fiscal en donde consta la clave que asigna este órgano desconcentrado de la Secretaría de Hacienda y Crédito Público, de acuerdo al artículo 27 del Código Fiscal de la Federación.</w:t>
      </w:r>
    </w:p>
    <w:p w14:paraId="0823BFB5" w14:textId="77777777" w:rsidR="001B3766" w:rsidRPr="001E7F59" w:rsidRDefault="001B3766" w:rsidP="001B3766">
      <w:pPr>
        <w:spacing w:line="360" w:lineRule="auto"/>
        <w:jc w:val="both"/>
        <w:rPr>
          <w:rFonts w:ascii="Palatino Linotype" w:hAnsi="Palatino Linotype" w:cs="Tahoma"/>
          <w:bCs/>
          <w:sz w:val="22"/>
          <w:szCs w:val="22"/>
        </w:rPr>
      </w:pPr>
    </w:p>
    <w:p w14:paraId="5E7E492F" w14:textId="77777777" w:rsidR="001B3766" w:rsidRPr="001E7F59" w:rsidRDefault="001B3766" w:rsidP="001B3766">
      <w:pPr>
        <w:spacing w:line="360" w:lineRule="auto"/>
        <w:jc w:val="both"/>
        <w:rPr>
          <w:rFonts w:ascii="Palatino Linotype" w:hAnsi="Palatino Linotype" w:cs="Tahoma"/>
          <w:bCs/>
          <w:sz w:val="22"/>
          <w:szCs w:val="22"/>
        </w:rPr>
      </w:pPr>
      <w:r w:rsidRPr="001E7F59">
        <w:rPr>
          <w:rFonts w:ascii="Palatino Linotype" w:hAnsi="Palatino Linotype" w:cs="Tahoma"/>
          <w:bCs/>
          <w:sz w:val="22"/>
          <w:szCs w:val="22"/>
        </w:rPr>
        <w:t>De acuerdo a lo establecido en el artículo en comento, esta clave se compone de trece caracteres alfanuméricos, con datos obtenidos de los apellidos, nombre(s), fecha de nacimiento del titular, más una homoclave que establece el sistema automático del Servicio de Administración Tributaria.</w:t>
      </w:r>
    </w:p>
    <w:p w14:paraId="2DCA8663" w14:textId="77777777" w:rsidR="001B3766" w:rsidRPr="001E7F59" w:rsidRDefault="001B3766" w:rsidP="001B3766">
      <w:pPr>
        <w:spacing w:line="360" w:lineRule="auto"/>
        <w:jc w:val="both"/>
        <w:rPr>
          <w:rFonts w:ascii="Palatino Linotype" w:hAnsi="Palatino Linotype" w:cs="Tahoma"/>
          <w:bCs/>
          <w:iCs/>
          <w:sz w:val="22"/>
          <w:szCs w:val="22"/>
        </w:rPr>
      </w:pPr>
    </w:p>
    <w:p w14:paraId="4D925689" w14:textId="51FEBBB2" w:rsidR="001B3766" w:rsidRPr="001E7F59" w:rsidRDefault="001B3766" w:rsidP="001B3766">
      <w:pPr>
        <w:tabs>
          <w:tab w:val="left" w:pos="4962"/>
        </w:tabs>
        <w:spacing w:line="360" w:lineRule="auto"/>
        <w:ind w:right="-28"/>
        <w:jc w:val="both"/>
        <w:rPr>
          <w:rFonts w:ascii="Palatino Linotype" w:eastAsia="Calibri" w:hAnsi="Palatino Linotype" w:cs="Tahoma"/>
          <w:bCs/>
          <w:iCs/>
          <w:sz w:val="22"/>
          <w:szCs w:val="22"/>
          <w:lang w:eastAsia="es-ES_tradnl"/>
        </w:rPr>
      </w:pPr>
      <w:r w:rsidRPr="001E7F59">
        <w:rPr>
          <w:rFonts w:ascii="Palatino Linotype" w:eastAsia="Calibri" w:hAnsi="Palatino Linotype" w:cs="Tahoma"/>
          <w:bCs/>
          <w:iCs/>
          <w:sz w:val="22"/>
          <w:szCs w:val="22"/>
          <w:lang w:eastAsia="es-ES_tradnl"/>
        </w:rPr>
        <w:lastRenderedPageBreak/>
        <w:t xml:space="preserve">En ese contexto, conforme a la página oficial del Servicio de Administración Tributaria, en el apartado Obtén tu cédula de identificación fiscal (consultado el </w:t>
      </w:r>
      <w:r w:rsidR="007E465F" w:rsidRPr="001E7F59">
        <w:rPr>
          <w:rFonts w:ascii="Palatino Linotype" w:eastAsia="Calibri" w:hAnsi="Palatino Linotype" w:cs="Tahoma"/>
          <w:bCs/>
          <w:iCs/>
          <w:sz w:val="22"/>
          <w:szCs w:val="22"/>
          <w:lang w:eastAsia="es-ES_tradnl"/>
        </w:rPr>
        <w:t>dieciocho de febrero de dos mil veinticinco</w:t>
      </w:r>
      <w:r w:rsidRPr="001E7F59">
        <w:rPr>
          <w:rFonts w:ascii="Palatino Linotype" w:eastAsia="Calibri" w:hAnsi="Palatino Linotype" w:cs="Tahoma"/>
          <w:bCs/>
          <w:iCs/>
          <w:sz w:val="22"/>
          <w:szCs w:val="22"/>
          <w:lang w:eastAsia="es-ES_tradnl"/>
        </w:rPr>
        <w:t xml:space="preserve"> a las catorce horas en la liga </w:t>
      </w:r>
      <w:hyperlink r:id="rId11" w:history="1">
        <w:r w:rsidRPr="001E7F59">
          <w:rPr>
            <w:rFonts w:ascii="Palatino Linotype" w:eastAsia="Calibri" w:hAnsi="Palatino Linotype" w:cs="Tahoma"/>
            <w:bCs/>
            <w:iCs/>
            <w:color w:val="0563C1"/>
            <w:sz w:val="22"/>
            <w:szCs w:val="22"/>
            <w:u w:val="single"/>
            <w:lang w:eastAsia="es-ES_tradnl"/>
          </w:rPr>
          <w:t>https://www.sat.gob.mx/aplicacion/28889/obten-tu-cedula-de-identificacion-fiscal</w:t>
        </w:r>
      </w:hyperlink>
      <w:r w:rsidRPr="001E7F59">
        <w:rPr>
          <w:rFonts w:ascii="Palatino Linotype" w:eastAsia="Calibri" w:hAnsi="Palatino Linotype" w:cs="Tahoma"/>
          <w:bCs/>
          <w:iCs/>
          <w:sz w:val="22"/>
          <w:szCs w:val="22"/>
          <w:lang w:eastAsia="es-ES_tradnl"/>
        </w:rPr>
        <w:t>), establece que dicho documento se acredita tu Registro Federal de Contribuyentes, el cual contiene un código QR, que muestra la información del propietario de la clave; es decir mediante la obtención de la Cédula, se inscribe y obtiene el Registro Federal de Contribuyentes.</w:t>
      </w:r>
    </w:p>
    <w:p w14:paraId="020EA60E" w14:textId="77777777" w:rsidR="001B3766" w:rsidRPr="001E7F59" w:rsidRDefault="001B3766" w:rsidP="001B3766">
      <w:pPr>
        <w:spacing w:line="360" w:lineRule="auto"/>
        <w:jc w:val="both"/>
        <w:rPr>
          <w:rFonts w:ascii="Palatino Linotype" w:hAnsi="Palatino Linotype" w:cs="Tahoma"/>
          <w:bCs/>
          <w:iCs/>
          <w:sz w:val="22"/>
          <w:szCs w:val="22"/>
        </w:rPr>
      </w:pPr>
    </w:p>
    <w:p w14:paraId="07052A3A" w14:textId="77777777" w:rsidR="001B3766" w:rsidRPr="001E7F59" w:rsidRDefault="001B3766" w:rsidP="001B3766">
      <w:pPr>
        <w:spacing w:line="360" w:lineRule="auto"/>
        <w:jc w:val="both"/>
        <w:rPr>
          <w:rFonts w:ascii="Palatino Linotype" w:hAnsi="Palatino Linotype" w:cs="Tahoma"/>
          <w:bCs/>
          <w:sz w:val="22"/>
          <w:szCs w:val="22"/>
        </w:rPr>
      </w:pPr>
      <w:r w:rsidRPr="001E7F59">
        <w:rPr>
          <w:rFonts w:ascii="Palatino Linotype" w:hAnsi="Palatino Linotype" w:cs="Tahoma"/>
          <w:bCs/>
          <w:sz w:val="22"/>
          <w:szCs w:val="22"/>
        </w:rPr>
        <w:t>En ese orden de ideas, la clave del Registro Federal de Contribuyentes, es el medio de control que tiene la Secretaría de Hacienda y Crédito Público, a través del Servicio de Administración Tributaria, para exigir y vigilar el cumplimiento de las obligaciones fiscales de los contribuyentes; mientras que los particulares tramitan dicho dato, con el único propósito de realizar mediante esa clave de identificación, operaciones o actividades de naturaleza fiscal.</w:t>
      </w:r>
    </w:p>
    <w:p w14:paraId="6C319CF5" w14:textId="77777777" w:rsidR="001B3766" w:rsidRPr="001E7F59" w:rsidRDefault="001B3766" w:rsidP="001B3766">
      <w:pPr>
        <w:spacing w:line="360" w:lineRule="auto"/>
        <w:jc w:val="both"/>
        <w:rPr>
          <w:rFonts w:ascii="Palatino Linotype" w:hAnsi="Palatino Linotype" w:cs="Tahoma"/>
          <w:bCs/>
          <w:sz w:val="22"/>
          <w:szCs w:val="22"/>
        </w:rPr>
      </w:pPr>
    </w:p>
    <w:p w14:paraId="465F4214" w14:textId="2565746B" w:rsidR="001B3766" w:rsidRPr="001E7F59" w:rsidRDefault="001B3766" w:rsidP="001B3766">
      <w:pPr>
        <w:spacing w:line="360" w:lineRule="auto"/>
        <w:jc w:val="both"/>
        <w:rPr>
          <w:rFonts w:ascii="Palatino Linotype" w:hAnsi="Palatino Linotype" w:cs="Tahoma"/>
          <w:bCs/>
          <w:sz w:val="22"/>
          <w:szCs w:val="22"/>
        </w:rPr>
      </w:pPr>
      <w:r w:rsidRPr="001E7F59">
        <w:rPr>
          <w:rFonts w:ascii="Palatino Linotype" w:hAnsi="Palatino Linotype" w:cs="Tahoma"/>
          <w:bCs/>
          <w:sz w:val="22"/>
          <w:szCs w:val="22"/>
        </w:rPr>
        <w:t xml:space="preserve">Así, el Registro Federal de Contribuyentes, es un dato personal, ya que hace a las personas físicas identificas e identificables, además de que las relaciona como contribuyentes de las autoridades fiscales. Es de destacar que dicho dato únicamente sirve para efectos fiscales y pago de contribuciones, por lo que se trata de un dato relevante únicamente para las personas involucrada, en el pago de estos, en el presente caso, del pago del Impuesto Sobre el Producto del Trabajo. </w:t>
      </w:r>
      <w:r w:rsidR="009C5964" w:rsidRPr="001E7F59">
        <w:rPr>
          <w:rFonts w:ascii="Palatino Linotype" w:hAnsi="Palatino Linotype" w:cs="Tahoma"/>
          <w:bCs/>
          <w:sz w:val="22"/>
          <w:szCs w:val="22"/>
        </w:rPr>
        <w:t>Información que se entregó de manera íntegra, por l</w:t>
      </w:r>
      <w:r w:rsidR="00B56A19" w:rsidRPr="001E7F59">
        <w:rPr>
          <w:rFonts w:ascii="Palatino Linotype" w:hAnsi="Palatino Linotype" w:cs="Tahoma"/>
          <w:bCs/>
          <w:sz w:val="22"/>
          <w:szCs w:val="22"/>
        </w:rPr>
        <w:t>o</w:t>
      </w:r>
      <w:r w:rsidR="009C5964" w:rsidRPr="001E7F59">
        <w:rPr>
          <w:rFonts w:ascii="Palatino Linotype" w:hAnsi="Palatino Linotype" w:cs="Tahoma"/>
          <w:bCs/>
          <w:sz w:val="22"/>
          <w:szCs w:val="22"/>
        </w:rPr>
        <w:t xml:space="preserve"> cual</w:t>
      </w:r>
      <w:r w:rsidR="00B56A19" w:rsidRPr="001E7F59">
        <w:rPr>
          <w:rFonts w:ascii="Palatino Linotype" w:hAnsi="Palatino Linotype" w:cs="Tahoma"/>
          <w:bCs/>
          <w:sz w:val="22"/>
          <w:szCs w:val="22"/>
        </w:rPr>
        <w:t>,</w:t>
      </w:r>
      <w:r w:rsidR="009C5964" w:rsidRPr="001E7F59">
        <w:rPr>
          <w:rFonts w:ascii="Palatino Linotype" w:hAnsi="Palatino Linotype" w:cs="Tahoma"/>
          <w:bCs/>
          <w:sz w:val="22"/>
          <w:szCs w:val="22"/>
        </w:rPr>
        <w:t xml:space="preserve"> se dará vista a la </w:t>
      </w:r>
      <w:r w:rsidR="009C5964" w:rsidRPr="001E7F59">
        <w:rPr>
          <w:rFonts w:ascii="Palatino Linotype" w:hAnsi="Palatino Linotype" w:cs="Tahoma"/>
          <w:bCs/>
          <w:sz w:val="22"/>
          <w:szCs w:val="22"/>
          <w:lang w:val="es-ES_tradnl"/>
        </w:rPr>
        <w:t>Dirección General de Protección de Datos Personales</w:t>
      </w:r>
      <w:r w:rsidR="009C5964" w:rsidRPr="001E7F59">
        <w:rPr>
          <w:rFonts w:ascii="Palatino Linotype" w:hAnsi="Palatino Linotype" w:cs="Tahoma"/>
          <w:bCs/>
          <w:sz w:val="22"/>
          <w:szCs w:val="22"/>
        </w:rPr>
        <w:t>.</w:t>
      </w:r>
    </w:p>
    <w:p w14:paraId="6D048936" w14:textId="77777777" w:rsidR="0041173D" w:rsidRPr="001E7F59" w:rsidRDefault="0041173D" w:rsidP="001B3766">
      <w:pPr>
        <w:spacing w:line="360" w:lineRule="auto"/>
        <w:jc w:val="both"/>
        <w:rPr>
          <w:rFonts w:ascii="Palatino Linotype" w:hAnsi="Palatino Linotype" w:cs="Tahoma"/>
          <w:bCs/>
          <w:sz w:val="22"/>
          <w:szCs w:val="22"/>
        </w:rPr>
      </w:pPr>
    </w:p>
    <w:p w14:paraId="6210D6E6" w14:textId="7C91D8A5" w:rsidR="0041173D" w:rsidRPr="001E7F59" w:rsidRDefault="009B3216" w:rsidP="001B3766">
      <w:pPr>
        <w:spacing w:line="360" w:lineRule="auto"/>
        <w:jc w:val="both"/>
        <w:rPr>
          <w:rFonts w:ascii="Palatino Linotype" w:hAnsi="Palatino Linotype" w:cs="Tahoma"/>
          <w:bCs/>
          <w:sz w:val="22"/>
          <w:szCs w:val="22"/>
        </w:rPr>
      </w:pPr>
      <w:r w:rsidRPr="001E7F59">
        <w:rPr>
          <w:rFonts w:ascii="Palatino Linotype" w:hAnsi="Palatino Linotype" w:cs="Tahoma"/>
          <w:bCs/>
          <w:sz w:val="22"/>
          <w:szCs w:val="22"/>
        </w:rPr>
        <w:t xml:space="preserve">En razón de </w:t>
      </w:r>
      <w:r w:rsidR="0041173D" w:rsidRPr="001E7F59">
        <w:rPr>
          <w:rFonts w:ascii="Palatino Linotype" w:hAnsi="Palatino Linotype" w:cs="Tahoma"/>
          <w:bCs/>
          <w:sz w:val="22"/>
          <w:szCs w:val="22"/>
        </w:rPr>
        <w:t>lo anterior, se inserta un cuadro que contiene cada uno de los documentos proporcionados</w:t>
      </w:r>
      <w:r w:rsidR="00E973ED" w:rsidRPr="001E7F59">
        <w:rPr>
          <w:rFonts w:ascii="Palatino Linotype" w:hAnsi="Palatino Linotype" w:cs="Tahoma"/>
          <w:bCs/>
          <w:sz w:val="22"/>
          <w:szCs w:val="22"/>
        </w:rPr>
        <w:t xml:space="preserve">, </w:t>
      </w:r>
      <w:r w:rsidR="0041173D" w:rsidRPr="001E7F59">
        <w:rPr>
          <w:rFonts w:ascii="Palatino Linotype" w:hAnsi="Palatino Linotype" w:cs="Tahoma"/>
          <w:bCs/>
          <w:sz w:val="22"/>
          <w:szCs w:val="22"/>
        </w:rPr>
        <w:t>contenidos en el expediente de personal, la versión en que se entregó</w:t>
      </w:r>
      <w:r w:rsidR="00E973ED" w:rsidRPr="001E7F59">
        <w:rPr>
          <w:rFonts w:ascii="Palatino Linotype" w:hAnsi="Palatino Linotype" w:cs="Tahoma"/>
          <w:bCs/>
          <w:sz w:val="22"/>
          <w:szCs w:val="22"/>
        </w:rPr>
        <w:t xml:space="preserve"> (los datos eliminados)</w:t>
      </w:r>
      <w:r w:rsidR="0041173D" w:rsidRPr="001E7F59">
        <w:rPr>
          <w:rFonts w:ascii="Palatino Linotype" w:hAnsi="Palatino Linotype" w:cs="Tahoma"/>
          <w:bCs/>
          <w:sz w:val="22"/>
          <w:szCs w:val="22"/>
        </w:rPr>
        <w:t xml:space="preserve"> y si se debe entrega</w:t>
      </w:r>
      <w:r w:rsidRPr="001E7F59">
        <w:rPr>
          <w:rFonts w:ascii="Palatino Linotype" w:hAnsi="Palatino Linotype" w:cs="Tahoma"/>
          <w:bCs/>
          <w:sz w:val="22"/>
          <w:szCs w:val="22"/>
        </w:rPr>
        <w:t>r o no, de acuerdo a lo analizado en párrafos que anteceden:</w:t>
      </w:r>
    </w:p>
    <w:p w14:paraId="44A74109" w14:textId="77777777" w:rsidR="0041173D" w:rsidRPr="001E7F59" w:rsidRDefault="0041173D" w:rsidP="001B3766">
      <w:pPr>
        <w:spacing w:line="360" w:lineRule="auto"/>
        <w:jc w:val="both"/>
        <w:rPr>
          <w:rFonts w:ascii="Palatino Linotype" w:hAnsi="Palatino Linotype" w:cs="Tahoma"/>
          <w:bCs/>
          <w:sz w:val="22"/>
          <w:szCs w:val="22"/>
        </w:rPr>
      </w:pPr>
    </w:p>
    <w:tbl>
      <w:tblPr>
        <w:tblStyle w:val="Tablaconcuadrcula"/>
        <w:tblW w:w="0" w:type="auto"/>
        <w:tblLook w:val="04A0" w:firstRow="1" w:lastRow="0" w:firstColumn="1" w:lastColumn="0" w:noHBand="0" w:noVBand="1"/>
      </w:tblPr>
      <w:tblGrid>
        <w:gridCol w:w="2263"/>
        <w:gridCol w:w="1843"/>
        <w:gridCol w:w="1985"/>
        <w:gridCol w:w="1984"/>
        <w:gridCol w:w="959"/>
      </w:tblGrid>
      <w:tr w:rsidR="009B3216" w:rsidRPr="001E7F59" w14:paraId="415DD084" w14:textId="1CF904B4" w:rsidTr="00E973ED">
        <w:tc>
          <w:tcPr>
            <w:tcW w:w="2263" w:type="dxa"/>
          </w:tcPr>
          <w:p w14:paraId="39CA4D39" w14:textId="309D5B2D" w:rsidR="009B3216" w:rsidRPr="001E7F59" w:rsidRDefault="009B3216" w:rsidP="009B3216">
            <w:pPr>
              <w:spacing w:line="360" w:lineRule="auto"/>
              <w:jc w:val="center"/>
              <w:rPr>
                <w:rFonts w:ascii="Palatino Linotype" w:hAnsi="Palatino Linotype" w:cs="Tahoma"/>
                <w:b/>
                <w:bCs/>
                <w:sz w:val="18"/>
                <w:szCs w:val="18"/>
              </w:rPr>
            </w:pPr>
            <w:r w:rsidRPr="001E7F59">
              <w:rPr>
                <w:rFonts w:ascii="Palatino Linotype" w:hAnsi="Palatino Linotype" w:cs="Tahoma"/>
                <w:b/>
                <w:bCs/>
                <w:sz w:val="18"/>
                <w:szCs w:val="18"/>
              </w:rPr>
              <w:t>Documento</w:t>
            </w:r>
          </w:p>
        </w:tc>
        <w:tc>
          <w:tcPr>
            <w:tcW w:w="1843" w:type="dxa"/>
          </w:tcPr>
          <w:p w14:paraId="21015229" w14:textId="2481306D" w:rsidR="009B3216" w:rsidRPr="001E7F59" w:rsidRDefault="009B3216" w:rsidP="009B3216">
            <w:pPr>
              <w:spacing w:line="360" w:lineRule="auto"/>
              <w:jc w:val="center"/>
              <w:rPr>
                <w:rFonts w:ascii="Palatino Linotype" w:hAnsi="Palatino Linotype" w:cs="Tahoma"/>
                <w:b/>
                <w:bCs/>
                <w:sz w:val="18"/>
                <w:szCs w:val="18"/>
              </w:rPr>
            </w:pPr>
            <w:r w:rsidRPr="001E7F59">
              <w:rPr>
                <w:rFonts w:ascii="Palatino Linotype" w:hAnsi="Palatino Linotype" w:cs="Tahoma"/>
                <w:b/>
                <w:bCs/>
                <w:sz w:val="18"/>
                <w:szCs w:val="18"/>
              </w:rPr>
              <w:t>Datos eliminados</w:t>
            </w:r>
          </w:p>
        </w:tc>
        <w:tc>
          <w:tcPr>
            <w:tcW w:w="1985" w:type="dxa"/>
          </w:tcPr>
          <w:p w14:paraId="4F9C7C6A" w14:textId="07424AAC" w:rsidR="009B3216" w:rsidRPr="001E7F59" w:rsidRDefault="009B3216" w:rsidP="009B3216">
            <w:pPr>
              <w:spacing w:line="360" w:lineRule="auto"/>
              <w:jc w:val="center"/>
              <w:rPr>
                <w:rFonts w:ascii="Palatino Linotype" w:hAnsi="Palatino Linotype" w:cs="Tahoma"/>
                <w:b/>
                <w:bCs/>
                <w:sz w:val="18"/>
                <w:szCs w:val="18"/>
              </w:rPr>
            </w:pPr>
            <w:r w:rsidRPr="001E7F59">
              <w:rPr>
                <w:rFonts w:ascii="Palatino Linotype" w:hAnsi="Palatino Linotype" w:cs="Tahoma"/>
                <w:b/>
                <w:bCs/>
                <w:sz w:val="18"/>
                <w:szCs w:val="18"/>
              </w:rPr>
              <w:t>Observación</w:t>
            </w:r>
          </w:p>
        </w:tc>
        <w:tc>
          <w:tcPr>
            <w:tcW w:w="1984" w:type="dxa"/>
          </w:tcPr>
          <w:p w14:paraId="5B1C82D4" w14:textId="77777777" w:rsidR="009B3216" w:rsidRPr="001E7F59" w:rsidRDefault="009B3216" w:rsidP="009B3216">
            <w:pPr>
              <w:spacing w:line="360" w:lineRule="auto"/>
              <w:jc w:val="center"/>
              <w:rPr>
                <w:rFonts w:ascii="Palatino Linotype" w:hAnsi="Palatino Linotype" w:cs="Tahoma"/>
                <w:b/>
                <w:bCs/>
                <w:sz w:val="18"/>
                <w:szCs w:val="18"/>
              </w:rPr>
            </w:pPr>
            <w:r w:rsidRPr="001E7F59">
              <w:rPr>
                <w:rFonts w:ascii="Palatino Linotype" w:hAnsi="Palatino Linotype" w:cs="Tahoma"/>
                <w:b/>
                <w:bCs/>
                <w:sz w:val="18"/>
                <w:szCs w:val="18"/>
              </w:rPr>
              <w:t>Acuerdo de Comité</w:t>
            </w:r>
          </w:p>
          <w:p w14:paraId="021D308B" w14:textId="6FD3EB0F" w:rsidR="009B3216" w:rsidRPr="001E7F59" w:rsidRDefault="009B3216" w:rsidP="009B3216">
            <w:pPr>
              <w:spacing w:line="360" w:lineRule="auto"/>
              <w:jc w:val="center"/>
              <w:rPr>
                <w:rFonts w:ascii="Palatino Linotype" w:hAnsi="Palatino Linotype" w:cs="Tahoma"/>
                <w:b/>
                <w:bCs/>
                <w:sz w:val="18"/>
                <w:szCs w:val="18"/>
              </w:rPr>
            </w:pPr>
            <w:r w:rsidRPr="001E7F59">
              <w:rPr>
                <w:rFonts w:ascii="Palatino Linotype" w:hAnsi="Palatino Linotype" w:cs="Tahoma"/>
                <w:b/>
                <w:bCs/>
                <w:sz w:val="18"/>
                <w:szCs w:val="18"/>
              </w:rPr>
              <w:t>Si/no</w:t>
            </w:r>
          </w:p>
        </w:tc>
        <w:tc>
          <w:tcPr>
            <w:tcW w:w="959" w:type="dxa"/>
          </w:tcPr>
          <w:p w14:paraId="18362896" w14:textId="586673FA" w:rsidR="009B3216" w:rsidRPr="001E7F59" w:rsidRDefault="009B3216" w:rsidP="00E973ED">
            <w:pPr>
              <w:spacing w:line="360" w:lineRule="auto"/>
              <w:jc w:val="center"/>
              <w:rPr>
                <w:rFonts w:ascii="Palatino Linotype" w:hAnsi="Palatino Linotype" w:cs="Tahoma"/>
                <w:b/>
                <w:bCs/>
                <w:sz w:val="18"/>
                <w:szCs w:val="18"/>
              </w:rPr>
            </w:pPr>
            <w:r w:rsidRPr="001E7F59">
              <w:rPr>
                <w:rFonts w:ascii="Palatino Linotype" w:hAnsi="Palatino Linotype" w:cs="Tahoma"/>
                <w:b/>
                <w:bCs/>
                <w:sz w:val="18"/>
                <w:szCs w:val="18"/>
              </w:rPr>
              <w:t xml:space="preserve">Se </w:t>
            </w:r>
            <w:r w:rsidR="00E973ED" w:rsidRPr="001E7F59">
              <w:rPr>
                <w:rFonts w:ascii="Palatino Linotype" w:hAnsi="Palatino Linotype" w:cs="Tahoma"/>
                <w:b/>
                <w:bCs/>
                <w:sz w:val="18"/>
                <w:szCs w:val="18"/>
              </w:rPr>
              <w:t xml:space="preserve">debe entregar </w:t>
            </w:r>
            <w:r w:rsidRPr="001E7F59">
              <w:rPr>
                <w:rFonts w:ascii="Palatino Linotype" w:hAnsi="Palatino Linotype" w:cs="Tahoma"/>
                <w:b/>
                <w:bCs/>
                <w:sz w:val="18"/>
                <w:szCs w:val="18"/>
              </w:rPr>
              <w:t xml:space="preserve"> </w:t>
            </w:r>
          </w:p>
        </w:tc>
      </w:tr>
      <w:tr w:rsidR="009B3216" w:rsidRPr="001E7F59" w14:paraId="59584833" w14:textId="70BFC8FF" w:rsidTr="00E973ED">
        <w:tc>
          <w:tcPr>
            <w:tcW w:w="2263" w:type="dxa"/>
          </w:tcPr>
          <w:p w14:paraId="471521E8" w14:textId="10A7BBF6" w:rsidR="009B3216" w:rsidRPr="001E7F59" w:rsidRDefault="009B3216" w:rsidP="009B3216">
            <w:pPr>
              <w:spacing w:line="360" w:lineRule="auto"/>
              <w:jc w:val="both"/>
              <w:rPr>
                <w:rFonts w:ascii="Palatino Linotype" w:hAnsi="Palatino Linotype" w:cs="Tahoma"/>
                <w:bCs/>
                <w:sz w:val="18"/>
                <w:szCs w:val="18"/>
              </w:rPr>
            </w:pPr>
            <w:r w:rsidRPr="001E7F59">
              <w:rPr>
                <w:rFonts w:ascii="Palatino Linotype" w:eastAsia="Calibri" w:hAnsi="Palatino Linotype" w:cs="Tahoma"/>
                <w:bCs/>
                <w:color w:val="000000" w:themeColor="text1"/>
                <w:sz w:val="18"/>
                <w:szCs w:val="18"/>
              </w:rPr>
              <w:t xml:space="preserve">Solicitud de Vacaciones y Permiso </w:t>
            </w:r>
          </w:p>
        </w:tc>
        <w:tc>
          <w:tcPr>
            <w:tcW w:w="1843" w:type="dxa"/>
          </w:tcPr>
          <w:p w14:paraId="10C2A5D7" w14:textId="521BD42E" w:rsidR="009B3216" w:rsidRPr="001E7F59" w:rsidRDefault="009B3216" w:rsidP="009B3216">
            <w:pPr>
              <w:spacing w:line="360" w:lineRule="auto"/>
              <w:jc w:val="both"/>
              <w:rPr>
                <w:rFonts w:ascii="Palatino Linotype" w:hAnsi="Palatino Linotype" w:cs="Tahoma"/>
                <w:bCs/>
                <w:sz w:val="18"/>
                <w:szCs w:val="18"/>
              </w:rPr>
            </w:pPr>
            <w:r w:rsidRPr="001E7F59">
              <w:rPr>
                <w:rFonts w:ascii="Palatino Linotype" w:eastAsia="Calibri" w:hAnsi="Palatino Linotype" w:cs="Tahoma"/>
                <w:bCs/>
                <w:color w:val="000000" w:themeColor="text1"/>
                <w:sz w:val="18"/>
                <w:szCs w:val="18"/>
              </w:rPr>
              <w:t>firmas de servidores públicos</w:t>
            </w:r>
          </w:p>
        </w:tc>
        <w:tc>
          <w:tcPr>
            <w:tcW w:w="1985" w:type="dxa"/>
          </w:tcPr>
          <w:p w14:paraId="1B9C6195" w14:textId="0AC80043" w:rsidR="009B3216" w:rsidRPr="001E7F59" w:rsidRDefault="009B3216" w:rsidP="009B3216">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Versión pública incorrecta.</w:t>
            </w:r>
          </w:p>
        </w:tc>
        <w:tc>
          <w:tcPr>
            <w:tcW w:w="1984" w:type="dxa"/>
          </w:tcPr>
          <w:p w14:paraId="77D2E576" w14:textId="2FED9BCE" w:rsidR="009B3216" w:rsidRPr="001E7F59" w:rsidRDefault="009B3216" w:rsidP="009B3216">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Falta remitir acuerdo del Comité de Transparencia</w:t>
            </w:r>
          </w:p>
        </w:tc>
        <w:tc>
          <w:tcPr>
            <w:tcW w:w="959" w:type="dxa"/>
          </w:tcPr>
          <w:p w14:paraId="088EDBEC" w14:textId="23A3F5BB" w:rsidR="009B3216" w:rsidRPr="001E7F59" w:rsidRDefault="009B3216" w:rsidP="009B3216">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Sí</w:t>
            </w:r>
          </w:p>
        </w:tc>
      </w:tr>
      <w:tr w:rsidR="009B3216" w:rsidRPr="001E7F59" w14:paraId="75FBD815" w14:textId="6B9794D2" w:rsidTr="00E973ED">
        <w:tc>
          <w:tcPr>
            <w:tcW w:w="2263" w:type="dxa"/>
          </w:tcPr>
          <w:p w14:paraId="2AD6B9C6" w14:textId="2971B632" w:rsidR="009B3216" w:rsidRPr="001E7F59" w:rsidRDefault="009B3216" w:rsidP="009B3216">
            <w:pPr>
              <w:spacing w:line="360" w:lineRule="auto"/>
              <w:jc w:val="both"/>
              <w:rPr>
                <w:rFonts w:ascii="Palatino Linotype" w:hAnsi="Palatino Linotype" w:cs="Tahoma"/>
                <w:bCs/>
                <w:sz w:val="18"/>
                <w:szCs w:val="18"/>
              </w:rPr>
            </w:pPr>
            <w:r w:rsidRPr="001E7F59">
              <w:rPr>
                <w:rFonts w:ascii="Palatino Linotype" w:eastAsia="Calibri" w:hAnsi="Palatino Linotype" w:cs="Tahoma"/>
                <w:bCs/>
                <w:color w:val="000000" w:themeColor="text1"/>
                <w:sz w:val="18"/>
                <w:szCs w:val="18"/>
              </w:rPr>
              <w:t>Formato Único de Movimiento de Personal</w:t>
            </w:r>
          </w:p>
        </w:tc>
        <w:tc>
          <w:tcPr>
            <w:tcW w:w="1843" w:type="dxa"/>
          </w:tcPr>
          <w:p w14:paraId="0AA1B454" w14:textId="385B8107" w:rsidR="009B3216" w:rsidRPr="001E7F59" w:rsidRDefault="009B3216" w:rsidP="009B3216">
            <w:pPr>
              <w:spacing w:line="360" w:lineRule="auto"/>
              <w:jc w:val="both"/>
              <w:rPr>
                <w:rFonts w:ascii="Palatino Linotype" w:hAnsi="Palatino Linotype" w:cs="Tahoma"/>
                <w:bCs/>
                <w:sz w:val="18"/>
                <w:szCs w:val="18"/>
              </w:rPr>
            </w:pPr>
            <w:r w:rsidRPr="001E7F59">
              <w:rPr>
                <w:rFonts w:ascii="Palatino Linotype" w:eastAsia="Calibri" w:hAnsi="Palatino Linotype" w:cs="Tahoma"/>
                <w:bCs/>
                <w:color w:val="000000" w:themeColor="text1"/>
                <w:sz w:val="18"/>
                <w:szCs w:val="18"/>
              </w:rPr>
              <w:t>RFC, CURP y clave ISSEMYM</w:t>
            </w:r>
          </w:p>
        </w:tc>
        <w:tc>
          <w:tcPr>
            <w:tcW w:w="1985" w:type="dxa"/>
          </w:tcPr>
          <w:p w14:paraId="3C070FF4" w14:textId="33E02731" w:rsidR="009B3216" w:rsidRPr="001E7F59" w:rsidRDefault="009B3216" w:rsidP="009B3216">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Versión pública correcta.</w:t>
            </w:r>
          </w:p>
        </w:tc>
        <w:tc>
          <w:tcPr>
            <w:tcW w:w="1984" w:type="dxa"/>
          </w:tcPr>
          <w:p w14:paraId="256E68F2" w14:textId="497F0354" w:rsidR="009B3216" w:rsidRPr="001E7F59" w:rsidRDefault="009B3216" w:rsidP="009B3216">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Falta remitir acuerdo del Comité de Transparencia</w:t>
            </w:r>
          </w:p>
        </w:tc>
        <w:tc>
          <w:tcPr>
            <w:tcW w:w="959" w:type="dxa"/>
          </w:tcPr>
          <w:p w14:paraId="31351CF3" w14:textId="5B35CF0F" w:rsidR="009B3216" w:rsidRPr="001E7F59" w:rsidRDefault="009B3216" w:rsidP="009B3216">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No</w:t>
            </w:r>
          </w:p>
        </w:tc>
      </w:tr>
      <w:tr w:rsidR="009B3216" w:rsidRPr="001E7F59" w14:paraId="7C9E2304" w14:textId="5DA4560A" w:rsidTr="00E973ED">
        <w:tc>
          <w:tcPr>
            <w:tcW w:w="2263" w:type="dxa"/>
          </w:tcPr>
          <w:p w14:paraId="599D92AA" w14:textId="70D2D47C" w:rsidR="009B3216" w:rsidRPr="001E7F59" w:rsidRDefault="009B3216" w:rsidP="009B3216">
            <w:pPr>
              <w:spacing w:line="360" w:lineRule="auto"/>
              <w:jc w:val="both"/>
              <w:rPr>
                <w:rFonts w:ascii="Palatino Linotype" w:hAnsi="Palatino Linotype" w:cs="Tahoma"/>
                <w:bCs/>
                <w:sz w:val="18"/>
                <w:szCs w:val="18"/>
              </w:rPr>
            </w:pPr>
            <w:r w:rsidRPr="001E7F59">
              <w:rPr>
                <w:rFonts w:ascii="Palatino Linotype" w:eastAsia="Calibri" w:hAnsi="Palatino Linotype" w:cs="Tahoma"/>
                <w:bCs/>
                <w:color w:val="000000" w:themeColor="text1"/>
                <w:sz w:val="18"/>
                <w:szCs w:val="18"/>
              </w:rPr>
              <w:t xml:space="preserve">Nombramiento </w:t>
            </w:r>
          </w:p>
        </w:tc>
        <w:tc>
          <w:tcPr>
            <w:tcW w:w="1843" w:type="dxa"/>
          </w:tcPr>
          <w:p w14:paraId="0D107979" w14:textId="3A04C43A" w:rsidR="009B3216" w:rsidRPr="001E7F59" w:rsidRDefault="009B3216" w:rsidP="009B3216">
            <w:pPr>
              <w:spacing w:line="360" w:lineRule="auto"/>
              <w:jc w:val="both"/>
              <w:rPr>
                <w:rFonts w:ascii="Palatino Linotype" w:hAnsi="Palatino Linotype" w:cs="Tahoma"/>
                <w:bCs/>
                <w:sz w:val="18"/>
                <w:szCs w:val="18"/>
              </w:rPr>
            </w:pPr>
            <w:r w:rsidRPr="001E7F59">
              <w:rPr>
                <w:rFonts w:ascii="Palatino Linotype" w:eastAsia="Calibri" w:hAnsi="Palatino Linotype" w:cs="Tahoma"/>
                <w:bCs/>
                <w:color w:val="000000" w:themeColor="text1"/>
                <w:sz w:val="18"/>
                <w:szCs w:val="18"/>
              </w:rPr>
              <w:t>firma de servidor público que otorga nombramiento</w:t>
            </w:r>
          </w:p>
        </w:tc>
        <w:tc>
          <w:tcPr>
            <w:tcW w:w="1985" w:type="dxa"/>
          </w:tcPr>
          <w:p w14:paraId="3D40DE54" w14:textId="627488BD" w:rsidR="009B3216" w:rsidRPr="001E7F59" w:rsidRDefault="009B3216" w:rsidP="009B3216">
            <w:pPr>
              <w:spacing w:line="360" w:lineRule="auto"/>
              <w:jc w:val="both"/>
              <w:rPr>
                <w:sz w:val="18"/>
                <w:szCs w:val="18"/>
              </w:rPr>
            </w:pPr>
            <w:r w:rsidRPr="001E7F59">
              <w:rPr>
                <w:rFonts w:ascii="Palatino Linotype" w:hAnsi="Palatino Linotype" w:cs="Tahoma"/>
                <w:bCs/>
                <w:sz w:val="18"/>
                <w:szCs w:val="18"/>
              </w:rPr>
              <w:t>Versión pública incorrecta.</w:t>
            </w:r>
          </w:p>
        </w:tc>
        <w:tc>
          <w:tcPr>
            <w:tcW w:w="1984" w:type="dxa"/>
          </w:tcPr>
          <w:p w14:paraId="3F40AE6A" w14:textId="28AF9106" w:rsidR="009B3216" w:rsidRPr="001E7F59" w:rsidRDefault="009B3216" w:rsidP="009B3216">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Falta remitir acuerdo del Comité de Transparencia</w:t>
            </w:r>
          </w:p>
        </w:tc>
        <w:tc>
          <w:tcPr>
            <w:tcW w:w="959" w:type="dxa"/>
          </w:tcPr>
          <w:p w14:paraId="0485AD94" w14:textId="782E0417" w:rsidR="009B3216" w:rsidRPr="001E7F59" w:rsidRDefault="009B3216" w:rsidP="009B3216">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Sí</w:t>
            </w:r>
          </w:p>
        </w:tc>
      </w:tr>
      <w:tr w:rsidR="009B3216" w:rsidRPr="001E7F59" w14:paraId="6FC9F6A4" w14:textId="1760C87B" w:rsidTr="00E973ED">
        <w:tc>
          <w:tcPr>
            <w:tcW w:w="2263" w:type="dxa"/>
          </w:tcPr>
          <w:p w14:paraId="59B23CE0" w14:textId="1D650469" w:rsidR="009B3216" w:rsidRPr="001E7F59" w:rsidRDefault="009B3216" w:rsidP="009B3216">
            <w:pPr>
              <w:spacing w:line="360" w:lineRule="auto"/>
              <w:jc w:val="both"/>
              <w:rPr>
                <w:rFonts w:ascii="Palatino Linotype" w:hAnsi="Palatino Linotype" w:cs="Tahoma"/>
                <w:bCs/>
                <w:sz w:val="18"/>
                <w:szCs w:val="18"/>
              </w:rPr>
            </w:pPr>
            <w:r w:rsidRPr="001E7F59">
              <w:rPr>
                <w:rFonts w:ascii="Palatino Linotype" w:eastAsia="Calibri" w:hAnsi="Palatino Linotype" w:cs="Tahoma"/>
                <w:bCs/>
                <w:color w:val="000000" w:themeColor="text1"/>
                <w:sz w:val="18"/>
                <w:szCs w:val="18"/>
              </w:rPr>
              <w:t xml:space="preserve">Recibos de nómina de la primera y segunda quincena de enero y febrero del ejercicio 2024 </w:t>
            </w:r>
          </w:p>
        </w:tc>
        <w:tc>
          <w:tcPr>
            <w:tcW w:w="1843" w:type="dxa"/>
          </w:tcPr>
          <w:p w14:paraId="25D630EC" w14:textId="42CE4790" w:rsidR="009B3216" w:rsidRPr="001E7F59" w:rsidRDefault="009B3216" w:rsidP="009B3216">
            <w:pPr>
              <w:spacing w:line="360" w:lineRule="auto"/>
              <w:jc w:val="both"/>
              <w:rPr>
                <w:rFonts w:ascii="Palatino Linotype" w:hAnsi="Palatino Linotype" w:cs="Tahoma"/>
                <w:bCs/>
                <w:sz w:val="18"/>
                <w:szCs w:val="18"/>
              </w:rPr>
            </w:pPr>
            <w:r w:rsidRPr="001E7F59">
              <w:rPr>
                <w:rFonts w:ascii="Palatino Linotype" w:eastAsia="Calibri" w:hAnsi="Palatino Linotype" w:cs="Tahoma"/>
                <w:bCs/>
                <w:color w:val="000000" w:themeColor="text1"/>
                <w:sz w:val="18"/>
                <w:szCs w:val="18"/>
              </w:rPr>
              <w:t>RFC, CURP, clave ISSEMYM, firma de servidor público, faltas y código QR</w:t>
            </w:r>
          </w:p>
        </w:tc>
        <w:tc>
          <w:tcPr>
            <w:tcW w:w="1985" w:type="dxa"/>
          </w:tcPr>
          <w:p w14:paraId="47B7C33E" w14:textId="2F9C86BB" w:rsidR="009B3216" w:rsidRPr="001E7F59" w:rsidRDefault="009B3216" w:rsidP="009B3216">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Versión pública incorrecta.</w:t>
            </w:r>
          </w:p>
        </w:tc>
        <w:tc>
          <w:tcPr>
            <w:tcW w:w="1984" w:type="dxa"/>
          </w:tcPr>
          <w:p w14:paraId="73C55C9B" w14:textId="725B4F0B" w:rsidR="009B3216" w:rsidRPr="001E7F59" w:rsidRDefault="009B3216" w:rsidP="009B3216">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Falta remitir acuerdo del Comité de Transparencia</w:t>
            </w:r>
          </w:p>
        </w:tc>
        <w:tc>
          <w:tcPr>
            <w:tcW w:w="959" w:type="dxa"/>
          </w:tcPr>
          <w:p w14:paraId="76F7D59F" w14:textId="05B742B4" w:rsidR="009B3216" w:rsidRPr="001E7F59" w:rsidRDefault="00E973ED" w:rsidP="009B3216">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 xml:space="preserve">Sí </w:t>
            </w:r>
          </w:p>
        </w:tc>
      </w:tr>
      <w:tr w:rsidR="009B3216" w:rsidRPr="001E7F59" w14:paraId="584F8EF1" w14:textId="1CCB24C8" w:rsidTr="00E973ED">
        <w:tc>
          <w:tcPr>
            <w:tcW w:w="2263" w:type="dxa"/>
          </w:tcPr>
          <w:p w14:paraId="3207D89B" w14:textId="0C020CE4" w:rsidR="009B3216" w:rsidRPr="001E7F59" w:rsidRDefault="009B3216" w:rsidP="009B3216">
            <w:pPr>
              <w:spacing w:line="360" w:lineRule="auto"/>
              <w:jc w:val="both"/>
              <w:rPr>
                <w:rFonts w:ascii="Palatino Linotype" w:hAnsi="Palatino Linotype" w:cs="Tahoma"/>
                <w:bCs/>
                <w:sz w:val="18"/>
                <w:szCs w:val="18"/>
              </w:rPr>
            </w:pPr>
            <w:r w:rsidRPr="001E7F59">
              <w:rPr>
                <w:rFonts w:ascii="Palatino Linotype" w:eastAsia="Calibri" w:hAnsi="Palatino Linotype" w:cs="Tahoma"/>
                <w:bCs/>
                <w:color w:val="000000" w:themeColor="text1"/>
                <w:sz w:val="18"/>
                <w:szCs w:val="18"/>
              </w:rPr>
              <w:t xml:space="preserve">Aviso para checar asistencia </w:t>
            </w:r>
          </w:p>
        </w:tc>
        <w:tc>
          <w:tcPr>
            <w:tcW w:w="1843" w:type="dxa"/>
          </w:tcPr>
          <w:p w14:paraId="720D82DB" w14:textId="0C5FC7D9" w:rsidR="009B3216" w:rsidRPr="001E7F59" w:rsidRDefault="009B3216" w:rsidP="009B3216">
            <w:pPr>
              <w:spacing w:line="360" w:lineRule="auto"/>
              <w:jc w:val="both"/>
              <w:rPr>
                <w:rFonts w:ascii="Palatino Linotype" w:hAnsi="Palatino Linotype" w:cs="Tahoma"/>
                <w:bCs/>
                <w:sz w:val="18"/>
                <w:szCs w:val="18"/>
              </w:rPr>
            </w:pPr>
            <w:r w:rsidRPr="001E7F59">
              <w:rPr>
                <w:rFonts w:ascii="Palatino Linotype" w:eastAsia="Calibri" w:hAnsi="Palatino Linotype" w:cs="Tahoma"/>
                <w:bCs/>
                <w:color w:val="000000" w:themeColor="text1"/>
                <w:sz w:val="18"/>
                <w:szCs w:val="18"/>
              </w:rPr>
              <w:t>se elimina la firma del servidor público que lo emitió</w:t>
            </w:r>
          </w:p>
        </w:tc>
        <w:tc>
          <w:tcPr>
            <w:tcW w:w="1985" w:type="dxa"/>
          </w:tcPr>
          <w:p w14:paraId="472E5A6B" w14:textId="6286A897" w:rsidR="009B3216" w:rsidRPr="001E7F59" w:rsidRDefault="00E973ED" w:rsidP="009B3216">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Versión pública incorrecta.</w:t>
            </w:r>
          </w:p>
        </w:tc>
        <w:tc>
          <w:tcPr>
            <w:tcW w:w="1984" w:type="dxa"/>
          </w:tcPr>
          <w:p w14:paraId="159BCECA" w14:textId="33F45E38" w:rsidR="009B3216" w:rsidRPr="001E7F59" w:rsidRDefault="009B3216" w:rsidP="009B3216">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Falta remitir acuerdo del Comité de Transparencia</w:t>
            </w:r>
          </w:p>
        </w:tc>
        <w:tc>
          <w:tcPr>
            <w:tcW w:w="959" w:type="dxa"/>
          </w:tcPr>
          <w:p w14:paraId="384ED56A" w14:textId="58B4FAAA" w:rsidR="009B3216" w:rsidRPr="001E7F59" w:rsidRDefault="00E973ED" w:rsidP="009B3216">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Sí</w:t>
            </w:r>
          </w:p>
        </w:tc>
      </w:tr>
      <w:tr w:rsidR="009B3216" w:rsidRPr="001E7F59" w14:paraId="133029B4" w14:textId="435E054C" w:rsidTr="00E973ED">
        <w:tc>
          <w:tcPr>
            <w:tcW w:w="2263" w:type="dxa"/>
          </w:tcPr>
          <w:p w14:paraId="7F2B85BE" w14:textId="785C54AD" w:rsidR="009B3216" w:rsidRPr="001E7F59" w:rsidRDefault="009B3216" w:rsidP="009B3216">
            <w:pPr>
              <w:spacing w:line="360" w:lineRule="auto"/>
              <w:jc w:val="both"/>
              <w:rPr>
                <w:rFonts w:ascii="Palatino Linotype" w:hAnsi="Palatino Linotype" w:cs="Tahoma"/>
                <w:bCs/>
                <w:sz w:val="18"/>
                <w:szCs w:val="18"/>
              </w:rPr>
            </w:pPr>
            <w:r w:rsidRPr="001E7F59">
              <w:rPr>
                <w:rFonts w:ascii="Palatino Linotype" w:eastAsia="Calibri" w:hAnsi="Palatino Linotype" w:cs="Tahoma"/>
                <w:bCs/>
                <w:color w:val="000000" w:themeColor="text1"/>
                <w:sz w:val="18"/>
                <w:szCs w:val="18"/>
              </w:rPr>
              <w:t>Requisitos para la contratación de personal</w:t>
            </w:r>
          </w:p>
        </w:tc>
        <w:tc>
          <w:tcPr>
            <w:tcW w:w="1843" w:type="dxa"/>
          </w:tcPr>
          <w:p w14:paraId="43B6D431" w14:textId="71D17F8D" w:rsidR="009B3216" w:rsidRPr="001E7F59" w:rsidRDefault="00E973ED" w:rsidP="009B3216">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Versión íntegra</w:t>
            </w:r>
          </w:p>
        </w:tc>
        <w:tc>
          <w:tcPr>
            <w:tcW w:w="1985" w:type="dxa"/>
          </w:tcPr>
          <w:p w14:paraId="418129DF" w14:textId="0AE88FC8" w:rsidR="009B3216" w:rsidRPr="001E7F59" w:rsidRDefault="00E973ED" w:rsidP="009B3216">
            <w:pPr>
              <w:spacing w:line="360" w:lineRule="auto"/>
              <w:jc w:val="both"/>
              <w:rPr>
                <w:sz w:val="18"/>
                <w:szCs w:val="18"/>
              </w:rPr>
            </w:pPr>
            <w:r w:rsidRPr="001E7F59">
              <w:rPr>
                <w:rFonts w:ascii="Palatino Linotype" w:hAnsi="Palatino Linotype" w:cs="Tahoma"/>
                <w:bCs/>
                <w:sz w:val="18"/>
                <w:szCs w:val="18"/>
              </w:rPr>
              <w:t>Versión íntegra</w:t>
            </w:r>
          </w:p>
        </w:tc>
        <w:tc>
          <w:tcPr>
            <w:tcW w:w="1984" w:type="dxa"/>
          </w:tcPr>
          <w:p w14:paraId="0CFE88D6" w14:textId="44ACD159" w:rsidR="009B3216" w:rsidRPr="001E7F59" w:rsidRDefault="00E973ED" w:rsidP="009B3216">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No</w:t>
            </w:r>
          </w:p>
        </w:tc>
        <w:tc>
          <w:tcPr>
            <w:tcW w:w="959" w:type="dxa"/>
          </w:tcPr>
          <w:p w14:paraId="08FDFA85" w14:textId="40A37B60" w:rsidR="009B3216" w:rsidRPr="001E7F59" w:rsidRDefault="00E973ED" w:rsidP="009B3216">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No</w:t>
            </w:r>
          </w:p>
        </w:tc>
      </w:tr>
      <w:tr w:rsidR="009B3216" w:rsidRPr="001E7F59" w14:paraId="3B0E4603" w14:textId="128085DA" w:rsidTr="00E973ED">
        <w:tc>
          <w:tcPr>
            <w:tcW w:w="2263" w:type="dxa"/>
          </w:tcPr>
          <w:p w14:paraId="39BCA220" w14:textId="6E9FBAB6" w:rsidR="009B3216" w:rsidRPr="001E7F59" w:rsidRDefault="009B3216" w:rsidP="009B3216">
            <w:pPr>
              <w:spacing w:line="360" w:lineRule="auto"/>
              <w:jc w:val="both"/>
              <w:rPr>
                <w:rFonts w:ascii="Palatino Linotype" w:hAnsi="Palatino Linotype" w:cs="Tahoma"/>
                <w:bCs/>
                <w:sz w:val="18"/>
                <w:szCs w:val="18"/>
              </w:rPr>
            </w:pPr>
            <w:r w:rsidRPr="001E7F59">
              <w:rPr>
                <w:rFonts w:ascii="Palatino Linotype" w:eastAsia="Calibri" w:hAnsi="Palatino Linotype" w:cs="Tahoma"/>
                <w:bCs/>
                <w:color w:val="000000" w:themeColor="text1"/>
                <w:sz w:val="18"/>
                <w:szCs w:val="18"/>
              </w:rPr>
              <w:t xml:space="preserve">Constancia de No Inhabilitación </w:t>
            </w:r>
          </w:p>
        </w:tc>
        <w:tc>
          <w:tcPr>
            <w:tcW w:w="1843" w:type="dxa"/>
          </w:tcPr>
          <w:p w14:paraId="14A48742" w14:textId="415ADE9D" w:rsidR="009B3216" w:rsidRPr="001E7F59" w:rsidRDefault="009B3216" w:rsidP="009B3216">
            <w:pPr>
              <w:spacing w:line="360" w:lineRule="auto"/>
              <w:jc w:val="both"/>
              <w:rPr>
                <w:rFonts w:ascii="Palatino Linotype" w:hAnsi="Palatino Linotype" w:cs="Tahoma"/>
                <w:bCs/>
                <w:sz w:val="18"/>
                <w:szCs w:val="18"/>
              </w:rPr>
            </w:pPr>
            <w:r w:rsidRPr="001E7F59">
              <w:rPr>
                <w:rFonts w:ascii="Palatino Linotype" w:eastAsia="Calibri" w:hAnsi="Palatino Linotype" w:cs="Tahoma"/>
                <w:bCs/>
                <w:color w:val="000000" w:themeColor="text1"/>
                <w:sz w:val="18"/>
                <w:szCs w:val="18"/>
              </w:rPr>
              <w:t>RFC</w:t>
            </w:r>
          </w:p>
        </w:tc>
        <w:tc>
          <w:tcPr>
            <w:tcW w:w="1985" w:type="dxa"/>
          </w:tcPr>
          <w:p w14:paraId="367B80F0" w14:textId="1110D39F" w:rsidR="009B3216" w:rsidRPr="001E7F59" w:rsidRDefault="00E973ED" w:rsidP="00E973ED">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Versión pública correcta.</w:t>
            </w:r>
          </w:p>
        </w:tc>
        <w:tc>
          <w:tcPr>
            <w:tcW w:w="1984" w:type="dxa"/>
          </w:tcPr>
          <w:p w14:paraId="36504996" w14:textId="6F09B354" w:rsidR="009B3216" w:rsidRPr="001E7F59" w:rsidRDefault="009B3216" w:rsidP="009B3216">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Falta remitir acuerdo del Comité de Transparencia</w:t>
            </w:r>
          </w:p>
        </w:tc>
        <w:tc>
          <w:tcPr>
            <w:tcW w:w="959" w:type="dxa"/>
          </w:tcPr>
          <w:p w14:paraId="679BC540" w14:textId="260DA18B" w:rsidR="009B3216" w:rsidRPr="001E7F59" w:rsidRDefault="00E973ED" w:rsidP="009B3216">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No</w:t>
            </w:r>
          </w:p>
        </w:tc>
      </w:tr>
      <w:tr w:rsidR="00E973ED" w:rsidRPr="001E7F59" w14:paraId="564EB075" w14:textId="5DEB05E9" w:rsidTr="00E973ED">
        <w:tc>
          <w:tcPr>
            <w:tcW w:w="2263" w:type="dxa"/>
          </w:tcPr>
          <w:p w14:paraId="6B38FED0" w14:textId="155037FE" w:rsidR="00E973ED" w:rsidRPr="001E7F59" w:rsidRDefault="00E973ED" w:rsidP="00E973ED">
            <w:pPr>
              <w:spacing w:line="360" w:lineRule="auto"/>
              <w:jc w:val="both"/>
              <w:rPr>
                <w:rFonts w:ascii="Palatino Linotype" w:hAnsi="Palatino Linotype" w:cs="Tahoma"/>
                <w:bCs/>
                <w:sz w:val="18"/>
                <w:szCs w:val="18"/>
              </w:rPr>
            </w:pPr>
            <w:r w:rsidRPr="001E7F59">
              <w:rPr>
                <w:rFonts w:ascii="Palatino Linotype" w:eastAsia="Calibri" w:hAnsi="Palatino Linotype" w:cs="Tahoma"/>
                <w:bCs/>
                <w:color w:val="000000" w:themeColor="text1"/>
                <w:sz w:val="18"/>
                <w:szCs w:val="18"/>
              </w:rPr>
              <w:t>Hoja que contiene el pago proporcional y propuesta</w:t>
            </w:r>
          </w:p>
        </w:tc>
        <w:tc>
          <w:tcPr>
            <w:tcW w:w="1843" w:type="dxa"/>
          </w:tcPr>
          <w:p w14:paraId="049454FF" w14:textId="3AF27409" w:rsidR="00E973ED" w:rsidRPr="001E7F59" w:rsidRDefault="00E973ED" w:rsidP="00E973ED">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Versión íntegra</w:t>
            </w:r>
          </w:p>
        </w:tc>
        <w:tc>
          <w:tcPr>
            <w:tcW w:w="1985" w:type="dxa"/>
          </w:tcPr>
          <w:p w14:paraId="51FF9D9F" w14:textId="025A4B93" w:rsidR="00E973ED" w:rsidRPr="001E7F59" w:rsidRDefault="00E973ED" w:rsidP="00E973ED">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Versión íntegra</w:t>
            </w:r>
          </w:p>
        </w:tc>
        <w:tc>
          <w:tcPr>
            <w:tcW w:w="1984" w:type="dxa"/>
          </w:tcPr>
          <w:p w14:paraId="14530637" w14:textId="149AEAB4" w:rsidR="00E973ED" w:rsidRPr="001E7F59" w:rsidRDefault="00E973ED" w:rsidP="00E973ED">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No</w:t>
            </w:r>
          </w:p>
        </w:tc>
        <w:tc>
          <w:tcPr>
            <w:tcW w:w="959" w:type="dxa"/>
          </w:tcPr>
          <w:p w14:paraId="1C4E976F" w14:textId="162AA6ED" w:rsidR="00E973ED" w:rsidRPr="001E7F59" w:rsidRDefault="00E973ED" w:rsidP="00E973ED">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No</w:t>
            </w:r>
          </w:p>
        </w:tc>
      </w:tr>
      <w:tr w:rsidR="009B3216" w:rsidRPr="001E7F59" w14:paraId="183EAB40" w14:textId="0E14445C" w:rsidTr="00E973ED">
        <w:tc>
          <w:tcPr>
            <w:tcW w:w="2263" w:type="dxa"/>
          </w:tcPr>
          <w:p w14:paraId="23D44E39" w14:textId="45506018" w:rsidR="009B3216" w:rsidRPr="001E7F59" w:rsidRDefault="009B3216" w:rsidP="009B3216">
            <w:pPr>
              <w:spacing w:line="360" w:lineRule="auto"/>
              <w:jc w:val="both"/>
              <w:rPr>
                <w:rFonts w:ascii="Palatino Linotype" w:hAnsi="Palatino Linotype" w:cs="Tahoma"/>
                <w:bCs/>
                <w:sz w:val="18"/>
                <w:szCs w:val="18"/>
              </w:rPr>
            </w:pPr>
            <w:r w:rsidRPr="001E7F59">
              <w:rPr>
                <w:rFonts w:ascii="Palatino Linotype" w:eastAsia="Calibri" w:hAnsi="Palatino Linotype" w:cs="Tahoma"/>
                <w:bCs/>
                <w:color w:val="000000" w:themeColor="text1"/>
                <w:sz w:val="18"/>
                <w:szCs w:val="18"/>
              </w:rPr>
              <w:t xml:space="preserve">Aviso de Movimientos de ISSEMYM </w:t>
            </w:r>
          </w:p>
        </w:tc>
        <w:tc>
          <w:tcPr>
            <w:tcW w:w="1843" w:type="dxa"/>
          </w:tcPr>
          <w:p w14:paraId="22C9B2C1" w14:textId="32B0954E" w:rsidR="009B3216" w:rsidRPr="001E7F59" w:rsidRDefault="009B3216" w:rsidP="009B3216">
            <w:pPr>
              <w:spacing w:line="360" w:lineRule="auto"/>
              <w:jc w:val="both"/>
              <w:rPr>
                <w:rFonts w:ascii="Palatino Linotype" w:hAnsi="Palatino Linotype" w:cs="Tahoma"/>
                <w:bCs/>
                <w:sz w:val="18"/>
                <w:szCs w:val="18"/>
              </w:rPr>
            </w:pPr>
            <w:r w:rsidRPr="001E7F59">
              <w:rPr>
                <w:rFonts w:ascii="Palatino Linotype" w:eastAsia="Calibri" w:hAnsi="Palatino Linotype" w:cs="Tahoma"/>
                <w:bCs/>
                <w:color w:val="000000" w:themeColor="text1"/>
                <w:sz w:val="18"/>
                <w:szCs w:val="18"/>
              </w:rPr>
              <w:t>elimina clave ISSEMYM, CURP y firma de recibido</w:t>
            </w:r>
          </w:p>
        </w:tc>
        <w:tc>
          <w:tcPr>
            <w:tcW w:w="1985" w:type="dxa"/>
          </w:tcPr>
          <w:p w14:paraId="32CA5C2B" w14:textId="41B216B3" w:rsidR="009B3216" w:rsidRPr="001E7F59" w:rsidRDefault="00E973ED" w:rsidP="009B3216">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Versión pública incorrecta.</w:t>
            </w:r>
          </w:p>
        </w:tc>
        <w:tc>
          <w:tcPr>
            <w:tcW w:w="1984" w:type="dxa"/>
          </w:tcPr>
          <w:p w14:paraId="46D5EBEB" w14:textId="2545A48A" w:rsidR="009B3216" w:rsidRPr="001E7F59" w:rsidRDefault="009B3216" w:rsidP="009B3216">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Falta remitir acuerdo del Comité de Transparencia</w:t>
            </w:r>
          </w:p>
        </w:tc>
        <w:tc>
          <w:tcPr>
            <w:tcW w:w="959" w:type="dxa"/>
          </w:tcPr>
          <w:p w14:paraId="3A8F3864" w14:textId="521D3BC1" w:rsidR="009B3216" w:rsidRPr="001E7F59" w:rsidRDefault="00E973ED" w:rsidP="009B3216">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Sí</w:t>
            </w:r>
          </w:p>
        </w:tc>
      </w:tr>
      <w:tr w:rsidR="009B3216" w:rsidRPr="001E7F59" w14:paraId="6D3DDB7F" w14:textId="23732C4C" w:rsidTr="00E973ED">
        <w:tc>
          <w:tcPr>
            <w:tcW w:w="2263" w:type="dxa"/>
          </w:tcPr>
          <w:p w14:paraId="373C709F" w14:textId="2739CB84" w:rsidR="009B3216" w:rsidRPr="001E7F59" w:rsidRDefault="009B3216" w:rsidP="009B3216">
            <w:pPr>
              <w:spacing w:line="360" w:lineRule="auto"/>
              <w:jc w:val="both"/>
              <w:rPr>
                <w:rFonts w:ascii="Palatino Linotype" w:hAnsi="Palatino Linotype" w:cs="Tahoma"/>
                <w:bCs/>
                <w:sz w:val="18"/>
                <w:szCs w:val="18"/>
              </w:rPr>
            </w:pPr>
            <w:r w:rsidRPr="001E7F59">
              <w:rPr>
                <w:rFonts w:ascii="Palatino Linotype" w:eastAsia="Calibri" w:hAnsi="Palatino Linotype" w:cs="Tahoma"/>
                <w:bCs/>
                <w:color w:val="000000" w:themeColor="text1"/>
                <w:sz w:val="18"/>
                <w:szCs w:val="18"/>
              </w:rPr>
              <w:lastRenderedPageBreak/>
              <w:t>Solicitud de empleo</w:t>
            </w:r>
          </w:p>
        </w:tc>
        <w:tc>
          <w:tcPr>
            <w:tcW w:w="1843" w:type="dxa"/>
          </w:tcPr>
          <w:p w14:paraId="38A9EEC0" w14:textId="77777777" w:rsidR="009B3216" w:rsidRPr="001E7F59" w:rsidRDefault="009B3216" w:rsidP="009B3216">
            <w:pPr>
              <w:spacing w:line="360" w:lineRule="auto"/>
              <w:jc w:val="both"/>
              <w:rPr>
                <w:rFonts w:ascii="Palatino Linotype" w:eastAsia="Calibri" w:hAnsi="Palatino Linotype" w:cs="Tahoma"/>
                <w:bCs/>
                <w:color w:val="000000" w:themeColor="text1"/>
                <w:sz w:val="18"/>
                <w:szCs w:val="18"/>
              </w:rPr>
            </w:pPr>
            <w:r w:rsidRPr="001E7F59">
              <w:rPr>
                <w:rFonts w:ascii="Palatino Linotype" w:eastAsia="Calibri" w:hAnsi="Palatino Linotype" w:cs="Tahoma"/>
                <w:bCs/>
                <w:color w:val="000000" w:themeColor="text1"/>
                <w:sz w:val="18"/>
                <w:szCs w:val="18"/>
              </w:rPr>
              <w:t>domicilio particular,  ciudad, código postal:</w:t>
            </w:r>
          </w:p>
          <w:p w14:paraId="2771BC65" w14:textId="77777777" w:rsidR="009B3216" w:rsidRPr="001E7F59" w:rsidRDefault="009B3216" w:rsidP="009B3216">
            <w:pPr>
              <w:spacing w:line="360" w:lineRule="auto"/>
              <w:jc w:val="both"/>
              <w:rPr>
                <w:rFonts w:ascii="Palatino Linotype" w:eastAsia="Calibri" w:hAnsi="Palatino Linotype" w:cs="Tahoma"/>
                <w:bCs/>
                <w:color w:val="000000" w:themeColor="text1"/>
                <w:sz w:val="18"/>
                <w:szCs w:val="18"/>
              </w:rPr>
            </w:pPr>
          </w:p>
          <w:p w14:paraId="24B94A59" w14:textId="1233932F" w:rsidR="009B3216" w:rsidRPr="001E7F59" w:rsidRDefault="009B3216" w:rsidP="009B3216">
            <w:pPr>
              <w:spacing w:line="360" w:lineRule="auto"/>
              <w:jc w:val="both"/>
              <w:rPr>
                <w:rFonts w:ascii="Palatino Linotype" w:hAnsi="Palatino Linotype" w:cs="Tahoma"/>
                <w:bCs/>
                <w:sz w:val="18"/>
                <w:szCs w:val="18"/>
              </w:rPr>
            </w:pPr>
            <w:r w:rsidRPr="001E7F59">
              <w:rPr>
                <w:rFonts w:ascii="Palatino Linotype" w:eastAsia="Calibri" w:hAnsi="Palatino Linotype" w:cs="Tahoma"/>
                <w:bCs/>
                <w:color w:val="000000" w:themeColor="text1"/>
                <w:sz w:val="18"/>
                <w:szCs w:val="18"/>
              </w:rPr>
              <w:t>Se dejan visibles datos como lo son números de teléfono de particulares, RFC, clave IFE, clave ISSEMYM, CURP, fechas de nacimiento, Nacionalidad, edad y datos familiares</w:t>
            </w:r>
          </w:p>
        </w:tc>
        <w:tc>
          <w:tcPr>
            <w:tcW w:w="1985" w:type="dxa"/>
          </w:tcPr>
          <w:p w14:paraId="28AF6EE4" w14:textId="12E59CD7" w:rsidR="009B3216" w:rsidRPr="001E7F59" w:rsidRDefault="00E973ED" w:rsidP="009B3216">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Versión pública incorrecta.</w:t>
            </w:r>
          </w:p>
        </w:tc>
        <w:tc>
          <w:tcPr>
            <w:tcW w:w="1984" w:type="dxa"/>
          </w:tcPr>
          <w:p w14:paraId="00DE89C6" w14:textId="34B59060" w:rsidR="009B3216" w:rsidRPr="001E7F59" w:rsidRDefault="00E973ED" w:rsidP="009B3216">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 xml:space="preserve">Se da vista  a la Dirección General de Protección de Datos Personales </w:t>
            </w:r>
          </w:p>
        </w:tc>
        <w:tc>
          <w:tcPr>
            <w:tcW w:w="959" w:type="dxa"/>
          </w:tcPr>
          <w:p w14:paraId="14771C87" w14:textId="5035ABCD" w:rsidR="009B3216" w:rsidRPr="001E7F59" w:rsidRDefault="00E973ED" w:rsidP="009B3216">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No</w:t>
            </w:r>
          </w:p>
        </w:tc>
      </w:tr>
      <w:tr w:rsidR="009B3216" w:rsidRPr="001E7F59" w14:paraId="1DBEEA88" w14:textId="388E345F" w:rsidTr="00E973ED">
        <w:tc>
          <w:tcPr>
            <w:tcW w:w="2263" w:type="dxa"/>
          </w:tcPr>
          <w:p w14:paraId="791A7997" w14:textId="0E33ADE0" w:rsidR="009B3216" w:rsidRPr="001E7F59" w:rsidRDefault="009B3216" w:rsidP="009B3216">
            <w:pPr>
              <w:spacing w:line="360" w:lineRule="auto"/>
              <w:jc w:val="both"/>
              <w:rPr>
                <w:rFonts w:ascii="Palatino Linotype" w:hAnsi="Palatino Linotype" w:cs="Tahoma"/>
                <w:bCs/>
                <w:sz w:val="18"/>
                <w:szCs w:val="18"/>
              </w:rPr>
            </w:pPr>
            <w:r w:rsidRPr="001E7F59">
              <w:rPr>
                <w:rFonts w:ascii="Palatino Linotype" w:eastAsia="Calibri" w:hAnsi="Palatino Linotype" w:cs="Tahoma"/>
                <w:bCs/>
                <w:color w:val="000000" w:themeColor="text1"/>
                <w:sz w:val="18"/>
                <w:szCs w:val="18"/>
              </w:rPr>
              <w:t xml:space="preserve">Informe de Antecedentes No Penales, </w:t>
            </w:r>
          </w:p>
        </w:tc>
        <w:tc>
          <w:tcPr>
            <w:tcW w:w="1843" w:type="dxa"/>
          </w:tcPr>
          <w:p w14:paraId="07B789C6" w14:textId="037A2BC9" w:rsidR="009B3216" w:rsidRPr="001E7F59" w:rsidRDefault="009B3216" w:rsidP="009B3216">
            <w:pPr>
              <w:spacing w:line="360" w:lineRule="auto"/>
              <w:jc w:val="both"/>
              <w:rPr>
                <w:rFonts w:ascii="Palatino Linotype" w:hAnsi="Palatino Linotype" w:cs="Tahoma"/>
                <w:bCs/>
                <w:sz w:val="18"/>
                <w:szCs w:val="18"/>
              </w:rPr>
            </w:pPr>
            <w:r w:rsidRPr="001E7F59">
              <w:rPr>
                <w:rFonts w:ascii="Palatino Linotype" w:eastAsia="Calibri" w:hAnsi="Palatino Linotype" w:cs="Tahoma"/>
                <w:bCs/>
                <w:color w:val="000000" w:themeColor="text1"/>
                <w:sz w:val="18"/>
                <w:szCs w:val="18"/>
              </w:rPr>
              <w:t>fecha de nacimiento, CURP, clave de elector y Domicilio</w:t>
            </w:r>
          </w:p>
        </w:tc>
        <w:tc>
          <w:tcPr>
            <w:tcW w:w="1985" w:type="dxa"/>
          </w:tcPr>
          <w:p w14:paraId="09DA7B75" w14:textId="42F944EA" w:rsidR="009B3216" w:rsidRPr="001E7F59" w:rsidRDefault="00E973ED" w:rsidP="00E973ED">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Versión pública correcta.</w:t>
            </w:r>
          </w:p>
        </w:tc>
        <w:tc>
          <w:tcPr>
            <w:tcW w:w="1984" w:type="dxa"/>
          </w:tcPr>
          <w:p w14:paraId="750934FC" w14:textId="78296846" w:rsidR="009B3216" w:rsidRPr="001E7F59" w:rsidRDefault="009B3216" w:rsidP="009B3216">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Falta remitir acuerdo del Comité de Transparencia</w:t>
            </w:r>
          </w:p>
        </w:tc>
        <w:tc>
          <w:tcPr>
            <w:tcW w:w="959" w:type="dxa"/>
          </w:tcPr>
          <w:p w14:paraId="427BE55F" w14:textId="6EE017A9" w:rsidR="009B3216" w:rsidRPr="001E7F59" w:rsidRDefault="00E973ED" w:rsidP="009B3216">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No</w:t>
            </w:r>
          </w:p>
        </w:tc>
      </w:tr>
      <w:tr w:rsidR="009B3216" w:rsidRPr="001E7F59" w14:paraId="5AE04203" w14:textId="261B4495" w:rsidTr="00E973ED">
        <w:tc>
          <w:tcPr>
            <w:tcW w:w="2263" w:type="dxa"/>
          </w:tcPr>
          <w:p w14:paraId="403831A2" w14:textId="7F35D5CF" w:rsidR="009B3216" w:rsidRPr="001E7F59" w:rsidRDefault="009B3216" w:rsidP="009B3216">
            <w:pPr>
              <w:spacing w:line="360" w:lineRule="auto"/>
              <w:jc w:val="both"/>
              <w:rPr>
                <w:rFonts w:ascii="Palatino Linotype" w:hAnsi="Palatino Linotype" w:cs="Tahoma"/>
                <w:bCs/>
                <w:sz w:val="18"/>
                <w:szCs w:val="18"/>
              </w:rPr>
            </w:pPr>
            <w:r w:rsidRPr="001E7F59">
              <w:rPr>
                <w:rFonts w:ascii="Palatino Linotype" w:eastAsia="Calibri" w:hAnsi="Palatino Linotype" w:cs="Tahoma"/>
                <w:bCs/>
                <w:color w:val="000000" w:themeColor="text1"/>
                <w:sz w:val="18"/>
                <w:szCs w:val="18"/>
              </w:rPr>
              <w:t>Acta de Nacimiento (ilegible)</w:t>
            </w:r>
          </w:p>
        </w:tc>
        <w:tc>
          <w:tcPr>
            <w:tcW w:w="1843" w:type="dxa"/>
          </w:tcPr>
          <w:p w14:paraId="46D4DF9B" w14:textId="7797C0F3" w:rsidR="009B3216" w:rsidRPr="001E7F59" w:rsidRDefault="00E973ED" w:rsidP="009B3216">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ilegible</w:t>
            </w:r>
          </w:p>
        </w:tc>
        <w:tc>
          <w:tcPr>
            <w:tcW w:w="1985" w:type="dxa"/>
          </w:tcPr>
          <w:p w14:paraId="76D81666" w14:textId="09B1F2C5" w:rsidR="009B3216" w:rsidRPr="001E7F59" w:rsidRDefault="00E973ED" w:rsidP="009B3216">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ilegible</w:t>
            </w:r>
          </w:p>
        </w:tc>
        <w:tc>
          <w:tcPr>
            <w:tcW w:w="1984" w:type="dxa"/>
          </w:tcPr>
          <w:p w14:paraId="00B187EF" w14:textId="6FBE1E2A" w:rsidR="009B3216" w:rsidRPr="001E7F59" w:rsidRDefault="00FC7902" w:rsidP="009B3216">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Se da vista  a la Dirección General de Protección de Datos Personales</w:t>
            </w:r>
          </w:p>
        </w:tc>
        <w:tc>
          <w:tcPr>
            <w:tcW w:w="959" w:type="dxa"/>
          </w:tcPr>
          <w:p w14:paraId="7F22BE26" w14:textId="5DF3AA5C" w:rsidR="009B3216" w:rsidRPr="001E7F59" w:rsidRDefault="00FC7902" w:rsidP="009B3216">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No</w:t>
            </w:r>
          </w:p>
        </w:tc>
      </w:tr>
      <w:tr w:rsidR="009B3216" w:rsidRPr="001E7F59" w14:paraId="1ED8F107" w14:textId="72E5B695" w:rsidTr="00E973ED">
        <w:tc>
          <w:tcPr>
            <w:tcW w:w="2263" w:type="dxa"/>
          </w:tcPr>
          <w:p w14:paraId="685149C6" w14:textId="31BDA820" w:rsidR="009B3216" w:rsidRPr="001E7F59" w:rsidRDefault="009B3216" w:rsidP="009B3216">
            <w:pPr>
              <w:spacing w:line="360" w:lineRule="auto"/>
              <w:jc w:val="both"/>
              <w:rPr>
                <w:rFonts w:ascii="Palatino Linotype" w:hAnsi="Palatino Linotype" w:cs="Tahoma"/>
                <w:bCs/>
                <w:sz w:val="18"/>
                <w:szCs w:val="18"/>
              </w:rPr>
            </w:pPr>
            <w:r w:rsidRPr="001E7F59">
              <w:rPr>
                <w:rFonts w:ascii="Palatino Linotype" w:eastAsia="Calibri" w:hAnsi="Palatino Linotype" w:cs="Tahoma"/>
                <w:bCs/>
                <w:color w:val="000000" w:themeColor="text1"/>
                <w:sz w:val="18"/>
                <w:szCs w:val="18"/>
              </w:rPr>
              <w:t xml:space="preserve">Cédula Profesional </w:t>
            </w:r>
          </w:p>
        </w:tc>
        <w:tc>
          <w:tcPr>
            <w:tcW w:w="1843" w:type="dxa"/>
          </w:tcPr>
          <w:p w14:paraId="76C9D076" w14:textId="77777777" w:rsidR="009B3216" w:rsidRPr="001E7F59" w:rsidRDefault="009B3216" w:rsidP="009B3216">
            <w:pPr>
              <w:spacing w:line="360" w:lineRule="auto"/>
              <w:jc w:val="both"/>
              <w:rPr>
                <w:rFonts w:ascii="Palatino Linotype" w:eastAsia="Calibri" w:hAnsi="Palatino Linotype" w:cs="Tahoma"/>
                <w:bCs/>
                <w:color w:val="000000" w:themeColor="text1"/>
                <w:sz w:val="18"/>
                <w:szCs w:val="18"/>
              </w:rPr>
            </w:pPr>
            <w:r w:rsidRPr="001E7F59">
              <w:rPr>
                <w:rFonts w:ascii="Palatino Linotype" w:eastAsia="Calibri" w:hAnsi="Palatino Linotype" w:cs="Tahoma"/>
                <w:bCs/>
                <w:color w:val="000000" w:themeColor="text1"/>
                <w:sz w:val="18"/>
                <w:szCs w:val="18"/>
              </w:rPr>
              <w:t>número y CURP;</w:t>
            </w:r>
          </w:p>
          <w:p w14:paraId="0B203A17" w14:textId="77777777" w:rsidR="009B3216" w:rsidRPr="001E7F59" w:rsidRDefault="009B3216" w:rsidP="009B3216">
            <w:pPr>
              <w:spacing w:line="360" w:lineRule="auto"/>
              <w:jc w:val="both"/>
              <w:rPr>
                <w:rFonts w:ascii="Palatino Linotype" w:eastAsia="Calibri" w:hAnsi="Palatino Linotype" w:cs="Tahoma"/>
                <w:bCs/>
                <w:color w:val="000000" w:themeColor="text1"/>
                <w:sz w:val="18"/>
                <w:szCs w:val="18"/>
              </w:rPr>
            </w:pPr>
          </w:p>
          <w:p w14:paraId="11882539" w14:textId="65B291BA" w:rsidR="009B3216" w:rsidRPr="001E7F59" w:rsidRDefault="009B3216" w:rsidP="009B3216">
            <w:pPr>
              <w:spacing w:line="360" w:lineRule="auto"/>
              <w:jc w:val="both"/>
              <w:rPr>
                <w:rFonts w:ascii="Palatino Linotype" w:hAnsi="Palatino Linotype" w:cs="Tahoma"/>
                <w:bCs/>
                <w:sz w:val="18"/>
                <w:szCs w:val="18"/>
              </w:rPr>
            </w:pPr>
            <w:r w:rsidRPr="001E7F59">
              <w:rPr>
                <w:rFonts w:ascii="Palatino Linotype" w:eastAsia="Calibri" w:hAnsi="Palatino Linotype" w:cs="Tahoma"/>
                <w:bCs/>
                <w:color w:val="000000" w:themeColor="text1"/>
                <w:sz w:val="18"/>
                <w:szCs w:val="18"/>
              </w:rPr>
              <w:t>Se deja visible la firma de la titular.</w:t>
            </w:r>
          </w:p>
        </w:tc>
        <w:tc>
          <w:tcPr>
            <w:tcW w:w="1985" w:type="dxa"/>
          </w:tcPr>
          <w:p w14:paraId="7AAB75F3" w14:textId="1433F9EE" w:rsidR="009B3216" w:rsidRPr="001E7F59" w:rsidRDefault="00E973ED" w:rsidP="009B3216">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Versión pública incorrecta.</w:t>
            </w:r>
          </w:p>
        </w:tc>
        <w:tc>
          <w:tcPr>
            <w:tcW w:w="1984" w:type="dxa"/>
          </w:tcPr>
          <w:p w14:paraId="028CA39A" w14:textId="7F335883" w:rsidR="009B3216" w:rsidRPr="001E7F59" w:rsidRDefault="00E973ED" w:rsidP="009B3216">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Se da vista  a la Dirección General de Protección de Datos Personales</w:t>
            </w:r>
          </w:p>
        </w:tc>
        <w:tc>
          <w:tcPr>
            <w:tcW w:w="959" w:type="dxa"/>
          </w:tcPr>
          <w:p w14:paraId="719A58DA" w14:textId="3E410877" w:rsidR="009B3216" w:rsidRPr="001E7F59" w:rsidRDefault="00E973ED" w:rsidP="009B3216">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No</w:t>
            </w:r>
          </w:p>
        </w:tc>
      </w:tr>
      <w:tr w:rsidR="009B3216" w:rsidRPr="001E7F59" w14:paraId="75E67852" w14:textId="494FA499" w:rsidTr="00E973ED">
        <w:tc>
          <w:tcPr>
            <w:tcW w:w="2263" w:type="dxa"/>
          </w:tcPr>
          <w:p w14:paraId="03A355DD" w14:textId="5B718678" w:rsidR="009B3216" w:rsidRPr="001E7F59" w:rsidRDefault="009B3216" w:rsidP="009B3216">
            <w:pPr>
              <w:spacing w:line="360" w:lineRule="auto"/>
              <w:jc w:val="both"/>
              <w:rPr>
                <w:rFonts w:ascii="Palatino Linotype" w:hAnsi="Palatino Linotype" w:cs="Tahoma"/>
                <w:bCs/>
                <w:sz w:val="18"/>
                <w:szCs w:val="18"/>
              </w:rPr>
            </w:pPr>
            <w:r w:rsidRPr="001E7F59">
              <w:rPr>
                <w:rFonts w:ascii="Palatino Linotype" w:eastAsia="Calibri" w:hAnsi="Palatino Linotype" w:cs="Tahoma"/>
                <w:bCs/>
                <w:color w:val="000000" w:themeColor="text1"/>
                <w:sz w:val="18"/>
                <w:szCs w:val="18"/>
              </w:rPr>
              <w:t xml:space="preserve">Certificado de Estudios de la Maestría en Derecho </w:t>
            </w:r>
          </w:p>
        </w:tc>
        <w:tc>
          <w:tcPr>
            <w:tcW w:w="1843" w:type="dxa"/>
          </w:tcPr>
          <w:p w14:paraId="2C21BB3B" w14:textId="05F69815" w:rsidR="009B3216" w:rsidRPr="001E7F59" w:rsidRDefault="00E973ED" w:rsidP="009B3216">
            <w:pPr>
              <w:spacing w:line="360" w:lineRule="auto"/>
              <w:jc w:val="both"/>
              <w:rPr>
                <w:rFonts w:ascii="Palatino Linotype" w:hAnsi="Palatino Linotype" w:cs="Tahoma"/>
                <w:bCs/>
                <w:sz w:val="18"/>
                <w:szCs w:val="18"/>
              </w:rPr>
            </w:pPr>
            <w:r w:rsidRPr="001E7F59">
              <w:rPr>
                <w:rFonts w:ascii="Palatino Linotype" w:eastAsia="Calibri" w:hAnsi="Palatino Linotype" w:cs="Tahoma"/>
                <w:bCs/>
                <w:color w:val="000000" w:themeColor="text1"/>
                <w:sz w:val="18"/>
                <w:szCs w:val="18"/>
              </w:rPr>
              <w:t>Calificaciones</w:t>
            </w:r>
            <w:r w:rsidR="009B3216" w:rsidRPr="001E7F59">
              <w:rPr>
                <w:rFonts w:ascii="Palatino Linotype" w:eastAsia="Calibri" w:hAnsi="Palatino Linotype" w:cs="Tahoma"/>
                <w:bCs/>
                <w:color w:val="000000" w:themeColor="text1"/>
                <w:sz w:val="18"/>
                <w:szCs w:val="18"/>
              </w:rPr>
              <w:t>, tipo de asignatura, créditos, promedio general y código QR.</w:t>
            </w:r>
          </w:p>
        </w:tc>
        <w:tc>
          <w:tcPr>
            <w:tcW w:w="1985" w:type="dxa"/>
          </w:tcPr>
          <w:p w14:paraId="38D59CA0" w14:textId="6F5A22B6" w:rsidR="009B3216" w:rsidRPr="001E7F59" w:rsidRDefault="00E973ED" w:rsidP="00E973ED">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Versión pública correcta.</w:t>
            </w:r>
          </w:p>
        </w:tc>
        <w:tc>
          <w:tcPr>
            <w:tcW w:w="1984" w:type="dxa"/>
          </w:tcPr>
          <w:p w14:paraId="36A03B79" w14:textId="01C506B3" w:rsidR="009B3216" w:rsidRPr="001E7F59" w:rsidRDefault="009B3216" w:rsidP="009B3216">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Falta remitir acuerdo del Comité de Transparencia</w:t>
            </w:r>
          </w:p>
        </w:tc>
        <w:tc>
          <w:tcPr>
            <w:tcW w:w="959" w:type="dxa"/>
          </w:tcPr>
          <w:p w14:paraId="0F6A4FBC" w14:textId="4AD1F1F7" w:rsidR="009B3216" w:rsidRPr="001E7F59" w:rsidRDefault="00E973ED" w:rsidP="009B3216">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No</w:t>
            </w:r>
          </w:p>
        </w:tc>
      </w:tr>
      <w:tr w:rsidR="009B3216" w:rsidRPr="001E7F59" w14:paraId="38B8F47F" w14:textId="7C81A414" w:rsidTr="00E973ED">
        <w:tc>
          <w:tcPr>
            <w:tcW w:w="2263" w:type="dxa"/>
          </w:tcPr>
          <w:p w14:paraId="0B44ED0A" w14:textId="66DE6D03" w:rsidR="009B3216" w:rsidRPr="001E7F59" w:rsidRDefault="009B3216" w:rsidP="009B3216">
            <w:pPr>
              <w:spacing w:line="360" w:lineRule="auto"/>
              <w:jc w:val="both"/>
              <w:rPr>
                <w:rFonts w:ascii="Palatino Linotype" w:hAnsi="Palatino Linotype" w:cs="Tahoma"/>
                <w:bCs/>
                <w:sz w:val="18"/>
                <w:szCs w:val="18"/>
              </w:rPr>
            </w:pPr>
            <w:r w:rsidRPr="001E7F59">
              <w:rPr>
                <w:rFonts w:ascii="Palatino Linotype" w:eastAsia="Calibri" w:hAnsi="Palatino Linotype" w:cs="Tahoma"/>
                <w:bCs/>
                <w:color w:val="000000" w:themeColor="text1"/>
                <w:sz w:val="18"/>
                <w:szCs w:val="18"/>
              </w:rPr>
              <w:lastRenderedPageBreak/>
              <w:t xml:space="preserve">Historial Académico </w:t>
            </w:r>
          </w:p>
        </w:tc>
        <w:tc>
          <w:tcPr>
            <w:tcW w:w="1843" w:type="dxa"/>
          </w:tcPr>
          <w:p w14:paraId="78A4FF05" w14:textId="77777777" w:rsidR="009B3216" w:rsidRPr="001E7F59" w:rsidRDefault="009B3216" w:rsidP="009B3216">
            <w:pPr>
              <w:spacing w:line="360" w:lineRule="auto"/>
              <w:jc w:val="both"/>
              <w:rPr>
                <w:rFonts w:ascii="Palatino Linotype" w:eastAsia="Calibri" w:hAnsi="Palatino Linotype" w:cs="Tahoma"/>
                <w:bCs/>
                <w:color w:val="000000" w:themeColor="text1"/>
                <w:sz w:val="18"/>
                <w:szCs w:val="18"/>
              </w:rPr>
            </w:pPr>
            <w:r w:rsidRPr="001E7F59">
              <w:rPr>
                <w:rFonts w:ascii="Palatino Linotype" w:eastAsia="Calibri" w:hAnsi="Palatino Linotype" w:cs="Tahoma"/>
                <w:bCs/>
                <w:color w:val="000000" w:themeColor="text1"/>
                <w:sz w:val="18"/>
                <w:szCs w:val="18"/>
              </w:rPr>
              <w:t>promedio general, promedio último ciclo y avance;</w:t>
            </w:r>
          </w:p>
          <w:p w14:paraId="45AEB94D" w14:textId="77777777" w:rsidR="009B3216" w:rsidRPr="001E7F59" w:rsidRDefault="009B3216" w:rsidP="009B3216">
            <w:pPr>
              <w:spacing w:line="360" w:lineRule="auto"/>
              <w:jc w:val="both"/>
              <w:rPr>
                <w:rFonts w:ascii="Palatino Linotype" w:eastAsia="Calibri" w:hAnsi="Palatino Linotype" w:cs="Tahoma"/>
                <w:bCs/>
                <w:color w:val="000000" w:themeColor="text1"/>
                <w:sz w:val="18"/>
                <w:szCs w:val="18"/>
              </w:rPr>
            </w:pPr>
          </w:p>
          <w:p w14:paraId="6E464AC2" w14:textId="349A12BC" w:rsidR="009B3216" w:rsidRPr="001E7F59" w:rsidRDefault="009B3216" w:rsidP="009B3216">
            <w:pPr>
              <w:spacing w:line="360" w:lineRule="auto"/>
              <w:jc w:val="both"/>
              <w:rPr>
                <w:rFonts w:ascii="Palatino Linotype" w:hAnsi="Palatino Linotype" w:cs="Tahoma"/>
                <w:bCs/>
                <w:sz w:val="18"/>
                <w:szCs w:val="18"/>
              </w:rPr>
            </w:pPr>
            <w:r w:rsidRPr="001E7F59">
              <w:rPr>
                <w:rFonts w:ascii="Palatino Linotype" w:eastAsia="Calibri" w:hAnsi="Palatino Linotype" w:cs="Tahoma"/>
                <w:bCs/>
                <w:color w:val="000000" w:themeColor="text1"/>
                <w:sz w:val="18"/>
                <w:szCs w:val="18"/>
              </w:rPr>
              <w:t>Se dejan visibles los créditos, tipo de examen y calificaciones.</w:t>
            </w:r>
          </w:p>
        </w:tc>
        <w:tc>
          <w:tcPr>
            <w:tcW w:w="1985" w:type="dxa"/>
          </w:tcPr>
          <w:p w14:paraId="652788D3" w14:textId="733C731C" w:rsidR="009B3216" w:rsidRPr="001E7F59" w:rsidRDefault="00E973ED" w:rsidP="009B3216">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Versión pública incorrecta.</w:t>
            </w:r>
          </w:p>
        </w:tc>
        <w:tc>
          <w:tcPr>
            <w:tcW w:w="1984" w:type="dxa"/>
          </w:tcPr>
          <w:p w14:paraId="41233BC4" w14:textId="426AD5D4" w:rsidR="009B3216" w:rsidRPr="001E7F59" w:rsidRDefault="00E973ED" w:rsidP="009B3216">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Se da vista  a la Dirección General de Protección de Datos Personales</w:t>
            </w:r>
          </w:p>
        </w:tc>
        <w:tc>
          <w:tcPr>
            <w:tcW w:w="959" w:type="dxa"/>
          </w:tcPr>
          <w:p w14:paraId="148089BB" w14:textId="0BB9B20F" w:rsidR="009B3216" w:rsidRPr="001E7F59" w:rsidRDefault="00E973ED" w:rsidP="009B3216">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No</w:t>
            </w:r>
          </w:p>
        </w:tc>
      </w:tr>
      <w:tr w:rsidR="009B3216" w:rsidRPr="001E7F59" w14:paraId="3BAC19AC" w14:textId="22308528" w:rsidTr="00E973ED">
        <w:tc>
          <w:tcPr>
            <w:tcW w:w="2263" w:type="dxa"/>
          </w:tcPr>
          <w:p w14:paraId="2A8890EB" w14:textId="048C5790" w:rsidR="009B3216" w:rsidRPr="001E7F59" w:rsidRDefault="009B3216" w:rsidP="009B3216">
            <w:pPr>
              <w:spacing w:line="360" w:lineRule="auto"/>
              <w:jc w:val="both"/>
              <w:rPr>
                <w:rFonts w:ascii="Palatino Linotype" w:hAnsi="Palatino Linotype" w:cs="Tahoma"/>
                <w:bCs/>
                <w:sz w:val="18"/>
                <w:szCs w:val="18"/>
              </w:rPr>
            </w:pPr>
            <w:r w:rsidRPr="001E7F59">
              <w:rPr>
                <w:rFonts w:ascii="Palatino Linotype" w:eastAsia="Calibri" w:hAnsi="Palatino Linotype" w:cs="Tahoma"/>
                <w:bCs/>
                <w:color w:val="000000" w:themeColor="text1"/>
                <w:sz w:val="18"/>
                <w:szCs w:val="18"/>
              </w:rPr>
              <w:t>Título Profesional de Licenciatura en Derecho</w:t>
            </w:r>
          </w:p>
        </w:tc>
        <w:tc>
          <w:tcPr>
            <w:tcW w:w="1843" w:type="dxa"/>
          </w:tcPr>
          <w:p w14:paraId="542C469C" w14:textId="077FF822" w:rsidR="009B3216" w:rsidRPr="001E7F59" w:rsidRDefault="00E973ED" w:rsidP="009B3216">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Versión íntegra</w:t>
            </w:r>
          </w:p>
        </w:tc>
        <w:tc>
          <w:tcPr>
            <w:tcW w:w="1985" w:type="dxa"/>
          </w:tcPr>
          <w:p w14:paraId="5A16E716" w14:textId="5786017E" w:rsidR="009B3216" w:rsidRPr="001E7F59" w:rsidRDefault="00E973ED" w:rsidP="009B3216">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Versión íntegra</w:t>
            </w:r>
          </w:p>
        </w:tc>
        <w:tc>
          <w:tcPr>
            <w:tcW w:w="1984" w:type="dxa"/>
          </w:tcPr>
          <w:p w14:paraId="6B836F1D" w14:textId="125285D9" w:rsidR="009B3216" w:rsidRPr="001E7F59" w:rsidRDefault="00E973ED" w:rsidP="009B3216">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Versión íntegra</w:t>
            </w:r>
          </w:p>
        </w:tc>
        <w:tc>
          <w:tcPr>
            <w:tcW w:w="959" w:type="dxa"/>
          </w:tcPr>
          <w:p w14:paraId="3A71082D" w14:textId="3A9DAFB3" w:rsidR="009B3216" w:rsidRPr="001E7F59" w:rsidRDefault="00E973ED" w:rsidP="009B3216">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No</w:t>
            </w:r>
          </w:p>
        </w:tc>
      </w:tr>
      <w:tr w:rsidR="00E973ED" w:rsidRPr="001E7F59" w14:paraId="5CECCD28" w14:textId="1D538C7A" w:rsidTr="00E973ED">
        <w:tc>
          <w:tcPr>
            <w:tcW w:w="2263" w:type="dxa"/>
          </w:tcPr>
          <w:p w14:paraId="5461BDCA" w14:textId="01BE9AAA" w:rsidR="00E973ED" w:rsidRPr="001E7F59" w:rsidRDefault="00E973ED" w:rsidP="00E973ED">
            <w:pPr>
              <w:spacing w:line="360" w:lineRule="auto"/>
              <w:jc w:val="both"/>
              <w:rPr>
                <w:rFonts w:ascii="Palatino Linotype" w:hAnsi="Palatino Linotype" w:cs="Tahoma"/>
                <w:bCs/>
                <w:sz w:val="18"/>
                <w:szCs w:val="18"/>
              </w:rPr>
            </w:pPr>
            <w:r w:rsidRPr="001E7F59">
              <w:rPr>
                <w:rFonts w:ascii="Palatino Linotype" w:eastAsia="Calibri" w:hAnsi="Palatino Linotype" w:cs="Tahoma"/>
                <w:bCs/>
                <w:color w:val="000000" w:themeColor="text1"/>
                <w:sz w:val="18"/>
                <w:szCs w:val="18"/>
              </w:rPr>
              <w:t xml:space="preserve">Certificado de Buena Salud </w:t>
            </w:r>
          </w:p>
        </w:tc>
        <w:tc>
          <w:tcPr>
            <w:tcW w:w="1843" w:type="dxa"/>
          </w:tcPr>
          <w:p w14:paraId="2945D4DA" w14:textId="03144CB6" w:rsidR="00E973ED" w:rsidRPr="001E7F59" w:rsidRDefault="00E973ED" w:rsidP="00E973ED">
            <w:pPr>
              <w:spacing w:line="360" w:lineRule="auto"/>
              <w:jc w:val="both"/>
              <w:rPr>
                <w:rFonts w:ascii="Palatino Linotype" w:eastAsia="Calibri" w:hAnsi="Palatino Linotype" w:cs="Tahoma"/>
                <w:bCs/>
                <w:color w:val="000000" w:themeColor="text1"/>
                <w:sz w:val="18"/>
                <w:szCs w:val="18"/>
              </w:rPr>
            </w:pPr>
            <w:r w:rsidRPr="001E7F59">
              <w:rPr>
                <w:rFonts w:ascii="Palatino Linotype" w:eastAsia="Calibri" w:hAnsi="Palatino Linotype" w:cs="Tahoma"/>
                <w:bCs/>
                <w:color w:val="000000" w:themeColor="text1"/>
                <w:sz w:val="18"/>
                <w:szCs w:val="18"/>
              </w:rPr>
              <w:t>Clave ISSEMYM.</w:t>
            </w:r>
          </w:p>
          <w:p w14:paraId="5B42EBBF" w14:textId="77777777" w:rsidR="00E973ED" w:rsidRPr="001E7F59" w:rsidRDefault="00E973ED" w:rsidP="00E973ED">
            <w:pPr>
              <w:spacing w:line="360" w:lineRule="auto"/>
              <w:jc w:val="both"/>
              <w:rPr>
                <w:rFonts w:ascii="Palatino Linotype" w:eastAsia="Calibri" w:hAnsi="Palatino Linotype" w:cs="Tahoma"/>
                <w:bCs/>
                <w:color w:val="000000" w:themeColor="text1"/>
                <w:sz w:val="18"/>
                <w:szCs w:val="18"/>
              </w:rPr>
            </w:pPr>
          </w:p>
          <w:p w14:paraId="44BAD436" w14:textId="41A194EB" w:rsidR="00E973ED" w:rsidRPr="001E7F59" w:rsidRDefault="00E973ED" w:rsidP="00E973ED">
            <w:pPr>
              <w:spacing w:line="360" w:lineRule="auto"/>
              <w:jc w:val="both"/>
              <w:rPr>
                <w:rFonts w:ascii="Palatino Linotype" w:hAnsi="Palatino Linotype" w:cs="Tahoma"/>
                <w:bCs/>
                <w:sz w:val="18"/>
                <w:szCs w:val="18"/>
              </w:rPr>
            </w:pPr>
            <w:r w:rsidRPr="001E7F59">
              <w:rPr>
                <w:rFonts w:ascii="Palatino Linotype" w:eastAsia="Calibri" w:hAnsi="Palatino Linotype" w:cs="Tahoma"/>
                <w:bCs/>
                <w:color w:val="000000" w:themeColor="text1"/>
                <w:sz w:val="18"/>
                <w:szCs w:val="18"/>
              </w:rPr>
              <w:t>Se dejan visibles datos médicos.</w:t>
            </w:r>
          </w:p>
        </w:tc>
        <w:tc>
          <w:tcPr>
            <w:tcW w:w="1985" w:type="dxa"/>
          </w:tcPr>
          <w:p w14:paraId="1DD70523" w14:textId="1D7B84DA" w:rsidR="00E973ED" w:rsidRPr="001E7F59" w:rsidRDefault="00E973ED" w:rsidP="00E973ED">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Versión pública incorrecta.</w:t>
            </w:r>
          </w:p>
        </w:tc>
        <w:tc>
          <w:tcPr>
            <w:tcW w:w="1984" w:type="dxa"/>
          </w:tcPr>
          <w:p w14:paraId="434FF596" w14:textId="06ABA2F0" w:rsidR="00E973ED" w:rsidRPr="001E7F59" w:rsidRDefault="00E973ED" w:rsidP="00E973ED">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Se da vista  a la Dirección General de Protección de Datos Personales</w:t>
            </w:r>
          </w:p>
        </w:tc>
        <w:tc>
          <w:tcPr>
            <w:tcW w:w="959" w:type="dxa"/>
          </w:tcPr>
          <w:p w14:paraId="2940EDE7" w14:textId="07FEAD54" w:rsidR="00E973ED" w:rsidRPr="001E7F59" w:rsidRDefault="00E973ED" w:rsidP="00E973ED">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No</w:t>
            </w:r>
          </w:p>
        </w:tc>
      </w:tr>
      <w:tr w:rsidR="00E973ED" w:rsidRPr="001E7F59" w14:paraId="7D5647CB" w14:textId="3AF378A1" w:rsidTr="00E973ED">
        <w:tc>
          <w:tcPr>
            <w:tcW w:w="2263" w:type="dxa"/>
          </w:tcPr>
          <w:p w14:paraId="03874F47" w14:textId="40EA613F" w:rsidR="00E973ED" w:rsidRPr="001E7F59" w:rsidRDefault="00E973ED" w:rsidP="00E973ED">
            <w:pPr>
              <w:spacing w:line="360" w:lineRule="auto"/>
              <w:jc w:val="both"/>
              <w:rPr>
                <w:rFonts w:ascii="Palatino Linotype" w:hAnsi="Palatino Linotype" w:cs="Tahoma"/>
                <w:bCs/>
                <w:sz w:val="18"/>
                <w:szCs w:val="18"/>
              </w:rPr>
            </w:pPr>
            <w:r w:rsidRPr="001E7F59">
              <w:rPr>
                <w:rFonts w:ascii="Palatino Linotype" w:eastAsia="Calibri" w:hAnsi="Palatino Linotype" w:cs="Tahoma"/>
                <w:bCs/>
                <w:color w:val="000000" w:themeColor="text1"/>
                <w:sz w:val="18"/>
                <w:szCs w:val="18"/>
              </w:rPr>
              <w:t xml:space="preserve">Factura de Gas Natural </w:t>
            </w:r>
          </w:p>
        </w:tc>
        <w:tc>
          <w:tcPr>
            <w:tcW w:w="1843" w:type="dxa"/>
          </w:tcPr>
          <w:p w14:paraId="78F8FECD" w14:textId="76C4E065" w:rsidR="00E973ED" w:rsidRPr="001E7F59" w:rsidRDefault="00E973ED" w:rsidP="00E973ED">
            <w:pPr>
              <w:spacing w:line="360" w:lineRule="auto"/>
              <w:jc w:val="both"/>
              <w:rPr>
                <w:rFonts w:ascii="Palatino Linotype" w:hAnsi="Palatino Linotype" w:cs="Tahoma"/>
                <w:bCs/>
                <w:sz w:val="18"/>
                <w:szCs w:val="18"/>
              </w:rPr>
            </w:pPr>
            <w:r w:rsidRPr="001E7F59">
              <w:rPr>
                <w:rFonts w:ascii="Palatino Linotype" w:eastAsia="Calibri" w:hAnsi="Palatino Linotype" w:cs="Tahoma"/>
                <w:bCs/>
                <w:color w:val="000000" w:themeColor="text1"/>
                <w:sz w:val="18"/>
                <w:szCs w:val="18"/>
              </w:rPr>
              <w:t>Se deja visible número de contrato y cuenta del cliente y se eliminan el código QR.</w:t>
            </w:r>
          </w:p>
        </w:tc>
        <w:tc>
          <w:tcPr>
            <w:tcW w:w="1985" w:type="dxa"/>
          </w:tcPr>
          <w:p w14:paraId="485844DA" w14:textId="465C841E" w:rsidR="00E973ED" w:rsidRPr="001E7F59" w:rsidRDefault="00E973ED" w:rsidP="00E973ED">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Versión pública incorrecta.</w:t>
            </w:r>
          </w:p>
        </w:tc>
        <w:tc>
          <w:tcPr>
            <w:tcW w:w="1984" w:type="dxa"/>
          </w:tcPr>
          <w:p w14:paraId="61321982" w14:textId="0E807F19" w:rsidR="00E973ED" w:rsidRPr="001E7F59" w:rsidRDefault="00E973ED" w:rsidP="00E973ED">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Se da vista  a la Dirección General de Protección de Datos Personales</w:t>
            </w:r>
          </w:p>
        </w:tc>
        <w:tc>
          <w:tcPr>
            <w:tcW w:w="959" w:type="dxa"/>
          </w:tcPr>
          <w:p w14:paraId="29679DCB" w14:textId="7298A42B" w:rsidR="00E973ED" w:rsidRPr="001E7F59" w:rsidRDefault="00E973ED" w:rsidP="00E973ED">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No</w:t>
            </w:r>
          </w:p>
        </w:tc>
      </w:tr>
      <w:tr w:rsidR="00E973ED" w:rsidRPr="001E7F59" w14:paraId="63A236F2" w14:textId="071D3E68" w:rsidTr="00E973ED">
        <w:tc>
          <w:tcPr>
            <w:tcW w:w="2263" w:type="dxa"/>
          </w:tcPr>
          <w:p w14:paraId="720D3D77" w14:textId="11DAFC54" w:rsidR="00E973ED" w:rsidRPr="001E7F59" w:rsidRDefault="00E973ED" w:rsidP="00E973ED">
            <w:pPr>
              <w:spacing w:line="360" w:lineRule="auto"/>
              <w:jc w:val="both"/>
              <w:rPr>
                <w:rFonts w:ascii="Palatino Linotype" w:hAnsi="Palatino Linotype" w:cs="Tahoma"/>
                <w:bCs/>
                <w:sz w:val="18"/>
                <w:szCs w:val="18"/>
              </w:rPr>
            </w:pPr>
            <w:r w:rsidRPr="001E7F59">
              <w:rPr>
                <w:rFonts w:ascii="Palatino Linotype" w:eastAsia="Calibri" w:hAnsi="Palatino Linotype" w:cs="Tahoma"/>
                <w:bCs/>
                <w:color w:val="000000" w:themeColor="text1"/>
                <w:sz w:val="18"/>
                <w:szCs w:val="18"/>
              </w:rPr>
              <w:t>CURP</w:t>
            </w:r>
          </w:p>
        </w:tc>
        <w:tc>
          <w:tcPr>
            <w:tcW w:w="1843" w:type="dxa"/>
          </w:tcPr>
          <w:p w14:paraId="00FBEEDA" w14:textId="4C4F5162" w:rsidR="00E973ED" w:rsidRPr="001E7F59" w:rsidRDefault="00E973ED" w:rsidP="00E973ED">
            <w:pPr>
              <w:spacing w:line="360" w:lineRule="auto"/>
              <w:jc w:val="both"/>
              <w:rPr>
                <w:rFonts w:ascii="Palatino Linotype" w:hAnsi="Palatino Linotype" w:cs="Tahoma"/>
                <w:bCs/>
                <w:sz w:val="18"/>
                <w:szCs w:val="18"/>
              </w:rPr>
            </w:pPr>
            <w:r w:rsidRPr="001E7F59">
              <w:rPr>
                <w:rFonts w:ascii="Palatino Linotype" w:eastAsia="Calibri" w:hAnsi="Palatino Linotype" w:cs="Tahoma"/>
                <w:bCs/>
                <w:color w:val="000000" w:themeColor="text1"/>
                <w:sz w:val="18"/>
                <w:szCs w:val="18"/>
              </w:rPr>
              <w:t>Se elimina clave y códigos QR.</w:t>
            </w:r>
          </w:p>
        </w:tc>
        <w:tc>
          <w:tcPr>
            <w:tcW w:w="1985" w:type="dxa"/>
          </w:tcPr>
          <w:p w14:paraId="0D251BA5" w14:textId="21D6B55A" w:rsidR="00E973ED" w:rsidRPr="001E7F59" w:rsidRDefault="00E973ED" w:rsidP="00E973ED">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Versión pública incorrecta.</w:t>
            </w:r>
          </w:p>
        </w:tc>
        <w:tc>
          <w:tcPr>
            <w:tcW w:w="1984" w:type="dxa"/>
          </w:tcPr>
          <w:p w14:paraId="37B80E85" w14:textId="7A784DC9" w:rsidR="00E973ED" w:rsidRPr="001E7F59" w:rsidRDefault="00E973ED" w:rsidP="00E973ED">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Se da vista  a la Dirección General de Protección de Datos Personales</w:t>
            </w:r>
          </w:p>
        </w:tc>
        <w:tc>
          <w:tcPr>
            <w:tcW w:w="959" w:type="dxa"/>
          </w:tcPr>
          <w:p w14:paraId="07EFBE1A" w14:textId="744D19DE" w:rsidR="00E973ED" w:rsidRPr="001E7F59" w:rsidRDefault="00E973ED" w:rsidP="00E973ED">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No</w:t>
            </w:r>
          </w:p>
        </w:tc>
      </w:tr>
      <w:tr w:rsidR="00E973ED" w:rsidRPr="001E7F59" w14:paraId="557D63E4" w14:textId="135CA644" w:rsidTr="00E973ED">
        <w:tc>
          <w:tcPr>
            <w:tcW w:w="2263" w:type="dxa"/>
          </w:tcPr>
          <w:p w14:paraId="6122CFFB" w14:textId="38C3A8E8" w:rsidR="00E973ED" w:rsidRPr="001E7F59" w:rsidRDefault="00E973ED" w:rsidP="00E973ED">
            <w:pPr>
              <w:spacing w:line="360" w:lineRule="auto"/>
              <w:jc w:val="both"/>
              <w:rPr>
                <w:rFonts w:ascii="Palatino Linotype" w:hAnsi="Palatino Linotype" w:cs="Tahoma"/>
                <w:bCs/>
                <w:sz w:val="18"/>
                <w:szCs w:val="18"/>
              </w:rPr>
            </w:pPr>
            <w:r w:rsidRPr="001E7F59">
              <w:rPr>
                <w:rFonts w:ascii="Palatino Linotype" w:eastAsia="Calibri" w:hAnsi="Palatino Linotype" w:cs="Tahoma"/>
                <w:bCs/>
                <w:color w:val="000000" w:themeColor="text1"/>
                <w:sz w:val="18"/>
                <w:szCs w:val="18"/>
              </w:rPr>
              <w:t xml:space="preserve">Currículum Vitae </w:t>
            </w:r>
          </w:p>
        </w:tc>
        <w:tc>
          <w:tcPr>
            <w:tcW w:w="1843" w:type="dxa"/>
          </w:tcPr>
          <w:p w14:paraId="0F91C9DF" w14:textId="0BDCCC8B" w:rsidR="00E973ED" w:rsidRPr="001E7F59" w:rsidRDefault="00E973ED" w:rsidP="00E973ED">
            <w:pPr>
              <w:spacing w:line="360" w:lineRule="auto"/>
              <w:jc w:val="both"/>
              <w:rPr>
                <w:rFonts w:ascii="Palatino Linotype" w:hAnsi="Palatino Linotype" w:cs="Tahoma"/>
                <w:bCs/>
                <w:sz w:val="18"/>
                <w:szCs w:val="18"/>
              </w:rPr>
            </w:pPr>
            <w:r w:rsidRPr="001E7F59">
              <w:rPr>
                <w:rFonts w:ascii="Palatino Linotype" w:eastAsia="Calibri" w:hAnsi="Palatino Linotype" w:cs="Tahoma"/>
                <w:bCs/>
                <w:color w:val="000000" w:themeColor="text1"/>
                <w:sz w:val="18"/>
                <w:szCs w:val="18"/>
              </w:rPr>
              <w:t>Estado civil</w:t>
            </w:r>
          </w:p>
        </w:tc>
        <w:tc>
          <w:tcPr>
            <w:tcW w:w="1985" w:type="dxa"/>
          </w:tcPr>
          <w:p w14:paraId="2519451E" w14:textId="58FA2549" w:rsidR="00E973ED" w:rsidRPr="001E7F59" w:rsidRDefault="00E973ED" w:rsidP="00E973ED">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Versión pública incorrecta.</w:t>
            </w:r>
          </w:p>
        </w:tc>
        <w:tc>
          <w:tcPr>
            <w:tcW w:w="1984" w:type="dxa"/>
          </w:tcPr>
          <w:p w14:paraId="652E911A" w14:textId="2310A074" w:rsidR="00E973ED" w:rsidRPr="001E7F59" w:rsidRDefault="00E973ED" w:rsidP="00E973ED">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Se da vista  a la Dirección General de Protección de Datos Personales</w:t>
            </w:r>
          </w:p>
        </w:tc>
        <w:tc>
          <w:tcPr>
            <w:tcW w:w="959" w:type="dxa"/>
          </w:tcPr>
          <w:p w14:paraId="646348BB" w14:textId="4FE844E7" w:rsidR="00E973ED" w:rsidRPr="001E7F59" w:rsidRDefault="00E973ED" w:rsidP="00E973ED">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No</w:t>
            </w:r>
          </w:p>
        </w:tc>
      </w:tr>
      <w:tr w:rsidR="00E973ED" w:rsidRPr="001E7F59" w14:paraId="686B4259" w14:textId="4FEA1974" w:rsidTr="00E973ED">
        <w:tc>
          <w:tcPr>
            <w:tcW w:w="2263" w:type="dxa"/>
          </w:tcPr>
          <w:p w14:paraId="466E136B" w14:textId="68752DBC" w:rsidR="00E973ED" w:rsidRPr="001E7F59" w:rsidRDefault="00E973ED" w:rsidP="00E973ED">
            <w:pPr>
              <w:spacing w:line="360" w:lineRule="auto"/>
              <w:jc w:val="both"/>
              <w:rPr>
                <w:rFonts w:ascii="Palatino Linotype" w:hAnsi="Palatino Linotype" w:cs="Tahoma"/>
                <w:bCs/>
                <w:sz w:val="18"/>
                <w:szCs w:val="18"/>
              </w:rPr>
            </w:pPr>
            <w:r w:rsidRPr="001E7F59">
              <w:rPr>
                <w:rFonts w:ascii="Palatino Linotype" w:eastAsia="Calibri" w:hAnsi="Palatino Linotype" w:cs="Tahoma"/>
                <w:bCs/>
                <w:color w:val="000000" w:themeColor="text1"/>
                <w:sz w:val="18"/>
                <w:szCs w:val="18"/>
              </w:rPr>
              <w:t xml:space="preserve">Credencial para Votar </w:t>
            </w:r>
          </w:p>
        </w:tc>
        <w:tc>
          <w:tcPr>
            <w:tcW w:w="1843" w:type="dxa"/>
          </w:tcPr>
          <w:p w14:paraId="215E9A4A" w14:textId="77777777" w:rsidR="00E973ED" w:rsidRPr="001E7F59" w:rsidRDefault="00E973ED" w:rsidP="00E973ED">
            <w:pPr>
              <w:spacing w:line="360" w:lineRule="auto"/>
              <w:jc w:val="both"/>
              <w:rPr>
                <w:rFonts w:ascii="Palatino Linotype" w:eastAsia="Calibri" w:hAnsi="Palatino Linotype" w:cs="Tahoma"/>
                <w:bCs/>
                <w:color w:val="000000" w:themeColor="text1"/>
                <w:sz w:val="18"/>
                <w:szCs w:val="18"/>
              </w:rPr>
            </w:pPr>
            <w:r w:rsidRPr="001E7F59">
              <w:rPr>
                <w:rFonts w:ascii="Palatino Linotype" w:eastAsia="Calibri" w:hAnsi="Palatino Linotype" w:cs="Tahoma"/>
                <w:bCs/>
                <w:color w:val="000000" w:themeColor="text1"/>
                <w:sz w:val="18"/>
                <w:szCs w:val="18"/>
              </w:rPr>
              <w:t>domicilio, clave de elector, CURP, firma de la titular y IDMEX;</w:t>
            </w:r>
          </w:p>
          <w:p w14:paraId="6D8B51E2" w14:textId="77777777" w:rsidR="00E973ED" w:rsidRPr="001E7F59" w:rsidRDefault="00E973ED" w:rsidP="00E973ED">
            <w:pPr>
              <w:spacing w:line="360" w:lineRule="auto"/>
              <w:jc w:val="both"/>
              <w:rPr>
                <w:rFonts w:ascii="Palatino Linotype" w:eastAsia="Calibri" w:hAnsi="Palatino Linotype" w:cs="Tahoma"/>
                <w:bCs/>
                <w:color w:val="000000" w:themeColor="text1"/>
                <w:sz w:val="18"/>
                <w:szCs w:val="18"/>
              </w:rPr>
            </w:pPr>
          </w:p>
          <w:p w14:paraId="07EBD7CD" w14:textId="47DE9840" w:rsidR="00E973ED" w:rsidRPr="001E7F59" w:rsidRDefault="00E973ED" w:rsidP="00E973ED">
            <w:pPr>
              <w:spacing w:line="360" w:lineRule="auto"/>
              <w:jc w:val="both"/>
              <w:rPr>
                <w:rFonts w:ascii="Palatino Linotype" w:hAnsi="Palatino Linotype" w:cs="Tahoma"/>
                <w:bCs/>
                <w:sz w:val="18"/>
                <w:szCs w:val="18"/>
              </w:rPr>
            </w:pPr>
            <w:r w:rsidRPr="001E7F59">
              <w:rPr>
                <w:rFonts w:ascii="Palatino Linotype" w:eastAsia="Calibri" w:hAnsi="Palatino Linotype" w:cs="Tahoma"/>
                <w:bCs/>
                <w:color w:val="000000" w:themeColor="text1"/>
                <w:sz w:val="18"/>
                <w:szCs w:val="18"/>
              </w:rPr>
              <w:t>Se deja visible fecha de nacimiento y sexo.</w:t>
            </w:r>
          </w:p>
        </w:tc>
        <w:tc>
          <w:tcPr>
            <w:tcW w:w="1985" w:type="dxa"/>
          </w:tcPr>
          <w:p w14:paraId="2A610E38" w14:textId="1F96F132" w:rsidR="00E973ED" w:rsidRPr="001E7F59" w:rsidRDefault="00E973ED" w:rsidP="00E973ED">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lastRenderedPageBreak/>
              <w:t>Versión pública incorrecta.</w:t>
            </w:r>
          </w:p>
        </w:tc>
        <w:tc>
          <w:tcPr>
            <w:tcW w:w="1984" w:type="dxa"/>
          </w:tcPr>
          <w:p w14:paraId="700CA834" w14:textId="7E0621AD" w:rsidR="00E973ED" w:rsidRPr="001E7F59" w:rsidRDefault="00E973ED" w:rsidP="00E973ED">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Se da vista  a la Dirección General de Protección de Datos Personales</w:t>
            </w:r>
          </w:p>
        </w:tc>
        <w:tc>
          <w:tcPr>
            <w:tcW w:w="959" w:type="dxa"/>
          </w:tcPr>
          <w:p w14:paraId="62DF6A14" w14:textId="4C46EB8C" w:rsidR="00E973ED" w:rsidRPr="001E7F59" w:rsidRDefault="00E973ED" w:rsidP="00E973ED">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No</w:t>
            </w:r>
          </w:p>
        </w:tc>
      </w:tr>
      <w:tr w:rsidR="00E973ED" w:rsidRPr="001E7F59" w14:paraId="20B19EAD" w14:textId="2FF57388" w:rsidTr="00E973ED">
        <w:tc>
          <w:tcPr>
            <w:tcW w:w="2263" w:type="dxa"/>
          </w:tcPr>
          <w:p w14:paraId="75DD3F86" w14:textId="4CA610DD" w:rsidR="00E973ED" w:rsidRPr="001E7F59" w:rsidRDefault="00E973ED" w:rsidP="00E973ED">
            <w:pPr>
              <w:spacing w:line="360" w:lineRule="auto"/>
              <w:jc w:val="both"/>
              <w:rPr>
                <w:rFonts w:ascii="Palatino Linotype" w:hAnsi="Palatino Linotype" w:cs="Tahoma"/>
                <w:bCs/>
                <w:sz w:val="18"/>
                <w:szCs w:val="18"/>
              </w:rPr>
            </w:pPr>
            <w:r w:rsidRPr="001E7F59">
              <w:rPr>
                <w:rFonts w:ascii="Palatino Linotype" w:eastAsia="Calibri" w:hAnsi="Palatino Linotype" w:cs="Tahoma"/>
                <w:bCs/>
                <w:color w:val="000000" w:themeColor="text1"/>
                <w:sz w:val="18"/>
                <w:szCs w:val="18"/>
              </w:rPr>
              <w:t xml:space="preserve">Licencia de conducir </w:t>
            </w:r>
          </w:p>
        </w:tc>
        <w:tc>
          <w:tcPr>
            <w:tcW w:w="1843" w:type="dxa"/>
          </w:tcPr>
          <w:p w14:paraId="7C46DDFF" w14:textId="77777777" w:rsidR="00E973ED" w:rsidRPr="001E7F59" w:rsidRDefault="00E973ED" w:rsidP="00E973ED">
            <w:pPr>
              <w:spacing w:line="360" w:lineRule="auto"/>
              <w:jc w:val="both"/>
              <w:rPr>
                <w:rFonts w:ascii="Palatino Linotype" w:eastAsia="Calibri" w:hAnsi="Palatino Linotype" w:cs="Tahoma"/>
                <w:bCs/>
                <w:color w:val="000000" w:themeColor="text1"/>
                <w:sz w:val="18"/>
                <w:szCs w:val="18"/>
              </w:rPr>
            </w:pPr>
            <w:r w:rsidRPr="001E7F59">
              <w:rPr>
                <w:rFonts w:ascii="Palatino Linotype" w:eastAsia="Calibri" w:hAnsi="Palatino Linotype" w:cs="Tahoma"/>
                <w:bCs/>
                <w:color w:val="000000" w:themeColor="text1"/>
                <w:sz w:val="18"/>
                <w:szCs w:val="18"/>
              </w:rPr>
              <w:t>Código QR y firma;</w:t>
            </w:r>
          </w:p>
          <w:p w14:paraId="5CEBE032" w14:textId="77777777" w:rsidR="00E973ED" w:rsidRPr="001E7F59" w:rsidRDefault="00E973ED" w:rsidP="00E973ED">
            <w:pPr>
              <w:spacing w:line="360" w:lineRule="auto"/>
              <w:jc w:val="both"/>
              <w:rPr>
                <w:rFonts w:ascii="Palatino Linotype" w:eastAsia="Calibri" w:hAnsi="Palatino Linotype" w:cs="Tahoma"/>
                <w:bCs/>
                <w:color w:val="000000" w:themeColor="text1"/>
                <w:sz w:val="18"/>
                <w:szCs w:val="18"/>
              </w:rPr>
            </w:pPr>
          </w:p>
          <w:p w14:paraId="43DAE6CC" w14:textId="2ED89EE7" w:rsidR="00E973ED" w:rsidRPr="001E7F59" w:rsidRDefault="00E973ED" w:rsidP="00E973ED">
            <w:pPr>
              <w:spacing w:line="360" w:lineRule="auto"/>
              <w:jc w:val="both"/>
              <w:rPr>
                <w:rFonts w:ascii="Palatino Linotype" w:hAnsi="Palatino Linotype" w:cs="Tahoma"/>
                <w:bCs/>
                <w:sz w:val="18"/>
                <w:szCs w:val="18"/>
              </w:rPr>
            </w:pPr>
            <w:r w:rsidRPr="001E7F59">
              <w:rPr>
                <w:rFonts w:ascii="Palatino Linotype" w:eastAsia="Calibri" w:hAnsi="Palatino Linotype" w:cs="Tahoma"/>
                <w:bCs/>
                <w:color w:val="000000" w:themeColor="text1"/>
                <w:sz w:val="18"/>
                <w:szCs w:val="18"/>
              </w:rPr>
              <w:t>Se deja visible la nacionalidad y huella dactilar.</w:t>
            </w:r>
          </w:p>
        </w:tc>
        <w:tc>
          <w:tcPr>
            <w:tcW w:w="1985" w:type="dxa"/>
          </w:tcPr>
          <w:p w14:paraId="6AAD981E" w14:textId="1F58408A" w:rsidR="00E973ED" w:rsidRPr="001E7F59" w:rsidRDefault="00E973ED" w:rsidP="00E973ED">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Versión pública incorrecta.</w:t>
            </w:r>
          </w:p>
        </w:tc>
        <w:tc>
          <w:tcPr>
            <w:tcW w:w="1984" w:type="dxa"/>
          </w:tcPr>
          <w:p w14:paraId="3025A393" w14:textId="71CC85F5" w:rsidR="00E973ED" w:rsidRPr="001E7F59" w:rsidRDefault="00E973ED" w:rsidP="00E973ED">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Se da vista  a la Dirección General de Protección de Datos Personales</w:t>
            </w:r>
          </w:p>
        </w:tc>
        <w:tc>
          <w:tcPr>
            <w:tcW w:w="959" w:type="dxa"/>
          </w:tcPr>
          <w:p w14:paraId="765E0251" w14:textId="4E3BF95F" w:rsidR="00E973ED" w:rsidRPr="001E7F59" w:rsidRDefault="00E973ED" w:rsidP="00E973ED">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No</w:t>
            </w:r>
          </w:p>
        </w:tc>
      </w:tr>
      <w:tr w:rsidR="00E973ED" w:rsidRPr="001E7F59" w14:paraId="7FCC5C92" w14:textId="0F8BDC6F" w:rsidTr="00E973ED">
        <w:tc>
          <w:tcPr>
            <w:tcW w:w="2263" w:type="dxa"/>
          </w:tcPr>
          <w:p w14:paraId="59211C47" w14:textId="4EEB185A" w:rsidR="00E973ED" w:rsidRPr="001E7F59" w:rsidRDefault="00E973ED" w:rsidP="00E973ED">
            <w:pPr>
              <w:spacing w:line="360" w:lineRule="auto"/>
              <w:jc w:val="both"/>
              <w:rPr>
                <w:rFonts w:ascii="Palatino Linotype" w:hAnsi="Palatino Linotype" w:cs="Tahoma"/>
                <w:bCs/>
                <w:sz w:val="18"/>
                <w:szCs w:val="18"/>
              </w:rPr>
            </w:pPr>
            <w:r w:rsidRPr="001E7F59">
              <w:rPr>
                <w:rFonts w:ascii="Palatino Linotype" w:eastAsia="Calibri" w:hAnsi="Palatino Linotype" w:cs="Tahoma"/>
                <w:bCs/>
                <w:color w:val="000000" w:themeColor="text1"/>
                <w:sz w:val="18"/>
                <w:szCs w:val="18"/>
              </w:rPr>
              <w:t xml:space="preserve">Cartas de Recomendación </w:t>
            </w:r>
          </w:p>
        </w:tc>
        <w:tc>
          <w:tcPr>
            <w:tcW w:w="1843" w:type="dxa"/>
          </w:tcPr>
          <w:p w14:paraId="6646A9EE" w14:textId="35DBF60A" w:rsidR="00E973ED" w:rsidRPr="001E7F59" w:rsidRDefault="00E973ED" w:rsidP="00E973ED">
            <w:pPr>
              <w:spacing w:line="360" w:lineRule="auto"/>
              <w:jc w:val="both"/>
              <w:rPr>
                <w:rFonts w:ascii="Palatino Linotype" w:hAnsi="Palatino Linotype" w:cs="Tahoma"/>
                <w:bCs/>
                <w:sz w:val="18"/>
                <w:szCs w:val="18"/>
              </w:rPr>
            </w:pPr>
            <w:r w:rsidRPr="001E7F59">
              <w:rPr>
                <w:rFonts w:ascii="Palatino Linotype" w:eastAsia="Calibri" w:hAnsi="Palatino Linotype" w:cs="Tahoma"/>
                <w:bCs/>
                <w:color w:val="000000" w:themeColor="text1"/>
                <w:sz w:val="18"/>
                <w:szCs w:val="18"/>
              </w:rPr>
              <w:t>Se deja visible nombre y teléfono de particulares.</w:t>
            </w:r>
          </w:p>
        </w:tc>
        <w:tc>
          <w:tcPr>
            <w:tcW w:w="1985" w:type="dxa"/>
          </w:tcPr>
          <w:p w14:paraId="4183FEA2" w14:textId="718871D5" w:rsidR="00E973ED" w:rsidRPr="001E7F59" w:rsidRDefault="00E973ED" w:rsidP="00E973ED">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Versión pública incorrecta.</w:t>
            </w:r>
          </w:p>
        </w:tc>
        <w:tc>
          <w:tcPr>
            <w:tcW w:w="1984" w:type="dxa"/>
          </w:tcPr>
          <w:p w14:paraId="537FA892" w14:textId="53268669" w:rsidR="00E973ED" w:rsidRPr="001E7F59" w:rsidRDefault="00E973ED" w:rsidP="00E973ED">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Se da vista  a la Dirección General de Protección de Datos Personales</w:t>
            </w:r>
          </w:p>
        </w:tc>
        <w:tc>
          <w:tcPr>
            <w:tcW w:w="959" w:type="dxa"/>
          </w:tcPr>
          <w:p w14:paraId="03943D4F" w14:textId="07FF4DF4" w:rsidR="00E973ED" w:rsidRPr="001E7F59" w:rsidRDefault="00E973ED" w:rsidP="00E973ED">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No</w:t>
            </w:r>
          </w:p>
        </w:tc>
      </w:tr>
      <w:tr w:rsidR="00E973ED" w:rsidRPr="001E7F59" w14:paraId="5BAE162A" w14:textId="6900AEE7" w:rsidTr="00E973ED">
        <w:tc>
          <w:tcPr>
            <w:tcW w:w="2263" w:type="dxa"/>
          </w:tcPr>
          <w:p w14:paraId="5E08576E" w14:textId="18976871" w:rsidR="00E973ED" w:rsidRPr="001E7F59" w:rsidRDefault="00E973ED" w:rsidP="00E973ED">
            <w:pPr>
              <w:spacing w:line="360" w:lineRule="auto"/>
              <w:jc w:val="both"/>
              <w:rPr>
                <w:rFonts w:ascii="Palatino Linotype" w:hAnsi="Palatino Linotype" w:cs="Tahoma"/>
                <w:bCs/>
                <w:sz w:val="18"/>
                <w:szCs w:val="18"/>
              </w:rPr>
            </w:pPr>
            <w:r w:rsidRPr="001E7F59">
              <w:rPr>
                <w:rFonts w:ascii="Palatino Linotype" w:eastAsia="Calibri" w:hAnsi="Palatino Linotype" w:cs="Tahoma"/>
                <w:bCs/>
                <w:color w:val="000000" w:themeColor="text1"/>
                <w:sz w:val="18"/>
                <w:szCs w:val="18"/>
              </w:rPr>
              <w:t>Cédula de Identificación Fiscal versión íntegra</w:t>
            </w:r>
          </w:p>
        </w:tc>
        <w:tc>
          <w:tcPr>
            <w:tcW w:w="1843" w:type="dxa"/>
          </w:tcPr>
          <w:p w14:paraId="010F03B0" w14:textId="0731E023" w:rsidR="00E973ED" w:rsidRPr="001E7F59" w:rsidRDefault="00E973ED" w:rsidP="00E973ED">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Versión íntegra</w:t>
            </w:r>
          </w:p>
        </w:tc>
        <w:tc>
          <w:tcPr>
            <w:tcW w:w="1985" w:type="dxa"/>
          </w:tcPr>
          <w:p w14:paraId="699A3347" w14:textId="0903CEF1" w:rsidR="00E973ED" w:rsidRPr="001E7F59" w:rsidRDefault="00E973ED" w:rsidP="00E973ED">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Versión pública incorrecta.</w:t>
            </w:r>
          </w:p>
        </w:tc>
        <w:tc>
          <w:tcPr>
            <w:tcW w:w="1984" w:type="dxa"/>
          </w:tcPr>
          <w:p w14:paraId="478242B1" w14:textId="4DBAA20B" w:rsidR="00E973ED" w:rsidRPr="001E7F59" w:rsidRDefault="00E973ED" w:rsidP="00E973ED">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Se da vista  a la Dirección General de Protección de Datos Personales</w:t>
            </w:r>
          </w:p>
        </w:tc>
        <w:tc>
          <w:tcPr>
            <w:tcW w:w="959" w:type="dxa"/>
          </w:tcPr>
          <w:p w14:paraId="5A42BE64" w14:textId="0BE77184" w:rsidR="00E973ED" w:rsidRPr="001E7F59" w:rsidRDefault="00E973ED" w:rsidP="00E973ED">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No</w:t>
            </w:r>
          </w:p>
        </w:tc>
      </w:tr>
      <w:tr w:rsidR="00E973ED" w:rsidRPr="001E7F59" w14:paraId="7E725F16" w14:textId="4D8EE070" w:rsidTr="00E973ED">
        <w:tc>
          <w:tcPr>
            <w:tcW w:w="2263" w:type="dxa"/>
          </w:tcPr>
          <w:p w14:paraId="40952E43" w14:textId="6945E5B1" w:rsidR="00E973ED" w:rsidRPr="001E7F59" w:rsidRDefault="00E973ED" w:rsidP="00E973ED">
            <w:pPr>
              <w:spacing w:line="360" w:lineRule="auto"/>
              <w:jc w:val="both"/>
              <w:rPr>
                <w:rFonts w:ascii="Palatino Linotype" w:hAnsi="Palatino Linotype" w:cs="Tahoma"/>
                <w:bCs/>
                <w:sz w:val="18"/>
                <w:szCs w:val="18"/>
              </w:rPr>
            </w:pPr>
            <w:r w:rsidRPr="001E7F59">
              <w:rPr>
                <w:rFonts w:ascii="Palatino Linotype" w:eastAsia="Calibri" w:hAnsi="Palatino Linotype" w:cs="Tahoma"/>
                <w:bCs/>
                <w:color w:val="000000" w:themeColor="text1"/>
                <w:sz w:val="18"/>
                <w:szCs w:val="18"/>
              </w:rPr>
              <w:t xml:space="preserve">Certificado de no deudor alimentario moroso </w:t>
            </w:r>
          </w:p>
        </w:tc>
        <w:tc>
          <w:tcPr>
            <w:tcW w:w="1843" w:type="dxa"/>
          </w:tcPr>
          <w:p w14:paraId="361C947C" w14:textId="50CF2C0F" w:rsidR="00E973ED" w:rsidRPr="001E7F59" w:rsidRDefault="00E973ED" w:rsidP="00E973ED">
            <w:pPr>
              <w:spacing w:line="360" w:lineRule="auto"/>
              <w:jc w:val="both"/>
              <w:rPr>
                <w:rFonts w:ascii="Palatino Linotype" w:hAnsi="Palatino Linotype" w:cs="Tahoma"/>
                <w:bCs/>
                <w:sz w:val="18"/>
                <w:szCs w:val="18"/>
              </w:rPr>
            </w:pPr>
            <w:r w:rsidRPr="001E7F59">
              <w:rPr>
                <w:rFonts w:ascii="Palatino Linotype" w:eastAsia="Calibri" w:hAnsi="Palatino Linotype" w:cs="Tahoma"/>
                <w:bCs/>
                <w:color w:val="000000" w:themeColor="text1"/>
                <w:sz w:val="18"/>
                <w:szCs w:val="18"/>
              </w:rPr>
              <w:t>CURP</w:t>
            </w:r>
          </w:p>
        </w:tc>
        <w:tc>
          <w:tcPr>
            <w:tcW w:w="1985" w:type="dxa"/>
          </w:tcPr>
          <w:p w14:paraId="2188214E" w14:textId="13C66E5D" w:rsidR="00E973ED" w:rsidRPr="001E7F59" w:rsidRDefault="00E973ED" w:rsidP="00E973ED">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Versión Pública correcta</w:t>
            </w:r>
          </w:p>
        </w:tc>
        <w:tc>
          <w:tcPr>
            <w:tcW w:w="1984" w:type="dxa"/>
          </w:tcPr>
          <w:p w14:paraId="5D89154B" w14:textId="24569F7F" w:rsidR="00E973ED" w:rsidRPr="001E7F59" w:rsidRDefault="00E973ED" w:rsidP="00E973ED">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Falta remitir acuerdo del Comité de Transparencia</w:t>
            </w:r>
          </w:p>
        </w:tc>
        <w:tc>
          <w:tcPr>
            <w:tcW w:w="959" w:type="dxa"/>
          </w:tcPr>
          <w:p w14:paraId="7D4507EB" w14:textId="02935303" w:rsidR="00E973ED" w:rsidRPr="001E7F59" w:rsidRDefault="00E973ED" w:rsidP="00E973ED">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Sí</w:t>
            </w:r>
          </w:p>
        </w:tc>
      </w:tr>
      <w:tr w:rsidR="00E973ED" w:rsidRPr="001E7F59" w14:paraId="46F1ADE8" w14:textId="5C4DBD67" w:rsidTr="00E973ED">
        <w:tc>
          <w:tcPr>
            <w:tcW w:w="2263" w:type="dxa"/>
          </w:tcPr>
          <w:p w14:paraId="04B6CBB7" w14:textId="5A7AA544" w:rsidR="00E973ED" w:rsidRPr="001E7F59" w:rsidRDefault="00E973ED" w:rsidP="00E973ED">
            <w:pPr>
              <w:spacing w:line="360" w:lineRule="auto"/>
              <w:jc w:val="both"/>
              <w:rPr>
                <w:rFonts w:ascii="Palatino Linotype" w:hAnsi="Palatino Linotype" w:cs="Tahoma"/>
                <w:bCs/>
                <w:sz w:val="18"/>
                <w:szCs w:val="18"/>
              </w:rPr>
            </w:pPr>
            <w:r w:rsidRPr="001E7F59">
              <w:rPr>
                <w:rFonts w:ascii="Palatino Linotype" w:eastAsia="Calibri" w:hAnsi="Palatino Linotype" w:cs="Tahoma"/>
                <w:bCs/>
                <w:color w:val="000000" w:themeColor="text1"/>
                <w:sz w:val="18"/>
                <w:szCs w:val="18"/>
              </w:rPr>
              <w:t>Cédula Informativa para presentar Manifestación de Bienes</w:t>
            </w:r>
          </w:p>
        </w:tc>
        <w:tc>
          <w:tcPr>
            <w:tcW w:w="1843" w:type="dxa"/>
          </w:tcPr>
          <w:p w14:paraId="73B1D8F6" w14:textId="7312C280" w:rsidR="00E973ED" w:rsidRPr="001E7F59" w:rsidRDefault="00E973ED" w:rsidP="00E973ED">
            <w:pPr>
              <w:spacing w:line="360" w:lineRule="auto"/>
              <w:jc w:val="both"/>
              <w:rPr>
                <w:rFonts w:ascii="Palatino Linotype" w:hAnsi="Palatino Linotype" w:cs="Tahoma"/>
                <w:bCs/>
                <w:sz w:val="18"/>
                <w:szCs w:val="18"/>
              </w:rPr>
            </w:pPr>
            <w:r w:rsidRPr="001E7F59">
              <w:rPr>
                <w:rFonts w:ascii="Palatino Linotype" w:eastAsia="Calibri" w:hAnsi="Palatino Linotype" w:cs="Tahoma"/>
                <w:bCs/>
                <w:color w:val="000000" w:themeColor="text1"/>
                <w:sz w:val="18"/>
                <w:szCs w:val="18"/>
              </w:rPr>
              <w:t>firma de servidor público</w:t>
            </w:r>
          </w:p>
        </w:tc>
        <w:tc>
          <w:tcPr>
            <w:tcW w:w="1985" w:type="dxa"/>
          </w:tcPr>
          <w:p w14:paraId="29E16523" w14:textId="761227D9" w:rsidR="00E973ED" w:rsidRPr="001E7F59" w:rsidRDefault="00E973ED" w:rsidP="00E973ED">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Versión Pública Incorrecta</w:t>
            </w:r>
          </w:p>
        </w:tc>
        <w:tc>
          <w:tcPr>
            <w:tcW w:w="1984" w:type="dxa"/>
          </w:tcPr>
          <w:p w14:paraId="58B89A81" w14:textId="2A319CBC" w:rsidR="00E973ED" w:rsidRPr="001E7F59" w:rsidRDefault="00E973ED" w:rsidP="00E973ED">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Falta remitir acuerdo del Comité de Transparencia</w:t>
            </w:r>
          </w:p>
        </w:tc>
        <w:tc>
          <w:tcPr>
            <w:tcW w:w="959" w:type="dxa"/>
          </w:tcPr>
          <w:p w14:paraId="2D67FC26" w14:textId="3AB569E8" w:rsidR="00E973ED" w:rsidRPr="001E7F59" w:rsidRDefault="00E973ED" w:rsidP="00E973ED">
            <w:pPr>
              <w:spacing w:line="360" w:lineRule="auto"/>
              <w:jc w:val="both"/>
              <w:rPr>
                <w:rFonts w:ascii="Palatino Linotype" w:hAnsi="Palatino Linotype" w:cs="Tahoma"/>
                <w:bCs/>
                <w:sz w:val="18"/>
                <w:szCs w:val="18"/>
              </w:rPr>
            </w:pPr>
            <w:r w:rsidRPr="001E7F59">
              <w:rPr>
                <w:rFonts w:ascii="Palatino Linotype" w:hAnsi="Palatino Linotype" w:cs="Tahoma"/>
                <w:bCs/>
                <w:sz w:val="18"/>
                <w:szCs w:val="18"/>
              </w:rPr>
              <w:t>Sí</w:t>
            </w:r>
          </w:p>
        </w:tc>
      </w:tr>
    </w:tbl>
    <w:p w14:paraId="5F76CB3D" w14:textId="77777777" w:rsidR="0041173D" w:rsidRPr="001E7F59" w:rsidRDefault="0041173D" w:rsidP="001B3766">
      <w:pPr>
        <w:spacing w:line="360" w:lineRule="auto"/>
        <w:jc w:val="both"/>
        <w:rPr>
          <w:rFonts w:ascii="Palatino Linotype" w:hAnsi="Palatino Linotype" w:cs="Tahoma"/>
          <w:bCs/>
          <w:sz w:val="22"/>
          <w:szCs w:val="22"/>
        </w:rPr>
      </w:pPr>
    </w:p>
    <w:p w14:paraId="727706DD" w14:textId="611B91D1" w:rsidR="00992A85" w:rsidRPr="001E7F59" w:rsidRDefault="00992A85" w:rsidP="00992A85">
      <w:pPr>
        <w:pStyle w:val="Prrafodelista"/>
        <w:numPr>
          <w:ilvl w:val="0"/>
          <w:numId w:val="28"/>
        </w:numPr>
        <w:spacing w:line="360" w:lineRule="auto"/>
        <w:jc w:val="both"/>
        <w:rPr>
          <w:rFonts w:ascii="Palatino Linotype" w:eastAsiaTheme="minorHAnsi" w:hAnsi="Palatino Linotype" w:cs="Tahoma"/>
          <w:b/>
          <w:color w:val="000000" w:themeColor="text1"/>
          <w:szCs w:val="22"/>
          <w:lang w:eastAsia="en-US"/>
        </w:rPr>
      </w:pPr>
      <w:r w:rsidRPr="001E7F59">
        <w:rPr>
          <w:rFonts w:ascii="Palatino Linotype" w:eastAsiaTheme="minorHAnsi" w:hAnsi="Palatino Linotype" w:cs="Tahoma"/>
          <w:b/>
          <w:color w:val="000000" w:themeColor="text1"/>
          <w:szCs w:val="22"/>
          <w:lang w:eastAsia="en-US"/>
        </w:rPr>
        <w:t>Alta como servidor Público</w:t>
      </w:r>
    </w:p>
    <w:p w14:paraId="1184B15E" w14:textId="77777777" w:rsidR="002E7961" w:rsidRPr="001E7F59" w:rsidRDefault="002E7961" w:rsidP="001B3766">
      <w:pPr>
        <w:spacing w:line="360" w:lineRule="auto"/>
        <w:jc w:val="both"/>
        <w:rPr>
          <w:rFonts w:ascii="Palatino Linotype" w:eastAsiaTheme="minorHAnsi" w:hAnsi="Palatino Linotype" w:cs="Tahoma"/>
          <w:color w:val="000000" w:themeColor="text1"/>
          <w:sz w:val="22"/>
          <w:szCs w:val="22"/>
          <w:lang w:eastAsia="en-US"/>
        </w:rPr>
      </w:pPr>
    </w:p>
    <w:p w14:paraId="75AA12C5" w14:textId="6CDFF9DB" w:rsidR="00C37E13" w:rsidRPr="001E7F59" w:rsidRDefault="00096C00" w:rsidP="00C37E13">
      <w:pPr>
        <w:spacing w:line="360" w:lineRule="auto"/>
        <w:ind w:right="-28"/>
        <w:contextualSpacing/>
        <w:jc w:val="both"/>
        <w:rPr>
          <w:rFonts w:ascii="Palatino Linotype" w:eastAsia="Calibri" w:hAnsi="Palatino Linotype" w:cs="Tahoma"/>
          <w:bCs/>
          <w:sz w:val="22"/>
          <w:szCs w:val="22"/>
        </w:rPr>
      </w:pPr>
      <w:r w:rsidRPr="001E7F59">
        <w:rPr>
          <w:rFonts w:ascii="Palatino Linotype" w:hAnsi="Palatino Linotype" w:cs="Tahoma"/>
          <w:sz w:val="22"/>
          <w:szCs w:val="22"/>
        </w:rPr>
        <w:t>L</w:t>
      </w:r>
      <w:r w:rsidR="00C37E13" w:rsidRPr="001E7F59">
        <w:rPr>
          <w:rFonts w:ascii="Palatino Linotype" w:eastAsia="Calibri" w:hAnsi="Palatino Linotype" w:cs="Tahoma"/>
          <w:bCs/>
          <w:sz w:val="22"/>
          <w:szCs w:val="22"/>
        </w:rPr>
        <w:t xml:space="preserve">a Guía Técnica 9 “La Administración del Personal Municipal”, que establece que son servidores públicos, todas aquellas personas que prestan su trabajo al servicio del municipio, conformado por las autoridades (Presidente Municipal, Síndico, Regidores, Comisarios, Delegados y Agentes Municipales), funcionarios (Secretario del Ayuntamiento, Directores, </w:t>
      </w:r>
      <w:r w:rsidR="00C37E13" w:rsidRPr="001E7F59">
        <w:rPr>
          <w:rFonts w:ascii="Palatino Linotype" w:eastAsia="Calibri" w:hAnsi="Palatino Linotype" w:cs="Tahoma"/>
          <w:bCs/>
          <w:sz w:val="22"/>
          <w:szCs w:val="22"/>
        </w:rPr>
        <w:lastRenderedPageBreak/>
        <w:t>Tesoreros, Contralores y Jefes de Departamento) y empleados (puestos administrativos y técnicos).</w:t>
      </w:r>
    </w:p>
    <w:p w14:paraId="189EF40C" w14:textId="77777777" w:rsidR="00C37E13" w:rsidRPr="001E7F59" w:rsidRDefault="00C37E13" w:rsidP="00C37E13">
      <w:pPr>
        <w:spacing w:line="360" w:lineRule="auto"/>
        <w:ind w:right="-28"/>
        <w:contextualSpacing/>
        <w:jc w:val="both"/>
        <w:rPr>
          <w:rFonts w:ascii="Palatino Linotype" w:eastAsia="Calibri" w:hAnsi="Palatino Linotype" w:cs="Tahoma"/>
          <w:bCs/>
          <w:sz w:val="22"/>
          <w:szCs w:val="22"/>
        </w:rPr>
      </w:pPr>
    </w:p>
    <w:p w14:paraId="25053A2A" w14:textId="77777777" w:rsidR="00C37E13" w:rsidRPr="001E7F59" w:rsidRDefault="00C37E13" w:rsidP="00C37E13">
      <w:pPr>
        <w:spacing w:line="360" w:lineRule="auto"/>
        <w:ind w:right="-28"/>
        <w:contextualSpacing/>
        <w:jc w:val="both"/>
        <w:rPr>
          <w:rFonts w:ascii="Palatino Linotype" w:eastAsia="Calibri" w:hAnsi="Palatino Linotype" w:cs="Tahoma"/>
          <w:bCs/>
          <w:color w:val="000000"/>
          <w:sz w:val="22"/>
          <w:szCs w:val="22"/>
          <w:lang w:val="es-ES"/>
        </w:rPr>
      </w:pPr>
      <w:r w:rsidRPr="001E7F59">
        <w:rPr>
          <w:rFonts w:ascii="Palatino Linotype" w:eastAsia="Calibri" w:hAnsi="Palatino Linotype" w:cs="Tahoma"/>
          <w:bCs/>
          <w:color w:val="000000"/>
          <w:sz w:val="22"/>
          <w:szCs w:val="22"/>
          <w:lang w:val="es-ES"/>
        </w:rPr>
        <w:t xml:space="preserve">Además, el artículo 4°, fracción VI, de la Ley del Trabajo de los servidores públicos del Estado y Municipios, precisa que son </w:t>
      </w:r>
      <w:r w:rsidRPr="001E7F59">
        <w:rPr>
          <w:rFonts w:ascii="Palatino Linotype" w:eastAsia="Calibri" w:hAnsi="Palatino Linotype" w:cs="Tahoma"/>
          <w:b/>
          <w:bCs/>
          <w:color w:val="000000"/>
          <w:sz w:val="22"/>
          <w:szCs w:val="22"/>
          <w:lang w:val="es-ES"/>
        </w:rPr>
        <w:t>servidores públicos</w:t>
      </w:r>
      <w:r w:rsidRPr="001E7F59">
        <w:rPr>
          <w:rFonts w:ascii="Palatino Linotype" w:eastAsia="Calibri" w:hAnsi="Palatino Linotype" w:cs="Tahoma"/>
          <w:bCs/>
          <w:color w:val="000000"/>
          <w:sz w:val="22"/>
          <w:szCs w:val="22"/>
          <w:lang w:val="es-ES"/>
        </w:rPr>
        <w:t>, todas las personas físicas que presten a una institución pública un trabajo personal subordinado, mediante el pago de un sueldo.</w:t>
      </w:r>
    </w:p>
    <w:p w14:paraId="549533E0" w14:textId="77777777" w:rsidR="00C37E13" w:rsidRPr="001E7F59" w:rsidRDefault="00C37E13" w:rsidP="00C37E13">
      <w:pPr>
        <w:spacing w:line="360" w:lineRule="auto"/>
        <w:ind w:right="-28"/>
        <w:contextualSpacing/>
        <w:jc w:val="both"/>
        <w:rPr>
          <w:rFonts w:ascii="Palatino Linotype" w:eastAsia="Calibri" w:hAnsi="Palatino Linotype" w:cs="Tahoma"/>
          <w:bCs/>
          <w:color w:val="000000"/>
          <w:sz w:val="22"/>
          <w:szCs w:val="22"/>
          <w:lang w:val="es-ES"/>
        </w:rPr>
      </w:pPr>
    </w:p>
    <w:p w14:paraId="7AF3F150" w14:textId="75031269" w:rsidR="00C37E13" w:rsidRPr="001E7F59" w:rsidRDefault="00C37E13" w:rsidP="00C37E13">
      <w:pPr>
        <w:spacing w:line="360" w:lineRule="auto"/>
        <w:ind w:right="-28"/>
        <w:contextualSpacing/>
        <w:jc w:val="both"/>
        <w:rPr>
          <w:rFonts w:ascii="Palatino Linotype" w:hAnsi="Palatino Linotype"/>
          <w:sz w:val="22"/>
          <w:szCs w:val="22"/>
        </w:rPr>
      </w:pPr>
      <w:r w:rsidRPr="001E7F59">
        <w:rPr>
          <w:rFonts w:ascii="Palatino Linotype" w:eastAsia="Calibri" w:hAnsi="Palatino Linotype" w:cs="Tahoma"/>
          <w:bCs/>
          <w:color w:val="000000"/>
          <w:sz w:val="22"/>
          <w:szCs w:val="22"/>
          <w:lang w:val="es-ES"/>
        </w:rPr>
        <w:t xml:space="preserve">En ese contexto, los artículos 45 y 49, de la Ley del Trabajo antes mencionada, establece que </w:t>
      </w:r>
      <w:r w:rsidRPr="001E7F59">
        <w:rPr>
          <w:rFonts w:ascii="Palatino Linotype" w:hAnsi="Palatino Linotype"/>
          <w:sz w:val="22"/>
          <w:szCs w:val="22"/>
        </w:rPr>
        <w:t>los servidores públicos para iniciar la prestación de sus servicios serán mediante Nombramiento, Contrato o Formato Único de Movimientos de Personal, los cuales deberán contener lo siguiente:</w:t>
      </w:r>
    </w:p>
    <w:p w14:paraId="7B7D7B33" w14:textId="77777777" w:rsidR="00C37E13" w:rsidRPr="001E7F59" w:rsidRDefault="00C37E13" w:rsidP="00C37E13">
      <w:pPr>
        <w:spacing w:line="360" w:lineRule="auto"/>
        <w:ind w:right="-28"/>
        <w:contextualSpacing/>
        <w:jc w:val="both"/>
        <w:rPr>
          <w:rFonts w:ascii="Palatino Linotype" w:hAnsi="Palatino Linotype"/>
          <w:sz w:val="22"/>
          <w:szCs w:val="22"/>
        </w:rPr>
      </w:pPr>
    </w:p>
    <w:p w14:paraId="17EC5E86" w14:textId="77777777" w:rsidR="00C37E13" w:rsidRPr="001E7F59" w:rsidRDefault="00C37E13" w:rsidP="00C37E13">
      <w:pPr>
        <w:numPr>
          <w:ilvl w:val="0"/>
          <w:numId w:val="6"/>
        </w:numPr>
        <w:spacing w:line="360" w:lineRule="auto"/>
        <w:ind w:right="-28"/>
        <w:contextualSpacing/>
        <w:jc w:val="both"/>
        <w:rPr>
          <w:rFonts w:ascii="Palatino Linotype" w:hAnsi="Palatino Linotype"/>
          <w:sz w:val="22"/>
          <w:szCs w:val="22"/>
        </w:rPr>
      </w:pPr>
      <w:r w:rsidRPr="001E7F59">
        <w:rPr>
          <w:rFonts w:ascii="Palatino Linotype" w:hAnsi="Palatino Linotype"/>
          <w:b/>
          <w:bCs/>
          <w:sz w:val="22"/>
          <w:szCs w:val="22"/>
        </w:rPr>
        <w:t>Nombre completo del servidor público</w:t>
      </w:r>
      <w:r w:rsidRPr="001E7F59">
        <w:rPr>
          <w:rFonts w:ascii="Palatino Linotype" w:hAnsi="Palatino Linotype"/>
          <w:sz w:val="22"/>
          <w:szCs w:val="22"/>
        </w:rPr>
        <w:t xml:space="preserve">; </w:t>
      </w:r>
    </w:p>
    <w:p w14:paraId="61F2EC0E" w14:textId="77777777" w:rsidR="00C37E13" w:rsidRPr="001E7F59" w:rsidRDefault="00C37E13" w:rsidP="00C37E13">
      <w:pPr>
        <w:numPr>
          <w:ilvl w:val="0"/>
          <w:numId w:val="6"/>
        </w:numPr>
        <w:spacing w:line="360" w:lineRule="auto"/>
        <w:ind w:right="-28"/>
        <w:contextualSpacing/>
        <w:jc w:val="both"/>
        <w:rPr>
          <w:rFonts w:ascii="Palatino Linotype" w:hAnsi="Palatino Linotype"/>
          <w:sz w:val="22"/>
          <w:szCs w:val="22"/>
        </w:rPr>
      </w:pPr>
      <w:r w:rsidRPr="001E7F59">
        <w:rPr>
          <w:rFonts w:ascii="Palatino Linotype" w:hAnsi="Palatino Linotype"/>
          <w:b/>
          <w:bCs/>
          <w:sz w:val="22"/>
          <w:szCs w:val="22"/>
        </w:rPr>
        <w:t>Cargo para el que es designado, fecha de inicio de sus servicios y lugar de adscripción</w:t>
      </w:r>
      <w:r w:rsidRPr="001E7F59">
        <w:rPr>
          <w:rFonts w:ascii="Palatino Linotype" w:hAnsi="Palatino Linotype"/>
          <w:sz w:val="22"/>
          <w:szCs w:val="22"/>
        </w:rPr>
        <w:t xml:space="preserve">; </w:t>
      </w:r>
    </w:p>
    <w:p w14:paraId="3F56C9D3" w14:textId="77777777" w:rsidR="00C37E13" w:rsidRPr="001E7F59" w:rsidRDefault="00C37E13" w:rsidP="00C37E13">
      <w:pPr>
        <w:numPr>
          <w:ilvl w:val="0"/>
          <w:numId w:val="6"/>
        </w:numPr>
        <w:spacing w:line="360" w:lineRule="auto"/>
        <w:ind w:right="-28"/>
        <w:contextualSpacing/>
        <w:jc w:val="both"/>
        <w:rPr>
          <w:rFonts w:ascii="Palatino Linotype" w:hAnsi="Palatino Linotype"/>
          <w:sz w:val="22"/>
          <w:szCs w:val="22"/>
        </w:rPr>
      </w:pPr>
      <w:r w:rsidRPr="001E7F59">
        <w:rPr>
          <w:rFonts w:ascii="Palatino Linotype" w:hAnsi="Palatino Linotype"/>
          <w:sz w:val="22"/>
          <w:szCs w:val="22"/>
        </w:rPr>
        <w:t xml:space="preserve">Carácter del nombramiento, ya sea de servidores públicos generales o de confianza, así como la temporalidad del mismo; </w:t>
      </w:r>
    </w:p>
    <w:p w14:paraId="7F897D57" w14:textId="77777777" w:rsidR="00C37E13" w:rsidRPr="001E7F59" w:rsidRDefault="00C37E13" w:rsidP="00C37E13">
      <w:pPr>
        <w:numPr>
          <w:ilvl w:val="0"/>
          <w:numId w:val="6"/>
        </w:numPr>
        <w:spacing w:line="360" w:lineRule="auto"/>
        <w:ind w:right="-28"/>
        <w:contextualSpacing/>
        <w:jc w:val="both"/>
        <w:rPr>
          <w:rFonts w:ascii="Palatino Linotype" w:hAnsi="Palatino Linotype"/>
          <w:sz w:val="22"/>
          <w:szCs w:val="22"/>
        </w:rPr>
      </w:pPr>
      <w:r w:rsidRPr="001E7F59">
        <w:rPr>
          <w:rFonts w:ascii="Palatino Linotype" w:hAnsi="Palatino Linotype"/>
          <w:sz w:val="22"/>
          <w:szCs w:val="22"/>
        </w:rPr>
        <w:t xml:space="preserve">Remuneración correspondiente al puesto; </w:t>
      </w:r>
    </w:p>
    <w:p w14:paraId="589A5CB4" w14:textId="77777777" w:rsidR="00C37E13" w:rsidRPr="001E7F59" w:rsidRDefault="00C37E13" w:rsidP="00C37E13">
      <w:pPr>
        <w:numPr>
          <w:ilvl w:val="0"/>
          <w:numId w:val="6"/>
        </w:numPr>
        <w:spacing w:line="360" w:lineRule="auto"/>
        <w:ind w:right="-28"/>
        <w:contextualSpacing/>
        <w:jc w:val="both"/>
        <w:rPr>
          <w:rFonts w:ascii="Palatino Linotype" w:hAnsi="Palatino Linotype"/>
          <w:sz w:val="22"/>
          <w:szCs w:val="22"/>
        </w:rPr>
      </w:pPr>
      <w:r w:rsidRPr="001E7F59">
        <w:rPr>
          <w:rFonts w:ascii="Palatino Linotype" w:hAnsi="Palatino Linotype"/>
          <w:sz w:val="22"/>
          <w:szCs w:val="22"/>
        </w:rPr>
        <w:t xml:space="preserve">Jornada de trabajo, y, </w:t>
      </w:r>
    </w:p>
    <w:p w14:paraId="34E34706" w14:textId="77777777" w:rsidR="00C37E13" w:rsidRPr="001E7F59" w:rsidRDefault="00C37E13" w:rsidP="00C37E13">
      <w:pPr>
        <w:numPr>
          <w:ilvl w:val="0"/>
          <w:numId w:val="6"/>
        </w:numPr>
        <w:spacing w:line="360" w:lineRule="auto"/>
        <w:ind w:right="-28"/>
        <w:contextualSpacing/>
        <w:jc w:val="both"/>
        <w:rPr>
          <w:rFonts w:ascii="Palatino Linotype" w:hAnsi="Palatino Linotype"/>
          <w:sz w:val="22"/>
          <w:szCs w:val="22"/>
        </w:rPr>
      </w:pPr>
      <w:r w:rsidRPr="001E7F59">
        <w:rPr>
          <w:rFonts w:ascii="Palatino Linotype" w:hAnsi="Palatino Linotype"/>
          <w:b/>
          <w:sz w:val="22"/>
          <w:szCs w:val="22"/>
        </w:rPr>
        <w:t>Firma del servidor público autorizado para emitir el nombramiento, contrato o formato único de Movimientos de Personal, así como el fundamento legal de esa atribución</w:t>
      </w:r>
      <w:r w:rsidRPr="001E7F59">
        <w:rPr>
          <w:rFonts w:ascii="Palatino Linotype" w:hAnsi="Palatino Linotype"/>
          <w:sz w:val="22"/>
          <w:szCs w:val="22"/>
        </w:rPr>
        <w:t>.</w:t>
      </w:r>
    </w:p>
    <w:p w14:paraId="0E287EA9" w14:textId="77777777" w:rsidR="00C37E13" w:rsidRPr="001E7F59" w:rsidRDefault="00C37E13" w:rsidP="00C37E13">
      <w:pPr>
        <w:spacing w:line="360" w:lineRule="auto"/>
        <w:ind w:right="-28"/>
        <w:contextualSpacing/>
        <w:jc w:val="both"/>
        <w:rPr>
          <w:rFonts w:ascii="Palatino Linotype" w:eastAsia="Calibri" w:hAnsi="Palatino Linotype" w:cs="Tahoma"/>
          <w:bCs/>
          <w:color w:val="000000"/>
          <w:sz w:val="22"/>
          <w:szCs w:val="22"/>
          <w:lang w:val="es-ES"/>
        </w:rPr>
      </w:pPr>
    </w:p>
    <w:p w14:paraId="4B1C8369" w14:textId="428FC5D4" w:rsidR="00C37E13" w:rsidRPr="001E7F59" w:rsidRDefault="00C37E13" w:rsidP="00C37E13">
      <w:pPr>
        <w:spacing w:line="360" w:lineRule="auto"/>
        <w:jc w:val="both"/>
        <w:rPr>
          <w:rFonts w:ascii="Palatino Linotype" w:eastAsia="Palatino Linotype" w:hAnsi="Palatino Linotype" w:cs="Palatino Linotype"/>
          <w:sz w:val="22"/>
          <w:szCs w:val="22"/>
        </w:rPr>
      </w:pPr>
      <w:r w:rsidRPr="001E7F59">
        <w:rPr>
          <w:rFonts w:ascii="Palatino Linotype" w:eastAsia="Calibri" w:hAnsi="Palatino Linotype" w:cs="Tahoma"/>
          <w:bCs/>
          <w:color w:val="000000"/>
          <w:sz w:val="22"/>
          <w:szCs w:val="22"/>
        </w:rPr>
        <w:t xml:space="preserve">Derivado de lo anterior, se advierte que los documentos requeridos y que son de interés del solicitante, dan cuenta de la relación de trabajo entre las instituciones públicas y sus servidores </w:t>
      </w:r>
      <w:r w:rsidRPr="001E7F59">
        <w:rPr>
          <w:rFonts w:ascii="Palatino Linotype" w:eastAsia="Calibri" w:hAnsi="Palatino Linotype" w:cs="Tahoma"/>
          <w:bCs/>
          <w:color w:val="000000"/>
          <w:sz w:val="22"/>
          <w:szCs w:val="22"/>
        </w:rPr>
        <w:lastRenderedPageBreak/>
        <w:t>públicos, quienes para iniciar la prestación de sus servicios, requieren tener conferido el nombramiento, contrato respectivo o Formato Único de Movimientos de Personal.</w:t>
      </w:r>
    </w:p>
    <w:p w14:paraId="1FEA2C16" w14:textId="77777777" w:rsidR="00C37E13" w:rsidRPr="001E7F59" w:rsidRDefault="00C37E13" w:rsidP="00C37E13">
      <w:pPr>
        <w:spacing w:line="360" w:lineRule="auto"/>
        <w:jc w:val="both"/>
        <w:rPr>
          <w:rFonts w:ascii="Palatino Linotype" w:eastAsia="Palatino Linotype" w:hAnsi="Palatino Linotype" w:cs="Palatino Linotype"/>
          <w:sz w:val="22"/>
          <w:szCs w:val="22"/>
        </w:rPr>
      </w:pPr>
    </w:p>
    <w:p w14:paraId="52924740" w14:textId="15441250" w:rsidR="00C37E13" w:rsidRPr="001E7F59" w:rsidRDefault="00C37E13" w:rsidP="00C37E13">
      <w:pPr>
        <w:spacing w:line="360" w:lineRule="auto"/>
        <w:jc w:val="both"/>
        <w:rPr>
          <w:rFonts w:ascii="Palatino Linotype" w:eastAsia="Palatino Linotype" w:hAnsi="Palatino Linotype" w:cs="Palatino Linotype"/>
          <w:sz w:val="22"/>
          <w:szCs w:val="22"/>
        </w:rPr>
      </w:pPr>
      <w:r w:rsidRPr="001E7F59">
        <w:rPr>
          <w:rFonts w:ascii="Palatino Linotype" w:eastAsia="Palatino Linotype" w:hAnsi="Palatino Linotype" w:cs="Palatino Linotype"/>
          <w:sz w:val="22"/>
          <w:szCs w:val="22"/>
        </w:rPr>
        <w:t xml:space="preserve">En este sentido, el alta de los trabajadores gubernamentales, de acuerdo al Manual de Normas y Procedimientos de Desarrollo y Administración de Personal, emitido por la Secretaría de Finanzas del Estado de México, en su procedimiento “021 Alta o Reingreso de Servidoras Públicas y Servidores Públicos Generales y de Confianza”, establece que el </w:t>
      </w:r>
      <w:r w:rsidRPr="001E7F59">
        <w:rPr>
          <w:rFonts w:ascii="Palatino Linotype" w:eastAsia="Palatino Linotype" w:hAnsi="Palatino Linotype" w:cs="Palatino Linotype"/>
          <w:b/>
          <w:sz w:val="22"/>
          <w:szCs w:val="22"/>
        </w:rPr>
        <w:t xml:space="preserve">Movimiento de alta </w:t>
      </w:r>
      <w:r w:rsidRPr="001E7F59">
        <w:rPr>
          <w:rFonts w:ascii="Palatino Linotype" w:eastAsia="Palatino Linotype" w:hAnsi="Palatino Linotype" w:cs="Palatino Linotype"/>
          <w:sz w:val="22"/>
          <w:szCs w:val="22"/>
        </w:rPr>
        <w:t>corresponde aquel mediante el cual se registra el ingreso o reingreso de una persona al servicio público, con el propósito de emitir su pago quincenal y establecer la relación laboral entre este y la institución pública.</w:t>
      </w:r>
    </w:p>
    <w:p w14:paraId="50C4314C" w14:textId="77777777" w:rsidR="00C37E13" w:rsidRPr="001E7F59" w:rsidRDefault="00C37E13" w:rsidP="00C37E13">
      <w:pPr>
        <w:spacing w:line="360" w:lineRule="auto"/>
        <w:ind w:left="720"/>
        <w:jc w:val="both"/>
        <w:rPr>
          <w:rFonts w:ascii="Palatino Linotype" w:eastAsia="Palatino Linotype" w:hAnsi="Palatino Linotype" w:cs="Palatino Linotype"/>
          <w:sz w:val="22"/>
          <w:szCs w:val="22"/>
        </w:rPr>
      </w:pPr>
    </w:p>
    <w:p w14:paraId="11A422A7" w14:textId="3724EAB3" w:rsidR="00C37E13" w:rsidRPr="001E7F59" w:rsidRDefault="00C37E13" w:rsidP="00C37E13">
      <w:pPr>
        <w:spacing w:line="360" w:lineRule="auto"/>
        <w:jc w:val="both"/>
        <w:rPr>
          <w:rFonts w:ascii="Palatino Linotype" w:eastAsia="Calibri" w:hAnsi="Palatino Linotype" w:cs="Tahoma"/>
          <w:bCs/>
          <w:color w:val="000000"/>
          <w:sz w:val="22"/>
          <w:szCs w:val="22"/>
        </w:rPr>
      </w:pPr>
      <w:r w:rsidRPr="001E7F59">
        <w:rPr>
          <w:rFonts w:ascii="Palatino Linotype" w:eastAsia="Palatino Linotype" w:hAnsi="Palatino Linotype" w:cs="Palatino Linotype"/>
          <w:sz w:val="22"/>
          <w:szCs w:val="22"/>
        </w:rPr>
        <w:t xml:space="preserve">En ese orden de ideas, el Manual de Procedimientos para la afiliación y credencialización de los derechohabientes del ISSEMYM, que establece, que el servidor público designado por la institución pública, que incluye a los Municipios (Usuario Autorizado), será el responsable de generar y entregar con oportunidad a los trabajadores, </w:t>
      </w:r>
      <w:r w:rsidRPr="001E7F59">
        <w:rPr>
          <w:rFonts w:ascii="Palatino Linotype" w:eastAsia="Palatino Linotype" w:hAnsi="Palatino Linotype" w:cs="Palatino Linotype"/>
          <w:b/>
          <w:sz w:val="22"/>
          <w:szCs w:val="22"/>
        </w:rPr>
        <w:t xml:space="preserve">los Avisos de Movimiento </w:t>
      </w:r>
      <w:r w:rsidRPr="001E7F59">
        <w:rPr>
          <w:rFonts w:ascii="Palatino Linotype" w:eastAsia="Palatino Linotype" w:hAnsi="Palatino Linotype" w:cs="Palatino Linotype"/>
          <w:sz w:val="22"/>
          <w:szCs w:val="22"/>
        </w:rPr>
        <w:t>(</w:t>
      </w:r>
      <w:r w:rsidRPr="001E7F59">
        <w:rPr>
          <w:rFonts w:ascii="Palatino Linotype" w:eastAsia="Palatino Linotype" w:hAnsi="Palatino Linotype" w:cs="Palatino Linotype"/>
          <w:b/>
          <w:sz w:val="22"/>
          <w:szCs w:val="22"/>
        </w:rPr>
        <w:t xml:space="preserve">Alta </w:t>
      </w:r>
      <w:r w:rsidRPr="001E7F59">
        <w:rPr>
          <w:rFonts w:ascii="Palatino Linotype" w:eastAsia="Palatino Linotype" w:hAnsi="Palatino Linotype" w:cs="Palatino Linotype"/>
          <w:sz w:val="22"/>
          <w:szCs w:val="22"/>
        </w:rPr>
        <w:t>y Baja</w:t>
      </w:r>
      <w:r w:rsidRPr="001E7F59">
        <w:rPr>
          <w:rFonts w:ascii="Palatino Linotype" w:eastAsia="Palatino Linotype" w:hAnsi="Palatino Linotype" w:cs="Palatino Linotype"/>
          <w:b/>
          <w:sz w:val="22"/>
          <w:szCs w:val="22"/>
        </w:rPr>
        <w:t xml:space="preserve">), </w:t>
      </w:r>
      <w:r w:rsidRPr="001E7F59">
        <w:rPr>
          <w:rFonts w:ascii="Palatino Linotype" w:eastAsia="Palatino Linotype" w:hAnsi="Palatino Linotype" w:cs="Palatino Linotype"/>
          <w:sz w:val="22"/>
          <w:szCs w:val="22"/>
        </w:rPr>
        <w:t>para realizar sus respectivos trámites ante el Instituto de Seguridad Social del Estado de México y Municipios. Conforme a lo anterior, se logra vislumbrar que el Particular requiere el soporte documental que dé cuenta del Alta de la de la Titular de la Subdirección de Administración de Agua y Saneamiento, del primero de enero al treinta y uno de diciembre de dos mil veinticuatro.</w:t>
      </w:r>
    </w:p>
    <w:p w14:paraId="60D225AD" w14:textId="77777777" w:rsidR="00C37E13" w:rsidRPr="001E7F59" w:rsidRDefault="00C37E13" w:rsidP="00C37E13">
      <w:pPr>
        <w:spacing w:line="360" w:lineRule="auto"/>
        <w:contextualSpacing/>
        <w:jc w:val="both"/>
        <w:rPr>
          <w:rFonts w:ascii="Palatino Linotype" w:eastAsia="Palatino Linotype" w:hAnsi="Palatino Linotype" w:cs="Palatino Linotype"/>
          <w:sz w:val="22"/>
          <w:szCs w:val="22"/>
        </w:rPr>
      </w:pPr>
    </w:p>
    <w:p w14:paraId="376B3475" w14:textId="77777777" w:rsidR="004451B0" w:rsidRPr="001E7F59" w:rsidRDefault="00C37E13" w:rsidP="00C37E13">
      <w:pPr>
        <w:spacing w:line="360" w:lineRule="auto"/>
        <w:contextualSpacing/>
        <w:jc w:val="both"/>
        <w:rPr>
          <w:rFonts w:ascii="Palatino Linotype" w:hAnsi="Palatino Linotype" w:cs="Tahoma"/>
          <w:sz w:val="22"/>
          <w:szCs w:val="22"/>
        </w:rPr>
      </w:pPr>
      <w:r w:rsidRPr="001E7F59">
        <w:rPr>
          <w:rFonts w:ascii="Palatino Linotype" w:hAnsi="Palatino Linotype"/>
          <w:sz w:val="22"/>
          <w:szCs w:val="22"/>
        </w:rPr>
        <w:t xml:space="preserve">Derivado de lo anterior, el Sujeto Obligado a través del </w:t>
      </w:r>
      <w:r w:rsidRPr="001E7F59">
        <w:rPr>
          <w:rFonts w:ascii="Palatino Linotype" w:hAnsi="Palatino Linotype" w:cs="Tahoma"/>
          <w:bCs/>
          <w:iCs/>
          <w:sz w:val="22"/>
          <w:szCs w:val="22"/>
        </w:rPr>
        <w:t xml:space="preserve">Jefe de Departamento de Recursos Humanos, remitió el Formato Único de Movimiento de Personal y el </w:t>
      </w:r>
      <w:r w:rsidRPr="001E7F59">
        <w:rPr>
          <w:rFonts w:ascii="Palatino Linotype" w:hAnsi="Palatino Linotype" w:cs="Tahoma"/>
          <w:sz w:val="22"/>
          <w:szCs w:val="22"/>
        </w:rPr>
        <w:t>Aviso de Movimientos de ISSEMYM, documentos que se entregaron en versión pública</w:t>
      </w:r>
      <w:r w:rsidR="00692466" w:rsidRPr="001E7F59">
        <w:rPr>
          <w:rFonts w:ascii="Palatino Linotype" w:hAnsi="Palatino Linotype" w:cs="Tahoma"/>
          <w:sz w:val="22"/>
          <w:szCs w:val="22"/>
        </w:rPr>
        <w:t xml:space="preserve">. Sin embargo, </w:t>
      </w:r>
      <w:r w:rsidRPr="001E7F59">
        <w:rPr>
          <w:rFonts w:ascii="Palatino Linotype" w:hAnsi="Palatino Linotype" w:cs="Tahoma"/>
          <w:sz w:val="22"/>
          <w:szCs w:val="22"/>
        </w:rPr>
        <w:t>de la revisión realizada por este Instituto</w:t>
      </w:r>
      <w:r w:rsidR="00692466" w:rsidRPr="001E7F59">
        <w:rPr>
          <w:rFonts w:ascii="Palatino Linotype" w:hAnsi="Palatino Linotype" w:cs="Tahoma"/>
          <w:sz w:val="22"/>
          <w:szCs w:val="22"/>
        </w:rPr>
        <w:t>,</w:t>
      </w:r>
      <w:r w:rsidRPr="001E7F59">
        <w:rPr>
          <w:rFonts w:ascii="Palatino Linotype" w:hAnsi="Palatino Linotype" w:cs="Tahoma"/>
          <w:sz w:val="22"/>
          <w:szCs w:val="22"/>
        </w:rPr>
        <w:t xml:space="preserve"> se advierte que se testaron correctamente los datos confidenciales </w:t>
      </w:r>
      <w:r w:rsidRPr="001E7F59">
        <w:rPr>
          <w:rFonts w:ascii="Palatino Linotype" w:hAnsi="Palatino Linotype" w:cs="Tahoma"/>
          <w:sz w:val="22"/>
          <w:szCs w:val="22"/>
        </w:rPr>
        <w:lastRenderedPageBreak/>
        <w:t>como lo es la clave ISSEMYM y CURP</w:t>
      </w:r>
      <w:r w:rsidR="004451B0" w:rsidRPr="001E7F59">
        <w:rPr>
          <w:rFonts w:ascii="Palatino Linotype" w:hAnsi="Palatino Linotype" w:cs="Tahoma"/>
          <w:sz w:val="22"/>
          <w:szCs w:val="22"/>
        </w:rPr>
        <w:t xml:space="preserve">, más no así, </w:t>
      </w:r>
      <w:r w:rsidRPr="001E7F59">
        <w:rPr>
          <w:rFonts w:ascii="Palatino Linotype" w:hAnsi="Palatino Linotype" w:cs="Tahoma"/>
          <w:sz w:val="22"/>
          <w:szCs w:val="22"/>
        </w:rPr>
        <w:t>respecto a la firma de recibido</w:t>
      </w:r>
      <w:r w:rsidR="00692466" w:rsidRPr="001E7F59">
        <w:rPr>
          <w:rFonts w:ascii="Palatino Linotype" w:hAnsi="Palatino Linotype" w:cs="Tahoma"/>
          <w:sz w:val="22"/>
          <w:szCs w:val="22"/>
        </w:rPr>
        <w:t xml:space="preserve"> del servidor público que se da de alta</w:t>
      </w:r>
      <w:r w:rsidR="004451B0" w:rsidRPr="001E7F59">
        <w:rPr>
          <w:rFonts w:ascii="Palatino Linotype" w:hAnsi="Palatino Linotype" w:cs="Tahoma"/>
          <w:sz w:val="22"/>
          <w:szCs w:val="22"/>
        </w:rPr>
        <w:t>.</w:t>
      </w:r>
    </w:p>
    <w:p w14:paraId="6CE34844" w14:textId="77777777" w:rsidR="004451B0" w:rsidRPr="001E7F59" w:rsidRDefault="004451B0" w:rsidP="00C37E13">
      <w:pPr>
        <w:spacing w:line="360" w:lineRule="auto"/>
        <w:contextualSpacing/>
        <w:jc w:val="both"/>
        <w:rPr>
          <w:rFonts w:ascii="Palatino Linotype" w:hAnsi="Palatino Linotype" w:cs="Tahoma"/>
          <w:sz w:val="22"/>
          <w:szCs w:val="22"/>
        </w:rPr>
      </w:pPr>
    </w:p>
    <w:p w14:paraId="51C2EB32" w14:textId="77777777" w:rsidR="004451B0" w:rsidRPr="001E7F59" w:rsidRDefault="004451B0" w:rsidP="00C37E13">
      <w:pPr>
        <w:spacing w:line="360" w:lineRule="auto"/>
        <w:contextualSpacing/>
        <w:jc w:val="both"/>
        <w:rPr>
          <w:rFonts w:ascii="Palatino Linotype" w:hAnsi="Palatino Linotype" w:cs="Tahoma"/>
          <w:sz w:val="22"/>
          <w:szCs w:val="22"/>
        </w:rPr>
      </w:pPr>
      <w:r w:rsidRPr="001E7F59">
        <w:rPr>
          <w:rFonts w:ascii="Palatino Linotype" w:hAnsi="Palatino Linotype" w:cs="Tahoma"/>
          <w:sz w:val="22"/>
          <w:szCs w:val="22"/>
        </w:rPr>
        <w:t>Al respecto, dicho dato</w:t>
      </w:r>
      <w:r w:rsidR="00C37E13" w:rsidRPr="001E7F59">
        <w:rPr>
          <w:rFonts w:ascii="Palatino Linotype" w:hAnsi="Palatino Linotype" w:cs="Tahoma"/>
          <w:sz w:val="22"/>
          <w:szCs w:val="22"/>
        </w:rPr>
        <w:t xml:space="preserve"> </w:t>
      </w:r>
      <w:r w:rsidR="00692466" w:rsidRPr="001E7F59">
        <w:rPr>
          <w:rFonts w:ascii="Palatino Linotype" w:hAnsi="Palatino Linotype" w:cs="Tahoma"/>
          <w:sz w:val="22"/>
          <w:szCs w:val="22"/>
        </w:rPr>
        <w:t xml:space="preserve">no actualiza la causal de clasificación contenida en el artículo 143, fracción I de la Ley de Transparencia local, pues con dicho dato </w:t>
      </w:r>
      <w:r w:rsidR="00C37E13" w:rsidRPr="001E7F59">
        <w:rPr>
          <w:rFonts w:ascii="Palatino Linotype" w:hAnsi="Palatino Linotype" w:cs="Tahoma"/>
          <w:sz w:val="22"/>
          <w:szCs w:val="22"/>
        </w:rPr>
        <w:t>se</w:t>
      </w:r>
      <w:r w:rsidR="00692466" w:rsidRPr="001E7F59">
        <w:rPr>
          <w:rFonts w:ascii="Palatino Linotype" w:hAnsi="Palatino Linotype" w:cs="Tahoma"/>
          <w:sz w:val="22"/>
          <w:szCs w:val="22"/>
        </w:rPr>
        <w:t xml:space="preserve"> da cuenta de la aceptación de las atribuciones que le fueron conferidas a través del Formato Único de Movimiento de Personal.</w:t>
      </w:r>
      <w:r w:rsidR="00C37E13" w:rsidRPr="001E7F59">
        <w:rPr>
          <w:rFonts w:ascii="Palatino Linotype" w:hAnsi="Palatino Linotype" w:cs="Tahoma"/>
          <w:sz w:val="22"/>
          <w:szCs w:val="22"/>
        </w:rPr>
        <w:t xml:space="preserve"> </w:t>
      </w:r>
    </w:p>
    <w:p w14:paraId="652FD15A" w14:textId="77777777" w:rsidR="004451B0" w:rsidRPr="001E7F59" w:rsidRDefault="004451B0" w:rsidP="00C37E13">
      <w:pPr>
        <w:spacing w:line="360" w:lineRule="auto"/>
        <w:contextualSpacing/>
        <w:jc w:val="both"/>
        <w:rPr>
          <w:rFonts w:ascii="Palatino Linotype" w:hAnsi="Palatino Linotype" w:cs="Tahoma"/>
          <w:sz w:val="22"/>
          <w:szCs w:val="22"/>
        </w:rPr>
      </w:pPr>
    </w:p>
    <w:p w14:paraId="64141562" w14:textId="1C66E7C5" w:rsidR="00C37E13" w:rsidRPr="001E7F59" w:rsidRDefault="004451B0" w:rsidP="00C37E13">
      <w:pPr>
        <w:spacing w:line="360" w:lineRule="auto"/>
        <w:contextualSpacing/>
        <w:jc w:val="both"/>
        <w:rPr>
          <w:rFonts w:ascii="Palatino Linotype" w:hAnsi="Palatino Linotype"/>
          <w:sz w:val="22"/>
          <w:szCs w:val="22"/>
        </w:rPr>
      </w:pPr>
      <w:r w:rsidRPr="001E7F59">
        <w:rPr>
          <w:rFonts w:ascii="Palatino Linotype" w:hAnsi="Palatino Linotype" w:cs="Tahoma"/>
          <w:sz w:val="22"/>
          <w:szCs w:val="22"/>
        </w:rPr>
        <w:t>En este sentido, para tener por colmado dicho punto de la solicitud</w:t>
      </w:r>
      <w:r w:rsidR="00442271" w:rsidRPr="001E7F59">
        <w:rPr>
          <w:rFonts w:ascii="Palatino Linotype" w:hAnsi="Palatino Linotype" w:cs="Tahoma"/>
          <w:sz w:val="22"/>
          <w:szCs w:val="22"/>
        </w:rPr>
        <w:t>,</w:t>
      </w:r>
      <w:r w:rsidR="00692466" w:rsidRPr="001E7F59">
        <w:rPr>
          <w:rFonts w:ascii="Palatino Linotype" w:hAnsi="Palatino Linotype" w:cs="Tahoma"/>
          <w:sz w:val="22"/>
          <w:szCs w:val="22"/>
        </w:rPr>
        <w:t xml:space="preserve"> deberá proporcionar en versión pública correcta el Aviso de Movimientos de ISSEMYM, documento que deberá acompañar junto con el respectivo acuerdo emitido por el Comité de Transparencia, en el que de manera fundada y motivada se explique de la clasificación de los datos confidenciales  contenidos en los documentos.  </w:t>
      </w:r>
    </w:p>
    <w:p w14:paraId="78EC2FB7" w14:textId="77777777" w:rsidR="005718DD" w:rsidRPr="001E7F59" w:rsidRDefault="005718DD" w:rsidP="001B3766">
      <w:pPr>
        <w:spacing w:line="360" w:lineRule="auto"/>
        <w:jc w:val="both"/>
        <w:rPr>
          <w:rFonts w:ascii="Palatino Linotype" w:eastAsiaTheme="minorHAnsi" w:hAnsi="Palatino Linotype" w:cs="Tahoma"/>
          <w:color w:val="000000" w:themeColor="text1"/>
          <w:sz w:val="22"/>
          <w:szCs w:val="22"/>
          <w:lang w:eastAsia="en-US"/>
        </w:rPr>
      </w:pPr>
    </w:p>
    <w:p w14:paraId="36B9B0F8" w14:textId="77777777" w:rsidR="002E7961" w:rsidRPr="001E7F59" w:rsidRDefault="002E7961" w:rsidP="002E7961">
      <w:pPr>
        <w:numPr>
          <w:ilvl w:val="0"/>
          <w:numId w:val="20"/>
        </w:numPr>
        <w:spacing w:after="160" w:line="360" w:lineRule="auto"/>
        <w:contextualSpacing/>
        <w:jc w:val="both"/>
        <w:rPr>
          <w:rFonts w:ascii="Palatino Linotype" w:hAnsi="Palatino Linotype" w:cs="Tahoma"/>
          <w:color w:val="000000" w:themeColor="text1"/>
          <w:sz w:val="22"/>
          <w:szCs w:val="24"/>
        </w:rPr>
      </w:pPr>
      <w:r w:rsidRPr="001E7F59">
        <w:rPr>
          <w:rFonts w:ascii="Palatino Linotype" w:hAnsi="Palatino Linotype" w:cs="Tahoma"/>
          <w:b/>
          <w:color w:val="000000" w:themeColor="text1"/>
          <w:sz w:val="22"/>
          <w:szCs w:val="24"/>
        </w:rPr>
        <w:t>Recibos de nómina CFDI</w:t>
      </w:r>
    </w:p>
    <w:p w14:paraId="0CC6DB82" w14:textId="77777777" w:rsidR="002E7961" w:rsidRPr="001E7F59" w:rsidRDefault="002E7961" w:rsidP="002E7961">
      <w:pPr>
        <w:spacing w:line="360" w:lineRule="auto"/>
        <w:jc w:val="both"/>
        <w:rPr>
          <w:rFonts w:ascii="Palatino Linotype" w:eastAsiaTheme="minorHAnsi" w:hAnsi="Palatino Linotype" w:cs="Tahoma"/>
          <w:color w:val="000000" w:themeColor="text1"/>
          <w:sz w:val="22"/>
          <w:szCs w:val="22"/>
          <w:lang w:eastAsia="en-US"/>
        </w:rPr>
      </w:pPr>
    </w:p>
    <w:p w14:paraId="43DFD3A8" w14:textId="09335C09" w:rsidR="002E7961" w:rsidRPr="001E7F59" w:rsidRDefault="00096C00" w:rsidP="002E7961">
      <w:pPr>
        <w:spacing w:line="360" w:lineRule="auto"/>
        <w:ind w:right="-28"/>
        <w:contextualSpacing/>
        <w:jc w:val="both"/>
        <w:rPr>
          <w:rFonts w:ascii="Palatino Linotype" w:eastAsia="Calibri" w:hAnsi="Palatino Linotype" w:cs="Tahoma"/>
          <w:bCs/>
          <w:sz w:val="22"/>
          <w:szCs w:val="22"/>
          <w:lang w:eastAsia="en-US"/>
        </w:rPr>
      </w:pPr>
      <w:r w:rsidRPr="001E7F59">
        <w:rPr>
          <w:rFonts w:ascii="Palatino Linotype" w:eastAsia="Calibri" w:hAnsi="Palatino Linotype" w:cs="Tahoma"/>
          <w:bCs/>
          <w:sz w:val="22"/>
          <w:szCs w:val="22"/>
          <w:lang w:eastAsia="en-US"/>
        </w:rPr>
        <w:t>E</w:t>
      </w:r>
      <w:r w:rsidR="002E7961" w:rsidRPr="001E7F59">
        <w:rPr>
          <w:rFonts w:ascii="Palatino Linotype" w:eastAsia="Calibri" w:hAnsi="Palatino Linotype" w:cs="Tahoma"/>
          <w:bCs/>
          <w:sz w:val="22"/>
          <w:szCs w:val="22"/>
          <w:lang w:eastAsia="en-US"/>
        </w:rPr>
        <w:t xml:space="preserve">l artículo 147 de la Constitución Política del Estado Libre y Soberano de México, que establece que los trabajadores y trabajadoras al Servicio del Estado, recibirán una remuneración adecuada e irrenunciable por el desempeño de su empleo, cargo o comisión, que será determinada en el presupuesto de egresos que corresponda. </w:t>
      </w:r>
    </w:p>
    <w:p w14:paraId="7CC7AE2B" w14:textId="77777777" w:rsidR="002E7961" w:rsidRPr="001E7F59" w:rsidRDefault="002E7961" w:rsidP="002E7961">
      <w:pPr>
        <w:spacing w:line="360" w:lineRule="auto"/>
        <w:ind w:right="-28"/>
        <w:contextualSpacing/>
        <w:jc w:val="both"/>
        <w:rPr>
          <w:rFonts w:ascii="Palatino Linotype" w:eastAsia="Calibri" w:hAnsi="Palatino Linotype" w:cs="Tahoma"/>
          <w:bCs/>
          <w:sz w:val="22"/>
          <w:szCs w:val="22"/>
          <w:lang w:eastAsia="en-US"/>
        </w:rPr>
      </w:pPr>
    </w:p>
    <w:p w14:paraId="1371952B" w14:textId="77777777" w:rsidR="002E7961" w:rsidRPr="001E7F59" w:rsidRDefault="002E7961" w:rsidP="002E7961">
      <w:pPr>
        <w:spacing w:line="360" w:lineRule="auto"/>
        <w:ind w:right="-28"/>
        <w:contextualSpacing/>
        <w:jc w:val="both"/>
        <w:rPr>
          <w:rFonts w:ascii="Palatino Linotype" w:eastAsia="Calibri" w:hAnsi="Palatino Linotype" w:cs="Tahoma"/>
          <w:bCs/>
          <w:sz w:val="22"/>
          <w:szCs w:val="22"/>
          <w:lang w:eastAsia="en-US"/>
        </w:rPr>
      </w:pPr>
      <w:r w:rsidRPr="001E7F59">
        <w:rPr>
          <w:rFonts w:ascii="Palatino Linotype" w:eastAsia="Calibri" w:hAnsi="Palatino Linotype" w:cs="Tahoma"/>
          <w:bCs/>
          <w:sz w:val="22"/>
          <w:szCs w:val="22"/>
          <w:lang w:eastAsia="en-US"/>
        </w:rPr>
        <w:t>En orden de ideas, el artículo 3°, fracción XXXII, del Código Financiero del Estado de México y Municipios establece que la remuneración consiste en los pagos hechos por concepto de sueldo, compensaciones, gratificaciones, habitación, primas, comisiones, prestaciones, en especie y cualquier otra percepción o prestación que se entregue al servidor por su trabajo.</w:t>
      </w:r>
    </w:p>
    <w:p w14:paraId="07745BAE" w14:textId="77777777" w:rsidR="002E7961" w:rsidRPr="001E7F59" w:rsidRDefault="002E7961" w:rsidP="002E7961">
      <w:pPr>
        <w:spacing w:line="360" w:lineRule="auto"/>
        <w:ind w:right="-28"/>
        <w:contextualSpacing/>
        <w:jc w:val="both"/>
        <w:rPr>
          <w:rFonts w:ascii="Palatino Linotype" w:eastAsia="Calibri" w:hAnsi="Palatino Linotype" w:cs="Tahoma"/>
          <w:bCs/>
          <w:sz w:val="22"/>
          <w:szCs w:val="22"/>
          <w:lang w:eastAsia="en-US"/>
        </w:rPr>
      </w:pPr>
    </w:p>
    <w:p w14:paraId="15EDD983" w14:textId="77777777" w:rsidR="002E7961" w:rsidRPr="001E7F59" w:rsidRDefault="002E7961" w:rsidP="002E7961">
      <w:pPr>
        <w:spacing w:line="360" w:lineRule="auto"/>
        <w:ind w:right="-28"/>
        <w:contextualSpacing/>
        <w:jc w:val="both"/>
        <w:rPr>
          <w:rFonts w:ascii="Palatino Linotype" w:eastAsia="Calibri" w:hAnsi="Palatino Linotype" w:cs="Tahoma"/>
          <w:bCs/>
          <w:sz w:val="22"/>
          <w:szCs w:val="22"/>
          <w:lang w:eastAsia="en-US"/>
        </w:rPr>
      </w:pPr>
      <w:r w:rsidRPr="001E7F59">
        <w:rPr>
          <w:rFonts w:ascii="Palatino Linotype" w:eastAsia="Calibri" w:hAnsi="Palatino Linotype"/>
          <w:bCs/>
          <w:color w:val="000000" w:themeColor="text1"/>
          <w:sz w:val="22"/>
          <w:szCs w:val="22"/>
          <w:lang w:eastAsia="en-US"/>
        </w:rPr>
        <w:lastRenderedPageBreak/>
        <w:t>Da la misma manera, el Anexo IV.5 Glosario de Términos, del Manual para la Planeación, Programación y Presupuesto de Egresos Municipal para el ejercicio fiscal dos mil veintitrés, establece que la remuneración es la percepción de un trabajador o retribución monetaria que se da en pago por su servicio o actividad desarrollada.</w:t>
      </w:r>
    </w:p>
    <w:p w14:paraId="60BE2C03" w14:textId="77777777" w:rsidR="002E7961" w:rsidRPr="001E7F59" w:rsidRDefault="002E7961" w:rsidP="002E7961">
      <w:pPr>
        <w:spacing w:line="360" w:lineRule="auto"/>
        <w:ind w:right="-28"/>
        <w:contextualSpacing/>
        <w:jc w:val="both"/>
        <w:rPr>
          <w:rFonts w:ascii="Palatino Linotype" w:eastAsia="Calibri" w:hAnsi="Palatino Linotype" w:cs="Tahoma"/>
          <w:bCs/>
          <w:sz w:val="22"/>
          <w:szCs w:val="22"/>
          <w:lang w:eastAsia="en-US"/>
        </w:rPr>
      </w:pPr>
    </w:p>
    <w:p w14:paraId="45849833" w14:textId="77777777" w:rsidR="002E7961" w:rsidRPr="001E7F59" w:rsidRDefault="002E7961" w:rsidP="002E7961">
      <w:pPr>
        <w:autoSpaceDE w:val="0"/>
        <w:autoSpaceDN w:val="0"/>
        <w:adjustRightInd w:val="0"/>
        <w:spacing w:line="360" w:lineRule="auto"/>
        <w:jc w:val="both"/>
        <w:rPr>
          <w:rFonts w:ascii="Palatino Linotype" w:eastAsia="Calibri" w:hAnsi="Palatino Linotype" w:cs="Tahoma"/>
          <w:bCs/>
          <w:iCs/>
          <w:color w:val="000000"/>
          <w:sz w:val="22"/>
          <w:szCs w:val="22"/>
          <w:lang w:val="es-ES" w:eastAsia="es-MX"/>
        </w:rPr>
      </w:pPr>
      <w:r w:rsidRPr="001E7F59">
        <w:rPr>
          <w:rFonts w:ascii="Palatino Linotype" w:eastAsia="Calibri" w:hAnsi="Palatino Linotype" w:cs="Tahoma"/>
          <w:bCs/>
          <w:iCs/>
          <w:color w:val="000000"/>
          <w:sz w:val="22"/>
          <w:szCs w:val="22"/>
          <w:lang w:eastAsia="es-MX"/>
        </w:rPr>
        <w:t xml:space="preserve">Ahora bien, respecto al documento solicitado, la Ley del Trabajo de los Servidores Públicos del Estado y Municipios, en su artículo 220 K, fracciones II y IV, establece los documentos que tiene la obligación de conservar el Sujeto Obligado, entre los que se encuentra los </w:t>
      </w:r>
      <w:r w:rsidRPr="001E7F59">
        <w:rPr>
          <w:rFonts w:ascii="Palatino Linotype" w:eastAsia="Calibri" w:hAnsi="Palatino Linotype" w:cs="Tahoma"/>
          <w:b/>
          <w:bCs/>
          <w:iCs/>
          <w:color w:val="000000"/>
          <w:sz w:val="22"/>
          <w:szCs w:val="22"/>
          <w:lang w:eastAsia="es-MX"/>
        </w:rPr>
        <w:t>recibos de pago de salarios o las</w:t>
      </w:r>
      <w:r w:rsidRPr="001E7F59">
        <w:rPr>
          <w:rFonts w:ascii="Palatino Linotype" w:eastAsia="Calibri" w:hAnsi="Palatino Linotype" w:cs="Tahoma"/>
          <w:bCs/>
          <w:iCs/>
          <w:color w:val="000000"/>
          <w:sz w:val="22"/>
          <w:szCs w:val="22"/>
          <w:lang w:eastAsia="es-MX"/>
        </w:rPr>
        <w:t xml:space="preserve"> </w:t>
      </w:r>
      <w:r w:rsidRPr="001E7F59">
        <w:rPr>
          <w:rFonts w:ascii="Palatino Linotype" w:eastAsia="Calibri" w:hAnsi="Palatino Linotype" w:cs="Tahoma"/>
          <w:b/>
          <w:bCs/>
          <w:iCs/>
          <w:color w:val="000000"/>
          <w:sz w:val="22"/>
          <w:szCs w:val="22"/>
          <w:lang w:eastAsia="es-MX"/>
        </w:rPr>
        <w:t xml:space="preserve">constancias documentales del pago de sueldos, </w:t>
      </w:r>
      <w:r w:rsidRPr="001E7F59">
        <w:rPr>
          <w:rFonts w:ascii="Palatino Linotype" w:eastAsia="Calibri" w:hAnsi="Palatino Linotype" w:cs="Tahoma"/>
          <w:bCs/>
          <w:iCs/>
          <w:color w:val="000000"/>
          <w:sz w:val="22"/>
          <w:szCs w:val="22"/>
          <w:lang w:eastAsia="es-MX"/>
        </w:rPr>
        <w:t xml:space="preserve">cuando sea por depósito o mediante información electrónica; así como los recibos o constancias de depósito o del medio de información magnética o electrónica que sean utilizadas para el pago de salarios, prima </w:t>
      </w:r>
      <w:r w:rsidRPr="001E7F59">
        <w:rPr>
          <w:rFonts w:ascii="Palatino Linotype" w:eastAsia="Calibri" w:hAnsi="Palatino Linotype" w:cs="Tahoma"/>
          <w:bCs/>
          <w:iCs/>
          <w:color w:val="000000"/>
          <w:sz w:val="22"/>
          <w:szCs w:val="22"/>
          <w:lang w:val="es-ES" w:eastAsia="es-MX"/>
        </w:rPr>
        <w:t xml:space="preserve">vacacional, aguinaldo y demás prestaciones. </w:t>
      </w:r>
    </w:p>
    <w:p w14:paraId="4180ED85" w14:textId="125E6E8F" w:rsidR="002E7961" w:rsidRPr="001E7F59" w:rsidRDefault="002E7961" w:rsidP="002E7961">
      <w:pPr>
        <w:tabs>
          <w:tab w:val="left" w:pos="4962"/>
        </w:tabs>
        <w:spacing w:line="360" w:lineRule="auto"/>
        <w:jc w:val="both"/>
        <w:rPr>
          <w:rFonts w:ascii="Palatino Linotype" w:eastAsiaTheme="minorHAnsi" w:hAnsi="Palatino Linotype" w:cs="Tahoma"/>
          <w:color w:val="000000" w:themeColor="text1"/>
          <w:sz w:val="22"/>
          <w:szCs w:val="22"/>
          <w:lang w:eastAsia="en-US"/>
        </w:rPr>
      </w:pPr>
    </w:p>
    <w:p w14:paraId="0A24CD74" w14:textId="4BC41AA5" w:rsidR="002E7961" w:rsidRPr="001E7F59" w:rsidRDefault="002E7961" w:rsidP="002E7961">
      <w:pPr>
        <w:spacing w:line="360" w:lineRule="auto"/>
        <w:jc w:val="both"/>
        <w:rPr>
          <w:rFonts w:ascii="Palatino Linotype" w:hAnsi="Palatino Linotype" w:cs="Tahoma"/>
          <w:bCs/>
          <w:iCs/>
          <w:sz w:val="22"/>
          <w:szCs w:val="22"/>
        </w:rPr>
      </w:pPr>
      <w:r w:rsidRPr="001E7F59">
        <w:rPr>
          <w:rFonts w:ascii="Palatino Linotype" w:hAnsi="Palatino Linotype" w:cs="Tahoma"/>
          <w:iCs/>
          <w:sz w:val="22"/>
          <w:szCs w:val="22"/>
          <w:lang w:val="es-ES"/>
        </w:rPr>
        <w:t xml:space="preserve">Ahora bien, el Jefe de Departamento de Recursos Humanos es el </w:t>
      </w:r>
      <w:r w:rsidRPr="001E7F59">
        <w:rPr>
          <w:rFonts w:ascii="Palatino Linotype" w:hAnsi="Palatino Linotype" w:cs="Tahoma"/>
          <w:bCs/>
          <w:iCs/>
          <w:sz w:val="22"/>
          <w:szCs w:val="22"/>
          <w:lang w:val="es-ES"/>
        </w:rPr>
        <w:t xml:space="preserve">área competente para contar con la información solicitada, enmarcadas en el Manual de Organización, el cual tiene entre sus atribuciones las de autorizar el pago para el cumplimiento de las obligaciones fiscales y supervisar el movimiento de personal como altas, bajas, modificaciones de percepciones, entre otros. </w:t>
      </w:r>
      <w:r w:rsidRPr="001E7F59">
        <w:rPr>
          <w:rFonts w:ascii="Palatino Linotype" w:hAnsi="Palatino Linotype"/>
          <w:sz w:val="22"/>
          <w:szCs w:val="22"/>
        </w:rPr>
        <w:t>De tal circunstancia</w:t>
      </w:r>
      <w:r w:rsidRPr="001E7F59">
        <w:rPr>
          <w:rFonts w:ascii="Palatino Linotype" w:hAnsi="Palatino Linotype" w:cs="Tahoma"/>
          <w:bCs/>
          <w:iCs/>
          <w:sz w:val="22"/>
          <w:szCs w:val="22"/>
        </w:rPr>
        <w:t xml:space="preserve">, se logra colegir que el Sujeto Obligado cumplió con el procedimiento de búsqueda </w:t>
      </w:r>
      <w:r w:rsidRPr="001E7F59">
        <w:rPr>
          <w:rFonts w:ascii="Palatino Linotype" w:eastAsia="Calibri" w:hAnsi="Palatino Linotype" w:cs="Tahoma"/>
          <w:color w:val="000000"/>
          <w:sz w:val="22"/>
          <w:szCs w:val="24"/>
          <w:lang w:val="es-ES" w:eastAsia="es-MX"/>
        </w:rPr>
        <w:t xml:space="preserve">establecido en el artículo 162 de la Ley de Transparencia y Acceso a la Información Pública del Estado de México y Municipios, al gestionar el requerimiento de información al área competente, pues el </w:t>
      </w:r>
      <w:r w:rsidRPr="001E7F59">
        <w:rPr>
          <w:rFonts w:ascii="Palatino Linotype" w:eastAsia="Calibri" w:hAnsi="Palatino Linotype" w:cs="Tahoma"/>
          <w:b/>
          <w:color w:val="000000"/>
          <w:sz w:val="22"/>
          <w:szCs w:val="24"/>
          <w:lang w:val="es-ES" w:eastAsia="es-MX"/>
        </w:rPr>
        <w:t>Departamento de Recursos Humanos</w:t>
      </w:r>
      <w:r w:rsidRPr="001E7F59">
        <w:rPr>
          <w:rFonts w:ascii="Palatino Linotype" w:eastAsia="Calibri" w:hAnsi="Palatino Linotype" w:cs="Tahoma"/>
          <w:color w:val="000000"/>
          <w:sz w:val="22"/>
          <w:szCs w:val="24"/>
          <w:lang w:val="es-ES" w:eastAsia="es-MX"/>
        </w:rPr>
        <w:t xml:space="preserve">, es el área encargada de los recursos humanos del  Organismo de Agua de Toluca y la responsable de la administración de los recursos contables, financieros y presupuestales. </w:t>
      </w:r>
    </w:p>
    <w:p w14:paraId="40EA8F37" w14:textId="77777777" w:rsidR="002E7961" w:rsidRPr="001E7F59" w:rsidRDefault="002E7961" w:rsidP="002E7961">
      <w:pPr>
        <w:spacing w:line="360" w:lineRule="auto"/>
        <w:jc w:val="both"/>
        <w:rPr>
          <w:rFonts w:ascii="Palatino Linotype" w:hAnsi="Palatino Linotype" w:cs="Tahoma"/>
          <w:bCs/>
          <w:iCs/>
          <w:sz w:val="22"/>
          <w:szCs w:val="22"/>
        </w:rPr>
      </w:pPr>
    </w:p>
    <w:p w14:paraId="0185140A" w14:textId="393D33C1" w:rsidR="002E7961" w:rsidRPr="001E7F59" w:rsidRDefault="002E7961" w:rsidP="002E7961">
      <w:pPr>
        <w:spacing w:line="360" w:lineRule="auto"/>
        <w:jc w:val="both"/>
        <w:rPr>
          <w:rFonts w:ascii="Palatino Linotype" w:hAnsi="Palatino Linotype" w:cs="Tahoma"/>
          <w:bCs/>
          <w:iCs/>
          <w:sz w:val="22"/>
          <w:szCs w:val="22"/>
        </w:rPr>
      </w:pPr>
      <w:r w:rsidRPr="001E7F59">
        <w:rPr>
          <w:rFonts w:ascii="Palatino Linotype" w:hAnsi="Palatino Linotype" w:cs="Tahoma"/>
          <w:bCs/>
          <w:iCs/>
          <w:sz w:val="22"/>
          <w:szCs w:val="22"/>
        </w:rPr>
        <w:t xml:space="preserve">Ahora bien, en respuesta dicha área realizó la entrega en versión pública de veinticuatro recibos de nómina, concernientes a la Titular de la Subdirección de Administración de Agua </w:t>
      </w:r>
      <w:r w:rsidRPr="001E7F59">
        <w:rPr>
          <w:rFonts w:ascii="Palatino Linotype" w:hAnsi="Palatino Linotype" w:cs="Tahoma"/>
          <w:bCs/>
          <w:iCs/>
          <w:sz w:val="22"/>
          <w:szCs w:val="22"/>
        </w:rPr>
        <w:lastRenderedPageBreak/>
        <w:t>y Saneamiento de Toluca, correspondientes del primero de enero al treinta y uno de diciembre de dos mil veinticuatro</w:t>
      </w:r>
      <w:r w:rsidR="00096C00" w:rsidRPr="001E7F59">
        <w:rPr>
          <w:rFonts w:ascii="Palatino Linotype" w:hAnsi="Palatino Linotype" w:cs="Tahoma"/>
          <w:bCs/>
          <w:iCs/>
          <w:sz w:val="22"/>
          <w:szCs w:val="22"/>
        </w:rPr>
        <w:t>;</w:t>
      </w:r>
      <w:r w:rsidRPr="001E7F59">
        <w:rPr>
          <w:rFonts w:ascii="Palatino Linotype" w:hAnsi="Palatino Linotype" w:cs="Tahoma"/>
          <w:bCs/>
          <w:iCs/>
          <w:sz w:val="22"/>
          <w:szCs w:val="22"/>
        </w:rPr>
        <w:t xml:space="preserve"> es decir, corresponden a la servidora pública de la que se solicita la información y al periodo solicitado.</w:t>
      </w:r>
    </w:p>
    <w:p w14:paraId="695E7C0D" w14:textId="77777777" w:rsidR="002E7961" w:rsidRPr="001E7F59" w:rsidRDefault="002E7961" w:rsidP="002E7961">
      <w:pPr>
        <w:spacing w:line="360" w:lineRule="auto"/>
        <w:jc w:val="both"/>
        <w:rPr>
          <w:rFonts w:ascii="Palatino Linotype" w:hAnsi="Palatino Linotype" w:cs="Tahoma"/>
          <w:bCs/>
          <w:iCs/>
          <w:sz w:val="22"/>
          <w:szCs w:val="22"/>
        </w:rPr>
      </w:pPr>
    </w:p>
    <w:p w14:paraId="68C9F64F" w14:textId="77777777" w:rsidR="002E7961" w:rsidRPr="001E7F59" w:rsidRDefault="002E7961" w:rsidP="002E7961">
      <w:pPr>
        <w:spacing w:line="360" w:lineRule="auto"/>
        <w:jc w:val="both"/>
        <w:rPr>
          <w:rFonts w:ascii="Palatino Linotype" w:hAnsi="Palatino Linotype" w:cs="Tahoma"/>
          <w:bCs/>
          <w:iCs/>
          <w:sz w:val="22"/>
          <w:szCs w:val="22"/>
        </w:rPr>
      </w:pPr>
      <w:r w:rsidRPr="001E7F59">
        <w:rPr>
          <w:rFonts w:ascii="Palatino Linotype" w:hAnsi="Palatino Linotype" w:cs="Tahoma"/>
          <w:bCs/>
          <w:iCs/>
          <w:sz w:val="22"/>
          <w:szCs w:val="22"/>
        </w:rPr>
        <w:t>Ahora bien, los recibos de nómina se entregaron en versión pública, en la que se testaron datos susceptibles de ser analizados, siendo estos los siguientes:</w:t>
      </w:r>
    </w:p>
    <w:p w14:paraId="26FB161C" w14:textId="77777777" w:rsidR="002E7961" w:rsidRPr="001E7F59" w:rsidRDefault="002E7961" w:rsidP="002E7961">
      <w:pPr>
        <w:spacing w:line="360" w:lineRule="auto"/>
        <w:jc w:val="both"/>
        <w:rPr>
          <w:rFonts w:ascii="Palatino Linotype" w:hAnsi="Palatino Linotype" w:cs="Tahoma"/>
          <w:bCs/>
          <w:iCs/>
          <w:sz w:val="22"/>
          <w:szCs w:val="22"/>
        </w:rPr>
      </w:pPr>
    </w:p>
    <w:p w14:paraId="098BE8BF" w14:textId="77777777" w:rsidR="002E7961" w:rsidRPr="001E7F59" w:rsidRDefault="002E7961" w:rsidP="002E7961">
      <w:pPr>
        <w:numPr>
          <w:ilvl w:val="0"/>
          <w:numId w:val="21"/>
        </w:numPr>
        <w:spacing w:after="160" w:line="360" w:lineRule="auto"/>
        <w:contextualSpacing/>
        <w:jc w:val="both"/>
        <w:rPr>
          <w:rFonts w:ascii="Palatino Linotype" w:hAnsi="Palatino Linotype" w:cs="Tahoma"/>
          <w:color w:val="000000" w:themeColor="text1"/>
          <w:sz w:val="22"/>
          <w:szCs w:val="24"/>
        </w:rPr>
      </w:pPr>
      <w:r w:rsidRPr="001E7F59">
        <w:rPr>
          <w:rFonts w:ascii="Palatino Linotype" w:hAnsi="Palatino Linotype" w:cs="Tahoma"/>
          <w:color w:val="000000" w:themeColor="text1"/>
          <w:sz w:val="22"/>
          <w:szCs w:val="24"/>
        </w:rPr>
        <w:t>CURP;</w:t>
      </w:r>
    </w:p>
    <w:p w14:paraId="576CA02E" w14:textId="77777777" w:rsidR="002E7961" w:rsidRPr="001E7F59" w:rsidRDefault="002E7961" w:rsidP="002E7961">
      <w:pPr>
        <w:numPr>
          <w:ilvl w:val="0"/>
          <w:numId w:val="21"/>
        </w:numPr>
        <w:spacing w:after="160" w:line="360" w:lineRule="auto"/>
        <w:contextualSpacing/>
        <w:jc w:val="both"/>
        <w:rPr>
          <w:rFonts w:ascii="Palatino Linotype" w:hAnsi="Palatino Linotype" w:cs="Tahoma"/>
          <w:color w:val="000000" w:themeColor="text1"/>
          <w:sz w:val="22"/>
          <w:szCs w:val="24"/>
        </w:rPr>
      </w:pPr>
      <w:r w:rsidRPr="001E7F59">
        <w:rPr>
          <w:rFonts w:ascii="Palatino Linotype" w:hAnsi="Palatino Linotype" w:cs="Tahoma"/>
          <w:color w:val="000000" w:themeColor="text1"/>
          <w:sz w:val="22"/>
          <w:szCs w:val="24"/>
        </w:rPr>
        <w:t>R.F.C.;</w:t>
      </w:r>
    </w:p>
    <w:p w14:paraId="7D49F8C5" w14:textId="77777777" w:rsidR="002E7961" w:rsidRPr="001E7F59" w:rsidRDefault="002E7961" w:rsidP="002E7961">
      <w:pPr>
        <w:numPr>
          <w:ilvl w:val="0"/>
          <w:numId w:val="21"/>
        </w:numPr>
        <w:spacing w:after="160" w:line="360" w:lineRule="auto"/>
        <w:contextualSpacing/>
        <w:jc w:val="both"/>
        <w:rPr>
          <w:rFonts w:ascii="Palatino Linotype" w:hAnsi="Palatino Linotype" w:cs="Tahoma"/>
          <w:color w:val="000000" w:themeColor="text1"/>
          <w:sz w:val="22"/>
          <w:szCs w:val="24"/>
        </w:rPr>
      </w:pPr>
      <w:r w:rsidRPr="001E7F59">
        <w:rPr>
          <w:rFonts w:ascii="Palatino Linotype" w:hAnsi="Palatino Linotype" w:cs="Tahoma"/>
          <w:color w:val="000000" w:themeColor="text1"/>
          <w:sz w:val="22"/>
          <w:szCs w:val="24"/>
        </w:rPr>
        <w:t>Número de Seguridad Social;</w:t>
      </w:r>
    </w:p>
    <w:p w14:paraId="19D9ABA2" w14:textId="77777777" w:rsidR="002E7961" w:rsidRPr="001E7F59" w:rsidRDefault="002E7961" w:rsidP="002E7961">
      <w:pPr>
        <w:numPr>
          <w:ilvl w:val="0"/>
          <w:numId w:val="21"/>
        </w:numPr>
        <w:spacing w:after="160" w:line="360" w:lineRule="auto"/>
        <w:contextualSpacing/>
        <w:jc w:val="both"/>
        <w:rPr>
          <w:rFonts w:ascii="Palatino Linotype" w:hAnsi="Palatino Linotype" w:cs="Tahoma"/>
          <w:color w:val="000000" w:themeColor="text1"/>
          <w:sz w:val="22"/>
          <w:szCs w:val="24"/>
        </w:rPr>
      </w:pPr>
      <w:r w:rsidRPr="001E7F59">
        <w:rPr>
          <w:rFonts w:ascii="Palatino Linotype" w:hAnsi="Palatino Linotype" w:cs="Tahoma"/>
          <w:color w:val="000000" w:themeColor="text1"/>
          <w:sz w:val="22"/>
          <w:szCs w:val="24"/>
        </w:rPr>
        <w:t>Deducciones</w:t>
      </w:r>
    </w:p>
    <w:p w14:paraId="4E9A2850" w14:textId="77777777" w:rsidR="002E7961" w:rsidRPr="001E7F59" w:rsidRDefault="002E7961" w:rsidP="002E7961">
      <w:pPr>
        <w:numPr>
          <w:ilvl w:val="0"/>
          <w:numId w:val="21"/>
        </w:numPr>
        <w:spacing w:after="160" w:line="360" w:lineRule="auto"/>
        <w:contextualSpacing/>
        <w:jc w:val="both"/>
        <w:rPr>
          <w:rFonts w:ascii="Palatino Linotype" w:hAnsi="Palatino Linotype" w:cs="Tahoma"/>
          <w:color w:val="000000" w:themeColor="text1"/>
          <w:sz w:val="22"/>
          <w:szCs w:val="24"/>
        </w:rPr>
      </w:pPr>
      <w:r w:rsidRPr="001E7F59">
        <w:rPr>
          <w:rFonts w:ascii="Palatino Linotype" w:hAnsi="Palatino Linotype" w:cs="Tahoma"/>
          <w:color w:val="000000" w:themeColor="text1"/>
          <w:sz w:val="22"/>
          <w:szCs w:val="24"/>
        </w:rPr>
        <w:t>QR</w:t>
      </w:r>
    </w:p>
    <w:p w14:paraId="0B096353" w14:textId="77777777" w:rsidR="002E7961" w:rsidRPr="001E7F59" w:rsidRDefault="002E7961" w:rsidP="002E7961">
      <w:pPr>
        <w:numPr>
          <w:ilvl w:val="0"/>
          <w:numId w:val="21"/>
        </w:numPr>
        <w:spacing w:after="160" w:line="360" w:lineRule="auto"/>
        <w:contextualSpacing/>
        <w:jc w:val="both"/>
        <w:rPr>
          <w:rFonts w:ascii="Palatino Linotype" w:hAnsi="Palatino Linotype" w:cs="Tahoma"/>
          <w:color w:val="000000" w:themeColor="text1"/>
          <w:sz w:val="22"/>
          <w:szCs w:val="24"/>
        </w:rPr>
      </w:pPr>
      <w:r w:rsidRPr="001E7F59">
        <w:rPr>
          <w:rFonts w:ascii="Palatino Linotype" w:hAnsi="Palatino Linotype" w:cs="Tahoma"/>
          <w:color w:val="000000" w:themeColor="text1"/>
          <w:sz w:val="22"/>
          <w:szCs w:val="24"/>
        </w:rPr>
        <w:t xml:space="preserve">Faltas </w:t>
      </w:r>
    </w:p>
    <w:p w14:paraId="02342DF7" w14:textId="77777777" w:rsidR="002E7961" w:rsidRPr="001E7F59" w:rsidRDefault="002E7961" w:rsidP="002E7961">
      <w:pPr>
        <w:numPr>
          <w:ilvl w:val="0"/>
          <w:numId w:val="21"/>
        </w:numPr>
        <w:spacing w:after="160" w:line="360" w:lineRule="auto"/>
        <w:contextualSpacing/>
        <w:jc w:val="both"/>
        <w:rPr>
          <w:rFonts w:ascii="Palatino Linotype" w:hAnsi="Palatino Linotype" w:cs="Tahoma"/>
          <w:color w:val="000000" w:themeColor="text1"/>
          <w:sz w:val="22"/>
          <w:szCs w:val="24"/>
        </w:rPr>
      </w:pPr>
      <w:r w:rsidRPr="001E7F59">
        <w:rPr>
          <w:rFonts w:ascii="Palatino Linotype" w:hAnsi="Palatino Linotype" w:cs="Tahoma"/>
          <w:color w:val="000000" w:themeColor="text1"/>
          <w:sz w:val="22"/>
          <w:szCs w:val="24"/>
        </w:rPr>
        <w:t>Firma de recepción de servidor público</w:t>
      </w:r>
    </w:p>
    <w:p w14:paraId="26D402CC" w14:textId="77777777" w:rsidR="002E7961" w:rsidRPr="001E7F59" w:rsidRDefault="002E7961" w:rsidP="002E7961">
      <w:pPr>
        <w:spacing w:line="360" w:lineRule="auto"/>
        <w:jc w:val="both"/>
        <w:rPr>
          <w:rFonts w:ascii="Palatino Linotype" w:eastAsiaTheme="minorHAnsi" w:hAnsi="Palatino Linotype" w:cs="Tahoma"/>
          <w:color w:val="000000" w:themeColor="text1"/>
          <w:sz w:val="22"/>
          <w:szCs w:val="22"/>
          <w:lang w:eastAsia="en-US"/>
        </w:rPr>
      </w:pPr>
    </w:p>
    <w:p w14:paraId="7D4072FD" w14:textId="561A0017" w:rsidR="002E7961" w:rsidRPr="001E7F59" w:rsidRDefault="002E7961" w:rsidP="00E650EA">
      <w:pPr>
        <w:shd w:val="clear" w:color="auto" w:fill="FFFFFF"/>
        <w:spacing w:line="360" w:lineRule="auto"/>
        <w:jc w:val="both"/>
        <w:rPr>
          <w:rFonts w:ascii="Palatino Linotype" w:eastAsia="Calibri" w:hAnsi="Palatino Linotype" w:cs="Tahoma"/>
          <w:iCs/>
          <w:sz w:val="22"/>
          <w:szCs w:val="22"/>
          <w:lang w:eastAsia="en-US"/>
        </w:rPr>
      </w:pPr>
      <w:r w:rsidRPr="001E7F59">
        <w:rPr>
          <w:rFonts w:ascii="Palatino Linotype" w:eastAsiaTheme="minorHAnsi" w:hAnsi="Palatino Linotype" w:cs="Tahoma"/>
          <w:iCs/>
          <w:color w:val="000000" w:themeColor="text1"/>
          <w:sz w:val="22"/>
          <w:szCs w:val="22"/>
          <w:lang w:eastAsia="en-US"/>
        </w:rPr>
        <w:t xml:space="preserve">Conforme a lo anterior, </w:t>
      </w:r>
      <w:r w:rsidR="00096C00" w:rsidRPr="001E7F59">
        <w:rPr>
          <w:rFonts w:ascii="Palatino Linotype" w:eastAsiaTheme="minorHAnsi" w:hAnsi="Palatino Linotype" w:cs="Tahoma"/>
          <w:iCs/>
          <w:color w:val="000000" w:themeColor="text1"/>
          <w:sz w:val="22"/>
          <w:szCs w:val="22"/>
          <w:lang w:eastAsia="en-US"/>
        </w:rPr>
        <w:t xml:space="preserve">es de precisar que la CURP, el RFC y el </w:t>
      </w:r>
      <w:r w:rsidRPr="001E7F59">
        <w:rPr>
          <w:rFonts w:ascii="Palatino Linotype" w:eastAsia="Calibri" w:hAnsi="Palatino Linotype" w:cs="Tahoma"/>
          <w:iCs/>
          <w:sz w:val="22"/>
          <w:szCs w:val="22"/>
          <w:lang w:eastAsia="en-US"/>
        </w:rPr>
        <w:t>Código bidimensional o QR</w:t>
      </w:r>
      <w:r w:rsidR="00096C00" w:rsidRPr="001E7F59">
        <w:rPr>
          <w:rFonts w:ascii="Palatino Linotype" w:eastAsia="Calibri" w:hAnsi="Palatino Linotype" w:cs="Tahoma"/>
          <w:iCs/>
          <w:sz w:val="22"/>
          <w:szCs w:val="22"/>
          <w:lang w:eastAsia="en-US"/>
        </w:rPr>
        <w:t xml:space="preserve"> que permite acceder al RFC, el número de </w:t>
      </w:r>
      <w:r w:rsidR="00E645B8" w:rsidRPr="001E7F59">
        <w:rPr>
          <w:rFonts w:ascii="Palatino Linotype" w:hAnsi="Palatino Linotype" w:cs="Tahoma"/>
          <w:iCs/>
          <w:sz w:val="22"/>
          <w:szCs w:val="22"/>
          <w:lang w:eastAsia="es-MX"/>
        </w:rPr>
        <w:t xml:space="preserve">seguridad social corresponden a datos personales confidenciales, ya que hacen identificable al titular y no guardan relación con el uso de recursos públicos o el ejercicio de atribuciones, por lo que, </w:t>
      </w:r>
      <w:r w:rsidRPr="001E7F59">
        <w:rPr>
          <w:rFonts w:ascii="Palatino Linotype" w:eastAsia="Calibri" w:hAnsi="Palatino Linotype" w:cs="Tahoma"/>
          <w:sz w:val="22"/>
          <w:szCs w:val="22"/>
          <w:lang w:eastAsia="en-US"/>
        </w:rPr>
        <w:t>actualiza</w:t>
      </w:r>
      <w:r w:rsidR="00E645B8" w:rsidRPr="001E7F59">
        <w:rPr>
          <w:rFonts w:ascii="Palatino Linotype" w:eastAsia="Calibri" w:hAnsi="Palatino Linotype" w:cs="Tahoma"/>
          <w:sz w:val="22"/>
          <w:szCs w:val="22"/>
          <w:lang w:eastAsia="en-US"/>
        </w:rPr>
        <w:t>n</w:t>
      </w:r>
      <w:r w:rsidRPr="001E7F59">
        <w:rPr>
          <w:rFonts w:ascii="Palatino Linotype" w:eastAsia="Calibri" w:hAnsi="Palatino Linotype" w:cs="Tahoma"/>
          <w:sz w:val="22"/>
          <w:szCs w:val="22"/>
          <w:lang w:eastAsia="en-US"/>
        </w:rPr>
        <w:t xml:space="preserve"> la causal de clasificación prevista en el artículo 143, fracción I de la Ley de la materia.</w:t>
      </w:r>
    </w:p>
    <w:p w14:paraId="272C5D07" w14:textId="77777777" w:rsidR="002E7961" w:rsidRPr="001E7F59" w:rsidRDefault="002E7961" w:rsidP="002E7961">
      <w:pPr>
        <w:spacing w:line="360" w:lineRule="auto"/>
        <w:contextualSpacing/>
        <w:jc w:val="both"/>
        <w:rPr>
          <w:rFonts w:ascii="Palatino Linotype" w:hAnsi="Palatino Linotype" w:cs="Tahoma"/>
          <w:bCs/>
          <w:iCs/>
          <w:sz w:val="22"/>
          <w:szCs w:val="22"/>
          <w:lang w:eastAsia="es-MX"/>
        </w:rPr>
      </w:pPr>
    </w:p>
    <w:p w14:paraId="6BF98F3C" w14:textId="77777777" w:rsidR="002E7961" w:rsidRPr="001E7F59" w:rsidRDefault="002E7961" w:rsidP="002E7961">
      <w:pPr>
        <w:numPr>
          <w:ilvl w:val="0"/>
          <w:numId w:val="13"/>
        </w:numPr>
        <w:spacing w:after="160" w:line="360" w:lineRule="auto"/>
        <w:contextualSpacing/>
        <w:jc w:val="both"/>
        <w:rPr>
          <w:rFonts w:ascii="Palatino Linotype" w:eastAsia="Calibri" w:hAnsi="Palatino Linotype" w:cs="Tahoma"/>
          <w:b/>
          <w:sz w:val="22"/>
          <w:szCs w:val="22"/>
          <w:lang w:eastAsia="en-US"/>
        </w:rPr>
      </w:pPr>
      <w:r w:rsidRPr="001E7F59">
        <w:rPr>
          <w:rFonts w:ascii="Palatino Linotype" w:eastAsia="Calibri" w:hAnsi="Palatino Linotype" w:cs="Tahoma"/>
          <w:b/>
          <w:sz w:val="22"/>
          <w:szCs w:val="22"/>
          <w:lang w:eastAsia="en-US"/>
        </w:rPr>
        <w:t>Descuentos personales</w:t>
      </w:r>
    </w:p>
    <w:p w14:paraId="5FF8EBC1" w14:textId="77777777" w:rsidR="002E7961" w:rsidRPr="001E7F59" w:rsidRDefault="002E7961" w:rsidP="002E7961">
      <w:pPr>
        <w:spacing w:line="360" w:lineRule="auto"/>
        <w:ind w:left="720"/>
        <w:contextualSpacing/>
        <w:jc w:val="both"/>
        <w:rPr>
          <w:rFonts w:ascii="Palatino Linotype" w:eastAsia="Calibri" w:hAnsi="Palatino Linotype" w:cs="Tahoma"/>
          <w:b/>
          <w:bCs/>
          <w:iCs/>
          <w:sz w:val="22"/>
          <w:szCs w:val="22"/>
          <w:lang w:eastAsia="en-US"/>
        </w:rPr>
      </w:pPr>
    </w:p>
    <w:p w14:paraId="6B7927CC" w14:textId="77777777" w:rsidR="002E7961" w:rsidRPr="001E7F59" w:rsidRDefault="002E7961" w:rsidP="002E7961">
      <w:pPr>
        <w:spacing w:line="360" w:lineRule="auto"/>
        <w:contextualSpacing/>
        <w:jc w:val="both"/>
        <w:rPr>
          <w:rFonts w:ascii="Palatino Linotype" w:eastAsia="Calibri" w:hAnsi="Palatino Linotype" w:cs="Tahoma"/>
          <w:bCs/>
          <w:sz w:val="22"/>
          <w:szCs w:val="22"/>
          <w:lang w:eastAsia="en-US"/>
        </w:rPr>
      </w:pPr>
      <w:r w:rsidRPr="001E7F59">
        <w:rPr>
          <w:rFonts w:ascii="Palatino Linotype" w:eastAsia="Calibri" w:hAnsi="Palatino Linotype" w:cs="Tahoma"/>
          <w:bCs/>
          <w:sz w:val="22"/>
          <w:szCs w:val="22"/>
          <w:lang w:eastAsia="en-US"/>
        </w:rPr>
        <w:t xml:space="preserve">Es necesario precisar que existen deducciones que se generan con motivo de una decisión libre y voluntaria de los servidores públicos, como son: créditos personales, cuotas sindicales y fondo de resistencia del Sindicato Único de Trabajadores de los Poderes, Municipios e </w:t>
      </w:r>
      <w:r w:rsidRPr="001E7F59">
        <w:rPr>
          <w:rFonts w:ascii="Palatino Linotype" w:eastAsia="Calibri" w:hAnsi="Palatino Linotype" w:cs="Tahoma"/>
          <w:bCs/>
          <w:sz w:val="22"/>
          <w:szCs w:val="22"/>
          <w:lang w:eastAsia="en-US"/>
        </w:rPr>
        <w:lastRenderedPageBreak/>
        <w:t>Institución Descentralizadas del Estado de México, seguro de vida, accidentes y enfermedades.</w:t>
      </w:r>
    </w:p>
    <w:p w14:paraId="21F8B166" w14:textId="77777777" w:rsidR="002E7961" w:rsidRPr="001E7F59" w:rsidRDefault="002E7961" w:rsidP="002E7961">
      <w:pPr>
        <w:spacing w:line="360" w:lineRule="auto"/>
        <w:contextualSpacing/>
        <w:jc w:val="both"/>
        <w:rPr>
          <w:rFonts w:ascii="Palatino Linotype" w:eastAsia="Calibri" w:hAnsi="Palatino Linotype" w:cs="Tahoma"/>
          <w:bCs/>
          <w:sz w:val="22"/>
          <w:szCs w:val="22"/>
          <w:lang w:eastAsia="en-US"/>
        </w:rPr>
      </w:pPr>
    </w:p>
    <w:p w14:paraId="5CBA6C4C" w14:textId="77777777" w:rsidR="002E7961" w:rsidRPr="001E7F59" w:rsidRDefault="002E7961" w:rsidP="002E7961">
      <w:pPr>
        <w:spacing w:line="360" w:lineRule="auto"/>
        <w:contextualSpacing/>
        <w:jc w:val="both"/>
        <w:rPr>
          <w:rFonts w:ascii="Palatino Linotype" w:eastAsia="Calibri" w:hAnsi="Palatino Linotype" w:cs="Tahoma"/>
          <w:bCs/>
          <w:sz w:val="22"/>
          <w:szCs w:val="22"/>
          <w:lang w:eastAsia="en-US"/>
        </w:rPr>
      </w:pPr>
      <w:r w:rsidRPr="001E7F59">
        <w:rPr>
          <w:rFonts w:ascii="Palatino Linotype" w:eastAsia="Calibri" w:hAnsi="Palatino Linotype" w:cs="Tahoma"/>
          <w:bCs/>
          <w:sz w:val="22"/>
          <w:szCs w:val="22"/>
          <w:lang w:eastAsia="en-US"/>
        </w:rPr>
        <w:t xml:space="preserve">Asimismo, hay otras que se generan con motivo de una sentencia judicial, como es la pensión alimenticia que periódicamente se retira de la cuenta de un empleado, a efecto de que sea entregado a un tercero.  </w:t>
      </w:r>
    </w:p>
    <w:p w14:paraId="76D97C11" w14:textId="77777777" w:rsidR="002E7961" w:rsidRPr="001E7F59" w:rsidRDefault="002E7961" w:rsidP="002E7961">
      <w:pPr>
        <w:spacing w:line="360" w:lineRule="auto"/>
        <w:contextualSpacing/>
        <w:jc w:val="both"/>
        <w:rPr>
          <w:rFonts w:ascii="Palatino Linotype" w:eastAsia="Calibri" w:hAnsi="Palatino Linotype" w:cs="Tahoma"/>
          <w:bCs/>
          <w:sz w:val="22"/>
          <w:szCs w:val="22"/>
          <w:lang w:eastAsia="en-US"/>
        </w:rPr>
      </w:pPr>
    </w:p>
    <w:p w14:paraId="10799DED" w14:textId="77777777" w:rsidR="002E7961" w:rsidRPr="001E7F59" w:rsidRDefault="002E7961" w:rsidP="002E7961">
      <w:pPr>
        <w:spacing w:line="360" w:lineRule="auto"/>
        <w:contextualSpacing/>
        <w:jc w:val="both"/>
        <w:rPr>
          <w:rFonts w:ascii="Palatino Linotype" w:eastAsia="Calibri" w:hAnsi="Palatino Linotype" w:cs="Tahoma"/>
          <w:bCs/>
          <w:sz w:val="22"/>
          <w:szCs w:val="22"/>
          <w:lang w:eastAsia="en-US"/>
        </w:rPr>
      </w:pPr>
      <w:r w:rsidRPr="001E7F59">
        <w:rPr>
          <w:rFonts w:ascii="Palatino Linotype" w:eastAsia="Calibri" w:hAnsi="Palatino Linotype" w:cs="Tahoma"/>
          <w:bCs/>
          <w:sz w:val="22"/>
          <w:szCs w:val="22"/>
          <w:lang w:eastAsia="en-US"/>
        </w:rPr>
        <w:t xml:space="preserve">En consecuencia, este tipo de deducciones son fruto de decisiones que impactan en el patrimonio de un servidor público con la finalidad de obtener un beneficio conforme a la decisión de un trabajador, mismas que no implican la entrega de recursos con cargo al erario, y tampoco reflejan el ejercicio de una prestación; por el contrario, en dichos casos se trata del libre ejercicio del servidor público para disponer de un ingreso que forma parte de su patrimonio. </w:t>
      </w:r>
    </w:p>
    <w:p w14:paraId="24AC496B" w14:textId="77777777" w:rsidR="002E7961" w:rsidRPr="001E7F59" w:rsidRDefault="002E7961" w:rsidP="002E7961">
      <w:pPr>
        <w:spacing w:line="360" w:lineRule="auto"/>
        <w:contextualSpacing/>
        <w:jc w:val="both"/>
        <w:rPr>
          <w:rFonts w:ascii="Palatino Linotype" w:eastAsia="Calibri" w:hAnsi="Palatino Linotype" w:cs="Tahoma"/>
          <w:bCs/>
          <w:sz w:val="22"/>
          <w:szCs w:val="22"/>
          <w:lang w:eastAsia="en-US"/>
        </w:rPr>
      </w:pPr>
    </w:p>
    <w:p w14:paraId="008949D1" w14:textId="77777777" w:rsidR="002E7961" w:rsidRPr="001E7F59" w:rsidRDefault="002E7961" w:rsidP="002E7961">
      <w:pPr>
        <w:spacing w:line="360" w:lineRule="auto"/>
        <w:contextualSpacing/>
        <w:jc w:val="both"/>
        <w:rPr>
          <w:rFonts w:ascii="Palatino Linotype" w:eastAsia="Calibri" w:hAnsi="Palatino Linotype" w:cs="Tahoma"/>
          <w:bCs/>
          <w:sz w:val="22"/>
          <w:szCs w:val="22"/>
          <w:lang w:eastAsia="en-US"/>
        </w:rPr>
      </w:pPr>
      <w:r w:rsidRPr="001E7F59">
        <w:rPr>
          <w:rFonts w:ascii="Palatino Linotype" w:eastAsia="Calibri" w:hAnsi="Palatino Linotype" w:cs="Tahoma"/>
          <w:bCs/>
          <w:sz w:val="22"/>
          <w:szCs w:val="22"/>
          <w:lang w:eastAsia="en-US"/>
        </w:rPr>
        <w:t xml:space="preserve">No obstante, el Sujeto Obligado también clasificó los descuentos relacionados con los </w:t>
      </w:r>
      <w:r w:rsidRPr="001E7F59">
        <w:rPr>
          <w:rFonts w:ascii="Palatino Linotype" w:eastAsia="Calibri" w:hAnsi="Palatino Linotype" w:cs="Tahoma"/>
          <w:b/>
          <w:bCs/>
          <w:sz w:val="22"/>
          <w:szCs w:val="22"/>
          <w:lang w:eastAsia="en-US"/>
        </w:rPr>
        <w:t>impuestos que se le retienen a los servidores públicos, tal como el ISR, ya que la Ley del Impuesto sobre la renta en su artículo primero fracción I, establece que las personas físicas y morales están obligados al pago del impuesto sobre la renta en el caso de los residentes en México respecto de todos sus ingresos, cualquiera que sea la ubicación de la fuente de riqueza de donde procedan, razón por la cual no procede su clasificación ya que con este dato se verifica que cumplen con su obligación establecida en la Le</w:t>
      </w:r>
      <w:r w:rsidRPr="001E7F59">
        <w:rPr>
          <w:rFonts w:ascii="Palatino Linotype" w:eastAsia="Calibri" w:hAnsi="Palatino Linotype" w:cs="Tahoma"/>
          <w:bCs/>
          <w:sz w:val="22"/>
          <w:szCs w:val="22"/>
          <w:lang w:eastAsia="en-US"/>
        </w:rPr>
        <w:t xml:space="preserve">y, los únicos descuentos que se deben clasificar como ya se estableció son los personales en términos del artículo 143, fracción I de la Ley de Transparencia y Acceso a la Información Pública del Estado de México y Municipios </w:t>
      </w:r>
    </w:p>
    <w:p w14:paraId="10F37CC1" w14:textId="77777777" w:rsidR="002E7961" w:rsidRPr="001E7F59" w:rsidRDefault="002E7961" w:rsidP="002E7961">
      <w:pPr>
        <w:spacing w:line="360" w:lineRule="auto"/>
        <w:contextualSpacing/>
        <w:jc w:val="both"/>
        <w:rPr>
          <w:rFonts w:ascii="Palatino Linotype" w:hAnsi="Palatino Linotype" w:cs="Tahoma"/>
          <w:bCs/>
          <w:sz w:val="22"/>
          <w:szCs w:val="22"/>
        </w:rPr>
      </w:pPr>
    </w:p>
    <w:p w14:paraId="6805C43D" w14:textId="35EEFE76" w:rsidR="002E7961" w:rsidRPr="001E7F59" w:rsidRDefault="002E7961" w:rsidP="002E7961">
      <w:pPr>
        <w:spacing w:line="360" w:lineRule="auto"/>
        <w:jc w:val="both"/>
        <w:rPr>
          <w:rFonts w:ascii="Palatino Linotype" w:hAnsi="Palatino Linotype" w:cs="Tahoma"/>
          <w:bCs/>
          <w:sz w:val="22"/>
          <w:szCs w:val="22"/>
          <w:lang w:val="es-ES"/>
        </w:rPr>
      </w:pPr>
      <w:r w:rsidRPr="001E7F59">
        <w:rPr>
          <w:rFonts w:ascii="Palatino Linotype" w:hAnsi="Palatino Linotype" w:cs="Tahoma"/>
          <w:bCs/>
          <w:sz w:val="22"/>
          <w:szCs w:val="22"/>
          <w:lang w:val="es-ES"/>
        </w:rPr>
        <w:lastRenderedPageBreak/>
        <w:t xml:space="preserve">Como se logra observar, el Sujeto Obligado clasificó datos de naturaleza pública, por lo que, deberá proporcionar los recibos de nómina remitidos en respuesta, en donde únicamente podrá clasificar, en términos del artículo previamente referido, la Clave Única de Registro de Población (CURP), Registro Federal de Contribuyentes (RFC), Número de </w:t>
      </w:r>
      <w:r w:rsidR="00CF5EB3" w:rsidRPr="001E7F59">
        <w:rPr>
          <w:rFonts w:ascii="Palatino Linotype" w:hAnsi="Palatino Linotype" w:cs="Tahoma"/>
          <w:bCs/>
          <w:sz w:val="22"/>
          <w:szCs w:val="22"/>
          <w:lang w:val="es-ES"/>
        </w:rPr>
        <w:t>S</w:t>
      </w:r>
      <w:r w:rsidRPr="001E7F59">
        <w:rPr>
          <w:rFonts w:ascii="Palatino Linotype" w:hAnsi="Palatino Linotype" w:cs="Tahoma"/>
          <w:bCs/>
          <w:sz w:val="22"/>
          <w:szCs w:val="22"/>
          <w:lang w:val="es-ES"/>
        </w:rPr>
        <w:t xml:space="preserve">eguridad </w:t>
      </w:r>
      <w:r w:rsidR="00CF5EB3" w:rsidRPr="001E7F59">
        <w:rPr>
          <w:rFonts w:ascii="Palatino Linotype" w:hAnsi="Palatino Linotype" w:cs="Tahoma"/>
          <w:bCs/>
          <w:sz w:val="22"/>
          <w:szCs w:val="22"/>
          <w:lang w:val="es-ES"/>
        </w:rPr>
        <w:t>S</w:t>
      </w:r>
      <w:r w:rsidRPr="001E7F59">
        <w:rPr>
          <w:rFonts w:ascii="Palatino Linotype" w:hAnsi="Palatino Linotype" w:cs="Tahoma"/>
          <w:bCs/>
          <w:sz w:val="22"/>
          <w:szCs w:val="22"/>
          <w:lang w:val="es-ES"/>
        </w:rPr>
        <w:t>ocial, descuentos personales a excepción de los señalados por ley, Código Bidimensional o Qr.</w:t>
      </w:r>
    </w:p>
    <w:p w14:paraId="404646FB" w14:textId="77777777" w:rsidR="002E7961" w:rsidRPr="001E7F59" w:rsidRDefault="002E7961" w:rsidP="002E7961">
      <w:pPr>
        <w:spacing w:line="360" w:lineRule="auto"/>
        <w:ind w:right="-28"/>
        <w:jc w:val="both"/>
        <w:rPr>
          <w:rFonts w:ascii="Palatino Linotype" w:eastAsia="Batang" w:hAnsi="Palatino Linotype" w:cs="Tahoma"/>
          <w:b/>
          <w:bCs/>
          <w:sz w:val="22"/>
          <w:szCs w:val="22"/>
          <w:lang w:val="es-ES"/>
        </w:rPr>
      </w:pPr>
    </w:p>
    <w:p w14:paraId="631DD775" w14:textId="77777777" w:rsidR="002E7961" w:rsidRPr="001E7F59" w:rsidRDefault="002E7961" w:rsidP="002E7961">
      <w:pPr>
        <w:spacing w:line="360" w:lineRule="auto"/>
        <w:jc w:val="both"/>
        <w:rPr>
          <w:rFonts w:ascii="Palatino Linotype" w:eastAsiaTheme="minorHAnsi" w:hAnsi="Palatino Linotype" w:cs="Tahoma"/>
          <w:bCs/>
          <w:color w:val="000000" w:themeColor="text1"/>
          <w:sz w:val="22"/>
          <w:szCs w:val="22"/>
          <w:lang w:val="es-ES" w:eastAsia="en-US"/>
        </w:rPr>
      </w:pPr>
      <w:r w:rsidRPr="001E7F59">
        <w:rPr>
          <w:rFonts w:ascii="Palatino Linotype" w:eastAsia="Batang" w:hAnsi="Palatino Linotype" w:cs="Tahoma"/>
          <w:bCs/>
          <w:sz w:val="22"/>
          <w:szCs w:val="22"/>
          <w:lang w:val="es-ES"/>
        </w:rPr>
        <w:t>Por lo que, para atender el requerimiento de información, el Sujeto Obligado deberá entregar los recibos de nómina proporcionados en respuesta en una versión pública correcta, correspondientes a la Titular de la Subdirección de Administración de Agua y Saneamiento de Toluca, correspondientes del primero de enero al treinta y uno de diciembre de dos mil veinticuatro</w:t>
      </w:r>
      <w:r w:rsidRPr="001E7F59">
        <w:rPr>
          <w:rFonts w:ascii="Palatino Linotype" w:eastAsiaTheme="minorHAnsi" w:hAnsi="Palatino Linotype" w:cs="Tahoma"/>
          <w:bCs/>
          <w:color w:val="000000" w:themeColor="text1"/>
          <w:sz w:val="22"/>
          <w:szCs w:val="22"/>
          <w:lang w:val="es-ES_tradnl" w:eastAsia="en-US"/>
        </w:rPr>
        <w:t>; a</w:t>
      </w:r>
      <w:r w:rsidRPr="001E7F59">
        <w:rPr>
          <w:rFonts w:ascii="Palatino Linotype" w:eastAsiaTheme="minorHAnsi" w:hAnsi="Palatino Linotype" w:cs="Tahoma"/>
          <w:bCs/>
          <w:color w:val="000000" w:themeColor="text1"/>
          <w:sz w:val="22"/>
          <w:szCs w:val="22"/>
          <w:lang w:val="es-ES" w:eastAsia="en-US"/>
        </w:rPr>
        <w:t>l respecto, conforme al artículo 3°, fracción XLV, relacionado con el 137, ambos de la Ley de Transparencia y Acceso a la Información Pública del Estado de México y Municipios, cuando un documento contenga información pública y confidencial, la Unidad de Transparencia para efectos de atender al requerimiento informativo, deberá elaborar una versión Pública en la que se testen las partes o secciones clasificadas, indicando su contenido de manera genérica y fundando y motivando su clasificación.</w:t>
      </w:r>
    </w:p>
    <w:p w14:paraId="562ADEF0" w14:textId="77777777" w:rsidR="001B3766" w:rsidRPr="001E7F59" w:rsidRDefault="001B3766" w:rsidP="001B3766">
      <w:pPr>
        <w:spacing w:line="360" w:lineRule="auto"/>
        <w:jc w:val="both"/>
        <w:rPr>
          <w:rFonts w:ascii="Palatino Linotype" w:eastAsiaTheme="minorHAnsi" w:hAnsi="Palatino Linotype" w:cs="Tahoma"/>
          <w:color w:val="000000" w:themeColor="text1"/>
          <w:sz w:val="22"/>
          <w:szCs w:val="22"/>
          <w:lang w:eastAsia="en-US"/>
        </w:rPr>
      </w:pPr>
    </w:p>
    <w:p w14:paraId="45B782CA" w14:textId="043DEEC6" w:rsidR="001B3766" w:rsidRPr="001E7F59" w:rsidRDefault="00176F07" w:rsidP="004954C1">
      <w:pPr>
        <w:pStyle w:val="Prrafodelista"/>
        <w:numPr>
          <w:ilvl w:val="0"/>
          <w:numId w:val="34"/>
        </w:numPr>
        <w:spacing w:after="160" w:line="360" w:lineRule="auto"/>
        <w:jc w:val="both"/>
        <w:rPr>
          <w:rFonts w:ascii="Palatino Linotype" w:hAnsi="Palatino Linotype" w:cs="Tahoma"/>
          <w:color w:val="000000" w:themeColor="text1"/>
        </w:rPr>
      </w:pPr>
      <w:r w:rsidRPr="001E7F59">
        <w:rPr>
          <w:rFonts w:ascii="Palatino Linotype" w:hAnsi="Palatino Linotype" w:cs="Tahoma"/>
          <w:b/>
          <w:color w:val="000000" w:themeColor="text1"/>
        </w:rPr>
        <w:t>Título y Cédula Profesional</w:t>
      </w:r>
    </w:p>
    <w:p w14:paraId="1A0B11AE" w14:textId="77777777" w:rsidR="001B3766" w:rsidRPr="001E7F59" w:rsidRDefault="001B3766" w:rsidP="001B3766">
      <w:pPr>
        <w:spacing w:line="360" w:lineRule="auto"/>
        <w:contextualSpacing/>
        <w:jc w:val="both"/>
        <w:rPr>
          <w:rFonts w:ascii="Palatino Linotype" w:eastAsia="Calibri" w:hAnsi="Palatino Linotype" w:cs="Tahoma"/>
          <w:bCs/>
          <w:sz w:val="22"/>
          <w:szCs w:val="22"/>
          <w:lang w:eastAsia="en-US"/>
        </w:rPr>
      </w:pPr>
    </w:p>
    <w:p w14:paraId="52462C83" w14:textId="77777777" w:rsidR="007122E3" w:rsidRPr="001E7F59" w:rsidRDefault="007122E3" w:rsidP="007122E3">
      <w:pPr>
        <w:spacing w:line="360" w:lineRule="auto"/>
        <w:jc w:val="both"/>
        <w:rPr>
          <w:rFonts w:ascii="Palatino Linotype" w:hAnsi="Palatino Linotype" w:cs="Tahoma"/>
          <w:iCs/>
          <w:sz w:val="22"/>
          <w:szCs w:val="22"/>
          <w:lang w:val="es-ES"/>
        </w:rPr>
      </w:pPr>
      <w:r w:rsidRPr="001E7F59">
        <w:rPr>
          <w:rFonts w:ascii="Palatino Linotype" w:eastAsia="Calibri" w:hAnsi="Palatino Linotype" w:cs="Arial"/>
          <w:color w:val="000000" w:themeColor="text1"/>
          <w:sz w:val="22"/>
          <w:szCs w:val="22"/>
          <w:lang w:val="es-ES" w:eastAsia="en-US"/>
        </w:rPr>
        <w:t>El</w:t>
      </w:r>
      <w:r w:rsidRPr="001E7F59">
        <w:rPr>
          <w:rFonts w:ascii="Palatino Linotype" w:eastAsia="Calibri" w:hAnsi="Palatino Linotype" w:cs="Arial"/>
          <w:b/>
          <w:bCs/>
          <w:color w:val="000000" w:themeColor="text1"/>
          <w:sz w:val="22"/>
          <w:szCs w:val="22"/>
          <w:lang w:val="es-ES" w:eastAsia="en-US"/>
        </w:rPr>
        <w:t xml:space="preserve"> </w:t>
      </w:r>
      <w:r w:rsidRPr="001E7F59">
        <w:rPr>
          <w:rFonts w:ascii="Palatino Linotype" w:eastAsia="Calibri" w:hAnsi="Palatino Linotype" w:cs="Arial"/>
          <w:b/>
          <w:i/>
          <w:iCs/>
          <w:color w:val="000000" w:themeColor="text1"/>
          <w:sz w:val="22"/>
          <w:szCs w:val="22"/>
          <w:lang w:val="es-ES" w:eastAsia="en-US"/>
        </w:rPr>
        <w:t>título profesional</w:t>
      </w:r>
      <w:r w:rsidRPr="001E7F59">
        <w:rPr>
          <w:rFonts w:ascii="Palatino Linotype" w:eastAsia="Calibri" w:hAnsi="Palatino Linotype" w:cs="Arial"/>
          <w:color w:val="000000" w:themeColor="text1"/>
          <w:sz w:val="22"/>
          <w:szCs w:val="22"/>
          <w:lang w:val="es-ES" w:eastAsia="en-US"/>
        </w:rPr>
        <w:t xml:space="preserve"> corresponde al documento expedido por instituciones del Estado o descentralizadas, y por instituciones privadas, que tenga reconocimiento de validez oficial de estudios, a favor de la persona que haya concluido los estudios correspondientes o demostrado tener los conocimientos necesarios de conformidad con esta Ley y otras disposiciones aplicables, y para su obtención es indispensable acreditar que se han cumplido los requisitos académicos previstos por las leyes aplicables, de conformidad con los artículos </w:t>
      </w:r>
      <w:r w:rsidRPr="001E7F59">
        <w:rPr>
          <w:rFonts w:ascii="Palatino Linotype" w:eastAsia="Calibri" w:hAnsi="Palatino Linotype" w:cs="Arial"/>
          <w:color w:val="000000" w:themeColor="text1"/>
          <w:sz w:val="22"/>
          <w:szCs w:val="22"/>
          <w:lang w:val="es-ES" w:eastAsia="en-US"/>
        </w:rPr>
        <w:lastRenderedPageBreak/>
        <w:t>1° y 8° de la Ley Reglamentaria del Artículo 5° Constitucional, Relativo al Ejercicio de las Profesiones en la Ciudad de México.</w:t>
      </w:r>
    </w:p>
    <w:p w14:paraId="692670D5" w14:textId="77777777" w:rsidR="007122E3" w:rsidRPr="001E7F59" w:rsidRDefault="007122E3" w:rsidP="007122E3">
      <w:pPr>
        <w:spacing w:line="360" w:lineRule="auto"/>
        <w:jc w:val="both"/>
        <w:rPr>
          <w:rFonts w:ascii="Palatino Linotype" w:eastAsia="Calibri" w:hAnsi="Palatino Linotype" w:cs="Arial"/>
          <w:color w:val="000000" w:themeColor="text1"/>
          <w:sz w:val="22"/>
          <w:szCs w:val="22"/>
          <w:lang w:val="es-ES" w:eastAsia="en-US"/>
        </w:rPr>
      </w:pPr>
    </w:p>
    <w:p w14:paraId="66A9EEE8" w14:textId="77777777" w:rsidR="007122E3" w:rsidRPr="001E7F59" w:rsidRDefault="007122E3" w:rsidP="007122E3">
      <w:pPr>
        <w:spacing w:line="360" w:lineRule="auto"/>
        <w:contextualSpacing/>
        <w:jc w:val="both"/>
        <w:rPr>
          <w:rFonts w:ascii="Palatino Linotype" w:eastAsia="Calibri" w:hAnsi="Palatino Linotype" w:cs="Arial"/>
          <w:sz w:val="22"/>
          <w:szCs w:val="22"/>
          <w:lang w:val="es-ES" w:eastAsia="en-US"/>
        </w:rPr>
      </w:pPr>
      <w:r w:rsidRPr="001E7F59">
        <w:rPr>
          <w:rFonts w:ascii="Palatino Linotype" w:hAnsi="Palatino Linotype" w:cs="Tahoma"/>
          <w:sz w:val="22"/>
          <w:szCs w:val="22"/>
          <w:lang w:val="es-ES"/>
        </w:rPr>
        <w:t xml:space="preserve">Por otra parte, la </w:t>
      </w:r>
      <w:r w:rsidRPr="001E7F59">
        <w:rPr>
          <w:rFonts w:ascii="Palatino Linotype" w:hAnsi="Palatino Linotype" w:cs="Tahoma"/>
          <w:b/>
          <w:i/>
          <w:iCs/>
          <w:sz w:val="22"/>
          <w:szCs w:val="22"/>
          <w:lang w:val="es-ES"/>
        </w:rPr>
        <w:t>Cédula Profesional</w:t>
      </w:r>
      <w:r w:rsidRPr="001E7F59">
        <w:rPr>
          <w:rFonts w:ascii="Palatino Linotype" w:hAnsi="Palatino Linotype" w:cs="Tahoma"/>
          <w:sz w:val="22"/>
          <w:szCs w:val="22"/>
          <w:lang w:val="es-ES"/>
        </w:rPr>
        <w:t xml:space="preserve"> es el</w:t>
      </w:r>
      <w:r w:rsidRPr="001E7F59">
        <w:rPr>
          <w:rFonts w:ascii="Palatino Linotype" w:hAnsi="Palatino Linotype" w:cs="Tahoma"/>
          <w:b/>
          <w:sz w:val="22"/>
          <w:szCs w:val="22"/>
          <w:lang w:val="es-ES"/>
        </w:rPr>
        <w:t xml:space="preserve"> </w:t>
      </w:r>
      <w:r w:rsidRPr="001E7F59">
        <w:rPr>
          <w:rFonts w:ascii="Palatino Linotype" w:hAnsi="Palatino Linotype" w:cs="Tahoma"/>
          <w:sz w:val="22"/>
          <w:szCs w:val="22"/>
          <w:lang w:val="es-ES"/>
        </w:rPr>
        <w:t>documento oficial emitido por el Gobierno mexicano para que las personas que han obtenido su título universitario (licenciatura, maestría o doctorado), o bien, el certificado de alguna carrera técnica, puedan comprobar que concluyeron sus estudios y que son capaces de ejercer profesionalmente.</w:t>
      </w:r>
    </w:p>
    <w:p w14:paraId="203F2009" w14:textId="77777777" w:rsidR="007122E3" w:rsidRPr="001E7F59" w:rsidRDefault="007122E3" w:rsidP="007122E3">
      <w:pPr>
        <w:spacing w:line="360" w:lineRule="auto"/>
        <w:jc w:val="both"/>
        <w:rPr>
          <w:rFonts w:ascii="Palatino Linotype" w:hAnsi="Palatino Linotype" w:cs="Tahoma"/>
          <w:iCs/>
          <w:sz w:val="22"/>
          <w:szCs w:val="22"/>
          <w:lang w:val="es-ES"/>
        </w:rPr>
      </w:pPr>
    </w:p>
    <w:p w14:paraId="0A5BEE48" w14:textId="683974B6" w:rsidR="001B3766" w:rsidRPr="001E7F59" w:rsidRDefault="007122E3" w:rsidP="001B3766">
      <w:pPr>
        <w:spacing w:line="360" w:lineRule="auto"/>
        <w:contextualSpacing/>
        <w:jc w:val="both"/>
        <w:rPr>
          <w:rFonts w:ascii="Palatino Linotype" w:hAnsi="Palatino Linotype" w:cs="Tahoma"/>
          <w:bCs/>
          <w:iCs/>
          <w:sz w:val="22"/>
          <w:szCs w:val="22"/>
        </w:rPr>
      </w:pPr>
      <w:r w:rsidRPr="001E7F59">
        <w:rPr>
          <w:rFonts w:ascii="Palatino Linotype" w:eastAsia="Calibri" w:hAnsi="Palatino Linotype" w:cs="Tahoma"/>
          <w:bCs/>
          <w:sz w:val="22"/>
          <w:szCs w:val="22"/>
          <w:lang w:eastAsia="en-US"/>
        </w:rPr>
        <w:t xml:space="preserve">Derivado de lo anterior, </w:t>
      </w:r>
      <w:r w:rsidR="001B3766" w:rsidRPr="001E7F59">
        <w:rPr>
          <w:rFonts w:ascii="Palatino Linotype" w:eastAsia="Calibri" w:hAnsi="Palatino Linotype" w:cs="Tahoma"/>
          <w:bCs/>
          <w:sz w:val="22"/>
          <w:szCs w:val="22"/>
          <w:lang w:eastAsia="en-US"/>
        </w:rPr>
        <w:t xml:space="preserve">resulta </w:t>
      </w:r>
      <w:r w:rsidR="00E650EA" w:rsidRPr="001E7F59">
        <w:rPr>
          <w:rFonts w:ascii="Palatino Linotype" w:eastAsia="Calibri" w:hAnsi="Palatino Linotype" w:cs="Tahoma"/>
          <w:bCs/>
          <w:sz w:val="22"/>
          <w:szCs w:val="22"/>
          <w:lang w:eastAsia="en-US"/>
        </w:rPr>
        <w:t xml:space="preserve">indicar que </w:t>
      </w:r>
      <w:r w:rsidR="001B3766" w:rsidRPr="001E7F59">
        <w:rPr>
          <w:rFonts w:ascii="Palatino Linotype" w:eastAsia="Calibri" w:hAnsi="Palatino Linotype" w:cs="Tahoma"/>
          <w:bCs/>
          <w:sz w:val="22"/>
          <w:szCs w:val="22"/>
          <w:lang w:eastAsia="en-US"/>
        </w:rPr>
        <w:t xml:space="preserve">el artículo 47 de la Ley del Trabajo de los Servidores Públicos del Estado y Municipios (misma que fue señalada por el Recurrente en su solicitud), </w:t>
      </w:r>
      <w:r w:rsidR="00E650EA" w:rsidRPr="001E7F59">
        <w:rPr>
          <w:rFonts w:ascii="Palatino Linotype" w:eastAsia="Calibri" w:hAnsi="Palatino Linotype" w:cs="Tahoma"/>
          <w:bCs/>
          <w:sz w:val="22"/>
          <w:szCs w:val="22"/>
          <w:lang w:eastAsia="en-US"/>
        </w:rPr>
        <w:t>no establece que contar con título y cédula profesional sea obligatorio para acceder a un cargo público, salvo que la ley así lo determine.</w:t>
      </w:r>
    </w:p>
    <w:p w14:paraId="03D0E7A6" w14:textId="77777777" w:rsidR="001B3766" w:rsidRPr="001E7F59" w:rsidRDefault="001B3766" w:rsidP="001B3766">
      <w:pPr>
        <w:spacing w:line="360" w:lineRule="auto"/>
        <w:jc w:val="both"/>
        <w:rPr>
          <w:rFonts w:ascii="Palatino Linotype" w:hAnsi="Palatino Linotype" w:cs="Tahoma"/>
          <w:bCs/>
          <w:iCs/>
          <w:sz w:val="22"/>
          <w:szCs w:val="22"/>
        </w:rPr>
      </w:pPr>
    </w:p>
    <w:p w14:paraId="3534E4B5" w14:textId="183456C1" w:rsidR="001B3766" w:rsidRPr="001E7F59" w:rsidRDefault="001B3766" w:rsidP="001B3766">
      <w:pPr>
        <w:spacing w:line="360" w:lineRule="auto"/>
        <w:jc w:val="both"/>
        <w:rPr>
          <w:rFonts w:ascii="Palatino Linotype" w:eastAsiaTheme="minorHAnsi" w:hAnsi="Palatino Linotype" w:cs="Tahoma"/>
          <w:color w:val="000000" w:themeColor="text1"/>
          <w:sz w:val="22"/>
          <w:szCs w:val="22"/>
          <w:lang w:eastAsia="en-US"/>
        </w:rPr>
      </w:pPr>
      <w:r w:rsidRPr="001E7F59">
        <w:rPr>
          <w:rFonts w:ascii="Palatino Linotype" w:eastAsiaTheme="minorHAnsi" w:hAnsi="Palatino Linotype" w:cs="Tahoma"/>
          <w:color w:val="000000" w:themeColor="text1"/>
          <w:sz w:val="22"/>
          <w:szCs w:val="22"/>
          <w:lang w:eastAsia="en-US"/>
        </w:rPr>
        <w:t xml:space="preserve">En este contexto, el </w:t>
      </w:r>
      <w:r w:rsidR="00176F07" w:rsidRPr="001E7F59">
        <w:rPr>
          <w:rFonts w:ascii="Palatino Linotype" w:eastAsiaTheme="minorHAnsi" w:hAnsi="Palatino Linotype" w:cs="Tahoma"/>
          <w:color w:val="000000" w:themeColor="text1"/>
          <w:sz w:val="22"/>
          <w:szCs w:val="22"/>
          <w:lang w:eastAsia="en-US"/>
        </w:rPr>
        <w:t>Sujeto Obligado</w:t>
      </w:r>
      <w:r w:rsidRPr="001E7F59">
        <w:rPr>
          <w:rFonts w:ascii="Palatino Linotype" w:eastAsiaTheme="minorHAnsi" w:hAnsi="Palatino Linotype" w:cs="Tahoma"/>
          <w:color w:val="000000" w:themeColor="text1"/>
          <w:sz w:val="22"/>
          <w:szCs w:val="22"/>
          <w:lang w:eastAsia="en-US"/>
        </w:rPr>
        <w:t xml:space="preserve">, remitió </w:t>
      </w:r>
      <w:r w:rsidR="00176F07" w:rsidRPr="001E7F59">
        <w:rPr>
          <w:rFonts w:ascii="Palatino Linotype" w:eastAsiaTheme="minorHAnsi" w:hAnsi="Palatino Linotype" w:cs="Tahoma"/>
          <w:color w:val="000000" w:themeColor="text1"/>
          <w:sz w:val="22"/>
          <w:szCs w:val="22"/>
          <w:lang w:eastAsia="en-US"/>
        </w:rPr>
        <w:t xml:space="preserve">el </w:t>
      </w:r>
      <w:r w:rsidRPr="001E7F59">
        <w:rPr>
          <w:rFonts w:ascii="Palatino Linotype" w:eastAsiaTheme="minorHAnsi" w:hAnsi="Palatino Linotype" w:cs="Tahoma"/>
          <w:color w:val="000000" w:themeColor="text1"/>
          <w:sz w:val="22"/>
          <w:szCs w:val="22"/>
          <w:lang w:eastAsia="en-US"/>
        </w:rPr>
        <w:t>Título</w:t>
      </w:r>
      <w:r w:rsidR="00176F07" w:rsidRPr="001E7F59">
        <w:rPr>
          <w:rFonts w:ascii="Palatino Linotype" w:eastAsiaTheme="minorHAnsi" w:hAnsi="Palatino Linotype" w:cs="Tahoma"/>
          <w:color w:val="000000" w:themeColor="text1"/>
          <w:sz w:val="22"/>
          <w:szCs w:val="22"/>
          <w:lang w:eastAsia="en-US"/>
        </w:rPr>
        <w:t xml:space="preserve"> y Cédula</w:t>
      </w:r>
      <w:r w:rsidRPr="001E7F59">
        <w:rPr>
          <w:rFonts w:ascii="Palatino Linotype" w:eastAsiaTheme="minorHAnsi" w:hAnsi="Palatino Linotype" w:cs="Tahoma"/>
          <w:color w:val="000000" w:themeColor="text1"/>
          <w:sz w:val="22"/>
          <w:szCs w:val="22"/>
          <w:lang w:eastAsia="en-US"/>
        </w:rPr>
        <w:t xml:space="preserve"> Profesional que corresponde </w:t>
      </w:r>
      <w:r w:rsidR="00176F07" w:rsidRPr="001E7F59">
        <w:rPr>
          <w:rFonts w:ascii="Palatino Linotype" w:eastAsiaTheme="minorHAnsi" w:hAnsi="Palatino Linotype" w:cs="Tahoma"/>
          <w:color w:val="000000" w:themeColor="text1"/>
          <w:sz w:val="22"/>
          <w:szCs w:val="22"/>
          <w:lang w:eastAsia="en-US"/>
        </w:rPr>
        <w:t>a la Titular de la Subdirección de Administración de Agua y Saneamiento de Toluca</w:t>
      </w:r>
      <w:r w:rsidRPr="001E7F59">
        <w:rPr>
          <w:rFonts w:ascii="Palatino Linotype" w:eastAsiaTheme="minorHAnsi" w:hAnsi="Palatino Linotype" w:cs="Tahoma"/>
          <w:color w:val="000000" w:themeColor="text1"/>
          <w:sz w:val="22"/>
          <w:szCs w:val="22"/>
          <w:lang w:eastAsia="en-US"/>
        </w:rPr>
        <w:t xml:space="preserve">, </w:t>
      </w:r>
      <w:r w:rsidR="00176F07" w:rsidRPr="001E7F59">
        <w:rPr>
          <w:rFonts w:ascii="Palatino Linotype" w:eastAsiaTheme="minorHAnsi" w:hAnsi="Palatino Linotype" w:cs="Tahoma"/>
          <w:color w:val="000000" w:themeColor="text1"/>
          <w:sz w:val="22"/>
          <w:szCs w:val="22"/>
          <w:lang w:eastAsia="en-US"/>
        </w:rPr>
        <w:t>documentos que son de interés del particular.</w:t>
      </w:r>
      <w:r w:rsidR="00E650EA" w:rsidRPr="001E7F59">
        <w:rPr>
          <w:rFonts w:ascii="Palatino Linotype" w:eastAsiaTheme="minorHAnsi" w:hAnsi="Palatino Linotype" w:cs="Tahoma"/>
          <w:color w:val="000000" w:themeColor="text1"/>
          <w:sz w:val="22"/>
          <w:szCs w:val="22"/>
          <w:lang w:eastAsia="en-US"/>
        </w:rPr>
        <w:t xml:space="preserve"> </w:t>
      </w:r>
      <w:r w:rsidR="00176F07" w:rsidRPr="001E7F59">
        <w:rPr>
          <w:rFonts w:ascii="Palatino Linotype" w:eastAsiaTheme="minorHAnsi" w:hAnsi="Palatino Linotype" w:cs="Tahoma"/>
          <w:color w:val="000000" w:themeColor="text1"/>
          <w:sz w:val="22"/>
          <w:szCs w:val="22"/>
          <w:lang w:eastAsia="en-US"/>
        </w:rPr>
        <w:t>No obstante lo anterior, se advierte que respecto al Título Profesional fue remitido en versión íntegra, sin que se advierta algún dato personal visible. Por su parte la Cédula Profesional no corre la misma suerte, toda vez que se test</w:t>
      </w:r>
      <w:r w:rsidR="00E650EA" w:rsidRPr="001E7F59">
        <w:rPr>
          <w:rFonts w:ascii="Palatino Linotype" w:eastAsiaTheme="minorHAnsi" w:hAnsi="Palatino Linotype" w:cs="Tahoma"/>
          <w:color w:val="000000" w:themeColor="text1"/>
          <w:sz w:val="22"/>
          <w:szCs w:val="22"/>
          <w:lang w:eastAsia="en-US"/>
        </w:rPr>
        <w:t>ó</w:t>
      </w:r>
      <w:r w:rsidR="00176F07" w:rsidRPr="001E7F59">
        <w:rPr>
          <w:rFonts w:ascii="Palatino Linotype" w:eastAsiaTheme="minorHAnsi" w:hAnsi="Palatino Linotype" w:cs="Tahoma"/>
          <w:color w:val="000000" w:themeColor="text1"/>
          <w:sz w:val="22"/>
          <w:szCs w:val="22"/>
          <w:lang w:eastAsia="en-US"/>
        </w:rPr>
        <w:t xml:space="preserve"> el número de cédula profesional </w:t>
      </w:r>
      <w:r w:rsidR="00E650EA" w:rsidRPr="001E7F59">
        <w:rPr>
          <w:rFonts w:ascii="Palatino Linotype" w:eastAsiaTheme="minorHAnsi" w:hAnsi="Palatino Linotype" w:cs="Tahoma"/>
          <w:color w:val="000000" w:themeColor="text1"/>
          <w:sz w:val="22"/>
          <w:szCs w:val="22"/>
          <w:lang w:eastAsia="en-US"/>
        </w:rPr>
        <w:t xml:space="preserve">dato que debe ser considerado público </w:t>
      </w:r>
      <w:r w:rsidR="000A7CFC" w:rsidRPr="001E7F59">
        <w:rPr>
          <w:rFonts w:ascii="Palatino Linotype" w:eastAsiaTheme="minorHAnsi" w:hAnsi="Palatino Linotype" w:cs="Tahoma"/>
          <w:color w:val="000000" w:themeColor="text1"/>
          <w:sz w:val="22"/>
          <w:szCs w:val="22"/>
          <w:lang w:eastAsia="en-US"/>
        </w:rPr>
        <w:t xml:space="preserve">y se dejó visible la firma de su Titular, </w:t>
      </w:r>
      <w:r w:rsidR="00E650EA" w:rsidRPr="001E7F59">
        <w:rPr>
          <w:rFonts w:ascii="Palatino Linotype" w:eastAsiaTheme="minorHAnsi" w:hAnsi="Palatino Linotype" w:cs="Tahoma"/>
          <w:color w:val="000000" w:themeColor="text1"/>
          <w:sz w:val="22"/>
          <w:szCs w:val="22"/>
          <w:lang w:eastAsia="en-US"/>
        </w:rPr>
        <w:t>la cual, debe clasificarse como confidencial en virtud de que no se firmó por su titular en carácter de servidor público, sino en el ámbito de su vida privada.</w:t>
      </w:r>
    </w:p>
    <w:p w14:paraId="6E3A1C5B" w14:textId="77777777" w:rsidR="00E650EA" w:rsidRPr="001E7F59" w:rsidRDefault="00E650EA" w:rsidP="001B3766">
      <w:pPr>
        <w:spacing w:line="360" w:lineRule="auto"/>
        <w:jc w:val="both"/>
        <w:rPr>
          <w:rFonts w:ascii="Palatino Linotype" w:eastAsiaTheme="minorHAnsi" w:hAnsi="Palatino Linotype" w:cs="Tahoma"/>
          <w:color w:val="000000" w:themeColor="text1"/>
          <w:sz w:val="22"/>
          <w:szCs w:val="22"/>
          <w:lang w:eastAsia="en-US"/>
        </w:rPr>
      </w:pPr>
    </w:p>
    <w:p w14:paraId="641CF030" w14:textId="7C584DD6" w:rsidR="007122E3" w:rsidRPr="001E7F59" w:rsidRDefault="00E650EA" w:rsidP="00E650EA">
      <w:pPr>
        <w:spacing w:line="360" w:lineRule="auto"/>
        <w:jc w:val="both"/>
        <w:rPr>
          <w:rFonts w:ascii="Palatino Linotype" w:eastAsiaTheme="minorHAnsi" w:hAnsi="Palatino Linotype" w:cstheme="minorBidi"/>
          <w:color w:val="000000" w:themeColor="text1"/>
          <w:sz w:val="22"/>
          <w:szCs w:val="22"/>
          <w:lang w:eastAsia="en-US"/>
        </w:rPr>
      </w:pPr>
      <w:r w:rsidRPr="001E7F59">
        <w:rPr>
          <w:rFonts w:ascii="Palatino Linotype" w:eastAsiaTheme="minorHAnsi" w:hAnsi="Palatino Linotype" w:cs="Tahoma"/>
          <w:color w:val="000000" w:themeColor="text1"/>
          <w:sz w:val="22"/>
          <w:szCs w:val="22"/>
          <w:lang w:eastAsia="en-US"/>
        </w:rPr>
        <w:t>Por lo que hace a las f</w:t>
      </w:r>
      <w:r w:rsidR="007122E3" w:rsidRPr="001E7F59">
        <w:rPr>
          <w:rFonts w:ascii="Palatino Linotype" w:eastAsiaTheme="minorHAnsi" w:hAnsi="Palatino Linotype" w:cstheme="minorBidi"/>
          <w:color w:val="000000" w:themeColor="text1"/>
          <w:sz w:val="22"/>
          <w:szCs w:val="22"/>
          <w:lang w:eastAsia="en-US"/>
        </w:rPr>
        <w:t>otografía en documento que acredite el último grado de estudios</w:t>
      </w:r>
      <w:r w:rsidRPr="001E7F59">
        <w:rPr>
          <w:rFonts w:ascii="Palatino Linotype" w:eastAsiaTheme="minorHAnsi" w:hAnsi="Palatino Linotype" w:cstheme="minorBidi"/>
          <w:color w:val="000000" w:themeColor="text1"/>
          <w:sz w:val="22"/>
          <w:szCs w:val="22"/>
          <w:lang w:eastAsia="en-US"/>
        </w:rPr>
        <w:t>, estas se consideran de naturaleza pública por obrar en un documento que da cuenta de la preparación académica de los servidores públicos.</w:t>
      </w:r>
    </w:p>
    <w:p w14:paraId="4540C009" w14:textId="77777777" w:rsidR="007122E3" w:rsidRPr="001E7F59" w:rsidRDefault="007122E3" w:rsidP="007122E3">
      <w:pPr>
        <w:tabs>
          <w:tab w:val="left" w:pos="4962"/>
        </w:tabs>
        <w:spacing w:line="360" w:lineRule="auto"/>
        <w:jc w:val="both"/>
        <w:rPr>
          <w:rFonts w:ascii="Palatino Linotype" w:eastAsia="Calibri" w:hAnsi="Palatino Linotype" w:cs="Tahoma"/>
          <w:bCs/>
          <w:sz w:val="22"/>
          <w:szCs w:val="22"/>
          <w:lang w:val="es-ES" w:eastAsia="en-US"/>
        </w:rPr>
      </w:pPr>
    </w:p>
    <w:p w14:paraId="6013FBA6" w14:textId="77777777" w:rsidR="007122E3" w:rsidRPr="001E7F59" w:rsidRDefault="007122E3" w:rsidP="007122E3">
      <w:pPr>
        <w:spacing w:line="360" w:lineRule="auto"/>
        <w:ind w:right="49"/>
        <w:contextualSpacing/>
        <w:jc w:val="both"/>
        <w:rPr>
          <w:rFonts w:ascii="Palatino Linotype" w:eastAsia="Calibri" w:hAnsi="Palatino Linotype"/>
          <w:sz w:val="22"/>
          <w:szCs w:val="22"/>
          <w:lang w:eastAsia="en-US"/>
        </w:rPr>
      </w:pPr>
      <w:r w:rsidRPr="001E7F59">
        <w:rPr>
          <w:rFonts w:ascii="Palatino Linotype" w:eastAsia="Calibri" w:hAnsi="Palatino Linotype"/>
          <w:sz w:val="22"/>
          <w:szCs w:val="22"/>
          <w:lang w:eastAsia="en-US"/>
        </w:rPr>
        <w:lastRenderedPageBreak/>
        <w:t xml:space="preserve">Sobre el tema, resulta necesario traer a colación, </w:t>
      </w:r>
      <w:r w:rsidRPr="001E7F59">
        <w:rPr>
          <w:rFonts w:ascii="Palatino Linotype" w:hAnsi="Palatino Linotype" w:cs="Tahoma"/>
          <w:bCs/>
          <w:iCs/>
          <w:sz w:val="22"/>
          <w:szCs w:val="22"/>
          <w:lang w:eastAsia="es-MX"/>
        </w:rPr>
        <w:t xml:space="preserve">el </w:t>
      </w:r>
      <w:r w:rsidRPr="001E7F59">
        <w:rPr>
          <w:rFonts w:ascii="Palatino Linotype" w:eastAsia="Calibri" w:hAnsi="Palatino Linotype" w:cs="Tahoma"/>
          <w:bCs/>
          <w:iCs/>
          <w:sz w:val="22"/>
          <w:szCs w:val="22"/>
          <w:lang w:eastAsia="en-US"/>
        </w:rPr>
        <w:t xml:space="preserve">Criterio de Interpretación, de la Segunda Época, con número de registro SO/015/2017, </w:t>
      </w:r>
      <w:r w:rsidRPr="001E7F59">
        <w:rPr>
          <w:rFonts w:ascii="Palatino Linotype" w:hAnsi="Palatino Linotype" w:cs="Tahoma"/>
          <w:bCs/>
          <w:iCs/>
          <w:sz w:val="22"/>
          <w:szCs w:val="22"/>
          <w:lang w:eastAsia="es-MX"/>
        </w:rPr>
        <w:t>emitido por el Instituto Nacional de Transparencia, Acceso a la Información y Protección de Datos Personales</w:t>
      </w:r>
      <w:r w:rsidRPr="001E7F59">
        <w:rPr>
          <w:rFonts w:ascii="Palatino Linotype" w:eastAsia="Calibri" w:hAnsi="Palatino Linotype"/>
          <w:sz w:val="22"/>
          <w:szCs w:val="22"/>
          <w:lang w:eastAsia="en-US"/>
        </w:rPr>
        <w:t>, que precisa, que la fotografía localizada en título o cédula profesional guarda la naturaleza de pública, pues existe un interés público de conocer, de manera clara y específica, a la persona que se ostenta con una calidad profesional, tal como se muestra a continuación:</w:t>
      </w:r>
    </w:p>
    <w:p w14:paraId="79A9FC19" w14:textId="77777777" w:rsidR="007122E3" w:rsidRPr="001E7F59" w:rsidRDefault="007122E3" w:rsidP="007122E3">
      <w:pPr>
        <w:spacing w:line="360" w:lineRule="auto"/>
        <w:ind w:right="49"/>
        <w:contextualSpacing/>
        <w:jc w:val="both"/>
        <w:rPr>
          <w:rFonts w:ascii="Palatino Linotype" w:eastAsia="Calibri" w:hAnsi="Palatino Linotype"/>
          <w:sz w:val="22"/>
          <w:szCs w:val="22"/>
          <w:lang w:eastAsia="en-US"/>
        </w:rPr>
      </w:pPr>
    </w:p>
    <w:p w14:paraId="09394166" w14:textId="77777777" w:rsidR="007122E3" w:rsidRPr="001E7F59" w:rsidRDefault="007122E3" w:rsidP="007122E3">
      <w:pPr>
        <w:spacing w:line="360" w:lineRule="auto"/>
        <w:ind w:left="567" w:right="567"/>
        <w:contextualSpacing/>
        <w:jc w:val="both"/>
        <w:rPr>
          <w:rFonts w:ascii="Palatino Linotype" w:eastAsia="Calibri" w:hAnsi="Palatino Linotype"/>
          <w:i/>
          <w:lang w:eastAsia="en-US"/>
        </w:rPr>
      </w:pPr>
      <w:r w:rsidRPr="001E7F59">
        <w:rPr>
          <w:rFonts w:ascii="Palatino Linotype" w:eastAsia="Calibri" w:hAnsi="Palatino Linotype"/>
          <w:b/>
          <w:i/>
          <w:lang w:eastAsia="en-US"/>
        </w:rPr>
        <w:t>“Fotografía en título o cédula profesional es de acceso público.</w:t>
      </w:r>
      <w:r w:rsidRPr="001E7F59">
        <w:rPr>
          <w:rFonts w:ascii="Palatino Linotype" w:eastAsia="Calibri" w:hAnsi="Palatino Linotype"/>
          <w:i/>
          <w:lang w:eastAsia="en-US"/>
        </w:rPr>
        <w:t xml:space="preserve"> Si bien la fotografía de una persona física es un dato personal, cuando se encuentra en un título o cédula profesional no es susceptible de clasificarse como confidencial, en virtud del interés público que existe de conocer que la persona que se ostenta con una calidad profesional determinada es la misma que aparece en dichos documentos oficiales. De esta manera, la fotografía contenida en el título o cédula profesional es pública y susceptible de divulgación.”</w:t>
      </w:r>
    </w:p>
    <w:p w14:paraId="748E9256" w14:textId="77777777" w:rsidR="007122E3" w:rsidRPr="001E7F59" w:rsidRDefault="007122E3" w:rsidP="007122E3">
      <w:pPr>
        <w:spacing w:line="360" w:lineRule="auto"/>
        <w:ind w:left="567" w:right="333"/>
        <w:contextualSpacing/>
        <w:jc w:val="both"/>
        <w:rPr>
          <w:rFonts w:ascii="Palatino Linotype" w:eastAsia="Calibri" w:hAnsi="Palatino Linotype"/>
          <w:i/>
          <w:lang w:eastAsia="en-US"/>
        </w:rPr>
      </w:pPr>
    </w:p>
    <w:p w14:paraId="1C90D47F" w14:textId="77777777" w:rsidR="007122E3" w:rsidRPr="001E7F59" w:rsidRDefault="007122E3" w:rsidP="007122E3">
      <w:pPr>
        <w:tabs>
          <w:tab w:val="left" w:pos="4962"/>
        </w:tabs>
        <w:spacing w:line="360" w:lineRule="auto"/>
        <w:ind w:right="-28"/>
        <w:jc w:val="both"/>
        <w:rPr>
          <w:rFonts w:ascii="Palatino Linotype" w:eastAsia="Calibri" w:hAnsi="Palatino Linotype" w:cs="Tahoma"/>
          <w:sz w:val="22"/>
          <w:szCs w:val="22"/>
          <w:lang w:val="x-none" w:eastAsia="en-US"/>
        </w:rPr>
      </w:pPr>
      <w:r w:rsidRPr="001E7F59">
        <w:rPr>
          <w:rFonts w:ascii="Palatino Linotype" w:eastAsia="Calibri" w:hAnsi="Palatino Linotype" w:cs="Tahoma"/>
          <w:sz w:val="22"/>
          <w:szCs w:val="22"/>
          <w:lang w:eastAsia="en-US"/>
        </w:rPr>
        <w:t>Conforme al criterio establecido, se desprende que la fotografía de cualquier persona que se encuentre en un título o cédula profesional, no es confidencial, pues permite identificar si la persona que se ostenta como profesional, es la que se localiza en los documentos comprobatorios, por lo que, en el presente caso, no procede su clasificación</w:t>
      </w:r>
      <w:r w:rsidRPr="001E7F59">
        <w:rPr>
          <w:rFonts w:ascii="Palatino Linotype" w:eastAsia="Calibri" w:hAnsi="Palatino Linotype" w:cs="Tahoma"/>
          <w:sz w:val="22"/>
          <w:szCs w:val="22"/>
          <w:lang w:val="x-none" w:eastAsia="en-US"/>
        </w:rPr>
        <w:t xml:space="preserve"> en términos del artículo 143, fracción I, de la Ley de Transparencia y Acceso a la Información Pública del Estado de México y Municipios.</w:t>
      </w:r>
    </w:p>
    <w:p w14:paraId="7B34CB4C" w14:textId="77777777" w:rsidR="007122E3" w:rsidRPr="001E7F59" w:rsidRDefault="007122E3" w:rsidP="007122E3">
      <w:pPr>
        <w:tabs>
          <w:tab w:val="left" w:pos="4962"/>
        </w:tabs>
        <w:spacing w:line="360" w:lineRule="auto"/>
        <w:ind w:right="-28"/>
        <w:jc w:val="both"/>
        <w:rPr>
          <w:rFonts w:ascii="Palatino Linotype" w:eastAsia="Calibri" w:hAnsi="Palatino Linotype" w:cs="Tahoma"/>
          <w:sz w:val="22"/>
          <w:szCs w:val="22"/>
          <w:lang w:val="x-none" w:eastAsia="en-US"/>
        </w:rPr>
      </w:pPr>
    </w:p>
    <w:p w14:paraId="4A2D69A1" w14:textId="20B40A1B" w:rsidR="0001151B" w:rsidRPr="001E7F59" w:rsidRDefault="0001151B" w:rsidP="004954C1">
      <w:pPr>
        <w:pStyle w:val="Prrafodelista"/>
        <w:numPr>
          <w:ilvl w:val="0"/>
          <w:numId w:val="34"/>
        </w:numPr>
        <w:spacing w:line="360" w:lineRule="auto"/>
        <w:jc w:val="both"/>
        <w:rPr>
          <w:rFonts w:ascii="Palatino Linotype" w:hAnsi="Palatino Linotype" w:cs="Tahoma"/>
          <w:b/>
          <w:bCs/>
          <w:szCs w:val="22"/>
          <w:lang w:val="es-ES"/>
        </w:rPr>
      </w:pPr>
      <w:r w:rsidRPr="001E7F59">
        <w:rPr>
          <w:rFonts w:ascii="Palatino Linotype" w:hAnsi="Palatino Linotype" w:cs="Tahoma"/>
          <w:b/>
          <w:bCs/>
          <w:szCs w:val="22"/>
        </w:rPr>
        <w:t>Vehículo asignado, placas, modelo, color y cantidad de combustible asignado</w:t>
      </w:r>
    </w:p>
    <w:p w14:paraId="46DC4EC2" w14:textId="77777777" w:rsidR="001B3766" w:rsidRPr="001E7F59" w:rsidRDefault="001B3766" w:rsidP="001B3766">
      <w:pPr>
        <w:spacing w:line="360" w:lineRule="auto"/>
        <w:jc w:val="both"/>
        <w:rPr>
          <w:rFonts w:ascii="Palatino Linotype" w:eastAsiaTheme="minorHAnsi" w:hAnsi="Palatino Linotype" w:cs="Tahoma"/>
          <w:color w:val="000000" w:themeColor="text1"/>
          <w:sz w:val="22"/>
          <w:szCs w:val="22"/>
          <w:lang w:eastAsia="en-US"/>
        </w:rPr>
      </w:pPr>
    </w:p>
    <w:p w14:paraId="143A3076" w14:textId="56B67743" w:rsidR="0001151B" w:rsidRPr="001E7F59" w:rsidRDefault="0001151B" w:rsidP="008B29E4">
      <w:pPr>
        <w:spacing w:line="360" w:lineRule="auto"/>
        <w:jc w:val="both"/>
        <w:rPr>
          <w:rFonts w:ascii="Palatino Linotype" w:hAnsi="Palatino Linotype" w:cs="Tahoma"/>
          <w:bCs/>
          <w:sz w:val="22"/>
          <w:szCs w:val="22"/>
        </w:rPr>
      </w:pPr>
      <w:r w:rsidRPr="001E7F59">
        <w:rPr>
          <w:rFonts w:ascii="Palatino Linotype" w:hAnsi="Palatino Linotype" w:cs="Tahoma"/>
          <w:sz w:val="22"/>
          <w:szCs w:val="22"/>
          <w:lang w:val="es-ES"/>
        </w:rPr>
        <w:t>Respecto a este punto de la solicitud, el Sujeto Obligado señaló a través del</w:t>
      </w:r>
      <w:r w:rsidRPr="001E7F59">
        <w:rPr>
          <w:rFonts w:ascii="Palatino Linotype" w:hAnsi="Palatino Linotype" w:cs="Tahoma"/>
          <w:bCs/>
          <w:sz w:val="22"/>
          <w:szCs w:val="22"/>
        </w:rPr>
        <w:t xml:space="preserve"> </w:t>
      </w:r>
      <w:r w:rsidR="008B29E4" w:rsidRPr="001E7F59">
        <w:rPr>
          <w:rFonts w:ascii="Palatino Linotype" w:hAnsi="Palatino Linotype" w:cs="Tahoma"/>
          <w:bCs/>
          <w:sz w:val="22"/>
          <w:szCs w:val="22"/>
        </w:rPr>
        <w:t xml:space="preserve">Subdirector de Administración que ponía a disposición del particular, en consulta directa, la información </w:t>
      </w:r>
      <w:r w:rsidR="008B29E4" w:rsidRPr="001E7F59">
        <w:rPr>
          <w:rFonts w:ascii="Palatino Linotype" w:hAnsi="Palatino Linotype" w:cs="Tahoma"/>
          <w:bCs/>
          <w:sz w:val="22"/>
          <w:szCs w:val="22"/>
        </w:rPr>
        <w:lastRenderedPageBreak/>
        <w:t>solicitada, ya que la misma se encuentra bajo el resguardo del Departamento de Servicios Generales y Control Patrimonial.</w:t>
      </w:r>
    </w:p>
    <w:p w14:paraId="310A3223" w14:textId="77777777" w:rsidR="008B29E4" w:rsidRPr="001E7F59" w:rsidRDefault="008B29E4" w:rsidP="008B29E4">
      <w:pPr>
        <w:spacing w:line="360" w:lineRule="auto"/>
        <w:jc w:val="both"/>
        <w:rPr>
          <w:rFonts w:ascii="Palatino Linotype" w:hAnsi="Palatino Linotype" w:cs="Tahoma"/>
          <w:bCs/>
          <w:sz w:val="22"/>
          <w:szCs w:val="22"/>
        </w:rPr>
      </w:pPr>
    </w:p>
    <w:p w14:paraId="2FE93272" w14:textId="11BD7944" w:rsidR="008B29E4" w:rsidRPr="001E7F59" w:rsidRDefault="008B29E4" w:rsidP="008B29E4">
      <w:pPr>
        <w:spacing w:line="360" w:lineRule="auto"/>
        <w:jc w:val="both"/>
        <w:rPr>
          <w:rFonts w:ascii="Palatino Linotype" w:hAnsi="Palatino Linotype" w:cs="Tahoma"/>
          <w:bCs/>
          <w:sz w:val="22"/>
          <w:szCs w:val="22"/>
          <w:lang w:val="es-ES"/>
        </w:rPr>
      </w:pPr>
      <w:r w:rsidRPr="001E7F59">
        <w:rPr>
          <w:rFonts w:ascii="Palatino Linotype" w:hAnsi="Palatino Linotype" w:cs="Tahoma"/>
          <w:bCs/>
          <w:sz w:val="22"/>
          <w:szCs w:val="22"/>
          <w:lang w:val="es-ES"/>
        </w:rPr>
        <w:t xml:space="preserve">En ese sentido, es importante traer a colación lo señalado en el </w:t>
      </w:r>
      <w:r w:rsidRPr="001E7F59">
        <w:rPr>
          <w:rFonts w:ascii="Palatino Linotype" w:hAnsi="Palatino Linotype" w:cs="Tahoma"/>
          <w:bCs/>
          <w:sz w:val="22"/>
          <w:szCs w:val="22"/>
        </w:rPr>
        <w:t>REGLAMENTO INTERIOR DEL ORGANISMO PÚBLICO DESCENTRALIZADO POR SERVICIO DE CARÁCTER MUNICIPAL DENOMINADO AGUA Y SANEAMIENTO DE TOLUCA</w:t>
      </w:r>
      <w:r w:rsidR="00F45199" w:rsidRPr="001E7F59">
        <w:rPr>
          <w:rFonts w:ascii="Palatino Linotype" w:hAnsi="Palatino Linotype" w:cs="Tahoma"/>
          <w:bCs/>
          <w:sz w:val="22"/>
          <w:szCs w:val="22"/>
        </w:rPr>
        <w:t>, el cual señala en su artículo 27, fracción V, numeral V.II, que para el despacho de los asuntos de su competencia, el Director General del Organismo tendrá la asistencia de diversas áreas administrativas que integran la estructura orgánica, entre ellas, la Subdirección de Administración, encargada de ejecutar las funciones administrativas, para poder coordinar y supervisar con eficiencia las acciones de adquisición, almacenamiento y suministro de bienes; así como las gestiones para la contratación de servicios generales que requieran las diferentes Unidades Administrativas del Organismo, la cual a su vez se integra del Departamento de Servicios Generales  y Control Patrimonial, el cual</w:t>
      </w:r>
      <w:r w:rsidR="00D50860" w:rsidRPr="001E7F59">
        <w:rPr>
          <w:rFonts w:ascii="Palatino Linotype" w:hAnsi="Palatino Linotype" w:cs="Tahoma"/>
          <w:bCs/>
          <w:sz w:val="22"/>
          <w:szCs w:val="22"/>
        </w:rPr>
        <w:t>,</w:t>
      </w:r>
      <w:r w:rsidR="00F45199" w:rsidRPr="001E7F59">
        <w:rPr>
          <w:rFonts w:ascii="Palatino Linotype" w:hAnsi="Palatino Linotype" w:cs="Tahoma"/>
          <w:bCs/>
          <w:sz w:val="22"/>
          <w:szCs w:val="22"/>
        </w:rPr>
        <w:t xml:space="preserve"> entre sus atribuciones se encuentra</w:t>
      </w:r>
      <w:r w:rsidR="00D50860" w:rsidRPr="001E7F59">
        <w:rPr>
          <w:rFonts w:ascii="Palatino Linotype" w:hAnsi="Palatino Linotype" w:cs="Tahoma"/>
          <w:bCs/>
          <w:sz w:val="22"/>
          <w:szCs w:val="22"/>
        </w:rPr>
        <w:t>n,</w:t>
      </w:r>
      <w:r w:rsidR="00F45199" w:rsidRPr="001E7F59">
        <w:rPr>
          <w:rFonts w:ascii="Palatino Linotype" w:hAnsi="Palatino Linotype" w:cs="Tahoma"/>
          <w:bCs/>
          <w:sz w:val="22"/>
          <w:szCs w:val="22"/>
        </w:rPr>
        <w:t xml:space="preserve"> realizar los trámites administrativos relacionados con el</w:t>
      </w:r>
      <w:r w:rsidR="00D50860" w:rsidRPr="001E7F59">
        <w:rPr>
          <w:rFonts w:ascii="Palatino Linotype" w:hAnsi="Palatino Linotype" w:cs="Tahoma"/>
          <w:bCs/>
          <w:sz w:val="22"/>
          <w:szCs w:val="22"/>
        </w:rPr>
        <w:t xml:space="preserve"> parque vehicular y</w:t>
      </w:r>
      <w:r w:rsidR="00D50860" w:rsidRPr="001E7F59">
        <w:t xml:space="preserve"> </w:t>
      </w:r>
      <w:r w:rsidR="00D50860" w:rsidRPr="001E7F59">
        <w:rPr>
          <w:rFonts w:ascii="Palatino Linotype" w:hAnsi="Palatino Linotype" w:cs="Tahoma"/>
          <w:bCs/>
          <w:sz w:val="22"/>
          <w:szCs w:val="22"/>
        </w:rPr>
        <w:t>coordinar el registro y control de bienes inmuebles del Organismo.</w:t>
      </w:r>
    </w:p>
    <w:p w14:paraId="7D2D7BE0" w14:textId="77777777" w:rsidR="008B29E4" w:rsidRPr="001E7F59" w:rsidRDefault="008B29E4" w:rsidP="008B29E4">
      <w:pPr>
        <w:spacing w:line="360" w:lineRule="auto"/>
        <w:jc w:val="both"/>
        <w:rPr>
          <w:rFonts w:ascii="Palatino Linotype" w:hAnsi="Palatino Linotype" w:cs="Tahoma"/>
          <w:bCs/>
          <w:sz w:val="22"/>
          <w:szCs w:val="22"/>
          <w:lang w:val="es-ES"/>
        </w:rPr>
      </w:pPr>
    </w:p>
    <w:p w14:paraId="74B4A453" w14:textId="20411E20" w:rsidR="008B29E4" w:rsidRPr="001E7F59" w:rsidRDefault="008B29E4" w:rsidP="008B29E4">
      <w:pPr>
        <w:spacing w:line="360" w:lineRule="auto"/>
        <w:jc w:val="both"/>
        <w:rPr>
          <w:rFonts w:ascii="Palatino Linotype" w:hAnsi="Palatino Linotype" w:cs="Tahoma"/>
          <w:bCs/>
          <w:sz w:val="22"/>
          <w:szCs w:val="22"/>
          <w:lang w:val="es-ES"/>
        </w:rPr>
      </w:pPr>
      <w:r w:rsidRPr="001E7F59">
        <w:rPr>
          <w:rFonts w:ascii="Palatino Linotype" w:hAnsi="Palatino Linotype" w:cs="Tahoma"/>
          <w:bCs/>
          <w:sz w:val="22"/>
          <w:szCs w:val="22"/>
          <w:lang w:val="es-ES"/>
        </w:rPr>
        <w:t xml:space="preserve">Ahora bien, por lo que respecta al control del suministro de combustible de los vehículos, los Lineamientos de Control Financiero y Administrativo para las Entidades Fiscalizables Municipales del Estado de México, (consultado en la liga electrónica </w:t>
      </w:r>
      <w:hyperlink r:id="rId12" w:history="1">
        <w:r w:rsidRPr="001E7F59">
          <w:rPr>
            <w:rStyle w:val="Hipervnculo"/>
            <w:rFonts w:ascii="Palatino Linotype" w:hAnsi="Palatino Linotype" w:cs="Tahoma"/>
            <w:bCs/>
            <w:sz w:val="22"/>
            <w:szCs w:val="22"/>
            <w:lang w:val="es-ES"/>
          </w:rPr>
          <w:t>http://legislacion.edomex.gob.mx/sites/legislacion.edomex.gob.mx/files/files/vigentes/jul113.PDF</w:t>
        </w:r>
      </w:hyperlink>
      <w:r w:rsidRPr="001E7F59">
        <w:rPr>
          <w:rFonts w:ascii="Palatino Linotype" w:hAnsi="Palatino Linotype" w:cs="Tahoma"/>
          <w:bCs/>
          <w:sz w:val="22"/>
          <w:szCs w:val="22"/>
          <w:lang w:val="es-ES"/>
        </w:rPr>
        <w:t xml:space="preserve"> el dieciocho de febrero de dos mil veinticinco a las quince horas), tienen por objeto establecer las normas en materia de control financiero y administrativo en la obtención, administración y aplicación de los recursos públicos para las entidades fiscalizables municipales. Dentro de los sujetos de los Lineamientos mencionados, para los municipios, se consideran a los siguientes:</w:t>
      </w:r>
    </w:p>
    <w:p w14:paraId="15DDDD6D" w14:textId="766485BD" w:rsidR="008B29E4" w:rsidRPr="001E7F59" w:rsidRDefault="008B29E4" w:rsidP="008B29E4">
      <w:pPr>
        <w:spacing w:line="360" w:lineRule="auto"/>
        <w:ind w:left="567" w:right="567"/>
        <w:jc w:val="both"/>
        <w:rPr>
          <w:rFonts w:ascii="Palatino Linotype" w:hAnsi="Palatino Linotype" w:cs="Tahoma"/>
          <w:bCs/>
          <w:i/>
          <w:szCs w:val="22"/>
          <w:lang w:val="es-ES"/>
        </w:rPr>
      </w:pPr>
      <w:r w:rsidRPr="001E7F59">
        <w:rPr>
          <w:rFonts w:ascii="Palatino Linotype" w:hAnsi="Palatino Linotype" w:cs="Tahoma"/>
          <w:bCs/>
          <w:i/>
          <w:szCs w:val="22"/>
          <w:lang w:val="es-ES"/>
        </w:rPr>
        <w:lastRenderedPageBreak/>
        <w:t>“</w:t>
      </w:r>
      <w:r w:rsidR="001D3ACB" w:rsidRPr="001E7F59">
        <w:rPr>
          <w:rFonts w:ascii="Palatino Linotype" w:hAnsi="Palatino Linotype" w:cs="Tahoma"/>
          <w:bCs/>
          <w:i/>
          <w:szCs w:val="22"/>
          <w:lang w:val="es-ES"/>
        </w:rPr>
        <w:t>DÉCIMO</w:t>
      </w:r>
      <w:r w:rsidRPr="001E7F59">
        <w:rPr>
          <w:rFonts w:ascii="Palatino Linotype" w:hAnsi="Palatino Linotype" w:cs="Tahoma"/>
          <w:bCs/>
          <w:i/>
          <w:szCs w:val="22"/>
          <w:lang w:val="es-ES"/>
        </w:rPr>
        <w:t>. Son sujetos de los presentes Lineamientos:</w:t>
      </w:r>
    </w:p>
    <w:p w14:paraId="7B846D92" w14:textId="4C0CE508" w:rsidR="001D3ACB" w:rsidRPr="001E7F59" w:rsidRDefault="001D3ACB" w:rsidP="001D3ACB">
      <w:pPr>
        <w:spacing w:line="360" w:lineRule="auto"/>
        <w:ind w:left="567" w:right="567"/>
        <w:jc w:val="both"/>
        <w:rPr>
          <w:rFonts w:ascii="Palatino Linotype" w:hAnsi="Palatino Linotype" w:cs="Tahoma"/>
          <w:bCs/>
          <w:i/>
          <w:szCs w:val="22"/>
          <w:lang w:val="es-ES"/>
        </w:rPr>
      </w:pPr>
      <w:r w:rsidRPr="001E7F59">
        <w:rPr>
          <w:rFonts w:ascii="Palatino Linotype" w:hAnsi="Palatino Linotype" w:cs="Tahoma"/>
          <w:bCs/>
          <w:i/>
          <w:szCs w:val="22"/>
          <w:lang w:val="es-ES"/>
        </w:rPr>
        <w:t>I…</w:t>
      </w:r>
    </w:p>
    <w:p w14:paraId="25BB2EB0" w14:textId="664804CD" w:rsidR="001D3ACB" w:rsidRPr="001E7F59" w:rsidRDefault="001D3ACB" w:rsidP="001D3ACB">
      <w:pPr>
        <w:spacing w:line="360" w:lineRule="auto"/>
        <w:ind w:left="567" w:right="567"/>
        <w:jc w:val="both"/>
        <w:rPr>
          <w:rFonts w:ascii="Palatino Linotype" w:hAnsi="Palatino Linotype" w:cs="Tahoma"/>
          <w:bCs/>
          <w:i/>
          <w:szCs w:val="22"/>
          <w:lang w:val="es-ES"/>
        </w:rPr>
      </w:pPr>
      <w:r w:rsidRPr="001E7F59">
        <w:rPr>
          <w:rFonts w:ascii="Palatino Linotype" w:hAnsi="Palatino Linotype" w:cs="Tahoma"/>
          <w:bCs/>
          <w:i/>
          <w:szCs w:val="22"/>
          <w:lang w:val="es-ES"/>
        </w:rPr>
        <w:t>II. En los Organismos Operadores de Agua:</w:t>
      </w:r>
    </w:p>
    <w:p w14:paraId="0EE90387" w14:textId="77777777" w:rsidR="001D3ACB" w:rsidRPr="001E7F59" w:rsidRDefault="001D3ACB" w:rsidP="001D3ACB">
      <w:pPr>
        <w:spacing w:line="360" w:lineRule="auto"/>
        <w:ind w:left="567" w:right="567"/>
        <w:jc w:val="both"/>
        <w:rPr>
          <w:rFonts w:ascii="Palatino Linotype" w:hAnsi="Palatino Linotype" w:cs="Tahoma"/>
          <w:bCs/>
          <w:i/>
          <w:szCs w:val="22"/>
        </w:rPr>
      </w:pPr>
      <w:r w:rsidRPr="001E7F59">
        <w:rPr>
          <w:rFonts w:ascii="Palatino Linotype" w:hAnsi="Palatino Linotype" w:cs="Tahoma"/>
          <w:bCs/>
          <w:i/>
          <w:szCs w:val="22"/>
        </w:rPr>
        <w:t xml:space="preserve">a) Consejo Directivo; </w:t>
      </w:r>
    </w:p>
    <w:p w14:paraId="521716AE" w14:textId="77777777" w:rsidR="001D3ACB" w:rsidRPr="001E7F59" w:rsidRDefault="001D3ACB" w:rsidP="001D3ACB">
      <w:pPr>
        <w:spacing w:line="360" w:lineRule="auto"/>
        <w:ind w:left="567" w:right="567"/>
        <w:jc w:val="both"/>
        <w:rPr>
          <w:rFonts w:ascii="Palatino Linotype" w:hAnsi="Palatino Linotype" w:cs="Tahoma"/>
          <w:bCs/>
          <w:i/>
          <w:szCs w:val="22"/>
        </w:rPr>
      </w:pPr>
      <w:r w:rsidRPr="001E7F59">
        <w:rPr>
          <w:rFonts w:ascii="Palatino Linotype" w:hAnsi="Palatino Linotype" w:cs="Tahoma"/>
          <w:bCs/>
          <w:i/>
          <w:szCs w:val="22"/>
        </w:rPr>
        <w:t xml:space="preserve">b) Director General; </w:t>
      </w:r>
    </w:p>
    <w:p w14:paraId="271B7647" w14:textId="77777777" w:rsidR="001D3ACB" w:rsidRPr="001E7F59" w:rsidRDefault="001D3ACB" w:rsidP="001D3ACB">
      <w:pPr>
        <w:spacing w:line="360" w:lineRule="auto"/>
        <w:ind w:left="567" w:right="567"/>
        <w:jc w:val="both"/>
        <w:rPr>
          <w:rFonts w:ascii="Palatino Linotype" w:hAnsi="Palatino Linotype" w:cs="Tahoma"/>
          <w:bCs/>
          <w:i/>
          <w:szCs w:val="22"/>
        </w:rPr>
      </w:pPr>
      <w:r w:rsidRPr="001E7F59">
        <w:rPr>
          <w:rFonts w:ascii="Palatino Linotype" w:hAnsi="Palatino Linotype" w:cs="Tahoma"/>
          <w:bCs/>
          <w:i/>
          <w:szCs w:val="22"/>
        </w:rPr>
        <w:t xml:space="preserve">c) Director de Finanzas; </w:t>
      </w:r>
    </w:p>
    <w:p w14:paraId="72063D3F" w14:textId="77777777" w:rsidR="001D3ACB" w:rsidRPr="001E7F59" w:rsidRDefault="001D3ACB" w:rsidP="001D3ACB">
      <w:pPr>
        <w:spacing w:line="360" w:lineRule="auto"/>
        <w:ind w:left="567" w:right="567"/>
        <w:jc w:val="both"/>
        <w:rPr>
          <w:rFonts w:ascii="Palatino Linotype" w:hAnsi="Palatino Linotype" w:cs="Tahoma"/>
          <w:bCs/>
          <w:i/>
          <w:szCs w:val="22"/>
        </w:rPr>
      </w:pPr>
      <w:r w:rsidRPr="001E7F59">
        <w:rPr>
          <w:rFonts w:ascii="Palatino Linotype" w:hAnsi="Palatino Linotype" w:cs="Tahoma"/>
          <w:bCs/>
          <w:i/>
          <w:szCs w:val="22"/>
        </w:rPr>
        <w:t xml:space="preserve">d) Comisario; y </w:t>
      </w:r>
    </w:p>
    <w:p w14:paraId="73ED1F09" w14:textId="74689B6F" w:rsidR="001D3ACB" w:rsidRPr="001E7F59" w:rsidRDefault="001D3ACB" w:rsidP="001D3ACB">
      <w:pPr>
        <w:spacing w:line="360" w:lineRule="auto"/>
        <w:ind w:left="567" w:right="567"/>
        <w:jc w:val="both"/>
        <w:rPr>
          <w:rFonts w:ascii="Palatino Linotype" w:hAnsi="Palatino Linotype" w:cs="Tahoma"/>
          <w:bCs/>
          <w:i/>
          <w:szCs w:val="22"/>
          <w:lang w:val="es-ES"/>
        </w:rPr>
      </w:pPr>
      <w:r w:rsidRPr="001E7F59">
        <w:rPr>
          <w:rFonts w:ascii="Palatino Linotype" w:hAnsi="Palatino Linotype" w:cs="Tahoma"/>
          <w:bCs/>
          <w:i/>
          <w:szCs w:val="22"/>
        </w:rPr>
        <w:t>e) Contralor.</w:t>
      </w:r>
    </w:p>
    <w:p w14:paraId="11B07F5B" w14:textId="4565A0AA" w:rsidR="008B29E4" w:rsidRPr="001E7F59" w:rsidRDefault="001D3ACB" w:rsidP="008B29E4">
      <w:pPr>
        <w:spacing w:line="360" w:lineRule="auto"/>
        <w:ind w:left="567" w:right="567"/>
        <w:jc w:val="both"/>
        <w:rPr>
          <w:rFonts w:ascii="Palatino Linotype" w:hAnsi="Palatino Linotype" w:cs="Tahoma"/>
          <w:bCs/>
          <w:i/>
          <w:szCs w:val="22"/>
          <w:lang w:val="es-ES"/>
        </w:rPr>
      </w:pPr>
      <w:r w:rsidRPr="001E7F59">
        <w:rPr>
          <w:rFonts w:ascii="Palatino Linotype" w:hAnsi="Palatino Linotype" w:cs="Tahoma"/>
          <w:bCs/>
          <w:i/>
          <w:szCs w:val="22"/>
          <w:lang w:val="es-ES"/>
        </w:rPr>
        <w:t>III a V…</w:t>
      </w:r>
    </w:p>
    <w:p w14:paraId="3B127CD5" w14:textId="77777777" w:rsidR="008B29E4" w:rsidRPr="001E7F59" w:rsidRDefault="008B29E4" w:rsidP="008B29E4">
      <w:pPr>
        <w:spacing w:line="360" w:lineRule="auto"/>
        <w:jc w:val="both"/>
        <w:rPr>
          <w:rFonts w:ascii="Palatino Linotype" w:hAnsi="Palatino Linotype" w:cs="Tahoma"/>
          <w:bCs/>
          <w:sz w:val="22"/>
          <w:szCs w:val="22"/>
          <w:lang w:val="es-ES"/>
        </w:rPr>
      </w:pPr>
    </w:p>
    <w:p w14:paraId="4F4BC8C0" w14:textId="3D6CD445" w:rsidR="008B29E4" w:rsidRPr="001E7F59" w:rsidRDefault="001D3ACB" w:rsidP="008B29E4">
      <w:pPr>
        <w:spacing w:line="360" w:lineRule="auto"/>
        <w:jc w:val="both"/>
        <w:rPr>
          <w:rFonts w:ascii="Palatino Linotype" w:hAnsi="Palatino Linotype" w:cs="Tahoma"/>
          <w:bCs/>
          <w:sz w:val="22"/>
          <w:szCs w:val="22"/>
          <w:lang w:val="es-ES"/>
        </w:rPr>
      </w:pPr>
      <w:r w:rsidRPr="001E7F59">
        <w:rPr>
          <w:rFonts w:ascii="Palatino Linotype" w:hAnsi="Palatino Linotype" w:cs="Tahoma"/>
          <w:bCs/>
          <w:sz w:val="22"/>
          <w:szCs w:val="22"/>
          <w:lang w:val="es-ES"/>
        </w:rPr>
        <w:t>Dentro de los</w:t>
      </w:r>
      <w:r w:rsidR="008B29E4" w:rsidRPr="001E7F59">
        <w:rPr>
          <w:rFonts w:ascii="Palatino Linotype" w:hAnsi="Palatino Linotype" w:cs="Tahoma"/>
          <w:bCs/>
          <w:sz w:val="22"/>
          <w:szCs w:val="22"/>
          <w:lang w:val="es-ES"/>
        </w:rPr>
        <w:t xml:space="preserve"> presente</w:t>
      </w:r>
      <w:r w:rsidRPr="001E7F59">
        <w:rPr>
          <w:rFonts w:ascii="Palatino Linotype" w:hAnsi="Palatino Linotype" w:cs="Tahoma"/>
          <w:bCs/>
          <w:sz w:val="22"/>
          <w:szCs w:val="22"/>
          <w:lang w:val="es-ES"/>
        </w:rPr>
        <w:t>s</w:t>
      </w:r>
      <w:r w:rsidR="008B29E4" w:rsidRPr="001E7F59">
        <w:rPr>
          <w:rFonts w:ascii="Palatino Linotype" w:hAnsi="Palatino Linotype" w:cs="Tahoma"/>
          <w:bCs/>
          <w:sz w:val="22"/>
          <w:szCs w:val="22"/>
          <w:lang w:val="es-ES"/>
        </w:rPr>
        <w:t xml:space="preserve">, </w:t>
      </w:r>
      <w:r w:rsidRPr="001E7F59">
        <w:rPr>
          <w:rFonts w:ascii="Palatino Linotype" w:hAnsi="Palatino Linotype" w:cs="Tahoma"/>
          <w:bCs/>
          <w:sz w:val="22"/>
          <w:szCs w:val="22"/>
          <w:lang w:val="es-ES"/>
        </w:rPr>
        <w:t>los</w:t>
      </w:r>
      <w:r w:rsidR="008B29E4" w:rsidRPr="001E7F59">
        <w:rPr>
          <w:rFonts w:ascii="Palatino Linotype" w:hAnsi="Palatino Linotype" w:cs="Tahoma"/>
          <w:bCs/>
          <w:sz w:val="22"/>
          <w:szCs w:val="22"/>
          <w:lang w:val="es-ES"/>
        </w:rPr>
        <w:t xml:space="preserve"> Lineamiento </w:t>
      </w:r>
      <w:r w:rsidRPr="001E7F59">
        <w:rPr>
          <w:rFonts w:ascii="Palatino Linotype" w:hAnsi="Palatino Linotype" w:cs="Tahoma"/>
          <w:bCs/>
          <w:sz w:val="22"/>
          <w:szCs w:val="22"/>
          <w:lang w:val="es-ES"/>
        </w:rPr>
        <w:t>VIGÉSIMO</w:t>
      </w:r>
      <w:r w:rsidR="00686618" w:rsidRPr="001E7F59">
        <w:rPr>
          <w:rFonts w:ascii="Palatino Linotype" w:hAnsi="Palatino Linotype" w:cs="Tahoma"/>
          <w:bCs/>
          <w:sz w:val="22"/>
          <w:szCs w:val="22"/>
          <w:lang w:val="es-ES"/>
        </w:rPr>
        <w:t xml:space="preserve"> y </w:t>
      </w:r>
      <w:r w:rsidR="008B29E4" w:rsidRPr="001E7F59">
        <w:rPr>
          <w:rFonts w:ascii="Palatino Linotype" w:hAnsi="Palatino Linotype" w:cs="Tahoma"/>
          <w:bCs/>
          <w:sz w:val="22"/>
          <w:szCs w:val="22"/>
          <w:lang w:val="es-ES"/>
        </w:rPr>
        <w:t xml:space="preserve">VIGÉSIMO </w:t>
      </w:r>
      <w:r w:rsidRPr="001E7F59">
        <w:rPr>
          <w:rFonts w:ascii="Palatino Linotype" w:hAnsi="Palatino Linotype" w:cs="Tahoma"/>
          <w:bCs/>
          <w:sz w:val="22"/>
          <w:szCs w:val="22"/>
          <w:lang w:val="es-ES"/>
        </w:rPr>
        <w:t>PRIMERO</w:t>
      </w:r>
      <w:r w:rsidR="008B29E4" w:rsidRPr="001E7F59">
        <w:rPr>
          <w:rFonts w:ascii="Palatino Linotype" w:hAnsi="Palatino Linotype" w:cs="Tahoma"/>
          <w:bCs/>
          <w:sz w:val="22"/>
          <w:szCs w:val="22"/>
          <w:lang w:val="es-ES"/>
        </w:rPr>
        <w:t>,</w:t>
      </w:r>
      <w:r w:rsidRPr="001E7F59">
        <w:rPr>
          <w:rFonts w:ascii="Palatino Linotype" w:hAnsi="Palatino Linotype" w:cs="Tahoma"/>
          <w:bCs/>
          <w:sz w:val="22"/>
          <w:szCs w:val="22"/>
          <w:lang w:val="es-ES"/>
        </w:rPr>
        <w:t xml:space="preserve"> segundo párrafo, </w:t>
      </w:r>
      <w:r w:rsidR="00686618" w:rsidRPr="001E7F59">
        <w:rPr>
          <w:rFonts w:ascii="Palatino Linotype" w:hAnsi="Palatino Linotype" w:cs="Tahoma"/>
          <w:bCs/>
          <w:sz w:val="22"/>
          <w:szCs w:val="22"/>
          <w:lang w:val="es-ES"/>
        </w:rPr>
        <w:t xml:space="preserve">señalan que el </w:t>
      </w:r>
      <w:r w:rsidR="00686618" w:rsidRPr="001E7F59">
        <w:rPr>
          <w:rFonts w:ascii="Palatino Linotype" w:hAnsi="Palatino Linotype" w:cs="Tahoma"/>
          <w:bCs/>
          <w:sz w:val="22"/>
          <w:szCs w:val="22"/>
        </w:rPr>
        <w:t xml:space="preserve">inventario general de bienes muebles, es el documento en el que están registrados los bienes muebles con los que cuentan las entidades fiscalizables, conteniendo sus características de identificación, tales como: nombre, número de inventario, marca, modelo, serie, uso, número de factura, costo, fecha de adquisición, estado de conservación, además de que </w:t>
      </w:r>
      <w:r w:rsidRPr="001E7F59">
        <w:rPr>
          <w:rFonts w:ascii="Palatino Linotype" w:hAnsi="Palatino Linotype" w:cs="Tahoma"/>
          <w:bCs/>
          <w:sz w:val="22"/>
          <w:szCs w:val="22"/>
        </w:rPr>
        <w:t>en los organismos públicos descentralizados de carácter municipal, el responsable de elaborar el inventario general de bienes muebles corresponde al director general o su equivalente, conjuntamente con el comisario y el órgano de control interno, debiendo firmarlo simultáneamente el tesorero.</w:t>
      </w:r>
    </w:p>
    <w:p w14:paraId="296151A2" w14:textId="77777777" w:rsidR="008B29E4" w:rsidRPr="001E7F59" w:rsidRDefault="008B29E4" w:rsidP="008B29E4">
      <w:pPr>
        <w:spacing w:line="360" w:lineRule="auto"/>
        <w:jc w:val="both"/>
        <w:rPr>
          <w:rFonts w:ascii="Palatino Linotype" w:hAnsi="Palatino Linotype" w:cs="Tahoma"/>
          <w:bCs/>
          <w:sz w:val="22"/>
          <w:szCs w:val="22"/>
          <w:lang w:val="es-ES"/>
        </w:rPr>
      </w:pPr>
    </w:p>
    <w:p w14:paraId="6F3238A9" w14:textId="60FD2C3C" w:rsidR="008B29E4" w:rsidRPr="001E7F59" w:rsidRDefault="0098451A" w:rsidP="008B29E4">
      <w:pPr>
        <w:spacing w:line="360" w:lineRule="auto"/>
        <w:jc w:val="both"/>
        <w:rPr>
          <w:rFonts w:ascii="Palatino Linotype" w:hAnsi="Palatino Linotype" w:cs="Tahoma"/>
          <w:bCs/>
          <w:sz w:val="22"/>
          <w:szCs w:val="22"/>
          <w:lang w:val="es-ES"/>
        </w:rPr>
      </w:pPr>
      <w:r w:rsidRPr="001E7F59">
        <w:rPr>
          <w:rFonts w:ascii="Palatino Linotype" w:hAnsi="Palatino Linotype" w:cs="Tahoma"/>
          <w:bCs/>
          <w:sz w:val="22"/>
          <w:szCs w:val="22"/>
          <w:lang w:val="es-ES"/>
        </w:rPr>
        <w:t>En este sentido</w:t>
      </w:r>
      <w:r w:rsidR="008B29E4" w:rsidRPr="001E7F59">
        <w:rPr>
          <w:rFonts w:ascii="Palatino Linotype" w:hAnsi="Palatino Linotype" w:cs="Tahoma"/>
          <w:bCs/>
          <w:sz w:val="22"/>
          <w:szCs w:val="22"/>
          <w:lang w:val="es-ES"/>
        </w:rPr>
        <w:t>, se identifica la Bitácora de Consumo de Gasolina/Diésel como el documento idóneo para satisfacer la pretensión del Recurrente pues estos documentos se realizan de forma individual para cada uno de los autos, camiones y/o motocicletas que conforman el parque vehicular del Sujeto Obligado, en los que debe asentarse la unidad, marca, modelo y placas de cada automotor, sin olvidar, por supuesto, la distribución de combustible que se ha repo</w:t>
      </w:r>
      <w:r w:rsidRPr="001E7F59">
        <w:rPr>
          <w:rFonts w:ascii="Palatino Linotype" w:hAnsi="Palatino Linotype" w:cs="Tahoma"/>
          <w:bCs/>
          <w:sz w:val="22"/>
          <w:szCs w:val="22"/>
          <w:lang w:val="es-ES"/>
        </w:rPr>
        <w:t>r</w:t>
      </w:r>
      <w:r w:rsidR="008B29E4" w:rsidRPr="001E7F59">
        <w:rPr>
          <w:rFonts w:ascii="Palatino Linotype" w:hAnsi="Palatino Linotype" w:cs="Tahoma"/>
          <w:bCs/>
          <w:sz w:val="22"/>
          <w:szCs w:val="22"/>
          <w:lang w:val="es-ES"/>
        </w:rPr>
        <w:t>tado a lo largo del tiempo</w:t>
      </w:r>
      <w:r w:rsidRPr="001E7F59">
        <w:rPr>
          <w:rFonts w:ascii="Palatino Linotype" w:hAnsi="Palatino Linotype" w:cs="Tahoma"/>
          <w:bCs/>
          <w:sz w:val="22"/>
          <w:szCs w:val="22"/>
          <w:lang w:val="es-ES"/>
        </w:rPr>
        <w:t>, tal como se observa en el extracto siguiente:</w:t>
      </w:r>
    </w:p>
    <w:p w14:paraId="6B96E3D1" w14:textId="77777777" w:rsidR="0098451A" w:rsidRPr="001E7F59" w:rsidRDefault="0098451A" w:rsidP="008B29E4">
      <w:pPr>
        <w:spacing w:line="360" w:lineRule="auto"/>
        <w:jc w:val="both"/>
        <w:rPr>
          <w:rFonts w:ascii="Palatino Linotype" w:hAnsi="Palatino Linotype" w:cs="Tahoma"/>
          <w:bCs/>
          <w:sz w:val="22"/>
          <w:szCs w:val="22"/>
          <w:lang w:val="es-ES"/>
        </w:rPr>
      </w:pPr>
    </w:p>
    <w:p w14:paraId="16AEC9F5" w14:textId="76C58A64" w:rsidR="0098451A" w:rsidRPr="001E7F59" w:rsidRDefault="0098451A" w:rsidP="0098451A">
      <w:pPr>
        <w:spacing w:line="360" w:lineRule="auto"/>
        <w:jc w:val="center"/>
        <w:rPr>
          <w:rFonts w:ascii="Palatino Linotype" w:eastAsiaTheme="minorHAnsi" w:hAnsi="Palatino Linotype" w:cs="Tahoma"/>
          <w:color w:val="000000" w:themeColor="text1"/>
          <w:sz w:val="22"/>
          <w:szCs w:val="22"/>
          <w:lang w:eastAsia="en-US"/>
        </w:rPr>
      </w:pPr>
      <w:r w:rsidRPr="001E7F59">
        <w:rPr>
          <w:rFonts w:ascii="Palatino Linotype" w:eastAsiaTheme="minorHAnsi" w:hAnsi="Palatino Linotype" w:cs="Tahoma"/>
          <w:noProof/>
          <w:color w:val="000000" w:themeColor="text1"/>
          <w:sz w:val="22"/>
          <w:szCs w:val="22"/>
          <w:lang w:eastAsia="es-MX"/>
        </w:rPr>
        <w:drawing>
          <wp:inline distT="0" distB="0" distL="0" distR="0" wp14:anchorId="135B28CC" wp14:editId="71496B56">
            <wp:extent cx="4848447" cy="2373294"/>
            <wp:effectExtent l="0" t="0" r="0" b="8255"/>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4854599" cy="2376305"/>
                    </a:xfrm>
                    <a:prstGeom prst="rect">
                      <a:avLst/>
                    </a:prstGeom>
                  </pic:spPr>
                </pic:pic>
              </a:graphicData>
            </a:graphic>
          </wp:inline>
        </w:drawing>
      </w:r>
    </w:p>
    <w:p w14:paraId="3E6BC0B1" w14:textId="152FD07F" w:rsidR="00BA76CC" w:rsidRPr="001E7F59" w:rsidRDefault="00BA76CC" w:rsidP="00BA76CC">
      <w:pPr>
        <w:spacing w:line="360" w:lineRule="auto"/>
        <w:ind w:right="-93"/>
        <w:jc w:val="both"/>
        <w:rPr>
          <w:rFonts w:ascii="Palatino Linotype" w:eastAsiaTheme="minorHAnsi" w:hAnsi="Palatino Linotype" w:cstheme="minorBidi"/>
          <w:color w:val="000000" w:themeColor="text1"/>
          <w:sz w:val="22"/>
          <w:szCs w:val="22"/>
          <w:lang w:eastAsia="en-US"/>
        </w:rPr>
      </w:pPr>
      <w:r w:rsidRPr="001E7F59">
        <w:rPr>
          <w:rFonts w:ascii="Palatino Linotype" w:eastAsiaTheme="minorHAnsi" w:hAnsi="Palatino Linotype" w:cstheme="minorBidi"/>
          <w:sz w:val="22"/>
          <w:szCs w:val="22"/>
          <w:lang w:eastAsia="en-US"/>
        </w:rPr>
        <w:t>En esa misma consecución de ideas, el artículo 92 fracción</w:t>
      </w:r>
      <w:r w:rsidRPr="001E7F59">
        <w:rPr>
          <w:rFonts w:ascii="Palatino Linotype" w:eastAsiaTheme="minorHAnsi" w:hAnsi="Palatino Linotype" w:cstheme="minorBidi"/>
          <w:color w:val="000000" w:themeColor="text1"/>
          <w:sz w:val="22"/>
          <w:szCs w:val="22"/>
          <w:lang w:eastAsia="en-US"/>
        </w:rPr>
        <w:t xml:space="preserve"> </w:t>
      </w:r>
      <w:r w:rsidRPr="001E7F59">
        <w:rPr>
          <w:rFonts w:ascii="Palatino Linotype" w:eastAsiaTheme="minorHAnsi" w:hAnsi="Palatino Linotype" w:cstheme="minorBidi"/>
          <w:sz w:val="22"/>
          <w:szCs w:val="22"/>
          <w:lang w:eastAsia="en-US"/>
        </w:rPr>
        <w:t>XXXVIII</w:t>
      </w:r>
      <w:r w:rsidRPr="001E7F59">
        <w:rPr>
          <w:rFonts w:ascii="Palatino Linotype" w:eastAsiaTheme="minorHAnsi" w:hAnsi="Palatino Linotype" w:cstheme="minorBidi"/>
          <w:color w:val="000000" w:themeColor="text1"/>
          <w:sz w:val="22"/>
          <w:szCs w:val="22"/>
          <w:lang w:eastAsia="en-US"/>
        </w:rPr>
        <w:t xml:space="preserve">, de la Ley de Transparencia Local, refiere que es información pública de oficio la relacionada con el </w:t>
      </w:r>
      <w:r w:rsidRPr="001E7F59">
        <w:rPr>
          <w:rFonts w:ascii="Palatino Linotype" w:eastAsiaTheme="minorHAnsi" w:hAnsi="Palatino Linotype" w:cstheme="minorBidi"/>
          <w:b/>
          <w:bCs/>
          <w:color w:val="000000" w:themeColor="text1"/>
          <w:sz w:val="22"/>
          <w:szCs w:val="22"/>
          <w:lang w:eastAsia="en-US"/>
        </w:rPr>
        <w:t xml:space="preserve">inventario de bienes muebles e inmuebles en posesión y propiedad, </w:t>
      </w:r>
      <w:r w:rsidRPr="001E7F59">
        <w:rPr>
          <w:rFonts w:ascii="Palatino Linotype" w:eastAsiaTheme="minorHAnsi" w:hAnsi="Palatino Linotype" w:cstheme="minorBidi"/>
          <w:color w:val="000000" w:themeColor="text1"/>
          <w:sz w:val="22"/>
          <w:szCs w:val="22"/>
          <w:lang w:eastAsia="en-US"/>
        </w:rPr>
        <w:t>así como los anexos que formen parte integrante de estos.</w:t>
      </w:r>
    </w:p>
    <w:p w14:paraId="665E51FB" w14:textId="77777777" w:rsidR="00BA76CC" w:rsidRPr="001E7F59" w:rsidRDefault="00BA76CC" w:rsidP="00BA76CC">
      <w:pPr>
        <w:spacing w:line="360" w:lineRule="auto"/>
        <w:ind w:right="-93"/>
        <w:jc w:val="both"/>
        <w:rPr>
          <w:rFonts w:ascii="Palatino Linotype" w:eastAsia="Palatino Linotype" w:hAnsi="Palatino Linotype" w:cs="Palatino Linotype"/>
          <w:color w:val="000000"/>
          <w:sz w:val="22"/>
          <w:szCs w:val="22"/>
          <w:lang w:eastAsia="en-US"/>
          <w14:ligatures w14:val="standardContextual"/>
        </w:rPr>
      </w:pPr>
    </w:p>
    <w:p w14:paraId="5E9CA3EE" w14:textId="1D401BB5" w:rsidR="00F15B68" w:rsidRPr="001E7F59" w:rsidRDefault="00F15B68" w:rsidP="00F15B68">
      <w:pPr>
        <w:spacing w:line="360" w:lineRule="auto"/>
        <w:jc w:val="both"/>
        <w:rPr>
          <w:rFonts w:ascii="Palatino Linotype" w:eastAsia="Palatino Linotype" w:hAnsi="Palatino Linotype" w:cs="Tahoma"/>
          <w:sz w:val="22"/>
          <w:szCs w:val="22"/>
          <w:lang w:val="es-ES" w:eastAsia="es-MX"/>
        </w:rPr>
      </w:pPr>
      <w:r w:rsidRPr="001E7F59">
        <w:rPr>
          <w:rFonts w:ascii="Palatino Linotype" w:eastAsia="Palatino Linotype" w:hAnsi="Palatino Linotype" w:cs="Palatino Linotype"/>
          <w:color w:val="000000"/>
          <w:sz w:val="22"/>
          <w:szCs w:val="22"/>
          <w:lang w:eastAsia="en-US"/>
          <w14:ligatures w14:val="standardContextual"/>
        </w:rPr>
        <w:t xml:space="preserve">Ahora bien, derivado de todo lo solicitado por la persona Recurrente, el Sujeto Obligado, mediante respuesta, informó, </w:t>
      </w:r>
      <w:r w:rsidRPr="001E7F59">
        <w:rPr>
          <w:rFonts w:ascii="Palatino Linotype" w:eastAsia="Palatino Linotype" w:hAnsi="Palatino Linotype" w:cs="Palatino Linotype"/>
          <w:sz w:val="22"/>
          <w:szCs w:val="22"/>
          <w:lang w:eastAsia="es-MX"/>
        </w:rPr>
        <w:t xml:space="preserve">que lo peticionado se pone a disposición en consulta directa al estar bajo el resguardo </w:t>
      </w:r>
      <w:r w:rsidRPr="001E7F59">
        <w:rPr>
          <w:rFonts w:ascii="Palatino Linotype" w:eastAsia="Palatino Linotype" w:hAnsi="Palatino Linotype" w:cs="Palatino Linotype"/>
          <w:bCs/>
          <w:sz w:val="22"/>
          <w:szCs w:val="22"/>
          <w:lang w:eastAsia="es-MX"/>
        </w:rPr>
        <w:t>del Departamento de Servicios Generales y Control Patrimonial</w:t>
      </w:r>
      <w:r w:rsidRPr="001E7F59">
        <w:rPr>
          <w:rFonts w:ascii="Palatino Linotype" w:eastAsia="Palatino Linotype" w:hAnsi="Palatino Linotype" w:cs="Tahoma"/>
          <w:iCs/>
          <w:sz w:val="22"/>
          <w:szCs w:val="24"/>
          <w:lang w:val="es-ES_tradnl" w:eastAsia="es-MX"/>
        </w:rPr>
        <w:t>. A</w:t>
      </w:r>
      <w:r w:rsidRPr="001E7F59">
        <w:rPr>
          <w:rFonts w:ascii="Palatino Linotype" w:eastAsia="Palatino Linotype" w:hAnsi="Palatino Linotype" w:cs="Tahoma"/>
          <w:sz w:val="22"/>
          <w:szCs w:val="22"/>
          <w:lang w:val="es-ES" w:eastAsia="es-MX"/>
        </w:rPr>
        <w:t>l respecto, cabe recordar que se requirió la información, a través del Sistema de Acceso a Información Mexiquense (SAIMEX).</w:t>
      </w:r>
    </w:p>
    <w:p w14:paraId="3A49C93D" w14:textId="77777777" w:rsidR="00F15B68" w:rsidRPr="001E7F59" w:rsidRDefault="00F15B68" w:rsidP="00F15B68">
      <w:pPr>
        <w:spacing w:line="360" w:lineRule="auto"/>
        <w:jc w:val="both"/>
        <w:rPr>
          <w:rFonts w:ascii="Palatino Linotype" w:eastAsia="Palatino Linotype" w:hAnsi="Palatino Linotype" w:cs="Tahoma"/>
          <w:sz w:val="22"/>
          <w:szCs w:val="22"/>
          <w:lang w:val="es-ES" w:eastAsia="es-MX"/>
        </w:rPr>
      </w:pPr>
    </w:p>
    <w:p w14:paraId="3BB9F297" w14:textId="77777777" w:rsidR="00F15B68" w:rsidRPr="001E7F59" w:rsidRDefault="00F15B68" w:rsidP="00F15B68">
      <w:pPr>
        <w:spacing w:line="360" w:lineRule="auto"/>
        <w:jc w:val="both"/>
        <w:rPr>
          <w:rFonts w:ascii="Palatino Linotype" w:eastAsia="Calibri" w:hAnsi="Palatino Linotype"/>
          <w:color w:val="000000"/>
          <w:sz w:val="22"/>
          <w:szCs w:val="22"/>
          <w:lang w:eastAsia="en-US"/>
          <w14:ligatures w14:val="standardContextual"/>
        </w:rPr>
      </w:pPr>
      <w:r w:rsidRPr="001E7F59">
        <w:rPr>
          <w:rFonts w:ascii="Palatino Linotype" w:eastAsia="Calibri" w:hAnsi="Palatino Linotype"/>
          <w:color w:val="0D0D0D"/>
          <w:sz w:val="22"/>
          <w:szCs w:val="22"/>
          <w:lang w:eastAsia="en-US"/>
          <w14:ligatures w14:val="standardContextual"/>
        </w:rPr>
        <w:t>En ese sentido,</w:t>
      </w:r>
      <w:r w:rsidRPr="001E7F59">
        <w:rPr>
          <w:rFonts w:ascii="Palatino Linotype" w:eastAsia="Calibri" w:hAnsi="Palatino Linotype"/>
          <w:color w:val="000000"/>
          <w:sz w:val="22"/>
          <w:szCs w:val="22"/>
          <w:lang w:eastAsia="en-US"/>
          <w14:ligatures w14:val="standardContextual"/>
        </w:rPr>
        <w:t xml:space="preserve"> el artículo 155, fracción V, de la Ley de Transparencia y Acceso a la Información Pública del Estado de México y Municipios, precisa que para presentar una solicitud, el particular podrá señalar </w:t>
      </w:r>
      <w:r w:rsidRPr="001E7F59">
        <w:rPr>
          <w:rFonts w:ascii="Palatino Linotype" w:eastAsia="Calibri" w:hAnsi="Palatino Linotype"/>
          <w:b/>
          <w:color w:val="000000"/>
          <w:sz w:val="22"/>
          <w:szCs w:val="22"/>
          <w:lang w:eastAsia="en-US"/>
          <w14:ligatures w14:val="standardContextual"/>
        </w:rPr>
        <w:t>la modalidad en la que prefiere se otorgue el acceso a la información</w:t>
      </w:r>
      <w:r w:rsidRPr="001E7F59">
        <w:rPr>
          <w:rFonts w:ascii="Palatino Linotype" w:eastAsia="Calibri" w:hAnsi="Palatino Linotype"/>
          <w:color w:val="000000"/>
          <w:sz w:val="22"/>
          <w:szCs w:val="22"/>
          <w:lang w:eastAsia="en-US"/>
          <w14:ligatures w14:val="standardContextual"/>
        </w:rPr>
        <w:t xml:space="preserve">, la cual podrá ser verbal, siempre y cuando sea para fines de orientación, </w:t>
      </w:r>
      <w:r w:rsidRPr="001E7F59">
        <w:rPr>
          <w:rFonts w:ascii="Palatino Linotype" w:eastAsia="Calibri" w:hAnsi="Palatino Linotype"/>
          <w:color w:val="000000"/>
          <w:sz w:val="22"/>
          <w:szCs w:val="22"/>
          <w:lang w:eastAsia="en-US"/>
          <w14:ligatures w14:val="standardContextual"/>
        </w:rPr>
        <w:lastRenderedPageBreak/>
        <w:t>mediante consulta directa, mediante la expedición de copias simples o certificadas o la reproducción en cualquier otro medio, incluidos los electrónicos.</w:t>
      </w:r>
    </w:p>
    <w:p w14:paraId="679C64FE" w14:textId="77777777" w:rsidR="00F15B68" w:rsidRPr="001E7F59" w:rsidRDefault="00F15B68" w:rsidP="00F15B68">
      <w:pPr>
        <w:spacing w:line="360" w:lineRule="auto"/>
        <w:jc w:val="both"/>
        <w:rPr>
          <w:rFonts w:ascii="Palatino Linotype" w:eastAsia="Palatino Linotype" w:hAnsi="Palatino Linotype" w:cs="Palatino Linotype"/>
          <w:color w:val="000000"/>
          <w:sz w:val="22"/>
          <w:szCs w:val="22"/>
          <w:lang w:eastAsia="en-US"/>
          <w14:ligatures w14:val="standardContextual"/>
        </w:rPr>
      </w:pPr>
    </w:p>
    <w:p w14:paraId="75DB51D1" w14:textId="77777777" w:rsidR="00F15B68" w:rsidRPr="001E7F59" w:rsidRDefault="00F15B68" w:rsidP="00F15B68">
      <w:pPr>
        <w:spacing w:line="360" w:lineRule="auto"/>
        <w:jc w:val="both"/>
        <w:rPr>
          <w:rFonts w:ascii="Palatino Linotype" w:eastAsia="Calibri" w:hAnsi="Palatino Linotype"/>
          <w:b/>
          <w:color w:val="000000"/>
          <w:sz w:val="22"/>
          <w:szCs w:val="22"/>
          <w:lang w:eastAsia="en-US"/>
          <w14:ligatures w14:val="standardContextual"/>
        </w:rPr>
      </w:pPr>
      <w:r w:rsidRPr="001E7F59">
        <w:rPr>
          <w:rFonts w:ascii="Palatino Linotype" w:eastAsia="Calibri" w:hAnsi="Palatino Linotype"/>
          <w:color w:val="000000"/>
          <w:sz w:val="22"/>
          <w:szCs w:val="22"/>
          <w:lang w:eastAsia="en-US"/>
          <w14:ligatures w14:val="standardContextual"/>
        </w:rPr>
        <w:t xml:space="preserve">El artículo 158, dispone que, de manera excepcional, cuando de manera fundada y motivada lo determine el Sujeto Obligado, </w:t>
      </w:r>
      <w:r w:rsidRPr="001E7F59">
        <w:rPr>
          <w:rFonts w:ascii="Palatino Linotype" w:eastAsia="Calibri" w:hAnsi="Palatino Linotype"/>
          <w:b/>
          <w:color w:val="000000"/>
          <w:sz w:val="22"/>
          <w:szCs w:val="22"/>
          <w:lang w:eastAsia="en-US"/>
          <w14:ligatures w14:val="standardContextual"/>
        </w:rPr>
        <w:t>en los casos en que la entrega de la información que se encuentre a su disposición sobrepase las capacidades técnicas, administrativas y humanas del Sujeto Obligado para cumplir con la solicitud, se podrá poner a disposición del solicitante la información en consulta directa.</w:t>
      </w:r>
    </w:p>
    <w:p w14:paraId="79DEAE31" w14:textId="77777777" w:rsidR="00F15B68" w:rsidRPr="001E7F59" w:rsidRDefault="00F15B68" w:rsidP="00F15B68">
      <w:pPr>
        <w:spacing w:line="360" w:lineRule="auto"/>
        <w:jc w:val="both"/>
        <w:rPr>
          <w:rFonts w:ascii="Palatino Linotype" w:eastAsia="Palatino Linotype" w:hAnsi="Palatino Linotype" w:cs="Palatino Linotype"/>
          <w:color w:val="FF0000"/>
          <w:sz w:val="22"/>
          <w:szCs w:val="22"/>
          <w:lang w:eastAsia="es-MX"/>
        </w:rPr>
      </w:pPr>
    </w:p>
    <w:p w14:paraId="6ECD83F6" w14:textId="54E9CCDC" w:rsidR="00F15B68" w:rsidRPr="001E7F59" w:rsidRDefault="00F15B68" w:rsidP="00F15B68">
      <w:pPr>
        <w:spacing w:line="360" w:lineRule="auto"/>
        <w:jc w:val="both"/>
        <w:rPr>
          <w:rFonts w:ascii="Palatino Linotype" w:eastAsia="Calibri" w:hAnsi="Palatino Linotype"/>
          <w:color w:val="000000"/>
          <w:sz w:val="22"/>
          <w:szCs w:val="22"/>
          <w:lang w:eastAsia="en-US"/>
          <w14:ligatures w14:val="standardContextual"/>
        </w:rPr>
      </w:pPr>
      <w:r w:rsidRPr="001E7F59">
        <w:rPr>
          <w:rFonts w:ascii="Palatino Linotype" w:eastAsia="Calibri" w:hAnsi="Palatino Linotype"/>
          <w:color w:val="000000"/>
          <w:sz w:val="22"/>
          <w:szCs w:val="22"/>
          <w:lang w:eastAsia="en-US"/>
          <w14:ligatures w14:val="standardContextual"/>
        </w:rPr>
        <w:t xml:space="preserve">En ese orden de ideas, el artículo 164 de dicho ordenamiento jurídico, prevé que </w:t>
      </w:r>
      <w:r w:rsidR="00485220" w:rsidRPr="001E7F59">
        <w:rPr>
          <w:rFonts w:ascii="Palatino Linotype" w:eastAsia="Calibri" w:hAnsi="Palatino Linotype"/>
          <w:color w:val="000000"/>
          <w:sz w:val="22"/>
          <w:szCs w:val="22"/>
          <w:lang w:eastAsia="en-US"/>
          <w14:ligatures w14:val="standardContextual"/>
        </w:rPr>
        <w:t>c</w:t>
      </w:r>
      <w:r w:rsidRPr="001E7F59">
        <w:rPr>
          <w:rFonts w:ascii="Palatino Linotype" w:eastAsia="Calibri" w:hAnsi="Palatino Linotype"/>
          <w:b/>
          <w:color w:val="000000"/>
          <w:sz w:val="22"/>
          <w:szCs w:val="22"/>
          <w:lang w:eastAsia="en-US"/>
          <w14:ligatures w14:val="standardContextual"/>
        </w:rPr>
        <w:t>uando la información no pueda entregarse o enviarse en la modalidad elegida, el sujeto obligado deberá ofrecer otra u otras modalidades de entrega.</w:t>
      </w:r>
      <w:r w:rsidRPr="001E7F59">
        <w:rPr>
          <w:rFonts w:ascii="Palatino Linotype" w:eastAsia="Calibri" w:hAnsi="Palatino Linotype"/>
          <w:color w:val="000000"/>
          <w:sz w:val="22"/>
          <w:szCs w:val="22"/>
          <w:lang w:eastAsia="en-US"/>
          <w14:ligatures w14:val="standardContextual"/>
        </w:rPr>
        <w:t xml:space="preserve"> En cualquier caso, </w:t>
      </w:r>
      <w:r w:rsidRPr="001E7F59">
        <w:rPr>
          <w:rFonts w:ascii="Palatino Linotype" w:eastAsia="Calibri" w:hAnsi="Palatino Linotype"/>
          <w:b/>
          <w:color w:val="000000"/>
          <w:sz w:val="22"/>
          <w:szCs w:val="22"/>
          <w:lang w:eastAsia="en-US"/>
          <w14:ligatures w14:val="standardContextual"/>
        </w:rPr>
        <w:t>se deberá fundar y motivar</w:t>
      </w:r>
      <w:r w:rsidRPr="001E7F59">
        <w:rPr>
          <w:rFonts w:ascii="Palatino Linotype" w:eastAsia="Calibri" w:hAnsi="Palatino Linotype"/>
          <w:color w:val="000000"/>
          <w:sz w:val="22"/>
          <w:szCs w:val="22"/>
          <w:lang w:eastAsia="en-US"/>
          <w14:ligatures w14:val="standardContextual"/>
        </w:rPr>
        <w:t xml:space="preserve"> la necesidad de ofrecer otras modalidades.</w:t>
      </w:r>
    </w:p>
    <w:p w14:paraId="5D4C5F70" w14:textId="77777777" w:rsidR="00F15B68" w:rsidRPr="001E7F59" w:rsidRDefault="00F15B68" w:rsidP="00F15B68">
      <w:pPr>
        <w:spacing w:line="360" w:lineRule="auto"/>
        <w:jc w:val="both"/>
        <w:rPr>
          <w:rFonts w:ascii="Palatino Linotype" w:eastAsia="Calibri" w:hAnsi="Palatino Linotype"/>
          <w:color w:val="000000"/>
          <w:sz w:val="22"/>
          <w:szCs w:val="22"/>
          <w:lang w:eastAsia="en-US"/>
          <w14:ligatures w14:val="standardContextual"/>
        </w:rPr>
      </w:pPr>
    </w:p>
    <w:p w14:paraId="55F63B41" w14:textId="77777777" w:rsidR="00F15B68" w:rsidRPr="001E7F59" w:rsidRDefault="00F15B68" w:rsidP="00F15B68">
      <w:pPr>
        <w:spacing w:line="360" w:lineRule="auto"/>
        <w:jc w:val="both"/>
        <w:rPr>
          <w:rFonts w:ascii="Palatino Linotype" w:eastAsia="Calibri" w:hAnsi="Palatino Linotype"/>
          <w:color w:val="000000"/>
          <w:sz w:val="22"/>
          <w:szCs w:val="22"/>
          <w:lang w:eastAsia="en-US"/>
          <w14:ligatures w14:val="standardContextual"/>
        </w:rPr>
      </w:pPr>
      <w:r w:rsidRPr="001E7F59">
        <w:rPr>
          <w:rFonts w:ascii="Palatino Linotype" w:eastAsia="Calibri" w:hAnsi="Palatino Linotype"/>
          <w:color w:val="000000"/>
          <w:sz w:val="22"/>
          <w:szCs w:val="22"/>
          <w:lang w:eastAsia="en-US"/>
          <w14:ligatures w14:val="standardContextual"/>
        </w:rPr>
        <w:t xml:space="preserve">Para lo cual, conforme al artículo 174 de la Ley de la materia, indica que los costos de reproducción y, en su caso, de envío para la obtención de la información deberán ser cubiertos por el solicitante de manera previa a la entrega por parte del Sujeto Obligado. En tales consideraciones, la entrega deberá hacerse, </w:t>
      </w:r>
      <w:r w:rsidRPr="001E7F59">
        <w:rPr>
          <w:rFonts w:ascii="Palatino Linotype" w:eastAsia="Calibri" w:hAnsi="Palatino Linotype"/>
          <w:b/>
          <w:color w:val="000000"/>
          <w:sz w:val="22"/>
          <w:szCs w:val="22"/>
          <w:lang w:eastAsia="en-US"/>
          <w14:ligatures w14:val="standardContextual"/>
        </w:rPr>
        <w:t>en la medida de lo posible, en la forma solicitada por el interesado, salvo que exista un impedimento justificado para atenderla</w:t>
      </w:r>
      <w:r w:rsidRPr="001E7F59">
        <w:rPr>
          <w:rFonts w:ascii="Palatino Linotype" w:eastAsia="Calibri" w:hAnsi="Palatino Linotype"/>
          <w:color w:val="000000"/>
          <w:sz w:val="22"/>
          <w:szCs w:val="22"/>
          <w:lang w:eastAsia="en-US"/>
          <w14:ligatures w14:val="standardContextual"/>
        </w:rPr>
        <w:t xml:space="preserve">, en cuyo caso, deberán exponerse las razones por las cuales no es posible utilizar el medio de reproducción solicitado; en este sentido, la entrega de la información en una modalidad distinta a la elegida por el particular </w:t>
      </w:r>
      <w:r w:rsidRPr="001E7F59">
        <w:rPr>
          <w:rFonts w:ascii="Palatino Linotype" w:eastAsia="Calibri" w:hAnsi="Palatino Linotype"/>
          <w:b/>
          <w:color w:val="000000"/>
          <w:sz w:val="22"/>
          <w:szCs w:val="22"/>
          <w:lang w:eastAsia="en-US"/>
          <w14:ligatures w14:val="standardContextual"/>
        </w:rPr>
        <w:t>sólo procede, en caso de que se acredite la imposibilidad de atenderla.</w:t>
      </w:r>
      <w:r w:rsidRPr="001E7F59">
        <w:rPr>
          <w:rFonts w:ascii="Palatino Linotype" w:eastAsia="Calibri" w:hAnsi="Palatino Linotype"/>
          <w:color w:val="000000"/>
          <w:sz w:val="22"/>
          <w:szCs w:val="22"/>
          <w:lang w:eastAsia="en-US"/>
          <w14:ligatures w14:val="standardContextual"/>
        </w:rPr>
        <w:t xml:space="preserve"> </w:t>
      </w:r>
    </w:p>
    <w:p w14:paraId="624C1835" w14:textId="77777777" w:rsidR="00F15B68" w:rsidRPr="001E7F59" w:rsidRDefault="00F15B68" w:rsidP="00F15B68">
      <w:pPr>
        <w:spacing w:line="360" w:lineRule="auto"/>
        <w:jc w:val="both"/>
        <w:rPr>
          <w:rFonts w:ascii="Palatino Linotype" w:eastAsia="Calibri" w:hAnsi="Palatino Linotype"/>
          <w:color w:val="000000"/>
          <w:sz w:val="22"/>
          <w:szCs w:val="22"/>
          <w:lang w:eastAsia="en-US"/>
          <w14:ligatures w14:val="standardContextual"/>
        </w:rPr>
      </w:pPr>
    </w:p>
    <w:p w14:paraId="1C49A32A" w14:textId="77777777" w:rsidR="00F15B68" w:rsidRPr="001E7F59" w:rsidRDefault="00F15B68" w:rsidP="00F15B68">
      <w:pPr>
        <w:spacing w:line="360" w:lineRule="auto"/>
        <w:jc w:val="both"/>
        <w:rPr>
          <w:rFonts w:ascii="Palatino Linotype" w:eastAsia="Calibri" w:hAnsi="Palatino Linotype"/>
          <w:b/>
          <w:color w:val="000000"/>
          <w:sz w:val="22"/>
          <w:szCs w:val="22"/>
          <w:lang w:eastAsia="en-US"/>
          <w14:ligatures w14:val="standardContextual"/>
        </w:rPr>
      </w:pPr>
      <w:r w:rsidRPr="001E7F59">
        <w:rPr>
          <w:rFonts w:ascii="Palatino Linotype" w:eastAsia="Calibri" w:hAnsi="Palatino Linotype"/>
          <w:color w:val="000000"/>
          <w:sz w:val="22"/>
          <w:szCs w:val="22"/>
          <w:lang w:eastAsia="en-US"/>
          <w14:ligatures w14:val="standardContextual"/>
        </w:rPr>
        <w:t xml:space="preserve">Así, cuando se justifique el impedimento, </w:t>
      </w:r>
      <w:r w:rsidRPr="001E7F59">
        <w:rPr>
          <w:rFonts w:ascii="Palatino Linotype" w:eastAsia="Calibri" w:hAnsi="Palatino Linotype"/>
          <w:b/>
          <w:color w:val="000000"/>
          <w:sz w:val="22"/>
          <w:szCs w:val="22"/>
          <w:lang w:eastAsia="en-US"/>
          <w14:ligatures w14:val="standardContextual"/>
        </w:rPr>
        <w:t>los Sujetos Obligados deberán ofrecer al particular otras modalidades de entrega que permita la información</w:t>
      </w:r>
      <w:r w:rsidRPr="001E7F59">
        <w:rPr>
          <w:rFonts w:ascii="Palatino Linotype" w:eastAsia="Calibri" w:hAnsi="Palatino Linotype"/>
          <w:color w:val="000000"/>
          <w:sz w:val="22"/>
          <w:szCs w:val="22"/>
          <w:lang w:eastAsia="en-US"/>
          <w14:ligatures w14:val="standardContextual"/>
        </w:rPr>
        <w:t xml:space="preserve">, como consulta directa en las oficinas de la Unidad de Transparencia; lo anterior, es robustecido con el Criterio SO/008/2017, </w:t>
      </w:r>
      <w:r w:rsidRPr="001E7F59">
        <w:rPr>
          <w:rFonts w:ascii="Palatino Linotype" w:eastAsia="Calibri" w:hAnsi="Palatino Linotype"/>
          <w:color w:val="000000"/>
          <w:sz w:val="22"/>
          <w:szCs w:val="22"/>
          <w:lang w:eastAsia="en-US"/>
          <w14:ligatures w14:val="standardContextual"/>
        </w:rPr>
        <w:lastRenderedPageBreak/>
        <w:t>emitido por el Pleno del Instituto Nacional de Transparencia, Acceso a la Información y Protección de Datos Personales, el cual establece que cuando no sea posible atener la modalidad elegida por los solicitantes, la obligación de acceso a la información se tendrá por cumplida cuando el Sujeto Obligado justifique el impedimento para atender la misma y se notifique al particular la puesta a disposición de la información en</w:t>
      </w:r>
      <w:r w:rsidRPr="001E7F59">
        <w:rPr>
          <w:rFonts w:ascii="Palatino Linotype" w:eastAsia="Calibri" w:hAnsi="Palatino Linotype"/>
          <w:b/>
          <w:color w:val="000000"/>
          <w:sz w:val="22"/>
          <w:szCs w:val="22"/>
          <w:lang w:eastAsia="en-US"/>
          <w14:ligatures w14:val="standardContextual"/>
        </w:rPr>
        <w:t xml:space="preserve"> </w:t>
      </w:r>
      <w:r w:rsidRPr="001E7F59">
        <w:rPr>
          <w:rFonts w:ascii="Palatino Linotype" w:eastAsia="Calibri" w:hAnsi="Palatino Linotype"/>
          <w:b/>
          <w:color w:val="000000"/>
          <w:sz w:val="22"/>
          <w:szCs w:val="22"/>
          <w:u w:val="single"/>
          <w:lang w:eastAsia="en-US"/>
          <w14:ligatures w14:val="standardContextual"/>
        </w:rPr>
        <w:t>todas las modalidades</w:t>
      </w:r>
      <w:r w:rsidRPr="001E7F59">
        <w:rPr>
          <w:rFonts w:ascii="Palatino Linotype" w:eastAsia="Calibri" w:hAnsi="Palatino Linotype"/>
          <w:b/>
          <w:color w:val="000000"/>
          <w:sz w:val="22"/>
          <w:szCs w:val="22"/>
          <w:lang w:eastAsia="en-US"/>
          <w14:ligatures w14:val="standardContextual"/>
        </w:rPr>
        <w:t xml:space="preserve"> que lo permitan, procurando reducir los costos de entrega.</w:t>
      </w:r>
    </w:p>
    <w:p w14:paraId="50054A0A" w14:textId="77777777" w:rsidR="00F15B68" w:rsidRPr="001E7F59" w:rsidRDefault="00F15B68" w:rsidP="00F15B68">
      <w:pPr>
        <w:spacing w:line="360" w:lineRule="auto"/>
        <w:jc w:val="both"/>
        <w:rPr>
          <w:rFonts w:ascii="Palatino Linotype" w:eastAsia="Calibri" w:hAnsi="Palatino Linotype"/>
          <w:b/>
          <w:color w:val="000000"/>
          <w:sz w:val="22"/>
          <w:szCs w:val="22"/>
          <w:lang w:eastAsia="en-US"/>
          <w14:ligatures w14:val="standardContextual"/>
        </w:rPr>
      </w:pPr>
    </w:p>
    <w:p w14:paraId="75F63BEB" w14:textId="77777777" w:rsidR="00F15B68" w:rsidRPr="001E7F59" w:rsidRDefault="00F15B68" w:rsidP="00F15B68">
      <w:pPr>
        <w:widowControl w:val="0"/>
        <w:spacing w:line="360" w:lineRule="auto"/>
        <w:jc w:val="both"/>
        <w:rPr>
          <w:rFonts w:ascii="Palatino Linotype" w:eastAsia="Calibri" w:hAnsi="Palatino Linotype"/>
          <w:color w:val="000000"/>
          <w:sz w:val="22"/>
          <w:szCs w:val="22"/>
          <w:lang w:eastAsia="en-US"/>
          <w14:ligatures w14:val="standardContextual"/>
        </w:rPr>
      </w:pPr>
      <w:r w:rsidRPr="001E7F59">
        <w:rPr>
          <w:rFonts w:ascii="Palatino Linotype" w:eastAsia="Calibri" w:hAnsi="Palatino Linotype"/>
          <w:color w:val="000000"/>
          <w:sz w:val="22"/>
          <w:szCs w:val="22"/>
          <w:lang w:eastAsia="en-US"/>
          <w14:ligatures w14:val="standardContextual"/>
        </w:rPr>
        <w:t>Además, según Calero, Natalia (2016), en la “Ley General de Transparencia y Acceso a la Información Pública Comentada” (pág. 401), cuando los sujetos obligados ofrezcan como modalidad de entrega de la información, consulta directa, estos deberán fundar y motivar las razones por las cuales no es posible otorgar el acceso a los documentos de otra forma; además que se deberá explicar de manera detallada lo siguiente:</w:t>
      </w:r>
    </w:p>
    <w:p w14:paraId="0265A1DB" w14:textId="77777777" w:rsidR="00F15B68" w:rsidRPr="001E7F59" w:rsidRDefault="00F15B68" w:rsidP="00F15B68">
      <w:pPr>
        <w:spacing w:line="360" w:lineRule="auto"/>
        <w:jc w:val="both"/>
        <w:rPr>
          <w:rFonts w:ascii="Palatino Linotype" w:eastAsia="Calibri" w:hAnsi="Palatino Linotype"/>
          <w:color w:val="000000"/>
          <w:sz w:val="22"/>
          <w:szCs w:val="22"/>
          <w:lang w:eastAsia="en-US"/>
          <w14:ligatures w14:val="standardContextual"/>
        </w:rPr>
      </w:pPr>
    </w:p>
    <w:p w14:paraId="0FFF0F3A" w14:textId="77777777" w:rsidR="00F15B68" w:rsidRPr="001E7F59" w:rsidRDefault="00F15B68" w:rsidP="00F15B68">
      <w:pPr>
        <w:numPr>
          <w:ilvl w:val="0"/>
          <w:numId w:val="31"/>
        </w:numPr>
        <w:spacing w:after="160" w:line="360" w:lineRule="auto"/>
        <w:jc w:val="both"/>
        <w:rPr>
          <w:rFonts w:ascii="Palatino Linotype" w:eastAsia="Calibri" w:hAnsi="Palatino Linotype"/>
          <w:color w:val="000000"/>
          <w:sz w:val="22"/>
          <w:szCs w:val="22"/>
          <w:lang w:eastAsia="en-US"/>
          <w14:ligatures w14:val="standardContextual"/>
        </w:rPr>
      </w:pPr>
      <w:r w:rsidRPr="001E7F59">
        <w:rPr>
          <w:rFonts w:ascii="Palatino Linotype" w:eastAsia="Calibri" w:hAnsi="Palatino Linotype"/>
          <w:color w:val="000000"/>
          <w:sz w:val="22"/>
          <w:szCs w:val="22"/>
          <w:lang w:eastAsia="en-US"/>
          <w14:ligatures w14:val="standardContextual"/>
        </w:rPr>
        <w:t>Las razones por las cuales la información implicaba un análisis, estudio o procesamiento de datos;</w:t>
      </w:r>
    </w:p>
    <w:p w14:paraId="46F7CE2F" w14:textId="77777777" w:rsidR="00F15B68" w:rsidRPr="001E7F59" w:rsidRDefault="00F15B68" w:rsidP="00F15B68">
      <w:pPr>
        <w:numPr>
          <w:ilvl w:val="0"/>
          <w:numId w:val="31"/>
        </w:numPr>
        <w:spacing w:after="160" w:line="360" w:lineRule="auto"/>
        <w:jc w:val="both"/>
        <w:rPr>
          <w:rFonts w:ascii="Palatino Linotype" w:eastAsia="Calibri" w:hAnsi="Palatino Linotype"/>
          <w:color w:val="000000"/>
          <w:sz w:val="22"/>
          <w:szCs w:val="22"/>
          <w:lang w:eastAsia="en-US"/>
          <w14:ligatures w14:val="standardContextual"/>
        </w:rPr>
      </w:pPr>
      <w:r w:rsidRPr="001E7F59">
        <w:rPr>
          <w:rFonts w:ascii="Palatino Linotype" w:eastAsia="Calibri" w:hAnsi="Palatino Linotype"/>
          <w:color w:val="000000"/>
          <w:sz w:val="22"/>
          <w:szCs w:val="22"/>
          <w:lang w:eastAsia="en-US"/>
          <w14:ligatures w14:val="standardContextual"/>
        </w:rPr>
        <w:t>Por qué motivo el tiempo, que se le otorga al Sujeto Obligado para dar respuesta, en la modalidad elegida a la solicitud de información, no le es suficiente, y</w:t>
      </w:r>
    </w:p>
    <w:p w14:paraId="2BADAEB4" w14:textId="77777777" w:rsidR="00F15B68" w:rsidRPr="001E7F59" w:rsidRDefault="00F15B68" w:rsidP="00F15B68">
      <w:pPr>
        <w:numPr>
          <w:ilvl w:val="0"/>
          <w:numId w:val="31"/>
        </w:numPr>
        <w:spacing w:after="160" w:line="360" w:lineRule="auto"/>
        <w:jc w:val="both"/>
        <w:rPr>
          <w:rFonts w:ascii="Palatino Linotype" w:eastAsia="Calibri" w:hAnsi="Palatino Linotype"/>
          <w:color w:val="000000"/>
          <w:sz w:val="22"/>
          <w:szCs w:val="22"/>
          <w:lang w:eastAsia="en-US"/>
          <w14:ligatures w14:val="standardContextual"/>
        </w:rPr>
      </w:pPr>
      <w:r w:rsidRPr="001E7F59">
        <w:rPr>
          <w:rFonts w:ascii="Palatino Linotype" w:eastAsia="Calibri" w:hAnsi="Palatino Linotype"/>
          <w:color w:val="000000"/>
          <w:sz w:val="22"/>
          <w:szCs w:val="22"/>
          <w:lang w:eastAsia="en-US"/>
          <w14:ligatures w14:val="standardContextual"/>
        </w:rPr>
        <w:t>La cantidad de recursos humanos y materiales con los que cuenta el Sujeto Obligado son insuficientes.</w:t>
      </w:r>
    </w:p>
    <w:p w14:paraId="4113E9C3" w14:textId="77777777" w:rsidR="00F15B68" w:rsidRPr="001E7F59" w:rsidRDefault="00F15B68" w:rsidP="00F15B68">
      <w:pPr>
        <w:spacing w:line="360" w:lineRule="auto"/>
        <w:ind w:right="-28"/>
        <w:jc w:val="both"/>
        <w:rPr>
          <w:rFonts w:ascii="Palatino Linotype" w:eastAsia="Calibri" w:hAnsi="Palatino Linotype"/>
          <w:color w:val="000000"/>
          <w:sz w:val="22"/>
          <w:szCs w:val="22"/>
          <w:lang w:eastAsia="en-US"/>
          <w14:ligatures w14:val="standardContextual"/>
        </w:rPr>
      </w:pPr>
    </w:p>
    <w:p w14:paraId="33FBA46C" w14:textId="77777777" w:rsidR="00F15B68" w:rsidRPr="001E7F59" w:rsidRDefault="00F15B68" w:rsidP="00F15B68">
      <w:pPr>
        <w:spacing w:line="360" w:lineRule="auto"/>
        <w:ind w:right="-28"/>
        <w:jc w:val="both"/>
        <w:rPr>
          <w:rFonts w:ascii="Palatino Linotype" w:eastAsia="Calibri" w:hAnsi="Palatino Linotype"/>
          <w:color w:val="000000"/>
          <w:sz w:val="22"/>
          <w:szCs w:val="22"/>
          <w:lang w:eastAsia="en-US"/>
          <w14:ligatures w14:val="standardContextual"/>
        </w:rPr>
      </w:pPr>
      <w:r w:rsidRPr="001E7F59">
        <w:rPr>
          <w:rFonts w:ascii="Palatino Linotype" w:eastAsia="Calibri" w:hAnsi="Palatino Linotype"/>
          <w:color w:val="000000"/>
          <w:sz w:val="22"/>
          <w:szCs w:val="22"/>
          <w:lang w:eastAsia="en-US"/>
          <w14:ligatures w14:val="standardContextual"/>
        </w:rPr>
        <w:t xml:space="preserve">Además, es de señalar que el Órgano Garante Nacional, a través de diversas resoluciones de los Recursos de Inconformidad, entre las cuales se encuentran el RIA 136/20, RIA 140/20, RIA 153/20 RIA 237/20, RIA 257/20, RIA 258/20, entre otras, ha considerado que no resultaba suficiente justificar una imposibilidad técnica y humana para acreditar un cambio de modalidad, sino que era necesario demostrar otros impedimentos, como la cantidad y formato </w:t>
      </w:r>
      <w:r w:rsidRPr="001E7F59">
        <w:rPr>
          <w:rFonts w:ascii="Palatino Linotype" w:eastAsia="Calibri" w:hAnsi="Palatino Linotype"/>
          <w:color w:val="000000"/>
          <w:sz w:val="22"/>
          <w:szCs w:val="22"/>
          <w:lang w:eastAsia="en-US"/>
          <w14:ligatures w14:val="standardContextual"/>
        </w:rPr>
        <w:lastRenderedPageBreak/>
        <w:t xml:space="preserve">de la documentación, que fuera de imposible reproducción en el medio elegido por los solicitantes, que la información ameritara el cruce de información en los sistemas de datos, entre otros. </w:t>
      </w:r>
    </w:p>
    <w:p w14:paraId="57DFA11E" w14:textId="77777777" w:rsidR="00F15B68" w:rsidRPr="001E7F59" w:rsidRDefault="00F15B68" w:rsidP="00F15B68">
      <w:pPr>
        <w:spacing w:line="360" w:lineRule="auto"/>
        <w:ind w:right="-28"/>
        <w:jc w:val="both"/>
        <w:rPr>
          <w:rFonts w:ascii="Palatino Linotype" w:eastAsia="Calibri" w:hAnsi="Palatino Linotype"/>
          <w:color w:val="000000"/>
          <w:sz w:val="22"/>
          <w:szCs w:val="22"/>
          <w:lang w:eastAsia="en-US"/>
          <w14:ligatures w14:val="standardContextual"/>
        </w:rPr>
      </w:pPr>
    </w:p>
    <w:p w14:paraId="54733072" w14:textId="223057D4" w:rsidR="00024932" w:rsidRPr="001E7F59" w:rsidRDefault="00024932" w:rsidP="00024932">
      <w:pPr>
        <w:spacing w:line="360" w:lineRule="auto"/>
        <w:jc w:val="both"/>
        <w:rPr>
          <w:rFonts w:ascii="Palatino Linotype" w:eastAsia="Calibri" w:hAnsi="Palatino Linotype" w:cs="Tahoma"/>
          <w:iCs/>
          <w:color w:val="000000"/>
          <w:sz w:val="22"/>
          <w:szCs w:val="22"/>
          <w:lang w:val="es-ES" w:eastAsia="en-US"/>
          <w14:ligatures w14:val="standardContextual"/>
        </w:rPr>
      </w:pPr>
      <w:r w:rsidRPr="001E7F59">
        <w:rPr>
          <w:rFonts w:ascii="Palatino Linotype" w:eastAsia="Calibri" w:hAnsi="Palatino Linotype" w:cs="Tahoma"/>
          <w:bCs/>
          <w:color w:val="000000"/>
          <w:sz w:val="22"/>
          <w:szCs w:val="22"/>
          <w:lang w:val="es-ES" w:eastAsia="en-US"/>
          <w14:ligatures w14:val="standardContextual"/>
        </w:rPr>
        <w:t xml:space="preserve">Sobre esta situación, es necesario precisar que el Sujeto Obligado fue omiso en manifestar </w:t>
      </w:r>
      <w:r w:rsidRPr="001E7F59">
        <w:rPr>
          <w:rFonts w:ascii="Palatino Linotype" w:eastAsia="Calibri" w:hAnsi="Palatino Linotype" w:cs="Tahoma"/>
          <w:iCs/>
          <w:color w:val="000000"/>
          <w:sz w:val="22"/>
          <w:szCs w:val="22"/>
          <w:lang w:val="es-ES" w:eastAsia="es-ES_tradnl"/>
          <w14:ligatures w14:val="standardContextual"/>
        </w:rPr>
        <w:t xml:space="preserve">algún impedimento del número de hojas o peso de la información que sobrepasara </w:t>
      </w:r>
      <w:r w:rsidRPr="001E7F59">
        <w:rPr>
          <w:rFonts w:ascii="Palatino Linotype" w:eastAsia="Calibri" w:hAnsi="Palatino Linotype" w:cs="Tahoma"/>
          <w:bCs/>
          <w:iCs/>
          <w:color w:val="000000"/>
          <w:sz w:val="22"/>
          <w:szCs w:val="22"/>
          <w:lang w:val="es-ES" w:eastAsia="en-US"/>
          <w14:ligatures w14:val="standardContextual"/>
        </w:rPr>
        <w:t xml:space="preserve">las capacidades técnicas del sistema SAIMEX, si no que únicamente refirió </w:t>
      </w:r>
      <w:r w:rsidRPr="001E7F59">
        <w:rPr>
          <w:rFonts w:ascii="Palatino Linotype" w:eastAsia="Palatino Linotype" w:hAnsi="Palatino Linotype" w:cs="Tahoma"/>
          <w:iCs/>
          <w:sz w:val="22"/>
          <w:lang w:eastAsia="es-MX"/>
        </w:rPr>
        <w:t>que lo peticionado se encuentra bajo el resguardo del Departamento de Servicios Generales y Control Patrimonial</w:t>
      </w:r>
      <w:r w:rsidRPr="001E7F59">
        <w:rPr>
          <w:rFonts w:ascii="Palatino Linotype" w:eastAsia="Calibri" w:hAnsi="Palatino Linotype" w:cs="Tahoma"/>
          <w:b/>
          <w:bCs/>
          <w:iCs/>
          <w:color w:val="000000"/>
          <w:sz w:val="22"/>
          <w:szCs w:val="22"/>
          <w:lang w:val="es-ES" w:eastAsia="en-US"/>
          <w14:ligatures w14:val="standardContextual"/>
        </w:rPr>
        <w:t>.</w:t>
      </w:r>
      <w:r w:rsidRPr="001E7F59">
        <w:rPr>
          <w:rFonts w:ascii="Palatino Linotype" w:eastAsia="Calibri" w:hAnsi="Palatino Linotype" w:cs="Tahoma"/>
          <w:iCs/>
          <w:color w:val="000000"/>
          <w:sz w:val="22"/>
          <w:szCs w:val="22"/>
          <w:lang w:val="es-ES" w:eastAsia="en-US"/>
          <w14:ligatures w14:val="standardContextual"/>
        </w:rPr>
        <w:t xml:space="preserve"> </w:t>
      </w:r>
    </w:p>
    <w:p w14:paraId="62165848" w14:textId="77777777" w:rsidR="00024932" w:rsidRPr="001E7F59" w:rsidRDefault="00024932" w:rsidP="00024932">
      <w:pPr>
        <w:spacing w:line="360" w:lineRule="auto"/>
        <w:jc w:val="both"/>
        <w:rPr>
          <w:rFonts w:ascii="Palatino Linotype" w:eastAsia="Calibri" w:hAnsi="Palatino Linotype" w:cs="Tahoma"/>
          <w:iCs/>
          <w:color w:val="000000"/>
          <w:sz w:val="22"/>
          <w:szCs w:val="22"/>
          <w:lang w:val="es-ES" w:eastAsia="en-US"/>
          <w14:ligatures w14:val="standardContextual"/>
        </w:rPr>
      </w:pPr>
    </w:p>
    <w:p w14:paraId="0E45BE51" w14:textId="60BC558D" w:rsidR="00024932" w:rsidRPr="001E7F59" w:rsidRDefault="00024932" w:rsidP="00024932">
      <w:pPr>
        <w:spacing w:line="360" w:lineRule="auto"/>
        <w:jc w:val="both"/>
        <w:rPr>
          <w:rFonts w:ascii="Palatino Linotype" w:eastAsia="Palatino Linotype" w:hAnsi="Palatino Linotype" w:cs="Palatino Linotype"/>
          <w:sz w:val="22"/>
          <w:szCs w:val="22"/>
          <w:lang w:eastAsia="es-MX"/>
        </w:rPr>
      </w:pPr>
      <w:r w:rsidRPr="001E7F59">
        <w:rPr>
          <w:rFonts w:ascii="Palatino Linotype" w:eastAsia="Palatino Linotype" w:hAnsi="Palatino Linotype" w:cs="Palatino Linotype"/>
          <w:sz w:val="22"/>
          <w:szCs w:val="22"/>
          <w:lang w:eastAsia="es-MX"/>
        </w:rPr>
        <w:t>Conforme a lo anterior, se considera que el Sujeto Obligado, deberá proporcion</w:t>
      </w:r>
      <w:r w:rsidR="00485220" w:rsidRPr="001E7F59">
        <w:rPr>
          <w:rFonts w:ascii="Palatino Linotype" w:eastAsia="Palatino Linotype" w:hAnsi="Palatino Linotype" w:cs="Palatino Linotype"/>
          <w:sz w:val="22"/>
          <w:szCs w:val="22"/>
          <w:lang w:eastAsia="es-MX"/>
        </w:rPr>
        <w:t>ar</w:t>
      </w:r>
      <w:r w:rsidRPr="001E7F59">
        <w:rPr>
          <w:rFonts w:ascii="Palatino Linotype" w:eastAsia="Palatino Linotype" w:hAnsi="Palatino Linotype" w:cs="Palatino Linotype"/>
          <w:sz w:val="22"/>
          <w:szCs w:val="22"/>
          <w:lang w:eastAsia="es-MX"/>
        </w:rPr>
        <w:t xml:space="preserve"> el vehículo, placas, modelo, color y cantidad de combustible, asignado a </w:t>
      </w:r>
      <w:r w:rsidRPr="001E7F59">
        <w:rPr>
          <w:rFonts w:ascii="Palatino Linotype" w:hAnsi="Palatino Linotype" w:cs="Tahoma"/>
          <w:sz w:val="22"/>
          <w:szCs w:val="22"/>
          <w:lang w:val="es-ES"/>
        </w:rPr>
        <w:t>la Titular de la Subdirección de Administración de Agua y Saneamiento de Toluca</w:t>
      </w:r>
      <w:r w:rsidRPr="001E7F59">
        <w:rPr>
          <w:rFonts w:ascii="Palatino Linotype" w:eastAsia="Palatino Linotype" w:hAnsi="Palatino Linotype" w:cs="Palatino Linotype"/>
          <w:sz w:val="22"/>
          <w:szCs w:val="22"/>
          <w:lang w:eastAsia="es-MX"/>
        </w:rPr>
        <w:t>, esto del primero de enero al treinta y uno de diciembre de dos mil veinticuatro.</w:t>
      </w:r>
    </w:p>
    <w:p w14:paraId="24A2DC14" w14:textId="77777777" w:rsidR="00024932" w:rsidRPr="001E7F59" w:rsidRDefault="00024932" w:rsidP="00024932">
      <w:pPr>
        <w:spacing w:line="360" w:lineRule="auto"/>
        <w:jc w:val="both"/>
        <w:rPr>
          <w:rFonts w:ascii="Palatino Linotype" w:eastAsia="Calibri" w:hAnsi="Palatino Linotype" w:cs="Tahoma"/>
          <w:bCs/>
          <w:color w:val="FF0000"/>
          <w:sz w:val="22"/>
          <w:szCs w:val="22"/>
          <w:lang w:val="es-ES" w:eastAsia="es-MX"/>
        </w:rPr>
      </w:pPr>
    </w:p>
    <w:p w14:paraId="16E1BD04" w14:textId="77777777" w:rsidR="00024932" w:rsidRPr="001E7F59" w:rsidRDefault="00024932" w:rsidP="00024932">
      <w:pPr>
        <w:spacing w:line="360" w:lineRule="auto"/>
        <w:jc w:val="both"/>
        <w:rPr>
          <w:rFonts w:ascii="Palatino Linotype" w:eastAsia="Palatino Linotype" w:hAnsi="Palatino Linotype" w:cs="Palatino Linotype"/>
          <w:sz w:val="22"/>
          <w:szCs w:val="22"/>
          <w:lang w:eastAsia="es-MX"/>
        </w:rPr>
      </w:pPr>
      <w:r w:rsidRPr="001E7F59">
        <w:rPr>
          <w:rFonts w:ascii="Palatino Linotype" w:eastAsia="Palatino Linotype" w:hAnsi="Palatino Linotype" w:cs="Palatino Linotype"/>
          <w:sz w:val="22"/>
          <w:szCs w:val="22"/>
          <w:lang w:eastAsia="es-MX"/>
        </w:rPr>
        <w:t>Finalmente, no pasa desapercibido para este Instituto que los documentos que den cuenta de lo solicitado, pudieran contener datos o información clasificada; de los proveedores, tales como los datos bancarios, por lo que, en el supuesto, deberá elaborar la versión pública respectiva; al respecto, conforme al artículo 3°, fracción XLV, relacionado con el 137, ambos de la Ley de Transparencia y Acceso a la Información Pública del Estado de México y Municipios, cuando un documento contenga información pública y clasificada, la Unidad de Transparencia para efectos de atender al requerimiento informativo, deberá elaborar una versión pública en la que se testen las partes o secciones clasificadas, indicando su contenido de manera genérica y fundando y motivando su clasificación.</w:t>
      </w:r>
    </w:p>
    <w:p w14:paraId="4A36708B" w14:textId="6D1CFC72" w:rsidR="00F15B68" w:rsidRPr="001E7F59" w:rsidRDefault="00024932" w:rsidP="00024932">
      <w:pPr>
        <w:spacing w:line="360" w:lineRule="auto"/>
        <w:jc w:val="both"/>
        <w:rPr>
          <w:rFonts w:ascii="Palatino Linotype" w:eastAsia="Calibri" w:hAnsi="Palatino Linotype" w:cs="Tahoma"/>
          <w:color w:val="000000"/>
          <w:sz w:val="22"/>
          <w:szCs w:val="22"/>
          <w:lang w:val="es-ES"/>
        </w:rPr>
      </w:pPr>
      <w:r w:rsidRPr="001E7F59">
        <w:rPr>
          <w:rFonts w:ascii="Palatino Linotype" w:eastAsia="Palatino Linotype" w:hAnsi="Palatino Linotype" w:cs="Palatino Linotype"/>
          <w:sz w:val="22"/>
          <w:szCs w:val="22"/>
          <w:lang w:eastAsia="es-MX"/>
        </w:rPr>
        <w:br/>
        <w:t xml:space="preserve">Para tal situación, el Sujeto Obligado deberá seguir el procedimiento establecido en el artículo 168 de dicho ordenamiento jurídico; esto es, que el área competente deberá elaborar la versión </w:t>
      </w:r>
      <w:r w:rsidRPr="001E7F59">
        <w:rPr>
          <w:rFonts w:ascii="Palatino Linotype" w:eastAsia="Palatino Linotype" w:hAnsi="Palatino Linotype" w:cs="Palatino Linotype"/>
          <w:sz w:val="22"/>
          <w:szCs w:val="22"/>
          <w:lang w:eastAsia="es-MX"/>
        </w:rPr>
        <w:lastRenderedPageBreak/>
        <w:t>pública, así como emitir el Acuerdo, por parte del Comité de Transparencia, donde confirme la clasificación de los datos, fundando y motivando la clasificación.</w:t>
      </w:r>
    </w:p>
    <w:p w14:paraId="24EBB96D" w14:textId="77777777" w:rsidR="0001151B" w:rsidRPr="001E7F59" w:rsidRDefault="0001151B" w:rsidP="001B3766">
      <w:pPr>
        <w:spacing w:line="360" w:lineRule="auto"/>
        <w:jc w:val="both"/>
        <w:rPr>
          <w:rFonts w:ascii="Palatino Linotype" w:eastAsiaTheme="minorHAnsi" w:hAnsi="Palatino Linotype" w:cs="Tahoma"/>
          <w:color w:val="000000" w:themeColor="text1"/>
          <w:sz w:val="22"/>
          <w:szCs w:val="22"/>
          <w:lang w:eastAsia="en-US"/>
        </w:rPr>
      </w:pPr>
    </w:p>
    <w:p w14:paraId="0CC65161" w14:textId="342AFDEE" w:rsidR="001B3766" w:rsidRPr="001E7F59" w:rsidRDefault="001B3766" w:rsidP="00960827">
      <w:pPr>
        <w:pStyle w:val="Ttulo2"/>
        <w:rPr>
          <w:lang w:val="es-ES_tradnl" w:eastAsia="en-US"/>
        </w:rPr>
      </w:pPr>
      <w:bookmarkStart w:id="20" w:name="_Toc191296133"/>
      <w:r w:rsidRPr="001E7F59">
        <w:rPr>
          <w:rFonts w:eastAsiaTheme="minorHAnsi"/>
          <w:lang w:eastAsia="en-US"/>
        </w:rPr>
        <w:t xml:space="preserve">SEXTO. </w:t>
      </w:r>
      <w:r w:rsidRPr="001E7F59">
        <w:rPr>
          <w:lang w:val="es-ES_tradnl" w:eastAsia="en-US"/>
        </w:rPr>
        <w:t>Vista la Dirección General de Protección de Datos Personales</w:t>
      </w:r>
      <w:bookmarkEnd w:id="20"/>
    </w:p>
    <w:p w14:paraId="2F2CB51B" w14:textId="77777777" w:rsidR="001B3766" w:rsidRPr="001E7F59" w:rsidRDefault="001B3766" w:rsidP="001B3766">
      <w:pPr>
        <w:autoSpaceDE w:val="0"/>
        <w:autoSpaceDN w:val="0"/>
        <w:adjustRightInd w:val="0"/>
        <w:spacing w:line="360" w:lineRule="auto"/>
        <w:contextualSpacing/>
        <w:jc w:val="both"/>
        <w:rPr>
          <w:rFonts w:ascii="Palatino Linotype" w:eastAsia="Calibri" w:hAnsi="Palatino Linotype" w:cs="Tahoma"/>
          <w:b/>
          <w:bCs/>
          <w:iCs/>
          <w:color w:val="000000" w:themeColor="text1"/>
          <w:sz w:val="22"/>
          <w:szCs w:val="22"/>
          <w:lang w:val="es-ES_tradnl" w:eastAsia="en-US"/>
        </w:rPr>
      </w:pPr>
    </w:p>
    <w:p w14:paraId="676F3933" w14:textId="25037B7F" w:rsidR="00032214" w:rsidRPr="001E7F59" w:rsidRDefault="00032214" w:rsidP="00032214">
      <w:pPr>
        <w:tabs>
          <w:tab w:val="left" w:pos="4962"/>
        </w:tabs>
        <w:spacing w:line="360" w:lineRule="auto"/>
        <w:contextualSpacing/>
        <w:jc w:val="both"/>
        <w:rPr>
          <w:rFonts w:ascii="Palatino Linotype" w:hAnsi="Palatino Linotype" w:cs="Tahoma"/>
          <w:sz w:val="22"/>
          <w:szCs w:val="22"/>
        </w:rPr>
      </w:pPr>
      <w:r w:rsidRPr="001E7F59">
        <w:rPr>
          <w:rFonts w:ascii="Palatino Linotype" w:eastAsia="Calibri" w:hAnsi="Palatino Linotype" w:cs="Tahoma"/>
          <w:bCs/>
          <w:iCs/>
          <w:color w:val="000000" w:themeColor="text1"/>
          <w:sz w:val="22"/>
          <w:szCs w:val="22"/>
          <w:lang w:val="es-ES_tradnl" w:eastAsia="en-US"/>
        </w:rPr>
        <w:t xml:space="preserve">Ahora bien, el Sujeto Obligado dentro de la respuesta otorgada a la solicitud de información 00192/OASTOL/IP/2024, remitió archivo de nombre </w:t>
      </w:r>
      <w:r w:rsidRPr="001E7F59">
        <w:rPr>
          <w:rFonts w:ascii="Palatino Linotype" w:eastAsia="Calibri" w:hAnsi="Palatino Linotype" w:cs="Tahoma"/>
          <w:bCs/>
          <w:i/>
          <w:iCs/>
          <w:color w:val="000000" w:themeColor="text1"/>
          <w:sz w:val="22"/>
          <w:szCs w:val="22"/>
          <w:lang w:val="es-ES_tradnl" w:eastAsia="en-US"/>
        </w:rPr>
        <w:t>“TRANSPARENCIA 2024 .pdf”</w:t>
      </w:r>
      <w:r w:rsidRPr="001E7F59">
        <w:rPr>
          <w:rFonts w:ascii="Palatino Linotype" w:eastAsia="Calibri" w:hAnsi="Palatino Linotype" w:cs="Tahoma"/>
          <w:bCs/>
          <w:iCs/>
          <w:color w:val="000000" w:themeColor="text1"/>
          <w:sz w:val="22"/>
          <w:szCs w:val="22"/>
          <w:lang w:val="es-ES_tradnl" w:eastAsia="en-US"/>
        </w:rPr>
        <w:t xml:space="preserve"> el cual contiene diversos documentos, entre los cuales se advierten números de teléfono de particulares, RFC, clave IFE, clave ISSEMYM, CURP, fechas de nacimiento, Nacionalidad, edad, datos familiares (página 17/45), así como, Acta de Nacimiento (página 23/45), firma en Cédula Profesional (página 24/45), Certificado Médico (página 28/45), Factura de Gas (página 29/45), Curriculum Vitae se deja visible el estado civil (página 32/45), Credencial para votar en la que se dejó visible fecha de nacimiento y sexo (página 34/45), Cartas de Recomendación íntegras (página 37/45) y Cédula de Identificación Fiscal (página 41/45), datos que son de naturaleza privada y debieron clasificarse en su totalidad, circunstancia que vulnera lo previsto en el artículo 143, fracción I, de la Ley de Transparencia y Acceso a la Información Pública del Estado de México y Municipios. Por lo tanto, el Ente Recurrido, inobservó la Ley de Transparencia y Acceso a la Información Pública del Estado de México y Municipios y la Ley de Protección de Datos Personales en Posesión de Sujetos Obligados del Estado de México y Municipios.</w:t>
      </w:r>
    </w:p>
    <w:p w14:paraId="30F250D0" w14:textId="77777777" w:rsidR="00032214" w:rsidRPr="001E7F59" w:rsidRDefault="00032214" w:rsidP="00032214">
      <w:pPr>
        <w:autoSpaceDE w:val="0"/>
        <w:autoSpaceDN w:val="0"/>
        <w:adjustRightInd w:val="0"/>
        <w:spacing w:line="360" w:lineRule="auto"/>
        <w:contextualSpacing/>
        <w:jc w:val="both"/>
        <w:rPr>
          <w:rFonts w:ascii="Palatino Linotype" w:eastAsia="Calibri" w:hAnsi="Palatino Linotype" w:cs="Tahoma"/>
          <w:bCs/>
          <w:iCs/>
          <w:color w:val="000000" w:themeColor="text1"/>
          <w:sz w:val="22"/>
          <w:szCs w:val="22"/>
          <w:lang w:val="es-ES_tradnl" w:eastAsia="en-US"/>
        </w:rPr>
      </w:pPr>
    </w:p>
    <w:p w14:paraId="11C822FF" w14:textId="5B131BFE" w:rsidR="001B3766" w:rsidRPr="001E7F59" w:rsidRDefault="00032214" w:rsidP="00032214">
      <w:pPr>
        <w:autoSpaceDE w:val="0"/>
        <w:autoSpaceDN w:val="0"/>
        <w:adjustRightInd w:val="0"/>
        <w:spacing w:line="360" w:lineRule="auto"/>
        <w:contextualSpacing/>
        <w:jc w:val="both"/>
        <w:rPr>
          <w:rFonts w:ascii="Palatino Linotype" w:eastAsia="Calibri" w:hAnsi="Palatino Linotype" w:cs="Tahoma"/>
          <w:bCs/>
          <w:iCs/>
          <w:color w:val="000000" w:themeColor="text1"/>
          <w:sz w:val="22"/>
          <w:szCs w:val="22"/>
          <w:lang w:val="es-ES_tradnl" w:eastAsia="en-US"/>
        </w:rPr>
      </w:pPr>
      <w:r w:rsidRPr="001E7F59">
        <w:rPr>
          <w:rFonts w:ascii="Palatino Linotype" w:eastAsia="Calibri" w:hAnsi="Palatino Linotype" w:cs="Tahoma"/>
          <w:bCs/>
          <w:iCs/>
          <w:color w:val="000000" w:themeColor="text1"/>
          <w:sz w:val="22"/>
          <w:szCs w:val="22"/>
          <w:lang w:val="es-ES_tradnl" w:eastAsia="en-US"/>
        </w:rPr>
        <w:t xml:space="preserve">Sobre el particular, si bien, la presente resolución no tiene por objetivo investigar y determinar posibles violaciones al derecho de acceso a la información; toda vez que este Organismo Autónomo, advirtió la posible publicación de información de datos personales, se considera procedente dar vista a la Dirección General de Protección de Datos Personales de este Instituto con fundamento en el artículo 24, fracciones XI, XII y XIII del Reglamento Interior del Instituto </w:t>
      </w:r>
      <w:r w:rsidRPr="001E7F59">
        <w:rPr>
          <w:rFonts w:ascii="Palatino Linotype" w:eastAsia="Calibri" w:hAnsi="Palatino Linotype" w:cs="Tahoma"/>
          <w:bCs/>
          <w:iCs/>
          <w:color w:val="000000" w:themeColor="text1"/>
          <w:sz w:val="22"/>
          <w:szCs w:val="22"/>
          <w:lang w:val="es-ES_tradnl" w:eastAsia="en-US"/>
        </w:rPr>
        <w:lastRenderedPageBreak/>
        <w:t>de Transparencia, Acceso a la Información Pública y Protección de Datos Personales del Estado de México y Municipios, a fin de llevar a cabo el procedimiento que conforme a Derecho corresponda.</w:t>
      </w:r>
    </w:p>
    <w:p w14:paraId="45F35E30" w14:textId="77777777" w:rsidR="001B3766" w:rsidRPr="001E7F59" w:rsidRDefault="001B3766" w:rsidP="001B3766">
      <w:pPr>
        <w:spacing w:line="360" w:lineRule="auto"/>
        <w:ind w:right="-93"/>
        <w:jc w:val="both"/>
        <w:rPr>
          <w:rFonts w:ascii="Palatino Linotype" w:eastAsiaTheme="minorHAnsi" w:hAnsi="Palatino Linotype" w:cs="Tahoma"/>
          <w:b/>
          <w:color w:val="000000" w:themeColor="text1"/>
          <w:sz w:val="22"/>
          <w:szCs w:val="22"/>
          <w:lang w:eastAsia="en-US"/>
        </w:rPr>
      </w:pPr>
    </w:p>
    <w:p w14:paraId="24713134" w14:textId="77777777" w:rsidR="001B3766" w:rsidRPr="001E7F59" w:rsidRDefault="001B3766" w:rsidP="00960827">
      <w:pPr>
        <w:pStyle w:val="Ttulo2"/>
        <w:rPr>
          <w:lang w:eastAsia="en-US"/>
        </w:rPr>
      </w:pPr>
      <w:bookmarkStart w:id="21" w:name="_Toc191296134"/>
      <w:r w:rsidRPr="001E7F59">
        <w:rPr>
          <w:lang w:eastAsia="en-US"/>
        </w:rPr>
        <w:t>SÉPTIMO. Decisión</w:t>
      </w:r>
      <w:bookmarkEnd w:id="21"/>
    </w:p>
    <w:p w14:paraId="25796299" w14:textId="77777777" w:rsidR="001B3766" w:rsidRPr="001E7F59" w:rsidRDefault="001B3766" w:rsidP="001B3766">
      <w:pPr>
        <w:spacing w:line="360" w:lineRule="auto"/>
        <w:jc w:val="both"/>
        <w:rPr>
          <w:rFonts w:ascii="Palatino Linotype" w:eastAsiaTheme="minorHAnsi" w:hAnsi="Palatino Linotype" w:cs="Tahoma"/>
          <w:color w:val="000000" w:themeColor="text1"/>
          <w:sz w:val="22"/>
          <w:szCs w:val="22"/>
          <w:lang w:val="es-ES" w:eastAsia="en-US"/>
        </w:rPr>
      </w:pPr>
    </w:p>
    <w:p w14:paraId="3CC83EBB" w14:textId="4857A6A1" w:rsidR="001B3766" w:rsidRPr="001E7F59" w:rsidRDefault="001B3766" w:rsidP="001B3766">
      <w:pPr>
        <w:spacing w:line="360" w:lineRule="auto"/>
        <w:jc w:val="both"/>
        <w:rPr>
          <w:rFonts w:ascii="Palatino Linotype" w:eastAsiaTheme="minorHAnsi" w:hAnsi="Palatino Linotype" w:cs="Tahoma"/>
          <w:color w:val="000000" w:themeColor="text1"/>
          <w:sz w:val="22"/>
          <w:szCs w:val="22"/>
          <w:lang w:eastAsia="en-US"/>
        </w:rPr>
      </w:pPr>
      <w:r w:rsidRPr="001E7F59">
        <w:rPr>
          <w:rFonts w:ascii="Palatino Linotype" w:eastAsiaTheme="minorHAnsi" w:hAnsi="Palatino Linotype" w:cs="Tahoma"/>
          <w:color w:val="000000" w:themeColor="text1"/>
          <w:sz w:val="22"/>
          <w:szCs w:val="22"/>
          <w:lang w:eastAsia="en-US"/>
        </w:rPr>
        <w:t xml:space="preserve">Con fundamento en el artículo 186, fracciones III, de la Ley de Transparencia y Acceso a la Información Pública del Estado de México y Municipios, este Instituto considera procedente </w:t>
      </w:r>
      <w:r w:rsidRPr="001E7F59">
        <w:rPr>
          <w:rFonts w:ascii="Palatino Linotype" w:eastAsiaTheme="minorHAnsi" w:hAnsi="Palatino Linotype" w:cs="Tahoma"/>
          <w:b/>
          <w:color w:val="000000" w:themeColor="text1"/>
          <w:sz w:val="22"/>
          <w:szCs w:val="22"/>
          <w:lang w:eastAsia="en-US"/>
        </w:rPr>
        <w:t>MODIFICAR</w:t>
      </w:r>
      <w:r w:rsidRPr="001E7F59">
        <w:rPr>
          <w:rFonts w:ascii="Palatino Linotype" w:eastAsiaTheme="minorHAnsi" w:hAnsi="Palatino Linotype" w:cs="Tahoma"/>
          <w:bCs/>
          <w:color w:val="000000" w:themeColor="text1"/>
          <w:sz w:val="22"/>
          <w:szCs w:val="22"/>
          <w:lang w:val="es-ES_tradnl" w:eastAsia="en-US"/>
        </w:rPr>
        <w:t xml:space="preserve"> </w:t>
      </w:r>
      <w:r w:rsidRPr="001E7F59">
        <w:rPr>
          <w:rFonts w:ascii="Palatino Linotype" w:eastAsiaTheme="minorHAnsi" w:hAnsi="Palatino Linotype" w:cs="Tahoma"/>
          <w:bCs/>
          <w:color w:val="000000" w:themeColor="text1"/>
          <w:sz w:val="22"/>
          <w:szCs w:val="22"/>
          <w:lang w:eastAsia="en-US"/>
        </w:rPr>
        <w:t>las respuesta otorgada</w:t>
      </w:r>
      <w:r w:rsidR="00C93499" w:rsidRPr="001E7F59">
        <w:rPr>
          <w:rFonts w:ascii="Palatino Linotype" w:eastAsiaTheme="minorHAnsi" w:hAnsi="Palatino Linotype" w:cs="Tahoma"/>
          <w:bCs/>
          <w:color w:val="000000" w:themeColor="text1"/>
          <w:sz w:val="22"/>
          <w:szCs w:val="22"/>
          <w:lang w:eastAsia="en-US"/>
        </w:rPr>
        <w:t xml:space="preserve"> por el Sujeto Obligado, a la</w:t>
      </w:r>
      <w:r w:rsidRPr="001E7F59">
        <w:rPr>
          <w:rFonts w:ascii="Palatino Linotype" w:eastAsiaTheme="minorHAnsi" w:hAnsi="Palatino Linotype" w:cs="Tahoma"/>
          <w:bCs/>
          <w:color w:val="000000" w:themeColor="text1"/>
          <w:sz w:val="22"/>
          <w:szCs w:val="22"/>
          <w:lang w:eastAsia="en-US"/>
        </w:rPr>
        <w:t xml:space="preserve"> solicitud de acceso a la información con número </w:t>
      </w:r>
      <w:r w:rsidR="00C93499" w:rsidRPr="001E7F59">
        <w:rPr>
          <w:rFonts w:ascii="Palatino Linotype" w:eastAsiaTheme="minorHAnsi" w:hAnsi="Palatino Linotype" w:cs="Tahoma"/>
          <w:bCs/>
          <w:color w:val="000000" w:themeColor="text1"/>
          <w:sz w:val="22"/>
          <w:szCs w:val="22"/>
          <w:lang w:eastAsia="en-US"/>
        </w:rPr>
        <w:t>00192/OASTOL/IP/2024</w:t>
      </w:r>
      <w:r w:rsidRPr="001E7F59">
        <w:rPr>
          <w:rFonts w:ascii="Palatino Linotype" w:eastAsiaTheme="minorHAnsi" w:hAnsi="Palatino Linotype" w:cs="Tahoma"/>
          <w:bCs/>
          <w:color w:val="000000" w:themeColor="text1"/>
          <w:sz w:val="22"/>
          <w:szCs w:val="22"/>
          <w:lang w:eastAsia="en-US"/>
        </w:rPr>
        <w:t>,</w:t>
      </w:r>
      <w:r w:rsidR="00C93499" w:rsidRPr="001E7F59">
        <w:rPr>
          <w:rFonts w:ascii="Palatino Linotype" w:eastAsiaTheme="minorHAnsi" w:hAnsi="Palatino Linotype" w:cs="Tahoma"/>
          <w:bCs/>
          <w:color w:val="000000" w:themeColor="text1"/>
          <w:sz w:val="22"/>
          <w:szCs w:val="22"/>
          <w:lang w:eastAsia="en-US"/>
        </w:rPr>
        <w:t xml:space="preserve"> referente a</w:t>
      </w:r>
      <w:r w:rsidRPr="001E7F59">
        <w:rPr>
          <w:rFonts w:ascii="Palatino Linotype" w:eastAsiaTheme="minorHAnsi" w:hAnsi="Palatino Linotype" w:cs="Tahoma"/>
          <w:bCs/>
          <w:color w:val="000000" w:themeColor="text1"/>
          <w:sz w:val="22"/>
          <w:szCs w:val="22"/>
          <w:lang w:eastAsia="en-US"/>
        </w:rPr>
        <w:t xml:space="preserve">l Recurso de Revisión número </w:t>
      </w:r>
      <w:r w:rsidRPr="001E7F59">
        <w:rPr>
          <w:rFonts w:ascii="Palatino Linotype" w:eastAsiaTheme="minorHAnsi" w:hAnsi="Palatino Linotype" w:cs="Tahoma"/>
          <w:color w:val="000000" w:themeColor="text1"/>
          <w:sz w:val="22"/>
          <w:szCs w:val="22"/>
          <w:lang w:eastAsia="en-US"/>
        </w:rPr>
        <w:t>0</w:t>
      </w:r>
      <w:r w:rsidR="00C93499" w:rsidRPr="001E7F59">
        <w:rPr>
          <w:rFonts w:ascii="Palatino Linotype" w:eastAsiaTheme="minorHAnsi" w:hAnsi="Palatino Linotype" w:cs="Tahoma"/>
          <w:color w:val="000000" w:themeColor="text1"/>
          <w:sz w:val="22"/>
          <w:szCs w:val="22"/>
          <w:lang w:eastAsia="en-US"/>
        </w:rPr>
        <w:t>0541</w:t>
      </w:r>
      <w:r w:rsidRPr="001E7F59">
        <w:rPr>
          <w:rFonts w:ascii="Palatino Linotype" w:eastAsiaTheme="minorHAnsi" w:hAnsi="Palatino Linotype" w:cs="Tahoma"/>
          <w:color w:val="000000" w:themeColor="text1"/>
          <w:sz w:val="22"/>
          <w:szCs w:val="22"/>
          <w:lang w:eastAsia="en-US"/>
        </w:rPr>
        <w:t>/INFOEM/IP/RR/202</w:t>
      </w:r>
      <w:r w:rsidR="00C93499" w:rsidRPr="001E7F59">
        <w:rPr>
          <w:rFonts w:ascii="Palatino Linotype" w:eastAsiaTheme="minorHAnsi" w:hAnsi="Palatino Linotype" w:cs="Tahoma"/>
          <w:color w:val="000000" w:themeColor="text1"/>
          <w:sz w:val="22"/>
          <w:szCs w:val="22"/>
          <w:lang w:eastAsia="en-US"/>
        </w:rPr>
        <w:t>5,</w:t>
      </w:r>
      <w:r w:rsidRPr="001E7F59">
        <w:rPr>
          <w:rFonts w:ascii="Palatino Linotype" w:eastAsiaTheme="minorHAnsi" w:hAnsi="Palatino Linotype" w:cs="Tahoma"/>
          <w:color w:val="000000" w:themeColor="text1"/>
          <w:sz w:val="22"/>
          <w:szCs w:val="22"/>
          <w:lang w:eastAsia="en-US"/>
        </w:rPr>
        <w:t xml:space="preserve"> a efecto de que, </w:t>
      </w:r>
      <w:r w:rsidRPr="001E7F59">
        <w:rPr>
          <w:rFonts w:ascii="Palatino Linotype" w:eastAsiaTheme="minorHAnsi" w:hAnsi="Palatino Linotype" w:cs="Tahoma"/>
          <w:bCs/>
          <w:color w:val="000000" w:themeColor="text1"/>
          <w:sz w:val="22"/>
          <w:szCs w:val="22"/>
          <w:lang w:eastAsia="en-US"/>
        </w:rPr>
        <w:t xml:space="preserve">previa </w:t>
      </w:r>
      <w:r w:rsidRPr="001E7F59">
        <w:rPr>
          <w:rFonts w:ascii="Palatino Linotype" w:eastAsiaTheme="minorHAnsi" w:hAnsi="Palatino Linotype" w:cs="Tahoma"/>
          <w:iCs/>
          <w:color w:val="000000" w:themeColor="text1"/>
          <w:sz w:val="22"/>
          <w:szCs w:val="22"/>
          <w:lang w:eastAsia="es-ES_tradnl"/>
        </w:rPr>
        <w:t xml:space="preserve">búsqueda, </w:t>
      </w:r>
      <w:r w:rsidRPr="001E7F59">
        <w:rPr>
          <w:rFonts w:ascii="Palatino Linotype" w:eastAsiaTheme="minorHAnsi" w:hAnsi="Palatino Linotype" w:cs="Tahoma"/>
          <w:color w:val="000000" w:themeColor="text1"/>
          <w:sz w:val="22"/>
          <w:szCs w:val="22"/>
          <w:lang w:eastAsia="en-US"/>
        </w:rPr>
        <w:t>entregue, a través del Sistema de Acceso a la Información Mexiquense (SAIMEX), en versión pública</w:t>
      </w:r>
      <w:r w:rsidR="00C93499" w:rsidRPr="001E7F59">
        <w:rPr>
          <w:rFonts w:ascii="Palatino Linotype" w:eastAsiaTheme="minorHAnsi" w:hAnsi="Palatino Linotype" w:cs="Tahoma"/>
          <w:color w:val="000000" w:themeColor="text1"/>
          <w:sz w:val="22"/>
          <w:szCs w:val="22"/>
          <w:lang w:eastAsia="en-US"/>
        </w:rPr>
        <w:t xml:space="preserve"> correcta</w:t>
      </w:r>
      <w:r w:rsidRPr="001E7F59">
        <w:rPr>
          <w:rFonts w:ascii="Palatino Linotype" w:eastAsiaTheme="minorHAnsi" w:hAnsi="Palatino Linotype" w:cs="Tahoma"/>
          <w:color w:val="000000" w:themeColor="text1"/>
          <w:sz w:val="22"/>
          <w:szCs w:val="22"/>
          <w:lang w:eastAsia="en-US"/>
        </w:rPr>
        <w:t>, los documentos que den cuenta de lo solicitado.</w:t>
      </w:r>
    </w:p>
    <w:p w14:paraId="691B59C8" w14:textId="77777777" w:rsidR="001B3766" w:rsidRPr="001E7F59" w:rsidRDefault="001B3766" w:rsidP="001B3766">
      <w:pPr>
        <w:spacing w:line="360" w:lineRule="auto"/>
        <w:ind w:right="-93"/>
        <w:jc w:val="both"/>
        <w:rPr>
          <w:rFonts w:ascii="Palatino Linotype" w:eastAsia="Palatino Linotype" w:hAnsi="Palatino Linotype" w:cs="Palatino Linotype"/>
          <w:color w:val="000000" w:themeColor="text1"/>
          <w:sz w:val="22"/>
          <w:szCs w:val="22"/>
          <w:lang w:eastAsia="en-US"/>
        </w:rPr>
      </w:pPr>
      <w:r w:rsidRPr="001E7F59">
        <w:rPr>
          <w:rFonts w:ascii="Palatino Linotype" w:eastAsia="Calibri" w:hAnsi="Palatino Linotype" w:cs="Arial"/>
          <w:color w:val="000000"/>
          <w:sz w:val="22"/>
          <w:szCs w:val="22"/>
          <w:lang w:eastAsia="en-US"/>
        </w:rPr>
        <w:t xml:space="preserve"> </w:t>
      </w:r>
      <w:r w:rsidRPr="001E7F59">
        <w:rPr>
          <w:rFonts w:ascii="Palatino Linotype" w:eastAsiaTheme="minorHAnsi" w:hAnsi="Palatino Linotype" w:cs="Tahoma"/>
          <w:color w:val="000000" w:themeColor="text1"/>
          <w:sz w:val="22"/>
          <w:szCs w:val="22"/>
          <w:lang w:eastAsia="en-US"/>
        </w:rPr>
        <w:t xml:space="preserve"> </w:t>
      </w:r>
      <w:r w:rsidRPr="001E7F59">
        <w:rPr>
          <w:rFonts w:ascii="Palatino Linotype" w:eastAsia="Palatino Linotype" w:hAnsi="Palatino Linotype" w:cs="Palatino Linotype"/>
          <w:color w:val="000000" w:themeColor="text1"/>
          <w:sz w:val="22"/>
          <w:szCs w:val="22"/>
          <w:lang w:eastAsia="en-US"/>
        </w:rPr>
        <w:t xml:space="preserve"> </w:t>
      </w:r>
    </w:p>
    <w:p w14:paraId="5950434B" w14:textId="77777777" w:rsidR="001B3766" w:rsidRPr="001E7F59" w:rsidRDefault="001B3766" w:rsidP="00960827">
      <w:pPr>
        <w:pStyle w:val="Ttulo3"/>
        <w:rPr>
          <w:lang w:val="es-ES" w:eastAsia="es-ES_tradnl"/>
        </w:rPr>
      </w:pPr>
      <w:bookmarkStart w:id="22" w:name="_Toc191296135"/>
      <w:r w:rsidRPr="001E7F59">
        <w:rPr>
          <w:lang w:val="es-ES" w:eastAsia="es-ES_tradnl"/>
        </w:rPr>
        <w:t>Términos de la Resolución para el Recurrente</w:t>
      </w:r>
      <w:bookmarkEnd w:id="22"/>
    </w:p>
    <w:p w14:paraId="773274D3" w14:textId="77777777" w:rsidR="001B3766" w:rsidRPr="001E7F59" w:rsidRDefault="001B3766" w:rsidP="001B3766">
      <w:pPr>
        <w:spacing w:line="360" w:lineRule="auto"/>
        <w:jc w:val="both"/>
        <w:rPr>
          <w:rFonts w:ascii="Palatino Linotype" w:eastAsia="Calibri" w:hAnsi="Palatino Linotype" w:cs="Tahoma"/>
          <w:iCs/>
          <w:color w:val="000000" w:themeColor="text1"/>
          <w:sz w:val="22"/>
          <w:szCs w:val="22"/>
          <w:lang w:eastAsia="es-ES_tradnl"/>
        </w:rPr>
      </w:pPr>
    </w:p>
    <w:p w14:paraId="7D20C447" w14:textId="6DE3B3ED" w:rsidR="001B3766" w:rsidRPr="001E7F59" w:rsidRDefault="001B3766" w:rsidP="001B3766">
      <w:pPr>
        <w:spacing w:line="360" w:lineRule="auto"/>
        <w:ind w:right="-93"/>
        <w:jc w:val="both"/>
        <w:rPr>
          <w:rFonts w:ascii="Palatino Linotype" w:eastAsiaTheme="minorHAnsi" w:hAnsi="Palatino Linotype" w:cs="Tahoma"/>
          <w:bCs/>
          <w:color w:val="000000" w:themeColor="text1"/>
          <w:sz w:val="22"/>
          <w:szCs w:val="22"/>
          <w:lang w:eastAsia="en-US"/>
        </w:rPr>
      </w:pPr>
      <w:r w:rsidRPr="001E7F59">
        <w:rPr>
          <w:rFonts w:ascii="Palatino Linotype" w:hAnsi="Palatino Linotype" w:cstheme="minorBidi"/>
          <w:color w:val="000000" w:themeColor="text1"/>
          <w:sz w:val="22"/>
          <w:szCs w:val="22"/>
          <w:lang w:eastAsia="es-MX"/>
        </w:rPr>
        <w:t xml:space="preserve">Se le hace del conocimiento al Particular, que, en el presente caso, se le concede parcialmente la razón, pues el </w:t>
      </w:r>
      <w:r w:rsidR="00C93499" w:rsidRPr="001E7F59">
        <w:rPr>
          <w:rFonts w:ascii="Palatino Linotype" w:hAnsi="Palatino Linotype" w:cstheme="minorBidi"/>
          <w:color w:val="000000" w:themeColor="text1"/>
          <w:sz w:val="22"/>
          <w:szCs w:val="22"/>
          <w:lang w:eastAsia="es-MX"/>
        </w:rPr>
        <w:t>Organismo de Agua y Saneamiento de Toluca</w:t>
      </w:r>
      <w:r w:rsidRPr="001E7F59">
        <w:rPr>
          <w:rFonts w:ascii="Palatino Linotype" w:eastAsiaTheme="minorHAnsi" w:hAnsi="Palatino Linotype" w:cs="Tahoma"/>
          <w:color w:val="000000" w:themeColor="text1"/>
          <w:sz w:val="22"/>
          <w:szCs w:val="22"/>
          <w:lang w:eastAsia="en-US"/>
        </w:rPr>
        <w:t>, por una parte, entregó información que es de su interés; sin embargo, el Sujeto Obligado deberá proporcionar la información restante a efectos de cumplir su requerimiento de información en una correcta versión pública.</w:t>
      </w:r>
      <w:r w:rsidR="005660CB" w:rsidRPr="001E7F59">
        <w:rPr>
          <w:rFonts w:ascii="Palatino Linotype" w:eastAsiaTheme="minorHAnsi" w:hAnsi="Palatino Linotype" w:cs="Tahoma"/>
          <w:color w:val="000000" w:themeColor="text1"/>
          <w:sz w:val="22"/>
          <w:szCs w:val="22"/>
          <w:lang w:eastAsia="en-US"/>
        </w:rPr>
        <w:t xml:space="preserve"> </w:t>
      </w:r>
      <w:r w:rsidRPr="001E7F59">
        <w:rPr>
          <w:rFonts w:ascii="Palatino Linotype" w:eastAsiaTheme="minorHAnsi" w:hAnsi="Palatino Linotype" w:cs="Tahoma"/>
          <w:bCs/>
          <w:color w:val="000000" w:themeColor="text1"/>
          <w:sz w:val="22"/>
          <w:szCs w:val="22"/>
          <w:lang w:eastAsia="en-US"/>
        </w:rPr>
        <w:t xml:space="preserve">Finalmente, la labor del Instituto es apoyar a la población para acceder a la información pública que tengan en sus archivos las instituciones públicas </w:t>
      </w:r>
      <w:r w:rsidR="005660CB" w:rsidRPr="001E7F59">
        <w:rPr>
          <w:rFonts w:ascii="Palatino Linotype" w:eastAsiaTheme="minorHAnsi" w:hAnsi="Palatino Linotype" w:cs="Tahoma"/>
          <w:bCs/>
          <w:color w:val="000000" w:themeColor="text1"/>
          <w:sz w:val="22"/>
          <w:szCs w:val="22"/>
          <w:lang w:eastAsia="en-US"/>
        </w:rPr>
        <w:t xml:space="preserve">y </w:t>
      </w:r>
      <w:r w:rsidRPr="001E7F59">
        <w:rPr>
          <w:rFonts w:ascii="Palatino Linotype" w:eastAsiaTheme="minorHAnsi" w:hAnsi="Palatino Linotype" w:cs="Tahoma"/>
          <w:bCs/>
          <w:color w:val="000000" w:themeColor="text1"/>
          <w:sz w:val="22"/>
          <w:szCs w:val="22"/>
          <w:lang w:eastAsia="en-US"/>
        </w:rPr>
        <w:t>garantizar la protección de los datos personales.</w:t>
      </w:r>
    </w:p>
    <w:p w14:paraId="1C7E9A7B" w14:textId="77777777" w:rsidR="005660CB" w:rsidRPr="001E7F59" w:rsidRDefault="005660CB" w:rsidP="001B3766">
      <w:pPr>
        <w:spacing w:line="360" w:lineRule="auto"/>
        <w:ind w:right="-93"/>
        <w:jc w:val="both"/>
        <w:rPr>
          <w:rFonts w:ascii="Palatino Linotype" w:eastAsiaTheme="minorHAnsi" w:hAnsi="Palatino Linotype" w:cs="Tahoma"/>
          <w:bCs/>
          <w:color w:val="000000" w:themeColor="text1"/>
          <w:sz w:val="22"/>
          <w:szCs w:val="22"/>
          <w:lang w:eastAsia="en-US"/>
        </w:rPr>
      </w:pPr>
    </w:p>
    <w:p w14:paraId="1CD14CC5" w14:textId="77777777" w:rsidR="001B3766" w:rsidRPr="001E7F59" w:rsidRDefault="001B3766" w:rsidP="001B3766">
      <w:pPr>
        <w:spacing w:line="360" w:lineRule="auto"/>
        <w:ind w:right="-93"/>
        <w:jc w:val="both"/>
        <w:rPr>
          <w:rFonts w:ascii="Palatino Linotype" w:eastAsiaTheme="minorHAnsi" w:hAnsi="Palatino Linotype" w:cs="Tahoma"/>
          <w:bCs/>
          <w:color w:val="000000" w:themeColor="text1"/>
          <w:sz w:val="22"/>
          <w:szCs w:val="22"/>
          <w:lang w:eastAsia="en-US"/>
        </w:rPr>
      </w:pPr>
      <w:r w:rsidRPr="001E7F59">
        <w:rPr>
          <w:rFonts w:ascii="Palatino Linotype" w:eastAsiaTheme="minorHAnsi" w:hAnsi="Palatino Linotype" w:cs="Tahoma"/>
          <w:bCs/>
          <w:color w:val="000000" w:themeColor="text1"/>
          <w:sz w:val="22"/>
          <w:szCs w:val="22"/>
          <w:lang w:eastAsia="en-US"/>
        </w:rPr>
        <w:t>Por lo expuesto y fundado, este Pleno:</w:t>
      </w:r>
    </w:p>
    <w:p w14:paraId="1A70B476" w14:textId="77777777" w:rsidR="001B3766" w:rsidRPr="001E7F59" w:rsidRDefault="001B3766" w:rsidP="00960827">
      <w:pPr>
        <w:pStyle w:val="Ttulo1"/>
        <w:rPr>
          <w:lang w:eastAsia="en-US"/>
        </w:rPr>
      </w:pPr>
      <w:bookmarkStart w:id="23" w:name="_Toc191296136"/>
      <w:r w:rsidRPr="001E7F59">
        <w:rPr>
          <w:lang w:eastAsia="en-US"/>
        </w:rPr>
        <w:lastRenderedPageBreak/>
        <w:t>R E S U E L V E</w:t>
      </w:r>
      <w:bookmarkEnd w:id="23"/>
    </w:p>
    <w:p w14:paraId="70C7C2E5" w14:textId="77777777" w:rsidR="001B3766" w:rsidRPr="001E7F59" w:rsidRDefault="001B3766" w:rsidP="001B3766">
      <w:pPr>
        <w:spacing w:line="360" w:lineRule="auto"/>
        <w:jc w:val="center"/>
        <w:rPr>
          <w:rFonts w:ascii="Palatino Linotype" w:eastAsiaTheme="minorHAnsi" w:hAnsi="Palatino Linotype" w:cs="Tahoma"/>
          <w:b/>
          <w:bCs/>
          <w:color w:val="000000" w:themeColor="text1"/>
          <w:sz w:val="22"/>
          <w:szCs w:val="22"/>
          <w:lang w:eastAsia="en-US"/>
        </w:rPr>
      </w:pPr>
    </w:p>
    <w:p w14:paraId="3A8CB597" w14:textId="705C6907" w:rsidR="001B3766" w:rsidRPr="001E7F59" w:rsidRDefault="001B3766" w:rsidP="001B3766">
      <w:pPr>
        <w:widowControl w:val="0"/>
        <w:spacing w:line="360" w:lineRule="auto"/>
        <w:jc w:val="both"/>
        <w:rPr>
          <w:rFonts w:ascii="Palatino Linotype" w:eastAsiaTheme="minorHAnsi" w:hAnsi="Palatino Linotype" w:cstheme="minorBidi"/>
          <w:color w:val="000000" w:themeColor="text1"/>
          <w:sz w:val="22"/>
          <w:lang w:eastAsia="en-US"/>
        </w:rPr>
      </w:pPr>
      <w:bookmarkStart w:id="24" w:name="_Toc191296137"/>
      <w:r w:rsidRPr="001E7F59">
        <w:rPr>
          <w:rStyle w:val="Ttulo2Car"/>
          <w:sz w:val="22"/>
          <w:lang w:val="es-ES" w:eastAsia="en-US"/>
        </w:rPr>
        <w:t>PRIMERO.</w:t>
      </w:r>
      <w:bookmarkEnd w:id="24"/>
      <w:r w:rsidRPr="001E7F59">
        <w:rPr>
          <w:rFonts w:ascii="Palatino Linotype" w:eastAsiaTheme="minorHAnsi" w:hAnsi="Palatino Linotype" w:cs="Tahoma"/>
          <w:b/>
          <w:color w:val="000000" w:themeColor="text1"/>
          <w:sz w:val="22"/>
          <w:szCs w:val="22"/>
          <w:lang w:val="es-ES" w:eastAsia="en-US"/>
        </w:rPr>
        <w:t xml:space="preserve"> </w:t>
      </w:r>
      <w:r w:rsidRPr="001E7F59">
        <w:rPr>
          <w:rFonts w:ascii="Palatino Linotype" w:eastAsiaTheme="minorHAnsi" w:hAnsi="Palatino Linotype" w:cs="Tahoma"/>
          <w:bCs/>
          <w:color w:val="000000" w:themeColor="text1"/>
          <w:sz w:val="22"/>
          <w:szCs w:val="22"/>
          <w:lang w:eastAsia="en-US"/>
        </w:rPr>
        <w:t xml:space="preserve">Se </w:t>
      </w:r>
      <w:r w:rsidR="00C93499" w:rsidRPr="001E7F59">
        <w:rPr>
          <w:rFonts w:ascii="Palatino Linotype" w:eastAsiaTheme="minorHAnsi" w:hAnsi="Palatino Linotype" w:cs="Tahoma"/>
          <w:b/>
          <w:bCs/>
          <w:color w:val="000000" w:themeColor="text1"/>
          <w:sz w:val="22"/>
          <w:szCs w:val="22"/>
          <w:lang w:eastAsia="en-US"/>
        </w:rPr>
        <w:t>MODIFICA</w:t>
      </w:r>
      <w:r w:rsidRPr="001E7F59">
        <w:rPr>
          <w:rFonts w:ascii="Palatino Linotype" w:eastAsiaTheme="minorHAnsi" w:hAnsi="Palatino Linotype" w:cs="Tahoma"/>
          <w:bCs/>
          <w:color w:val="000000" w:themeColor="text1"/>
          <w:sz w:val="22"/>
          <w:szCs w:val="22"/>
          <w:lang w:eastAsia="en-US"/>
        </w:rPr>
        <w:t xml:space="preserve"> la</w:t>
      </w:r>
      <w:r w:rsidR="00C93499" w:rsidRPr="001E7F59">
        <w:rPr>
          <w:rFonts w:ascii="Palatino Linotype" w:eastAsiaTheme="minorHAnsi" w:hAnsi="Palatino Linotype" w:cs="Tahoma"/>
          <w:bCs/>
          <w:color w:val="000000" w:themeColor="text1"/>
          <w:sz w:val="22"/>
          <w:szCs w:val="22"/>
          <w:lang w:eastAsia="en-US"/>
        </w:rPr>
        <w:t xml:space="preserve"> respuesta</w:t>
      </w:r>
      <w:r w:rsidRPr="001E7F59">
        <w:rPr>
          <w:rFonts w:ascii="Palatino Linotype" w:eastAsiaTheme="minorHAnsi" w:hAnsi="Palatino Linotype" w:cs="Tahoma"/>
          <w:bCs/>
          <w:color w:val="000000" w:themeColor="text1"/>
          <w:sz w:val="22"/>
          <w:szCs w:val="22"/>
          <w:lang w:eastAsia="en-US"/>
        </w:rPr>
        <w:t xml:space="preserve"> entregada por </w:t>
      </w:r>
      <w:r w:rsidR="00C93499" w:rsidRPr="001E7F59">
        <w:rPr>
          <w:rFonts w:ascii="Palatino Linotype" w:eastAsiaTheme="minorHAnsi" w:hAnsi="Palatino Linotype" w:cs="Tahoma"/>
          <w:bCs/>
          <w:color w:val="000000" w:themeColor="text1"/>
          <w:sz w:val="22"/>
          <w:szCs w:val="22"/>
          <w:lang w:eastAsia="en-US"/>
        </w:rPr>
        <w:t>Organismo de Agua y Saneamiento</w:t>
      </w:r>
      <w:r w:rsidRPr="001E7F59">
        <w:rPr>
          <w:rFonts w:ascii="Palatino Linotype" w:eastAsiaTheme="minorHAnsi" w:hAnsi="Palatino Linotype" w:cs="Tahoma"/>
          <w:color w:val="000000" w:themeColor="text1"/>
          <w:sz w:val="22"/>
          <w:szCs w:val="22"/>
          <w:lang w:eastAsia="en-US"/>
        </w:rPr>
        <w:t xml:space="preserve"> de Toluca</w:t>
      </w:r>
      <w:r w:rsidR="00C93499" w:rsidRPr="001E7F59">
        <w:rPr>
          <w:rFonts w:ascii="Palatino Linotype" w:eastAsiaTheme="minorHAnsi" w:hAnsi="Palatino Linotype" w:cs="Tahoma"/>
          <w:bCs/>
          <w:color w:val="000000" w:themeColor="text1"/>
          <w:sz w:val="22"/>
          <w:szCs w:val="22"/>
          <w:lang w:eastAsia="en-US"/>
        </w:rPr>
        <w:t>, a la</w:t>
      </w:r>
      <w:r w:rsidRPr="001E7F59">
        <w:rPr>
          <w:rFonts w:ascii="Palatino Linotype" w:eastAsiaTheme="minorHAnsi" w:hAnsi="Palatino Linotype" w:cs="Tahoma"/>
          <w:bCs/>
          <w:color w:val="000000" w:themeColor="text1"/>
          <w:sz w:val="22"/>
          <w:szCs w:val="22"/>
          <w:lang w:eastAsia="en-US"/>
        </w:rPr>
        <w:t xml:space="preserve"> solicitud de acceso a la información número </w:t>
      </w:r>
      <w:r w:rsidR="00C93499" w:rsidRPr="001E7F59">
        <w:rPr>
          <w:rFonts w:ascii="Palatino Linotype" w:eastAsiaTheme="minorHAnsi" w:hAnsi="Palatino Linotype" w:cs="Tahoma"/>
          <w:bCs/>
          <w:color w:val="000000" w:themeColor="text1"/>
          <w:sz w:val="22"/>
          <w:szCs w:val="22"/>
          <w:lang w:eastAsia="en-US"/>
        </w:rPr>
        <w:t>00192/OASTOL/IP/2024, referente a</w:t>
      </w:r>
      <w:r w:rsidRPr="001E7F59">
        <w:rPr>
          <w:rFonts w:ascii="Palatino Linotype" w:eastAsiaTheme="minorHAnsi" w:hAnsi="Palatino Linotype" w:cs="Tahoma"/>
          <w:bCs/>
          <w:color w:val="000000" w:themeColor="text1"/>
          <w:sz w:val="22"/>
          <w:szCs w:val="22"/>
          <w:lang w:eastAsia="en-US"/>
        </w:rPr>
        <w:t xml:space="preserve">l Recursos de Revisión número </w:t>
      </w:r>
      <w:r w:rsidRPr="001E7F59">
        <w:rPr>
          <w:rFonts w:ascii="Palatino Linotype" w:eastAsiaTheme="minorHAnsi" w:hAnsi="Palatino Linotype" w:cs="Tahoma"/>
          <w:b/>
          <w:bCs/>
          <w:color w:val="000000" w:themeColor="text1"/>
          <w:sz w:val="22"/>
          <w:szCs w:val="22"/>
          <w:lang w:eastAsia="en-US"/>
        </w:rPr>
        <w:t>0</w:t>
      </w:r>
      <w:r w:rsidR="00C93499" w:rsidRPr="001E7F59">
        <w:rPr>
          <w:rFonts w:ascii="Palatino Linotype" w:eastAsiaTheme="minorHAnsi" w:hAnsi="Palatino Linotype" w:cs="Tahoma"/>
          <w:b/>
          <w:bCs/>
          <w:color w:val="000000" w:themeColor="text1"/>
          <w:sz w:val="22"/>
          <w:szCs w:val="22"/>
          <w:lang w:eastAsia="en-US"/>
        </w:rPr>
        <w:t>0541</w:t>
      </w:r>
      <w:r w:rsidRPr="001E7F59">
        <w:rPr>
          <w:rFonts w:ascii="Palatino Linotype" w:eastAsiaTheme="minorHAnsi" w:hAnsi="Palatino Linotype" w:cs="Tahoma"/>
          <w:b/>
          <w:bCs/>
          <w:color w:val="000000" w:themeColor="text1"/>
          <w:sz w:val="22"/>
          <w:szCs w:val="22"/>
          <w:lang w:eastAsia="en-US"/>
        </w:rPr>
        <w:t>/INFOEM/IP/RR/2023,</w:t>
      </w:r>
      <w:r w:rsidRPr="001E7F59">
        <w:rPr>
          <w:rFonts w:ascii="Palatino Linotype" w:eastAsiaTheme="minorHAnsi" w:hAnsi="Palatino Linotype" w:cs="Tahoma"/>
          <w:color w:val="000000" w:themeColor="text1"/>
          <w:sz w:val="22"/>
          <w:szCs w:val="22"/>
          <w:lang w:eastAsia="en-US"/>
        </w:rPr>
        <w:t xml:space="preserve"> </w:t>
      </w:r>
      <w:r w:rsidRPr="001E7F59">
        <w:rPr>
          <w:rFonts w:ascii="Palatino Linotype" w:eastAsiaTheme="minorHAnsi" w:hAnsi="Palatino Linotype" w:cstheme="minorBidi"/>
          <w:color w:val="000000" w:themeColor="text1"/>
          <w:sz w:val="22"/>
          <w:lang w:eastAsia="en-US"/>
        </w:rPr>
        <w:t xml:space="preserve">por resultar </w:t>
      </w:r>
      <w:r w:rsidRPr="001E7F59">
        <w:rPr>
          <w:rFonts w:ascii="Palatino Linotype" w:eastAsiaTheme="minorHAnsi" w:hAnsi="Palatino Linotype" w:cstheme="minorBidi"/>
          <w:b/>
          <w:color w:val="000000" w:themeColor="text1"/>
          <w:sz w:val="22"/>
          <w:lang w:eastAsia="en-US"/>
        </w:rPr>
        <w:t xml:space="preserve">PARCIALMENTE </w:t>
      </w:r>
      <w:r w:rsidRPr="001E7F59">
        <w:rPr>
          <w:rFonts w:ascii="Palatino Linotype" w:eastAsiaTheme="minorHAnsi" w:hAnsi="Palatino Linotype" w:cstheme="minorBidi"/>
          <w:b/>
          <w:bCs/>
          <w:color w:val="000000" w:themeColor="text1"/>
          <w:sz w:val="22"/>
          <w:lang w:eastAsia="en-US"/>
        </w:rPr>
        <w:t xml:space="preserve">FUNDADOS </w:t>
      </w:r>
      <w:r w:rsidRPr="001E7F59">
        <w:rPr>
          <w:rFonts w:ascii="Palatino Linotype" w:eastAsiaTheme="minorHAnsi" w:hAnsi="Palatino Linotype" w:cstheme="minorBidi"/>
          <w:color w:val="000000" w:themeColor="text1"/>
          <w:sz w:val="22"/>
          <w:lang w:eastAsia="en-US"/>
        </w:rPr>
        <w:t>los motivos de inconformidad vertidos por la Recurrente, en términos de los Considerandos</w:t>
      </w:r>
      <w:r w:rsidRPr="001E7F59">
        <w:rPr>
          <w:rFonts w:ascii="Palatino Linotype" w:eastAsiaTheme="minorHAnsi" w:hAnsi="Palatino Linotype" w:cstheme="minorBidi"/>
          <w:b/>
          <w:bCs/>
          <w:color w:val="000000" w:themeColor="text1"/>
          <w:sz w:val="22"/>
          <w:lang w:eastAsia="en-US"/>
        </w:rPr>
        <w:t xml:space="preserve"> QUINTO </w:t>
      </w:r>
      <w:r w:rsidRPr="001E7F59">
        <w:rPr>
          <w:rFonts w:ascii="Palatino Linotype" w:eastAsiaTheme="minorHAnsi" w:hAnsi="Palatino Linotype" w:cstheme="minorBidi"/>
          <w:color w:val="000000" w:themeColor="text1"/>
          <w:sz w:val="22"/>
          <w:lang w:eastAsia="en-US"/>
        </w:rPr>
        <w:t>y</w:t>
      </w:r>
      <w:r w:rsidRPr="001E7F59">
        <w:rPr>
          <w:rFonts w:ascii="Palatino Linotype" w:eastAsiaTheme="minorHAnsi" w:hAnsi="Palatino Linotype" w:cstheme="minorBidi"/>
          <w:b/>
          <w:bCs/>
          <w:color w:val="000000" w:themeColor="text1"/>
          <w:sz w:val="22"/>
          <w:lang w:eastAsia="en-US"/>
        </w:rPr>
        <w:t xml:space="preserve"> S</w:t>
      </w:r>
      <w:r w:rsidR="00C93499" w:rsidRPr="001E7F59">
        <w:rPr>
          <w:rFonts w:ascii="Palatino Linotype" w:eastAsiaTheme="minorHAnsi" w:hAnsi="Palatino Linotype" w:cstheme="minorBidi"/>
          <w:b/>
          <w:bCs/>
          <w:color w:val="000000" w:themeColor="text1"/>
          <w:sz w:val="22"/>
          <w:lang w:eastAsia="en-US"/>
        </w:rPr>
        <w:t>ÉPTIMO</w:t>
      </w:r>
      <w:r w:rsidRPr="001E7F59">
        <w:rPr>
          <w:rFonts w:ascii="Palatino Linotype" w:eastAsiaTheme="minorHAnsi" w:hAnsi="Palatino Linotype" w:cstheme="minorBidi"/>
          <w:b/>
          <w:bCs/>
          <w:color w:val="000000" w:themeColor="text1"/>
          <w:sz w:val="22"/>
          <w:lang w:eastAsia="en-US"/>
        </w:rPr>
        <w:t xml:space="preserve"> </w:t>
      </w:r>
      <w:r w:rsidRPr="001E7F59">
        <w:rPr>
          <w:rFonts w:ascii="Palatino Linotype" w:eastAsiaTheme="minorHAnsi" w:hAnsi="Palatino Linotype" w:cstheme="minorBidi"/>
          <w:color w:val="000000" w:themeColor="text1"/>
          <w:sz w:val="22"/>
          <w:lang w:eastAsia="en-US"/>
        </w:rPr>
        <w:t xml:space="preserve">de la presente Resolución. </w:t>
      </w:r>
    </w:p>
    <w:p w14:paraId="431F38FF" w14:textId="77777777" w:rsidR="001B3766" w:rsidRPr="001E7F59" w:rsidRDefault="001B3766" w:rsidP="001B3766">
      <w:pPr>
        <w:widowControl w:val="0"/>
        <w:spacing w:line="360" w:lineRule="auto"/>
        <w:jc w:val="both"/>
        <w:rPr>
          <w:rFonts w:ascii="Palatino Linotype" w:eastAsiaTheme="minorHAnsi" w:hAnsi="Palatino Linotype" w:cs="Tahoma"/>
          <w:b/>
          <w:color w:val="000000" w:themeColor="text1"/>
          <w:sz w:val="22"/>
          <w:szCs w:val="22"/>
          <w:lang w:val="es-ES" w:eastAsia="en-US"/>
        </w:rPr>
      </w:pPr>
    </w:p>
    <w:p w14:paraId="1FDA71FE" w14:textId="46E8E762" w:rsidR="001B3766" w:rsidRPr="001E7F59" w:rsidRDefault="00960827" w:rsidP="001B3766">
      <w:pPr>
        <w:tabs>
          <w:tab w:val="left" w:pos="4962"/>
        </w:tabs>
        <w:spacing w:line="360" w:lineRule="auto"/>
        <w:jc w:val="both"/>
        <w:rPr>
          <w:rFonts w:ascii="Palatino Linotype" w:eastAsiaTheme="minorHAnsi" w:hAnsi="Palatino Linotype" w:cstheme="minorBidi"/>
          <w:color w:val="000000" w:themeColor="text1"/>
          <w:sz w:val="22"/>
          <w:szCs w:val="22"/>
          <w:lang w:eastAsia="en-US"/>
        </w:rPr>
      </w:pPr>
      <w:bookmarkStart w:id="25" w:name="_Toc191296138"/>
      <w:r w:rsidRPr="001E7F59">
        <w:rPr>
          <w:rStyle w:val="Ttulo2Car"/>
          <w:sz w:val="22"/>
          <w:lang w:eastAsia="es-MX"/>
        </w:rPr>
        <w:t>SEGUNDO.</w:t>
      </w:r>
      <w:bookmarkEnd w:id="25"/>
      <w:r w:rsidR="001B3766" w:rsidRPr="001E7F59">
        <w:rPr>
          <w:rFonts w:ascii="Palatino Linotype" w:eastAsiaTheme="minorHAnsi" w:hAnsi="Palatino Linotype" w:cs="Tahoma"/>
          <w:b/>
          <w:color w:val="000000" w:themeColor="text1"/>
          <w:sz w:val="22"/>
          <w:szCs w:val="22"/>
          <w:lang w:eastAsia="es-MX"/>
        </w:rPr>
        <w:t xml:space="preserve"> </w:t>
      </w:r>
      <w:r w:rsidR="001B3766" w:rsidRPr="001E7F59">
        <w:rPr>
          <w:rFonts w:ascii="Palatino Linotype" w:eastAsiaTheme="minorHAnsi" w:hAnsi="Palatino Linotype" w:cs="Tahoma"/>
          <w:color w:val="000000" w:themeColor="text1"/>
          <w:sz w:val="22"/>
          <w:szCs w:val="22"/>
          <w:lang w:eastAsia="es-MX"/>
        </w:rPr>
        <w:t xml:space="preserve">Se </w:t>
      </w:r>
      <w:r w:rsidR="001B3766" w:rsidRPr="001E7F59">
        <w:rPr>
          <w:rFonts w:ascii="Palatino Linotype" w:eastAsiaTheme="minorHAnsi" w:hAnsi="Palatino Linotype" w:cs="Tahoma"/>
          <w:b/>
          <w:color w:val="000000" w:themeColor="text1"/>
          <w:sz w:val="22"/>
          <w:szCs w:val="22"/>
          <w:lang w:eastAsia="es-MX"/>
        </w:rPr>
        <w:t xml:space="preserve">ORDENA </w:t>
      </w:r>
      <w:r w:rsidR="001B3766" w:rsidRPr="001E7F59">
        <w:rPr>
          <w:rFonts w:ascii="Palatino Linotype" w:eastAsiaTheme="minorHAnsi" w:hAnsi="Palatino Linotype" w:cs="Tahoma"/>
          <w:color w:val="000000" w:themeColor="text1"/>
          <w:sz w:val="22"/>
          <w:szCs w:val="22"/>
          <w:lang w:eastAsia="es-MX"/>
        </w:rPr>
        <w:t xml:space="preserve">al Ente Recurrido, </w:t>
      </w:r>
      <w:r w:rsidR="001B3766" w:rsidRPr="001E7F59">
        <w:rPr>
          <w:rFonts w:ascii="Palatino Linotype" w:eastAsiaTheme="minorHAnsi" w:hAnsi="Palatino Linotype" w:cstheme="minorBidi"/>
          <w:color w:val="000000" w:themeColor="text1"/>
          <w:sz w:val="22"/>
          <w:szCs w:val="22"/>
          <w:lang w:eastAsia="en-US"/>
        </w:rPr>
        <w:t xml:space="preserve">a efecto de que, </w:t>
      </w:r>
      <w:r w:rsidR="001B3766" w:rsidRPr="001E7F59">
        <w:rPr>
          <w:rFonts w:ascii="Palatino Linotype" w:eastAsiaTheme="minorHAnsi" w:hAnsi="Palatino Linotype" w:cs="Tahoma"/>
          <w:color w:val="000000" w:themeColor="text1"/>
          <w:sz w:val="22"/>
          <w:szCs w:val="22"/>
          <w:lang w:eastAsia="en-US"/>
        </w:rPr>
        <w:t xml:space="preserve">entregue, a través del Sistema de Acceso a la Información Mexiquense (SAIMEX), </w:t>
      </w:r>
      <w:r w:rsidR="001B3766" w:rsidRPr="001E7F59">
        <w:rPr>
          <w:rFonts w:ascii="Palatino Linotype" w:eastAsiaTheme="minorHAnsi" w:hAnsi="Palatino Linotype" w:cs="Tahoma"/>
          <w:iCs/>
          <w:color w:val="000000" w:themeColor="text1"/>
          <w:sz w:val="22"/>
          <w:szCs w:val="22"/>
          <w:lang w:eastAsia="es-ES_tradnl"/>
        </w:rPr>
        <w:t xml:space="preserve">en una versión pública correcta, </w:t>
      </w:r>
      <w:r w:rsidR="001B3766" w:rsidRPr="001E7F59">
        <w:rPr>
          <w:rFonts w:ascii="Palatino Linotype" w:eastAsiaTheme="minorHAnsi" w:hAnsi="Palatino Linotype" w:cstheme="minorBidi"/>
          <w:color w:val="000000" w:themeColor="text1"/>
          <w:sz w:val="22"/>
          <w:szCs w:val="22"/>
          <w:lang w:eastAsia="en-US"/>
        </w:rPr>
        <w:t>los documentos</w:t>
      </w:r>
      <w:r w:rsidR="00C93499" w:rsidRPr="001E7F59">
        <w:rPr>
          <w:rFonts w:ascii="Palatino Linotype" w:eastAsiaTheme="minorHAnsi" w:hAnsi="Palatino Linotype" w:cstheme="minorBidi"/>
          <w:color w:val="000000" w:themeColor="text1"/>
          <w:sz w:val="22"/>
          <w:szCs w:val="22"/>
          <w:lang w:eastAsia="en-US"/>
        </w:rPr>
        <w:t xml:space="preserve">, respecto a la </w:t>
      </w:r>
      <w:r w:rsidR="00C93499" w:rsidRPr="001E7F59">
        <w:rPr>
          <w:rFonts w:ascii="Palatino Linotype" w:hAnsi="Palatino Linotype" w:cs="Tahoma"/>
          <w:sz w:val="22"/>
          <w:szCs w:val="22"/>
          <w:lang w:val="es-ES"/>
        </w:rPr>
        <w:t>Titular de la Subdirección de Administración de Agua y Saneamiento de Toluca, del primero de enero al treinta y uno de diciembre de dos mil veintic</w:t>
      </w:r>
      <w:r w:rsidR="006D3FA2" w:rsidRPr="001E7F59">
        <w:rPr>
          <w:rFonts w:ascii="Palatino Linotype" w:hAnsi="Palatino Linotype" w:cs="Tahoma"/>
          <w:sz w:val="22"/>
          <w:szCs w:val="22"/>
          <w:lang w:val="es-ES"/>
        </w:rPr>
        <w:t>uatro</w:t>
      </w:r>
      <w:r w:rsidR="00C93499" w:rsidRPr="001E7F59">
        <w:rPr>
          <w:rFonts w:ascii="Palatino Linotype" w:hAnsi="Palatino Linotype" w:cs="Tahoma"/>
          <w:sz w:val="22"/>
          <w:szCs w:val="22"/>
          <w:lang w:val="es-ES"/>
        </w:rPr>
        <w:t xml:space="preserve">, </w:t>
      </w:r>
      <w:r w:rsidR="001B3766" w:rsidRPr="001E7F59">
        <w:rPr>
          <w:rFonts w:ascii="Palatino Linotype" w:eastAsiaTheme="minorHAnsi" w:hAnsi="Palatino Linotype" w:cstheme="minorBidi"/>
          <w:color w:val="000000" w:themeColor="text1"/>
          <w:sz w:val="22"/>
          <w:szCs w:val="22"/>
          <w:lang w:eastAsia="en-US"/>
        </w:rPr>
        <w:t xml:space="preserve"> en los que obre lo siguiente: </w:t>
      </w:r>
    </w:p>
    <w:p w14:paraId="7EE15141" w14:textId="77777777" w:rsidR="00C93499" w:rsidRPr="001E7F59" w:rsidRDefault="00C93499" w:rsidP="001B3766">
      <w:pPr>
        <w:tabs>
          <w:tab w:val="left" w:pos="4962"/>
        </w:tabs>
        <w:spacing w:line="360" w:lineRule="auto"/>
        <w:jc w:val="both"/>
        <w:rPr>
          <w:rFonts w:ascii="Palatino Linotype" w:eastAsiaTheme="minorHAnsi" w:hAnsi="Palatino Linotype" w:cstheme="minorBidi"/>
          <w:color w:val="000000" w:themeColor="text1"/>
          <w:sz w:val="22"/>
          <w:szCs w:val="22"/>
          <w:lang w:eastAsia="en-US"/>
        </w:rPr>
      </w:pPr>
    </w:p>
    <w:p w14:paraId="5A6809B3" w14:textId="1E310E78" w:rsidR="00C93499" w:rsidRPr="001E7F59" w:rsidRDefault="00C93499" w:rsidP="00C93499">
      <w:pPr>
        <w:pStyle w:val="Prrafodelista"/>
        <w:numPr>
          <w:ilvl w:val="0"/>
          <w:numId w:val="32"/>
        </w:numPr>
        <w:tabs>
          <w:tab w:val="left" w:pos="4962"/>
        </w:tabs>
        <w:spacing w:line="360" w:lineRule="auto"/>
        <w:jc w:val="both"/>
        <w:rPr>
          <w:rFonts w:ascii="Palatino Linotype" w:eastAsiaTheme="minorHAnsi" w:hAnsi="Palatino Linotype" w:cstheme="minorBidi"/>
          <w:color w:val="000000" w:themeColor="text1"/>
          <w:szCs w:val="22"/>
          <w:lang w:eastAsia="en-US"/>
        </w:rPr>
      </w:pPr>
      <w:r w:rsidRPr="001E7F59">
        <w:rPr>
          <w:rFonts w:ascii="Palatino Linotype" w:eastAsiaTheme="minorHAnsi" w:hAnsi="Palatino Linotype" w:cstheme="minorBidi"/>
          <w:color w:val="000000" w:themeColor="text1"/>
          <w:szCs w:val="22"/>
          <w:lang w:eastAsia="en-US"/>
        </w:rPr>
        <w:t>De los documentos proporcionados en Respuesta:</w:t>
      </w:r>
    </w:p>
    <w:p w14:paraId="1A53F192" w14:textId="24361C05" w:rsidR="001B3766" w:rsidRPr="001E7F59" w:rsidRDefault="001B3766" w:rsidP="005660CB">
      <w:pPr>
        <w:numPr>
          <w:ilvl w:val="0"/>
          <w:numId w:val="33"/>
        </w:numPr>
        <w:tabs>
          <w:tab w:val="left" w:pos="4962"/>
        </w:tabs>
        <w:spacing w:after="160" w:line="360" w:lineRule="auto"/>
        <w:ind w:left="1134"/>
        <w:contextualSpacing/>
        <w:jc w:val="both"/>
        <w:rPr>
          <w:rFonts w:ascii="Palatino Linotype" w:hAnsi="Palatino Linotype"/>
          <w:color w:val="000000" w:themeColor="text1"/>
          <w:sz w:val="22"/>
          <w:szCs w:val="24"/>
        </w:rPr>
      </w:pPr>
      <w:r w:rsidRPr="001E7F59">
        <w:rPr>
          <w:rFonts w:ascii="Palatino Linotype" w:hAnsi="Palatino Linotype"/>
          <w:color w:val="000000" w:themeColor="text1"/>
          <w:sz w:val="22"/>
          <w:szCs w:val="24"/>
        </w:rPr>
        <w:t>Recibos de</w:t>
      </w:r>
      <w:r w:rsidR="00C93499" w:rsidRPr="001E7F59">
        <w:rPr>
          <w:rFonts w:ascii="Palatino Linotype" w:hAnsi="Palatino Linotype"/>
          <w:color w:val="000000" w:themeColor="text1"/>
          <w:sz w:val="22"/>
          <w:szCs w:val="24"/>
        </w:rPr>
        <w:t xml:space="preserve"> Nómina</w:t>
      </w:r>
    </w:p>
    <w:p w14:paraId="21672EC8" w14:textId="3FC4CF1C" w:rsidR="001B3766" w:rsidRPr="001E7F59" w:rsidRDefault="001B3766" w:rsidP="005660CB">
      <w:pPr>
        <w:numPr>
          <w:ilvl w:val="0"/>
          <w:numId w:val="33"/>
        </w:numPr>
        <w:tabs>
          <w:tab w:val="left" w:pos="4962"/>
        </w:tabs>
        <w:spacing w:after="160" w:line="360" w:lineRule="auto"/>
        <w:ind w:left="1134"/>
        <w:contextualSpacing/>
        <w:jc w:val="both"/>
        <w:rPr>
          <w:rFonts w:ascii="Palatino Linotype" w:hAnsi="Palatino Linotype"/>
          <w:color w:val="000000" w:themeColor="text1"/>
          <w:sz w:val="22"/>
          <w:szCs w:val="24"/>
        </w:rPr>
      </w:pPr>
      <w:r w:rsidRPr="001E7F59">
        <w:rPr>
          <w:rFonts w:ascii="Palatino Linotype" w:hAnsi="Palatino Linotype"/>
          <w:color w:val="000000" w:themeColor="text1"/>
          <w:sz w:val="22"/>
          <w:szCs w:val="24"/>
          <w:lang w:val="es-ES"/>
        </w:rPr>
        <w:t>Expediente laboral</w:t>
      </w:r>
      <w:r w:rsidR="00C65596" w:rsidRPr="001E7F59">
        <w:rPr>
          <w:rFonts w:ascii="Palatino Linotype" w:hAnsi="Palatino Linotype"/>
          <w:color w:val="000000" w:themeColor="text1"/>
          <w:sz w:val="22"/>
          <w:szCs w:val="24"/>
          <w:lang w:val="es-ES"/>
        </w:rPr>
        <w:t xml:space="preserve"> (</w:t>
      </w:r>
      <w:r w:rsidR="000B50DA" w:rsidRPr="001E7F59">
        <w:rPr>
          <w:rFonts w:ascii="Palatino Linotype" w:hAnsi="Palatino Linotype"/>
          <w:color w:val="000000" w:themeColor="text1"/>
          <w:sz w:val="22"/>
          <w:szCs w:val="24"/>
          <w:lang w:val="es-ES"/>
        </w:rPr>
        <w:t>S</w:t>
      </w:r>
      <w:r w:rsidR="00C65596" w:rsidRPr="001E7F59">
        <w:rPr>
          <w:rFonts w:ascii="Palatino Linotype" w:hAnsi="Palatino Linotype"/>
          <w:color w:val="000000" w:themeColor="text1"/>
          <w:sz w:val="22"/>
          <w:szCs w:val="24"/>
          <w:lang w:val="es-ES"/>
        </w:rPr>
        <w:t xml:space="preserve">olicitud de </w:t>
      </w:r>
      <w:r w:rsidR="000B50DA" w:rsidRPr="001E7F59">
        <w:rPr>
          <w:rFonts w:ascii="Palatino Linotype" w:hAnsi="Palatino Linotype"/>
          <w:color w:val="000000" w:themeColor="text1"/>
          <w:sz w:val="22"/>
          <w:szCs w:val="24"/>
          <w:lang w:val="es-ES"/>
        </w:rPr>
        <w:t>V</w:t>
      </w:r>
      <w:r w:rsidR="00C65596" w:rsidRPr="001E7F59">
        <w:rPr>
          <w:rFonts w:ascii="Palatino Linotype" w:hAnsi="Palatino Linotype"/>
          <w:color w:val="000000" w:themeColor="text1"/>
          <w:sz w:val="22"/>
          <w:szCs w:val="24"/>
          <w:lang w:val="es-ES"/>
        </w:rPr>
        <w:t xml:space="preserve">acaciones y </w:t>
      </w:r>
      <w:r w:rsidR="000B50DA" w:rsidRPr="001E7F59">
        <w:rPr>
          <w:rFonts w:ascii="Palatino Linotype" w:hAnsi="Palatino Linotype"/>
          <w:color w:val="000000" w:themeColor="text1"/>
          <w:sz w:val="22"/>
          <w:szCs w:val="24"/>
          <w:lang w:val="es-ES"/>
        </w:rPr>
        <w:t>P</w:t>
      </w:r>
      <w:r w:rsidR="00C65596" w:rsidRPr="001E7F59">
        <w:rPr>
          <w:rFonts w:ascii="Palatino Linotype" w:hAnsi="Palatino Linotype"/>
          <w:color w:val="000000" w:themeColor="text1"/>
          <w:sz w:val="22"/>
          <w:szCs w:val="24"/>
          <w:lang w:val="es-ES"/>
        </w:rPr>
        <w:t xml:space="preserve">ermiso, Nombramiento, </w:t>
      </w:r>
      <w:r w:rsidR="000B50DA" w:rsidRPr="001E7F59">
        <w:rPr>
          <w:rFonts w:ascii="Palatino Linotype" w:hAnsi="Palatino Linotype"/>
          <w:color w:val="000000" w:themeColor="text1"/>
          <w:sz w:val="22"/>
          <w:szCs w:val="24"/>
          <w:lang w:val="es-ES"/>
        </w:rPr>
        <w:t>A</w:t>
      </w:r>
      <w:r w:rsidR="00C65596" w:rsidRPr="001E7F59">
        <w:rPr>
          <w:rFonts w:ascii="Palatino Linotype" w:hAnsi="Palatino Linotype"/>
          <w:color w:val="000000" w:themeColor="text1"/>
          <w:sz w:val="22"/>
          <w:szCs w:val="24"/>
          <w:lang w:val="es-ES"/>
        </w:rPr>
        <w:t xml:space="preserve">viso para checar </w:t>
      </w:r>
      <w:r w:rsidR="000B50DA" w:rsidRPr="001E7F59">
        <w:rPr>
          <w:rFonts w:ascii="Palatino Linotype" w:hAnsi="Palatino Linotype"/>
          <w:color w:val="000000" w:themeColor="text1"/>
          <w:sz w:val="22"/>
          <w:szCs w:val="24"/>
          <w:lang w:val="es-ES"/>
        </w:rPr>
        <w:t>A</w:t>
      </w:r>
      <w:r w:rsidR="00FC7902" w:rsidRPr="001E7F59">
        <w:rPr>
          <w:rFonts w:ascii="Palatino Linotype" w:hAnsi="Palatino Linotype"/>
          <w:color w:val="000000" w:themeColor="text1"/>
          <w:sz w:val="22"/>
          <w:szCs w:val="24"/>
          <w:lang w:val="es-ES"/>
        </w:rPr>
        <w:t xml:space="preserve">sistencia </w:t>
      </w:r>
      <w:r w:rsidR="00C65596" w:rsidRPr="001E7F59">
        <w:rPr>
          <w:rFonts w:ascii="Palatino Linotype" w:hAnsi="Palatino Linotype"/>
          <w:color w:val="000000" w:themeColor="text1"/>
          <w:sz w:val="22"/>
          <w:szCs w:val="24"/>
          <w:lang w:val="es-ES"/>
        </w:rPr>
        <w:t xml:space="preserve">y </w:t>
      </w:r>
      <w:r w:rsidR="00C65596" w:rsidRPr="001E7F59">
        <w:rPr>
          <w:rFonts w:ascii="Palatino Linotype" w:hAnsi="Palatino Linotype"/>
          <w:bCs/>
          <w:color w:val="000000" w:themeColor="text1"/>
          <w:sz w:val="22"/>
          <w:szCs w:val="24"/>
        </w:rPr>
        <w:t>Cédula Informativa para presentar Manifestación de Bienes)</w:t>
      </w:r>
    </w:p>
    <w:p w14:paraId="0E7A5FBD" w14:textId="33DB8A6B" w:rsidR="001B3766" w:rsidRPr="001E7F59" w:rsidRDefault="001B3766" w:rsidP="005660CB">
      <w:pPr>
        <w:numPr>
          <w:ilvl w:val="0"/>
          <w:numId w:val="33"/>
        </w:numPr>
        <w:spacing w:after="160" w:line="360" w:lineRule="auto"/>
        <w:ind w:left="1134"/>
        <w:contextualSpacing/>
        <w:jc w:val="both"/>
        <w:rPr>
          <w:rFonts w:ascii="Palatino Linotype" w:hAnsi="Palatino Linotype"/>
          <w:color w:val="000000" w:themeColor="text1"/>
          <w:sz w:val="22"/>
          <w:szCs w:val="24"/>
        </w:rPr>
      </w:pPr>
      <w:r w:rsidRPr="001E7F59">
        <w:rPr>
          <w:rFonts w:ascii="Palatino Linotype" w:hAnsi="Palatino Linotype"/>
          <w:color w:val="000000" w:themeColor="text1"/>
          <w:sz w:val="22"/>
          <w:szCs w:val="24"/>
        </w:rPr>
        <w:t>Aviso de Movimiento de Alta del Instituto de Seguridad Social del Estado de México y Municipios</w:t>
      </w:r>
    </w:p>
    <w:p w14:paraId="0B89F24E" w14:textId="0859FB6C" w:rsidR="00C93499" w:rsidRPr="001E7F59" w:rsidRDefault="00C93499" w:rsidP="005660CB">
      <w:pPr>
        <w:numPr>
          <w:ilvl w:val="0"/>
          <w:numId w:val="33"/>
        </w:numPr>
        <w:spacing w:line="360" w:lineRule="auto"/>
        <w:ind w:left="1134"/>
        <w:contextualSpacing/>
        <w:jc w:val="both"/>
        <w:rPr>
          <w:rFonts w:ascii="Palatino Linotype" w:hAnsi="Palatino Linotype"/>
          <w:color w:val="000000" w:themeColor="text1"/>
          <w:sz w:val="22"/>
          <w:szCs w:val="24"/>
        </w:rPr>
      </w:pPr>
      <w:r w:rsidRPr="001E7F59">
        <w:rPr>
          <w:rFonts w:ascii="Palatino Linotype" w:hAnsi="Palatino Linotype"/>
          <w:color w:val="000000" w:themeColor="text1"/>
          <w:sz w:val="22"/>
          <w:szCs w:val="24"/>
        </w:rPr>
        <w:t>Cédula Profesional</w:t>
      </w:r>
    </w:p>
    <w:p w14:paraId="76D22BDE" w14:textId="77777777" w:rsidR="00C93499" w:rsidRPr="001E7F59" w:rsidRDefault="00C93499" w:rsidP="004954C1">
      <w:pPr>
        <w:spacing w:line="360" w:lineRule="auto"/>
        <w:contextualSpacing/>
        <w:jc w:val="both"/>
        <w:rPr>
          <w:rFonts w:ascii="Palatino Linotype" w:hAnsi="Palatino Linotype"/>
          <w:color w:val="000000" w:themeColor="text1"/>
          <w:sz w:val="22"/>
          <w:szCs w:val="24"/>
        </w:rPr>
      </w:pPr>
    </w:p>
    <w:p w14:paraId="77E9EBDD" w14:textId="26BAF2E2" w:rsidR="00C93499" w:rsidRPr="001E7F59" w:rsidRDefault="00C93499" w:rsidP="004954C1">
      <w:pPr>
        <w:pStyle w:val="Prrafodelista"/>
        <w:numPr>
          <w:ilvl w:val="0"/>
          <w:numId w:val="32"/>
        </w:numPr>
        <w:spacing w:line="360" w:lineRule="auto"/>
        <w:jc w:val="both"/>
        <w:rPr>
          <w:rFonts w:ascii="Palatino Linotype" w:hAnsi="Palatino Linotype"/>
          <w:color w:val="000000" w:themeColor="text1"/>
        </w:rPr>
      </w:pPr>
      <w:r w:rsidRPr="001E7F59">
        <w:rPr>
          <w:rFonts w:ascii="Palatino Linotype" w:hAnsi="Palatino Linotype"/>
          <w:color w:val="000000" w:themeColor="text1"/>
        </w:rPr>
        <w:t>Vehículo, placas, modelo, color y cantidad de combustible asignado</w:t>
      </w:r>
      <w:r w:rsidR="0041173D" w:rsidRPr="001E7F59">
        <w:rPr>
          <w:rFonts w:ascii="Palatino Linotype" w:hAnsi="Palatino Linotype"/>
          <w:color w:val="000000" w:themeColor="text1"/>
        </w:rPr>
        <w:t>.</w:t>
      </w:r>
    </w:p>
    <w:p w14:paraId="61165B1E" w14:textId="77777777" w:rsidR="0041173D" w:rsidRPr="001E7F59" w:rsidRDefault="0041173D" w:rsidP="0041173D">
      <w:pPr>
        <w:pStyle w:val="Prrafodelista"/>
        <w:spacing w:line="360" w:lineRule="auto"/>
        <w:jc w:val="both"/>
        <w:rPr>
          <w:rFonts w:ascii="Palatino Linotype" w:hAnsi="Palatino Linotype"/>
          <w:color w:val="000000" w:themeColor="text1"/>
        </w:rPr>
      </w:pPr>
    </w:p>
    <w:p w14:paraId="312048CD" w14:textId="211D85D8" w:rsidR="00636638" w:rsidRPr="001E7F59" w:rsidRDefault="008456F8" w:rsidP="004954C1">
      <w:pPr>
        <w:pStyle w:val="Prrafodelista"/>
        <w:numPr>
          <w:ilvl w:val="0"/>
          <w:numId w:val="32"/>
        </w:numPr>
        <w:spacing w:line="360" w:lineRule="auto"/>
        <w:jc w:val="both"/>
        <w:rPr>
          <w:rFonts w:ascii="Palatino Linotype" w:hAnsi="Palatino Linotype"/>
          <w:color w:val="000000" w:themeColor="text1"/>
        </w:rPr>
      </w:pPr>
      <w:r w:rsidRPr="001E7F59">
        <w:rPr>
          <w:rFonts w:ascii="Palatino Linotype" w:hAnsi="Palatino Linotype"/>
          <w:bCs/>
          <w:iCs/>
          <w:color w:val="000000" w:themeColor="text1"/>
        </w:rPr>
        <w:lastRenderedPageBreak/>
        <w:t>El Acuerdo del Comité de Transparencia, donde confirme la clasificación</w:t>
      </w:r>
      <w:r w:rsidR="00636638" w:rsidRPr="001E7F59">
        <w:rPr>
          <w:rFonts w:ascii="Palatino Linotype" w:hAnsi="Palatino Linotype"/>
          <w:bCs/>
          <w:iCs/>
          <w:color w:val="000000" w:themeColor="text1"/>
        </w:rPr>
        <w:t>, en términos del Considerando QUINTO, de conformidad con los artículos 49, fracciones II y VIII, 132, fracción II</w:t>
      </w:r>
      <w:r w:rsidR="00897514" w:rsidRPr="001E7F59">
        <w:rPr>
          <w:rFonts w:ascii="Palatino Linotype" w:hAnsi="Palatino Linotype"/>
          <w:bCs/>
          <w:iCs/>
          <w:color w:val="000000" w:themeColor="text1"/>
        </w:rPr>
        <w:t>,</w:t>
      </w:r>
      <w:r w:rsidR="00636638" w:rsidRPr="001E7F59">
        <w:rPr>
          <w:rFonts w:ascii="Palatino Linotype" w:hAnsi="Palatino Linotype"/>
          <w:bCs/>
          <w:iCs/>
          <w:color w:val="000000" w:themeColor="text1"/>
        </w:rPr>
        <w:t xml:space="preserve"> 143</w:t>
      </w:r>
      <w:r w:rsidR="00897514" w:rsidRPr="001E7F59">
        <w:rPr>
          <w:rFonts w:ascii="Palatino Linotype" w:hAnsi="Palatino Linotype"/>
          <w:bCs/>
          <w:iCs/>
          <w:color w:val="000000" w:themeColor="text1"/>
        </w:rPr>
        <w:t>, fracción I y 149</w:t>
      </w:r>
      <w:r w:rsidR="00636638" w:rsidRPr="001E7F59">
        <w:rPr>
          <w:rFonts w:ascii="Palatino Linotype" w:hAnsi="Palatino Linotype"/>
          <w:bCs/>
          <w:iCs/>
          <w:color w:val="000000" w:themeColor="text1"/>
        </w:rPr>
        <w:t xml:space="preserve"> de la Ley de Transparencia y Acceso a la Información Pública del Estado de México y Municipios, de lo siguiente:</w:t>
      </w:r>
    </w:p>
    <w:p w14:paraId="5571E55C" w14:textId="77777777" w:rsidR="00636638" w:rsidRPr="001E7F59" w:rsidRDefault="00636638" w:rsidP="00636638">
      <w:pPr>
        <w:pStyle w:val="Prrafodelista"/>
        <w:rPr>
          <w:rFonts w:ascii="Palatino Linotype" w:hAnsi="Palatino Linotype"/>
          <w:color w:val="000000" w:themeColor="text1"/>
        </w:rPr>
      </w:pPr>
    </w:p>
    <w:p w14:paraId="58051134" w14:textId="5D80C682" w:rsidR="00636638" w:rsidRPr="001E7F59" w:rsidRDefault="00636638" w:rsidP="00636638">
      <w:pPr>
        <w:pStyle w:val="Prrafodelista"/>
        <w:numPr>
          <w:ilvl w:val="0"/>
          <w:numId w:val="35"/>
        </w:numPr>
        <w:spacing w:line="360" w:lineRule="auto"/>
        <w:jc w:val="both"/>
        <w:rPr>
          <w:rFonts w:ascii="Palatino Linotype" w:hAnsi="Palatino Linotype"/>
          <w:color w:val="000000" w:themeColor="text1"/>
        </w:rPr>
      </w:pPr>
      <w:r w:rsidRPr="001E7F59">
        <w:rPr>
          <w:rFonts w:ascii="Palatino Linotype" w:hAnsi="Palatino Linotype"/>
          <w:color w:val="000000" w:themeColor="text1"/>
        </w:rPr>
        <w:t xml:space="preserve">Los datos </w:t>
      </w:r>
      <w:r w:rsidRPr="001E7F59">
        <w:rPr>
          <w:rFonts w:ascii="Palatino Linotype" w:hAnsi="Palatino Linotype"/>
          <w:bCs/>
          <w:iCs/>
          <w:color w:val="000000" w:themeColor="text1"/>
        </w:rPr>
        <w:t xml:space="preserve">testados en el Formato Único de Movimiento de Personal, Constancia de no Inhabilitación, </w:t>
      </w:r>
      <w:r w:rsidRPr="001E7F59">
        <w:rPr>
          <w:rFonts w:ascii="Palatino Linotype" w:eastAsia="Calibri" w:hAnsi="Palatino Linotype" w:cs="Tahoma"/>
          <w:bCs/>
          <w:color w:val="000000" w:themeColor="text1"/>
        </w:rPr>
        <w:t>Informe de Antecedentes No Penales, Certificado de Estudios de la Maestría en Derecho y Certificado de no Deudor Alimentario Moroso,</w:t>
      </w:r>
      <w:r w:rsidRPr="001E7F59">
        <w:rPr>
          <w:rFonts w:ascii="Palatino Linotype" w:hAnsi="Palatino Linotype"/>
          <w:bCs/>
          <w:iCs/>
          <w:color w:val="000000" w:themeColor="text1"/>
        </w:rPr>
        <w:t xml:space="preserve"> entregados en respuesta; así como, de aquellos que se localicen en los documentos que se ordenan entregar en los numerales 1 y 2.</w:t>
      </w:r>
    </w:p>
    <w:p w14:paraId="713AC5D4" w14:textId="77777777" w:rsidR="00636638" w:rsidRPr="001E7F59" w:rsidRDefault="00636638" w:rsidP="00636638">
      <w:pPr>
        <w:pStyle w:val="Prrafodelista"/>
        <w:spacing w:line="360" w:lineRule="auto"/>
        <w:ind w:left="1440"/>
        <w:jc w:val="both"/>
        <w:rPr>
          <w:rFonts w:ascii="Palatino Linotype" w:hAnsi="Palatino Linotype"/>
          <w:color w:val="000000" w:themeColor="text1"/>
        </w:rPr>
      </w:pPr>
    </w:p>
    <w:p w14:paraId="7AB27DF4" w14:textId="56C4D9D2" w:rsidR="00636638" w:rsidRPr="001E7F59" w:rsidRDefault="00636638" w:rsidP="00636638">
      <w:pPr>
        <w:pStyle w:val="Prrafodelista"/>
        <w:numPr>
          <w:ilvl w:val="0"/>
          <w:numId w:val="35"/>
        </w:numPr>
        <w:spacing w:line="360" w:lineRule="auto"/>
        <w:jc w:val="both"/>
        <w:rPr>
          <w:rFonts w:ascii="Palatino Linotype" w:hAnsi="Palatino Linotype"/>
          <w:color w:val="000000" w:themeColor="text1"/>
        </w:rPr>
      </w:pPr>
      <w:r w:rsidRPr="001E7F59">
        <w:rPr>
          <w:rFonts w:ascii="Palatino Linotype" w:hAnsi="Palatino Linotype"/>
          <w:bCs/>
          <w:iCs/>
          <w:color w:val="000000" w:themeColor="text1"/>
        </w:rPr>
        <w:t xml:space="preserve">La clasificación en su totalidad del Acta de nacimiento, el certificado de salud, el comprobante de domicilio, la Constancias de la Clave Única de Registro de Población, la credencial de elector, las cartas de recomendación y cédula de identificación fiscal, </w:t>
      </w:r>
      <w:r w:rsidR="00897514" w:rsidRPr="001E7F59">
        <w:rPr>
          <w:rFonts w:ascii="Palatino Linotype" w:hAnsi="Palatino Linotype"/>
          <w:bCs/>
          <w:iCs/>
          <w:color w:val="000000" w:themeColor="text1"/>
        </w:rPr>
        <w:t>entregadas en respuesta.</w:t>
      </w:r>
    </w:p>
    <w:p w14:paraId="2B533F27" w14:textId="77777777" w:rsidR="00C65596" w:rsidRPr="001E7F59" w:rsidRDefault="00C65596" w:rsidP="001B3766">
      <w:pPr>
        <w:tabs>
          <w:tab w:val="left" w:pos="4962"/>
        </w:tabs>
        <w:spacing w:line="360" w:lineRule="auto"/>
        <w:jc w:val="both"/>
        <w:rPr>
          <w:rFonts w:ascii="Palatino Linotype" w:eastAsiaTheme="minorHAnsi" w:hAnsi="Palatino Linotype" w:cstheme="minorBidi"/>
          <w:color w:val="000000" w:themeColor="text1"/>
          <w:sz w:val="22"/>
          <w:szCs w:val="22"/>
          <w:lang w:eastAsia="en-US"/>
        </w:rPr>
      </w:pPr>
    </w:p>
    <w:p w14:paraId="369438A0" w14:textId="39A66FA2" w:rsidR="001B3766" w:rsidRPr="001E7F59" w:rsidRDefault="001B3766" w:rsidP="001B3766">
      <w:pPr>
        <w:spacing w:line="360" w:lineRule="auto"/>
        <w:jc w:val="both"/>
        <w:rPr>
          <w:rFonts w:ascii="Palatino Linotype" w:hAnsi="Palatino Linotype" w:cs="Tahoma"/>
          <w:sz w:val="22"/>
          <w:szCs w:val="22"/>
        </w:rPr>
      </w:pPr>
      <w:bookmarkStart w:id="26" w:name="_Toc191296139"/>
      <w:r w:rsidRPr="001E7F59">
        <w:rPr>
          <w:rStyle w:val="Ttulo2Car"/>
          <w:sz w:val="22"/>
          <w:lang w:val="es-ES_tradnl" w:eastAsia="en-US"/>
        </w:rPr>
        <w:t>TERCERO.</w:t>
      </w:r>
      <w:bookmarkEnd w:id="26"/>
      <w:r w:rsidRPr="001E7F59">
        <w:rPr>
          <w:rFonts w:ascii="Palatino Linotype" w:eastAsiaTheme="minorHAnsi" w:hAnsi="Palatino Linotype" w:cs="Tahoma"/>
          <w:b/>
          <w:color w:val="000000" w:themeColor="text1"/>
          <w:sz w:val="22"/>
          <w:szCs w:val="22"/>
          <w:lang w:eastAsia="en-US"/>
        </w:rPr>
        <w:t xml:space="preserve"> NOTIFÍQUESE</w:t>
      </w:r>
      <w:r w:rsidR="00393B16" w:rsidRPr="001E7F59">
        <w:rPr>
          <w:rFonts w:ascii="Palatino Linotype" w:eastAsiaTheme="minorHAnsi" w:hAnsi="Palatino Linotype" w:cs="Tahoma"/>
          <w:b/>
          <w:color w:val="000000" w:themeColor="text1"/>
          <w:sz w:val="22"/>
          <w:szCs w:val="22"/>
          <w:lang w:eastAsia="en-US"/>
        </w:rPr>
        <w:t xml:space="preserve"> POR SAIMEX</w:t>
      </w:r>
      <w:r w:rsidRPr="001E7F59">
        <w:rPr>
          <w:rFonts w:ascii="Palatino Linotype" w:eastAsiaTheme="minorHAnsi" w:hAnsi="Palatino Linotype" w:cs="Tahoma"/>
          <w:b/>
          <w:color w:val="000000" w:themeColor="text1"/>
          <w:sz w:val="22"/>
          <w:szCs w:val="22"/>
          <w:lang w:eastAsia="en-US"/>
        </w:rPr>
        <w:t xml:space="preserve"> </w:t>
      </w:r>
      <w:r w:rsidRPr="001E7F59">
        <w:rPr>
          <w:rFonts w:ascii="Palatino Linotype" w:eastAsiaTheme="minorHAnsi" w:hAnsi="Palatino Linotype" w:cs="Tahoma"/>
          <w:color w:val="000000" w:themeColor="text1"/>
          <w:sz w:val="22"/>
          <w:szCs w:val="22"/>
          <w:lang w:eastAsia="en-US"/>
        </w:rPr>
        <w:t xml:space="preserve">la presente resolución al Titular de la Unidad de Transparencia del Sujeto Obligado, para que conforme al artículo 186, último párrafo, 189, segundo párrafo y 194 de la Ley de Transparencia y Acceso a la Información Pública del Estado de México y Municipios; dé cumplimiento a lo ordenado dentro del plazo de diez días hábiles, </w:t>
      </w:r>
      <w:r w:rsidRPr="001E7F59">
        <w:rPr>
          <w:rFonts w:ascii="Palatino Linotype" w:hAnsi="Palatino Linotype" w:cs="Tahoma"/>
          <w:sz w:val="22"/>
          <w:szCs w:val="22"/>
        </w:rPr>
        <w:t>e informe a este Instituto en un plazo de tres días hábiles siguientes sobre el cumplimiento dado a la presente y, se le apercibe que en caso de negarse a cumplir la presente resolución o hacerlo de manera parcial, se le impondrá una medida de apremio de conformidad con lo previsto en los artículos 198, 200, fracción III; 214, 215 y 216 de la Ley de Transparencia y Acceso a la Información Pública del Estado de México y Municipios.</w:t>
      </w:r>
    </w:p>
    <w:p w14:paraId="6F4D1ABA" w14:textId="77777777" w:rsidR="001B3766" w:rsidRPr="001E7F59" w:rsidRDefault="001B3766" w:rsidP="001B3766">
      <w:pPr>
        <w:spacing w:line="360" w:lineRule="auto"/>
        <w:jc w:val="both"/>
        <w:rPr>
          <w:rFonts w:ascii="Palatino Linotype" w:hAnsi="Palatino Linotype" w:cs="Tahoma"/>
          <w:sz w:val="22"/>
          <w:szCs w:val="22"/>
        </w:rPr>
      </w:pPr>
    </w:p>
    <w:p w14:paraId="7C075225" w14:textId="4EC3428A" w:rsidR="001B3766" w:rsidRPr="001E7F59" w:rsidRDefault="001B3766" w:rsidP="001B3766">
      <w:pPr>
        <w:spacing w:line="360" w:lineRule="auto"/>
        <w:jc w:val="both"/>
        <w:rPr>
          <w:rFonts w:ascii="Palatino Linotype" w:hAnsi="Palatino Linotype" w:cs="Tahoma"/>
          <w:sz w:val="22"/>
          <w:szCs w:val="22"/>
        </w:rPr>
      </w:pPr>
      <w:r w:rsidRPr="001E7F59">
        <w:rPr>
          <w:rFonts w:ascii="Palatino Linotype" w:hAnsi="Palatino Linotype" w:cs="Tahoma"/>
          <w:sz w:val="22"/>
          <w:szCs w:val="22"/>
        </w:rPr>
        <w:lastRenderedPageBreak/>
        <w:t xml:space="preserve">De conformidad con el artículo 198 de la Ley </w:t>
      </w:r>
      <w:r w:rsidR="005660CB" w:rsidRPr="001E7F59">
        <w:rPr>
          <w:rFonts w:ascii="Palatino Linotype" w:hAnsi="Palatino Linotype" w:cs="Tahoma"/>
          <w:sz w:val="22"/>
          <w:szCs w:val="22"/>
        </w:rPr>
        <w:t>de la materia</w:t>
      </w:r>
      <w:r w:rsidRPr="001E7F59">
        <w:rPr>
          <w:rFonts w:ascii="Palatino Linotype" w:hAnsi="Palatino Linotype" w:cs="Tahoma"/>
          <w:sz w:val="22"/>
          <w:szCs w:val="22"/>
        </w:rPr>
        <w:t>, de considerarlo procedente, el Sujeto Obligado de manera fundada y motivada, podrá solicitar una ampliación de plazo para el cumplimiento de la presente resolución.</w:t>
      </w:r>
    </w:p>
    <w:p w14:paraId="3FE749F5" w14:textId="77777777" w:rsidR="001B3766" w:rsidRPr="001E7F59" w:rsidRDefault="001B3766" w:rsidP="001B3766">
      <w:pPr>
        <w:spacing w:line="360" w:lineRule="auto"/>
        <w:jc w:val="both"/>
        <w:rPr>
          <w:rFonts w:ascii="Palatino Linotype" w:eastAsiaTheme="minorHAnsi" w:hAnsi="Palatino Linotype" w:cs="Tahoma"/>
          <w:color w:val="000000" w:themeColor="text1"/>
          <w:sz w:val="22"/>
          <w:szCs w:val="22"/>
          <w:lang w:eastAsia="en-US"/>
        </w:rPr>
      </w:pPr>
    </w:p>
    <w:p w14:paraId="270D00DD" w14:textId="25EFE428" w:rsidR="001B3766" w:rsidRPr="001E7F59" w:rsidRDefault="001B3766" w:rsidP="001B3766">
      <w:pPr>
        <w:spacing w:line="360" w:lineRule="auto"/>
        <w:jc w:val="both"/>
        <w:rPr>
          <w:rFonts w:ascii="Palatino Linotype" w:eastAsiaTheme="minorHAnsi" w:hAnsi="Palatino Linotype" w:cs="Tahoma"/>
          <w:color w:val="000000" w:themeColor="text1"/>
          <w:sz w:val="22"/>
          <w:szCs w:val="22"/>
          <w:lang w:eastAsia="en-US"/>
        </w:rPr>
      </w:pPr>
      <w:bookmarkStart w:id="27" w:name="_Toc191296140"/>
      <w:r w:rsidRPr="001E7F59">
        <w:rPr>
          <w:rStyle w:val="Ttulo2Car"/>
          <w:sz w:val="22"/>
          <w:lang w:eastAsia="en-US"/>
        </w:rPr>
        <w:t>CUARTO.</w:t>
      </w:r>
      <w:bookmarkEnd w:id="27"/>
      <w:r w:rsidRPr="001E7F59">
        <w:rPr>
          <w:rFonts w:ascii="Palatino Linotype" w:eastAsiaTheme="minorHAnsi" w:hAnsi="Palatino Linotype" w:cs="Tahoma"/>
          <w:b/>
          <w:color w:val="000000" w:themeColor="text1"/>
          <w:sz w:val="22"/>
          <w:szCs w:val="22"/>
          <w:lang w:eastAsia="en-US"/>
        </w:rPr>
        <w:t xml:space="preserve"> NOTIFÍQUESE</w:t>
      </w:r>
      <w:r w:rsidR="00393B16" w:rsidRPr="001E7F59">
        <w:rPr>
          <w:rFonts w:ascii="Palatino Linotype" w:eastAsiaTheme="minorHAnsi" w:hAnsi="Palatino Linotype" w:cs="Tahoma"/>
          <w:b/>
          <w:color w:val="000000" w:themeColor="text1"/>
          <w:sz w:val="22"/>
          <w:szCs w:val="22"/>
          <w:lang w:eastAsia="en-US"/>
        </w:rPr>
        <w:t xml:space="preserve"> POR SAIMEX</w:t>
      </w:r>
      <w:r w:rsidRPr="001E7F59">
        <w:rPr>
          <w:rFonts w:ascii="Palatino Linotype" w:eastAsiaTheme="minorHAnsi" w:hAnsi="Palatino Linotype" w:cs="Tahoma"/>
          <w:color w:val="000000" w:themeColor="text1"/>
          <w:sz w:val="22"/>
          <w:szCs w:val="22"/>
          <w:lang w:eastAsia="en-US"/>
        </w:rPr>
        <w:t xml:space="preserve"> al Recurrente la presente Resolución, asimismo, se hace de su conocimiento que de conformidad con lo establecido en el artículo 196 de la Ley de Transparencia y Acceso a la Información Pública del Estado de México y Municipios podrá promover el Juicio de Amparo en los términos de las leyes aplicables.</w:t>
      </w:r>
    </w:p>
    <w:p w14:paraId="38E6F55A" w14:textId="77777777" w:rsidR="001B3766" w:rsidRPr="001E7F59" w:rsidRDefault="001B3766" w:rsidP="001B3766">
      <w:pPr>
        <w:spacing w:line="360" w:lineRule="auto"/>
        <w:jc w:val="both"/>
        <w:rPr>
          <w:rFonts w:ascii="Palatino Linotype" w:eastAsiaTheme="minorHAnsi" w:hAnsi="Palatino Linotype" w:cs="Tahoma"/>
          <w:color w:val="000000" w:themeColor="text1"/>
          <w:sz w:val="22"/>
          <w:szCs w:val="22"/>
          <w:lang w:eastAsia="en-US"/>
        </w:rPr>
      </w:pPr>
    </w:p>
    <w:p w14:paraId="4037A1C7" w14:textId="0F5F5A16" w:rsidR="00401071" w:rsidRPr="001E7F59" w:rsidRDefault="001B3766" w:rsidP="001B3766">
      <w:pPr>
        <w:spacing w:line="360" w:lineRule="auto"/>
        <w:jc w:val="both"/>
        <w:rPr>
          <w:rFonts w:ascii="Palatino Linotype" w:eastAsia="Calibri" w:hAnsi="Palatino Linotype" w:cs="Tahoma"/>
          <w:bCs/>
          <w:iCs/>
          <w:sz w:val="22"/>
          <w:szCs w:val="22"/>
          <w:lang w:val="es-ES_tradnl" w:eastAsia="en-US"/>
        </w:rPr>
      </w:pPr>
      <w:bookmarkStart w:id="28" w:name="_Toc191296141"/>
      <w:r w:rsidRPr="001E7F59">
        <w:rPr>
          <w:rStyle w:val="Ttulo2Car"/>
          <w:sz w:val="22"/>
          <w:lang w:eastAsia="en-US"/>
        </w:rPr>
        <w:t>QUINTO.</w:t>
      </w:r>
      <w:bookmarkEnd w:id="28"/>
      <w:r w:rsidRPr="001E7F59">
        <w:rPr>
          <w:rFonts w:ascii="Palatino Linotype" w:eastAsiaTheme="minorHAnsi" w:hAnsi="Palatino Linotype" w:cstheme="minorBidi"/>
          <w:color w:val="000000"/>
          <w:sz w:val="22"/>
          <w:szCs w:val="22"/>
          <w:lang w:eastAsia="en-US"/>
        </w:rPr>
        <w:t xml:space="preserve"> Con fundamento en lo dispuesto en el artículo 24, fracciones XI, XII y XIII del Reglamento Interior del Instituto de Transparencia, Acceso a la Información Pública y Protección de Datos Personales del Estado de México y Municipios, gírese oficio a la Dirección General de Protección de Datos Personales de este Instituto, en términos de lo dispuesto en el Considerando SEXTO de la presente Resolución.</w:t>
      </w:r>
    </w:p>
    <w:p w14:paraId="31463113" w14:textId="77777777" w:rsidR="00401071" w:rsidRPr="001E7F59" w:rsidRDefault="00401071" w:rsidP="00A35192">
      <w:pPr>
        <w:widowControl w:val="0"/>
        <w:spacing w:line="360" w:lineRule="auto"/>
        <w:jc w:val="both"/>
        <w:rPr>
          <w:rFonts w:ascii="Palatino Linotype" w:eastAsia="Calibri" w:hAnsi="Palatino Linotype" w:cs="Tahoma"/>
          <w:bCs/>
          <w:iCs/>
          <w:sz w:val="22"/>
          <w:szCs w:val="22"/>
          <w:lang w:val="es-ES_tradnl" w:eastAsia="en-US"/>
        </w:rPr>
      </w:pPr>
    </w:p>
    <w:bookmarkEnd w:id="18"/>
    <w:p w14:paraId="3A90DE22" w14:textId="58BBC239" w:rsidR="00E77BF2" w:rsidRPr="006D1B93" w:rsidRDefault="000B2951" w:rsidP="00A35192">
      <w:pPr>
        <w:widowControl w:val="0"/>
        <w:spacing w:line="360" w:lineRule="auto"/>
        <w:jc w:val="both"/>
        <w:rPr>
          <w:rFonts w:ascii="Palatino Linotype" w:eastAsia="Calibri" w:hAnsi="Palatino Linotype" w:cs="Tahoma"/>
          <w:bCs/>
          <w:iCs/>
          <w:sz w:val="22"/>
          <w:szCs w:val="22"/>
          <w:lang w:val="es-ES_tradnl" w:eastAsia="en-US"/>
        </w:rPr>
      </w:pPr>
      <w:r w:rsidRPr="001E7F59">
        <w:rPr>
          <w:rFonts w:ascii="Palatino Linotype" w:eastAsia="Calibri" w:hAnsi="Palatino Linotype" w:cs="Tahoma"/>
          <w:bCs/>
          <w:iCs/>
          <w:sz w:val="22"/>
          <w:szCs w:val="22"/>
          <w:lang w:val="es-ES_tradnl" w:eastAsia="en-US"/>
        </w:rPr>
        <w:t xml:space="preserve">ASÍ, POR </w:t>
      </w:r>
      <w:r w:rsidRPr="001E7F59">
        <w:rPr>
          <w:rFonts w:ascii="Palatino Linotype" w:eastAsia="Calibri" w:hAnsi="Palatino Linotype" w:cs="Tahoma"/>
          <w:b/>
          <w:bCs/>
          <w:iCs/>
          <w:sz w:val="22"/>
          <w:szCs w:val="22"/>
          <w:lang w:val="es-ES_tradnl" w:eastAsia="en-US"/>
        </w:rPr>
        <w:t>UNANIMIDAD</w:t>
      </w:r>
      <w:r w:rsidRPr="001E7F59">
        <w:rPr>
          <w:rFonts w:ascii="Palatino Linotype" w:eastAsia="Calibri" w:hAnsi="Palatino Linotype" w:cs="Tahoma"/>
          <w:bCs/>
          <w:iCs/>
          <w:sz w:val="22"/>
          <w:szCs w:val="22"/>
          <w:lang w:val="es-ES_tradnl" w:eastAsia="en-US"/>
        </w:rPr>
        <w:t xml:space="preserve"> DE VOTOS, LO RESOLVIERON Y FIRMAN LOS COMISIONADOS DEL INSTITUTO DE TRANSPARENCIA, ACCESO A LA INFORMACIÓN PÚBLICA Y PROTECCIÓN DE DATOS PERSONALES DEL ESTADO DE MÉXICO Y MUNICIPIOS, JOSÉ MARTÍNEZ VILCHIS, MARÍA DEL ROSARIO MEJÍA AYALA</w:t>
      </w:r>
      <w:r w:rsidR="00132F2E" w:rsidRPr="001E7F59">
        <w:rPr>
          <w:rFonts w:ascii="Palatino Linotype" w:eastAsia="Calibri" w:hAnsi="Palatino Linotype" w:cs="Tahoma"/>
          <w:bCs/>
          <w:iCs/>
          <w:sz w:val="22"/>
          <w:szCs w:val="22"/>
          <w:lang w:val="es-ES_tradnl" w:eastAsia="en-US"/>
        </w:rPr>
        <w:t xml:space="preserve"> CON VOTO PARTICULAR CONCURRENTE</w:t>
      </w:r>
      <w:r w:rsidRPr="001E7F59">
        <w:rPr>
          <w:rFonts w:ascii="Palatino Linotype" w:eastAsia="Calibri" w:hAnsi="Palatino Linotype" w:cs="Tahoma"/>
          <w:bCs/>
          <w:iCs/>
          <w:sz w:val="22"/>
          <w:szCs w:val="22"/>
          <w:lang w:val="es-ES_tradnl" w:eastAsia="en-US"/>
        </w:rPr>
        <w:t>, SHARON CRISTINA MORALES MARTÍNEZ</w:t>
      </w:r>
      <w:r w:rsidR="00132F2E" w:rsidRPr="001E7F59">
        <w:rPr>
          <w:rFonts w:ascii="Palatino Linotype" w:eastAsia="Calibri" w:hAnsi="Palatino Linotype" w:cs="Tahoma"/>
          <w:bCs/>
          <w:iCs/>
          <w:sz w:val="22"/>
          <w:szCs w:val="22"/>
          <w:lang w:val="es-ES_tradnl" w:eastAsia="en-US"/>
        </w:rPr>
        <w:t xml:space="preserve"> CON VOTO PARTICULAR</w:t>
      </w:r>
      <w:r w:rsidRPr="001E7F59">
        <w:rPr>
          <w:rFonts w:ascii="Palatino Linotype" w:eastAsia="Calibri" w:hAnsi="Palatino Linotype" w:cs="Tahoma"/>
          <w:bCs/>
          <w:iCs/>
          <w:sz w:val="22"/>
          <w:szCs w:val="22"/>
          <w:lang w:val="es-ES_tradnl" w:eastAsia="en-US"/>
        </w:rPr>
        <w:t xml:space="preserve">, </w:t>
      </w:r>
      <w:r w:rsidR="00321457" w:rsidRPr="001E7F59">
        <w:rPr>
          <w:rFonts w:ascii="Palatino Linotype" w:eastAsia="Calibri" w:hAnsi="Palatino Linotype" w:cs="Tahoma"/>
          <w:bCs/>
          <w:iCs/>
          <w:sz w:val="22"/>
          <w:szCs w:val="22"/>
          <w:lang w:val="es-ES_tradnl" w:eastAsia="en-US"/>
        </w:rPr>
        <w:t>LUIS GUSTAVO PARRA NORIEGA CON VOTO PARTICULAR CONCURRENTE</w:t>
      </w:r>
      <w:r w:rsidR="00321457">
        <w:rPr>
          <w:rFonts w:ascii="Palatino Linotype" w:eastAsia="Calibri" w:hAnsi="Palatino Linotype" w:cs="Tahoma"/>
          <w:bCs/>
          <w:iCs/>
          <w:sz w:val="22"/>
          <w:szCs w:val="22"/>
          <w:lang w:val="es-ES_tradnl" w:eastAsia="en-US"/>
        </w:rPr>
        <w:t xml:space="preserve"> Y </w:t>
      </w:r>
      <w:r w:rsidRPr="001E7F59">
        <w:rPr>
          <w:rFonts w:ascii="Palatino Linotype" w:eastAsia="Calibri" w:hAnsi="Palatino Linotype" w:cs="Tahoma"/>
          <w:bCs/>
          <w:iCs/>
          <w:sz w:val="22"/>
          <w:szCs w:val="22"/>
          <w:lang w:val="es-ES_tradnl" w:eastAsia="en-US"/>
        </w:rPr>
        <w:t>GUADALUPE RAMÍREZ PEÑA</w:t>
      </w:r>
      <w:r w:rsidR="00132F2E" w:rsidRPr="001E7F59">
        <w:rPr>
          <w:rFonts w:ascii="Palatino Linotype" w:eastAsia="Calibri" w:hAnsi="Palatino Linotype" w:cs="Tahoma"/>
          <w:bCs/>
          <w:iCs/>
          <w:sz w:val="22"/>
          <w:szCs w:val="22"/>
          <w:lang w:val="es-ES_tradnl" w:eastAsia="en-US"/>
        </w:rPr>
        <w:t xml:space="preserve"> CON VOTO PARTICULAR</w:t>
      </w:r>
      <w:r w:rsidR="00321457">
        <w:rPr>
          <w:rFonts w:ascii="Palatino Linotype" w:eastAsia="Calibri" w:hAnsi="Palatino Linotype" w:cs="Tahoma"/>
          <w:bCs/>
          <w:iCs/>
          <w:sz w:val="22"/>
          <w:szCs w:val="22"/>
          <w:lang w:val="es-ES_tradnl" w:eastAsia="en-US"/>
        </w:rPr>
        <w:t xml:space="preserve">, </w:t>
      </w:r>
      <w:r w:rsidRPr="001E7F59">
        <w:rPr>
          <w:rFonts w:ascii="Palatino Linotype" w:eastAsia="Calibri" w:hAnsi="Palatino Linotype" w:cs="Tahoma"/>
          <w:bCs/>
          <w:iCs/>
          <w:sz w:val="22"/>
          <w:szCs w:val="22"/>
          <w:lang w:val="es-ES_tradnl" w:eastAsia="en-US"/>
        </w:rPr>
        <w:t xml:space="preserve">EN LA </w:t>
      </w:r>
      <w:r w:rsidR="005D770B" w:rsidRPr="001E7F59">
        <w:rPr>
          <w:rFonts w:ascii="Palatino Linotype" w:eastAsia="Calibri" w:hAnsi="Palatino Linotype" w:cs="Tahoma"/>
          <w:bCs/>
          <w:iCs/>
          <w:sz w:val="22"/>
          <w:szCs w:val="22"/>
          <w:lang w:val="es-ES_tradnl" w:eastAsia="en-US"/>
        </w:rPr>
        <w:t>S</w:t>
      </w:r>
      <w:r w:rsidR="00C2198B" w:rsidRPr="001E7F59">
        <w:rPr>
          <w:rFonts w:ascii="Palatino Linotype" w:eastAsia="Calibri" w:hAnsi="Palatino Linotype" w:cs="Tahoma"/>
          <w:bCs/>
          <w:iCs/>
          <w:sz w:val="22"/>
          <w:szCs w:val="22"/>
          <w:lang w:val="es-ES_tradnl" w:eastAsia="en-US"/>
        </w:rPr>
        <w:t>ÉPTIMA</w:t>
      </w:r>
      <w:r w:rsidRPr="001E7F59">
        <w:rPr>
          <w:rFonts w:ascii="Palatino Linotype" w:eastAsia="Calibri" w:hAnsi="Palatino Linotype" w:cs="Tahoma"/>
          <w:bCs/>
          <w:iCs/>
          <w:sz w:val="22"/>
          <w:szCs w:val="22"/>
          <w:lang w:val="es-ES_tradnl" w:eastAsia="en-US"/>
        </w:rPr>
        <w:t xml:space="preserve"> SESIÓN ORDINARIA, CELEBRADA EL </w:t>
      </w:r>
      <w:r w:rsidR="00C2198B" w:rsidRPr="001E7F59">
        <w:rPr>
          <w:rFonts w:ascii="Palatino Linotype" w:eastAsia="Calibri" w:hAnsi="Palatino Linotype" w:cs="Tahoma"/>
          <w:bCs/>
          <w:iCs/>
          <w:sz w:val="22"/>
          <w:szCs w:val="22"/>
          <w:lang w:val="es-ES_tradnl" w:eastAsia="en-US"/>
        </w:rPr>
        <w:t>VEINTISÉIS</w:t>
      </w:r>
      <w:r w:rsidR="00EF5C00" w:rsidRPr="001E7F59">
        <w:rPr>
          <w:rFonts w:ascii="Palatino Linotype" w:eastAsia="Calibri" w:hAnsi="Palatino Linotype" w:cs="Tahoma"/>
          <w:bCs/>
          <w:iCs/>
          <w:sz w:val="22"/>
          <w:szCs w:val="22"/>
          <w:lang w:val="es-ES_tradnl" w:eastAsia="en-US"/>
        </w:rPr>
        <w:t xml:space="preserve"> DE </w:t>
      </w:r>
      <w:r w:rsidR="005D770B" w:rsidRPr="001E7F59">
        <w:rPr>
          <w:rFonts w:ascii="Palatino Linotype" w:eastAsia="Calibri" w:hAnsi="Palatino Linotype" w:cs="Tahoma"/>
          <w:bCs/>
          <w:iCs/>
          <w:sz w:val="22"/>
          <w:szCs w:val="22"/>
          <w:lang w:val="es-ES_tradnl" w:eastAsia="en-US"/>
        </w:rPr>
        <w:t>FEBRERO DE DOS MIL VEINTICINCO</w:t>
      </w:r>
      <w:r w:rsidRPr="001E7F59">
        <w:rPr>
          <w:rFonts w:ascii="Palatino Linotype" w:eastAsia="Calibri" w:hAnsi="Palatino Linotype" w:cs="Tahoma"/>
          <w:bCs/>
          <w:iCs/>
          <w:sz w:val="22"/>
          <w:szCs w:val="22"/>
          <w:lang w:val="es-ES_tradnl" w:eastAsia="en-US"/>
        </w:rPr>
        <w:t>, ANTE EL SECRETARIO TÉCNICO DEL PLENO, ALEXIS TAPIA RAMÍREZ.</w:t>
      </w:r>
    </w:p>
    <w:p w14:paraId="4EB8437A" w14:textId="0E017C29" w:rsidR="0087367C" w:rsidRPr="006D1B93" w:rsidRDefault="0087367C" w:rsidP="00A35192">
      <w:pPr>
        <w:widowControl w:val="0"/>
        <w:spacing w:line="360" w:lineRule="auto"/>
        <w:jc w:val="both"/>
        <w:rPr>
          <w:rFonts w:ascii="Palatino Linotype" w:eastAsia="Calibri" w:hAnsi="Palatino Linotype" w:cs="Tahoma"/>
          <w:bCs/>
          <w:iCs/>
          <w:sz w:val="22"/>
          <w:szCs w:val="22"/>
          <w:lang w:val="es-ES_tradnl" w:eastAsia="en-US"/>
        </w:rPr>
      </w:pPr>
    </w:p>
    <w:p w14:paraId="6A04E664" w14:textId="77777777" w:rsidR="0087367C" w:rsidRDefault="0087367C" w:rsidP="00A35192">
      <w:pPr>
        <w:spacing w:line="360" w:lineRule="auto"/>
        <w:ind w:right="-93"/>
        <w:jc w:val="both"/>
        <w:rPr>
          <w:rFonts w:ascii="Palatino Linotype" w:hAnsi="Palatino Linotype" w:cs="Tahoma"/>
          <w:sz w:val="22"/>
          <w:szCs w:val="22"/>
          <w:lang w:eastAsia="es-MX"/>
        </w:rPr>
      </w:pPr>
    </w:p>
    <w:p w14:paraId="1847708E" w14:textId="77777777" w:rsidR="00B65BDF" w:rsidRDefault="00B65BDF" w:rsidP="00A35192">
      <w:pPr>
        <w:spacing w:line="360" w:lineRule="auto"/>
        <w:ind w:right="-93"/>
        <w:jc w:val="both"/>
        <w:rPr>
          <w:rFonts w:ascii="Palatino Linotype" w:hAnsi="Palatino Linotype" w:cs="Tahoma"/>
          <w:sz w:val="22"/>
          <w:szCs w:val="22"/>
          <w:lang w:eastAsia="es-MX"/>
        </w:rPr>
      </w:pPr>
    </w:p>
    <w:p w14:paraId="153EF498" w14:textId="77777777" w:rsidR="00B65BDF" w:rsidRPr="00033B8E" w:rsidRDefault="00B65BDF" w:rsidP="00A35192">
      <w:pPr>
        <w:spacing w:line="360" w:lineRule="auto"/>
        <w:ind w:right="-93"/>
        <w:jc w:val="both"/>
        <w:rPr>
          <w:rFonts w:ascii="Palatino Linotype" w:hAnsi="Palatino Linotype" w:cs="Tahoma"/>
          <w:sz w:val="22"/>
          <w:szCs w:val="22"/>
          <w:lang w:eastAsia="es-MX"/>
        </w:rPr>
      </w:pPr>
    </w:p>
    <w:sectPr w:rsidR="00B65BDF" w:rsidRPr="00033B8E" w:rsidSect="00F1285A">
      <w:headerReference w:type="even" r:id="rId14"/>
      <w:headerReference w:type="default" r:id="rId15"/>
      <w:footerReference w:type="default" r:id="rId16"/>
      <w:headerReference w:type="first" r:id="rId17"/>
      <w:footerReference w:type="first" r:id="rId18"/>
      <w:type w:val="continuous"/>
      <w:pgSz w:w="12240" w:h="15840"/>
      <w:pgMar w:top="80" w:right="1608" w:bottom="1418" w:left="1588" w:header="709" w:footer="91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0D922B6" w14:textId="77777777" w:rsidR="00993A40" w:rsidRDefault="00993A40" w:rsidP="00B31222">
      <w:r>
        <w:separator/>
      </w:r>
    </w:p>
  </w:endnote>
  <w:endnote w:type="continuationSeparator" w:id="0">
    <w:p w14:paraId="13D7BEF9" w14:textId="77777777" w:rsidR="00993A40" w:rsidRDefault="00993A40" w:rsidP="00B312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Tahoma">
    <w:panose1 w:val="020B0604030504040204"/>
    <w:charset w:val="00"/>
    <w:family w:val="swiss"/>
    <w:pitch w:val="variable"/>
    <w:sig w:usb0="E1002EFF" w:usb1="C000605B" w:usb2="00000029" w:usb3="00000000" w:csb0="000101FF" w:csb1="00000000"/>
  </w:font>
  <w:font w:name="Noto Sans Symbols">
    <w:altName w:val="Times New Roman"/>
    <w:charset w:val="00"/>
    <w:family w:val="auto"/>
    <w:pitch w:val="default"/>
  </w:font>
  <w:font w:name="Calibri">
    <w:panose1 w:val="020F05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30156707"/>
      <w:docPartObj>
        <w:docPartGallery w:val="Page Numbers (Bottom of Page)"/>
        <w:docPartUnique/>
      </w:docPartObj>
    </w:sdtPr>
    <w:sdtEndPr/>
    <w:sdtContent>
      <w:sdt>
        <w:sdtPr>
          <w:id w:val="-1769616900"/>
          <w:docPartObj>
            <w:docPartGallery w:val="Page Numbers (Top of Page)"/>
            <w:docPartUnique/>
          </w:docPartObj>
        </w:sdtPr>
        <w:sdtEndPr/>
        <w:sdtContent>
          <w:p w14:paraId="11FF7C34" w14:textId="415F1E92" w:rsidR="009B3216" w:rsidRDefault="009B3216">
            <w:pPr>
              <w:pStyle w:val="Piedepgina"/>
              <w:jc w:val="right"/>
            </w:pPr>
            <w:r>
              <w:rPr>
                <w:lang w:val="es-ES"/>
              </w:rPr>
              <w:t xml:space="preserve">Página </w:t>
            </w:r>
            <w:r>
              <w:rPr>
                <w:b/>
                <w:bCs/>
                <w:sz w:val="24"/>
                <w:szCs w:val="24"/>
              </w:rPr>
              <w:fldChar w:fldCharType="begin"/>
            </w:r>
            <w:r>
              <w:rPr>
                <w:b/>
                <w:bCs/>
              </w:rPr>
              <w:instrText>PAGE</w:instrText>
            </w:r>
            <w:r>
              <w:rPr>
                <w:b/>
                <w:bCs/>
                <w:sz w:val="24"/>
                <w:szCs w:val="24"/>
              </w:rPr>
              <w:fldChar w:fldCharType="separate"/>
            </w:r>
            <w:r w:rsidR="009D3CAC">
              <w:rPr>
                <w:b/>
                <w:bCs/>
                <w:noProof/>
              </w:rPr>
              <w:t>21</w:t>
            </w:r>
            <w:r>
              <w:rPr>
                <w:b/>
                <w:bCs/>
                <w:sz w:val="24"/>
                <w:szCs w:val="24"/>
              </w:rPr>
              <w:fldChar w:fldCharType="end"/>
            </w:r>
            <w:r>
              <w:rPr>
                <w:lang w:val="es-ES"/>
              </w:rPr>
              <w:t xml:space="preserve"> de </w:t>
            </w:r>
            <w:r>
              <w:rPr>
                <w:b/>
                <w:bCs/>
                <w:sz w:val="24"/>
                <w:szCs w:val="24"/>
              </w:rPr>
              <w:fldChar w:fldCharType="begin"/>
            </w:r>
            <w:r>
              <w:rPr>
                <w:b/>
                <w:bCs/>
              </w:rPr>
              <w:instrText>NUMPAGES</w:instrText>
            </w:r>
            <w:r>
              <w:rPr>
                <w:b/>
                <w:bCs/>
                <w:sz w:val="24"/>
                <w:szCs w:val="24"/>
              </w:rPr>
              <w:fldChar w:fldCharType="separate"/>
            </w:r>
            <w:r w:rsidR="009D3CAC">
              <w:rPr>
                <w:b/>
                <w:bCs/>
                <w:noProof/>
              </w:rPr>
              <w:t>60</w:t>
            </w:r>
            <w:r>
              <w:rPr>
                <w:b/>
                <w:bCs/>
                <w:sz w:val="24"/>
                <w:szCs w:val="24"/>
              </w:rPr>
              <w:fldChar w:fldCharType="end"/>
            </w:r>
          </w:p>
        </w:sdtContent>
      </w:sdt>
    </w:sdtContent>
  </w:sdt>
  <w:p w14:paraId="2637F45B" w14:textId="77777777" w:rsidR="009B3216" w:rsidRDefault="009B3216"/>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59767700"/>
      <w:docPartObj>
        <w:docPartGallery w:val="Page Numbers (Bottom of Page)"/>
        <w:docPartUnique/>
      </w:docPartObj>
    </w:sdtPr>
    <w:sdtEndPr/>
    <w:sdtContent>
      <w:sdt>
        <w:sdtPr>
          <w:id w:val="315386424"/>
          <w:docPartObj>
            <w:docPartGallery w:val="Page Numbers (Top of Page)"/>
            <w:docPartUnique/>
          </w:docPartObj>
        </w:sdtPr>
        <w:sdtEndPr/>
        <w:sdtContent>
          <w:p w14:paraId="627CAB63" w14:textId="61874F73" w:rsidR="009B3216" w:rsidRDefault="009B3216">
            <w:pPr>
              <w:pStyle w:val="Piedepgina"/>
              <w:jc w:val="right"/>
            </w:pPr>
          </w:p>
          <w:p w14:paraId="63C7D70B" w14:textId="77777777" w:rsidR="009B3216" w:rsidRDefault="009B3216">
            <w:pPr>
              <w:pStyle w:val="Piedepgina"/>
              <w:jc w:val="right"/>
            </w:pPr>
          </w:p>
          <w:p w14:paraId="0491B849" w14:textId="77777777" w:rsidR="009B3216" w:rsidRDefault="009B3216">
            <w:pPr>
              <w:pStyle w:val="Piedepgina"/>
              <w:jc w:val="right"/>
            </w:pPr>
          </w:p>
          <w:p w14:paraId="65578296" w14:textId="2756B46D" w:rsidR="009B3216" w:rsidRDefault="009B3216">
            <w:pPr>
              <w:pStyle w:val="Piedepgina"/>
              <w:jc w:val="right"/>
            </w:pPr>
            <w:r>
              <w:rPr>
                <w:lang w:val="es-ES"/>
              </w:rPr>
              <w:t xml:space="preserve">Página </w:t>
            </w:r>
            <w:r>
              <w:rPr>
                <w:b/>
                <w:bCs/>
                <w:sz w:val="24"/>
                <w:szCs w:val="24"/>
              </w:rPr>
              <w:fldChar w:fldCharType="begin"/>
            </w:r>
            <w:r>
              <w:rPr>
                <w:b/>
                <w:bCs/>
              </w:rPr>
              <w:instrText>PAGE</w:instrText>
            </w:r>
            <w:r>
              <w:rPr>
                <w:b/>
                <w:bCs/>
                <w:sz w:val="24"/>
                <w:szCs w:val="24"/>
              </w:rPr>
              <w:fldChar w:fldCharType="separate"/>
            </w:r>
            <w:r w:rsidR="009D3CAC">
              <w:rPr>
                <w:b/>
                <w:bCs/>
                <w:noProof/>
              </w:rPr>
              <w:t>1</w:t>
            </w:r>
            <w:r>
              <w:rPr>
                <w:b/>
                <w:bCs/>
                <w:sz w:val="24"/>
                <w:szCs w:val="24"/>
              </w:rPr>
              <w:fldChar w:fldCharType="end"/>
            </w:r>
            <w:r>
              <w:rPr>
                <w:lang w:val="es-ES"/>
              </w:rPr>
              <w:t xml:space="preserve"> de </w:t>
            </w:r>
            <w:r>
              <w:rPr>
                <w:b/>
                <w:bCs/>
                <w:sz w:val="24"/>
                <w:szCs w:val="24"/>
              </w:rPr>
              <w:fldChar w:fldCharType="begin"/>
            </w:r>
            <w:r>
              <w:rPr>
                <w:b/>
                <w:bCs/>
              </w:rPr>
              <w:instrText>NUMPAGES</w:instrText>
            </w:r>
            <w:r>
              <w:rPr>
                <w:b/>
                <w:bCs/>
                <w:sz w:val="24"/>
                <w:szCs w:val="24"/>
              </w:rPr>
              <w:fldChar w:fldCharType="separate"/>
            </w:r>
            <w:r w:rsidR="009D3CAC">
              <w:rPr>
                <w:b/>
                <w:bCs/>
                <w:noProof/>
              </w:rPr>
              <w:t>60</w:t>
            </w:r>
            <w:r>
              <w:rPr>
                <w:b/>
                <w:bCs/>
                <w:sz w:val="24"/>
                <w:szCs w:val="24"/>
              </w:rPr>
              <w:fldChar w:fldCharType="end"/>
            </w:r>
          </w:p>
        </w:sdtContent>
      </w:sdt>
    </w:sdtContent>
  </w:sdt>
  <w:p w14:paraId="75B99463" w14:textId="77777777" w:rsidR="009B3216" w:rsidRDefault="009B3216"/>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D47ACA4" w14:textId="77777777" w:rsidR="00993A40" w:rsidRDefault="00993A40" w:rsidP="00B31222">
      <w:r>
        <w:separator/>
      </w:r>
    </w:p>
  </w:footnote>
  <w:footnote w:type="continuationSeparator" w:id="0">
    <w:p w14:paraId="02089555" w14:textId="77777777" w:rsidR="00993A40" w:rsidRDefault="00993A40" w:rsidP="00B3122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33B1279" w14:textId="74DCBF8F" w:rsidR="009B3216" w:rsidRDefault="00993A40">
    <w:pPr>
      <w:pStyle w:val="Encabezado"/>
    </w:pPr>
    <w:r>
      <w:rPr>
        <w:noProof/>
        <w:lang w:eastAsia="es-MX"/>
      </w:rPr>
      <w:pict w14:anchorId="69E90AE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8101532" o:spid="_x0000_s2050" type="#_x0000_t75" style="position:absolute;margin-left:0;margin-top:0;width:663.5pt;height:12in;z-index:-251659776;mso-position-horizontal:center;mso-position-horizontal-relative:margin;mso-position-vertical:center;mso-position-vertical-relative:margin" o:allowincell="f">
          <v:imagedata r:id="rId1" o:title="marcaaguaINFOEM"/>
          <w10:wrap anchorx="margin" anchory="margin"/>
        </v:shape>
      </w:pict>
    </w:r>
  </w:p>
  <w:p w14:paraId="1C930381" w14:textId="77777777" w:rsidR="009B3216" w:rsidRDefault="009B3216"/>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aconcuadrcula"/>
      <w:tblW w:w="5670" w:type="dxa"/>
      <w:tblInd w:w="368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20" w:firstRow="1" w:lastRow="0" w:firstColumn="0" w:lastColumn="0" w:noHBand="0" w:noVBand="1"/>
    </w:tblPr>
    <w:tblGrid>
      <w:gridCol w:w="2552"/>
      <w:gridCol w:w="3118"/>
    </w:tblGrid>
    <w:tr w:rsidR="009B3216" w14:paraId="5293DE37" w14:textId="77777777" w:rsidTr="00CC71F9">
      <w:trPr>
        <w:trHeight w:val="144"/>
      </w:trPr>
      <w:tc>
        <w:tcPr>
          <w:tcW w:w="2552" w:type="dxa"/>
          <w:vAlign w:val="bottom"/>
        </w:tcPr>
        <w:p w14:paraId="7AF80103" w14:textId="59EF163A" w:rsidR="009B3216" w:rsidRPr="00026EBB" w:rsidRDefault="009B3216" w:rsidP="003F6415">
          <w:pPr>
            <w:tabs>
              <w:tab w:val="right" w:pos="8838"/>
            </w:tabs>
            <w:rPr>
              <w:rFonts w:ascii="Palatino Linotype" w:eastAsia="Calibri" w:hAnsi="Palatino Linotype" w:cs="Tahoma"/>
              <w:b/>
              <w:sz w:val="22"/>
              <w:szCs w:val="22"/>
              <w:lang w:val="es-MX" w:eastAsia="en-US"/>
            </w:rPr>
          </w:pPr>
          <w:r w:rsidRPr="00026EBB">
            <w:rPr>
              <w:rFonts w:ascii="Palatino Linotype" w:eastAsia="Calibri" w:hAnsi="Palatino Linotype" w:cs="Tahoma"/>
              <w:b/>
              <w:sz w:val="22"/>
              <w:szCs w:val="22"/>
              <w:lang w:val="es-MX" w:eastAsia="en-US"/>
            </w:rPr>
            <w:t>Recurso de Revisión:</w:t>
          </w:r>
        </w:p>
      </w:tc>
      <w:tc>
        <w:tcPr>
          <w:tcW w:w="3118" w:type="dxa"/>
        </w:tcPr>
        <w:p w14:paraId="56189302" w14:textId="77777777" w:rsidR="009B3216" w:rsidRPr="002E5910" w:rsidRDefault="009B3216" w:rsidP="00F77239">
          <w:pPr>
            <w:tabs>
              <w:tab w:val="right" w:pos="8838"/>
            </w:tabs>
            <w:jc w:val="both"/>
            <w:rPr>
              <w:rFonts w:ascii="Palatino Linotype" w:eastAsia="Calibri" w:hAnsi="Palatino Linotype" w:cs="Tahoma"/>
              <w:lang w:val="es-MX" w:eastAsia="en-US"/>
            </w:rPr>
          </w:pPr>
        </w:p>
        <w:p w14:paraId="443D8D46" w14:textId="77777777" w:rsidR="009B3216" w:rsidRDefault="009B3216" w:rsidP="00F77239">
          <w:pPr>
            <w:tabs>
              <w:tab w:val="right" w:pos="8838"/>
            </w:tabs>
            <w:jc w:val="both"/>
            <w:rPr>
              <w:rFonts w:ascii="Palatino Linotype" w:eastAsia="Calibri" w:hAnsi="Palatino Linotype" w:cs="Tahoma"/>
              <w:sz w:val="22"/>
              <w:szCs w:val="22"/>
              <w:lang w:val="es-MX" w:eastAsia="en-US"/>
            </w:rPr>
          </w:pPr>
        </w:p>
        <w:p w14:paraId="174BD0BF" w14:textId="7580AD5B" w:rsidR="009B3216" w:rsidRPr="00D3618F" w:rsidRDefault="009B3216" w:rsidP="008C3448">
          <w:pPr>
            <w:tabs>
              <w:tab w:val="right" w:pos="8838"/>
            </w:tabs>
            <w:jc w:val="both"/>
            <w:rPr>
              <w:rFonts w:ascii="Palatino Linotype" w:eastAsia="Calibri" w:hAnsi="Palatino Linotype" w:cs="Tahoma"/>
              <w:sz w:val="22"/>
              <w:szCs w:val="22"/>
              <w:lang w:eastAsia="en-US"/>
            </w:rPr>
          </w:pPr>
          <w:r w:rsidRPr="00D3618F">
            <w:rPr>
              <w:rFonts w:ascii="Palatino Linotype" w:eastAsia="Calibri" w:hAnsi="Palatino Linotype" w:cs="Tahoma"/>
              <w:sz w:val="22"/>
              <w:szCs w:val="22"/>
              <w:lang w:val="es-MX" w:eastAsia="en-US"/>
            </w:rPr>
            <w:t>0</w:t>
          </w:r>
          <w:r>
            <w:rPr>
              <w:rFonts w:ascii="Palatino Linotype" w:eastAsia="Calibri" w:hAnsi="Palatino Linotype" w:cs="Tahoma"/>
              <w:sz w:val="22"/>
              <w:szCs w:val="22"/>
              <w:lang w:val="es-MX" w:eastAsia="en-US"/>
            </w:rPr>
            <w:t>0541/INFOEM/IP/RR/2025</w:t>
          </w:r>
          <w:r w:rsidRPr="00D3618F">
            <w:rPr>
              <w:rFonts w:ascii="Palatino Linotype" w:eastAsia="Calibri" w:hAnsi="Palatino Linotype" w:cs="Tahoma"/>
              <w:sz w:val="22"/>
              <w:szCs w:val="22"/>
              <w:lang w:val="es-MX" w:eastAsia="en-US"/>
            </w:rPr>
            <w:t xml:space="preserve"> </w:t>
          </w:r>
        </w:p>
      </w:tc>
    </w:tr>
    <w:tr w:rsidR="009B3216" w14:paraId="07F8E559" w14:textId="77777777" w:rsidTr="00CC71F9">
      <w:trPr>
        <w:trHeight w:val="144"/>
      </w:trPr>
      <w:tc>
        <w:tcPr>
          <w:tcW w:w="2552" w:type="dxa"/>
        </w:tcPr>
        <w:p w14:paraId="0DC0D1FB" w14:textId="77777777" w:rsidR="009B3216" w:rsidRPr="00026EBB" w:rsidRDefault="009B3216" w:rsidP="003F6415">
          <w:pPr>
            <w:tabs>
              <w:tab w:val="right" w:pos="8838"/>
            </w:tabs>
            <w:rPr>
              <w:rFonts w:ascii="Palatino Linotype" w:eastAsia="Calibri" w:hAnsi="Palatino Linotype" w:cs="Tahoma"/>
              <w:b/>
              <w:sz w:val="22"/>
              <w:szCs w:val="22"/>
              <w:lang w:val="es-MX" w:eastAsia="en-US"/>
            </w:rPr>
          </w:pPr>
          <w:r w:rsidRPr="00026EBB">
            <w:rPr>
              <w:rFonts w:ascii="Palatino Linotype" w:eastAsia="Calibri" w:hAnsi="Palatino Linotype" w:cs="Tahoma"/>
              <w:b/>
              <w:sz w:val="22"/>
              <w:szCs w:val="22"/>
              <w:lang w:val="es-MX" w:eastAsia="en-US"/>
            </w:rPr>
            <w:t>Sujeto Obligado:</w:t>
          </w:r>
        </w:p>
      </w:tc>
      <w:tc>
        <w:tcPr>
          <w:tcW w:w="3118" w:type="dxa"/>
        </w:tcPr>
        <w:p w14:paraId="3944302C" w14:textId="2463AB9D" w:rsidR="009B3216" w:rsidRPr="00026EBB" w:rsidRDefault="009B3216" w:rsidP="009F789C">
          <w:pPr>
            <w:tabs>
              <w:tab w:val="right" w:pos="8838"/>
            </w:tabs>
            <w:jc w:val="both"/>
            <w:rPr>
              <w:rFonts w:ascii="Palatino Linotype" w:eastAsia="Calibri" w:hAnsi="Palatino Linotype" w:cs="Tahoma"/>
              <w:sz w:val="22"/>
              <w:szCs w:val="22"/>
              <w:lang w:val="es-MX" w:eastAsia="en-US"/>
            </w:rPr>
          </w:pPr>
          <w:r w:rsidRPr="008C3448">
            <w:rPr>
              <w:rFonts w:ascii="Palatino Linotype" w:eastAsia="Calibri" w:hAnsi="Palatino Linotype" w:cs="Tahoma"/>
              <w:sz w:val="22"/>
              <w:szCs w:val="22"/>
              <w:lang w:eastAsia="en-US"/>
            </w:rPr>
            <w:t>Organismo Agua y Saneamiento de Toluca</w:t>
          </w:r>
        </w:p>
      </w:tc>
    </w:tr>
    <w:tr w:rsidR="009B3216" w14:paraId="0E623641" w14:textId="77777777" w:rsidTr="00CC71F9">
      <w:trPr>
        <w:trHeight w:val="138"/>
      </w:trPr>
      <w:tc>
        <w:tcPr>
          <w:tcW w:w="2552" w:type="dxa"/>
        </w:tcPr>
        <w:p w14:paraId="7283473E" w14:textId="77777777" w:rsidR="009B3216" w:rsidRPr="00026EBB" w:rsidRDefault="009B3216" w:rsidP="003F6415">
          <w:pPr>
            <w:tabs>
              <w:tab w:val="right" w:pos="8838"/>
            </w:tabs>
            <w:rPr>
              <w:rFonts w:ascii="Palatino Linotype" w:eastAsia="Calibri" w:hAnsi="Palatino Linotype" w:cs="Tahoma"/>
              <w:b/>
              <w:sz w:val="22"/>
              <w:szCs w:val="22"/>
              <w:lang w:val="es-MX" w:eastAsia="en-US"/>
            </w:rPr>
          </w:pPr>
          <w:r w:rsidRPr="00026EBB">
            <w:rPr>
              <w:rFonts w:ascii="Palatino Linotype" w:eastAsia="Calibri" w:hAnsi="Palatino Linotype" w:cs="Tahoma"/>
              <w:b/>
              <w:sz w:val="22"/>
              <w:szCs w:val="22"/>
              <w:lang w:val="es-MX" w:eastAsia="en-US"/>
            </w:rPr>
            <w:t>Comisionado Ponente:</w:t>
          </w:r>
        </w:p>
      </w:tc>
      <w:tc>
        <w:tcPr>
          <w:tcW w:w="3118" w:type="dxa"/>
        </w:tcPr>
        <w:p w14:paraId="4B7A920B" w14:textId="77777777" w:rsidR="009B3216" w:rsidRDefault="009B3216" w:rsidP="003F6415">
          <w:pPr>
            <w:tabs>
              <w:tab w:val="right" w:pos="8838"/>
            </w:tabs>
            <w:jc w:val="both"/>
            <w:rPr>
              <w:rFonts w:ascii="Palatino Linotype" w:eastAsia="Calibri" w:hAnsi="Palatino Linotype" w:cs="Tahoma"/>
              <w:sz w:val="22"/>
              <w:szCs w:val="22"/>
              <w:lang w:val="es-MX" w:eastAsia="en-US"/>
            </w:rPr>
          </w:pPr>
          <w:r w:rsidRPr="00026EBB">
            <w:rPr>
              <w:rFonts w:ascii="Palatino Linotype" w:eastAsia="Calibri" w:hAnsi="Palatino Linotype" w:cs="Tahoma"/>
              <w:sz w:val="22"/>
              <w:szCs w:val="22"/>
              <w:lang w:val="es-MX" w:eastAsia="en-US"/>
            </w:rPr>
            <w:t>Luis Gustavo Parra Noriega</w:t>
          </w:r>
        </w:p>
        <w:p w14:paraId="31511367" w14:textId="26F977ED" w:rsidR="009B3216" w:rsidRPr="00026EBB" w:rsidRDefault="009B3216" w:rsidP="003F6415">
          <w:pPr>
            <w:tabs>
              <w:tab w:val="right" w:pos="8838"/>
            </w:tabs>
            <w:jc w:val="both"/>
            <w:rPr>
              <w:rFonts w:ascii="Palatino Linotype" w:eastAsia="Calibri" w:hAnsi="Palatino Linotype" w:cs="Tahoma"/>
              <w:b/>
              <w:sz w:val="22"/>
              <w:szCs w:val="22"/>
              <w:lang w:val="es-MX" w:eastAsia="en-US"/>
            </w:rPr>
          </w:pPr>
        </w:p>
      </w:tc>
    </w:tr>
  </w:tbl>
  <w:p w14:paraId="5173184F" w14:textId="38418CC2" w:rsidR="009B3216" w:rsidRPr="004B7285" w:rsidRDefault="00993A40" w:rsidP="004B7285">
    <w:pPr>
      <w:pStyle w:val="Encabezado"/>
      <w:rPr>
        <w:sz w:val="14"/>
      </w:rPr>
    </w:pPr>
    <w:r>
      <w:rPr>
        <w:noProof/>
        <w:sz w:val="14"/>
        <w:lang w:eastAsia="es-MX"/>
      </w:rPr>
      <w:pict w14:anchorId="43FB6DE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8101533" o:spid="_x0000_s2051" type="#_x0000_t75" style="position:absolute;margin-left:-43.4pt;margin-top:-137.2pt;width:663.5pt;height:12in;z-index:-251658752;mso-position-horizontal-relative:margin;mso-position-vertical-relative:margin" o:allowincell="f">
          <v:imagedata r:id="rId1" o:title="marcaaguaINFOEM"/>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aconcuadrcula"/>
      <w:tblW w:w="5386" w:type="dxa"/>
      <w:tblInd w:w="368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20" w:firstRow="1" w:lastRow="0" w:firstColumn="0" w:lastColumn="0" w:noHBand="0" w:noVBand="1"/>
    </w:tblPr>
    <w:tblGrid>
      <w:gridCol w:w="2410"/>
      <w:gridCol w:w="2976"/>
    </w:tblGrid>
    <w:tr w:rsidR="009B3216" w:rsidRPr="00264223" w14:paraId="4FD3E646" w14:textId="77777777" w:rsidTr="00CC71F9">
      <w:trPr>
        <w:trHeight w:val="284"/>
      </w:trPr>
      <w:tc>
        <w:tcPr>
          <w:tcW w:w="2410" w:type="dxa"/>
          <w:vAlign w:val="bottom"/>
        </w:tcPr>
        <w:p w14:paraId="6C3F733B" w14:textId="082196B1" w:rsidR="009B3216" w:rsidRPr="00D3618F" w:rsidRDefault="009B3216" w:rsidP="00D3618F">
          <w:pPr>
            <w:tabs>
              <w:tab w:val="right" w:pos="8838"/>
            </w:tabs>
            <w:ind w:right="-105"/>
            <w:rPr>
              <w:rFonts w:ascii="Palatino Linotype" w:eastAsia="Calibri" w:hAnsi="Palatino Linotype" w:cs="Tahoma"/>
              <w:b/>
              <w:sz w:val="22"/>
              <w:szCs w:val="22"/>
              <w:lang w:val="es-MX" w:eastAsia="en-US"/>
            </w:rPr>
          </w:pPr>
          <w:r w:rsidRPr="00D3618F">
            <w:rPr>
              <w:rFonts w:ascii="Palatino Linotype" w:eastAsia="Calibri" w:hAnsi="Palatino Linotype" w:cs="Tahoma"/>
              <w:b/>
              <w:sz w:val="22"/>
              <w:szCs w:val="22"/>
              <w:lang w:val="es-MX" w:eastAsia="en-US"/>
            </w:rPr>
            <w:t>Recurso de Revisión:</w:t>
          </w:r>
        </w:p>
      </w:tc>
      <w:tc>
        <w:tcPr>
          <w:tcW w:w="2976" w:type="dxa"/>
        </w:tcPr>
        <w:p w14:paraId="461510A7" w14:textId="77777777" w:rsidR="009B3216" w:rsidRPr="003842FD" w:rsidRDefault="009B3216" w:rsidP="009F789C">
          <w:pPr>
            <w:tabs>
              <w:tab w:val="right" w:pos="8838"/>
            </w:tabs>
            <w:ind w:left="-28"/>
            <w:jc w:val="both"/>
            <w:rPr>
              <w:rFonts w:ascii="Palatino Linotype" w:eastAsia="Calibri" w:hAnsi="Palatino Linotype" w:cs="Tahoma"/>
              <w:sz w:val="4"/>
              <w:szCs w:val="4"/>
              <w:lang w:eastAsia="en-US"/>
            </w:rPr>
          </w:pPr>
        </w:p>
        <w:p w14:paraId="123981B6" w14:textId="77777777" w:rsidR="009B3216" w:rsidRPr="00C11FAF" w:rsidRDefault="009B3216" w:rsidP="00F77239">
          <w:pPr>
            <w:tabs>
              <w:tab w:val="right" w:pos="8838"/>
            </w:tabs>
            <w:ind w:left="-28"/>
            <w:jc w:val="both"/>
            <w:rPr>
              <w:rFonts w:ascii="Palatino Linotype" w:eastAsia="Calibri" w:hAnsi="Palatino Linotype" w:cs="Tahoma"/>
              <w:sz w:val="6"/>
              <w:szCs w:val="6"/>
              <w:lang w:eastAsia="en-US"/>
            </w:rPr>
          </w:pPr>
        </w:p>
        <w:p w14:paraId="59348B61" w14:textId="265D968A" w:rsidR="009B3216" w:rsidRPr="00D3618F" w:rsidRDefault="009B3216" w:rsidP="008C3448">
          <w:pPr>
            <w:tabs>
              <w:tab w:val="right" w:pos="8838"/>
            </w:tabs>
            <w:ind w:left="-28"/>
            <w:jc w:val="both"/>
            <w:rPr>
              <w:rFonts w:ascii="Palatino Linotype" w:eastAsia="Calibri" w:hAnsi="Palatino Linotype" w:cs="Tahoma"/>
              <w:sz w:val="22"/>
              <w:szCs w:val="22"/>
              <w:lang w:eastAsia="en-US"/>
            </w:rPr>
          </w:pPr>
          <w:r w:rsidRPr="00D3618F">
            <w:rPr>
              <w:rFonts w:ascii="Palatino Linotype" w:eastAsia="Calibri" w:hAnsi="Palatino Linotype" w:cs="Tahoma"/>
              <w:sz w:val="22"/>
              <w:szCs w:val="22"/>
              <w:lang w:eastAsia="en-US"/>
            </w:rPr>
            <w:t>0</w:t>
          </w:r>
          <w:r>
            <w:rPr>
              <w:rFonts w:ascii="Palatino Linotype" w:eastAsia="Calibri" w:hAnsi="Palatino Linotype" w:cs="Tahoma"/>
              <w:sz w:val="22"/>
              <w:szCs w:val="22"/>
              <w:lang w:eastAsia="en-US"/>
            </w:rPr>
            <w:t>0541/INFOEM/IP/RR/2025</w:t>
          </w:r>
        </w:p>
      </w:tc>
    </w:tr>
    <w:tr w:rsidR="009B3216" w:rsidRPr="00264223" w14:paraId="6D1DD158" w14:textId="77777777" w:rsidTr="00CC71F9">
      <w:trPr>
        <w:trHeight w:val="104"/>
      </w:trPr>
      <w:tc>
        <w:tcPr>
          <w:tcW w:w="2410" w:type="dxa"/>
        </w:tcPr>
        <w:p w14:paraId="0F35E3B3" w14:textId="77777777" w:rsidR="009B3216" w:rsidRPr="00D3618F" w:rsidRDefault="009B3216" w:rsidP="00D3618F">
          <w:pPr>
            <w:tabs>
              <w:tab w:val="right" w:pos="8838"/>
            </w:tabs>
            <w:ind w:right="-105"/>
            <w:rPr>
              <w:rFonts w:ascii="Palatino Linotype" w:eastAsia="Calibri" w:hAnsi="Palatino Linotype" w:cs="Tahoma"/>
              <w:b/>
              <w:sz w:val="22"/>
              <w:szCs w:val="22"/>
              <w:lang w:val="es-MX" w:eastAsia="en-US"/>
            </w:rPr>
          </w:pPr>
          <w:r w:rsidRPr="00D3618F">
            <w:rPr>
              <w:rFonts w:ascii="Palatino Linotype" w:eastAsia="Calibri" w:hAnsi="Palatino Linotype" w:cs="Tahoma"/>
              <w:b/>
              <w:sz w:val="22"/>
              <w:szCs w:val="22"/>
              <w:lang w:val="es-MX" w:eastAsia="en-US"/>
            </w:rPr>
            <w:t>Recurrente:</w:t>
          </w:r>
        </w:p>
      </w:tc>
      <w:tc>
        <w:tcPr>
          <w:tcW w:w="2976" w:type="dxa"/>
        </w:tcPr>
        <w:p w14:paraId="216CFC75" w14:textId="7E2A5F13" w:rsidR="009B3216" w:rsidRPr="00960890" w:rsidRDefault="00004754" w:rsidP="00D3618F">
          <w:pPr>
            <w:tabs>
              <w:tab w:val="right" w:pos="8838"/>
            </w:tabs>
            <w:jc w:val="both"/>
            <w:rPr>
              <w:rFonts w:ascii="Palatino Linotype" w:eastAsia="Calibri" w:hAnsi="Palatino Linotype" w:cs="Tahoma"/>
              <w:sz w:val="22"/>
              <w:szCs w:val="22"/>
              <w:lang w:val="es-MX" w:eastAsia="en-US"/>
            </w:rPr>
          </w:pPr>
          <w:r w:rsidRPr="00A97B2D">
            <w:rPr>
              <w:bCs/>
              <w:highlight w:val="black"/>
            </w:rPr>
            <w:t>XXXXXXXX</w:t>
          </w:r>
          <w:r>
            <w:rPr>
              <w:bCs/>
              <w:highlight w:val="black"/>
            </w:rPr>
            <w:t>XXX</w:t>
          </w:r>
          <w:r w:rsidRPr="00A97B2D">
            <w:rPr>
              <w:bCs/>
              <w:highlight w:val="black"/>
            </w:rPr>
            <w:t>XX</w:t>
          </w:r>
        </w:p>
      </w:tc>
    </w:tr>
    <w:tr w:rsidR="009B3216" w:rsidRPr="00264223" w14:paraId="702544B7" w14:textId="77777777" w:rsidTr="00CC71F9">
      <w:trPr>
        <w:trHeight w:val="234"/>
      </w:trPr>
      <w:tc>
        <w:tcPr>
          <w:tcW w:w="2410" w:type="dxa"/>
        </w:tcPr>
        <w:p w14:paraId="2BF509B1" w14:textId="77777777" w:rsidR="009B3216" w:rsidRPr="00D3618F" w:rsidRDefault="009B3216" w:rsidP="00D3618F">
          <w:pPr>
            <w:tabs>
              <w:tab w:val="right" w:pos="8838"/>
            </w:tabs>
            <w:ind w:right="-105"/>
            <w:rPr>
              <w:rFonts w:ascii="Palatino Linotype" w:eastAsia="Calibri" w:hAnsi="Palatino Linotype" w:cs="Tahoma"/>
              <w:b/>
              <w:sz w:val="22"/>
              <w:szCs w:val="22"/>
              <w:lang w:val="es-MX" w:eastAsia="en-US"/>
            </w:rPr>
          </w:pPr>
          <w:r w:rsidRPr="00D3618F">
            <w:rPr>
              <w:rFonts w:ascii="Palatino Linotype" w:eastAsia="Calibri" w:hAnsi="Palatino Linotype" w:cs="Tahoma"/>
              <w:b/>
              <w:sz w:val="22"/>
              <w:szCs w:val="22"/>
              <w:lang w:val="es-MX" w:eastAsia="en-US"/>
            </w:rPr>
            <w:t>Sujeto Obligado:</w:t>
          </w:r>
        </w:p>
      </w:tc>
      <w:tc>
        <w:tcPr>
          <w:tcW w:w="2976" w:type="dxa"/>
        </w:tcPr>
        <w:p w14:paraId="7281945A" w14:textId="7E8568EF" w:rsidR="009B3216" w:rsidRPr="00D3618F" w:rsidRDefault="009B3216" w:rsidP="009F789C">
          <w:pPr>
            <w:tabs>
              <w:tab w:val="right" w:pos="8838"/>
            </w:tabs>
            <w:jc w:val="both"/>
            <w:rPr>
              <w:rFonts w:ascii="Palatino Linotype" w:eastAsia="Calibri" w:hAnsi="Palatino Linotype" w:cs="Tahoma"/>
              <w:sz w:val="22"/>
              <w:szCs w:val="22"/>
              <w:lang w:val="es-MX" w:eastAsia="en-US"/>
            </w:rPr>
          </w:pPr>
          <w:r w:rsidRPr="008C3448">
            <w:rPr>
              <w:rFonts w:ascii="Palatino Linotype" w:eastAsia="Calibri" w:hAnsi="Palatino Linotype" w:cs="Tahoma"/>
              <w:sz w:val="22"/>
              <w:szCs w:val="22"/>
              <w:lang w:val="es-MX" w:eastAsia="en-US"/>
            </w:rPr>
            <w:t>Organismo Agua y Saneamiento de Toluca</w:t>
          </w:r>
        </w:p>
      </w:tc>
    </w:tr>
    <w:tr w:rsidR="009B3216" w:rsidRPr="00264223" w14:paraId="6BF0DE15" w14:textId="77777777" w:rsidTr="00CC71F9">
      <w:trPr>
        <w:trHeight w:val="234"/>
      </w:trPr>
      <w:tc>
        <w:tcPr>
          <w:tcW w:w="2410" w:type="dxa"/>
        </w:tcPr>
        <w:p w14:paraId="60CA22C7" w14:textId="77777777" w:rsidR="009B3216" w:rsidRPr="00D3618F" w:rsidRDefault="009B3216" w:rsidP="00D3618F">
          <w:pPr>
            <w:tabs>
              <w:tab w:val="right" w:pos="8838"/>
            </w:tabs>
            <w:ind w:right="-105"/>
            <w:rPr>
              <w:rFonts w:ascii="Palatino Linotype" w:eastAsia="Calibri" w:hAnsi="Palatino Linotype" w:cs="Tahoma"/>
              <w:b/>
              <w:sz w:val="22"/>
              <w:szCs w:val="22"/>
              <w:lang w:val="es-MX" w:eastAsia="en-US"/>
            </w:rPr>
          </w:pPr>
          <w:r w:rsidRPr="00D3618F">
            <w:rPr>
              <w:rFonts w:ascii="Palatino Linotype" w:eastAsia="Calibri" w:hAnsi="Palatino Linotype" w:cs="Tahoma"/>
              <w:b/>
              <w:sz w:val="22"/>
              <w:szCs w:val="22"/>
              <w:lang w:val="es-MX" w:eastAsia="en-US"/>
            </w:rPr>
            <w:t>Comisionado Ponente:</w:t>
          </w:r>
        </w:p>
      </w:tc>
      <w:tc>
        <w:tcPr>
          <w:tcW w:w="2976" w:type="dxa"/>
        </w:tcPr>
        <w:p w14:paraId="45A527B3" w14:textId="77777777" w:rsidR="009B3216" w:rsidRPr="00D3618F" w:rsidRDefault="009B3216" w:rsidP="00D3618F">
          <w:pPr>
            <w:tabs>
              <w:tab w:val="right" w:pos="8838"/>
            </w:tabs>
            <w:rPr>
              <w:rFonts w:ascii="Palatino Linotype" w:eastAsia="Calibri" w:hAnsi="Palatino Linotype" w:cs="Tahoma"/>
              <w:sz w:val="22"/>
              <w:szCs w:val="22"/>
              <w:lang w:val="es-MX" w:eastAsia="en-US"/>
            </w:rPr>
          </w:pPr>
          <w:r w:rsidRPr="00D3618F">
            <w:rPr>
              <w:rFonts w:ascii="Palatino Linotype" w:eastAsia="Calibri" w:hAnsi="Palatino Linotype" w:cs="Tahoma"/>
              <w:sz w:val="22"/>
              <w:szCs w:val="22"/>
              <w:lang w:val="es-MX" w:eastAsia="en-US"/>
            </w:rPr>
            <w:t>Luis Gustavo Parra Noriega</w:t>
          </w:r>
        </w:p>
      </w:tc>
    </w:tr>
  </w:tbl>
  <w:p w14:paraId="7ED64CF1" w14:textId="78810767" w:rsidR="009B3216" w:rsidRDefault="00993A40">
    <w:r>
      <w:rPr>
        <w:noProof/>
        <w:lang w:eastAsia="es-MX"/>
      </w:rPr>
      <w:pict w14:anchorId="5D92D6B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8101531" o:spid="_x0000_s2049" type="#_x0000_t75" style="position:absolute;margin-left:-94.8pt;margin-top:-132.2pt;width:663.5pt;height:12in;z-index:-251657728;mso-position-horizontal-relative:margin;mso-position-vertical-relative:margin" o:allowincell="f">
          <v:imagedata r:id="rId1" o:title="marcaaguaINFOEM"/>
          <w10:wrap anchorx="margin" anchory="margin"/>
        </v:shape>
      </w:pict>
    </w:r>
  </w:p>
  <w:p w14:paraId="4B0F3367" w14:textId="77777777" w:rsidR="009B3216" w:rsidRDefault="009B3216"/>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816848E"/>
    <w:lvl w:ilvl="0">
      <w:start w:val="1"/>
      <w:numFmt w:val="bullet"/>
      <w:pStyle w:val="Listaconvietas2"/>
      <w:lvlText w:val=""/>
      <w:lvlJc w:val="left"/>
      <w:pPr>
        <w:tabs>
          <w:tab w:val="num" w:pos="643"/>
        </w:tabs>
        <w:ind w:left="643" w:hanging="360"/>
      </w:pPr>
      <w:rPr>
        <w:rFonts w:ascii="Symbol" w:hAnsi="Symbol" w:hint="default"/>
      </w:rPr>
    </w:lvl>
  </w:abstractNum>
  <w:abstractNum w:abstractNumId="1" w15:restartNumberingAfterBreak="0">
    <w:nsid w:val="030B7230"/>
    <w:multiLevelType w:val="hybridMultilevel"/>
    <w:tmpl w:val="1D8CE634"/>
    <w:lvl w:ilvl="0" w:tplc="080A000F">
      <w:start w:val="1"/>
      <w:numFmt w:val="decimal"/>
      <w:lvlText w:val="%1."/>
      <w:lvlJc w:val="left"/>
      <w:pPr>
        <w:ind w:left="720" w:hanging="360"/>
      </w:pPr>
      <w:rPr>
        <w:rFonts w:eastAsia="Times New Roman" w:cs="Times New Roman" w:hint="default"/>
        <w:sz w:val="2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030D312A"/>
    <w:multiLevelType w:val="hybridMultilevel"/>
    <w:tmpl w:val="87C4DA9A"/>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3" w15:restartNumberingAfterBreak="0">
    <w:nsid w:val="06FB77B3"/>
    <w:multiLevelType w:val="hybridMultilevel"/>
    <w:tmpl w:val="D092F17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08445937"/>
    <w:multiLevelType w:val="hybridMultilevel"/>
    <w:tmpl w:val="E9AE4466"/>
    <w:lvl w:ilvl="0" w:tplc="087AAEF6">
      <w:numFmt w:val="bullet"/>
      <w:lvlText w:val="-"/>
      <w:lvlJc w:val="left"/>
      <w:pPr>
        <w:ind w:left="720" w:hanging="360"/>
      </w:pPr>
      <w:rPr>
        <w:rFonts w:ascii="Palatino Linotype" w:eastAsia="Times New Roman" w:hAnsi="Palatino Linotype" w:cs="Tahoma"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C764D4A"/>
    <w:multiLevelType w:val="hybridMultilevel"/>
    <w:tmpl w:val="F54E4FB0"/>
    <w:lvl w:ilvl="0" w:tplc="080A0017">
      <w:start w:val="1"/>
      <w:numFmt w:val="lowerLetter"/>
      <w:lvlText w:val="%1)"/>
      <w:lvlJc w:val="left"/>
      <w:pPr>
        <w:ind w:left="720" w:hanging="360"/>
      </w:pPr>
      <w:rPr>
        <w:rFonts w:hint="default"/>
        <w:sz w:val="2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13031772"/>
    <w:multiLevelType w:val="hybridMultilevel"/>
    <w:tmpl w:val="4A50631C"/>
    <w:lvl w:ilvl="0" w:tplc="080A000F">
      <w:start w:val="1"/>
      <w:numFmt w:val="decimal"/>
      <w:lvlText w:val="%1."/>
      <w:lvlJc w:val="left"/>
      <w:pPr>
        <w:ind w:left="1080" w:hanging="360"/>
      </w:p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7" w15:restartNumberingAfterBreak="0">
    <w:nsid w:val="1FBA60E1"/>
    <w:multiLevelType w:val="hybridMultilevel"/>
    <w:tmpl w:val="6B900DD8"/>
    <w:lvl w:ilvl="0" w:tplc="087AAEF6">
      <w:numFmt w:val="bullet"/>
      <w:lvlText w:val="-"/>
      <w:lvlJc w:val="left"/>
      <w:pPr>
        <w:ind w:left="720" w:hanging="360"/>
      </w:pPr>
      <w:rPr>
        <w:rFonts w:ascii="Palatino Linotype" w:eastAsia="Times New Roman" w:hAnsi="Palatino Linotype" w:cs="Tahoma"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23F9394D"/>
    <w:multiLevelType w:val="hybridMultilevel"/>
    <w:tmpl w:val="F3CECEB0"/>
    <w:lvl w:ilvl="0" w:tplc="080A0017">
      <w:start w:val="1"/>
      <w:numFmt w:val="lowerLetter"/>
      <w:lvlText w:val="%1)"/>
      <w:lvlJc w:val="left"/>
      <w:pPr>
        <w:ind w:left="738" w:hanging="360"/>
      </w:pPr>
    </w:lvl>
    <w:lvl w:ilvl="1" w:tplc="080A0019" w:tentative="1">
      <w:start w:val="1"/>
      <w:numFmt w:val="lowerLetter"/>
      <w:lvlText w:val="%2."/>
      <w:lvlJc w:val="left"/>
      <w:pPr>
        <w:ind w:left="1458" w:hanging="360"/>
      </w:pPr>
    </w:lvl>
    <w:lvl w:ilvl="2" w:tplc="080A001B" w:tentative="1">
      <w:start w:val="1"/>
      <w:numFmt w:val="lowerRoman"/>
      <w:lvlText w:val="%3."/>
      <w:lvlJc w:val="right"/>
      <w:pPr>
        <w:ind w:left="2178" w:hanging="180"/>
      </w:pPr>
    </w:lvl>
    <w:lvl w:ilvl="3" w:tplc="080A000F" w:tentative="1">
      <w:start w:val="1"/>
      <w:numFmt w:val="decimal"/>
      <w:lvlText w:val="%4."/>
      <w:lvlJc w:val="left"/>
      <w:pPr>
        <w:ind w:left="2898" w:hanging="360"/>
      </w:pPr>
    </w:lvl>
    <w:lvl w:ilvl="4" w:tplc="080A0019" w:tentative="1">
      <w:start w:val="1"/>
      <w:numFmt w:val="lowerLetter"/>
      <w:lvlText w:val="%5."/>
      <w:lvlJc w:val="left"/>
      <w:pPr>
        <w:ind w:left="3618" w:hanging="360"/>
      </w:pPr>
    </w:lvl>
    <w:lvl w:ilvl="5" w:tplc="080A001B" w:tentative="1">
      <w:start w:val="1"/>
      <w:numFmt w:val="lowerRoman"/>
      <w:lvlText w:val="%6."/>
      <w:lvlJc w:val="right"/>
      <w:pPr>
        <w:ind w:left="4338" w:hanging="180"/>
      </w:pPr>
    </w:lvl>
    <w:lvl w:ilvl="6" w:tplc="080A000F" w:tentative="1">
      <w:start w:val="1"/>
      <w:numFmt w:val="decimal"/>
      <w:lvlText w:val="%7."/>
      <w:lvlJc w:val="left"/>
      <w:pPr>
        <w:ind w:left="5058" w:hanging="360"/>
      </w:pPr>
    </w:lvl>
    <w:lvl w:ilvl="7" w:tplc="080A0019" w:tentative="1">
      <w:start w:val="1"/>
      <w:numFmt w:val="lowerLetter"/>
      <w:lvlText w:val="%8."/>
      <w:lvlJc w:val="left"/>
      <w:pPr>
        <w:ind w:left="5778" w:hanging="360"/>
      </w:pPr>
    </w:lvl>
    <w:lvl w:ilvl="8" w:tplc="080A001B" w:tentative="1">
      <w:start w:val="1"/>
      <w:numFmt w:val="lowerRoman"/>
      <w:lvlText w:val="%9."/>
      <w:lvlJc w:val="right"/>
      <w:pPr>
        <w:ind w:left="6498" w:hanging="180"/>
      </w:pPr>
    </w:lvl>
  </w:abstractNum>
  <w:abstractNum w:abstractNumId="9" w15:restartNumberingAfterBreak="0">
    <w:nsid w:val="25921178"/>
    <w:multiLevelType w:val="hybridMultilevel"/>
    <w:tmpl w:val="EABCD51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2C1B31D3"/>
    <w:multiLevelType w:val="hybridMultilevel"/>
    <w:tmpl w:val="2B82A3E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2CAA2541"/>
    <w:multiLevelType w:val="multilevel"/>
    <w:tmpl w:val="D76AB7AE"/>
    <w:lvl w:ilvl="0">
      <w:start w:val="1"/>
      <w:numFmt w:val="bullet"/>
      <w:pStyle w:val="Listaconvietas3"/>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2F2D0CBB"/>
    <w:multiLevelType w:val="hybridMultilevel"/>
    <w:tmpl w:val="1C7E7F2C"/>
    <w:lvl w:ilvl="0" w:tplc="080A0015">
      <w:start w:val="1"/>
      <w:numFmt w:val="upp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3" w15:restartNumberingAfterBreak="0">
    <w:nsid w:val="32D310F4"/>
    <w:multiLevelType w:val="hybridMultilevel"/>
    <w:tmpl w:val="9D30C06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34C3691A"/>
    <w:multiLevelType w:val="hybridMultilevel"/>
    <w:tmpl w:val="8C1445E4"/>
    <w:lvl w:ilvl="0" w:tplc="080A0017">
      <w:start w:val="1"/>
      <w:numFmt w:val="lowerLetter"/>
      <w:lvlText w:val="%1)"/>
      <w:lvlJc w:val="left"/>
      <w:pPr>
        <w:ind w:left="1440" w:hanging="360"/>
      </w:p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15" w15:restartNumberingAfterBreak="0">
    <w:nsid w:val="3CB51C23"/>
    <w:multiLevelType w:val="hybridMultilevel"/>
    <w:tmpl w:val="2D3225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5C84477"/>
    <w:multiLevelType w:val="hybridMultilevel"/>
    <w:tmpl w:val="9F4A4990"/>
    <w:lvl w:ilvl="0" w:tplc="080A000F">
      <w:start w:val="1"/>
      <w:numFmt w:val="decimal"/>
      <w:lvlText w:val="%1."/>
      <w:lvlJc w:val="left"/>
      <w:pPr>
        <w:ind w:left="720" w:hanging="360"/>
      </w:pPr>
      <w:rPr>
        <w:rFont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15:restartNumberingAfterBreak="0">
    <w:nsid w:val="46DC27A1"/>
    <w:multiLevelType w:val="hybridMultilevel"/>
    <w:tmpl w:val="267EF18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4A0D223F"/>
    <w:multiLevelType w:val="hybridMultilevel"/>
    <w:tmpl w:val="0AC6998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15:restartNumberingAfterBreak="0">
    <w:nsid w:val="4F2755DE"/>
    <w:multiLevelType w:val="hybridMultilevel"/>
    <w:tmpl w:val="61406AD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4F757344"/>
    <w:multiLevelType w:val="hybridMultilevel"/>
    <w:tmpl w:val="F1DAD6E6"/>
    <w:lvl w:ilvl="0" w:tplc="080A0001">
      <w:start w:val="1"/>
      <w:numFmt w:val="bullet"/>
      <w:lvlText w:val=""/>
      <w:lvlJc w:val="left"/>
      <w:pPr>
        <w:ind w:left="720" w:hanging="360"/>
      </w:pPr>
      <w:rPr>
        <w:rFonts w:ascii="Symbol" w:hAnsi="Symbo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15:restartNumberingAfterBreak="0">
    <w:nsid w:val="50E36426"/>
    <w:multiLevelType w:val="hybridMultilevel"/>
    <w:tmpl w:val="C13478D0"/>
    <w:lvl w:ilvl="0" w:tplc="080A000F">
      <w:start w:val="1"/>
      <w:numFmt w:val="decimal"/>
      <w:lvlText w:val="%1."/>
      <w:lvlJc w:val="left"/>
      <w:pPr>
        <w:ind w:left="78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15:restartNumberingAfterBreak="0">
    <w:nsid w:val="550E329D"/>
    <w:multiLevelType w:val="hybridMultilevel"/>
    <w:tmpl w:val="DA3827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15:restartNumberingAfterBreak="0">
    <w:nsid w:val="553B6D56"/>
    <w:multiLevelType w:val="hybridMultilevel"/>
    <w:tmpl w:val="53C87220"/>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15:restartNumberingAfterBreak="0">
    <w:nsid w:val="55E336B3"/>
    <w:multiLevelType w:val="hybridMultilevel"/>
    <w:tmpl w:val="511C1A7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5" w15:restartNumberingAfterBreak="0">
    <w:nsid w:val="564260D0"/>
    <w:multiLevelType w:val="hybridMultilevel"/>
    <w:tmpl w:val="9FCA9780"/>
    <w:lvl w:ilvl="0" w:tplc="080A000F">
      <w:start w:val="1"/>
      <w:numFmt w:val="decimal"/>
      <w:lvlText w:val="%1."/>
      <w:lvlJc w:val="left"/>
      <w:pPr>
        <w:ind w:left="720" w:hanging="360"/>
      </w:pPr>
      <w:rPr>
        <w:rFont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15:restartNumberingAfterBreak="0">
    <w:nsid w:val="5FA21212"/>
    <w:multiLevelType w:val="hybridMultilevel"/>
    <w:tmpl w:val="C7F0E13E"/>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15:restartNumberingAfterBreak="0">
    <w:nsid w:val="672956F5"/>
    <w:multiLevelType w:val="hybridMultilevel"/>
    <w:tmpl w:val="76761026"/>
    <w:lvl w:ilvl="0" w:tplc="080A0017">
      <w:start w:val="1"/>
      <w:numFmt w:val="lowerLetter"/>
      <w:lvlText w:val="%1)"/>
      <w:lvlJc w:val="left"/>
      <w:pPr>
        <w:ind w:left="78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15:restartNumberingAfterBreak="0">
    <w:nsid w:val="6E545F78"/>
    <w:multiLevelType w:val="multilevel"/>
    <w:tmpl w:val="AA54D8B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9" w15:restartNumberingAfterBreak="0">
    <w:nsid w:val="70245C7E"/>
    <w:multiLevelType w:val="hybridMultilevel"/>
    <w:tmpl w:val="2550F174"/>
    <w:lvl w:ilvl="0" w:tplc="087AAEF6">
      <w:numFmt w:val="bullet"/>
      <w:lvlText w:val="-"/>
      <w:lvlJc w:val="left"/>
      <w:pPr>
        <w:ind w:left="720" w:hanging="360"/>
      </w:pPr>
      <w:rPr>
        <w:rFonts w:ascii="Palatino Linotype" w:eastAsia="Times New Roman" w:hAnsi="Palatino Linotype" w:cs="Tahoma"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0" w15:restartNumberingAfterBreak="0">
    <w:nsid w:val="70984C01"/>
    <w:multiLevelType w:val="hybridMultilevel"/>
    <w:tmpl w:val="F54E4FB0"/>
    <w:lvl w:ilvl="0" w:tplc="080A0017">
      <w:start w:val="1"/>
      <w:numFmt w:val="lowerLetter"/>
      <w:lvlText w:val="%1)"/>
      <w:lvlJc w:val="left"/>
      <w:pPr>
        <w:ind w:left="720" w:hanging="360"/>
      </w:pPr>
      <w:rPr>
        <w:rFonts w:hint="default"/>
        <w:sz w:val="2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1" w15:restartNumberingAfterBreak="0">
    <w:nsid w:val="79016D24"/>
    <w:multiLevelType w:val="hybridMultilevel"/>
    <w:tmpl w:val="C3C25B6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2" w15:restartNumberingAfterBreak="0">
    <w:nsid w:val="7A904673"/>
    <w:multiLevelType w:val="hybridMultilevel"/>
    <w:tmpl w:val="DCDC7434"/>
    <w:lvl w:ilvl="0" w:tplc="087AAEF6">
      <w:numFmt w:val="bullet"/>
      <w:lvlText w:val="-"/>
      <w:lvlJc w:val="left"/>
      <w:pPr>
        <w:ind w:left="720" w:hanging="360"/>
      </w:pPr>
      <w:rPr>
        <w:rFonts w:ascii="Palatino Linotype" w:eastAsia="Times New Roman" w:hAnsi="Palatino Linotype" w:cs="Tahoma"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3" w15:restartNumberingAfterBreak="0">
    <w:nsid w:val="7E931AC4"/>
    <w:multiLevelType w:val="hybridMultilevel"/>
    <w:tmpl w:val="A0C67866"/>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20"/>
  </w:num>
  <w:num w:numId="3">
    <w:abstractNumId w:val="13"/>
  </w:num>
  <w:num w:numId="4">
    <w:abstractNumId w:val="11"/>
  </w:num>
  <w:num w:numId="5">
    <w:abstractNumId w:val="6"/>
  </w:num>
  <w:num w:numId="6">
    <w:abstractNumId w:val="15"/>
  </w:num>
  <w:num w:numId="7">
    <w:abstractNumId w:val="18"/>
  </w:num>
  <w:num w:numId="8">
    <w:abstractNumId w:val="24"/>
  </w:num>
  <w:num w:numId="9">
    <w:abstractNumId w:val="31"/>
  </w:num>
  <w:num w:numId="10">
    <w:abstractNumId w:val="29"/>
  </w:num>
  <w:num w:numId="1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9"/>
  </w:num>
  <w:num w:numId="13">
    <w:abstractNumId w:val="7"/>
  </w:num>
  <w:num w:numId="1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
  </w:num>
  <w:num w:numId="16">
    <w:abstractNumId w:val="21"/>
  </w:num>
  <w:num w:numId="17">
    <w:abstractNumId w:val="1"/>
  </w:num>
  <w:num w:numId="18">
    <w:abstractNumId w:val="30"/>
  </w:num>
  <w:num w:numId="19">
    <w:abstractNumId w:val="8"/>
  </w:num>
  <w:num w:numId="20">
    <w:abstractNumId w:val="22"/>
  </w:num>
  <w:num w:numId="21">
    <w:abstractNumId w:val="5"/>
  </w:num>
  <w:num w:numId="22">
    <w:abstractNumId w:val="19"/>
  </w:num>
  <w:num w:numId="23">
    <w:abstractNumId w:val="33"/>
  </w:num>
  <w:num w:numId="24">
    <w:abstractNumId w:val="4"/>
  </w:num>
  <w:num w:numId="25">
    <w:abstractNumId w:val="26"/>
  </w:num>
  <w:num w:numId="26">
    <w:abstractNumId w:val="32"/>
  </w:num>
  <w:num w:numId="27">
    <w:abstractNumId w:val="3"/>
  </w:num>
  <w:num w:numId="28">
    <w:abstractNumId w:val="16"/>
  </w:num>
  <w:num w:numId="29">
    <w:abstractNumId w:val="17"/>
  </w:num>
  <w:num w:numId="30">
    <w:abstractNumId w:val="12"/>
  </w:num>
  <w:num w:numId="31">
    <w:abstractNumId w:val="28"/>
  </w:num>
  <w:num w:numId="32">
    <w:abstractNumId w:val="25"/>
  </w:num>
  <w:num w:numId="33">
    <w:abstractNumId w:val="27"/>
  </w:num>
  <w:num w:numId="34">
    <w:abstractNumId w:val="10"/>
  </w:num>
  <w:num w:numId="35">
    <w:abstractNumId w:val="14"/>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pt-BR" w:vendorID="64" w:dllVersion="6" w:nlCheck="1" w:checkStyle="0"/>
  <w:activeWritingStyle w:appName="MSWord" w:lang="es-MX" w:vendorID="64" w:dllVersion="6" w:nlCheck="1" w:checkStyle="1"/>
  <w:activeWritingStyle w:appName="MSWord" w:lang="es-ES" w:vendorID="64" w:dllVersion="6" w:nlCheck="1" w:checkStyle="1"/>
  <w:activeWritingStyle w:appName="MSWord" w:lang="es-ES_tradnl" w:vendorID="64" w:dllVersion="6" w:nlCheck="1" w:checkStyle="1"/>
  <w:activeWritingStyle w:appName="MSWord" w:lang="es-MX" w:vendorID="64" w:dllVersion="4096" w:nlCheck="1" w:checkStyle="0"/>
  <w:activeWritingStyle w:appName="MSWord" w:lang="pt-BR" w:vendorID="64" w:dllVersion="4096" w:nlCheck="1" w:checkStyle="0"/>
  <w:activeWritingStyle w:appName="MSWord" w:lang="es-ES" w:vendorID="64" w:dllVersion="4096" w:nlCheck="1" w:checkStyle="0"/>
  <w:activeWritingStyle w:appName="MSWord" w:lang="es-ES_tradnl" w:vendorID="64" w:dllVersion="4096" w:nlCheck="1" w:checkStyle="0"/>
  <w:activeWritingStyle w:appName="MSWord" w:lang="es-MX" w:vendorID="64" w:dllVersion="0" w:nlCheck="1" w:checkStyle="0"/>
  <w:activeWritingStyle w:appName="MSWord" w:lang="es-ES" w:vendorID="64" w:dllVersion="0" w:nlCheck="1" w:checkStyle="0"/>
  <w:activeWritingStyle w:appName="MSWord" w:lang="es-ES_tradnl" w:vendorID="64" w:dllVersion="0" w:nlCheck="1" w:checkStyle="0"/>
  <w:activeWritingStyle w:appName="MSWord" w:lang="es-ES" w:vendorID="64" w:dllVersion="131078" w:nlCheck="1" w:checkStyle="1"/>
  <w:proofState w:spelling="clean" w:grammar="clean"/>
  <w:defaultTabStop w:val="708"/>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31222"/>
    <w:rsid w:val="000021BE"/>
    <w:rsid w:val="000027EB"/>
    <w:rsid w:val="0000328D"/>
    <w:rsid w:val="00004754"/>
    <w:rsid w:val="0000485A"/>
    <w:rsid w:val="00004DF1"/>
    <w:rsid w:val="0000512B"/>
    <w:rsid w:val="00006543"/>
    <w:rsid w:val="0000686D"/>
    <w:rsid w:val="00007753"/>
    <w:rsid w:val="000104C4"/>
    <w:rsid w:val="00010E18"/>
    <w:rsid w:val="0001151B"/>
    <w:rsid w:val="00013A19"/>
    <w:rsid w:val="00014465"/>
    <w:rsid w:val="00014DCD"/>
    <w:rsid w:val="0001559E"/>
    <w:rsid w:val="00017019"/>
    <w:rsid w:val="00020FAA"/>
    <w:rsid w:val="000212E5"/>
    <w:rsid w:val="00021C64"/>
    <w:rsid w:val="00023837"/>
    <w:rsid w:val="0002405C"/>
    <w:rsid w:val="000241C5"/>
    <w:rsid w:val="00024932"/>
    <w:rsid w:val="00026EBB"/>
    <w:rsid w:val="00027CA1"/>
    <w:rsid w:val="00030081"/>
    <w:rsid w:val="000313A7"/>
    <w:rsid w:val="000313C2"/>
    <w:rsid w:val="000316CB"/>
    <w:rsid w:val="00032214"/>
    <w:rsid w:val="00032B58"/>
    <w:rsid w:val="00032F5B"/>
    <w:rsid w:val="00033347"/>
    <w:rsid w:val="00033B8E"/>
    <w:rsid w:val="00034E9D"/>
    <w:rsid w:val="00035A90"/>
    <w:rsid w:val="00035B14"/>
    <w:rsid w:val="0003645D"/>
    <w:rsid w:val="000373BC"/>
    <w:rsid w:val="00037B34"/>
    <w:rsid w:val="00037F4B"/>
    <w:rsid w:val="0004168D"/>
    <w:rsid w:val="00041F0F"/>
    <w:rsid w:val="000425FB"/>
    <w:rsid w:val="00043C4B"/>
    <w:rsid w:val="0004646B"/>
    <w:rsid w:val="00046977"/>
    <w:rsid w:val="000475E4"/>
    <w:rsid w:val="00047889"/>
    <w:rsid w:val="00047D67"/>
    <w:rsid w:val="00050DF6"/>
    <w:rsid w:val="00051A65"/>
    <w:rsid w:val="00051C89"/>
    <w:rsid w:val="00052121"/>
    <w:rsid w:val="000528E6"/>
    <w:rsid w:val="00053EBE"/>
    <w:rsid w:val="000551C1"/>
    <w:rsid w:val="00056B1A"/>
    <w:rsid w:val="00057236"/>
    <w:rsid w:val="0006017B"/>
    <w:rsid w:val="00061CC0"/>
    <w:rsid w:val="00063366"/>
    <w:rsid w:val="00063CA0"/>
    <w:rsid w:val="000717D3"/>
    <w:rsid w:val="00072C02"/>
    <w:rsid w:val="00073274"/>
    <w:rsid w:val="0007731C"/>
    <w:rsid w:val="000813B0"/>
    <w:rsid w:val="0008148B"/>
    <w:rsid w:val="0008165E"/>
    <w:rsid w:val="00081C8C"/>
    <w:rsid w:val="00082F59"/>
    <w:rsid w:val="00086B27"/>
    <w:rsid w:val="00087B93"/>
    <w:rsid w:val="000930AE"/>
    <w:rsid w:val="00093D95"/>
    <w:rsid w:val="00094124"/>
    <w:rsid w:val="000959D5"/>
    <w:rsid w:val="00096C00"/>
    <w:rsid w:val="00097211"/>
    <w:rsid w:val="0009793B"/>
    <w:rsid w:val="000A20A4"/>
    <w:rsid w:val="000A2275"/>
    <w:rsid w:val="000A2389"/>
    <w:rsid w:val="000A238F"/>
    <w:rsid w:val="000A2407"/>
    <w:rsid w:val="000A2C7C"/>
    <w:rsid w:val="000A33A4"/>
    <w:rsid w:val="000A4456"/>
    <w:rsid w:val="000A606A"/>
    <w:rsid w:val="000A7211"/>
    <w:rsid w:val="000A7CFC"/>
    <w:rsid w:val="000B0B4E"/>
    <w:rsid w:val="000B1D37"/>
    <w:rsid w:val="000B2951"/>
    <w:rsid w:val="000B2C93"/>
    <w:rsid w:val="000B36DD"/>
    <w:rsid w:val="000B3959"/>
    <w:rsid w:val="000B50DA"/>
    <w:rsid w:val="000B523A"/>
    <w:rsid w:val="000B5711"/>
    <w:rsid w:val="000B6020"/>
    <w:rsid w:val="000B6349"/>
    <w:rsid w:val="000B6812"/>
    <w:rsid w:val="000B691A"/>
    <w:rsid w:val="000C2283"/>
    <w:rsid w:val="000C27CA"/>
    <w:rsid w:val="000C46DF"/>
    <w:rsid w:val="000C5210"/>
    <w:rsid w:val="000C5940"/>
    <w:rsid w:val="000C59CB"/>
    <w:rsid w:val="000C6D13"/>
    <w:rsid w:val="000C728F"/>
    <w:rsid w:val="000D0B08"/>
    <w:rsid w:val="000D0CE1"/>
    <w:rsid w:val="000D199C"/>
    <w:rsid w:val="000D2122"/>
    <w:rsid w:val="000D486A"/>
    <w:rsid w:val="000D514C"/>
    <w:rsid w:val="000D71F7"/>
    <w:rsid w:val="000E0185"/>
    <w:rsid w:val="000E087D"/>
    <w:rsid w:val="000E0BEA"/>
    <w:rsid w:val="000E1817"/>
    <w:rsid w:val="000E33AA"/>
    <w:rsid w:val="000E67E4"/>
    <w:rsid w:val="000F24C8"/>
    <w:rsid w:val="000F3DA0"/>
    <w:rsid w:val="000F4876"/>
    <w:rsid w:val="000F555D"/>
    <w:rsid w:val="000F57B1"/>
    <w:rsid w:val="000F623D"/>
    <w:rsid w:val="000F7A45"/>
    <w:rsid w:val="000F7FD8"/>
    <w:rsid w:val="00100BAC"/>
    <w:rsid w:val="00101324"/>
    <w:rsid w:val="001017B7"/>
    <w:rsid w:val="001034C6"/>
    <w:rsid w:val="00103D64"/>
    <w:rsid w:val="001049B0"/>
    <w:rsid w:val="00104ADB"/>
    <w:rsid w:val="001057BC"/>
    <w:rsid w:val="00106127"/>
    <w:rsid w:val="00107A87"/>
    <w:rsid w:val="00107D2F"/>
    <w:rsid w:val="001133D5"/>
    <w:rsid w:val="00114068"/>
    <w:rsid w:val="001149AB"/>
    <w:rsid w:val="001150E9"/>
    <w:rsid w:val="0012152C"/>
    <w:rsid w:val="001224BA"/>
    <w:rsid w:val="00127757"/>
    <w:rsid w:val="00127E51"/>
    <w:rsid w:val="00130F33"/>
    <w:rsid w:val="00132A80"/>
    <w:rsid w:val="00132F2E"/>
    <w:rsid w:val="00132F95"/>
    <w:rsid w:val="00134AF6"/>
    <w:rsid w:val="00135F5A"/>
    <w:rsid w:val="001373A9"/>
    <w:rsid w:val="001426E4"/>
    <w:rsid w:val="0014307A"/>
    <w:rsid w:val="00144D0B"/>
    <w:rsid w:val="00144E6E"/>
    <w:rsid w:val="00146080"/>
    <w:rsid w:val="00147566"/>
    <w:rsid w:val="001478DA"/>
    <w:rsid w:val="001507FD"/>
    <w:rsid w:val="00151053"/>
    <w:rsid w:val="00151442"/>
    <w:rsid w:val="00151FBB"/>
    <w:rsid w:val="0015211F"/>
    <w:rsid w:val="00153259"/>
    <w:rsid w:val="0015590E"/>
    <w:rsid w:val="00155F96"/>
    <w:rsid w:val="00156408"/>
    <w:rsid w:val="00156A6B"/>
    <w:rsid w:val="00156E5D"/>
    <w:rsid w:val="0015757C"/>
    <w:rsid w:val="00157B8F"/>
    <w:rsid w:val="00157FAC"/>
    <w:rsid w:val="00161DF9"/>
    <w:rsid w:val="00161ED0"/>
    <w:rsid w:val="00162CCE"/>
    <w:rsid w:val="00165891"/>
    <w:rsid w:val="00167281"/>
    <w:rsid w:val="00170545"/>
    <w:rsid w:val="00171ADD"/>
    <w:rsid w:val="001720DD"/>
    <w:rsid w:val="00173688"/>
    <w:rsid w:val="0017459B"/>
    <w:rsid w:val="00175B2F"/>
    <w:rsid w:val="0017695F"/>
    <w:rsid w:val="00176F07"/>
    <w:rsid w:val="001802A7"/>
    <w:rsid w:val="00180365"/>
    <w:rsid w:val="00181F1F"/>
    <w:rsid w:val="00182F0F"/>
    <w:rsid w:val="00183AF2"/>
    <w:rsid w:val="00183C9D"/>
    <w:rsid w:val="00183D24"/>
    <w:rsid w:val="001843F8"/>
    <w:rsid w:val="001851A6"/>
    <w:rsid w:val="001875A7"/>
    <w:rsid w:val="001875B7"/>
    <w:rsid w:val="001879E1"/>
    <w:rsid w:val="00190871"/>
    <w:rsid w:val="001921F6"/>
    <w:rsid w:val="0019389B"/>
    <w:rsid w:val="00194314"/>
    <w:rsid w:val="00194582"/>
    <w:rsid w:val="0019576A"/>
    <w:rsid w:val="001967D7"/>
    <w:rsid w:val="0019780B"/>
    <w:rsid w:val="001A1B88"/>
    <w:rsid w:val="001A1B94"/>
    <w:rsid w:val="001A2086"/>
    <w:rsid w:val="001A22F5"/>
    <w:rsid w:val="001A6367"/>
    <w:rsid w:val="001A7FD2"/>
    <w:rsid w:val="001B107D"/>
    <w:rsid w:val="001B2CD9"/>
    <w:rsid w:val="001B3581"/>
    <w:rsid w:val="001B3680"/>
    <w:rsid w:val="001B3766"/>
    <w:rsid w:val="001B3D53"/>
    <w:rsid w:val="001B6049"/>
    <w:rsid w:val="001B62A0"/>
    <w:rsid w:val="001B790F"/>
    <w:rsid w:val="001B7D42"/>
    <w:rsid w:val="001C1264"/>
    <w:rsid w:val="001C282F"/>
    <w:rsid w:val="001C4E35"/>
    <w:rsid w:val="001C5D12"/>
    <w:rsid w:val="001C7DAE"/>
    <w:rsid w:val="001D0084"/>
    <w:rsid w:val="001D0086"/>
    <w:rsid w:val="001D0094"/>
    <w:rsid w:val="001D0B67"/>
    <w:rsid w:val="001D33B5"/>
    <w:rsid w:val="001D3ACB"/>
    <w:rsid w:val="001D425D"/>
    <w:rsid w:val="001D55EE"/>
    <w:rsid w:val="001D6F51"/>
    <w:rsid w:val="001D7012"/>
    <w:rsid w:val="001D7BD2"/>
    <w:rsid w:val="001E1355"/>
    <w:rsid w:val="001E2177"/>
    <w:rsid w:val="001E2A4D"/>
    <w:rsid w:val="001E53C2"/>
    <w:rsid w:val="001E551B"/>
    <w:rsid w:val="001E5BCF"/>
    <w:rsid w:val="001E7F59"/>
    <w:rsid w:val="001F0E9C"/>
    <w:rsid w:val="001F1540"/>
    <w:rsid w:val="001F229D"/>
    <w:rsid w:val="001F352F"/>
    <w:rsid w:val="001F652C"/>
    <w:rsid w:val="001F739F"/>
    <w:rsid w:val="001F78D9"/>
    <w:rsid w:val="002020FC"/>
    <w:rsid w:val="00202DB8"/>
    <w:rsid w:val="0020427E"/>
    <w:rsid w:val="00205B1E"/>
    <w:rsid w:val="00207736"/>
    <w:rsid w:val="00212460"/>
    <w:rsid w:val="00215D0D"/>
    <w:rsid w:val="00217AEF"/>
    <w:rsid w:val="0022119B"/>
    <w:rsid w:val="00221576"/>
    <w:rsid w:val="00221EC9"/>
    <w:rsid w:val="00223ECD"/>
    <w:rsid w:val="002240FC"/>
    <w:rsid w:val="002241A6"/>
    <w:rsid w:val="002241E8"/>
    <w:rsid w:val="00224774"/>
    <w:rsid w:val="002247B0"/>
    <w:rsid w:val="00224F7A"/>
    <w:rsid w:val="00225152"/>
    <w:rsid w:val="00226633"/>
    <w:rsid w:val="00227BAB"/>
    <w:rsid w:val="00230E81"/>
    <w:rsid w:val="0023161F"/>
    <w:rsid w:val="00232673"/>
    <w:rsid w:val="00232890"/>
    <w:rsid w:val="00236863"/>
    <w:rsid w:val="00237B3E"/>
    <w:rsid w:val="00237C1F"/>
    <w:rsid w:val="00237D0D"/>
    <w:rsid w:val="0024089F"/>
    <w:rsid w:val="002433A4"/>
    <w:rsid w:val="002435DC"/>
    <w:rsid w:val="002451ED"/>
    <w:rsid w:val="00247B17"/>
    <w:rsid w:val="00250389"/>
    <w:rsid w:val="002518B0"/>
    <w:rsid w:val="00251F2E"/>
    <w:rsid w:val="00252669"/>
    <w:rsid w:val="002534FB"/>
    <w:rsid w:val="00254209"/>
    <w:rsid w:val="00254288"/>
    <w:rsid w:val="002545AA"/>
    <w:rsid w:val="0025469C"/>
    <w:rsid w:val="00255DE6"/>
    <w:rsid w:val="002579CE"/>
    <w:rsid w:val="00257F01"/>
    <w:rsid w:val="0026006C"/>
    <w:rsid w:val="00260D0F"/>
    <w:rsid w:val="00260FEC"/>
    <w:rsid w:val="00261DD6"/>
    <w:rsid w:val="00264223"/>
    <w:rsid w:val="00264534"/>
    <w:rsid w:val="002657E2"/>
    <w:rsid w:val="00265C01"/>
    <w:rsid w:val="0026609C"/>
    <w:rsid w:val="002705D2"/>
    <w:rsid w:val="002727CC"/>
    <w:rsid w:val="00273679"/>
    <w:rsid w:val="00273725"/>
    <w:rsid w:val="0028009F"/>
    <w:rsid w:val="0028090C"/>
    <w:rsid w:val="00281A35"/>
    <w:rsid w:val="00281D63"/>
    <w:rsid w:val="0028241A"/>
    <w:rsid w:val="00283E90"/>
    <w:rsid w:val="00284486"/>
    <w:rsid w:val="00284BF6"/>
    <w:rsid w:val="00285644"/>
    <w:rsid w:val="0028581E"/>
    <w:rsid w:val="002921EB"/>
    <w:rsid w:val="0029246E"/>
    <w:rsid w:val="00292DE5"/>
    <w:rsid w:val="0029330C"/>
    <w:rsid w:val="00293491"/>
    <w:rsid w:val="00293A8C"/>
    <w:rsid w:val="00297CFD"/>
    <w:rsid w:val="002A0FB8"/>
    <w:rsid w:val="002A3B3C"/>
    <w:rsid w:val="002A5A94"/>
    <w:rsid w:val="002A6193"/>
    <w:rsid w:val="002A6E29"/>
    <w:rsid w:val="002A7BD4"/>
    <w:rsid w:val="002A7F32"/>
    <w:rsid w:val="002B20A1"/>
    <w:rsid w:val="002B2147"/>
    <w:rsid w:val="002B226E"/>
    <w:rsid w:val="002B46D4"/>
    <w:rsid w:val="002B4CA6"/>
    <w:rsid w:val="002B54CF"/>
    <w:rsid w:val="002C1274"/>
    <w:rsid w:val="002C1A9C"/>
    <w:rsid w:val="002C1B25"/>
    <w:rsid w:val="002C51F7"/>
    <w:rsid w:val="002C5F39"/>
    <w:rsid w:val="002D1BE4"/>
    <w:rsid w:val="002D3FB8"/>
    <w:rsid w:val="002D5DDD"/>
    <w:rsid w:val="002D724D"/>
    <w:rsid w:val="002D7B5B"/>
    <w:rsid w:val="002E07C6"/>
    <w:rsid w:val="002E134F"/>
    <w:rsid w:val="002E3701"/>
    <w:rsid w:val="002E5015"/>
    <w:rsid w:val="002E5910"/>
    <w:rsid w:val="002E5CB0"/>
    <w:rsid w:val="002E7961"/>
    <w:rsid w:val="002E7ACF"/>
    <w:rsid w:val="002F0CE9"/>
    <w:rsid w:val="002F1820"/>
    <w:rsid w:val="002F18C3"/>
    <w:rsid w:val="002F199F"/>
    <w:rsid w:val="002F3691"/>
    <w:rsid w:val="002F3BD0"/>
    <w:rsid w:val="002F5B19"/>
    <w:rsid w:val="002F7079"/>
    <w:rsid w:val="002F7E3C"/>
    <w:rsid w:val="00300A0B"/>
    <w:rsid w:val="00300D70"/>
    <w:rsid w:val="00300D90"/>
    <w:rsid w:val="00301F46"/>
    <w:rsid w:val="003026DE"/>
    <w:rsid w:val="0030387B"/>
    <w:rsid w:val="00303CAD"/>
    <w:rsid w:val="00304689"/>
    <w:rsid w:val="003046FD"/>
    <w:rsid w:val="003053CA"/>
    <w:rsid w:val="00305CA6"/>
    <w:rsid w:val="00306418"/>
    <w:rsid w:val="0030726B"/>
    <w:rsid w:val="003100F3"/>
    <w:rsid w:val="00310C11"/>
    <w:rsid w:val="00312072"/>
    <w:rsid w:val="00315492"/>
    <w:rsid w:val="00316600"/>
    <w:rsid w:val="00316AB7"/>
    <w:rsid w:val="003172EC"/>
    <w:rsid w:val="003201BA"/>
    <w:rsid w:val="00320BAA"/>
    <w:rsid w:val="00321457"/>
    <w:rsid w:val="003214FD"/>
    <w:rsid w:val="0032170B"/>
    <w:rsid w:val="00321C94"/>
    <w:rsid w:val="00323325"/>
    <w:rsid w:val="003243B0"/>
    <w:rsid w:val="00325EC0"/>
    <w:rsid w:val="00327E19"/>
    <w:rsid w:val="003337B6"/>
    <w:rsid w:val="003340EC"/>
    <w:rsid w:val="003350FF"/>
    <w:rsid w:val="00335DE5"/>
    <w:rsid w:val="00337B12"/>
    <w:rsid w:val="0034057C"/>
    <w:rsid w:val="00343E36"/>
    <w:rsid w:val="0034711B"/>
    <w:rsid w:val="00350142"/>
    <w:rsid w:val="00350787"/>
    <w:rsid w:val="00351628"/>
    <w:rsid w:val="00351AA8"/>
    <w:rsid w:val="00351F58"/>
    <w:rsid w:val="003526FB"/>
    <w:rsid w:val="003533B8"/>
    <w:rsid w:val="00353B6D"/>
    <w:rsid w:val="00354373"/>
    <w:rsid w:val="00354920"/>
    <w:rsid w:val="003551A5"/>
    <w:rsid w:val="00355AA1"/>
    <w:rsid w:val="00355DC6"/>
    <w:rsid w:val="0036028D"/>
    <w:rsid w:val="003604D7"/>
    <w:rsid w:val="003609CA"/>
    <w:rsid w:val="0036351E"/>
    <w:rsid w:val="00363907"/>
    <w:rsid w:val="00364521"/>
    <w:rsid w:val="00365026"/>
    <w:rsid w:val="00367F82"/>
    <w:rsid w:val="00370D29"/>
    <w:rsid w:val="00373381"/>
    <w:rsid w:val="003756AF"/>
    <w:rsid w:val="00375815"/>
    <w:rsid w:val="0037602F"/>
    <w:rsid w:val="00376EC8"/>
    <w:rsid w:val="00380441"/>
    <w:rsid w:val="00380A6B"/>
    <w:rsid w:val="00380E60"/>
    <w:rsid w:val="003816A3"/>
    <w:rsid w:val="00382696"/>
    <w:rsid w:val="003833D1"/>
    <w:rsid w:val="00383A38"/>
    <w:rsid w:val="0038405F"/>
    <w:rsid w:val="003842FD"/>
    <w:rsid w:val="0038438A"/>
    <w:rsid w:val="00384D88"/>
    <w:rsid w:val="003864D2"/>
    <w:rsid w:val="00386FF3"/>
    <w:rsid w:val="00390249"/>
    <w:rsid w:val="00390BF8"/>
    <w:rsid w:val="00391B57"/>
    <w:rsid w:val="00392082"/>
    <w:rsid w:val="00392877"/>
    <w:rsid w:val="00392E12"/>
    <w:rsid w:val="00393B16"/>
    <w:rsid w:val="003944AC"/>
    <w:rsid w:val="00394645"/>
    <w:rsid w:val="00394D7E"/>
    <w:rsid w:val="00394F5B"/>
    <w:rsid w:val="003952EF"/>
    <w:rsid w:val="00395650"/>
    <w:rsid w:val="003956E9"/>
    <w:rsid w:val="003965EC"/>
    <w:rsid w:val="00396BA0"/>
    <w:rsid w:val="003A0E17"/>
    <w:rsid w:val="003A111E"/>
    <w:rsid w:val="003A16D4"/>
    <w:rsid w:val="003A357E"/>
    <w:rsid w:val="003A6757"/>
    <w:rsid w:val="003A6E62"/>
    <w:rsid w:val="003A744C"/>
    <w:rsid w:val="003A78B5"/>
    <w:rsid w:val="003A7BE8"/>
    <w:rsid w:val="003A7C85"/>
    <w:rsid w:val="003A7FBE"/>
    <w:rsid w:val="003B0D09"/>
    <w:rsid w:val="003B165A"/>
    <w:rsid w:val="003B2140"/>
    <w:rsid w:val="003B3EF3"/>
    <w:rsid w:val="003B6C11"/>
    <w:rsid w:val="003C1510"/>
    <w:rsid w:val="003C2478"/>
    <w:rsid w:val="003C28B8"/>
    <w:rsid w:val="003C2948"/>
    <w:rsid w:val="003C3768"/>
    <w:rsid w:val="003C4782"/>
    <w:rsid w:val="003C6934"/>
    <w:rsid w:val="003C6C3F"/>
    <w:rsid w:val="003C74F9"/>
    <w:rsid w:val="003C7827"/>
    <w:rsid w:val="003C7FD0"/>
    <w:rsid w:val="003D0268"/>
    <w:rsid w:val="003D0323"/>
    <w:rsid w:val="003D1A43"/>
    <w:rsid w:val="003D1A64"/>
    <w:rsid w:val="003D3757"/>
    <w:rsid w:val="003D37E4"/>
    <w:rsid w:val="003D3A9C"/>
    <w:rsid w:val="003E13A6"/>
    <w:rsid w:val="003E31E5"/>
    <w:rsid w:val="003E32ED"/>
    <w:rsid w:val="003E3A39"/>
    <w:rsid w:val="003E4693"/>
    <w:rsid w:val="003E56BD"/>
    <w:rsid w:val="003E58C9"/>
    <w:rsid w:val="003E68B3"/>
    <w:rsid w:val="003E79C7"/>
    <w:rsid w:val="003F12E0"/>
    <w:rsid w:val="003F204B"/>
    <w:rsid w:val="003F36D7"/>
    <w:rsid w:val="003F3F33"/>
    <w:rsid w:val="003F578D"/>
    <w:rsid w:val="003F6415"/>
    <w:rsid w:val="003F650B"/>
    <w:rsid w:val="003F67B8"/>
    <w:rsid w:val="003F7A60"/>
    <w:rsid w:val="003F7EDC"/>
    <w:rsid w:val="004004E9"/>
    <w:rsid w:val="00400FDE"/>
    <w:rsid w:val="00401071"/>
    <w:rsid w:val="00402109"/>
    <w:rsid w:val="00402595"/>
    <w:rsid w:val="004033A7"/>
    <w:rsid w:val="004044F5"/>
    <w:rsid w:val="004052C5"/>
    <w:rsid w:val="004100AA"/>
    <w:rsid w:val="0041173D"/>
    <w:rsid w:val="00411DA9"/>
    <w:rsid w:val="00412203"/>
    <w:rsid w:val="004130C7"/>
    <w:rsid w:val="00414815"/>
    <w:rsid w:val="00414B0D"/>
    <w:rsid w:val="0041563A"/>
    <w:rsid w:val="00415787"/>
    <w:rsid w:val="004179DC"/>
    <w:rsid w:val="00417DE3"/>
    <w:rsid w:val="004203EE"/>
    <w:rsid w:val="00420B07"/>
    <w:rsid w:val="00422869"/>
    <w:rsid w:val="0042465B"/>
    <w:rsid w:val="00426448"/>
    <w:rsid w:val="0043197C"/>
    <w:rsid w:val="0043257A"/>
    <w:rsid w:val="00434A0F"/>
    <w:rsid w:val="00436E0C"/>
    <w:rsid w:val="00436FD3"/>
    <w:rsid w:val="004406CF"/>
    <w:rsid w:val="00441804"/>
    <w:rsid w:val="00442271"/>
    <w:rsid w:val="0044293C"/>
    <w:rsid w:val="004435B4"/>
    <w:rsid w:val="00444335"/>
    <w:rsid w:val="0044446C"/>
    <w:rsid w:val="004451B0"/>
    <w:rsid w:val="004471B4"/>
    <w:rsid w:val="00450248"/>
    <w:rsid w:val="004517E5"/>
    <w:rsid w:val="004520DF"/>
    <w:rsid w:val="0046048A"/>
    <w:rsid w:val="00461690"/>
    <w:rsid w:val="00462ED7"/>
    <w:rsid w:val="004631D5"/>
    <w:rsid w:val="00464C62"/>
    <w:rsid w:val="00466346"/>
    <w:rsid w:val="004717ED"/>
    <w:rsid w:val="00471CCA"/>
    <w:rsid w:val="00472E5E"/>
    <w:rsid w:val="00473F17"/>
    <w:rsid w:val="004751D6"/>
    <w:rsid w:val="00476345"/>
    <w:rsid w:val="00477DBA"/>
    <w:rsid w:val="00477E20"/>
    <w:rsid w:val="00480BB8"/>
    <w:rsid w:val="004810FE"/>
    <w:rsid w:val="00481674"/>
    <w:rsid w:val="00481736"/>
    <w:rsid w:val="00481D51"/>
    <w:rsid w:val="0048519E"/>
    <w:rsid w:val="00485220"/>
    <w:rsid w:val="00485EC7"/>
    <w:rsid w:val="00485F1D"/>
    <w:rsid w:val="004860BD"/>
    <w:rsid w:val="00487430"/>
    <w:rsid w:val="00492519"/>
    <w:rsid w:val="00492DCA"/>
    <w:rsid w:val="00493283"/>
    <w:rsid w:val="004954C1"/>
    <w:rsid w:val="0049667A"/>
    <w:rsid w:val="004979A2"/>
    <w:rsid w:val="004A0262"/>
    <w:rsid w:val="004A0A7B"/>
    <w:rsid w:val="004A0BB0"/>
    <w:rsid w:val="004A1167"/>
    <w:rsid w:val="004A1CAF"/>
    <w:rsid w:val="004A1FE5"/>
    <w:rsid w:val="004A26CD"/>
    <w:rsid w:val="004A2A21"/>
    <w:rsid w:val="004A3584"/>
    <w:rsid w:val="004A5121"/>
    <w:rsid w:val="004A577A"/>
    <w:rsid w:val="004A7990"/>
    <w:rsid w:val="004A7F16"/>
    <w:rsid w:val="004B134D"/>
    <w:rsid w:val="004B16B7"/>
    <w:rsid w:val="004B1796"/>
    <w:rsid w:val="004B26DA"/>
    <w:rsid w:val="004B2C95"/>
    <w:rsid w:val="004B2DBA"/>
    <w:rsid w:val="004B368B"/>
    <w:rsid w:val="004B591D"/>
    <w:rsid w:val="004B6965"/>
    <w:rsid w:val="004B7285"/>
    <w:rsid w:val="004B7542"/>
    <w:rsid w:val="004C0059"/>
    <w:rsid w:val="004C37AA"/>
    <w:rsid w:val="004C4ACC"/>
    <w:rsid w:val="004C6AC1"/>
    <w:rsid w:val="004C7E83"/>
    <w:rsid w:val="004D0556"/>
    <w:rsid w:val="004D1B42"/>
    <w:rsid w:val="004D1BE7"/>
    <w:rsid w:val="004D2A6A"/>
    <w:rsid w:val="004D57D8"/>
    <w:rsid w:val="004D5893"/>
    <w:rsid w:val="004D5DB3"/>
    <w:rsid w:val="004E0096"/>
    <w:rsid w:val="004E08B1"/>
    <w:rsid w:val="004E0C3C"/>
    <w:rsid w:val="004E2EC6"/>
    <w:rsid w:val="004E345F"/>
    <w:rsid w:val="004E3545"/>
    <w:rsid w:val="004E41C7"/>
    <w:rsid w:val="004E58C3"/>
    <w:rsid w:val="004E5A21"/>
    <w:rsid w:val="004E7FE7"/>
    <w:rsid w:val="004F0F4E"/>
    <w:rsid w:val="004F2D88"/>
    <w:rsid w:val="004F41A2"/>
    <w:rsid w:val="004F432B"/>
    <w:rsid w:val="005001F3"/>
    <w:rsid w:val="005008D7"/>
    <w:rsid w:val="005022E9"/>
    <w:rsid w:val="0050434B"/>
    <w:rsid w:val="0050485B"/>
    <w:rsid w:val="005070C3"/>
    <w:rsid w:val="00507401"/>
    <w:rsid w:val="005113AD"/>
    <w:rsid w:val="005113FE"/>
    <w:rsid w:val="005124DC"/>
    <w:rsid w:val="00512F7F"/>
    <w:rsid w:val="00513CA7"/>
    <w:rsid w:val="00515991"/>
    <w:rsid w:val="00516141"/>
    <w:rsid w:val="0051710B"/>
    <w:rsid w:val="00517E8A"/>
    <w:rsid w:val="0052069D"/>
    <w:rsid w:val="00521C93"/>
    <w:rsid w:val="005220BE"/>
    <w:rsid w:val="00526621"/>
    <w:rsid w:val="00526667"/>
    <w:rsid w:val="00540DFD"/>
    <w:rsid w:val="00541D46"/>
    <w:rsid w:val="0054289F"/>
    <w:rsid w:val="00542D5F"/>
    <w:rsid w:val="005435DE"/>
    <w:rsid w:val="0054474A"/>
    <w:rsid w:val="00544C28"/>
    <w:rsid w:val="00545159"/>
    <w:rsid w:val="00546BAE"/>
    <w:rsid w:val="0055229C"/>
    <w:rsid w:val="00552EBD"/>
    <w:rsid w:val="00553827"/>
    <w:rsid w:val="00555F71"/>
    <w:rsid w:val="00557DB4"/>
    <w:rsid w:val="00560C32"/>
    <w:rsid w:val="005612CF"/>
    <w:rsid w:val="00562299"/>
    <w:rsid w:val="00564276"/>
    <w:rsid w:val="005643DB"/>
    <w:rsid w:val="0056521E"/>
    <w:rsid w:val="005660CB"/>
    <w:rsid w:val="005718DD"/>
    <w:rsid w:val="00573106"/>
    <w:rsid w:val="0057338D"/>
    <w:rsid w:val="005740F6"/>
    <w:rsid w:val="005743D2"/>
    <w:rsid w:val="00575177"/>
    <w:rsid w:val="00575D92"/>
    <w:rsid w:val="00575DE3"/>
    <w:rsid w:val="005761B3"/>
    <w:rsid w:val="00576F74"/>
    <w:rsid w:val="00577048"/>
    <w:rsid w:val="0057709B"/>
    <w:rsid w:val="005802BD"/>
    <w:rsid w:val="005810EF"/>
    <w:rsid w:val="00586FA8"/>
    <w:rsid w:val="00587430"/>
    <w:rsid w:val="005875B0"/>
    <w:rsid w:val="00587F23"/>
    <w:rsid w:val="00591E3A"/>
    <w:rsid w:val="00593CB4"/>
    <w:rsid w:val="00595E0A"/>
    <w:rsid w:val="00597A04"/>
    <w:rsid w:val="005A1156"/>
    <w:rsid w:val="005A1803"/>
    <w:rsid w:val="005A2440"/>
    <w:rsid w:val="005A3131"/>
    <w:rsid w:val="005A4096"/>
    <w:rsid w:val="005B0D7C"/>
    <w:rsid w:val="005B0E86"/>
    <w:rsid w:val="005B27D6"/>
    <w:rsid w:val="005B2CD4"/>
    <w:rsid w:val="005B3A3B"/>
    <w:rsid w:val="005B5DD8"/>
    <w:rsid w:val="005B5DEE"/>
    <w:rsid w:val="005B6854"/>
    <w:rsid w:val="005C027A"/>
    <w:rsid w:val="005C0DBE"/>
    <w:rsid w:val="005C3721"/>
    <w:rsid w:val="005C4034"/>
    <w:rsid w:val="005C465F"/>
    <w:rsid w:val="005C46CA"/>
    <w:rsid w:val="005C651C"/>
    <w:rsid w:val="005C6D3A"/>
    <w:rsid w:val="005D0D06"/>
    <w:rsid w:val="005D1427"/>
    <w:rsid w:val="005D2B62"/>
    <w:rsid w:val="005D36A9"/>
    <w:rsid w:val="005D3B24"/>
    <w:rsid w:val="005D49C8"/>
    <w:rsid w:val="005D4C33"/>
    <w:rsid w:val="005D5173"/>
    <w:rsid w:val="005D5607"/>
    <w:rsid w:val="005D573F"/>
    <w:rsid w:val="005D770B"/>
    <w:rsid w:val="005E15BB"/>
    <w:rsid w:val="005E37E9"/>
    <w:rsid w:val="005E61D4"/>
    <w:rsid w:val="005E6745"/>
    <w:rsid w:val="005E7FB2"/>
    <w:rsid w:val="005F03DB"/>
    <w:rsid w:val="005F11C2"/>
    <w:rsid w:val="005F1701"/>
    <w:rsid w:val="005F24D4"/>
    <w:rsid w:val="005F3C27"/>
    <w:rsid w:val="005F60AE"/>
    <w:rsid w:val="005F6858"/>
    <w:rsid w:val="005F77BB"/>
    <w:rsid w:val="005F7B7F"/>
    <w:rsid w:val="00601494"/>
    <w:rsid w:val="00602E30"/>
    <w:rsid w:val="00603A46"/>
    <w:rsid w:val="00610FA9"/>
    <w:rsid w:val="00611A49"/>
    <w:rsid w:val="00613017"/>
    <w:rsid w:val="00613A54"/>
    <w:rsid w:val="0061435D"/>
    <w:rsid w:val="00616189"/>
    <w:rsid w:val="006166F0"/>
    <w:rsid w:val="00616715"/>
    <w:rsid w:val="006172CA"/>
    <w:rsid w:val="00620EE6"/>
    <w:rsid w:val="00621760"/>
    <w:rsid w:val="006217BB"/>
    <w:rsid w:val="00622159"/>
    <w:rsid w:val="00622A27"/>
    <w:rsid w:val="00624BB7"/>
    <w:rsid w:val="00625BD5"/>
    <w:rsid w:val="00625DFB"/>
    <w:rsid w:val="00626B71"/>
    <w:rsid w:val="0062725F"/>
    <w:rsid w:val="00627D5D"/>
    <w:rsid w:val="006312B6"/>
    <w:rsid w:val="00632ADC"/>
    <w:rsid w:val="00634CEB"/>
    <w:rsid w:val="006354A2"/>
    <w:rsid w:val="00635D14"/>
    <w:rsid w:val="00636638"/>
    <w:rsid w:val="00636E9E"/>
    <w:rsid w:val="00637179"/>
    <w:rsid w:val="0063734D"/>
    <w:rsid w:val="00640A28"/>
    <w:rsid w:val="00641A4E"/>
    <w:rsid w:val="00646100"/>
    <w:rsid w:val="006471BB"/>
    <w:rsid w:val="006476CA"/>
    <w:rsid w:val="006507A4"/>
    <w:rsid w:val="0065100D"/>
    <w:rsid w:val="006510BE"/>
    <w:rsid w:val="006510E5"/>
    <w:rsid w:val="00652D65"/>
    <w:rsid w:val="00653AD3"/>
    <w:rsid w:val="00653D74"/>
    <w:rsid w:val="00653F19"/>
    <w:rsid w:val="006549B0"/>
    <w:rsid w:val="006552AE"/>
    <w:rsid w:val="00655773"/>
    <w:rsid w:val="006563CA"/>
    <w:rsid w:val="006578FC"/>
    <w:rsid w:val="00657AC8"/>
    <w:rsid w:val="006608AB"/>
    <w:rsid w:val="00662E00"/>
    <w:rsid w:val="00663B2D"/>
    <w:rsid w:val="00664587"/>
    <w:rsid w:val="00665164"/>
    <w:rsid w:val="00666F25"/>
    <w:rsid w:val="00667C1C"/>
    <w:rsid w:val="006714B4"/>
    <w:rsid w:val="00671885"/>
    <w:rsid w:val="00673DD4"/>
    <w:rsid w:val="00674AEB"/>
    <w:rsid w:val="006753B0"/>
    <w:rsid w:val="0067635F"/>
    <w:rsid w:val="00676F42"/>
    <w:rsid w:val="00677251"/>
    <w:rsid w:val="00681656"/>
    <w:rsid w:val="00683CB5"/>
    <w:rsid w:val="0068455C"/>
    <w:rsid w:val="00685328"/>
    <w:rsid w:val="00686618"/>
    <w:rsid w:val="00686DF6"/>
    <w:rsid w:val="00690562"/>
    <w:rsid w:val="00692466"/>
    <w:rsid w:val="00692EC3"/>
    <w:rsid w:val="0069333E"/>
    <w:rsid w:val="00693C8E"/>
    <w:rsid w:val="00695AC4"/>
    <w:rsid w:val="00695F12"/>
    <w:rsid w:val="006969BA"/>
    <w:rsid w:val="006A026A"/>
    <w:rsid w:val="006A0425"/>
    <w:rsid w:val="006A10FC"/>
    <w:rsid w:val="006A1CDB"/>
    <w:rsid w:val="006A1D62"/>
    <w:rsid w:val="006A27A0"/>
    <w:rsid w:val="006A3759"/>
    <w:rsid w:val="006A6D7F"/>
    <w:rsid w:val="006A73F2"/>
    <w:rsid w:val="006A7BB3"/>
    <w:rsid w:val="006B0298"/>
    <w:rsid w:val="006B0E83"/>
    <w:rsid w:val="006B199C"/>
    <w:rsid w:val="006B3F47"/>
    <w:rsid w:val="006B49AE"/>
    <w:rsid w:val="006B50AC"/>
    <w:rsid w:val="006B5493"/>
    <w:rsid w:val="006B6FCB"/>
    <w:rsid w:val="006C0ADF"/>
    <w:rsid w:val="006C10C0"/>
    <w:rsid w:val="006C1B1D"/>
    <w:rsid w:val="006C2DF5"/>
    <w:rsid w:val="006C32BB"/>
    <w:rsid w:val="006C3747"/>
    <w:rsid w:val="006C4132"/>
    <w:rsid w:val="006C6F31"/>
    <w:rsid w:val="006C7760"/>
    <w:rsid w:val="006C7EEA"/>
    <w:rsid w:val="006D1B93"/>
    <w:rsid w:val="006D21EE"/>
    <w:rsid w:val="006D32A6"/>
    <w:rsid w:val="006D3FA2"/>
    <w:rsid w:val="006D522C"/>
    <w:rsid w:val="006D5563"/>
    <w:rsid w:val="006D56AA"/>
    <w:rsid w:val="006D7795"/>
    <w:rsid w:val="006D7ACB"/>
    <w:rsid w:val="006E00EF"/>
    <w:rsid w:val="006E1340"/>
    <w:rsid w:val="006E1A7A"/>
    <w:rsid w:val="006E1E89"/>
    <w:rsid w:val="006E38AF"/>
    <w:rsid w:val="006E4819"/>
    <w:rsid w:val="006E4846"/>
    <w:rsid w:val="006E7ED1"/>
    <w:rsid w:val="006F01E7"/>
    <w:rsid w:val="006F1F3A"/>
    <w:rsid w:val="006F3C5E"/>
    <w:rsid w:val="006F59CF"/>
    <w:rsid w:val="006F7196"/>
    <w:rsid w:val="006F7630"/>
    <w:rsid w:val="006F76DD"/>
    <w:rsid w:val="006F7A9A"/>
    <w:rsid w:val="006F7EB8"/>
    <w:rsid w:val="00702DD7"/>
    <w:rsid w:val="00703208"/>
    <w:rsid w:val="007047D3"/>
    <w:rsid w:val="00704BA2"/>
    <w:rsid w:val="007052DC"/>
    <w:rsid w:val="00705406"/>
    <w:rsid w:val="00705C40"/>
    <w:rsid w:val="00706723"/>
    <w:rsid w:val="007073E2"/>
    <w:rsid w:val="0071032B"/>
    <w:rsid w:val="0071087E"/>
    <w:rsid w:val="00710C5F"/>
    <w:rsid w:val="007112CD"/>
    <w:rsid w:val="007122E3"/>
    <w:rsid w:val="0071540F"/>
    <w:rsid w:val="00717731"/>
    <w:rsid w:val="00720266"/>
    <w:rsid w:val="00722603"/>
    <w:rsid w:val="007229A1"/>
    <w:rsid w:val="00723390"/>
    <w:rsid w:val="007235AA"/>
    <w:rsid w:val="0072794B"/>
    <w:rsid w:val="00727AC1"/>
    <w:rsid w:val="007302B2"/>
    <w:rsid w:val="007304AD"/>
    <w:rsid w:val="00731AE5"/>
    <w:rsid w:val="00732289"/>
    <w:rsid w:val="00732470"/>
    <w:rsid w:val="0073268D"/>
    <w:rsid w:val="00733CB9"/>
    <w:rsid w:val="00734A47"/>
    <w:rsid w:val="00735915"/>
    <w:rsid w:val="00735C21"/>
    <w:rsid w:val="0073614A"/>
    <w:rsid w:val="00736FF2"/>
    <w:rsid w:val="00740885"/>
    <w:rsid w:val="00740C8C"/>
    <w:rsid w:val="00741AC4"/>
    <w:rsid w:val="0074285B"/>
    <w:rsid w:val="007430C0"/>
    <w:rsid w:val="00745AEC"/>
    <w:rsid w:val="00745CF2"/>
    <w:rsid w:val="00746791"/>
    <w:rsid w:val="00746FCF"/>
    <w:rsid w:val="00750B13"/>
    <w:rsid w:val="007515BC"/>
    <w:rsid w:val="007521E6"/>
    <w:rsid w:val="007538C3"/>
    <w:rsid w:val="00756F02"/>
    <w:rsid w:val="007573B2"/>
    <w:rsid w:val="007574BB"/>
    <w:rsid w:val="007575E2"/>
    <w:rsid w:val="0075764C"/>
    <w:rsid w:val="00761779"/>
    <w:rsid w:val="00761D32"/>
    <w:rsid w:val="00762198"/>
    <w:rsid w:val="00762F88"/>
    <w:rsid w:val="00763800"/>
    <w:rsid w:val="00763CE8"/>
    <w:rsid w:val="00764E7C"/>
    <w:rsid w:val="00766B1B"/>
    <w:rsid w:val="0076758C"/>
    <w:rsid w:val="00770792"/>
    <w:rsid w:val="00773903"/>
    <w:rsid w:val="00774FFE"/>
    <w:rsid w:val="00775638"/>
    <w:rsid w:val="00775677"/>
    <w:rsid w:val="0077599A"/>
    <w:rsid w:val="00777353"/>
    <w:rsid w:val="007808B3"/>
    <w:rsid w:val="00780BEC"/>
    <w:rsid w:val="00780CD6"/>
    <w:rsid w:val="007810CC"/>
    <w:rsid w:val="00782EA4"/>
    <w:rsid w:val="00785461"/>
    <w:rsid w:val="00785CCD"/>
    <w:rsid w:val="00786FF3"/>
    <w:rsid w:val="007875AA"/>
    <w:rsid w:val="007876CF"/>
    <w:rsid w:val="00787778"/>
    <w:rsid w:val="007912F6"/>
    <w:rsid w:val="00791CF1"/>
    <w:rsid w:val="00793090"/>
    <w:rsid w:val="00796BBC"/>
    <w:rsid w:val="00796F2A"/>
    <w:rsid w:val="0079735A"/>
    <w:rsid w:val="007A0094"/>
    <w:rsid w:val="007A0176"/>
    <w:rsid w:val="007A2F67"/>
    <w:rsid w:val="007A38C9"/>
    <w:rsid w:val="007A3918"/>
    <w:rsid w:val="007A5707"/>
    <w:rsid w:val="007B0B08"/>
    <w:rsid w:val="007B0E89"/>
    <w:rsid w:val="007B2C38"/>
    <w:rsid w:val="007B2E54"/>
    <w:rsid w:val="007B41BA"/>
    <w:rsid w:val="007B5D5F"/>
    <w:rsid w:val="007B6719"/>
    <w:rsid w:val="007B69E4"/>
    <w:rsid w:val="007B6F5A"/>
    <w:rsid w:val="007B7498"/>
    <w:rsid w:val="007B7AEE"/>
    <w:rsid w:val="007C05C4"/>
    <w:rsid w:val="007C1752"/>
    <w:rsid w:val="007C18A8"/>
    <w:rsid w:val="007C19B2"/>
    <w:rsid w:val="007C45E9"/>
    <w:rsid w:val="007C4A9C"/>
    <w:rsid w:val="007C6E6C"/>
    <w:rsid w:val="007C7EB6"/>
    <w:rsid w:val="007C7FBA"/>
    <w:rsid w:val="007D037A"/>
    <w:rsid w:val="007D1103"/>
    <w:rsid w:val="007D240B"/>
    <w:rsid w:val="007D2F75"/>
    <w:rsid w:val="007D3383"/>
    <w:rsid w:val="007D3C0E"/>
    <w:rsid w:val="007D4BEF"/>
    <w:rsid w:val="007D7FE7"/>
    <w:rsid w:val="007E22E7"/>
    <w:rsid w:val="007E41BC"/>
    <w:rsid w:val="007E4232"/>
    <w:rsid w:val="007E44BF"/>
    <w:rsid w:val="007E465F"/>
    <w:rsid w:val="007E69BB"/>
    <w:rsid w:val="007E6AB8"/>
    <w:rsid w:val="007F0210"/>
    <w:rsid w:val="007F2109"/>
    <w:rsid w:val="007F21C5"/>
    <w:rsid w:val="007F253F"/>
    <w:rsid w:val="007F3801"/>
    <w:rsid w:val="007F3ACF"/>
    <w:rsid w:val="007F3EF1"/>
    <w:rsid w:val="007F564B"/>
    <w:rsid w:val="007F63B4"/>
    <w:rsid w:val="00800FD0"/>
    <w:rsid w:val="00801BCE"/>
    <w:rsid w:val="00802515"/>
    <w:rsid w:val="00806694"/>
    <w:rsid w:val="008076A3"/>
    <w:rsid w:val="00810176"/>
    <w:rsid w:val="00810ED3"/>
    <w:rsid w:val="0081212F"/>
    <w:rsid w:val="00812625"/>
    <w:rsid w:val="0081283F"/>
    <w:rsid w:val="008134D8"/>
    <w:rsid w:val="0081480A"/>
    <w:rsid w:val="008157BC"/>
    <w:rsid w:val="00817E2A"/>
    <w:rsid w:val="008202EB"/>
    <w:rsid w:val="0082180A"/>
    <w:rsid w:val="008240D3"/>
    <w:rsid w:val="0082621D"/>
    <w:rsid w:val="00827F88"/>
    <w:rsid w:val="00832A36"/>
    <w:rsid w:val="008336A5"/>
    <w:rsid w:val="0083420A"/>
    <w:rsid w:val="0083437E"/>
    <w:rsid w:val="00835474"/>
    <w:rsid w:val="00835E4C"/>
    <w:rsid w:val="008360D7"/>
    <w:rsid w:val="0083615F"/>
    <w:rsid w:val="008373C0"/>
    <w:rsid w:val="0084145F"/>
    <w:rsid w:val="008419FB"/>
    <w:rsid w:val="00841DA2"/>
    <w:rsid w:val="008434ED"/>
    <w:rsid w:val="008456F8"/>
    <w:rsid w:val="008458F6"/>
    <w:rsid w:val="00845AED"/>
    <w:rsid w:val="00845CA0"/>
    <w:rsid w:val="0084708E"/>
    <w:rsid w:val="008506B4"/>
    <w:rsid w:val="00851AE4"/>
    <w:rsid w:val="00852121"/>
    <w:rsid w:val="00852462"/>
    <w:rsid w:val="0085256F"/>
    <w:rsid w:val="0085598D"/>
    <w:rsid w:val="00856700"/>
    <w:rsid w:val="00856DBD"/>
    <w:rsid w:val="008609FC"/>
    <w:rsid w:val="00861107"/>
    <w:rsid w:val="00862771"/>
    <w:rsid w:val="00862EC5"/>
    <w:rsid w:val="00863B11"/>
    <w:rsid w:val="0086538F"/>
    <w:rsid w:val="0086682F"/>
    <w:rsid w:val="008709E8"/>
    <w:rsid w:val="00871940"/>
    <w:rsid w:val="0087367C"/>
    <w:rsid w:val="00874663"/>
    <w:rsid w:val="0087655E"/>
    <w:rsid w:val="00876F54"/>
    <w:rsid w:val="00877292"/>
    <w:rsid w:val="0087754A"/>
    <w:rsid w:val="0087766C"/>
    <w:rsid w:val="00880552"/>
    <w:rsid w:val="008839DA"/>
    <w:rsid w:val="00884EE8"/>
    <w:rsid w:val="00885168"/>
    <w:rsid w:val="008876CE"/>
    <w:rsid w:val="008902D1"/>
    <w:rsid w:val="00891538"/>
    <w:rsid w:val="0089173B"/>
    <w:rsid w:val="00891760"/>
    <w:rsid w:val="00891E76"/>
    <w:rsid w:val="0089220F"/>
    <w:rsid w:val="0089248C"/>
    <w:rsid w:val="008935AA"/>
    <w:rsid w:val="008935C3"/>
    <w:rsid w:val="008963F0"/>
    <w:rsid w:val="0089659E"/>
    <w:rsid w:val="00896C53"/>
    <w:rsid w:val="00897514"/>
    <w:rsid w:val="00897F18"/>
    <w:rsid w:val="008A03A5"/>
    <w:rsid w:val="008A0886"/>
    <w:rsid w:val="008A0DF3"/>
    <w:rsid w:val="008A137F"/>
    <w:rsid w:val="008A4138"/>
    <w:rsid w:val="008A4E02"/>
    <w:rsid w:val="008A5D96"/>
    <w:rsid w:val="008A7462"/>
    <w:rsid w:val="008A791B"/>
    <w:rsid w:val="008B1B3B"/>
    <w:rsid w:val="008B29E4"/>
    <w:rsid w:val="008B5C93"/>
    <w:rsid w:val="008B6848"/>
    <w:rsid w:val="008B7067"/>
    <w:rsid w:val="008C2FA1"/>
    <w:rsid w:val="008C3448"/>
    <w:rsid w:val="008C3ECC"/>
    <w:rsid w:val="008C780E"/>
    <w:rsid w:val="008C7925"/>
    <w:rsid w:val="008C7D74"/>
    <w:rsid w:val="008C7F6B"/>
    <w:rsid w:val="008D2C4C"/>
    <w:rsid w:val="008D4CF9"/>
    <w:rsid w:val="008D6263"/>
    <w:rsid w:val="008D6344"/>
    <w:rsid w:val="008D7E0D"/>
    <w:rsid w:val="008D7EDB"/>
    <w:rsid w:val="008E1829"/>
    <w:rsid w:val="008E2327"/>
    <w:rsid w:val="008E5077"/>
    <w:rsid w:val="008E64F0"/>
    <w:rsid w:val="008E6FF3"/>
    <w:rsid w:val="008E707C"/>
    <w:rsid w:val="008E7B05"/>
    <w:rsid w:val="008F05F9"/>
    <w:rsid w:val="008F18ED"/>
    <w:rsid w:val="008F39B6"/>
    <w:rsid w:val="008F3EA1"/>
    <w:rsid w:val="008F46C2"/>
    <w:rsid w:val="008F4B45"/>
    <w:rsid w:val="008F5595"/>
    <w:rsid w:val="008F7409"/>
    <w:rsid w:val="008F75D4"/>
    <w:rsid w:val="009001FC"/>
    <w:rsid w:val="009020A8"/>
    <w:rsid w:val="009031E7"/>
    <w:rsid w:val="00903D37"/>
    <w:rsid w:val="00907CDA"/>
    <w:rsid w:val="0091033F"/>
    <w:rsid w:val="0091055D"/>
    <w:rsid w:val="00910E4D"/>
    <w:rsid w:val="009140A3"/>
    <w:rsid w:val="00914C61"/>
    <w:rsid w:val="0091633A"/>
    <w:rsid w:val="00917D6F"/>
    <w:rsid w:val="0092034B"/>
    <w:rsid w:val="00920DF3"/>
    <w:rsid w:val="00921B1A"/>
    <w:rsid w:val="00921DDA"/>
    <w:rsid w:val="00923E81"/>
    <w:rsid w:val="0092600D"/>
    <w:rsid w:val="00927D6A"/>
    <w:rsid w:val="00927D70"/>
    <w:rsid w:val="00927ED6"/>
    <w:rsid w:val="0093039D"/>
    <w:rsid w:val="00931E4F"/>
    <w:rsid w:val="0093364D"/>
    <w:rsid w:val="00933A93"/>
    <w:rsid w:val="00936574"/>
    <w:rsid w:val="00936B54"/>
    <w:rsid w:val="00937BBB"/>
    <w:rsid w:val="00943BCE"/>
    <w:rsid w:val="00945F8F"/>
    <w:rsid w:val="0095175C"/>
    <w:rsid w:val="0095551B"/>
    <w:rsid w:val="00957104"/>
    <w:rsid w:val="0095798C"/>
    <w:rsid w:val="00957CA8"/>
    <w:rsid w:val="00960346"/>
    <w:rsid w:val="0096046C"/>
    <w:rsid w:val="00960827"/>
    <w:rsid w:val="00960890"/>
    <w:rsid w:val="009617D3"/>
    <w:rsid w:val="00962733"/>
    <w:rsid w:val="00963DC8"/>
    <w:rsid w:val="0096463B"/>
    <w:rsid w:val="00967869"/>
    <w:rsid w:val="00970475"/>
    <w:rsid w:val="00971F54"/>
    <w:rsid w:val="009725C5"/>
    <w:rsid w:val="009732AD"/>
    <w:rsid w:val="00973F40"/>
    <w:rsid w:val="00973FDF"/>
    <w:rsid w:val="009741C3"/>
    <w:rsid w:val="00974249"/>
    <w:rsid w:val="00975112"/>
    <w:rsid w:val="009806E2"/>
    <w:rsid w:val="00983AA1"/>
    <w:rsid w:val="0098451A"/>
    <w:rsid w:val="009849EF"/>
    <w:rsid w:val="00984BE6"/>
    <w:rsid w:val="00986DB7"/>
    <w:rsid w:val="00992A85"/>
    <w:rsid w:val="0099315B"/>
    <w:rsid w:val="009934CF"/>
    <w:rsid w:val="00993A40"/>
    <w:rsid w:val="00993B80"/>
    <w:rsid w:val="00994D5D"/>
    <w:rsid w:val="00994E30"/>
    <w:rsid w:val="00995364"/>
    <w:rsid w:val="009954B0"/>
    <w:rsid w:val="00995AD7"/>
    <w:rsid w:val="009A04BD"/>
    <w:rsid w:val="009A095D"/>
    <w:rsid w:val="009A0D75"/>
    <w:rsid w:val="009A32D7"/>
    <w:rsid w:val="009A347A"/>
    <w:rsid w:val="009A3DD0"/>
    <w:rsid w:val="009A620E"/>
    <w:rsid w:val="009A7C8A"/>
    <w:rsid w:val="009B3200"/>
    <w:rsid w:val="009B3216"/>
    <w:rsid w:val="009B4115"/>
    <w:rsid w:val="009B4A61"/>
    <w:rsid w:val="009B4D6A"/>
    <w:rsid w:val="009B548D"/>
    <w:rsid w:val="009B6578"/>
    <w:rsid w:val="009B68DB"/>
    <w:rsid w:val="009B6A6F"/>
    <w:rsid w:val="009B6BEB"/>
    <w:rsid w:val="009C0007"/>
    <w:rsid w:val="009C04A3"/>
    <w:rsid w:val="009C0D49"/>
    <w:rsid w:val="009C155B"/>
    <w:rsid w:val="009C1AFE"/>
    <w:rsid w:val="009C3FA3"/>
    <w:rsid w:val="009C4081"/>
    <w:rsid w:val="009C53B4"/>
    <w:rsid w:val="009C5531"/>
    <w:rsid w:val="009C5964"/>
    <w:rsid w:val="009C5F24"/>
    <w:rsid w:val="009D0234"/>
    <w:rsid w:val="009D048B"/>
    <w:rsid w:val="009D18AF"/>
    <w:rsid w:val="009D1FC2"/>
    <w:rsid w:val="009D2179"/>
    <w:rsid w:val="009D2F2C"/>
    <w:rsid w:val="009D3CAC"/>
    <w:rsid w:val="009D3DB3"/>
    <w:rsid w:val="009D5C3E"/>
    <w:rsid w:val="009D69C6"/>
    <w:rsid w:val="009D7EDD"/>
    <w:rsid w:val="009E5419"/>
    <w:rsid w:val="009E5A6E"/>
    <w:rsid w:val="009E5FE8"/>
    <w:rsid w:val="009E60B7"/>
    <w:rsid w:val="009F46DC"/>
    <w:rsid w:val="009F46F2"/>
    <w:rsid w:val="009F789C"/>
    <w:rsid w:val="00A00BF3"/>
    <w:rsid w:val="00A0195F"/>
    <w:rsid w:val="00A01B25"/>
    <w:rsid w:val="00A01C00"/>
    <w:rsid w:val="00A042FF"/>
    <w:rsid w:val="00A05C27"/>
    <w:rsid w:val="00A060A7"/>
    <w:rsid w:val="00A06D9C"/>
    <w:rsid w:val="00A1055E"/>
    <w:rsid w:val="00A1086B"/>
    <w:rsid w:val="00A10AB8"/>
    <w:rsid w:val="00A112F7"/>
    <w:rsid w:val="00A11CAD"/>
    <w:rsid w:val="00A1214F"/>
    <w:rsid w:val="00A14169"/>
    <w:rsid w:val="00A14880"/>
    <w:rsid w:val="00A14949"/>
    <w:rsid w:val="00A1620A"/>
    <w:rsid w:val="00A1620D"/>
    <w:rsid w:val="00A16558"/>
    <w:rsid w:val="00A16AC0"/>
    <w:rsid w:val="00A20835"/>
    <w:rsid w:val="00A20877"/>
    <w:rsid w:val="00A23D31"/>
    <w:rsid w:val="00A24C9B"/>
    <w:rsid w:val="00A26E26"/>
    <w:rsid w:val="00A27124"/>
    <w:rsid w:val="00A27D2B"/>
    <w:rsid w:val="00A301A7"/>
    <w:rsid w:val="00A305C4"/>
    <w:rsid w:val="00A30C34"/>
    <w:rsid w:val="00A30FD3"/>
    <w:rsid w:val="00A33629"/>
    <w:rsid w:val="00A33A31"/>
    <w:rsid w:val="00A35192"/>
    <w:rsid w:val="00A35E2F"/>
    <w:rsid w:val="00A37533"/>
    <w:rsid w:val="00A37891"/>
    <w:rsid w:val="00A37A11"/>
    <w:rsid w:val="00A40A51"/>
    <w:rsid w:val="00A40FA4"/>
    <w:rsid w:val="00A42292"/>
    <w:rsid w:val="00A42F10"/>
    <w:rsid w:val="00A44B26"/>
    <w:rsid w:val="00A46A8D"/>
    <w:rsid w:val="00A47916"/>
    <w:rsid w:val="00A47B53"/>
    <w:rsid w:val="00A47E59"/>
    <w:rsid w:val="00A50746"/>
    <w:rsid w:val="00A509EC"/>
    <w:rsid w:val="00A536DA"/>
    <w:rsid w:val="00A571CD"/>
    <w:rsid w:val="00A57C3D"/>
    <w:rsid w:val="00A61E0F"/>
    <w:rsid w:val="00A61F25"/>
    <w:rsid w:val="00A633BB"/>
    <w:rsid w:val="00A63630"/>
    <w:rsid w:val="00A65CD8"/>
    <w:rsid w:val="00A668B7"/>
    <w:rsid w:val="00A6697B"/>
    <w:rsid w:val="00A74C2D"/>
    <w:rsid w:val="00A75A11"/>
    <w:rsid w:val="00A76B34"/>
    <w:rsid w:val="00A77216"/>
    <w:rsid w:val="00A77D2B"/>
    <w:rsid w:val="00A80644"/>
    <w:rsid w:val="00A83487"/>
    <w:rsid w:val="00A84169"/>
    <w:rsid w:val="00A842AC"/>
    <w:rsid w:val="00A854FF"/>
    <w:rsid w:val="00A867F8"/>
    <w:rsid w:val="00A87035"/>
    <w:rsid w:val="00A870D7"/>
    <w:rsid w:val="00A8745D"/>
    <w:rsid w:val="00A90F9B"/>
    <w:rsid w:val="00A92694"/>
    <w:rsid w:val="00A93072"/>
    <w:rsid w:val="00A95FB6"/>
    <w:rsid w:val="00A9629C"/>
    <w:rsid w:val="00AA35D5"/>
    <w:rsid w:val="00AA417B"/>
    <w:rsid w:val="00AA533F"/>
    <w:rsid w:val="00AA549A"/>
    <w:rsid w:val="00AA5897"/>
    <w:rsid w:val="00AA5A86"/>
    <w:rsid w:val="00AA70FB"/>
    <w:rsid w:val="00AB010D"/>
    <w:rsid w:val="00AB0749"/>
    <w:rsid w:val="00AB1209"/>
    <w:rsid w:val="00AB3B2F"/>
    <w:rsid w:val="00AB5709"/>
    <w:rsid w:val="00AB672D"/>
    <w:rsid w:val="00AB76D8"/>
    <w:rsid w:val="00AB7E6A"/>
    <w:rsid w:val="00AC1B61"/>
    <w:rsid w:val="00AC2C6E"/>
    <w:rsid w:val="00AC5EE6"/>
    <w:rsid w:val="00AC63CF"/>
    <w:rsid w:val="00AC641F"/>
    <w:rsid w:val="00AD0D24"/>
    <w:rsid w:val="00AD0FA2"/>
    <w:rsid w:val="00AD1923"/>
    <w:rsid w:val="00AD2611"/>
    <w:rsid w:val="00AD268D"/>
    <w:rsid w:val="00AD3AC5"/>
    <w:rsid w:val="00AD3D57"/>
    <w:rsid w:val="00AD477B"/>
    <w:rsid w:val="00AD4882"/>
    <w:rsid w:val="00AD6775"/>
    <w:rsid w:val="00AE0C5D"/>
    <w:rsid w:val="00AE1BA2"/>
    <w:rsid w:val="00AE2DCB"/>
    <w:rsid w:val="00AE4507"/>
    <w:rsid w:val="00AE47BF"/>
    <w:rsid w:val="00AE4BB7"/>
    <w:rsid w:val="00AE5024"/>
    <w:rsid w:val="00AF060E"/>
    <w:rsid w:val="00AF1985"/>
    <w:rsid w:val="00AF1CEC"/>
    <w:rsid w:val="00AF36A2"/>
    <w:rsid w:val="00AF43B2"/>
    <w:rsid w:val="00AF47CE"/>
    <w:rsid w:val="00AF55CD"/>
    <w:rsid w:val="00AF6432"/>
    <w:rsid w:val="00AF6B9D"/>
    <w:rsid w:val="00AF75BE"/>
    <w:rsid w:val="00AF7614"/>
    <w:rsid w:val="00AF79BD"/>
    <w:rsid w:val="00B014BD"/>
    <w:rsid w:val="00B05C6D"/>
    <w:rsid w:val="00B07F12"/>
    <w:rsid w:val="00B1415B"/>
    <w:rsid w:val="00B15278"/>
    <w:rsid w:val="00B21671"/>
    <w:rsid w:val="00B217E2"/>
    <w:rsid w:val="00B21E30"/>
    <w:rsid w:val="00B234EC"/>
    <w:rsid w:val="00B23DCB"/>
    <w:rsid w:val="00B26473"/>
    <w:rsid w:val="00B26FD2"/>
    <w:rsid w:val="00B2732B"/>
    <w:rsid w:val="00B274AE"/>
    <w:rsid w:val="00B274BF"/>
    <w:rsid w:val="00B30510"/>
    <w:rsid w:val="00B31222"/>
    <w:rsid w:val="00B32215"/>
    <w:rsid w:val="00B32C53"/>
    <w:rsid w:val="00B36076"/>
    <w:rsid w:val="00B42E81"/>
    <w:rsid w:val="00B4329D"/>
    <w:rsid w:val="00B434FC"/>
    <w:rsid w:val="00B443F5"/>
    <w:rsid w:val="00B44D40"/>
    <w:rsid w:val="00B4561F"/>
    <w:rsid w:val="00B46640"/>
    <w:rsid w:val="00B5055C"/>
    <w:rsid w:val="00B51F5F"/>
    <w:rsid w:val="00B520F9"/>
    <w:rsid w:val="00B523E2"/>
    <w:rsid w:val="00B52812"/>
    <w:rsid w:val="00B5495A"/>
    <w:rsid w:val="00B54E2E"/>
    <w:rsid w:val="00B56A19"/>
    <w:rsid w:val="00B577A3"/>
    <w:rsid w:val="00B6087A"/>
    <w:rsid w:val="00B6258B"/>
    <w:rsid w:val="00B63C68"/>
    <w:rsid w:val="00B63C6B"/>
    <w:rsid w:val="00B64641"/>
    <w:rsid w:val="00B65BDF"/>
    <w:rsid w:val="00B667D0"/>
    <w:rsid w:val="00B67D24"/>
    <w:rsid w:val="00B67D38"/>
    <w:rsid w:val="00B7059A"/>
    <w:rsid w:val="00B7262F"/>
    <w:rsid w:val="00B727C5"/>
    <w:rsid w:val="00B72A7F"/>
    <w:rsid w:val="00B73FD4"/>
    <w:rsid w:val="00B7480A"/>
    <w:rsid w:val="00B74FC5"/>
    <w:rsid w:val="00B75A6C"/>
    <w:rsid w:val="00B81B8B"/>
    <w:rsid w:val="00B82F2D"/>
    <w:rsid w:val="00B83E2A"/>
    <w:rsid w:val="00B83E38"/>
    <w:rsid w:val="00B855DE"/>
    <w:rsid w:val="00B85DF3"/>
    <w:rsid w:val="00B86869"/>
    <w:rsid w:val="00B86C19"/>
    <w:rsid w:val="00B86E6F"/>
    <w:rsid w:val="00B870C6"/>
    <w:rsid w:val="00B9243B"/>
    <w:rsid w:val="00B92EDF"/>
    <w:rsid w:val="00B93510"/>
    <w:rsid w:val="00B93E33"/>
    <w:rsid w:val="00B94324"/>
    <w:rsid w:val="00B94F72"/>
    <w:rsid w:val="00B954F3"/>
    <w:rsid w:val="00B95BCD"/>
    <w:rsid w:val="00B95CDC"/>
    <w:rsid w:val="00B95CE5"/>
    <w:rsid w:val="00BA0D0B"/>
    <w:rsid w:val="00BA0ED5"/>
    <w:rsid w:val="00BA37A8"/>
    <w:rsid w:val="00BA3B45"/>
    <w:rsid w:val="00BA3B4C"/>
    <w:rsid w:val="00BA3EA8"/>
    <w:rsid w:val="00BA423D"/>
    <w:rsid w:val="00BA642D"/>
    <w:rsid w:val="00BA76CC"/>
    <w:rsid w:val="00BA7EBF"/>
    <w:rsid w:val="00BB060B"/>
    <w:rsid w:val="00BB1891"/>
    <w:rsid w:val="00BB375D"/>
    <w:rsid w:val="00BB49A0"/>
    <w:rsid w:val="00BB5067"/>
    <w:rsid w:val="00BB515F"/>
    <w:rsid w:val="00BB539C"/>
    <w:rsid w:val="00BB5DFF"/>
    <w:rsid w:val="00BC1FA5"/>
    <w:rsid w:val="00BC2C0C"/>
    <w:rsid w:val="00BC55E5"/>
    <w:rsid w:val="00BC64F5"/>
    <w:rsid w:val="00BC732A"/>
    <w:rsid w:val="00BC758B"/>
    <w:rsid w:val="00BD181B"/>
    <w:rsid w:val="00BD2EAC"/>
    <w:rsid w:val="00BD4BB3"/>
    <w:rsid w:val="00BD5CDF"/>
    <w:rsid w:val="00BE17C6"/>
    <w:rsid w:val="00BE19FD"/>
    <w:rsid w:val="00BE2BD3"/>
    <w:rsid w:val="00BE4865"/>
    <w:rsid w:val="00BE69BF"/>
    <w:rsid w:val="00BE6A3C"/>
    <w:rsid w:val="00BE725A"/>
    <w:rsid w:val="00BE7430"/>
    <w:rsid w:val="00BE7B48"/>
    <w:rsid w:val="00BF166F"/>
    <w:rsid w:val="00BF3381"/>
    <w:rsid w:val="00BF5FA5"/>
    <w:rsid w:val="00BF6AA8"/>
    <w:rsid w:val="00C05514"/>
    <w:rsid w:val="00C05543"/>
    <w:rsid w:val="00C105B6"/>
    <w:rsid w:val="00C10FCF"/>
    <w:rsid w:val="00C11FAF"/>
    <w:rsid w:val="00C12969"/>
    <w:rsid w:val="00C12AA0"/>
    <w:rsid w:val="00C13895"/>
    <w:rsid w:val="00C143EE"/>
    <w:rsid w:val="00C1575E"/>
    <w:rsid w:val="00C158CC"/>
    <w:rsid w:val="00C16B4B"/>
    <w:rsid w:val="00C17427"/>
    <w:rsid w:val="00C20C00"/>
    <w:rsid w:val="00C20C99"/>
    <w:rsid w:val="00C210FD"/>
    <w:rsid w:val="00C2198B"/>
    <w:rsid w:val="00C21EB2"/>
    <w:rsid w:val="00C22901"/>
    <w:rsid w:val="00C22F6B"/>
    <w:rsid w:val="00C23131"/>
    <w:rsid w:val="00C25238"/>
    <w:rsid w:val="00C305C8"/>
    <w:rsid w:val="00C305F2"/>
    <w:rsid w:val="00C307AF"/>
    <w:rsid w:val="00C3345C"/>
    <w:rsid w:val="00C3368B"/>
    <w:rsid w:val="00C33C9A"/>
    <w:rsid w:val="00C354FC"/>
    <w:rsid w:val="00C3688D"/>
    <w:rsid w:val="00C37E13"/>
    <w:rsid w:val="00C4043F"/>
    <w:rsid w:val="00C407E5"/>
    <w:rsid w:val="00C41ABD"/>
    <w:rsid w:val="00C42DAC"/>
    <w:rsid w:val="00C4342B"/>
    <w:rsid w:val="00C436FC"/>
    <w:rsid w:val="00C45906"/>
    <w:rsid w:val="00C459A9"/>
    <w:rsid w:val="00C45A59"/>
    <w:rsid w:val="00C502A5"/>
    <w:rsid w:val="00C509C7"/>
    <w:rsid w:val="00C521F7"/>
    <w:rsid w:val="00C53008"/>
    <w:rsid w:val="00C55151"/>
    <w:rsid w:val="00C558FF"/>
    <w:rsid w:val="00C560FA"/>
    <w:rsid w:val="00C5682B"/>
    <w:rsid w:val="00C570C5"/>
    <w:rsid w:val="00C57FF9"/>
    <w:rsid w:val="00C61E36"/>
    <w:rsid w:val="00C64434"/>
    <w:rsid w:val="00C65596"/>
    <w:rsid w:val="00C659E5"/>
    <w:rsid w:val="00C6622F"/>
    <w:rsid w:val="00C7063C"/>
    <w:rsid w:val="00C721C2"/>
    <w:rsid w:val="00C724AF"/>
    <w:rsid w:val="00C73C57"/>
    <w:rsid w:val="00C74101"/>
    <w:rsid w:val="00C74625"/>
    <w:rsid w:val="00C74D43"/>
    <w:rsid w:val="00C75CA7"/>
    <w:rsid w:val="00C7663A"/>
    <w:rsid w:val="00C766D6"/>
    <w:rsid w:val="00C802AF"/>
    <w:rsid w:val="00C8079B"/>
    <w:rsid w:val="00C809C5"/>
    <w:rsid w:val="00C81C46"/>
    <w:rsid w:val="00C82E93"/>
    <w:rsid w:val="00C85675"/>
    <w:rsid w:val="00C901BB"/>
    <w:rsid w:val="00C90CD3"/>
    <w:rsid w:val="00C923D7"/>
    <w:rsid w:val="00C92552"/>
    <w:rsid w:val="00C93499"/>
    <w:rsid w:val="00C93F1B"/>
    <w:rsid w:val="00C9604C"/>
    <w:rsid w:val="00C976D1"/>
    <w:rsid w:val="00CA0E6B"/>
    <w:rsid w:val="00CA19C7"/>
    <w:rsid w:val="00CA1FCA"/>
    <w:rsid w:val="00CA1FD7"/>
    <w:rsid w:val="00CA35E0"/>
    <w:rsid w:val="00CA71D4"/>
    <w:rsid w:val="00CA7770"/>
    <w:rsid w:val="00CB1F3C"/>
    <w:rsid w:val="00CB4FC8"/>
    <w:rsid w:val="00CB5D29"/>
    <w:rsid w:val="00CB675A"/>
    <w:rsid w:val="00CB6D8D"/>
    <w:rsid w:val="00CB782B"/>
    <w:rsid w:val="00CC0525"/>
    <w:rsid w:val="00CC0E77"/>
    <w:rsid w:val="00CC1745"/>
    <w:rsid w:val="00CC2092"/>
    <w:rsid w:val="00CC248A"/>
    <w:rsid w:val="00CC302A"/>
    <w:rsid w:val="00CC5D85"/>
    <w:rsid w:val="00CC5E76"/>
    <w:rsid w:val="00CC71F9"/>
    <w:rsid w:val="00CC765A"/>
    <w:rsid w:val="00CC7B01"/>
    <w:rsid w:val="00CD3A5D"/>
    <w:rsid w:val="00CD5CBA"/>
    <w:rsid w:val="00CD5FD4"/>
    <w:rsid w:val="00CD7789"/>
    <w:rsid w:val="00CE0DCE"/>
    <w:rsid w:val="00CE1A0F"/>
    <w:rsid w:val="00CE1BC9"/>
    <w:rsid w:val="00CE1DAA"/>
    <w:rsid w:val="00CE33C1"/>
    <w:rsid w:val="00CE3AFD"/>
    <w:rsid w:val="00CE4DD6"/>
    <w:rsid w:val="00CE5178"/>
    <w:rsid w:val="00CE692A"/>
    <w:rsid w:val="00CE6A95"/>
    <w:rsid w:val="00CE76FF"/>
    <w:rsid w:val="00CF4012"/>
    <w:rsid w:val="00CF5C25"/>
    <w:rsid w:val="00CF5EB3"/>
    <w:rsid w:val="00CF6082"/>
    <w:rsid w:val="00CF7AA3"/>
    <w:rsid w:val="00CF7F57"/>
    <w:rsid w:val="00D0153B"/>
    <w:rsid w:val="00D01BAA"/>
    <w:rsid w:val="00D02BC6"/>
    <w:rsid w:val="00D0310D"/>
    <w:rsid w:val="00D034E6"/>
    <w:rsid w:val="00D05803"/>
    <w:rsid w:val="00D05C7C"/>
    <w:rsid w:val="00D06906"/>
    <w:rsid w:val="00D07742"/>
    <w:rsid w:val="00D100AE"/>
    <w:rsid w:val="00D110D4"/>
    <w:rsid w:val="00D1276A"/>
    <w:rsid w:val="00D13D25"/>
    <w:rsid w:val="00D14B4B"/>
    <w:rsid w:val="00D14DB7"/>
    <w:rsid w:val="00D14E1A"/>
    <w:rsid w:val="00D15ED5"/>
    <w:rsid w:val="00D1652E"/>
    <w:rsid w:val="00D20771"/>
    <w:rsid w:val="00D22B6A"/>
    <w:rsid w:val="00D23161"/>
    <w:rsid w:val="00D23C5E"/>
    <w:rsid w:val="00D255CF"/>
    <w:rsid w:val="00D25CC9"/>
    <w:rsid w:val="00D2649C"/>
    <w:rsid w:val="00D26B5D"/>
    <w:rsid w:val="00D319F1"/>
    <w:rsid w:val="00D340B1"/>
    <w:rsid w:val="00D348F7"/>
    <w:rsid w:val="00D351E9"/>
    <w:rsid w:val="00D3618F"/>
    <w:rsid w:val="00D36FAC"/>
    <w:rsid w:val="00D3703D"/>
    <w:rsid w:val="00D37ADF"/>
    <w:rsid w:val="00D37F2B"/>
    <w:rsid w:val="00D4063A"/>
    <w:rsid w:val="00D40BC3"/>
    <w:rsid w:val="00D422ED"/>
    <w:rsid w:val="00D4260E"/>
    <w:rsid w:val="00D434EC"/>
    <w:rsid w:val="00D44071"/>
    <w:rsid w:val="00D444D0"/>
    <w:rsid w:val="00D44E9D"/>
    <w:rsid w:val="00D45143"/>
    <w:rsid w:val="00D46E5C"/>
    <w:rsid w:val="00D472A7"/>
    <w:rsid w:val="00D50860"/>
    <w:rsid w:val="00D5653C"/>
    <w:rsid w:val="00D569DE"/>
    <w:rsid w:val="00D56F64"/>
    <w:rsid w:val="00D61A0E"/>
    <w:rsid w:val="00D63E0A"/>
    <w:rsid w:val="00D64076"/>
    <w:rsid w:val="00D64985"/>
    <w:rsid w:val="00D65317"/>
    <w:rsid w:val="00D717D8"/>
    <w:rsid w:val="00D71CF9"/>
    <w:rsid w:val="00D735AE"/>
    <w:rsid w:val="00D75B45"/>
    <w:rsid w:val="00D75FF9"/>
    <w:rsid w:val="00D77FCD"/>
    <w:rsid w:val="00D80ED6"/>
    <w:rsid w:val="00D80F9D"/>
    <w:rsid w:val="00D81BAE"/>
    <w:rsid w:val="00D81D28"/>
    <w:rsid w:val="00D8255C"/>
    <w:rsid w:val="00D849DD"/>
    <w:rsid w:val="00D84B17"/>
    <w:rsid w:val="00D8507D"/>
    <w:rsid w:val="00D86735"/>
    <w:rsid w:val="00D86C7D"/>
    <w:rsid w:val="00D8718E"/>
    <w:rsid w:val="00D871FB"/>
    <w:rsid w:val="00D87D20"/>
    <w:rsid w:val="00D90C57"/>
    <w:rsid w:val="00D90C9D"/>
    <w:rsid w:val="00D90E57"/>
    <w:rsid w:val="00D91910"/>
    <w:rsid w:val="00D91AA8"/>
    <w:rsid w:val="00D92FBC"/>
    <w:rsid w:val="00D944A6"/>
    <w:rsid w:val="00D95B92"/>
    <w:rsid w:val="00D95C7A"/>
    <w:rsid w:val="00D96BF1"/>
    <w:rsid w:val="00D96FC3"/>
    <w:rsid w:val="00DA12C3"/>
    <w:rsid w:val="00DA1E68"/>
    <w:rsid w:val="00DA2571"/>
    <w:rsid w:val="00DA33C6"/>
    <w:rsid w:val="00DA3D83"/>
    <w:rsid w:val="00DA45F0"/>
    <w:rsid w:val="00DA495D"/>
    <w:rsid w:val="00DA49A7"/>
    <w:rsid w:val="00DA7BA0"/>
    <w:rsid w:val="00DB0995"/>
    <w:rsid w:val="00DB3C6E"/>
    <w:rsid w:val="00DB469A"/>
    <w:rsid w:val="00DB52C3"/>
    <w:rsid w:val="00DB54C3"/>
    <w:rsid w:val="00DB58C7"/>
    <w:rsid w:val="00DB5DA3"/>
    <w:rsid w:val="00DB7E5F"/>
    <w:rsid w:val="00DC10B0"/>
    <w:rsid w:val="00DC1594"/>
    <w:rsid w:val="00DC24E5"/>
    <w:rsid w:val="00DC3DA9"/>
    <w:rsid w:val="00DC4BCD"/>
    <w:rsid w:val="00DC597C"/>
    <w:rsid w:val="00DC5CE3"/>
    <w:rsid w:val="00DC79C7"/>
    <w:rsid w:val="00DD0768"/>
    <w:rsid w:val="00DD1107"/>
    <w:rsid w:val="00DD178F"/>
    <w:rsid w:val="00DD1FE4"/>
    <w:rsid w:val="00DD3288"/>
    <w:rsid w:val="00DD4737"/>
    <w:rsid w:val="00DE01D8"/>
    <w:rsid w:val="00DE02D0"/>
    <w:rsid w:val="00DE0964"/>
    <w:rsid w:val="00DE2847"/>
    <w:rsid w:val="00DE2966"/>
    <w:rsid w:val="00DE2E2F"/>
    <w:rsid w:val="00DE4107"/>
    <w:rsid w:val="00DE436F"/>
    <w:rsid w:val="00DF0B5E"/>
    <w:rsid w:val="00DF0ED5"/>
    <w:rsid w:val="00DF5BEA"/>
    <w:rsid w:val="00DF72D9"/>
    <w:rsid w:val="00DF79E6"/>
    <w:rsid w:val="00DF7EC8"/>
    <w:rsid w:val="00E028ED"/>
    <w:rsid w:val="00E02A57"/>
    <w:rsid w:val="00E02AA7"/>
    <w:rsid w:val="00E04660"/>
    <w:rsid w:val="00E04BA2"/>
    <w:rsid w:val="00E068A5"/>
    <w:rsid w:val="00E104F6"/>
    <w:rsid w:val="00E10748"/>
    <w:rsid w:val="00E1094C"/>
    <w:rsid w:val="00E1100F"/>
    <w:rsid w:val="00E11030"/>
    <w:rsid w:val="00E11413"/>
    <w:rsid w:val="00E12975"/>
    <w:rsid w:val="00E12F57"/>
    <w:rsid w:val="00E14282"/>
    <w:rsid w:val="00E17ABD"/>
    <w:rsid w:val="00E200BA"/>
    <w:rsid w:val="00E215C5"/>
    <w:rsid w:val="00E2194D"/>
    <w:rsid w:val="00E2346B"/>
    <w:rsid w:val="00E2716B"/>
    <w:rsid w:val="00E27DDF"/>
    <w:rsid w:val="00E27E01"/>
    <w:rsid w:val="00E27F79"/>
    <w:rsid w:val="00E30A90"/>
    <w:rsid w:val="00E32DBA"/>
    <w:rsid w:val="00E350F4"/>
    <w:rsid w:val="00E37482"/>
    <w:rsid w:val="00E4249F"/>
    <w:rsid w:val="00E43469"/>
    <w:rsid w:val="00E43716"/>
    <w:rsid w:val="00E44303"/>
    <w:rsid w:val="00E4458D"/>
    <w:rsid w:val="00E445DA"/>
    <w:rsid w:val="00E45379"/>
    <w:rsid w:val="00E47D9F"/>
    <w:rsid w:val="00E50B22"/>
    <w:rsid w:val="00E50C4F"/>
    <w:rsid w:val="00E51E18"/>
    <w:rsid w:val="00E522D9"/>
    <w:rsid w:val="00E533BD"/>
    <w:rsid w:val="00E53706"/>
    <w:rsid w:val="00E567AD"/>
    <w:rsid w:val="00E573C6"/>
    <w:rsid w:val="00E57CE2"/>
    <w:rsid w:val="00E61343"/>
    <w:rsid w:val="00E613BA"/>
    <w:rsid w:val="00E617BD"/>
    <w:rsid w:val="00E618D9"/>
    <w:rsid w:val="00E63BDE"/>
    <w:rsid w:val="00E645B8"/>
    <w:rsid w:val="00E650EA"/>
    <w:rsid w:val="00E67B7B"/>
    <w:rsid w:val="00E67E3F"/>
    <w:rsid w:val="00E70503"/>
    <w:rsid w:val="00E705B4"/>
    <w:rsid w:val="00E70BBB"/>
    <w:rsid w:val="00E713BD"/>
    <w:rsid w:val="00E715DE"/>
    <w:rsid w:val="00E72967"/>
    <w:rsid w:val="00E72A19"/>
    <w:rsid w:val="00E74768"/>
    <w:rsid w:val="00E759B2"/>
    <w:rsid w:val="00E770B3"/>
    <w:rsid w:val="00E77BF2"/>
    <w:rsid w:val="00E801F1"/>
    <w:rsid w:val="00E811C3"/>
    <w:rsid w:val="00E8155D"/>
    <w:rsid w:val="00E829A2"/>
    <w:rsid w:val="00E86361"/>
    <w:rsid w:val="00E90C37"/>
    <w:rsid w:val="00E90EB9"/>
    <w:rsid w:val="00E94E54"/>
    <w:rsid w:val="00E9718F"/>
    <w:rsid w:val="00E973ED"/>
    <w:rsid w:val="00EA0E04"/>
    <w:rsid w:val="00EA0F11"/>
    <w:rsid w:val="00EA1E39"/>
    <w:rsid w:val="00EA220D"/>
    <w:rsid w:val="00EA23CF"/>
    <w:rsid w:val="00EA3156"/>
    <w:rsid w:val="00EA39C8"/>
    <w:rsid w:val="00EA40A2"/>
    <w:rsid w:val="00EA4CD5"/>
    <w:rsid w:val="00EA4FB4"/>
    <w:rsid w:val="00EA518C"/>
    <w:rsid w:val="00EA58FB"/>
    <w:rsid w:val="00EA5D2C"/>
    <w:rsid w:val="00EA5D8E"/>
    <w:rsid w:val="00EA68DA"/>
    <w:rsid w:val="00EB07CF"/>
    <w:rsid w:val="00EB092D"/>
    <w:rsid w:val="00EB0F45"/>
    <w:rsid w:val="00EB1E67"/>
    <w:rsid w:val="00EB2028"/>
    <w:rsid w:val="00EB3B88"/>
    <w:rsid w:val="00EB3C58"/>
    <w:rsid w:val="00EC0EDC"/>
    <w:rsid w:val="00EC3B8F"/>
    <w:rsid w:val="00EC5CA0"/>
    <w:rsid w:val="00EC5DB9"/>
    <w:rsid w:val="00EC7372"/>
    <w:rsid w:val="00EC763F"/>
    <w:rsid w:val="00ED30E8"/>
    <w:rsid w:val="00ED3B69"/>
    <w:rsid w:val="00ED48BE"/>
    <w:rsid w:val="00ED554A"/>
    <w:rsid w:val="00ED57FE"/>
    <w:rsid w:val="00ED6CD1"/>
    <w:rsid w:val="00EE1474"/>
    <w:rsid w:val="00EE14AC"/>
    <w:rsid w:val="00EE3548"/>
    <w:rsid w:val="00EE5F2E"/>
    <w:rsid w:val="00EE693B"/>
    <w:rsid w:val="00EE6B2A"/>
    <w:rsid w:val="00EE783F"/>
    <w:rsid w:val="00EE7C15"/>
    <w:rsid w:val="00EF045F"/>
    <w:rsid w:val="00EF17CF"/>
    <w:rsid w:val="00EF26B5"/>
    <w:rsid w:val="00EF35DA"/>
    <w:rsid w:val="00EF4A64"/>
    <w:rsid w:val="00EF4D79"/>
    <w:rsid w:val="00EF5C00"/>
    <w:rsid w:val="00EF7891"/>
    <w:rsid w:val="00EF7970"/>
    <w:rsid w:val="00F00407"/>
    <w:rsid w:val="00F02171"/>
    <w:rsid w:val="00F02559"/>
    <w:rsid w:val="00F033EF"/>
    <w:rsid w:val="00F061A6"/>
    <w:rsid w:val="00F107AF"/>
    <w:rsid w:val="00F11A06"/>
    <w:rsid w:val="00F11AB3"/>
    <w:rsid w:val="00F1285A"/>
    <w:rsid w:val="00F12DD0"/>
    <w:rsid w:val="00F14F49"/>
    <w:rsid w:val="00F15B68"/>
    <w:rsid w:val="00F15D77"/>
    <w:rsid w:val="00F20021"/>
    <w:rsid w:val="00F20633"/>
    <w:rsid w:val="00F218DA"/>
    <w:rsid w:val="00F231F4"/>
    <w:rsid w:val="00F23595"/>
    <w:rsid w:val="00F23E81"/>
    <w:rsid w:val="00F25CFE"/>
    <w:rsid w:val="00F3060F"/>
    <w:rsid w:val="00F30788"/>
    <w:rsid w:val="00F32886"/>
    <w:rsid w:val="00F35243"/>
    <w:rsid w:val="00F3684D"/>
    <w:rsid w:val="00F368AF"/>
    <w:rsid w:val="00F4018F"/>
    <w:rsid w:val="00F429B7"/>
    <w:rsid w:val="00F43E6E"/>
    <w:rsid w:val="00F43F4A"/>
    <w:rsid w:val="00F44363"/>
    <w:rsid w:val="00F44423"/>
    <w:rsid w:val="00F45199"/>
    <w:rsid w:val="00F454DD"/>
    <w:rsid w:val="00F45C9D"/>
    <w:rsid w:val="00F51236"/>
    <w:rsid w:val="00F51B47"/>
    <w:rsid w:val="00F5374C"/>
    <w:rsid w:val="00F541B8"/>
    <w:rsid w:val="00F5474D"/>
    <w:rsid w:val="00F54F4F"/>
    <w:rsid w:val="00F56CC2"/>
    <w:rsid w:val="00F574B7"/>
    <w:rsid w:val="00F60BC0"/>
    <w:rsid w:val="00F61B7F"/>
    <w:rsid w:val="00F61C75"/>
    <w:rsid w:val="00F62370"/>
    <w:rsid w:val="00F62437"/>
    <w:rsid w:val="00F628D3"/>
    <w:rsid w:val="00F62DC7"/>
    <w:rsid w:val="00F6497E"/>
    <w:rsid w:val="00F6610C"/>
    <w:rsid w:val="00F677E2"/>
    <w:rsid w:val="00F67C16"/>
    <w:rsid w:val="00F71FD1"/>
    <w:rsid w:val="00F73751"/>
    <w:rsid w:val="00F75A95"/>
    <w:rsid w:val="00F75EAD"/>
    <w:rsid w:val="00F77154"/>
    <w:rsid w:val="00F77239"/>
    <w:rsid w:val="00F774D1"/>
    <w:rsid w:val="00F80820"/>
    <w:rsid w:val="00F80F33"/>
    <w:rsid w:val="00F846D6"/>
    <w:rsid w:val="00F860C5"/>
    <w:rsid w:val="00F906D2"/>
    <w:rsid w:val="00F907E8"/>
    <w:rsid w:val="00F9173A"/>
    <w:rsid w:val="00F91800"/>
    <w:rsid w:val="00F91F31"/>
    <w:rsid w:val="00F94BA1"/>
    <w:rsid w:val="00F94D81"/>
    <w:rsid w:val="00F94E99"/>
    <w:rsid w:val="00F95447"/>
    <w:rsid w:val="00F9650A"/>
    <w:rsid w:val="00F965BB"/>
    <w:rsid w:val="00F967C7"/>
    <w:rsid w:val="00F96908"/>
    <w:rsid w:val="00FA0437"/>
    <w:rsid w:val="00FA16EC"/>
    <w:rsid w:val="00FA233F"/>
    <w:rsid w:val="00FA2E05"/>
    <w:rsid w:val="00FA2E5F"/>
    <w:rsid w:val="00FA32DB"/>
    <w:rsid w:val="00FA6902"/>
    <w:rsid w:val="00FA7D57"/>
    <w:rsid w:val="00FB0008"/>
    <w:rsid w:val="00FB071C"/>
    <w:rsid w:val="00FB3B2A"/>
    <w:rsid w:val="00FB3EA0"/>
    <w:rsid w:val="00FB4127"/>
    <w:rsid w:val="00FB55F4"/>
    <w:rsid w:val="00FB6B37"/>
    <w:rsid w:val="00FB7962"/>
    <w:rsid w:val="00FC0B63"/>
    <w:rsid w:val="00FC1A4F"/>
    <w:rsid w:val="00FC2209"/>
    <w:rsid w:val="00FC3860"/>
    <w:rsid w:val="00FC3FFA"/>
    <w:rsid w:val="00FC44B0"/>
    <w:rsid w:val="00FC5F6B"/>
    <w:rsid w:val="00FC61D1"/>
    <w:rsid w:val="00FC638E"/>
    <w:rsid w:val="00FC7531"/>
    <w:rsid w:val="00FC7902"/>
    <w:rsid w:val="00FC7EAA"/>
    <w:rsid w:val="00FD1156"/>
    <w:rsid w:val="00FD3F39"/>
    <w:rsid w:val="00FD4B62"/>
    <w:rsid w:val="00FD4FA5"/>
    <w:rsid w:val="00FD5166"/>
    <w:rsid w:val="00FD5AA4"/>
    <w:rsid w:val="00FD7651"/>
    <w:rsid w:val="00FE46AD"/>
    <w:rsid w:val="00FE52E4"/>
    <w:rsid w:val="00FE5410"/>
    <w:rsid w:val="00FE66C4"/>
    <w:rsid w:val="00FF12E1"/>
    <w:rsid w:val="00FF1A96"/>
    <w:rsid w:val="00FF2D44"/>
    <w:rsid w:val="00FF456A"/>
    <w:rsid w:val="00FF6204"/>
    <w:rsid w:val="00FF625D"/>
    <w:rsid w:val="00FF62CB"/>
    <w:rsid w:val="00FF634D"/>
    <w:rsid w:val="00FF6BDF"/>
    <w:rsid w:val="00FF6D25"/>
    <w:rsid w:val="00FF7C50"/>
  </w:rsids>
  <m:mathPr>
    <m:mathFont m:val="Cambria Math"/>
    <m:brkBin m:val="before"/>
    <m:brkBinSub m:val="--"/>
    <m:smallFrac/>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2"/>
    <o:shapelayout v:ext="edit">
      <o:idmap v:ext="edit" data="1"/>
    </o:shapelayout>
  </w:shapeDefaults>
  <w:decimalSymbol w:val="."/>
  <w:listSeparator w:val=","/>
  <w14:docId w14:val="57E203EB"/>
  <w15:docId w15:val="{DA0195A1-1DB8-4A80-AB5D-45EAC36255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F1820"/>
    <w:pPr>
      <w:spacing w:after="0" w:line="240" w:lineRule="auto"/>
    </w:pPr>
    <w:rPr>
      <w:rFonts w:ascii="Times New Roman" w:eastAsia="Times New Roman" w:hAnsi="Times New Roman" w:cs="Times New Roman"/>
      <w:sz w:val="20"/>
      <w:szCs w:val="20"/>
      <w:lang w:eastAsia="es-ES"/>
    </w:rPr>
  </w:style>
  <w:style w:type="paragraph" w:styleId="Ttulo1">
    <w:name w:val="heading 1"/>
    <w:basedOn w:val="Normal"/>
    <w:next w:val="Normal"/>
    <w:link w:val="Ttulo1Car"/>
    <w:uiPriority w:val="9"/>
    <w:qFormat/>
    <w:rsid w:val="004717ED"/>
    <w:pPr>
      <w:keepNext/>
      <w:keepLines/>
      <w:spacing w:before="240"/>
      <w:jc w:val="center"/>
      <w:outlineLvl w:val="0"/>
    </w:pPr>
    <w:rPr>
      <w:rFonts w:ascii="Palatino Linotype" w:eastAsiaTheme="majorEastAsia" w:hAnsi="Palatino Linotype" w:cstheme="majorBidi"/>
      <w:b/>
      <w:sz w:val="22"/>
      <w:szCs w:val="32"/>
    </w:rPr>
  </w:style>
  <w:style w:type="paragraph" w:styleId="Ttulo2">
    <w:name w:val="heading 2"/>
    <w:basedOn w:val="Normal"/>
    <w:next w:val="Normal"/>
    <w:link w:val="Ttulo2Car"/>
    <w:uiPriority w:val="9"/>
    <w:unhideWhenUsed/>
    <w:qFormat/>
    <w:rsid w:val="004717ED"/>
    <w:pPr>
      <w:keepNext/>
      <w:keepLines/>
      <w:spacing w:before="40"/>
      <w:outlineLvl w:val="1"/>
    </w:pPr>
    <w:rPr>
      <w:rFonts w:ascii="Palatino Linotype" w:eastAsiaTheme="majorEastAsia" w:hAnsi="Palatino Linotype" w:cstheme="majorBidi"/>
      <w:b/>
      <w:color w:val="000000" w:themeColor="text1"/>
      <w:sz w:val="22"/>
      <w:szCs w:val="26"/>
    </w:rPr>
  </w:style>
  <w:style w:type="paragraph" w:styleId="Ttulo3">
    <w:name w:val="heading 3"/>
    <w:basedOn w:val="Normal"/>
    <w:next w:val="Normal"/>
    <w:link w:val="Ttulo3Car"/>
    <w:uiPriority w:val="9"/>
    <w:unhideWhenUsed/>
    <w:qFormat/>
    <w:rsid w:val="004717ED"/>
    <w:pPr>
      <w:keepNext/>
      <w:keepLines/>
      <w:spacing w:before="40"/>
      <w:outlineLvl w:val="2"/>
    </w:pPr>
    <w:rPr>
      <w:rFonts w:ascii="Palatino Linotype" w:eastAsiaTheme="majorEastAsia" w:hAnsi="Palatino Linotype" w:cstheme="majorBidi"/>
      <w:b/>
      <w:color w:val="000000" w:themeColor="text1"/>
      <w:sz w:val="22"/>
      <w:szCs w:val="24"/>
    </w:rPr>
  </w:style>
  <w:style w:type="paragraph" w:styleId="Ttulo5">
    <w:name w:val="heading 5"/>
    <w:basedOn w:val="Normal"/>
    <w:next w:val="Normal"/>
    <w:link w:val="Ttulo5Car"/>
    <w:uiPriority w:val="9"/>
    <w:semiHidden/>
    <w:unhideWhenUsed/>
    <w:qFormat/>
    <w:rsid w:val="00C5682B"/>
    <w:pPr>
      <w:keepNext/>
      <w:keepLines/>
      <w:spacing w:before="40"/>
      <w:outlineLvl w:val="4"/>
    </w:pPr>
    <w:rPr>
      <w:rFonts w:asciiTheme="majorHAnsi" w:eastAsiaTheme="majorEastAsia" w:hAnsiTheme="majorHAnsi" w:cstheme="majorBidi"/>
      <w:color w:val="2F5496" w:themeColor="accent1" w:themeShade="BF"/>
    </w:rPr>
  </w:style>
  <w:style w:type="paragraph" w:styleId="Ttulo6">
    <w:name w:val="heading 6"/>
    <w:basedOn w:val="Normal"/>
    <w:next w:val="Normal"/>
    <w:link w:val="Ttulo6Car"/>
    <w:uiPriority w:val="9"/>
    <w:semiHidden/>
    <w:unhideWhenUsed/>
    <w:qFormat/>
    <w:rsid w:val="00AF7614"/>
    <w:pPr>
      <w:keepNext/>
      <w:keepLines/>
      <w:spacing w:before="40"/>
      <w:outlineLvl w:val="5"/>
    </w:pPr>
    <w:rPr>
      <w:rFonts w:asciiTheme="majorHAnsi" w:eastAsiaTheme="majorEastAsia" w:hAnsiTheme="majorHAnsi" w:cstheme="majorBidi"/>
      <w:color w:val="1F3763"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4717ED"/>
    <w:rPr>
      <w:rFonts w:ascii="Palatino Linotype" w:eastAsiaTheme="majorEastAsia" w:hAnsi="Palatino Linotype" w:cstheme="majorBidi"/>
      <w:b/>
      <w:szCs w:val="32"/>
      <w:lang w:eastAsia="es-ES"/>
    </w:rPr>
  </w:style>
  <w:style w:type="paragraph" w:styleId="Encabezado">
    <w:name w:val="header"/>
    <w:basedOn w:val="Normal"/>
    <w:link w:val="EncabezadoCar"/>
    <w:uiPriority w:val="99"/>
    <w:unhideWhenUsed/>
    <w:rsid w:val="00B31222"/>
    <w:pPr>
      <w:tabs>
        <w:tab w:val="center" w:pos="4419"/>
        <w:tab w:val="right" w:pos="8838"/>
      </w:tabs>
    </w:pPr>
  </w:style>
  <w:style w:type="character" w:customStyle="1" w:styleId="EncabezadoCar">
    <w:name w:val="Encabezado Car"/>
    <w:basedOn w:val="Fuentedeprrafopredeter"/>
    <w:link w:val="Encabezado"/>
    <w:uiPriority w:val="99"/>
    <w:rsid w:val="00B31222"/>
    <w:rPr>
      <w:rFonts w:ascii="Times New Roman" w:eastAsia="Times New Roman" w:hAnsi="Times New Roman" w:cs="Times New Roman"/>
      <w:sz w:val="20"/>
      <w:szCs w:val="20"/>
      <w:lang w:val="es-ES" w:eastAsia="es-ES"/>
    </w:rPr>
  </w:style>
  <w:style w:type="paragraph" w:styleId="Piedepgina">
    <w:name w:val="footer"/>
    <w:basedOn w:val="Normal"/>
    <w:link w:val="PiedepginaCar"/>
    <w:uiPriority w:val="99"/>
    <w:unhideWhenUsed/>
    <w:rsid w:val="00B31222"/>
    <w:pPr>
      <w:tabs>
        <w:tab w:val="center" w:pos="4419"/>
        <w:tab w:val="right" w:pos="8838"/>
      </w:tabs>
    </w:pPr>
  </w:style>
  <w:style w:type="character" w:customStyle="1" w:styleId="PiedepginaCar">
    <w:name w:val="Pie de página Car"/>
    <w:basedOn w:val="Fuentedeprrafopredeter"/>
    <w:link w:val="Piedepgina"/>
    <w:uiPriority w:val="99"/>
    <w:rsid w:val="00B31222"/>
    <w:rPr>
      <w:rFonts w:ascii="Times New Roman" w:eastAsia="Times New Roman" w:hAnsi="Times New Roman" w:cs="Times New Roman"/>
      <w:sz w:val="20"/>
      <w:szCs w:val="20"/>
      <w:lang w:val="es-ES" w:eastAsia="es-ES"/>
    </w:rPr>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rsid w:val="00B31222"/>
    <w:pPr>
      <w:ind w:left="720"/>
      <w:contextualSpacing/>
    </w:pPr>
    <w:rPr>
      <w:rFonts w:ascii="Century Gothic" w:hAnsi="Century Gothic"/>
      <w:sz w:val="22"/>
      <w:szCs w:val="24"/>
    </w:r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basedOn w:val="Fuentedeprrafopredeter"/>
    <w:link w:val="Prrafodelista"/>
    <w:uiPriority w:val="34"/>
    <w:qFormat/>
    <w:rsid w:val="00B31222"/>
    <w:rPr>
      <w:rFonts w:ascii="Century Gothic" w:eastAsia="Times New Roman" w:hAnsi="Century Gothic" w:cs="Times New Roman"/>
      <w:szCs w:val="24"/>
      <w:lang w:eastAsia="es-ES"/>
    </w:rPr>
  </w:style>
  <w:style w:type="character" w:styleId="Hipervnculo">
    <w:name w:val="Hyperlink"/>
    <w:aliases w:val="Hipervínculo1,Hipervínculo11,Hipervínculo12,Hipervínculo13,Hipervínculo14,Hipervínculo15"/>
    <w:basedOn w:val="Fuentedeprrafopredeter"/>
    <w:uiPriority w:val="99"/>
    <w:unhideWhenUsed/>
    <w:qFormat/>
    <w:rsid w:val="00B31222"/>
    <w:rPr>
      <w:color w:val="0563C1" w:themeColor="hyperlink"/>
      <w:u w:val="single"/>
    </w:rPr>
  </w:style>
  <w:style w:type="character" w:styleId="Refdenotaalpie">
    <w:name w:val="footnote reference"/>
    <w:aliases w:val="Ref,de nota al pie,ftref, BVI fnr,16 Point,Superscript 6 Point,(Diplomarbeit FZ),BVI fnr,Footnote Reference,Texto de nota al pie,Footnotes refss,Appel note de bas de page,Footnote number,referencia nota al pie,f,4_G,Texto nota al pie"/>
    <w:basedOn w:val="Fuentedeprrafopredeter"/>
    <w:uiPriority w:val="99"/>
    <w:unhideWhenUsed/>
    <w:qFormat/>
    <w:rsid w:val="00B31222"/>
    <w:rPr>
      <w:vertAlign w:val="superscript"/>
    </w:rPr>
  </w:style>
  <w:style w:type="paragraph" w:styleId="Textonotapie">
    <w:name w:val="footnote text"/>
    <w:aliases w:val="Footnote reference,FA Fu,Footnote Text Char Char Char Char Char,Footnote Text Char Char Char Char,Footnote Text Char Char Char,ADB,single space,footnote text,fn,ft,Footnote Text Char1,Footnote Text Char Char,FOOTNOTES,Schriftart: 9 pt,Ca"/>
    <w:basedOn w:val="Normal"/>
    <w:link w:val="TextonotapieCar"/>
    <w:uiPriority w:val="99"/>
    <w:unhideWhenUsed/>
    <w:qFormat/>
    <w:rsid w:val="00B31222"/>
    <w:rPr>
      <w:rFonts w:ascii="Calibri" w:eastAsia="Calibri" w:hAnsi="Calibri"/>
      <w:lang w:eastAsia="en-US"/>
    </w:rPr>
  </w:style>
  <w:style w:type="character" w:customStyle="1" w:styleId="TextonotapieCar">
    <w:name w:val="Texto nota pie Car"/>
    <w:aliases w:val="Footnote reference Car,FA Fu Car,Footnote Text Char Char Char Char Char Car,Footnote Text Char Char Char Char Car,Footnote Text Char Char Char Car,ADB Car,single space Car,footnote text Car,fn Car,ft Car,Footnote Text Char1 Car,Ca Car"/>
    <w:basedOn w:val="Fuentedeprrafopredeter"/>
    <w:link w:val="Textonotapie"/>
    <w:uiPriority w:val="99"/>
    <w:rsid w:val="00B31222"/>
    <w:rPr>
      <w:rFonts w:ascii="Calibri" w:eastAsia="Calibri" w:hAnsi="Calibri" w:cs="Times New Roman"/>
      <w:sz w:val="20"/>
      <w:szCs w:val="20"/>
    </w:rPr>
  </w:style>
  <w:style w:type="character" w:styleId="Hipervnculovisitado">
    <w:name w:val="FollowedHyperlink"/>
    <w:basedOn w:val="Fuentedeprrafopredeter"/>
    <w:uiPriority w:val="99"/>
    <w:semiHidden/>
    <w:unhideWhenUsed/>
    <w:rsid w:val="00B31222"/>
    <w:rPr>
      <w:color w:val="954F72" w:themeColor="followedHyperlink"/>
      <w:u w:val="single"/>
    </w:rPr>
  </w:style>
  <w:style w:type="table" w:styleId="Tablaconcuadrcula">
    <w:name w:val="Table Grid"/>
    <w:basedOn w:val="Tablanormal"/>
    <w:uiPriority w:val="59"/>
    <w:rsid w:val="00B31222"/>
    <w:pPr>
      <w:spacing w:after="0" w:line="240" w:lineRule="auto"/>
    </w:pPr>
    <w:rPr>
      <w:lang w:val="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unhideWhenUsed/>
    <w:rsid w:val="00B31222"/>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B31222"/>
    <w:rPr>
      <w:rFonts w:ascii="Segoe UI" w:eastAsia="Times New Roman" w:hAnsi="Segoe UI" w:cs="Segoe UI"/>
      <w:sz w:val="18"/>
      <w:szCs w:val="18"/>
      <w:lang w:val="es-ES" w:eastAsia="es-ES"/>
    </w:rPr>
  </w:style>
  <w:style w:type="character" w:styleId="Refdecomentario">
    <w:name w:val="annotation reference"/>
    <w:basedOn w:val="Fuentedeprrafopredeter"/>
    <w:uiPriority w:val="99"/>
    <w:semiHidden/>
    <w:unhideWhenUsed/>
    <w:rsid w:val="00B31222"/>
    <w:rPr>
      <w:sz w:val="16"/>
      <w:szCs w:val="16"/>
    </w:rPr>
  </w:style>
  <w:style w:type="paragraph" w:styleId="Textocomentario">
    <w:name w:val="annotation text"/>
    <w:basedOn w:val="Normal"/>
    <w:link w:val="TextocomentarioCar"/>
    <w:uiPriority w:val="99"/>
    <w:semiHidden/>
    <w:unhideWhenUsed/>
    <w:rsid w:val="00B31222"/>
  </w:style>
  <w:style w:type="character" w:customStyle="1" w:styleId="TextocomentarioCar">
    <w:name w:val="Texto comentario Car"/>
    <w:basedOn w:val="Fuentedeprrafopredeter"/>
    <w:link w:val="Textocomentario"/>
    <w:uiPriority w:val="99"/>
    <w:semiHidden/>
    <w:rsid w:val="00B31222"/>
    <w:rPr>
      <w:rFonts w:ascii="Times New Roman" w:eastAsia="Times New Roman" w:hAnsi="Times New Roman" w:cs="Times New Roman"/>
      <w:sz w:val="20"/>
      <w:szCs w:val="20"/>
      <w:lang w:val="es-ES" w:eastAsia="es-ES"/>
    </w:rPr>
  </w:style>
  <w:style w:type="paragraph" w:styleId="Asuntodelcomentario">
    <w:name w:val="annotation subject"/>
    <w:basedOn w:val="Textocomentario"/>
    <w:next w:val="Textocomentario"/>
    <w:link w:val="AsuntodelcomentarioCar"/>
    <w:uiPriority w:val="99"/>
    <w:semiHidden/>
    <w:unhideWhenUsed/>
    <w:rsid w:val="00B31222"/>
    <w:rPr>
      <w:b/>
      <w:bCs/>
    </w:rPr>
  </w:style>
  <w:style w:type="character" w:customStyle="1" w:styleId="AsuntodelcomentarioCar">
    <w:name w:val="Asunto del comentario Car"/>
    <w:basedOn w:val="TextocomentarioCar"/>
    <w:link w:val="Asuntodelcomentario"/>
    <w:uiPriority w:val="99"/>
    <w:semiHidden/>
    <w:rsid w:val="00B31222"/>
    <w:rPr>
      <w:rFonts w:ascii="Times New Roman" w:eastAsia="Times New Roman" w:hAnsi="Times New Roman" w:cs="Times New Roman"/>
      <w:b/>
      <w:bCs/>
      <w:sz w:val="20"/>
      <w:szCs w:val="20"/>
      <w:lang w:val="es-ES" w:eastAsia="es-ES"/>
    </w:rPr>
  </w:style>
  <w:style w:type="character" w:customStyle="1" w:styleId="Mencionar1">
    <w:name w:val="Mencionar1"/>
    <w:basedOn w:val="Fuentedeprrafopredeter"/>
    <w:uiPriority w:val="99"/>
    <w:semiHidden/>
    <w:unhideWhenUsed/>
    <w:rsid w:val="00B31222"/>
    <w:rPr>
      <w:color w:val="2B579A"/>
      <w:shd w:val="clear" w:color="auto" w:fill="E6E6E6"/>
    </w:rPr>
  </w:style>
  <w:style w:type="character" w:customStyle="1" w:styleId="Mencionar2">
    <w:name w:val="Mencionar2"/>
    <w:basedOn w:val="Fuentedeprrafopredeter"/>
    <w:uiPriority w:val="99"/>
    <w:semiHidden/>
    <w:unhideWhenUsed/>
    <w:rsid w:val="00B31222"/>
    <w:rPr>
      <w:color w:val="2B579A"/>
      <w:shd w:val="clear" w:color="auto" w:fill="E6E6E6"/>
    </w:rPr>
  </w:style>
  <w:style w:type="character" w:customStyle="1" w:styleId="maestrofonttexto">
    <w:name w:val="maestro_fonttexto"/>
    <w:basedOn w:val="Fuentedeprrafopredeter"/>
    <w:rsid w:val="00B31222"/>
  </w:style>
  <w:style w:type="character" w:styleId="Textoennegrita">
    <w:name w:val="Strong"/>
    <w:qFormat/>
    <w:rsid w:val="00B31222"/>
    <w:rPr>
      <w:b/>
      <w:bCs/>
    </w:rPr>
  </w:style>
  <w:style w:type="paragraph" w:styleId="HTMLconformatoprevio">
    <w:name w:val="HTML Preformatted"/>
    <w:basedOn w:val="Normal"/>
    <w:link w:val="HTMLconformatoprevioCar"/>
    <w:uiPriority w:val="99"/>
    <w:semiHidden/>
    <w:unhideWhenUsed/>
    <w:rsid w:val="00B312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lang w:eastAsia="es-MX"/>
    </w:rPr>
  </w:style>
  <w:style w:type="character" w:customStyle="1" w:styleId="HTMLconformatoprevioCar">
    <w:name w:val="HTML con formato previo Car"/>
    <w:basedOn w:val="Fuentedeprrafopredeter"/>
    <w:link w:val="HTMLconformatoprevio"/>
    <w:uiPriority w:val="99"/>
    <w:semiHidden/>
    <w:rsid w:val="00B31222"/>
    <w:rPr>
      <w:rFonts w:ascii="Courier New" w:eastAsia="Times New Roman" w:hAnsi="Courier New" w:cs="Courier New"/>
      <w:sz w:val="20"/>
      <w:szCs w:val="20"/>
      <w:lang w:eastAsia="es-MX"/>
    </w:rPr>
  </w:style>
  <w:style w:type="paragraph" w:customStyle="1" w:styleId="Default">
    <w:name w:val="Default"/>
    <w:rsid w:val="00B31222"/>
    <w:pPr>
      <w:autoSpaceDE w:val="0"/>
      <w:autoSpaceDN w:val="0"/>
      <w:adjustRightInd w:val="0"/>
      <w:spacing w:after="0" w:line="240" w:lineRule="auto"/>
    </w:pPr>
    <w:rPr>
      <w:rFonts w:ascii="Arial" w:hAnsi="Arial" w:cs="Arial"/>
      <w:color w:val="000000"/>
      <w:sz w:val="24"/>
      <w:szCs w:val="24"/>
    </w:rPr>
  </w:style>
  <w:style w:type="character" w:customStyle="1" w:styleId="CharacterStyle1">
    <w:name w:val="Character Style 1"/>
    <w:uiPriority w:val="99"/>
    <w:rsid w:val="00B31222"/>
    <w:rPr>
      <w:sz w:val="20"/>
      <w:szCs w:val="20"/>
    </w:rPr>
  </w:style>
  <w:style w:type="paragraph" w:customStyle="1" w:styleId="Estilo1">
    <w:name w:val="Estilo1"/>
    <w:basedOn w:val="Textoindependiente"/>
    <w:rsid w:val="00B31222"/>
  </w:style>
  <w:style w:type="paragraph" w:styleId="Textoindependiente">
    <w:name w:val="Body Text"/>
    <w:basedOn w:val="Normal"/>
    <w:link w:val="TextoindependienteCar"/>
    <w:uiPriority w:val="99"/>
    <w:unhideWhenUsed/>
    <w:rsid w:val="00B31222"/>
    <w:pPr>
      <w:spacing w:after="120"/>
    </w:pPr>
  </w:style>
  <w:style w:type="character" w:customStyle="1" w:styleId="TextoindependienteCar">
    <w:name w:val="Texto independiente Car"/>
    <w:basedOn w:val="Fuentedeprrafopredeter"/>
    <w:link w:val="Textoindependiente"/>
    <w:uiPriority w:val="99"/>
    <w:rsid w:val="00B31222"/>
    <w:rPr>
      <w:rFonts w:ascii="Times New Roman" w:eastAsia="Times New Roman" w:hAnsi="Times New Roman" w:cs="Times New Roman"/>
      <w:sz w:val="20"/>
      <w:szCs w:val="20"/>
      <w:lang w:val="es-ES" w:eastAsia="es-ES"/>
    </w:rPr>
  </w:style>
  <w:style w:type="paragraph" w:styleId="Sinespaciado">
    <w:name w:val="No Spacing"/>
    <w:aliases w:val="INAI,Francesa"/>
    <w:link w:val="SinespaciadoCar"/>
    <w:uiPriority w:val="1"/>
    <w:qFormat/>
    <w:rsid w:val="00B31222"/>
    <w:pPr>
      <w:spacing w:after="0" w:line="240" w:lineRule="auto"/>
      <w:ind w:left="567" w:right="567"/>
      <w:jc w:val="both"/>
    </w:pPr>
    <w:rPr>
      <w:rFonts w:ascii="Arial" w:eastAsia="Batang" w:hAnsi="Arial" w:cs="Times New Roman"/>
      <w:sz w:val="20"/>
      <w:szCs w:val="24"/>
      <w:lang w:eastAsia="es-ES"/>
    </w:rPr>
  </w:style>
  <w:style w:type="character" w:customStyle="1" w:styleId="SinespaciadoCar">
    <w:name w:val="Sin espaciado Car"/>
    <w:aliases w:val="INAI Car,Francesa Car"/>
    <w:basedOn w:val="Fuentedeprrafopredeter"/>
    <w:link w:val="Sinespaciado"/>
    <w:uiPriority w:val="1"/>
    <w:rsid w:val="00B31222"/>
    <w:rPr>
      <w:rFonts w:ascii="Arial" w:eastAsia="Batang" w:hAnsi="Arial" w:cs="Times New Roman"/>
      <w:sz w:val="20"/>
      <w:szCs w:val="24"/>
      <w:lang w:eastAsia="es-ES"/>
    </w:rPr>
  </w:style>
  <w:style w:type="paragraph" w:styleId="Lista">
    <w:name w:val="List"/>
    <w:basedOn w:val="Normal"/>
    <w:uiPriority w:val="99"/>
    <w:unhideWhenUsed/>
    <w:rsid w:val="00B31222"/>
    <w:pPr>
      <w:ind w:left="283" w:hanging="283"/>
      <w:contextualSpacing/>
    </w:pPr>
  </w:style>
  <w:style w:type="paragraph" w:styleId="Lista2">
    <w:name w:val="List 2"/>
    <w:basedOn w:val="Normal"/>
    <w:uiPriority w:val="99"/>
    <w:unhideWhenUsed/>
    <w:rsid w:val="00B31222"/>
    <w:pPr>
      <w:ind w:left="566" w:hanging="283"/>
      <w:contextualSpacing/>
    </w:pPr>
  </w:style>
  <w:style w:type="paragraph" w:styleId="Lista3">
    <w:name w:val="List 3"/>
    <w:basedOn w:val="Normal"/>
    <w:uiPriority w:val="99"/>
    <w:unhideWhenUsed/>
    <w:rsid w:val="00B31222"/>
    <w:pPr>
      <w:ind w:left="849" w:hanging="283"/>
      <w:contextualSpacing/>
    </w:pPr>
  </w:style>
  <w:style w:type="paragraph" w:styleId="Lista4">
    <w:name w:val="List 4"/>
    <w:basedOn w:val="Normal"/>
    <w:uiPriority w:val="99"/>
    <w:unhideWhenUsed/>
    <w:rsid w:val="00B31222"/>
    <w:pPr>
      <w:ind w:left="1132" w:hanging="283"/>
      <w:contextualSpacing/>
    </w:pPr>
  </w:style>
  <w:style w:type="paragraph" w:styleId="Saludo">
    <w:name w:val="Salutation"/>
    <w:basedOn w:val="Normal"/>
    <w:next w:val="Normal"/>
    <w:link w:val="SaludoCar"/>
    <w:uiPriority w:val="99"/>
    <w:unhideWhenUsed/>
    <w:rsid w:val="00B31222"/>
  </w:style>
  <w:style w:type="character" w:customStyle="1" w:styleId="SaludoCar">
    <w:name w:val="Saludo Car"/>
    <w:basedOn w:val="Fuentedeprrafopredeter"/>
    <w:link w:val="Saludo"/>
    <w:uiPriority w:val="99"/>
    <w:rsid w:val="00B31222"/>
    <w:rPr>
      <w:rFonts w:ascii="Times New Roman" w:eastAsia="Times New Roman" w:hAnsi="Times New Roman" w:cs="Times New Roman"/>
      <w:sz w:val="20"/>
      <w:szCs w:val="20"/>
      <w:lang w:val="es-ES" w:eastAsia="es-ES"/>
    </w:rPr>
  </w:style>
  <w:style w:type="paragraph" w:styleId="Listaconvietas2">
    <w:name w:val="List Bullet 2"/>
    <w:basedOn w:val="Normal"/>
    <w:uiPriority w:val="99"/>
    <w:unhideWhenUsed/>
    <w:rsid w:val="00B31222"/>
    <w:pPr>
      <w:numPr>
        <w:numId w:val="1"/>
      </w:numPr>
      <w:contextualSpacing/>
    </w:pPr>
  </w:style>
  <w:style w:type="paragraph" w:styleId="Puesto">
    <w:name w:val="Title"/>
    <w:basedOn w:val="Normal"/>
    <w:next w:val="Normal"/>
    <w:link w:val="PuestoCar"/>
    <w:uiPriority w:val="10"/>
    <w:qFormat/>
    <w:rsid w:val="00B31222"/>
    <w:pPr>
      <w:contextualSpacing/>
    </w:pPr>
    <w:rPr>
      <w:rFonts w:asciiTheme="majorHAnsi" w:eastAsiaTheme="majorEastAsia" w:hAnsiTheme="majorHAnsi" w:cstheme="majorBidi"/>
      <w:spacing w:val="-10"/>
      <w:kern w:val="28"/>
      <w:sz w:val="56"/>
      <w:szCs w:val="56"/>
    </w:rPr>
  </w:style>
  <w:style w:type="character" w:customStyle="1" w:styleId="PuestoCar">
    <w:name w:val="Puesto Car"/>
    <w:basedOn w:val="Fuentedeprrafopredeter"/>
    <w:link w:val="Puesto"/>
    <w:uiPriority w:val="10"/>
    <w:rsid w:val="00B31222"/>
    <w:rPr>
      <w:rFonts w:asciiTheme="majorHAnsi" w:eastAsiaTheme="majorEastAsia" w:hAnsiTheme="majorHAnsi" w:cstheme="majorBidi"/>
      <w:spacing w:val="-10"/>
      <w:kern w:val="28"/>
      <w:sz w:val="56"/>
      <w:szCs w:val="56"/>
      <w:lang w:val="es-ES" w:eastAsia="es-ES"/>
    </w:rPr>
  </w:style>
  <w:style w:type="paragraph" w:styleId="Sangradetextonormal">
    <w:name w:val="Body Text Indent"/>
    <w:basedOn w:val="Normal"/>
    <w:link w:val="SangradetextonormalCar"/>
    <w:uiPriority w:val="99"/>
    <w:unhideWhenUsed/>
    <w:rsid w:val="00B31222"/>
    <w:pPr>
      <w:spacing w:after="120"/>
      <w:ind w:left="283"/>
    </w:pPr>
  </w:style>
  <w:style w:type="character" w:customStyle="1" w:styleId="SangradetextonormalCar">
    <w:name w:val="Sangría de texto normal Car"/>
    <w:basedOn w:val="Fuentedeprrafopredeter"/>
    <w:link w:val="Sangradetextonormal"/>
    <w:uiPriority w:val="99"/>
    <w:rsid w:val="00B31222"/>
    <w:rPr>
      <w:rFonts w:ascii="Times New Roman" w:eastAsia="Times New Roman" w:hAnsi="Times New Roman" w:cs="Times New Roman"/>
      <w:sz w:val="20"/>
      <w:szCs w:val="20"/>
      <w:lang w:val="es-ES" w:eastAsia="es-ES"/>
    </w:rPr>
  </w:style>
  <w:style w:type="paragraph" w:styleId="Textoindependienteprimerasangra2">
    <w:name w:val="Body Text First Indent 2"/>
    <w:basedOn w:val="Sangradetextonormal"/>
    <w:link w:val="Textoindependienteprimerasangra2Car"/>
    <w:uiPriority w:val="99"/>
    <w:unhideWhenUsed/>
    <w:rsid w:val="00B31222"/>
    <w:pPr>
      <w:spacing w:after="0"/>
      <w:ind w:left="360" w:firstLine="360"/>
    </w:pPr>
  </w:style>
  <w:style w:type="character" w:customStyle="1" w:styleId="Textoindependienteprimerasangra2Car">
    <w:name w:val="Texto independiente primera sangría 2 Car"/>
    <w:basedOn w:val="SangradetextonormalCar"/>
    <w:link w:val="Textoindependienteprimerasangra2"/>
    <w:uiPriority w:val="99"/>
    <w:rsid w:val="00B31222"/>
    <w:rPr>
      <w:rFonts w:ascii="Times New Roman" w:eastAsia="Times New Roman" w:hAnsi="Times New Roman" w:cs="Times New Roman"/>
      <w:sz w:val="20"/>
      <w:szCs w:val="20"/>
      <w:lang w:val="es-ES" w:eastAsia="es-ES"/>
    </w:rPr>
  </w:style>
  <w:style w:type="character" w:customStyle="1" w:styleId="Mencionar3">
    <w:name w:val="Mencionar3"/>
    <w:basedOn w:val="Fuentedeprrafopredeter"/>
    <w:uiPriority w:val="99"/>
    <w:semiHidden/>
    <w:unhideWhenUsed/>
    <w:rsid w:val="00A47916"/>
    <w:rPr>
      <w:color w:val="2B579A"/>
      <w:shd w:val="clear" w:color="auto" w:fill="E6E6E6"/>
    </w:rPr>
  </w:style>
  <w:style w:type="character" w:customStyle="1" w:styleId="Mencionar4">
    <w:name w:val="Mencionar4"/>
    <w:basedOn w:val="Fuentedeprrafopredeter"/>
    <w:uiPriority w:val="99"/>
    <w:semiHidden/>
    <w:unhideWhenUsed/>
    <w:rsid w:val="00802515"/>
    <w:rPr>
      <w:color w:val="2B579A"/>
      <w:shd w:val="clear" w:color="auto" w:fill="E6E6E6"/>
    </w:rPr>
  </w:style>
  <w:style w:type="character" w:customStyle="1" w:styleId="maestrofonttexto1">
    <w:name w:val="maestro_fonttexto1"/>
    <w:basedOn w:val="Fuentedeprrafopredeter"/>
    <w:rsid w:val="00C25238"/>
    <w:rPr>
      <w:rFonts w:ascii="Arial" w:hAnsi="Arial" w:cs="Arial" w:hint="default"/>
      <w:sz w:val="15"/>
      <w:szCs w:val="15"/>
    </w:rPr>
  </w:style>
  <w:style w:type="character" w:customStyle="1" w:styleId="apple-converted-space">
    <w:name w:val="apple-converted-space"/>
    <w:basedOn w:val="Fuentedeprrafopredeter"/>
    <w:rsid w:val="00436FD3"/>
  </w:style>
  <w:style w:type="character" w:customStyle="1" w:styleId="Mencinsinresolver1">
    <w:name w:val="Mención sin resolver1"/>
    <w:basedOn w:val="Fuentedeprrafopredeter"/>
    <w:uiPriority w:val="99"/>
    <w:semiHidden/>
    <w:unhideWhenUsed/>
    <w:rsid w:val="00891760"/>
    <w:rPr>
      <w:color w:val="605E5C"/>
      <w:shd w:val="clear" w:color="auto" w:fill="E1DFDD"/>
    </w:rPr>
  </w:style>
  <w:style w:type="paragraph" w:styleId="NormalWeb">
    <w:name w:val="Normal (Web)"/>
    <w:basedOn w:val="Normal"/>
    <w:uiPriority w:val="99"/>
    <w:semiHidden/>
    <w:unhideWhenUsed/>
    <w:rsid w:val="00255DE6"/>
    <w:pPr>
      <w:spacing w:before="100" w:beforeAutospacing="1" w:after="100" w:afterAutospacing="1"/>
    </w:pPr>
    <w:rPr>
      <w:sz w:val="24"/>
      <w:szCs w:val="24"/>
      <w:lang w:val="es-ES"/>
    </w:rPr>
  </w:style>
  <w:style w:type="character" w:customStyle="1" w:styleId="Ttulo6Car">
    <w:name w:val="Título 6 Car"/>
    <w:basedOn w:val="Fuentedeprrafopredeter"/>
    <w:link w:val="Ttulo6"/>
    <w:uiPriority w:val="9"/>
    <w:semiHidden/>
    <w:rsid w:val="00AF7614"/>
    <w:rPr>
      <w:rFonts w:asciiTheme="majorHAnsi" w:eastAsiaTheme="majorEastAsia" w:hAnsiTheme="majorHAnsi" w:cstheme="majorBidi"/>
      <w:color w:val="1F3763" w:themeColor="accent1" w:themeShade="7F"/>
      <w:sz w:val="20"/>
      <w:szCs w:val="20"/>
      <w:lang w:eastAsia="es-ES"/>
    </w:rPr>
  </w:style>
  <w:style w:type="character" w:customStyle="1" w:styleId="Mencinsinresolver2">
    <w:name w:val="Mención sin resolver2"/>
    <w:basedOn w:val="Fuentedeprrafopredeter"/>
    <w:uiPriority w:val="99"/>
    <w:semiHidden/>
    <w:unhideWhenUsed/>
    <w:rsid w:val="007C1752"/>
    <w:rPr>
      <w:color w:val="605E5C"/>
      <w:shd w:val="clear" w:color="auto" w:fill="E1DFDD"/>
    </w:rPr>
  </w:style>
  <w:style w:type="character" w:customStyle="1" w:styleId="Ttulo5Car">
    <w:name w:val="Título 5 Car"/>
    <w:basedOn w:val="Fuentedeprrafopredeter"/>
    <w:link w:val="Ttulo5"/>
    <w:uiPriority w:val="9"/>
    <w:semiHidden/>
    <w:rsid w:val="00C5682B"/>
    <w:rPr>
      <w:rFonts w:asciiTheme="majorHAnsi" w:eastAsiaTheme="majorEastAsia" w:hAnsiTheme="majorHAnsi" w:cstheme="majorBidi"/>
      <w:color w:val="2F5496" w:themeColor="accent1" w:themeShade="BF"/>
      <w:sz w:val="20"/>
      <w:szCs w:val="20"/>
      <w:lang w:eastAsia="es-ES"/>
    </w:rPr>
  </w:style>
  <w:style w:type="character" w:customStyle="1" w:styleId="Mencinsinresolver3">
    <w:name w:val="Mención sin resolver3"/>
    <w:basedOn w:val="Fuentedeprrafopredeter"/>
    <w:uiPriority w:val="99"/>
    <w:semiHidden/>
    <w:unhideWhenUsed/>
    <w:rsid w:val="002E5910"/>
    <w:rPr>
      <w:color w:val="605E5C"/>
      <w:shd w:val="clear" w:color="auto" w:fill="E1DFDD"/>
    </w:rPr>
  </w:style>
  <w:style w:type="paragraph" w:styleId="Listaconvietas3">
    <w:name w:val="List Bullet 3"/>
    <w:basedOn w:val="Normal"/>
    <w:uiPriority w:val="99"/>
    <w:unhideWhenUsed/>
    <w:rsid w:val="00072C02"/>
    <w:pPr>
      <w:numPr>
        <w:numId w:val="4"/>
      </w:numPr>
      <w:contextualSpacing/>
    </w:pPr>
    <w:rPr>
      <w:sz w:val="24"/>
      <w:szCs w:val="24"/>
      <w:lang w:eastAsia="es-MX"/>
    </w:rPr>
  </w:style>
  <w:style w:type="character" w:customStyle="1" w:styleId="Ttulo2Car">
    <w:name w:val="Título 2 Car"/>
    <w:basedOn w:val="Fuentedeprrafopredeter"/>
    <w:link w:val="Ttulo2"/>
    <w:uiPriority w:val="9"/>
    <w:rsid w:val="004717ED"/>
    <w:rPr>
      <w:rFonts w:ascii="Palatino Linotype" w:eastAsiaTheme="majorEastAsia" w:hAnsi="Palatino Linotype" w:cstheme="majorBidi"/>
      <w:b/>
      <w:color w:val="000000" w:themeColor="text1"/>
      <w:szCs w:val="26"/>
      <w:lang w:eastAsia="es-ES"/>
    </w:rPr>
  </w:style>
  <w:style w:type="paragraph" w:styleId="TtulodeTDC">
    <w:name w:val="TOC Heading"/>
    <w:basedOn w:val="Ttulo1"/>
    <w:next w:val="Normal"/>
    <w:uiPriority w:val="39"/>
    <w:unhideWhenUsed/>
    <w:qFormat/>
    <w:rsid w:val="004717ED"/>
    <w:pPr>
      <w:spacing w:line="259" w:lineRule="auto"/>
      <w:jc w:val="left"/>
      <w:outlineLvl w:val="9"/>
    </w:pPr>
    <w:rPr>
      <w:rFonts w:asciiTheme="majorHAnsi" w:hAnsiTheme="majorHAnsi"/>
      <w:b w:val="0"/>
      <w:color w:val="2F5496" w:themeColor="accent1" w:themeShade="BF"/>
      <w:sz w:val="32"/>
      <w:lang w:eastAsia="es-MX"/>
    </w:rPr>
  </w:style>
  <w:style w:type="character" w:customStyle="1" w:styleId="Ttulo3Car">
    <w:name w:val="Título 3 Car"/>
    <w:basedOn w:val="Fuentedeprrafopredeter"/>
    <w:link w:val="Ttulo3"/>
    <w:uiPriority w:val="9"/>
    <w:rsid w:val="004717ED"/>
    <w:rPr>
      <w:rFonts w:ascii="Palatino Linotype" w:eastAsiaTheme="majorEastAsia" w:hAnsi="Palatino Linotype" w:cstheme="majorBidi"/>
      <w:b/>
      <w:color w:val="000000" w:themeColor="text1"/>
      <w:szCs w:val="24"/>
      <w:lang w:eastAsia="es-ES"/>
    </w:rPr>
  </w:style>
  <w:style w:type="paragraph" w:styleId="TDC1">
    <w:name w:val="toc 1"/>
    <w:basedOn w:val="Normal"/>
    <w:next w:val="Normal"/>
    <w:autoRedefine/>
    <w:uiPriority w:val="39"/>
    <w:unhideWhenUsed/>
    <w:rsid w:val="00A16558"/>
    <w:pPr>
      <w:tabs>
        <w:tab w:val="right" w:leader="dot" w:pos="9034"/>
      </w:tabs>
      <w:spacing w:before="240" w:after="100" w:line="360" w:lineRule="auto"/>
    </w:pPr>
  </w:style>
  <w:style w:type="paragraph" w:styleId="TDC2">
    <w:name w:val="toc 2"/>
    <w:basedOn w:val="Normal"/>
    <w:next w:val="Normal"/>
    <w:autoRedefine/>
    <w:uiPriority w:val="39"/>
    <w:unhideWhenUsed/>
    <w:rsid w:val="004717ED"/>
    <w:pPr>
      <w:spacing w:after="100"/>
      <w:ind w:left="200"/>
    </w:pPr>
  </w:style>
  <w:style w:type="paragraph" w:styleId="TDC3">
    <w:name w:val="toc 3"/>
    <w:basedOn w:val="Normal"/>
    <w:next w:val="Normal"/>
    <w:autoRedefine/>
    <w:uiPriority w:val="39"/>
    <w:unhideWhenUsed/>
    <w:rsid w:val="004717ED"/>
    <w:pPr>
      <w:spacing w:after="100"/>
      <w:ind w:left="4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148243">
      <w:bodyDiv w:val="1"/>
      <w:marLeft w:val="0"/>
      <w:marRight w:val="0"/>
      <w:marTop w:val="0"/>
      <w:marBottom w:val="0"/>
      <w:divBdr>
        <w:top w:val="none" w:sz="0" w:space="0" w:color="auto"/>
        <w:left w:val="none" w:sz="0" w:space="0" w:color="auto"/>
        <w:bottom w:val="none" w:sz="0" w:space="0" w:color="auto"/>
        <w:right w:val="none" w:sz="0" w:space="0" w:color="auto"/>
      </w:divBdr>
    </w:div>
    <w:div w:id="9069151">
      <w:bodyDiv w:val="1"/>
      <w:marLeft w:val="0"/>
      <w:marRight w:val="0"/>
      <w:marTop w:val="0"/>
      <w:marBottom w:val="0"/>
      <w:divBdr>
        <w:top w:val="none" w:sz="0" w:space="0" w:color="auto"/>
        <w:left w:val="none" w:sz="0" w:space="0" w:color="auto"/>
        <w:bottom w:val="none" w:sz="0" w:space="0" w:color="auto"/>
        <w:right w:val="none" w:sz="0" w:space="0" w:color="auto"/>
      </w:divBdr>
    </w:div>
    <w:div w:id="22561575">
      <w:bodyDiv w:val="1"/>
      <w:marLeft w:val="0"/>
      <w:marRight w:val="0"/>
      <w:marTop w:val="0"/>
      <w:marBottom w:val="0"/>
      <w:divBdr>
        <w:top w:val="none" w:sz="0" w:space="0" w:color="auto"/>
        <w:left w:val="none" w:sz="0" w:space="0" w:color="auto"/>
        <w:bottom w:val="none" w:sz="0" w:space="0" w:color="auto"/>
        <w:right w:val="none" w:sz="0" w:space="0" w:color="auto"/>
      </w:divBdr>
    </w:div>
    <w:div w:id="24212379">
      <w:bodyDiv w:val="1"/>
      <w:marLeft w:val="0"/>
      <w:marRight w:val="0"/>
      <w:marTop w:val="0"/>
      <w:marBottom w:val="0"/>
      <w:divBdr>
        <w:top w:val="none" w:sz="0" w:space="0" w:color="auto"/>
        <w:left w:val="none" w:sz="0" w:space="0" w:color="auto"/>
        <w:bottom w:val="none" w:sz="0" w:space="0" w:color="auto"/>
        <w:right w:val="none" w:sz="0" w:space="0" w:color="auto"/>
      </w:divBdr>
    </w:div>
    <w:div w:id="35350906">
      <w:bodyDiv w:val="1"/>
      <w:marLeft w:val="0"/>
      <w:marRight w:val="0"/>
      <w:marTop w:val="0"/>
      <w:marBottom w:val="0"/>
      <w:divBdr>
        <w:top w:val="none" w:sz="0" w:space="0" w:color="auto"/>
        <w:left w:val="none" w:sz="0" w:space="0" w:color="auto"/>
        <w:bottom w:val="none" w:sz="0" w:space="0" w:color="auto"/>
        <w:right w:val="none" w:sz="0" w:space="0" w:color="auto"/>
      </w:divBdr>
    </w:div>
    <w:div w:id="64108941">
      <w:bodyDiv w:val="1"/>
      <w:marLeft w:val="0"/>
      <w:marRight w:val="0"/>
      <w:marTop w:val="0"/>
      <w:marBottom w:val="0"/>
      <w:divBdr>
        <w:top w:val="none" w:sz="0" w:space="0" w:color="auto"/>
        <w:left w:val="none" w:sz="0" w:space="0" w:color="auto"/>
        <w:bottom w:val="none" w:sz="0" w:space="0" w:color="auto"/>
        <w:right w:val="none" w:sz="0" w:space="0" w:color="auto"/>
      </w:divBdr>
    </w:div>
    <w:div w:id="68844203">
      <w:bodyDiv w:val="1"/>
      <w:marLeft w:val="0"/>
      <w:marRight w:val="0"/>
      <w:marTop w:val="0"/>
      <w:marBottom w:val="0"/>
      <w:divBdr>
        <w:top w:val="none" w:sz="0" w:space="0" w:color="auto"/>
        <w:left w:val="none" w:sz="0" w:space="0" w:color="auto"/>
        <w:bottom w:val="none" w:sz="0" w:space="0" w:color="auto"/>
        <w:right w:val="none" w:sz="0" w:space="0" w:color="auto"/>
      </w:divBdr>
    </w:div>
    <w:div w:id="77215633">
      <w:bodyDiv w:val="1"/>
      <w:marLeft w:val="0"/>
      <w:marRight w:val="0"/>
      <w:marTop w:val="0"/>
      <w:marBottom w:val="0"/>
      <w:divBdr>
        <w:top w:val="none" w:sz="0" w:space="0" w:color="auto"/>
        <w:left w:val="none" w:sz="0" w:space="0" w:color="auto"/>
        <w:bottom w:val="none" w:sz="0" w:space="0" w:color="auto"/>
        <w:right w:val="none" w:sz="0" w:space="0" w:color="auto"/>
      </w:divBdr>
    </w:div>
    <w:div w:id="120345385">
      <w:bodyDiv w:val="1"/>
      <w:marLeft w:val="0"/>
      <w:marRight w:val="0"/>
      <w:marTop w:val="0"/>
      <w:marBottom w:val="0"/>
      <w:divBdr>
        <w:top w:val="none" w:sz="0" w:space="0" w:color="auto"/>
        <w:left w:val="none" w:sz="0" w:space="0" w:color="auto"/>
        <w:bottom w:val="none" w:sz="0" w:space="0" w:color="auto"/>
        <w:right w:val="none" w:sz="0" w:space="0" w:color="auto"/>
      </w:divBdr>
    </w:div>
    <w:div w:id="138234821">
      <w:bodyDiv w:val="1"/>
      <w:marLeft w:val="0"/>
      <w:marRight w:val="0"/>
      <w:marTop w:val="0"/>
      <w:marBottom w:val="0"/>
      <w:divBdr>
        <w:top w:val="none" w:sz="0" w:space="0" w:color="auto"/>
        <w:left w:val="none" w:sz="0" w:space="0" w:color="auto"/>
        <w:bottom w:val="none" w:sz="0" w:space="0" w:color="auto"/>
        <w:right w:val="none" w:sz="0" w:space="0" w:color="auto"/>
      </w:divBdr>
    </w:div>
    <w:div w:id="142739494">
      <w:bodyDiv w:val="1"/>
      <w:marLeft w:val="0"/>
      <w:marRight w:val="0"/>
      <w:marTop w:val="0"/>
      <w:marBottom w:val="0"/>
      <w:divBdr>
        <w:top w:val="none" w:sz="0" w:space="0" w:color="auto"/>
        <w:left w:val="none" w:sz="0" w:space="0" w:color="auto"/>
        <w:bottom w:val="none" w:sz="0" w:space="0" w:color="auto"/>
        <w:right w:val="none" w:sz="0" w:space="0" w:color="auto"/>
      </w:divBdr>
    </w:div>
    <w:div w:id="156116579">
      <w:bodyDiv w:val="1"/>
      <w:marLeft w:val="0"/>
      <w:marRight w:val="0"/>
      <w:marTop w:val="0"/>
      <w:marBottom w:val="0"/>
      <w:divBdr>
        <w:top w:val="none" w:sz="0" w:space="0" w:color="auto"/>
        <w:left w:val="none" w:sz="0" w:space="0" w:color="auto"/>
        <w:bottom w:val="none" w:sz="0" w:space="0" w:color="auto"/>
        <w:right w:val="none" w:sz="0" w:space="0" w:color="auto"/>
      </w:divBdr>
    </w:div>
    <w:div w:id="166336764">
      <w:bodyDiv w:val="1"/>
      <w:marLeft w:val="0"/>
      <w:marRight w:val="0"/>
      <w:marTop w:val="0"/>
      <w:marBottom w:val="0"/>
      <w:divBdr>
        <w:top w:val="none" w:sz="0" w:space="0" w:color="auto"/>
        <w:left w:val="none" w:sz="0" w:space="0" w:color="auto"/>
        <w:bottom w:val="none" w:sz="0" w:space="0" w:color="auto"/>
        <w:right w:val="none" w:sz="0" w:space="0" w:color="auto"/>
      </w:divBdr>
      <w:divsChild>
        <w:div w:id="587348187">
          <w:marLeft w:val="0"/>
          <w:marRight w:val="0"/>
          <w:marTop w:val="0"/>
          <w:marBottom w:val="0"/>
          <w:divBdr>
            <w:top w:val="none" w:sz="0" w:space="0" w:color="auto"/>
            <w:left w:val="none" w:sz="0" w:space="0" w:color="auto"/>
            <w:bottom w:val="none" w:sz="0" w:space="0" w:color="auto"/>
            <w:right w:val="none" w:sz="0" w:space="0" w:color="auto"/>
          </w:divBdr>
        </w:div>
        <w:div w:id="854686728">
          <w:marLeft w:val="0"/>
          <w:marRight w:val="0"/>
          <w:marTop w:val="0"/>
          <w:marBottom w:val="0"/>
          <w:divBdr>
            <w:top w:val="none" w:sz="0" w:space="0" w:color="auto"/>
            <w:left w:val="none" w:sz="0" w:space="0" w:color="auto"/>
            <w:bottom w:val="none" w:sz="0" w:space="0" w:color="auto"/>
            <w:right w:val="none" w:sz="0" w:space="0" w:color="auto"/>
          </w:divBdr>
        </w:div>
        <w:div w:id="2005014136">
          <w:marLeft w:val="0"/>
          <w:marRight w:val="0"/>
          <w:marTop w:val="0"/>
          <w:marBottom w:val="0"/>
          <w:divBdr>
            <w:top w:val="none" w:sz="0" w:space="0" w:color="auto"/>
            <w:left w:val="none" w:sz="0" w:space="0" w:color="auto"/>
            <w:bottom w:val="none" w:sz="0" w:space="0" w:color="auto"/>
            <w:right w:val="none" w:sz="0" w:space="0" w:color="auto"/>
          </w:divBdr>
        </w:div>
      </w:divsChild>
    </w:div>
    <w:div w:id="184249317">
      <w:bodyDiv w:val="1"/>
      <w:marLeft w:val="0"/>
      <w:marRight w:val="0"/>
      <w:marTop w:val="0"/>
      <w:marBottom w:val="0"/>
      <w:divBdr>
        <w:top w:val="none" w:sz="0" w:space="0" w:color="auto"/>
        <w:left w:val="none" w:sz="0" w:space="0" w:color="auto"/>
        <w:bottom w:val="none" w:sz="0" w:space="0" w:color="auto"/>
        <w:right w:val="none" w:sz="0" w:space="0" w:color="auto"/>
      </w:divBdr>
    </w:div>
    <w:div w:id="190993073">
      <w:bodyDiv w:val="1"/>
      <w:marLeft w:val="0"/>
      <w:marRight w:val="0"/>
      <w:marTop w:val="0"/>
      <w:marBottom w:val="0"/>
      <w:divBdr>
        <w:top w:val="none" w:sz="0" w:space="0" w:color="auto"/>
        <w:left w:val="none" w:sz="0" w:space="0" w:color="auto"/>
        <w:bottom w:val="none" w:sz="0" w:space="0" w:color="auto"/>
        <w:right w:val="none" w:sz="0" w:space="0" w:color="auto"/>
      </w:divBdr>
    </w:div>
    <w:div w:id="198053936">
      <w:bodyDiv w:val="1"/>
      <w:marLeft w:val="0"/>
      <w:marRight w:val="0"/>
      <w:marTop w:val="0"/>
      <w:marBottom w:val="0"/>
      <w:divBdr>
        <w:top w:val="none" w:sz="0" w:space="0" w:color="auto"/>
        <w:left w:val="none" w:sz="0" w:space="0" w:color="auto"/>
        <w:bottom w:val="none" w:sz="0" w:space="0" w:color="auto"/>
        <w:right w:val="none" w:sz="0" w:space="0" w:color="auto"/>
      </w:divBdr>
    </w:div>
    <w:div w:id="208804969">
      <w:bodyDiv w:val="1"/>
      <w:marLeft w:val="0"/>
      <w:marRight w:val="0"/>
      <w:marTop w:val="0"/>
      <w:marBottom w:val="0"/>
      <w:divBdr>
        <w:top w:val="none" w:sz="0" w:space="0" w:color="auto"/>
        <w:left w:val="none" w:sz="0" w:space="0" w:color="auto"/>
        <w:bottom w:val="none" w:sz="0" w:space="0" w:color="auto"/>
        <w:right w:val="none" w:sz="0" w:space="0" w:color="auto"/>
      </w:divBdr>
    </w:div>
    <w:div w:id="231282173">
      <w:bodyDiv w:val="1"/>
      <w:marLeft w:val="0"/>
      <w:marRight w:val="0"/>
      <w:marTop w:val="0"/>
      <w:marBottom w:val="0"/>
      <w:divBdr>
        <w:top w:val="none" w:sz="0" w:space="0" w:color="auto"/>
        <w:left w:val="none" w:sz="0" w:space="0" w:color="auto"/>
        <w:bottom w:val="none" w:sz="0" w:space="0" w:color="auto"/>
        <w:right w:val="none" w:sz="0" w:space="0" w:color="auto"/>
      </w:divBdr>
    </w:div>
    <w:div w:id="263848016">
      <w:bodyDiv w:val="1"/>
      <w:marLeft w:val="0"/>
      <w:marRight w:val="0"/>
      <w:marTop w:val="0"/>
      <w:marBottom w:val="0"/>
      <w:divBdr>
        <w:top w:val="none" w:sz="0" w:space="0" w:color="auto"/>
        <w:left w:val="none" w:sz="0" w:space="0" w:color="auto"/>
        <w:bottom w:val="none" w:sz="0" w:space="0" w:color="auto"/>
        <w:right w:val="none" w:sz="0" w:space="0" w:color="auto"/>
      </w:divBdr>
    </w:div>
    <w:div w:id="271862910">
      <w:bodyDiv w:val="1"/>
      <w:marLeft w:val="0"/>
      <w:marRight w:val="0"/>
      <w:marTop w:val="0"/>
      <w:marBottom w:val="0"/>
      <w:divBdr>
        <w:top w:val="none" w:sz="0" w:space="0" w:color="auto"/>
        <w:left w:val="none" w:sz="0" w:space="0" w:color="auto"/>
        <w:bottom w:val="none" w:sz="0" w:space="0" w:color="auto"/>
        <w:right w:val="none" w:sz="0" w:space="0" w:color="auto"/>
      </w:divBdr>
    </w:div>
    <w:div w:id="272248118">
      <w:bodyDiv w:val="1"/>
      <w:marLeft w:val="0"/>
      <w:marRight w:val="0"/>
      <w:marTop w:val="0"/>
      <w:marBottom w:val="0"/>
      <w:divBdr>
        <w:top w:val="none" w:sz="0" w:space="0" w:color="auto"/>
        <w:left w:val="none" w:sz="0" w:space="0" w:color="auto"/>
        <w:bottom w:val="none" w:sz="0" w:space="0" w:color="auto"/>
        <w:right w:val="none" w:sz="0" w:space="0" w:color="auto"/>
      </w:divBdr>
    </w:div>
    <w:div w:id="334041240">
      <w:bodyDiv w:val="1"/>
      <w:marLeft w:val="0"/>
      <w:marRight w:val="0"/>
      <w:marTop w:val="0"/>
      <w:marBottom w:val="0"/>
      <w:divBdr>
        <w:top w:val="none" w:sz="0" w:space="0" w:color="auto"/>
        <w:left w:val="none" w:sz="0" w:space="0" w:color="auto"/>
        <w:bottom w:val="none" w:sz="0" w:space="0" w:color="auto"/>
        <w:right w:val="none" w:sz="0" w:space="0" w:color="auto"/>
      </w:divBdr>
    </w:div>
    <w:div w:id="335034988">
      <w:bodyDiv w:val="1"/>
      <w:marLeft w:val="0"/>
      <w:marRight w:val="0"/>
      <w:marTop w:val="0"/>
      <w:marBottom w:val="0"/>
      <w:divBdr>
        <w:top w:val="none" w:sz="0" w:space="0" w:color="auto"/>
        <w:left w:val="none" w:sz="0" w:space="0" w:color="auto"/>
        <w:bottom w:val="none" w:sz="0" w:space="0" w:color="auto"/>
        <w:right w:val="none" w:sz="0" w:space="0" w:color="auto"/>
      </w:divBdr>
      <w:divsChild>
        <w:div w:id="1375617587">
          <w:marLeft w:val="0"/>
          <w:marRight w:val="0"/>
          <w:marTop w:val="0"/>
          <w:marBottom w:val="0"/>
          <w:divBdr>
            <w:top w:val="none" w:sz="0" w:space="0" w:color="auto"/>
            <w:left w:val="none" w:sz="0" w:space="0" w:color="auto"/>
            <w:bottom w:val="none" w:sz="0" w:space="0" w:color="auto"/>
            <w:right w:val="none" w:sz="0" w:space="0" w:color="auto"/>
          </w:divBdr>
        </w:div>
        <w:div w:id="935407176">
          <w:marLeft w:val="0"/>
          <w:marRight w:val="0"/>
          <w:marTop w:val="0"/>
          <w:marBottom w:val="0"/>
          <w:divBdr>
            <w:top w:val="none" w:sz="0" w:space="0" w:color="auto"/>
            <w:left w:val="none" w:sz="0" w:space="0" w:color="auto"/>
            <w:bottom w:val="none" w:sz="0" w:space="0" w:color="auto"/>
            <w:right w:val="none" w:sz="0" w:space="0" w:color="auto"/>
          </w:divBdr>
        </w:div>
        <w:div w:id="403600714">
          <w:marLeft w:val="0"/>
          <w:marRight w:val="0"/>
          <w:marTop w:val="0"/>
          <w:marBottom w:val="0"/>
          <w:divBdr>
            <w:top w:val="none" w:sz="0" w:space="0" w:color="auto"/>
            <w:left w:val="none" w:sz="0" w:space="0" w:color="auto"/>
            <w:bottom w:val="none" w:sz="0" w:space="0" w:color="auto"/>
            <w:right w:val="none" w:sz="0" w:space="0" w:color="auto"/>
          </w:divBdr>
        </w:div>
        <w:div w:id="905533049">
          <w:marLeft w:val="0"/>
          <w:marRight w:val="0"/>
          <w:marTop w:val="0"/>
          <w:marBottom w:val="0"/>
          <w:divBdr>
            <w:top w:val="none" w:sz="0" w:space="0" w:color="auto"/>
            <w:left w:val="none" w:sz="0" w:space="0" w:color="auto"/>
            <w:bottom w:val="none" w:sz="0" w:space="0" w:color="auto"/>
            <w:right w:val="none" w:sz="0" w:space="0" w:color="auto"/>
          </w:divBdr>
        </w:div>
      </w:divsChild>
    </w:div>
    <w:div w:id="340008886">
      <w:bodyDiv w:val="1"/>
      <w:marLeft w:val="0"/>
      <w:marRight w:val="0"/>
      <w:marTop w:val="0"/>
      <w:marBottom w:val="0"/>
      <w:divBdr>
        <w:top w:val="none" w:sz="0" w:space="0" w:color="auto"/>
        <w:left w:val="none" w:sz="0" w:space="0" w:color="auto"/>
        <w:bottom w:val="none" w:sz="0" w:space="0" w:color="auto"/>
        <w:right w:val="none" w:sz="0" w:space="0" w:color="auto"/>
      </w:divBdr>
    </w:div>
    <w:div w:id="341590908">
      <w:bodyDiv w:val="1"/>
      <w:marLeft w:val="0"/>
      <w:marRight w:val="0"/>
      <w:marTop w:val="0"/>
      <w:marBottom w:val="0"/>
      <w:divBdr>
        <w:top w:val="none" w:sz="0" w:space="0" w:color="auto"/>
        <w:left w:val="none" w:sz="0" w:space="0" w:color="auto"/>
        <w:bottom w:val="none" w:sz="0" w:space="0" w:color="auto"/>
        <w:right w:val="none" w:sz="0" w:space="0" w:color="auto"/>
      </w:divBdr>
      <w:divsChild>
        <w:div w:id="366953804">
          <w:marLeft w:val="0"/>
          <w:marRight w:val="0"/>
          <w:marTop w:val="0"/>
          <w:marBottom w:val="0"/>
          <w:divBdr>
            <w:top w:val="none" w:sz="0" w:space="0" w:color="auto"/>
            <w:left w:val="none" w:sz="0" w:space="0" w:color="auto"/>
            <w:bottom w:val="none" w:sz="0" w:space="0" w:color="auto"/>
            <w:right w:val="none" w:sz="0" w:space="0" w:color="auto"/>
          </w:divBdr>
        </w:div>
        <w:div w:id="356124260">
          <w:marLeft w:val="0"/>
          <w:marRight w:val="0"/>
          <w:marTop w:val="0"/>
          <w:marBottom w:val="0"/>
          <w:divBdr>
            <w:top w:val="none" w:sz="0" w:space="0" w:color="auto"/>
            <w:left w:val="none" w:sz="0" w:space="0" w:color="auto"/>
            <w:bottom w:val="none" w:sz="0" w:space="0" w:color="auto"/>
            <w:right w:val="none" w:sz="0" w:space="0" w:color="auto"/>
          </w:divBdr>
        </w:div>
        <w:div w:id="557520594">
          <w:marLeft w:val="0"/>
          <w:marRight w:val="0"/>
          <w:marTop w:val="0"/>
          <w:marBottom w:val="0"/>
          <w:divBdr>
            <w:top w:val="none" w:sz="0" w:space="0" w:color="auto"/>
            <w:left w:val="none" w:sz="0" w:space="0" w:color="auto"/>
            <w:bottom w:val="none" w:sz="0" w:space="0" w:color="auto"/>
            <w:right w:val="none" w:sz="0" w:space="0" w:color="auto"/>
          </w:divBdr>
        </w:div>
      </w:divsChild>
    </w:div>
    <w:div w:id="345209379">
      <w:bodyDiv w:val="1"/>
      <w:marLeft w:val="0"/>
      <w:marRight w:val="0"/>
      <w:marTop w:val="0"/>
      <w:marBottom w:val="0"/>
      <w:divBdr>
        <w:top w:val="none" w:sz="0" w:space="0" w:color="auto"/>
        <w:left w:val="none" w:sz="0" w:space="0" w:color="auto"/>
        <w:bottom w:val="none" w:sz="0" w:space="0" w:color="auto"/>
        <w:right w:val="none" w:sz="0" w:space="0" w:color="auto"/>
      </w:divBdr>
    </w:div>
    <w:div w:id="352727374">
      <w:bodyDiv w:val="1"/>
      <w:marLeft w:val="0"/>
      <w:marRight w:val="0"/>
      <w:marTop w:val="0"/>
      <w:marBottom w:val="0"/>
      <w:divBdr>
        <w:top w:val="none" w:sz="0" w:space="0" w:color="auto"/>
        <w:left w:val="none" w:sz="0" w:space="0" w:color="auto"/>
        <w:bottom w:val="none" w:sz="0" w:space="0" w:color="auto"/>
        <w:right w:val="none" w:sz="0" w:space="0" w:color="auto"/>
      </w:divBdr>
    </w:div>
    <w:div w:id="411246475">
      <w:bodyDiv w:val="1"/>
      <w:marLeft w:val="0"/>
      <w:marRight w:val="0"/>
      <w:marTop w:val="0"/>
      <w:marBottom w:val="0"/>
      <w:divBdr>
        <w:top w:val="none" w:sz="0" w:space="0" w:color="auto"/>
        <w:left w:val="none" w:sz="0" w:space="0" w:color="auto"/>
        <w:bottom w:val="none" w:sz="0" w:space="0" w:color="auto"/>
        <w:right w:val="none" w:sz="0" w:space="0" w:color="auto"/>
      </w:divBdr>
    </w:div>
    <w:div w:id="463426680">
      <w:bodyDiv w:val="1"/>
      <w:marLeft w:val="0"/>
      <w:marRight w:val="0"/>
      <w:marTop w:val="0"/>
      <w:marBottom w:val="0"/>
      <w:divBdr>
        <w:top w:val="none" w:sz="0" w:space="0" w:color="auto"/>
        <w:left w:val="none" w:sz="0" w:space="0" w:color="auto"/>
        <w:bottom w:val="none" w:sz="0" w:space="0" w:color="auto"/>
        <w:right w:val="none" w:sz="0" w:space="0" w:color="auto"/>
      </w:divBdr>
    </w:div>
    <w:div w:id="473908540">
      <w:bodyDiv w:val="1"/>
      <w:marLeft w:val="0"/>
      <w:marRight w:val="0"/>
      <w:marTop w:val="0"/>
      <w:marBottom w:val="0"/>
      <w:divBdr>
        <w:top w:val="none" w:sz="0" w:space="0" w:color="auto"/>
        <w:left w:val="none" w:sz="0" w:space="0" w:color="auto"/>
        <w:bottom w:val="none" w:sz="0" w:space="0" w:color="auto"/>
        <w:right w:val="none" w:sz="0" w:space="0" w:color="auto"/>
      </w:divBdr>
    </w:div>
    <w:div w:id="475414075">
      <w:bodyDiv w:val="1"/>
      <w:marLeft w:val="0"/>
      <w:marRight w:val="0"/>
      <w:marTop w:val="0"/>
      <w:marBottom w:val="0"/>
      <w:divBdr>
        <w:top w:val="none" w:sz="0" w:space="0" w:color="auto"/>
        <w:left w:val="none" w:sz="0" w:space="0" w:color="auto"/>
        <w:bottom w:val="none" w:sz="0" w:space="0" w:color="auto"/>
        <w:right w:val="none" w:sz="0" w:space="0" w:color="auto"/>
      </w:divBdr>
    </w:div>
    <w:div w:id="486168658">
      <w:bodyDiv w:val="1"/>
      <w:marLeft w:val="0"/>
      <w:marRight w:val="0"/>
      <w:marTop w:val="0"/>
      <w:marBottom w:val="0"/>
      <w:divBdr>
        <w:top w:val="none" w:sz="0" w:space="0" w:color="auto"/>
        <w:left w:val="none" w:sz="0" w:space="0" w:color="auto"/>
        <w:bottom w:val="none" w:sz="0" w:space="0" w:color="auto"/>
        <w:right w:val="none" w:sz="0" w:space="0" w:color="auto"/>
      </w:divBdr>
    </w:div>
    <w:div w:id="486745336">
      <w:bodyDiv w:val="1"/>
      <w:marLeft w:val="0"/>
      <w:marRight w:val="0"/>
      <w:marTop w:val="0"/>
      <w:marBottom w:val="0"/>
      <w:divBdr>
        <w:top w:val="none" w:sz="0" w:space="0" w:color="auto"/>
        <w:left w:val="none" w:sz="0" w:space="0" w:color="auto"/>
        <w:bottom w:val="none" w:sz="0" w:space="0" w:color="auto"/>
        <w:right w:val="none" w:sz="0" w:space="0" w:color="auto"/>
      </w:divBdr>
    </w:div>
    <w:div w:id="522020283">
      <w:bodyDiv w:val="1"/>
      <w:marLeft w:val="0"/>
      <w:marRight w:val="0"/>
      <w:marTop w:val="0"/>
      <w:marBottom w:val="0"/>
      <w:divBdr>
        <w:top w:val="none" w:sz="0" w:space="0" w:color="auto"/>
        <w:left w:val="none" w:sz="0" w:space="0" w:color="auto"/>
        <w:bottom w:val="none" w:sz="0" w:space="0" w:color="auto"/>
        <w:right w:val="none" w:sz="0" w:space="0" w:color="auto"/>
      </w:divBdr>
    </w:div>
    <w:div w:id="543643945">
      <w:bodyDiv w:val="1"/>
      <w:marLeft w:val="0"/>
      <w:marRight w:val="0"/>
      <w:marTop w:val="0"/>
      <w:marBottom w:val="0"/>
      <w:divBdr>
        <w:top w:val="none" w:sz="0" w:space="0" w:color="auto"/>
        <w:left w:val="none" w:sz="0" w:space="0" w:color="auto"/>
        <w:bottom w:val="none" w:sz="0" w:space="0" w:color="auto"/>
        <w:right w:val="none" w:sz="0" w:space="0" w:color="auto"/>
      </w:divBdr>
    </w:div>
    <w:div w:id="552814093">
      <w:bodyDiv w:val="1"/>
      <w:marLeft w:val="0"/>
      <w:marRight w:val="0"/>
      <w:marTop w:val="0"/>
      <w:marBottom w:val="0"/>
      <w:divBdr>
        <w:top w:val="none" w:sz="0" w:space="0" w:color="auto"/>
        <w:left w:val="none" w:sz="0" w:space="0" w:color="auto"/>
        <w:bottom w:val="none" w:sz="0" w:space="0" w:color="auto"/>
        <w:right w:val="none" w:sz="0" w:space="0" w:color="auto"/>
      </w:divBdr>
    </w:div>
    <w:div w:id="584264319">
      <w:bodyDiv w:val="1"/>
      <w:marLeft w:val="0"/>
      <w:marRight w:val="0"/>
      <w:marTop w:val="0"/>
      <w:marBottom w:val="0"/>
      <w:divBdr>
        <w:top w:val="none" w:sz="0" w:space="0" w:color="auto"/>
        <w:left w:val="none" w:sz="0" w:space="0" w:color="auto"/>
        <w:bottom w:val="none" w:sz="0" w:space="0" w:color="auto"/>
        <w:right w:val="none" w:sz="0" w:space="0" w:color="auto"/>
      </w:divBdr>
    </w:div>
    <w:div w:id="635836293">
      <w:bodyDiv w:val="1"/>
      <w:marLeft w:val="0"/>
      <w:marRight w:val="0"/>
      <w:marTop w:val="0"/>
      <w:marBottom w:val="0"/>
      <w:divBdr>
        <w:top w:val="none" w:sz="0" w:space="0" w:color="auto"/>
        <w:left w:val="none" w:sz="0" w:space="0" w:color="auto"/>
        <w:bottom w:val="none" w:sz="0" w:space="0" w:color="auto"/>
        <w:right w:val="none" w:sz="0" w:space="0" w:color="auto"/>
      </w:divBdr>
    </w:div>
    <w:div w:id="640352948">
      <w:bodyDiv w:val="1"/>
      <w:marLeft w:val="0"/>
      <w:marRight w:val="0"/>
      <w:marTop w:val="0"/>
      <w:marBottom w:val="0"/>
      <w:divBdr>
        <w:top w:val="none" w:sz="0" w:space="0" w:color="auto"/>
        <w:left w:val="none" w:sz="0" w:space="0" w:color="auto"/>
        <w:bottom w:val="none" w:sz="0" w:space="0" w:color="auto"/>
        <w:right w:val="none" w:sz="0" w:space="0" w:color="auto"/>
      </w:divBdr>
    </w:div>
    <w:div w:id="641274106">
      <w:bodyDiv w:val="1"/>
      <w:marLeft w:val="0"/>
      <w:marRight w:val="0"/>
      <w:marTop w:val="0"/>
      <w:marBottom w:val="0"/>
      <w:divBdr>
        <w:top w:val="none" w:sz="0" w:space="0" w:color="auto"/>
        <w:left w:val="none" w:sz="0" w:space="0" w:color="auto"/>
        <w:bottom w:val="none" w:sz="0" w:space="0" w:color="auto"/>
        <w:right w:val="none" w:sz="0" w:space="0" w:color="auto"/>
      </w:divBdr>
    </w:div>
    <w:div w:id="670568218">
      <w:bodyDiv w:val="1"/>
      <w:marLeft w:val="0"/>
      <w:marRight w:val="0"/>
      <w:marTop w:val="0"/>
      <w:marBottom w:val="0"/>
      <w:divBdr>
        <w:top w:val="none" w:sz="0" w:space="0" w:color="auto"/>
        <w:left w:val="none" w:sz="0" w:space="0" w:color="auto"/>
        <w:bottom w:val="none" w:sz="0" w:space="0" w:color="auto"/>
        <w:right w:val="none" w:sz="0" w:space="0" w:color="auto"/>
      </w:divBdr>
      <w:divsChild>
        <w:div w:id="85227439">
          <w:marLeft w:val="0"/>
          <w:marRight w:val="0"/>
          <w:marTop w:val="0"/>
          <w:marBottom w:val="0"/>
          <w:divBdr>
            <w:top w:val="none" w:sz="0" w:space="0" w:color="auto"/>
            <w:left w:val="none" w:sz="0" w:space="0" w:color="auto"/>
            <w:bottom w:val="none" w:sz="0" w:space="0" w:color="auto"/>
            <w:right w:val="none" w:sz="0" w:space="0" w:color="auto"/>
          </w:divBdr>
        </w:div>
        <w:div w:id="647710696">
          <w:marLeft w:val="0"/>
          <w:marRight w:val="0"/>
          <w:marTop w:val="0"/>
          <w:marBottom w:val="0"/>
          <w:divBdr>
            <w:top w:val="none" w:sz="0" w:space="0" w:color="auto"/>
            <w:left w:val="none" w:sz="0" w:space="0" w:color="auto"/>
            <w:bottom w:val="none" w:sz="0" w:space="0" w:color="auto"/>
            <w:right w:val="none" w:sz="0" w:space="0" w:color="auto"/>
          </w:divBdr>
        </w:div>
      </w:divsChild>
    </w:div>
    <w:div w:id="688877900">
      <w:bodyDiv w:val="1"/>
      <w:marLeft w:val="0"/>
      <w:marRight w:val="0"/>
      <w:marTop w:val="0"/>
      <w:marBottom w:val="0"/>
      <w:divBdr>
        <w:top w:val="none" w:sz="0" w:space="0" w:color="auto"/>
        <w:left w:val="none" w:sz="0" w:space="0" w:color="auto"/>
        <w:bottom w:val="none" w:sz="0" w:space="0" w:color="auto"/>
        <w:right w:val="none" w:sz="0" w:space="0" w:color="auto"/>
      </w:divBdr>
      <w:divsChild>
        <w:div w:id="743138670">
          <w:marLeft w:val="0"/>
          <w:marRight w:val="0"/>
          <w:marTop w:val="0"/>
          <w:marBottom w:val="0"/>
          <w:divBdr>
            <w:top w:val="none" w:sz="0" w:space="0" w:color="auto"/>
            <w:left w:val="none" w:sz="0" w:space="0" w:color="auto"/>
            <w:bottom w:val="none" w:sz="0" w:space="0" w:color="auto"/>
            <w:right w:val="none" w:sz="0" w:space="0" w:color="auto"/>
          </w:divBdr>
        </w:div>
        <w:div w:id="1322735557">
          <w:marLeft w:val="0"/>
          <w:marRight w:val="0"/>
          <w:marTop w:val="0"/>
          <w:marBottom w:val="0"/>
          <w:divBdr>
            <w:top w:val="none" w:sz="0" w:space="0" w:color="auto"/>
            <w:left w:val="none" w:sz="0" w:space="0" w:color="auto"/>
            <w:bottom w:val="none" w:sz="0" w:space="0" w:color="auto"/>
            <w:right w:val="none" w:sz="0" w:space="0" w:color="auto"/>
          </w:divBdr>
        </w:div>
        <w:div w:id="823813829">
          <w:marLeft w:val="0"/>
          <w:marRight w:val="0"/>
          <w:marTop w:val="0"/>
          <w:marBottom w:val="0"/>
          <w:divBdr>
            <w:top w:val="none" w:sz="0" w:space="0" w:color="auto"/>
            <w:left w:val="none" w:sz="0" w:space="0" w:color="auto"/>
            <w:bottom w:val="none" w:sz="0" w:space="0" w:color="auto"/>
            <w:right w:val="none" w:sz="0" w:space="0" w:color="auto"/>
          </w:divBdr>
        </w:div>
      </w:divsChild>
    </w:div>
    <w:div w:id="708844788">
      <w:bodyDiv w:val="1"/>
      <w:marLeft w:val="0"/>
      <w:marRight w:val="0"/>
      <w:marTop w:val="0"/>
      <w:marBottom w:val="0"/>
      <w:divBdr>
        <w:top w:val="none" w:sz="0" w:space="0" w:color="auto"/>
        <w:left w:val="none" w:sz="0" w:space="0" w:color="auto"/>
        <w:bottom w:val="none" w:sz="0" w:space="0" w:color="auto"/>
        <w:right w:val="none" w:sz="0" w:space="0" w:color="auto"/>
      </w:divBdr>
    </w:div>
    <w:div w:id="724719849">
      <w:bodyDiv w:val="1"/>
      <w:marLeft w:val="0"/>
      <w:marRight w:val="0"/>
      <w:marTop w:val="0"/>
      <w:marBottom w:val="0"/>
      <w:divBdr>
        <w:top w:val="none" w:sz="0" w:space="0" w:color="auto"/>
        <w:left w:val="none" w:sz="0" w:space="0" w:color="auto"/>
        <w:bottom w:val="none" w:sz="0" w:space="0" w:color="auto"/>
        <w:right w:val="none" w:sz="0" w:space="0" w:color="auto"/>
      </w:divBdr>
      <w:divsChild>
        <w:div w:id="1918588258">
          <w:marLeft w:val="0"/>
          <w:marRight w:val="0"/>
          <w:marTop w:val="0"/>
          <w:marBottom w:val="0"/>
          <w:divBdr>
            <w:top w:val="none" w:sz="0" w:space="0" w:color="auto"/>
            <w:left w:val="none" w:sz="0" w:space="0" w:color="auto"/>
            <w:bottom w:val="none" w:sz="0" w:space="0" w:color="auto"/>
            <w:right w:val="none" w:sz="0" w:space="0" w:color="auto"/>
          </w:divBdr>
        </w:div>
        <w:div w:id="787819438">
          <w:marLeft w:val="0"/>
          <w:marRight w:val="0"/>
          <w:marTop w:val="0"/>
          <w:marBottom w:val="0"/>
          <w:divBdr>
            <w:top w:val="none" w:sz="0" w:space="0" w:color="auto"/>
            <w:left w:val="none" w:sz="0" w:space="0" w:color="auto"/>
            <w:bottom w:val="none" w:sz="0" w:space="0" w:color="auto"/>
            <w:right w:val="none" w:sz="0" w:space="0" w:color="auto"/>
          </w:divBdr>
        </w:div>
        <w:div w:id="1339966543">
          <w:marLeft w:val="0"/>
          <w:marRight w:val="0"/>
          <w:marTop w:val="0"/>
          <w:marBottom w:val="0"/>
          <w:divBdr>
            <w:top w:val="none" w:sz="0" w:space="0" w:color="auto"/>
            <w:left w:val="none" w:sz="0" w:space="0" w:color="auto"/>
            <w:bottom w:val="none" w:sz="0" w:space="0" w:color="auto"/>
            <w:right w:val="none" w:sz="0" w:space="0" w:color="auto"/>
          </w:divBdr>
        </w:div>
      </w:divsChild>
    </w:div>
    <w:div w:id="739791667">
      <w:bodyDiv w:val="1"/>
      <w:marLeft w:val="0"/>
      <w:marRight w:val="0"/>
      <w:marTop w:val="0"/>
      <w:marBottom w:val="0"/>
      <w:divBdr>
        <w:top w:val="none" w:sz="0" w:space="0" w:color="auto"/>
        <w:left w:val="none" w:sz="0" w:space="0" w:color="auto"/>
        <w:bottom w:val="none" w:sz="0" w:space="0" w:color="auto"/>
        <w:right w:val="none" w:sz="0" w:space="0" w:color="auto"/>
      </w:divBdr>
    </w:div>
    <w:div w:id="751972095">
      <w:bodyDiv w:val="1"/>
      <w:marLeft w:val="0"/>
      <w:marRight w:val="0"/>
      <w:marTop w:val="0"/>
      <w:marBottom w:val="0"/>
      <w:divBdr>
        <w:top w:val="none" w:sz="0" w:space="0" w:color="auto"/>
        <w:left w:val="none" w:sz="0" w:space="0" w:color="auto"/>
        <w:bottom w:val="none" w:sz="0" w:space="0" w:color="auto"/>
        <w:right w:val="none" w:sz="0" w:space="0" w:color="auto"/>
      </w:divBdr>
    </w:div>
    <w:div w:id="757362013">
      <w:bodyDiv w:val="1"/>
      <w:marLeft w:val="0"/>
      <w:marRight w:val="0"/>
      <w:marTop w:val="0"/>
      <w:marBottom w:val="0"/>
      <w:divBdr>
        <w:top w:val="none" w:sz="0" w:space="0" w:color="auto"/>
        <w:left w:val="none" w:sz="0" w:space="0" w:color="auto"/>
        <w:bottom w:val="none" w:sz="0" w:space="0" w:color="auto"/>
        <w:right w:val="none" w:sz="0" w:space="0" w:color="auto"/>
      </w:divBdr>
    </w:div>
    <w:div w:id="796415900">
      <w:bodyDiv w:val="1"/>
      <w:marLeft w:val="0"/>
      <w:marRight w:val="0"/>
      <w:marTop w:val="0"/>
      <w:marBottom w:val="0"/>
      <w:divBdr>
        <w:top w:val="none" w:sz="0" w:space="0" w:color="auto"/>
        <w:left w:val="none" w:sz="0" w:space="0" w:color="auto"/>
        <w:bottom w:val="none" w:sz="0" w:space="0" w:color="auto"/>
        <w:right w:val="none" w:sz="0" w:space="0" w:color="auto"/>
      </w:divBdr>
    </w:div>
    <w:div w:id="827550302">
      <w:bodyDiv w:val="1"/>
      <w:marLeft w:val="0"/>
      <w:marRight w:val="0"/>
      <w:marTop w:val="0"/>
      <w:marBottom w:val="0"/>
      <w:divBdr>
        <w:top w:val="none" w:sz="0" w:space="0" w:color="auto"/>
        <w:left w:val="none" w:sz="0" w:space="0" w:color="auto"/>
        <w:bottom w:val="none" w:sz="0" w:space="0" w:color="auto"/>
        <w:right w:val="none" w:sz="0" w:space="0" w:color="auto"/>
      </w:divBdr>
    </w:div>
    <w:div w:id="855115951">
      <w:bodyDiv w:val="1"/>
      <w:marLeft w:val="0"/>
      <w:marRight w:val="0"/>
      <w:marTop w:val="0"/>
      <w:marBottom w:val="0"/>
      <w:divBdr>
        <w:top w:val="none" w:sz="0" w:space="0" w:color="auto"/>
        <w:left w:val="none" w:sz="0" w:space="0" w:color="auto"/>
        <w:bottom w:val="none" w:sz="0" w:space="0" w:color="auto"/>
        <w:right w:val="none" w:sz="0" w:space="0" w:color="auto"/>
      </w:divBdr>
    </w:div>
    <w:div w:id="865292237">
      <w:bodyDiv w:val="1"/>
      <w:marLeft w:val="0"/>
      <w:marRight w:val="0"/>
      <w:marTop w:val="0"/>
      <w:marBottom w:val="0"/>
      <w:divBdr>
        <w:top w:val="none" w:sz="0" w:space="0" w:color="auto"/>
        <w:left w:val="none" w:sz="0" w:space="0" w:color="auto"/>
        <w:bottom w:val="none" w:sz="0" w:space="0" w:color="auto"/>
        <w:right w:val="none" w:sz="0" w:space="0" w:color="auto"/>
      </w:divBdr>
    </w:div>
    <w:div w:id="877086262">
      <w:bodyDiv w:val="1"/>
      <w:marLeft w:val="0"/>
      <w:marRight w:val="0"/>
      <w:marTop w:val="0"/>
      <w:marBottom w:val="0"/>
      <w:divBdr>
        <w:top w:val="none" w:sz="0" w:space="0" w:color="auto"/>
        <w:left w:val="none" w:sz="0" w:space="0" w:color="auto"/>
        <w:bottom w:val="none" w:sz="0" w:space="0" w:color="auto"/>
        <w:right w:val="none" w:sz="0" w:space="0" w:color="auto"/>
      </w:divBdr>
    </w:div>
    <w:div w:id="880476978">
      <w:bodyDiv w:val="1"/>
      <w:marLeft w:val="0"/>
      <w:marRight w:val="0"/>
      <w:marTop w:val="0"/>
      <w:marBottom w:val="0"/>
      <w:divBdr>
        <w:top w:val="none" w:sz="0" w:space="0" w:color="auto"/>
        <w:left w:val="none" w:sz="0" w:space="0" w:color="auto"/>
        <w:bottom w:val="none" w:sz="0" w:space="0" w:color="auto"/>
        <w:right w:val="none" w:sz="0" w:space="0" w:color="auto"/>
      </w:divBdr>
    </w:div>
    <w:div w:id="889146365">
      <w:bodyDiv w:val="1"/>
      <w:marLeft w:val="0"/>
      <w:marRight w:val="0"/>
      <w:marTop w:val="0"/>
      <w:marBottom w:val="0"/>
      <w:divBdr>
        <w:top w:val="none" w:sz="0" w:space="0" w:color="auto"/>
        <w:left w:val="none" w:sz="0" w:space="0" w:color="auto"/>
        <w:bottom w:val="none" w:sz="0" w:space="0" w:color="auto"/>
        <w:right w:val="none" w:sz="0" w:space="0" w:color="auto"/>
      </w:divBdr>
    </w:div>
    <w:div w:id="907039483">
      <w:bodyDiv w:val="1"/>
      <w:marLeft w:val="0"/>
      <w:marRight w:val="0"/>
      <w:marTop w:val="0"/>
      <w:marBottom w:val="0"/>
      <w:divBdr>
        <w:top w:val="none" w:sz="0" w:space="0" w:color="auto"/>
        <w:left w:val="none" w:sz="0" w:space="0" w:color="auto"/>
        <w:bottom w:val="none" w:sz="0" w:space="0" w:color="auto"/>
        <w:right w:val="none" w:sz="0" w:space="0" w:color="auto"/>
      </w:divBdr>
    </w:div>
    <w:div w:id="927662792">
      <w:bodyDiv w:val="1"/>
      <w:marLeft w:val="0"/>
      <w:marRight w:val="0"/>
      <w:marTop w:val="0"/>
      <w:marBottom w:val="0"/>
      <w:divBdr>
        <w:top w:val="none" w:sz="0" w:space="0" w:color="auto"/>
        <w:left w:val="none" w:sz="0" w:space="0" w:color="auto"/>
        <w:bottom w:val="none" w:sz="0" w:space="0" w:color="auto"/>
        <w:right w:val="none" w:sz="0" w:space="0" w:color="auto"/>
      </w:divBdr>
    </w:div>
    <w:div w:id="962924810">
      <w:bodyDiv w:val="1"/>
      <w:marLeft w:val="0"/>
      <w:marRight w:val="0"/>
      <w:marTop w:val="0"/>
      <w:marBottom w:val="0"/>
      <w:divBdr>
        <w:top w:val="none" w:sz="0" w:space="0" w:color="auto"/>
        <w:left w:val="none" w:sz="0" w:space="0" w:color="auto"/>
        <w:bottom w:val="none" w:sz="0" w:space="0" w:color="auto"/>
        <w:right w:val="none" w:sz="0" w:space="0" w:color="auto"/>
      </w:divBdr>
    </w:div>
    <w:div w:id="985860439">
      <w:bodyDiv w:val="1"/>
      <w:marLeft w:val="0"/>
      <w:marRight w:val="0"/>
      <w:marTop w:val="0"/>
      <w:marBottom w:val="0"/>
      <w:divBdr>
        <w:top w:val="none" w:sz="0" w:space="0" w:color="auto"/>
        <w:left w:val="none" w:sz="0" w:space="0" w:color="auto"/>
        <w:bottom w:val="none" w:sz="0" w:space="0" w:color="auto"/>
        <w:right w:val="none" w:sz="0" w:space="0" w:color="auto"/>
      </w:divBdr>
    </w:div>
    <w:div w:id="1016005999">
      <w:bodyDiv w:val="1"/>
      <w:marLeft w:val="0"/>
      <w:marRight w:val="0"/>
      <w:marTop w:val="0"/>
      <w:marBottom w:val="0"/>
      <w:divBdr>
        <w:top w:val="none" w:sz="0" w:space="0" w:color="auto"/>
        <w:left w:val="none" w:sz="0" w:space="0" w:color="auto"/>
        <w:bottom w:val="none" w:sz="0" w:space="0" w:color="auto"/>
        <w:right w:val="none" w:sz="0" w:space="0" w:color="auto"/>
      </w:divBdr>
    </w:div>
    <w:div w:id="1024985646">
      <w:bodyDiv w:val="1"/>
      <w:marLeft w:val="0"/>
      <w:marRight w:val="0"/>
      <w:marTop w:val="0"/>
      <w:marBottom w:val="0"/>
      <w:divBdr>
        <w:top w:val="none" w:sz="0" w:space="0" w:color="auto"/>
        <w:left w:val="none" w:sz="0" w:space="0" w:color="auto"/>
        <w:bottom w:val="none" w:sz="0" w:space="0" w:color="auto"/>
        <w:right w:val="none" w:sz="0" w:space="0" w:color="auto"/>
      </w:divBdr>
    </w:div>
    <w:div w:id="1048992560">
      <w:bodyDiv w:val="1"/>
      <w:marLeft w:val="0"/>
      <w:marRight w:val="0"/>
      <w:marTop w:val="0"/>
      <w:marBottom w:val="0"/>
      <w:divBdr>
        <w:top w:val="none" w:sz="0" w:space="0" w:color="auto"/>
        <w:left w:val="none" w:sz="0" w:space="0" w:color="auto"/>
        <w:bottom w:val="none" w:sz="0" w:space="0" w:color="auto"/>
        <w:right w:val="none" w:sz="0" w:space="0" w:color="auto"/>
      </w:divBdr>
    </w:div>
    <w:div w:id="1084760320">
      <w:bodyDiv w:val="1"/>
      <w:marLeft w:val="0"/>
      <w:marRight w:val="0"/>
      <w:marTop w:val="0"/>
      <w:marBottom w:val="0"/>
      <w:divBdr>
        <w:top w:val="none" w:sz="0" w:space="0" w:color="auto"/>
        <w:left w:val="none" w:sz="0" w:space="0" w:color="auto"/>
        <w:bottom w:val="none" w:sz="0" w:space="0" w:color="auto"/>
        <w:right w:val="none" w:sz="0" w:space="0" w:color="auto"/>
      </w:divBdr>
    </w:div>
    <w:div w:id="1095204274">
      <w:bodyDiv w:val="1"/>
      <w:marLeft w:val="0"/>
      <w:marRight w:val="0"/>
      <w:marTop w:val="0"/>
      <w:marBottom w:val="0"/>
      <w:divBdr>
        <w:top w:val="none" w:sz="0" w:space="0" w:color="auto"/>
        <w:left w:val="none" w:sz="0" w:space="0" w:color="auto"/>
        <w:bottom w:val="none" w:sz="0" w:space="0" w:color="auto"/>
        <w:right w:val="none" w:sz="0" w:space="0" w:color="auto"/>
      </w:divBdr>
    </w:div>
    <w:div w:id="1112435971">
      <w:bodyDiv w:val="1"/>
      <w:marLeft w:val="0"/>
      <w:marRight w:val="0"/>
      <w:marTop w:val="0"/>
      <w:marBottom w:val="0"/>
      <w:divBdr>
        <w:top w:val="none" w:sz="0" w:space="0" w:color="auto"/>
        <w:left w:val="none" w:sz="0" w:space="0" w:color="auto"/>
        <w:bottom w:val="none" w:sz="0" w:space="0" w:color="auto"/>
        <w:right w:val="none" w:sz="0" w:space="0" w:color="auto"/>
      </w:divBdr>
    </w:div>
    <w:div w:id="1133056200">
      <w:bodyDiv w:val="1"/>
      <w:marLeft w:val="0"/>
      <w:marRight w:val="0"/>
      <w:marTop w:val="0"/>
      <w:marBottom w:val="0"/>
      <w:divBdr>
        <w:top w:val="none" w:sz="0" w:space="0" w:color="auto"/>
        <w:left w:val="none" w:sz="0" w:space="0" w:color="auto"/>
        <w:bottom w:val="none" w:sz="0" w:space="0" w:color="auto"/>
        <w:right w:val="none" w:sz="0" w:space="0" w:color="auto"/>
      </w:divBdr>
    </w:div>
    <w:div w:id="1141925071">
      <w:bodyDiv w:val="1"/>
      <w:marLeft w:val="0"/>
      <w:marRight w:val="0"/>
      <w:marTop w:val="0"/>
      <w:marBottom w:val="0"/>
      <w:divBdr>
        <w:top w:val="none" w:sz="0" w:space="0" w:color="auto"/>
        <w:left w:val="none" w:sz="0" w:space="0" w:color="auto"/>
        <w:bottom w:val="none" w:sz="0" w:space="0" w:color="auto"/>
        <w:right w:val="none" w:sz="0" w:space="0" w:color="auto"/>
      </w:divBdr>
    </w:div>
    <w:div w:id="1151601446">
      <w:bodyDiv w:val="1"/>
      <w:marLeft w:val="0"/>
      <w:marRight w:val="0"/>
      <w:marTop w:val="0"/>
      <w:marBottom w:val="0"/>
      <w:divBdr>
        <w:top w:val="none" w:sz="0" w:space="0" w:color="auto"/>
        <w:left w:val="none" w:sz="0" w:space="0" w:color="auto"/>
        <w:bottom w:val="none" w:sz="0" w:space="0" w:color="auto"/>
        <w:right w:val="none" w:sz="0" w:space="0" w:color="auto"/>
      </w:divBdr>
    </w:div>
    <w:div w:id="1152402866">
      <w:bodyDiv w:val="1"/>
      <w:marLeft w:val="0"/>
      <w:marRight w:val="0"/>
      <w:marTop w:val="0"/>
      <w:marBottom w:val="0"/>
      <w:divBdr>
        <w:top w:val="none" w:sz="0" w:space="0" w:color="auto"/>
        <w:left w:val="none" w:sz="0" w:space="0" w:color="auto"/>
        <w:bottom w:val="none" w:sz="0" w:space="0" w:color="auto"/>
        <w:right w:val="none" w:sz="0" w:space="0" w:color="auto"/>
      </w:divBdr>
    </w:div>
    <w:div w:id="1160736548">
      <w:bodyDiv w:val="1"/>
      <w:marLeft w:val="0"/>
      <w:marRight w:val="0"/>
      <w:marTop w:val="0"/>
      <w:marBottom w:val="0"/>
      <w:divBdr>
        <w:top w:val="none" w:sz="0" w:space="0" w:color="auto"/>
        <w:left w:val="none" w:sz="0" w:space="0" w:color="auto"/>
        <w:bottom w:val="none" w:sz="0" w:space="0" w:color="auto"/>
        <w:right w:val="none" w:sz="0" w:space="0" w:color="auto"/>
      </w:divBdr>
    </w:div>
    <w:div w:id="1162165216">
      <w:bodyDiv w:val="1"/>
      <w:marLeft w:val="0"/>
      <w:marRight w:val="0"/>
      <w:marTop w:val="0"/>
      <w:marBottom w:val="0"/>
      <w:divBdr>
        <w:top w:val="none" w:sz="0" w:space="0" w:color="auto"/>
        <w:left w:val="none" w:sz="0" w:space="0" w:color="auto"/>
        <w:bottom w:val="none" w:sz="0" w:space="0" w:color="auto"/>
        <w:right w:val="none" w:sz="0" w:space="0" w:color="auto"/>
      </w:divBdr>
    </w:div>
    <w:div w:id="1224676557">
      <w:bodyDiv w:val="1"/>
      <w:marLeft w:val="0"/>
      <w:marRight w:val="0"/>
      <w:marTop w:val="0"/>
      <w:marBottom w:val="0"/>
      <w:divBdr>
        <w:top w:val="none" w:sz="0" w:space="0" w:color="auto"/>
        <w:left w:val="none" w:sz="0" w:space="0" w:color="auto"/>
        <w:bottom w:val="none" w:sz="0" w:space="0" w:color="auto"/>
        <w:right w:val="none" w:sz="0" w:space="0" w:color="auto"/>
      </w:divBdr>
      <w:divsChild>
        <w:div w:id="252471366">
          <w:marLeft w:val="0"/>
          <w:marRight w:val="0"/>
          <w:marTop w:val="0"/>
          <w:marBottom w:val="0"/>
          <w:divBdr>
            <w:top w:val="none" w:sz="0" w:space="0" w:color="auto"/>
            <w:left w:val="none" w:sz="0" w:space="0" w:color="auto"/>
            <w:bottom w:val="none" w:sz="0" w:space="0" w:color="auto"/>
            <w:right w:val="none" w:sz="0" w:space="0" w:color="auto"/>
          </w:divBdr>
        </w:div>
        <w:div w:id="1860502793">
          <w:marLeft w:val="0"/>
          <w:marRight w:val="0"/>
          <w:marTop w:val="0"/>
          <w:marBottom w:val="0"/>
          <w:divBdr>
            <w:top w:val="none" w:sz="0" w:space="0" w:color="auto"/>
            <w:left w:val="none" w:sz="0" w:space="0" w:color="auto"/>
            <w:bottom w:val="none" w:sz="0" w:space="0" w:color="auto"/>
            <w:right w:val="none" w:sz="0" w:space="0" w:color="auto"/>
          </w:divBdr>
        </w:div>
        <w:div w:id="680203027">
          <w:marLeft w:val="0"/>
          <w:marRight w:val="0"/>
          <w:marTop w:val="0"/>
          <w:marBottom w:val="0"/>
          <w:divBdr>
            <w:top w:val="none" w:sz="0" w:space="0" w:color="auto"/>
            <w:left w:val="none" w:sz="0" w:space="0" w:color="auto"/>
            <w:bottom w:val="none" w:sz="0" w:space="0" w:color="auto"/>
            <w:right w:val="none" w:sz="0" w:space="0" w:color="auto"/>
          </w:divBdr>
        </w:div>
      </w:divsChild>
    </w:div>
    <w:div w:id="1233933077">
      <w:bodyDiv w:val="1"/>
      <w:marLeft w:val="0"/>
      <w:marRight w:val="0"/>
      <w:marTop w:val="0"/>
      <w:marBottom w:val="0"/>
      <w:divBdr>
        <w:top w:val="none" w:sz="0" w:space="0" w:color="auto"/>
        <w:left w:val="none" w:sz="0" w:space="0" w:color="auto"/>
        <w:bottom w:val="none" w:sz="0" w:space="0" w:color="auto"/>
        <w:right w:val="none" w:sz="0" w:space="0" w:color="auto"/>
      </w:divBdr>
    </w:div>
    <w:div w:id="1244686411">
      <w:bodyDiv w:val="1"/>
      <w:marLeft w:val="0"/>
      <w:marRight w:val="0"/>
      <w:marTop w:val="0"/>
      <w:marBottom w:val="0"/>
      <w:divBdr>
        <w:top w:val="none" w:sz="0" w:space="0" w:color="auto"/>
        <w:left w:val="none" w:sz="0" w:space="0" w:color="auto"/>
        <w:bottom w:val="none" w:sz="0" w:space="0" w:color="auto"/>
        <w:right w:val="none" w:sz="0" w:space="0" w:color="auto"/>
      </w:divBdr>
    </w:div>
    <w:div w:id="1278029284">
      <w:bodyDiv w:val="1"/>
      <w:marLeft w:val="0"/>
      <w:marRight w:val="0"/>
      <w:marTop w:val="0"/>
      <w:marBottom w:val="0"/>
      <w:divBdr>
        <w:top w:val="none" w:sz="0" w:space="0" w:color="auto"/>
        <w:left w:val="none" w:sz="0" w:space="0" w:color="auto"/>
        <w:bottom w:val="none" w:sz="0" w:space="0" w:color="auto"/>
        <w:right w:val="none" w:sz="0" w:space="0" w:color="auto"/>
      </w:divBdr>
    </w:div>
    <w:div w:id="1307010189">
      <w:bodyDiv w:val="1"/>
      <w:marLeft w:val="0"/>
      <w:marRight w:val="0"/>
      <w:marTop w:val="0"/>
      <w:marBottom w:val="0"/>
      <w:divBdr>
        <w:top w:val="none" w:sz="0" w:space="0" w:color="auto"/>
        <w:left w:val="none" w:sz="0" w:space="0" w:color="auto"/>
        <w:bottom w:val="none" w:sz="0" w:space="0" w:color="auto"/>
        <w:right w:val="none" w:sz="0" w:space="0" w:color="auto"/>
      </w:divBdr>
    </w:div>
    <w:div w:id="1309045357">
      <w:bodyDiv w:val="1"/>
      <w:marLeft w:val="0"/>
      <w:marRight w:val="0"/>
      <w:marTop w:val="0"/>
      <w:marBottom w:val="0"/>
      <w:divBdr>
        <w:top w:val="none" w:sz="0" w:space="0" w:color="auto"/>
        <w:left w:val="none" w:sz="0" w:space="0" w:color="auto"/>
        <w:bottom w:val="none" w:sz="0" w:space="0" w:color="auto"/>
        <w:right w:val="none" w:sz="0" w:space="0" w:color="auto"/>
      </w:divBdr>
    </w:div>
    <w:div w:id="1343165720">
      <w:bodyDiv w:val="1"/>
      <w:marLeft w:val="0"/>
      <w:marRight w:val="0"/>
      <w:marTop w:val="0"/>
      <w:marBottom w:val="0"/>
      <w:divBdr>
        <w:top w:val="none" w:sz="0" w:space="0" w:color="auto"/>
        <w:left w:val="none" w:sz="0" w:space="0" w:color="auto"/>
        <w:bottom w:val="none" w:sz="0" w:space="0" w:color="auto"/>
        <w:right w:val="none" w:sz="0" w:space="0" w:color="auto"/>
      </w:divBdr>
    </w:div>
    <w:div w:id="1349678738">
      <w:bodyDiv w:val="1"/>
      <w:marLeft w:val="0"/>
      <w:marRight w:val="0"/>
      <w:marTop w:val="0"/>
      <w:marBottom w:val="0"/>
      <w:divBdr>
        <w:top w:val="none" w:sz="0" w:space="0" w:color="auto"/>
        <w:left w:val="none" w:sz="0" w:space="0" w:color="auto"/>
        <w:bottom w:val="none" w:sz="0" w:space="0" w:color="auto"/>
        <w:right w:val="none" w:sz="0" w:space="0" w:color="auto"/>
      </w:divBdr>
    </w:div>
    <w:div w:id="1365524695">
      <w:bodyDiv w:val="1"/>
      <w:marLeft w:val="0"/>
      <w:marRight w:val="0"/>
      <w:marTop w:val="0"/>
      <w:marBottom w:val="0"/>
      <w:divBdr>
        <w:top w:val="none" w:sz="0" w:space="0" w:color="auto"/>
        <w:left w:val="none" w:sz="0" w:space="0" w:color="auto"/>
        <w:bottom w:val="none" w:sz="0" w:space="0" w:color="auto"/>
        <w:right w:val="none" w:sz="0" w:space="0" w:color="auto"/>
      </w:divBdr>
    </w:div>
    <w:div w:id="1371564610">
      <w:bodyDiv w:val="1"/>
      <w:marLeft w:val="0"/>
      <w:marRight w:val="0"/>
      <w:marTop w:val="0"/>
      <w:marBottom w:val="0"/>
      <w:divBdr>
        <w:top w:val="none" w:sz="0" w:space="0" w:color="auto"/>
        <w:left w:val="none" w:sz="0" w:space="0" w:color="auto"/>
        <w:bottom w:val="none" w:sz="0" w:space="0" w:color="auto"/>
        <w:right w:val="none" w:sz="0" w:space="0" w:color="auto"/>
      </w:divBdr>
    </w:div>
    <w:div w:id="1389761608">
      <w:bodyDiv w:val="1"/>
      <w:marLeft w:val="0"/>
      <w:marRight w:val="0"/>
      <w:marTop w:val="0"/>
      <w:marBottom w:val="0"/>
      <w:divBdr>
        <w:top w:val="none" w:sz="0" w:space="0" w:color="auto"/>
        <w:left w:val="none" w:sz="0" w:space="0" w:color="auto"/>
        <w:bottom w:val="none" w:sz="0" w:space="0" w:color="auto"/>
        <w:right w:val="none" w:sz="0" w:space="0" w:color="auto"/>
      </w:divBdr>
    </w:div>
    <w:div w:id="1408769777">
      <w:bodyDiv w:val="1"/>
      <w:marLeft w:val="0"/>
      <w:marRight w:val="0"/>
      <w:marTop w:val="0"/>
      <w:marBottom w:val="0"/>
      <w:divBdr>
        <w:top w:val="none" w:sz="0" w:space="0" w:color="auto"/>
        <w:left w:val="none" w:sz="0" w:space="0" w:color="auto"/>
        <w:bottom w:val="none" w:sz="0" w:space="0" w:color="auto"/>
        <w:right w:val="none" w:sz="0" w:space="0" w:color="auto"/>
      </w:divBdr>
    </w:div>
    <w:div w:id="1410616136">
      <w:bodyDiv w:val="1"/>
      <w:marLeft w:val="0"/>
      <w:marRight w:val="0"/>
      <w:marTop w:val="0"/>
      <w:marBottom w:val="0"/>
      <w:divBdr>
        <w:top w:val="none" w:sz="0" w:space="0" w:color="auto"/>
        <w:left w:val="none" w:sz="0" w:space="0" w:color="auto"/>
        <w:bottom w:val="none" w:sz="0" w:space="0" w:color="auto"/>
        <w:right w:val="none" w:sz="0" w:space="0" w:color="auto"/>
      </w:divBdr>
    </w:div>
    <w:div w:id="1422919964">
      <w:bodyDiv w:val="1"/>
      <w:marLeft w:val="0"/>
      <w:marRight w:val="0"/>
      <w:marTop w:val="0"/>
      <w:marBottom w:val="0"/>
      <w:divBdr>
        <w:top w:val="none" w:sz="0" w:space="0" w:color="auto"/>
        <w:left w:val="none" w:sz="0" w:space="0" w:color="auto"/>
        <w:bottom w:val="none" w:sz="0" w:space="0" w:color="auto"/>
        <w:right w:val="none" w:sz="0" w:space="0" w:color="auto"/>
      </w:divBdr>
    </w:div>
    <w:div w:id="1425032406">
      <w:bodyDiv w:val="1"/>
      <w:marLeft w:val="0"/>
      <w:marRight w:val="0"/>
      <w:marTop w:val="0"/>
      <w:marBottom w:val="0"/>
      <w:divBdr>
        <w:top w:val="none" w:sz="0" w:space="0" w:color="auto"/>
        <w:left w:val="none" w:sz="0" w:space="0" w:color="auto"/>
        <w:bottom w:val="none" w:sz="0" w:space="0" w:color="auto"/>
        <w:right w:val="none" w:sz="0" w:space="0" w:color="auto"/>
      </w:divBdr>
    </w:div>
    <w:div w:id="1463695208">
      <w:bodyDiv w:val="1"/>
      <w:marLeft w:val="0"/>
      <w:marRight w:val="0"/>
      <w:marTop w:val="0"/>
      <w:marBottom w:val="0"/>
      <w:divBdr>
        <w:top w:val="none" w:sz="0" w:space="0" w:color="auto"/>
        <w:left w:val="none" w:sz="0" w:space="0" w:color="auto"/>
        <w:bottom w:val="none" w:sz="0" w:space="0" w:color="auto"/>
        <w:right w:val="none" w:sz="0" w:space="0" w:color="auto"/>
      </w:divBdr>
    </w:div>
    <w:div w:id="1464809409">
      <w:bodyDiv w:val="1"/>
      <w:marLeft w:val="0"/>
      <w:marRight w:val="0"/>
      <w:marTop w:val="0"/>
      <w:marBottom w:val="0"/>
      <w:divBdr>
        <w:top w:val="none" w:sz="0" w:space="0" w:color="auto"/>
        <w:left w:val="none" w:sz="0" w:space="0" w:color="auto"/>
        <w:bottom w:val="none" w:sz="0" w:space="0" w:color="auto"/>
        <w:right w:val="none" w:sz="0" w:space="0" w:color="auto"/>
      </w:divBdr>
    </w:div>
    <w:div w:id="1471170500">
      <w:bodyDiv w:val="1"/>
      <w:marLeft w:val="0"/>
      <w:marRight w:val="0"/>
      <w:marTop w:val="0"/>
      <w:marBottom w:val="0"/>
      <w:divBdr>
        <w:top w:val="none" w:sz="0" w:space="0" w:color="auto"/>
        <w:left w:val="none" w:sz="0" w:space="0" w:color="auto"/>
        <w:bottom w:val="none" w:sz="0" w:space="0" w:color="auto"/>
        <w:right w:val="none" w:sz="0" w:space="0" w:color="auto"/>
      </w:divBdr>
      <w:divsChild>
        <w:div w:id="618731566">
          <w:marLeft w:val="0"/>
          <w:marRight w:val="0"/>
          <w:marTop w:val="0"/>
          <w:marBottom w:val="0"/>
          <w:divBdr>
            <w:top w:val="none" w:sz="0" w:space="0" w:color="auto"/>
            <w:left w:val="none" w:sz="0" w:space="0" w:color="auto"/>
            <w:bottom w:val="none" w:sz="0" w:space="0" w:color="auto"/>
            <w:right w:val="none" w:sz="0" w:space="0" w:color="auto"/>
          </w:divBdr>
        </w:div>
      </w:divsChild>
    </w:div>
    <w:div w:id="1476604503">
      <w:bodyDiv w:val="1"/>
      <w:marLeft w:val="0"/>
      <w:marRight w:val="0"/>
      <w:marTop w:val="0"/>
      <w:marBottom w:val="0"/>
      <w:divBdr>
        <w:top w:val="none" w:sz="0" w:space="0" w:color="auto"/>
        <w:left w:val="none" w:sz="0" w:space="0" w:color="auto"/>
        <w:bottom w:val="none" w:sz="0" w:space="0" w:color="auto"/>
        <w:right w:val="none" w:sz="0" w:space="0" w:color="auto"/>
      </w:divBdr>
    </w:div>
    <w:div w:id="1492789566">
      <w:bodyDiv w:val="1"/>
      <w:marLeft w:val="0"/>
      <w:marRight w:val="0"/>
      <w:marTop w:val="0"/>
      <w:marBottom w:val="0"/>
      <w:divBdr>
        <w:top w:val="none" w:sz="0" w:space="0" w:color="auto"/>
        <w:left w:val="none" w:sz="0" w:space="0" w:color="auto"/>
        <w:bottom w:val="none" w:sz="0" w:space="0" w:color="auto"/>
        <w:right w:val="none" w:sz="0" w:space="0" w:color="auto"/>
      </w:divBdr>
    </w:div>
    <w:div w:id="1495142239">
      <w:bodyDiv w:val="1"/>
      <w:marLeft w:val="0"/>
      <w:marRight w:val="0"/>
      <w:marTop w:val="0"/>
      <w:marBottom w:val="0"/>
      <w:divBdr>
        <w:top w:val="none" w:sz="0" w:space="0" w:color="auto"/>
        <w:left w:val="none" w:sz="0" w:space="0" w:color="auto"/>
        <w:bottom w:val="none" w:sz="0" w:space="0" w:color="auto"/>
        <w:right w:val="none" w:sz="0" w:space="0" w:color="auto"/>
      </w:divBdr>
    </w:div>
    <w:div w:id="1500267739">
      <w:bodyDiv w:val="1"/>
      <w:marLeft w:val="0"/>
      <w:marRight w:val="0"/>
      <w:marTop w:val="0"/>
      <w:marBottom w:val="0"/>
      <w:divBdr>
        <w:top w:val="none" w:sz="0" w:space="0" w:color="auto"/>
        <w:left w:val="none" w:sz="0" w:space="0" w:color="auto"/>
        <w:bottom w:val="none" w:sz="0" w:space="0" w:color="auto"/>
        <w:right w:val="none" w:sz="0" w:space="0" w:color="auto"/>
      </w:divBdr>
    </w:div>
    <w:div w:id="1507086820">
      <w:bodyDiv w:val="1"/>
      <w:marLeft w:val="0"/>
      <w:marRight w:val="0"/>
      <w:marTop w:val="0"/>
      <w:marBottom w:val="0"/>
      <w:divBdr>
        <w:top w:val="none" w:sz="0" w:space="0" w:color="auto"/>
        <w:left w:val="none" w:sz="0" w:space="0" w:color="auto"/>
        <w:bottom w:val="none" w:sz="0" w:space="0" w:color="auto"/>
        <w:right w:val="none" w:sz="0" w:space="0" w:color="auto"/>
      </w:divBdr>
    </w:div>
    <w:div w:id="1535651232">
      <w:bodyDiv w:val="1"/>
      <w:marLeft w:val="0"/>
      <w:marRight w:val="0"/>
      <w:marTop w:val="0"/>
      <w:marBottom w:val="0"/>
      <w:divBdr>
        <w:top w:val="none" w:sz="0" w:space="0" w:color="auto"/>
        <w:left w:val="none" w:sz="0" w:space="0" w:color="auto"/>
        <w:bottom w:val="none" w:sz="0" w:space="0" w:color="auto"/>
        <w:right w:val="none" w:sz="0" w:space="0" w:color="auto"/>
      </w:divBdr>
    </w:div>
    <w:div w:id="1550874330">
      <w:bodyDiv w:val="1"/>
      <w:marLeft w:val="0"/>
      <w:marRight w:val="0"/>
      <w:marTop w:val="0"/>
      <w:marBottom w:val="0"/>
      <w:divBdr>
        <w:top w:val="none" w:sz="0" w:space="0" w:color="auto"/>
        <w:left w:val="none" w:sz="0" w:space="0" w:color="auto"/>
        <w:bottom w:val="none" w:sz="0" w:space="0" w:color="auto"/>
        <w:right w:val="none" w:sz="0" w:space="0" w:color="auto"/>
      </w:divBdr>
    </w:div>
    <w:div w:id="1551650933">
      <w:bodyDiv w:val="1"/>
      <w:marLeft w:val="0"/>
      <w:marRight w:val="0"/>
      <w:marTop w:val="0"/>
      <w:marBottom w:val="0"/>
      <w:divBdr>
        <w:top w:val="none" w:sz="0" w:space="0" w:color="auto"/>
        <w:left w:val="none" w:sz="0" w:space="0" w:color="auto"/>
        <w:bottom w:val="none" w:sz="0" w:space="0" w:color="auto"/>
        <w:right w:val="none" w:sz="0" w:space="0" w:color="auto"/>
      </w:divBdr>
    </w:div>
    <w:div w:id="1559169990">
      <w:bodyDiv w:val="1"/>
      <w:marLeft w:val="0"/>
      <w:marRight w:val="0"/>
      <w:marTop w:val="0"/>
      <w:marBottom w:val="0"/>
      <w:divBdr>
        <w:top w:val="none" w:sz="0" w:space="0" w:color="auto"/>
        <w:left w:val="none" w:sz="0" w:space="0" w:color="auto"/>
        <w:bottom w:val="none" w:sz="0" w:space="0" w:color="auto"/>
        <w:right w:val="none" w:sz="0" w:space="0" w:color="auto"/>
      </w:divBdr>
    </w:div>
    <w:div w:id="1591625433">
      <w:bodyDiv w:val="1"/>
      <w:marLeft w:val="0"/>
      <w:marRight w:val="0"/>
      <w:marTop w:val="0"/>
      <w:marBottom w:val="0"/>
      <w:divBdr>
        <w:top w:val="none" w:sz="0" w:space="0" w:color="auto"/>
        <w:left w:val="none" w:sz="0" w:space="0" w:color="auto"/>
        <w:bottom w:val="none" w:sz="0" w:space="0" w:color="auto"/>
        <w:right w:val="none" w:sz="0" w:space="0" w:color="auto"/>
      </w:divBdr>
    </w:div>
    <w:div w:id="1597980479">
      <w:bodyDiv w:val="1"/>
      <w:marLeft w:val="0"/>
      <w:marRight w:val="0"/>
      <w:marTop w:val="0"/>
      <w:marBottom w:val="0"/>
      <w:divBdr>
        <w:top w:val="none" w:sz="0" w:space="0" w:color="auto"/>
        <w:left w:val="none" w:sz="0" w:space="0" w:color="auto"/>
        <w:bottom w:val="none" w:sz="0" w:space="0" w:color="auto"/>
        <w:right w:val="none" w:sz="0" w:space="0" w:color="auto"/>
      </w:divBdr>
    </w:div>
    <w:div w:id="1608779760">
      <w:bodyDiv w:val="1"/>
      <w:marLeft w:val="0"/>
      <w:marRight w:val="0"/>
      <w:marTop w:val="0"/>
      <w:marBottom w:val="0"/>
      <w:divBdr>
        <w:top w:val="none" w:sz="0" w:space="0" w:color="auto"/>
        <w:left w:val="none" w:sz="0" w:space="0" w:color="auto"/>
        <w:bottom w:val="none" w:sz="0" w:space="0" w:color="auto"/>
        <w:right w:val="none" w:sz="0" w:space="0" w:color="auto"/>
      </w:divBdr>
    </w:div>
    <w:div w:id="1627085049">
      <w:bodyDiv w:val="1"/>
      <w:marLeft w:val="0"/>
      <w:marRight w:val="0"/>
      <w:marTop w:val="0"/>
      <w:marBottom w:val="0"/>
      <w:divBdr>
        <w:top w:val="none" w:sz="0" w:space="0" w:color="auto"/>
        <w:left w:val="none" w:sz="0" w:space="0" w:color="auto"/>
        <w:bottom w:val="none" w:sz="0" w:space="0" w:color="auto"/>
        <w:right w:val="none" w:sz="0" w:space="0" w:color="auto"/>
      </w:divBdr>
    </w:div>
    <w:div w:id="1635596606">
      <w:bodyDiv w:val="1"/>
      <w:marLeft w:val="0"/>
      <w:marRight w:val="0"/>
      <w:marTop w:val="0"/>
      <w:marBottom w:val="0"/>
      <w:divBdr>
        <w:top w:val="none" w:sz="0" w:space="0" w:color="auto"/>
        <w:left w:val="none" w:sz="0" w:space="0" w:color="auto"/>
        <w:bottom w:val="none" w:sz="0" w:space="0" w:color="auto"/>
        <w:right w:val="none" w:sz="0" w:space="0" w:color="auto"/>
      </w:divBdr>
    </w:div>
    <w:div w:id="1643654344">
      <w:bodyDiv w:val="1"/>
      <w:marLeft w:val="0"/>
      <w:marRight w:val="0"/>
      <w:marTop w:val="0"/>
      <w:marBottom w:val="0"/>
      <w:divBdr>
        <w:top w:val="none" w:sz="0" w:space="0" w:color="auto"/>
        <w:left w:val="none" w:sz="0" w:space="0" w:color="auto"/>
        <w:bottom w:val="none" w:sz="0" w:space="0" w:color="auto"/>
        <w:right w:val="none" w:sz="0" w:space="0" w:color="auto"/>
      </w:divBdr>
    </w:div>
    <w:div w:id="1655446754">
      <w:bodyDiv w:val="1"/>
      <w:marLeft w:val="0"/>
      <w:marRight w:val="0"/>
      <w:marTop w:val="0"/>
      <w:marBottom w:val="0"/>
      <w:divBdr>
        <w:top w:val="none" w:sz="0" w:space="0" w:color="auto"/>
        <w:left w:val="none" w:sz="0" w:space="0" w:color="auto"/>
        <w:bottom w:val="none" w:sz="0" w:space="0" w:color="auto"/>
        <w:right w:val="none" w:sz="0" w:space="0" w:color="auto"/>
      </w:divBdr>
    </w:div>
    <w:div w:id="1682509213">
      <w:bodyDiv w:val="1"/>
      <w:marLeft w:val="0"/>
      <w:marRight w:val="0"/>
      <w:marTop w:val="0"/>
      <w:marBottom w:val="0"/>
      <w:divBdr>
        <w:top w:val="none" w:sz="0" w:space="0" w:color="auto"/>
        <w:left w:val="none" w:sz="0" w:space="0" w:color="auto"/>
        <w:bottom w:val="none" w:sz="0" w:space="0" w:color="auto"/>
        <w:right w:val="none" w:sz="0" w:space="0" w:color="auto"/>
      </w:divBdr>
      <w:divsChild>
        <w:div w:id="682122956">
          <w:marLeft w:val="0"/>
          <w:marRight w:val="0"/>
          <w:marTop w:val="0"/>
          <w:marBottom w:val="0"/>
          <w:divBdr>
            <w:top w:val="none" w:sz="0" w:space="0" w:color="auto"/>
            <w:left w:val="none" w:sz="0" w:space="0" w:color="auto"/>
            <w:bottom w:val="none" w:sz="0" w:space="0" w:color="auto"/>
            <w:right w:val="none" w:sz="0" w:space="0" w:color="auto"/>
          </w:divBdr>
        </w:div>
        <w:div w:id="1550220077">
          <w:marLeft w:val="0"/>
          <w:marRight w:val="0"/>
          <w:marTop w:val="0"/>
          <w:marBottom w:val="0"/>
          <w:divBdr>
            <w:top w:val="none" w:sz="0" w:space="0" w:color="auto"/>
            <w:left w:val="none" w:sz="0" w:space="0" w:color="auto"/>
            <w:bottom w:val="none" w:sz="0" w:space="0" w:color="auto"/>
            <w:right w:val="none" w:sz="0" w:space="0" w:color="auto"/>
          </w:divBdr>
        </w:div>
        <w:div w:id="186716773">
          <w:marLeft w:val="0"/>
          <w:marRight w:val="0"/>
          <w:marTop w:val="0"/>
          <w:marBottom w:val="0"/>
          <w:divBdr>
            <w:top w:val="none" w:sz="0" w:space="0" w:color="auto"/>
            <w:left w:val="none" w:sz="0" w:space="0" w:color="auto"/>
            <w:bottom w:val="none" w:sz="0" w:space="0" w:color="auto"/>
            <w:right w:val="none" w:sz="0" w:space="0" w:color="auto"/>
          </w:divBdr>
        </w:div>
        <w:div w:id="1191845199">
          <w:marLeft w:val="0"/>
          <w:marRight w:val="0"/>
          <w:marTop w:val="0"/>
          <w:marBottom w:val="0"/>
          <w:divBdr>
            <w:top w:val="none" w:sz="0" w:space="0" w:color="auto"/>
            <w:left w:val="none" w:sz="0" w:space="0" w:color="auto"/>
            <w:bottom w:val="none" w:sz="0" w:space="0" w:color="auto"/>
            <w:right w:val="none" w:sz="0" w:space="0" w:color="auto"/>
          </w:divBdr>
        </w:div>
      </w:divsChild>
    </w:div>
    <w:div w:id="1686790230">
      <w:bodyDiv w:val="1"/>
      <w:marLeft w:val="0"/>
      <w:marRight w:val="0"/>
      <w:marTop w:val="0"/>
      <w:marBottom w:val="0"/>
      <w:divBdr>
        <w:top w:val="none" w:sz="0" w:space="0" w:color="auto"/>
        <w:left w:val="none" w:sz="0" w:space="0" w:color="auto"/>
        <w:bottom w:val="none" w:sz="0" w:space="0" w:color="auto"/>
        <w:right w:val="none" w:sz="0" w:space="0" w:color="auto"/>
      </w:divBdr>
    </w:div>
    <w:div w:id="1687905518">
      <w:bodyDiv w:val="1"/>
      <w:marLeft w:val="0"/>
      <w:marRight w:val="0"/>
      <w:marTop w:val="0"/>
      <w:marBottom w:val="0"/>
      <w:divBdr>
        <w:top w:val="none" w:sz="0" w:space="0" w:color="auto"/>
        <w:left w:val="none" w:sz="0" w:space="0" w:color="auto"/>
        <w:bottom w:val="none" w:sz="0" w:space="0" w:color="auto"/>
        <w:right w:val="none" w:sz="0" w:space="0" w:color="auto"/>
      </w:divBdr>
    </w:div>
    <w:div w:id="1700547084">
      <w:bodyDiv w:val="1"/>
      <w:marLeft w:val="0"/>
      <w:marRight w:val="0"/>
      <w:marTop w:val="0"/>
      <w:marBottom w:val="0"/>
      <w:divBdr>
        <w:top w:val="none" w:sz="0" w:space="0" w:color="auto"/>
        <w:left w:val="none" w:sz="0" w:space="0" w:color="auto"/>
        <w:bottom w:val="none" w:sz="0" w:space="0" w:color="auto"/>
        <w:right w:val="none" w:sz="0" w:space="0" w:color="auto"/>
      </w:divBdr>
    </w:div>
    <w:div w:id="1718508768">
      <w:bodyDiv w:val="1"/>
      <w:marLeft w:val="0"/>
      <w:marRight w:val="0"/>
      <w:marTop w:val="0"/>
      <w:marBottom w:val="0"/>
      <w:divBdr>
        <w:top w:val="none" w:sz="0" w:space="0" w:color="auto"/>
        <w:left w:val="none" w:sz="0" w:space="0" w:color="auto"/>
        <w:bottom w:val="none" w:sz="0" w:space="0" w:color="auto"/>
        <w:right w:val="none" w:sz="0" w:space="0" w:color="auto"/>
      </w:divBdr>
    </w:div>
    <w:div w:id="1725979085">
      <w:bodyDiv w:val="1"/>
      <w:marLeft w:val="0"/>
      <w:marRight w:val="0"/>
      <w:marTop w:val="0"/>
      <w:marBottom w:val="0"/>
      <w:divBdr>
        <w:top w:val="none" w:sz="0" w:space="0" w:color="auto"/>
        <w:left w:val="none" w:sz="0" w:space="0" w:color="auto"/>
        <w:bottom w:val="none" w:sz="0" w:space="0" w:color="auto"/>
        <w:right w:val="none" w:sz="0" w:space="0" w:color="auto"/>
      </w:divBdr>
    </w:div>
    <w:div w:id="1755012791">
      <w:bodyDiv w:val="1"/>
      <w:marLeft w:val="0"/>
      <w:marRight w:val="0"/>
      <w:marTop w:val="0"/>
      <w:marBottom w:val="0"/>
      <w:divBdr>
        <w:top w:val="none" w:sz="0" w:space="0" w:color="auto"/>
        <w:left w:val="none" w:sz="0" w:space="0" w:color="auto"/>
        <w:bottom w:val="none" w:sz="0" w:space="0" w:color="auto"/>
        <w:right w:val="none" w:sz="0" w:space="0" w:color="auto"/>
      </w:divBdr>
    </w:div>
    <w:div w:id="1775397013">
      <w:bodyDiv w:val="1"/>
      <w:marLeft w:val="0"/>
      <w:marRight w:val="0"/>
      <w:marTop w:val="0"/>
      <w:marBottom w:val="0"/>
      <w:divBdr>
        <w:top w:val="none" w:sz="0" w:space="0" w:color="auto"/>
        <w:left w:val="none" w:sz="0" w:space="0" w:color="auto"/>
        <w:bottom w:val="none" w:sz="0" w:space="0" w:color="auto"/>
        <w:right w:val="none" w:sz="0" w:space="0" w:color="auto"/>
      </w:divBdr>
    </w:div>
    <w:div w:id="1789351464">
      <w:bodyDiv w:val="1"/>
      <w:marLeft w:val="0"/>
      <w:marRight w:val="0"/>
      <w:marTop w:val="0"/>
      <w:marBottom w:val="0"/>
      <w:divBdr>
        <w:top w:val="none" w:sz="0" w:space="0" w:color="auto"/>
        <w:left w:val="none" w:sz="0" w:space="0" w:color="auto"/>
        <w:bottom w:val="none" w:sz="0" w:space="0" w:color="auto"/>
        <w:right w:val="none" w:sz="0" w:space="0" w:color="auto"/>
      </w:divBdr>
    </w:div>
    <w:div w:id="1792213480">
      <w:bodyDiv w:val="1"/>
      <w:marLeft w:val="0"/>
      <w:marRight w:val="0"/>
      <w:marTop w:val="0"/>
      <w:marBottom w:val="0"/>
      <w:divBdr>
        <w:top w:val="none" w:sz="0" w:space="0" w:color="auto"/>
        <w:left w:val="none" w:sz="0" w:space="0" w:color="auto"/>
        <w:bottom w:val="none" w:sz="0" w:space="0" w:color="auto"/>
        <w:right w:val="none" w:sz="0" w:space="0" w:color="auto"/>
      </w:divBdr>
    </w:div>
    <w:div w:id="1845970503">
      <w:bodyDiv w:val="1"/>
      <w:marLeft w:val="0"/>
      <w:marRight w:val="0"/>
      <w:marTop w:val="0"/>
      <w:marBottom w:val="0"/>
      <w:divBdr>
        <w:top w:val="none" w:sz="0" w:space="0" w:color="auto"/>
        <w:left w:val="none" w:sz="0" w:space="0" w:color="auto"/>
        <w:bottom w:val="none" w:sz="0" w:space="0" w:color="auto"/>
        <w:right w:val="none" w:sz="0" w:space="0" w:color="auto"/>
      </w:divBdr>
    </w:div>
    <w:div w:id="1854107922">
      <w:bodyDiv w:val="1"/>
      <w:marLeft w:val="0"/>
      <w:marRight w:val="0"/>
      <w:marTop w:val="0"/>
      <w:marBottom w:val="0"/>
      <w:divBdr>
        <w:top w:val="none" w:sz="0" w:space="0" w:color="auto"/>
        <w:left w:val="none" w:sz="0" w:space="0" w:color="auto"/>
        <w:bottom w:val="none" w:sz="0" w:space="0" w:color="auto"/>
        <w:right w:val="none" w:sz="0" w:space="0" w:color="auto"/>
      </w:divBdr>
    </w:div>
    <w:div w:id="1876306026">
      <w:bodyDiv w:val="1"/>
      <w:marLeft w:val="0"/>
      <w:marRight w:val="0"/>
      <w:marTop w:val="0"/>
      <w:marBottom w:val="0"/>
      <w:divBdr>
        <w:top w:val="none" w:sz="0" w:space="0" w:color="auto"/>
        <w:left w:val="none" w:sz="0" w:space="0" w:color="auto"/>
        <w:bottom w:val="none" w:sz="0" w:space="0" w:color="auto"/>
        <w:right w:val="none" w:sz="0" w:space="0" w:color="auto"/>
      </w:divBdr>
    </w:div>
    <w:div w:id="1890070441">
      <w:bodyDiv w:val="1"/>
      <w:marLeft w:val="0"/>
      <w:marRight w:val="0"/>
      <w:marTop w:val="0"/>
      <w:marBottom w:val="0"/>
      <w:divBdr>
        <w:top w:val="none" w:sz="0" w:space="0" w:color="auto"/>
        <w:left w:val="none" w:sz="0" w:space="0" w:color="auto"/>
        <w:bottom w:val="none" w:sz="0" w:space="0" w:color="auto"/>
        <w:right w:val="none" w:sz="0" w:space="0" w:color="auto"/>
      </w:divBdr>
    </w:div>
    <w:div w:id="1894342954">
      <w:bodyDiv w:val="1"/>
      <w:marLeft w:val="0"/>
      <w:marRight w:val="0"/>
      <w:marTop w:val="0"/>
      <w:marBottom w:val="0"/>
      <w:divBdr>
        <w:top w:val="none" w:sz="0" w:space="0" w:color="auto"/>
        <w:left w:val="none" w:sz="0" w:space="0" w:color="auto"/>
        <w:bottom w:val="none" w:sz="0" w:space="0" w:color="auto"/>
        <w:right w:val="none" w:sz="0" w:space="0" w:color="auto"/>
      </w:divBdr>
    </w:div>
    <w:div w:id="1942180301">
      <w:bodyDiv w:val="1"/>
      <w:marLeft w:val="0"/>
      <w:marRight w:val="0"/>
      <w:marTop w:val="0"/>
      <w:marBottom w:val="0"/>
      <w:divBdr>
        <w:top w:val="none" w:sz="0" w:space="0" w:color="auto"/>
        <w:left w:val="none" w:sz="0" w:space="0" w:color="auto"/>
        <w:bottom w:val="none" w:sz="0" w:space="0" w:color="auto"/>
        <w:right w:val="none" w:sz="0" w:space="0" w:color="auto"/>
      </w:divBdr>
    </w:div>
    <w:div w:id="1967855271">
      <w:bodyDiv w:val="1"/>
      <w:marLeft w:val="0"/>
      <w:marRight w:val="0"/>
      <w:marTop w:val="0"/>
      <w:marBottom w:val="0"/>
      <w:divBdr>
        <w:top w:val="none" w:sz="0" w:space="0" w:color="auto"/>
        <w:left w:val="none" w:sz="0" w:space="0" w:color="auto"/>
        <w:bottom w:val="none" w:sz="0" w:space="0" w:color="auto"/>
        <w:right w:val="none" w:sz="0" w:space="0" w:color="auto"/>
      </w:divBdr>
    </w:div>
    <w:div w:id="1973051331">
      <w:bodyDiv w:val="1"/>
      <w:marLeft w:val="0"/>
      <w:marRight w:val="0"/>
      <w:marTop w:val="0"/>
      <w:marBottom w:val="0"/>
      <w:divBdr>
        <w:top w:val="none" w:sz="0" w:space="0" w:color="auto"/>
        <w:left w:val="none" w:sz="0" w:space="0" w:color="auto"/>
        <w:bottom w:val="none" w:sz="0" w:space="0" w:color="auto"/>
        <w:right w:val="none" w:sz="0" w:space="0" w:color="auto"/>
      </w:divBdr>
      <w:divsChild>
        <w:div w:id="250899446">
          <w:marLeft w:val="0"/>
          <w:marRight w:val="0"/>
          <w:marTop w:val="0"/>
          <w:marBottom w:val="0"/>
          <w:divBdr>
            <w:top w:val="none" w:sz="0" w:space="0" w:color="auto"/>
            <w:left w:val="none" w:sz="0" w:space="0" w:color="auto"/>
            <w:bottom w:val="none" w:sz="0" w:space="0" w:color="auto"/>
            <w:right w:val="none" w:sz="0" w:space="0" w:color="auto"/>
          </w:divBdr>
        </w:div>
      </w:divsChild>
    </w:div>
    <w:div w:id="1975521590">
      <w:bodyDiv w:val="1"/>
      <w:marLeft w:val="0"/>
      <w:marRight w:val="0"/>
      <w:marTop w:val="0"/>
      <w:marBottom w:val="0"/>
      <w:divBdr>
        <w:top w:val="none" w:sz="0" w:space="0" w:color="auto"/>
        <w:left w:val="none" w:sz="0" w:space="0" w:color="auto"/>
        <w:bottom w:val="none" w:sz="0" w:space="0" w:color="auto"/>
        <w:right w:val="none" w:sz="0" w:space="0" w:color="auto"/>
      </w:divBdr>
    </w:div>
    <w:div w:id="2025209927">
      <w:bodyDiv w:val="1"/>
      <w:marLeft w:val="0"/>
      <w:marRight w:val="0"/>
      <w:marTop w:val="0"/>
      <w:marBottom w:val="0"/>
      <w:divBdr>
        <w:top w:val="none" w:sz="0" w:space="0" w:color="auto"/>
        <w:left w:val="none" w:sz="0" w:space="0" w:color="auto"/>
        <w:bottom w:val="none" w:sz="0" w:space="0" w:color="auto"/>
        <w:right w:val="none" w:sz="0" w:space="0" w:color="auto"/>
      </w:divBdr>
    </w:div>
    <w:div w:id="2027126596">
      <w:bodyDiv w:val="1"/>
      <w:marLeft w:val="0"/>
      <w:marRight w:val="0"/>
      <w:marTop w:val="0"/>
      <w:marBottom w:val="0"/>
      <w:divBdr>
        <w:top w:val="none" w:sz="0" w:space="0" w:color="auto"/>
        <w:left w:val="none" w:sz="0" w:space="0" w:color="auto"/>
        <w:bottom w:val="none" w:sz="0" w:space="0" w:color="auto"/>
        <w:right w:val="none" w:sz="0" w:space="0" w:color="auto"/>
      </w:divBdr>
    </w:div>
    <w:div w:id="2044862491">
      <w:bodyDiv w:val="1"/>
      <w:marLeft w:val="0"/>
      <w:marRight w:val="0"/>
      <w:marTop w:val="0"/>
      <w:marBottom w:val="0"/>
      <w:divBdr>
        <w:top w:val="none" w:sz="0" w:space="0" w:color="auto"/>
        <w:left w:val="none" w:sz="0" w:space="0" w:color="auto"/>
        <w:bottom w:val="none" w:sz="0" w:space="0" w:color="auto"/>
        <w:right w:val="none" w:sz="0" w:space="0" w:color="auto"/>
      </w:divBdr>
    </w:div>
    <w:div w:id="2046325245">
      <w:bodyDiv w:val="1"/>
      <w:marLeft w:val="0"/>
      <w:marRight w:val="0"/>
      <w:marTop w:val="0"/>
      <w:marBottom w:val="0"/>
      <w:divBdr>
        <w:top w:val="none" w:sz="0" w:space="0" w:color="auto"/>
        <w:left w:val="none" w:sz="0" w:space="0" w:color="auto"/>
        <w:bottom w:val="none" w:sz="0" w:space="0" w:color="auto"/>
        <w:right w:val="none" w:sz="0" w:space="0" w:color="auto"/>
      </w:divBdr>
    </w:div>
    <w:div w:id="2050834494">
      <w:bodyDiv w:val="1"/>
      <w:marLeft w:val="0"/>
      <w:marRight w:val="0"/>
      <w:marTop w:val="0"/>
      <w:marBottom w:val="0"/>
      <w:divBdr>
        <w:top w:val="none" w:sz="0" w:space="0" w:color="auto"/>
        <w:left w:val="none" w:sz="0" w:space="0" w:color="auto"/>
        <w:bottom w:val="none" w:sz="0" w:space="0" w:color="auto"/>
        <w:right w:val="none" w:sz="0" w:space="0" w:color="auto"/>
      </w:divBdr>
    </w:div>
    <w:div w:id="2055427520">
      <w:bodyDiv w:val="1"/>
      <w:marLeft w:val="0"/>
      <w:marRight w:val="0"/>
      <w:marTop w:val="0"/>
      <w:marBottom w:val="0"/>
      <w:divBdr>
        <w:top w:val="none" w:sz="0" w:space="0" w:color="auto"/>
        <w:left w:val="none" w:sz="0" w:space="0" w:color="auto"/>
        <w:bottom w:val="none" w:sz="0" w:space="0" w:color="auto"/>
        <w:right w:val="none" w:sz="0" w:space="0" w:color="auto"/>
      </w:divBdr>
    </w:div>
    <w:div w:id="2060785110">
      <w:bodyDiv w:val="1"/>
      <w:marLeft w:val="0"/>
      <w:marRight w:val="0"/>
      <w:marTop w:val="0"/>
      <w:marBottom w:val="0"/>
      <w:divBdr>
        <w:top w:val="none" w:sz="0" w:space="0" w:color="auto"/>
        <w:left w:val="none" w:sz="0" w:space="0" w:color="auto"/>
        <w:bottom w:val="none" w:sz="0" w:space="0" w:color="auto"/>
        <w:right w:val="none" w:sz="0" w:space="0" w:color="auto"/>
      </w:divBdr>
    </w:div>
    <w:div w:id="2066100371">
      <w:bodyDiv w:val="1"/>
      <w:marLeft w:val="0"/>
      <w:marRight w:val="0"/>
      <w:marTop w:val="0"/>
      <w:marBottom w:val="0"/>
      <w:divBdr>
        <w:top w:val="none" w:sz="0" w:space="0" w:color="auto"/>
        <w:left w:val="none" w:sz="0" w:space="0" w:color="auto"/>
        <w:bottom w:val="none" w:sz="0" w:space="0" w:color="auto"/>
        <w:right w:val="none" w:sz="0" w:space="0" w:color="auto"/>
      </w:divBdr>
    </w:div>
    <w:div w:id="2069104769">
      <w:bodyDiv w:val="1"/>
      <w:marLeft w:val="0"/>
      <w:marRight w:val="0"/>
      <w:marTop w:val="0"/>
      <w:marBottom w:val="0"/>
      <w:divBdr>
        <w:top w:val="none" w:sz="0" w:space="0" w:color="auto"/>
        <w:left w:val="none" w:sz="0" w:space="0" w:color="auto"/>
        <w:bottom w:val="none" w:sz="0" w:space="0" w:color="auto"/>
        <w:right w:val="none" w:sz="0" w:space="0" w:color="auto"/>
      </w:divBdr>
    </w:div>
    <w:div w:id="2072076472">
      <w:bodyDiv w:val="1"/>
      <w:marLeft w:val="0"/>
      <w:marRight w:val="0"/>
      <w:marTop w:val="0"/>
      <w:marBottom w:val="0"/>
      <w:divBdr>
        <w:top w:val="none" w:sz="0" w:space="0" w:color="auto"/>
        <w:left w:val="none" w:sz="0" w:space="0" w:color="auto"/>
        <w:bottom w:val="none" w:sz="0" w:space="0" w:color="auto"/>
        <w:right w:val="none" w:sz="0" w:space="0" w:color="auto"/>
      </w:divBdr>
    </w:div>
    <w:div w:id="2078890646">
      <w:bodyDiv w:val="1"/>
      <w:marLeft w:val="0"/>
      <w:marRight w:val="0"/>
      <w:marTop w:val="0"/>
      <w:marBottom w:val="0"/>
      <w:divBdr>
        <w:top w:val="none" w:sz="0" w:space="0" w:color="auto"/>
        <w:left w:val="none" w:sz="0" w:space="0" w:color="auto"/>
        <w:bottom w:val="none" w:sz="0" w:space="0" w:color="auto"/>
        <w:right w:val="none" w:sz="0" w:space="0" w:color="auto"/>
      </w:divBdr>
    </w:div>
    <w:div w:id="2102483461">
      <w:bodyDiv w:val="1"/>
      <w:marLeft w:val="0"/>
      <w:marRight w:val="0"/>
      <w:marTop w:val="0"/>
      <w:marBottom w:val="0"/>
      <w:divBdr>
        <w:top w:val="none" w:sz="0" w:space="0" w:color="auto"/>
        <w:left w:val="none" w:sz="0" w:space="0" w:color="auto"/>
        <w:bottom w:val="none" w:sz="0" w:space="0" w:color="auto"/>
        <w:right w:val="none" w:sz="0" w:space="0" w:color="auto"/>
      </w:divBdr>
    </w:div>
    <w:div w:id="2119793409">
      <w:bodyDiv w:val="1"/>
      <w:marLeft w:val="0"/>
      <w:marRight w:val="0"/>
      <w:marTop w:val="0"/>
      <w:marBottom w:val="0"/>
      <w:divBdr>
        <w:top w:val="none" w:sz="0" w:space="0" w:color="auto"/>
        <w:left w:val="none" w:sz="0" w:space="0" w:color="auto"/>
        <w:bottom w:val="none" w:sz="0" w:space="0" w:color="auto"/>
        <w:right w:val="none" w:sz="0" w:space="0" w:color="auto"/>
      </w:divBdr>
    </w:div>
    <w:div w:id="21455850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2.png"/><Relationship Id="rId18"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legislacion.edomex.gob.mx/sites/legislacion.edomex.gob.mx/files/files/vigentes/jul113.PDF"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at.gob.mx/aplicacion/28889/obten-tu-cedula-de-identificacion-fiscal"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s://legislacion.edomex.gob.mx/sites/legislacion.edomex.gob.mx/files/files/pdf/gct/2014/nov144.PDF"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diputados.gob.mx/LeyesBiblio/pdf/LGDNNA.pdf"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_rels/header3.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46034C-9D3D-4F27-B8F3-A565E8FB7D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60</Pages>
  <Words>15024</Words>
  <Characters>82633</Characters>
  <Application>Microsoft Office Word</Application>
  <DocSecurity>0</DocSecurity>
  <Lines>688</Lines>
  <Paragraphs>194</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97463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Eduardo Lima Estrada</dc:creator>
  <cp:lastModifiedBy>Usuario</cp:lastModifiedBy>
  <cp:revision>3</cp:revision>
  <cp:lastPrinted>2025-02-28T04:57:00Z</cp:lastPrinted>
  <dcterms:created xsi:type="dcterms:W3CDTF">2025-03-10T22:44:00Z</dcterms:created>
  <dcterms:modified xsi:type="dcterms:W3CDTF">2025-04-29T19:56:00Z</dcterms:modified>
</cp:coreProperties>
</file>